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5.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7.xml" ContentType="application/vnd.openxmlformats-officedocument.wordprocessingml.header+xml"/>
  <Override PartName="/word/footer6.xml" ContentType="application/vnd.openxmlformats-officedocument.wordprocessingml.footer+xml"/>
  <Override PartName="/word/header18.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7BAD63E4" w14:textId="5FCAB063" w:rsidR="00C30837" w:rsidRDefault="00C30837" w:rsidP="0092346E">
      <w:pPr>
        <w:pStyle w:val="Heading6"/>
        <w:suppressAutoHyphens w:val="0"/>
        <w:spacing w:line="240" w:lineRule="auto"/>
        <w:jc w:val="center"/>
        <w:rPr>
          <w:rFonts w:cs="Arial"/>
        </w:rPr>
      </w:pPr>
      <w:bookmarkStart w:id="0" w:name="_Hlk70495588"/>
      <w:bookmarkStart w:id="1" w:name="_Hlk70505316"/>
    </w:p>
    <w:p w14:paraId="2C4F1E75" w14:textId="77777777" w:rsidR="006D5A5A" w:rsidRPr="006D5A5A" w:rsidRDefault="006D5A5A" w:rsidP="006D5A5A"/>
    <w:p w14:paraId="45DE143E" w14:textId="1CC9DBE9" w:rsidR="009158F7" w:rsidRPr="003C7E62" w:rsidRDefault="00725CDC" w:rsidP="00725CDC">
      <w:pPr>
        <w:jc w:val="center"/>
        <w:rPr>
          <w:rFonts w:cs="Arial"/>
        </w:rPr>
      </w:pPr>
      <w:r w:rsidRPr="003C7E62">
        <w:rPr>
          <w:rFonts w:cs="Arial"/>
          <w:noProof/>
        </w:rPr>
        <w:drawing>
          <wp:inline distT="0" distB="0" distL="0" distR="0" wp14:anchorId="7520E861" wp14:editId="01C35AE4">
            <wp:extent cx="2291052" cy="946800"/>
            <wp:effectExtent l="0" t="0" r="0" b="5715"/>
            <wp:docPr id="3" name="Picture 3" descr="Ashfield District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shfield District Council 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91052" cy="946800"/>
                    </a:xfrm>
                    <a:prstGeom prst="rect">
                      <a:avLst/>
                    </a:prstGeom>
                    <a:noFill/>
                    <a:ln>
                      <a:noFill/>
                    </a:ln>
                  </pic:spPr>
                </pic:pic>
              </a:graphicData>
            </a:graphic>
          </wp:inline>
        </w:drawing>
      </w:r>
    </w:p>
    <w:p w14:paraId="4F16935A" w14:textId="77777777" w:rsidR="00EE515D" w:rsidRPr="003C7E62" w:rsidRDefault="00EE515D" w:rsidP="0092346E">
      <w:pPr>
        <w:pStyle w:val="Heading6"/>
        <w:suppressAutoHyphens w:val="0"/>
        <w:spacing w:line="240" w:lineRule="auto"/>
        <w:jc w:val="center"/>
        <w:rPr>
          <w:rFonts w:cs="Arial"/>
          <w:sz w:val="44"/>
          <w:szCs w:val="44"/>
        </w:rPr>
      </w:pPr>
    </w:p>
    <w:p w14:paraId="422F5936" w14:textId="2D7E46AF" w:rsidR="00350E58" w:rsidRDefault="00350E58" w:rsidP="007620D3">
      <w:pPr>
        <w:jc w:val="center"/>
        <w:rPr>
          <w:b/>
          <w:bCs/>
          <w:sz w:val="40"/>
          <w:szCs w:val="40"/>
        </w:rPr>
      </w:pPr>
    </w:p>
    <w:p w14:paraId="4B15C734" w14:textId="77777777" w:rsidR="00D279C4" w:rsidRDefault="00D279C4" w:rsidP="007620D3">
      <w:pPr>
        <w:jc w:val="center"/>
        <w:rPr>
          <w:b/>
          <w:bCs/>
          <w:sz w:val="40"/>
          <w:szCs w:val="40"/>
        </w:rPr>
      </w:pPr>
    </w:p>
    <w:p w14:paraId="0327290F" w14:textId="77777777" w:rsidR="00D279C4" w:rsidRPr="007620D3" w:rsidRDefault="00D279C4" w:rsidP="007620D3">
      <w:pPr>
        <w:jc w:val="center"/>
        <w:rPr>
          <w:b/>
          <w:bCs/>
          <w:sz w:val="40"/>
          <w:szCs w:val="40"/>
        </w:rPr>
      </w:pPr>
    </w:p>
    <w:p w14:paraId="606A67C9" w14:textId="046192DC" w:rsidR="00350E58" w:rsidRPr="00350E58" w:rsidRDefault="00350E58" w:rsidP="00350E58">
      <w:pPr>
        <w:rPr>
          <w:lang w:eastAsia="en-US"/>
        </w:rPr>
      </w:pPr>
    </w:p>
    <w:bookmarkEnd w:id="0"/>
    <w:bookmarkEnd w:id="1"/>
    <w:p w14:paraId="27985B64" w14:textId="77777777" w:rsidR="0058621D" w:rsidRPr="003943F3" w:rsidRDefault="0058621D" w:rsidP="007620D3">
      <w:pPr>
        <w:pStyle w:val="Style10"/>
        <w:rPr>
          <w:color w:val="000000" w:themeColor="text1"/>
        </w:rPr>
      </w:pPr>
      <w:r w:rsidRPr="003943F3">
        <w:rPr>
          <w:color w:val="000000" w:themeColor="text1"/>
        </w:rPr>
        <w:t>Ashfield Local Plan 2023 to 2040:</w:t>
      </w:r>
    </w:p>
    <w:p w14:paraId="25C574AA" w14:textId="77777777" w:rsidR="00555B70" w:rsidRPr="003943F3" w:rsidRDefault="0058621D" w:rsidP="0058621D">
      <w:pPr>
        <w:jc w:val="center"/>
        <w:rPr>
          <w:rFonts w:cs="Arial"/>
          <w:b/>
          <w:bCs/>
          <w:sz w:val="40"/>
          <w:szCs w:val="40"/>
        </w:rPr>
      </w:pPr>
      <w:r w:rsidRPr="003943F3">
        <w:rPr>
          <w:rFonts w:cs="Arial"/>
          <w:b/>
          <w:bCs/>
          <w:sz w:val="40"/>
          <w:szCs w:val="40"/>
        </w:rPr>
        <w:t>Regulation 19 Pre-Submission Draft</w:t>
      </w:r>
    </w:p>
    <w:p w14:paraId="22CEBD1A" w14:textId="77777777" w:rsidR="0058621D" w:rsidRPr="003943F3" w:rsidRDefault="0058621D" w:rsidP="0058621D">
      <w:pPr>
        <w:jc w:val="center"/>
        <w:rPr>
          <w:rFonts w:cs="Arial"/>
          <w:b/>
          <w:bCs/>
          <w:sz w:val="40"/>
          <w:szCs w:val="40"/>
        </w:rPr>
      </w:pPr>
    </w:p>
    <w:p w14:paraId="61A83520" w14:textId="77777777" w:rsidR="0058621D" w:rsidRPr="003943F3" w:rsidRDefault="0058621D" w:rsidP="0058621D">
      <w:pPr>
        <w:jc w:val="center"/>
        <w:rPr>
          <w:rFonts w:cs="Arial"/>
          <w:b/>
          <w:bCs/>
          <w:sz w:val="40"/>
          <w:szCs w:val="40"/>
        </w:rPr>
      </w:pPr>
    </w:p>
    <w:p w14:paraId="7251DF55" w14:textId="67C619D7" w:rsidR="0058621D" w:rsidRPr="003943F3" w:rsidRDefault="001C4F6D" w:rsidP="0058621D">
      <w:pPr>
        <w:jc w:val="center"/>
        <w:rPr>
          <w:rFonts w:cs="Arial"/>
          <w:b/>
          <w:bCs/>
          <w:sz w:val="40"/>
          <w:szCs w:val="40"/>
        </w:rPr>
        <w:sectPr w:rsidR="0058621D" w:rsidRPr="003943F3" w:rsidSect="003157BC">
          <w:headerReference w:type="default" r:id="rId9"/>
          <w:footerReference w:type="default" r:id="rId10"/>
          <w:type w:val="continuous"/>
          <w:pgSz w:w="11906" w:h="16838" w:code="9"/>
          <w:pgMar w:top="1258" w:right="1133" w:bottom="1079" w:left="1134" w:header="709" w:footer="709" w:gutter="0"/>
          <w:pgNumType w:start="1"/>
          <w:cols w:space="708"/>
          <w:docGrid w:linePitch="360"/>
        </w:sectPr>
      </w:pPr>
      <w:r>
        <w:rPr>
          <w:rFonts w:cs="Arial"/>
          <w:b/>
          <w:bCs/>
          <w:sz w:val="40"/>
          <w:szCs w:val="40"/>
        </w:rPr>
        <w:t>Nov</w:t>
      </w:r>
      <w:r w:rsidR="0058621D" w:rsidRPr="003943F3">
        <w:rPr>
          <w:rFonts w:cs="Arial"/>
          <w:b/>
          <w:bCs/>
          <w:sz w:val="40"/>
          <w:szCs w:val="40"/>
        </w:rPr>
        <w:t>ember 2023</w:t>
      </w:r>
    </w:p>
    <w:p w14:paraId="518E39C2" w14:textId="77777777" w:rsidR="00100CF9" w:rsidRDefault="00100CF9">
      <w:pPr>
        <w:keepNext w:val="0"/>
        <w:spacing w:before="0"/>
        <w:rPr>
          <w:noProof/>
        </w:rPr>
      </w:pPr>
      <w:bookmarkStart w:id="2" w:name="_Toc141963262"/>
      <w:bookmarkStart w:id="3" w:name="_Toc145511543"/>
      <w:bookmarkStart w:id="4" w:name="_Hlk79134694"/>
    </w:p>
    <w:p w14:paraId="41077E83" w14:textId="77777777" w:rsidR="00100CF9" w:rsidRDefault="00100CF9">
      <w:pPr>
        <w:keepNext w:val="0"/>
        <w:spacing w:before="0"/>
        <w:rPr>
          <w:noProof/>
        </w:rPr>
      </w:pPr>
    </w:p>
    <w:p w14:paraId="62CE96B7" w14:textId="77777777" w:rsidR="00100CF9" w:rsidRDefault="00100CF9">
      <w:pPr>
        <w:keepNext w:val="0"/>
        <w:spacing w:before="0"/>
        <w:rPr>
          <w:noProof/>
        </w:rPr>
      </w:pPr>
    </w:p>
    <w:p w14:paraId="3AE3847D" w14:textId="77777777" w:rsidR="004024F3" w:rsidRDefault="00100CF9" w:rsidP="00926FB9">
      <w:pPr>
        <w:keepNext w:val="0"/>
        <w:spacing w:before="0"/>
        <w:jc w:val="center"/>
        <w:rPr>
          <w:noProof/>
        </w:rPr>
      </w:pPr>
      <w:r>
        <w:rPr>
          <w:noProof/>
        </w:rPr>
        <w:t>THIS PAGE IS INTENTIONALLY BLANK</w:t>
      </w:r>
    </w:p>
    <w:p w14:paraId="57036B13" w14:textId="77777777" w:rsidR="004024F3" w:rsidRDefault="004024F3" w:rsidP="00926FB9">
      <w:pPr>
        <w:keepNext w:val="0"/>
        <w:spacing w:before="0"/>
        <w:jc w:val="center"/>
        <w:rPr>
          <w:noProof/>
        </w:rPr>
      </w:pPr>
    </w:p>
    <w:p w14:paraId="48B8B6D5" w14:textId="77777777" w:rsidR="004024F3" w:rsidRDefault="004024F3" w:rsidP="00926FB9">
      <w:pPr>
        <w:keepNext w:val="0"/>
        <w:spacing w:before="0"/>
        <w:jc w:val="center"/>
        <w:rPr>
          <w:noProof/>
        </w:rPr>
        <w:sectPr w:rsidR="004024F3" w:rsidSect="00196772">
          <w:headerReference w:type="default" r:id="rId11"/>
          <w:footerReference w:type="default" r:id="rId12"/>
          <w:pgSz w:w="11906" w:h="16838" w:code="9"/>
          <w:pgMar w:top="1258" w:right="1133" w:bottom="1079" w:left="1134" w:header="709" w:footer="709" w:gutter="0"/>
          <w:pgNumType w:start="1"/>
          <w:cols w:space="708"/>
          <w:docGrid w:linePitch="360"/>
        </w:sectPr>
      </w:pPr>
    </w:p>
    <w:p w14:paraId="57E3078B" w14:textId="4DF203B2" w:rsidR="00BE6D36" w:rsidRPr="00220DC6" w:rsidRDefault="00E605B7" w:rsidP="008B0F3C">
      <w:pPr>
        <w:pStyle w:val="Heading1"/>
        <w:rPr>
          <w:rFonts w:cs="Arial"/>
          <w:noProof/>
          <w:sz w:val="24"/>
          <w:szCs w:val="24"/>
        </w:rPr>
      </w:pPr>
      <w:r>
        <w:rPr>
          <w:noProof/>
        </w:rPr>
        <w:lastRenderedPageBreak/>
        <w:t>Contents</w:t>
      </w:r>
      <w:bookmarkEnd w:id="2"/>
      <w:bookmarkEnd w:id="3"/>
      <w:r w:rsidR="00165C32" w:rsidRPr="00220DC6">
        <w:rPr>
          <w:rFonts w:cs="Arial"/>
          <w:noProof/>
          <w:color w:val="0070C0"/>
          <w:sz w:val="24"/>
          <w:szCs w:val="24"/>
        </w:rPr>
        <w:fldChar w:fldCharType="begin"/>
      </w:r>
      <w:r w:rsidR="00165C32" w:rsidRPr="00220DC6">
        <w:rPr>
          <w:rFonts w:cs="Arial"/>
          <w:noProof/>
          <w:color w:val="0070C0"/>
          <w:sz w:val="24"/>
          <w:szCs w:val="24"/>
        </w:rPr>
        <w:instrText xml:space="preserve"> TOC \o "1-3" \h \z \u </w:instrText>
      </w:r>
      <w:r w:rsidR="00165C32" w:rsidRPr="00220DC6">
        <w:rPr>
          <w:rFonts w:cs="Arial"/>
          <w:noProof/>
          <w:color w:val="0070C0"/>
          <w:sz w:val="24"/>
          <w:szCs w:val="24"/>
        </w:rPr>
        <w:fldChar w:fldCharType="separate"/>
      </w:r>
    </w:p>
    <w:p w14:paraId="076C953A" w14:textId="76B55EF5" w:rsidR="00BE6D36" w:rsidRPr="00220DC6" w:rsidRDefault="00BE6D36">
      <w:pPr>
        <w:pStyle w:val="TOC1"/>
        <w:tabs>
          <w:tab w:val="right" w:leader="dot" w:pos="9629"/>
        </w:tabs>
        <w:rPr>
          <w:rFonts w:ascii="Arial" w:eastAsiaTheme="minorEastAsia" w:hAnsi="Arial" w:cs="Arial"/>
          <w:b w:val="0"/>
          <w:bCs w:val="0"/>
          <w:caps w:val="0"/>
          <w:noProof/>
          <w:color w:val="auto"/>
          <w:kern w:val="2"/>
          <w14:ligatures w14:val="standardContextual"/>
        </w:rPr>
      </w:pPr>
      <w:hyperlink w:anchor="_Toc145511544" w:history="1">
        <w:r w:rsidRPr="00220DC6">
          <w:rPr>
            <w:rStyle w:val="Hyperlink"/>
            <w:rFonts w:ascii="Arial" w:hAnsi="Arial" w:cs="Arial"/>
            <w:noProof/>
          </w:rPr>
          <w:t>Foreword - Planning together for all our futures</w:t>
        </w:r>
        <w:r w:rsidRPr="00220DC6">
          <w:rPr>
            <w:rFonts w:ascii="Arial" w:hAnsi="Arial" w:cs="Arial"/>
            <w:noProof/>
            <w:webHidden/>
          </w:rPr>
          <w:tab/>
        </w:r>
        <w:r w:rsidRPr="00220DC6">
          <w:rPr>
            <w:rFonts w:ascii="Arial" w:hAnsi="Arial" w:cs="Arial"/>
            <w:noProof/>
            <w:webHidden/>
          </w:rPr>
          <w:fldChar w:fldCharType="begin"/>
        </w:r>
        <w:r w:rsidRPr="00220DC6">
          <w:rPr>
            <w:rFonts w:ascii="Arial" w:hAnsi="Arial" w:cs="Arial"/>
            <w:noProof/>
            <w:webHidden/>
          </w:rPr>
          <w:instrText xml:space="preserve"> PAGEREF _Toc145511544 \h </w:instrText>
        </w:r>
        <w:r w:rsidRPr="00220DC6">
          <w:rPr>
            <w:rFonts w:ascii="Arial" w:hAnsi="Arial" w:cs="Arial"/>
            <w:noProof/>
            <w:webHidden/>
          </w:rPr>
        </w:r>
        <w:r w:rsidRPr="00220DC6">
          <w:rPr>
            <w:rFonts w:ascii="Arial" w:hAnsi="Arial" w:cs="Arial"/>
            <w:noProof/>
            <w:webHidden/>
          </w:rPr>
          <w:fldChar w:fldCharType="separate"/>
        </w:r>
        <w:r w:rsidR="00100CF9" w:rsidRPr="00220DC6">
          <w:rPr>
            <w:rFonts w:ascii="Arial" w:hAnsi="Arial" w:cs="Arial"/>
            <w:noProof/>
            <w:webHidden/>
          </w:rPr>
          <w:t>1</w:t>
        </w:r>
        <w:r w:rsidRPr="00220DC6">
          <w:rPr>
            <w:rFonts w:ascii="Arial" w:hAnsi="Arial" w:cs="Arial"/>
            <w:noProof/>
            <w:webHidden/>
          </w:rPr>
          <w:fldChar w:fldCharType="end"/>
        </w:r>
      </w:hyperlink>
    </w:p>
    <w:p w14:paraId="6BA5932E" w14:textId="1857C062" w:rsidR="00BE6D36" w:rsidRPr="00220DC6" w:rsidRDefault="00BE6D36">
      <w:pPr>
        <w:pStyle w:val="TOC1"/>
        <w:tabs>
          <w:tab w:val="right" w:leader="dot" w:pos="9629"/>
        </w:tabs>
        <w:rPr>
          <w:rFonts w:ascii="Arial" w:eastAsiaTheme="minorEastAsia" w:hAnsi="Arial" w:cs="Arial"/>
          <w:b w:val="0"/>
          <w:bCs w:val="0"/>
          <w:caps w:val="0"/>
          <w:noProof/>
          <w:color w:val="auto"/>
          <w:kern w:val="2"/>
          <w14:ligatures w14:val="standardContextual"/>
        </w:rPr>
      </w:pPr>
      <w:hyperlink w:anchor="_Toc145511545" w:history="1">
        <w:r w:rsidRPr="00220DC6">
          <w:rPr>
            <w:rStyle w:val="Hyperlink"/>
            <w:rFonts w:ascii="Arial" w:hAnsi="Arial" w:cs="Arial"/>
            <w:noProof/>
          </w:rPr>
          <w:t>Chapter 1</w:t>
        </w:r>
        <w:r w:rsidRPr="00220DC6">
          <w:rPr>
            <w:rFonts w:ascii="Arial" w:hAnsi="Arial" w:cs="Arial"/>
            <w:noProof/>
            <w:webHidden/>
          </w:rPr>
          <w:tab/>
        </w:r>
        <w:r w:rsidRPr="00220DC6">
          <w:rPr>
            <w:rFonts w:ascii="Arial" w:hAnsi="Arial" w:cs="Arial"/>
            <w:noProof/>
            <w:webHidden/>
          </w:rPr>
          <w:fldChar w:fldCharType="begin"/>
        </w:r>
        <w:r w:rsidRPr="00220DC6">
          <w:rPr>
            <w:rFonts w:ascii="Arial" w:hAnsi="Arial" w:cs="Arial"/>
            <w:noProof/>
            <w:webHidden/>
          </w:rPr>
          <w:instrText xml:space="preserve"> PAGEREF _Toc145511545 \h </w:instrText>
        </w:r>
        <w:r w:rsidRPr="00220DC6">
          <w:rPr>
            <w:rFonts w:ascii="Arial" w:hAnsi="Arial" w:cs="Arial"/>
            <w:noProof/>
            <w:webHidden/>
          </w:rPr>
        </w:r>
        <w:r w:rsidRPr="00220DC6">
          <w:rPr>
            <w:rFonts w:ascii="Arial" w:hAnsi="Arial" w:cs="Arial"/>
            <w:noProof/>
            <w:webHidden/>
          </w:rPr>
          <w:fldChar w:fldCharType="separate"/>
        </w:r>
        <w:r w:rsidR="00100CF9" w:rsidRPr="00220DC6">
          <w:rPr>
            <w:rFonts w:ascii="Arial" w:hAnsi="Arial" w:cs="Arial"/>
            <w:noProof/>
            <w:webHidden/>
          </w:rPr>
          <w:t>2</w:t>
        </w:r>
        <w:r w:rsidRPr="00220DC6">
          <w:rPr>
            <w:rFonts w:ascii="Arial" w:hAnsi="Arial" w:cs="Arial"/>
            <w:noProof/>
            <w:webHidden/>
          </w:rPr>
          <w:fldChar w:fldCharType="end"/>
        </w:r>
      </w:hyperlink>
    </w:p>
    <w:p w14:paraId="4A0C45FE" w14:textId="2B999995" w:rsidR="00BE6D36" w:rsidRPr="00220DC6" w:rsidRDefault="00BE6D36">
      <w:pPr>
        <w:pStyle w:val="TOC1"/>
        <w:tabs>
          <w:tab w:val="right" w:leader="dot" w:pos="9629"/>
        </w:tabs>
        <w:rPr>
          <w:rFonts w:ascii="Arial" w:eastAsiaTheme="minorEastAsia" w:hAnsi="Arial" w:cs="Arial"/>
          <w:b w:val="0"/>
          <w:bCs w:val="0"/>
          <w:caps w:val="0"/>
          <w:noProof/>
          <w:color w:val="auto"/>
          <w:kern w:val="2"/>
          <w14:ligatures w14:val="standardContextual"/>
        </w:rPr>
      </w:pPr>
      <w:hyperlink w:anchor="_Toc145511546" w:history="1">
        <w:r w:rsidRPr="00220DC6">
          <w:rPr>
            <w:rStyle w:val="Hyperlink"/>
            <w:rFonts w:ascii="Arial" w:hAnsi="Arial" w:cs="Arial"/>
            <w:noProof/>
          </w:rPr>
          <w:t>Where are we now?</w:t>
        </w:r>
        <w:r w:rsidRPr="00220DC6">
          <w:rPr>
            <w:rFonts w:ascii="Arial" w:hAnsi="Arial" w:cs="Arial"/>
            <w:noProof/>
            <w:webHidden/>
          </w:rPr>
          <w:tab/>
        </w:r>
        <w:r w:rsidRPr="00220DC6">
          <w:rPr>
            <w:rFonts w:ascii="Arial" w:hAnsi="Arial" w:cs="Arial"/>
            <w:noProof/>
            <w:webHidden/>
          </w:rPr>
          <w:fldChar w:fldCharType="begin"/>
        </w:r>
        <w:r w:rsidRPr="00220DC6">
          <w:rPr>
            <w:rFonts w:ascii="Arial" w:hAnsi="Arial" w:cs="Arial"/>
            <w:noProof/>
            <w:webHidden/>
          </w:rPr>
          <w:instrText xml:space="preserve"> PAGEREF _Toc145511546 \h </w:instrText>
        </w:r>
        <w:r w:rsidRPr="00220DC6">
          <w:rPr>
            <w:rFonts w:ascii="Arial" w:hAnsi="Arial" w:cs="Arial"/>
            <w:noProof/>
            <w:webHidden/>
          </w:rPr>
        </w:r>
        <w:r w:rsidRPr="00220DC6">
          <w:rPr>
            <w:rFonts w:ascii="Arial" w:hAnsi="Arial" w:cs="Arial"/>
            <w:noProof/>
            <w:webHidden/>
          </w:rPr>
          <w:fldChar w:fldCharType="separate"/>
        </w:r>
        <w:r w:rsidR="00100CF9" w:rsidRPr="00220DC6">
          <w:rPr>
            <w:rFonts w:ascii="Arial" w:hAnsi="Arial" w:cs="Arial"/>
            <w:noProof/>
            <w:webHidden/>
          </w:rPr>
          <w:t>2</w:t>
        </w:r>
        <w:r w:rsidRPr="00220DC6">
          <w:rPr>
            <w:rFonts w:ascii="Arial" w:hAnsi="Arial" w:cs="Arial"/>
            <w:noProof/>
            <w:webHidden/>
          </w:rPr>
          <w:fldChar w:fldCharType="end"/>
        </w:r>
      </w:hyperlink>
    </w:p>
    <w:p w14:paraId="53E60BE5" w14:textId="7897315E" w:rsidR="00BE6D36" w:rsidRPr="00220DC6" w:rsidRDefault="00BE6D36">
      <w:pPr>
        <w:pStyle w:val="TOC3"/>
        <w:tabs>
          <w:tab w:val="right" w:leader="dot" w:pos="9629"/>
        </w:tabs>
        <w:rPr>
          <w:rFonts w:ascii="Arial" w:eastAsiaTheme="minorEastAsia" w:hAnsi="Arial" w:cs="Arial"/>
          <w:noProof/>
          <w:color w:val="auto"/>
          <w:kern w:val="2"/>
          <w:sz w:val="24"/>
          <w:szCs w:val="24"/>
          <w14:ligatures w14:val="standardContextual"/>
        </w:rPr>
      </w:pPr>
      <w:hyperlink w:anchor="_Toc145511547" w:history="1">
        <w:r w:rsidRPr="00220DC6">
          <w:rPr>
            <w:rStyle w:val="Hyperlink"/>
            <w:rFonts w:ascii="Arial" w:hAnsi="Arial" w:cs="Arial"/>
            <w:noProof/>
            <w:sz w:val="24"/>
            <w:szCs w:val="24"/>
          </w:rPr>
          <w:t>Plan Purpose and Background</w:t>
        </w:r>
        <w:r w:rsidRPr="00220DC6">
          <w:rPr>
            <w:rFonts w:ascii="Arial" w:hAnsi="Arial" w:cs="Arial"/>
            <w:noProof/>
            <w:webHidden/>
            <w:sz w:val="24"/>
            <w:szCs w:val="24"/>
          </w:rPr>
          <w:tab/>
        </w:r>
        <w:r w:rsidRPr="00220DC6">
          <w:rPr>
            <w:rFonts w:ascii="Arial" w:hAnsi="Arial" w:cs="Arial"/>
            <w:noProof/>
            <w:webHidden/>
            <w:sz w:val="24"/>
            <w:szCs w:val="24"/>
          </w:rPr>
          <w:fldChar w:fldCharType="begin"/>
        </w:r>
        <w:r w:rsidRPr="00220DC6">
          <w:rPr>
            <w:rFonts w:ascii="Arial" w:hAnsi="Arial" w:cs="Arial"/>
            <w:noProof/>
            <w:webHidden/>
            <w:sz w:val="24"/>
            <w:szCs w:val="24"/>
          </w:rPr>
          <w:instrText xml:space="preserve"> PAGEREF _Toc145511547 \h </w:instrText>
        </w:r>
        <w:r w:rsidRPr="00220DC6">
          <w:rPr>
            <w:rFonts w:ascii="Arial" w:hAnsi="Arial" w:cs="Arial"/>
            <w:noProof/>
            <w:webHidden/>
            <w:sz w:val="24"/>
            <w:szCs w:val="24"/>
          </w:rPr>
        </w:r>
        <w:r w:rsidRPr="00220DC6">
          <w:rPr>
            <w:rFonts w:ascii="Arial" w:hAnsi="Arial" w:cs="Arial"/>
            <w:noProof/>
            <w:webHidden/>
            <w:sz w:val="24"/>
            <w:szCs w:val="24"/>
          </w:rPr>
          <w:fldChar w:fldCharType="separate"/>
        </w:r>
        <w:r w:rsidR="00100CF9" w:rsidRPr="00220DC6">
          <w:rPr>
            <w:rFonts w:ascii="Arial" w:hAnsi="Arial" w:cs="Arial"/>
            <w:noProof/>
            <w:webHidden/>
            <w:sz w:val="24"/>
            <w:szCs w:val="24"/>
          </w:rPr>
          <w:t>2</w:t>
        </w:r>
        <w:r w:rsidRPr="00220DC6">
          <w:rPr>
            <w:rFonts w:ascii="Arial" w:hAnsi="Arial" w:cs="Arial"/>
            <w:noProof/>
            <w:webHidden/>
            <w:sz w:val="24"/>
            <w:szCs w:val="24"/>
          </w:rPr>
          <w:fldChar w:fldCharType="end"/>
        </w:r>
      </w:hyperlink>
    </w:p>
    <w:p w14:paraId="3B633C3D" w14:textId="52467169" w:rsidR="00BE6D36" w:rsidRPr="00220DC6" w:rsidRDefault="00BE6D36">
      <w:pPr>
        <w:pStyle w:val="TOC3"/>
        <w:tabs>
          <w:tab w:val="right" w:leader="dot" w:pos="9629"/>
        </w:tabs>
        <w:rPr>
          <w:rFonts w:ascii="Arial" w:eastAsiaTheme="minorEastAsia" w:hAnsi="Arial" w:cs="Arial"/>
          <w:noProof/>
          <w:color w:val="auto"/>
          <w:kern w:val="2"/>
          <w:sz w:val="24"/>
          <w:szCs w:val="24"/>
          <w14:ligatures w14:val="standardContextual"/>
        </w:rPr>
      </w:pPr>
      <w:hyperlink w:anchor="_Toc145511548" w:history="1">
        <w:r w:rsidRPr="00220DC6">
          <w:rPr>
            <w:rStyle w:val="Hyperlink"/>
            <w:rFonts w:ascii="Arial" w:hAnsi="Arial" w:cs="Arial"/>
            <w:noProof/>
            <w:sz w:val="24"/>
            <w:szCs w:val="24"/>
          </w:rPr>
          <w:t>Our District</w:t>
        </w:r>
        <w:r w:rsidRPr="00220DC6">
          <w:rPr>
            <w:rFonts w:ascii="Arial" w:hAnsi="Arial" w:cs="Arial"/>
            <w:noProof/>
            <w:webHidden/>
            <w:sz w:val="24"/>
            <w:szCs w:val="24"/>
          </w:rPr>
          <w:tab/>
        </w:r>
        <w:r w:rsidRPr="00220DC6">
          <w:rPr>
            <w:rFonts w:ascii="Arial" w:hAnsi="Arial" w:cs="Arial"/>
            <w:noProof/>
            <w:webHidden/>
            <w:sz w:val="24"/>
            <w:szCs w:val="24"/>
          </w:rPr>
          <w:fldChar w:fldCharType="begin"/>
        </w:r>
        <w:r w:rsidRPr="00220DC6">
          <w:rPr>
            <w:rFonts w:ascii="Arial" w:hAnsi="Arial" w:cs="Arial"/>
            <w:noProof/>
            <w:webHidden/>
            <w:sz w:val="24"/>
            <w:szCs w:val="24"/>
          </w:rPr>
          <w:instrText xml:space="preserve"> PAGEREF _Toc145511548 \h </w:instrText>
        </w:r>
        <w:r w:rsidRPr="00220DC6">
          <w:rPr>
            <w:rFonts w:ascii="Arial" w:hAnsi="Arial" w:cs="Arial"/>
            <w:noProof/>
            <w:webHidden/>
            <w:sz w:val="24"/>
            <w:szCs w:val="24"/>
          </w:rPr>
        </w:r>
        <w:r w:rsidRPr="00220DC6">
          <w:rPr>
            <w:rFonts w:ascii="Arial" w:hAnsi="Arial" w:cs="Arial"/>
            <w:noProof/>
            <w:webHidden/>
            <w:sz w:val="24"/>
            <w:szCs w:val="24"/>
          </w:rPr>
          <w:fldChar w:fldCharType="separate"/>
        </w:r>
        <w:r w:rsidR="00100CF9" w:rsidRPr="00220DC6">
          <w:rPr>
            <w:rFonts w:ascii="Arial" w:hAnsi="Arial" w:cs="Arial"/>
            <w:noProof/>
            <w:webHidden/>
            <w:sz w:val="24"/>
            <w:szCs w:val="24"/>
          </w:rPr>
          <w:t>7</w:t>
        </w:r>
        <w:r w:rsidRPr="00220DC6">
          <w:rPr>
            <w:rFonts w:ascii="Arial" w:hAnsi="Arial" w:cs="Arial"/>
            <w:noProof/>
            <w:webHidden/>
            <w:sz w:val="24"/>
            <w:szCs w:val="24"/>
          </w:rPr>
          <w:fldChar w:fldCharType="end"/>
        </w:r>
      </w:hyperlink>
    </w:p>
    <w:p w14:paraId="690AC726" w14:textId="206AE14F" w:rsidR="00BE6D36" w:rsidRPr="00220DC6" w:rsidRDefault="00BE6D36">
      <w:pPr>
        <w:pStyle w:val="TOC1"/>
        <w:tabs>
          <w:tab w:val="right" w:leader="dot" w:pos="9629"/>
        </w:tabs>
        <w:rPr>
          <w:rFonts w:ascii="Arial" w:eastAsiaTheme="minorEastAsia" w:hAnsi="Arial" w:cs="Arial"/>
          <w:b w:val="0"/>
          <w:bCs w:val="0"/>
          <w:caps w:val="0"/>
          <w:noProof/>
          <w:color w:val="auto"/>
          <w:kern w:val="2"/>
          <w14:ligatures w14:val="standardContextual"/>
        </w:rPr>
      </w:pPr>
      <w:hyperlink w:anchor="_Toc145511549" w:history="1">
        <w:r w:rsidRPr="00220DC6">
          <w:rPr>
            <w:rStyle w:val="Hyperlink"/>
            <w:rFonts w:ascii="Arial" w:hAnsi="Arial" w:cs="Arial"/>
            <w:noProof/>
          </w:rPr>
          <w:t>Chapter 2</w:t>
        </w:r>
        <w:r w:rsidRPr="00220DC6">
          <w:rPr>
            <w:rFonts w:ascii="Arial" w:hAnsi="Arial" w:cs="Arial"/>
            <w:noProof/>
            <w:webHidden/>
          </w:rPr>
          <w:tab/>
        </w:r>
        <w:r w:rsidRPr="00220DC6">
          <w:rPr>
            <w:rFonts w:ascii="Arial" w:hAnsi="Arial" w:cs="Arial"/>
            <w:noProof/>
            <w:webHidden/>
          </w:rPr>
          <w:fldChar w:fldCharType="begin"/>
        </w:r>
        <w:r w:rsidRPr="00220DC6">
          <w:rPr>
            <w:rFonts w:ascii="Arial" w:hAnsi="Arial" w:cs="Arial"/>
            <w:noProof/>
            <w:webHidden/>
          </w:rPr>
          <w:instrText xml:space="preserve"> PAGEREF _Toc145511549 \h </w:instrText>
        </w:r>
        <w:r w:rsidRPr="00220DC6">
          <w:rPr>
            <w:rFonts w:ascii="Arial" w:hAnsi="Arial" w:cs="Arial"/>
            <w:noProof/>
            <w:webHidden/>
          </w:rPr>
        </w:r>
        <w:r w:rsidRPr="00220DC6">
          <w:rPr>
            <w:rFonts w:ascii="Arial" w:hAnsi="Arial" w:cs="Arial"/>
            <w:noProof/>
            <w:webHidden/>
          </w:rPr>
          <w:fldChar w:fldCharType="separate"/>
        </w:r>
        <w:r w:rsidR="00100CF9" w:rsidRPr="00220DC6">
          <w:rPr>
            <w:rFonts w:ascii="Arial" w:hAnsi="Arial" w:cs="Arial"/>
            <w:noProof/>
            <w:webHidden/>
          </w:rPr>
          <w:t>26</w:t>
        </w:r>
        <w:r w:rsidRPr="00220DC6">
          <w:rPr>
            <w:rFonts w:ascii="Arial" w:hAnsi="Arial" w:cs="Arial"/>
            <w:noProof/>
            <w:webHidden/>
          </w:rPr>
          <w:fldChar w:fldCharType="end"/>
        </w:r>
      </w:hyperlink>
    </w:p>
    <w:p w14:paraId="5D86F896" w14:textId="576C6260" w:rsidR="00BE6D36" w:rsidRPr="00220DC6" w:rsidRDefault="00BE6D36">
      <w:pPr>
        <w:pStyle w:val="TOC1"/>
        <w:tabs>
          <w:tab w:val="right" w:leader="dot" w:pos="9629"/>
        </w:tabs>
        <w:rPr>
          <w:rFonts w:ascii="Arial" w:eastAsiaTheme="minorEastAsia" w:hAnsi="Arial" w:cs="Arial"/>
          <w:b w:val="0"/>
          <w:bCs w:val="0"/>
          <w:caps w:val="0"/>
          <w:noProof/>
          <w:color w:val="auto"/>
          <w:kern w:val="2"/>
          <w14:ligatures w14:val="standardContextual"/>
        </w:rPr>
      </w:pPr>
      <w:hyperlink w:anchor="_Toc145511550" w:history="1">
        <w:r w:rsidRPr="00220DC6">
          <w:rPr>
            <w:rStyle w:val="Hyperlink"/>
            <w:rFonts w:ascii="Arial" w:hAnsi="Arial" w:cs="Arial"/>
            <w:noProof/>
            <w:kern w:val="32"/>
            <w:lang w:eastAsia="en-US"/>
          </w:rPr>
          <w:t>Shaping the future of Ashfield, what we want to achieve. (Vision and objectives)</w:t>
        </w:r>
        <w:r w:rsidRPr="00220DC6">
          <w:rPr>
            <w:rFonts w:ascii="Arial" w:hAnsi="Arial" w:cs="Arial"/>
            <w:noProof/>
            <w:webHidden/>
          </w:rPr>
          <w:tab/>
        </w:r>
        <w:r w:rsidRPr="00220DC6">
          <w:rPr>
            <w:rFonts w:ascii="Arial" w:hAnsi="Arial" w:cs="Arial"/>
            <w:noProof/>
            <w:webHidden/>
          </w:rPr>
          <w:fldChar w:fldCharType="begin"/>
        </w:r>
        <w:r w:rsidRPr="00220DC6">
          <w:rPr>
            <w:rFonts w:ascii="Arial" w:hAnsi="Arial" w:cs="Arial"/>
            <w:noProof/>
            <w:webHidden/>
          </w:rPr>
          <w:instrText xml:space="preserve"> PAGEREF _Toc145511550 \h </w:instrText>
        </w:r>
        <w:r w:rsidRPr="00220DC6">
          <w:rPr>
            <w:rFonts w:ascii="Arial" w:hAnsi="Arial" w:cs="Arial"/>
            <w:noProof/>
            <w:webHidden/>
          </w:rPr>
        </w:r>
        <w:r w:rsidRPr="00220DC6">
          <w:rPr>
            <w:rFonts w:ascii="Arial" w:hAnsi="Arial" w:cs="Arial"/>
            <w:noProof/>
            <w:webHidden/>
          </w:rPr>
          <w:fldChar w:fldCharType="separate"/>
        </w:r>
        <w:r w:rsidR="00100CF9" w:rsidRPr="00220DC6">
          <w:rPr>
            <w:rFonts w:ascii="Arial" w:hAnsi="Arial" w:cs="Arial"/>
            <w:noProof/>
            <w:webHidden/>
          </w:rPr>
          <w:t>26</w:t>
        </w:r>
        <w:r w:rsidRPr="00220DC6">
          <w:rPr>
            <w:rFonts w:ascii="Arial" w:hAnsi="Arial" w:cs="Arial"/>
            <w:noProof/>
            <w:webHidden/>
          </w:rPr>
          <w:fldChar w:fldCharType="end"/>
        </w:r>
      </w:hyperlink>
    </w:p>
    <w:p w14:paraId="1DFB6F08" w14:textId="450C004A" w:rsidR="00BE6D36" w:rsidRPr="00220DC6" w:rsidRDefault="00BE6D36">
      <w:pPr>
        <w:pStyle w:val="TOC1"/>
        <w:tabs>
          <w:tab w:val="right" w:leader="dot" w:pos="9629"/>
        </w:tabs>
        <w:rPr>
          <w:rFonts w:ascii="Arial" w:eastAsiaTheme="minorEastAsia" w:hAnsi="Arial" w:cs="Arial"/>
          <w:b w:val="0"/>
          <w:bCs w:val="0"/>
          <w:caps w:val="0"/>
          <w:noProof/>
          <w:color w:val="auto"/>
          <w:kern w:val="2"/>
          <w14:ligatures w14:val="standardContextual"/>
        </w:rPr>
      </w:pPr>
      <w:hyperlink w:anchor="_Toc145511551" w:history="1">
        <w:r w:rsidRPr="00220DC6">
          <w:rPr>
            <w:rStyle w:val="Hyperlink"/>
            <w:rFonts w:ascii="Arial" w:hAnsi="Arial" w:cs="Arial"/>
            <w:noProof/>
          </w:rPr>
          <w:t>Chapter 3</w:t>
        </w:r>
        <w:r w:rsidRPr="00220DC6">
          <w:rPr>
            <w:rFonts w:ascii="Arial" w:hAnsi="Arial" w:cs="Arial"/>
            <w:noProof/>
            <w:webHidden/>
          </w:rPr>
          <w:tab/>
        </w:r>
        <w:r w:rsidRPr="00220DC6">
          <w:rPr>
            <w:rFonts w:ascii="Arial" w:hAnsi="Arial" w:cs="Arial"/>
            <w:noProof/>
            <w:webHidden/>
          </w:rPr>
          <w:fldChar w:fldCharType="begin"/>
        </w:r>
        <w:r w:rsidRPr="00220DC6">
          <w:rPr>
            <w:rFonts w:ascii="Arial" w:hAnsi="Arial" w:cs="Arial"/>
            <w:noProof/>
            <w:webHidden/>
          </w:rPr>
          <w:instrText xml:space="preserve"> PAGEREF _Toc145511551 \h </w:instrText>
        </w:r>
        <w:r w:rsidRPr="00220DC6">
          <w:rPr>
            <w:rFonts w:ascii="Arial" w:hAnsi="Arial" w:cs="Arial"/>
            <w:noProof/>
            <w:webHidden/>
          </w:rPr>
        </w:r>
        <w:r w:rsidRPr="00220DC6">
          <w:rPr>
            <w:rFonts w:ascii="Arial" w:hAnsi="Arial" w:cs="Arial"/>
            <w:noProof/>
            <w:webHidden/>
          </w:rPr>
          <w:fldChar w:fldCharType="separate"/>
        </w:r>
        <w:r w:rsidR="00100CF9" w:rsidRPr="00220DC6">
          <w:rPr>
            <w:rFonts w:ascii="Arial" w:hAnsi="Arial" w:cs="Arial"/>
            <w:noProof/>
            <w:webHidden/>
          </w:rPr>
          <w:t>32</w:t>
        </w:r>
        <w:r w:rsidRPr="00220DC6">
          <w:rPr>
            <w:rFonts w:ascii="Arial" w:hAnsi="Arial" w:cs="Arial"/>
            <w:noProof/>
            <w:webHidden/>
          </w:rPr>
          <w:fldChar w:fldCharType="end"/>
        </w:r>
      </w:hyperlink>
    </w:p>
    <w:p w14:paraId="51DF45E5" w14:textId="155F1E6E" w:rsidR="00BE6D36" w:rsidRPr="00220DC6" w:rsidRDefault="00BE6D36">
      <w:pPr>
        <w:pStyle w:val="TOC1"/>
        <w:tabs>
          <w:tab w:val="right" w:leader="dot" w:pos="9629"/>
        </w:tabs>
        <w:rPr>
          <w:rFonts w:ascii="Arial" w:eastAsiaTheme="minorEastAsia" w:hAnsi="Arial" w:cs="Arial"/>
          <w:b w:val="0"/>
          <w:bCs w:val="0"/>
          <w:caps w:val="0"/>
          <w:noProof/>
          <w:color w:val="auto"/>
          <w:kern w:val="2"/>
          <w14:ligatures w14:val="standardContextual"/>
        </w:rPr>
      </w:pPr>
      <w:hyperlink w:anchor="_Toc145511552" w:history="1">
        <w:r w:rsidRPr="00220DC6">
          <w:rPr>
            <w:rStyle w:val="Hyperlink"/>
            <w:rFonts w:ascii="Arial" w:hAnsi="Arial" w:cs="Arial"/>
            <w:noProof/>
          </w:rPr>
          <w:t>Sustainable development in Ashfield - Strategic Policies</w:t>
        </w:r>
        <w:r w:rsidRPr="00220DC6">
          <w:rPr>
            <w:rFonts w:ascii="Arial" w:hAnsi="Arial" w:cs="Arial"/>
            <w:noProof/>
            <w:webHidden/>
          </w:rPr>
          <w:tab/>
        </w:r>
        <w:r w:rsidRPr="00220DC6">
          <w:rPr>
            <w:rFonts w:ascii="Arial" w:hAnsi="Arial" w:cs="Arial"/>
            <w:noProof/>
            <w:webHidden/>
          </w:rPr>
          <w:fldChar w:fldCharType="begin"/>
        </w:r>
        <w:r w:rsidRPr="00220DC6">
          <w:rPr>
            <w:rFonts w:ascii="Arial" w:hAnsi="Arial" w:cs="Arial"/>
            <w:noProof/>
            <w:webHidden/>
          </w:rPr>
          <w:instrText xml:space="preserve"> PAGEREF _Toc145511552 \h </w:instrText>
        </w:r>
        <w:r w:rsidRPr="00220DC6">
          <w:rPr>
            <w:rFonts w:ascii="Arial" w:hAnsi="Arial" w:cs="Arial"/>
            <w:noProof/>
            <w:webHidden/>
          </w:rPr>
        </w:r>
        <w:r w:rsidRPr="00220DC6">
          <w:rPr>
            <w:rFonts w:ascii="Arial" w:hAnsi="Arial" w:cs="Arial"/>
            <w:noProof/>
            <w:webHidden/>
          </w:rPr>
          <w:fldChar w:fldCharType="separate"/>
        </w:r>
        <w:r w:rsidR="00100CF9" w:rsidRPr="00220DC6">
          <w:rPr>
            <w:rFonts w:ascii="Arial" w:hAnsi="Arial" w:cs="Arial"/>
            <w:noProof/>
            <w:webHidden/>
          </w:rPr>
          <w:t>32</w:t>
        </w:r>
        <w:r w:rsidRPr="00220DC6">
          <w:rPr>
            <w:rFonts w:ascii="Arial" w:hAnsi="Arial" w:cs="Arial"/>
            <w:noProof/>
            <w:webHidden/>
          </w:rPr>
          <w:fldChar w:fldCharType="end"/>
        </w:r>
      </w:hyperlink>
    </w:p>
    <w:p w14:paraId="7D8940AC" w14:textId="2E972391" w:rsidR="00BE6D36" w:rsidRPr="00220DC6" w:rsidRDefault="00BE6D36">
      <w:pPr>
        <w:pStyle w:val="TOC3"/>
        <w:tabs>
          <w:tab w:val="right" w:leader="dot" w:pos="9629"/>
        </w:tabs>
        <w:rPr>
          <w:rFonts w:ascii="Arial" w:eastAsiaTheme="minorEastAsia" w:hAnsi="Arial" w:cs="Arial"/>
          <w:noProof/>
          <w:color w:val="auto"/>
          <w:kern w:val="2"/>
          <w:sz w:val="24"/>
          <w:szCs w:val="24"/>
          <w14:ligatures w14:val="standardContextual"/>
        </w:rPr>
      </w:pPr>
      <w:hyperlink w:anchor="_Toc145511553" w:history="1">
        <w:r w:rsidRPr="00220DC6">
          <w:rPr>
            <w:rStyle w:val="Hyperlink"/>
            <w:rFonts w:ascii="Arial" w:hAnsi="Arial" w:cs="Arial"/>
            <w:noProof/>
            <w:sz w:val="24"/>
            <w:szCs w:val="24"/>
          </w:rPr>
          <w:t>Strategic Policy S1: Spatial Strategy to Deliver the Vision</w:t>
        </w:r>
        <w:r w:rsidRPr="00220DC6">
          <w:rPr>
            <w:rFonts w:ascii="Arial" w:hAnsi="Arial" w:cs="Arial"/>
            <w:noProof/>
            <w:webHidden/>
            <w:sz w:val="24"/>
            <w:szCs w:val="24"/>
          </w:rPr>
          <w:tab/>
        </w:r>
        <w:r w:rsidRPr="00220DC6">
          <w:rPr>
            <w:rFonts w:ascii="Arial" w:hAnsi="Arial" w:cs="Arial"/>
            <w:noProof/>
            <w:webHidden/>
            <w:sz w:val="24"/>
            <w:szCs w:val="24"/>
          </w:rPr>
          <w:fldChar w:fldCharType="begin"/>
        </w:r>
        <w:r w:rsidRPr="00220DC6">
          <w:rPr>
            <w:rFonts w:ascii="Arial" w:hAnsi="Arial" w:cs="Arial"/>
            <w:noProof/>
            <w:webHidden/>
            <w:sz w:val="24"/>
            <w:szCs w:val="24"/>
          </w:rPr>
          <w:instrText xml:space="preserve"> PAGEREF _Toc145511553 \h </w:instrText>
        </w:r>
        <w:r w:rsidRPr="00220DC6">
          <w:rPr>
            <w:rFonts w:ascii="Arial" w:hAnsi="Arial" w:cs="Arial"/>
            <w:noProof/>
            <w:webHidden/>
            <w:sz w:val="24"/>
            <w:szCs w:val="24"/>
          </w:rPr>
        </w:r>
        <w:r w:rsidRPr="00220DC6">
          <w:rPr>
            <w:rFonts w:ascii="Arial" w:hAnsi="Arial" w:cs="Arial"/>
            <w:noProof/>
            <w:webHidden/>
            <w:sz w:val="24"/>
            <w:szCs w:val="24"/>
          </w:rPr>
          <w:fldChar w:fldCharType="separate"/>
        </w:r>
        <w:r w:rsidR="00100CF9" w:rsidRPr="00220DC6">
          <w:rPr>
            <w:rFonts w:ascii="Arial" w:hAnsi="Arial" w:cs="Arial"/>
            <w:noProof/>
            <w:webHidden/>
            <w:sz w:val="24"/>
            <w:szCs w:val="24"/>
          </w:rPr>
          <w:t>32</w:t>
        </w:r>
        <w:r w:rsidRPr="00220DC6">
          <w:rPr>
            <w:rFonts w:ascii="Arial" w:hAnsi="Arial" w:cs="Arial"/>
            <w:noProof/>
            <w:webHidden/>
            <w:sz w:val="24"/>
            <w:szCs w:val="24"/>
          </w:rPr>
          <w:fldChar w:fldCharType="end"/>
        </w:r>
      </w:hyperlink>
    </w:p>
    <w:p w14:paraId="15830890" w14:textId="5AB78BD6" w:rsidR="00BE6D36" w:rsidRPr="00220DC6" w:rsidRDefault="00BE6D36">
      <w:pPr>
        <w:pStyle w:val="TOC3"/>
        <w:tabs>
          <w:tab w:val="right" w:leader="dot" w:pos="9629"/>
        </w:tabs>
        <w:rPr>
          <w:rFonts w:ascii="Arial" w:eastAsiaTheme="minorEastAsia" w:hAnsi="Arial" w:cs="Arial"/>
          <w:noProof/>
          <w:color w:val="auto"/>
          <w:kern w:val="2"/>
          <w:sz w:val="24"/>
          <w:szCs w:val="24"/>
          <w14:ligatures w14:val="standardContextual"/>
        </w:rPr>
      </w:pPr>
      <w:hyperlink w:anchor="_Toc145511554" w:history="1">
        <w:r w:rsidRPr="00220DC6">
          <w:rPr>
            <w:rStyle w:val="Hyperlink"/>
            <w:rFonts w:ascii="Arial" w:hAnsi="Arial" w:cs="Arial"/>
            <w:noProof/>
            <w:sz w:val="24"/>
            <w:szCs w:val="24"/>
          </w:rPr>
          <w:t>Strategic Policy S2: Achieving Sustainable Development</w:t>
        </w:r>
        <w:r w:rsidRPr="00220DC6">
          <w:rPr>
            <w:rFonts w:ascii="Arial" w:hAnsi="Arial" w:cs="Arial"/>
            <w:noProof/>
            <w:webHidden/>
            <w:sz w:val="24"/>
            <w:szCs w:val="24"/>
          </w:rPr>
          <w:tab/>
        </w:r>
        <w:r w:rsidRPr="00220DC6">
          <w:rPr>
            <w:rFonts w:ascii="Arial" w:hAnsi="Arial" w:cs="Arial"/>
            <w:noProof/>
            <w:webHidden/>
            <w:sz w:val="24"/>
            <w:szCs w:val="24"/>
          </w:rPr>
          <w:fldChar w:fldCharType="begin"/>
        </w:r>
        <w:r w:rsidRPr="00220DC6">
          <w:rPr>
            <w:rFonts w:ascii="Arial" w:hAnsi="Arial" w:cs="Arial"/>
            <w:noProof/>
            <w:webHidden/>
            <w:sz w:val="24"/>
            <w:szCs w:val="24"/>
          </w:rPr>
          <w:instrText xml:space="preserve"> PAGEREF _Toc145511554 \h </w:instrText>
        </w:r>
        <w:r w:rsidRPr="00220DC6">
          <w:rPr>
            <w:rFonts w:ascii="Arial" w:hAnsi="Arial" w:cs="Arial"/>
            <w:noProof/>
            <w:webHidden/>
            <w:sz w:val="24"/>
            <w:szCs w:val="24"/>
          </w:rPr>
        </w:r>
        <w:r w:rsidRPr="00220DC6">
          <w:rPr>
            <w:rFonts w:ascii="Arial" w:hAnsi="Arial" w:cs="Arial"/>
            <w:noProof/>
            <w:webHidden/>
            <w:sz w:val="24"/>
            <w:szCs w:val="24"/>
          </w:rPr>
          <w:fldChar w:fldCharType="separate"/>
        </w:r>
        <w:r w:rsidR="00100CF9" w:rsidRPr="00220DC6">
          <w:rPr>
            <w:rFonts w:ascii="Arial" w:hAnsi="Arial" w:cs="Arial"/>
            <w:noProof/>
            <w:webHidden/>
            <w:sz w:val="24"/>
            <w:szCs w:val="24"/>
          </w:rPr>
          <w:t>39</w:t>
        </w:r>
        <w:r w:rsidRPr="00220DC6">
          <w:rPr>
            <w:rFonts w:ascii="Arial" w:hAnsi="Arial" w:cs="Arial"/>
            <w:noProof/>
            <w:webHidden/>
            <w:sz w:val="24"/>
            <w:szCs w:val="24"/>
          </w:rPr>
          <w:fldChar w:fldCharType="end"/>
        </w:r>
      </w:hyperlink>
    </w:p>
    <w:p w14:paraId="5EEC3C60" w14:textId="191F84A0" w:rsidR="00BE6D36" w:rsidRPr="00220DC6" w:rsidRDefault="00BE6D36">
      <w:pPr>
        <w:pStyle w:val="TOC3"/>
        <w:tabs>
          <w:tab w:val="right" w:leader="dot" w:pos="9629"/>
        </w:tabs>
        <w:rPr>
          <w:rFonts w:ascii="Arial" w:eastAsiaTheme="minorEastAsia" w:hAnsi="Arial" w:cs="Arial"/>
          <w:noProof/>
          <w:color w:val="auto"/>
          <w:kern w:val="2"/>
          <w:sz w:val="24"/>
          <w:szCs w:val="24"/>
          <w14:ligatures w14:val="standardContextual"/>
        </w:rPr>
      </w:pPr>
      <w:hyperlink w:anchor="_Toc145511555" w:history="1">
        <w:r w:rsidRPr="00220DC6">
          <w:rPr>
            <w:rStyle w:val="Hyperlink"/>
            <w:rFonts w:ascii="Arial" w:hAnsi="Arial" w:cs="Arial"/>
            <w:noProof/>
            <w:sz w:val="24"/>
            <w:szCs w:val="24"/>
          </w:rPr>
          <w:t xml:space="preserve">Strategic Policy S3: Meeting the Challenge of </w:t>
        </w:r>
        <w:r w:rsidRPr="00220DC6">
          <w:rPr>
            <w:rStyle w:val="Hyperlink"/>
            <w:rFonts w:ascii="Arial" w:eastAsia="Arial" w:hAnsi="Arial" w:cs="Arial"/>
            <w:noProof/>
            <w:sz w:val="24"/>
            <w:szCs w:val="24"/>
          </w:rPr>
          <w:t>Climate Change</w:t>
        </w:r>
        <w:r w:rsidRPr="00220DC6">
          <w:rPr>
            <w:rFonts w:ascii="Arial" w:hAnsi="Arial" w:cs="Arial"/>
            <w:noProof/>
            <w:webHidden/>
            <w:sz w:val="24"/>
            <w:szCs w:val="24"/>
          </w:rPr>
          <w:tab/>
        </w:r>
        <w:r w:rsidRPr="00220DC6">
          <w:rPr>
            <w:rFonts w:ascii="Arial" w:hAnsi="Arial" w:cs="Arial"/>
            <w:noProof/>
            <w:webHidden/>
            <w:sz w:val="24"/>
            <w:szCs w:val="24"/>
          </w:rPr>
          <w:fldChar w:fldCharType="begin"/>
        </w:r>
        <w:r w:rsidRPr="00220DC6">
          <w:rPr>
            <w:rFonts w:ascii="Arial" w:hAnsi="Arial" w:cs="Arial"/>
            <w:noProof/>
            <w:webHidden/>
            <w:sz w:val="24"/>
            <w:szCs w:val="24"/>
          </w:rPr>
          <w:instrText xml:space="preserve"> PAGEREF _Toc145511555 \h </w:instrText>
        </w:r>
        <w:r w:rsidRPr="00220DC6">
          <w:rPr>
            <w:rFonts w:ascii="Arial" w:hAnsi="Arial" w:cs="Arial"/>
            <w:noProof/>
            <w:webHidden/>
            <w:sz w:val="24"/>
            <w:szCs w:val="24"/>
          </w:rPr>
        </w:r>
        <w:r w:rsidRPr="00220DC6">
          <w:rPr>
            <w:rFonts w:ascii="Arial" w:hAnsi="Arial" w:cs="Arial"/>
            <w:noProof/>
            <w:webHidden/>
            <w:sz w:val="24"/>
            <w:szCs w:val="24"/>
          </w:rPr>
          <w:fldChar w:fldCharType="separate"/>
        </w:r>
        <w:r w:rsidR="00100CF9" w:rsidRPr="00220DC6">
          <w:rPr>
            <w:rFonts w:ascii="Arial" w:hAnsi="Arial" w:cs="Arial"/>
            <w:noProof/>
            <w:webHidden/>
            <w:sz w:val="24"/>
            <w:szCs w:val="24"/>
          </w:rPr>
          <w:t>44</w:t>
        </w:r>
        <w:r w:rsidRPr="00220DC6">
          <w:rPr>
            <w:rFonts w:ascii="Arial" w:hAnsi="Arial" w:cs="Arial"/>
            <w:noProof/>
            <w:webHidden/>
            <w:sz w:val="24"/>
            <w:szCs w:val="24"/>
          </w:rPr>
          <w:fldChar w:fldCharType="end"/>
        </w:r>
      </w:hyperlink>
    </w:p>
    <w:p w14:paraId="27D51454" w14:textId="67C3EFA9" w:rsidR="00BE6D36" w:rsidRPr="00220DC6" w:rsidRDefault="00BE6D36">
      <w:pPr>
        <w:pStyle w:val="TOC3"/>
        <w:tabs>
          <w:tab w:val="right" w:leader="dot" w:pos="9629"/>
        </w:tabs>
        <w:rPr>
          <w:rFonts w:ascii="Arial" w:eastAsiaTheme="minorEastAsia" w:hAnsi="Arial" w:cs="Arial"/>
          <w:noProof/>
          <w:color w:val="auto"/>
          <w:kern w:val="2"/>
          <w:sz w:val="24"/>
          <w:szCs w:val="24"/>
          <w14:ligatures w14:val="standardContextual"/>
        </w:rPr>
      </w:pPr>
      <w:hyperlink w:anchor="_Toc145511556" w:history="1">
        <w:r w:rsidRPr="00220DC6">
          <w:rPr>
            <w:rStyle w:val="Hyperlink"/>
            <w:rFonts w:ascii="Arial" w:hAnsi="Arial" w:cs="Arial"/>
            <w:noProof/>
            <w:sz w:val="24"/>
            <w:szCs w:val="24"/>
          </w:rPr>
          <w:t>Strategic Policy S4: Green Belt</w:t>
        </w:r>
        <w:r w:rsidRPr="00220DC6">
          <w:rPr>
            <w:rFonts w:ascii="Arial" w:hAnsi="Arial" w:cs="Arial"/>
            <w:noProof/>
            <w:webHidden/>
            <w:sz w:val="24"/>
            <w:szCs w:val="24"/>
          </w:rPr>
          <w:tab/>
        </w:r>
        <w:r w:rsidRPr="00220DC6">
          <w:rPr>
            <w:rFonts w:ascii="Arial" w:hAnsi="Arial" w:cs="Arial"/>
            <w:noProof/>
            <w:webHidden/>
            <w:sz w:val="24"/>
            <w:szCs w:val="24"/>
          </w:rPr>
          <w:fldChar w:fldCharType="begin"/>
        </w:r>
        <w:r w:rsidRPr="00220DC6">
          <w:rPr>
            <w:rFonts w:ascii="Arial" w:hAnsi="Arial" w:cs="Arial"/>
            <w:noProof/>
            <w:webHidden/>
            <w:sz w:val="24"/>
            <w:szCs w:val="24"/>
          </w:rPr>
          <w:instrText xml:space="preserve"> PAGEREF _Toc145511556 \h </w:instrText>
        </w:r>
        <w:r w:rsidRPr="00220DC6">
          <w:rPr>
            <w:rFonts w:ascii="Arial" w:hAnsi="Arial" w:cs="Arial"/>
            <w:noProof/>
            <w:webHidden/>
            <w:sz w:val="24"/>
            <w:szCs w:val="24"/>
          </w:rPr>
        </w:r>
        <w:r w:rsidRPr="00220DC6">
          <w:rPr>
            <w:rFonts w:ascii="Arial" w:hAnsi="Arial" w:cs="Arial"/>
            <w:noProof/>
            <w:webHidden/>
            <w:sz w:val="24"/>
            <w:szCs w:val="24"/>
          </w:rPr>
          <w:fldChar w:fldCharType="separate"/>
        </w:r>
        <w:r w:rsidR="00100CF9" w:rsidRPr="00220DC6">
          <w:rPr>
            <w:rFonts w:ascii="Arial" w:hAnsi="Arial" w:cs="Arial"/>
            <w:noProof/>
            <w:webHidden/>
            <w:sz w:val="24"/>
            <w:szCs w:val="24"/>
          </w:rPr>
          <w:t>47</w:t>
        </w:r>
        <w:r w:rsidRPr="00220DC6">
          <w:rPr>
            <w:rFonts w:ascii="Arial" w:hAnsi="Arial" w:cs="Arial"/>
            <w:noProof/>
            <w:webHidden/>
            <w:sz w:val="24"/>
            <w:szCs w:val="24"/>
          </w:rPr>
          <w:fldChar w:fldCharType="end"/>
        </w:r>
      </w:hyperlink>
    </w:p>
    <w:p w14:paraId="3479B21C" w14:textId="17BD2380" w:rsidR="00BE6D36" w:rsidRPr="00220DC6" w:rsidRDefault="00BE6D36">
      <w:pPr>
        <w:pStyle w:val="TOC3"/>
        <w:tabs>
          <w:tab w:val="right" w:leader="dot" w:pos="9629"/>
        </w:tabs>
        <w:rPr>
          <w:rFonts w:ascii="Arial" w:eastAsiaTheme="minorEastAsia" w:hAnsi="Arial" w:cs="Arial"/>
          <w:noProof/>
          <w:color w:val="auto"/>
          <w:kern w:val="2"/>
          <w:sz w:val="24"/>
          <w:szCs w:val="24"/>
          <w14:ligatures w14:val="standardContextual"/>
        </w:rPr>
      </w:pPr>
      <w:hyperlink w:anchor="_Toc145511557" w:history="1">
        <w:r w:rsidRPr="00220DC6">
          <w:rPr>
            <w:rStyle w:val="Hyperlink"/>
            <w:rFonts w:ascii="Arial" w:hAnsi="Arial" w:cs="Arial"/>
            <w:noProof/>
            <w:sz w:val="24"/>
            <w:szCs w:val="24"/>
          </w:rPr>
          <w:t>Strategic Policy S5: High Quality Buildings and Places through Place Making and Design</w:t>
        </w:r>
        <w:r w:rsidRPr="00220DC6">
          <w:rPr>
            <w:rFonts w:ascii="Arial" w:hAnsi="Arial" w:cs="Arial"/>
            <w:noProof/>
            <w:webHidden/>
            <w:sz w:val="24"/>
            <w:szCs w:val="24"/>
          </w:rPr>
          <w:tab/>
        </w:r>
        <w:r w:rsidRPr="00220DC6">
          <w:rPr>
            <w:rFonts w:ascii="Arial" w:hAnsi="Arial" w:cs="Arial"/>
            <w:noProof/>
            <w:webHidden/>
            <w:sz w:val="24"/>
            <w:szCs w:val="24"/>
          </w:rPr>
          <w:fldChar w:fldCharType="begin"/>
        </w:r>
        <w:r w:rsidRPr="00220DC6">
          <w:rPr>
            <w:rFonts w:ascii="Arial" w:hAnsi="Arial" w:cs="Arial"/>
            <w:noProof/>
            <w:webHidden/>
            <w:sz w:val="24"/>
            <w:szCs w:val="24"/>
          </w:rPr>
          <w:instrText xml:space="preserve"> PAGEREF _Toc145511557 \h </w:instrText>
        </w:r>
        <w:r w:rsidRPr="00220DC6">
          <w:rPr>
            <w:rFonts w:ascii="Arial" w:hAnsi="Arial" w:cs="Arial"/>
            <w:noProof/>
            <w:webHidden/>
            <w:sz w:val="24"/>
            <w:szCs w:val="24"/>
          </w:rPr>
        </w:r>
        <w:r w:rsidRPr="00220DC6">
          <w:rPr>
            <w:rFonts w:ascii="Arial" w:hAnsi="Arial" w:cs="Arial"/>
            <w:noProof/>
            <w:webHidden/>
            <w:sz w:val="24"/>
            <w:szCs w:val="24"/>
          </w:rPr>
          <w:fldChar w:fldCharType="separate"/>
        </w:r>
        <w:r w:rsidR="00100CF9" w:rsidRPr="00220DC6">
          <w:rPr>
            <w:rFonts w:ascii="Arial" w:hAnsi="Arial" w:cs="Arial"/>
            <w:noProof/>
            <w:webHidden/>
            <w:sz w:val="24"/>
            <w:szCs w:val="24"/>
          </w:rPr>
          <w:t>48</w:t>
        </w:r>
        <w:r w:rsidRPr="00220DC6">
          <w:rPr>
            <w:rFonts w:ascii="Arial" w:hAnsi="Arial" w:cs="Arial"/>
            <w:noProof/>
            <w:webHidden/>
            <w:sz w:val="24"/>
            <w:szCs w:val="24"/>
          </w:rPr>
          <w:fldChar w:fldCharType="end"/>
        </w:r>
      </w:hyperlink>
    </w:p>
    <w:p w14:paraId="3BB29C9C" w14:textId="1730A1B7" w:rsidR="00BE6D36" w:rsidRPr="00220DC6" w:rsidRDefault="00BE6D36">
      <w:pPr>
        <w:pStyle w:val="TOC3"/>
        <w:tabs>
          <w:tab w:val="right" w:leader="dot" w:pos="9629"/>
        </w:tabs>
        <w:rPr>
          <w:rFonts w:ascii="Arial" w:eastAsiaTheme="minorEastAsia" w:hAnsi="Arial" w:cs="Arial"/>
          <w:noProof/>
          <w:color w:val="auto"/>
          <w:kern w:val="2"/>
          <w:sz w:val="24"/>
          <w:szCs w:val="24"/>
          <w14:ligatures w14:val="standardContextual"/>
        </w:rPr>
      </w:pPr>
      <w:hyperlink w:anchor="_Toc145511558" w:history="1">
        <w:r w:rsidRPr="00220DC6">
          <w:rPr>
            <w:rStyle w:val="Hyperlink"/>
            <w:rFonts w:ascii="Arial" w:hAnsi="Arial" w:cs="Arial"/>
            <w:noProof/>
            <w:sz w:val="24"/>
            <w:szCs w:val="24"/>
          </w:rPr>
          <w:t>Strategic Policy S6: Meeting Future Needs - Strategic Employment Allocation at Junction 27 M1 Motorway</w:t>
        </w:r>
        <w:r w:rsidRPr="00220DC6">
          <w:rPr>
            <w:rFonts w:ascii="Arial" w:hAnsi="Arial" w:cs="Arial"/>
            <w:noProof/>
            <w:webHidden/>
            <w:sz w:val="24"/>
            <w:szCs w:val="24"/>
          </w:rPr>
          <w:tab/>
        </w:r>
        <w:r w:rsidRPr="00220DC6">
          <w:rPr>
            <w:rFonts w:ascii="Arial" w:hAnsi="Arial" w:cs="Arial"/>
            <w:noProof/>
            <w:webHidden/>
            <w:sz w:val="24"/>
            <w:szCs w:val="24"/>
          </w:rPr>
          <w:fldChar w:fldCharType="begin"/>
        </w:r>
        <w:r w:rsidRPr="00220DC6">
          <w:rPr>
            <w:rFonts w:ascii="Arial" w:hAnsi="Arial" w:cs="Arial"/>
            <w:noProof/>
            <w:webHidden/>
            <w:sz w:val="24"/>
            <w:szCs w:val="24"/>
          </w:rPr>
          <w:instrText xml:space="preserve"> PAGEREF _Toc145511558 \h </w:instrText>
        </w:r>
        <w:r w:rsidRPr="00220DC6">
          <w:rPr>
            <w:rFonts w:ascii="Arial" w:hAnsi="Arial" w:cs="Arial"/>
            <w:noProof/>
            <w:webHidden/>
            <w:sz w:val="24"/>
            <w:szCs w:val="24"/>
          </w:rPr>
        </w:r>
        <w:r w:rsidRPr="00220DC6">
          <w:rPr>
            <w:rFonts w:ascii="Arial" w:hAnsi="Arial" w:cs="Arial"/>
            <w:noProof/>
            <w:webHidden/>
            <w:sz w:val="24"/>
            <w:szCs w:val="24"/>
          </w:rPr>
          <w:fldChar w:fldCharType="separate"/>
        </w:r>
        <w:r w:rsidR="00100CF9" w:rsidRPr="00220DC6">
          <w:rPr>
            <w:rFonts w:ascii="Arial" w:hAnsi="Arial" w:cs="Arial"/>
            <w:noProof/>
            <w:webHidden/>
            <w:sz w:val="24"/>
            <w:szCs w:val="24"/>
          </w:rPr>
          <w:t>50</w:t>
        </w:r>
        <w:r w:rsidRPr="00220DC6">
          <w:rPr>
            <w:rFonts w:ascii="Arial" w:hAnsi="Arial" w:cs="Arial"/>
            <w:noProof/>
            <w:webHidden/>
            <w:sz w:val="24"/>
            <w:szCs w:val="24"/>
          </w:rPr>
          <w:fldChar w:fldCharType="end"/>
        </w:r>
      </w:hyperlink>
    </w:p>
    <w:p w14:paraId="4E2EEE9A" w14:textId="2AD718BE" w:rsidR="00BE6D36" w:rsidRPr="00220DC6" w:rsidRDefault="00BE6D36">
      <w:pPr>
        <w:pStyle w:val="TOC3"/>
        <w:tabs>
          <w:tab w:val="right" w:leader="dot" w:pos="9629"/>
        </w:tabs>
        <w:rPr>
          <w:rFonts w:ascii="Arial" w:eastAsiaTheme="minorEastAsia" w:hAnsi="Arial" w:cs="Arial"/>
          <w:noProof/>
          <w:color w:val="auto"/>
          <w:kern w:val="2"/>
          <w:sz w:val="24"/>
          <w:szCs w:val="24"/>
          <w14:ligatures w14:val="standardContextual"/>
        </w:rPr>
      </w:pPr>
      <w:hyperlink w:anchor="_Toc145511559" w:history="1">
        <w:r w:rsidRPr="00220DC6">
          <w:rPr>
            <w:rStyle w:val="Hyperlink"/>
            <w:rFonts w:ascii="Arial" w:hAnsi="Arial" w:cs="Arial"/>
            <w:noProof/>
            <w:sz w:val="24"/>
            <w:szCs w:val="24"/>
          </w:rPr>
          <w:t>Strategic Policy S7: Meeting Future Housing Provision</w:t>
        </w:r>
        <w:r w:rsidRPr="00220DC6">
          <w:rPr>
            <w:rFonts w:ascii="Arial" w:hAnsi="Arial" w:cs="Arial"/>
            <w:noProof/>
            <w:webHidden/>
            <w:sz w:val="24"/>
            <w:szCs w:val="24"/>
          </w:rPr>
          <w:tab/>
        </w:r>
        <w:r w:rsidRPr="00220DC6">
          <w:rPr>
            <w:rFonts w:ascii="Arial" w:hAnsi="Arial" w:cs="Arial"/>
            <w:noProof/>
            <w:webHidden/>
            <w:sz w:val="24"/>
            <w:szCs w:val="24"/>
          </w:rPr>
          <w:fldChar w:fldCharType="begin"/>
        </w:r>
        <w:r w:rsidRPr="00220DC6">
          <w:rPr>
            <w:rFonts w:ascii="Arial" w:hAnsi="Arial" w:cs="Arial"/>
            <w:noProof/>
            <w:webHidden/>
            <w:sz w:val="24"/>
            <w:szCs w:val="24"/>
          </w:rPr>
          <w:instrText xml:space="preserve"> PAGEREF _Toc145511559 \h </w:instrText>
        </w:r>
        <w:r w:rsidRPr="00220DC6">
          <w:rPr>
            <w:rFonts w:ascii="Arial" w:hAnsi="Arial" w:cs="Arial"/>
            <w:noProof/>
            <w:webHidden/>
            <w:sz w:val="24"/>
            <w:szCs w:val="24"/>
          </w:rPr>
        </w:r>
        <w:r w:rsidRPr="00220DC6">
          <w:rPr>
            <w:rFonts w:ascii="Arial" w:hAnsi="Arial" w:cs="Arial"/>
            <w:noProof/>
            <w:webHidden/>
            <w:sz w:val="24"/>
            <w:szCs w:val="24"/>
          </w:rPr>
          <w:fldChar w:fldCharType="separate"/>
        </w:r>
        <w:r w:rsidR="00100CF9" w:rsidRPr="00220DC6">
          <w:rPr>
            <w:rFonts w:ascii="Arial" w:hAnsi="Arial" w:cs="Arial"/>
            <w:noProof/>
            <w:webHidden/>
            <w:sz w:val="24"/>
            <w:szCs w:val="24"/>
          </w:rPr>
          <w:t>55</w:t>
        </w:r>
        <w:r w:rsidRPr="00220DC6">
          <w:rPr>
            <w:rFonts w:ascii="Arial" w:hAnsi="Arial" w:cs="Arial"/>
            <w:noProof/>
            <w:webHidden/>
            <w:sz w:val="24"/>
            <w:szCs w:val="24"/>
          </w:rPr>
          <w:fldChar w:fldCharType="end"/>
        </w:r>
      </w:hyperlink>
    </w:p>
    <w:p w14:paraId="7984734B" w14:textId="71BA602E" w:rsidR="00BE6D36" w:rsidRPr="00220DC6" w:rsidRDefault="00BE6D36">
      <w:pPr>
        <w:pStyle w:val="TOC3"/>
        <w:tabs>
          <w:tab w:val="right" w:leader="dot" w:pos="9629"/>
        </w:tabs>
        <w:rPr>
          <w:rFonts w:ascii="Arial" w:eastAsiaTheme="minorEastAsia" w:hAnsi="Arial" w:cs="Arial"/>
          <w:noProof/>
          <w:color w:val="auto"/>
          <w:kern w:val="2"/>
          <w:sz w:val="24"/>
          <w:szCs w:val="24"/>
          <w14:ligatures w14:val="standardContextual"/>
        </w:rPr>
      </w:pPr>
      <w:hyperlink w:anchor="_Toc145511560" w:history="1">
        <w:r w:rsidRPr="00220DC6">
          <w:rPr>
            <w:rStyle w:val="Hyperlink"/>
            <w:rFonts w:ascii="Arial" w:hAnsi="Arial" w:cs="Arial"/>
            <w:noProof/>
            <w:sz w:val="24"/>
            <w:szCs w:val="24"/>
          </w:rPr>
          <w:t>Strategic Policy S8: Delivering Economic Opportunities</w:t>
        </w:r>
        <w:r w:rsidRPr="00220DC6">
          <w:rPr>
            <w:rFonts w:ascii="Arial" w:hAnsi="Arial" w:cs="Arial"/>
            <w:noProof/>
            <w:webHidden/>
            <w:sz w:val="24"/>
            <w:szCs w:val="24"/>
          </w:rPr>
          <w:tab/>
        </w:r>
        <w:r w:rsidRPr="00220DC6">
          <w:rPr>
            <w:rFonts w:ascii="Arial" w:hAnsi="Arial" w:cs="Arial"/>
            <w:noProof/>
            <w:webHidden/>
            <w:sz w:val="24"/>
            <w:szCs w:val="24"/>
          </w:rPr>
          <w:fldChar w:fldCharType="begin"/>
        </w:r>
        <w:r w:rsidRPr="00220DC6">
          <w:rPr>
            <w:rFonts w:ascii="Arial" w:hAnsi="Arial" w:cs="Arial"/>
            <w:noProof/>
            <w:webHidden/>
            <w:sz w:val="24"/>
            <w:szCs w:val="24"/>
          </w:rPr>
          <w:instrText xml:space="preserve"> PAGEREF _Toc145511560 \h </w:instrText>
        </w:r>
        <w:r w:rsidRPr="00220DC6">
          <w:rPr>
            <w:rFonts w:ascii="Arial" w:hAnsi="Arial" w:cs="Arial"/>
            <w:noProof/>
            <w:webHidden/>
            <w:sz w:val="24"/>
            <w:szCs w:val="24"/>
          </w:rPr>
        </w:r>
        <w:r w:rsidRPr="00220DC6">
          <w:rPr>
            <w:rFonts w:ascii="Arial" w:hAnsi="Arial" w:cs="Arial"/>
            <w:noProof/>
            <w:webHidden/>
            <w:sz w:val="24"/>
            <w:szCs w:val="24"/>
          </w:rPr>
          <w:fldChar w:fldCharType="separate"/>
        </w:r>
        <w:r w:rsidR="00100CF9" w:rsidRPr="00220DC6">
          <w:rPr>
            <w:rFonts w:ascii="Arial" w:hAnsi="Arial" w:cs="Arial"/>
            <w:noProof/>
            <w:webHidden/>
            <w:sz w:val="24"/>
            <w:szCs w:val="24"/>
          </w:rPr>
          <w:t>62</w:t>
        </w:r>
        <w:r w:rsidRPr="00220DC6">
          <w:rPr>
            <w:rFonts w:ascii="Arial" w:hAnsi="Arial" w:cs="Arial"/>
            <w:noProof/>
            <w:webHidden/>
            <w:sz w:val="24"/>
            <w:szCs w:val="24"/>
          </w:rPr>
          <w:fldChar w:fldCharType="end"/>
        </w:r>
      </w:hyperlink>
    </w:p>
    <w:p w14:paraId="6947ECEB" w14:textId="6857A3AF" w:rsidR="00BE6D36" w:rsidRPr="00220DC6" w:rsidRDefault="00BE6D36">
      <w:pPr>
        <w:pStyle w:val="TOC3"/>
        <w:tabs>
          <w:tab w:val="right" w:leader="dot" w:pos="9629"/>
        </w:tabs>
        <w:rPr>
          <w:rFonts w:ascii="Arial" w:eastAsiaTheme="minorEastAsia" w:hAnsi="Arial" w:cs="Arial"/>
          <w:noProof/>
          <w:color w:val="auto"/>
          <w:kern w:val="2"/>
          <w:sz w:val="24"/>
          <w:szCs w:val="24"/>
          <w14:ligatures w14:val="standardContextual"/>
        </w:rPr>
      </w:pPr>
      <w:hyperlink w:anchor="_Toc145511561" w:history="1">
        <w:r w:rsidRPr="00220DC6">
          <w:rPr>
            <w:rStyle w:val="Hyperlink"/>
            <w:rFonts w:ascii="Arial" w:hAnsi="Arial" w:cs="Arial"/>
            <w:noProof/>
            <w:sz w:val="24"/>
            <w:szCs w:val="24"/>
          </w:rPr>
          <w:t>Strategic Policy S9: Aligning Growth and Infrastructure</w:t>
        </w:r>
        <w:r w:rsidRPr="00220DC6">
          <w:rPr>
            <w:rFonts w:ascii="Arial" w:hAnsi="Arial" w:cs="Arial"/>
            <w:noProof/>
            <w:webHidden/>
            <w:sz w:val="24"/>
            <w:szCs w:val="24"/>
          </w:rPr>
          <w:tab/>
        </w:r>
        <w:r w:rsidRPr="00220DC6">
          <w:rPr>
            <w:rFonts w:ascii="Arial" w:hAnsi="Arial" w:cs="Arial"/>
            <w:noProof/>
            <w:webHidden/>
            <w:sz w:val="24"/>
            <w:szCs w:val="24"/>
          </w:rPr>
          <w:fldChar w:fldCharType="begin"/>
        </w:r>
        <w:r w:rsidRPr="00220DC6">
          <w:rPr>
            <w:rFonts w:ascii="Arial" w:hAnsi="Arial" w:cs="Arial"/>
            <w:noProof/>
            <w:webHidden/>
            <w:sz w:val="24"/>
            <w:szCs w:val="24"/>
          </w:rPr>
          <w:instrText xml:space="preserve"> PAGEREF _Toc145511561 \h </w:instrText>
        </w:r>
        <w:r w:rsidRPr="00220DC6">
          <w:rPr>
            <w:rFonts w:ascii="Arial" w:hAnsi="Arial" w:cs="Arial"/>
            <w:noProof/>
            <w:webHidden/>
            <w:sz w:val="24"/>
            <w:szCs w:val="24"/>
          </w:rPr>
        </w:r>
        <w:r w:rsidRPr="00220DC6">
          <w:rPr>
            <w:rFonts w:ascii="Arial" w:hAnsi="Arial" w:cs="Arial"/>
            <w:noProof/>
            <w:webHidden/>
            <w:sz w:val="24"/>
            <w:szCs w:val="24"/>
          </w:rPr>
          <w:fldChar w:fldCharType="separate"/>
        </w:r>
        <w:r w:rsidR="00100CF9" w:rsidRPr="00220DC6">
          <w:rPr>
            <w:rFonts w:ascii="Arial" w:hAnsi="Arial" w:cs="Arial"/>
            <w:noProof/>
            <w:webHidden/>
            <w:sz w:val="24"/>
            <w:szCs w:val="24"/>
          </w:rPr>
          <w:t>69</w:t>
        </w:r>
        <w:r w:rsidRPr="00220DC6">
          <w:rPr>
            <w:rFonts w:ascii="Arial" w:hAnsi="Arial" w:cs="Arial"/>
            <w:noProof/>
            <w:webHidden/>
            <w:sz w:val="24"/>
            <w:szCs w:val="24"/>
          </w:rPr>
          <w:fldChar w:fldCharType="end"/>
        </w:r>
      </w:hyperlink>
    </w:p>
    <w:p w14:paraId="0758EA23" w14:textId="0784F9CA" w:rsidR="00BE6D36" w:rsidRPr="00220DC6" w:rsidRDefault="00BE6D36">
      <w:pPr>
        <w:pStyle w:val="TOC3"/>
        <w:tabs>
          <w:tab w:val="right" w:leader="dot" w:pos="9629"/>
        </w:tabs>
        <w:rPr>
          <w:rFonts w:ascii="Arial" w:eastAsiaTheme="minorEastAsia" w:hAnsi="Arial" w:cs="Arial"/>
          <w:noProof/>
          <w:color w:val="auto"/>
          <w:kern w:val="2"/>
          <w:sz w:val="24"/>
          <w:szCs w:val="24"/>
          <w14:ligatures w14:val="standardContextual"/>
        </w:rPr>
      </w:pPr>
      <w:hyperlink w:anchor="_Toc145511562" w:history="1">
        <w:r w:rsidRPr="00220DC6">
          <w:rPr>
            <w:rStyle w:val="Hyperlink"/>
            <w:rFonts w:ascii="Arial" w:hAnsi="Arial" w:cs="Arial"/>
            <w:noProof/>
            <w:sz w:val="24"/>
            <w:szCs w:val="24"/>
          </w:rPr>
          <w:t>Strategic Policy S10: Improving Transport Infrastructure.</w:t>
        </w:r>
        <w:r w:rsidRPr="00220DC6">
          <w:rPr>
            <w:rFonts w:ascii="Arial" w:hAnsi="Arial" w:cs="Arial"/>
            <w:noProof/>
            <w:webHidden/>
            <w:sz w:val="24"/>
            <w:szCs w:val="24"/>
          </w:rPr>
          <w:tab/>
        </w:r>
        <w:r w:rsidRPr="00220DC6">
          <w:rPr>
            <w:rFonts w:ascii="Arial" w:hAnsi="Arial" w:cs="Arial"/>
            <w:noProof/>
            <w:webHidden/>
            <w:sz w:val="24"/>
            <w:szCs w:val="24"/>
          </w:rPr>
          <w:fldChar w:fldCharType="begin"/>
        </w:r>
        <w:r w:rsidRPr="00220DC6">
          <w:rPr>
            <w:rFonts w:ascii="Arial" w:hAnsi="Arial" w:cs="Arial"/>
            <w:noProof/>
            <w:webHidden/>
            <w:sz w:val="24"/>
            <w:szCs w:val="24"/>
          </w:rPr>
          <w:instrText xml:space="preserve"> PAGEREF _Toc145511562 \h </w:instrText>
        </w:r>
        <w:r w:rsidRPr="00220DC6">
          <w:rPr>
            <w:rFonts w:ascii="Arial" w:hAnsi="Arial" w:cs="Arial"/>
            <w:noProof/>
            <w:webHidden/>
            <w:sz w:val="24"/>
            <w:szCs w:val="24"/>
          </w:rPr>
        </w:r>
        <w:r w:rsidRPr="00220DC6">
          <w:rPr>
            <w:rFonts w:ascii="Arial" w:hAnsi="Arial" w:cs="Arial"/>
            <w:noProof/>
            <w:webHidden/>
            <w:sz w:val="24"/>
            <w:szCs w:val="24"/>
          </w:rPr>
          <w:fldChar w:fldCharType="separate"/>
        </w:r>
        <w:r w:rsidR="00100CF9" w:rsidRPr="00220DC6">
          <w:rPr>
            <w:rFonts w:ascii="Arial" w:hAnsi="Arial" w:cs="Arial"/>
            <w:noProof/>
            <w:webHidden/>
            <w:sz w:val="24"/>
            <w:szCs w:val="24"/>
          </w:rPr>
          <w:t>72</w:t>
        </w:r>
        <w:r w:rsidRPr="00220DC6">
          <w:rPr>
            <w:rFonts w:ascii="Arial" w:hAnsi="Arial" w:cs="Arial"/>
            <w:noProof/>
            <w:webHidden/>
            <w:sz w:val="24"/>
            <w:szCs w:val="24"/>
          </w:rPr>
          <w:fldChar w:fldCharType="end"/>
        </w:r>
      </w:hyperlink>
    </w:p>
    <w:p w14:paraId="791AF05E" w14:textId="33D0CE5D" w:rsidR="00BE6D36" w:rsidRPr="00220DC6" w:rsidRDefault="00BE6D36">
      <w:pPr>
        <w:pStyle w:val="TOC3"/>
        <w:tabs>
          <w:tab w:val="right" w:leader="dot" w:pos="9629"/>
        </w:tabs>
        <w:rPr>
          <w:rFonts w:ascii="Arial" w:eastAsiaTheme="minorEastAsia" w:hAnsi="Arial" w:cs="Arial"/>
          <w:noProof/>
          <w:color w:val="auto"/>
          <w:kern w:val="2"/>
          <w:sz w:val="24"/>
          <w:szCs w:val="24"/>
          <w14:ligatures w14:val="standardContextual"/>
        </w:rPr>
      </w:pPr>
      <w:hyperlink w:anchor="_Toc145511563" w:history="1">
        <w:r w:rsidRPr="00220DC6">
          <w:rPr>
            <w:rStyle w:val="Hyperlink"/>
            <w:rFonts w:ascii="Arial" w:hAnsi="Arial" w:cs="Arial"/>
            <w:noProof/>
            <w:sz w:val="24"/>
            <w:szCs w:val="24"/>
          </w:rPr>
          <w:t>Strategic Policy S11 Vibrant Town Centres</w:t>
        </w:r>
        <w:r w:rsidRPr="00220DC6">
          <w:rPr>
            <w:rFonts w:ascii="Arial" w:hAnsi="Arial" w:cs="Arial"/>
            <w:noProof/>
            <w:webHidden/>
            <w:sz w:val="24"/>
            <w:szCs w:val="24"/>
          </w:rPr>
          <w:tab/>
        </w:r>
        <w:r w:rsidRPr="00220DC6">
          <w:rPr>
            <w:rFonts w:ascii="Arial" w:hAnsi="Arial" w:cs="Arial"/>
            <w:noProof/>
            <w:webHidden/>
            <w:sz w:val="24"/>
            <w:szCs w:val="24"/>
          </w:rPr>
          <w:fldChar w:fldCharType="begin"/>
        </w:r>
        <w:r w:rsidRPr="00220DC6">
          <w:rPr>
            <w:rFonts w:ascii="Arial" w:hAnsi="Arial" w:cs="Arial"/>
            <w:noProof/>
            <w:webHidden/>
            <w:sz w:val="24"/>
            <w:szCs w:val="24"/>
          </w:rPr>
          <w:instrText xml:space="preserve"> PAGEREF _Toc145511563 \h </w:instrText>
        </w:r>
        <w:r w:rsidRPr="00220DC6">
          <w:rPr>
            <w:rFonts w:ascii="Arial" w:hAnsi="Arial" w:cs="Arial"/>
            <w:noProof/>
            <w:webHidden/>
            <w:sz w:val="24"/>
            <w:szCs w:val="24"/>
          </w:rPr>
        </w:r>
        <w:r w:rsidRPr="00220DC6">
          <w:rPr>
            <w:rFonts w:ascii="Arial" w:hAnsi="Arial" w:cs="Arial"/>
            <w:noProof/>
            <w:webHidden/>
            <w:sz w:val="24"/>
            <w:szCs w:val="24"/>
          </w:rPr>
          <w:fldChar w:fldCharType="separate"/>
        </w:r>
        <w:r w:rsidR="00100CF9" w:rsidRPr="00220DC6">
          <w:rPr>
            <w:rFonts w:ascii="Arial" w:hAnsi="Arial" w:cs="Arial"/>
            <w:noProof/>
            <w:webHidden/>
            <w:sz w:val="24"/>
            <w:szCs w:val="24"/>
          </w:rPr>
          <w:t>74</w:t>
        </w:r>
        <w:r w:rsidRPr="00220DC6">
          <w:rPr>
            <w:rFonts w:ascii="Arial" w:hAnsi="Arial" w:cs="Arial"/>
            <w:noProof/>
            <w:webHidden/>
            <w:sz w:val="24"/>
            <w:szCs w:val="24"/>
          </w:rPr>
          <w:fldChar w:fldCharType="end"/>
        </w:r>
      </w:hyperlink>
    </w:p>
    <w:p w14:paraId="19843412" w14:textId="7561BE71" w:rsidR="00BE6D36" w:rsidRPr="00220DC6" w:rsidRDefault="00BE6D36">
      <w:pPr>
        <w:pStyle w:val="TOC3"/>
        <w:tabs>
          <w:tab w:val="right" w:leader="dot" w:pos="9629"/>
        </w:tabs>
        <w:rPr>
          <w:rFonts w:ascii="Arial" w:eastAsiaTheme="minorEastAsia" w:hAnsi="Arial" w:cs="Arial"/>
          <w:noProof/>
          <w:color w:val="auto"/>
          <w:kern w:val="2"/>
          <w:sz w:val="24"/>
          <w:szCs w:val="24"/>
          <w14:ligatures w14:val="standardContextual"/>
        </w:rPr>
      </w:pPr>
      <w:hyperlink w:anchor="_Toc145511564" w:history="1">
        <w:r w:rsidRPr="00220DC6">
          <w:rPr>
            <w:rStyle w:val="Hyperlink"/>
            <w:rFonts w:ascii="Arial" w:hAnsi="Arial" w:cs="Arial"/>
            <w:noProof/>
            <w:sz w:val="24"/>
            <w:szCs w:val="24"/>
          </w:rPr>
          <w:t>Strategic Policy S12 Tackling Health Inequalities and Facilitating Healthier Lifestyles</w:t>
        </w:r>
        <w:r w:rsidRPr="00220DC6">
          <w:rPr>
            <w:rFonts w:ascii="Arial" w:hAnsi="Arial" w:cs="Arial"/>
            <w:noProof/>
            <w:webHidden/>
            <w:sz w:val="24"/>
            <w:szCs w:val="24"/>
          </w:rPr>
          <w:tab/>
        </w:r>
        <w:r w:rsidRPr="00220DC6">
          <w:rPr>
            <w:rFonts w:ascii="Arial" w:hAnsi="Arial" w:cs="Arial"/>
            <w:noProof/>
            <w:webHidden/>
            <w:sz w:val="24"/>
            <w:szCs w:val="24"/>
          </w:rPr>
          <w:fldChar w:fldCharType="begin"/>
        </w:r>
        <w:r w:rsidRPr="00220DC6">
          <w:rPr>
            <w:rFonts w:ascii="Arial" w:hAnsi="Arial" w:cs="Arial"/>
            <w:noProof/>
            <w:webHidden/>
            <w:sz w:val="24"/>
            <w:szCs w:val="24"/>
          </w:rPr>
          <w:instrText xml:space="preserve"> PAGEREF _Toc145511564 \h </w:instrText>
        </w:r>
        <w:r w:rsidRPr="00220DC6">
          <w:rPr>
            <w:rFonts w:ascii="Arial" w:hAnsi="Arial" w:cs="Arial"/>
            <w:noProof/>
            <w:webHidden/>
            <w:sz w:val="24"/>
            <w:szCs w:val="24"/>
          </w:rPr>
        </w:r>
        <w:r w:rsidRPr="00220DC6">
          <w:rPr>
            <w:rFonts w:ascii="Arial" w:hAnsi="Arial" w:cs="Arial"/>
            <w:noProof/>
            <w:webHidden/>
            <w:sz w:val="24"/>
            <w:szCs w:val="24"/>
          </w:rPr>
          <w:fldChar w:fldCharType="separate"/>
        </w:r>
        <w:r w:rsidR="00100CF9" w:rsidRPr="00220DC6">
          <w:rPr>
            <w:rFonts w:ascii="Arial" w:hAnsi="Arial" w:cs="Arial"/>
            <w:noProof/>
            <w:webHidden/>
            <w:sz w:val="24"/>
            <w:szCs w:val="24"/>
          </w:rPr>
          <w:t>80</w:t>
        </w:r>
        <w:r w:rsidRPr="00220DC6">
          <w:rPr>
            <w:rFonts w:ascii="Arial" w:hAnsi="Arial" w:cs="Arial"/>
            <w:noProof/>
            <w:webHidden/>
            <w:sz w:val="24"/>
            <w:szCs w:val="24"/>
          </w:rPr>
          <w:fldChar w:fldCharType="end"/>
        </w:r>
      </w:hyperlink>
    </w:p>
    <w:p w14:paraId="7FCE5BFE" w14:textId="7B635122" w:rsidR="00BE6D36" w:rsidRPr="00220DC6" w:rsidRDefault="00BE6D36">
      <w:pPr>
        <w:pStyle w:val="TOC3"/>
        <w:tabs>
          <w:tab w:val="right" w:leader="dot" w:pos="9629"/>
        </w:tabs>
        <w:rPr>
          <w:rFonts w:ascii="Arial" w:eastAsiaTheme="minorEastAsia" w:hAnsi="Arial" w:cs="Arial"/>
          <w:noProof/>
          <w:color w:val="auto"/>
          <w:kern w:val="2"/>
          <w:sz w:val="24"/>
          <w:szCs w:val="24"/>
          <w14:ligatures w14:val="standardContextual"/>
        </w:rPr>
      </w:pPr>
      <w:hyperlink w:anchor="_Toc145511565" w:history="1">
        <w:r w:rsidRPr="00220DC6">
          <w:rPr>
            <w:rStyle w:val="Hyperlink"/>
            <w:rFonts w:ascii="Arial" w:hAnsi="Arial" w:cs="Arial"/>
            <w:noProof/>
            <w:sz w:val="24"/>
            <w:szCs w:val="24"/>
          </w:rPr>
          <w:t>Strategic Policy S13 Protecting and Enhancing Our Green Infrastructure and the Natural Environment</w:t>
        </w:r>
        <w:r w:rsidRPr="00220DC6">
          <w:rPr>
            <w:rFonts w:ascii="Arial" w:hAnsi="Arial" w:cs="Arial"/>
            <w:noProof/>
            <w:webHidden/>
            <w:sz w:val="24"/>
            <w:szCs w:val="24"/>
          </w:rPr>
          <w:tab/>
        </w:r>
        <w:r w:rsidRPr="00220DC6">
          <w:rPr>
            <w:rFonts w:ascii="Arial" w:hAnsi="Arial" w:cs="Arial"/>
            <w:noProof/>
            <w:webHidden/>
            <w:sz w:val="24"/>
            <w:szCs w:val="24"/>
          </w:rPr>
          <w:fldChar w:fldCharType="begin"/>
        </w:r>
        <w:r w:rsidRPr="00220DC6">
          <w:rPr>
            <w:rFonts w:ascii="Arial" w:hAnsi="Arial" w:cs="Arial"/>
            <w:noProof/>
            <w:webHidden/>
            <w:sz w:val="24"/>
            <w:szCs w:val="24"/>
          </w:rPr>
          <w:instrText xml:space="preserve"> PAGEREF _Toc145511565 \h </w:instrText>
        </w:r>
        <w:r w:rsidRPr="00220DC6">
          <w:rPr>
            <w:rFonts w:ascii="Arial" w:hAnsi="Arial" w:cs="Arial"/>
            <w:noProof/>
            <w:webHidden/>
            <w:sz w:val="24"/>
            <w:szCs w:val="24"/>
          </w:rPr>
        </w:r>
        <w:r w:rsidRPr="00220DC6">
          <w:rPr>
            <w:rFonts w:ascii="Arial" w:hAnsi="Arial" w:cs="Arial"/>
            <w:noProof/>
            <w:webHidden/>
            <w:sz w:val="24"/>
            <w:szCs w:val="24"/>
          </w:rPr>
          <w:fldChar w:fldCharType="separate"/>
        </w:r>
        <w:r w:rsidR="00100CF9" w:rsidRPr="00220DC6">
          <w:rPr>
            <w:rFonts w:ascii="Arial" w:hAnsi="Arial" w:cs="Arial"/>
            <w:noProof/>
            <w:webHidden/>
            <w:sz w:val="24"/>
            <w:szCs w:val="24"/>
          </w:rPr>
          <w:t>83</w:t>
        </w:r>
        <w:r w:rsidRPr="00220DC6">
          <w:rPr>
            <w:rFonts w:ascii="Arial" w:hAnsi="Arial" w:cs="Arial"/>
            <w:noProof/>
            <w:webHidden/>
            <w:sz w:val="24"/>
            <w:szCs w:val="24"/>
          </w:rPr>
          <w:fldChar w:fldCharType="end"/>
        </w:r>
      </w:hyperlink>
    </w:p>
    <w:p w14:paraId="2AAC2E17" w14:textId="41FB568B" w:rsidR="00BE6D36" w:rsidRPr="00220DC6" w:rsidRDefault="00BE6D36">
      <w:pPr>
        <w:pStyle w:val="TOC3"/>
        <w:tabs>
          <w:tab w:val="right" w:leader="dot" w:pos="9629"/>
        </w:tabs>
        <w:rPr>
          <w:rFonts w:ascii="Arial" w:eastAsiaTheme="minorEastAsia" w:hAnsi="Arial" w:cs="Arial"/>
          <w:noProof/>
          <w:color w:val="auto"/>
          <w:kern w:val="2"/>
          <w:sz w:val="24"/>
          <w:szCs w:val="24"/>
          <w14:ligatures w14:val="standardContextual"/>
        </w:rPr>
      </w:pPr>
      <w:hyperlink w:anchor="_Toc145511566" w:history="1">
        <w:r w:rsidRPr="00220DC6">
          <w:rPr>
            <w:rStyle w:val="Hyperlink"/>
            <w:rFonts w:ascii="Arial" w:hAnsi="Arial" w:cs="Arial"/>
            <w:noProof/>
            <w:sz w:val="24"/>
            <w:szCs w:val="24"/>
          </w:rPr>
          <w:t>Strategic Policy S14 Conserving and Enhancing Our Historic Environment</w:t>
        </w:r>
        <w:r w:rsidRPr="00220DC6">
          <w:rPr>
            <w:rFonts w:ascii="Arial" w:hAnsi="Arial" w:cs="Arial"/>
            <w:noProof/>
            <w:webHidden/>
            <w:sz w:val="24"/>
            <w:szCs w:val="24"/>
          </w:rPr>
          <w:tab/>
        </w:r>
        <w:r w:rsidRPr="00220DC6">
          <w:rPr>
            <w:rFonts w:ascii="Arial" w:hAnsi="Arial" w:cs="Arial"/>
            <w:noProof/>
            <w:webHidden/>
            <w:sz w:val="24"/>
            <w:szCs w:val="24"/>
          </w:rPr>
          <w:fldChar w:fldCharType="begin"/>
        </w:r>
        <w:r w:rsidRPr="00220DC6">
          <w:rPr>
            <w:rFonts w:ascii="Arial" w:hAnsi="Arial" w:cs="Arial"/>
            <w:noProof/>
            <w:webHidden/>
            <w:sz w:val="24"/>
            <w:szCs w:val="24"/>
          </w:rPr>
          <w:instrText xml:space="preserve"> PAGEREF _Toc145511566 \h </w:instrText>
        </w:r>
        <w:r w:rsidRPr="00220DC6">
          <w:rPr>
            <w:rFonts w:ascii="Arial" w:hAnsi="Arial" w:cs="Arial"/>
            <w:noProof/>
            <w:webHidden/>
            <w:sz w:val="24"/>
            <w:szCs w:val="24"/>
          </w:rPr>
        </w:r>
        <w:r w:rsidRPr="00220DC6">
          <w:rPr>
            <w:rFonts w:ascii="Arial" w:hAnsi="Arial" w:cs="Arial"/>
            <w:noProof/>
            <w:webHidden/>
            <w:sz w:val="24"/>
            <w:szCs w:val="24"/>
          </w:rPr>
          <w:fldChar w:fldCharType="separate"/>
        </w:r>
        <w:r w:rsidR="00100CF9" w:rsidRPr="00220DC6">
          <w:rPr>
            <w:rFonts w:ascii="Arial" w:hAnsi="Arial" w:cs="Arial"/>
            <w:noProof/>
            <w:webHidden/>
            <w:sz w:val="24"/>
            <w:szCs w:val="24"/>
          </w:rPr>
          <w:t>85</w:t>
        </w:r>
        <w:r w:rsidRPr="00220DC6">
          <w:rPr>
            <w:rFonts w:ascii="Arial" w:hAnsi="Arial" w:cs="Arial"/>
            <w:noProof/>
            <w:webHidden/>
            <w:sz w:val="24"/>
            <w:szCs w:val="24"/>
          </w:rPr>
          <w:fldChar w:fldCharType="end"/>
        </w:r>
      </w:hyperlink>
    </w:p>
    <w:p w14:paraId="2A70E3ED" w14:textId="7E1B041B" w:rsidR="00BE6D36" w:rsidRPr="00220DC6" w:rsidRDefault="00BE6D36">
      <w:pPr>
        <w:pStyle w:val="TOC3"/>
        <w:tabs>
          <w:tab w:val="right" w:leader="dot" w:pos="9629"/>
        </w:tabs>
        <w:rPr>
          <w:rFonts w:ascii="Arial" w:eastAsiaTheme="minorEastAsia" w:hAnsi="Arial" w:cs="Arial"/>
          <w:noProof/>
          <w:color w:val="auto"/>
          <w:kern w:val="2"/>
          <w:sz w:val="24"/>
          <w:szCs w:val="24"/>
          <w14:ligatures w14:val="standardContextual"/>
        </w:rPr>
      </w:pPr>
      <w:hyperlink w:anchor="_Toc145511567" w:history="1">
        <w:r w:rsidRPr="00220DC6">
          <w:rPr>
            <w:rStyle w:val="Hyperlink"/>
            <w:rFonts w:ascii="Arial" w:hAnsi="Arial" w:cs="Arial"/>
            <w:noProof/>
            <w:sz w:val="24"/>
            <w:szCs w:val="24"/>
          </w:rPr>
          <w:t>Strategic Policy S15 Safeguarding Mineral Resources</w:t>
        </w:r>
        <w:r w:rsidRPr="00220DC6">
          <w:rPr>
            <w:rFonts w:ascii="Arial" w:hAnsi="Arial" w:cs="Arial"/>
            <w:noProof/>
            <w:webHidden/>
            <w:sz w:val="24"/>
            <w:szCs w:val="24"/>
          </w:rPr>
          <w:tab/>
        </w:r>
        <w:r w:rsidRPr="00220DC6">
          <w:rPr>
            <w:rFonts w:ascii="Arial" w:hAnsi="Arial" w:cs="Arial"/>
            <w:noProof/>
            <w:webHidden/>
            <w:sz w:val="24"/>
            <w:szCs w:val="24"/>
          </w:rPr>
          <w:fldChar w:fldCharType="begin"/>
        </w:r>
        <w:r w:rsidRPr="00220DC6">
          <w:rPr>
            <w:rFonts w:ascii="Arial" w:hAnsi="Arial" w:cs="Arial"/>
            <w:noProof/>
            <w:webHidden/>
            <w:sz w:val="24"/>
            <w:szCs w:val="24"/>
          </w:rPr>
          <w:instrText xml:space="preserve"> PAGEREF _Toc145511567 \h </w:instrText>
        </w:r>
        <w:r w:rsidRPr="00220DC6">
          <w:rPr>
            <w:rFonts w:ascii="Arial" w:hAnsi="Arial" w:cs="Arial"/>
            <w:noProof/>
            <w:webHidden/>
            <w:sz w:val="24"/>
            <w:szCs w:val="24"/>
          </w:rPr>
        </w:r>
        <w:r w:rsidRPr="00220DC6">
          <w:rPr>
            <w:rFonts w:ascii="Arial" w:hAnsi="Arial" w:cs="Arial"/>
            <w:noProof/>
            <w:webHidden/>
            <w:sz w:val="24"/>
            <w:szCs w:val="24"/>
          </w:rPr>
          <w:fldChar w:fldCharType="separate"/>
        </w:r>
        <w:r w:rsidR="00100CF9" w:rsidRPr="00220DC6">
          <w:rPr>
            <w:rFonts w:ascii="Arial" w:hAnsi="Arial" w:cs="Arial"/>
            <w:noProof/>
            <w:webHidden/>
            <w:sz w:val="24"/>
            <w:szCs w:val="24"/>
          </w:rPr>
          <w:t>87</w:t>
        </w:r>
        <w:r w:rsidRPr="00220DC6">
          <w:rPr>
            <w:rFonts w:ascii="Arial" w:hAnsi="Arial" w:cs="Arial"/>
            <w:noProof/>
            <w:webHidden/>
            <w:sz w:val="24"/>
            <w:szCs w:val="24"/>
          </w:rPr>
          <w:fldChar w:fldCharType="end"/>
        </w:r>
      </w:hyperlink>
    </w:p>
    <w:p w14:paraId="47E4BE15" w14:textId="6B390D5A" w:rsidR="00BE6D36" w:rsidRPr="00220DC6" w:rsidRDefault="00BE6D36">
      <w:pPr>
        <w:pStyle w:val="TOC1"/>
        <w:tabs>
          <w:tab w:val="right" w:leader="dot" w:pos="9629"/>
        </w:tabs>
        <w:rPr>
          <w:rFonts w:ascii="Arial" w:eastAsiaTheme="minorEastAsia" w:hAnsi="Arial" w:cs="Arial"/>
          <w:b w:val="0"/>
          <w:bCs w:val="0"/>
          <w:caps w:val="0"/>
          <w:noProof/>
          <w:color w:val="auto"/>
          <w:kern w:val="2"/>
          <w14:ligatures w14:val="standardContextual"/>
        </w:rPr>
      </w:pPr>
      <w:hyperlink w:anchor="_Toc145511568" w:history="1">
        <w:r w:rsidRPr="00220DC6">
          <w:rPr>
            <w:rStyle w:val="Hyperlink"/>
            <w:rFonts w:ascii="Arial" w:hAnsi="Arial" w:cs="Arial"/>
            <w:noProof/>
          </w:rPr>
          <w:t>Chapter 4</w:t>
        </w:r>
        <w:r w:rsidRPr="00220DC6">
          <w:rPr>
            <w:rFonts w:ascii="Arial" w:hAnsi="Arial" w:cs="Arial"/>
            <w:noProof/>
            <w:webHidden/>
          </w:rPr>
          <w:tab/>
        </w:r>
        <w:r w:rsidRPr="00220DC6">
          <w:rPr>
            <w:rFonts w:ascii="Arial" w:hAnsi="Arial" w:cs="Arial"/>
            <w:noProof/>
            <w:webHidden/>
          </w:rPr>
          <w:fldChar w:fldCharType="begin"/>
        </w:r>
        <w:r w:rsidRPr="00220DC6">
          <w:rPr>
            <w:rFonts w:ascii="Arial" w:hAnsi="Arial" w:cs="Arial"/>
            <w:noProof/>
            <w:webHidden/>
          </w:rPr>
          <w:instrText xml:space="preserve"> PAGEREF _Toc145511568 \h </w:instrText>
        </w:r>
        <w:r w:rsidRPr="00220DC6">
          <w:rPr>
            <w:rFonts w:ascii="Arial" w:hAnsi="Arial" w:cs="Arial"/>
            <w:noProof/>
            <w:webHidden/>
          </w:rPr>
        </w:r>
        <w:r w:rsidRPr="00220DC6">
          <w:rPr>
            <w:rFonts w:ascii="Arial" w:hAnsi="Arial" w:cs="Arial"/>
            <w:noProof/>
            <w:webHidden/>
          </w:rPr>
          <w:fldChar w:fldCharType="separate"/>
        </w:r>
        <w:r w:rsidR="00100CF9" w:rsidRPr="00220DC6">
          <w:rPr>
            <w:rFonts w:ascii="Arial" w:hAnsi="Arial" w:cs="Arial"/>
            <w:noProof/>
            <w:webHidden/>
          </w:rPr>
          <w:t>88</w:t>
        </w:r>
        <w:r w:rsidRPr="00220DC6">
          <w:rPr>
            <w:rFonts w:ascii="Arial" w:hAnsi="Arial" w:cs="Arial"/>
            <w:noProof/>
            <w:webHidden/>
          </w:rPr>
          <w:fldChar w:fldCharType="end"/>
        </w:r>
      </w:hyperlink>
    </w:p>
    <w:p w14:paraId="2D5D144E" w14:textId="57DAFD47" w:rsidR="00BE6D36" w:rsidRPr="00220DC6" w:rsidRDefault="00BE6D36">
      <w:pPr>
        <w:pStyle w:val="TOC1"/>
        <w:tabs>
          <w:tab w:val="right" w:leader="dot" w:pos="9629"/>
        </w:tabs>
        <w:rPr>
          <w:rFonts w:ascii="Arial" w:eastAsiaTheme="minorEastAsia" w:hAnsi="Arial" w:cs="Arial"/>
          <w:b w:val="0"/>
          <w:bCs w:val="0"/>
          <w:caps w:val="0"/>
          <w:noProof/>
          <w:color w:val="auto"/>
          <w:kern w:val="2"/>
          <w14:ligatures w14:val="standardContextual"/>
        </w:rPr>
      </w:pPr>
      <w:hyperlink w:anchor="_Toc145511569" w:history="1">
        <w:r w:rsidRPr="00220DC6">
          <w:rPr>
            <w:rStyle w:val="Hyperlink"/>
            <w:rFonts w:ascii="Arial" w:hAnsi="Arial" w:cs="Arial"/>
            <w:noProof/>
          </w:rPr>
          <w:t>Meeting the challenge of climate change and adapt</w:t>
        </w:r>
        <w:r w:rsidR="00890704" w:rsidRPr="00220DC6">
          <w:rPr>
            <w:rStyle w:val="Hyperlink"/>
            <w:rFonts w:ascii="Arial" w:hAnsi="Arial" w:cs="Arial"/>
            <w:noProof/>
          </w:rPr>
          <w:t>ING</w:t>
        </w:r>
        <w:r w:rsidRPr="00220DC6">
          <w:rPr>
            <w:rStyle w:val="Hyperlink"/>
            <w:rFonts w:ascii="Arial" w:hAnsi="Arial" w:cs="Arial"/>
            <w:noProof/>
          </w:rPr>
          <w:t xml:space="preserve"> to its effects</w:t>
        </w:r>
        <w:r w:rsidRPr="00220DC6">
          <w:rPr>
            <w:rFonts w:ascii="Arial" w:hAnsi="Arial" w:cs="Arial"/>
            <w:noProof/>
            <w:webHidden/>
          </w:rPr>
          <w:tab/>
        </w:r>
        <w:r w:rsidRPr="00220DC6">
          <w:rPr>
            <w:rFonts w:ascii="Arial" w:hAnsi="Arial" w:cs="Arial"/>
            <w:noProof/>
            <w:webHidden/>
          </w:rPr>
          <w:fldChar w:fldCharType="begin"/>
        </w:r>
        <w:r w:rsidRPr="00220DC6">
          <w:rPr>
            <w:rFonts w:ascii="Arial" w:hAnsi="Arial" w:cs="Arial"/>
            <w:noProof/>
            <w:webHidden/>
          </w:rPr>
          <w:instrText xml:space="preserve"> PAGEREF _Toc145511569 \h </w:instrText>
        </w:r>
        <w:r w:rsidRPr="00220DC6">
          <w:rPr>
            <w:rFonts w:ascii="Arial" w:hAnsi="Arial" w:cs="Arial"/>
            <w:noProof/>
            <w:webHidden/>
          </w:rPr>
        </w:r>
        <w:r w:rsidRPr="00220DC6">
          <w:rPr>
            <w:rFonts w:ascii="Arial" w:hAnsi="Arial" w:cs="Arial"/>
            <w:noProof/>
            <w:webHidden/>
          </w:rPr>
          <w:fldChar w:fldCharType="separate"/>
        </w:r>
        <w:r w:rsidR="00100CF9" w:rsidRPr="00220DC6">
          <w:rPr>
            <w:rFonts w:ascii="Arial" w:hAnsi="Arial" w:cs="Arial"/>
            <w:noProof/>
            <w:webHidden/>
          </w:rPr>
          <w:t>88</w:t>
        </w:r>
        <w:r w:rsidRPr="00220DC6">
          <w:rPr>
            <w:rFonts w:ascii="Arial" w:hAnsi="Arial" w:cs="Arial"/>
            <w:noProof/>
            <w:webHidden/>
          </w:rPr>
          <w:fldChar w:fldCharType="end"/>
        </w:r>
      </w:hyperlink>
    </w:p>
    <w:p w14:paraId="66E0C4A8" w14:textId="57C3B3F1" w:rsidR="00BE6D36" w:rsidRPr="00220DC6" w:rsidRDefault="00BE6D36">
      <w:pPr>
        <w:pStyle w:val="TOC3"/>
        <w:tabs>
          <w:tab w:val="right" w:leader="dot" w:pos="9629"/>
        </w:tabs>
        <w:rPr>
          <w:rFonts w:ascii="Arial" w:eastAsiaTheme="minorEastAsia" w:hAnsi="Arial" w:cs="Arial"/>
          <w:noProof/>
          <w:color w:val="auto"/>
          <w:kern w:val="2"/>
          <w:sz w:val="24"/>
          <w:szCs w:val="24"/>
          <w14:ligatures w14:val="standardContextual"/>
        </w:rPr>
      </w:pPr>
      <w:hyperlink w:anchor="_Toc145511570" w:history="1">
        <w:r w:rsidRPr="00220DC6">
          <w:rPr>
            <w:rStyle w:val="Hyperlink"/>
            <w:rFonts w:ascii="Arial" w:eastAsia="Arial" w:hAnsi="Arial" w:cs="Arial"/>
            <w:noProof/>
            <w:sz w:val="24"/>
            <w:szCs w:val="24"/>
          </w:rPr>
          <w:t>Policy CC1:  Zero/Low Carbon Developments and Decentralised, Renewable, Low Carbon Energy Generation</w:t>
        </w:r>
        <w:r w:rsidRPr="00220DC6">
          <w:rPr>
            <w:rFonts w:ascii="Arial" w:hAnsi="Arial" w:cs="Arial"/>
            <w:noProof/>
            <w:webHidden/>
            <w:sz w:val="24"/>
            <w:szCs w:val="24"/>
          </w:rPr>
          <w:tab/>
        </w:r>
        <w:r w:rsidRPr="00220DC6">
          <w:rPr>
            <w:rFonts w:ascii="Arial" w:hAnsi="Arial" w:cs="Arial"/>
            <w:noProof/>
            <w:webHidden/>
            <w:sz w:val="24"/>
            <w:szCs w:val="24"/>
          </w:rPr>
          <w:fldChar w:fldCharType="begin"/>
        </w:r>
        <w:r w:rsidRPr="00220DC6">
          <w:rPr>
            <w:rFonts w:ascii="Arial" w:hAnsi="Arial" w:cs="Arial"/>
            <w:noProof/>
            <w:webHidden/>
            <w:sz w:val="24"/>
            <w:szCs w:val="24"/>
          </w:rPr>
          <w:instrText xml:space="preserve"> PAGEREF _Toc145511570 \h </w:instrText>
        </w:r>
        <w:r w:rsidRPr="00220DC6">
          <w:rPr>
            <w:rFonts w:ascii="Arial" w:hAnsi="Arial" w:cs="Arial"/>
            <w:noProof/>
            <w:webHidden/>
            <w:sz w:val="24"/>
            <w:szCs w:val="24"/>
          </w:rPr>
        </w:r>
        <w:r w:rsidRPr="00220DC6">
          <w:rPr>
            <w:rFonts w:ascii="Arial" w:hAnsi="Arial" w:cs="Arial"/>
            <w:noProof/>
            <w:webHidden/>
            <w:sz w:val="24"/>
            <w:szCs w:val="24"/>
          </w:rPr>
          <w:fldChar w:fldCharType="separate"/>
        </w:r>
        <w:r w:rsidR="00100CF9" w:rsidRPr="00220DC6">
          <w:rPr>
            <w:rFonts w:ascii="Arial" w:hAnsi="Arial" w:cs="Arial"/>
            <w:noProof/>
            <w:webHidden/>
            <w:sz w:val="24"/>
            <w:szCs w:val="24"/>
          </w:rPr>
          <w:t>88</w:t>
        </w:r>
        <w:r w:rsidRPr="00220DC6">
          <w:rPr>
            <w:rFonts w:ascii="Arial" w:hAnsi="Arial" w:cs="Arial"/>
            <w:noProof/>
            <w:webHidden/>
            <w:sz w:val="24"/>
            <w:szCs w:val="24"/>
          </w:rPr>
          <w:fldChar w:fldCharType="end"/>
        </w:r>
      </w:hyperlink>
    </w:p>
    <w:p w14:paraId="57E55671" w14:textId="3104F803" w:rsidR="00BE6D36" w:rsidRPr="00220DC6" w:rsidRDefault="00BE6D36">
      <w:pPr>
        <w:pStyle w:val="TOC3"/>
        <w:tabs>
          <w:tab w:val="right" w:leader="dot" w:pos="9629"/>
        </w:tabs>
        <w:rPr>
          <w:rFonts w:ascii="Arial" w:eastAsiaTheme="minorEastAsia" w:hAnsi="Arial" w:cs="Arial"/>
          <w:noProof/>
          <w:color w:val="auto"/>
          <w:kern w:val="2"/>
          <w:sz w:val="24"/>
          <w:szCs w:val="24"/>
          <w14:ligatures w14:val="standardContextual"/>
        </w:rPr>
      </w:pPr>
      <w:hyperlink w:anchor="_Toc145511571" w:history="1">
        <w:r w:rsidRPr="00220DC6">
          <w:rPr>
            <w:rStyle w:val="Hyperlink"/>
            <w:rFonts w:ascii="Arial" w:eastAsia="Arial" w:hAnsi="Arial" w:cs="Arial"/>
            <w:noProof/>
            <w:sz w:val="24"/>
            <w:szCs w:val="24"/>
          </w:rPr>
          <w:t>Policy CC2: Water Resource Management</w:t>
        </w:r>
        <w:r w:rsidRPr="00220DC6">
          <w:rPr>
            <w:rFonts w:ascii="Arial" w:hAnsi="Arial" w:cs="Arial"/>
            <w:noProof/>
            <w:webHidden/>
            <w:sz w:val="24"/>
            <w:szCs w:val="24"/>
          </w:rPr>
          <w:tab/>
        </w:r>
        <w:r w:rsidRPr="00220DC6">
          <w:rPr>
            <w:rFonts w:ascii="Arial" w:hAnsi="Arial" w:cs="Arial"/>
            <w:noProof/>
            <w:webHidden/>
            <w:sz w:val="24"/>
            <w:szCs w:val="24"/>
          </w:rPr>
          <w:fldChar w:fldCharType="begin"/>
        </w:r>
        <w:r w:rsidRPr="00220DC6">
          <w:rPr>
            <w:rFonts w:ascii="Arial" w:hAnsi="Arial" w:cs="Arial"/>
            <w:noProof/>
            <w:webHidden/>
            <w:sz w:val="24"/>
            <w:szCs w:val="24"/>
          </w:rPr>
          <w:instrText xml:space="preserve"> PAGEREF _Toc145511571 \h </w:instrText>
        </w:r>
        <w:r w:rsidRPr="00220DC6">
          <w:rPr>
            <w:rFonts w:ascii="Arial" w:hAnsi="Arial" w:cs="Arial"/>
            <w:noProof/>
            <w:webHidden/>
            <w:sz w:val="24"/>
            <w:szCs w:val="24"/>
          </w:rPr>
        </w:r>
        <w:r w:rsidRPr="00220DC6">
          <w:rPr>
            <w:rFonts w:ascii="Arial" w:hAnsi="Arial" w:cs="Arial"/>
            <w:noProof/>
            <w:webHidden/>
            <w:sz w:val="24"/>
            <w:szCs w:val="24"/>
          </w:rPr>
          <w:fldChar w:fldCharType="separate"/>
        </w:r>
        <w:r w:rsidR="00100CF9" w:rsidRPr="00220DC6">
          <w:rPr>
            <w:rFonts w:ascii="Arial" w:hAnsi="Arial" w:cs="Arial"/>
            <w:noProof/>
            <w:webHidden/>
            <w:sz w:val="24"/>
            <w:szCs w:val="24"/>
          </w:rPr>
          <w:t>93</w:t>
        </w:r>
        <w:r w:rsidRPr="00220DC6">
          <w:rPr>
            <w:rFonts w:ascii="Arial" w:hAnsi="Arial" w:cs="Arial"/>
            <w:noProof/>
            <w:webHidden/>
            <w:sz w:val="24"/>
            <w:szCs w:val="24"/>
          </w:rPr>
          <w:fldChar w:fldCharType="end"/>
        </w:r>
      </w:hyperlink>
    </w:p>
    <w:p w14:paraId="14321F18" w14:textId="14609D45" w:rsidR="00BE6D36" w:rsidRPr="00220DC6" w:rsidRDefault="00BE6D36">
      <w:pPr>
        <w:pStyle w:val="TOC3"/>
        <w:tabs>
          <w:tab w:val="right" w:leader="dot" w:pos="9629"/>
        </w:tabs>
        <w:rPr>
          <w:rFonts w:ascii="Arial" w:eastAsiaTheme="minorEastAsia" w:hAnsi="Arial" w:cs="Arial"/>
          <w:noProof/>
          <w:color w:val="auto"/>
          <w:kern w:val="2"/>
          <w:sz w:val="24"/>
          <w:szCs w:val="24"/>
          <w14:ligatures w14:val="standardContextual"/>
        </w:rPr>
      </w:pPr>
      <w:hyperlink w:anchor="_Toc145511572" w:history="1">
        <w:r w:rsidRPr="00220DC6">
          <w:rPr>
            <w:rStyle w:val="Hyperlink"/>
            <w:rFonts w:ascii="Arial" w:eastAsia="Arial" w:hAnsi="Arial" w:cs="Arial"/>
            <w:noProof/>
            <w:sz w:val="24"/>
            <w:szCs w:val="24"/>
          </w:rPr>
          <w:t>Policy CC3: Flood Risk and Sustainable Drainage Systems (SuDs)</w:t>
        </w:r>
        <w:r w:rsidRPr="00220DC6">
          <w:rPr>
            <w:rFonts w:ascii="Arial" w:hAnsi="Arial" w:cs="Arial"/>
            <w:noProof/>
            <w:webHidden/>
            <w:sz w:val="24"/>
            <w:szCs w:val="24"/>
          </w:rPr>
          <w:tab/>
        </w:r>
        <w:r w:rsidRPr="00220DC6">
          <w:rPr>
            <w:rFonts w:ascii="Arial" w:hAnsi="Arial" w:cs="Arial"/>
            <w:noProof/>
            <w:webHidden/>
            <w:sz w:val="24"/>
            <w:szCs w:val="24"/>
          </w:rPr>
          <w:fldChar w:fldCharType="begin"/>
        </w:r>
        <w:r w:rsidRPr="00220DC6">
          <w:rPr>
            <w:rFonts w:ascii="Arial" w:hAnsi="Arial" w:cs="Arial"/>
            <w:noProof/>
            <w:webHidden/>
            <w:sz w:val="24"/>
            <w:szCs w:val="24"/>
          </w:rPr>
          <w:instrText xml:space="preserve"> PAGEREF _Toc145511572 \h </w:instrText>
        </w:r>
        <w:r w:rsidRPr="00220DC6">
          <w:rPr>
            <w:rFonts w:ascii="Arial" w:hAnsi="Arial" w:cs="Arial"/>
            <w:noProof/>
            <w:webHidden/>
            <w:sz w:val="24"/>
            <w:szCs w:val="24"/>
          </w:rPr>
        </w:r>
        <w:r w:rsidRPr="00220DC6">
          <w:rPr>
            <w:rFonts w:ascii="Arial" w:hAnsi="Arial" w:cs="Arial"/>
            <w:noProof/>
            <w:webHidden/>
            <w:sz w:val="24"/>
            <w:szCs w:val="24"/>
          </w:rPr>
          <w:fldChar w:fldCharType="separate"/>
        </w:r>
        <w:r w:rsidR="00100CF9" w:rsidRPr="00220DC6">
          <w:rPr>
            <w:rFonts w:ascii="Arial" w:hAnsi="Arial" w:cs="Arial"/>
            <w:noProof/>
            <w:webHidden/>
            <w:sz w:val="24"/>
            <w:szCs w:val="24"/>
          </w:rPr>
          <w:t>98</w:t>
        </w:r>
        <w:r w:rsidRPr="00220DC6">
          <w:rPr>
            <w:rFonts w:ascii="Arial" w:hAnsi="Arial" w:cs="Arial"/>
            <w:noProof/>
            <w:webHidden/>
            <w:sz w:val="24"/>
            <w:szCs w:val="24"/>
          </w:rPr>
          <w:fldChar w:fldCharType="end"/>
        </w:r>
      </w:hyperlink>
    </w:p>
    <w:p w14:paraId="61DFA0BA" w14:textId="5780CD7B" w:rsidR="00BE6D36" w:rsidRPr="00220DC6" w:rsidRDefault="00BE6D36">
      <w:pPr>
        <w:pStyle w:val="TOC1"/>
        <w:tabs>
          <w:tab w:val="right" w:leader="dot" w:pos="9629"/>
        </w:tabs>
        <w:rPr>
          <w:rFonts w:ascii="Arial" w:eastAsiaTheme="minorEastAsia" w:hAnsi="Arial" w:cs="Arial"/>
          <w:b w:val="0"/>
          <w:bCs w:val="0"/>
          <w:caps w:val="0"/>
          <w:noProof/>
          <w:color w:val="auto"/>
          <w:kern w:val="2"/>
          <w14:ligatures w14:val="standardContextual"/>
        </w:rPr>
      </w:pPr>
      <w:hyperlink w:anchor="_Toc145511573" w:history="1">
        <w:r w:rsidRPr="00220DC6">
          <w:rPr>
            <w:rStyle w:val="Hyperlink"/>
            <w:rFonts w:ascii="Arial" w:hAnsi="Arial" w:cs="Arial"/>
            <w:noProof/>
          </w:rPr>
          <w:t>Chapter 5</w:t>
        </w:r>
        <w:r w:rsidRPr="00220DC6">
          <w:rPr>
            <w:rFonts w:ascii="Arial" w:hAnsi="Arial" w:cs="Arial"/>
            <w:noProof/>
            <w:webHidden/>
          </w:rPr>
          <w:tab/>
        </w:r>
        <w:r w:rsidRPr="00220DC6">
          <w:rPr>
            <w:rFonts w:ascii="Arial" w:hAnsi="Arial" w:cs="Arial"/>
            <w:noProof/>
            <w:webHidden/>
          </w:rPr>
          <w:fldChar w:fldCharType="begin"/>
        </w:r>
        <w:r w:rsidRPr="00220DC6">
          <w:rPr>
            <w:rFonts w:ascii="Arial" w:hAnsi="Arial" w:cs="Arial"/>
            <w:noProof/>
            <w:webHidden/>
          </w:rPr>
          <w:instrText xml:space="preserve"> PAGEREF _Toc145511573 \h </w:instrText>
        </w:r>
        <w:r w:rsidRPr="00220DC6">
          <w:rPr>
            <w:rFonts w:ascii="Arial" w:hAnsi="Arial" w:cs="Arial"/>
            <w:noProof/>
            <w:webHidden/>
          </w:rPr>
        </w:r>
        <w:r w:rsidRPr="00220DC6">
          <w:rPr>
            <w:rFonts w:ascii="Arial" w:hAnsi="Arial" w:cs="Arial"/>
            <w:noProof/>
            <w:webHidden/>
          </w:rPr>
          <w:fldChar w:fldCharType="separate"/>
        </w:r>
        <w:r w:rsidR="00100CF9" w:rsidRPr="00220DC6">
          <w:rPr>
            <w:rFonts w:ascii="Arial" w:hAnsi="Arial" w:cs="Arial"/>
            <w:noProof/>
            <w:webHidden/>
          </w:rPr>
          <w:t>103</w:t>
        </w:r>
        <w:r w:rsidRPr="00220DC6">
          <w:rPr>
            <w:rFonts w:ascii="Arial" w:hAnsi="Arial" w:cs="Arial"/>
            <w:noProof/>
            <w:webHidden/>
          </w:rPr>
          <w:fldChar w:fldCharType="end"/>
        </w:r>
      </w:hyperlink>
    </w:p>
    <w:p w14:paraId="5B25E493" w14:textId="5C81F6FE" w:rsidR="00BE6D36" w:rsidRPr="00220DC6" w:rsidRDefault="00BE6D36">
      <w:pPr>
        <w:pStyle w:val="TOC1"/>
        <w:tabs>
          <w:tab w:val="right" w:leader="dot" w:pos="9629"/>
        </w:tabs>
        <w:rPr>
          <w:rFonts w:ascii="Arial" w:eastAsiaTheme="minorEastAsia" w:hAnsi="Arial" w:cs="Arial"/>
          <w:b w:val="0"/>
          <w:bCs w:val="0"/>
          <w:caps w:val="0"/>
          <w:noProof/>
          <w:color w:val="auto"/>
          <w:kern w:val="2"/>
          <w14:ligatures w14:val="standardContextual"/>
        </w:rPr>
      </w:pPr>
      <w:hyperlink w:anchor="_Toc145511574" w:history="1">
        <w:r w:rsidRPr="00220DC6">
          <w:rPr>
            <w:rStyle w:val="Hyperlink"/>
            <w:rFonts w:ascii="Arial" w:hAnsi="Arial" w:cs="Arial"/>
            <w:noProof/>
          </w:rPr>
          <w:t>Protecting and enhancing Ashfield’s character through its natural environment and heritage</w:t>
        </w:r>
        <w:r w:rsidRPr="00220DC6">
          <w:rPr>
            <w:rFonts w:ascii="Arial" w:hAnsi="Arial" w:cs="Arial"/>
            <w:noProof/>
            <w:webHidden/>
          </w:rPr>
          <w:tab/>
        </w:r>
        <w:r w:rsidRPr="00220DC6">
          <w:rPr>
            <w:rFonts w:ascii="Arial" w:hAnsi="Arial" w:cs="Arial"/>
            <w:noProof/>
            <w:webHidden/>
          </w:rPr>
          <w:fldChar w:fldCharType="begin"/>
        </w:r>
        <w:r w:rsidRPr="00220DC6">
          <w:rPr>
            <w:rFonts w:ascii="Arial" w:hAnsi="Arial" w:cs="Arial"/>
            <w:noProof/>
            <w:webHidden/>
          </w:rPr>
          <w:instrText xml:space="preserve"> PAGEREF _Toc145511574 \h </w:instrText>
        </w:r>
        <w:r w:rsidRPr="00220DC6">
          <w:rPr>
            <w:rFonts w:ascii="Arial" w:hAnsi="Arial" w:cs="Arial"/>
            <w:noProof/>
            <w:webHidden/>
          </w:rPr>
        </w:r>
        <w:r w:rsidRPr="00220DC6">
          <w:rPr>
            <w:rFonts w:ascii="Arial" w:hAnsi="Arial" w:cs="Arial"/>
            <w:noProof/>
            <w:webHidden/>
          </w:rPr>
          <w:fldChar w:fldCharType="separate"/>
        </w:r>
        <w:r w:rsidR="00100CF9" w:rsidRPr="00220DC6">
          <w:rPr>
            <w:rFonts w:ascii="Arial" w:hAnsi="Arial" w:cs="Arial"/>
            <w:noProof/>
            <w:webHidden/>
          </w:rPr>
          <w:t>103</w:t>
        </w:r>
        <w:r w:rsidRPr="00220DC6">
          <w:rPr>
            <w:rFonts w:ascii="Arial" w:hAnsi="Arial" w:cs="Arial"/>
            <w:noProof/>
            <w:webHidden/>
          </w:rPr>
          <w:fldChar w:fldCharType="end"/>
        </w:r>
      </w:hyperlink>
    </w:p>
    <w:p w14:paraId="57BEAF8C" w14:textId="2AC628C5" w:rsidR="00BE6D36" w:rsidRPr="00220DC6" w:rsidRDefault="00BE6D36">
      <w:pPr>
        <w:pStyle w:val="TOC3"/>
        <w:tabs>
          <w:tab w:val="right" w:leader="dot" w:pos="9629"/>
        </w:tabs>
        <w:rPr>
          <w:rFonts w:ascii="Arial" w:eastAsiaTheme="minorEastAsia" w:hAnsi="Arial" w:cs="Arial"/>
          <w:noProof/>
          <w:color w:val="auto"/>
          <w:kern w:val="2"/>
          <w:sz w:val="24"/>
          <w:szCs w:val="24"/>
          <w14:ligatures w14:val="standardContextual"/>
        </w:rPr>
      </w:pPr>
      <w:hyperlink w:anchor="_Toc145511575" w:history="1">
        <w:r w:rsidRPr="00220DC6">
          <w:rPr>
            <w:rStyle w:val="Hyperlink"/>
            <w:rFonts w:ascii="Arial" w:hAnsi="Arial" w:cs="Arial"/>
            <w:noProof/>
            <w:sz w:val="24"/>
            <w:szCs w:val="24"/>
          </w:rPr>
          <w:t xml:space="preserve">Policy EV1: </w:t>
        </w:r>
        <w:r w:rsidRPr="00220DC6">
          <w:rPr>
            <w:rStyle w:val="Hyperlink"/>
            <w:rFonts w:ascii="Arial" w:eastAsia="Arial" w:hAnsi="Arial" w:cs="Arial"/>
            <w:noProof/>
            <w:sz w:val="24"/>
            <w:szCs w:val="24"/>
          </w:rPr>
          <w:t>Green Belt</w:t>
        </w:r>
        <w:r w:rsidRPr="00220DC6">
          <w:rPr>
            <w:rFonts w:ascii="Arial" w:hAnsi="Arial" w:cs="Arial"/>
            <w:noProof/>
            <w:webHidden/>
            <w:sz w:val="24"/>
            <w:szCs w:val="24"/>
          </w:rPr>
          <w:tab/>
        </w:r>
        <w:r w:rsidRPr="00220DC6">
          <w:rPr>
            <w:rFonts w:ascii="Arial" w:hAnsi="Arial" w:cs="Arial"/>
            <w:noProof/>
            <w:webHidden/>
            <w:sz w:val="24"/>
            <w:szCs w:val="24"/>
          </w:rPr>
          <w:fldChar w:fldCharType="begin"/>
        </w:r>
        <w:r w:rsidRPr="00220DC6">
          <w:rPr>
            <w:rFonts w:ascii="Arial" w:hAnsi="Arial" w:cs="Arial"/>
            <w:noProof/>
            <w:webHidden/>
            <w:sz w:val="24"/>
            <w:szCs w:val="24"/>
          </w:rPr>
          <w:instrText xml:space="preserve"> PAGEREF _Toc145511575 \h </w:instrText>
        </w:r>
        <w:r w:rsidRPr="00220DC6">
          <w:rPr>
            <w:rFonts w:ascii="Arial" w:hAnsi="Arial" w:cs="Arial"/>
            <w:noProof/>
            <w:webHidden/>
            <w:sz w:val="24"/>
            <w:szCs w:val="24"/>
          </w:rPr>
        </w:r>
        <w:r w:rsidRPr="00220DC6">
          <w:rPr>
            <w:rFonts w:ascii="Arial" w:hAnsi="Arial" w:cs="Arial"/>
            <w:noProof/>
            <w:webHidden/>
            <w:sz w:val="24"/>
            <w:szCs w:val="24"/>
          </w:rPr>
          <w:fldChar w:fldCharType="separate"/>
        </w:r>
        <w:r w:rsidR="00100CF9" w:rsidRPr="00220DC6">
          <w:rPr>
            <w:rFonts w:ascii="Arial" w:hAnsi="Arial" w:cs="Arial"/>
            <w:noProof/>
            <w:webHidden/>
            <w:sz w:val="24"/>
            <w:szCs w:val="24"/>
          </w:rPr>
          <w:t>103</w:t>
        </w:r>
        <w:r w:rsidRPr="00220DC6">
          <w:rPr>
            <w:rFonts w:ascii="Arial" w:hAnsi="Arial" w:cs="Arial"/>
            <w:noProof/>
            <w:webHidden/>
            <w:sz w:val="24"/>
            <w:szCs w:val="24"/>
          </w:rPr>
          <w:fldChar w:fldCharType="end"/>
        </w:r>
      </w:hyperlink>
    </w:p>
    <w:p w14:paraId="49616706" w14:textId="77D03678" w:rsidR="00BE6D36" w:rsidRPr="00220DC6" w:rsidRDefault="00BE6D36">
      <w:pPr>
        <w:pStyle w:val="TOC3"/>
        <w:tabs>
          <w:tab w:val="right" w:leader="dot" w:pos="9629"/>
        </w:tabs>
        <w:rPr>
          <w:rFonts w:ascii="Arial" w:eastAsiaTheme="minorEastAsia" w:hAnsi="Arial" w:cs="Arial"/>
          <w:noProof/>
          <w:color w:val="auto"/>
          <w:kern w:val="2"/>
          <w:sz w:val="24"/>
          <w:szCs w:val="24"/>
          <w14:ligatures w14:val="standardContextual"/>
        </w:rPr>
      </w:pPr>
      <w:hyperlink w:anchor="_Toc145511576" w:history="1">
        <w:r w:rsidRPr="00220DC6">
          <w:rPr>
            <w:rStyle w:val="Hyperlink"/>
            <w:rFonts w:ascii="Arial" w:hAnsi="Arial" w:cs="Arial"/>
            <w:noProof/>
            <w:sz w:val="24"/>
            <w:szCs w:val="24"/>
          </w:rPr>
          <w:t>Policy EV2: Countryside</w:t>
        </w:r>
        <w:r w:rsidRPr="00220DC6">
          <w:rPr>
            <w:rFonts w:ascii="Arial" w:hAnsi="Arial" w:cs="Arial"/>
            <w:noProof/>
            <w:webHidden/>
            <w:sz w:val="24"/>
            <w:szCs w:val="24"/>
          </w:rPr>
          <w:tab/>
        </w:r>
        <w:r w:rsidRPr="00220DC6">
          <w:rPr>
            <w:rFonts w:ascii="Arial" w:hAnsi="Arial" w:cs="Arial"/>
            <w:noProof/>
            <w:webHidden/>
            <w:sz w:val="24"/>
            <w:szCs w:val="24"/>
          </w:rPr>
          <w:fldChar w:fldCharType="begin"/>
        </w:r>
        <w:r w:rsidRPr="00220DC6">
          <w:rPr>
            <w:rFonts w:ascii="Arial" w:hAnsi="Arial" w:cs="Arial"/>
            <w:noProof/>
            <w:webHidden/>
            <w:sz w:val="24"/>
            <w:szCs w:val="24"/>
          </w:rPr>
          <w:instrText xml:space="preserve"> PAGEREF _Toc145511576 \h </w:instrText>
        </w:r>
        <w:r w:rsidRPr="00220DC6">
          <w:rPr>
            <w:rFonts w:ascii="Arial" w:hAnsi="Arial" w:cs="Arial"/>
            <w:noProof/>
            <w:webHidden/>
            <w:sz w:val="24"/>
            <w:szCs w:val="24"/>
          </w:rPr>
        </w:r>
        <w:r w:rsidRPr="00220DC6">
          <w:rPr>
            <w:rFonts w:ascii="Arial" w:hAnsi="Arial" w:cs="Arial"/>
            <w:noProof/>
            <w:webHidden/>
            <w:sz w:val="24"/>
            <w:szCs w:val="24"/>
          </w:rPr>
          <w:fldChar w:fldCharType="separate"/>
        </w:r>
        <w:r w:rsidR="00100CF9" w:rsidRPr="00220DC6">
          <w:rPr>
            <w:rFonts w:ascii="Arial" w:hAnsi="Arial" w:cs="Arial"/>
            <w:noProof/>
            <w:webHidden/>
            <w:sz w:val="24"/>
            <w:szCs w:val="24"/>
          </w:rPr>
          <w:t>108</w:t>
        </w:r>
        <w:r w:rsidRPr="00220DC6">
          <w:rPr>
            <w:rFonts w:ascii="Arial" w:hAnsi="Arial" w:cs="Arial"/>
            <w:noProof/>
            <w:webHidden/>
            <w:sz w:val="24"/>
            <w:szCs w:val="24"/>
          </w:rPr>
          <w:fldChar w:fldCharType="end"/>
        </w:r>
      </w:hyperlink>
    </w:p>
    <w:p w14:paraId="38BA30DD" w14:textId="1F149647" w:rsidR="00BE6D36" w:rsidRPr="00220DC6" w:rsidRDefault="00BE6D36">
      <w:pPr>
        <w:pStyle w:val="TOC3"/>
        <w:tabs>
          <w:tab w:val="right" w:leader="dot" w:pos="9629"/>
        </w:tabs>
        <w:rPr>
          <w:rFonts w:ascii="Arial" w:eastAsiaTheme="minorEastAsia" w:hAnsi="Arial" w:cs="Arial"/>
          <w:noProof/>
          <w:color w:val="auto"/>
          <w:kern w:val="2"/>
          <w:sz w:val="24"/>
          <w:szCs w:val="24"/>
          <w14:ligatures w14:val="standardContextual"/>
        </w:rPr>
      </w:pPr>
      <w:hyperlink w:anchor="_Toc145511577" w:history="1">
        <w:r w:rsidRPr="00220DC6">
          <w:rPr>
            <w:rStyle w:val="Hyperlink"/>
            <w:rFonts w:ascii="Arial" w:eastAsia="Arial" w:hAnsi="Arial" w:cs="Arial"/>
            <w:noProof/>
            <w:sz w:val="24"/>
            <w:szCs w:val="24"/>
          </w:rPr>
          <w:t>Policy EV3: Re-use of Buildings in the Green Belt and Countryside</w:t>
        </w:r>
        <w:r w:rsidRPr="00220DC6">
          <w:rPr>
            <w:rFonts w:ascii="Arial" w:hAnsi="Arial" w:cs="Arial"/>
            <w:noProof/>
            <w:webHidden/>
            <w:sz w:val="24"/>
            <w:szCs w:val="24"/>
          </w:rPr>
          <w:tab/>
        </w:r>
        <w:r w:rsidRPr="00220DC6">
          <w:rPr>
            <w:rFonts w:ascii="Arial" w:hAnsi="Arial" w:cs="Arial"/>
            <w:noProof/>
            <w:webHidden/>
            <w:sz w:val="24"/>
            <w:szCs w:val="24"/>
          </w:rPr>
          <w:fldChar w:fldCharType="begin"/>
        </w:r>
        <w:r w:rsidRPr="00220DC6">
          <w:rPr>
            <w:rFonts w:ascii="Arial" w:hAnsi="Arial" w:cs="Arial"/>
            <w:noProof/>
            <w:webHidden/>
            <w:sz w:val="24"/>
            <w:szCs w:val="24"/>
          </w:rPr>
          <w:instrText xml:space="preserve"> PAGEREF _Toc145511577 \h </w:instrText>
        </w:r>
        <w:r w:rsidRPr="00220DC6">
          <w:rPr>
            <w:rFonts w:ascii="Arial" w:hAnsi="Arial" w:cs="Arial"/>
            <w:noProof/>
            <w:webHidden/>
            <w:sz w:val="24"/>
            <w:szCs w:val="24"/>
          </w:rPr>
        </w:r>
        <w:r w:rsidRPr="00220DC6">
          <w:rPr>
            <w:rFonts w:ascii="Arial" w:hAnsi="Arial" w:cs="Arial"/>
            <w:noProof/>
            <w:webHidden/>
            <w:sz w:val="24"/>
            <w:szCs w:val="24"/>
          </w:rPr>
          <w:fldChar w:fldCharType="separate"/>
        </w:r>
        <w:r w:rsidR="00100CF9" w:rsidRPr="00220DC6">
          <w:rPr>
            <w:rFonts w:ascii="Arial" w:hAnsi="Arial" w:cs="Arial"/>
            <w:noProof/>
            <w:webHidden/>
            <w:sz w:val="24"/>
            <w:szCs w:val="24"/>
          </w:rPr>
          <w:t>114</w:t>
        </w:r>
        <w:r w:rsidRPr="00220DC6">
          <w:rPr>
            <w:rFonts w:ascii="Arial" w:hAnsi="Arial" w:cs="Arial"/>
            <w:noProof/>
            <w:webHidden/>
            <w:sz w:val="24"/>
            <w:szCs w:val="24"/>
          </w:rPr>
          <w:fldChar w:fldCharType="end"/>
        </w:r>
      </w:hyperlink>
    </w:p>
    <w:p w14:paraId="59F16666" w14:textId="7234B241" w:rsidR="00BE6D36" w:rsidRPr="00220DC6" w:rsidRDefault="00BE6D36">
      <w:pPr>
        <w:pStyle w:val="TOC3"/>
        <w:tabs>
          <w:tab w:val="right" w:leader="dot" w:pos="9629"/>
        </w:tabs>
        <w:rPr>
          <w:rFonts w:ascii="Arial" w:eastAsiaTheme="minorEastAsia" w:hAnsi="Arial" w:cs="Arial"/>
          <w:noProof/>
          <w:color w:val="auto"/>
          <w:kern w:val="2"/>
          <w:sz w:val="24"/>
          <w:szCs w:val="24"/>
          <w14:ligatures w14:val="standardContextual"/>
        </w:rPr>
      </w:pPr>
      <w:hyperlink w:anchor="_Toc145511578" w:history="1">
        <w:r w:rsidRPr="00220DC6">
          <w:rPr>
            <w:rStyle w:val="Hyperlink"/>
            <w:rFonts w:ascii="Arial" w:eastAsia="Arial" w:hAnsi="Arial" w:cs="Arial"/>
            <w:noProof/>
            <w:sz w:val="24"/>
            <w:szCs w:val="24"/>
          </w:rPr>
          <w:t>Policy EV4: Green Infrastructure, Biodiversity and Geodiversity</w:t>
        </w:r>
        <w:r w:rsidRPr="00220DC6">
          <w:rPr>
            <w:rFonts w:ascii="Arial" w:hAnsi="Arial" w:cs="Arial"/>
            <w:noProof/>
            <w:webHidden/>
            <w:sz w:val="24"/>
            <w:szCs w:val="24"/>
          </w:rPr>
          <w:tab/>
        </w:r>
        <w:r w:rsidRPr="00220DC6">
          <w:rPr>
            <w:rFonts w:ascii="Arial" w:hAnsi="Arial" w:cs="Arial"/>
            <w:noProof/>
            <w:webHidden/>
            <w:sz w:val="24"/>
            <w:szCs w:val="24"/>
          </w:rPr>
          <w:fldChar w:fldCharType="begin"/>
        </w:r>
        <w:r w:rsidRPr="00220DC6">
          <w:rPr>
            <w:rFonts w:ascii="Arial" w:hAnsi="Arial" w:cs="Arial"/>
            <w:noProof/>
            <w:webHidden/>
            <w:sz w:val="24"/>
            <w:szCs w:val="24"/>
          </w:rPr>
          <w:instrText xml:space="preserve"> PAGEREF _Toc145511578 \h </w:instrText>
        </w:r>
        <w:r w:rsidRPr="00220DC6">
          <w:rPr>
            <w:rFonts w:ascii="Arial" w:hAnsi="Arial" w:cs="Arial"/>
            <w:noProof/>
            <w:webHidden/>
            <w:sz w:val="24"/>
            <w:szCs w:val="24"/>
          </w:rPr>
        </w:r>
        <w:r w:rsidRPr="00220DC6">
          <w:rPr>
            <w:rFonts w:ascii="Arial" w:hAnsi="Arial" w:cs="Arial"/>
            <w:noProof/>
            <w:webHidden/>
            <w:sz w:val="24"/>
            <w:szCs w:val="24"/>
          </w:rPr>
          <w:fldChar w:fldCharType="separate"/>
        </w:r>
        <w:r w:rsidR="00100CF9" w:rsidRPr="00220DC6">
          <w:rPr>
            <w:rFonts w:ascii="Arial" w:hAnsi="Arial" w:cs="Arial"/>
            <w:noProof/>
            <w:webHidden/>
            <w:sz w:val="24"/>
            <w:szCs w:val="24"/>
          </w:rPr>
          <w:t>117</w:t>
        </w:r>
        <w:r w:rsidRPr="00220DC6">
          <w:rPr>
            <w:rFonts w:ascii="Arial" w:hAnsi="Arial" w:cs="Arial"/>
            <w:noProof/>
            <w:webHidden/>
            <w:sz w:val="24"/>
            <w:szCs w:val="24"/>
          </w:rPr>
          <w:fldChar w:fldCharType="end"/>
        </w:r>
      </w:hyperlink>
    </w:p>
    <w:p w14:paraId="1CF24846" w14:textId="32BC94E2" w:rsidR="00BE6D36" w:rsidRPr="00220DC6" w:rsidRDefault="00BE6D36">
      <w:pPr>
        <w:pStyle w:val="TOC3"/>
        <w:tabs>
          <w:tab w:val="right" w:leader="dot" w:pos="9629"/>
        </w:tabs>
        <w:rPr>
          <w:rFonts w:ascii="Arial" w:eastAsiaTheme="minorEastAsia" w:hAnsi="Arial" w:cs="Arial"/>
          <w:noProof/>
          <w:color w:val="auto"/>
          <w:kern w:val="2"/>
          <w:sz w:val="24"/>
          <w:szCs w:val="24"/>
          <w14:ligatures w14:val="standardContextual"/>
        </w:rPr>
      </w:pPr>
      <w:hyperlink w:anchor="_Toc145511579" w:history="1">
        <w:r w:rsidRPr="00220DC6">
          <w:rPr>
            <w:rStyle w:val="Hyperlink"/>
            <w:rFonts w:ascii="Arial" w:eastAsia="Arial" w:hAnsi="Arial" w:cs="Arial"/>
            <w:noProof/>
            <w:sz w:val="24"/>
            <w:szCs w:val="24"/>
          </w:rPr>
          <w:t>Policy EV5: Protection of Green Spaces and Recreation Facilities</w:t>
        </w:r>
        <w:r w:rsidRPr="00220DC6">
          <w:rPr>
            <w:rFonts w:ascii="Arial" w:hAnsi="Arial" w:cs="Arial"/>
            <w:noProof/>
            <w:webHidden/>
            <w:sz w:val="24"/>
            <w:szCs w:val="24"/>
          </w:rPr>
          <w:tab/>
        </w:r>
        <w:r w:rsidRPr="00220DC6">
          <w:rPr>
            <w:rFonts w:ascii="Arial" w:hAnsi="Arial" w:cs="Arial"/>
            <w:noProof/>
            <w:webHidden/>
            <w:sz w:val="24"/>
            <w:szCs w:val="24"/>
          </w:rPr>
          <w:fldChar w:fldCharType="begin"/>
        </w:r>
        <w:r w:rsidRPr="00220DC6">
          <w:rPr>
            <w:rFonts w:ascii="Arial" w:hAnsi="Arial" w:cs="Arial"/>
            <w:noProof/>
            <w:webHidden/>
            <w:sz w:val="24"/>
            <w:szCs w:val="24"/>
          </w:rPr>
          <w:instrText xml:space="preserve"> PAGEREF _Toc145511579 \h </w:instrText>
        </w:r>
        <w:r w:rsidRPr="00220DC6">
          <w:rPr>
            <w:rFonts w:ascii="Arial" w:hAnsi="Arial" w:cs="Arial"/>
            <w:noProof/>
            <w:webHidden/>
            <w:sz w:val="24"/>
            <w:szCs w:val="24"/>
          </w:rPr>
        </w:r>
        <w:r w:rsidRPr="00220DC6">
          <w:rPr>
            <w:rFonts w:ascii="Arial" w:hAnsi="Arial" w:cs="Arial"/>
            <w:noProof/>
            <w:webHidden/>
            <w:sz w:val="24"/>
            <w:szCs w:val="24"/>
          </w:rPr>
          <w:fldChar w:fldCharType="separate"/>
        </w:r>
        <w:r w:rsidR="00100CF9" w:rsidRPr="00220DC6">
          <w:rPr>
            <w:rFonts w:ascii="Arial" w:hAnsi="Arial" w:cs="Arial"/>
            <w:noProof/>
            <w:webHidden/>
            <w:sz w:val="24"/>
            <w:szCs w:val="24"/>
          </w:rPr>
          <w:t>125</w:t>
        </w:r>
        <w:r w:rsidRPr="00220DC6">
          <w:rPr>
            <w:rFonts w:ascii="Arial" w:hAnsi="Arial" w:cs="Arial"/>
            <w:noProof/>
            <w:webHidden/>
            <w:sz w:val="24"/>
            <w:szCs w:val="24"/>
          </w:rPr>
          <w:fldChar w:fldCharType="end"/>
        </w:r>
      </w:hyperlink>
    </w:p>
    <w:p w14:paraId="15CB6A84" w14:textId="61C7EAD7" w:rsidR="00BE6D36" w:rsidRPr="00220DC6" w:rsidRDefault="00BE6D36">
      <w:pPr>
        <w:pStyle w:val="TOC3"/>
        <w:tabs>
          <w:tab w:val="right" w:leader="dot" w:pos="9629"/>
        </w:tabs>
        <w:rPr>
          <w:rFonts w:ascii="Arial" w:eastAsiaTheme="minorEastAsia" w:hAnsi="Arial" w:cs="Arial"/>
          <w:noProof/>
          <w:color w:val="auto"/>
          <w:kern w:val="2"/>
          <w:sz w:val="24"/>
          <w:szCs w:val="24"/>
          <w14:ligatures w14:val="standardContextual"/>
        </w:rPr>
      </w:pPr>
      <w:hyperlink w:anchor="_Toc145511580" w:history="1">
        <w:r w:rsidRPr="00220DC6">
          <w:rPr>
            <w:rStyle w:val="Hyperlink"/>
            <w:rFonts w:ascii="Arial" w:eastAsia="Arial" w:hAnsi="Arial" w:cs="Arial"/>
            <w:noProof/>
            <w:spacing w:val="-1"/>
            <w:sz w:val="24"/>
            <w:szCs w:val="24"/>
          </w:rPr>
          <w:t xml:space="preserve">Policy EV6: </w:t>
        </w:r>
        <w:r w:rsidRPr="00220DC6">
          <w:rPr>
            <w:rStyle w:val="Hyperlink"/>
            <w:rFonts w:ascii="Arial" w:eastAsia="Arial" w:hAnsi="Arial" w:cs="Arial"/>
            <w:noProof/>
            <w:sz w:val="24"/>
            <w:szCs w:val="24"/>
          </w:rPr>
          <w:t>Trees, Woodland and Hedgerows</w:t>
        </w:r>
        <w:r w:rsidRPr="00220DC6">
          <w:rPr>
            <w:rFonts w:ascii="Arial" w:hAnsi="Arial" w:cs="Arial"/>
            <w:noProof/>
            <w:webHidden/>
            <w:sz w:val="24"/>
            <w:szCs w:val="24"/>
          </w:rPr>
          <w:tab/>
        </w:r>
        <w:r w:rsidRPr="00220DC6">
          <w:rPr>
            <w:rFonts w:ascii="Arial" w:hAnsi="Arial" w:cs="Arial"/>
            <w:noProof/>
            <w:webHidden/>
            <w:sz w:val="24"/>
            <w:szCs w:val="24"/>
          </w:rPr>
          <w:fldChar w:fldCharType="begin"/>
        </w:r>
        <w:r w:rsidRPr="00220DC6">
          <w:rPr>
            <w:rFonts w:ascii="Arial" w:hAnsi="Arial" w:cs="Arial"/>
            <w:noProof/>
            <w:webHidden/>
            <w:sz w:val="24"/>
            <w:szCs w:val="24"/>
          </w:rPr>
          <w:instrText xml:space="preserve"> PAGEREF _Toc145511580 \h </w:instrText>
        </w:r>
        <w:r w:rsidRPr="00220DC6">
          <w:rPr>
            <w:rFonts w:ascii="Arial" w:hAnsi="Arial" w:cs="Arial"/>
            <w:noProof/>
            <w:webHidden/>
            <w:sz w:val="24"/>
            <w:szCs w:val="24"/>
          </w:rPr>
        </w:r>
        <w:r w:rsidRPr="00220DC6">
          <w:rPr>
            <w:rFonts w:ascii="Arial" w:hAnsi="Arial" w:cs="Arial"/>
            <w:noProof/>
            <w:webHidden/>
            <w:sz w:val="24"/>
            <w:szCs w:val="24"/>
          </w:rPr>
          <w:fldChar w:fldCharType="separate"/>
        </w:r>
        <w:r w:rsidR="00100CF9" w:rsidRPr="00220DC6">
          <w:rPr>
            <w:rFonts w:ascii="Arial" w:hAnsi="Arial" w:cs="Arial"/>
            <w:noProof/>
            <w:webHidden/>
            <w:sz w:val="24"/>
            <w:szCs w:val="24"/>
          </w:rPr>
          <w:t>128</w:t>
        </w:r>
        <w:r w:rsidRPr="00220DC6">
          <w:rPr>
            <w:rFonts w:ascii="Arial" w:hAnsi="Arial" w:cs="Arial"/>
            <w:noProof/>
            <w:webHidden/>
            <w:sz w:val="24"/>
            <w:szCs w:val="24"/>
          </w:rPr>
          <w:fldChar w:fldCharType="end"/>
        </w:r>
      </w:hyperlink>
    </w:p>
    <w:p w14:paraId="37C20F90" w14:textId="1F16D95B" w:rsidR="00BE6D36" w:rsidRPr="00220DC6" w:rsidRDefault="00BE6D36">
      <w:pPr>
        <w:pStyle w:val="TOC3"/>
        <w:tabs>
          <w:tab w:val="right" w:leader="dot" w:pos="9629"/>
        </w:tabs>
        <w:rPr>
          <w:rFonts w:ascii="Arial" w:eastAsiaTheme="minorEastAsia" w:hAnsi="Arial" w:cs="Arial"/>
          <w:noProof/>
          <w:color w:val="auto"/>
          <w:kern w:val="2"/>
          <w:sz w:val="24"/>
          <w:szCs w:val="24"/>
          <w14:ligatures w14:val="standardContextual"/>
        </w:rPr>
      </w:pPr>
      <w:hyperlink w:anchor="_Toc145511581" w:history="1">
        <w:r w:rsidRPr="00220DC6">
          <w:rPr>
            <w:rStyle w:val="Hyperlink"/>
            <w:rFonts w:ascii="Arial" w:eastAsia="Arial" w:hAnsi="Arial" w:cs="Arial"/>
            <w:noProof/>
            <w:sz w:val="24"/>
            <w:szCs w:val="24"/>
          </w:rPr>
          <w:t>Policy EV7: Provision and Protection of Allotments</w:t>
        </w:r>
        <w:r w:rsidRPr="00220DC6">
          <w:rPr>
            <w:rFonts w:ascii="Arial" w:hAnsi="Arial" w:cs="Arial"/>
            <w:noProof/>
            <w:webHidden/>
            <w:sz w:val="24"/>
            <w:szCs w:val="24"/>
          </w:rPr>
          <w:tab/>
        </w:r>
        <w:r w:rsidRPr="00220DC6">
          <w:rPr>
            <w:rFonts w:ascii="Arial" w:hAnsi="Arial" w:cs="Arial"/>
            <w:noProof/>
            <w:webHidden/>
            <w:sz w:val="24"/>
            <w:szCs w:val="24"/>
          </w:rPr>
          <w:fldChar w:fldCharType="begin"/>
        </w:r>
        <w:r w:rsidRPr="00220DC6">
          <w:rPr>
            <w:rFonts w:ascii="Arial" w:hAnsi="Arial" w:cs="Arial"/>
            <w:noProof/>
            <w:webHidden/>
            <w:sz w:val="24"/>
            <w:szCs w:val="24"/>
          </w:rPr>
          <w:instrText xml:space="preserve"> PAGEREF _Toc145511581 \h </w:instrText>
        </w:r>
        <w:r w:rsidRPr="00220DC6">
          <w:rPr>
            <w:rFonts w:ascii="Arial" w:hAnsi="Arial" w:cs="Arial"/>
            <w:noProof/>
            <w:webHidden/>
            <w:sz w:val="24"/>
            <w:szCs w:val="24"/>
          </w:rPr>
        </w:r>
        <w:r w:rsidRPr="00220DC6">
          <w:rPr>
            <w:rFonts w:ascii="Arial" w:hAnsi="Arial" w:cs="Arial"/>
            <w:noProof/>
            <w:webHidden/>
            <w:sz w:val="24"/>
            <w:szCs w:val="24"/>
          </w:rPr>
          <w:fldChar w:fldCharType="separate"/>
        </w:r>
        <w:r w:rsidR="00100CF9" w:rsidRPr="00220DC6">
          <w:rPr>
            <w:rFonts w:ascii="Arial" w:hAnsi="Arial" w:cs="Arial"/>
            <w:noProof/>
            <w:webHidden/>
            <w:sz w:val="24"/>
            <w:szCs w:val="24"/>
          </w:rPr>
          <w:t>133</w:t>
        </w:r>
        <w:r w:rsidRPr="00220DC6">
          <w:rPr>
            <w:rFonts w:ascii="Arial" w:hAnsi="Arial" w:cs="Arial"/>
            <w:noProof/>
            <w:webHidden/>
            <w:sz w:val="24"/>
            <w:szCs w:val="24"/>
          </w:rPr>
          <w:fldChar w:fldCharType="end"/>
        </w:r>
      </w:hyperlink>
    </w:p>
    <w:p w14:paraId="2ADBD756" w14:textId="0C598466" w:rsidR="00BE6D36" w:rsidRPr="00220DC6" w:rsidRDefault="00BE6D36">
      <w:pPr>
        <w:pStyle w:val="TOC3"/>
        <w:tabs>
          <w:tab w:val="right" w:leader="dot" w:pos="9629"/>
        </w:tabs>
        <w:rPr>
          <w:rFonts w:ascii="Arial" w:eastAsiaTheme="minorEastAsia" w:hAnsi="Arial" w:cs="Arial"/>
          <w:noProof/>
          <w:color w:val="auto"/>
          <w:kern w:val="2"/>
          <w:sz w:val="24"/>
          <w:szCs w:val="24"/>
          <w14:ligatures w14:val="standardContextual"/>
        </w:rPr>
      </w:pPr>
      <w:hyperlink w:anchor="_Toc145511582" w:history="1">
        <w:r w:rsidRPr="00220DC6">
          <w:rPr>
            <w:rStyle w:val="Hyperlink"/>
            <w:rFonts w:ascii="Arial" w:eastAsia="Arial" w:hAnsi="Arial" w:cs="Arial"/>
            <w:noProof/>
            <w:sz w:val="24"/>
            <w:szCs w:val="24"/>
          </w:rPr>
          <w:t>Policy EV8: Agricultural Land Quality</w:t>
        </w:r>
        <w:r w:rsidRPr="00220DC6">
          <w:rPr>
            <w:rFonts w:ascii="Arial" w:hAnsi="Arial" w:cs="Arial"/>
            <w:noProof/>
            <w:webHidden/>
            <w:sz w:val="24"/>
            <w:szCs w:val="24"/>
          </w:rPr>
          <w:tab/>
        </w:r>
        <w:r w:rsidRPr="00220DC6">
          <w:rPr>
            <w:rFonts w:ascii="Arial" w:hAnsi="Arial" w:cs="Arial"/>
            <w:noProof/>
            <w:webHidden/>
            <w:sz w:val="24"/>
            <w:szCs w:val="24"/>
          </w:rPr>
          <w:fldChar w:fldCharType="begin"/>
        </w:r>
        <w:r w:rsidRPr="00220DC6">
          <w:rPr>
            <w:rFonts w:ascii="Arial" w:hAnsi="Arial" w:cs="Arial"/>
            <w:noProof/>
            <w:webHidden/>
            <w:sz w:val="24"/>
            <w:szCs w:val="24"/>
          </w:rPr>
          <w:instrText xml:space="preserve"> PAGEREF _Toc145511582 \h </w:instrText>
        </w:r>
        <w:r w:rsidRPr="00220DC6">
          <w:rPr>
            <w:rFonts w:ascii="Arial" w:hAnsi="Arial" w:cs="Arial"/>
            <w:noProof/>
            <w:webHidden/>
            <w:sz w:val="24"/>
            <w:szCs w:val="24"/>
          </w:rPr>
        </w:r>
        <w:r w:rsidRPr="00220DC6">
          <w:rPr>
            <w:rFonts w:ascii="Arial" w:hAnsi="Arial" w:cs="Arial"/>
            <w:noProof/>
            <w:webHidden/>
            <w:sz w:val="24"/>
            <w:szCs w:val="24"/>
          </w:rPr>
          <w:fldChar w:fldCharType="separate"/>
        </w:r>
        <w:r w:rsidR="00100CF9" w:rsidRPr="00220DC6">
          <w:rPr>
            <w:rFonts w:ascii="Arial" w:hAnsi="Arial" w:cs="Arial"/>
            <w:noProof/>
            <w:webHidden/>
            <w:sz w:val="24"/>
            <w:szCs w:val="24"/>
          </w:rPr>
          <w:t>135</w:t>
        </w:r>
        <w:r w:rsidRPr="00220DC6">
          <w:rPr>
            <w:rFonts w:ascii="Arial" w:hAnsi="Arial" w:cs="Arial"/>
            <w:noProof/>
            <w:webHidden/>
            <w:sz w:val="24"/>
            <w:szCs w:val="24"/>
          </w:rPr>
          <w:fldChar w:fldCharType="end"/>
        </w:r>
      </w:hyperlink>
    </w:p>
    <w:p w14:paraId="4EE0D7C8" w14:textId="6261ACB4" w:rsidR="00BE6D36" w:rsidRPr="00220DC6" w:rsidRDefault="00BE6D36">
      <w:pPr>
        <w:pStyle w:val="TOC3"/>
        <w:tabs>
          <w:tab w:val="right" w:leader="dot" w:pos="9629"/>
        </w:tabs>
        <w:rPr>
          <w:rFonts w:ascii="Arial" w:eastAsiaTheme="minorEastAsia" w:hAnsi="Arial" w:cs="Arial"/>
          <w:noProof/>
          <w:color w:val="auto"/>
          <w:kern w:val="2"/>
          <w:sz w:val="24"/>
          <w:szCs w:val="24"/>
          <w14:ligatures w14:val="standardContextual"/>
        </w:rPr>
      </w:pPr>
      <w:hyperlink w:anchor="_Toc145511583" w:history="1">
        <w:r w:rsidRPr="00220DC6">
          <w:rPr>
            <w:rStyle w:val="Hyperlink"/>
            <w:rFonts w:ascii="Arial" w:eastAsia="Arial" w:hAnsi="Arial" w:cs="Arial"/>
            <w:noProof/>
            <w:sz w:val="24"/>
            <w:szCs w:val="24"/>
          </w:rPr>
          <w:t>Policy EV9: The Historic Environment</w:t>
        </w:r>
        <w:r w:rsidRPr="00220DC6">
          <w:rPr>
            <w:rFonts w:ascii="Arial" w:hAnsi="Arial" w:cs="Arial"/>
            <w:noProof/>
            <w:webHidden/>
            <w:sz w:val="24"/>
            <w:szCs w:val="24"/>
          </w:rPr>
          <w:tab/>
        </w:r>
        <w:r w:rsidRPr="00220DC6">
          <w:rPr>
            <w:rFonts w:ascii="Arial" w:hAnsi="Arial" w:cs="Arial"/>
            <w:noProof/>
            <w:webHidden/>
            <w:sz w:val="24"/>
            <w:szCs w:val="24"/>
          </w:rPr>
          <w:fldChar w:fldCharType="begin"/>
        </w:r>
        <w:r w:rsidRPr="00220DC6">
          <w:rPr>
            <w:rFonts w:ascii="Arial" w:hAnsi="Arial" w:cs="Arial"/>
            <w:noProof/>
            <w:webHidden/>
            <w:sz w:val="24"/>
            <w:szCs w:val="24"/>
          </w:rPr>
          <w:instrText xml:space="preserve"> PAGEREF _Toc145511583 \h </w:instrText>
        </w:r>
        <w:r w:rsidRPr="00220DC6">
          <w:rPr>
            <w:rFonts w:ascii="Arial" w:hAnsi="Arial" w:cs="Arial"/>
            <w:noProof/>
            <w:webHidden/>
            <w:sz w:val="24"/>
            <w:szCs w:val="24"/>
          </w:rPr>
        </w:r>
        <w:r w:rsidRPr="00220DC6">
          <w:rPr>
            <w:rFonts w:ascii="Arial" w:hAnsi="Arial" w:cs="Arial"/>
            <w:noProof/>
            <w:webHidden/>
            <w:sz w:val="24"/>
            <w:szCs w:val="24"/>
          </w:rPr>
          <w:fldChar w:fldCharType="separate"/>
        </w:r>
        <w:r w:rsidR="00100CF9" w:rsidRPr="00220DC6">
          <w:rPr>
            <w:rFonts w:ascii="Arial" w:hAnsi="Arial" w:cs="Arial"/>
            <w:noProof/>
            <w:webHidden/>
            <w:sz w:val="24"/>
            <w:szCs w:val="24"/>
          </w:rPr>
          <w:t>136</w:t>
        </w:r>
        <w:r w:rsidRPr="00220DC6">
          <w:rPr>
            <w:rFonts w:ascii="Arial" w:hAnsi="Arial" w:cs="Arial"/>
            <w:noProof/>
            <w:webHidden/>
            <w:sz w:val="24"/>
            <w:szCs w:val="24"/>
          </w:rPr>
          <w:fldChar w:fldCharType="end"/>
        </w:r>
      </w:hyperlink>
    </w:p>
    <w:p w14:paraId="22C2EFD2" w14:textId="12DE6157" w:rsidR="00BE6D36" w:rsidRPr="00220DC6" w:rsidRDefault="00BE6D36">
      <w:pPr>
        <w:pStyle w:val="TOC3"/>
        <w:tabs>
          <w:tab w:val="right" w:leader="dot" w:pos="9629"/>
        </w:tabs>
        <w:rPr>
          <w:rFonts w:ascii="Arial" w:eastAsiaTheme="minorEastAsia" w:hAnsi="Arial" w:cs="Arial"/>
          <w:noProof/>
          <w:color w:val="auto"/>
          <w:kern w:val="2"/>
          <w:sz w:val="24"/>
          <w:szCs w:val="24"/>
          <w14:ligatures w14:val="standardContextual"/>
        </w:rPr>
      </w:pPr>
      <w:hyperlink w:anchor="_Toc145511584" w:history="1">
        <w:r w:rsidRPr="00220DC6">
          <w:rPr>
            <w:rStyle w:val="Hyperlink"/>
            <w:rFonts w:ascii="Arial" w:eastAsia="Arial" w:hAnsi="Arial" w:cs="Arial"/>
            <w:noProof/>
            <w:sz w:val="24"/>
            <w:szCs w:val="24"/>
          </w:rPr>
          <w:t>Policy EV10: Protection and Enhancement of Landscape Character</w:t>
        </w:r>
        <w:r w:rsidRPr="00220DC6">
          <w:rPr>
            <w:rFonts w:ascii="Arial" w:hAnsi="Arial" w:cs="Arial"/>
            <w:noProof/>
            <w:webHidden/>
            <w:sz w:val="24"/>
            <w:szCs w:val="24"/>
          </w:rPr>
          <w:tab/>
        </w:r>
        <w:r w:rsidRPr="00220DC6">
          <w:rPr>
            <w:rFonts w:ascii="Arial" w:hAnsi="Arial" w:cs="Arial"/>
            <w:noProof/>
            <w:webHidden/>
            <w:sz w:val="24"/>
            <w:szCs w:val="24"/>
          </w:rPr>
          <w:fldChar w:fldCharType="begin"/>
        </w:r>
        <w:r w:rsidRPr="00220DC6">
          <w:rPr>
            <w:rFonts w:ascii="Arial" w:hAnsi="Arial" w:cs="Arial"/>
            <w:noProof/>
            <w:webHidden/>
            <w:sz w:val="24"/>
            <w:szCs w:val="24"/>
          </w:rPr>
          <w:instrText xml:space="preserve"> PAGEREF _Toc145511584 \h </w:instrText>
        </w:r>
        <w:r w:rsidRPr="00220DC6">
          <w:rPr>
            <w:rFonts w:ascii="Arial" w:hAnsi="Arial" w:cs="Arial"/>
            <w:noProof/>
            <w:webHidden/>
            <w:sz w:val="24"/>
            <w:szCs w:val="24"/>
          </w:rPr>
        </w:r>
        <w:r w:rsidRPr="00220DC6">
          <w:rPr>
            <w:rFonts w:ascii="Arial" w:hAnsi="Arial" w:cs="Arial"/>
            <w:noProof/>
            <w:webHidden/>
            <w:sz w:val="24"/>
            <w:szCs w:val="24"/>
          </w:rPr>
          <w:fldChar w:fldCharType="separate"/>
        </w:r>
        <w:r w:rsidR="00100CF9" w:rsidRPr="00220DC6">
          <w:rPr>
            <w:rFonts w:ascii="Arial" w:hAnsi="Arial" w:cs="Arial"/>
            <w:noProof/>
            <w:webHidden/>
            <w:sz w:val="24"/>
            <w:szCs w:val="24"/>
          </w:rPr>
          <w:t>145</w:t>
        </w:r>
        <w:r w:rsidRPr="00220DC6">
          <w:rPr>
            <w:rFonts w:ascii="Arial" w:hAnsi="Arial" w:cs="Arial"/>
            <w:noProof/>
            <w:webHidden/>
            <w:sz w:val="24"/>
            <w:szCs w:val="24"/>
          </w:rPr>
          <w:fldChar w:fldCharType="end"/>
        </w:r>
      </w:hyperlink>
    </w:p>
    <w:p w14:paraId="2B770ECD" w14:textId="2141B9BA" w:rsidR="00BE6D36" w:rsidRPr="00220DC6" w:rsidRDefault="00BE6D36">
      <w:pPr>
        <w:pStyle w:val="TOC1"/>
        <w:tabs>
          <w:tab w:val="right" w:leader="dot" w:pos="9629"/>
        </w:tabs>
        <w:rPr>
          <w:rFonts w:ascii="Arial" w:eastAsiaTheme="minorEastAsia" w:hAnsi="Arial" w:cs="Arial"/>
          <w:b w:val="0"/>
          <w:bCs w:val="0"/>
          <w:caps w:val="0"/>
          <w:noProof/>
          <w:color w:val="auto"/>
          <w:kern w:val="2"/>
          <w14:ligatures w14:val="standardContextual"/>
        </w:rPr>
      </w:pPr>
      <w:hyperlink w:anchor="_Toc145511585" w:history="1">
        <w:r w:rsidRPr="00220DC6">
          <w:rPr>
            <w:rStyle w:val="Hyperlink"/>
            <w:rFonts w:ascii="Arial" w:hAnsi="Arial" w:cs="Arial"/>
            <w:noProof/>
          </w:rPr>
          <w:t>Chapter 6</w:t>
        </w:r>
        <w:r w:rsidRPr="00220DC6">
          <w:rPr>
            <w:rFonts w:ascii="Arial" w:hAnsi="Arial" w:cs="Arial"/>
            <w:noProof/>
            <w:webHidden/>
          </w:rPr>
          <w:tab/>
        </w:r>
        <w:r w:rsidRPr="00220DC6">
          <w:rPr>
            <w:rFonts w:ascii="Arial" w:hAnsi="Arial" w:cs="Arial"/>
            <w:noProof/>
            <w:webHidden/>
          </w:rPr>
          <w:fldChar w:fldCharType="begin"/>
        </w:r>
        <w:r w:rsidRPr="00220DC6">
          <w:rPr>
            <w:rFonts w:ascii="Arial" w:hAnsi="Arial" w:cs="Arial"/>
            <w:noProof/>
            <w:webHidden/>
          </w:rPr>
          <w:instrText xml:space="preserve"> PAGEREF _Toc145511585 \h </w:instrText>
        </w:r>
        <w:r w:rsidRPr="00220DC6">
          <w:rPr>
            <w:rFonts w:ascii="Arial" w:hAnsi="Arial" w:cs="Arial"/>
            <w:noProof/>
            <w:webHidden/>
          </w:rPr>
        </w:r>
        <w:r w:rsidRPr="00220DC6">
          <w:rPr>
            <w:rFonts w:ascii="Arial" w:hAnsi="Arial" w:cs="Arial"/>
            <w:noProof/>
            <w:webHidden/>
          </w:rPr>
          <w:fldChar w:fldCharType="separate"/>
        </w:r>
        <w:r w:rsidR="00100CF9" w:rsidRPr="00220DC6">
          <w:rPr>
            <w:rFonts w:ascii="Arial" w:hAnsi="Arial" w:cs="Arial"/>
            <w:noProof/>
            <w:webHidden/>
          </w:rPr>
          <w:t>149</w:t>
        </w:r>
        <w:r w:rsidRPr="00220DC6">
          <w:rPr>
            <w:rFonts w:ascii="Arial" w:hAnsi="Arial" w:cs="Arial"/>
            <w:noProof/>
            <w:webHidden/>
          </w:rPr>
          <w:fldChar w:fldCharType="end"/>
        </w:r>
      </w:hyperlink>
    </w:p>
    <w:p w14:paraId="117F9B34" w14:textId="2B709C22" w:rsidR="00BE6D36" w:rsidRPr="00220DC6" w:rsidRDefault="00BE6D36">
      <w:pPr>
        <w:pStyle w:val="TOC1"/>
        <w:tabs>
          <w:tab w:val="right" w:leader="dot" w:pos="9629"/>
        </w:tabs>
        <w:rPr>
          <w:rFonts w:ascii="Arial" w:eastAsiaTheme="minorEastAsia" w:hAnsi="Arial" w:cs="Arial"/>
          <w:b w:val="0"/>
          <w:bCs w:val="0"/>
          <w:caps w:val="0"/>
          <w:noProof/>
          <w:color w:val="auto"/>
          <w:kern w:val="2"/>
          <w14:ligatures w14:val="standardContextual"/>
        </w:rPr>
      </w:pPr>
      <w:hyperlink w:anchor="_Toc145511586" w:history="1">
        <w:r w:rsidRPr="00220DC6">
          <w:rPr>
            <w:rStyle w:val="Hyperlink"/>
            <w:rFonts w:ascii="Arial" w:hAnsi="Arial" w:cs="Arial"/>
            <w:noProof/>
          </w:rPr>
          <w:t>Meeting local housing needs and aspirations</w:t>
        </w:r>
        <w:r w:rsidRPr="00220DC6">
          <w:rPr>
            <w:rFonts w:ascii="Arial" w:hAnsi="Arial" w:cs="Arial"/>
            <w:noProof/>
            <w:webHidden/>
          </w:rPr>
          <w:tab/>
        </w:r>
        <w:r w:rsidRPr="00220DC6">
          <w:rPr>
            <w:rFonts w:ascii="Arial" w:hAnsi="Arial" w:cs="Arial"/>
            <w:noProof/>
            <w:webHidden/>
          </w:rPr>
          <w:fldChar w:fldCharType="begin"/>
        </w:r>
        <w:r w:rsidRPr="00220DC6">
          <w:rPr>
            <w:rFonts w:ascii="Arial" w:hAnsi="Arial" w:cs="Arial"/>
            <w:noProof/>
            <w:webHidden/>
          </w:rPr>
          <w:instrText xml:space="preserve"> PAGEREF _Toc145511586 \h </w:instrText>
        </w:r>
        <w:r w:rsidRPr="00220DC6">
          <w:rPr>
            <w:rFonts w:ascii="Arial" w:hAnsi="Arial" w:cs="Arial"/>
            <w:noProof/>
            <w:webHidden/>
          </w:rPr>
        </w:r>
        <w:r w:rsidRPr="00220DC6">
          <w:rPr>
            <w:rFonts w:ascii="Arial" w:hAnsi="Arial" w:cs="Arial"/>
            <w:noProof/>
            <w:webHidden/>
          </w:rPr>
          <w:fldChar w:fldCharType="separate"/>
        </w:r>
        <w:r w:rsidR="00100CF9" w:rsidRPr="00220DC6">
          <w:rPr>
            <w:rFonts w:ascii="Arial" w:hAnsi="Arial" w:cs="Arial"/>
            <w:noProof/>
            <w:webHidden/>
          </w:rPr>
          <w:t>149</w:t>
        </w:r>
        <w:r w:rsidRPr="00220DC6">
          <w:rPr>
            <w:rFonts w:ascii="Arial" w:hAnsi="Arial" w:cs="Arial"/>
            <w:noProof/>
            <w:webHidden/>
          </w:rPr>
          <w:fldChar w:fldCharType="end"/>
        </w:r>
      </w:hyperlink>
    </w:p>
    <w:p w14:paraId="6771CD5D" w14:textId="386FC546" w:rsidR="00BE6D36" w:rsidRPr="00220DC6" w:rsidRDefault="00BE6D36">
      <w:pPr>
        <w:pStyle w:val="TOC3"/>
        <w:tabs>
          <w:tab w:val="right" w:leader="dot" w:pos="9629"/>
        </w:tabs>
        <w:rPr>
          <w:rFonts w:ascii="Arial" w:eastAsiaTheme="minorEastAsia" w:hAnsi="Arial" w:cs="Arial"/>
          <w:noProof/>
          <w:color w:val="auto"/>
          <w:kern w:val="2"/>
          <w:sz w:val="24"/>
          <w:szCs w:val="24"/>
          <w14:ligatures w14:val="standardContextual"/>
        </w:rPr>
      </w:pPr>
      <w:hyperlink w:anchor="_Toc145511587" w:history="1">
        <w:r w:rsidRPr="00220DC6">
          <w:rPr>
            <w:rStyle w:val="Hyperlink"/>
            <w:rFonts w:ascii="Arial" w:eastAsia="Arial" w:hAnsi="Arial" w:cs="Arial"/>
            <w:noProof/>
            <w:sz w:val="24"/>
            <w:szCs w:val="24"/>
          </w:rPr>
          <w:t>Policy H1: Housing Site Allocations</w:t>
        </w:r>
        <w:r w:rsidRPr="00220DC6">
          <w:rPr>
            <w:rFonts w:ascii="Arial" w:hAnsi="Arial" w:cs="Arial"/>
            <w:noProof/>
            <w:webHidden/>
            <w:sz w:val="24"/>
            <w:szCs w:val="24"/>
          </w:rPr>
          <w:tab/>
        </w:r>
        <w:r w:rsidRPr="00220DC6">
          <w:rPr>
            <w:rFonts w:ascii="Arial" w:hAnsi="Arial" w:cs="Arial"/>
            <w:noProof/>
            <w:webHidden/>
            <w:sz w:val="24"/>
            <w:szCs w:val="24"/>
          </w:rPr>
          <w:fldChar w:fldCharType="begin"/>
        </w:r>
        <w:r w:rsidRPr="00220DC6">
          <w:rPr>
            <w:rFonts w:ascii="Arial" w:hAnsi="Arial" w:cs="Arial"/>
            <w:noProof/>
            <w:webHidden/>
            <w:sz w:val="24"/>
            <w:szCs w:val="24"/>
          </w:rPr>
          <w:instrText xml:space="preserve"> PAGEREF _Toc145511587 \h </w:instrText>
        </w:r>
        <w:r w:rsidRPr="00220DC6">
          <w:rPr>
            <w:rFonts w:ascii="Arial" w:hAnsi="Arial" w:cs="Arial"/>
            <w:noProof/>
            <w:webHidden/>
            <w:sz w:val="24"/>
            <w:szCs w:val="24"/>
          </w:rPr>
        </w:r>
        <w:r w:rsidRPr="00220DC6">
          <w:rPr>
            <w:rFonts w:ascii="Arial" w:hAnsi="Arial" w:cs="Arial"/>
            <w:noProof/>
            <w:webHidden/>
            <w:sz w:val="24"/>
            <w:szCs w:val="24"/>
          </w:rPr>
          <w:fldChar w:fldCharType="separate"/>
        </w:r>
        <w:r w:rsidR="00100CF9" w:rsidRPr="00220DC6">
          <w:rPr>
            <w:rFonts w:ascii="Arial" w:hAnsi="Arial" w:cs="Arial"/>
            <w:noProof/>
            <w:webHidden/>
            <w:sz w:val="24"/>
            <w:szCs w:val="24"/>
          </w:rPr>
          <w:t>150</w:t>
        </w:r>
        <w:r w:rsidRPr="00220DC6">
          <w:rPr>
            <w:rFonts w:ascii="Arial" w:hAnsi="Arial" w:cs="Arial"/>
            <w:noProof/>
            <w:webHidden/>
            <w:sz w:val="24"/>
            <w:szCs w:val="24"/>
          </w:rPr>
          <w:fldChar w:fldCharType="end"/>
        </w:r>
      </w:hyperlink>
    </w:p>
    <w:p w14:paraId="13E060D3" w14:textId="36D14635" w:rsidR="00BE6D36" w:rsidRPr="00220DC6" w:rsidRDefault="00BE6D36">
      <w:pPr>
        <w:pStyle w:val="TOC3"/>
        <w:tabs>
          <w:tab w:val="right" w:leader="dot" w:pos="9629"/>
        </w:tabs>
        <w:rPr>
          <w:rFonts w:ascii="Arial" w:eastAsiaTheme="minorEastAsia" w:hAnsi="Arial" w:cs="Arial"/>
          <w:noProof/>
          <w:color w:val="auto"/>
          <w:kern w:val="2"/>
          <w:sz w:val="24"/>
          <w:szCs w:val="24"/>
          <w14:ligatures w14:val="standardContextual"/>
        </w:rPr>
      </w:pPr>
      <w:hyperlink w:anchor="_Toc145511588" w:history="1">
        <w:r w:rsidRPr="00220DC6">
          <w:rPr>
            <w:rStyle w:val="Hyperlink"/>
            <w:rFonts w:ascii="Arial" w:eastAsia="Arial" w:hAnsi="Arial" w:cs="Arial"/>
            <w:noProof/>
            <w:sz w:val="24"/>
            <w:szCs w:val="24"/>
          </w:rPr>
          <w:t>Policy H2: Provision for Gypsies, Travellers and Travelling Showpeople</w:t>
        </w:r>
        <w:r w:rsidRPr="00220DC6">
          <w:rPr>
            <w:rFonts w:ascii="Arial" w:hAnsi="Arial" w:cs="Arial"/>
            <w:noProof/>
            <w:webHidden/>
            <w:sz w:val="24"/>
            <w:szCs w:val="24"/>
          </w:rPr>
          <w:tab/>
        </w:r>
        <w:r w:rsidRPr="00220DC6">
          <w:rPr>
            <w:rFonts w:ascii="Arial" w:hAnsi="Arial" w:cs="Arial"/>
            <w:noProof/>
            <w:webHidden/>
            <w:sz w:val="24"/>
            <w:szCs w:val="24"/>
          </w:rPr>
          <w:fldChar w:fldCharType="begin"/>
        </w:r>
        <w:r w:rsidRPr="00220DC6">
          <w:rPr>
            <w:rFonts w:ascii="Arial" w:hAnsi="Arial" w:cs="Arial"/>
            <w:noProof/>
            <w:webHidden/>
            <w:sz w:val="24"/>
            <w:szCs w:val="24"/>
          </w:rPr>
          <w:instrText xml:space="preserve"> PAGEREF _Toc145511588 \h </w:instrText>
        </w:r>
        <w:r w:rsidRPr="00220DC6">
          <w:rPr>
            <w:rFonts w:ascii="Arial" w:hAnsi="Arial" w:cs="Arial"/>
            <w:noProof/>
            <w:webHidden/>
            <w:sz w:val="24"/>
            <w:szCs w:val="24"/>
          </w:rPr>
        </w:r>
        <w:r w:rsidRPr="00220DC6">
          <w:rPr>
            <w:rFonts w:ascii="Arial" w:hAnsi="Arial" w:cs="Arial"/>
            <w:noProof/>
            <w:webHidden/>
            <w:sz w:val="24"/>
            <w:szCs w:val="24"/>
          </w:rPr>
          <w:fldChar w:fldCharType="separate"/>
        </w:r>
        <w:r w:rsidR="00100CF9" w:rsidRPr="00220DC6">
          <w:rPr>
            <w:rFonts w:ascii="Arial" w:hAnsi="Arial" w:cs="Arial"/>
            <w:noProof/>
            <w:webHidden/>
            <w:sz w:val="24"/>
            <w:szCs w:val="24"/>
          </w:rPr>
          <w:t>168</w:t>
        </w:r>
        <w:r w:rsidRPr="00220DC6">
          <w:rPr>
            <w:rFonts w:ascii="Arial" w:hAnsi="Arial" w:cs="Arial"/>
            <w:noProof/>
            <w:webHidden/>
            <w:sz w:val="24"/>
            <w:szCs w:val="24"/>
          </w:rPr>
          <w:fldChar w:fldCharType="end"/>
        </w:r>
      </w:hyperlink>
    </w:p>
    <w:p w14:paraId="21EF31AE" w14:textId="4BB5AB4A" w:rsidR="00BE6D36" w:rsidRPr="00220DC6" w:rsidRDefault="00BE6D36">
      <w:pPr>
        <w:pStyle w:val="TOC3"/>
        <w:tabs>
          <w:tab w:val="right" w:leader="dot" w:pos="9629"/>
        </w:tabs>
        <w:rPr>
          <w:rFonts w:ascii="Arial" w:eastAsiaTheme="minorEastAsia" w:hAnsi="Arial" w:cs="Arial"/>
          <w:noProof/>
          <w:color w:val="auto"/>
          <w:kern w:val="2"/>
          <w:sz w:val="24"/>
          <w:szCs w:val="24"/>
          <w14:ligatures w14:val="standardContextual"/>
        </w:rPr>
      </w:pPr>
      <w:hyperlink w:anchor="_Toc145511589" w:history="1">
        <w:r w:rsidRPr="00220DC6">
          <w:rPr>
            <w:rStyle w:val="Hyperlink"/>
            <w:rFonts w:ascii="Arial" w:eastAsia="Arial" w:hAnsi="Arial" w:cs="Arial"/>
            <w:noProof/>
            <w:sz w:val="24"/>
            <w:szCs w:val="24"/>
          </w:rPr>
          <w:t>Policy H2a: Gypsy, Traveller and Travelling Showpeople Site Allocations</w:t>
        </w:r>
        <w:r w:rsidRPr="00220DC6">
          <w:rPr>
            <w:rFonts w:ascii="Arial" w:hAnsi="Arial" w:cs="Arial"/>
            <w:noProof/>
            <w:webHidden/>
            <w:sz w:val="24"/>
            <w:szCs w:val="24"/>
          </w:rPr>
          <w:tab/>
        </w:r>
        <w:r w:rsidRPr="00220DC6">
          <w:rPr>
            <w:rFonts w:ascii="Arial" w:hAnsi="Arial" w:cs="Arial"/>
            <w:noProof/>
            <w:webHidden/>
            <w:sz w:val="24"/>
            <w:szCs w:val="24"/>
          </w:rPr>
          <w:fldChar w:fldCharType="begin"/>
        </w:r>
        <w:r w:rsidRPr="00220DC6">
          <w:rPr>
            <w:rFonts w:ascii="Arial" w:hAnsi="Arial" w:cs="Arial"/>
            <w:noProof/>
            <w:webHidden/>
            <w:sz w:val="24"/>
            <w:szCs w:val="24"/>
          </w:rPr>
          <w:instrText xml:space="preserve"> PAGEREF _Toc145511589 \h </w:instrText>
        </w:r>
        <w:r w:rsidRPr="00220DC6">
          <w:rPr>
            <w:rFonts w:ascii="Arial" w:hAnsi="Arial" w:cs="Arial"/>
            <w:noProof/>
            <w:webHidden/>
            <w:sz w:val="24"/>
            <w:szCs w:val="24"/>
          </w:rPr>
        </w:r>
        <w:r w:rsidRPr="00220DC6">
          <w:rPr>
            <w:rFonts w:ascii="Arial" w:hAnsi="Arial" w:cs="Arial"/>
            <w:noProof/>
            <w:webHidden/>
            <w:sz w:val="24"/>
            <w:szCs w:val="24"/>
          </w:rPr>
          <w:fldChar w:fldCharType="separate"/>
        </w:r>
        <w:r w:rsidR="00100CF9" w:rsidRPr="00220DC6">
          <w:rPr>
            <w:rFonts w:ascii="Arial" w:hAnsi="Arial" w:cs="Arial"/>
            <w:noProof/>
            <w:webHidden/>
            <w:sz w:val="24"/>
            <w:szCs w:val="24"/>
          </w:rPr>
          <w:t>171</w:t>
        </w:r>
        <w:r w:rsidRPr="00220DC6">
          <w:rPr>
            <w:rFonts w:ascii="Arial" w:hAnsi="Arial" w:cs="Arial"/>
            <w:noProof/>
            <w:webHidden/>
            <w:sz w:val="24"/>
            <w:szCs w:val="24"/>
          </w:rPr>
          <w:fldChar w:fldCharType="end"/>
        </w:r>
      </w:hyperlink>
    </w:p>
    <w:p w14:paraId="7051AE6F" w14:textId="259F466B" w:rsidR="00BE6D36" w:rsidRPr="00220DC6" w:rsidRDefault="00BE6D36">
      <w:pPr>
        <w:pStyle w:val="TOC3"/>
        <w:tabs>
          <w:tab w:val="right" w:leader="dot" w:pos="9629"/>
        </w:tabs>
        <w:rPr>
          <w:rFonts w:ascii="Arial" w:eastAsiaTheme="minorEastAsia" w:hAnsi="Arial" w:cs="Arial"/>
          <w:noProof/>
          <w:color w:val="auto"/>
          <w:kern w:val="2"/>
          <w:sz w:val="24"/>
          <w:szCs w:val="24"/>
          <w14:ligatures w14:val="standardContextual"/>
        </w:rPr>
      </w:pPr>
      <w:hyperlink w:anchor="_Toc145511590" w:history="1">
        <w:r w:rsidRPr="00220DC6">
          <w:rPr>
            <w:rStyle w:val="Hyperlink"/>
            <w:rFonts w:ascii="Arial" w:eastAsia="Arial" w:hAnsi="Arial" w:cs="Arial"/>
            <w:noProof/>
            <w:sz w:val="24"/>
            <w:szCs w:val="24"/>
          </w:rPr>
          <w:t>Policy H3: Affordable Housing</w:t>
        </w:r>
        <w:r w:rsidRPr="00220DC6">
          <w:rPr>
            <w:rFonts w:ascii="Arial" w:hAnsi="Arial" w:cs="Arial"/>
            <w:noProof/>
            <w:webHidden/>
            <w:sz w:val="24"/>
            <w:szCs w:val="24"/>
          </w:rPr>
          <w:tab/>
        </w:r>
        <w:r w:rsidRPr="00220DC6">
          <w:rPr>
            <w:rFonts w:ascii="Arial" w:hAnsi="Arial" w:cs="Arial"/>
            <w:noProof/>
            <w:webHidden/>
            <w:sz w:val="24"/>
            <w:szCs w:val="24"/>
          </w:rPr>
          <w:fldChar w:fldCharType="begin"/>
        </w:r>
        <w:r w:rsidRPr="00220DC6">
          <w:rPr>
            <w:rFonts w:ascii="Arial" w:hAnsi="Arial" w:cs="Arial"/>
            <w:noProof/>
            <w:webHidden/>
            <w:sz w:val="24"/>
            <w:szCs w:val="24"/>
          </w:rPr>
          <w:instrText xml:space="preserve"> PAGEREF _Toc145511590 \h </w:instrText>
        </w:r>
        <w:r w:rsidRPr="00220DC6">
          <w:rPr>
            <w:rFonts w:ascii="Arial" w:hAnsi="Arial" w:cs="Arial"/>
            <w:noProof/>
            <w:webHidden/>
            <w:sz w:val="24"/>
            <w:szCs w:val="24"/>
          </w:rPr>
        </w:r>
        <w:r w:rsidRPr="00220DC6">
          <w:rPr>
            <w:rFonts w:ascii="Arial" w:hAnsi="Arial" w:cs="Arial"/>
            <w:noProof/>
            <w:webHidden/>
            <w:sz w:val="24"/>
            <w:szCs w:val="24"/>
          </w:rPr>
          <w:fldChar w:fldCharType="separate"/>
        </w:r>
        <w:r w:rsidR="00100CF9" w:rsidRPr="00220DC6">
          <w:rPr>
            <w:rFonts w:ascii="Arial" w:hAnsi="Arial" w:cs="Arial"/>
            <w:noProof/>
            <w:webHidden/>
            <w:sz w:val="24"/>
            <w:szCs w:val="24"/>
          </w:rPr>
          <w:t>172</w:t>
        </w:r>
        <w:r w:rsidRPr="00220DC6">
          <w:rPr>
            <w:rFonts w:ascii="Arial" w:hAnsi="Arial" w:cs="Arial"/>
            <w:noProof/>
            <w:webHidden/>
            <w:sz w:val="24"/>
            <w:szCs w:val="24"/>
          </w:rPr>
          <w:fldChar w:fldCharType="end"/>
        </w:r>
      </w:hyperlink>
    </w:p>
    <w:p w14:paraId="089DCA72" w14:textId="13A164D5" w:rsidR="00BE6D36" w:rsidRPr="00220DC6" w:rsidRDefault="00BE6D36">
      <w:pPr>
        <w:pStyle w:val="TOC3"/>
        <w:tabs>
          <w:tab w:val="right" w:leader="dot" w:pos="9629"/>
        </w:tabs>
        <w:rPr>
          <w:rFonts w:ascii="Arial" w:eastAsiaTheme="minorEastAsia" w:hAnsi="Arial" w:cs="Arial"/>
          <w:noProof/>
          <w:color w:val="auto"/>
          <w:kern w:val="2"/>
          <w:sz w:val="24"/>
          <w:szCs w:val="24"/>
          <w14:ligatures w14:val="standardContextual"/>
        </w:rPr>
      </w:pPr>
      <w:hyperlink w:anchor="_Toc145511591" w:history="1">
        <w:r w:rsidRPr="00220DC6">
          <w:rPr>
            <w:rStyle w:val="Hyperlink"/>
            <w:rFonts w:ascii="Arial" w:eastAsia="Arial" w:hAnsi="Arial" w:cs="Arial"/>
            <w:noProof/>
            <w:sz w:val="24"/>
            <w:szCs w:val="24"/>
          </w:rPr>
          <w:t>Policy H4: Rural Exceptions Sites</w:t>
        </w:r>
        <w:r w:rsidRPr="00220DC6">
          <w:rPr>
            <w:rFonts w:ascii="Arial" w:hAnsi="Arial" w:cs="Arial"/>
            <w:noProof/>
            <w:webHidden/>
            <w:sz w:val="24"/>
            <w:szCs w:val="24"/>
          </w:rPr>
          <w:tab/>
        </w:r>
        <w:r w:rsidRPr="00220DC6">
          <w:rPr>
            <w:rFonts w:ascii="Arial" w:hAnsi="Arial" w:cs="Arial"/>
            <w:noProof/>
            <w:webHidden/>
            <w:sz w:val="24"/>
            <w:szCs w:val="24"/>
          </w:rPr>
          <w:fldChar w:fldCharType="begin"/>
        </w:r>
        <w:r w:rsidRPr="00220DC6">
          <w:rPr>
            <w:rFonts w:ascii="Arial" w:hAnsi="Arial" w:cs="Arial"/>
            <w:noProof/>
            <w:webHidden/>
            <w:sz w:val="24"/>
            <w:szCs w:val="24"/>
          </w:rPr>
          <w:instrText xml:space="preserve"> PAGEREF _Toc145511591 \h </w:instrText>
        </w:r>
        <w:r w:rsidRPr="00220DC6">
          <w:rPr>
            <w:rFonts w:ascii="Arial" w:hAnsi="Arial" w:cs="Arial"/>
            <w:noProof/>
            <w:webHidden/>
            <w:sz w:val="24"/>
            <w:szCs w:val="24"/>
          </w:rPr>
        </w:r>
        <w:r w:rsidRPr="00220DC6">
          <w:rPr>
            <w:rFonts w:ascii="Arial" w:hAnsi="Arial" w:cs="Arial"/>
            <w:noProof/>
            <w:webHidden/>
            <w:sz w:val="24"/>
            <w:szCs w:val="24"/>
          </w:rPr>
          <w:fldChar w:fldCharType="separate"/>
        </w:r>
        <w:r w:rsidR="00100CF9" w:rsidRPr="00220DC6">
          <w:rPr>
            <w:rFonts w:ascii="Arial" w:hAnsi="Arial" w:cs="Arial"/>
            <w:noProof/>
            <w:webHidden/>
            <w:sz w:val="24"/>
            <w:szCs w:val="24"/>
          </w:rPr>
          <w:t>176</w:t>
        </w:r>
        <w:r w:rsidRPr="00220DC6">
          <w:rPr>
            <w:rFonts w:ascii="Arial" w:hAnsi="Arial" w:cs="Arial"/>
            <w:noProof/>
            <w:webHidden/>
            <w:sz w:val="24"/>
            <w:szCs w:val="24"/>
          </w:rPr>
          <w:fldChar w:fldCharType="end"/>
        </w:r>
      </w:hyperlink>
    </w:p>
    <w:p w14:paraId="286C1D1B" w14:textId="4A5C1F73" w:rsidR="00BE6D36" w:rsidRPr="00220DC6" w:rsidRDefault="00BE6D36">
      <w:pPr>
        <w:pStyle w:val="TOC3"/>
        <w:tabs>
          <w:tab w:val="right" w:leader="dot" w:pos="9629"/>
        </w:tabs>
        <w:rPr>
          <w:rFonts w:ascii="Arial" w:eastAsiaTheme="minorEastAsia" w:hAnsi="Arial" w:cs="Arial"/>
          <w:noProof/>
          <w:color w:val="auto"/>
          <w:kern w:val="2"/>
          <w:sz w:val="24"/>
          <w:szCs w:val="24"/>
          <w14:ligatures w14:val="standardContextual"/>
        </w:rPr>
      </w:pPr>
      <w:hyperlink w:anchor="_Toc145511592" w:history="1">
        <w:r w:rsidRPr="00220DC6">
          <w:rPr>
            <w:rStyle w:val="Hyperlink"/>
            <w:rFonts w:ascii="Arial" w:eastAsia="Arial" w:hAnsi="Arial" w:cs="Arial"/>
            <w:noProof/>
            <w:sz w:val="24"/>
            <w:szCs w:val="24"/>
          </w:rPr>
          <w:t>Policy H5: Public Open Space in New Residential Developments</w:t>
        </w:r>
        <w:r w:rsidRPr="00220DC6">
          <w:rPr>
            <w:rFonts w:ascii="Arial" w:hAnsi="Arial" w:cs="Arial"/>
            <w:noProof/>
            <w:webHidden/>
            <w:sz w:val="24"/>
            <w:szCs w:val="24"/>
          </w:rPr>
          <w:tab/>
        </w:r>
        <w:r w:rsidRPr="00220DC6">
          <w:rPr>
            <w:rFonts w:ascii="Arial" w:hAnsi="Arial" w:cs="Arial"/>
            <w:noProof/>
            <w:webHidden/>
            <w:sz w:val="24"/>
            <w:szCs w:val="24"/>
          </w:rPr>
          <w:fldChar w:fldCharType="begin"/>
        </w:r>
        <w:r w:rsidRPr="00220DC6">
          <w:rPr>
            <w:rFonts w:ascii="Arial" w:hAnsi="Arial" w:cs="Arial"/>
            <w:noProof/>
            <w:webHidden/>
            <w:sz w:val="24"/>
            <w:szCs w:val="24"/>
          </w:rPr>
          <w:instrText xml:space="preserve"> PAGEREF _Toc145511592 \h </w:instrText>
        </w:r>
        <w:r w:rsidRPr="00220DC6">
          <w:rPr>
            <w:rFonts w:ascii="Arial" w:hAnsi="Arial" w:cs="Arial"/>
            <w:noProof/>
            <w:webHidden/>
            <w:sz w:val="24"/>
            <w:szCs w:val="24"/>
          </w:rPr>
        </w:r>
        <w:r w:rsidRPr="00220DC6">
          <w:rPr>
            <w:rFonts w:ascii="Arial" w:hAnsi="Arial" w:cs="Arial"/>
            <w:noProof/>
            <w:webHidden/>
            <w:sz w:val="24"/>
            <w:szCs w:val="24"/>
          </w:rPr>
          <w:fldChar w:fldCharType="separate"/>
        </w:r>
        <w:r w:rsidR="00100CF9" w:rsidRPr="00220DC6">
          <w:rPr>
            <w:rFonts w:ascii="Arial" w:hAnsi="Arial" w:cs="Arial"/>
            <w:noProof/>
            <w:webHidden/>
            <w:sz w:val="24"/>
            <w:szCs w:val="24"/>
          </w:rPr>
          <w:t>178</w:t>
        </w:r>
        <w:r w:rsidRPr="00220DC6">
          <w:rPr>
            <w:rFonts w:ascii="Arial" w:hAnsi="Arial" w:cs="Arial"/>
            <w:noProof/>
            <w:webHidden/>
            <w:sz w:val="24"/>
            <w:szCs w:val="24"/>
          </w:rPr>
          <w:fldChar w:fldCharType="end"/>
        </w:r>
      </w:hyperlink>
    </w:p>
    <w:p w14:paraId="56A5564B" w14:textId="722DF9A7" w:rsidR="00BE6D36" w:rsidRPr="00220DC6" w:rsidRDefault="00BE6D36">
      <w:pPr>
        <w:pStyle w:val="TOC3"/>
        <w:tabs>
          <w:tab w:val="right" w:leader="dot" w:pos="9629"/>
        </w:tabs>
        <w:rPr>
          <w:rFonts w:ascii="Arial" w:eastAsiaTheme="minorEastAsia" w:hAnsi="Arial" w:cs="Arial"/>
          <w:noProof/>
          <w:color w:val="auto"/>
          <w:kern w:val="2"/>
          <w:sz w:val="24"/>
          <w:szCs w:val="24"/>
          <w14:ligatures w14:val="standardContextual"/>
        </w:rPr>
      </w:pPr>
      <w:hyperlink w:anchor="_Toc145511593" w:history="1">
        <w:r w:rsidRPr="00220DC6">
          <w:rPr>
            <w:rStyle w:val="Hyperlink"/>
            <w:rFonts w:ascii="Arial" w:eastAsia="Arial" w:hAnsi="Arial" w:cs="Arial"/>
            <w:noProof/>
            <w:sz w:val="24"/>
            <w:szCs w:val="24"/>
          </w:rPr>
          <w:t>Policy H6: Housing Mix</w:t>
        </w:r>
        <w:r w:rsidRPr="00220DC6">
          <w:rPr>
            <w:rFonts w:ascii="Arial" w:hAnsi="Arial" w:cs="Arial"/>
            <w:noProof/>
            <w:webHidden/>
            <w:sz w:val="24"/>
            <w:szCs w:val="24"/>
          </w:rPr>
          <w:tab/>
        </w:r>
        <w:r w:rsidRPr="00220DC6">
          <w:rPr>
            <w:rFonts w:ascii="Arial" w:hAnsi="Arial" w:cs="Arial"/>
            <w:noProof/>
            <w:webHidden/>
            <w:sz w:val="24"/>
            <w:szCs w:val="24"/>
          </w:rPr>
          <w:fldChar w:fldCharType="begin"/>
        </w:r>
        <w:r w:rsidRPr="00220DC6">
          <w:rPr>
            <w:rFonts w:ascii="Arial" w:hAnsi="Arial" w:cs="Arial"/>
            <w:noProof/>
            <w:webHidden/>
            <w:sz w:val="24"/>
            <w:szCs w:val="24"/>
          </w:rPr>
          <w:instrText xml:space="preserve"> PAGEREF _Toc145511593 \h </w:instrText>
        </w:r>
        <w:r w:rsidRPr="00220DC6">
          <w:rPr>
            <w:rFonts w:ascii="Arial" w:hAnsi="Arial" w:cs="Arial"/>
            <w:noProof/>
            <w:webHidden/>
            <w:sz w:val="24"/>
            <w:szCs w:val="24"/>
          </w:rPr>
        </w:r>
        <w:r w:rsidRPr="00220DC6">
          <w:rPr>
            <w:rFonts w:ascii="Arial" w:hAnsi="Arial" w:cs="Arial"/>
            <w:noProof/>
            <w:webHidden/>
            <w:sz w:val="24"/>
            <w:szCs w:val="24"/>
          </w:rPr>
          <w:fldChar w:fldCharType="separate"/>
        </w:r>
        <w:r w:rsidR="00100CF9" w:rsidRPr="00220DC6">
          <w:rPr>
            <w:rFonts w:ascii="Arial" w:hAnsi="Arial" w:cs="Arial"/>
            <w:noProof/>
            <w:webHidden/>
            <w:sz w:val="24"/>
            <w:szCs w:val="24"/>
          </w:rPr>
          <w:t>181</w:t>
        </w:r>
        <w:r w:rsidRPr="00220DC6">
          <w:rPr>
            <w:rFonts w:ascii="Arial" w:hAnsi="Arial" w:cs="Arial"/>
            <w:noProof/>
            <w:webHidden/>
            <w:sz w:val="24"/>
            <w:szCs w:val="24"/>
          </w:rPr>
          <w:fldChar w:fldCharType="end"/>
        </w:r>
      </w:hyperlink>
    </w:p>
    <w:p w14:paraId="1FEC7202" w14:textId="7B9922B4" w:rsidR="00BE6D36" w:rsidRPr="00220DC6" w:rsidRDefault="00BE6D36">
      <w:pPr>
        <w:pStyle w:val="TOC3"/>
        <w:tabs>
          <w:tab w:val="right" w:leader="dot" w:pos="9629"/>
        </w:tabs>
        <w:rPr>
          <w:rFonts w:ascii="Arial" w:eastAsiaTheme="minorEastAsia" w:hAnsi="Arial" w:cs="Arial"/>
          <w:noProof/>
          <w:color w:val="auto"/>
          <w:kern w:val="2"/>
          <w:sz w:val="24"/>
          <w:szCs w:val="24"/>
          <w14:ligatures w14:val="standardContextual"/>
        </w:rPr>
      </w:pPr>
      <w:hyperlink w:anchor="_Toc145511594" w:history="1">
        <w:r w:rsidRPr="00220DC6">
          <w:rPr>
            <w:rStyle w:val="Hyperlink"/>
            <w:rFonts w:ascii="Arial" w:hAnsi="Arial" w:cs="Arial"/>
            <w:noProof/>
            <w:sz w:val="24"/>
            <w:szCs w:val="24"/>
          </w:rPr>
          <w:t>Policy H7: Housing Density</w:t>
        </w:r>
        <w:r w:rsidRPr="00220DC6">
          <w:rPr>
            <w:rFonts w:ascii="Arial" w:hAnsi="Arial" w:cs="Arial"/>
            <w:noProof/>
            <w:webHidden/>
            <w:sz w:val="24"/>
            <w:szCs w:val="24"/>
          </w:rPr>
          <w:tab/>
        </w:r>
        <w:r w:rsidRPr="00220DC6">
          <w:rPr>
            <w:rFonts w:ascii="Arial" w:hAnsi="Arial" w:cs="Arial"/>
            <w:noProof/>
            <w:webHidden/>
            <w:sz w:val="24"/>
            <w:szCs w:val="24"/>
          </w:rPr>
          <w:fldChar w:fldCharType="begin"/>
        </w:r>
        <w:r w:rsidRPr="00220DC6">
          <w:rPr>
            <w:rFonts w:ascii="Arial" w:hAnsi="Arial" w:cs="Arial"/>
            <w:noProof/>
            <w:webHidden/>
            <w:sz w:val="24"/>
            <w:szCs w:val="24"/>
          </w:rPr>
          <w:instrText xml:space="preserve"> PAGEREF _Toc145511594 \h </w:instrText>
        </w:r>
        <w:r w:rsidRPr="00220DC6">
          <w:rPr>
            <w:rFonts w:ascii="Arial" w:hAnsi="Arial" w:cs="Arial"/>
            <w:noProof/>
            <w:webHidden/>
            <w:sz w:val="24"/>
            <w:szCs w:val="24"/>
          </w:rPr>
        </w:r>
        <w:r w:rsidRPr="00220DC6">
          <w:rPr>
            <w:rFonts w:ascii="Arial" w:hAnsi="Arial" w:cs="Arial"/>
            <w:noProof/>
            <w:webHidden/>
            <w:sz w:val="24"/>
            <w:szCs w:val="24"/>
          </w:rPr>
          <w:fldChar w:fldCharType="separate"/>
        </w:r>
        <w:r w:rsidR="00100CF9" w:rsidRPr="00220DC6">
          <w:rPr>
            <w:rFonts w:ascii="Arial" w:hAnsi="Arial" w:cs="Arial"/>
            <w:noProof/>
            <w:webHidden/>
            <w:sz w:val="24"/>
            <w:szCs w:val="24"/>
          </w:rPr>
          <w:t>187</w:t>
        </w:r>
        <w:r w:rsidRPr="00220DC6">
          <w:rPr>
            <w:rFonts w:ascii="Arial" w:hAnsi="Arial" w:cs="Arial"/>
            <w:noProof/>
            <w:webHidden/>
            <w:sz w:val="24"/>
            <w:szCs w:val="24"/>
          </w:rPr>
          <w:fldChar w:fldCharType="end"/>
        </w:r>
      </w:hyperlink>
    </w:p>
    <w:p w14:paraId="4CDE8CBE" w14:textId="5CF2370A" w:rsidR="00BE6D36" w:rsidRPr="00220DC6" w:rsidRDefault="00BE6D36">
      <w:pPr>
        <w:pStyle w:val="TOC3"/>
        <w:tabs>
          <w:tab w:val="right" w:leader="dot" w:pos="9629"/>
        </w:tabs>
        <w:rPr>
          <w:rFonts w:ascii="Arial" w:eastAsiaTheme="minorEastAsia" w:hAnsi="Arial" w:cs="Arial"/>
          <w:noProof/>
          <w:color w:val="auto"/>
          <w:kern w:val="2"/>
          <w:sz w:val="24"/>
          <w:szCs w:val="24"/>
          <w14:ligatures w14:val="standardContextual"/>
        </w:rPr>
      </w:pPr>
      <w:hyperlink w:anchor="_Toc145511595" w:history="1">
        <w:r w:rsidRPr="00220DC6">
          <w:rPr>
            <w:rStyle w:val="Hyperlink"/>
            <w:rFonts w:ascii="Arial" w:eastAsia="Arial" w:hAnsi="Arial" w:cs="Arial"/>
            <w:noProof/>
            <w:sz w:val="24"/>
            <w:szCs w:val="24"/>
          </w:rPr>
          <w:t>Policy H8: Houses in Multiple Occupation, Flats and Bedsits</w:t>
        </w:r>
        <w:r w:rsidRPr="00220DC6">
          <w:rPr>
            <w:rFonts w:ascii="Arial" w:hAnsi="Arial" w:cs="Arial"/>
            <w:noProof/>
            <w:webHidden/>
            <w:sz w:val="24"/>
            <w:szCs w:val="24"/>
          </w:rPr>
          <w:tab/>
        </w:r>
        <w:r w:rsidRPr="00220DC6">
          <w:rPr>
            <w:rFonts w:ascii="Arial" w:hAnsi="Arial" w:cs="Arial"/>
            <w:noProof/>
            <w:webHidden/>
            <w:sz w:val="24"/>
            <w:szCs w:val="24"/>
          </w:rPr>
          <w:fldChar w:fldCharType="begin"/>
        </w:r>
        <w:r w:rsidRPr="00220DC6">
          <w:rPr>
            <w:rFonts w:ascii="Arial" w:hAnsi="Arial" w:cs="Arial"/>
            <w:noProof/>
            <w:webHidden/>
            <w:sz w:val="24"/>
            <w:szCs w:val="24"/>
          </w:rPr>
          <w:instrText xml:space="preserve"> PAGEREF _Toc145511595 \h </w:instrText>
        </w:r>
        <w:r w:rsidRPr="00220DC6">
          <w:rPr>
            <w:rFonts w:ascii="Arial" w:hAnsi="Arial" w:cs="Arial"/>
            <w:noProof/>
            <w:webHidden/>
            <w:sz w:val="24"/>
            <w:szCs w:val="24"/>
          </w:rPr>
        </w:r>
        <w:r w:rsidRPr="00220DC6">
          <w:rPr>
            <w:rFonts w:ascii="Arial" w:hAnsi="Arial" w:cs="Arial"/>
            <w:noProof/>
            <w:webHidden/>
            <w:sz w:val="24"/>
            <w:szCs w:val="24"/>
          </w:rPr>
          <w:fldChar w:fldCharType="separate"/>
        </w:r>
        <w:r w:rsidR="00100CF9" w:rsidRPr="00220DC6">
          <w:rPr>
            <w:rFonts w:ascii="Arial" w:hAnsi="Arial" w:cs="Arial"/>
            <w:noProof/>
            <w:webHidden/>
            <w:sz w:val="24"/>
            <w:szCs w:val="24"/>
          </w:rPr>
          <w:t>189</w:t>
        </w:r>
        <w:r w:rsidRPr="00220DC6">
          <w:rPr>
            <w:rFonts w:ascii="Arial" w:hAnsi="Arial" w:cs="Arial"/>
            <w:noProof/>
            <w:webHidden/>
            <w:sz w:val="24"/>
            <w:szCs w:val="24"/>
          </w:rPr>
          <w:fldChar w:fldCharType="end"/>
        </w:r>
      </w:hyperlink>
    </w:p>
    <w:p w14:paraId="10CA42F2" w14:textId="67928946" w:rsidR="00BE6D36" w:rsidRPr="00220DC6" w:rsidRDefault="00BE6D36">
      <w:pPr>
        <w:pStyle w:val="TOC1"/>
        <w:tabs>
          <w:tab w:val="right" w:leader="dot" w:pos="9629"/>
        </w:tabs>
        <w:rPr>
          <w:rFonts w:ascii="Arial" w:eastAsiaTheme="minorEastAsia" w:hAnsi="Arial" w:cs="Arial"/>
          <w:b w:val="0"/>
          <w:bCs w:val="0"/>
          <w:caps w:val="0"/>
          <w:noProof/>
          <w:color w:val="auto"/>
          <w:kern w:val="2"/>
          <w14:ligatures w14:val="standardContextual"/>
        </w:rPr>
      </w:pPr>
      <w:hyperlink w:anchor="_Toc145511596" w:history="1">
        <w:r w:rsidRPr="00220DC6">
          <w:rPr>
            <w:rStyle w:val="Hyperlink"/>
            <w:rFonts w:ascii="Arial" w:hAnsi="Arial" w:cs="Arial"/>
            <w:noProof/>
          </w:rPr>
          <w:t>Chapter 7</w:t>
        </w:r>
        <w:r w:rsidRPr="00220DC6">
          <w:rPr>
            <w:rFonts w:ascii="Arial" w:hAnsi="Arial" w:cs="Arial"/>
            <w:noProof/>
            <w:webHidden/>
          </w:rPr>
          <w:tab/>
        </w:r>
        <w:r w:rsidRPr="00220DC6">
          <w:rPr>
            <w:rFonts w:ascii="Arial" w:hAnsi="Arial" w:cs="Arial"/>
            <w:noProof/>
            <w:webHidden/>
          </w:rPr>
          <w:fldChar w:fldCharType="begin"/>
        </w:r>
        <w:r w:rsidRPr="00220DC6">
          <w:rPr>
            <w:rFonts w:ascii="Arial" w:hAnsi="Arial" w:cs="Arial"/>
            <w:noProof/>
            <w:webHidden/>
          </w:rPr>
          <w:instrText xml:space="preserve"> PAGEREF _Toc145511596 \h </w:instrText>
        </w:r>
        <w:r w:rsidRPr="00220DC6">
          <w:rPr>
            <w:rFonts w:ascii="Arial" w:hAnsi="Arial" w:cs="Arial"/>
            <w:noProof/>
            <w:webHidden/>
          </w:rPr>
        </w:r>
        <w:r w:rsidRPr="00220DC6">
          <w:rPr>
            <w:rFonts w:ascii="Arial" w:hAnsi="Arial" w:cs="Arial"/>
            <w:noProof/>
            <w:webHidden/>
          </w:rPr>
          <w:fldChar w:fldCharType="separate"/>
        </w:r>
        <w:r w:rsidR="00100CF9" w:rsidRPr="00220DC6">
          <w:rPr>
            <w:rFonts w:ascii="Arial" w:hAnsi="Arial" w:cs="Arial"/>
            <w:noProof/>
            <w:webHidden/>
          </w:rPr>
          <w:t>192</w:t>
        </w:r>
        <w:r w:rsidRPr="00220DC6">
          <w:rPr>
            <w:rFonts w:ascii="Arial" w:hAnsi="Arial" w:cs="Arial"/>
            <w:noProof/>
            <w:webHidden/>
          </w:rPr>
          <w:fldChar w:fldCharType="end"/>
        </w:r>
      </w:hyperlink>
    </w:p>
    <w:p w14:paraId="3A77034C" w14:textId="220D3079" w:rsidR="00BE6D36" w:rsidRPr="00220DC6" w:rsidRDefault="00BE6D36">
      <w:pPr>
        <w:pStyle w:val="TOC1"/>
        <w:tabs>
          <w:tab w:val="right" w:leader="dot" w:pos="9629"/>
        </w:tabs>
        <w:rPr>
          <w:rFonts w:ascii="Arial" w:eastAsiaTheme="minorEastAsia" w:hAnsi="Arial" w:cs="Arial"/>
          <w:b w:val="0"/>
          <w:bCs w:val="0"/>
          <w:caps w:val="0"/>
          <w:noProof/>
          <w:color w:val="auto"/>
          <w:kern w:val="2"/>
          <w14:ligatures w14:val="standardContextual"/>
        </w:rPr>
      </w:pPr>
      <w:hyperlink w:anchor="_Toc145511597" w:history="1">
        <w:r w:rsidRPr="00220DC6">
          <w:rPr>
            <w:rStyle w:val="Hyperlink"/>
            <w:rFonts w:ascii="Arial" w:hAnsi="Arial" w:cs="Arial"/>
            <w:noProof/>
          </w:rPr>
          <w:t>Building a strong economy which provides opportunities for local people</w:t>
        </w:r>
        <w:r w:rsidRPr="00220DC6">
          <w:rPr>
            <w:rFonts w:ascii="Arial" w:hAnsi="Arial" w:cs="Arial"/>
            <w:noProof/>
            <w:webHidden/>
          </w:rPr>
          <w:tab/>
        </w:r>
        <w:r w:rsidRPr="00220DC6">
          <w:rPr>
            <w:rFonts w:ascii="Arial" w:hAnsi="Arial" w:cs="Arial"/>
            <w:noProof/>
            <w:webHidden/>
          </w:rPr>
          <w:fldChar w:fldCharType="begin"/>
        </w:r>
        <w:r w:rsidRPr="00220DC6">
          <w:rPr>
            <w:rFonts w:ascii="Arial" w:hAnsi="Arial" w:cs="Arial"/>
            <w:noProof/>
            <w:webHidden/>
          </w:rPr>
          <w:instrText xml:space="preserve"> PAGEREF _Toc145511597 \h </w:instrText>
        </w:r>
        <w:r w:rsidRPr="00220DC6">
          <w:rPr>
            <w:rFonts w:ascii="Arial" w:hAnsi="Arial" w:cs="Arial"/>
            <w:noProof/>
            <w:webHidden/>
          </w:rPr>
        </w:r>
        <w:r w:rsidRPr="00220DC6">
          <w:rPr>
            <w:rFonts w:ascii="Arial" w:hAnsi="Arial" w:cs="Arial"/>
            <w:noProof/>
            <w:webHidden/>
          </w:rPr>
          <w:fldChar w:fldCharType="separate"/>
        </w:r>
        <w:r w:rsidR="00100CF9" w:rsidRPr="00220DC6">
          <w:rPr>
            <w:rFonts w:ascii="Arial" w:hAnsi="Arial" w:cs="Arial"/>
            <w:noProof/>
            <w:webHidden/>
          </w:rPr>
          <w:t>192</w:t>
        </w:r>
        <w:r w:rsidRPr="00220DC6">
          <w:rPr>
            <w:rFonts w:ascii="Arial" w:hAnsi="Arial" w:cs="Arial"/>
            <w:noProof/>
            <w:webHidden/>
          </w:rPr>
          <w:fldChar w:fldCharType="end"/>
        </w:r>
      </w:hyperlink>
    </w:p>
    <w:p w14:paraId="02C65C18" w14:textId="5448E782" w:rsidR="00BE6D36" w:rsidRPr="00220DC6" w:rsidRDefault="00BE6D36">
      <w:pPr>
        <w:pStyle w:val="TOC3"/>
        <w:tabs>
          <w:tab w:val="right" w:leader="dot" w:pos="9629"/>
        </w:tabs>
        <w:rPr>
          <w:rFonts w:ascii="Arial" w:eastAsiaTheme="minorEastAsia" w:hAnsi="Arial" w:cs="Arial"/>
          <w:noProof/>
          <w:color w:val="auto"/>
          <w:kern w:val="2"/>
          <w:sz w:val="24"/>
          <w:szCs w:val="24"/>
          <w14:ligatures w14:val="standardContextual"/>
        </w:rPr>
      </w:pPr>
      <w:hyperlink w:anchor="_Toc145511598" w:history="1">
        <w:r w:rsidRPr="00220DC6">
          <w:rPr>
            <w:rStyle w:val="Hyperlink"/>
            <w:rFonts w:ascii="Arial" w:eastAsia="Arial" w:hAnsi="Arial" w:cs="Arial"/>
            <w:noProof/>
            <w:sz w:val="24"/>
            <w:szCs w:val="24"/>
          </w:rPr>
          <w:t>Policy EM1: Business and Economic Development</w:t>
        </w:r>
        <w:r w:rsidRPr="00220DC6">
          <w:rPr>
            <w:rFonts w:ascii="Arial" w:hAnsi="Arial" w:cs="Arial"/>
            <w:noProof/>
            <w:webHidden/>
            <w:sz w:val="24"/>
            <w:szCs w:val="24"/>
          </w:rPr>
          <w:tab/>
        </w:r>
        <w:r w:rsidRPr="00220DC6">
          <w:rPr>
            <w:rFonts w:ascii="Arial" w:hAnsi="Arial" w:cs="Arial"/>
            <w:noProof/>
            <w:webHidden/>
            <w:sz w:val="24"/>
            <w:szCs w:val="24"/>
          </w:rPr>
          <w:fldChar w:fldCharType="begin"/>
        </w:r>
        <w:r w:rsidRPr="00220DC6">
          <w:rPr>
            <w:rFonts w:ascii="Arial" w:hAnsi="Arial" w:cs="Arial"/>
            <w:noProof/>
            <w:webHidden/>
            <w:sz w:val="24"/>
            <w:szCs w:val="24"/>
          </w:rPr>
          <w:instrText xml:space="preserve"> PAGEREF _Toc145511598 \h </w:instrText>
        </w:r>
        <w:r w:rsidRPr="00220DC6">
          <w:rPr>
            <w:rFonts w:ascii="Arial" w:hAnsi="Arial" w:cs="Arial"/>
            <w:noProof/>
            <w:webHidden/>
            <w:sz w:val="24"/>
            <w:szCs w:val="24"/>
          </w:rPr>
        </w:r>
        <w:r w:rsidRPr="00220DC6">
          <w:rPr>
            <w:rFonts w:ascii="Arial" w:hAnsi="Arial" w:cs="Arial"/>
            <w:noProof/>
            <w:webHidden/>
            <w:sz w:val="24"/>
            <w:szCs w:val="24"/>
          </w:rPr>
          <w:fldChar w:fldCharType="separate"/>
        </w:r>
        <w:r w:rsidR="00100CF9" w:rsidRPr="00220DC6">
          <w:rPr>
            <w:rFonts w:ascii="Arial" w:hAnsi="Arial" w:cs="Arial"/>
            <w:noProof/>
            <w:webHidden/>
            <w:sz w:val="24"/>
            <w:szCs w:val="24"/>
          </w:rPr>
          <w:t>192</w:t>
        </w:r>
        <w:r w:rsidRPr="00220DC6">
          <w:rPr>
            <w:rFonts w:ascii="Arial" w:hAnsi="Arial" w:cs="Arial"/>
            <w:noProof/>
            <w:webHidden/>
            <w:sz w:val="24"/>
            <w:szCs w:val="24"/>
          </w:rPr>
          <w:fldChar w:fldCharType="end"/>
        </w:r>
      </w:hyperlink>
    </w:p>
    <w:p w14:paraId="0EC7C443" w14:textId="1E147CBE" w:rsidR="00BE6D36" w:rsidRPr="00220DC6" w:rsidRDefault="00BE6D36">
      <w:pPr>
        <w:pStyle w:val="TOC3"/>
        <w:tabs>
          <w:tab w:val="right" w:leader="dot" w:pos="9629"/>
        </w:tabs>
        <w:rPr>
          <w:rFonts w:ascii="Arial" w:eastAsiaTheme="minorEastAsia" w:hAnsi="Arial" w:cs="Arial"/>
          <w:noProof/>
          <w:color w:val="auto"/>
          <w:kern w:val="2"/>
          <w:sz w:val="24"/>
          <w:szCs w:val="24"/>
          <w14:ligatures w14:val="standardContextual"/>
        </w:rPr>
      </w:pPr>
      <w:hyperlink w:anchor="_Toc145511599" w:history="1">
        <w:r w:rsidRPr="00220DC6">
          <w:rPr>
            <w:rStyle w:val="Hyperlink"/>
            <w:rFonts w:ascii="Arial" w:eastAsia="Arial" w:hAnsi="Arial" w:cs="Arial"/>
            <w:noProof/>
            <w:sz w:val="24"/>
            <w:szCs w:val="24"/>
          </w:rPr>
          <w:t>Policy EM2: Employment Land Allocations</w:t>
        </w:r>
        <w:r w:rsidRPr="00220DC6">
          <w:rPr>
            <w:rFonts w:ascii="Arial" w:hAnsi="Arial" w:cs="Arial"/>
            <w:noProof/>
            <w:webHidden/>
            <w:sz w:val="24"/>
            <w:szCs w:val="24"/>
          </w:rPr>
          <w:tab/>
        </w:r>
        <w:r w:rsidRPr="00220DC6">
          <w:rPr>
            <w:rFonts w:ascii="Arial" w:hAnsi="Arial" w:cs="Arial"/>
            <w:noProof/>
            <w:webHidden/>
            <w:sz w:val="24"/>
            <w:szCs w:val="24"/>
          </w:rPr>
          <w:fldChar w:fldCharType="begin"/>
        </w:r>
        <w:r w:rsidRPr="00220DC6">
          <w:rPr>
            <w:rFonts w:ascii="Arial" w:hAnsi="Arial" w:cs="Arial"/>
            <w:noProof/>
            <w:webHidden/>
            <w:sz w:val="24"/>
            <w:szCs w:val="24"/>
          </w:rPr>
          <w:instrText xml:space="preserve"> PAGEREF _Toc145511599 \h </w:instrText>
        </w:r>
        <w:r w:rsidRPr="00220DC6">
          <w:rPr>
            <w:rFonts w:ascii="Arial" w:hAnsi="Arial" w:cs="Arial"/>
            <w:noProof/>
            <w:webHidden/>
            <w:sz w:val="24"/>
            <w:szCs w:val="24"/>
          </w:rPr>
        </w:r>
        <w:r w:rsidRPr="00220DC6">
          <w:rPr>
            <w:rFonts w:ascii="Arial" w:hAnsi="Arial" w:cs="Arial"/>
            <w:noProof/>
            <w:webHidden/>
            <w:sz w:val="24"/>
            <w:szCs w:val="24"/>
          </w:rPr>
          <w:fldChar w:fldCharType="separate"/>
        </w:r>
        <w:r w:rsidR="00100CF9" w:rsidRPr="00220DC6">
          <w:rPr>
            <w:rFonts w:ascii="Arial" w:hAnsi="Arial" w:cs="Arial"/>
            <w:noProof/>
            <w:webHidden/>
            <w:sz w:val="24"/>
            <w:szCs w:val="24"/>
          </w:rPr>
          <w:t>195</w:t>
        </w:r>
        <w:r w:rsidRPr="00220DC6">
          <w:rPr>
            <w:rFonts w:ascii="Arial" w:hAnsi="Arial" w:cs="Arial"/>
            <w:noProof/>
            <w:webHidden/>
            <w:sz w:val="24"/>
            <w:szCs w:val="24"/>
          </w:rPr>
          <w:fldChar w:fldCharType="end"/>
        </w:r>
      </w:hyperlink>
    </w:p>
    <w:p w14:paraId="20C0F305" w14:textId="5A0CF7D7" w:rsidR="00BE6D36" w:rsidRPr="00220DC6" w:rsidRDefault="00BE6D36">
      <w:pPr>
        <w:pStyle w:val="TOC3"/>
        <w:tabs>
          <w:tab w:val="right" w:leader="dot" w:pos="9629"/>
        </w:tabs>
        <w:rPr>
          <w:rFonts w:ascii="Arial" w:eastAsiaTheme="minorEastAsia" w:hAnsi="Arial" w:cs="Arial"/>
          <w:noProof/>
          <w:color w:val="auto"/>
          <w:kern w:val="2"/>
          <w:sz w:val="24"/>
          <w:szCs w:val="24"/>
          <w14:ligatures w14:val="standardContextual"/>
        </w:rPr>
      </w:pPr>
      <w:hyperlink w:anchor="_Toc145511600" w:history="1">
        <w:r w:rsidRPr="00220DC6">
          <w:rPr>
            <w:rStyle w:val="Hyperlink"/>
            <w:rFonts w:ascii="Arial" w:eastAsia="Arial" w:hAnsi="Arial" w:cs="Arial"/>
            <w:noProof/>
            <w:sz w:val="24"/>
            <w:szCs w:val="24"/>
          </w:rPr>
          <w:t>Policy EM3: Retention of Employment Sites and Allocations</w:t>
        </w:r>
        <w:r w:rsidRPr="00220DC6">
          <w:rPr>
            <w:rFonts w:ascii="Arial" w:hAnsi="Arial" w:cs="Arial"/>
            <w:noProof/>
            <w:webHidden/>
            <w:sz w:val="24"/>
            <w:szCs w:val="24"/>
          </w:rPr>
          <w:tab/>
        </w:r>
        <w:r w:rsidRPr="00220DC6">
          <w:rPr>
            <w:rFonts w:ascii="Arial" w:hAnsi="Arial" w:cs="Arial"/>
            <w:noProof/>
            <w:webHidden/>
            <w:sz w:val="24"/>
            <w:szCs w:val="24"/>
          </w:rPr>
          <w:fldChar w:fldCharType="begin"/>
        </w:r>
        <w:r w:rsidRPr="00220DC6">
          <w:rPr>
            <w:rFonts w:ascii="Arial" w:hAnsi="Arial" w:cs="Arial"/>
            <w:noProof/>
            <w:webHidden/>
            <w:sz w:val="24"/>
            <w:szCs w:val="24"/>
          </w:rPr>
          <w:instrText xml:space="preserve"> PAGEREF _Toc145511600 \h </w:instrText>
        </w:r>
        <w:r w:rsidRPr="00220DC6">
          <w:rPr>
            <w:rFonts w:ascii="Arial" w:hAnsi="Arial" w:cs="Arial"/>
            <w:noProof/>
            <w:webHidden/>
            <w:sz w:val="24"/>
            <w:szCs w:val="24"/>
          </w:rPr>
        </w:r>
        <w:r w:rsidRPr="00220DC6">
          <w:rPr>
            <w:rFonts w:ascii="Arial" w:hAnsi="Arial" w:cs="Arial"/>
            <w:noProof/>
            <w:webHidden/>
            <w:sz w:val="24"/>
            <w:szCs w:val="24"/>
          </w:rPr>
          <w:fldChar w:fldCharType="separate"/>
        </w:r>
        <w:r w:rsidR="00100CF9" w:rsidRPr="00220DC6">
          <w:rPr>
            <w:rFonts w:ascii="Arial" w:hAnsi="Arial" w:cs="Arial"/>
            <w:noProof/>
            <w:webHidden/>
            <w:sz w:val="24"/>
            <w:szCs w:val="24"/>
          </w:rPr>
          <w:t>197</w:t>
        </w:r>
        <w:r w:rsidRPr="00220DC6">
          <w:rPr>
            <w:rFonts w:ascii="Arial" w:hAnsi="Arial" w:cs="Arial"/>
            <w:noProof/>
            <w:webHidden/>
            <w:sz w:val="24"/>
            <w:szCs w:val="24"/>
          </w:rPr>
          <w:fldChar w:fldCharType="end"/>
        </w:r>
      </w:hyperlink>
    </w:p>
    <w:p w14:paraId="2537C589" w14:textId="3B62A8CB" w:rsidR="00BE6D36" w:rsidRPr="00220DC6" w:rsidRDefault="00BE6D36">
      <w:pPr>
        <w:pStyle w:val="TOC3"/>
        <w:tabs>
          <w:tab w:val="right" w:leader="dot" w:pos="9629"/>
        </w:tabs>
        <w:rPr>
          <w:rFonts w:ascii="Arial" w:eastAsiaTheme="minorEastAsia" w:hAnsi="Arial" w:cs="Arial"/>
          <w:noProof/>
          <w:color w:val="auto"/>
          <w:kern w:val="2"/>
          <w:sz w:val="24"/>
          <w:szCs w:val="24"/>
          <w14:ligatures w14:val="standardContextual"/>
        </w:rPr>
      </w:pPr>
      <w:hyperlink w:anchor="_Toc145511601" w:history="1">
        <w:r w:rsidRPr="00220DC6">
          <w:rPr>
            <w:rStyle w:val="Hyperlink"/>
            <w:rFonts w:ascii="Arial" w:eastAsia="Arial" w:hAnsi="Arial" w:cs="Arial"/>
            <w:noProof/>
            <w:sz w:val="24"/>
            <w:szCs w:val="24"/>
          </w:rPr>
          <w:t>Policy EM4: Rural Development</w:t>
        </w:r>
        <w:r w:rsidRPr="00220DC6">
          <w:rPr>
            <w:rFonts w:ascii="Arial" w:hAnsi="Arial" w:cs="Arial"/>
            <w:noProof/>
            <w:webHidden/>
            <w:sz w:val="24"/>
            <w:szCs w:val="24"/>
          </w:rPr>
          <w:tab/>
        </w:r>
        <w:r w:rsidRPr="00220DC6">
          <w:rPr>
            <w:rFonts w:ascii="Arial" w:hAnsi="Arial" w:cs="Arial"/>
            <w:noProof/>
            <w:webHidden/>
            <w:sz w:val="24"/>
            <w:szCs w:val="24"/>
          </w:rPr>
          <w:fldChar w:fldCharType="begin"/>
        </w:r>
        <w:r w:rsidRPr="00220DC6">
          <w:rPr>
            <w:rFonts w:ascii="Arial" w:hAnsi="Arial" w:cs="Arial"/>
            <w:noProof/>
            <w:webHidden/>
            <w:sz w:val="24"/>
            <w:szCs w:val="24"/>
          </w:rPr>
          <w:instrText xml:space="preserve"> PAGEREF _Toc145511601 \h </w:instrText>
        </w:r>
        <w:r w:rsidRPr="00220DC6">
          <w:rPr>
            <w:rFonts w:ascii="Arial" w:hAnsi="Arial" w:cs="Arial"/>
            <w:noProof/>
            <w:webHidden/>
            <w:sz w:val="24"/>
            <w:szCs w:val="24"/>
          </w:rPr>
        </w:r>
        <w:r w:rsidRPr="00220DC6">
          <w:rPr>
            <w:rFonts w:ascii="Arial" w:hAnsi="Arial" w:cs="Arial"/>
            <w:noProof/>
            <w:webHidden/>
            <w:sz w:val="24"/>
            <w:szCs w:val="24"/>
          </w:rPr>
          <w:fldChar w:fldCharType="separate"/>
        </w:r>
        <w:r w:rsidR="00100CF9" w:rsidRPr="00220DC6">
          <w:rPr>
            <w:rFonts w:ascii="Arial" w:hAnsi="Arial" w:cs="Arial"/>
            <w:noProof/>
            <w:webHidden/>
            <w:sz w:val="24"/>
            <w:szCs w:val="24"/>
          </w:rPr>
          <w:t>199</w:t>
        </w:r>
        <w:r w:rsidRPr="00220DC6">
          <w:rPr>
            <w:rFonts w:ascii="Arial" w:hAnsi="Arial" w:cs="Arial"/>
            <w:noProof/>
            <w:webHidden/>
            <w:sz w:val="24"/>
            <w:szCs w:val="24"/>
          </w:rPr>
          <w:fldChar w:fldCharType="end"/>
        </w:r>
      </w:hyperlink>
    </w:p>
    <w:p w14:paraId="67A1CD84" w14:textId="32C59A1E" w:rsidR="00BE6D36" w:rsidRPr="00220DC6" w:rsidRDefault="00BE6D36">
      <w:pPr>
        <w:pStyle w:val="TOC3"/>
        <w:tabs>
          <w:tab w:val="right" w:leader="dot" w:pos="9629"/>
        </w:tabs>
        <w:rPr>
          <w:rFonts w:ascii="Arial" w:eastAsiaTheme="minorEastAsia" w:hAnsi="Arial" w:cs="Arial"/>
          <w:noProof/>
          <w:color w:val="auto"/>
          <w:kern w:val="2"/>
          <w:sz w:val="24"/>
          <w:szCs w:val="24"/>
          <w14:ligatures w14:val="standardContextual"/>
        </w:rPr>
      </w:pPr>
      <w:hyperlink w:anchor="_Toc145511602" w:history="1">
        <w:r w:rsidRPr="00220DC6">
          <w:rPr>
            <w:rStyle w:val="Hyperlink"/>
            <w:rFonts w:ascii="Arial" w:eastAsia="Arial" w:hAnsi="Arial" w:cs="Arial"/>
            <w:noProof/>
            <w:sz w:val="24"/>
            <w:szCs w:val="24"/>
          </w:rPr>
          <w:t>Policy EM5: Education, Skills and Training</w:t>
        </w:r>
        <w:r w:rsidRPr="00220DC6">
          <w:rPr>
            <w:rFonts w:ascii="Arial" w:hAnsi="Arial" w:cs="Arial"/>
            <w:noProof/>
            <w:webHidden/>
            <w:sz w:val="24"/>
            <w:szCs w:val="24"/>
          </w:rPr>
          <w:tab/>
        </w:r>
        <w:r w:rsidRPr="00220DC6">
          <w:rPr>
            <w:rFonts w:ascii="Arial" w:hAnsi="Arial" w:cs="Arial"/>
            <w:noProof/>
            <w:webHidden/>
            <w:sz w:val="24"/>
            <w:szCs w:val="24"/>
          </w:rPr>
          <w:fldChar w:fldCharType="begin"/>
        </w:r>
        <w:r w:rsidRPr="00220DC6">
          <w:rPr>
            <w:rFonts w:ascii="Arial" w:hAnsi="Arial" w:cs="Arial"/>
            <w:noProof/>
            <w:webHidden/>
            <w:sz w:val="24"/>
            <w:szCs w:val="24"/>
          </w:rPr>
          <w:instrText xml:space="preserve"> PAGEREF _Toc145511602 \h </w:instrText>
        </w:r>
        <w:r w:rsidRPr="00220DC6">
          <w:rPr>
            <w:rFonts w:ascii="Arial" w:hAnsi="Arial" w:cs="Arial"/>
            <w:noProof/>
            <w:webHidden/>
            <w:sz w:val="24"/>
            <w:szCs w:val="24"/>
          </w:rPr>
        </w:r>
        <w:r w:rsidRPr="00220DC6">
          <w:rPr>
            <w:rFonts w:ascii="Arial" w:hAnsi="Arial" w:cs="Arial"/>
            <w:noProof/>
            <w:webHidden/>
            <w:sz w:val="24"/>
            <w:szCs w:val="24"/>
          </w:rPr>
          <w:fldChar w:fldCharType="separate"/>
        </w:r>
        <w:r w:rsidR="00100CF9" w:rsidRPr="00220DC6">
          <w:rPr>
            <w:rFonts w:ascii="Arial" w:hAnsi="Arial" w:cs="Arial"/>
            <w:noProof/>
            <w:webHidden/>
            <w:sz w:val="24"/>
            <w:szCs w:val="24"/>
          </w:rPr>
          <w:t>204</w:t>
        </w:r>
        <w:r w:rsidRPr="00220DC6">
          <w:rPr>
            <w:rFonts w:ascii="Arial" w:hAnsi="Arial" w:cs="Arial"/>
            <w:noProof/>
            <w:webHidden/>
            <w:sz w:val="24"/>
            <w:szCs w:val="24"/>
          </w:rPr>
          <w:fldChar w:fldCharType="end"/>
        </w:r>
      </w:hyperlink>
    </w:p>
    <w:p w14:paraId="45563C5C" w14:textId="25DD2EAF" w:rsidR="00BE6D36" w:rsidRPr="00220DC6" w:rsidRDefault="00BE6D36">
      <w:pPr>
        <w:pStyle w:val="TOC1"/>
        <w:tabs>
          <w:tab w:val="right" w:leader="dot" w:pos="9629"/>
        </w:tabs>
        <w:rPr>
          <w:rFonts w:ascii="Arial" w:eastAsiaTheme="minorEastAsia" w:hAnsi="Arial" w:cs="Arial"/>
          <w:b w:val="0"/>
          <w:bCs w:val="0"/>
          <w:caps w:val="0"/>
          <w:noProof/>
          <w:color w:val="auto"/>
          <w:kern w:val="2"/>
          <w14:ligatures w14:val="standardContextual"/>
        </w:rPr>
      </w:pPr>
      <w:hyperlink w:anchor="_Toc145511603" w:history="1">
        <w:r w:rsidRPr="00220DC6">
          <w:rPr>
            <w:rStyle w:val="Hyperlink"/>
            <w:rFonts w:ascii="Arial" w:hAnsi="Arial" w:cs="Arial"/>
            <w:noProof/>
          </w:rPr>
          <w:t>Chapter 8</w:t>
        </w:r>
        <w:r w:rsidRPr="00220DC6">
          <w:rPr>
            <w:rFonts w:ascii="Arial" w:hAnsi="Arial" w:cs="Arial"/>
            <w:noProof/>
            <w:webHidden/>
          </w:rPr>
          <w:tab/>
        </w:r>
        <w:r w:rsidRPr="00220DC6">
          <w:rPr>
            <w:rFonts w:ascii="Arial" w:hAnsi="Arial" w:cs="Arial"/>
            <w:noProof/>
            <w:webHidden/>
          </w:rPr>
          <w:fldChar w:fldCharType="begin"/>
        </w:r>
        <w:r w:rsidRPr="00220DC6">
          <w:rPr>
            <w:rFonts w:ascii="Arial" w:hAnsi="Arial" w:cs="Arial"/>
            <w:noProof/>
            <w:webHidden/>
          </w:rPr>
          <w:instrText xml:space="preserve"> PAGEREF _Toc145511603 \h </w:instrText>
        </w:r>
        <w:r w:rsidRPr="00220DC6">
          <w:rPr>
            <w:rFonts w:ascii="Arial" w:hAnsi="Arial" w:cs="Arial"/>
            <w:noProof/>
            <w:webHidden/>
          </w:rPr>
        </w:r>
        <w:r w:rsidRPr="00220DC6">
          <w:rPr>
            <w:rFonts w:ascii="Arial" w:hAnsi="Arial" w:cs="Arial"/>
            <w:noProof/>
            <w:webHidden/>
          </w:rPr>
          <w:fldChar w:fldCharType="separate"/>
        </w:r>
        <w:r w:rsidR="00100CF9" w:rsidRPr="00220DC6">
          <w:rPr>
            <w:rFonts w:ascii="Arial" w:hAnsi="Arial" w:cs="Arial"/>
            <w:noProof/>
            <w:webHidden/>
          </w:rPr>
          <w:t>208</w:t>
        </w:r>
        <w:r w:rsidRPr="00220DC6">
          <w:rPr>
            <w:rFonts w:ascii="Arial" w:hAnsi="Arial" w:cs="Arial"/>
            <w:noProof/>
            <w:webHidden/>
          </w:rPr>
          <w:fldChar w:fldCharType="end"/>
        </w:r>
      </w:hyperlink>
    </w:p>
    <w:p w14:paraId="1856757C" w14:textId="19E59A08" w:rsidR="00BE6D36" w:rsidRPr="00220DC6" w:rsidRDefault="00BE6D36">
      <w:pPr>
        <w:pStyle w:val="TOC1"/>
        <w:tabs>
          <w:tab w:val="right" w:leader="dot" w:pos="9629"/>
        </w:tabs>
        <w:rPr>
          <w:rFonts w:ascii="Arial" w:eastAsiaTheme="minorEastAsia" w:hAnsi="Arial" w:cs="Arial"/>
          <w:b w:val="0"/>
          <w:bCs w:val="0"/>
          <w:caps w:val="0"/>
          <w:noProof/>
          <w:color w:val="auto"/>
          <w:kern w:val="2"/>
          <w14:ligatures w14:val="standardContextual"/>
        </w:rPr>
      </w:pPr>
      <w:hyperlink w:anchor="_Toc145511604" w:history="1">
        <w:r w:rsidRPr="00220DC6">
          <w:rPr>
            <w:rStyle w:val="Hyperlink"/>
            <w:rFonts w:ascii="Arial" w:hAnsi="Arial" w:cs="Arial"/>
            <w:noProof/>
          </w:rPr>
          <w:t>Placing vibrant town and local centres at the heart of the community</w:t>
        </w:r>
        <w:r w:rsidRPr="00220DC6">
          <w:rPr>
            <w:rFonts w:ascii="Arial" w:hAnsi="Arial" w:cs="Arial"/>
            <w:noProof/>
            <w:webHidden/>
          </w:rPr>
          <w:tab/>
        </w:r>
        <w:r w:rsidRPr="00220DC6">
          <w:rPr>
            <w:rFonts w:ascii="Arial" w:hAnsi="Arial" w:cs="Arial"/>
            <w:noProof/>
            <w:webHidden/>
          </w:rPr>
          <w:fldChar w:fldCharType="begin"/>
        </w:r>
        <w:r w:rsidRPr="00220DC6">
          <w:rPr>
            <w:rFonts w:ascii="Arial" w:hAnsi="Arial" w:cs="Arial"/>
            <w:noProof/>
            <w:webHidden/>
          </w:rPr>
          <w:instrText xml:space="preserve"> PAGEREF _Toc145511604 \h </w:instrText>
        </w:r>
        <w:r w:rsidRPr="00220DC6">
          <w:rPr>
            <w:rFonts w:ascii="Arial" w:hAnsi="Arial" w:cs="Arial"/>
            <w:noProof/>
            <w:webHidden/>
          </w:rPr>
        </w:r>
        <w:r w:rsidRPr="00220DC6">
          <w:rPr>
            <w:rFonts w:ascii="Arial" w:hAnsi="Arial" w:cs="Arial"/>
            <w:noProof/>
            <w:webHidden/>
          </w:rPr>
          <w:fldChar w:fldCharType="separate"/>
        </w:r>
        <w:r w:rsidR="00100CF9" w:rsidRPr="00220DC6">
          <w:rPr>
            <w:rFonts w:ascii="Arial" w:hAnsi="Arial" w:cs="Arial"/>
            <w:noProof/>
            <w:webHidden/>
          </w:rPr>
          <w:t>208</w:t>
        </w:r>
        <w:r w:rsidRPr="00220DC6">
          <w:rPr>
            <w:rFonts w:ascii="Arial" w:hAnsi="Arial" w:cs="Arial"/>
            <w:noProof/>
            <w:webHidden/>
          </w:rPr>
          <w:fldChar w:fldCharType="end"/>
        </w:r>
      </w:hyperlink>
    </w:p>
    <w:p w14:paraId="47E5C447" w14:textId="3ED6672B" w:rsidR="00BE6D36" w:rsidRPr="00220DC6" w:rsidRDefault="00BE6D36">
      <w:pPr>
        <w:pStyle w:val="TOC3"/>
        <w:tabs>
          <w:tab w:val="right" w:leader="dot" w:pos="9629"/>
        </w:tabs>
        <w:rPr>
          <w:rFonts w:ascii="Arial" w:eastAsiaTheme="minorEastAsia" w:hAnsi="Arial" w:cs="Arial"/>
          <w:noProof/>
          <w:color w:val="auto"/>
          <w:kern w:val="2"/>
          <w:sz w:val="24"/>
          <w:szCs w:val="24"/>
          <w14:ligatures w14:val="standardContextual"/>
        </w:rPr>
      </w:pPr>
      <w:hyperlink w:anchor="_Toc145511605" w:history="1">
        <w:r w:rsidRPr="00220DC6">
          <w:rPr>
            <w:rStyle w:val="Hyperlink"/>
            <w:rFonts w:ascii="Arial" w:eastAsia="Arial" w:hAnsi="Arial" w:cs="Arial"/>
            <w:noProof/>
            <w:sz w:val="24"/>
            <w:szCs w:val="24"/>
          </w:rPr>
          <w:t>Policy SH1: Retail, Leisure, Commercial and Town Centre Uses</w:t>
        </w:r>
        <w:r w:rsidRPr="00220DC6">
          <w:rPr>
            <w:rFonts w:ascii="Arial" w:hAnsi="Arial" w:cs="Arial"/>
            <w:noProof/>
            <w:webHidden/>
            <w:sz w:val="24"/>
            <w:szCs w:val="24"/>
          </w:rPr>
          <w:tab/>
        </w:r>
        <w:r w:rsidRPr="00220DC6">
          <w:rPr>
            <w:rFonts w:ascii="Arial" w:hAnsi="Arial" w:cs="Arial"/>
            <w:noProof/>
            <w:webHidden/>
            <w:sz w:val="24"/>
            <w:szCs w:val="24"/>
          </w:rPr>
          <w:fldChar w:fldCharType="begin"/>
        </w:r>
        <w:r w:rsidRPr="00220DC6">
          <w:rPr>
            <w:rFonts w:ascii="Arial" w:hAnsi="Arial" w:cs="Arial"/>
            <w:noProof/>
            <w:webHidden/>
            <w:sz w:val="24"/>
            <w:szCs w:val="24"/>
          </w:rPr>
          <w:instrText xml:space="preserve"> PAGEREF _Toc145511605 \h </w:instrText>
        </w:r>
        <w:r w:rsidRPr="00220DC6">
          <w:rPr>
            <w:rFonts w:ascii="Arial" w:hAnsi="Arial" w:cs="Arial"/>
            <w:noProof/>
            <w:webHidden/>
            <w:sz w:val="24"/>
            <w:szCs w:val="24"/>
          </w:rPr>
        </w:r>
        <w:r w:rsidRPr="00220DC6">
          <w:rPr>
            <w:rFonts w:ascii="Arial" w:hAnsi="Arial" w:cs="Arial"/>
            <w:noProof/>
            <w:webHidden/>
            <w:sz w:val="24"/>
            <w:szCs w:val="24"/>
          </w:rPr>
          <w:fldChar w:fldCharType="separate"/>
        </w:r>
        <w:r w:rsidR="00100CF9" w:rsidRPr="00220DC6">
          <w:rPr>
            <w:rFonts w:ascii="Arial" w:hAnsi="Arial" w:cs="Arial"/>
            <w:noProof/>
            <w:webHidden/>
            <w:sz w:val="24"/>
            <w:szCs w:val="24"/>
          </w:rPr>
          <w:t>208</w:t>
        </w:r>
        <w:r w:rsidRPr="00220DC6">
          <w:rPr>
            <w:rFonts w:ascii="Arial" w:hAnsi="Arial" w:cs="Arial"/>
            <w:noProof/>
            <w:webHidden/>
            <w:sz w:val="24"/>
            <w:szCs w:val="24"/>
          </w:rPr>
          <w:fldChar w:fldCharType="end"/>
        </w:r>
      </w:hyperlink>
    </w:p>
    <w:p w14:paraId="54A7B467" w14:textId="4759E1E7" w:rsidR="00BE6D36" w:rsidRPr="00220DC6" w:rsidRDefault="00BE6D36">
      <w:pPr>
        <w:pStyle w:val="TOC3"/>
        <w:tabs>
          <w:tab w:val="right" w:leader="dot" w:pos="9629"/>
        </w:tabs>
        <w:rPr>
          <w:rFonts w:ascii="Arial" w:eastAsiaTheme="minorEastAsia" w:hAnsi="Arial" w:cs="Arial"/>
          <w:noProof/>
          <w:color w:val="auto"/>
          <w:kern w:val="2"/>
          <w:sz w:val="24"/>
          <w:szCs w:val="24"/>
          <w14:ligatures w14:val="standardContextual"/>
        </w:rPr>
      </w:pPr>
      <w:hyperlink w:anchor="_Toc145511606" w:history="1">
        <w:r w:rsidRPr="00220DC6">
          <w:rPr>
            <w:rStyle w:val="Hyperlink"/>
            <w:rFonts w:ascii="Arial" w:eastAsia="Arial" w:hAnsi="Arial" w:cs="Arial"/>
            <w:noProof/>
            <w:sz w:val="24"/>
            <w:szCs w:val="24"/>
          </w:rPr>
          <w:t>Policy SH2: Local Shopping Centres, Shopping Parades and Single Shops</w:t>
        </w:r>
        <w:r w:rsidRPr="00220DC6">
          <w:rPr>
            <w:rFonts w:ascii="Arial" w:hAnsi="Arial" w:cs="Arial"/>
            <w:noProof/>
            <w:webHidden/>
            <w:sz w:val="24"/>
            <w:szCs w:val="24"/>
          </w:rPr>
          <w:tab/>
        </w:r>
        <w:r w:rsidRPr="00220DC6">
          <w:rPr>
            <w:rFonts w:ascii="Arial" w:hAnsi="Arial" w:cs="Arial"/>
            <w:noProof/>
            <w:webHidden/>
            <w:sz w:val="24"/>
            <w:szCs w:val="24"/>
          </w:rPr>
          <w:fldChar w:fldCharType="begin"/>
        </w:r>
        <w:r w:rsidRPr="00220DC6">
          <w:rPr>
            <w:rFonts w:ascii="Arial" w:hAnsi="Arial" w:cs="Arial"/>
            <w:noProof/>
            <w:webHidden/>
            <w:sz w:val="24"/>
            <w:szCs w:val="24"/>
          </w:rPr>
          <w:instrText xml:space="preserve"> PAGEREF _Toc145511606 \h </w:instrText>
        </w:r>
        <w:r w:rsidRPr="00220DC6">
          <w:rPr>
            <w:rFonts w:ascii="Arial" w:hAnsi="Arial" w:cs="Arial"/>
            <w:noProof/>
            <w:webHidden/>
            <w:sz w:val="24"/>
            <w:szCs w:val="24"/>
          </w:rPr>
        </w:r>
        <w:r w:rsidRPr="00220DC6">
          <w:rPr>
            <w:rFonts w:ascii="Arial" w:hAnsi="Arial" w:cs="Arial"/>
            <w:noProof/>
            <w:webHidden/>
            <w:sz w:val="24"/>
            <w:szCs w:val="24"/>
          </w:rPr>
          <w:fldChar w:fldCharType="separate"/>
        </w:r>
        <w:r w:rsidR="00100CF9" w:rsidRPr="00220DC6">
          <w:rPr>
            <w:rFonts w:ascii="Arial" w:hAnsi="Arial" w:cs="Arial"/>
            <w:noProof/>
            <w:webHidden/>
            <w:sz w:val="24"/>
            <w:szCs w:val="24"/>
          </w:rPr>
          <w:t>213</w:t>
        </w:r>
        <w:r w:rsidRPr="00220DC6">
          <w:rPr>
            <w:rFonts w:ascii="Arial" w:hAnsi="Arial" w:cs="Arial"/>
            <w:noProof/>
            <w:webHidden/>
            <w:sz w:val="24"/>
            <w:szCs w:val="24"/>
          </w:rPr>
          <w:fldChar w:fldCharType="end"/>
        </w:r>
      </w:hyperlink>
    </w:p>
    <w:p w14:paraId="40C0C0BD" w14:textId="457ED6A2" w:rsidR="00BE6D36" w:rsidRPr="00220DC6" w:rsidRDefault="00BE6D36">
      <w:pPr>
        <w:pStyle w:val="TOC3"/>
        <w:tabs>
          <w:tab w:val="right" w:leader="dot" w:pos="9629"/>
        </w:tabs>
        <w:rPr>
          <w:rFonts w:ascii="Arial" w:eastAsiaTheme="minorEastAsia" w:hAnsi="Arial" w:cs="Arial"/>
          <w:noProof/>
          <w:color w:val="auto"/>
          <w:kern w:val="2"/>
          <w:sz w:val="24"/>
          <w:szCs w:val="24"/>
          <w14:ligatures w14:val="standardContextual"/>
        </w:rPr>
      </w:pPr>
      <w:hyperlink w:anchor="_Toc145511607" w:history="1">
        <w:r w:rsidRPr="00220DC6">
          <w:rPr>
            <w:rStyle w:val="Hyperlink"/>
            <w:rFonts w:ascii="Arial" w:hAnsi="Arial" w:cs="Arial"/>
            <w:noProof/>
            <w:sz w:val="24"/>
            <w:szCs w:val="24"/>
          </w:rPr>
          <w:t>Policy SH3: Shopfronts</w:t>
        </w:r>
        <w:r w:rsidRPr="00220DC6">
          <w:rPr>
            <w:rFonts w:ascii="Arial" w:hAnsi="Arial" w:cs="Arial"/>
            <w:noProof/>
            <w:webHidden/>
            <w:sz w:val="24"/>
            <w:szCs w:val="24"/>
          </w:rPr>
          <w:tab/>
        </w:r>
        <w:r w:rsidRPr="00220DC6">
          <w:rPr>
            <w:rFonts w:ascii="Arial" w:hAnsi="Arial" w:cs="Arial"/>
            <w:noProof/>
            <w:webHidden/>
            <w:sz w:val="24"/>
            <w:szCs w:val="24"/>
          </w:rPr>
          <w:fldChar w:fldCharType="begin"/>
        </w:r>
        <w:r w:rsidRPr="00220DC6">
          <w:rPr>
            <w:rFonts w:ascii="Arial" w:hAnsi="Arial" w:cs="Arial"/>
            <w:noProof/>
            <w:webHidden/>
            <w:sz w:val="24"/>
            <w:szCs w:val="24"/>
          </w:rPr>
          <w:instrText xml:space="preserve"> PAGEREF _Toc145511607 \h </w:instrText>
        </w:r>
        <w:r w:rsidRPr="00220DC6">
          <w:rPr>
            <w:rFonts w:ascii="Arial" w:hAnsi="Arial" w:cs="Arial"/>
            <w:noProof/>
            <w:webHidden/>
            <w:sz w:val="24"/>
            <w:szCs w:val="24"/>
          </w:rPr>
        </w:r>
        <w:r w:rsidRPr="00220DC6">
          <w:rPr>
            <w:rFonts w:ascii="Arial" w:hAnsi="Arial" w:cs="Arial"/>
            <w:noProof/>
            <w:webHidden/>
            <w:sz w:val="24"/>
            <w:szCs w:val="24"/>
          </w:rPr>
          <w:fldChar w:fldCharType="separate"/>
        </w:r>
        <w:r w:rsidR="00100CF9" w:rsidRPr="00220DC6">
          <w:rPr>
            <w:rFonts w:ascii="Arial" w:hAnsi="Arial" w:cs="Arial"/>
            <w:noProof/>
            <w:webHidden/>
            <w:sz w:val="24"/>
            <w:szCs w:val="24"/>
          </w:rPr>
          <w:t>216</w:t>
        </w:r>
        <w:r w:rsidRPr="00220DC6">
          <w:rPr>
            <w:rFonts w:ascii="Arial" w:hAnsi="Arial" w:cs="Arial"/>
            <w:noProof/>
            <w:webHidden/>
            <w:sz w:val="24"/>
            <w:szCs w:val="24"/>
          </w:rPr>
          <w:fldChar w:fldCharType="end"/>
        </w:r>
      </w:hyperlink>
    </w:p>
    <w:p w14:paraId="3DAEED06" w14:textId="5914BCAE" w:rsidR="00BE6D36" w:rsidRPr="00220DC6" w:rsidRDefault="00BE6D36">
      <w:pPr>
        <w:pStyle w:val="TOC1"/>
        <w:tabs>
          <w:tab w:val="right" w:leader="dot" w:pos="9629"/>
        </w:tabs>
        <w:rPr>
          <w:rFonts w:ascii="Arial" w:eastAsiaTheme="minorEastAsia" w:hAnsi="Arial" w:cs="Arial"/>
          <w:b w:val="0"/>
          <w:bCs w:val="0"/>
          <w:caps w:val="0"/>
          <w:noProof/>
          <w:color w:val="auto"/>
          <w:kern w:val="2"/>
          <w14:ligatures w14:val="standardContextual"/>
        </w:rPr>
      </w:pPr>
      <w:hyperlink w:anchor="_Toc145511608" w:history="1">
        <w:r w:rsidRPr="00220DC6">
          <w:rPr>
            <w:rStyle w:val="Hyperlink"/>
            <w:rFonts w:ascii="Arial" w:hAnsi="Arial" w:cs="Arial"/>
            <w:noProof/>
          </w:rPr>
          <w:t>Chapter 9</w:t>
        </w:r>
        <w:r w:rsidRPr="00220DC6">
          <w:rPr>
            <w:rFonts w:ascii="Arial" w:hAnsi="Arial" w:cs="Arial"/>
            <w:noProof/>
            <w:webHidden/>
          </w:rPr>
          <w:tab/>
        </w:r>
        <w:r w:rsidRPr="00220DC6">
          <w:rPr>
            <w:rFonts w:ascii="Arial" w:hAnsi="Arial" w:cs="Arial"/>
            <w:noProof/>
            <w:webHidden/>
          </w:rPr>
          <w:fldChar w:fldCharType="begin"/>
        </w:r>
        <w:r w:rsidRPr="00220DC6">
          <w:rPr>
            <w:rFonts w:ascii="Arial" w:hAnsi="Arial" w:cs="Arial"/>
            <w:noProof/>
            <w:webHidden/>
          </w:rPr>
          <w:instrText xml:space="preserve"> PAGEREF _Toc145511608 \h </w:instrText>
        </w:r>
        <w:r w:rsidRPr="00220DC6">
          <w:rPr>
            <w:rFonts w:ascii="Arial" w:hAnsi="Arial" w:cs="Arial"/>
            <w:noProof/>
            <w:webHidden/>
          </w:rPr>
        </w:r>
        <w:r w:rsidRPr="00220DC6">
          <w:rPr>
            <w:rFonts w:ascii="Arial" w:hAnsi="Arial" w:cs="Arial"/>
            <w:noProof/>
            <w:webHidden/>
          </w:rPr>
          <w:fldChar w:fldCharType="separate"/>
        </w:r>
        <w:r w:rsidR="00100CF9" w:rsidRPr="00220DC6">
          <w:rPr>
            <w:rFonts w:ascii="Arial" w:hAnsi="Arial" w:cs="Arial"/>
            <w:noProof/>
            <w:webHidden/>
          </w:rPr>
          <w:t>220</w:t>
        </w:r>
        <w:r w:rsidRPr="00220DC6">
          <w:rPr>
            <w:rFonts w:ascii="Arial" w:hAnsi="Arial" w:cs="Arial"/>
            <w:noProof/>
            <w:webHidden/>
          </w:rPr>
          <w:fldChar w:fldCharType="end"/>
        </w:r>
      </w:hyperlink>
    </w:p>
    <w:p w14:paraId="7AC7DB43" w14:textId="42F5FF16" w:rsidR="00BE6D36" w:rsidRPr="00220DC6" w:rsidRDefault="00BE6D36">
      <w:pPr>
        <w:pStyle w:val="TOC1"/>
        <w:tabs>
          <w:tab w:val="right" w:leader="dot" w:pos="9629"/>
        </w:tabs>
        <w:rPr>
          <w:rFonts w:ascii="Arial" w:eastAsiaTheme="minorEastAsia" w:hAnsi="Arial" w:cs="Arial"/>
          <w:b w:val="0"/>
          <w:bCs w:val="0"/>
          <w:caps w:val="0"/>
          <w:noProof/>
          <w:color w:val="auto"/>
          <w:kern w:val="2"/>
          <w14:ligatures w14:val="standardContextual"/>
        </w:rPr>
      </w:pPr>
      <w:hyperlink w:anchor="_Toc145511609" w:history="1">
        <w:r w:rsidRPr="00220DC6">
          <w:rPr>
            <w:rStyle w:val="Hyperlink"/>
            <w:rFonts w:ascii="Arial" w:hAnsi="Arial" w:cs="Arial"/>
            <w:noProof/>
          </w:rPr>
          <w:t>Achieving successful development through well designed places</w:t>
        </w:r>
        <w:r w:rsidRPr="00220DC6">
          <w:rPr>
            <w:rFonts w:ascii="Arial" w:hAnsi="Arial" w:cs="Arial"/>
            <w:noProof/>
            <w:webHidden/>
          </w:rPr>
          <w:tab/>
        </w:r>
        <w:r w:rsidRPr="00220DC6">
          <w:rPr>
            <w:rFonts w:ascii="Arial" w:hAnsi="Arial" w:cs="Arial"/>
            <w:noProof/>
            <w:webHidden/>
          </w:rPr>
          <w:fldChar w:fldCharType="begin"/>
        </w:r>
        <w:r w:rsidRPr="00220DC6">
          <w:rPr>
            <w:rFonts w:ascii="Arial" w:hAnsi="Arial" w:cs="Arial"/>
            <w:noProof/>
            <w:webHidden/>
          </w:rPr>
          <w:instrText xml:space="preserve"> PAGEREF _Toc145511609 \h </w:instrText>
        </w:r>
        <w:r w:rsidRPr="00220DC6">
          <w:rPr>
            <w:rFonts w:ascii="Arial" w:hAnsi="Arial" w:cs="Arial"/>
            <w:noProof/>
            <w:webHidden/>
          </w:rPr>
        </w:r>
        <w:r w:rsidRPr="00220DC6">
          <w:rPr>
            <w:rFonts w:ascii="Arial" w:hAnsi="Arial" w:cs="Arial"/>
            <w:noProof/>
            <w:webHidden/>
          </w:rPr>
          <w:fldChar w:fldCharType="separate"/>
        </w:r>
        <w:r w:rsidR="00100CF9" w:rsidRPr="00220DC6">
          <w:rPr>
            <w:rFonts w:ascii="Arial" w:hAnsi="Arial" w:cs="Arial"/>
            <w:noProof/>
            <w:webHidden/>
          </w:rPr>
          <w:t>220</w:t>
        </w:r>
        <w:r w:rsidRPr="00220DC6">
          <w:rPr>
            <w:rFonts w:ascii="Arial" w:hAnsi="Arial" w:cs="Arial"/>
            <w:noProof/>
            <w:webHidden/>
          </w:rPr>
          <w:fldChar w:fldCharType="end"/>
        </w:r>
      </w:hyperlink>
    </w:p>
    <w:p w14:paraId="6033A29B" w14:textId="454CB7EF" w:rsidR="00BE6D36" w:rsidRPr="00220DC6" w:rsidRDefault="00BE6D36">
      <w:pPr>
        <w:pStyle w:val="TOC3"/>
        <w:tabs>
          <w:tab w:val="right" w:leader="dot" w:pos="9629"/>
        </w:tabs>
        <w:rPr>
          <w:rFonts w:ascii="Arial" w:eastAsiaTheme="minorEastAsia" w:hAnsi="Arial" w:cs="Arial"/>
          <w:noProof/>
          <w:color w:val="auto"/>
          <w:kern w:val="2"/>
          <w:sz w:val="24"/>
          <w:szCs w:val="24"/>
          <w14:ligatures w14:val="standardContextual"/>
        </w:rPr>
      </w:pPr>
      <w:hyperlink w:anchor="_Toc145511610" w:history="1">
        <w:r w:rsidRPr="00220DC6">
          <w:rPr>
            <w:rStyle w:val="Hyperlink"/>
            <w:rFonts w:ascii="Arial" w:eastAsia="Arial" w:hAnsi="Arial" w:cs="Arial"/>
            <w:noProof/>
            <w:sz w:val="24"/>
            <w:szCs w:val="24"/>
          </w:rPr>
          <w:t>Policy SD1: Social Value</w:t>
        </w:r>
        <w:r w:rsidRPr="00220DC6">
          <w:rPr>
            <w:rFonts w:ascii="Arial" w:hAnsi="Arial" w:cs="Arial"/>
            <w:noProof/>
            <w:webHidden/>
            <w:sz w:val="24"/>
            <w:szCs w:val="24"/>
          </w:rPr>
          <w:tab/>
        </w:r>
        <w:r w:rsidRPr="00220DC6">
          <w:rPr>
            <w:rFonts w:ascii="Arial" w:hAnsi="Arial" w:cs="Arial"/>
            <w:noProof/>
            <w:webHidden/>
            <w:sz w:val="24"/>
            <w:szCs w:val="24"/>
          </w:rPr>
          <w:fldChar w:fldCharType="begin"/>
        </w:r>
        <w:r w:rsidRPr="00220DC6">
          <w:rPr>
            <w:rFonts w:ascii="Arial" w:hAnsi="Arial" w:cs="Arial"/>
            <w:noProof/>
            <w:webHidden/>
            <w:sz w:val="24"/>
            <w:szCs w:val="24"/>
          </w:rPr>
          <w:instrText xml:space="preserve"> PAGEREF _Toc145511610 \h </w:instrText>
        </w:r>
        <w:r w:rsidRPr="00220DC6">
          <w:rPr>
            <w:rFonts w:ascii="Arial" w:hAnsi="Arial" w:cs="Arial"/>
            <w:noProof/>
            <w:webHidden/>
            <w:sz w:val="24"/>
            <w:szCs w:val="24"/>
          </w:rPr>
        </w:r>
        <w:r w:rsidRPr="00220DC6">
          <w:rPr>
            <w:rFonts w:ascii="Arial" w:hAnsi="Arial" w:cs="Arial"/>
            <w:noProof/>
            <w:webHidden/>
            <w:sz w:val="24"/>
            <w:szCs w:val="24"/>
          </w:rPr>
          <w:fldChar w:fldCharType="separate"/>
        </w:r>
        <w:r w:rsidR="00100CF9" w:rsidRPr="00220DC6">
          <w:rPr>
            <w:rFonts w:ascii="Arial" w:hAnsi="Arial" w:cs="Arial"/>
            <w:noProof/>
            <w:webHidden/>
            <w:sz w:val="24"/>
            <w:szCs w:val="24"/>
          </w:rPr>
          <w:t>220</w:t>
        </w:r>
        <w:r w:rsidRPr="00220DC6">
          <w:rPr>
            <w:rFonts w:ascii="Arial" w:hAnsi="Arial" w:cs="Arial"/>
            <w:noProof/>
            <w:webHidden/>
            <w:sz w:val="24"/>
            <w:szCs w:val="24"/>
          </w:rPr>
          <w:fldChar w:fldCharType="end"/>
        </w:r>
      </w:hyperlink>
    </w:p>
    <w:p w14:paraId="37F20B85" w14:textId="4883D228" w:rsidR="00BE6D36" w:rsidRPr="00220DC6" w:rsidRDefault="00BE6D36">
      <w:pPr>
        <w:pStyle w:val="TOC3"/>
        <w:tabs>
          <w:tab w:val="right" w:leader="dot" w:pos="9629"/>
        </w:tabs>
        <w:rPr>
          <w:rFonts w:ascii="Arial" w:eastAsiaTheme="minorEastAsia" w:hAnsi="Arial" w:cs="Arial"/>
          <w:noProof/>
          <w:color w:val="auto"/>
          <w:kern w:val="2"/>
          <w:sz w:val="24"/>
          <w:szCs w:val="24"/>
          <w14:ligatures w14:val="standardContextual"/>
        </w:rPr>
      </w:pPr>
      <w:hyperlink w:anchor="_Toc145511611" w:history="1">
        <w:r w:rsidRPr="00220DC6">
          <w:rPr>
            <w:rStyle w:val="Hyperlink"/>
            <w:rFonts w:ascii="Arial" w:hAnsi="Arial" w:cs="Arial"/>
            <w:noProof/>
            <w:sz w:val="24"/>
            <w:szCs w:val="24"/>
          </w:rPr>
          <w:t>Policy SD2: Good Design Considerations for Development</w:t>
        </w:r>
        <w:r w:rsidRPr="00220DC6">
          <w:rPr>
            <w:rFonts w:ascii="Arial" w:hAnsi="Arial" w:cs="Arial"/>
            <w:noProof/>
            <w:webHidden/>
            <w:sz w:val="24"/>
            <w:szCs w:val="24"/>
          </w:rPr>
          <w:tab/>
        </w:r>
        <w:r w:rsidRPr="00220DC6">
          <w:rPr>
            <w:rFonts w:ascii="Arial" w:hAnsi="Arial" w:cs="Arial"/>
            <w:noProof/>
            <w:webHidden/>
            <w:sz w:val="24"/>
            <w:szCs w:val="24"/>
          </w:rPr>
          <w:fldChar w:fldCharType="begin"/>
        </w:r>
        <w:r w:rsidRPr="00220DC6">
          <w:rPr>
            <w:rFonts w:ascii="Arial" w:hAnsi="Arial" w:cs="Arial"/>
            <w:noProof/>
            <w:webHidden/>
            <w:sz w:val="24"/>
            <w:szCs w:val="24"/>
          </w:rPr>
          <w:instrText xml:space="preserve"> PAGEREF _Toc145511611 \h </w:instrText>
        </w:r>
        <w:r w:rsidRPr="00220DC6">
          <w:rPr>
            <w:rFonts w:ascii="Arial" w:hAnsi="Arial" w:cs="Arial"/>
            <w:noProof/>
            <w:webHidden/>
            <w:sz w:val="24"/>
            <w:szCs w:val="24"/>
          </w:rPr>
        </w:r>
        <w:r w:rsidRPr="00220DC6">
          <w:rPr>
            <w:rFonts w:ascii="Arial" w:hAnsi="Arial" w:cs="Arial"/>
            <w:noProof/>
            <w:webHidden/>
            <w:sz w:val="24"/>
            <w:szCs w:val="24"/>
          </w:rPr>
          <w:fldChar w:fldCharType="separate"/>
        </w:r>
        <w:r w:rsidR="00100CF9" w:rsidRPr="00220DC6">
          <w:rPr>
            <w:rFonts w:ascii="Arial" w:hAnsi="Arial" w:cs="Arial"/>
            <w:noProof/>
            <w:webHidden/>
            <w:sz w:val="24"/>
            <w:szCs w:val="24"/>
          </w:rPr>
          <w:t>221</w:t>
        </w:r>
        <w:r w:rsidRPr="00220DC6">
          <w:rPr>
            <w:rFonts w:ascii="Arial" w:hAnsi="Arial" w:cs="Arial"/>
            <w:noProof/>
            <w:webHidden/>
            <w:sz w:val="24"/>
            <w:szCs w:val="24"/>
          </w:rPr>
          <w:fldChar w:fldCharType="end"/>
        </w:r>
      </w:hyperlink>
    </w:p>
    <w:p w14:paraId="5BB0C6C8" w14:textId="2CC125DB" w:rsidR="00BE6D36" w:rsidRPr="00220DC6" w:rsidRDefault="00BE6D36">
      <w:pPr>
        <w:pStyle w:val="TOC3"/>
        <w:tabs>
          <w:tab w:val="right" w:leader="dot" w:pos="9629"/>
        </w:tabs>
        <w:rPr>
          <w:rFonts w:ascii="Arial" w:eastAsiaTheme="minorEastAsia" w:hAnsi="Arial" w:cs="Arial"/>
          <w:noProof/>
          <w:color w:val="auto"/>
          <w:kern w:val="2"/>
          <w:sz w:val="24"/>
          <w:szCs w:val="24"/>
          <w14:ligatures w14:val="standardContextual"/>
        </w:rPr>
      </w:pPr>
      <w:hyperlink w:anchor="_Toc145511612" w:history="1">
        <w:r w:rsidRPr="00220DC6">
          <w:rPr>
            <w:rStyle w:val="Hyperlink"/>
            <w:rFonts w:ascii="Arial" w:eastAsia="Arial" w:hAnsi="Arial" w:cs="Arial"/>
            <w:noProof/>
            <w:sz w:val="24"/>
            <w:szCs w:val="24"/>
          </w:rPr>
          <w:t>Policy SD3: Amenity</w:t>
        </w:r>
        <w:r w:rsidRPr="00220DC6">
          <w:rPr>
            <w:rFonts w:ascii="Arial" w:hAnsi="Arial" w:cs="Arial"/>
            <w:noProof/>
            <w:webHidden/>
            <w:sz w:val="24"/>
            <w:szCs w:val="24"/>
          </w:rPr>
          <w:tab/>
        </w:r>
        <w:r w:rsidRPr="00220DC6">
          <w:rPr>
            <w:rFonts w:ascii="Arial" w:hAnsi="Arial" w:cs="Arial"/>
            <w:noProof/>
            <w:webHidden/>
            <w:sz w:val="24"/>
            <w:szCs w:val="24"/>
          </w:rPr>
          <w:fldChar w:fldCharType="begin"/>
        </w:r>
        <w:r w:rsidRPr="00220DC6">
          <w:rPr>
            <w:rFonts w:ascii="Arial" w:hAnsi="Arial" w:cs="Arial"/>
            <w:noProof/>
            <w:webHidden/>
            <w:sz w:val="24"/>
            <w:szCs w:val="24"/>
          </w:rPr>
          <w:instrText xml:space="preserve"> PAGEREF _Toc145511612 \h </w:instrText>
        </w:r>
        <w:r w:rsidRPr="00220DC6">
          <w:rPr>
            <w:rFonts w:ascii="Arial" w:hAnsi="Arial" w:cs="Arial"/>
            <w:noProof/>
            <w:webHidden/>
            <w:sz w:val="24"/>
            <w:szCs w:val="24"/>
          </w:rPr>
        </w:r>
        <w:r w:rsidRPr="00220DC6">
          <w:rPr>
            <w:rFonts w:ascii="Arial" w:hAnsi="Arial" w:cs="Arial"/>
            <w:noProof/>
            <w:webHidden/>
            <w:sz w:val="24"/>
            <w:szCs w:val="24"/>
          </w:rPr>
          <w:fldChar w:fldCharType="separate"/>
        </w:r>
        <w:r w:rsidR="00100CF9" w:rsidRPr="00220DC6">
          <w:rPr>
            <w:rFonts w:ascii="Arial" w:hAnsi="Arial" w:cs="Arial"/>
            <w:noProof/>
            <w:webHidden/>
            <w:sz w:val="24"/>
            <w:szCs w:val="24"/>
          </w:rPr>
          <w:t>228</w:t>
        </w:r>
        <w:r w:rsidRPr="00220DC6">
          <w:rPr>
            <w:rFonts w:ascii="Arial" w:hAnsi="Arial" w:cs="Arial"/>
            <w:noProof/>
            <w:webHidden/>
            <w:sz w:val="24"/>
            <w:szCs w:val="24"/>
          </w:rPr>
          <w:fldChar w:fldCharType="end"/>
        </w:r>
      </w:hyperlink>
    </w:p>
    <w:p w14:paraId="27C6BBDA" w14:textId="195CC31C" w:rsidR="00BE6D36" w:rsidRPr="00220DC6" w:rsidRDefault="00BE6D36">
      <w:pPr>
        <w:pStyle w:val="TOC3"/>
        <w:tabs>
          <w:tab w:val="right" w:leader="dot" w:pos="9629"/>
        </w:tabs>
        <w:rPr>
          <w:rFonts w:ascii="Arial" w:eastAsiaTheme="minorEastAsia" w:hAnsi="Arial" w:cs="Arial"/>
          <w:noProof/>
          <w:color w:val="auto"/>
          <w:kern w:val="2"/>
          <w:sz w:val="24"/>
          <w:szCs w:val="24"/>
          <w14:ligatures w14:val="standardContextual"/>
        </w:rPr>
      </w:pPr>
      <w:hyperlink w:anchor="_Toc145511613" w:history="1">
        <w:r w:rsidRPr="00220DC6">
          <w:rPr>
            <w:rStyle w:val="Hyperlink"/>
            <w:rFonts w:ascii="Arial" w:hAnsi="Arial" w:cs="Arial"/>
            <w:noProof/>
            <w:sz w:val="24"/>
            <w:szCs w:val="24"/>
          </w:rPr>
          <w:t>Policy SD4: Recycling and Refuse Provision in New Development</w:t>
        </w:r>
        <w:r w:rsidRPr="00220DC6">
          <w:rPr>
            <w:rFonts w:ascii="Arial" w:hAnsi="Arial" w:cs="Arial"/>
            <w:noProof/>
            <w:webHidden/>
            <w:sz w:val="24"/>
            <w:szCs w:val="24"/>
          </w:rPr>
          <w:tab/>
        </w:r>
        <w:r w:rsidRPr="00220DC6">
          <w:rPr>
            <w:rFonts w:ascii="Arial" w:hAnsi="Arial" w:cs="Arial"/>
            <w:noProof/>
            <w:webHidden/>
            <w:sz w:val="24"/>
            <w:szCs w:val="24"/>
          </w:rPr>
          <w:fldChar w:fldCharType="begin"/>
        </w:r>
        <w:r w:rsidRPr="00220DC6">
          <w:rPr>
            <w:rFonts w:ascii="Arial" w:hAnsi="Arial" w:cs="Arial"/>
            <w:noProof/>
            <w:webHidden/>
            <w:sz w:val="24"/>
            <w:szCs w:val="24"/>
          </w:rPr>
          <w:instrText xml:space="preserve"> PAGEREF _Toc145511613 \h </w:instrText>
        </w:r>
        <w:r w:rsidRPr="00220DC6">
          <w:rPr>
            <w:rFonts w:ascii="Arial" w:hAnsi="Arial" w:cs="Arial"/>
            <w:noProof/>
            <w:webHidden/>
            <w:sz w:val="24"/>
            <w:szCs w:val="24"/>
          </w:rPr>
        </w:r>
        <w:r w:rsidRPr="00220DC6">
          <w:rPr>
            <w:rFonts w:ascii="Arial" w:hAnsi="Arial" w:cs="Arial"/>
            <w:noProof/>
            <w:webHidden/>
            <w:sz w:val="24"/>
            <w:szCs w:val="24"/>
          </w:rPr>
          <w:fldChar w:fldCharType="separate"/>
        </w:r>
        <w:r w:rsidR="00100CF9" w:rsidRPr="00220DC6">
          <w:rPr>
            <w:rFonts w:ascii="Arial" w:hAnsi="Arial" w:cs="Arial"/>
            <w:noProof/>
            <w:webHidden/>
            <w:sz w:val="24"/>
            <w:szCs w:val="24"/>
          </w:rPr>
          <w:t>232</w:t>
        </w:r>
        <w:r w:rsidRPr="00220DC6">
          <w:rPr>
            <w:rFonts w:ascii="Arial" w:hAnsi="Arial" w:cs="Arial"/>
            <w:noProof/>
            <w:webHidden/>
            <w:sz w:val="24"/>
            <w:szCs w:val="24"/>
          </w:rPr>
          <w:fldChar w:fldCharType="end"/>
        </w:r>
      </w:hyperlink>
    </w:p>
    <w:p w14:paraId="0E2161D5" w14:textId="54F63F45" w:rsidR="00BE6D36" w:rsidRPr="00220DC6" w:rsidRDefault="00BE6D36">
      <w:pPr>
        <w:pStyle w:val="TOC3"/>
        <w:tabs>
          <w:tab w:val="right" w:leader="dot" w:pos="9629"/>
        </w:tabs>
        <w:rPr>
          <w:rFonts w:ascii="Arial" w:eastAsiaTheme="minorEastAsia" w:hAnsi="Arial" w:cs="Arial"/>
          <w:noProof/>
          <w:color w:val="auto"/>
          <w:kern w:val="2"/>
          <w:sz w:val="24"/>
          <w:szCs w:val="24"/>
          <w14:ligatures w14:val="standardContextual"/>
        </w:rPr>
      </w:pPr>
      <w:hyperlink w:anchor="_Toc145511614" w:history="1">
        <w:r w:rsidRPr="00220DC6">
          <w:rPr>
            <w:rStyle w:val="Hyperlink"/>
            <w:rFonts w:ascii="Arial" w:eastAsia="Arial" w:hAnsi="Arial" w:cs="Arial"/>
            <w:noProof/>
            <w:sz w:val="24"/>
            <w:szCs w:val="24"/>
          </w:rPr>
          <w:t>Policy SD5: Developer Contributions</w:t>
        </w:r>
        <w:r w:rsidRPr="00220DC6">
          <w:rPr>
            <w:rFonts w:ascii="Arial" w:hAnsi="Arial" w:cs="Arial"/>
            <w:noProof/>
            <w:webHidden/>
            <w:sz w:val="24"/>
            <w:szCs w:val="24"/>
          </w:rPr>
          <w:tab/>
        </w:r>
        <w:r w:rsidRPr="00220DC6">
          <w:rPr>
            <w:rFonts w:ascii="Arial" w:hAnsi="Arial" w:cs="Arial"/>
            <w:noProof/>
            <w:webHidden/>
            <w:sz w:val="24"/>
            <w:szCs w:val="24"/>
          </w:rPr>
          <w:fldChar w:fldCharType="begin"/>
        </w:r>
        <w:r w:rsidRPr="00220DC6">
          <w:rPr>
            <w:rFonts w:ascii="Arial" w:hAnsi="Arial" w:cs="Arial"/>
            <w:noProof/>
            <w:webHidden/>
            <w:sz w:val="24"/>
            <w:szCs w:val="24"/>
          </w:rPr>
          <w:instrText xml:space="preserve"> PAGEREF _Toc145511614 \h </w:instrText>
        </w:r>
        <w:r w:rsidRPr="00220DC6">
          <w:rPr>
            <w:rFonts w:ascii="Arial" w:hAnsi="Arial" w:cs="Arial"/>
            <w:noProof/>
            <w:webHidden/>
            <w:sz w:val="24"/>
            <w:szCs w:val="24"/>
          </w:rPr>
        </w:r>
        <w:r w:rsidRPr="00220DC6">
          <w:rPr>
            <w:rFonts w:ascii="Arial" w:hAnsi="Arial" w:cs="Arial"/>
            <w:noProof/>
            <w:webHidden/>
            <w:sz w:val="24"/>
            <w:szCs w:val="24"/>
          </w:rPr>
          <w:fldChar w:fldCharType="separate"/>
        </w:r>
        <w:r w:rsidR="00100CF9" w:rsidRPr="00220DC6">
          <w:rPr>
            <w:rFonts w:ascii="Arial" w:hAnsi="Arial" w:cs="Arial"/>
            <w:noProof/>
            <w:webHidden/>
            <w:sz w:val="24"/>
            <w:szCs w:val="24"/>
          </w:rPr>
          <w:t>235</w:t>
        </w:r>
        <w:r w:rsidRPr="00220DC6">
          <w:rPr>
            <w:rFonts w:ascii="Arial" w:hAnsi="Arial" w:cs="Arial"/>
            <w:noProof/>
            <w:webHidden/>
            <w:sz w:val="24"/>
            <w:szCs w:val="24"/>
          </w:rPr>
          <w:fldChar w:fldCharType="end"/>
        </w:r>
      </w:hyperlink>
    </w:p>
    <w:p w14:paraId="31B2CE5E" w14:textId="66F278D0" w:rsidR="00BE6D36" w:rsidRPr="00220DC6" w:rsidRDefault="00BE6D36">
      <w:pPr>
        <w:pStyle w:val="TOC3"/>
        <w:tabs>
          <w:tab w:val="right" w:leader="dot" w:pos="9629"/>
        </w:tabs>
        <w:rPr>
          <w:rFonts w:ascii="Arial" w:eastAsiaTheme="minorEastAsia" w:hAnsi="Arial" w:cs="Arial"/>
          <w:noProof/>
          <w:color w:val="auto"/>
          <w:kern w:val="2"/>
          <w:sz w:val="24"/>
          <w:szCs w:val="24"/>
          <w14:ligatures w14:val="standardContextual"/>
        </w:rPr>
      </w:pPr>
      <w:hyperlink w:anchor="_Toc145511615" w:history="1">
        <w:r w:rsidRPr="00220DC6">
          <w:rPr>
            <w:rStyle w:val="Hyperlink"/>
            <w:rFonts w:ascii="Arial" w:eastAsia="Arial" w:hAnsi="Arial" w:cs="Arial"/>
            <w:noProof/>
            <w:sz w:val="24"/>
            <w:szCs w:val="24"/>
          </w:rPr>
          <w:t>Policy SD6: Assessing Development Viability and Development Demand</w:t>
        </w:r>
        <w:r w:rsidRPr="00220DC6">
          <w:rPr>
            <w:rFonts w:ascii="Arial" w:hAnsi="Arial" w:cs="Arial"/>
            <w:noProof/>
            <w:webHidden/>
            <w:sz w:val="24"/>
            <w:szCs w:val="24"/>
          </w:rPr>
          <w:tab/>
        </w:r>
        <w:r w:rsidRPr="00220DC6">
          <w:rPr>
            <w:rFonts w:ascii="Arial" w:hAnsi="Arial" w:cs="Arial"/>
            <w:noProof/>
            <w:webHidden/>
            <w:sz w:val="24"/>
            <w:szCs w:val="24"/>
          </w:rPr>
          <w:fldChar w:fldCharType="begin"/>
        </w:r>
        <w:r w:rsidRPr="00220DC6">
          <w:rPr>
            <w:rFonts w:ascii="Arial" w:hAnsi="Arial" w:cs="Arial"/>
            <w:noProof/>
            <w:webHidden/>
            <w:sz w:val="24"/>
            <w:szCs w:val="24"/>
          </w:rPr>
          <w:instrText xml:space="preserve"> PAGEREF _Toc145511615 \h </w:instrText>
        </w:r>
        <w:r w:rsidRPr="00220DC6">
          <w:rPr>
            <w:rFonts w:ascii="Arial" w:hAnsi="Arial" w:cs="Arial"/>
            <w:noProof/>
            <w:webHidden/>
            <w:sz w:val="24"/>
            <w:szCs w:val="24"/>
          </w:rPr>
        </w:r>
        <w:r w:rsidRPr="00220DC6">
          <w:rPr>
            <w:rFonts w:ascii="Arial" w:hAnsi="Arial" w:cs="Arial"/>
            <w:noProof/>
            <w:webHidden/>
            <w:sz w:val="24"/>
            <w:szCs w:val="24"/>
          </w:rPr>
          <w:fldChar w:fldCharType="separate"/>
        </w:r>
        <w:r w:rsidR="00100CF9" w:rsidRPr="00220DC6">
          <w:rPr>
            <w:rFonts w:ascii="Arial" w:hAnsi="Arial" w:cs="Arial"/>
            <w:noProof/>
            <w:webHidden/>
            <w:sz w:val="24"/>
            <w:szCs w:val="24"/>
          </w:rPr>
          <w:t>237</w:t>
        </w:r>
        <w:r w:rsidRPr="00220DC6">
          <w:rPr>
            <w:rFonts w:ascii="Arial" w:hAnsi="Arial" w:cs="Arial"/>
            <w:noProof/>
            <w:webHidden/>
            <w:sz w:val="24"/>
            <w:szCs w:val="24"/>
          </w:rPr>
          <w:fldChar w:fldCharType="end"/>
        </w:r>
      </w:hyperlink>
    </w:p>
    <w:p w14:paraId="33A3C983" w14:textId="64FAE59E" w:rsidR="00BE6D36" w:rsidRPr="00220DC6" w:rsidRDefault="00BE6D36">
      <w:pPr>
        <w:pStyle w:val="TOC3"/>
        <w:tabs>
          <w:tab w:val="right" w:leader="dot" w:pos="9629"/>
        </w:tabs>
        <w:rPr>
          <w:rFonts w:ascii="Arial" w:eastAsiaTheme="minorEastAsia" w:hAnsi="Arial" w:cs="Arial"/>
          <w:noProof/>
          <w:color w:val="auto"/>
          <w:kern w:val="2"/>
          <w:sz w:val="24"/>
          <w:szCs w:val="24"/>
          <w14:ligatures w14:val="standardContextual"/>
        </w:rPr>
      </w:pPr>
      <w:hyperlink w:anchor="_Toc145511616" w:history="1">
        <w:r w:rsidRPr="00220DC6">
          <w:rPr>
            <w:rStyle w:val="Hyperlink"/>
            <w:rFonts w:ascii="Arial" w:eastAsia="Arial" w:hAnsi="Arial" w:cs="Arial"/>
            <w:noProof/>
            <w:sz w:val="24"/>
            <w:szCs w:val="24"/>
          </w:rPr>
          <w:t>Policy SD7: Communications Infrastructure</w:t>
        </w:r>
        <w:r w:rsidRPr="00220DC6">
          <w:rPr>
            <w:rFonts w:ascii="Arial" w:hAnsi="Arial" w:cs="Arial"/>
            <w:noProof/>
            <w:webHidden/>
            <w:sz w:val="24"/>
            <w:szCs w:val="24"/>
          </w:rPr>
          <w:tab/>
        </w:r>
        <w:r w:rsidRPr="00220DC6">
          <w:rPr>
            <w:rFonts w:ascii="Arial" w:hAnsi="Arial" w:cs="Arial"/>
            <w:noProof/>
            <w:webHidden/>
            <w:sz w:val="24"/>
            <w:szCs w:val="24"/>
          </w:rPr>
          <w:fldChar w:fldCharType="begin"/>
        </w:r>
        <w:r w:rsidRPr="00220DC6">
          <w:rPr>
            <w:rFonts w:ascii="Arial" w:hAnsi="Arial" w:cs="Arial"/>
            <w:noProof/>
            <w:webHidden/>
            <w:sz w:val="24"/>
            <w:szCs w:val="24"/>
          </w:rPr>
          <w:instrText xml:space="preserve"> PAGEREF _Toc145511616 \h </w:instrText>
        </w:r>
        <w:r w:rsidRPr="00220DC6">
          <w:rPr>
            <w:rFonts w:ascii="Arial" w:hAnsi="Arial" w:cs="Arial"/>
            <w:noProof/>
            <w:webHidden/>
            <w:sz w:val="24"/>
            <w:szCs w:val="24"/>
          </w:rPr>
        </w:r>
        <w:r w:rsidRPr="00220DC6">
          <w:rPr>
            <w:rFonts w:ascii="Arial" w:hAnsi="Arial" w:cs="Arial"/>
            <w:noProof/>
            <w:webHidden/>
            <w:sz w:val="24"/>
            <w:szCs w:val="24"/>
          </w:rPr>
          <w:fldChar w:fldCharType="separate"/>
        </w:r>
        <w:r w:rsidR="00100CF9" w:rsidRPr="00220DC6">
          <w:rPr>
            <w:rFonts w:ascii="Arial" w:hAnsi="Arial" w:cs="Arial"/>
            <w:noProof/>
            <w:webHidden/>
            <w:sz w:val="24"/>
            <w:szCs w:val="24"/>
          </w:rPr>
          <w:t>241</w:t>
        </w:r>
        <w:r w:rsidRPr="00220DC6">
          <w:rPr>
            <w:rFonts w:ascii="Arial" w:hAnsi="Arial" w:cs="Arial"/>
            <w:noProof/>
            <w:webHidden/>
            <w:sz w:val="24"/>
            <w:szCs w:val="24"/>
          </w:rPr>
          <w:fldChar w:fldCharType="end"/>
        </w:r>
      </w:hyperlink>
    </w:p>
    <w:p w14:paraId="2D766681" w14:textId="46731FCB" w:rsidR="00BE6D36" w:rsidRPr="00220DC6" w:rsidRDefault="00BE6D36">
      <w:pPr>
        <w:pStyle w:val="TOC3"/>
        <w:tabs>
          <w:tab w:val="right" w:leader="dot" w:pos="9629"/>
        </w:tabs>
        <w:rPr>
          <w:rFonts w:ascii="Arial" w:eastAsiaTheme="minorEastAsia" w:hAnsi="Arial" w:cs="Arial"/>
          <w:noProof/>
          <w:color w:val="auto"/>
          <w:kern w:val="2"/>
          <w:sz w:val="24"/>
          <w:szCs w:val="24"/>
          <w14:ligatures w14:val="standardContextual"/>
        </w:rPr>
      </w:pPr>
      <w:hyperlink w:anchor="_Toc145511617" w:history="1">
        <w:r w:rsidRPr="00220DC6">
          <w:rPr>
            <w:rStyle w:val="Hyperlink"/>
            <w:rFonts w:ascii="Arial" w:hAnsi="Arial" w:cs="Arial"/>
            <w:noProof/>
            <w:sz w:val="24"/>
            <w:szCs w:val="24"/>
          </w:rPr>
          <w:t>Policy SD8: Contaminated Land and Unstable Land</w:t>
        </w:r>
        <w:r w:rsidRPr="00220DC6">
          <w:rPr>
            <w:rFonts w:ascii="Arial" w:hAnsi="Arial" w:cs="Arial"/>
            <w:noProof/>
            <w:webHidden/>
            <w:sz w:val="24"/>
            <w:szCs w:val="24"/>
          </w:rPr>
          <w:tab/>
        </w:r>
        <w:r w:rsidRPr="00220DC6">
          <w:rPr>
            <w:rFonts w:ascii="Arial" w:hAnsi="Arial" w:cs="Arial"/>
            <w:noProof/>
            <w:webHidden/>
            <w:sz w:val="24"/>
            <w:szCs w:val="24"/>
          </w:rPr>
          <w:fldChar w:fldCharType="begin"/>
        </w:r>
        <w:r w:rsidRPr="00220DC6">
          <w:rPr>
            <w:rFonts w:ascii="Arial" w:hAnsi="Arial" w:cs="Arial"/>
            <w:noProof/>
            <w:webHidden/>
            <w:sz w:val="24"/>
            <w:szCs w:val="24"/>
          </w:rPr>
          <w:instrText xml:space="preserve"> PAGEREF _Toc145511617 \h </w:instrText>
        </w:r>
        <w:r w:rsidRPr="00220DC6">
          <w:rPr>
            <w:rFonts w:ascii="Arial" w:hAnsi="Arial" w:cs="Arial"/>
            <w:noProof/>
            <w:webHidden/>
            <w:sz w:val="24"/>
            <w:szCs w:val="24"/>
          </w:rPr>
        </w:r>
        <w:r w:rsidRPr="00220DC6">
          <w:rPr>
            <w:rFonts w:ascii="Arial" w:hAnsi="Arial" w:cs="Arial"/>
            <w:noProof/>
            <w:webHidden/>
            <w:sz w:val="24"/>
            <w:szCs w:val="24"/>
          </w:rPr>
          <w:fldChar w:fldCharType="separate"/>
        </w:r>
        <w:r w:rsidR="00100CF9" w:rsidRPr="00220DC6">
          <w:rPr>
            <w:rFonts w:ascii="Arial" w:hAnsi="Arial" w:cs="Arial"/>
            <w:noProof/>
            <w:webHidden/>
            <w:sz w:val="24"/>
            <w:szCs w:val="24"/>
          </w:rPr>
          <w:t>244</w:t>
        </w:r>
        <w:r w:rsidRPr="00220DC6">
          <w:rPr>
            <w:rFonts w:ascii="Arial" w:hAnsi="Arial" w:cs="Arial"/>
            <w:noProof/>
            <w:webHidden/>
            <w:sz w:val="24"/>
            <w:szCs w:val="24"/>
          </w:rPr>
          <w:fldChar w:fldCharType="end"/>
        </w:r>
      </w:hyperlink>
    </w:p>
    <w:p w14:paraId="32473A61" w14:textId="53EA04FA" w:rsidR="00BE6D36" w:rsidRPr="00220DC6" w:rsidRDefault="00BE6D36">
      <w:pPr>
        <w:pStyle w:val="TOC3"/>
        <w:tabs>
          <w:tab w:val="right" w:leader="dot" w:pos="9629"/>
        </w:tabs>
        <w:rPr>
          <w:rFonts w:ascii="Arial" w:eastAsiaTheme="minorEastAsia" w:hAnsi="Arial" w:cs="Arial"/>
          <w:noProof/>
          <w:color w:val="auto"/>
          <w:kern w:val="2"/>
          <w:sz w:val="24"/>
          <w:szCs w:val="24"/>
          <w14:ligatures w14:val="standardContextual"/>
        </w:rPr>
      </w:pPr>
      <w:hyperlink w:anchor="_Toc145511618" w:history="1">
        <w:r w:rsidRPr="00220DC6">
          <w:rPr>
            <w:rStyle w:val="Hyperlink"/>
            <w:rFonts w:ascii="Arial" w:hAnsi="Arial" w:cs="Arial"/>
            <w:noProof/>
            <w:sz w:val="24"/>
            <w:szCs w:val="24"/>
          </w:rPr>
          <w:t>Policy SD9: Environmental Protection</w:t>
        </w:r>
        <w:r w:rsidRPr="00220DC6">
          <w:rPr>
            <w:rFonts w:ascii="Arial" w:hAnsi="Arial" w:cs="Arial"/>
            <w:noProof/>
            <w:webHidden/>
            <w:sz w:val="24"/>
            <w:szCs w:val="24"/>
          </w:rPr>
          <w:tab/>
        </w:r>
        <w:r w:rsidRPr="00220DC6">
          <w:rPr>
            <w:rFonts w:ascii="Arial" w:hAnsi="Arial" w:cs="Arial"/>
            <w:noProof/>
            <w:webHidden/>
            <w:sz w:val="24"/>
            <w:szCs w:val="24"/>
          </w:rPr>
          <w:fldChar w:fldCharType="begin"/>
        </w:r>
        <w:r w:rsidRPr="00220DC6">
          <w:rPr>
            <w:rFonts w:ascii="Arial" w:hAnsi="Arial" w:cs="Arial"/>
            <w:noProof/>
            <w:webHidden/>
            <w:sz w:val="24"/>
            <w:szCs w:val="24"/>
          </w:rPr>
          <w:instrText xml:space="preserve"> PAGEREF _Toc145511618 \h </w:instrText>
        </w:r>
        <w:r w:rsidRPr="00220DC6">
          <w:rPr>
            <w:rFonts w:ascii="Arial" w:hAnsi="Arial" w:cs="Arial"/>
            <w:noProof/>
            <w:webHidden/>
            <w:sz w:val="24"/>
            <w:szCs w:val="24"/>
          </w:rPr>
        </w:r>
        <w:r w:rsidRPr="00220DC6">
          <w:rPr>
            <w:rFonts w:ascii="Arial" w:hAnsi="Arial" w:cs="Arial"/>
            <w:noProof/>
            <w:webHidden/>
            <w:sz w:val="24"/>
            <w:szCs w:val="24"/>
          </w:rPr>
          <w:fldChar w:fldCharType="separate"/>
        </w:r>
        <w:r w:rsidR="00100CF9" w:rsidRPr="00220DC6">
          <w:rPr>
            <w:rFonts w:ascii="Arial" w:hAnsi="Arial" w:cs="Arial"/>
            <w:noProof/>
            <w:webHidden/>
            <w:sz w:val="24"/>
            <w:szCs w:val="24"/>
          </w:rPr>
          <w:t>247</w:t>
        </w:r>
        <w:r w:rsidRPr="00220DC6">
          <w:rPr>
            <w:rFonts w:ascii="Arial" w:hAnsi="Arial" w:cs="Arial"/>
            <w:noProof/>
            <w:webHidden/>
            <w:sz w:val="24"/>
            <w:szCs w:val="24"/>
          </w:rPr>
          <w:fldChar w:fldCharType="end"/>
        </w:r>
      </w:hyperlink>
    </w:p>
    <w:p w14:paraId="71977B12" w14:textId="17B95C2C" w:rsidR="00BE6D36" w:rsidRPr="00220DC6" w:rsidRDefault="00BE6D36">
      <w:pPr>
        <w:pStyle w:val="TOC3"/>
        <w:tabs>
          <w:tab w:val="right" w:leader="dot" w:pos="9629"/>
        </w:tabs>
        <w:rPr>
          <w:rFonts w:ascii="Arial" w:eastAsiaTheme="minorEastAsia" w:hAnsi="Arial" w:cs="Arial"/>
          <w:noProof/>
          <w:color w:val="auto"/>
          <w:kern w:val="2"/>
          <w:sz w:val="24"/>
          <w:szCs w:val="24"/>
          <w14:ligatures w14:val="standardContextual"/>
        </w:rPr>
      </w:pPr>
      <w:hyperlink w:anchor="_Toc145511619" w:history="1">
        <w:r w:rsidRPr="00220DC6">
          <w:rPr>
            <w:rStyle w:val="Hyperlink"/>
            <w:rFonts w:ascii="Arial" w:hAnsi="Arial" w:cs="Arial"/>
            <w:noProof/>
            <w:sz w:val="24"/>
            <w:szCs w:val="24"/>
          </w:rPr>
          <w:t>Policy SD10: Transport Infrastructure</w:t>
        </w:r>
        <w:r w:rsidRPr="00220DC6">
          <w:rPr>
            <w:rFonts w:ascii="Arial" w:hAnsi="Arial" w:cs="Arial"/>
            <w:noProof/>
            <w:webHidden/>
            <w:sz w:val="24"/>
            <w:szCs w:val="24"/>
          </w:rPr>
          <w:tab/>
        </w:r>
        <w:r w:rsidRPr="00220DC6">
          <w:rPr>
            <w:rFonts w:ascii="Arial" w:hAnsi="Arial" w:cs="Arial"/>
            <w:noProof/>
            <w:webHidden/>
            <w:sz w:val="24"/>
            <w:szCs w:val="24"/>
          </w:rPr>
          <w:fldChar w:fldCharType="begin"/>
        </w:r>
        <w:r w:rsidRPr="00220DC6">
          <w:rPr>
            <w:rFonts w:ascii="Arial" w:hAnsi="Arial" w:cs="Arial"/>
            <w:noProof/>
            <w:webHidden/>
            <w:sz w:val="24"/>
            <w:szCs w:val="24"/>
          </w:rPr>
          <w:instrText xml:space="preserve"> PAGEREF _Toc145511619 \h </w:instrText>
        </w:r>
        <w:r w:rsidRPr="00220DC6">
          <w:rPr>
            <w:rFonts w:ascii="Arial" w:hAnsi="Arial" w:cs="Arial"/>
            <w:noProof/>
            <w:webHidden/>
            <w:sz w:val="24"/>
            <w:szCs w:val="24"/>
          </w:rPr>
        </w:r>
        <w:r w:rsidRPr="00220DC6">
          <w:rPr>
            <w:rFonts w:ascii="Arial" w:hAnsi="Arial" w:cs="Arial"/>
            <w:noProof/>
            <w:webHidden/>
            <w:sz w:val="24"/>
            <w:szCs w:val="24"/>
          </w:rPr>
          <w:fldChar w:fldCharType="separate"/>
        </w:r>
        <w:r w:rsidR="00100CF9" w:rsidRPr="00220DC6">
          <w:rPr>
            <w:rFonts w:ascii="Arial" w:hAnsi="Arial" w:cs="Arial"/>
            <w:noProof/>
            <w:webHidden/>
            <w:sz w:val="24"/>
            <w:szCs w:val="24"/>
          </w:rPr>
          <w:t>251</w:t>
        </w:r>
        <w:r w:rsidRPr="00220DC6">
          <w:rPr>
            <w:rFonts w:ascii="Arial" w:hAnsi="Arial" w:cs="Arial"/>
            <w:noProof/>
            <w:webHidden/>
            <w:sz w:val="24"/>
            <w:szCs w:val="24"/>
          </w:rPr>
          <w:fldChar w:fldCharType="end"/>
        </w:r>
      </w:hyperlink>
    </w:p>
    <w:p w14:paraId="5B594797" w14:textId="6EF99608" w:rsidR="00BE6D36" w:rsidRPr="00220DC6" w:rsidRDefault="00BE6D36">
      <w:pPr>
        <w:pStyle w:val="TOC3"/>
        <w:tabs>
          <w:tab w:val="right" w:leader="dot" w:pos="9629"/>
        </w:tabs>
        <w:rPr>
          <w:rFonts w:ascii="Arial" w:eastAsiaTheme="minorEastAsia" w:hAnsi="Arial" w:cs="Arial"/>
          <w:noProof/>
          <w:color w:val="auto"/>
          <w:kern w:val="2"/>
          <w:sz w:val="24"/>
          <w:szCs w:val="24"/>
          <w14:ligatures w14:val="standardContextual"/>
        </w:rPr>
      </w:pPr>
      <w:hyperlink w:anchor="_Toc145511620" w:history="1">
        <w:r w:rsidRPr="00220DC6">
          <w:rPr>
            <w:rStyle w:val="Hyperlink"/>
            <w:rFonts w:ascii="Arial" w:hAnsi="Arial" w:cs="Arial"/>
            <w:noProof/>
            <w:sz w:val="24"/>
            <w:szCs w:val="24"/>
          </w:rPr>
          <w:t>Policy SD11: Parking</w:t>
        </w:r>
        <w:r w:rsidRPr="00220DC6">
          <w:rPr>
            <w:rFonts w:ascii="Arial" w:hAnsi="Arial" w:cs="Arial"/>
            <w:noProof/>
            <w:webHidden/>
            <w:sz w:val="24"/>
            <w:szCs w:val="24"/>
          </w:rPr>
          <w:tab/>
        </w:r>
        <w:r w:rsidRPr="00220DC6">
          <w:rPr>
            <w:rFonts w:ascii="Arial" w:hAnsi="Arial" w:cs="Arial"/>
            <w:noProof/>
            <w:webHidden/>
            <w:sz w:val="24"/>
            <w:szCs w:val="24"/>
          </w:rPr>
          <w:fldChar w:fldCharType="begin"/>
        </w:r>
        <w:r w:rsidRPr="00220DC6">
          <w:rPr>
            <w:rFonts w:ascii="Arial" w:hAnsi="Arial" w:cs="Arial"/>
            <w:noProof/>
            <w:webHidden/>
            <w:sz w:val="24"/>
            <w:szCs w:val="24"/>
          </w:rPr>
          <w:instrText xml:space="preserve"> PAGEREF _Toc145511620 \h </w:instrText>
        </w:r>
        <w:r w:rsidRPr="00220DC6">
          <w:rPr>
            <w:rFonts w:ascii="Arial" w:hAnsi="Arial" w:cs="Arial"/>
            <w:noProof/>
            <w:webHidden/>
            <w:sz w:val="24"/>
            <w:szCs w:val="24"/>
          </w:rPr>
        </w:r>
        <w:r w:rsidRPr="00220DC6">
          <w:rPr>
            <w:rFonts w:ascii="Arial" w:hAnsi="Arial" w:cs="Arial"/>
            <w:noProof/>
            <w:webHidden/>
            <w:sz w:val="24"/>
            <w:szCs w:val="24"/>
          </w:rPr>
          <w:fldChar w:fldCharType="separate"/>
        </w:r>
        <w:r w:rsidR="00100CF9" w:rsidRPr="00220DC6">
          <w:rPr>
            <w:rFonts w:ascii="Arial" w:hAnsi="Arial" w:cs="Arial"/>
            <w:noProof/>
            <w:webHidden/>
            <w:sz w:val="24"/>
            <w:szCs w:val="24"/>
          </w:rPr>
          <w:t>255</w:t>
        </w:r>
        <w:r w:rsidRPr="00220DC6">
          <w:rPr>
            <w:rFonts w:ascii="Arial" w:hAnsi="Arial" w:cs="Arial"/>
            <w:noProof/>
            <w:webHidden/>
            <w:sz w:val="24"/>
            <w:szCs w:val="24"/>
          </w:rPr>
          <w:fldChar w:fldCharType="end"/>
        </w:r>
      </w:hyperlink>
    </w:p>
    <w:p w14:paraId="0B1C54FC" w14:textId="598EDBC8" w:rsidR="00BE6D36" w:rsidRPr="00220DC6" w:rsidRDefault="00BE6D36">
      <w:pPr>
        <w:pStyle w:val="TOC3"/>
        <w:tabs>
          <w:tab w:val="right" w:leader="dot" w:pos="9629"/>
        </w:tabs>
        <w:rPr>
          <w:rFonts w:ascii="Arial" w:eastAsiaTheme="minorEastAsia" w:hAnsi="Arial" w:cs="Arial"/>
          <w:noProof/>
          <w:color w:val="auto"/>
          <w:kern w:val="2"/>
          <w:sz w:val="24"/>
          <w:szCs w:val="24"/>
          <w14:ligatures w14:val="standardContextual"/>
        </w:rPr>
      </w:pPr>
      <w:hyperlink w:anchor="_Toc145511621" w:history="1">
        <w:r w:rsidRPr="00220DC6">
          <w:rPr>
            <w:rStyle w:val="Hyperlink"/>
            <w:rFonts w:ascii="Arial" w:hAnsi="Arial" w:cs="Arial"/>
            <w:noProof/>
            <w:sz w:val="24"/>
            <w:szCs w:val="24"/>
          </w:rPr>
          <w:t xml:space="preserve">Policy </w:t>
        </w:r>
        <w:r w:rsidRPr="00220DC6">
          <w:rPr>
            <w:rStyle w:val="Hyperlink"/>
            <w:rFonts w:ascii="Arial" w:eastAsia="Arial" w:hAnsi="Arial" w:cs="Arial"/>
            <w:noProof/>
            <w:sz w:val="24"/>
            <w:szCs w:val="24"/>
          </w:rPr>
          <w:t>SD12: Advertisements</w:t>
        </w:r>
        <w:r w:rsidRPr="00220DC6">
          <w:rPr>
            <w:rFonts w:ascii="Arial" w:hAnsi="Arial" w:cs="Arial"/>
            <w:noProof/>
            <w:webHidden/>
            <w:sz w:val="24"/>
            <w:szCs w:val="24"/>
          </w:rPr>
          <w:tab/>
        </w:r>
        <w:r w:rsidRPr="00220DC6">
          <w:rPr>
            <w:rFonts w:ascii="Arial" w:hAnsi="Arial" w:cs="Arial"/>
            <w:noProof/>
            <w:webHidden/>
            <w:sz w:val="24"/>
            <w:szCs w:val="24"/>
          </w:rPr>
          <w:fldChar w:fldCharType="begin"/>
        </w:r>
        <w:r w:rsidRPr="00220DC6">
          <w:rPr>
            <w:rFonts w:ascii="Arial" w:hAnsi="Arial" w:cs="Arial"/>
            <w:noProof/>
            <w:webHidden/>
            <w:sz w:val="24"/>
            <w:szCs w:val="24"/>
          </w:rPr>
          <w:instrText xml:space="preserve"> PAGEREF _Toc145511621 \h </w:instrText>
        </w:r>
        <w:r w:rsidRPr="00220DC6">
          <w:rPr>
            <w:rFonts w:ascii="Arial" w:hAnsi="Arial" w:cs="Arial"/>
            <w:noProof/>
            <w:webHidden/>
            <w:sz w:val="24"/>
            <w:szCs w:val="24"/>
          </w:rPr>
        </w:r>
        <w:r w:rsidRPr="00220DC6">
          <w:rPr>
            <w:rFonts w:ascii="Arial" w:hAnsi="Arial" w:cs="Arial"/>
            <w:noProof/>
            <w:webHidden/>
            <w:sz w:val="24"/>
            <w:szCs w:val="24"/>
          </w:rPr>
          <w:fldChar w:fldCharType="separate"/>
        </w:r>
        <w:r w:rsidR="00100CF9" w:rsidRPr="00220DC6">
          <w:rPr>
            <w:rFonts w:ascii="Arial" w:hAnsi="Arial" w:cs="Arial"/>
            <w:noProof/>
            <w:webHidden/>
            <w:sz w:val="24"/>
            <w:szCs w:val="24"/>
          </w:rPr>
          <w:t>258</w:t>
        </w:r>
        <w:r w:rsidRPr="00220DC6">
          <w:rPr>
            <w:rFonts w:ascii="Arial" w:hAnsi="Arial" w:cs="Arial"/>
            <w:noProof/>
            <w:webHidden/>
            <w:sz w:val="24"/>
            <w:szCs w:val="24"/>
          </w:rPr>
          <w:fldChar w:fldCharType="end"/>
        </w:r>
      </w:hyperlink>
    </w:p>
    <w:p w14:paraId="58F4F4F4" w14:textId="03D289E1" w:rsidR="00BE6D36" w:rsidRPr="00220DC6" w:rsidRDefault="00BE6D36">
      <w:pPr>
        <w:pStyle w:val="TOC3"/>
        <w:tabs>
          <w:tab w:val="right" w:leader="dot" w:pos="9629"/>
        </w:tabs>
        <w:rPr>
          <w:rFonts w:ascii="Arial" w:eastAsiaTheme="minorEastAsia" w:hAnsi="Arial" w:cs="Arial"/>
          <w:noProof/>
          <w:color w:val="auto"/>
          <w:kern w:val="2"/>
          <w:sz w:val="24"/>
          <w:szCs w:val="24"/>
          <w14:ligatures w14:val="standardContextual"/>
        </w:rPr>
      </w:pPr>
      <w:hyperlink w:anchor="_Toc145511622" w:history="1">
        <w:r w:rsidRPr="00220DC6">
          <w:rPr>
            <w:rStyle w:val="Hyperlink"/>
            <w:rFonts w:ascii="Arial" w:hAnsi="Arial" w:cs="Arial"/>
            <w:noProof/>
            <w:sz w:val="24"/>
            <w:szCs w:val="24"/>
          </w:rPr>
          <w:t>Policy SD13: Provision and Protection of Health and Community Facilities</w:t>
        </w:r>
        <w:r w:rsidRPr="00220DC6">
          <w:rPr>
            <w:rFonts w:ascii="Arial" w:hAnsi="Arial" w:cs="Arial"/>
            <w:noProof/>
            <w:webHidden/>
            <w:sz w:val="24"/>
            <w:szCs w:val="24"/>
          </w:rPr>
          <w:tab/>
        </w:r>
        <w:r w:rsidRPr="00220DC6">
          <w:rPr>
            <w:rFonts w:ascii="Arial" w:hAnsi="Arial" w:cs="Arial"/>
            <w:noProof/>
            <w:webHidden/>
            <w:sz w:val="24"/>
            <w:szCs w:val="24"/>
          </w:rPr>
          <w:fldChar w:fldCharType="begin"/>
        </w:r>
        <w:r w:rsidRPr="00220DC6">
          <w:rPr>
            <w:rFonts w:ascii="Arial" w:hAnsi="Arial" w:cs="Arial"/>
            <w:noProof/>
            <w:webHidden/>
            <w:sz w:val="24"/>
            <w:szCs w:val="24"/>
          </w:rPr>
          <w:instrText xml:space="preserve"> PAGEREF _Toc145511622 \h </w:instrText>
        </w:r>
        <w:r w:rsidRPr="00220DC6">
          <w:rPr>
            <w:rFonts w:ascii="Arial" w:hAnsi="Arial" w:cs="Arial"/>
            <w:noProof/>
            <w:webHidden/>
            <w:sz w:val="24"/>
            <w:szCs w:val="24"/>
          </w:rPr>
        </w:r>
        <w:r w:rsidRPr="00220DC6">
          <w:rPr>
            <w:rFonts w:ascii="Arial" w:hAnsi="Arial" w:cs="Arial"/>
            <w:noProof/>
            <w:webHidden/>
            <w:sz w:val="24"/>
            <w:szCs w:val="24"/>
          </w:rPr>
          <w:fldChar w:fldCharType="separate"/>
        </w:r>
        <w:r w:rsidR="00100CF9" w:rsidRPr="00220DC6">
          <w:rPr>
            <w:rFonts w:ascii="Arial" w:hAnsi="Arial" w:cs="Arial"/>
            <w:noProof/>
            <w:webHidden/>
            <w:sz w:val="24"/>
            <w:szCs w:val="24"/>
          </w:rPr>
          <w:t>259</w:t>
        </w:r>
        <w:r w:rsidRPr="00220DC6">
          <w:rPr>
            <w:rFonts w:ascii="Arial" w:hAnsi="Arial" w:cs="Arial"/>
            <w:noProof/>
            <w:webHidden/>
            <w:sz w:val="24"/>
            <w:szCs w:val="24"/>
          </w:rPr>
          <w:fldChar w:fldCharType="end"/>
        </w:r>
      </w:hyperlink>
    </w:p>
    <w:p w14:paraId="48661154" w14:textId="06B0AF5C" w:rsidR="00BE6D36" w:rsidRPr="00220DC6" w:rsidRDefault="00BE6D36">
      <w:pPr>
        <w:pStyle w:val="TOC1"/>
        <w:tabs>
          <w:tab w:val="right" w:leader="dot" w:pos="9629"/>
        </w:tabs>
        <w:rPr>
          <w:rFonts w:ascii="Arial" w:eastAsiaTheme="minorEastAsia" w:hAnsi="Arial" w:cs="Arial"/>
          <w:b w:val="0"/>
          <w:bCs w:val="0"/>
          <w:caps w:val="0"/>
          <w:noProof/>
          <w:color w:val="auto"/>
          <w:kern w:val="2"/>
          <w14:ligatures w14:val="standardContextual"/>
        </w:rPr>
      </w:pPr>
      <w:hyperlink w:anchor="_Toc145511623" w:history="1">
        <w:r w:rsidRPr="00220DC6">
          <w:rPr>
            <w:rStyle w:val="Hyperlink"/>
            <w:rFonts w:ascii="Arial" w:hAnsi="Arial" w:cs="Arial"/>
            <w:noProof/>
          </w:rPr>
          <w:t>Appendix 1 - Glossary of Terms and Abbreviations</w:t>
        </w:r>
        <w:r w:rsidRPr="00220DC6">
          <w:rPr>
            <w:rFonts w:ascii="Arial" w:hAnsi="Arial" w:cs="Arial"/>
            <w:noProof/>
            <w:webHidden/>
          </w:rPr>
          <w:tab/>
        </w:r>
        <w:r w:rsidRPr="00220DC6">
          <w:rPr>
            <w:rFonts w:ascii="Arial" w:hAnsi="Arial" w:cs="Arial"/>
            <w:noProof/>
            <w:webHidden/>
          </w:rPr>
          <w:fldChar w:fldCharType="begin"/>
        </w:r>
        <w:r w:rsidRPr="00220DC6">
          <w:rPr>
            <w:rFonts w:ascii="Arial" w:hAnsi="Arial" w:cs="Arial"/>
            <w:noProof/>
            <w:webHidden/>
          </w:rPr>
          <w:instrText xml:space="preserve"> PAGEREF _Toc145511623 \h </w:instrText>
        </w:r>
        <w:r w:rsidRPr="00220DC6">
          <w:rPr>
            <w:rFonts w:ascii="Arial" w:hAnsi="Arial" w:cs="Arial"/>
            <w:noProof/>
            <w:webHidden/>
          </w:rPr>
        </w:r>
        <w:r w:rsidRPr="00220DC6">
          <w:rPr>
            <w:rFonts w:ascii="Arial" w:hAnsi="Arial" w:cs="Arial"/>
            <w:noProof/>
            <w:webHidden/>
          </w:rPr>
          <w:fldChar w:fldCharType="separate"/>
        </w:r>
        <w:r w:rsidR="00100CF9" w:rsidRPr="00220DC6">
          <w:rPr>
            <w:rFonts w:ascii="Arial" w:hAnsi="Arial" w:cs="Arial"/>
            <w:noProof/>
            <w:webHidden/>
          </w:rPr>
          <w:t>262</w:t>
        </w:r>
        <w:r w:rsidRPr="00220DC6">
          <w:rPr>
            <w:rFonts w:ascii="Arial" w:hAnsi="Arial" w:cs="Arial"/>
            <w:noProof/>
            <w:webHidden/>
          </w:rPr>
          <w:fldChar w:fldCharType="end"/>
        </w:r>
      </w:hyperlink>
    </w:p>
    <w:p w14:paraId="0EB39172" w14:textId="27BD9E3A" w:rsidR="00BE6D36" w:rsidRPr="00220DC6" w:rsidRDefault="00BE6D36">
      <w:pPr>
        <w:pStyle w:val="TOC1"/>
        <w:tabs>
          <w:tab w:val="right" w:leader="dot" w:pos="9629"/>
        </w:tabs>
        <w:rPr>
          <w:rFonts w:ascii="Arial" w:eastAsiaTheme="minorEastAsia" w:hAnsi="Arial" w:cs="Arial"/>
          <w:b w:val="0"/>
          <w:bCs w:val="0"/>
          <w:caps w:val="0"/>
          <w:noProof/>
          <w:color w:val="auto"/>
          <w:kern w:val="2"/>
          <w14:ligatures w14:val="standardContextual"/>
        </w:rPr>
      </w:pPr>
      <w:hyperlink w:anchor="_Toc145511624" w:history="1">
        <w:r w:rsidRPr="00220DC6">
          <w:rPr>
            <w:rStyle w:val="Hyperlink"/>
            <w:rFonts w:ascii="Arial" w:hAnsi="Arial" w:cs="Arial"/>
            <w:noProof/>
          </w:rPr>
          <w:t>Appendix 2 - Five Year Land Supply and Housing Trajectory</w:t>
        </w:r>
        <w:r w:rsidRPr="00220DC6">
          <w:rPr>
            <w:rFonts w:ascii="Arial" w:hAnsi="Arial" w:cs="Arial"/>
            <w:noProof/>
            <w:webHidden/>
          </w:rPr>
          <w:tab/>
        </w:r>
        <w:r w:rsidRPr="00220DC6">
          <w:rPr>
            <w:rFonts w:ascii="Arial" w:hAnsi="Arial" w:cs="Arial"/>
            <w:noProof/>
            <w:webHidden/>
          </w:rPr>
          <w:fldChar w:fldCharType="begin"/>
        </w:r>
        <w:r w:rsidRPr="00220DC6">
          <w:rPr>
            <w:rFonts w:ascii="Arial" w:hAnsi="Arial" w:cs="Arial"/>
            <w:noProof/>
            <w:webHidden/>
          </w:rPr>
          <w:instrText xml:space="preserve"> PAGEREF _Toc145511624 \h </w:instrText>
        </w:r>
        <w:r w:rsidRPr="00220DC6">
          <w:rPr>
            <w:rFonts w:ascii="Arial" w:hAnsi="Arial" w:cs="Arial"/>
            <w:noProof/>
            <w:webHidden/>
          </w:rPr>
        </w:r>
        <w:r w:rsidRPr="00220DC6">
          <w:rPr>
            <w:rFonts w:ascii="Arial" w:hAnsi="Arial" w:cs="Arial"/>
            <w:noProof/>
            <w:webHidden/>
          </w:rPr>
          <w:fldChar w:fldCharType="separate"/>
        </w:r>
        <w:r w:rsidR="00100CF9" w:rsidRPr="00220DC6">
          <w:rPr>
            <w:rFonts w:ascii="Arial" w:hAnsi="Arial" w:cs="Arial"/>
            <w:noProof/>
            <w:webHidden/>
          </w:rPr>
          <w:t>274</w:t>
        </w:r>
        <w:r w:rsidRPr="00220DC6">
          <w:rPr>
            <w:rFonts w:ascii="Arial" w:hAnsi="Arial" w:cs="Arial"/>
            <w:noProof/>
            <w:webHidden/>
          </w:rPr>
          <w:fldChar w:fldCharType="end"/>
        </w:r>
      </w:hyperlink>
    </w:p>
    <w:p w14:paraId="753CF839" w14:textId="32A7EA23" w:rsidR="00497B96" w:rsidRPr="00220DC6" w:rsidRDefault="00497B96" w:rsidP="00497B96">
      <w:pPr>
        <w:pStyle w:val="TOC1"/>
        <w:tabs>
          <w:tab w:val="right" w:leader="dot" w:pos="9629"/>
        </w:tabs>
        <w:rPr>
          <w:rFonts w:ascii="Arial" w:eastAsiaTheme="minorEastAsia" w:hAnsi="Arial" w:cs="Arial"/>
          <w:b w:val="0"/>
          <w:bCs w:val="0"/>
          <w:caps w:val="0"/>
          <w:noProof/>
          <w:color w:val="auto"/>
          <w:kern w:val="2"/>
          <w14:ligatures w14:val="standardContextual"/>
        </w:rPr>
      </w:pPr>
      <w:hyperlink w:anchor="_Toc145511633" w:history="1">
        <w:r w:rsidRPr="00220DC6">
          <w:rPr>
            <w:rStyle w:val="Hyperlink"/>
            <w:rFonts w:ascii="Arial" w:hAnsi="Arial" w:cs="Arial"/>
            <w:noProof/>
          </w:rPr>
          <w:t>Appendix 3 - Environmental Protection – Matters For Consideration In Taking Decisions On Planning Applications</w:t>
        </w:r>
        <w:r w:rsidRPr="00220DC6">
          <w:rPr>
            <w:rFonts w:ascii="Arial" w:hAnsi="Arial" w:cs="Arial"/>
            <w:noProof/>
            <w:webHidden/>
          </w:rPr>
          <w:tab/>
        </w:r>
        <w:r w:rsidRPr="00220DC6">
          <w:rPr>
            <w:rFonts w:ascii="Arial" w:hAnsi="Arial" w:cs="Arial"/>
            <w:noProof/>
            <w:webHidden/>
          </w:rPr>
          <w:fldChar w:fldCharType="begin"/>
        </w:r>
        <w:r w:rsidRPr="00220DC6">
          <w:rPr>
            <w:rFonts w:ascii="Arial" w:hAnsi="Arial" w:cs="Arial"/>
            <w:noProof/>
            <w:webHidden/>
          </w:rPr>
          <w:instrText xml:space="preserve"> PAGEREF _Toc145511633 \h </w:instrText>
        </w:r>
        <w:r w:rsidRPr="00220DC6">
          <w:rPr>
            <w:rFonts w:ascii="Arial" w:hAnsi="Arial" w:cs="Arial"/>
            <w:noProof/>
            <w:webHidden/>
          </w:rPr>
        </w:r>
        <w:r w:rsidRPr="00220DC6">
          <w:rPr>
            <w:rFonts w:ascii="Arial" w:hAnsi="Arial" w:cs="Arial"/>
            <w:noProof/>
            <w:webHidden/>
          </w:rPr>
          <w:fldChar w:fldCharType="separate"/>
        </w:r>
        <w:r w:rsidR="00100CF9" w:rsidRPr="00220DC6">
          <w:rPr>
            <w:rFonts w:ascii="Arial" w:hAnsi="Arial" w:cs="Arial"/>
            <w:noProof/>
            <w:webHidden/>
          </w:rPr>
          <w:t>283</w:t>
        </w:r>
        <w:r w:rsidRPr="00220DC6">
          <w:rPr>
            <w:rFonts w:ascii="Arial" w:hAnsi="Arial" w:cs="Arial"/>
            <w:noProof/>
            <w:webHidden/>
          </w:rPr>
          <w:fldChar w:fldCharType="end"/>
        </w:r>
      </w:hyperlink>
    </w:p>
    <w:p w14:paraId="2C3083B6" w14:textId="700C373A" w:rsidR="00BE6D36" w:rsidRPr="00220DC6" w:rsidRDefault="00BE6D36">
      <w:pPr>
        <w:pStyle w:val="TOC1"/>
        <w:tabs>
          <w:tab w:val="right" w:leader="dot" w:pos="9629"/>
        </w:tabs>
        <w:rPr>
          <w:rFonts w:ascii="Arial" w:eastAsiaTheme="minorEastAsia" w:hAnsi="Arial" w:cs="Arial"/>
          <w:b w:val="0"/>
          <w:bCs w:val="0"/>
          <w:caps w:val="0"/>
          <w:noProof/>
          <w:color w:val="auto"/>
          <w:kern w:val="2"/>
          <w14:ligatures w14:val="standardContextual"/>
        </w:rPr>
      </w:pPr>
      <w:hyperlink w:anchor="_Toc145511626" w:history="1">
        <w:r w:rsidRPr="00220DC6">
          <w:rPr>
            <w:rStyle w:val="Hyperlink"/>
            <w:rFonts w:ascii="Arial" w:hAnsi="Arial" w:cs="Arial"/>
            <w:noProof/>
          </w:rPr>
          <w:t>Appendix 4 - Wind Energy Opportunities Within Ashfield</w:t>
        </w:r>
        <w:r w:rsidRPr="00220DC6">
          <w:rPr>
            <w:rFonts w:ascii="Arial" w:hAnsi="Arial" w:cs="Arial"/>
            <w:noProof/>
            <w:webHidden/>
          </w:rPr>
          <w:tab/>
        </w:r>
        <w:r w:rsidRPr="00220DC6">
          <w:rPr>
            <w:rFonts w:ascii="Arial" w:hAnsi="Arial" w:cs="Arial"/>
            <w:noProof/>
            <w:webHidden/>
          </w:rPr>
          <w:fldChar w:fldCharType="begin"/>
        </w:r>
        <w:r w:rsidRPr="00220DC6">
          <w:rPr>
            <w:rFonts w:ascii="Arial" w:hAnsi="Arial" w:cs="Arial"/>
            <w:noProof/>
            <w:webHidden/>
          </w:rPr>
          <w:instrText xml:space="preserve"> PAGEREF _Toc145511626 \h </w:instrText>
        </w:r>
        <w:r w:rsidRPr="00220DC6">
          <w:rPr>
            <w:rFonts w:ascii="Arial" w:hAnsi="Arial" w:cs="Arial"/>
            <w:noProof/>
            <w:webHidden/>
          </w:rPr>
        </w:r>
        <w:r w:rsidRPr="00220DC6">
          <w:rPr>
            <w:rFonts w:ascii="Arial" w:hAnsi="Arial" w:cs="Arial"/>
            <w:noProof/>
            <w:webHidden/>
          </w:rPr>
          <w:fldChar w:fldCharType="separate"/>
        </w:r>
        <w:r w:rsidR="00100CF9" w:rsidRPr="00220DC6">
          <w:rPr>
            <w:rFonts w:ascii="Arial" w:hAnsi="Arial" w:cs="Arial"/>
            <w:noProof/>
            <w:webHidden/>
          </w:rPr>
          <w:t>283</w:t>
        </w:r>
        <w:r w:rsidRPr="00220DC6">
          <w:rPr>
            <w:rFonts w:ascii="Arial" w:hAnsi="Arial" w:cs="Arial"/>
            <w:noProof/>
            <w:webHidden/>
          </w:rPr>
          <w:fldChar w:fldCharType="end"/>
        </w:r>
      </w:hyperlink>
    </w:p>
    <w:p w14:paraId="5C399623" w14:textId="2EA7EB40" w:rsidR="00BE6D36" w:rsidRPr="00220DC6" w:rsidRDefault="00BE6D36">
      <w:pPr>
        <w:pStyle w:val="TOC1"/>
        <w:tabs>
          <w:tab w:val="right" w:leader="dot" w:pos="9629"/>
        </w:tabs>
        <w:rPr>
          <w:rFonts w:ascii="Arial" w:eastAsiaTheme="minorEastAsia" w:hAnsi="Arial" w:cs="Arial"/>
          <w:b w:val="0"/>
          <w:bCs w:val="0"/>
          <w:caps w:val="0"/>
          <w:noProof/>
          <w:color w:val="auto"/>
          <w:kern w:val="2"/>
          <w14:ligatures w14:val="standardContextual"/>
        </w:rPr>
      </w:pPr>
      <w:hyperlink w:anchor="_Toc145511627" w:history="1">
        <w:r w:rsidRPr="00220DC6">
          <w:rPr>
            <w:rStyle w:val="Hyperlink"/>
            <w:rFonts w:ascii="Arial" w:hAnsi="Arial" w:cs="Arial"/>
            <w:noProof/>
          </w:rPr>
          <w:t>Appendix 5 - Agricultural, Forestry and Other Occupational Dwellings</w:t>
        </w:r>
        <w:r w:rsidRPr="00220DC6">
          <w:rPr>
            <w:rFonts w:ascii="Arial" w:hAnsi="Arial" w:cs="Arial"/>
            <w:noProof/>
            <w:webHidden/>
          </w:rPr>
          <w:tab/>
        </w:r>
        <w:r w:rsidRPr="00220DC6">
          <w:rPr>
            <w:rFonts w:ascii="Arial" w:hAnsi="Arial" w:cs="Arial"/>
            <w:noProof/>
            <w:webHidden/>
          </w:rPr>
          <w:fldChar w:fldCharType="begin"/>
        </w:r>
        <w:r w:rsidRPr="00220DC6">
          <w:rPr>
            <w:rFonts w:ascii="Arial" w:hAnsi="Arial" w:cs="Arial"/>
            <w:noProof/>
            <w:webHidden/>
          </w:rPr>
          <w:instrText xml:space="preserve"> PAGEREF _Toc145511627 \h </w:instrText>
        </w:r>
        <w:r w:rsidRPr="00220DC6">
          <w:rPr>
            <w:rFonts w:ascii="Arial" w:hAnsi="Arial" w:cs="Arial"/>
            <w:noProof/>
            <w:webHidden/>
          </w:rPr>
        </w:r>
        <w:r w:rsidRPr="00220DC6">
          <w:rPr>
            <w:rFonts w:ascii="Arial" w:hAnsi="Arial" w:cs="Arial"/>
            <w:noProof/>
            <w:webHidden/>
          </w:rPr>
          <w:fldChar w:fldCharType="separate"/>
        </w:r>
        <w:r w:rsidR="00100CF9" w:rsidRPr="00220DC6">
          <w:rPr>
            <w:rFonts w:ascii="Arial" w:hAnsi="Arial" w:cs="Arial"/>
            <w:noProof/>
            <w:webHidden/>
          </w:rPr>
          <w:t>286</w:t>
        </w:r>
        <w:r w:rsidRPr="00220DC6">
          <w:rPr>
            <w:rFonts w:ascii="Arial" w:hAnsi="Arial" w:cs="Arial"/>
            <w:noProof/>
            <w:webHidden/>
          </w:rPr>
          <w:fldChar w:fldCharType="end"/>
        </w:r>
      </w:hyperlink>
    </w:p>
    <w:p w14:paraId="28419F52" w14:textId="353D0093" w:rsidR="00BE6D36" w:rsidRPr="00220DC6" w:rsidRDefault="00BE6D36">
      <w:pPr>
        <w:pStyle w:val="TOC1"/>
        <w:tabs>
          <w:tab w:val="right" w:leader="dot" w:pos="9629"/>
        </w:tabs>
        <w:rPr>
          <w:rFonts w:ascii="Arial" w:eastAsiaTheme="minorEastAsia" w:hAnsi="Arial" w:cs="Arial"/>
          <w:b w:val="0"/>
          <w:bCs w:val="0"/>
          <w:caps w:val="0"/>
          <w:noProof/>
          <w:color w:val="auto"/>
          <w:kern w:val="2"/>
          <w14:ligatures w14:val="standardContextual"/>
        </w:rPr>
      </w:pPr>
      <w:hyperlink w:anchor="_Toc145511628" w:history="1">
        <w:r w:rsidRPr="00220DC6">
          <w:rPr>
            <w:rStyle w:val="Hyperlink"/>
            <w:rFonts w:ascii="Arial" w:hAnsi="Arial" w:cs="Arial"/>
            <w:noProof/>
          </w:rPr>
          <w:t>Appendix 6 - Policy EV4: Green Infrastructure, Biodiversity and Geodiversity Sites</w:t>
        </w:r>
        <w:r w:rsidRPr="00220DC6">
          <w:rPr>
            <w:rFonts w:ascii="Arial" w:hAnsi="Arial" w:cs="Arial"/>
            <w:noProof/>
            <w:webHidden/>
          </w:rPr>
          <w:tab/>
        </w:r>
        <w:r w:rsidRPr="00220DC6">
          <w:rPr>
            <w:rFonts w:ascii="Arial" w:hAnsi="Arial" w:cs="Arial"/>
            <w:noProof/>
            <w:webHidden/>
          </w:rPr>
          <w:fldChar w:fldCharType="begin"/>
        </w:r>
        <w:r w:rsidRPr="00220DC6">
          <w:rPr>
            <w:rFonts w:ascii="Arial" w:hAnsi="Arial" w:cs="Arial"/>
            <w:noProof/>
            <w:webHidden/>
          </w:rPr>
          <w:instrText xml:space="preserve"> PAGEREF _Toc145511628 \h </w:instrText>
        </w:r>
        <w:r w:rsidRPr="00220DC6">
          <w:rPr>
            <w:rFonts w:ascii="Arial" w:hAnsi="Arial" w:cs="Arial"/>
            <w:noProof/>
            <w:webHidden/>
          </w:rPr>
        </w:r>
        <w:r w:rsidRPr="00220DC6">
          <w:rPr>
            <w:rFonts w:ascii="Arial" w:hAnsi="Arial" w:cs="Arial"/>
            <w:noProof/>
            <w:webHidden/>
          </w:rPr>
          <w:fldChar w:fldCharType="separate"/>
        </w:r>
        <w:r w:rsidR="00100CF9" w:rsidRPr="00220DC6">
          <w:rPr>
            <w:rFonts w:ascii="Arial" w:hAnsi="Arial" w:cs="Arial"/>
            <w:noProof/>
            <w:webHidden/>
          </w:rPr>
          <w:t>290</w:t>
        </w:r>
        <w:r w:rsidRPr="00220DC6">
          <w:rPr>
            <w:rFonts w:ascii="Arial" w:hAnsi="Arial" w:cs="Arial"/>
            <w:noProof/>
            <w:webHidden/>
          </w:rPr>
          <w:fldChar w:fldCharType="end"/>
        </w:r>
      </w:hyperlink>
    </w:p>
    <w:p w14:paraId="7889E820" w14:textId="76A8C040" w:rsidR="00BE6D36" w:rsidRPr="00220DC6" w:rsidRDefault="00BE6D36">
      <w:pPr>
        <w:pStyle w:val="TOC1"/>
        <w:tabs>
          <w:tab w:val="right" w:leader="dot" w:pos="9629"/>
        </w:tabs>
        <w:rPr>
          <w:rFonts w:ascii="Arial" w:eastAsiaTheme="minorEastAsia" w:hAnsi="Arial" w:cs="Arial"/>
          <w:b w:val="0"/>
          <w:bCs w:val="0"/>
          <w:caps w:val="0"/>
          <w:noProof/>
          <w:color w:val="auto"/>
          <w:kern w:val="2"/>
          <w14:ligatures w14:val="standardContextual"/>
        </w:rPr>
      </w:pPr>
      <w:hyperlink w:anchor="_Toc145511629" w:history="1">
        <w:r w:rsidRPr="00220DC6">
          <w:rPr>
            <w:rStyle w:val="Hyperlink"/>
            <w:rFonts w:ascii="Arial" w:hAnsi="Arial" w:cs="Arial"/>
            <w:noProof/>
          </w:rPr>
          <w:t>Appendix 7- Policy EV5: Protection of Green Spaces and Recreational Facilities</w:t>
        </w:r>
        <w:r w:rsidRPr="00220DC6">
          <w:rPr>
            <w:rFonts w:ascii="Arial" w:hAnsi="Arial" w:cs="Arial"/>
            <w:noProof/>
            <w:webHidden/>
          </w:rPr>
          <w:tab/>
        </w:r>
        <w:r w:rsidRPr="00220DC6">
          <w:rPr>
            <w:rFonts w:ascii="Arial" w:hAnsi="Arial" w:cs="Arial"/>
            <w:noProof/>
            <w:webHidden/>
          </w:rPr>
          <w:fldChar w:fldCharType="begin"/>
        </w:r>
        <w:r w:rsidRPr="00220DC6">
          <w:rPr>
            <w:rFonts w:ascii="Arial" w:hAnsi="Arial" w:cs="Arial"/>
            <w:noProof/>
            <w:webHidden/>
          </w:rPr>
          <w:instrText xml:space="preserve"> PAGEREF _Toc145511629 \h </w:instrText>
        </w:r>
        <w:r w:rsidRPr="00220DC6">
          <w:rPr>
            <w:rFonts w:ascii="Arial" w:hAnsi="Arial" w:cs="Arial"/>
            <w:noProof/>
            <w:webHidden/>
          </w:rPr>
        </w:r>
        <w:r w:rsidRPr="00220DC6">
          <w:rPr>
            <w:rFonts w:ascii="Arial" w:hAnsi="Arial" w:cs="Arial"/>
            <w:noProof/>
            <w:webHidden/>
          </w:rPr>
          <w:fldChar w:fldCharType="separate"/>
        </w:r>
        <w:r w:rsidR="00100CF9" w:rsidRPr="00220DC6">
          <w:rPr>
            <w:rFonts w:ascii="Arial" w:hAnsi="Arial" w:cs="Arial"/>
            <w:noProof/>
            <w:webHidden/>
          </w:rPr>
          <w:t>302</w:t>
        </w:r>
        <w:r w:rsidRPr="00220DC6">
          <w:rPr>
            <w:rFonts w:ascii="Arial" w:hAnsi="Arial" w:cs="Arial"/>
            <w:noProof/>
            <w:webHidden/>
          </w:rPr>
          <w:fldChar w:fldCharType="end"/>
        </w:r>
      </w:hyperlink>
    </w:p>
    <w:p w14:paraId="5D9AFD92" w14:textId="49B48309" w:rsidR="00BE6D36" w:rsidRPr="00220DC6" w:rsidRDefault="00BE6D36">
      <w:pPr>
        <w:pStyle w:val="TOC1"/>
        <w:tabs>
          <w:tab w:val="right" w:leader="dot" w:pos="9629"/>
        </w:tabs>
        <w:rPr>
          <w:rFonts w:ascii="Arial" w:eastAsiaTheme="minorEastAsia" w:hAnsi="Arial" w:cs="Arial"/>
          <w:b w:val="0"/>
          <w:bCs w:val="0"/>
          <w:caps w:val="0"/>
          <w:noProof/>
          <w:color w:val="auto"/>
          <w:kern w:val="2"/>
          <w14:ligatures w14:val="standardContextual"/>
        </w:rPr>
      </w:pPr>
      <w:hyperlink w:anchor="_Toc145511630" w:history="1">
        <w:r w:rsidRPr="00220DC6">
          <w:rPr>
            <w:rStyle w:val="Hyperlink"/>
            <w:rFonts w:ascii="Arial" w:hAnsi="Arial" w:cs="Arial"/>
            <w:noProof/>
          </w:rPr>
          <w:t>Appendix 8 - Policy EV6: Trees, Woodlands and Hedgerows</w:t>
        </w:r>
        <w:r w:rsidRPr="00220DC6">
          <w:rPr>
            <w:rFonts w:ascii="Arial" w:hAnsi="Arial" w:cs="Arial"/>
            <w:noProof/>
            <w:webHidden/>
          </w:rPr>
          <w:tab/>
        </w:r>
        <w:r w:rsidRPr="00220DC6">
          <w:rPr>
            <w:rFonts w:ascii="Arial" w:hAnsi="Arial" w:cs="Arial"/>
            <w:noProof/>
            <w:webHidden/>
          </w:rPr>
          <w:fldChar w:fldCharType="begin"/>
        </w:r>
        <w:r w:rsidRPr="00220DC6">
          <w:rPr>
            <w:rFonts w:ascii="Arial" w:hAnsi="Arial" w:cs="Arial"/>
            <w:noProof/>
            <w:webHidden/>
          </w:rPr>
          <w:instrText xml:space="preserve"> PAGEREF _Toc145511630 \h </w:instrText>
        </w:r>
        <w:r w:rsidRPr="00220DC6">
          <w:rPr>
            <w:rFonts w:ascii="Arial" w:hAnsi="Arial" w:cs="Arial"/>
            <w:noProof/>
            <w:webHidden/>
          </w:rPr>
        </w:r>
        <w:r w:rsidRPr="00220DC6">
          <w:rPr>
            <w:rFonts w:ascii="Arial" w:hAnsi="Arial" w:cs="Arial"/>
            <w:noProof/>
            <w:webHidden/>
          </w:rPr>
          <w:fldChar w:fldCharType="separate"/>
        </w:r>
        <w:r w:rsidR="00100CF9" w:rsidRPr="00220DC6">
          <w:rPr>
            <w:rFonts w:ascii="Arial" w:hAnsi="Arial" w:cs="Arial"/>
            <w:noProof/>
            <w:webHidden/>
          </w:rPr>
          <w:t>308</w:t>
        </w:r>
        <w:r w:rsidRPr="00220DC6">
          <w:rPr>
            <w:rFonts w:ascii="Arial" w:hAnsi="Arial" w:cs="Arial"/>
            <w:noProof/>
            <w:webHidden/>
          </w:rPr>
          <w:fldChar w:fldCharType="end"/>
        </w:r>
      </w:hyperlink>
    </w:p>
    <w:p w14:paraId="1DFEC440" w14:textId="6D9BEA8E" w:rsidR="00BE6D36" w:rsidRPr="00220DC6" w:rsidRDefault="00BE6D36">
      <w:pPr>
        <w:pStyle w:val="TOC1"/>
        <w:tabs>
          <w:tab w:val="right" w:leader="dot" w:pos="9629"/>
        </w:tabs>
        <w:rPr>
          <w:rFonts w:ascii="Arial" w:eastAsiaTheme="minorEastAsia" w:hAnsi="Arial" w:cs="Arial"/>
          <w:b w:val="0"/>
          <w:bCs w:val="0"/>
          <w:caps w:val="0"/>
          <w:noProof/>
          <w:color w:val="auto"/>
          <w:kern w:val="2"/>
          <w14:ligatures w14:val="standardContextual"/>
        </w:rPr>
      </w:pPr>
      <w:hyperlink w:anchor="_Toc145511631" w:history="1">
        <w:r w:rsidRPr="00220DC6">
          <w:rPr>
            <w:rStyle w:val="Hyperlink"/>
            <w:rFonts w:ascii="Arial" w:hAnsi="Arial" w:cs="Arial"/>
            <w:noProof/>
          </w:rPr>
          <w:t>Appendix 9 - Policy EV7: Provision and Protection of Allotments</w:t>
        </w:r>
        <w:r w:rsidRPr="00220DC6">
          <w:rPr>
            <w:rFonts w:ascii="Arial" w:hAnsi="Arial" w:cs="Arial"/>
            <w:noProof/>
            <w:webHidden/>
          </w:rPr>
          <w:tab/>
        </w:r>
        <w:r w:rsidRPr="00220DC6">
          <w:rPr>
            <w:rFonts w:ascii="Arial" w:hAnsi="Arial" w:cs="Arial"/>
            <w:noProof/>
            <w:webHidden/>
          </w:rPr>
          <w:fldChar w:fldCharType="begin"/>
        </w:r>
        <w:r w:rsidRPr="00220DC6">
          <w:rPr>
            <w:rFonts w:ascii="Arial" w:hAnsi="Arial" w:cs="Arial"/>
            <w:noProof/>
            <w:webHidden/>
          </w:rPr>
          <w:instrText xml:space="preserve"> PAGEREF _Toc145511631 \h </w:instrText>
        </w:r>
        <w:r w:rsidRPr="00220DC6">
          <w:rPr>
            <w:rFonts w:ascii="Arial" w:hAnsi="Arial" w:cs="Arial"/>
            <w:noProof/>
            <w:webHidden/>
          </w:rPr>
        </w:r>
        <w:r w:rsidRPr="00220DC6">
          <w:rPr>
            <w:rFonts w:ascii="Arial" w:hAnsi="Arial" w:cs="Arial"/>
            <w:noProof/>
            <w:webHidden/>
          </w:rPr>
          <w:fldChar w:fldCharType="separate"/>
        </w:r>
        <w:r w:rsidR="00100CF9" w:rsidRPr="00220DC6">
          <w:rPr>
            <w:rFonts w:ascii="Arial" w:hAnsi="Arial" w:cs="Arial"/>
            <w:noProof/>
            <w:webHidden/>
          </w:rPr>
          <w:t>309</w:t>
        </w:r>
        <w:r w:rsidRPr="00220DC6">
          <w:rPr>
            <w:rFonts w:ascii="Arial" w:hAnsi="Arial" w:cs="Arial"/>
            <w:noProof/>
            <w:webHidden/>
          </w:rPr>
          <w:fldChar w:fldCharType="end"/>
        </w:r>
      </w:hyperlink>
    </w:p>
    <w:p w14:paraId="51BB888A" w14:textId="4A7028EE" w:rsidR="00BE6D36" w:rsidRPr="00220DC6" w:rsidRDefault="00BE6D36">
      <w:pPr>
        <w:pStyle w:val="TOC1"/>
        <w:tabs>
          <w:tab w:val="right" w:leader="dot" w:pos="9629"/>
        </w:tabs>
        <w:rPr>
          <w:rFonts w:ascii="Arial" w:eastAsiaTheme="minorEastAsia" w:hAnsi="Arial" w:cs="Arial"/>
          <w:b w:val="0"/>
          <w:bCs w:val="0"/>
          <w:caps w:val="0"/>
          <w:noProof/>
          <w:color w:val="auto"/>
          <w:kern w:val="2"/>
          <w14:ligatures w14:val="standardContextual"/>
        </w:rPr>
      </w:pPr>
      <w:hyperlink w:anchor="_Toc145511632" w:history="1">
        <w:r w:rsidRPr="00220DC6">
          <w:rPr>
            <w:rStyle w:val="Hyperlink"/>
            <w:rFonts w:ascii="Arial" w:hAnsi="Arial" w:cs="Arial"/>
            <w:noProof/>
          </w:rPr>
          <w:t>Appendix 10 - Policy EV9 – The Historic Environment</w:t>
        </w:r>
        <w:r w:rsidRPr="00220DC6">
          <w:rPr>
            <w:rFonts w:ascii="Arial" w:hAnsi="Arial" w:cs="Arial"/>
            <w:noProof/>
            <w:webHidden/>
          </w:rPr>
          <w:tab/>
        </w:r>
        <w:r w:rsidRPr="00220DC6">
          <w:rPr>
            <w:rFonts w:ascii="Arial" w:hAnsi="Arial" w:cs="Arial"/>
            <w:noProof/>
            <w:webHidden/>
          </w:rPr>
          <w:fldChar w:fldCharType="begin"/>
        </w:r>
        <w:r w:rsidRPr="00220DC6">
          <w:rPr>
            <w:rFonts w:ascii="Arial" w:hAnsi="Arial" w:cs="Arial"/>
            <w:noProof/>
            <w:webHidden/>
          </w:rPr>
          <w:instrText xml:space="preserve"> PAGEREF _Toc145511632 \h </w:instrText>
        </w:r>
        <w:r w:rsidRPr="00220DC6">
          <w:rPr>
            <w:rFonts w:ascii="Arial" w:hAnsi="Arial" w:cs="Arial"/>
            <w:noProof/>
            <w:webHidden/>
          </w:rPr>
        </w:r>
        <w:r w:rsidRPr="00220DC6">
          <w:rPr>
            <w:rFonts w:ascii="Arial" w:hAnsi="Arial" w:cs="Arial"/>
            <w:noProof/>
            <w:webHidden/>
          </w:rPr>
          <w:fldChar w:fldCharType="separate"/>
        </w:r>
        <w:r w:rsidR="00100CF9" w:rsidRPr="00220DC6">
          <w:rPr>
            <w:rFonts w:ascii="Arial" w:hAnsi="Arial" w:cs="Arial"/>
            <w:noProof/>
            <w:webHidden/>
          </w:rPr>
          <w:t>310</w:t>
        </w:r>
        <w:r w:rsidRPr="00220DC6">
          <w:rPr>
            <w:rFonts w:ascii="Arial" w:hAnsi="Arial" w:cs="Arial"/>
            <w:noProof/>
            <w:webHidden/>
          </w:rPr>
          <w:fldChar w:fldCharType="end"/>
        </w:r>
      </w:hyperlink>
    </w:p>
    <w:p w14:paraId="34F20711" w14:textId="60ECF756" w:rsidR="00165C32" w:rsidRPr="009658C2" w:rsidRDefault="00165C32" w:rsidP="00273B1F">
      <w:pPr>
        <w:keepNext w:val="0"/>
        <w:autoSpaceDE w:val="0"/>
        <w:autoSpaceDN w:val="0"/>
        <w:adjustRightInd w:val="0"/>
        <w:spacing w:before="0"/>
        <w:rPr>
          <w:rFonts w:asciiTheme="majorHAnsi" w:hAnsiTheme="majorHAnsi" w:cstheme="majorHAnsi"/>
          <w:b/>
          <w:bCs/>
          <w:noProof/>
          <w:color w:val="0070C0"/>
          <w:szCs w:val="24"/>
        </w:rPr>
        <w:sectPr w:rsidR="00165C32" w:rsidRPr="009658C2" w:rsidSect="00196772">
          <w:headerReference w:type="default" r:id="rId13"/>
          <w:footerReference w:type="default" r:id="rId14"/>
          <w:pgSz w:w="11906" w:h="16838" w:code="9"/>
          <w:pgMar w:top="1258" w:right="1133" w:bottom="1079" w:left="1134" w:header="709" w:footer="709" w:gutter="0"/>
          <w:pgNumType w:start="1"/>
          <w:cols w:space="708"/>
          <w:docGrid w:linePitch="360"/>
        </w:sectPr>
      </w:pPr>
      <w:r w:rsidRPr="00220DC6">
        <w:rPr>
          <w:rFonts w:cs="Arial"/>
          <w:b/>
          <w:bCs/>
          <w:noProof/>
          <w:color w:val="0070C0"/>
          <w:szCs w:val="24"/>
        </w:rPr>
        <w:fldChar w:fldCharType="end"/>
      </w:r>
    </w:p>
    <w:p w14:paraId="3E4071DC" w14:textId="77777777" w:rsidR="00830E79" w:rsidRPr="003C7E62" w:rsidRDefault="00830E79" w:rsidP="00830E79">
      <w:pPr>
        <w:pStyle w:val="Heading1"/>
        <w:rPr>
          <w:noProof/>
        </w:rPr>
      </w:pPr>
      <w:bookmarkStart w:id="5" w:name="_Toc145511544"/>
      <w:bookmarkEnd w:id="4"/>
      <w:r>
        <w:rPr>
          <w:noProof/>
        </w:rPr>
        <w:lastRenderedPageBreak/>
        <w:t xml:space="preserve">Foreword - </w:t>
      </w:r>
      <w:r w:rsidRPr="00162A7B">
        <w:rPr>
          <w:noProof/>
        </w:rPr>
        <w:t>Planning together for all our futures</w:t>
      </w:r>
      <w:bookmarkEnd w:id="5"/>
    </w:p>
    <w:p w14:paraId="61907667" w14:textId="77777777" w:rsidR="006A339B" w:rsidRDefault="006A339B" w:rsidP="00273B1F">
      <w:pPr>
        <w:keepNext w:val="0"/>
        <w:autoSpaceDE w:val="0"/>
        <w:autoSpaceDN w:val="0"/>
        <w:adjustRightInd w:val="0"/>
        <w:spacing w:before="0"/>
        <w:rPr>
          <w:rFonts w:cs="Arial"/>
          <w:b/>
          <w:bCs/>
          <w:noProof/>
          <w:color w:val="auto"/>
        </w:rPr>
      </w:pPr>
    </w:p>
    <w:p w14:paraId="572BF1DE" w14:textId="77777777" w:rsidR="00830E79" w:rsidRPr="00B04DE3" w:rsidRDefault="00830E79" w:rsidP="00830E79">
      <w:pPr>
        <w:jc w:val="both"/>
        <w:rPr>
          <w:rFonts w:cs="Arial"/>
          <w:color w:val="000000"/>
          <w:szCs w:val="24"/>
        </w:rPr>
      </w:pPr>
      <w:r w:rsidRPr="00B04DE3">
        <w:rPr>
          <w:rFonts w:cs="Arial"/>
          <w:color w:val="000000"/>
          <w:szCs w:val="24"/>
        </w:rPr>
        <w:t>Ashfield is at the heart of the East Midlands, well located with strong transport links and aspirations to achieve excellence for its local communities and businesses whilst protecting its most well-loved landscapes, heritage, and natural habitats. It is a place where people of all ages are proud to live, study, work, visit and aspire to stay.</w:t>
      </w:r>
    </w:p>
    <w:p w14:paraId="4BEAA797" w14:textId="77777777" w:rsidR="00830E79" w:rsidRPr="00B04DE3" w:rsidRDefault="00830E79" w:rsidP="00830E79">
      <w:pPr>
        <w:jc w:val="both"/>
        <w:rPr>
          <w:rFonts w:cs="Arial"/>
          <w:color w:val="000000"/>
          <w:szCs w:val="24"/>
        </w:rPr>
      </w:pPr>
      <w:r w:rsidRPr="00B04DE3">
        <w:rPr>
          <w:rFonts w:cs="Arial"/>
          <w:color w:val="000000"/>
          <w:szCs w:val="24"/>
        </w:rPr>
        <w:t xml:space="preserve">Ashfield looks forward with positivity to the future and as such this plan shows the depth and breadth of the ambition in delivery. Challenges are acknowledged however though partnership, innovation and by harnessing the talent of our young people, we believe we can progress. Opportunities will arise though the development of the Devolution deal and we as a district are best placed to work in partnership for the benefit of our communities. </w:t>
      </w:r>
    </w:p>
    <w:p w14:paraId="042C32D0" w14:textId="1E5D1292" w:rsidR="00830E79" w:rsidRPr="00830E79" w:rsidRDefault="00830E79" w:rsidP="00830E79">
      <w:pPr>
        <w:jc w:val="both"/>
        <w:rPr>
          <w:rFonts w:cs="Arial"/>
          <w:color w:val="000000"/>
          <w:szCs w:val="24"/>
        </w:rPr>
      </w:pPr>
      <w:r w:rsidRPr="00830E79">
        <w:rPr>
          <w:rFonts w:cs="Arial"/>
          <w:color w:val="000000"/>
          <w:szCs w:val="24"/>
        </w:rPr>
        <w:t>This document, the Ashfield Local Plan Regulation 19 Pre-Submission Draft, together with other supporting documents, explains the Council’s approach to guide development in the District for the period 2023 – 2040.  It is an ambitious document which actively tackles the issues we face today in seeking to achieve sustainable growth.</w:t>
      </w:r>
    </w:p>
    <w:p w14:paraId="2EA5F8B5" w14:textId="14DBA8F1" w:rsidR="00830E79" w:rsidRPr="00830E79" w:rsidRDefault="00830E79" w:rsidP="00830E79">
      <w:pPr>
        <w:jc w:val="both"/>
        <w:rPr>
          <w:rFonts w:cs="Arial"/>
          <w:color w:val="000000"/>
          <w:szCs w:val="24"/>
        </w:rPr>
      </w:pPr>
      <w:r w:rsidRPr="00830E79">
        <w:rPr>
          <w:rFonts w:cs="Arial"/>
          <w:color w:val="000000"/>
          <w:szCs w:val="24"/>
        </w:rPr>
        <w:t>It is a national requirement that local authorities have a sound Local Plan, not only to ensure that vital new homes, jobs and the necessary infrastructure are provided but also because in the absence of an up-to-date Local Plan, the Council cannot effectively control where development takes place, the quality of that development and the community benefit arising from new development.</w:t>
      </w:r>
    </w:p>
    <w:p w14:paraId="3042F280" w14:textId="60136D75" w:rsidR="00830E79" w:rsidRPr="00830E79" w:rsidRDefault="00830E79" w:rsidP="00830E79">
      <w:pPr>
        <w:jc w:val="both"/>
        <w:rPr>
          <w:rFonts w:cs="Arial"/>
          <w:color w:val="000000"/>
          <w:szCs w:val="24"/>
        </w:rPr>
      </w:pPr>
      <w:r w:rsidRPr="00830E79">
        <w:rPr>
          <w:rFonts w:cs="Arial"/>
          <w:color w:val="000000"/>
          <w:szCs w:val="24"/>
        </w:rPr>
        <w:t>We are required by the government to bring forward a Local Plan that delivers the District’s objectively assessed housing need. Whilst none of us wish to see green fields being built over, it is clear that there are insufficient brownfield sites available to meet the identified need, and so the use of sustainably located greenfield sites is unavoidable. We have adopted a spatial strategy that has listened and responded to the consultatio</w:t>
      </w:r>
      <w:r w:rsidRPr="00830E79">
        <w:rPr>
          <w:rFonts w:cs="Arial"/>
          <w:color w:val="auto"/>
          <w:szCs w:val="24"/>
        </w:rPr>
        <w:t>n on the Draft Local Plan</w:t>
      </w:r>
      <w:r w:rsidRPr="00830E79">
        <w:rPr>
          <w:rFonts w:cs="Arial"/>
          <w:color w:val="000000"/>
          <w:szCs w:val="24"/>
        </w:rPr>
        <w:t>.  The Plan is aimed at minimising the negative impacts of development; however, it is inevitable that there will be concern about some of the proposed development.</w:t>
      </w:r>
    </w:p>
    <w:p w14:paraId="12BCEC98" w14:textId="748CCDCD" w:rsidR="00830E79" w:rsidRPr="00830E79" w:rsidRDefault="00830E79" w:rsidP="00830E79">
      <w:pPr>
        <w:jc w:val="both"/>
        <w:rPr>
          <w:rFonts w:cs="Arial"/>
          <w:color w:val="auto"/>
          <w:szCs w:val="24"/>
        </w:rPr>
      </w:pPr>
      <w:r w:rsidRPr="00830E79">
        <w:rPr>
          <w:rFonts w:cs="Arial"/>
          <w:color w:val="000000"/>
          <w:szCs w:val="24"/>
        </w:rPr>
        <w:t xml:space="preserve">I am committed to ensuring that this document is prepared in an open and transparent manner and that the views of the public and stakeholders are listened to and taken into account. This is the final version of the Local Plan before it is submitted to the Secretary of State and the Planning Inspectorate for Examination in Public.  Your views are very much </w:t>
      </w:r>
      <w:r w:rsidRPr="00830E79">
        <w:rPr>
          <w:rFonts w:cs="Arial"/>
          <w:color w:val="auto"/>
          <w:szCs w:val="24"/>
        </w:rPr>
        <w:t xml:space="preserve">welcomed and will be reviewed and submitted for consideration by an independent Inspector, who will be appointed as part of the Examination hearings process. </w:t>
      </w:r>
    </w:p>
    <w:p w14:paraId="74CD4F6B" w14:textId="2A8C7C33" w:rsidR="00830E79" w:rsidRPr="00830E79" w:rsidRDefault="00830E79" w:rsidP="00830E79">
      <w:pPr>
        <w:jc w:val="both"/>
        <w:rPr>
          <w:rFonts w:cs="Arial"/>
          <w:color w:val="auto"/>
          <w:szCs w:val="24"/>
        </w:rPr>
      </w:pPr>
      <w:r w:rsidRPr="00830E79">
        <w:rPr>
          <w:rFonts w:cs="Arial"/>
          <w:color w:val="auto"/>
          <w:szCs w:val="24"/>
        </w:rPr>
        <w:t xml:space="preserve">Please remember to submit any comments by </w:t>
      </w:r>
      <w:r w:rsidR="00890704">
        <w:rPr>
          <w:rFonts w:cs="Arial"/>
          <w:color w:val="auto"/>
          <w:szCs w:val="24"/>
        </w:rPr>
        <w:t>5.00pm Monday 29</w:t>
      </w:r>
      <w:r w:rsidR="00B04DE3" w:rsidRPr="00B04DE3">
        <w:rPr>
          <w:rFonts w:cs="Arial"/>
          <w:color w:val="auto"/>
          <w:szCs w:val="24"/>
          <w:vertAlign w:val="superscript"/>
        </w:rPr>
        <w:t>th</w:t>
      </w:r>
      <w:r w:rsidR="00B04DE3">
        <w:rPr>
          <w:rFonts w:cs="Arial"/>
          <w:color w:val="auto"/>
          <w:szCs w:val="24"/>
        </w:rPr>
        <w:t xml:space="preserve"> January </w:t>
      </w:r>
      <w:r w:rsidRPr="00830E79">
        <w:rPr>
          <w:rFonts w:cs="Arial"/>
          <w:color w:val="auto"/>
          <w:szCs w:val="24"/>
        </w:rPr>
        <w:t>2024.</w:t>
      </w:r>
    </w:p>
    <w:p w14:paraId="193557BB" w14:textId="77777777" w:rsidR="006A339B" w:rsidRDefault="006A339B" w:rsidP="00273B1F">
      <w:pPr>
        <w:keepNext w:val="0"/>
        <w:autoSpaceDE w:val="0"/>
        <w:autoSpaceDN w:val="0"/>
        <w:adjustRightInd w:val="0"/>
        <w:spacing w:before="0"/>
        <w:rPr>
          <w:rFonts w:cs="Arial"/>
          <w:b/>
          <w:bCs/>
          <w:noProof/>
          <w:color w:val="auto"/>
        </w:rPr>
      </w:pPr>
    </w:p>
    <w:p w14:paraId="41C9AFFB" w14:textId="77777777" w:rsidR="00830E79" w:rsidRPr="00830E79" w:rsidRDefault="00830E79" w:rsidP="00830E79">
      <w:pPr>
        <w:keepNext w:val="0"/>
        <w:spacing w:before="0"/>
        <w:jc w:val="both"/>
        <w:rPr>
          <w:rFonts w:eastAsia="Calibri"/>
          <w:color w:val="auto"/>
          <w:szCs w:val="22"/>
          <w:lang w:eastAsia="en-US"/>
        </w:rPr>
      </w:pPr>
      <w:r w:rsidRPr="00830E79">
        <w:rPr>
          <w:rFonts w:eastAsia="Calibri"/>
          <w:color w:val="auto"/>
          <w:szCs w:val="22"/>
          <w:lang w:eastAsia="en-US"/>
        </w:rPr>
        <w:t xml:space="preserve">Councillor Matthew Relf, Portfolio Holder for Place, Planning and Regeneration, </w:t>
      </w:r>
    </w:p>
    <w:p w14:paraId="71710F91" w14:textId="77777777" w:rsidR="00830E79" w:rsidRPr="00830E79" w:rsidRDefault="00830E79" w:rsidP="00830E79">
      <w:pPr>
        <w:keepNext w:val="0"/>
        <w:spacing w:before="0"/>
        <w:jc w:val="both"/>
        <w:rPr>
          <w:rFonts w:eastAsia="Calibri"/>
          <w:color w:val="auto"/>
          <w:szCs w:val="22"/>
          <w:lang w:eastAsia="en-US"/>
        </w:rPr>
      </w:pPr>
      <w:r w:rsidRPr="00830E79">
        <w:rPr>
          <w:rFonts w:eastAsia="Calibri"/>
          <w:color w:val="auto"/>
          <w:szCs w:val="22"/>
          <w:lang w:eastAsia="en-US"/>
        </w:rPr>
        <w:t>Ashfield District Council</w:t>
      </w:r>
    </w:p>
    <w:p w14:paraId="1CE3EA81" w14:textId="77777777" w:rsidR="006A339B" w:rsidRDefault="006A339B" w:rsidP="00273B1F">
      <w:pPr>
        <w:keepNext w:val="0"/>
        <w:autoSpaceDE w:val="0"/>
        <w:autoSpaceDN w:val="0"/>
        <w:adjustRightInd w:val="0"/>
        <w:spacing w:before="0"/>
        <w:rPr>
          <w:rFonts w:cs="Arial"/>
          <w:b/>
          <w:bCs/>
          <w:noProof/>
          <w:color w:val="auto"/>
        </w:rPr>
      </w:pPr>
    </w:p>
    <w:p w14:paraId="68959962" w14:textId="77777777" w:rsidR="006A339B" w:rsidRDefault="006A339B" w:rsidP="00273B1F">
      <w:pPr>
        <w:keepNext w:val="0"/>
        <w:autoSpaceDE w:val="0"/>
        <w:autoSpaceDN w:val="0"/>
        <w:adjustRightInd w:val="0"/>
        <w:spacing w:before="0"/>
        <w:rPr>
          <w:rFonts w:cs="Arial"/>
          <w:b/>
          <w:bCs/>
          <w:noProof/>
          <w:color w:val="auto"/>
        </w:rPr>
      </w:pPr>
    </w:p>
    <w:p w14:paraId="426B54E0" w14:textId="77777777" w:rsidR="006A339B" w:rsidRDefault="006A339B" w:rsidP="00273B1F">
      <w:pPr>
        <w:keepNext w:val="0"/>
        <w:autoSpaceDE w:val="0"/>
        <w:autoSpaceDN w:val="0"/>
        <w:adjustRightInd w:val="0"/>
        <w:spacing w:before="0"/>
        <w:rPr>
          <w:rFonts w:cs="Arial"/>
          <w:b/>
          <w:bCs/>
          <w:noProof/>
          <w:color w:val="auto"/>
        </w:rPr>
      </w:pPr>
    </w:p>
    <w:p w14:paraId="77BB3464" w14:textId="77777777" w:rsidR="006A339B" w:rsidRDefault="006A339B" w:rsidP="00273B1F">
      <w:pPr>
        <w:keepNext w:val="0"/>
        <w:autoSpaceDE w:val="0"/>
        <w:autoSpaceDN w:val="0"/>
        <w:adjustRightInd w:val="0"/>
        <w:spacing w:before="0"/>
        <w:rPr>
          <w:rFonts w:cs="Arial"/>
          <w:b/>
          <w:bCs/>
          <w:noProof/>
          <w:color w:val="auto"/>
        </w:rPr>
        <w:sectPr w:rsidR="006A339B" w:rsidSect="00263F59">
          <w:headerReference w:type="default" r:id="rId15"/>
          <w:footerReference w:type="default" r:id="rId16"/>
          <w:pgSz w:w="11906" w:h="16838" w:code="9"/>
          <w:pgMar w:top="1258" w:right="1133" w:bottom="1079" w:left="1134" w:header="709" w:footer="709" w:gutter="0"/>
          <w:pgNumType w:start="1"/>
          <w:cols w:space="708"/>
          <w:docGrid w:linePitch="360"/>
        </w:sectPr>
      </w:pPr>
    </w:p>
    <w:p w14:paraId="26C5366D" w14:textId="009BE580" w:rsidR="00DA4833" w:rsidRPr="003C7E62" w:rsidRDefault="00DA4833" w:rsidP="00165C32">
      <w:pPr>
        <w:pStyle w:val="Heading1"/>
      </w:pPr>
      <w:bookmarkStart w:id="6" w:name="_Toc145511545"/>
      <w:r w:rsidRPr="003C7E62">
        <w:lastRenderedPageBreak/>
        <w:t>Chapter 1</w:t>
      </w:r>
      <w:bookmarkEnd w:id="6"/>
      <w:r w:rsidRPr="003C7E62">
        <w:t xml:space="preserve"> </w:t>
      </w:r>
    </w:p>
    <w:p w14:paraId="1E1C9C26" w14:textId="77777777" w:rsidR="00593C68" w:rsidRPr="00E605B7" w:rsidRDefault="00593C68" w:rsidP="00E605B7">
      <w:bookmarkStart w:id="7" w:name="_Toc500408718"/>
    </w:p>
    <w:p w14:paraId="411278F1" w14:textId="55D88ED2" w:rsidR="005C27E8" w:rsidRDefault="00162A7B" w:rsidP="00364726">
      <w:pPr>
        <w:pStyle w:val="Heading1"/>
      </w:pPr>
      <w:bookmarkStart w:id="8" w:name="_Toc145511546"/>
      <w:bookmarkStart w:id="9" w:name="_Hlk75500629"/>
      <w:bookmarkEnd w:id="7"/>
      <w:r w:rsidRPr="00162A7B">
        <w:t>Where are we now?</w:t>
      </w:r>
      <w:bookmarkEnd w:id="8"/>
    </w:p>
    <w:p w14:paraId="399544B2" w14:textId="77777777" w:rsidR="00CC6BDF" w:rsidRPr="007620D3" w:rsidRDefault="00CC6BDF" w:rsidP="007620D3"/>
    <w:p w14:paraId="37582DC3" w14:textId="26CF5E9C" w:rsidR="00284AAC" w:rsidRPr="003C7E62" w:rsidRDefault="00890704" w:rsidP="00890704">
      <w:pPr>
        <w:pStyle w:val="Heading3"/>
      </w:pPr>
      <w:bookmarkStart w:id="10" w:name="_Toc145511547"/>
      <w:r>
        <w:t xml:space="preserve"> </w:t>
      </w:r>
      <w:r w:rsidR="00284AAC" w:rsidRPr="003C7E62">
        <w:t>Plan Purpose and Background</w:t>
      </w:r>
      <w:bookmarkEnd w:id="10"/>
    </w:p>
    <w:p w14:paraId="4CE06888" w14:textId="77777777" w:rsidR="00284AAC" w:rsidRPr="003C7E62" w:rsidRDefault="00284AAC" w:rsidP="00CC6BDF">
      <w:pPr>
        <w:spacing w:before="0"/>
        <w:rPr>
          <w:rFonts w:cs="Arial"/>
        </w:rPr>
      </w:pPr>
    </w:p>
    <w:p w14:paraId="58170950" w14:textId="77777777" w:rsidR="00284AAC" w:rsidRPr="003C7E62" w:rsidRDefault="00284AAC" w:rsidP="00CC6BDF">
      <w:pPr>
        <w:keepNext w:val="0"/>
        <w:numPr>
          <w:ilvl w:val="1"/>
          <w:numId w:val="4"/>
        </w:numPr>
        <w:autoSpaceDE w:val="0"/>
        <w:autoSpaceDN w:val="0"/>
        <w:adjustRightInd w:val="0"/>
        <w:spacing w:before="0"/>
        <w:rPr>
          <w:rFonts w:cs="Arial"/>
        </w:rPr>
      </w:pPr>
      <w:r w:rsidRPr="003C7E62">
        <w:rPr>
          <w:rFonts w:cs="Arial"/>
        </w:rPr>
        <w:t>The development plan for Ashfield consists of:</w:t>
      </w:r>
    </w:p>
    <w:p w14:paraId="06CD2F16" w14:textId="77777777" w:rsidR="00284AAC" w:rsidRPr="003C7E62" w:rsidRDefault="00284AAC" w:rsidP="00606546">
      <w:pPr>
        <w:autoSpaceDE w:val="0"/>
        <w:autoSpaceDN w:val="0"/>
        <w:adjustRightInd w:val="0"/>
        <w:spacing w:before="0"/>
        <w:rPr>
          <w:rFonts w:cs="Arial"/>
        </w:rPr>
      </w:pPr>
    </w:p>
    <w:p w14:paraId="08941D7C" w14:textId="4ABBDA07" w:rsidR="00284AAC" w:rsidRDefault="00284AAC" w:rsidP="00D01157">
      <w:pPr>
        <w:keepNext w:val="0"/>
        <w:numPr>
          <w:ilvl w:val="0"/>
          <w:numId w:val="51"/>
        </w:numPr>
        <w:autoSpaceDE w:val="0"/>
        <w:autoSpaceDN w:val="0"/>
        <w:adjustRightInd w:val="0"/>
        <w:spacing w:before="0"/>
        <w:contextualSpacing/>
        <w:rPr>
          <w:rFonts w:cs="Arial"/>
        </w:rPr>
      </w:pPr>
      <w:r w:rsidRPr="003C7E62">
        <w:rPr>
          <w:rFonts w:cs="Arial"/>
        </w:rPr>
        <w:t>Once adopted, the Local Plan as set out in this document;</w:t>
      </w:r>
    </w:p>
    <w:p w14:paraId="23A8172F" w14:textId="77777777" w:rsidR="00CC6BDF" w:rsidRPr="003C7E62" w:rsidRDefault="00CC6BDF" w:rsidP="00CC6BDF">
      <w:pPr>
        <w:keepNext w:val="0"/>
        <w:autoSpaceDE w:val="0"/>
        <w:autoSpaceDN w:val="0"/>
        <w:adjustRightInd w:val="0"/>
        <w:spacing w:before="0"/>
        <w:ind w:left="1080"/>
        <w:contextualSpacing/>
        <w:rPr>
          <w:rFonts w:cs="Arial"/>
        </w:rPr>
      </w:pPr>
    </w:p>
    <w:p w14:paraId="353BE441" w14:textId="4D15765D" w:rsidR="00284AAC" w:rsidRPr="00CC6BDF" w:rsidRDefault="00284AAC" w:rsidP="00D01157">
      <w:pPr>
        <w:keepNext w:val="0"/>
        <w:numPr>
          <w:ilvl w:val="0"/>
          <w:numId w:val="47"/>
        </w:numPr>
        <w:autoSpaceDE w:val="0"/>
        <w:autoSpaceDN w:val="0"/>
        <w:adjustRightInd w:val="0"/>
        <w:spacing w:before="0"/>
        <w:ind w:left="1134" w:hanging="425"/>
        <w:contextualSpacing/>
        <w:rPr>
          <w:rFonts w:cs="Arial"/>
        </w:rPr>
      </w:pPr>
      <w:r w:rsidRPr="003C7E62">
        <w:rPr>
          <w:rFonts w:cs="Arial"/>
        </w:rPr>
        <w:t xml:space="preserve">The </w:t>
      </w:r>
      <w:r w:rsidRPr="003C7E62">
        <w:rPr>
          <w:rFonts w:eastAsia="Arial" w:cs="Arial"/>
        </w:rPr>
        <w:t>Jacksdale, Underwood</w:t>
      </w:r>
      <w:r w:rsidR="008969BA">
        <w:rPr>
          <w:rFonts w:eastAsia="Arial" w:cs="Arial"/>
        </w:rPr>
        <w:t>,</w:t>
      </w:r>
      <w:r w:rsidRPr="003C7E62">
        <w:rPr>
          <w:rFonts w:eastAsia="Arial" w:cs="Arial"/>
        </w:rPr>
        <w:t xml:space="preserve"> Selston Tomorrow</w:t>
      </w:r>
      <w:r w:rsidR="008969BA">
        <w:rPr>
          <w:rFonts w:eastAsia="Arial" w:cs="Arial"/>
        </w:rPr>
        <w:t xml:space="preserve"> Neighbourhood Plan</w:t>
      </w:r>
      <w:r w:rsidRPr="003C7E62">
        <w:rPr>
          <w:rFonts w:eastAsia="Arial" w:cs="Arial"/>
        </w:rPr>
        <w:t xml:space="preserve"> (</w:t>
      </w:r>
      <w:r w:rsidRPr="003C7E62">
        <w:rPr>
          <w:rFonts w:cs="Arial"/>
        </w:rPr>
        <w:t>JUS</w:t>
      </w:r>
      <w:r w:rsidR="003C3F55" w:rsidRPr="003C7E62">
        <w:rPr>
          <w:rFonts w:cs="Arial"/>
        </w:rPr>
        <w:t>-</w:t>
      </w:r>
      <w:r w:rsidRPr="003C7E62">
        <w:rPr>
          <w:rFonts w:cs="Arial"/>
        </w:rPr>
        <w:t xml:space="preserve">t) and </w:t>
      </w:r>
      <w:r w:rsidR="008969BA">
        <w:rPr>
          <w:rFonts w:cs="Arial"/>
        </w:rPr>
        <w:t xml:space="preserve">the </w:t>
      </w:r>
      <w:r w:rsidRPr="003C7E62">
        <w:rPr>
          <w:rFonts w:cs="Arial"/>
        </w:rPr>
        <w:t xml:space="preserve">Teversal, Stanton Hill and Skegby Neighbourhood Plan (further information is contained in paragraph </w:t>
      </w:r>
      <w:r w:rsidRPr="00CC6BDF">
        <w:rPr>
          <w:rFonts w:cs="Arial"/>
        </w:rPr>
        <w:t>1.3</w:t>
      </w:r>
      <w:r w:rsidR="00CC6BDF" w:rsidRPr="00CC6BDF">
        <w:rPr>
          <w:rFonts w:cs="Arial"/>
        </w:rPr>
        <w:t>6</w:t>
      </w:r>
      <w:r w:rsidRPr="00CC6BDF">
        <w:rPr>
          <w:rFonts w:cs="Arial"/>
        </w:rPr>
        <w:t xml:space="preserve"> below);</w:t>
      </w:r>
    </w:p>
    <w:p w14:paraId="619245CE" w14:textId="77777777" w:rsidR="00CC6BDF" w:rsidRPr="003C7E62" w:rsidRDefault="00CC6BDF" w:rsidP="00CC6BDF">
      <w:pPr>
        <w:keepNext w:val="0"/>
        <w:autoSpaceDE w:val="0"/>
        <w:autoSpaceDN w:val="0"/>
        <w:adjustRightInd w:val="0"/>
        <w:spacing w:before="0"/>
        <w:ind w:left="1134"/>
        <w:contextualSpacing/>
        <w:rPr>
          <w:rFonts w:cs="Arial"/>
        </w:rPr>
      </w:pPr>
    </w:p>
    <w:p w14:paraId="55B07305" w14:textId="41B96F58" w:rsidR="00284AAC" w:rsidRDefault="00284AAC" w:rsidP="00D01157">
      <w:pPr>
        <w:keepNext w:val="0"/>
        <w:numPr>
          <w:ilvl w:val="0"/>
          <w:numId w:val="47"/>
        </w:numPr>
        <w:autoSpaceDE w:val="0"/>
        <w:autoSpaceDN w:val="0"/>
        <w:adjustRightInd w:val="0"/>
        <w:spacing w:before="0"/>
        <w:ind w:left="1134" w:hanging="425"/>
        <w:contextualSpacing/>
        <w:rPr>
          <w:rFonts w:cs="Arial"/>
        </w:rPr>
      </w:pPr>
      <w:r w:rsidRPr="003C7E62">
        <w:rPr>
          <w:rFonts w:cs="Arial"/>
        </w:rPr>
        <w:t>Nottinghamshire and Nottingham Replacement Waste Local Plan, Part 1 Waste Core Strategy 2013</w:t>
      </w:r>
      <w:r w:rsidRPr="003C7E62">
        <w:rPr>
          <w:rFonts w:cs="Arial"/>
          <w:vertAlign w:val="superscript"/>
        </w:rPr>
        <w:footnoteReference w:id="1"/>
      </w:r>
      <w:r w:rsidRPr="003C7E62">
        <w:rPr>
          <w:rFonts w:cs="Arial"/>
        </w:rPr>
        <w:t xml:space="preserve">; </w:t>
      </w:r>
    </w:p>
    <w:p w14:paraId="01F15C10" w14:textId="77777777" w:rsidR="00CC6BDF" w:rsidRPr="003C7E62" w:rsidRDefault="00CC6BDF" w:rsidP="00CC6BDF">
      <w:pPr>
        <w:keepNext w:val="0"/>
        <w:autoSpaceDE w:val="0"/>
        <w:autoSpaceDN w:val="0"/>
        <w:adjustRightInd w:val="0"/>
        <w:spacing w:before="0"/>
        <w:contextualSpacing/>
        <w:rPr>
          <w:rFonts w:cs="Arial"/>
        </w:rPr>
      </w:pPr>
    </w:p>
    <w:p w14:paraId="4FB8675D" w14:textId="088C1B80" w:rsidR="00C80ED9" w:rsidRPr="00CC6BDF" w:rsidRDefault="00284AAC" w:rsidP="00D01157">
      <w:pPr>
        <w:keepNext w:val="0"/>
        <w:numPr>
          <w:ilvl w:val="0"/>
          <w:numId w:val="47"/>
        </w:numPr>
        <w:autoSpaceDE w:val="0"/>
        <w:autoSpaceDN w:val="0"/>
        <w:adjustRightInd w:val="0"/>
        <w:spacing w:before="0"/>
        <w:ind w:left="1134" w:hanging="425"/>
        <w:contextualSpacing/>
        <w:rPr>
          <w:rFonts w:cs="Arial"/>
        </w:rPr>
      </w:pPr>
      <w:r w:rsidRPr="003C7E62">
        <w:rPr>
          <w:rFonts w:cs="Arial"/>
        </w:rPr>
        <w:t>Nottinghamshire and Nottingham Waste Local Plan 2002 Saved Policies</w:t>
      </w:r>
      <w:r w:rsidRPr="003C7E62">
        <w:rPr>
          <w:rFonts w:eastAsia="Arial" w:cs="Arial"/>
          <w:szCs w:val="24"/>
          <w:vertAlign w:val="superscript"/>
        </w:rPr>
        <w:footnoteReference w:id="2"/>
      </w:r>
      <w:r w:rsidRPr="003C7E62">
        <w:rPr>
          <w:rFonts w:eastAsia="Arial" w:cs="Arial"/>
          <w:szCs w:val="24"/>
        </w:rPr>
        <w:t>; and</w:t>
      </w:r>
    </w:p>
    <w:p w14:paraId="0207B89F" w14:textId="77777777" w:rsidR="00CC6BDF" w:rsidRDefault="00CC6BDF" w:rsidP="00CC6BDF">
      <w:pPr>
        <w:keepNext w:val="0"/>
        <w:autoSpaceDE w:val="0"/>
        <w:autoSpaceDN w:val="0"/>
        <w:adjustRightInd w:val="0"/>
        <w:spacing w:before="0"/>
        <w:contextualSpacing/>
        <w:rPr>
          <w:rFonts w:cs="Arial"/>
        </w:rPr>
      </w:pPr>
    </w:p>
    <w:p w14:paraId="4E0155E9" w14:textId="420EE01C" w:rsidR="00284AAC" w:rsidRPr="00C80ED9" w:rsidRDefault="00284AAC" w:rsidP="00D01157">
      <w:pPr>
        <w:keepNext w:val="0"/>
        <w:numPr>
          <w:ilvl w:val="0"/>
          <w:numId w:val="47"/>
        </w:numPr>
        <w:autoSpaceDE w:val="0"/>
        <w:autoSpaceDN w:val="0"/>
        <w:adjustRightInd w:val="0"/>
        <w:spacing w:before="0"/>
        <w:ind w:left="1134" w:hanging="425"/>
        <w:contextualSpacing/>
        <w:rPr>
          <w:rFonts w:cs="Arial"/>
        </w:rPr>
      </w:pPr>
      <w:r w:rsidRPr="00C80ED9">
        <w:rPr>
          <w:rFonts w:eastAsia="Arial" w:cs="Arial"/>
          <w:szCs w:val="24"/>
        </w:rPr>
        <w:t>The Nottinghamshire Mineral Development Plan 20</w:t>
      </w:r>
      <w:r w:rsidR="003C3F55" w:rsidRPr="00C80ED9">
        <w:rPr>
          <w:rFonts w:eastAsia="Arial" w:cs="Arial"/>
          <w:szCs w:val="24"/>
        </w:rPr>
        <w:t>21</w:t>
      </w:r>
      <w:r w:rsidRPr="00C80ED9">
        <w:rPr>
          <w:rFonts w:eastAsia="Arial" w:cs="Arial"/>
          <w:szCs w:val="24"/>
          <w:vertAlign w:val="superscript"/>
        </w:rPr>
        <w:footnoteReference w:id="3"/>
      </w:r>
      <w:r w:rsidRPr="00C80ED9">
        <w:rPr>
          <w:rFonts w:eastAsia="Arial" w:cs="Arial"/>
          <w:szCs w:val="24"/>
        </w:rPr>
        <w:t>.</w:t>
      </w:r>
    </w:p>
    <w:p w14:paraId="2449997F" w14:textId="77777777" w:rsidR="00284AAC" w:rsidRPr="003C7E62" w:rsidRDefault="00284AAC" w:rsidP="00606546">
      <w:pPr>
        <w:autoSpaceDE w:val="0"/>
        <w:autoSpaceDN w:val="0"/>
        <w:adjustRightInd w:val="0"/>
        <w:spacing w:before="0"/>
        <w:contextualSpacing/>
        <w:rPr>
          <w:rFonts w:eastAsia="Arial" w:cs="Arial"/>
          <w:szCs w:val="24"/>
        </w:rPr>
      </w:pPr>
    </w:p>
    <w:p w14:paraId="36926C69" w14:textId="77777777" w:rsidR="00284AAC" w:rsidRPr="003C7E62" w:rsidRDefault="00284AAC" w:rsidP="00606546">
      <w:pPr>
        <w:autoSpaceDE w:val="0"/>
        <w:autoSpaceDN w:val="0"/>
        <w:adjustRightInd w:val="0"/>
        <w:spacing w:before="0"/>
        <w:ind w:left="709"/>
        <w:contextualSpacing/>
        <w:rPr>
          <w:rFonts w:cs="Arial"/>
          <w:highlight w:val="yellow"/>
        </w:rPr>
      </w:pPr>
      <w:r w:rsidRPr="003C7E62">
        <w:rPr>
          <w:rFonts w:eastAsia="Arial" w:cs="Arial"/>
          <w:szCs w:val="24"/>
        </w:rPr>
        <w:t>Issues related to waste or minerals are not included in the draft Ashfield Local Plan. Any development proposals related to waste or minerals will be assessed by the County Council as the Waste and Minerals Authority.</w:t>
      </w:r>
    </w:p>
    <w:p w14:paraId="2A55D8BB" w14:textId="77777777" w:rsidR="00284AAC" w:rsidRPr="003C7E62" w:rsidRDefault="00284AAC" w:rsidP="00606546">
      <w:pPr>
        <w:autoSpaceDE w:val="0"/>
        <w:autoSpaceDN w:val="0"/>
        <w:adjustRightInd w:val="0"/>
        <w:spacing w:before="0"/>
        <w:contextualSpacing/>
        <w:rPr>
          <w:rFonts w:cs="Arial"/>
        </w:rPr>
      </w:pPr>
    </w:p>
    <w:p w14:paraId="3A683694" w14:textId="4C3D7D20" w:rsidR="00284AAC" w:rsidRPr="003C7E62" w:rsidRDefault="00284AAC" w:rsidP="00D01157">
      <w:pPr>
        <w:keepNext w:val="0"/>
        <w:numPr>
          <w:ilvl w:val="1"/>
          <w:numId w:val="48"/>
        </w:numPr>
        <w:autoSpaceDE w:val="0"/>
        <w:autoSpaceDN w:val="0"/>
        <w:adjustRightInd w:val="0"/>
        <w:spacing w:before="0"/>
        <w:ind w:left="709" w:hanging="709"/>
        <w:contextualSpacing/>
        <w:rPr>
          <w:rFonts w:cs="Arial"/>
        </w:rPr>
      </w:pPr>
      <w:r w:rsidRPr="002253B9">
        <w:rPr>
          <w:rFonts w:cs="Arial"/>
        </w:rPr>
        <w:t xml:space="preserve">This </w:t>
      </w:r>
      <w:r w:rsidR="00890704">
        <w:rPr>
          <w:rFonts w:cs="Arial"/>
        </w:rPr>
        <w:t>d</w:t>
      </w:r>
      <w:r w:rsidRPr="002253B9">
        <w:rPr>
          <w:rFonts w:cs="Arial"/>
        </w:rPr>
        <w:t xml:space="preserve">raft </w:t>
      </w:r>
      <w:r w:rsidR="006A2145">
        <w:rPr>
          <w:rFonts w:cs="Arial"/>
        </w:rPr>
        <w:t>L</w:t>
      </w:r>
      <w:r w:rsidRPr="002253B9">
        <w:rPr>
          <w:rFonts w:cs="Arial"/>
        </w:rPr>
        <w:t xml:space="preserve">ocal </w:t>
      </w:r>
      <w:r w:rsidR="006A2145">
        <w:rPr>
          <w:rFonts w:cs="Arial"/>
        </w:rPr>
        <w:t>P</w:t>
      </w:r>
      <w:r w:rsidRPr="002253B9">
        <w:rPr>
          <w:rFonts w:cs="Arial"/>
        </w:rPr>
        <w:t>lan (202</w:t>
      </w:r>
      <w:r w:rsidR="002253B9" w:rsidRPr="002253B9">
        <w:rPr>
          <w:rFonts w:cs="Arial"/>
        </w:rPr>
        <w:t>3</w:t>
      </w:r>
      <w:r w:rsidRPr="002253B9">
        <w:rPr>
          <w:rFonts w:cs="Arial"/>
        </w:rPr>
        <w:t xml:space="preserve"> – 20</w:t>
      </w:r>
      <w:r w:rsidR="002253B9" w:rsidRPr="002253B9">
        <w:rPr>
          <w:rFonts w:cs="Arial"/>
        </w:rPr>
        <w:t>40</w:t>
      </w:r>
      <w:r w:rsidRPr="002253B9">
        <w:rPr>
          <w:rFonts w:cs="Arial"/>
        </w:rPr>
        <w:t>)</w:t>
      </w:r>
      <w:r w:rsidRPr="003C7E62">
        <w:rPr>
          <w:rFonts w:cs="Arial"/>
        </w:rPr>
        <w:t xml:space="preserve"> provides the basis for delivering sustainable development within the district of Ashfield</w:t>
      </w:r>
      <w:r w:rsidRPr="003C7E62">
        <w:rPr>
          <w:rFonts w:cs="Arial"/>
          <w:vertAlign w:val="superscript"/>
        </w:rPr>
        <w:footnoteReference w:id="4"/>
      </w:r>
      <w:r w:rsidRPr="003C7E62">
        <w:rPr>
          <w:rFonts w:cs="Arial"/>
        </w:rPr>
        <w:t xml:space="preserve">. It sets out a vision for the future, a framework for meeting identified needs and priorities, and a way in which communities can get involved in shaping the future of the area.  The plan </w:t>
      </w:r>
      <w:r w:rsidRPr="003C7E62">
        <w:rPr>
          <w:rFonts w:eastAsia="Arial" w:cs="Arial"/>
        </w:rPr>
        <w:t>considers land use needs for specific types of development and identifies sites and areas of protection. It also provides the basis upon which planning applications will be determined, outlining the main criteria that the Council will employ in assessing planning proposals within the District.</w:t>
      </w:r>
    </w:p>
    <w:p w14:paraId="4B02B1E4" w14:textId="77777777" w:rsidR="00284AAC" w:rsidRPr="003C7E62" w:rsidRDefault="00284AAC" w:rsidP="00606546">
      <w:pPr>
        <w:autoSpaceDE w:val="0"/>
        <w:autoSpaceDN w:val="0"/>
        <w:adjustRightInd w:val="0"/>
        <w:spacing w:before="0"/>
        <w:ind w:left="360"/>
        <w:contextualSpacing/>
        <w:rPr>
          <w:rFonts w:cs="Arial"/>
        </w:rPr>
      </w:pPr>
    </w:p>
    <w:p w14:paraId="416F67C5" w14:textId="08DFCCAE" w:rsidR="00284AAC" w:rsidRPr="003C7E62" w:rsidRDefault="00284AAC" w:rsidP="00D01157">
      <w:pPr>
        <w:keepNext w:val="0"/>
        <w:numPr>
          <w:ilvl w:val="1"/>
          <w:numId w:val="48"/>
        </w:numPr>
        <w:autoSpaceDE w:val="0"/>
        <w:autoSpaceDN w:val="0"/>
        <w:adjustRightInd w:val="0"/>
        <w:spacing w:before="0"/>
        <w:ind w:left="709" w:hanging="709"/>
        <w:contextualSpacing/>
        <w:rPr>
          <w:rFonts w:cs="Arial"/>
        </w:rPr>
      </w:pPr>
      <w:r w:rsidRPr="003C7E62">
        <w:rPr>
          <w:rFonts w:eastAsia="Arial" w:cs="Arial"/>
        </w:rPr>
        <w:t xml:space="preserve">All future development in Ashfield will be guided by the policies included in this draft Local Plan which has been prepared according to the requirements of planning </w:t>
      </w:r>
      <w:r w:rsidRPr="003C7E62">
        <w:rPr>
          <w:rFonts w:eastAsia="Arial" w:cs="Arial"/>
        </w:rPr>
        <w:lastRenderedPageBreak/>
        <w:t>legislation</w:t>
      </w:r>
      <w:r w:rsidRPr="003C7E62">
        <w:rPr>
          <w:rFonts w:eastAsia="Arial" w:cs="Arial"/>
          <w:vertAlign w:val="superscript"/>
        </w:rPr>
        <w:footnoteReference w:id="5"/>
      </w:r>
      <w:r w:rsidRPr="003C7E62">
        <w:rPr>
          <w:rFonts w:eastAsia="Arial" w:cs="Arial"/>
        </w:rPr>
        <w:t xml:space="preserve"> and an extensive process of evidence gathering and consultation.</w:t>
      </w:r>
      <w:r w:rsidRPr="003C7E62">
        <w:rPr>
          <w:rFonts w:cs="Arial"/>
        </w:rPr>
        <w:t xml:space="preserve">  </w:t>
      </w:r>
      <w:r w:rsidRPr="003C7E62">
        <w:rPr>
          <w:rFonts w:eastAsia="Calibri" w:cs="Arial"/>
          <w:szCs w:val="24"/>
        </w:rPr>
        <w:t>The draft Local Plan has been informed by a number of supporting evidence and background studies including:</w:t>
      </w:r>
    </w:p>
    <w:p w14:paraId="69ECD8A4" w14:textId="77777777" w:rsidR="00284AAC" w:rsidRPr="003C7E62" w:rsidRDefault="00284AAC" w:rsidP="00606546">
      <w:pPr>
        <w:autoSpaceDE w:val="0"/>
        <w:autoSpaceDN w:val="0"/>
        <w:adjustRightInd w:val="0"/>
        <w:spacing w:before="0"/>
        <w:ind w:left="600"/>
        <w:rPr>
          <w:rFonts w:eastAsia="Calibri" w:cs="Arial"/>
          <w:szCs w:val="24"/>
        </w:rPr>
      </w:pPr>
    </w:p>
    <w:p w14:paraId="3E3FF0E2" w14:textId="335CB5D7" w:rsidR="00284AAC" w:rsidRPr="003C7E62" w:rsidRDefault="00284AAC" w:rsidP="00D01157">
      <w:pPr>
        <w:keepNext w:val="0"/>
        <w:numPr>
          <w:ilvl w:val="0"/>
          <w:numId w:val="50"/>
        </w:numPr>
        <w:autoSpaceDE w:val="0"/>
        <w:autoSpaceDN w:val="0"/>
        <w:adjustRightInd w:val="0"/>
        <w:spacing w:before="0"/>
        <w:rPr>
          <w:rFonts w:eastAsia="Calibri" w:cs="Arial"/>
          <w:szCs w:val="24"/>
        </w:rPr>
      </w:pPr>
      <w:r w:rsidRPr="003C7E62">
        <w:rPr>
          <w:rFonts w:eastAsia="Calibri" w:cs="Arial"/>
          <w:szCs w:val="24"/>
        </w:rPr>
        <w:t>T</w:t>
      </w:r>
      <w:r w:rsidRPr="003C7E62">
        <w:rPr>
          <w:rFonts w:eastAsia="Arial" w:cs="Arial"/>
        </w:rPr>
        <w:t>he National Planning Policy Framework (NPPF)</w:t>
      </w:r>
      <w:r w:rsidRPr="003C7E62">
        <w:rPr>
          <w:rStyle w:val="FootnoteReference"/>
          <w:rFonts w:eastAsia="Arial" w:cs="Arial"/>
        </w:rPr>
        <w:footnoteReference w:id="6"/>
      </w:r>
      <w:r w:rsidRPr="003C7E62">
        <w:rPr>
          <w:rFonts w:eastAsia="Arial" w:cs="Arial"/>
        </w:rPr>
        <w:t xml:space="preserve"> and Planning Practice Guidance</w:t>
      </w:r>
      <w:r w:rsidRPr="003C7E62">
        <w:rPr>
          <w:rStyle w:val="FootnoteReference"/>
          <w:rFonts w:eastAsia="Arial" w:cs="Arial"/>
        </w:rPr>
        <w:footnoteReference w:id="7"/>
      </w:r>
      <w:r w:rsidRPr="003C7E62">
        <w:rPr>
          <w:rFonts w:eastAsia="Arial" w:cs="Arial"/>
        </w:rPr>
        <w:t>;</w:t>
      </w:r>
    </w:p>
    <w:p w14:paraId="3608D7C2" w14:textId="77777777" w:rsidR="00284AAC" w:rsidRPr="003C7E62" w:rsidRDefault="00284AAC" w:rsidP="00D01157">
      <w:pPr>
        <w:keepNext w:val="0"/>
        <w:numPr>
          <w:ilvl w:val="0"/>
          <w:numId w:val="50"/>
        </w:numPr>
        <w:autoSpaceDE w:val="0"/>
        <w:autoSpaceDN w:val="0"/>
        <w:adjustRightInd w:val="0"/>
        <w:spacing w:before="0"/>
        <w:rPr>
          <w:rFonts w:eastAsia="Calibri" w:cs="Arial"/>
          <w:szCs w:val="24"/>
        </w:rPr>
      </w:pPr>
      <w:r w:rsidRPr="003C7E62">
        <w:rPr>
          <w:rFonts w:eastAsia="Calibri" w:cs="Arial"/>
          <w:szCs w:val="24"/>
        </w:rPr>
        <w:t>A robust, objective and up-to-date Evidence Base</w:t>
      </w:r>
      <w:r w:rsidRPr="003C7E62">
        <w:rPr>
          <w:rFonts w:eastAsia="Calibri" w:cs="Arial"/>
          <w:szCs w:val="24"/>
          <w:vertAlign w:val="superscript"/>
        </w:rPr>
        <w:footnoteReference w:id="8"/>
      </w:r>
      <w:r w:rsidRPr="003C7E62">
        <w:rPr>
          <w:rFonts w:eastAsia="Calibri" w:cs="Arial"/>
          <w:szCs w:val="24"/>
        </w:rPr>
        <w:t xml:space="preserve">; </w:t>
      </w:r>
    </w:p>
    <w:p w14:paraId="0C49F629" w14:textId="77777777" w:rsidR="00284AAC" w:rsidRPr="003C7E62" w:rsidRDefault="00284AAC" w:rsidP="00D01157">
      <w:pPr>
        <w:keepNext w:val="0"/>
        <w:numPr>
          <w:ilvl w:val="0"/>
          <w:numId w:val="50"/>
        </w:numPr>
        <w:autoSpaceDE w:val="0"/>
        <w:autoSpaceDN w:val="0"/>
        <w:adjustRightInd w:val="0"/>
        <w:spacing w:before="0"/>
        <w:rPr>
          <w:rFonts w:eastAsia="Calibri" w:cs="Arial"/>
          <w:szCs w:val="24"/>
        </w:rPr>
      </w:pPr>
      <w:r w:rsidRPr="003C7E62">
        <w:rPr>
          <w:rFonts w:eastAsia="Calibri" w:cs="Arial"/>
          <w:szCs w:val="24"/>
        </w:rPr>
        <w:t>Regional and local plans and strategies including strategic Council priorities;</w:t>
      </w:r>
    </w:p>
    <w:p w14:paraId="0C753DB7" w14:textId="4647BA83" w:rsidR="00284AAC" w:rsidRPr="003C7E62" w:rsidRDefault="00284AAC" w:rsidP="00D01157">
      <w:pPr>
        <w:keepNext w:val="0"/>
        <w:numPr>
          <w:ilvl w:val="0"/>
          <w:numId w:val="50"/>
        </w:numPr>
        <w:autoSpaceDE w:val="0"/>
        <w:autoSpaceDN w:val="0"/>
        <w:adjustRightInd w:val="0"/>
        <w:spacing w:before="0"/>
        <w:rPr>
          <w:rFonts w:eastAsia="Calibri" w:cs="Arial"/>
          <w:szCs w:val="24"/>
        </w:rPr>
      </w:pPr>
      <w:r w:rsidRPr="003C7E62">
        <w:rPr>
          <w:rFonts w:eastAsia="Calibri" w:cs="Arial"/>
          <w:szCs w:val="24"/>
        </w:rPr>
        <w:t xml:space="preserve">Engagement with specific consultation bodies, organisations, our community and neighbouring Authorities, and </w:t>
      </w:r>
    </w:p>
    <w:p w14:paraId="08CD5F83" w14:textId="77777777" w:rsidR="00284AAC" w:rsidRPr="003C7E62" w:rsidRDefault="00284AAC" w:rsidP="00D01157">
      <w:pPr>
        <w:keepNext w:val="0"/>
        <w:numPr>
          <w:ilvl w:val="0"/>
          <w:numId w:val="50"/>
        </w:numPr>
        <w:autoSpaceDE w:val="0"/>
        <w:autoSpaceDN w:val="0"/>
        <w:adjustRightInd w:val="0"/>
        <w:spacing w:before="0"/>
        <w:rPr>
          <w:rFonts w:eastAsia="Calibri" w:cs="Arial"/>
          <w:szCs w:val="24"/>
        </w:rPr>
      </w:pPr>
      <w:r w:rsidRPr="003C7E62">
        <w:rPr>
          <w:rFonts w:eastAsia="Calibri" w:cs="Arial"/>
          <w:szCs w:val="24"/>
        </w:rPr>
        <w:t xml:space="preserve">Previous consultation on the Local Plan withdrawn in September 2018. </w:t>
      </w:r>
    </w:p>
    <w:p w14:paraId="49D5E9C0" w14:textId="77777777" w:rsidR="00284AAC" w:rsidRPr="003C7E62" w:rsidRDefault="00284AAC" w:rsidP="00606546">
      <w:pPr>
        <w:autoSpaceDE w:val="0"/>
        <w:autoSpaceDN w:val="0"/>
        <w:adjustRightInd w:val="0"/>
        <w:spacing w:before="0"/>
        <w:rPr>
          <w:rFonts w:cs="Arial"/>
        </w:rPr>
      </w:pPr>
    </w:p>
    <w:p w14:paraId="2E753754" w14:textId="77777777" w:rsidR="00284AAC" w:rsidRPr="003C7E62" w:rsidRDefault="00284AAC" w:rsidP="00D01157">
      <w:pPr>
        <w:keepNext w:val="0"/>
        <w:numPr>
          <w:ilvl w:val="1"/>
          <w:numId w:val="48"/>
        </w:numPr>
        <w:autoSpaceDE w:val="0"/>
        <w:autoSpaceDN w:val="0"/>
        <w:adjustRightInd w:val="0"/>
        <w:spacing w:before="0"/>
        <w:ind w:left="709" w:hanging="709"/>
        <w:rPr>
          <w:rFonts w:cs="Arial"/>
        </w:rPr>
      </w:pPr>
      <w:r w:rsidRPr="003C7E62">
        <w:rPr>
          <w:rFonts w:eastAsia="Arial" w:cs="Arial"/>
        </w:rPr>
        <w:t>When the Local Plan is adopted the saved policies</w:t>
      </w:r>
      <w:r w:rsidRPr="003C7E62">
        <w:rPr>
          <w:rFonts w:cs="Arial"/>
          <w:vertAlign w:val="superscript"/>
        </w:rPr>
        <w:footnoteReference w:id="9"/>
      </w:r>
      <w:r w:rsidRPr="003C7E62">
        <w:rPr>
          <w:rFonts w:eastAsia="Arial" w:cs="Arial"/>
        </w:rPr>
        <w:t xml:space="preserve"> from the Ashfield Local Plan Review (2002) will be superseded and will no longer form part of the development plan.  </w:t>
      </w:r>
    </w:p>
    <w:p w14:paraId="61D85D6B" w14:textId="77777777" w:rsidR="00284AAC" w:rsidRPr="003C7E62" w:rsidRDefault="00284AAC" w:rsidP="00606546">
      <w:pPr>
        <w:autoSpaceDE w:val="0"/>
        <w:autoSpaceDN w:val="0"/>
        <w:adjustRightInd w:val="0"/>
        <w:spacing w:before="0"/>
        <w:ind w:left="709"/>
        <w:rPr>
          <w:rFonts w:cs="Arial"/>
        </w:rPr>
      </w:pPr>
    </w:p>
    <w:p w14:paraId="686BC57C" w14:textId="1ED8E51E" w:rsidR="00606546" w:rsidRPr="003C7E62" w:rsidRDefault="00284AAC" w:rsidP="00606546">
      <w:pPr>
        <w:autoSpaceDE w:val="0"/>
        <w:autoSpaceDN w:val="0"/>
        <w:adjustRightInd w:val="0"/>
        <w:spacing w:before="0"/>
        <w:ind w:left="709"/>
        <w:rPr>
          <w:rFonts w:cs="Arial"/>
          <w:b/>
          <w:i/>
        </w:rPr>
      </w:pPr>
      <w:r w:rsidRPr="003C7E62">
        <w:rPr>
          <w:rFonts w:cs="Arial"/>
          <w:b/>
          <w:i/>
        </w:rPr>
        <w:t>How have we arrived at the Draft Local Plan?</w:t>
      </w:r>
    </w:p>
    <w:p w14:paraId="01DA852C" w14:textId="77777777" w:rsidR="00606546" w:rsidRPr="003C7E62" w:rsidRDefault="00606546" w:rsidP="00606546">
      <w:pPr>
        <w:autoSpaceDE w:val="0"/>
        <w:autoSpaceDN w:val="0"/>
        <w:adjustRightInd w:val="0"/>
        <w:spacing w:before="0"/>
        <w:rPr>
          <w:rFonts w:cs="Arial"/>
          <w:b/>
          <w:i/>
        </w:rPr>
      </w:pPr>
    </w:p>
    <w:p w14:paraId="30BF16A9" w14:textId="130EAED2" w:rsidR="00284AAC" w:rsidRPr="003C7E62" w:rsidRDefault="003316CE" w:rsidP="00D01157">
      <w:pPr>
        <w:keepNext w:val="0"/>
        <w:numPr>
          <w:ilvl w:val="1"/>
          <w:numId w:val="48"/>
        </w:numPr>
        <w:autoSpaceDE w:val="0"/>
        <w:autoSpaceDN w:val="0"/>
        <w:adjustRightInd w:val="0"/>
        <w:spacing w:before="0"/>
        <w:ind w:left="720" w:hanging="720"/>
        <w:rPr>
          <w:rFonts w:cs="Arial"/>
        </w:rPr>
      </w:pPr>
      <w:r w:rsidRPr="003316CE">
        <w:rPr>
          <w:rFonts w:cs="Arial"/>
        </w:rPr>
        <w:t xml:space="preserve">The Council has submitted two previous Local Plans for examination.  The Local Plan Publication 2013 was withdrawn from examination in July 2014. A subsequent Local Plan was submitted for examination on the 24th February 2017.  However, following a change in the political administration of the Council, a resolution was passed at the </w:t>
      </w:r>
      <w:r w:rsidR="002C776A">
        <w:rPr>
          <w:rFonts w:cs="Arial"/>
        </w:rPr>
        <w:t>F</w:t>
      </w:r>
      <w:r w:rsidRPr="003316CE">
        <w:rPr>
          <w:rFonts w:cs="Arial"/>
        </w:rPr>
        <w:t>ull Council meeting of 6th September 2018 to withdraw the Local Plan from examination and commence development of a new Local Plan immediately.</w:t>
      </w:r>
    </w:p>
    <w:p w14:paraId="2DD526AA" w14:textId="77777777" w:rsidR="00284AAC" w:rsidRPr="003C7E62" w:rsidRDefault="00284AAC" w:rsidP="00606546">
      <w:pPr>
        <w:autoSpaceDE w:val="0"/>
        <w:autoSpaceDN w:val="0"/>
        <w:adjustRightInd w:val="0"/>
        <w:spacing w:before="0"/>
        <w:ind w:left="720"/>
        <w:rPr>
          <w:rFonts w:cs="Arial"/>
        </w:rPr>
      </w:pPr>
    </w:p>
    <w:p w14:paraId="6539165B" w14:textId="57A62836" w:rsidR="00284AAC" w:rsidRPr="003C7E62" w:rsidRDefault="002747A3" w:rsidP="00D01157">
      <w:pPr>
        <w:keepNext w:val="0"/>
        <w:numPr>
          <w:ilvl w:val="1"/>
          <w:numId w:val="48"/>
        </w:numPr>
        <w:autoSpaceDE w:val="0"/>
        <w:autoSpaceDN w:val="0"/>
        <w:adjustRightInd w:val="0"/>
        <w:spacing w:before="0"/>
        <w:ind w:left="720" w:hanging="720"/>
        <w:rPr>
          <w:rFonts w:cs="Arial"/>
        </w:rPr>
      </w:pPr>
      <w:r>
        <w:rPr>
          <w:rFonts w:cs="Arial"/>
        </w:rPr>
        <w:t xml:space="preserve">The </w:t>
      </w:r>
      <w:r w:rsidR="00284AAC" w:rsidRPr="003C7E62">
        <w:rPr>
          <w:rFonts w:cs="Arial"/>
        </w:rPr>
        <w:t xml:space="preserve">evidence base has </w:t>
      </w:r>
      <w:r>
        <w:rPr>
          <w:rFonts w:cs="Arial"/>
        </w:rPr>
        <w:t xml:space="preserve">been updated and has </w:t>
      </w:r>
      <w:r w:rsidR="00284AAC" w:rsidRPr="003C7E62">
        <w:rPr>
          <w:rFonts w:cs="Arial"/>
        </w:rPr>
        <w:t>informed the draft Local Plan.  A new Statement of Community Involvement</w:t>
      </w:r>
      <w:r w:rsidR="00284AAC" w:rsidRPr="003C7E62">
        <w:rPr>
          <w:rFonts w:cs="Arial"/>
          <w:vertAlign w:val="superscript"/>
        </w:rPr>
        <w:footnoteReference w:id="10"/>
      </w:r>
      <w:r w:rsidR="00284AAC" w:rsidRPr="003C7E62">
        <w:rPr>
          <w:rFonts w:cs="Arial"/>
        </w:rPr>
        <w:t xml:space="preserve"> (SCI) and Local Development Scheme</w:t>
      </w:r>
      <w:r w:rsidR="00284AAC" w:rsidRPr="003C7E62">
        <w:rPr>
          <w:rFonts w:cs="Arial"/>
          <w:vertAlign w:val="superscript"/>
        </w:rPr>
        <w:footnoteReference w:id="11"/>
      </w:r>
      <w:r w:rsidR="00284AAC" w:rsidRPr="003C7E62">
        <w:rPr>
          <w:rFonts w:cs="Arial"/>
        </w:rPr>
        <w:t xml:space="preserve"> (LDS) ha</w:t>
      </w:r>
      <w:r w:rsidR="002C776A">
        <w:rPr>
          <w:rFonts w:cs="Arial"/>
        </w:rPr>
        <w:t>ve</w:t>
      </w:r>
      <w:r w:rsidR="00284AAC" w:rsidRPr="003C7E62">
        <w:rPr>
          <w:rFonts w:cs="Arial"/>
        </w:rPr>
        <w:t xml:space="preserve"> also been </w:t>
      </w:r>
      <w:r w:rsidR="002C776A">
        <w:rPr>
          <w:rFonts w:cs="Arial"/>
        </w:rPr>
        <w:t>approved by Cabinet.</w:t>
      </w:r>
    </w:p>
    <w:p w14:paraId="5A1B8FA7" w14:textId="77777777" w:rsidR="00284AAC" w:rsidRPr="003C7E62" w:rsidRDefault="00284AAC" w:rsidP="00606546">
      <w:pPr>
        <w:autoSpaceDE w:val="0"/>
        <w:autoSpaceDN w:val="0"/>
        <w:adjustRightInd w:val="0"/>
        <w:spacing w:before="0"/>
        <w:rPr>
          <w:rFonts w:cs="Arial"/>
        </w:rPr>
      </w:pPr>
    </w:p>
    <w:p w14:paraId="6E62D767" w14:textId="4CE8116A" w:rsidR="00284AAC" w:rsidRDefault="00284AAC" w:rsidP="00D01157">
      <w:pPr>
        <w:keepNext w:val="0"/>
        <w:numPr>
          <w:ilvl w:val="1"/>
          <w:numId w:val="48"/>
        </w:numPr>
        <w:autoSpaceDE w:val="0"/>
        <w:autoSpaceDN w:val="0"/>
        <w:adjustRightInd w:val="0"/>
        <w:spacing w:before="0"/>
        <w:ind w:left="720" w:hanging="720"/>
        <w:rPr>
          <w:rFonts w:cs="Arial"/>
        </w:rPr>
      </w:pPr>
      <w:r w:rsidRPr="003C7E62">
        <w:rPr>
          <w:rFonts w:cs="Arial"/>
        </w:rPr>
        <w:t xml:space="preserve">The Council’s SCI sets out how members of the public can become involved in plan making and planning decisions.  It is important that neighbourhoods and communities have a voice in planning for their area at both a strategic and planning application level.  </w:t>
      </w:r>
    </w:p>
    <w:p w14:paraId="7DF0F82E" w14:textId="77777777" w:rsidR="008C72B3" w:rsidRPr="003C7E62" w:rsidRDefault="008C72B3" w:rsidP="008C72B3">
      <w:pPr>
        <w:keepNext w:val="0"/>
        <w:autoSpaceDE w:val="0"/>
        <w:autoSpaceDN w:val="0"/>
        <w:adjustRightInd w:val="0"/>
        <w:spacing w:before="0"/>
        <w:rPr>
          <w:rFonts w:cs="Arial"/>
        </w:rPr>
      </w:pPr>
    </w:p>
    <w:p w14:paraId="35DF1A69" w14:textId="77777777" w:rsidR="00284AAC" w:rsidRPr="003C7E62" w:rsidRDefault="00284AAC" w:rsidP="00606546">
      <w:pPr>
        <w:autoSpaceDE w:val="0"/>
        <w:autoSpaceDN w:val="0"/>
        <w:adjustRightInd w:val="0"/>
        <w:spacing w:before="0"/>
        <w:ind w:left="709" w:hanging="709"/>
        <w:rPr>
          <w:rFonts w:cs="Arial"/>
        </w:rPr>
      </w:pPr>
      <w:r w:rsidRPr="003C7E62">
        <w:rPr>
          <w:rFonts w:cs="Arial"/>
        </w:rPr>
        <w:t>1.8</w:t>
      </w:r>
      <w:r w:rsidRPr="003C7E62">
        <w:rPr>
          <w:rFonts w:cs="Arial"/>
        </w:rPr>
        <w:tab/>
        <w:t xml:space="preserve">The LDS sets out the timetable for Local Plan preparation and adoption.  It provides a starting point for people to see at what stage they can become involved in drafting </w:t>
      </w:r>
      <w:r w:rsidRPr="003C7E62">
        <w:rPr>
          <w:rFonts w:cs="Arial"/>
        </w:rPr>
        <w:lastRenderedPageBreak/>
        <w:t xml:space="preserve">the local plan along with key stages of its preparation such as Examination in Public and adoption. </w:t>
      </w:r>
    </w:p>
    <w:p w14:paraId="4B04F76D" w14:textId="77777777" w:rsidR="00284AAC" w:rsidRPr="003C7E62" w:rsidRDefault="00284AAC" w:rsidP="00606546">
      <w:pPr>
        <w:autoSpaceDE w:val="0"/>
        <w:autoSpaceDN w:val="0"/>
        <w:adjustRightInd w:val="0"/>
        <w:spacing w:before="0"/>
        <w:ind w:left="709" w:hanging="709"/>
        <w:rPr>
          <w:rFonts w:cs="Arial"/>
          <w:b/>
          <w:i/>
        </w:rPr>
      </w:pPr>
    </w:p>
    <w:p w14:paraId="1894DCCD" w14:textId="77777777" w:rsidR="00284AAC" w:rsidRPr="003C7E62" w:rsidRDefault="00284AAC" w:rsidP="00606546">
      <w:pPr>
        <w:spacing w:before="0"/>
        <w:ind w:left="709"/>
        <w:rPr>
          <w:rFonts w:cs="Arial"/>
          <w:b/>
          <w:i/>
        </w:rPr>
      </w:pPr>
      <w:r w:rsidRPr="003C7E62">
        <w:rPr>
          <w:rFonts w:cs="Arial"/>
          <w:b/>
          <w:i/>
        </w:rPr>
        <w:t>Structure of this document</w:t>
      </w:r>
    </w:p>
    <w:p w14:paraId="21E773E6" w14:textId="77777777" w:rsidR="00284AAC" w:rsidRPr="003C7E62" w:rsidRDefault="00284AAC" w:rsidP="00606546">
      <w:pPr>
        <w:spacing w:before="0"/>
        <w:rPr>
          <w:rFonts w:cs="Arial"/>
        </w:rPr>
      </w:pPr>
    </w:p>
    <w:p w14:paraId="6BE1A6FA" w14:textId="7D078F6B" w:rsidR="00284AAC" w:rsidRPr="003C7E62" w:rsidRDefault="00284AAC" w:rsidP="00D01157">
      <w:pPr>
        <w:keepNext w:val="0"/>
        <w:numPr>
          <w:ilvl w:val="1"/>
          <w:numId w:val="52"/>
        </w:numPr>
        <w:autoSpaceDE w:val="0"/>
        <w:autoSpaceDN w:val="0"/>
        <w:adjustRightInd w:val="0"/>
        <w:spacing w:before="0"/>
        <w:ind w:left="709" w:hanging="709"/>
        <w:rPr>
          <w:rFonts w:eastAsia="Arial" w:cs="Arial"/>
        </w:rPr>
      </w:pPr>
      <w:bookmarkStart w:id="11" w:name="_Hlk144193666"/>
      <w:r w:rsidRPr="003C7E62">
        <w:rPr>
          <w:rFonts w:eastAsia="Arial" w:cs="Arial"/>
        </w:rPr>
        <w:t>The Local Plan should be read as a whole</w:t>
      </w:r>
      <w:r w:rsidR="008C7841">
        <w:rPr>
          <w:rFonts w:eastAsia="Arial" w:cs="Arial"/>
        </w:rPr>
        <w:t xml:space="preserve"> </w:t>
      </w:r>
      <w:r w:rsidR="008C7841" w:rsidRPr="003943F3">
        <w:rPr>
          <w:rFonts w:eastAsia="Arial" w:cs="Arial"/>
        </w:rPr>
        <w:t>(including its footnotes and annexes)</w:t>
      </w:r>
      <w:r w:rsidRPr="003943F3">
        <w:rPr>
          <w:rFonts w:eastAsia="Arial" w:cs="Arial"/>
        </w:rPr>
        <w:t xml:space="preserve">, </w:t>
      </w:r>
      <w:r w:rsidRPr="003C7E62">
        <w:rPr>
          <w:rFonts w:eastAsia="Arial" w:cs="Arial"/>
        </w:rPr>
        <w:t>rather than as a series of individual policies, in order to understand all the policies and guidance which will apply to any proposal.  A</w:t>
      </w:r>
      <w:r w:rsidRPr="003C7E62">
        <w:rPr>
          <w:rFonts w:eastAsia="Calibri" w:cs="Arial"/>
          <w:szCs w:val="24"/>
        </w:rPr>
        <w:t xml:space="preserve">pplications for planning permission will be considered against all relevant policies in the adopted Local Plan, neighbourhood plans and against other material considerations, including the NPPF. </w:t>
      </w:r>
    </w:p>
    <w:bookmarkEnd w:id="11"/>
    <w:p w14:paraId="4ACFADB8" w14:textId="77777777" w:rsidR="00284AAC" w:rsidRPr="003C7E62" w:rsidRDefault="00284AAC" w:rsidP="00606546">
      <w:pPr>
        <w:spacing w:before="0"/>
        <w:ind w:left="720"/>
        <w:contextualSpacing/>
        <w:rPr>
          <w:rFonts w:eastAsia="Arial" w:cs="Arial"/>
          <w:szCs w:val="24"/>
        </w:rPr>
      </w:pPr>
    </w:p>
    <w:p w14:paraId="1C485113" w14:textId="77777777" w:rsidR="00284AAC" w:rsidRPr="003C7E62" w:rsidRDefault="00284AAC" w:rsidP="00D01157">
      <w:pPr>
        <w:keepNext w:val="0"/>
        <w:numPr>
          <w:ilvl w:val="1"/>
          <w:numId w:val="52"/>
        </w:numPr>
        <w:autoSpaceDE w:val="0"/>
        <w:autoSpaceDN w:val="0"/>
        <w:adjustRightInd w:val="0"/>
        <w:spacing w:before="0"/>
        <w:ind w:left="709" w:hanging="709"/>
        <w:rPr>
          <w:rFonts w:eastAsia="Arial" w:cs="Arial"/>
        </w:rPr>
      </w:pPr>
      <w:r w:rsidRPr="003C7E62">
        <w:rPr>
          <w:rFonts w:eastAsia="Arial" w:cs="Arial"/>
        </w:rPr>
        <w:t>In reading the Local Plan the starting point is the wording of the policy assisted with the words of the supporting text which are</w:t>
      </w:r>
      <w:r w:rsidRPr="003C7E62">
        <w:rPr>
          <w:rFonts w:eastAsia="Calibri" w:cs="Arial"/>
          <w:szCs w:val="24"/>
        </w:rPr>
        <w:t xml:space="preserve"> relevant to the interpretation of the policy.</w:t>
      </w:r>
    </w:p>
    <w:p w14:paraId="1D5B0897" w14:textId="77777777" w:rsidR="00284AAC" w:rsidRPr="003C7E62" w:rsidRDefault="00284AAC" w:rsidP="00606546">
      <w:pPr>
        <w:spacing w:before="0"/>
        <w:ind w:left="720"/>
        <w:contextualSpacing/>
        <w:rPr>
          <w:rFonts w:eastAsia="Calibri" w:cs="Arial"/>
          <w:szCs w:val="24"/>
        </w:rPr>
      </w:pPr>
    </w:p>
    <w:p w14:paraId="486555A8" w14:textId="7536EE25" w:rsidR="00284AAC" w:rsidRPr="003C7E62" w:rsidRDefault="00284AAC" w:rsidP="00D01157">
      <w:pPr>
        <w:keepNext w:val="0"/>
        <w:numPr>
          <w:ilvl w:val="1"/>
          <w:numId w:val="52"/>
        </w:numPr>
        <w:autoSpaceDE w:val="0"/>
        <w:autoSpaceDN w:val="0"/>
        <w:adjustRightInd w:val="0"/>
        <w:spacing w:before="0"/>
        <w:ind w:left="709" w:hanging="709"/>
        <w:rPr>
          <w:rFonts w:eastAsia="Arial" w:cs="Arial"/>
        </w:rPr>
      </w:pPr>
      <w:r w:rsidRPr="003C7E62">
        <w:rPr>
          <w:rFonts w:eastAsia="Calibri" w:cs="Arial"/>
          <w:szCs w:val="24"/>
        </w:rPr>
        <w:t xml:space="preserve">Published with the Local Plan are the separate </w:t>
      </w:r>
      <w:r w:rsidR="006922A2">
        <w:rPr>
          <w:rFonts w:eastAsia="Calibri" w:cs="Arial"/>
          <w:szCs w:val="24"/>
        </w:rPr>
        <w:t xml:space="preserve">north and south </w:t>
      </w:r>
      <w:r w:rsidRPr="003C7E62">
        <w:rPr>
          <w:rFonts w:eastAsia="Calibri" w:cs="Arial"/>
          <w:szCs w:val="24"/>
        </w:rPr>
        <w:t>Policies Maps</w:t>
      </w:r>
      <w:r w:rsidR="006922A2">
        <w:rPr>
          <w:rStyle w:val="FootnoteReference"/>
          <w:rFonts w:eastAsia="Calibri" w:cs="Arial"/>
          <w:szCs w:val="24"/>
        </w:rPr>
        <w:footnoteReference w:id="12"/>
      </w:r>
      <w:r w:rsidRPr="003C7E62">
        <w:rPr>
          <w:rFonts w:eastAsia="Calibri" w:cs="Arial"/>
          <w:szCs w:val="24"/>
        </w:rPr>
        <w:t xml:space="preserve">. The Maps set out the areas in the District to which specific policies in the Local Plan apply.  </w:t>
      </w:r>
      <w:r w:rsidR="006922A2" w:rsidRPr="006922A2">
        <w:rPr>
          <w:color w:val="252B36"/>
        </w:rPr>
        <w:t>An interactive version of the Policies Maps can be view on the Council’s website.</w:t>
      </w:r>
    </w:p>
    <w:p w14:paraId="7293EED6" w14:textId="77777777" w:rsidR="00284AAC" w:rsidRPr="003C7E62" w:rsidRDefault="00284AAC" w:rsidP="00606546">
      <w:pPr>
        <w:spacing w:before="0"/>
        <w:ind w:left="720"/>
        <w:contextualSpacing/>
        <w:rPr>
          <w:rFonts w:eastAsia="Arial" w:cs="Arial"/>
          <w:szCs w:val="24"/>
        </w:rPr>
      </w:pPr>
    </w:p>
    <w:p w14:paraId="681AB5DE" w14:textId="3E927569" w:rsidR="00284AAC" w:rsidRPr="009222E5" w:rsidRDefault="00284AAC" w:rsidP="00D01157">
      <w:pPr>
        <w:keepNext w:val="0"/>
        <w:numPr>
          <w:ilvl w:val="1"/>
          <w:numId w:val="52"/>
        </w:numPr>
        <w:autoSpaceDE w:val="0"/>
        <w:autoSpaceDN w:val="0"/>
        <w:adjustRightInd w:val="0"/>
        <w:spacing w:before="0"/>
        <w:ind w:left="709" w:hanging="709"/>
        <w:rPr>
          <w:rFonts w:eastAsia="Arial" w:cs="Arial"/>
        </w:rPr>
      </w:pPr>
      <w:r w:rsidRPr="003C7E62">
        <w:rPr>
          <w:rFonts w:eastAsia="Arial" w:cs="Arial"/>
          <w:szCs w:val="24"/>
        </w:rPr>
        <w:t>As the Council’s key planning document, the Local Plan performs the following functions:</w:t>
      </w:r>
    </w:p>
    <w:p w14:paraId="67A0A554" w14:textId="77777777" w:rsidR="009222E5" w:rsidRPr="003C7E62" w:rsidRDefault="009222E5" w:rsidP="009222E5">
      <w:pPr>
        <w:keepNext w:val="0"/>
        <w:autoSpaceDE w:val="0"/>
        <w:autoSpaceDN w:val="0"/>
        <w:adjustRightInd w:val="0"/>
        <w:spacing w:before="0"/>
        <w:rPr>
          <w:rFonts w:eastAsia="Arial" w:cs="Arial"/>
        </w:rPr>
      </w:pPr>
    </w:p>
    <w:p w14:paraId="63BFFDAF" w14:textId="6DBAFA3A" w:rsidR="00284AAC" w:rsidRDefault="00284AAC" w:rsidP="003943F3">
      <w:pPr>
        <w:keepNext w:val="0"/>
        <w:numPr>
          <w:ilvl w:val="0"/>
          <w:numId w:val="45"/>
        </w:numPr>
        <w:autoSpaceDE w:val="0"/>
        <w:autoSpaceDN w:val="0"/>
        <w:adjustRightInd w:val="0"/>
        <w:spacing w:before="0"/>
        <w:ind w:hanging="251"/>
        <w:rPr>
          <w:rFonts w:cs="Arial"/>
          <w:szCs w:val="24"/>
        </w:rPr>
      </w:pPr>
      <w:r w:rsidRPr="003C7E62">
        <w:rPr>
          <w:rFonts w:cs="Arial"/>
          <w:szCs w:val="24"/>
        </w:rPr>
        <w:t>sets out the key issues that the plan is seeking to address, a spatial vision for Ashfield to 20</w:t>
      </w:r>
      <w:r w:rsidR="00D333EC" w:rsidRPr="003943F3">
        <w:rPr>
          <w:rFonts w:cs="Arial"/>
          <w:szCs w:val="24"/>
        </w:rPr>
        <w:t xml:space="preserve">40 </w:t>
      </w:r>
      <w:r w:rsidRPr="003C7E62">
        <w:rPr>
          <w:rFonts w:cs="Arial"/>
          <w:szCs w:val="24"/>
        </w:rPr>
        <w:t>and a number of strategic objectives (chapter 2);</w:t>
      </w:r>
    </w:p>
    <w:p w14:paraId="4A150F29" w14:textId="77777777" w:rsidR="009222E5" w:rsidRPr="003C7E62" w:rsidRDefault="009222E5" w:rsidP="009222E5">
      <w:pPr>
        <w:keepNext w:val="0"/>
        <w:autoSpaceDE w:val="0"/>
        <w:autoSpaceDN w:val="0"/>
        <w:adjustRightInd w:val="0"/>
        <w:spacing w:before="0"/>
        <w:ind w:left="960"/>
        <w:rPr>
          <w:rFonts w:cs="Arial"/>
          <w:szCs w:val="24"/>
        </w:rPr>
      </w:pPr>
    </w:p>
    <w:p w14:paraId="5773FBF6" w14:textId="6CD69489" w:rsidR="00284AAC" w:rsidRDefault="00284AAC" w:rsidP="003943F3">
      <w:pPr>
        <w:keepNext w:val="0"/>
        <w:numPr>
          <w:ilvl w:val="0"/>
          <w:numId w:val="45"/>
        </w:numPr>
        <w:autoSpaceDE w:val="0"/>
        <w:autoSpaceDN w:val="0"/>
        <w:adjustRightInd w:val="0"/>
        <w:spacing w:before="0"/>
        <w:ind w:hanging="251"/>
        <w:rPr>
          <w:rFonts w:cs="Arial"/>
          <w:szCs w:val="24"/>
        </w:rPr>
      </w:pPr>
      <w:r w:rsidRPr="003C7E62">
        <w:rPr>
          <w:rFonts w:cs="Arial"/>
          <w:szCs w:val="24"/>
        </w:rPr>
        <w:t>sets out a growth and spatial strategy</w:t>
      </w:r>
      <w:r w:rsidR="002C776A">
        <w:rPr>
          <w:rFonts w:cs="Arial"/>
          <w:szCs w:val="24"/>
        </w:rPr>
        <w:t>,</w:t>
      </w:r>
      <w:r w:rsidRPr="003C7E62">
        <w:rPr>
          <w:rFonts w:cs="Arial"/>
          <w:szCs w:val="24"/>
        </w:rPr>
        <w:t xml:space="preserve"> and strategic policies including the location and amount of new development to take place over the plan period alongside policies which seek to protect the environment (chapter 3);</w:t>
      </w:r>
    </w:p>
    <w:p w14:paraId="2D222B28" w14:textId="77777777" w:rsidR="009222E5" w:rsidRPr="003C7E62" w:rsidRDefault="009222E5" w:rsidP="009222E5">
      <w:pPr>
        <w:keepNext w:val="0"/>
        <w:autoSpaceDE w:val="0"/>
        <w:autoSpaceDN w:val="0"/>
        <w:adjustRightInd w:val="0"/>
        <w:spacing w:before="0"/>
        <w:rPr>
          <w:rFonts w:cs="Arial"/>
          <w:szCs w:val="24"/>
        </w:rPr>
      </w:pPr>
    </w:p>
    <w:p w14:paraId="179600F5" w14:textId="7029173B" w:rsidR="00284AAC" w:rsidRPr="00610CFE" w:rsidRDefault="00284AAC" w:rsidP="003943F3">
      <w:pPr>
        <w:keepNext w:val="0"/>
        <w:numPr>
          <w:ilvl w:val="0"/>
          <w:numId w:val="45"/>
        </w:numPr>
        <w:autoSpaceDE w:val="0"/>
        <w:autoSpaceDN w:val="0"/>
        <w:adjustRightInd w:val="0"/>
        <w:spacing w:before="0"/>
        <w:ind w:hanging="251"/>
        <w:rPr>
          <w:rFonts w:cs="Arial"/>
          <w:szCs w:val="24"/>
        </w:rPr>
      </w:pPr>
      <w:r w:rsidRPr="00610CFE">
        <w:rPr>
          <w:rFonts w:cs="Arial"/>
          <w:szCs w:val="24"/>
        </w:rPr>
        <w:t>provides policies which will guide the determination of planning applications (chapter</w:t>
      </w:r>
      <w:r w:rsidR="004B40BA" w:rsidRPr="00610CFE">
        <w:rPr>
          <w:rFonts w:cs="Arial"/>
          <w:szCs w:val="24"/>
        </w:rPr>
        <w:t>s</w:t>
      </w:r>
      <w:r w:rsidRPr="00610CFE">
        <w:rPr>
          <w:rFonts w:cs="Arial"/>
          <w:szCs w:val="24"/>
        </w:rPr>
        <w:t xml:space="preserve"> </w:t>
      </w:r>
      <w:r w:rsidR="004B40BA" w:rsidRPr="00610CFE">
        <w:rPr>
          <w:rFonts w:cs="Arial"/>
          <w:szCs w:val="24"/>
        </w:rPr>
        <w:t>4 to 9</w:t>
      </w:r>
      <w:r w:rsidRPr="00610CFE">
        <w:rPr>
          <w:rFonts w:cs="Arial"/>
          <w:szCs w:val="24"/>
        </w:rPr>
        <w:t xml:space="preserve">); </w:t>
      </w:r>
      <w:r w:rsidR="006922A2" w:rsidRPr="00610CFE">
        <w:rPr>
          <w:rFonts w:cs="Arial"/>
          <w:szCs w:val="24"/>
        </w:rPr>
        <w:t>and</w:t>
      </w:r>
      <w:r w:rsidRPr="00610CFE">
        <w:rPr>
          <w:rFonts w:cs="Arial"/>
          <w:szCs w:val="24"/>
        </w:rPr>
        <w:t xml:space="preserve"> </w:t>
      </w:r>
    </w:p>
    <w:p w14:paraId="51E5C1F4" w14:textId="77777777" w:rsidR="009222E5" w:rsidRPr="00610CFE" w:rsidRDefault="009222E5" w:rsidP="009222E5">
      <w:pPr>
        <w:keepNext w:val="0"/>
        <w:autoSpaceDE w:val="0"/>
        <w:autoSpaceDN w:val="0"/>
        <w:adjustRightInd w:val="0"/>
        <w:spacing w:before="0"/>
        <w:rPr>
          <w:rFonts w:cs="Arial"/>
          <w:szCs w:val="24"/>
        </w:rPr>
      </w:pPr>
    </w:p>
    <w:p w14:paraId="70AF82C1" w14:textId="7013B82D" w:rsidR="00284AAC" w:rsidRPr="00610CFE" w:rsidRDefault="00284AAC" w:rsidP="00F1175A">
      <w:pPr>
        <w:keepNext w:val="0"/>
        <w:numPr>
          <w:ilvl w:val="0"/>
          <w:numId w:val="45"/>
        </w:numPr>
        <w:autoSpaceDE w:val="0"/>
        <w:autoSpaceDN w:val="0"/>
        <w:adjustRightInd w:val="0"/>
        <w:spacing w:before="0"/>
        <w:ind w:hanging="251"/>
        <w:rPr>
          <w:rFonts w:cs="Arial"/>
          <w:szCs w:val="24"/>
        </w:rPr>
      </w:pPr>
      <w:r w:rsidRPr="00610CFE">
        <w:rPr>
          <w:rFonts w:cs="Arial"/>
          <w:szCs w:val="24"/>
        </w:rPr>
        <w:t>identifies targets and indicators to monitor the implementation and effectiveness of the Plan</w:t>
      </w:r>
      <w:r w:rsidR="006922A2" w:rsidRPr="00610CFE">
        <w:rPr>
          <w:rFonts w:cs="Arial"/>
          <w:szCs w:val="24"/>
        </w:rPr>
        <w:t>.</w:t>
      </w:r>
    </w:p>
    <w:p w14:paraId="18381875" w14:textId="77777777" w:rsidR="00284AAC" w:rsidRPr="00610CFE" w:rsidRDefault="00284AAC" w:rsidP="00606546">
      <w:pPr>
        <w:tabs>
          <w:tab w:val="left" w:pos="680"/>
        </w:tabs>
        <w:spacing w:before="0"/>
        <w:rPr>
          <w:rFonts w:eastAsia="Arial" w:cs="Arial"/>
          <w:szCs w:val="24"/>
        </w:rPr>
      </w:pPr>
    </w:p>
    <w:p w14:paraId="3B0EFB2C" w14:textId="00F7D46C" w:rsidR="00284AAC" w:rsidRPr="00610CFE" w:rsidRDefault="00284AAC" w:rsidP="00D01157">
      <w:pPr>
        <w:keepNext w:val="0"/>
        <w:numPr>
          <w:ilvl w:val="1"/>
          <w:numId w:val="52"/>
        </w:numPr>
        <w:autoSpaceDE w:val="0"/>
        <w:autoSpaceDN w:val="0"/>
        <w:adjustRightInd w:val="0"/>
        <w:spacing w:before="0"/>
        <w:ind w:left="709" w:hanging="709"/>
        <w:rPr>
          <w:rFonts w:eastAsia="Calibri" w:cs="Arial"/>
          <w:bCs/>
          <w:szCs w:val="24"/>
        </w:rPr>
      </w:pPr>
      <w:r w:rsidRPr="00610CFE">
        <w:rPr>
          <w:rFonts w:eastAsia="Calibri" w:cs="Arial"/>
          <w:bCs/>
          <w:szCs w:val="24"/>
        </w:rPr>
        <w:t xml:space="preserve">Monitoring the implementation of the Local Plan requires working and co-operation with a range of organisations, including </w:t>
      </w:r>
      <w:r w:rsidR="00D2216F" w:rsidRPr="00610CFE">
        <w:rPr>
          <w:rFonts w:eastAsia="Calibri" w:cs="Arial"/>
          <w:bCs/>
          <w:szCs w:val="24"/>
        </w:rPr>
        <w:t xml:space="preserve">neighbourhood plan forums, </w:t>
      </w:r>
      <w:r w:rsidRPr="00610CFE">
        <w:rPr>
          <w:rFonts w:eastAsia="Calibri" w:cs="Arial"/>
          <w:bCs/>
          <w:szCs w:val="24"/>
        </w:rPr>
        <w:t xml:space="preserve">developers, businesses, residents, community and amenity groups, transport and service providers, and neighbouring councils. An important mechanism for implementing the Local Plan is the consideration of planning applications through the development management process. </w:t>
      </w:r>
    </w:p>
    <w:p w14:paraId="48C6A971" w14:textId="77777777" w:rsidR="00284AAC" w:rsidRPr="00610CFE" w:rsidRDefault="00284AAC" w:rsidP="00606546">
      <w:pPr>
        <w:autoSpaceDE w:val="0"/>
        <w:autoSpaceDN w:val="0"/>
        <w:adjustRightInd w:val="0"/>
        <w:spacing w:before="0"/>
        <w:ind w:left="709"/>
        <w:rPr>
          <w:rFonts w:eastAsia="Calibri" w:cs="Arial"/>
          <w:bCs/>
          <w:szCs w:val="24"/>
        </w:rPr>
      </w:pPr>
    </w:p>
    <w:p w14:paraId="085F2175" w14:textId="0B581ACE" w:rsidR="00284AAC" w:rsidRPr="00610CFE" w:rsidRDefault="00284AAC" w:rsidP="00D01157">
      <w:pPr>
        <w:keepNext w:val="0"/>
        <w:numPr>
          <w:ilvl w:val="1"/>
          <w:numId w:val="52"/>
        </w:numPr>
        <w:autoSpaceDE w:val="0"/>
        <w:autoSpaceDN w:val="0"/>
        <w:adjustRightInd w:val="0"/>
        <w:spacing w:before="0"/>
        <w:ind w:left="709" w:hanging="709"/>
        <w:rPr>
          <w:rFonts w:eastAsia="Calibri" w:cs="Arial"/>
          <w:bCs/>
          <w:szCs w:val="24"/>
        </w:rPr>
      </w:pPr>
      <w:r w:rsidRPr="00610CFE">
        <w:rPr>
          <w:rFonts w:eastAsia="Calibri" w:cs="Arial"/>
          <w:bCs/>
          <w:szCs w:val="24"/>
        </w:rPr>
        <w:t>The Council will monitor the Local Plan through the production of an A</w:t>
      </w:r>
      <w:r w:rsidR="00AB5694" w:rsidRPr="00610CFE">
        <w:rPr>
          <w:rFonts w:eastAsia="Calibri" w:cs="Arial"/>
          <w:bCs/>
          <w:szCs w:val="24"/>
        </w:rPr>
        <w:t>nnual</w:t>
      </w:r>
      <w:r w:rsidRPr="00610CFE">
        <w:rPr>
          <w:rFonts w:eastAsia="Calibri" w:cs="Arial"/>
          <w:bCs/>
          <w:szCs w:val="24"/>
        </w:rPr>
        <w:t xml:space="preserve"> Monitoring Report (AMR) which will examine where there are changing trends or uncertainties to determine whether any changes to the Plans policies are required.  </w:t>
      </w:r>
      <w:r w:rsidRPr="00610CFE">
        <w:rPr>
          <w:rFonts w:eastAsia="Arial" w:cs="Arial"/>
        </w:rPr>
        <w:lastRenderedPageBreak/>
        <w:t xml:space="preserve">Details of the indicators and mechanism used to monitor the Local Plan is outlined within the Monitoring Framework in </w:t>
      </w:r>
      <w:r w:rsidR="009222E5" w:rsidRPr="00610CFE">
        <w:rPr>
          <w:rFonts w:eastAsia="Arial" w:cs="Arial"/>
        </w:rPr>
        <w:t>C</w:t>
      </w:r>
      <w:r w:rsidRPr="00610CFE">
        <w:rPr>
          <w:rFonts w:eastAsia="Arial" w:cs="Arial"/>
        </w:rPr>
        <w:t>hapter 5.  Each Local Plan policy also contains the indicator and target (taken from the Monitoring Framework) that will be used to monitor the effectiveness of that particular policy.   There is a statutory requirement to undertake Plan review every 5 years</w:t>
      </w:r>
      <w:r w:rsidRPr="00610CFE">
        <w:rPr>
          <w:rFonts w:eastAsia="Arial" w:cs="Arial"/>
          <w:vertAlign w:val="superscript"/>
        </w:rPr>
        <w:footnoteReference w:id="13"/>
      </w:r>
      <w:r w:rsidRPr="00610CFE">
        <w:rPr>
          <w:rFonts w:eastAsia="Arial" w:cs="Arial"/>
        </w:rPr>
        <w:t>, the AMR will assist in future plan review.</w:t>
      </w:r>
    </w:p>
    <w:p w14:paraId="604D8993" w14:textId="77777777" w:rsidR="006111D3" w:rsidRDefault="006111D3" w:rsidP="005E17D1">
      <w:pPr>
        <w:autoSpaceDE w:val="0"/>
        <w:autoSpaceDN w:val="0"/>
        <w:adjustRightInd w:val="0"/>
        <w:spacing w:before="0"/>
        <w:ind w:left="709"/>
        <w:rPr>
          <w:rFonts w:eastAsia="Calibri" w:cs="Arial"/>
          <w:b/>
          <w:i/>
          <w:szCs w:val="24"/>
        </w:rPr>
      </w:pPr>
    </w:p>
    <w:p w14:paraId="5CE43F0A" w14:textId="43243D39" w:rsidR="00284AAC" w:rsidRPr="003C7E62" w:rsidRDefault="00284AAC" w:rsidP="005E17D1">
      <w:pPr>
        <w:autoSpaceDE w:val="0"/>
        <w:autoSpaceDN w:val="0"/>
        <w:adjustRightInd w:val="0"/>
        <w:spacing w:before="0"/>
        <w:ind w:left="709"/>
        <w:rPr>
          <w:rFonts w:eastAsia="Calibri" w:cs="Arial"/>
          <w:b/>
          <w:i/>
          <w:szCs w:val="24"/>
        </w:rPr>
      </w:pPr>
      <w:r w:rsidRPr="003C7E62">
        <w:rPr>
          <w:rFonts w:eastAsia="Calibri" w:cs="Arial"/>
          <w:b/>
          <w:i/>
          <w:szCs w:val="24"/>
        </w:rPr>
        <w:t>Evidence Base and Duty to Cooperate</w:t>
      </w:r>
    </w:p>
    <w:p w14:paraId="3B533F65" w14:textId="77777777" w:rsidR="00284AAC" w:rsidRPr="003C7E62" w:rsidRDefault="00284AAC" w:rsidP="005E17D1">
      <w:pPr>
        <w:autoSpaceDE w:val="0"/>
        <w:autoSpaceDN w:val="0"/>
        <w:adjustRightInd w:val="0"/>
        <w:spacing w:before="0"/>
        <w:rPr>
          <w:rFonts w:eastAsia="Calibri" w:cs="Arial"/>
          <w:b/>
          <w:szCs w:val="24"/>
          <w:u w:val="single"/>
        </w:rPr>
      </w:pPr>
    </w:p>
    <w:p w14:paraId="03B3DA97" w14:textId="77777777" w:rsidR="00284AAC" w:rsidRPr="003C7E62" w:rsidRDefault="00284AAC" w:rsidP="00D01157">
      <w:pPr>
        <w:keepNext w:val="0"/>
        <w:numPr>
          <w:ilvl w:val="1"/>
          <w:numId w:val="52"/>
        </w:numPr>
        <w:autoSpaceDE w:val="0"/>
        <w:autoSpaceDN w:val="0"/>
        <w:adjustRightInd w:val="0"/>
        <w:spacing w:before="0"/>
        <w:ind w:left="709" w:hanging="709"/>
        <w:rPr>
          <w:rFonts w:cs="Arial"/>
        </w:rPr>
      </w:pPr>
      <w:r w:rsidRPr="003C7E62">
        <w:rPr>
          <w:rFonts w:eastAsia="Calibri" w:cs="Arial"/>
          <w:szCs w:val="24"/>
        </w:rPr>
        <w:t xml:space="preserve">This provides relevant detail and information on a range of issues to help support the creation of a sustainable, ‘sound’ local plan for the District. </w:t>
      </w:r>
    </w:p>
    <w:p w14:paraId="25D57E9E" w14:textId="77777777" w:rsidR="00284AAC" w:rsidRPr="003C7E62" w:rsidRDefault="00284AAC" w:rsidP="00606546">
      <w:pPr>
        <w:autoSpaceDE w:val="0"/>
        <w:autoSpaceDN w:val="0"/>
        <w:adjustRightInd w:val="0"/>
        <w:spacing w:before="0"/>
        <w:ind w:left="709"/>
        <w:rPr>
          <w:rFonts w:cs="Arial"/>
        </w:rPr>
      </w:pPr>
    </w:p>
    <w:p w14:paraId="0A6729E0" w14:textId="563BA410" w:rsidR="00284AAC" w:rsidRPr="003C7E62" w:rsidRDefault="00284AAC" w:rsidP="00D01157">
      <w:pPr>
        <w:keepNext w:val="0"/>
        <w:numPr>
          <w:ilvl w:val="1"/>
          <w:numId w:val="52"/>
        </w:numPr>
        <w:autoSpaceDE w:val="0"/>
        <w:autoSpaceDN w:val="0"/>
        <w:adjustRightInd w:val="0"/>
        <w:spacing w:before="0"/>
        <w:ind w:left="709" w:hanging="709"/>
        <w:rPr>
          <w:rFonts w:cs="Arial"/>
        </w:rPr>
      </w:pPr>
      <w:r w:rsidRPr="003C7E62">
        <w:rPr>
          <w:rFonts w:cs="Arial"/>
        </w:rPr>
        <w:t xml:space="preserve">The evidence base broadly falls under two categories. The first category focusses on understanding the objectively assessed needs of the District. This relates to housing, gypsy and travellers, employment, retail, leisure and open space requirements. The second category has helped the Council to understand how and where this need could be best met and any subsequent issues and considerations relating to meeting those needs. This second category includes studies such as the Landscape Character Assessment, Green Belt Review, Transport Study, </w:t>
      </w:r>
      <w:r w:rsidR="003316CE">
        <w:rPr>
          <w:rFonts w:cs="Arial"/>
        </w:rPr>
        <w:t xml:space="preserve">Strategic </w:t>
      </w:r>
      <w:r w:rsidRPr="003C7E62">
        <w:rPr>
          <w:rFonts w:cs="Arial"/>
        </w:rPr>
        <w:t>Flood Risk Assessment, and Infrastructure Delivery Plan. These studies, along with the Strategic Housing and Employment Land Availability Assessment (SHELAA) have enabled the Council to understand the potential suitability of a site for development and any mitigation needed as a result of development. Equally, these studies also informed where future development may not be acceptable. Some of the evidence base will be updated as the Plan moves forward and the most up to date evidence base studies can be found on the Councils website</w:t>
      </w:r>
      <w:r w:rsidRPr="003C7E62">
        <w:rPr>
          <w:rFonts w:cs="Arial"/>
          <w:vertAlign w:val="superscript"/>
        </w:rPr>
        <w:footnoteReference w:id="14"/>
      </w:r>
    </w:p>
    <w:p w14:paraId="32BE2BE0" w14:textId="77777777" w:rsidR="00284AAC" w:rsidRPr="003C7E62" w:rsidRDefault="00284AAC" w:rsidP="00606546">
      <w:pPr>
        <w:spacing w:before="0"/>
        <w:ind w:left="720"/>
        <w:contextualSpacing/>
        <w:rPr>
          <w:rFonts w:cs="Arial"/>
          <w:szCs w:val="24"/>
        </w:rPr>
      </w:pPr>
    </w:p>
    <w:p w14:paraId="44A5FE60" w14:textId="1301527B" w:rsidR="00284AAC" w:rsidRPr="003C7E62" w:rsidRDefault="00284AAC" w:rsidP="00D01157">
      <w:pPr>
        <w:keepNext w:val="0"/>
        <w:numPr>
          <w:ilvl w:val="1"/>
          <w:numId w:val="52"/>
        </w:numPr>
        <w:autoSpaceDE w:val="0"/>
        <w:autoSpaceDN w:val="0"/>
        <w:adjustRightInd w:val="0"/>
        <w:spacing w:before="0"/>
        <w:ind w:left="709" w:hanging="709"/>
        <w:rPr>
          <w:rFonts w:cs="Arial"/>
          <w:color w:val="0070C0"/>
        </w:rPr>
      </w:pPr>
      <w:r w:rsidRPr="003C7E62">
        <w:rPr>
          <w:rFonts w:cs="Arial"/>
          <w:color w:val="auto"/>
        </w:rPr>
        <w:t xml:space="preserve">Councils and various other bodies are under a Duty to </w:t>
      </w:r>
      <w:r w:rsidR="00C24627">
        <w:rPr>
          <w:rFonts w:cs="Arial"/>
          <w:color w:val="auto"/>
        </w:rPr>
        <w:t>C</w:t>
      </w:r>
      <w:r w:rsidRPr="003C7E62">
        <w:rPr>
          <w:rFonts w:cs="Arial"/>
          <w:color w:val="auto"/>
        </w:rPr>
        <w:t xml:space="preserve">ooperate under section 33A of the Planning and Compulsory Purchase Act 2004.  The Act places a legal duty to engage constructively, actively and on an ongoing basis to maximise the effectiveness of a local </w:t>
      </w:r>
      <w:r w:rsidRPr="003C7E62">
        <w:rPr>
          <w:rFonts w:cs="Arial"/>
        </w:rPr>
        <w:t>plan.  Ashfield District Council and its neighbouring authorities have long, well established working relationships that have led to effective collaborative working that has benefited all our communities.</w:t>
      </w:r>
      <w:r w:rsidRPr="003C7E62">
        <w:rPr>
          <w:rFonts w:cs="Arial"/>
          <w:color w:val="0070C0"/>
        </w:rPr>
        <w:t xml:space="preserve">  </w:t>
      </w:r>
      <w:r w:rsidRPr="003C7E62">
        <w:rPr>
          <w:rFonts w:cs="Arial"/>
          <w:color w:val="auto"/>
        </w:rPr>
        <w:t xml:space="preserve">The Local Plan has been brought forward in a context of collaborate working with neighbouring councils and infrastructure providers, as evidenced by ‘Statements of Common Ground’ with these various parties.  The Plan reflects engagement with local communities and relevant bodies including </w:t>
      </w:r>
      <w:r w:rsidR="00266968">
        <w:rPr>
          <w:rFonts w:cs="Arial"/>
          <w:color w:val="auto"/>
        </w:rPr>
        <w:t>Historic England</w:t>
      </w:r>
      <w:r w:rsidRPr="003C7E62">
        <w:rPr>
          <w:rFonts w:cs="Arial"/>
          <w:color w:val="auto"/>
        </w:rPr>
        <w:t>, Natur</w:t>
      </w:r>
      <w:r w:rsidR="00266968">
        <w:rPr>
          <w:rFonts w:cs="Arial"/>
          <w:color w:val="auto"/>
        </w:rPr>
        <w:t>al England</w:t>
      </w:r>
      <w:r w:rsidRPr="003C7E62">
        <w:rPr>
          <w:rFonts w:cs="Arial"/>
          <w:color w:val="auto"/>
        </w:rPr>
        <w:t xml:space="preserve"> and Nottinghamshire County Council.</w:t>
      </w:r>
    </w:p>
    <w:p w14:paraId="2F1C8616" w14:textId="77777777" w:rsidR="00284AAC" w:rsidRPr="003C7E62" w:rsidRDefault="00284AAC" w:rsidP="00606546">
      <w:pPr>
        <w:spacing w:before="0"/>
        <w:ind w:left="720"/>
        <w:contextualSpacing/>
        <w:rPr>
          <w:rFonts w:cs="Arial"/>
          <w:szCs w:val="24"/>
        </w:rPr>
      </w:pPr>
    </w:p>
    <w:p w14:paraId="7450D254" w14:textId="5D6A7A80" w:rsidR="00284AAC" w:rsidRPr="003C7E62" w:rsidRDefault="00284AAC" w:rsidP="00D01157">
      <w:pPr>
        <w:keepNext w:val="0"/>
        <w:numPr>
          <w:ilvl w:val="1"/>
          <w:numId w:val="52"/>
        </w:numPr>
        <w:autoSpaceDE w:val="0"/>
        <w:autoSpaceDN w:val="0"/>
        <w:adjustRightInd w:val="0"/>
        <w:spacing w:before="0"/>
        <w:ind w:left="709" w:hanging="709"/>
        <w:rPr>
          <w:rFonts w:cs="Arial"/>
        </w:rPr>
      </w:pPr>
      <w:r w:rsidRPr="003C7E62">
        <w:rPr>
          <w:rFonts w:cs="Arial"/>
        </w:rPr>
        <w:t>From a strategic perspective, Ashfield District Council forms part of a wider Housing and Functional Economic Market Area.  The location of Hucknall and its close proximity to Nottingham City has also led to a</w:t>
      </w:r>
      <w:r w:rsidRPr="003C7E62">
        <w:rPr>
          <w:rFonts w:cs="Arial"/>
          <w:color w:val="0070C0"/>
        </w:rPr>
        <w:t xml:space="preserve"> </w:t>
      </w:r>
      <w:r w:rsidRPr="003C7E62">
        <w:rPr>
          <w:rFonts w:cs="Arial"/>
          <w:color w:val="auto"/>
        </w:rPr>
        <w:t xml:space="preserve">close working relationship with other local authorities forming part of the Greater Nottingham Joint Planning Partnership.  </w:t>
      </w:r>
      <w:r w:rsidR="00E30F38" w:rsidRPr="003943F3">
        <w:rPr>
          <w:rFonts w:cs="Arial"/>
        </w:rPr>
        <w:t xml:space="preserve">The Greater Nottingham Joint Planning Partnership has responsibility for the development of the Greater Nottingham Spatial Plan which adjoins the south of the District.  </w:t>
      </w:r>
      <w:r w:rsidRPr="003C7E62">
        <w:rPr>
          <w:rFonts w:cs="Arial"/>
        </w:rPr>
        <w:t xml:space="preserve">Further information on the duty to co- operate and the Housing and </w:t>
      </w:r>
      <w:r w:rsidRPr="003C7E62">
        <w:rPr>
          <w:rFonts w:cs="Arial"/>
        </w:rPr>
        <w:lastRenderedPageBreak/>
        <w:t>Functional Economic Market areas can be found in the Spatial Strategy background paper</w:t>
      </w:r>
      <w:r w:rsidR="00576C9E">
        <w:rPr>
          <w:rStyle w:val="FootnoteReference"/>
          <w:rFonts w:cs="Arial"/>
        </w:rPr>
        <w:footnoteReference w:id="15"/>
      </w:r>
      <w:r w:rsidRPr="003C7E62">
        <w:rPr>
          <w:rFonts w:cs="Arial"/>
        </w:rPr>
        <w:t>.</w:t>
      </w:r>
      <w:r w:rsidRPr="003C7E62" w:rsidDel="00392C78">
        <w:rPr>
          <w:rFonts w:cs="Arial"/>
        </w:rPr>
        <w:t xml:space="preserve"> </w:t>
      </w:r>
    </w:p>
    <w:p w14:paraId="12BD3EFB" w14:textId="77777777" w:rsidR="003316CE" w:rsidRDefault="003316CE" w:rsidP="00606546">
      <w:pPr>
        <w:autoSpaceDE w:val="0"/>
        <w:autoSpaceDN w:val="0"/>
        <w:adjustRightInd w:val="0"/>
        <w:spacing w:before="0"/>
        <w:ind w:left="709"/>
        <w:rPr>
          <w:rFonts w:eastAsia="Arial" w:cs="Arial"/>
          <w:b/>
          <w:bCs/>
          <w:i/>
          <w:iCs/>
        </w:rPr>
      </w:pPr>
    </w:p>
    <w:p w14:paraId="6D19DA72" w14:textId="074C3C98" w:rsidR="00284AAC" w:rsidRPr="003C7E62" w:rsidRDefault="00284AAC" w:rsidP="00606546">
      <w:pPr>
        <w:autoSpaceDE w:val="0"/>
        <w:autoSpaceDN w:val="0"/>
        <w:adjustRightInd w:val="0"/>
        <w:spacing w:before="0"/>
        <w:ind w:left="709"/>
        <w:rPr>
          <w:rFonts w:eastAsia="Arial" w:cs="Arial"/>
          <w:b/>
          <w:bCs/>
          <w:i/>
          <w:iCs/>
        </w:rPr>
      </w:pPr>
      <w:r w:rsidRPr="003C7E62">
        <w:rPr>
          <w:rFonts w:eastAsia="Arial" w:cs="Arial"/>
          <w:b/>
          <w:bCs/>
          <w:i/>
          <w:iCs/>
        </w:rPr>
        <w:t>Other Supporting Documents</w:t>
      </w:r>
    </w:p>
    <w:p w14:paraId="13DE4273" w14:textId="77777777" w:rsidR="00284AAC" w:rsidRPr="003C7E62" w:rsidRDefault="00284AAC" w:rsidP="00606546">
      <w:pPr>
        <w:spacing w:before="0"/>
        <w:rPr>
          <w:rFonts w:eastAsia="Arial" w:cs="Arial"/>
        </w:rPr>
      </w:pPr>
    </w:p>
    <w:p w14:paraId="50A7F325" w14:textId="77777777" w:rsidR="00284AAC" w:rsidRPr="003C7E62" w:rsidRDefault="00284AAC" w:rsidP="00D01157">
      <w:pPr>
        <w:keepNext w:val="0"/>
        <w:numPr>
          <w:ilvl w:val="1"/>
          <w:numId w:val="52"/>
        </w:numPr>
        <w:autoSpaceDE w:val="0"/>
        <w:autoSpaceDN w:val="0"/>
        <w:adjustRightInd w:val="0"/>
        <w:spacing w:before="0"/>
        <w:ind w:left="709" w:hanging="709"/>
        <w:rPr>
          <w:rFonts w:cs="Arial"/>
        </w:rPr>
      </w:pPr>
      <w:r w:rsidRPr="003C7E62">
        <w:rPr>
          <w:rFonts w:eastAsia="Arial" w:cs="Arial"/>
        </w:rPr>
        <w:t xml:space="preserve">In addition to its evidence base, the final Local Plan to be submitted to the Secretary of State will require a number of other supporting technical documents as follows: </w:t>
      </w:r>
    </w:p>
    <w:p w14:paraId="5627A337" w14:textId="77777777" w:rsidR="00284AAC" w:rsidRPr="003C7E62" w:rsidRDefault="00284AAC" w:rsidP="00606546">
      <w:pPr>
        <w:autoSpaceDE w:val="0"/>
        <w:autoSpaceDN w:val="0"/>
        <w:adjustRightInd w:val="0"/>
        <w:spacing w:before="0"/>
        <w:rPr>
          <w:rFonts w:cs="Arial"/>
        </w:rPr>
      </w:pPr>
    </w:p>
    <w:p w14:paraId="49AD477A" w14:textId="411FB28E" w:rsidR="00284AAC" w:rsidRPr="003C7E62" w:rsidRDefault="00284AAC" w:rsidP="00D01157">
      <w:pPr>
        <w:keepNext w:val="0"/>
        <w:numPr>
          <w:ilvl w:val="0"/>
          <w:numId w:val="49"/>
        </w:numPr>
        <w:autoSpaceDE w:val="0"/>
        <w:autoSpaceDN w:val="0"/>
        <w:adjustRightInd w:val="0"/>
        <w:spacing w:before="0"/>
        <w:rPr>
          <w:rFonts w:cs="Arial"/>
        </w:rPr>
      </w:pPr>
      <w:r w:rsidRPr="003C7E62">
        <w:rPr>
          <w:rFonts w:cs="Arial"/>
        </w:rPr>
        <w:t xml:space="preserve">Sustainability </w:t>
      </w:r>
      <w:r w:rsidR="00877223" w:rsidRPr="003C7E62">
        <w:rPr>
          <w:rFonts w:cs="Arial"/>
        </w:rPr>
        <w:t>Appraisal.</w:t>
      </w:r>
    </w:p>
    <w:p w14:paraId="179BECA3" w14:textId="5E3FE00F" w:rsidR="00284AAC" w:rsidRPr="003C7E62" w:rsidRDefault="00284AAC" w:rsidP="00D01157">
      <w:pPr>
        <w:keepNext w:val="0"/>
        <w:numPr>
          <w:ilvl w:val="0"/>
          <w:numId w:val="49"/>
        </w:numPr>
        <w:autoSpaceDE w:val="0"/>
        <w:autoSpaceDN w:val="0"/>
        <w:adjustRightInd w:val="0"/>
        <w:spacing w:before="0"/>
        <w:rPr>
          <w:rFonts w:cs="Arial"/>
          <w:strike/>
        </w:rPr>
      </w:pPr>
      <w:r w:rsidRPr="003C7E62">
        <w:rPr>
          <w:rFonts w:cs="Arial"/>
        </w:rPr>
        <w:t xml:space="preserve">Habitat Regulations </w:t>
      </w:r>
      <w:r w:rsidR="00877223" w:rsidRPr="003C7E62">
        <w:rPr>
          <w:rFonts w:cs="Arial"/>
        </w:rPr>
        <w:t>Assessment.</w:t>
      </w:r>
    </w:p>
    <w:p w14:paraId="53D1F079" w14:textId="6EAFDC5B" w:rsidR="00284AAC" w:rsidRPr="003C7E62" w:rsidRDefault="00284AAC" w:rsidP="00D01157">
      <w:pPr>
        <w:keepNext w:val="0"/>
        <w:numPr>
          <w:ilvl w:val="0"/>
          <w:numId w:val="49"/>
        </w:numPr>
        <w:autoSpaceDE w:val="0"/>
        <w:autoSpaceDN w:val="0"/>
        <w:adjustRightInd w:val="0"/>
        <w:spacing w:before="0"/>
        <w:rPr>
          <w:rFonts w:cs="Arial"/>
        </w:rPr>
      </w:pPr>
      <w:r w:rsidRPr="003C7E62">
        <w:rPr>
          <w:rFonts w:cs="Arial"/>
        </w:rPr>
        <w:t>Health Impact Assessment</w:t>
      </w:r>
      <w:r w:rsidR="00877223" w:rsidRPr="003C7E62">
        <w:rPr>
          <w:rFonts w:cs="Arial"/>
        </w:rPr>
        <w:t>.</w:t>
      </w:r>
    </w:p>
    <w:p w14:paraId="380321D5" w14:textId="3572FA1A" w:rsidR="00284AAC" w:rsidRPr="003C7E62" w:rsidRDefault="00284AAC" w:rsidP="00D01157">
      <w:pPr>
        <w:keepNext w:val="0"/>
        <w:numPr>
          <w:ilvl w:val="0"/>
          <w:numId w:val="49"/>
        </w:numPr>
        <w:autoSpaceDE w:val="0"/>
        <w:autoSpaceDN w:val="0"/>
        <w:adjustRightInd w:val="0"/>
        <w:spacing w:before="0"/>
        <w:rPr>
          <w:rFonts w:cs="Arial"/>
        </w:rPr>
      </w:pPr>
      <w:r w:rsidRPr="003C7E62">
        <w:rPr>
          <w:rFonts w:cs="Arial"/>
        </w:rPr>
        <w:t>Equalities Impact Assessment</w:t>
      </w:r>
      <w:r w:rsidR="00877223" w:rsidRPr="003C7E62">
        <w:rPr>
          <w:rFonts w:cs="Arial"/>
        </w:rPr>
        <w:t xml:space="preserve">, and </w:t>
      </w:r>
    </w:p>
    <w:p w14:paraId="6B35B3FB" w14:textId="2A275B33" w:rsidR="00284AAC" w:rsidRPr="003C7E62" w:rsidRDefault="00877223" w:rsidP="00D01157">
      <w:pPr>
        <w:keepNext w:val="0"/>
        <w:numPr>
          <w:ilvl w:val="0"/>
          <w:numId w:val="49"/>
        </w:numPr>
        <w:autoSpaceDE w:val="0"/>
        <w:autoSpaceDN w:val="0"/>
        <w:adjustRightInd w:val="0"/>
        <w:spacing w:before="0"/>
        <w:rPr>
          <w:rFonts w:cs="Arial"/>
        </w:rPr>
      </w:pPr>
      <w:r w:rsidRPr="003C7E62">
        <w:rPr>
          <w:rFonts w:cs="Arial"/>
        </w:rPr>
        <w:t>Data Protection Impact Assessment</w:t>
      </w:r>
    </w:p>
    <w:p w14:paraId="1353623A" w14:textId="77777777" w:rsidR="00606546" w:rsidRPr="003C7E62" w:rsidRDefault="00606546" w:rsidP="00606546">
      <w:pPr>
        <w:autoSpaceDE w:val="0"/>
        <w:autoSpaceDN w:val="0"/>
        <w:adjustRightInd w:val="0"/>
        <w:spacing w:before="0"/>
        <w:ind w:firstLine="709"/>
        <w:rPr>
          <w:rFonts w:eastAsia="Arial" w:cs="Arial"/>
          <w:i/>
          <w:u w:val="single"/>
        </w:rPr>
      </w:pPr>
    </w:p>
    <w:p w14:paraId="06468897" w14:textId="775858CB" w:rsidR="00284AAC" w:rsidRPr="003C7E62" w:rsidRDefault="00284AAC" w:rsidP="00606546">
      <w:pPr>
        <w:autoSpaceDE w:val="0"/>
        <w:autoSpaceDN w:val="0"/>
        <w:adjustRightInd w:val="0"/>
        <w:spacing w:before="0"/>
        <w:ind w:firstLine="709"/>
        <w:rPr>
          <w:rFonts w:eastAsia="Arial" w:cs="Arial"/>
          <w:i/>
          <w:u w:val="single"/>
        </w:rPr>
      </w:pPr>
      <w:r w:rsidRPr="003C7E62">
        <w:rPr>
          <w:rFonts w:eastAsia="Arial" w:cs="Arial"/>
          <w:i/>
          <w:u w:val="single"/>
        </w:rPr>
        <w:t>Sustainability Appraisal</w:t>
      </w:r>
    </w:p>
    <w:p w14:paraId="5AF2CB9E" w14:textId="77777777" w:rsidR="00284AAC" w:rsidRPr="003C7E62" w:rsidRDefault="00284AAC" w:rsidP="00606546">
      <w:pPr>
        <w:autoSpaceDE w:val="0"/>
        <w:autoSpaceDN w:val="0"/>
        <w:adjustRightInd w:val="0"/>
        <w:spacing w:before="0"/>
        <w:ind w:firstLine="600"/>
        <w:rPr>
          <w:rFonts w:eastAsia="Arial" w:cs="Arial"/>
          <w:i/>
        </w:rPr>
      </w:pPr>
    </w:p>
    <w:p w14:paraId="2F7A402B" w14:textId="77777777" w:rsidR="00284AAC" w:rsidRPr="003C7E62" w:rsidRDefault="00284AAC" w:rsidP="00D01157">
      <w:pPr>
        <w:keepNext w:val="0"/>
        <w:numPr>
          <w:ilvl w:val="1"/>
          <w:numId w:val="52"/>
        </w:numPr>
        <w:autoSpaceDE w:val="0"/>
        <w:autoSpaceDN w:val="0"/>
        <w:adjustRightInd w:val="0"/>
        <w:spacing w:before="0"/>
        <w:ind w:left="709" w:hanging="709"/>
        <w:rPr>
          <w:rFonts w:cs="Arial"/>
        </w:rPr>
      </w:pPr>
      <w:r w:rsidRPr="003C7E62">
        <w:rPr>
          <w:rFonts w:eastAsia="Arial" w:cs="Arial"/>
        </w:rPr>
        <w:t xml:space="preserve">A Sustainability Appraisal (SA) is an integral part of the plan making process and the Council has undertaken an SA for the Local Plan, including an assessment of a number of alternative options. The SA is framed around 17 criteria covering the different elements of sustainability (economic, social and environmental). It is utilised to guide the Plan and ensure it successfully balances the economic, social and environmental considerations of its chosen growth and spatial strategy, content and policy direction. </w:t>
      </w:r>
    </w:p>
    <w:p w14:paraId="7FFC8E4E" w14:textId="77777777" w:rsidR="00284AAC" w:rsidRPr="003C7E62" w:rsidRDefault="00284AAC" w:rsidP="00606546">
      <w:pPr>
        <w:autoSpaceDE w:val="0"/>
        <w:autoSpaceDN w:val="0"/>
        <w:adjustRightInd w:val="0"/>
        <w:spacing w:before="0"/>
        <w:ind w:left="600"/>
        <w:rPr>
          <w:rFonts w:cs="Arial"/>
        </w:rPr>
      </w:pPr>
    </w:p>
    <w:p w14:paraId="16EC3AA1" w14:textId="77777777" w:rsidR="00284AAC" w:rsidRPr="003C7E62" w:rsidRDefault="00284AAC" w:rsidP="00606546">
      <w:pPr>
        <w:autoSpaceDE w:val="0"/>
        <w:autoSpaceDN w:val="0"/>
        <w:adjustRightInd w:val="0"/>
        <w:spacing w:before="0"/>
        <w:ind w:firstLine="709"/>
        <w:rPr>
          <w:rFonts w:cs="Arial"/>
          <w:i/>
          <w:u w:val="single"/>
        </w:rPr>
      </w:pPr>
      <w:r w:rsidRPr="003C7E62">
        <w:rPr>
          <w:rFonts w:cs="Arial"/>
          <w:i/>
          <w:u w:val="single"/>
        </w:rPr>
        <w:t>Habitat Regulations Assessment</w:t>
      </w:r>
    </w:p>
    <w:p w14:paraId="7F91E25D" w14:textId="77777777" w:rsidR="00284AAC" w:rsidRPr="003C7E62" w:rsidRDefault="00284AAC" w:rsidP="00606546">
      <w:pPr>
        <w:autoSpaceDE w:val="0"/>
        <w:autoSpaceDN w:val="0"/>
        <w:adjustRightInd w:val="0"/>
        <w:spacing w:before="0"/>
        <w:ind w:firstLine="600"/>
        <w:rPr>
          <w:rFonts w:cs="Arial"/>
          <w:i/>
        </w:rPr>
      </w:pPr>
    </w:p>
    <w:p w14:paraId="1AA60C9D" w14:textId="77777777" w:rsidR="00284AAC" w:rsidRPr="003C7E62" w:rsidRDefault="00284AAC" w:rsidP="00D01157">
      <w:pPr>
        <w:keepNext w:val="0"/>
        <w:numPr>
          <w:ilvl w:val="1"/>
          <w:numId w:val="52"/>
        </w:numPr>
        <w:autoSpaceDE w:val="0"/>
        <w:autoSpaceDN w:val="0"/>
        <w:adjustRightInd w:val="0"/>
        <w:spacing w:before="0"/>
        <w:ind w:left="709" w:hanging="709"/>
        <w:rPr>
          <w:rFonts w:cs="Arial"/>
        </w:rPr>
      </w:pPr>
      <w:r w:rsidRPr="003C7E62">
        <w:rPr>
          <w:rFonts w:eastAsia="Arial" w:cs="Arial"/>
        </w:rPr>
        <w:t>A Habitats Regulation Assessment (HRA) has been carried out as part of the Local Plan process to provide an assessment of the potential effects of the plan on European Union designated sites and identify whether proposals in the Local Plan have a negative impact on the integrity of any existing or potential sites (Special Protection Areas and Special Areas of Conservation). There are two EU designated sites within 15 kilometres of the District boundary:</w:t>
      </w:r>
    </w:p>
    <w:p w14:paraId="6F3E9C34" w14:textId="77777777" w:rsidR="00284AAC" w:rsidRPr="003C7E62" w:rsidRDefault="00284AAC" w:rsidP="00606546">
      <w:pPr>
        <w:autoSpaceDE w:val="0"/>
        <w:autoSpaceDN w:val="0"/>
        <w:adjustRightInd w:val="0"/>
        <w:spacing w:before="0"/>
        <w:rPr>
          <w:rFonts w:cs="Arial"/>
        </w:rPr>
      </w:pPr>
    </w:p>
    <w:p w14:paraId="4FFB676F" w14:textId="351F5F1B" w:rsidR="00284AAC" w:rsidRDefault="00284AAC" w:rsidP="00D01157">
      <w:pPr>
        <w:keepNext w:val="0"/>
        <w:numPr>
          <w:ilvl w:val="0"/>
          <w:numId w:val="46"/>
        </w:numPr>
        <w:autoSpaceDE w:val="0"/>
        <w:autoSpaceDN w:val="0"/>
        <w:adjustRightInd w:val="0"/>
        <w:spacing w:before="0"/>
        <w:rPr>
          <w:rFonts w:cs="Arial"/>
        </w:rPr>
      </w:pPr>
      <w:r w:rsidRPr="003C7E62">
        <w:rPr>
          <w:rFonts w:cs="Arial"/>
        </w:rPr>
        <w:t xml:space="preserve">The Birklands and Bilhaugh Special Area of Conservation located within Sherwood Forest, as part of Newark and Sherwood District Council’s administrative boundary, and  </w:t>
      </w:r>
    </w:p>
    <w:p w14:paraId="0F905A7D" w14:textId="77777777" w:rsidR="008C72B3" w:rsidRPr="003C7E62" w:rsidRDefault="008C72B3" w:rsidP="008C72B3">
      <w:pPr>
        <w:keepNext w:val="0"/>
        <w:autoSpaceDE w:val="0"/>
        <w:autoSpaceDN w:val="0"/>
        <w:adjustRightInd w:val="0"/>
        <w:spacing w:before="0"/>
        <w:ind w:left="1080"/>
        <w:rPr>
          <w:rFonts w:cs="Arial"/>
        </w:rPr>
      </w:pPr>
    </w:p>
    <w:p w14:paraId="7ABBE091" w14:textId="77777777" w:rsidR="00284AAC" w:rsidRPr="003C7E62" w:rsidRDefault="00284AAC" w:rsidP="00D01157">
      <w:pPr>
        <w:keepNext w:val="0"/>
        <w:numPr>
          <w:ilvl w:val="0"/>
          <w:numId w:val="46"/>
        </w:numPr>
        <w:autoSpaceDE w:val="0"/>
        <w:autoSpaceDN w:val="0"/>
        <w:adjustRightInd w:val="0"/>
        <w:spacing w:before="0"/>
        <w:rPr>
          <w:rFonts w:cs="Arial"/>
        </w:rPr>
      </w:pPr>
      <w:r w:rsidRPr="003C7E62">
        <w:rPr>
          <w:rFonts w:cs="Arial"/>
        </w:rPr>
        <w:t xml:space="preserve">The South Pennine Moors Special Area of Conservation and Special Protection Area located in the counties of </w:t>
      </w:r>
      <w:smartTag w:uri="urn:schemas-microsoft-com:office:smarttags" w:element="City">
        <w:r w:rsidRPr="003C7E62">
          <w:rPr>
            <w:rFonts w:cs="Arial"/>
          </w:rPr>
          <w:t>Cheshire</w:t>
        </w:r>
      </w:smartTag>
      <w:r w:rsidRPr="003C7E62">
        <w:rPr>
          <w:rFonts w:cs="Arial"/>
        </w:rPr>
        <w:t xml:space="preserve">, Derbyshire, Lancashire, Staffordshire and </w:t>
      </w:r>
      <w:smartTag w:uri="urn:schemas-microsoft-com:office:smarttags" w:element="place">
        <w:r w:rsidRPr="003C7E62">
          <w:rPr>
            <w:rFonts w:cs="Arial"/>
          </w:rPr>
          <w:t>Yorkshire</w:t>
        </w:r>
      </w:smartTag>
      <w:r w:rsidRPr="003C7E62">
        <w:rPr>
          <w:rFonts w:cs="Arial"/>
        </w:rPr>
        <w:t>.</w:t>
      </w:r>
    </w:p>
    <w:p w14:paraId="14A31350" w14:textId="77777777" w:rsidR="00284AAC" w:rsidRPr="003C7E62" w:rsidRDefault="00284AAC" w:rsidP="00606546">
      <w:pPr>
        <w:autoSpaceDE w:val="0"/>
        <w:autoSpaceDN w:val="0"/>
        <w:adjustRightInd w:val="0"/>
        <w:spacing w:before="0"/>
        <w:ind w:left="720"/>
        <w:rPr>
          <w:rFonts w:cs="Arial"/>
          <w:bCs/>
          <w:szCs w:val="24"/>
        </w:rPr>
      </w:pPr>
    </w:p>
    <w:p w14:paraId="4F28A89F" w14:textId="77777777" w:rsidR="00284AAC" w:rsidRPr="003C7E62" w:rsidRDefault="00284AAC" w:rsidP="00D01157">
      <w:pPr>
        <w:keepNext w:val="0"/>
        <w:numPr>
          <w:ilvl w:val="1"/>
          <w:numId w:val="52"/>
        </w:numPr>
        <w:autoSpaceDE w:val="0"/>
        <w:autoSpaceDN w:val="0"/>
        <w:adjustRightInd w:val="0"/>
        <w:spacing w:before="0"/>
        <w:ind w:left="709" w:hanging="709"/>
        <w:rPr>
          <w:rFonts w:cs="Arial"/>
        </w:rPr>
      </w:pPr>
      <w:r w:rsidRPr="003C7E62">
        <w:rPr>
          <w:rFonts w:cs="Arial"/>
        </w:rPr>
        <w:t xml:space="preserve">In addition to the two designated sites, there is an additional site within the Sherwood Forest Area, important for breeding woodlarks and nightjar, which is not currently designated as a protected site, but which has the potential for future classification. Consequently, the authority has decided to take a risk-based </w:t>
      </w:r>
      <w:r w:rsidRPr="003C7E62">
        <w:rPr>
          <w:rFonts w:cs="Arial"/>
        </w:rPr>
        <w:lastRenderedPageBreak/>
        <w:t>approach as advocated by Natural England and undertaken a robust assessment of all sites in order to future proof the Plan.</w:t>
      </w:r>
    </w:p>
    <w:p w14:paraId="65D9BD51" w14:textId="77777777" w:rsidR="00284AAC" w:rsidRPr="003C7E62" w:rsidRDefault="00284AAC" w:rsidP="00606546">
      <w:pPr>
        <w:autoSpaceDE w:val="0"/>
        <w:autoSpaceDN w:val="0"/>
        <w:adjustRightInd w:val="0"/>
        <w:spacing w:before="0"/>
        <w:rPr>
          <w:rFonts w:eastAsia="Arial" w:cs="Arial"/>
          <w:i/>
        </w:rPr>
      </w:pPr>
    </w:p>
    <w:p w14:paraId="6D40B94B" w14:textId="77777777" w:rsidR="00284AAC" w:rsidRPr="003C7E62" w:rsidRDefault="00284AAC" w:rsidP="00606546">
      <w:pPr>
        <w:autoSpaceDE w:val="0"/>
        <w:autoSpaceDN w:val="0"/>
        <w:adjustRightInd w:val="0"/>
        <w:spacing w:before="0"/>
        <w:ind w:firstLine="709"/>
        <w:rPr>
          <w:rFonts w:eastAsia="Arial" w:cs="Arial"/>
          <w:i/>
          <w:u w:val="single"/>
        </w:rPr>
      </w:pPr>
      <w:r w:rsidRPr="003C7E62">
        <w:rPr>
          <w:rFonts w:eastAsia="Arial" w:cs="Arial"/>
          <w:i/>
          <w:u w:val="single"/>
        </w:rPr>
        <w:t>Health Impact Assessment</w:t>
      </w:r>
    </w:p>
    <w:p w14:paraId="67116F86" w14:textId="77777777" w:rsidR="00284AAC" w:rsidRPr="003C7E62" w:rsidRDefault="00284AAC" w:rsidP="00606546">
      <w:pPr>
        <w:autoSpaceDE w:val="0"/>
        <w:autoSpaceDN w:val="0"/>
        <w:adjustRightInd w:val="0"/>
        <w:spacing w:before="0"/>
        <w:ind w:firstLine="600"/>
        <w:rPr>
          <w:rFonts w:eastAsia="Arial" w:cs="Arial"/>
          <w:i/>
        </w:rPr>
      </w:pPr>
    </w:p>
    <w:p w14:paraId="22F05C7F" w14:textId="77777777" w:rsidR="00284AAC" w:rsidRPr="003C7E62" w:rsidRDefault="00284AAC" w:rsidP="00D01157">
      <w:pPr>
        <w:keepNext w:val="0"/>
        <w:numPr>
          <w:ilvl w:val="1"/>
          <w:numId w:val="52"/>
        </w:numPr>
        <w:autoSpaceDE w:val="0"/>
        <w:autoSpaceDN w:val="0"/>
        <w:adjustRightInd w:val="0"/>
        <w:spacing w:before="0"/>
        <w:ind w:left="709" w:hanging="709"/>
        <w:rPr>
          <w:rFonts w:cs="Arial"/>
        </w:rPr>
      </w:pPr>
      <w:r w:rsidRPr="003C7E62">
        <w:rPr>
          <w:rFonts w:eastAsia="Arial" w:cs="Arial"/>
        </w:rPr>
        <w:t xml:space="preserve">A Health Impact Assessment of the Local Plan will be undertaken to help ensure the Plan acknowledges the potential health impacts resulting from its implementation.  It will also identify any mitigation which may be required to reduce the impact of the Plan on health and wellbeing.  In seeking to realise the Local Plan’s Vision, the Council has ensured Health is successfully imbedded in the Plan. The assessment will also highlight how different environments can affect people’s health and mental wellbeing directly or indirectly; and will set out how any negative health impacts of the Local Plan could be mitigated, for example, improved access to open spaces and green infrastructure links will encourage people to use the outdoor areas close to their home and work. </w:t>
      </w:r>
    </w:p>
    <w:p w14:paraId="7A192E6D" w14:textId="77777777" w:rsidR="00284AAC" w:rsidRPr="003C7E62" w:rsidRDefault="00284AAC" w:rsidP="00606546">
      <w:pPr>
        <w:autoSpaceDE w:val="0"/>
        <w:autoSpaceDN w:val="0"/>
        <w:adjustRightInd w:val="0"/>
        <w:spacing w:before="0"/>
        <w:rPr>
          <w:rFonts w:cs="Arial"/>
        </w:rPr>
      </w:pPr>
    </w:p>
    <w:p w14:paraId="331717F1" w14:textId="29C289AF" w:rsidR="00284AAC" w:rsidRPr="003C7E62" w:rsidRDefault="00284AAC" w:rsidP="00D01157">
      <w:pPr>
        <w:keepNext w:val="0"/>
        <w:numPr>
          <w:ilvl w:val="1"/>
          <w:numId w:val="52"/>
        </w:numPr>
        <w:autoSpaceDE w:val="0"/>
        <w:autoSpaceDN w:val="0"/>
        <w:adjustRightInd w:val="0"/>
        <w:spacing w:before="0"/>
        <w:ind w:left="709" w:hanging="709"/>
        <w:rPr>
          <w:rFonts w:cs="Arial"/>
        </w:rPr>
      </w:pPr>
      <w:r w:rsidRPr="003C7E62">
        <w:rPr>
          <w:rFonts w:eastAsia="Arial" w:cs="Arial"/>
        </w:rPr>
        <w:t>Local Plan policies also include a number of measures that will benefit health and wellbeing such as improved access to community amenities, heritage</w:t>
      </w:r>
      <w:r w:rsidRPr="003C7E62">
        <w:rPr>
          <w:rFonts w:eastAsia="Arial" w:cs="Arial"/>
          <w:color w:val="538135"/>
        </w:rPr>
        <w:t xml:space="preserve"> </w:t>
      </w:r>
      <w:r w:rsidRPr="003C7E62">
        <w:rPr>
          <w:rFonts w:eastAsia="Arial" w:cs="Arial"/>
        </w:rPr>
        <w:t xml:space="preserve">and cultural facilities. </w:t>
      </w:r>
      <w:r w:rsidR="00EA7D34" w:rsidRPr="003C7E62">
        <w:rPr>
          <w:rFonts w:eastAsia="Arial" w:cs="Arial"/>
        </w:rPr>
        <w:t>New facilities</w:t>
      </w:r>
      <w:r w:rsidRPr="003C7E62">
        <w:rPr>
          <w:rFonts w:eastAsia="Arial" w:cs="Arial"/>
        </w:rPr>
        <w:t xml:space="preserve"> will seek to remove health inequalities within the District, by allowing all members of the community to access health services more easily. </w:t>
      </w:r>
    </w:p>
    <w:p w14:paraId="17FE3445" w14:textId="77777777" w:rsidR="00284AAC" w:rsidRPr="003C7E62" w:rsidRDefault="00284AAC" w:rsidP="00606546">
      <w:pPr>
        <w:autoSpaceDE w:val="0"/>
        <w:autoSpaceDN w:val="0"/>
        <w:adjustRightInd w:val="0"/>
        <w:spacing w:before="0"/>
        <w:rPr>
          <w:rFonts w:cs="Arial"/>
        </w:rPr>
      </w:pPr>
      <w:r w:rsidRPr="003C7E62">
        <w:rPr>
          <w:rFonts w:eastAsia="Arial" w:cs="Arial"/>
        </w:rPr>
        <w:t xml:space="preserve"> </w:t>
      </w:r>
    </w:p>
    <w:p w14:paraId="0E280BFE" w14:textId="77777777" w:rsidR="00284AAC" w:rsidRPr="003C7E62" w:rsidRDefault="00284AAC" w:rsidP="00606546">
      <w:pPr>
        <w:autoSpaceDE w:val="0"/>
        <w:autoSpaceDN w:val="0"/>
        <w:adjustRightInd w:val="0"/>
        <w:spacing w:before="0"/>
        <w:ind w:firstLine="709"/>
        <w:rPr>
          <w:rFonts w:eastAsia="Arial" w:cs="Arial"/>
          <w:i/>
          <w:u w:val="single"/>
        </w:rPr>
      </w:pPr>
      <w:r w:rsidRPr="003C7E62">
        <w:rPr>
          <w:rFonts w:eastAsia="Arial" w:cs="Arial"/>
          <w:i/>
          <w:u w:val="single"/>
        </w:rPr>
        <w:t>Equalities Impact Assessment</w:t>
      </w:r>
    </w:p>
    <w:p w14:paraId="3160C958" w14:textId="77777777" w:rsidR="00284AAC" w:rsidRPr="003C7E62" w:rsidRDefault="00284AAC" w:rsidP="00606546">
      <w:pPr>
        <w:autoSpaceDE w:val="0"/>
        <w:autoSpaceDN w:val="0"/>
        <w:adjustRightInd w:val="0"/>
        <w:spacing w:before="0"/>
        <w:rPr>
          <w:rFonts w:eastAsia="Arial" w:cs="Arial"/>
          <w:i/>
        </w:rPr>
      </w:pPr>
    </w:p>
    <w:p w14:paraId="6919060A" w14:textId="2898562E" w:rsidR="00284AAC" w:rsidRPr="003C7E62" w:rsidRDefault="00284AAC" w:rsidP="00D01157">
      <w:pPr>
        <w:keepNext w:val="0"/>
        <w:numPr>
          <w:ilvl w:val="1"/>
          <w:numId w:val="52"/>
        </w:numPr>
        <w:autoSpaceDE w:val="0"/>
        <w:autoSpaceDN w:val="0"/>
        <w:adjustRightInd w:val="0"/>
        <w:spacing w:before="0"/>
        <w:ind w:left="709" w:hanging="709"/>
        <w:rPr>
          <w:rFonts w:cs="Arial"/>
        </w:rPr>
      </w:pPr>
      <w:r w:rsidRPr="003C7E62">
        <w:rPr>
          <w:rFonts w:eastAsia="Arial" w:cs="Arial"/>
        </w:rPr>
        <w:t>An Equalities Impact Assessment of the Local Plan will be undertaken to ensure that it meets the needs of all members of the community. Undertaking Equality Impact Assessments allows the Council to identify any potential adverse impacts on people with protected characteristics caused by its policies, or the way in which it works, and take steps to make sure that measures can be put in place to mitigate the impact. Equality Impact Assessments also allow for the identification of opportunities to promote equality.</w:t>
      </w:r>
    </w:p>
    <w:p w14:paraId="772EF67A" w14:textId="77777777" w:rsidR="00877223" w:rsidRPr="003C7E62" w:rsidRDefault="00877223" w:rsidP="00606546">
      <w:pPr>
        <w:keepNext w:val="0"/>
        <w:autoSpaceDE w:val="0"/>
        <w:autoSpaceDN w:val="0"/>
        <w:adjustRightInd w:val="0"/>
        <w:spacing w:before="0"/>
        <w:ind w:left="709"/>
        <w:rPr>
          <w:rFonts w:cs="Arial"/>
        </w:rPr>
      </w:pPr>
    </w:p>
    <w:p w14:paraId="157EBB3A" w14:textId="31797054" w:rsidR="00877223" w:rsidRDefault="00877223" w:rsidP="00606546">
      <w:pPr>
        <w:keepNext w:val="0"/>
        <w:autoSpaceDE w:val="0"/>
        <w:autoSpaceDN w:val="0"/>
        <w:adjustRightInd w:val="0"/>
        <w:spacing w:before="0"/>
        <w:ind w:left="709"/>
        <w:rPr>
          <w:rFonts w:eastAsia="Arial" w:cs="Arial"/>
          <w:i/>
          <w:iCs/>
          <w:u w:val="single"/>
        </w:rPr>
      </w:pPr>
      <w:bookmarkStart w:id="12" w:name="_Hlk75952630"/>
      <w:r w:rsidRPr="00CC6BDF">
        <w:rPr>
          <w:rFonts w:eastAsia="Arial" w:cs="Arial"/>
          <w:i/>
          <w:iCs/>
          <w:u w:val="single"/>
        </w:rPr>
        <w:t xml:space="preserve">Data Protection Impact Assessment </w:t>
      </w:r>
    </w:p>
    <w:p w14:paraId="1AD70AEE" w14:textId="77777777" w:rsidR="00CC6BDF" w:rsidRPr="00CC6BDF" w:rsidRDefault="00CC6BDF" w:rsidP="00606546">
      <w:pPr>
        <w:keepNext w:val="0"/>
        <w:autoSpaceDE w:val="0"/>
        <w:autoSpaceDN w:val="0"/>
        <w:adjustRightInd w:val="0"/>
        <w:spacing w:before="0"/>
        <w:ind w:left="709"/>
        <w:rPr>
          <w:rFonts w:eastAsia="Arial" w:cs="Arial"/>
          <w:i/>
          <w:iCs/>
          <w:u w:val="single"/>
        </w:rPr>
      </w:pPr>
    </w:p>
    <w:bookmarkEnd w:id="12"/>
    <w:p w14:paraId="7F37E1F7" w14:textId="2EB35966" w:rsidR="00CC6BDF" w:rsidRPr="00CC6BDF" w:rsidRDefault="00CC6BDF" w:rsidP="00D01157">
      <w:pPr>
        <w:keepNext w:val="0"/>
        <w:numPr>
          <w:ilvl w:val="1"/>
          <w:numId w:val="52"/>
        </w:numPr>
        <w:autoSpaceDE w:val="0"/>
        <w:autoSpaceDN w:val="0"/>
        <w:adjustRightInd w:val="0"/>
        <w:spacing w:before="0"/>
        <w:ind w:left="709" w:hanging="709"/>
        <w:rPr>
          <w:rFonts w:cs="Arial"/>
        </w:rPr>
      </w:pPr>
      <w:r w:rsidRPr="00CC6BDF">
        <w:rPr>
          <w:rFonts w:cs="Arial"/>
        </w:rPr>
        <w:t xml:space="preserve">A Data Protection Impact Assessment (DPIA) has been undertaken to help identify and minimise </w:t>
      </w:r>
      <w:r>
        <w:rPr>
          <w:rFonts w:cs="Arial"/>
        </w:rPr>
        <w:t xml:space="preserve">any </w:t>
      </w:r>
      <w:r w:rsidRPr="00CC6BDF">
        <w:rPr>
          <w:rFonts w:cs="Arial"/>
        </w:rPr>
        <w:t xml:space="preserve">data protection risks </w:t>
      </w:r>
      <w:r>
        <w:rPr>
          <w:rFonts w:cs="Arial"/>
        </w:rPr>
        <w:t>in relation to the Local Plan.</w:t>
      </w:r>
    </w:p>
    <w:p w14:paraId="5D563710" w14:textId="77777777" w:rsidR="003316CE" w:rsidRPr="00825421" w:rsidRDefault="003316CE" w:rsidP="00825421">
      <w:bookmarkStart w:id="13" w:name="_Toc145511548"/>
      <w:bookmarkEnd w:id="9"/>
    </w:p>
    <w:p w14:paraId="43A1606D" w14:textId="15EDC2C8" w:rsidR="00100330" w:rsidRPr="003C7E62" w:rsidRDefault="00165C32" w:rsidP="00890704">
      <w:pPr>
        <w:pStyle w:val="Heading3"/>
      </w:pPr>
      <w:r>
        <w:t xml:space="preserve">Our </w:t>
      </w:r>
      <w:r w:rsidR="00100330" w:rsidRPr="003C7E62">
        <w:t>District</w:t>
      </w:r>
      <w:bookmarkEnd w:id="13"/>
    </w:p>
    <w:p w14:paraId="20FD0CAB" w14:textId="5254E247" w:rsidR="00100330" w:rsidRPr="003C7E62" w:rsidRDefault="00100330" w:rsidP="00606546">
      <w:pPr>
        <w:spacing w:before="0"/>
        <w:rPr>
          <w:rFonts w:cs="Arial"/>
          <w:szCs w:val="24"/>
        </w:rPr>
      </w:pPr>
    </w:p>
    <w:p w14:paraId="175EC0C3" w14:textId="3E2C2419" w:rsidR="00F66CEF" w:rsidRPr="008C72B3" w:rsidRDefault="00100330" w:rsidP="00F66CEF">
      <w:pPr>
        <w:keepNext w:val="0"/>
        <w:numPr>
          <w:ilvl w:val="1"/>
          <w:numId w:val="52"/>
        </w:numPr>
        <w:autoSpaceDE w:val="0"/>
        <w:autoSpaceDN w:val="0"/>
        <w:adjustRightInd w:val="0"/>
        <w:spacing w:before="0"/>
        <w:ind w:left="709" w:hanging="709"/>
        <w:rPr>
          <w:rFonts w:cs="Arial"/>
          <w:szCs w:val="24"/>
        </w:rPr>
      </w:pPr>
      <w:r w:rsidRPr="003C7E62">
        <w:rPr>
          <w:rFonts w:eastAsia="Arial" w:cs="Arial"/>
          <w:szCs w:val="24"/>
        </w:rPr>
        <w:t xml:space="preserve">Ashfield District covers an area of 10,956 hectares and has a population of </w:t>
      </w:r>
      <w:r w:rsidRPr="003C7E62">
        <w:rPr>
          <w:rFonts w:eastAsia="Calibri" w:cs="Arial"/>
          <w:szCs w:val="24"/>
        </w:rPr>
        <w:t>127,918</w:t>
      </w:r>
      <w:r w:rsidRPr="003C7E62">
        <w:rPr>
          <w:rFonts w:eastAsia="Calibri" w:cs="Arial"/>
          <w:szCs w:val="24"/>
          <w:vertAlign w:val="superscript"/>
        </w:rPr>
        <w:footnoteReference w:id="16"/>
      </w:r>
      <w:r w:rsidRPr="003C7E62">
        <w:rPr>
          <w:rFonts w:eastAsia="Calibri" w:cs="Arial"/>
          <w:szCs w:val="24"/>
        </w:rPr>
        <w:t xml:space="preserve">.  The district </w:t>
      </w:r>
      <w:r w:rsidRPr="003C7E62">
        <w:rPr>
          <w:rFonts w:eastAsia="Arial" w:cs="Arial"/>
          <w:szCs w:val="24"/>
        </w:rPr>
        <w:t xml:space="preserve">is located on the western side of Nottinghamshire in the East Midlands Region and adjoins seven others as shown in </w:t>
      </w:r>
      <w:r w:rsidR="00B71F41" w:rsidRPr="00EC70AF">
        <w:rPr>
          <w:rFonts w:eastAsia="Arial" w:cs="Arial"/>
          <w:szCs w:val="24"/>
        </w:rPr>
        <w:t>Figure</w:t>
      </w:r>
      <w:r w:rsidRPr="00EC70AF">
        <w:rPr>
          <w:rFonts w:eastAsia="Arial" w:cs="Arial"/>
          <w:szCs w:val="24"/>
        </w:rPr>
        <w:t xml:space="preserve"> 1</w:t>
      </w:r>
      <w:r w:rsidRPr="003C7E62">
        <w:rPr>
          <w:rFonts w:eastAsia="Arial" w:cs="Arial"/>
          <w:szCs w:val="24"/>
        </w:rPr>
        <w:t xml:space="preserve"> below, including the City of Nottingham to the South, Mansfield to the east and Bolsover in Derbyshire to the west.</w:t>
      </w:r>
      <w:r w:rsidR="00F66CEF" w:rsidRPr="00F66CEF">
        <w:rPr>
          <w:rFonts w:eastAsia="Calibri"/>
          <w:noProof/>
          <w:color w:val="auto"/>
        </w:rPr>
        <w:t xml:space="preserve"> </w:t>
      </w:r>
    </w:p>
    <w:p w14:paraId="2F56412D" w14:textId="020B1FA4" w:rsidR="008C72B3" w:rsidRDefault="008C72B3" w:rsidP="008C72B3">
      <w:pPr>
        <w:keepNext w:val="0"/>
        <w:autoSpaceDE w:val="0"/>
        <w:autoSpaceDN w:val="0"/>
        <w:adjustRightInd w:val="0"/>
        <w:spacing w:before="0"/>
        <w:rPr>
          <w:rFonts w:eastAsia="Calibri"/>
          <w:noProof/>
          <w:color w:val="auto"/>
        </w:rPr>
      </w:pPr>
    </w:p>
    <w:p w14:paraId="4558943E" w14:textId="1988C12B" w:rsidR="008C72B3" w:rsidRDefault="008C72B3" w:rsidP="008C72B3">
      <w:pPr>
        <w:keepNext w:val="0"/>
        <w:autoSpaceDE w:val="0"/>
        <w:autoSpaceDN w:val="0"/>
        <w:adjustRightInd w:val="0"/>
        <w:spacing w:before="0"/>
        <w:rPr>
          <w:rFonts w:eastAsia="Calibri"/>
          <w:noProof/>
          <w:color w:val="auto"/>
        </w:rPr>
      </w:pPr>
    </w:p>
    <w:p w14:paraId="214AB231" w14:textId="667F81A0" w:rsidR="00F66CEF" w:rsidRPr="00825421" w:rsidRDefault="00CB6138" w:rsidP="00A945FD">
      <w:pPr>
        <w:pStyle w:val="Heading3"/>
        <w:ind w:left="556" w:firstLine="720"/>
      </w:pPr>
      <w:r>
        <w:rPr>
          <w:noProof/>
        </w:rPr>
        <w:drawing>
          <wp:inline distT="0" distB="0" distL="0" distR="0" wp14:anchorId="619DB7F9" wp14:editId="6D49AFE3">
            <wp:extent cx="4546800" cy="6429600"/>
            <wp:effectExtent l="19050" t="19050" r="25400" b="9525"/>
            <wp:docPr id="133704680" name="Picture 1" descr="The District of Ashfield and surrounding area&#10;Source: Ashfield District Counci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704680" name="Picture 1" descr="The District of Ashfield and surrounding area&#10;Source: Ashfield District Council&#1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546800" cy="6429600"/>
                    </a:xfrm>
                    <a:prstGeom prst="rect">
                      <a:avLst/>
                    </a:prstGeom>
                    <a:ln>
                      <a:solidFill>
                        <a:schemeClr val="tx1"/>
                      </a:solidFill>
                    </a:ln>
                  </pic:spPr>
                </pic:pic>
              </a:graphicData>
            </a:graphic>
          </wp:inline>
        </w:drawing>
      </w:r>
      <w:r w:rsidR="00EC70AF" w:rsidRPr="00825421">
        <w:t xml:space="preserve">Figure 1: The </w:t>
      </w:r>
      <w:r w:rsidR="008C72B3" w:rsidRPr="00825421">
        <w:t>D</w:t>
      </w:r>
      <w:r w:rsidR="00EC70AF" w:rsidRPr="00825421">
        <w:t>istrict of Ashfield and surrounding area</w:t>
      </w:r>
    </w:p>
    <w:p w14:paraId="4C9941A1" w14:textId="30706C38" w:rsidR="00D42EF7" w:rsidRDefault="00EC70AF" w:rsidP="00825421">
      <w:pPr>
        <w:keepNext w:val="0"/>
        <w:autoSpaceDE w:val="0"/>
        <w:autoSpaceDN w:val="0"/>
        <w:adjustRightInd w:val="0"/>
        <w:spacing w:before="0"/>
        <w:ind w:firstLine="1276"/>
        <w:rPr>
          <w:rFonts w:eastAsia="Calibri" w:cs="Arial"/>
          <w:sz w:val="20"/>
        </w:rPr>
      </w:pPr>
      <w:r w:rsidRPr="00EC70AF">
        <w:rPr>
          <w:rFonts w:eastAsia="Calibri" w:cs="Arial"/>
          <w:sz w:val="20"/>
        </w:rPr>
        <w:t>Source: Ashfield District Council</w:t>
      </w:r>
    </w:p>
    <w:p w14:paraId="0D50D6EE" w14:textId="77777777" w:rsidR="00CB6138" w:rsidRDefault="00CB6138" w:rsidP="00CB6138">
      <w:pPr>
        <w:keepNext w:val="0"/>
        <w:autoSpaceDE w:val="0"/>
        <w:autoSpaceDN w:val="0"/>
        <w:adjustRightInd w:val="0"/>
        <w:spacing w:before="0"/>
        <w:ind w:left="1418" w:firstLine="11"/>
        <w:rPr>
          <w:rFonts w:eastAsia="Calibri" w:cs="Arial"/>
          <w:sz w:val="20"/>
        </w:rPr>
      </w:pPr>
    </w:p>
    <w:p w14:paraId="5DCF5777" w14:textId="77777777" w:rsidR="00CB6138" w:rsidRDefault="00CB6138" w:rsidP="0020285D">
      <w:pPr>
        <w:keepNext w:val="0"/>
        <w:autoSpaceDE w:val="0"/>
        <w:autoSpaceDN w:val="0"/>
        <w:adjustRightInd w:val="0"/>
        <w:spacing w:before="0"/>
        <w:ind w:left="2138" w:firstLine="11"/>
        <w:rPr>
          <w:rFonts w:eastAsia="Calibri" w:cs="Arial"/>
          <w:sz w:val="20"/>
        </w:rPr>
      </w:pPr>
    </w:p>
    <w:p w14:paraId="77CC3F79" w14:textId="519D9CE5" w:rsidR="005E21D7" w:rsidRPr="005E21D7" w:rsidRDefault="005E21D7" w:rsidP="00D01157">
      <w:pPr>
        <w:keepNext w:val="0"/>
        <w:numPr>
          <w:ilvl w:val="1"/>
          <w:numId w:val="52"/>
        </w:numPr>
        <w:autoSpaceDE w:val="0"/>
        <w:autoSpaceDN w:val="0"/>
        <w:adjustRightInd w:val="0"/>
        <w:spacing w:before="0"/>
        <w:ind w:left="709" w:hanging="709"/>
        <w:rPr>
          <w:rFonts w:cs="Arial"/>
          <w:color w:val="538135"/>
          <w:szCs w:val="24"/>
        </w:rPr>
      </w:pPr>
      <w:r w:rsidRPr="005E21D7">
        <w:rPr>
          <w:rFonts w:cs="Arial"/>
          <w:color w:val="auto"/>
          <w:szCs w:val="24"/>
        </w:rPr>
        <w:t>The District benefits from a number of high-quality transport links (Figure 1), with the M1 dissecting the District, providing communities and businesses with access to the motorway network via Junctions 27 and 28 (adjacent to the District).   The A38 provides a major east- west route across the District</w:t>
      </w:r>
      <w:r w:rsidR="00266968">
        <w:rPr>
          <w:rFonts w:cs="Arial"/>
          <w:color w:val="auto"/>
          <w:szCs w:val="24"/>
        </w:rPr>
        <w:t xml:space="preserve">, as does the </w:t>
      </w:r>
      <w:r w:rsidRPr="005E21D7">
        <w:rPr>
          <w:rFonts w:cs="Arial"/>
          <w:color w:val="auto"/>
          <w:szCs w:val="24"/>
        </w:rPr>
        <w:t xml:space="preserve">A611 </w:t>
      </w:r>
      <w:r w:rsidR="00266968">
        <w:rPr>
          <w:rFonts w:cs="Arial"/>
          <w:color w:val="auto"/>
          <w:szCs w:val="24"/>
        </w:rPr>
        <w:t xml:space="preserve">which </w:t>
      </w:r>
      <w:r w:rsidRPr="005E21D7">
        <w:rPr>
          <w:rFonts w:cs="Arial"/>
          <w:color w:val="auto"/>
          <w:szCs w:val="24"/>
        </w:rPr>
        <w:t xml:space="preserve">links </w:t>
      </w:r>
      <w:r w:rsidRPr="005E21D7">
        <w:rPr>
          <w:rFonts w:cs="Arial"/>
          <w:color w:val="auto"/>
          <w:szCs w:val="24"/>
        </w:rPr>
        <w:lastRenderedPageBreak/>
        <w:t>the District to the City of Nottingham.  For cycling, the National Cycle Route</w:t>
      </w:r>
      <w:r w:rsidR="00D4225A">
        <w:rPr>
          <w:rStyle w:val="FootnoteReference"/>
          <w:rFonts w:cs="Arial"/>
          <w:color w:val="auto"/>
          <w:szCs w:val="24"/>
        </w:rPr>
        <w:footnoteReference w:id="17"/>
      </w:r>
      <w:r w:rsidRPr="005E21D7">
        <w:rPr>
          <w:rFonts w:cs="Arial"/>
          <w:color w:val="auto"/>
          <w:szCs w:val="24"/>
        </w:rPr>
        <w:t xml:space="preserve"> runs through the District.  In addition, there are also </w:t>
      </w:r>
      <w:r w:rsidR="00D4225A">
        <w:rPr>
          <w:rFonts w:cs="Arial"/>
          <w:color w:val="auto"/>
          <w:szCs w:val="24"/>
        </w:rPr>
        <w:t xml:space="preserve">freight and </w:t>
      </w:r>
      <w:r w:rsidR="00825421">
        <w:rPr>
          <w:rFonts w:cs="Arial"/>
          <w:color w:val="auto"/>
          <w:szCs w:val="24"/>
        </w:rPr>
        <w:t>passenger</w:t>
      </w:r>
      <w:r w:rsidRPr="005E21D7">
        <w:rPr>
          <w:rFonts w:cs="Arial"/>
          <w:color w:val="auto"/>
          <w:szCs w:val="24"/>
        </w:rPr>
        <w:t xml:space="preserve"> rail connections that link Ashfield with the wider area.  The Robin Hood Line runs through the District from Worksop to Nottingham with stations at Hucknall, Kirkby-in-Ashfield and Sutton Parkway.  The Nottingham Express Transit (NET) runs from Hucknall into Nottingham and other parts of Greater Nottingham including Clifton and Beeston.  </w:t>
      </w:r>
      <w:r w:rsidR="0040372C" w:rsidRPr="0040372C">
        <w:rPr>
          <w:rFonts w:cs="Arial"/>
          <w:color w:val="auto"/>
          <w:szCs w:val="24"/>
        </w:rPr>
        <w:t>The Government removed the section of HS2 from Birmingham to East Midlands in October 2023 but has restated its commitment to transportation projects in the East Midlands area.  The safeguarded route for HS2 in Ashfield remains at this time.  Maid Marian Line and Robin Hood line and electrification of the line to Nottingham all remain priorities for wider connectivity in the region.</w:t>
      </w:r>
    </w:p>
    <w:p w14:paraId="351655AE" w14:textId="77777777" w:rsidR="005E21D7" w:rsidRPr="005E21D7" w:rsidRDefault="005E21D7" w:rsidP="005E21D7">
      <w:pPr>
        <w:keepNext w:val="0"/>
        <w:autoSpaceDE w:val="0"/>
        <w:autoSpaceDN w:val="0"/>
        <w:adjustRightInd w:val="0"/>
        <w:spacing w:before="0"/>
        <w:ind w:left="709"/>
        <w:rPr>
          <w:rFonts w:cs="Arial"/>
          <w:color w:val="538135"/>
          <w:szCs w:val="24"/>
        </w:rPr>
      </w:pPr>
    </w:p>
    <w:p w14:paraId="10E4D87C" w14:textId="77BEB045" w:rsidR="00100330" w:rsidRPr="003C7E62" w:rsidRDefault="00100330" w:rsidP="00D01157">
      <w:pPr>
        <w:keepNext w:val="0"/>
        <w:numPr>
          <w:ilvl w:val="1"/>
          <w:numId w:val="52"/>
        </w:numPr>
        <w:autoSpaceDE w:val="0"/>
        <w:autoSpaceDN w:val="0"/>
        <w:adjustRightInd w:val="0"/>
        <w:spacing w:before="0"/>
        <w:ind w:left="709" w:hanging="709"/>
        <w:rPr>
          <w:rFonts w:cs="Arial"/>
          <w:color w:val="538135"/>
          <w:szCs w:val="24"/>
        </w:rPr>
      </w:pPr>
      <w:r w:rsidRPr="003C7E62">
        <w:rPr>
          <w:rFonts w:eastAsia="Calibri" w:cs="Arial"/>
          <w:bCs/>
          <w:szCs w:val="24"/>
        </w:rPr>
        <w:t>The Rural-Urban Classification of Local Authority</w:t>
      </w:r>
      <w:r w:rsidRPr="003C7E62">
        <w:rPr>
          <w:rFonts w:eastAsia="Calibri" w:cs="Arial"/>
          <w:bCs/>
          <w:szCs w:val="24"/>
          <w:vertAlign w:val="superscript"/>
        </w:rPr>
        <w:footnoteReference w:id="18"/>
      </w:r>
      <w:r w:rsidRPr="003C7E62">
        <w:rPr>
          <w:rFonts w:eastAsia="Calibri" w:cs="Arial"/>
          <w:bCs/>
          <w:szCs w:val="24"/>
        </w:rPr>
        <w:t xml:space="preserve"> sets out Ashfield as “Urban with City and Town”.  This identifies that the majority of the resident population in the District live in the urban settlements. </w:t>
      </w:r>
    </w:p>
    <w:p w14:paraId="2A5DD1A1" w14:textId="77777777" w:rsidR="00606546" w:rsidRPr="003C7E62" w:rsidRDefault="00606546" w:rsidP="00606546">
      <w:pPr>
        <w:keepNext w:val="0"/>
        <w:autoSpaceDE w:val="0"/>
        <w:autoSpaceDN w:val="0"/>
        <w:adjustRightInd w:val="0"/>
        <w:spacing w:before="0"/>
        <w:rPr>
          <w:rFonts w:cs="Arial"/>
          <w:color w:val="538135"/>
          <w:szCs w:val="24"/>
        </w:rPr>
      </w:pPr>
    </w:p>
    <w:p w14:paraId="79306EE5" w14:textId="57D273BC" w:rsidR="00EC70AF" w:rsidRPr="00EC70AF" w:rsidRDefault="00100330" w:rsidP="00D01157">
      <w:pPr>
        <w:keepNext w:val="0"/>
        <w:numPr>
          <w:ilvl w:val="1"/>
          <w:numId w:val="52"/>
        </w:numPr>
        <w:autoSpaceDE w:val="0"/>
        <w:autoSpaceDN w:val="0"/>
        <w:adjustRightInd w:val="0"/>
        <w:spacing w:before="0"/>
        <w:ind w:left="709" w:hanging="709"/>
        <w:rPr>
          <w:rFonts w:cs="Arial"/>
          <w:szCs w:val="24"/>
        </w:rPr>
      </w:pPr>
      <w:r w:rsidRPr="003C7E62">
        <w:rPr>
          <w:rFonts w:eastAsia="Arial" w:cs="Arial"/>
          <w:szCs w:val="24"/>
        </w:rPr>
        <w:t>There are three main urban areas in the District where housing, jobs and services are largely concentrated (</w:t>
      </w:r>
      <w:r w:rsidR="00B71F41" w:rsidRPr="000E1591">
        <w:rPr>
          <w:rFonts w:eastAsia="Arial" w:cs="Arial"/>
          <w:szCs w:val="24"/>
        </w:rPr>
        <w:t xml:space="preserve">Figure </w:t>
      </w:r>
      <w:r w:rsidRPr="000E1591">
        <w:rPr>
          <w:rFonts w:eastAsia="Arial" w:cs="Arial"/>
          <w:szCs w:val="24"/>
        </w:rPr>
        <w:t>1).</w:t>
      </w:r>
      <w:r w:rsidRPr="003C7E62">
        <w:rPr>
          <w:rFonts w:eastAsia="Arial" w:cs="Arial"/>
          <w:szCs w:val="24"/>
        </w:rPr>
        <w:t xml:space="preserve"> Hucknall lies immediately north of Nottingham in the south of the District, whilst Kirkby-in-Ashfield and Sutton-in-Ashfield are to the north and include the adjoining settlements of Kirkby Woodhouse, Annesley Woodhouse, Nuncargate, Huthwaite, Stanton Hill and Skegby.  </w:t>
      </w:r>
      <w:r w:rsidR="00EC70AF">
        <w:rPr>
          <w:rFonts w:eastAsia="Arial" w:cs="Arial"/>
          <w:szCs w:val="24"/>
        </w:rPr>
        <w:t xml:space="preserve">  The three town centres have an important economic and social role.   </w:t>
      </w:r>
      <w:r w:rsidR="00EC70AF" w:rsidRPr="00EC70AF">
        <w:rPr>
          <w:rFonts w:cs="Arial"/>
          <w:szCs w:val="24"/>
        </w:rPr>
        <w:t>A</w:t>
      </w:r>
      <w:r w:rsidR="00EC70AF">
        <w:rPr>
          <w:rFonts w:cs="Arial"/>
          <w:szCs w:val="24"/>
        </w:rPr>
        <w:t xml:space="preserve">n </w:t>
      </w:r>
      <w:r w:rsidR="00EC70AF" w:rsidRPr="00EC70AF">
        <w:rPr>
          <w:rFonts w:cs="Arial"/>
          <w:szCs w:val="24"/>
        </w:rPr>
        <w:t xml:space="preserve">analysis of the town centres is set out in the Ashfield </w:t>
      </w:r>
      <w:r w:rsidR="00106B8C">
        <w:rPr>
          <w:rFonts w:cs="Arial"/>
          <w:szCs w:val="24"/>
        </w:rPr>
        <w:t xml:space="preserve">Town Centre / Local Centre </w:t>
      </w:r>
      <w:r w:rsidR="00EC70AF" w:rsidRPr="00EC70AF">
        <w:rPr>
          <w:rFonts w:cs="Arial"/>
          <w:szCs w:val="24"/>
        </w:rPr>
        <w:t>Study, 20</w:t>
      </w:r>
      <w:r w:rsidR="00AF5874">
        <w:rPr>
          <w:rFonts w:cs="Arial"/>
          <w:szCs w:val="24"/>
        </w:rPr>
        <w:t>23</w:t>
      </w:r>
      <w:r w:rsidR="00EC70AF" w:rsidRPr="00EC70AF">
        <w:rPr>
          <w:rFonts w:cs="Arial"/>
          <w:szCs w:val="24"/>
        </w:rPr>
        <w:t>.</w:t>
      </w:r>
    </w:p>
    <w:p w14:paraId="44D6B20E" w14:textId="77777777" w:rsidR="00EC70AF" w:rsidRPr="00EC70AF" w:rsidRDefault="00EC70AF" w:rsidP="00EC70AF">
      <w:pPr>
        <w:keepNext w:val="0"/>
        <w:autoSpaceDE w:val="0"/>
        <w:autoSpaceDN w:val="0"/>
        <w:adjustRightInd w:val="0"/>
        <w:spacing w:before="0"/>
        <w:rPr>
          <w:rFonts w:cs="Arial"/>
          <w:szCs w:val="24"/>
        </w:rPr>
      </w:pPr>
    </w:p>
    <w:p w14:paraId="03DAF6C4" w14:textId="0B477F6D" w:rsidR="00100330" w:rsidRPr="003C7E62" w:rsidRDefault="00100330" w:rsidP="00D01157">
      <w:pPr>
        <w:keepNext w:val="0"/>
        <w:numPr>
          <w:ilvl w:val="1"/>
          <w:numId w:val="52"/>
        </w:numPr>
        <w:autoSpaceDE w:val="0"/>
        <w:autoSpaceDN w:val="0"/>
        <w:adjustRightInd w:val="0"/>
        <w:spacing w:before="0"/>
        <w:ind w:left="709" w:hanging="709"/>
        <w:rPr>
          <w:rFonts w:cs="Arial"/>
          <w:szCs w:val="24"/>
        </w:rPr>
      </w:pPr>
      <w:r w:rsidRPr="003C7E62">
        <w:rPr>
          <w:rFonts w:eastAsia="Calibri" w:cs="Arial"/>
          <w:szCs w:val="24"/>
        </w:rPr>
        <w:t>The villages of Jacksdale, Selston and Underwood are more rural in nature and whilst they also contain significant residential areas, they lack the concentration of employment opportunities and services found in the three towns. The remainder of the District is primarily countryside but contains a number of smaller settlements including Bagthorpe, Teversal, Fackley and New Annesley together with smaller hamlets.</w:t>
      </w:r>
    </w:p>
    <w:p w14:paraId="3BF2F530" w14:textId="77777777" w:rsidR="00606546" w:rsidRPr="003C7E62" w:rsidRDefault="00606546" w:rsidP="00606546">
      <w:pPr>
        <w:keepNext w:val="0"/>
        <w:autoSpaceDE w:val="0"/>
        <w:autoSpaceDN w:val="0"/>
        <w:adjustRightInd w:val="0"/>
        <w:spacing w:before="0"/>
        <w:rPr>
          <w:rFonts w:cs="Arial"/>
          <w:szCs w:val="24"/>
          <w:highlight w:val="yellow"/>
        </w:rPr>
      </w:pPr>
      <w:bookmarkStart w:id="14" w:name="_Hlk75954025"/>
    </w:p>
    <w:bookmarkEnd w:id="14"/>
    <w:p w14:paraId="701A9B16" w14:textId="56E761E2" w:rsidR="00100330" w:rsidRPr="00CB6138" w:rsidRDefault="00100330" w:rsidP="00D01157">
      <w:pPr>
        <w:keepNext w:val="0"/>
        <w:numPr>
          <w:ilvl w:val="1"/>
          <w:numId w:val="52"/>
        </w:numPr>
        <w:autoSpaceDE w:val="0"/>
        <w:autoSpaceDN w:val="0"/>
        <w:adjustRightInd w:val="0"/>
        <w:spacing w:before="0"/>
        <w:ind w:left="709" w:hanging="709"/>
        <w:rPr>
          <w:rFonts w:cs="Arial"/>
          <w:color w:val="0070C0"/>
          <w:szCs w:val="24"/>
        </w:rPr>
      </w:pPr>
      <w:r w:rsidRPr="003C7E62">
        <w:rPr>
          <w:rFonts w:eastAsia="Calibri" w:cs="Arial"/>
          <w:szCs w:val="24"/>
        </w:rPr>
        <w:t xml:space="preserve">Across </w:t>
      </w:r>
      <w:r w:rsidRPr="003C7E62">
        <w:rPr>
          <w:rFonts w:eastAsia="Arial" w:cs="Arial"/>
          <w:szCs w:val="24"/>
        </w:rPr>
        <w:t xml:space="preserve">Ashfield lie a number of important historic and environmental assets which </w:t>
      </w:r>
      <w:r w:rsidRPr="003C7E62">
        <w:rPr>
          <w:rFonts w:eastAsia="Arial" w:cs="Arial"/>
          <w:color w:val="auto"/>
          <w:szCs w:val="24"/>
        </w:rPr>
        <w:t xml:space="preserve">play an important role in characterising the rural and urban environments. These include a number of listed and locally listed buildings, scheduled monuments, conservation areas, registered and local historic parks and gardens.  Both Hardwick Hall and the Old Hall are Grade I listed, which is the highest designation.  Both are located just outside the District boundary but </w:t>
      </w:r>
      <w:r w:rsidR="00574048" w:rsidRPr="003C7E62">
        <w:rPr>
          <w:rFonts w:eastAsia="Arial" w:cs="Arial"/>
          <w:color w:val="auto"/>
          <w:szCs w:val="24"/>
        </w:rPr>
        <w:t>any development in th</w:t>
      </w:r>
      <w:r w:rsidRPr="003C7E62">
        <w:rPr>
          <w:rFonts w:eastAsia="Arial" w:cs="Arial"/>
          <w:color w:val="auto"/>
          <w:szCs w:val="24"/>
        </w:rPr>
        <w:t>e northern part of the District will impact on the setting of these exceptional historic assets.  Hardwick Hall’s Park and Gardens extend into Ashfield and are a Grade 1 Registered Park</w:t>
      </w:r>
      <w:r w:rsidR="00574048" w:rsidRPr="003C7E62">
        <w:rPr>
          <w:rFonts w:eastAsia="Arial" w:cs="Arial"/>
          <w:color w:val="auto"/>
          <w:szCs w:val="24"/>
        </w:rPr>
        <w:t xml:space="preserve"> and</w:t>
      </w:r>
      <w:r w:rsidRPr="003C7E62">
        <w:rPr>
          <w:rFonts w:eastAsia="Arial" w:cs="Arial"/>
          <w:color w:val="auto"/>
          <w:szCs w:val="24"/>
        </w:rPr>
        <w:t xml:space="preserve"> Garden.  </w:t>
      </w:r>
      <w:r w:rsidR="00DB66DD" w:rsidRPr="003943F3">
        <w:rPr>
          <w:rFonts w:eastAsia="Arial" w:cs="Arial"/>
          <w:szCs w:val="24"/>
        </w:rPr>
        <w:t xml:space="preserve">St Katherine's Church in Teversal is also Grade I listed.  </w:t>
      </w:r>
      <w:r w:rsidRPr="003943F3">
        <w:rPr>
          <w:rFonts w:eastAsia="Arial" w:cs="Arial"/>
          <w:szCs w:val="24"/>
        </w:rPr>
        <w:t>Annesley Hall, near Junc</w:t>
      </w:r>
      <w:r w:rsidRPr="003C7E62">
        <w:rPr>
          <w:rFonts w:eastAsia="Arial" w:cs="Arial"/>
          <w:color w:val="auto"/>
          <w:szCs w:val="24"/>
        </w:rPr>
        <w:t xml:space="preserve">tion 27 of the M1, is a Grade II listed building.  Its associated Park and Gardens are also listed under the Register of Parks and </w:t>
      </w:r>
      <w:r w:rsidRPr="003C7E62">
        <w:rPr>
          <w:rFonts w:eastAsia="Arial" w:cs="Arial"/>
          <w:color w:val="auto"/>
          <w:szCs w:val="24"/>
        </w:rPr>
        <w:lastRenderedPageBreak/>
        <w:t>Gardens of Special Historic Interest in England (Grade II*).</w:t>
      </w:r>
      <w:r w:rsidRPr="003C7E62">
        <w:rPr>
          <w:rFonts w:cs="Arial"/>
          <w:color w:val="auto"/>
          <w:szCs w:val="24"/>
        </w:rPr>
        <w:t xml:space="preserve">  </w:t>
      </w:r>
      <w:r w:rsidRPr="003C7E62">
        <w:rPr>
          <w:rFonts w:eastAsia="Arial" w:cs="Arial"/>
          <w:color w:val="auto"/>
          <w:szCs w:val="24"/>
        </w:rPr>
        <w:t>Felley Priory, an adjoining garden wall and a complex of stables/other buildings are Grade II listed.</w:t>
      </w:r>
    </w:p>
    <w:p w14:paraId="59D68E01" w14:textId="77777777" w:rsidR="00CB6138" w:rsidRPr="003C7E62" w:rsidRDefault="00CB6138" w:rsidP="00CB6138">
      <w:pPr>
        <w:keepNext w:val="0"/>
        <w:autoSpaceDE w:val="0"/>
        <w:autoSpaceDN w:val="0"/>
        <w:adjustRightInd w:val="0"/>
        <w:spacing w:before="0"/>
        <w:rPr>
          <w:rFonts w:cs="Arial"/>
          <w:color w:val="0070C0"/>
          <w:szCs w:val="24"/>
        </w:rPr>
      </w:pPr>
    </w:p>
    <w:p w14:paraId="0E39AD20" w14:textId="246E9811" w:rsidR="00726C44" w:rsidRPr="003943F3" w:rsidRDefault="00100330" w:rsidP="00726C44">
      <w:pPr>
        <w:keepNext w:val="0"/>
        <w:numPr>
          <w:ilvl w:val="1"/>
          <w:numId w:val="52"/>
        </w:numPr>
        <w:autoSpaceDE w:val="0"/>
        <w:autoSpaceDN w:val="0"/>
        <w:adjustRightInd w:val="0"/>
        <w:spacing w:before="0"/>
        <w:ind w:left="709" w:hanging="709"/>
        <w:rPr>
          <w:rFonts w:cs="Arial"/>
          <w:szCs w:val="24"/>
        </w:rPr>
      </w:pPr>
      <w:r w:rsidRPr="003C7E62">
        <w:rPr>
          <w:rFonts w:cs="Arial"/>
          <w:szCs w:val="24"/>
        </w:rPr>
        <w:t xml:space="preserve">In terms of ecology there are </w:t>
      </w:r>
      <w:bookmarkStart w:id="15" w:name="_Hlk140755905"/>
      <w:r w:rsidRPr="003C7E62">
        <w:rPr>
          <w:rFonts w:cs="Arial"/>
          <w:szCs w:val="24"/>
        </w:rPr>
        <w:t xml:space="preserve">a significant number of nationally important designations including </w:t>
      </w:r>
      <w:r w:rsidRPr="003C7E62">
        <w:rPr>
          <w:rFonts w:eastAsia="Arial" w:cs="Arial"/>
          <w:szCs w:val="24"/>
        </w:rPr>
        <w:t>ancient woodlands, and S</w:t>
      </w:r>
      <w:r w:rsidR="00574048" w:rsidRPr="003C7E62">
        <w:rPr>
          <w:rFonts w:eastAsia="Arial" w:cs="Arial"/>
          <w:szCs w:val="24"/>
        </w:rPr>
        <w:t xml:space="preserve">ites of </w:t>
      </w:r>
      <w:r w:rsidRPr="003C7E62">
        <w:rPr>
          <w:rFonts w:eastAsia="Arial" w:cs="Arial"/>
          <w:szCs w:val="24"/>
        </w:rPr>
        <w:t>S</w:t>
      </w:r>
      <w:r w:rsidR="00574048" w:rsidRPr="003C7E62">
        <w:rPr>
          <w:rFonts w:eastAsia="Arial" w:cs="Arial"/>
          <w:szCs w:val="24"/>
        </w:rPr>
        <w:t xml:space="preserve">pecial </w:t>
      </w:r>
      <w:r w:rsidRPr="003C7E62">
        <w:rPr>
          <w:rFonts w:eastAsia="Arial" w:cs="Arial"/>
          <w:szCs w:val="24"/>
        </w:rPr>
        <w:t>S</w:t>
      </w:r>
      <w:r w:rsidR="00574048" w:rsidRPr="003C7E62">
        <w:rPr>
          <w:rFonts w:eastAsia="Arial" w:cs="Arial"/>
          <w:szCs w:val="24"/>
        </w:rPr>
        <w:t xml:space="preserve">cientific </w:t>
      </w:r>
      <w:r w:rsidRPr="003C7E62">
        <w:rPr>
          <w:rFonts w:eastAsia="Arial" w:cs="Arial"/>
          <w:szCs w:val="24"/>
        </w:rPr>
        <w:t>I</w:t>
      </w:r>
      <w:r w:rsidR="00574048" w:rsidRPr="003C7E62">
        <w:rPr>
          <w:rFonts w:eastAsia="Arial" w:cs="Arial"/>
          <w:szCs w:val="24"/>
        </w:rPr>
        <w:t>nterest (SSSI</w:t>
      </w:r>
      <w:r w:rsidR="00574048" w:rsidRPr="003C7E62">
        <w:rPr>
          <w:rFonts w:eastAsia="Arial" w:cs="Arial"/>
          <w:color w:val="auto"/>
          <w:szCs w:val="24"/>
        </w:rPr>
        <w:t>)</w:t>
      </w:r>
      <w:r w:rsidRPr="003C7E62">
        <w:rPr>
          <w:rFonts w:eastAsia="Arial" w:cs="Arial"/>
          <w:color w:val="auto"/>
          <w:szCs w:val="24"/>
        </w:rPr>
        <w:t>.   P</w:t>
      </w:r>
      <w:r w:rsidRPr="003C7E62">
        <w:rPr>
          <w:rFonts w:cs="Arial"/>
          <w:color w:val="auto"/>
          <w:szCs w:val="24"/>
        </w:rPr>
        <w:t xml:space="preserve">arts of Sherwood Forest have been identified as being </w:t>
      </w:r>
      <w:r w:rsidRPr="003943F3">
        <w:rPr>
          <w:rFonts w:cs="Arial"/>
          <w:szCs w:val="24"/>
        </w:rPr>
        <w:t xml:space="preserve">a </w:t>
      </w:r>
      <w:r w:rsidR="00726C44" w:rsidRPr="003943F3">
        <w:rPr>
          <w:rFonts w:cs="Arial"/>
          <w:szCs w:val="24"/>
        </w:rPr>
        <w:t xml:space="preserve">possible </w:t>
      </w:r>
      <w:r w:rsidRPr="003943F3">
        <w:rPr>
          <w:rFonts w:cs="Arial"/>
          <w:szCs w:val="24"/>
        </w:rPr>
        <w:t>potential Special Protection Area (</w:t>
      </w:r>
      <w:r w:rsidR="00726C44" w:rsidRPr="003943F3">
        <w:rPr>
          <w:rFonts w:cs="Arial"/>
          <w:szCs w:val="24"/>
        </w:rPr>
        <w:t>pp</w:t>
      </w:r>
      <w:r w:rsidRPr="003943F3">
        <w:rPr>
          <w:rFonts w:cs="Arial"/>
          <w:szCs w:val="24"/>
        </w:rPr>
        <w:t>SPA) for its breeding bird (nightjar and woodlark) interest</w:t>
      </w:r>
      <w:r w:rsidRPr="003943F3">
        <w:rPr>
          <w:rFonts w:cs="Arial"/>
          <w:szCs w:val="24"/>
          <w:vertAlign w:val="superscript"/>
        </w:rPr>
        <w:footnoteReference w:id="19"/>
      </w:r>
      <w:r w:rsidRPr="003943F3">
        <w:rPr>
          <w:rFonts w:cs="Arial"/>
          <w:szCs w:val="24"/>
        </w:rPr>
        <w:t xml:space="preserve">.  A </w:t>
      </w:r>
      <w:r w:rsidR="00574048" w:rsidRPr="003943F3">
        <w:rPr>
          <w:rFonts w:cs="Arial"/>
          <w:szCs w:val="24"/>
        </w:rPr>
        <w:t>large</w:t>
      </w:r>
      <w:r w:rsidRPr="003943F3">
        <w:rPr>
          <w:rFonts w:cs="Arial"/>
          <w:szCs w:val="24"/>
        </w:rPr>
        <w:t xml:space="preserve"> number of sites </w:t>
      </w:r>
      <w:r w:rsidR="00574048" w:rsidRPr="003943F3">
        <w:rPr>
          <w:rFonts w:cs="Arial"/>
          <w:szCs w:val="24"/>
        </w:rPr>
        <w:t xml:space="preserve">have also </w:t>
      </w:r>
      <w:r w:rsidRPr="003943F3">
        <w:rPr>
          <w:rFonts w:cs="Arial"/>
          <w:szCs w:val="24"/>
        </w:rPr>
        <w:t xml:space="preserve">been identified as Local Wildlife Sites. </w:t>
      </w:r>
    </w:p>
    <w:p w14:paraId="5F4D2E5A" w14:textId="77777777" w:rsidR="00726C44" w:rsidRPr="003943F3" w:rsidRDefault="00726C44" w:rsidP="00726C44">
      <w:pPr>
        <w:keepNext w:val="0"/>
        <w:autoSpaceDE w:val="0"/>
        <w:autoSpaceDN w:val="0"/>
        <w:adjustRightInd w:val="0"/>
        <w:spacing w:before="0"/>
        <w:ind w:left="709"/>
        <w:rPr>
          <w:rFonts w:cs="Arial"/>
          <w:szCs w:val="24"/>
        </w:rPr>
      </w:pPr>
    </w:p>
    <w:p w14:paraId="1C763FCA" w14:textId="6FFE69D2" w:rsidR="00726C44" w:rsidRPr="003943F3" w:rsidRDefault="00726C44" w:rsidP="0092148E">
      <w:pPr>
        <w:keepNext w:val="0"/>
        <w:numPr>
          <w:ilvl w:val="1"/>
          <w:numId w:val="52"/>
        </w:numPr>
        <w:autoSpaceDE w:val="0"/>
        <w:autoSpaceDN w:val="0"/>
        <w:adjustRightInd w:val="0"/>
        <w:spacing w:before="0"/>
        <w:ind w:left="709" w:hanging="709"/>
        <w:rPr>
          <w:rFonts w:cs="Arial"/>
          <w:szCs w:val="24"/>
        </w:rPr>
      </w:pPr>
      <w:r w:rsidRPr="003943F3">
        <w:t xml:space="preserve">The whole of </w:t>
      </w:r>
      <w:r w:rsidR="00B23B4B" w:rsidRPr="003943F3">
        <w:t>Ashfield</w:t>
      </w:r>
      <w:r w:rsidRPr="003943F3">
        <w:t xml:space="preserve"> </w:t>
      </w:r>
      <w:r w:rsidR="00B23B4B" w:rsidRPr="003943F3">
        <w:t>D</w:t>
      </w:r>
      <w:r w:rsidRPr="003943F3">
        <w:t>istrict lies within the Greenwood Community Forest</w:t>
      </w:r>
      <w:r w:rsidR="00B23B4B" w:rsidRPr="003943F3">
        <w:t xml:space="preserve"> and is o</w:t>
      </w:r>
      <w:r w:rsidRPr="003943F3">
        <w:t xml:space="preserve">ne of 13 Community Forests across </w:t>
      </w:r>
      <w:r w:rsidR="00B23B4B" w:rsidRPr="003943F3">
        <w:t xml:space="preserve">England.  The </w:t>
      </w:r>
      <w:r w:rsidRPr="003943F3">
        <w:t xml:space="preserve">Greenwood Community Forest enables Nottinghamshire communities to create, improve and enjoy woodlands and other high quality accessible spaces in a sustainable way that benefits the environment, </w:t>
      </w:r>
      <w:r w:rsidR="00B23B4B" w:rsidRPr="003943F3">
        <w:t>l</w:t>
      </w:r>
      <w:r w:rsidRPr="003943F3">
        <w:t>andscape and the local economy.</w:t>
      </w:r>
      <w:r w:rsidR="00B23B4B" w:rsidRPr="003943F3">
        <w:t xml:space="preserve">  </w:t>
      </w:r>
      <w:r w:rsidRPr="003943F3">
        <w:t xml:space="preserve">The District Council is actively involved, along with other bodies, in </w:t>
      </w:r>
      <w:r w:rsidR="00B23B4B" w:rsidRPr="003943F3">
        <w:t>the Greenwood Partnership</w:t>
      </w:r>
      <w:r w:rsidRPr="003943F3">
        <w:t xml:space="preserve">. </w:t>
      </w:r>
    </w:p>
    <w:bookmarkEnd w:id="15"/>
    <w:p w14:paraId="426B4562" w14:textId="77777777" w:rsidR="00BB60DE" w:rsidRPr="003943F3" w:rsidRDefault="00BB60DE" w:rsidP="00BB60DE">
      <w:pPr>
        <w:keepNext w:val="0"/>
        <w:autoSpaceDE w:val="0"/>
        <w:autoSpaceDN w:val="0"/>
        <w:adjustRightInd w:val="0"/>
        <w:spacing w:before="0"/>
        <w:rPr>
          <w:rFonts w:cs="Arial"/>
          <w:szCs w:val="24"/>
        </w:rPr>
      </w:pPr>
    </w:p>
    <w:p w14:paraId="20E122AC" w14:textId="6DB714D3" w:rsidR="000E1591" w:rsidRPr="000B4F46" w:rsidRDefault="00100330" w:rsidP="000E1591">
      <w:pPr>
        <w:keepNext w:val="0"/>
        <w:numPr>
          <w:ilvl w:val="1"/>
          <w:numId w:val="52"/>
        </w:numPr>
        <w:autoSpaceDE w:val="0"/>
        <w:autoSpaceDN w:val="0"/>
        <w:adjustRightInd w:val="0"/>
        <w:spacing w:before="0"/>
        <w:ind w:left="709" w:hanging="709"/>
        <w:rPr>
          <w:rFonts w:cs="Arial"/>
          <w:color w:val="auto"/>
          <w:szCs w:val="24"/>
        </w:rPr>
      </w:pPr>
      <w:r w:rsidRPr="003C7E62">
        <w:rPr>
          <w:rFonts w:eastAsia="Calibri" w:cs="Arial"/>
          <w:color w:val="auto"/>
          <w:szCs w:val="24"/>
        </w:rPr>
        <w:t>A substantial part of the District is also designated as part of the Nottingham and Derby Green Belt (</w:t>
      </w:r>
      <w:r w:rsidRPr="000E1591">
        <w:rPr>
          <w:rFonts w:eastAsia="Calibri" w:cs="Arial"/>
          <w:color w:val="auto"/>
          <w:szCs w:val="24"/>
        </w:rPr>
        <w:t>Figure 2)</w:t>
      </w:r>
      <w:r w:rsidRPr="003C7E62">
        <w:rPr>
          <w:rFonts w:eastAsia="Calibri" w:cs="Arial"/>
          <w:color w:val="auto"/>
          <w:szCs w:val="24"/>
        </w:rPr>
        <w:t xml:space="preserve"> and equates to approximately </w:t>
      </w:r>
      <w:r w:rsidRPr="003C7E62">
        <w:rPr>
          <w:rFonts w:eastAsia="Arial" w:cs="Arial"/>
          <w:color w:val="auto"/>
          <w:szCs w:val="24"/>
        </w:rPr>
        <w:t>41% of Ashfield.  This includes land around Hucknall, land to the south and east of Kirkby-in-Ashfield and land surrounding the rural villages of Selston, Jacksdale, Underwood and part of Brinsley.  The village</w:t>
      </w:r>
      <w:r w:rsidR="000B4F46">
        <w:rPr>
          <w:rFonts w:eastAsia="Arial" w:cs="Arial"/>
          <w:color w:val="auto"/>
          <w:szCs w:val="24"/>
        </w:rPr>
        <w:t xml:space="preserve"> o</w:t>
      </w:r>
      <w:r w:rsidRPr="003C7E62">
        <w:rPr>
          <w:rFonts w:eastAsia="Arial" w:cs="Arial"/>
          <w:color w:val="auto"/>
          <w:szCs w:val="24"/>
        </w:rPr>
        <w:t>f Bagthorpe is ‘wash</w:t>
      </w:r>
      <w:r w:rsidR="005A14BD">
        <w:rPr>
          <w:rFonts w:eastAsia="Arial" w:cs="Arial"/>
          <w:color w:val="auto"/>
          <w:szCs w:val="24"/>
        </w:rPr>
        <w:t>ed</w:t>
      </w:r>
      <w:r w:rsidRPr="003C7E62">
        <w:rPr>
          <w:rFonts w:eastAsia="Arial" w:cs="Arial"/>
          <w:color w:val="auto"/>
          <w:szCs w:val="24"/>
        </w:rPr>
        <w:t xml:space="preserve"> over’ by the Green Belt.  </w:t>
      </w:r>
      <w:bookmarkStart w:id="16" w:name="_Hlk79162589"/>
    </w:p>
    <w:bookmarkEnd w:id="16"/>
    <w:p w14:paraId="695A778F" w14:textId="534A8744" w:rsidR="009F53F8" w:rsidRDefault="000E1591" w:rsidP="009F53F8">
      <w:pPr>
        <w:pStyle w:val="ListParagraph"/>
        <w:rPr>
          <w:rFonts w:cs="Arial"/>
          <w:szCs w:val="24"/>
        </w:rPr>
      </w:pPr>
      <w:r>
        <w:rPr>
          <w:rFonts w:eastAsia="Arial"/>
          <w:noProof/>
        </w:rPr>
        <w:lastRenderedPageBreak/>
        <w:drawing>
          <wp:inline distT="0" distB="0" distL="0" distR="0" wp14:anchorId="6D340B0D" wp14:editId="1F048602">
            <wp:extent cx="5353050" cy="6895343"/>
            <wp:effectExtent l="0" t="0" r="0" b="1270"/>
            <wp:docPr id="15" name="Picture 15" descr="Figure 2: Green Belt Ashfield &amp; surrounding districts&#10;Source:  Ashfield DC&#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Figure 2: Green Belt Ashfield &amp; surrounding districts&#10;Source:  Ashfield DC&#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80952" cy="6931284"/>
                    </a:xfrm>
                    <a:prstGeom prst="rect">
                      <a:avLst/>
                    </a:prstGeom>
                    <a:noFill/>
                  </pic:spPr>
                </pic:pic>
              </a:graphicData>
            </a:graphic>
          </wp:inline>
        </w:drawing>
      </w:r>
    </w:p>
    <w:p w14:paraId="390270C8" w14:textId="3993B80E" w:rsidR="00F55758" w:rsidRDefault="00100330" w:rsidP="008731D6">
      <w:pPr>
        <w:pStyle w:val="Heading3"/>
        <w:ind w:firstLine="709"/>
        <w:rPr>
          <w:rFonts w:eastAsia="Arial"/>
        </w:rPr>
      </w:pPr>
      <w:r w:rsidRPr="003C7E62">
        <w:t xml:space="preserve">Figure 2: </w:t>
      </w:r>
      <w:r w:rsidR="00825421">
        <w:t xml:space="preserve">Nottingham &amp; Derby </w:t>
      </w:r>
      <w:r w:rsidRPr="003C7E62">
        <w:t xml:space="preserve">Green Belt </w:t>
      </w:r>
      <w:r w:rsidR="00825421">
        <w:t xml:space="preserve">in </w:t>
      </w:r>
      <w:r w:rsidRPr="003C7E62">
        <w:t xml:space="preserve">Ashfield </w:t>
      </w:r>
      <w:r w:rsidR="00825421">
        <w:t>D</w:t>
      </w:r>
      <w:r w:rsidRPr="003C7E62">
        <w:t>istrict</w:t>
      </w:r>
    </w:p>
    <w:p w14:paraId="25333F82" w14:textId="4F36C6B3" w:rsidR="00100330" w:rsidRDefault="00100330" w:rsidP="00825421">
      <w:pPr>
        <w:autoSpaceDE w:val="0"/>
        <w:autoSpaceDN w:val="0"/>
        <w:adjustRightInd w:val="0"/>
        <w:spacing w:before="0"/>
        <w:ind w:left="709" w:firstLine="142"/>
        <w:rPr>
          <w:rFonts w:eastAsia="Calibri" w:cs="Arial"/>
          <w:sz w:val="20"/>
        </w:rPr>
      </w:pPr>
      <w:r w:rsidRPr="00EC70AF">
        <w:rPr>
          <w:rFonts w:eastAsia="Calibri" w:cs="Arial"/>
          <w:sz w:val="20"/>
        </w:rPr>
        <w:t>Source:  Ashfield D</w:t>
      </w:r>
      <w:r w:rsidR="008969BA">
        <w:rPr>
          <w:rFonts w:eastAsia="Calibri" w:cs="Arial"/>
          <w:sz w:val="20"/>
        </w:rPr>
        <w:t xml:space="preserve">istrict </w:t>
      </w:r>
      <w:r w:rsidRPr="00EC70AF">
        <w:rPr>
          <w:rFonts w:eastAsia="Calibri" w:cs="Arial"/>
          <w:sz w:val="20"/>
        </w:rPr>
        <w:t>C</w:t>
      </w:r>
      <w:r w:rsidR="008969BA">
        <w:rPr>
          <w:rFonts w:eastAsia="Calibri" w:cs="Arial"/>
          <w:sz w:val="20"/>
        </w:rPr>
        <w:t>ouncil</w:t>
      </w:r>
    </w:p>
    <w:p w14:paraId="39427674" w14:textId="77777777" w:rsidR="008969BA" w:rsidRPr="00F55758" w:rsidRDefault="008969BA" w:rsidP="00F55758">
      <w:pPr>
        <w:autoSpaceDE w:val="0"/>
        <w:autoSpaceDN w:val="0"/>
        <w:adjustRightInd w:val="0"/>
        <w:spacing w:before="0"/>
        <w:ind w:left="709"/>
        <w:rPr>
          <w:rFonts w:eastAsia="Arial" w:cs="Arial"/>
          <w:szCs w:val="24"/>
        </w:rPr>
      </w:pPr>
    </w:p>
    <w:p w14:paraId="3A181CDE" w14:textId="77777777" w:rsidR="00100330" w:rsidRPr="003C7E62" w:rsidRDefault="00100330" w:rsidP="00606546">
      <w:pPr>
        <w:autoSpaceDE w:val="0"/>
        <w:autoSpaceDN w:val="0"/>
        <w:adjustRightInd w:val="0"/>
        <w:spacing w:before="0"/>
        <w:rPr>
          <w:rFonts w:cs="Arial"/>
          <w:b/>
          <w:i/>
          <w:color w:val="385623"/>
          <w:szCs w:val="24"/>
        </w:rPr>
      </w:pPr>
    </w:p>
    <w:p w14:paraId="5D3CDF79" w14:textId="6F80F53A" w:rsidR="00BB60DE" w:rsidRPr="008969BA" w:rsidRDefault="00EC70AF" w:rsidP="00BB60DE">
      <w:pPr>
        <w:keepNext w:val="0"/>
        <w:numPr>
          <w:ilvl w:val="1"/>
          <w:numId w:val="52"/>
        </w:numPr>
        <w:autoSpaceDE w:val="0"/>
        <w:autoSpaceDN w:val="0"/>
        <w:adjustRightInd w:val="0"/>
        <w:spacing w:before="0"/>
        <w:ind w:left="709" w:hanging="709"/>
        <w:rPr>
          <w:rFonts w:eastAsia="Calibri" w:cs="Arial"/>
          <w:color w:val="auto"/>
          <w:szCs w:val="24"/>
        </w:rPr>
      </w:pPr>
      <w:r w:rsidRPr="00EC70AF">
        <w:rPr>
          <w:rFonts w:cs="Arial"/>
          <w:szCs w:val="24"/>
        </w:rPr>
        <w:t>There</w:t>
      </w:r>
      <w:r w:rsidRPr="00EC70AF">
        <w:rPr>
          <w:rFonts w:eastAsia="Arial" w:cs="Arial"/>
          <w:szCs w:val="24"/>
        </w:rPr>
        <w:t xml:space="preserve"> are two parish councils located within the District - Annesley and Felley Parish Council and Selston Parish Council. There are two Neighbourhood Plans which form part of the development plan for the District:</w:t>
      </w:r>
    </w:p>
    <w:p w14:paraId="0C32FDC5" w14:textId="77777777" w:rsidR="008969BA" w:rsidRPr="00BB60DE" w:rsidRDefault="008969BA" w:rsidP="008969BA">
      <w:pPr>
        <w:keepNext w:val="0"/>
        <w:autoSpaceDE w:val="0"/>
        <w:autoSpaceDN w:val="0"/>
        <w:adjustRightInd w:val="0"/>
        <w:spacing w:before="0"/>
        <w:ind w:left="709"/>
        <w:rPr>
          <w:rFonts w:eastAsia="Calibri" w:cs="Arial"/>
          <w:color w:val="auto"/>
          <w:szCs w:val="24"/>
        </w:rPr>
      </w:pPr>
    </w:p>
    <w:p w14:paraId="795B3A95" w14:textId="6C988145" w:rsidR="00EC70AF" w:rsidRPr="00EC70AF" w:rsidRDefault="00EC70AF" w:rsidP="00D01157">
      <w:pPr>
        <w:keepNext w:val="0"/>
        <w:numPr>
          <w:ilvl w:val="0"/>
          <w:numId w:val="54"/>
        </w:numPr>
        <w:autoSpaceDE w:val="0"/>
        <w:autoSpaceDN w:val="0"/>
        <w:adjustRightInd w:val="0"/>
        <w:spacing w:before="0"/>
        <w:rPr>
          <w:rFonts w:cs="Arial"/>
          <w:szCs w:val="24"/>
        </w:rPr>
      </w:pPr>
      <w:r w:rsidRPr="00EC70AF">
        <w:rPr>
          <w:rFonts w:cs="Arial"/>
          <w:szCs w:val="24"/>
        </w:rPr>
        <w:lastRenderedPageBreak/>
        <w:t>Jacksdale, Underwood Selston Tomorrow (JUS</w:t>
      </w:r>
      <w:r w:rsidR="00416653">
        <w:rPr>
          <w:rFonts w:cs="Arial"/>
          <w:szCs w:val="24"/>
        </w:rPr>
        <w:t>-</w:t>
      </w:r>
      <w:r w:rsidRPr="00EC70AF">
        <w:rPr>
          <w:rFonts w:cs="Arial"/>
          <w:szCs w:val="24"/>
        </w:rPr>
        <w:t>t) Neighbourhood Plans</w:t>
      </w:r>
      <w:r w:rsidRPr="00EC70AF">
        <w:rPr>
          <w:rFonts w:cs="Arial"/>
          <w:szCs w:val="24"/>
          <w:vertAlign w:val="superscript"/>
        </w:rPr>
        <w:footnoteReference w:id="20"/>
      </w:r>
      <w:r w:rsidRPr="00EC70AF">
        <w:rPr>
          <w:rFonts w:cs="Arial"/>
          <w:szCs w:val="24"/>
        </w:rPr>
        <w:t xml:space="preserve"> brought forward by Selston Parish Council and covering a substantial part of the Parish of Selston.</w:t>
      </w:r>
    </w:p>
    <w:p w14:paraId="3BE35985" w14:textId="77777777" w:rsidR="00EC70AF" w:rsidRPr="00EC70AF" w:rsidRDefault="00EC70AF" w:rsidP="00EC70AF">
      <w:pPr>
        <w:autoSpaceDE w:val="0"/>
        <w:autoSpaceDN w:val="0"/>
        <w:adjustRightInd w:val="0"/>
        <w:spacing w:before="0"/>
        <w:ind w:left="1080"/>
        <w:rPr>
          <w:rFonts w:cs="Arial"/>
          <w:szCs w:val="24"/>
        </w:rPr>
      </w:pPr>
    </w:p>
    <w:p w14:paraId="1BEE12AB" w14:textId="77777777" w:rsidR="00EC70AF" w:rsidRPr="00EC70AF" w:rsidRDefault="00EC70AF" w:rsidP="00D01157">
      <w:pPr>
        <w:keepNext w:val="0"/>
        <w:numPr>
          <w:ilvl w:val="0"/>
          <w:numId w:val="54"/>
        </w:numPr>
        <w:autoSpaceDE w:val="0"/>
        <w:autoSpaceDN w:val="0"/>
        <w:adjustRightInd w:val="0"/>
        <w:spacing w:before="0"/>
        <w:rPr>
          <w:rFonts w:cs="Arial"/>
          <w:szCs w:val="24"/>
        </w:rPr>
      </w:pPr>
      <w:r w:rsidRPr="00EC70AF">
        <w:rPr>
          <w:rFonts w:cs="Arial"/>
          <w:szCs w:val="24"/>
        </w:rPr>
        <w:t>Teversal, Stanton Hill and Skegby Neighbourhood Plan</w:t>
      </w:r>
      <w:r w:rsidRPr="00EC70AF">
        <w:rPr>
          <w:rFonts w:cs="Arial"/>
          <w:szCs w:val="24"/>
          <w:vertAlign w:val="superscript"/>
        </w:rPr>
        <w:footnoteReference w:id="21"/>
      </w:r>
      <w:r w:rsidRPr="00EC70AF">
        <w:rPr>
          <w:rFonts w:cs="Arial"/>
          <w:szCs w:val="24"/>
        </w:rPr>
        <w:t xml:space="preserve"> brought forward by the Neighbourhood Forum.  The Plan covers Stanton Hill, Skegby and</w:t>
      </w:r>
      <w:r w:rsidRPr="00EC70AF">
        <w:rPr>
          <w:rFonts w:cs="Arial"/>
          <w:color w:val="538135"/>
          <w:szCs w:val="24"/>
        </w:rPr>
        <w:t xml:space="preserve"> </w:t>
      </w:r>
      <w:r w:rsidRPr="00EC70AF">
        <w:rPr>
          <w:rFonts w:cs="Arial"/>
          <w:szCs w:val="24"/>
        </w:rPr>
        <w:t>the rural area to the north of Sutton in Ashfield (including Teversal, Fackley and Stanley).</w:t>
      </w:r>
    </w:p>
    <w:p w14:paraId="174EEB50" w14:textId="77777777" w:rsidR="00EC70AF" w:rsidRPr="00EC70AF" w:rsidRDefault="00EC70AF" w:rsidP="00EC70AF">
      <w:pPr>
        <w:keepNext w:val="0"/>
        <w:autoSpaceDE w:val="0"/>
        <w:autoSpaceDN w:val="0"/>
        <w:adjustRightInd w:val="0"/>
        <w:spacing w:before="0"/>
        <w:rPr>
          <w:rFonts w:cs="Arial"/>
          <w:szCs w:val="24"/>
        </w:rPr>
      </w:pPr>
    </w:p>
    <w:p w14:paraId="45FC9671" w14:textId="7F14FF3F" w:rsidR="00CC7A92" w:rsidRPr="003C7E62" w:rsidRDefault="00CC7A92" w:rsidP="00D01157">
      <w:pPr>
        <w:keepNext w:val="0"/>
        <w:numPr>
          <w:ilvl w:val="1"/>
          <w:numId w:val="52"/>
        </w:numPr>
        <w:autoSpaceDE w:val="0"/>
        <w:autoSpaceDN w:val="0"/>
        <w:adjustRightInd w:val="0"/>
        <w:spacing w:before="0"/>
        <w:ind w:left="709" w:hanging="709"/>
        <w:rPr>
          <w:rFonts w:eastAsia="Calibri" w:cs="Arial"/>
          <w:color w:val="auto"/>
          <w:szCs w:val="24"/>
        </w:rPr>
      </w:pPr>
      <w:r w:rsidRPr="003C7E62">
        <w:rPr>
          <w:rFonts w:eastAsia="Calibri" w:cs="Arial"/>
          <w:color w:val="auto"/>
          <w:szCs w:val="24"/>
        </w:rPr>
        <w:t xml:space="preserve">The Localism Act of 2011 introduced a new right for communities to shape their local areas. Neighbourhood Plans provide an opportunity for local people to </w:t>
      </w:r>
      <w:r w:rsidR="00416653" w:rsidRPr="003C7E62">
        <w:rPr>
          <w:rFonts w:eastAsia="Calibri" w:cs="Arial"/>
          <w:color w:val="auto"/>
          <w:szCs w:val="24"/>
        </w:rPr>
        <w:t>help actively and positively</w:t>
      </w:r>
      <w:r w:rsidRPr="003C7E62">
        <w:rPr>
          <w:rFonts w:eastAsia="Calibri" w:cs="Arial"/>
          <w:color w:val="auto"/>
          <w:szCs w:val="24"/>
        </w:rPr>
        <w:t xml:space="preserve"> to make their local area a great place to live and work</w:t>
      </w:r>
      <w:r w:rsidRPr="003C7E62">
        <w:rPr>
          <w:rFonts w:eastAsia="Calibri" w:cs="Arial"/>
          <w:vertAlign w:val="superscript"/>
        </w:rPr>
        <w:footnoteReference w:id="22"/>
      </w:r>
      <w:r w:rsidRPr="003C7E62">
        <w:rPr>
          <w:rFonts w:eastAsia="Calibri" w:cs="Arial"/>
          <w:color w:val="auto"/>
          <w:szCs w:val="24"/>
        </w:rPr>
        <w:t>. The Council will support parish councils and community groups who form neighbourhood forums to prepare a neighbourhood plan/order provided that it is undertake in accordance with the regulations and strategic requirements set out in the Local Plan.</w:t>
      </w:r>
    </w:p>
    <w:p w14:paraId="219462D9" w14:textId="77777777" w:rsidR="00CC7A92" w:rsidRPr="003C7E62" w:rsidRDefault="00CC7A92" w:rsidP="00606546">
      <w:pPr>
        <w:keepNext w:val="0"/>
        <w:autoSpaceDE w:val="0"/>
        <w:autoSpaceDN w:val="0"/>
        <w:adjustRightInd w:val="0"/>
        <w:spacing w:before="0"/>
        <w:rPr>
          <w:rFonts w:eastAsia="Calibri" w:cs="Arial"/>
          <w:color w:val="auto"/>
          <w:szCs w:val="24"/>
          <w:highlight w:val="yellow"/>
        </w:rPr>
      </w:pPr>
    </w:p>
    <w:p w14:paraId="65E3DEBD" w14:textId="77777777" w:rsidR="00C06232" w:rsidRDefault="00C06232" w:rsidP="00606546">
      <w:pPr>
        <w:autoSpaceDE w:val="0"/>
        <w:autoSpaceDN w:val="0"/>
        <w:adjustRightInd w:val="0"/>
        <w:spacing w:before="0"/>
        <w:ind w:left="709"/>
        <w:rPr>
          <w:rFonts w:cs="Arial"/>
          <w:b/>
          <w:iCs/>
          <w:color w:val="auto"/>
          <w:szCs w:val="24"/>
        </w:rPr>
      </w:pPr>
    </w:p>
    <w:p w14:paraId="00146A80" w14:textId="4D12D0DF" w:rsidR="00CC7A92" w:rsidRPr="00C06232" w:rsidRDefault="00CC7A92" w:rsidP="00606546">
      <w:pPr>
        <w:autoSpaceDE w:val="0"/>
        <w:autoSpaceDN w:val="0"/>
        <w:adjustRightInd w:val="0"/>
        <w:spacing w:before="0"/>
        <w:ind w:left="709"/>
        <w:rPr>
          <w:rFonts w:cs="Arial"/>
          <w:b/>
          <w:iCs/>
          <w:color w:val="auto"/>
          <w:szCs w:val="24"/>
        </w:rPr>
      </w:pPr>
      <w:r w:rsidRPr="00C06232">
        <w:rPr>
          <w:rFonts w:cs="Arial"/>
          <w:b/>
          <w:iCs/>
          <w:color w:val="auto"/>
          <w:szCs w:val="24"/>
        </w:rPr>
        <w:t>Delivering Sustainable Development</w:t>
      </w:r>
    </w:p>
    <w:p w14:paraId="6491BC95" w14:textId="77777777" w:rsidR="00CC7A92" w:rsidRPr="003C7E62" w:rsidRDefault="00CC7A92" w:rsidP="00606546">
      <w:pPr>
        <w:keepNext w:val="0"/>
        <w:autoSpaceDE w:val="0"/>
        <w:autoSpaceDN w:val="0"/>
        <w:adjustRightInd w:val="0"/>
        <w:spacing w:before="0"/>
        <w:rPr>
          <w:rFonts w:cs="Arial"/>
          <w:color w:val="auto"/>
          <w:szCs w:val="24"/>
        </w:rPr>
      </w:pPr>
    </w:p>
    <w:p w14:paraId="20D39DEC" w14:textId="77777777" w:rsidR="00CE3097" w:rsidRDefault="00100330" w:rsidP="00D01157">
      <w:pPr>
        <w:keepNext w:val="0"/>
        <w:numPr>
          <w:ilvl w:val="1"/>
          <w:numId w:val="52"/>
        </w:numPr>
        <w:autoSpaceDE w:val="0"/>
        <w:autoSpaceDN w:val="0"/>
        <w:adjustRightInd w:val="0"/>
        <w:spacing w:before="0"/>
        <w:ind w:left="709" w:hanging="709"/>
        <w:rPr>
          <w:rFonts w:cs="Arial"/>
          <w:color w:val="auto"/>
          <w:szCs w:val="24"/>
        </w:rPr>
      </w:pPr>
      <w:r w:rsidRPr="003C7E62">
        <w:rPr>
          <w:rFonts w:cs="Arial"/>
          <w:color w:val="auto"/>
          <w:szCs w:val="24"/>
        </w:rPr>
        <w:t>International and national bodies have set out broad principles of sustainable development. Resolution 42/187 of the United Nations (UN) General Assembly defined sustainable development as meeting the needs of the present without compromising the ability of future generations to meet their own needs.</w:t>
      </w:r>
    </w:p>
    <w:p w14:paraId="530BDC67" w14:textId="7693D808" w:rsidR="00100330" w:rsidRPr="003C7E62" w:rsidRDefault="00100330" w:rsidP="00CE3097">
      <w:pPr>
        <w:keepNext w:val="0"/>
        <w:autoSpaceDE w:val="0"/>
        <w:autoSpaceDN w:val="0"/>
        <w:adjustRightInd w:val="0"/>
        <w:spacing w:before="0"/>
        <w:ind w:left="709"/>
        <w:rPr>
          <w:rFonts w:cs="Arial"/>
          <w:color w:val="auto"/>
          <w:szCs w:val="24"/>
        </w:rPr>
      </w:pPr>
      <w:r w:rsidRPr="003C7E62">
        <w:rPr>
          <w:rFonts w:cs="Arial"/>
          <w:color w:val="auto"/>
          <w:szCs w:val="24"/>
        </w:rPr>
        <w:t xml:space="preserve"> </w:t>
      </w:r>
    </w:p>
    <w:p w14:paraId="5EB026AA" w14:textId="54616A1A" w:rsidR="009F53F8" w:rsidRDefault="00100330" w:rsidP="00D01157">
      <w:pPr>
        <w:keepNext w:val="0"/>
        <w:numPr>
          <w:ilvl w:val="1"/>
          <w:numId w:val="52"/>
        </w:numPr>
        <w:autoSpaceDE w:val="0"/>
        <w:autoSpaceDN w:val="0"/>
        <w:adjustRightInd w:val="0"/>
        <w:spacing w:before="0"/>
        <w:ind w:left="709" w:hanging="709"/>
        <w:rPr>
          <w:rFonts w:cs="Arial"/>
          <w:color w:val="auto"/>
          <w:szCs w:val="24"/>
        </w:rPr>
      </w:pPr>
      <w:r w:rsidRPr="009F53F8">
        <w:rPr>
          <w:rFonts w:cs="Arial"/>
          <w:color w:val="auto"/>
          <w:szCs w:val="24"/>
        </w:rPr>
        <w:t>The United Nations Sustainable Development Goals (</w:t>
      </w:r>
      <w:r w:rsidRPr="000E1591">
        <w:rPr>
          <w:rFonts w:cs="Arial"/>
          <w:color w:val="auto"/>
          <w:szCs w:val="24"/>
        </w:rPr>
        <w:t>Figure 3)</w:t>
      </w:r>
      <w:r w:rsidRPr="009F53F8">
        <w:rPr>
          <w:rFonts w:cs="Arial"/>
          <w:color w:val="auto"/>
          <w:szCs w:val="24"/>
        </w:rPr>
        <w:t xml:space="preserve"> define the 2030 Agenda for Sustainable Development, signed by all 193 member states of the United Nations.</w:t>
      </w:r>
    </w:p>
    <w:p w14:paraId="38303F1D" w14:textId="77777777" w:rsidR="00EC70AF" w:rsidRDefault="00EC70AF" w:rsidP="00EC70AF">
      <w:pPr>
        <w:keepNext w:val="0"/>
        <w:autoSpaceDE w:val="0"/>
        <w:autoSpaceDN w:val="0"/>
        <w:adjustRightInd w:val="0"/>
        <w:spacing w:before="0"/>
        <w:ind w:left="709"/>
        <w:rPr>
          <w:rFonts w:cs="Arial"/>
          <w:color w:val="auto"/>
          <w:szCs w:val="24"/>
        </w:rPr>
      </w:pPr>
    </w:p>
    <w:p w14:paraId="1BD54A31" w14:textId="388A46EB" w:rsidR="00EC70AF" w:rsidRPr="00EC70AF" w:rsidRDefault="00EC70AF" w:rsidP="00D01157">
      <w:pPr>
        <w:keepNext w:val="0"/>
        <w:numPr>
          <w:ilvl w:val="1"/>
          <w:numId w:val="52"/>
        </w:numPr>
        <w:autoSpaceDE w:val="0"/>
        <w:autoSpaceDN w:val="0"/>
        <w:adjustRightInd w:val="0"/>
        <w:spacing w:before="0"/>
        <w:ind w:left="709" w:hanging="709"/>
        <w:rPr>
          <w:rFonts w:cs="Arial"/>
          <w:color w:val="auto"/>
          <w:szCs w:val="24"/>
        </w:rPr>
      </w:pPr>
      <w:r w:rsidRPr="00EC70AF">
        <w:rPr>
          <w:rFonts w:cs="Arial"/>
          <w:color w:val="auto"/>
          <w:szCs w:val="24"/>
        </w:rPr>
        <w:t>The key pillars underpinning the goals are reflected in the approach to the Planning system with the NPPF emphasising that the role of the planning system is to contribute to the achievement of sustainable development.  The planning system has three overarching objectives; economic, social and environmental, which are interdependent and need to be pursued in mutually supportive ways (so that opportunities can be taken to secure net gains across each of the different objectives).</w:t>
      </w:r>
    </w:p>
    <w:p w14:paraId="03A4EA72" w14:textId="03974EA1" w:rsidR="009153EE" w:rsidRPr="009F53F8" w:rsidRDefault="00100330" w:rsidP="009F53F8">
      <w:pPr>
        <w:keepNext w:val="0"/>
        <w:autoSpaceDE w:val="0"/>
        <w:autoSpaceDN w:val="0"/>
        <w:adjustRightInd w:val="0"/>
        <w:spacing w:before="0"/>
        <w:ind w:left="709"/>
        <w:rPr>
          <w:rFonts w:cs="Arial"/>
          <w:color w:val="auto"/>
          <w:szCs w:val="24"/>
        </w:rPr>
      </w:pPr>
      <w:r w:rsidRPr="009F53F8">
        <w:rPr>
          <w:rFonts w:eastAsia="MS Mincho" w:cs="Arial"/>
          <w:noProof/>
          <w:color w:val="auto"/>
          <w:szCs w:val="24"/>
        </w:rPr>
        <w:lastRenderedPageBreak/>
        <w:t xml:space="preserve">     </w:t>
      </w:r>
      <w:r w:rsidR="009F53F8" w:rsidRPr="00904AA7">
        <w:rPr>
          <w:rFonts w:ascii="Calibri" w:eastAsia="MS Mincho" w:hAnsi="Calibri"/>
          <w:noProof/>
          <w:szCs w:val="24"/>
        </w:rPr>
        <w:drawing>
          <wp:inline distT="0" distB="0" distL="0" distR="0" wp14:anchorId="56FE43D7" wp14:editId="30EDC1B6">
            <wp:extent cx="5726494" cy="2842260"/>
            <wp:effectExtent l="0" t="0" r="7620" b="0"/>
            <wp:docPr id="23" name="Picture 23" descr="United Nations Sustainable Development Goals&#10;Goal 1. No poverty &#10;Goal 2. Zero hunger&#10;Goal 3. Good health and well-being &#10;Goal 4. Quality education &#10;Goal 5. Gender equality &#10;Goal 6. Clean water and sanitation &#10;Goal 7. Affordable and clean energy &#10;Goal 8. Decent work and economic growth&#10;Goal 9. Industry, innovation and infrastructure&#10;Goal 10. Reduced inequalities &#10;Goal 11. Sustainable cities and communities&#10;Goal 12. Responsible consumption and production &#10;Goal 13. Climate action&#10;Goal 14. Life below water&#10;Goal 15. Life on land&#10;Goal 16. Peace, justice and strong institutions &#10;Goal 17. Partnerships for the goals &#10;" title="Fig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United Nations Sustainable Development Goals&#10;Goal 1. No poverty &#10;Goal 2. Zero hunger&#10;Goal 3. Good health and well-being &#10;Goal 4. Quality education &#10;Goal 5. Gender equality &#10;Goal 6. Clean water and sanitation &#10;Goal 7. Affordable and clean energy &#10;Goal 8. Decent work and economic growth&#10;Goal 9. Industry, innovation and infrastructure&#10;Goal 10. Reduced inequalities &#10;Goal 11. Sustainable cities and communities&#10;Goal 12. Responsible consumption and production &#10;Goal 13. Climate action&#10;Goal 14. Life below water&#10;Goal 15. Life on land&#10;Goal 16. Peace, justice and strong institutions &#10;Goal 17. Partnerships for the goals &#10;" title="Figure 19"/>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28002" cy="2843008"/>
                    </a:xfrm>
                    <a:prstGeom prst="rect">
                      <a:avLst/>
                    </a:prstGeom>
                  </pic:spPr>
                </pic:pic>
              </a:graphicData>
            </a:graphic>
          </wp:inline>
        </w:drawing>
      </w:r>
    </w:p>
    <w:p w14:paraId="13183823" w14:textId="232E5D00" w:rsidR="009153EE" w:rsidRPr="003C7E62" w:rsidRDefault="009153EE" w:rsidP="00606546">
      <w:pPr>
        <w:autoSpaceDE w:val="0"/>
        <w:autoSpaceDN w:val="0"/>
        <w:adjustRightInd w:val="0"/>
        <w:spacing w:before="0"/>
        <w:ind w:left="709"/>
        <w:rPr>
          <w:rFonts w:cs="Arial"/>
          <w:color w:val="auto"/>
          <w:szCs w:val="24"/>
        </w:rPr>
      </w:pPr>
    </w:p>
    <w:p w14:paraId="04FFEA4F" w14:textId="784F3BBE" w:rsidR="00100330" w:rsidRDefault="00100330" w:rsidP="008731D6">
      <w:pPr>
        <w:pStyle w:val="Heading3"/>
        <w:ind w:firstLine="709"/>
      </w:pPr>
      <w:r w:rsidRPr="00F55758">
        <w:t>Figure 3: The United Nations Sustainable Development Goals</w:t>
      </w:r>
      <w:r w:rsidRPr="00F55758">
        <w:rPr>
          <w:vertAlign w:val="superscript"/>
        </w:rPr>
        <w:footnoteReference w:id="23"/>
      </w:r>
    </w:p>
    <w:p w14:paraId="10695C54" w14:textId="1E00937A" w:rsidR="0011216B" w:rsidRPr="0011216B" w:rsidRDefault="0011216B" w:rsidP="0035353F">
      <w:pPr>
        <w:autoSpaceDE w:val="0"/>
        <w:autoSpaceDN w:val="0"/>
        <w:adjustRightInd w:val="0"/>
        <w:spacing w:before="0"/>
        <w:ind w:left="709" w:firstLine="142"/>
        <w:rPr>
          <w:rFonts w:cs="Arial"/>
          <w:color w:val="auto"/>
          <w:sz w:val="20"/>
        </w:rPr>
      </w:pPr>
      <w:r w:rsidRPr="0011216B">
        <w:rPr>
          <w:rFonts w:cs="Arial"/>
          <w:color w:val="auto"/>
          <w:sz w:val="20"/>
        </w:rPr>
        <w:t>Source: United Nations</w:t>
      </w:r>
    </w:p>
    <w:p w14:paraId="795FD232" w14:textId="77777777" w:rsidR="00606546" w:rsidRDefault="00606546" w:rsidP="00606546">
      <w:pPr>
        <w:autoSpaceDE w:val="0"/>
        <w:autoSpaceDN w:val="0"/>
        <w:adjustRightInd w:val="0"/>
        <w:spacing w:before="0"/>
        <w:ind w:left="709"/>
        <w:rPr>
          <w:rFonts w:cs="Arial"/>
          <w:color w:val="auto"/>
          <w:szCs w:val="24"/>
        </w:rPr>
      </w:pPr>
    </w:p>
    <w:p w14:paraId="5F6E4A54" w14:textId="77777777" w:rsidR="008969BA" w:rsidRPr="003C7E62" w:rsidRDefault="008969BA" w:rsidP="00606546">
      <w:pPr>
        <w:autoSpaceDE w:val="0"/>
        <w:autoSpaceDN w:val="0"/>
        <w:adjustRightInd w:val="0"/>
        <w:spacing w:before="0"/>
        <w:ind w:left="709"/>
        <w:rPr>
          <w:rFonts w:cs="Arial"/>
          <w:color w:val="auto"/>
          <w:szCs w:val="24"/>
        </w:rPr>
      </w:pPr>
    </w:p>
    <w:p w14:paraId="0A2A6C06" w14:textId="67F64A12" w:rsidR="00100330" w:rsidRPr="003C7E62" w:rsidRDefault="00100330" w:rsidP="00D01157">
      <w:pPr>
        <w:keepNext w:val="0"/>
        <w:numPr>
          <w:ilvl w:val="1"/>
          <w:numId w:val="52"/>
        </w:numPr>
        <w:autoSpaceDE w:val="0"/>
        <w:autoSpaceDN w:val="0"/>
        <w:adjustRightInd w:val="0"/>
        <w:spacing w:before="0"/>
        <w:ind w:left="709" w:hanging="709"/>
        <w:rPr>
          <w:rFonts w:cs="Arial"/>
          <w:color w:val="auto"/>
          <w:szCs w:val="24"/>
        </w:rPr>
      </w:pPr>
      <w:r w:rsidRPr="003C7E62">
        <w:rPr>
          <w:rFonts w:cs="Arial"/>
          <w:color w:val="auto"/>
          <w:szCs w:val="24"/>
        </w:rPr>
        <w:t>The key pillars underpinning the goals are reflected in the approach to the Planning system with the NPPF emphasising that the role of the planning system is to contribute to the achievement of sustainable development.  The planning system has three overarching objectives</w:t>
      </w:r>
      <w:r w:rsidRPr="003C7E62">
        <w:rPr>
          <w:rFonts w:cs="Arial"/>
          <w:color w:val="auto"/>
          <w:szCs w:val="24"/>
          <w:vertAlign w:val="superscript"/>
        </w:rPr>
        <w:footnoteReference w:id="24"/>
      </w:r>
      <w:r w:rsidRPr="003C7E62">
        <w:rPr>
          <w:rFonts w:cs="Arial"/>
          <w:color w:val="auto"/>
          <w:szCs w:val="24"/>
        </w:rPr>
        <w:t>; economic, social and environmental, which are interdependent and need to be pursued in mutually supportive ways (so that opportunities can be taken to secure net gains across each of the different objectives).</w:t>
      </w:r>
    </w:p>
    <w:p w14:paraId="06394C00" w14:textId="77777777" w:rsidR="00EC70AF" w:rsidRDefault="00EC70AF" w:rsidP="00606546">
      <w:pPr>
        <w:autoSpaceDE w:val="0"/>
        <w:autoSpaceDN w:val="0"/>
        <w:adjustRightInd w:val="0"/>
        <w:spacing w:before="0"/>
        <w:ind w:left="709"/>
        <w:rPr>
          <w:rFonts w:cs="Arial"/>
          <w:b/>
          <w:i/>
          <w:color w:val="auto"/>
          <w:szCs w:val="24"/>
        </w:rPr>
      </w:pPr>
    </w:p>
    <w:p w14:paraId="187ED535" w14:textId="74DF6DF7" w:rsidR="00100330" w:rsidRPr="00C06232" w:rsidRDefault="00100330" w:rsidP="00606546">
      <w:pPr>
        <w:autoSpaceDE w:val="0"/>
        <w:autoSpaceDN w:val="0"/>
        <w:adjustRightInd w:val="0"/>
        <w:spacing w:before="0"/>
        <w:ind w:left="709"/>
        <w:rPr>
          <w:rFonts w:cs="Arial"/>
          <w:b/>
          <w:iCs/>
          <w:color w:val="auto"/>
          <w:szCs w:val="24"/>
        </w:rPr>
      </w:pPr>
      <w:r w:rsidRPr="00C06232">
        <w:rPr>
          <w:rFonts w:cs="Arial"/>
          <w:b/>
          <w:iCs/>
          <w:color w:val="auto"/>
          <w:szCs w:val="24"/>
        </w:rPr>
        <w:t xml:space="preserve">National Planning Policy Framework (NPPF) </w:t>
      </w:r>
      <w:r w:rsidR="008731D6">
        <w:rPr>
          <w:rFonts w:cs="Arial"/>
          <w:b/>
          <w:iCs/>
          <w:color w:val="auto"/>
          <w:szCs w:val="24"/>
        </w:rPr>
        <w:t xml:space="preserve">and </w:t>
      </w:r>
      <w:r w:rsidRPr="00C06232">
        <w:rPr>
          <w:rFonts w:cs="Arial"/>
          <w:b/>
          <w:iCs/>
          <w:color w:val="auto"/>
          <w:szCs w:val="24"/>
        </w:rPr>
        <w:t>Planning Practice Guidance (PPG)</w:t>
      </w:r>
    </w:p>
    <w:p w14:paraId="05A2D0C7" w14:textId="77777777" w:rsidR="00EC70AF" w:rsidRPr="00EC70AF" w:rsidRDefault="00EC70AF" w:rsidP="00606546">
      <w:pPr>
        <w:autoSpaceDE w:val="0"/>
        <w:autoSpaceDN w:val="0"/>
        <w:adjustRightInd w:val="0"/>
        <w:spacing w:before="0"/>
        <w:ind w:left="709"/>
        <w:rPr>
          <w:rFonts w:cs="Arial"/>
          <w:b/>
          <w:iCs/>
          <w:color w:val="auto"/>
          <w:szCs w:val="24"/>
        </w:rPr>
      </w:pPr>
    </w:p>
    <w:p w14:paraId="54C6207A" w14:textId="3A8A91B2" w:rsidR="00100330" w:rsidRPr="003C7E62" w:rsidRDefault="00100330" w:rsidP="00D01157">
      <w:pPr>
        <w:keepNext w:val="0"/>
        <w:numPr>
          <w:ilvl w:val="1"/>
          <w:numId w:val="52"/>
        </w:numPr>
        <w:autoSpaceDE w:val="0"/>
        <w:autoSpaceDN w:val="0"/>
        <w:adjustRightInd w:val="0"/>
        <w:spacing w:before="0"/>
        <w:ind w:left="709" w:hanging="709"/>
        <w:rPr>
          <w:rFonts w:cs="Arial"/>
          <w:color w:val="auto"/>
          <w:szCs w:val="24"/>
        </w:rPr>
      </w:pPr>
      <w:r w:rsidRPr="003C7E62">
        <w:rPr>
          <w:rFonts w:eastAsia="Arial" w:cs="Arial"/>
          <w:color w:val="auto"/>
          <w:szCs w:val="24"/>
        </w:rPr>
        <w:t xml:space="preserve">The </w:t>
      </w:r>
      <w:r w:rsidRPr="003C7E62">
        <w:rPr>
          <w:rFonts w:cs="Arial"/>
          <w:color w:val="auto"/>
          <w:szCs w:val="24"/>
        </w:rPr>
        <w:t>development plan is at the heart of the planning system with a requirement set in law that planning decisions must be taken in line with the development plan unless material considerations indicate otherwise</w:t>
      </w:r>
      <w:r w:rsidR="008731D6">
        <w:rPr>
          <w:rFonts w:cs="Arial"/>
          <w:color w:val="auto"/>
          <w:szCs w:val="24"/>
        </w:rPr>
        <w:t>.</w:t>
      </w:r>
      <w:r w:rsidRPr="003C7E62">
        <w:rPr>
          <w:rFonts w:cs="Arial"/>
          <w:color w:val="auto"/>
          <w:szCs w:val="24"/>
          <w:vertAlign w:val="superscript"/>
        </w:rPr>
        <w:footnoteReference w:id="25"/>
      </w:r>
    </w:p>
    <w:p w14:paraId="38520D12" w14:textId="77777777" w:rsidR="00606546" w:rsidRPr="003C7E62" w:rsidRDefault="00606546" w:rsidP="00606546">
      <w:pPr>
        <w:keepNext w:val="0"/>
        <w:autoSpaceDE w:val="0"/>
        <w:autoSpaceDN w:val="0"/>
        <w:adjustRightInd w:val="0"/>
        <w:spacing w:before="0"/>
        <w:ind w:left="709"/>
        <w:rPr>
          <w:rFonts w:cs="Arial"/>
          <w:color w:val="auto"/>
          <w:szCs w:val="24"/>
        </w:rPr>
      </w:pPr>
    </w:p>
    <w:p w14:paraId="4FD8DA6F" w14:textId="3B8CE5FE" w:rsidR="00100330" w:rsidRPr="003C7E62" w:rsidRDefault="00100330" w:rsidP="00D01157">
      <w:pPr>
        <w:keepNext w:val="0"/>
        <w:numPr>
          <w:ilvl w:val="1"/>
          <w:numId w:val="52"/>
        </w:numPr>
        <w:autoSpaceDE w:val="0"/>
        <w:autoSpaceDN w:val="0"/>
        <w:adjustRightInd w:val="0"/>
        <w:spacing w:before="0"/>
        <w:ind w:left="709" w:hanging="709"/>
        <w:rPr>
          <w:rFonts w:cs="Arial"/>
          <w:color w:val="auto"/>
          <w:szCs w:val="24"/>
        </w:rPr>
      </w:pPr>
      <w:r w:rsidRPr="003C7E62">
        <w:rPr>
          <w:rFonts w:cs="Arial"/>
          <w:color w:val="auto"/>
          <w:szCs w:val="24"/>
        </w:rPr>
        <w:t xml:space="preserve">The </w:t>
      </w:r>
      <w:r w:rsidRPr="003C7E62">
        <w:rPr>
          <w:rFonts w:eastAsia="Arial" w:cs="Arial"/>
          <w:color w:val="auto"/>
          <w:szCs w:val="24"/>
        </w:rPr>
        <w:t xml:space="preserve">NPPF and supporting </w:t>
      </w:r>
      <w:r w:rsidRPr="003C7E62">
        <w:rPr>
          <w:rFonts w:cs="Arial"/>
          <w:color w:val="auto"/>
          <w:szCs w:val="24"/>
        </w:rPr>
        <w:t>Planning Practice Guidance stresses the importance of having a planning system that is genuinely plan-led.  They identify that succinct and up-to-date plans should provide a positive vision for the future of each area</w:t>
      </w:r>
      <w:r w:rsidRPr="003C7E62">
        <w:rPr>
          <w:rFonts w:cs="Arial"/>
          <w:color w:val="auto"/>
          <w:szCs w:val="24"/>
          <w:vertAlign w:val="superscript"/>
        </w:rPr>
        <w:footnoteReference w:id="26"/>
      </w:r>
      <w:r w:rsidRPr="003C7E62">
        <w:rPr>
          <w:rFonts w:cs="Arial"/>
          <w:color w:val="auto"/>
          <w:szCs w:val="24"/>
        </w:rPr>
        <w:t xml:space="preserve"> and a framework for addressing housing needs and other economic, social and environmental priorities.  This includes needs and opportunities in relation to housing, the economy, community facilities and infrastructure – as well as a basis </w:t>
      </w:r>
      <w:r w:rsidRPr="003C7E62">
        <w:rPr>
          <w:rFonts w:cs="Arial"/>
          <w:color w:val="auto"/>
          <w:szCs w:val="24"/>
        </w:rPr>
        <w:lastRenderedPageBreak/>
        <w:t>for conserving and enhancing the natural and historic environment, mitigating and adapting to climate change, and achieving well designed places.</w:t>
      </w:r>
    </w:p>
    <w:p w14:paraId="27601E69" w14:textId="77777777" w:rsidR="00606546" w:rsidRPr="003C7E62" w:rsidRDefault="00606546" w:rsidP="00606546">
      <w:pPr>
        <w:keepNext w:val="0"/>
        <w:autoSpaceDE w:val="0"/>
        <w:autoSpaceDN w:val="0"/>
        <w:adjustRightInd w:val="0"/>
        <w:spacing w:before="0"/>
        <w:rPr>
          <w:rFonts w:cs="Arial"/>
          <w:color w:val="auto"/>
          <w:szCs w:val="24"/>
        </w:rPr>
      </w:pPr>
    </w:p>
    <w:p w14:paraId="4D40C6AA" w14:textId="54F89C90" w:rsidR="00100330" w:rsidRDefault="00100330" w:rsidP="00D01157">
      <w:pPr>
        <w:keepNext w:val="0"/>
        <w:numPr>
          <w:ilvl w:val="1"/>
          <w:numId w:val="52"/>
        </w:numPr>
        <w:autoSpaceDE w:val="0"/>
        <w:autoSpaceDN w:val="0"/>
        <w:adjustRightInd w:val="0"/>
        <w:spacing w:before="0"/>
        <w:ind w:left="709" w:hanging="709"/>
        <w:rPr>
          <w:rFonts w:cs="Arial"/>
          <w:color w:val="auto"/>
          <w:szCs w:val="24"/>
        </w:rPr>
      </w:pPr>
      <w:r w:rsidRPr="003C7E62">
        <w:rPr>
          <w:rFonts w:cs="Arial"/>
          <w:color w:val="auto"/>
          <w:szCs w:val="24"/>
        </w:rPr>
        <w:t>In accordance with the NPPF, the Local Plan for Ashfield comprises a combination of strategic policies (which address the priorities for the area</w:t>
      </w:r>
      <w:r w:rsidRPr="003C7E62">
        <w:rPr>
          <w:rFonts w:cs="Arial"/>
          <w:color w:val="auto"/>
          <w:szCs w:val="24"/>
          <w:vertAlign w:val="superscript"/>
        </w:rPr>
        <w:footnoteReference w:id="27"/>
      </w:r>
      <w:r w:rsidRPr="003C7E62">
        <w:rPr>
          <w:rFonts w:cs="Arial"/>
          <w:color w:val="auto"/>
          <w:szCs w:val="24"/>
        </w:rPr>
        <w:t>) and non-strategic policies (which deal with more detailed matters</w:t>
      </w:r>
      <w:r w:rsidRPr="003C7E62">
        <w:rPr>
          <w:rFonts w:cs="Arial"/>
          <w:color w:val="auto"/>
          <w:szCs w:val="24"/>
          <w:vertAlign w:val="superscript"/>
        </w:rPr>
        <w:footnoteReference w:id="28"/>
      </w:r>
      <w:r w:rsidRPr="003C7E62">
        <w:rPr>
          <w:rFonts w:cs="Arial"/>
          <w:color w:val="auto"/>
          <w:szCs w:val="24"/>
        </w:rPr>
        <w:t xml:space="preserve">).  </w:t>
      </w:r>
      <w:bookmarkStart w:id="17" w:name="_Hlk79743454"/>
      <w:r w:rsidRPr="003C7E62">
        <w:rPr>
          <w:rFonts w:cs="Arial"/>
          <w:color w:val="auto"/>
          <w:szCs w:val="24"/>
        </w:rPr>
        <w:t>Strategic policies are required to look ahead over a minimum 15 year period from adoption</w:t>
      </w:r>
      <w:r w:rsidR="005A14BD">
        <w:rPr>
          <w:rFonts w:cs="Arial"/>
          <w:color w:val="auto"/>
          <w:szCs w:val="24"/>
        </w:rPr>
        <w:t>, subject to where there is proposed to be larger scale development such as new settlements the policies are set within the context of a vision that looks further ahead.  (At least 30 years)</w:t>
      </w:r>
      <w:bookmarkEnd w:id="17"/>
      <w:r w:rsidRPr="003C7E62">
        <w:rPr>
          <w:rFonts w:cs="Arial"/>
          <w:color w:val="auto"/>
          <w:szCs w:val="24"/>
          <w:vertAlign w:val="superscript"/>
        </w:rPr>
        <w:footnoteReference w:id="29"/>
      </w:r>
      <w:r w:rsidRPr="003C7E62">
        <w:rPr>
          <w:rFonts w:cs="Arial"/>
          <w:color w:val="auto"/>
          <w:szCs w:val="24"/>
        </w:rPr>
        <w:t>.    The policies within the Plan are underpinned by up-to-date evidence and have been informed by the sustainability appraisal, which demonstrate how the Plan has addressed relevant economic, social and environmental objectives.</w:t>
      </w:r>
    </w:p>
    <w:p w14:paraId="44739BDF" w14:textId="77777777" w:rsidR="005E7952" w:rsidRDefault="005E7952" w:rsidP="005E7952">
      <w:pPr>
        <w:keepNext w:val="0"/>
        <w:autoSpaceDE w:val="0"/>
        <w:autoSpaceDN w:val="0"/>
        <w:adjustRightInd w:val="0"/>
        <w:spacing w:before="0"/>
        <w:ind w:left="709"/>
        <w:rPr>
          <w:rFonts w:cs="Arial"/>
          <w:color w:val="auto"/>
          <w:szCs w:val="24"/>
          <w:u w:val="single"/>
        </w:rPr>
      </w:pPr>
    </w:p>
    <w:p w14:paraId="7E07FC43" w14:textId="65107C0B" w:rsidR="005E7952" w:rsidRPr="00C06232" w:rsidRDefault="005E7952" w:rsidP="005E7952">
      <w:pPr>
        <w:keepNext w:val="0"/>
        <w:autoSpaceDE w:val="0"/>
        <w:autoSpaceDN w:val="0"/>
        <w:adjustRightInd w:val="0"/>
        <w:spacing w:before="0"/>
        <w:ind w:left="709"/>
        <w:rPr>
          <w:rFonts w:cs="Arial"/>
          <w:b/>
          <w:bCs/>
          <w:color w:val="auto"/>
          <w:szCs w:val="24"/>
        </w:rPr>
      </w:pPr>
      <w:r w:rsidRPr="00C06232">
        <w:rPr>
          <w:rFonts w:cs="Arial"/>
          <w:b/>
          <w:bCs/>
          <w:color w:val="auto"/>
          <w:szCs w:val="24"/>
        </w:rPr>
        <w:t>Local Government Association (LGA)</w:t>
      </w:r>
    </w:p>
    <w:p w14:paraId="77B8B509" w14:textId="77777777" w:rsidR="005E7952" w:rsidRPr="005E7952" w:rsidRDefault="005E7952" w:rsidP="005E7952">
      <w:pPr>
        <w:keepNext w:val="0"/>
        <w:autoSpaceDE w:val="0"/>
        <w:autoSpaceDN w:val="0"/>
        <w:adjustRightInd w:val="0"/>
        <w:spacing w:before="0"/>
        <w:ind w:left="709"/>
        <w:rPr>
          <w:rFonts w:cs="Arial"/>
          <w:b/>
          <w:bCs/>
          <w:color w:val="auto"/>
          <w:szCs w:val="24"/>
          <w:u w:val="single"/>
        </w:rPr>
      </w:pPr>
    </w:p>
    <w:p w14:paraId="136599FE" w14:textId="77777777" w:rsidR="005E7952" w:rsidRPr="005E7952" w:rsidRDefault="005E7952" w:rsidP="005E7952">
      <w:pPr>
        <w:keepNext w:val="0"/>
        <w:numPr>
          <w:ilvl w:val="1"/>
          <w:numId w:val="52"/>
        </w:numPr>
        <w:shd w:val="clear" w:color="auto" w:fill="FFFFFF"/>
        <w:autoSpaceDE w:val="0"/>
        <w:autoSpaceDN w:val="0"/>
        <w:adjustRightInd w:val="0"/>
        <w:spacing w:before="0" w:after="300"/>
        <w:ind w:left="709" w:hanging="709"/>
        <w:rPr>
          <w:rFonts w:cs="Arial"/>
          <w:color w:val="auto"/>
          <w:sz w:val="27"/>
          <w:szCs w:val="27"/>
        </w:rPr>
      </w:pPr>
      <w:r w:rsidRPr="005E7952">
        <w:rPr>
          <w:rFonts w:cs="Arial"/>
          <w:color w:val="auto"/>
          <w:szCs w:val="24"/>
        </w:rPr>
        <w:t xml:space="preserve">The LGA is a politically led, cross-party organisation that works on behalf of councils to ensure local government has a strong, credible voice with national government. Their aim is to influence and set the political agenda on the issues that matter to councils, so they are able to deliver local solutions to national problems. </w:t>
      </w:r>
    </w:p>
    <w:p w14:paraId="3BD15E4B" w14:textId="77777777" w:rsidR="005E7952" w:rsidRPr="00DF760C" w:rsidRDefault="005E7952" w:rsidP="005E7952">
      <w:pPr>
        <w:keepNext w:val="0"/>
        <w:numPr>
          <w:ilvl w:val="1"/>
          <w:numId w:val="52"/>
        </w:numPr>
        <w:shd w:val="clear" w:color="auto" w:fill="FFFFFF"/>
        <w:autoSpaceDE w:val="0"/>
        <w:autoSpaceDN w:val="0"/>
        <w:adjustRightInd w:val="0"/>
        <w:spacing w:before="0" w:after="300"/>
        <w:ind w:left="709" w:hanging="709"/>
        <w:rPr>
          <w:rFonts w:cs="Arial"/>
          <w:color w:val="auto"/>
          <w:sz w:val="27"/>
          <w:szCs w:val="27"/>
        </w:rPr>
      </w:pPr>
      <w:r w:rsidRPr="005E7952">
        <w:rPr>
          <w:rFonts w:cs="Arial"/>
          <w:color w:val="auto"/>
          <w:szCs w:val="24"/>
        </w:rPr>
        <w:t>The Vision for Urban Growth and Recovery Report, analyses the impacts of Covid-19, current economic challenges and opportunities, and sets out a new vision for urban growth and recovery that delivers:</w:t>
      </w:r>
    </w:p>
    <w:p w14:paraId="6A1B45D9" w14:textId="77777777" w:rsidR="005E7952" w:rsidRPr="00DF760C" w:rsidRDefault="005E7952" w:rsidP="00874A98">
      <w:pPr>
        <w:keepNext w:val="0"/>
        <w:numPr>
          <w:ilvl w:val="0"/>
          <w:numId w:val="340"/>
        </w:numPr>
        <w:shd w:val="clear" w:color="auto" w:fill="FFFFFF"/>
        <w:tabs>
          <w:tab w:val="clear" w:pos="720"/>
        </w:tabs>
        <w:spacing w:before="100" w:beforeAutospacing="1" w:after="100" w:afterAutospacing="1"/>
        <w:ind w:left="1560"/>
        <w:rPr>
          <w:rFonts w:cs="Arial"/>
          <w:color w:val="auto"/>
          <w:szCs w:val="24"/>
        </w:rPr>
      </w:pPr>
      <w:r w:rsidRPr="00DF760C">
        <w:rPr>
          <w:rFonts w:cs="Arial"/>
          <w:color w:val="auto"/>
          <w:szCs w:val="24"/>
        </w:rPr>
        <w:t>successful economic restructuring that mitigates against the worst impacts</w:t>
      </w:r>
      <w:r w:rsidRPr="005E7952">
        <w:rPr>
          <w:rFonts w:cs="Arial"/>
          <w:color w:val="auto"/>
          <w:szCs w:val="24"/>
        </w:rPr>
        <w:t xml:space="preserve"> </w:t>
      </w:r>
      <w:r w:rsidRPr="00DF760C">
        <w:rPr>
          <w:rFonts w:cs="Arial"/>
          <w:color w:val="auto"/>
          <w:szCs w:val="24"/>
        </w:rPr>
        <w:t>of structural unemployment and job loss</w:t>
      </w:r>
      <w:r w:rsidRPr="005E7952">
        <w:rPr>
          <w:rFonts w:cs="Arial"/>
          <w:color w:val="auto"/>
          <w:szCs w:val="24"/>
        </w:rPr>
        <w:t>;</w:t>
      </w:r>
    </w:p>
    <w:p w14:paraId="33539789" w14:textId="77777777" w:rsidR="005E7952" w:rsidRPr="00DF760C" w:rsidRDefault="005E7952" w:rsidP="00874A98">
      <w:pPr>
        <w:keepNext w:val="0"/>
        <w:numPr>
          <w:ilvl w:val="0"/>
          <w:numId w:val="340"/>
        </w:numPr>
        <w:shd w:val="clear" w:color="auto" w:fill="FFFFFF"/>
        <w:tabs>
          <w:tab w:val="clear" w:pos="720"/>
        </w:tabs>
        <w:spacing w:before="100" w:beforeAutospacing="1" w:after="100" w:afterAutospacing="1"/>
        <w:ind w:left="1560"/>
        <w:rPr>
          <w:rFonts w:cs="Arial"/>
          <w:color w:val="auto"/>
          <w:szCs w:val="24"/>
        </w:rPr>
      </w:pPr>
      <w:r w:rsidRPr="00DF760C">
        <w:rPr>
          <w:rFonts w:cs="Arial"/>
          <w:color w:val="auto"/>
          <w:szCs w:val="24"/>
        </w:rPr>
        <w:t>successful and relevant urban centres that meet the current and future needs</w:t>
      </w:r>
      <w:r w:rsidRPr="005E7952">
        <w:rPr>
          <w:rFonts w:cs="Arial"/>
          <w:color w:val="auto"/>
          <w:szCs w:val="24"/>
        </w:rPr>
        <w:t xml:space="preserve"> </w:t>
      </w:r>
      <w:r w:rsidRPr="00DF760C">
        <w:rPr>
          <w:rFonts w:cs="Arial"/>
          <w:color w:val="auto"/>
          <w:szCs w:val="24"/>
        </w:rPr>
        <w:t>of residents, businesses and workers</w:t>
      </w:r>
      <w:r w:rsidRPr="005E7952">
        <w:rPr>
          <w:rFonts w:cs="Arial"/>
          <w:color w:val="auto"/>
          <w:szCs w:val="24"/>
        </w:rPr>
        <w:t>;</w:t>
      </w:r>
    </w:p>
    <w:p w14:paraId="28E9265B" w14:textId="77777777" w:rsidR="005E7952" w:rsidRPr="00DF760C" w:rsidRDefault="005E7952" w:rsidP="00874A98">
      <w:pPr>
        <w:keepNext w:val="0"/>
        <w:numPr>
          <w:ilvl w:val="0"/>
          <w:numId w:val="340"/>
        </w:numPr>
        <w:shd w:val="clear" w:color="auto" w:fill="FFFFFF"/>
        <w:tabs>
          <w:tab w:val="clear" w:pos="720"/>
        </w:tabs>
        <w:spacing w:before="100" w:beforeAutospacing="1" w:after="100" w:afterAutospacing="1"/>
        <w:ind w:left="1560"/>
        <w:rPr>
          <w:rFonts w:cs="Arial"/>
          <w:color w:val="auto"/>
          <w:szCs w:val="24"/>
        </w:rPr>
      </w:pPr>
      <w:r w:rsidRPr="00DF760C">
        <w:rPr>
          <w:rFonts w:cs="Arial"/>
          <w:color w:val="auto"/>
          <w:szCs w:val="24"/>
        </w:rPr>
        <w:t>a step-change improvement in inequalities and ensures that communities</w:t>
      </w:r>
      <w:r w:rsidRPr="005E7952">
        <w:rPr>
          <w:rFonts w:cs="Arial"/>
          <w:color w:val="auto"/>
          <w:szCs w:val="24"/>
        </w:rPr>
        <w:t xml:space="preserve"> </w:t>
      </w:r>
      <w:r w:rsidRPr="00DF760C">
        <w:rPr>
          <w:rFonts w:cs="Arial"/>
          <w:color w:val="auto"/>
          <w:szCs w:val="24"/>
        </w:rPr>
        <w:t>benefit</w:t>
      </w:r>
      <w:r w:rsidRPr="005E7952">
        <w:rPr>
          <w:rFonts w:cs="Arial"/>
          <w:color w:val="auto"/>
          <w:szCs w:val="24"/>
        </w:rPr>
        <w:t>;</w:t>
      </w:r>
    </w:p>
    <w:p w14:paraId="137144C2" w14:textId="77777777" w:rsidR="005E7952" w:rsidRPr="00DF760C" w:rsidRDefault="005E7952" w:rsidP="00874A98">
      <w:pPr>
        <w:keepNext w:val="0"/>
        <w:numPr>
          <w:ilvl w:val="0"/>
          <w:numId w:val="340"/>
        </w:numPr>
        <w:shd w:val="clear" w:color="auto" w:fill="FFFFFF"/>
        <w:tabs>
          <w:tab w:val="clear" w:pos="720"/>
        </w:tabs>
        <w:spacing w:before="100" w:beforeAutospacing="1" w:after="100" w:afterAutospacing="1"/>
        <w:ind w:left="1560"/>
        <w:rPr>
          <w:rFonts w:cs="Arial"/>
          <w:color w:val="auto"/>
          <w:szCs w:val="24"/>
        </w:rPr>
      </w:pPr>
      <w:r w:rsidRPr="00DF760C">
        <w:rPr>
          <w:rFonts w:cs="Arial"/>
          <w:color w:val="auto"/>
          <w:szCs w:val="24"/>
        </w:rPr>
        <w:t>sustainable solutions that make significant progress towards carbon emissions</w:t>
      </w:r>
      <w:r w:rsidRPr="005E7952">
        <w:rPr>
          <w:rFonts w:cs="Arial"/>
          <w:color w:val="auto"/>
          <w:szCs w:val="24"/>
        </w:rPr>
        <w:t xml:space="preserve"> </w:t>
      </w:r>
      <w:r w:rsidRPr="00DF760C">
        <w:rPr>
          <w:rFonts w:cs="Arial"/>
          <w:color w:val="auto"/>
          <w:szCs w:val="24"/>
        </w:rPr>
        <w:t>reductions</w:t>
      </w:r>
      <w:r w:rsidRPr="005E7952">
        <w:rPr>
          <w:rFonts w:cs="Arial"/>
          <w:color w:val="auto"/>
          <w:szCs w:val="24"/>
        </w:rPr>
        <w:t>;</w:t>
      </w:r>
    </w:p>
    <w:p w14:paraId="7B6775D4" w14:textId="77777777" w:rsidR="005E7952" w:rsidRPr="005E7952" w:rsidRDefault="005E7952" w:rsidP="00874A98">
      <w:pPr>
        <w:keepNext w:val="0"/>
        <w:numPr>
          <w:ilvl w:val="0"/>
          <w:numId w:val="340"/>
        </w:numPr>
        <w:shd w:val="clear" w:color="auto" w:fill="FFFFFF"/>
        <w:tabs>
          <w:tab w:val="clear" w:pos="720"/>
        </w:tabs>
        <w:spacing w:before="0" w:beforeAutospacing="1" w:after="100" w:afterAutospacing="1"/>
        <w:ind w:left="1560"/>
        <w:contextualSpacing/>
        <w:rPr>
          <w:rFonts w:cs="Arial"/>
          <w:b/>
          <w:i/>
          <w:color w:val="auto"/>
          <w:szCs w:val="24"/>
          <w:u w:val="single"/>
        </w:rPr>
      </w:pPr>
      <w:r w:rsidRPr="00DF760C">
        <w:rPr>
          <w:rFonts w:cs="Arial"/>
          <w:color w:val="auto"/>
          <w:szCs w:val="24"/>
        </w:rPr>
        <w:t>the agility and capacity to respond to further challenges and opportunities as</w:t>
      </w:r>
      <w:r w:rsidRPr="005E7952">
        <w:rPr>
          <w:rFonts w:cs="Arial"/>
          <w:color w:val="auto"/>
          <w:szCs w:val="24"/>
        </w:rPr>
        <w:t xml:space="preserve"> </w:t>
      </w:r>
      <w:r w:rsidRPr="00DF760C">
        <w:rPr>
          <w:rFonts w:cs="Arial"/>
          <w:color w:val="auto"/>
          <w:szCs w:val="24"/>
        </w:rPr>
        <w:t>they emerge as we continue to discover the economic implications of COVID-19 and Brexit over the next few years.</w:t>
      </w:r>
    </w:p>
    <w:p w14:paraId="5B40F676" w14:textId="77777777" w:rsidR="005E7952" w:rsidRPr="003C7E62" w:rsidRDefault="005E7952" w:rsidP="005E7952">
      <w:pPr>
        <w:keepNext w:val="0"/>
        <w:autoSpaceDE w:val="0"/>
        <w:autoSpaceDN w:val="0"/>
        <w:adjustRightInd w:val="0"/>
        <w:spacing w:before="0"/>
        <w:rPr>
          <w:rFonts w:cs="Arial"/>
          <w:color w:val="auto"/>
          <w:szCs w:val="24"/>
        </w:rPr>
      </w:pPr>
    </w:p>
    <w:p w14:paraId="3564D102" w14:textId="77777777" w:rsidR="00606546" w:rsidRPr="003C7E62" w:rsidRDefault="00606546" w:rsidP="00606546">
      <w:pPr>
        <w:spacing w:before="0"/>
        <w:contextualSpacing/>
        <w:rPr>
          <w:rFonts w:cs="Arial"/>
          <w:b/>
          <w:i/>
          <w:szCs w:val="24"/>
          <w:u w:val="single"/>
        </w:rPr>
      </w:pPr>
    </w:p>
    <w:p w14:paraId="491248A4" w14:textId="4AAEF7CA" w:rsidR="00100330" w:rsidRPr="00C06232" w:rsidRDefault="00100330" w:rsidP="00606546">
      <w:pPr>
        <w:spacing w:before="0"/>
        <w:ind w:left="709"/>
        <w:contextualSpacing/>
        <w:rPr>
          <w:rFonts w:cs="Arial"/>
          <w:iCs/>
          <w:szCs w:val="24"/>
        </w:rPr>
      </w:pPr>
      <w:r w:rsidRPr="00C06232">
        <w:rPr>
          <w:rFonts w:cs="Arial"/>
          <w:b/>
          <w:iCs/>
          <w:szCs w:val="24"/>
        </w:rPr>
        <w:t>Regional Plans / Strategies</w:t>
      </w:r>
    </w:p>
    <w:p w14:paraId="5D799019" w14:textId="77777777" w:rsidR="00100330" w:rsidRPr="003C7E62" w:rsidRDefault="00100330" w:rsidP="00606546">
      <w:pPr>
        <w:autoSpaceDE w:val="0"/>
        <w:autoSpaceDN w:val="0"/>
        <w:adjustRightInd w:val="0"/>
        <w:spacing w:before="0"/>
        <w:rPr>
          <w:rFonts w:cs="Arial"/>
          <w:color w:val="385623"/>
          <w:szCs w:val="24"/>
          <w:highlight w:val="yellow"/>
        </w:rPr>
      </w:pPr>
    </w:p>
    <w:p w14:paraId="1B99E4BA" w14:textId="53760D3B" w:rsidR="00100330" w:rsidRDefault="004D3970" w:rsidP="00D01157">
      <w:pPr>
        <w:keepNext w:val="0"/>
        <w:numPr>
          <w:ilvl w:val="1"/>
          <w:numId w:val="52"/>
        </w:numPr>
        <w:autoSpaceDE w:val="0"/>
        <w:autoSpaceDN w:val="0"/>
        <w:adjustRightInd w:val="0"/>
        <w:spacing w:before="0"/>
        <w:ind w:left="709" w:hanging="709"/>
        <w:rPr>
          <w:rFonts w:cs="Arial"/>
          <w:color w:val="auto"/>
          <w:szCs w:val="24"/>
        </w:rPr>
      </w:pPr>
      <w:r w:rsidRPr="004D3970">
        <w:rPr>
          <w:rFonts w:cs="Arial"/>
          <w:color w:val="auto"/>
          <w:szCs w:val="24"/>
        </w:rPr>
        <w:t xml:space="preserve">As of October 2022, work is ongoing in County and City Councils to prepare for devolution and the creation of a Combined County Authority between Derbyshire and Nottinghamshire. Ashfield District Council is actively involved in these </w:t>
      </w:r>
      <w:r w:rsidRPr="004D3970">
        <w:rPr>
          <w:rFonts w:cs="Arial"/>
          <w:color w:val="auto"/>
          <w:szCs w:val="24"/>
        </w:rPr>
        <w:lastRenderedPageBreak/>
        <w:t>discussions along with neighbouring district authorities, to ensure that Ashfield’s plans and strategies are embedded into regional plans. The fi</w:t>
      </w:r>
      <w:r>
        <w:rPr>
          <w:rFonts w:cs="Arial"/>
          <w:color w:val="auto"/>
          <w:szCs w:val="24"/>
        </w:rPr>
        <w:t>r</w:t>
      </w:r>
      <w:r w:rsidRPr="004D3970">
        <w:rPr>
          <w:rFonts w:cs="Arial"/>
          <w:color w:val="auto"/>
          <w:szCs w:val="24"/>
        </w:rPr>
        <w:t>st election for a regional mayor is expected to be in spring 2024.</w:t>
      </w:r>
      <w:r>
        <w:rPr>
          <w:rFonts w:cs="Arial"/>
          <w:color w:val="auto"/>
          <w:szCs w:val="24"/>
        </w:rPr>
        <w:t xml:space="preserve">  </w:t>
      </w:r>
      <w:r w:rsidRPr="004D3970">
        <w:rPr>
          <w:rFonts w:cs="Arial"/>
          <w:color w:val="auto"/>
          <w:szCs w:val="24"/>
        </w:rPr>
        <w:t xml:space="preserve">Below sets out the regional plans and strategies that have helped to shape the Local Plan to date.  </w:t>
      </w:r>
    </w:p>
    <w:p w14:paraId="43E661E8" w14:textId="77777777" w:rsidR="004D3970" w:rsidRPr="003C7E62" w:rsidRDefault="004D3970" w:rsidP="004D3970">
      <w:pPr>
        <w:keepNext w:val="0"/>
        <w:autoSpaceDE w:val="0"/>
        <w:autoSpaceDN w:val="0"/>
        <w:adjustRightInd w:val="0"/>
        <w:spacing w:before="0"/>
        <w:ind w:left="709"/>
        <w:rPr>
          <w:rFonts w:cs="Arial"/>
          <w:color w:val="auto"/>
          <w:szCs w:val="24"/>
        </w:rPr>
      </w:pPr>
    </w:p>
    <w:p w14:paraId="6FF99CED" w14:textId="00372574" w:rsidR="00100330" w:rsidRPr="003C7E62" w:rsidRDefault="00100330" w:rsidP="00606546">
      <w:pPr>
        <w:autoSpaceDE w:val="0"/>
        <w:autoSpaceDN w:val="0"/>
        <w:adjustRightInd w:val="0"/>
        <w:spacing w:before="0"/>
        <w:ind w:left="709"/>
        <w:rPr>
          <w:rFonts w:cs="Arial"/>
          <w:i/>
          <w:color w:val="auto"/>
          <w:szCs w:val="24"/>
          <w:u w:val="single"/>
        </w:rPr>
      </w:pPr>
      <w:r w:rsidRPr="003C7E62">
        <w:rPr>
          <w:rFonts w:cs="Arial"/>
          <w:i/>
          <w:color w:val="auto"/>
          <w:szCs w:val="24"/>
          <w:u w:val="single"/>
        </w:rPr>
        <w:t>Transport Plans</w:t>
      </w:r>
    </w:p>
    <w:p w14:paraId="56062E93" w14:textId="22C367BF" w:rsidR="00100330" w:rsidRPr="003C7E62" w:rsidRDefault="00100330" w:rsidP="00D01157">
      <w:pPr>
        <w:keepNext w:val="0"/>
        <w:numPr>
          <w:ilvl w:val="1"/>
          <w:numId w:val="52"/>
        </w:numPr>
        <w:autoSpaceDE w:val="0"/>
        <w:autoSpaceDN w:val="0"/>
        <w:adjustRightInd w:val="0"/>
        <w:spacing w:before="0"/>
        <w:ind w:left="709" w:hanging="709"/>
        <w:rPr>
          <w:rFonts w:cs="Arial"/>
          <w:color w:val="auto"/>
          <w:szCs w:val="24"/>
        </w:rPr>
      </w:pPr>
      <w:r w:rsidRPr="003C7E62">
        <w:rPr>
          <w:rFonts w:cs="Arial"/>
          <w:color w:val="auto"/>
          <w:szCs w:val="24"/>
        </w:rPr>
        <w:t>The Local Plan has taken into account the provisions of the Local Transport Plan (LTP), which sets out Nottinghamshire's transport strategy.  The strategy covers all types of transport including public transport, walking, cycling, cars and freight.</w:t>
      </w:r>
    </w:p>
    <w:p w14:paraId="3D6FBF23" w14:textId="77777777" w:rsidR="00606546" w:rsidRPr="003C7E62" w:rsidRDefault="00606546" w:rsidP="00606546">
      <w:pPr>
        <w:keepNext w:val="0"/>
        <w:autoSpaceDE w:val="0"/>
        <w:autoSpaceDN w:val="0"/>
        <w:adjustRightInd w:val="0"/>
        <w:spacing w:before="0"/>
        <w:ind w:left="709"/>
        <w:rPr>
          <w:rFonts w:cs="Arial"/>
          <w:color w:val="auto"/>
          <w:szCs w:val="24"/>
        </w:rPr>
      </w:pPr>
    </w:p>
    <w:p w14:paraId="1DD7FD42" w14:textId="021B9A28" w:rsidR="005A4F12" w:rsidRDefault="00100330" w:rsidP="00D01157">
      <w:pPr>
        <w:keepNext w:val="0"/>
        <w:numPr>
          <w:ilvl w:val="1"/>
          <w:numId w:val="52"/>
        </w:numPr>
        <w:autoSpaceDE w:val="0"/>
        <w:autoSpaceDN w:val="0"/>
        <w:adjustRightInd w:val="0"/>
        <w:spacing w:before="0"/>
        <w:ind w:left="709" w:hanging="709"/>
        <w:rPr>
          <w:rFonts w:cs="Arial"/>
          <w:color w:val="auto"/>
          <w:szCs w:val="24"/>
        </w:rPr>
      </w:pPr>
      <w:r w:rsidRPr="003C7E62">
        <w:rPr>
          <w:rFonts w:cs="Arial"/>
          <w:color w:val="auto"/>
          <w:szCs w:val="24"/>
        </w:rPr>
        <w:t>The current Local Transport Plan</w:t>
      </w:r>
      <w:r w:rsidRPr="003C7E62">
        <w:rPr>
          <w:rFonts w:cs="Arial"/>
          <w:color w:val="auto"/>
          <w:szCs w:val="24"/>
          <w:vertAlign w:val="superscript"/>
        </w:rPr>
        <w:footnoteReference w:id="30"/>
      </w:r>
      <w:r w:rsidRPr="003C7E62">
        <w:rPr>
          <w:rFonts w:cs="Arial"/>
          <w:color w:val="auto"/>
          <w:szCs w:val="24"/>
        </w:rPr>
        <w:t xml:space="preserve"> (known as the third Local Transport Plan) runs from 1 April 2011 to 31 March 2026.    It is made up of two documents:</w:t>
      </w:r>
    </w:p>
    <w:p w14:paraId="5FC26699" w14:textId="77777777" w:rsidR="005A4F12" w:rsidRPr="005A4F12" w:rsidRDefault="005A4F12" w:rsidP="005A4F12">
      <w:pPr>
        <w:keepNext w:val="0"/>
        <w:autoSpaceDE w:val="0"/>
        <w:autoSpaceDN w:val="0"/>
        <w:adjustRightInd w:val="0"/>
        <w:spacing w:before="0"/>
        <w:rPr>
          <w:rFonts w:cs="Arial"/>
          <w:color w:val="auto"/>
          <w:szCs w:val="24"/>
        </w:rPr>
      </w:pPr>
    </w:p>
    <w:p w14:paraId="3FE6E65B" w14:textId="77777777" w:rsidR="005A4F12" w:rsidRPr="003C7E62" w:rsidRDefault="005A4F12" w:rsidP="00D01157">
      <w:pPr>
        <w:keepNext w:val="0"/>
        <w:numPr>
          <w:ilvl w:val="0"/>
          <w:numId w:val="57"/>
        </w:numPr>
        <w:autoSpaceDE w:val="0"/>
        <w:autoSpaceDN w:val="0"/>
        <w:adjustRightInd w:val="0"/>
        <w:spacing w:before="0"/>
        <w:rPr>
          <w:rFonts w:cs="Arial"/>
          <w:color w:val="auto"/>
          <w:szCs w:val="24"/>
        </w:rPr>
      </w:pPr>
      <w:r w:rsidRPr="003C7E62">
        <w:rPr>
          <w:rFonts w:cs="Arial"/>
          <w:color w:val="auto"/>
          <w:szCs w:val="24"/>
        </w:rPr>
        <w:t>the Local Transport Plan strategy which details the County Council's vision and the strategy, and</w:t>
      </w:r>
    </w:p>
    <w:p w14:paraId="182004AE" w14:textId="77777777" w:rsidR="005A4F12" w:rsidRPr="003C7E62" w:rsidRDefault="005A4F12" w:rsidP="00D01157">
      <w:pPr>
        <w:keepNext w:val="0"/>
        <w:numPr>
          <w:ilvl w:val="0"/>
          <w:numId w:val="57"/>
        </w:numPr>
        <w:autoSpaceDE w:val="0"/>
        <w:autoSpaceDN w:val="0"/>
        <w:adjustRightInd w:val="0"/>
        <w:spacing w:before="0"/>
        <w:rPr>
          <w:rFonts w:cs="Arial"/>
          <w:color w:val="auto"/>
          <w:szCs w:val="24"/>
        </w:rPr>
      </w:pPr>
      <w:r w:rsidRPr="003C7E62">
        <w:rPr>
          <w:rFonts w:cs="Arial"/>
          <w:color w:val="auto"/>
          <w:szCs w:val="24"/>
        </w:rPr>
        <w:t>the Implementation Plan 2018/19-2020/21 which details the transport improvements that will help deliver the strategy.</w:t>
      </w:r>
    </w:p>
    <w:p w14:paraId="2E15FD69" w14:textId="77777777" w:rsidR="005A4F12" w:rsidRDefault="005A4F12" w:rsidP="005A4F12">
      <w:pPr>
        <w:keepNext w:val="0"/>
        <w:autoSpaceDE w:val="0"/>
        <w:autoSpaceDN w:val="0"/>
        <w:adjustRightInd w:val="0"/>
        <w:spacing w:before="0"/>
        <w:ind w:left="709"/>
        <w:rPr>
          <w:rFonts w:cs="Arial"/>
          <w:color w:val="auto"/>
          <w:szCs w:val="24"/>
        </w:rPr>
      </w:pPr>
    </w:p>
    <w:p w14:paraId="2D1273E4" w14:textId="7600A169" w:rsidR="002E14E1" w:rsidRPr="004D3970" w:rsidRDefault="00E30F38" w:rsidP="002F1A50">
      <w:pPr>
        <w:keepNext w:val="0"/>
        <w:numPr>
          <w:ilvl w:val="1"/>
          <w:numId w:val="52"/>
        </w:numPr>
        <w:autoSpaceDE w:val="0"/>
        <w:autoSpaceDN w:val="0"/>
        <w:adjustRightInd w:val="0"/>
        <w:spacing w:before="0"/>
        <w:ind w:left="709" w:hanging="709"/>
        <w:rPr>
          <w:rFonts w:cs="Arial"/>
          <w:color w:val="auto"/>
          <w:szCs w:val="24"/>
        </w:rPr>
      </w:pPr>
      <w:r w:rsidRPr="004D3970">
        <w:rPr>
          <w:rFonts w:cs="Arial"/>
          <w:szCs w:val="24"/>
        </w:rPr>
        <w:t xml:space="preserve">In spring 2021 the government published the National Bus Strategy. This includes an expectation that in cities and other congested places, there will be significantly more ambitious bus priority schemes, making services faster, more reliable, more attractive to passengers and cheaper to run. Local Transport Authorities are expected to implement ambitious bus priority schemes and draw up ambitious Bus Service Improvement Plans (BSIPs). </w:t>
      </w:r>
      <w:r w:rsidR="004D3970" w:rsidRPr="004D3970">
        <w:rPr>
          <w:rFonts w:cs="Arial"/>
          <w:szCs w:val="24"/>
        </w:rPr>
        <w:t>The Bus Service Improvement Plan for Nottinghamshire and Nottingham has been drafted and in the process of being implemented. The Enhanced Partnership (EP) Plan and scheme is in progress.</w:t>
      </w:r>
    </w:p>
    <w:p w14:paraId="79506A58" w14:textId="77777777" w:rsidR="005E7952" w:rsidRPr="002E14E1" w:rsidRDefault="005E7952" w:rsidP="005E7952">
      <w:pPr>
        <w:keepNext w:val="0"/>
        <w:autoSpaceDE w:val="0"/>
        <w:autoSpaceDN w:val="0"/>
        <w:adjustRightInd w:val="0"/>
        <w:spacing w:before="0"/>
        <w:ind w:left="709"/>
        <w:rPr>
          <w:rFonts w:cs="Arial"/>
          <w:color w:val="auto"/>
          <w:szCs w:val="24"/>
        </w:rPr>
      </w:pPr>
    </w:p>
    <w:p w14:paraId="273EAAA5" w14:textId="7DF914EB" w:rsidR="005A4F12" w:rsidRPr="002E14E1" w:rsidRDefault="00E30F38" w:rsidP="002E14E1">
      <w:pPr>
        <w:keepNext w:val="0"/>
        <w:numPr>
          <w:ilvl w:val="1"/>
          <w:numId w:val="52"/>
        </w:numPr>
        <w:autoSpaceDE w:val="0"/>
        <w:autoSpaceDN w:val="0"/>
        <w:adjustRightInd w:val="0"/>
        <w:spacing w:before="0"/>
        <w:ind w:left="709" w:hanging="709"/>
        <w:rPr>
          <w:rFonts w:cs="Arial"/>
          <w:color w:val="auto"/>
          <w:szCs w:val="24"/>
        </w:rPr>
      </w:pPr>
      <w:r w:rsidRPr="003943F3">
        <w:rPr>
          <w:rFonts w:cs="Arial"/>
          <w:szCs w:val="24"/>
        </w:rPr>
        <w:t xml:space="preserve">Transport </w:t>
      </w:r>
      <w:r w:rsidRPr="00E30F38">
        <w:rPr>
          <w:rFonts w:cs="Arial"/>
          <w:color w:val="auto"/>
          <w:szCs w:val="24"/>
        </w:rPr>
        <w:t>connectivity to existing train stations within Ashfield and to neighbouring districts is required along with enabling access to</w:t>
      </w:r>
      <w:r w:rsidR="00774946">
        <w:rPr>
          <w:rFonts w:cs="Arial"/>
          <w:color w:val="auto"/>
          <w:szCs w:val="24"/>
        </w:rPr>
        <w:t xml:space="preserve"> and from </w:t>
      </w:r>
      <w:r w:rsidRPr="00E30F38">
        <w:rPr>
          <w:rFonts w:cs="Arial"/>
          <w:color w:val="auto"/>
          <w:szCs w:val="24"/>
        </w:rPr>
        <w:t>employment</w:t>
      </w:r>
      <w:r w:rsidR="00774946">
        <w:rPr>
          <w:rFonts w:cs="Arial"/>
          <w:color w:val="auto"/>
          <w:szCs w:val="24"/>
        </w:rPr>
        <w:t xml:space="preserve">, education, </w:t>
      </w:r>
      <w:r w:rsidR="004D3970">
        <w:rPr>
          <w:rFonts w:cs="Arial"/>
          <w:color w:val="auto"/>
          <w:szCs w:val="24"/>
        </w:rPr>
        <w:t xml:space="preserve">health, </w:t>
      </w:r>
      <w:r w:rsidR="00774946">
        <w:rPr>
          <w:rFonts w:cs="Arial"/>
          <w:color w:val="auto"/>
          <w:szCs w:val="24"/>
        </w:rPr>
        <w:t>leisure and other services</w:t>
      </w:r>
      <w:r w:rsidRPr="00E30F38">
        <w:rPr>
          <w:rFonts w:cs="Arial"/>
          <w:color w:val="auto"/>
          <w:szCs w:val="24"/>
        </w:rPr>
        <w:t>. Ashfield is not solely a feeder for employment opportunities in neighbouring cities but has employment</w:t>
      </w:r>
      <w:r w:rsidR="00774946">
        <w:rPr>
          <w:rFonts w:cs="Arial"/>
          <w:color w:val="auto"/>
          <w:szCs w:val="24"/>
        </w:rPr>
        <w:t>, innovation and education</w:t>
      </w:r>
      <w:r w:rsidRPr="00E30F38">
        <w:rPr>
          <w:rFonts w:cs="Arial"/>
          <w:color w:val="auto"/>
          <w:szCs w:val="24"/>
        </w:rPr>
        <w:t xml:space="preserve"> </w:t>
      </w:r>
      <w:r w:rsidR="00774946" w:rsidRPr="00E30F38">
        <w:rPr>
          <w:rFonts w:cs="Arial"/>
          <w:color w:val="auto"/>
          <w:szCs w:val="24"/>
        </w:rPr>
        <w:t xml:space="preserve">opportunities </w:t>
      </w:r>
      <w:r w:rsidRPr="00E30F38">
        <w:rPr>
          <w:rFonts w:cs="Arial"/>
          <w:color w:val="auto"/>
          <w:szCs w:val="24"/>
        </w:rPr>
        <w:t>within the district</w:t>
      </w:r>
      <w:r w:rsidR="003943F3">
        <w:rPr>
          <w:rFonts w:cs="Arial"/>
          <w:color w:val="auto"/>
          <w:szCs w:val="24"/>
        </w:rPr>
        <w:t>.</w:t>
      </w:r>
      <w:r w:rsidR="002E14E1">
        <w:rPr>
          <w:rFonts w:cs="Arial"/>
          <w:color w:val="auto"/>
          <w:szCs w:val="24"/>
        </w:rPr>
        <w:t xml:space="preserve"> </w:t>
      </w:r>
      <w:r w:rsidR="002E14E1" w:rsidRPr="005A4F12">
        <w:rPr>
          <w:rFonts w:cs="Arial"/>
          <w:color w:val="auto"/>
          <w:szCs w:val="24"/>
        </w:rPr>
        <w:t>Transport connectivity to existing train stations within Ashfield and to neighbouring districts is required along with enabling access to employment</w:t>
      </w:r>
      <w:r w:rsidR="002E14E1">
        <w:rPr>
          <w:rFonts w:cs="Arial"/>
          <w:color w:val="auto"/>
          <w:szCs w:val="24"/>
        </w:rPr>
        <w:t>.</w:t>
      </w:r>
      <w:r w:rsidR="002E14E1" w:rsidRPr="002E14E1">
        <w:rPr>
          <w:rFonts w:cs="Arial"/>
          <w:color w:val="auto"/>
          <w:szCs w:val="24"/>
        </w:rPr>
        <w:t xml:space="preserve"> </w:t>
      </w:r>
    </w:p>
    <w:p w14:paraId="74CBD1AA" w14:textId="77777777" w:rsidR="005A4F12" w:rsidRPr="003C7E62" w:rsidRDefault="005A4F12" w:rsidP="005A4F12">
      <w:pPr>
        <w:keepNext w:val="0"/>
        <w:autoSpaceDE w:val="0"/>
        <w:autoSpaceDN w:val="0"/>
        <w:adjustRightInd w:val="0"/>
        <w:spacing w:before="0"/>
        <w:ind w:left="709"/>
        <w:rPr>
          <w:rFonts w:cs="Arial"/>
          <w:color w:val="auto"/>
          <w:szCs w:val="24"/>
        </w:rPr>
      </w:pPr>
    </w:p>
    <w:p w14:paraId="287D5F13" w14:textId="77777777" w:rsidR="00100330" w:rsidRPr="003C7E62" w:rsidRDefault="00100330" w:rsidP="00D01157">
      <w:pPr>
        <w:keepNext w:val="0"/>
        <w:numPr>
          <w:ilvl w:val="1"/>
          <w:numId w:val="52"/>
        </w:numPr>
        <w:autoSpaceDE w:val="0"/>
        <w:autoSpaceDN w:val="0"/>
        <w:adjustRightInd w:val="0"/>
        <w:spacing w:before="0"/>
        <w:ind w:left="709" w:hanging="709"/>
        <w:rPr>
          <w:rFonts w:cs="Arial"/>
          <w:color w:val="auto"/>
          <w:szCs w:val="24"/>
        </w:rPr>
      </w:pPr>
      <w:r w:rsidRPr="003C7E62">
        <w:rPr>
          <w:rFonts w:cs="Arial"/>
          <w:color w:val="auto"/>
          <w:szCs w:val="24"/>
        </w:rPr>
        <w:t>The County Council have undertaken a number of studies to identify potential options for improvements to local roads in Ashfield which are anticipated to influence future Implementation Plans.</w:t>
      </w:r>
    </w:p>
    <w:p w14:paraId="6CB73D13" w14:textId="77777777" w:rsidR="00606546" w:rsidRPr="003C7E62" w:rsidRDefault="00606546" w:rsidP="00606546">
      <w:pPr>
        <w:autoSpaceDE w:val="0"/>
        <w:autoSpaceDN w:val="0"/>
        <w:adjustRightInd w:val="0"/>
        <w:spacing w:before="0"/>
        <w:rPr>
          <w:rFonts w:cs="Arial"/>
          <w:i/>
          <w:color w:val="auto"/>
          <w:szCs w:val="24"/>
          <w:u w:val="single"/>
        </w:rPr>
      </w:pPr>
    </w:p>
    <w:p w14:paraId="7ED00C36" w14:textId="4B80C985" w:rsidR="00100330" w:rsidRPr="003C7E62" w:rsidRDefault="00100330" w:rsidP="00606546">
      <w:pPr>
        <w:autoSpaceDE w:val="0"/>
        <w:autoSpaceDN w:val="0"/>
        <w:adjustRightInd w:val="0"/>
        <w:spacing w:before="0"/>
        <w:ind w:left="709"/>
        <w:rPr>
          <w:rFonts w:cs="Arial"/>
          <w:i/>
          <w:color w:val="auto"/>
          <w:szCs w:val="24"/>
          <w:u w:val="single"/>
        </w:rPr>
      </w:pPr>
      <w:r w:rsidRPr="003C7E62">
        <w:rPr>
          <w:rFonts w:cs="Arial"/>
          <w:i/>
          <w:color w:val="auto"/>
          <w:szCs w:val="24"/>
          <w:u w:val="single"/>
        </w:rPr>
        <w:t>D2N2 Local Economic Partnership</w:t>
      </w:r>
    </w:p>
    <w:p w14:paraId="753B8C21" w14:textId="3FEEA6F2" w:rsidR="008B78E9" w:rsidRPr="006900F6" w:rsidRDefault="00100330" w:rsidP="00D61236">
      <w:pPr>
        <w:keepNext w:val="0"/>
        <w:numPr>
          <w:ilvl w:val="1"/>
          <w:numId w:val="52"/>
        </w:numPr>
        <w:autoSpaceDE w:val="0"/>
        <w:autoSpaceDN w:val="0"/>
        <w:adjustRightInd w:val="0"/>
        <w:spacing w:before="0"/>
        <w:ind w:left="709" w:hanging="709"/>
        <w:rPr>
          <w:rFonts w:cs="Arial"/>
          <w:color w:val="auto"/>
          <w:szCs w:val="24"/>
        </w:rPr>
      </w:pPr>
      <w:r w:rsidRPr="006900F6">
        <w:rPr>
          <w:rFonts w:eastAsia="Calibri" w:cs="Arial"/>
          <w:color w:val="auto"/>
          <w:szCs w:val="24"/>
          <w:shd w:val="clear" w:color="auto" w:fill="FFFFFF"/>
        </w:rPr>
        <w:t>Local Economic Partnerships (LEPs) are non-statutory partnerships between local authorities and businesses, which promote economic growth in their local area.  D2N2 is the LEP that covers Nottinghamshire and Derbyshire.</w:t>
      </w:r>
      <w:r w:rsidR="006900F6" w:rsidRPr="006900F6">
        <w:t xml:space="preserve"> </w:t>
      </w:r>
      <w:r w:rsidR="006900F6" w:rsidRPr="006900F6">
        <w:rPr>
          <w:rFonts w:cs="Arial"/>
          <w:color w:val="auto"/>
          <w:szCs w:val="24"/>
        </w:rPr>
        <w:t>The D2N2 LEP is currently due to close in 2024, when their functions will transferred to the combined authority.</w:t>
      </w:r>
    </w:p>
    <w:p w14:paraId="4EF246BC" w14:textId="053EE6CB" w:rsidR="00606546" w:rsidRPr="008B78E9" w:rsidRDefault="00100330" w:rsidP="00D01157">
      <w:pPr>
        <w:keepNext w:val="0"/>
        <w:numPr>
          <w:ilvl w:val="1"/>
          <w:numId w:val="52"/>
        </w:numPr>
        <w:autoSpaceDE w:val="0"/>
        <w:autoSpaceDN w:val="0"/>
        <w:adjustRightInd w:val="0"/>
        <w:spacing w:before="0"/>
        <w:ind w:left="709" w:hanging="709"/>
        <w:rPr>
          <w:rFonts w:cs="Arial"/>
          <w:color w:val="auto"/>
          <w:szCs w:val="24"/>
        </w:rPr>
      </w:pPr>
      <w:r w:rsidRPr="008B78E9">
        <w:rPr>
          <w:rFonts w:eastAsia="Calibri" w:cs="Arial"/>
          <w:bCs/>
          <w:color w:val="auto"/>
          <w:szCs w:val="24"/>
          <w:shd w:val="clear" w:color="auto" w:fill="FFFFFF"/>
        </w:rPr>
        <w:lastRenderedPageBreak/>
        <w:t xml:space="preserve">D2N2 </w:t>
      </w:r>
      <w:r w:rsidRPr="008B78E9">
        <w:rPr>
          <w:rFonts w:eastAsia="Calibri" w:cs="Arial"/>
          <w:color w:val="auto"/>
          <w:szCs w:val="24"/>
          <w:shd w:val="clear" w:color="auto" w:fill="FFFFFF"/>
        </w:rPr>
        <w:t>has published an updated Strategic Economic Plan</w:t>
      </w:r>
      <w:r w:rsidR="009871EF">
        <w:rPr>
          <w:rFonts w:eastAsia="Calibri" w:cs="Arial"/>
          <w:color w:val="auto"/>
          <w:szCs w:val="24"/>
          <w:shd w:val="clear" w:color="auto" w:fill="FFFFFF"/>
        </w:rPr>
        <w:t>, 2014,</w:t>
      </w:r>
      <w:r w:rsidRPr="008B78E9">
        <w:rPr>
          <w:rFonts w:eastAsia="Calibri" w:cs="Arial"/>
          <w:color w:val="auto"/>
          <w:szCs w:val="24"/>
          <w:shd w:val="clear" w:color="auto" w:fill="FFFFFF"/>
        </w:rPr>
        <w:t xml:space="preserve"> as the first stage of its Local Industrial Strategy (LIS)</w:t>
      </w:r>
      <w:r w:rsidR="009871EF">
        <w:rPr>
          <w:rFonts w:eastAsia="Calibri" w:cs="Arial"/>
          <w:color w:val="auto"/>
          <w:szCs w:val="24"/>
          <w:shd w:val="clear" w:color="auto" w:fill="FFFFFF"/>
        </w:rPr>
        <w:t>, 2019.</w:t>
      </w:r>
      <w:r w:rsidRPr="008B78E9">
        <w:rPr>
          <w:rFonts w:eastAsia="Calibri" w:cs="Arial"/>
          <w:color w:val="auto"/>
          <w:szCs w:val="24"/>
          <w:shd w:val="clear" w:color="auto" w:fill="FFFFFF"/>
        </w:rPr>
        <w:t xml:space="preserve"> This has been summarised by the Local Economic Partnership Network</w:t>
      </w:r>
      <w:r w:rsidRPr="003C7E62">
        <w:rPr>
          <w:rFonts w:eastAsia="Calibri" w:cs="Arial"/>
          <w:color w:val="auto"/>
          <w:szCs w:val="24"/>
          <w:shd w:val="clear" w:color="auto" w:fill="FFFFFF"/>
          <w:vertAlign w:val="superscript"/>
        </w:rPr>
        <w:footnoteReference w:id="31"/>
      </w:r>
      <w:r w:rsidRPr="008B78E9">
        <w:rPr>
          <w:rFonts w:eastAsia="Calibri" w:cs="Arial"/>
          <w:color w:val="auto"/>
          <w:szCs w:val="24"/>
          <w:shd w:val="clear" w:color="auto" w:fill="FFFFFF"/>
        </w:rPr>
        <w:t xml:space="preserve"> as follows:</w:t>
      </w:r>
    </w:p>
    <w:p w14:paraId="71B0F6FD" w14:textId="3B7D3F4D" w:rsidR="00100330" w:rsidRPr="003C7E62" w:rsidRDefault="00100330" w:rsidP="00606546">
      <w:pPr>
        <w:keepNext w:val="0"/>
        <w:autoSpaceDE w:val="0"/>
        <w:autoSpaceDN w:val="0"/>
        <w:adjustRightInd w:val="0"/>
        <w:spacing w:before="0"/>
        <w:rPr>
          <w:rFonts w:eastAsia="Calibri" w:cs="Arial"/>
          <w:color w:val="auto"/>
          <w:szCs w:val="24"/>
        </w:rPr>
      </w:pPr>
      <w:r w:rsidRPr="003C7E62">
        <w:rPr>
          <w:rFonts w:eastAsia="Calibri" w:cs="Arial"/>
          <w:color w:val="auto"/>
          <w:szCs w:val="24"/>
          <w:shd w:val="clear" w:color="auto" w:fill="FFFFFF"/>
        </w:rPr>
        <w:t xml:space="preserve"> </w:t>
      </w:r>
    </w:p>
    <w:p w14:paraId="73F3DECF" w14:textId="0EF8892A" w:rsidR="009871EF" w:rsidRDefault="00100330" w:rsidP="009871EF">
      <w:pPr>
        <w:autoSpaceDE w:val="0"/>
        <w:autoSpaceDN w:val="0"/>
        <w:adjustRightInd w:val="0"/>
        <w:spacing w:before="0"/>
        <w:ind w:left="709" w:right="425"/>
        <w:rPr>
          <w:rFonts w:eastAsia="Calibri" w:cs="Arial"/>
          <w:i/>
          <w:color w:val="auto"/>
          <w:szCs w:val="24"/>
          <w:shd w:val="clear" w:color="auto" w:fill="FFFFFF"/>
        </w:rPr>
      </w:pPr>
      <w:r w:rsidRPr="003C7E62">
        <w:rPr>
          <w:rFonts w:eastAsia="Calibri" w:cs="Arial"/>
          <w:i/>
          <w:color w:val="auto"/>
          <w:szCs w:val="24"/>
          <w:shd w:val="clear" w:color="auto" w:fill="FFFFFF"/>
        </w:rPr>
        <w:t>‘The D2N2 LEP’s Local Industrial Strategy deliver a roadmap towards achieving the vision that</w:t>
      </w:r>
      <w:r w:rsidR="00B65753">
        <w:rPr>
          <w:rFonts w:eastAsia="Calibri" w:cs="Arial"/>
          <w:i/>
          <w:color w:val="auto"/>
          <w:szCs w:val="24"/>
          <w:shd w:val="clear" w:color="auto" w:fill="FFFFFF"/>
        </w:rPr>
        <w:t>:</w:t>
      </w:r>
    </w:p>
    <w:p w14:paraId="410F3D21" w14:textId="77777777" w:rsidR="00B65753" w:rsidRDefault="00B65753" w:rsidP="006900F6">
      <w:pPr>
        <w:autoSpaceDE w:val="0"/>
        <w:autoSpaceDN w:val="0"/>
        <w:adjustRightInd w:val="0"/>
        <w:spacing w:before="0"/>
        <w:ind w:left="993" w:right="425"/>
        <w:rPr>
          <w:rFonts w:eastAsia="Calibri" w:cs="Arial"/>
          <w:i/>
          <w:iCs/>
          <w:color w:val="auto"/>
          <w:szCs w:val="24"/>
          <w:shd w:val="clear" w:color="auto" w:fill="FFFFFF"/>
        </w:rPr>
      </w:pPr>
    </w:p>
    <w:p w14:paraId="4471123F" w14:textId="1195F61C" w:rsidR="009871EF" w:rsidRDefault="00100330" w:rsidP="006900F6">
      <w:pPr>
        <w:autoSpaceDE w:val="0"/>
        <w:autoSpaceDN w:val="0"/>
        <w:adjustRightInd w:val="0"/>
        <w:spacing w:before="0"/>
        <w:ind w:left="993" w:right="425"/>
        <w:rPr>
          <w:rFonts w:eastAsia="Calibri" w:cs="Arial"/>
          <w:i/>
          <w:iCs/>
          <w:color w:val="auto"/>
          <w:szCs w:val="24"/>
          <w:shd w:val="clear" w:color="auto" w:fill="FFFFFF"/>
        </w:rPr>
      </w:pPr>
      <w:r w:rsidRPr="003C7E62">
        <w:rPr>
          <w:rFonts w:eastAsia="Calibri" w:cs="Arial"/>
          <w:i/>
          <w:iCs/>
          <w:color w:val="auto"/>
          <w:szCs w:val="24"/>
          <w:shd w:val="clear" w:color="auto" w:fill="FFFFFF"/>
        </w:rPr>
        <w:t>by 2030, D2N2 will have a transformed high-value economy, prosperous, healthy and inclusive, and one of the most productive in Europe. The spark in the UK’s growth engine. </w:t>
      </w:r>
    </w:p>
    <w:p w14:paraId="697E60FF" w14:textId="77777777" w:rsidR="009871EF" w:rsidRDefault="009871EF" w:rsidP="006900F6">
      <w:pPr>
        <w:autoSpaceDE w:val="0"/>
        <w:autoSpaceDN w:val="0"/>
        <w:adjustRightInd w:val="0"/>
        <w:spacing w:before="0"/>
        <w:ind w:left="993" w:right="425"/>
        <w:rPr>
          <w:rFonts w:eastAsia="Calibri" w:cs="Arial"/>
          <w:i/>
          <w:iCs/>
          <w:color w:val="auto"/>
          <w:szCs w:val="24"/>
          <w:shd w:val="clear" w:color="auto" w:fill="FFFFFF"/>
        </w:rPr>
      </w:pPr>
    </w:p>
    <w:p w14:paraId="5847AF6D" w14:textId="5D04748F" w:rsidR="00606546" w:rsidRPr="003C7E62" w:rsidRDefault="00100330" w:rsidP="009871EF">
      <w:pPr>
        <w:autoSpaceDE w:val="0"/>
        <w:autoSpaceDN w:val="0"/>
        <w:adjustRightInd w:val="0"/>
        <w:spacing w:before="0"/>
        <w:ind w:left="709" w:right="425"/>
        <w:rPr>
          <w:rFonts w:eastAsia="Calibri" w:cs="Arial"/>
          <w:noProof/>
          <w:color w:val="auto"/>
          <w:szCs w:val="24"/>
        </w:rPr>
      </w:pPr>
      <w:r w:rsidRPr="003C7E62">
        <w:rPr>
          <w:rFonts w:eastAsia="Calibri" w:cs="Arial"/>
          <w:i/>
          <w:color w:val="auto"/>
          <w:szCs w:val="24"/>
          <w:shd w:val="clear" w:color="auto" w:fill="FFFFFF"/>
        </w:rPr>
        <w:t>It will tackle the cross-sector productivity gap alongside capitalising on its key innovation and business assets. The D2N2 LIS prioritises those policies and interventions that will have the greatest impact in driving productivity and promoting prosperity in all their communities.</w:t>
      </w:r>
      <w:r w:rsidRPr="003C7E62">
        <w:rPr>
          <w:rFonts w:eastAsia="Calibri" w:cs="Arial"/>
          <w:color w:val="auto"/>
          <w:szCs w:val="24"/>
          <w:shd w:val="clear" w:color="auto" w:fill="FFFFFF"/>
        </w:rPr>
        <w:t xml:space="preserve">’    </w:t>
      </w:r>
      <w:r w:rsidRPr="003C7E62">
        <w:rPr>
          <w:rFonts w:eastAsia="Calibri" w:cs="Arial"/>
          <w:noProof/>
          <w:color w:val="auto"/>
          <w:szCs w:val="24"/>
        </w:rPr>
        <w:t xml:space="preserve">  </w:t>
      </w:r>
    </w:p>
    <w:p w14:paraId="2D003C93" w14:textId="3779D75C" w:rsidR="00100330" w:rsidRPr="003C7E62" w:rsidRDefault="00100330" w:rsidP="00606546">
      <w:pPr>
        <w:autoSpaceDE w:val="0"/>
        <w:autoSpaceDN w:val="0"/>
        <w:adjustRightInd w:val="0"/>
        <w:spacing w:before="0"/>
        <w:rPr>
          <w:rFonts w:eastAsia="Calibri" w:cs="Arial"/>
          <w:color w:val="auto"/>
          <w:szCs w:val="24"/>
        </w:rPr>
      </w:pPr>
      <w:r w:rsidRPr="003C7E62">
        <w:rPr>
          <w:rFonts w:eastAsia="Calibri" w:cs="Arial"/>
          <w:noProof/>
          <w:color w:val="auto"/>
          <w:szCs w:val="24"/>
        </w:rPr>
        <w:t xml:space="preserve">           </w:t>
      </w:r>
    </w:p>
    <w:p w14:paraId="7D20A632" w14:textId="5121D29F" w:rsidR="00100330" w:rsidRPr="003C7E62" w:rsidRDefault="00100330" w:rsidP="00D01157">
      <w:pPr>
        <w:keepNext w:val="0"/>
        <w:numPr>
          <w:ilvl w:val="1"/>
          <w:numId w:val="52"/>
        </w:numPr>
        <w:autoSpaceDE w:val="0"/>
        <w:autoSpaceDN w:val="0"/>
        <w:adjustRightInd w:val="0"/>
        <w:spacing w:before="0"/>
        <w:ind w:left="709" w:hanging="709"/>
        <w:rPr>
          <w:rFonts w:cs="Arial"/>
          <w:color w:val="auto"/>
          <w:szCs w:val="24"/>
        </w:rPr>
      </w:pPr>
      <w:r w:rsidRPr="003C7E62">
        <w:rPr>
          <w:rFonts w:eastAsia="Calibri" w:cs="Arial"/>
          <w:color w:val="auto"/>
          <w:szCs w:val="24"/>
          <w:shd w:val="clear" w:color="auto" w:fill="FFFFFF"/>
        </w:rPr>
        <w:t>The NPPF</w:t>
      </w:r>
      <w:r w:rsidRPr="003C7E62">
        <w:rPr>
          <w:rFonts w:eastAsia="Calibri" w:cs="Arial"/>
          <w:color w:val="auto"/>
          <w:szCs w:val="24"/>
          <w:shd w:val="clear" w:color="auto" w:fill="FFFFFF"/>
          <w:vertAlign w:val="superscript"/>
        </w:rPr>
        <w:footnoteReference w:id="32"/>
      </w:r>
      <w:r w:rsidRPr="003C7E62">
        <w:rPr>
          <w:rFonts w:eastAsia="Calibri" w:cs="Arial"/>
          <w:color w:val="auto"/>
          <w:szCs w:val="24"/>
          <w:shd w:val="clear" w:color="auto" w:fill="FFFFFF"/>
        </w:rPr>
        <w:t xml:space="preserve"> specifically identifies that planning policies should have regard to Local Industrial Strategies and other local policies for economic development and regeneration.   While the LIS</w:t>
      </w:r>
      <w:r w:rsidRPr="003C7E62">
        <w:rPr>
          <w:rFonts w:eastAsia="Calibri" w:cs="Arial"/>
          <w:color w:val="auto"/>
          <w:szCs w:val="24"/>
        </w:rPr>
        <w:t xml:space="preserve"> does not make an explicit </w:t>
      </w:r>
      <w:r w:rsidRPr="003C7E62">
        <w:rPr>
          <w:rFonts w:eastAsia="Calibri" w:cs="Arial"/>
          <w:color w:val="auto"/>
          <w:szCs w:val="24"/>
          <w:shd w:val="clear" w:color="auto" w:fill="FFFFFF"/>
        </w:rPr>
        <w:t>connection to local plans, local plans have an important role in achieving its vision and there are specific priority actions in the draft LIS that are facilitated through a local plan such as:</w:t>
      </w:r>
    </w:p>
    <w:p w14:paraId="1999F86D" w14:textId="77777777" w:rsidR="00606546" w:rsidRPr="003C7E62" w:rsidRDefault="00606546" w:rsidP="00606546">
      <w:pPr>
        <w:keepNext w:val="0"/>
        <w:autoSpaceDE w:val="0"/>
        <w:autoSpaceDN w:val="0"/>
        <w:adjustRightInd w:val="0"/>
        <w:spacing w:before="0"/>
        <w:ind w:left="709"/>
        <w:rPr>
          <w:rFonts w:cs="Arial"/>
          <w:color w:val="auto"/>
          <w:szCs w:val="24"/>
        </w:rPr>
      </w:pPr>
    </w:p>
    <w:p w14:paraId="6894C15A" w14:textId="52C41FBF" w:rsidR="00100330" w:rsidRPr="003C7E62" w:rsidRDefault="00100330" w:rsidP="00D01157">
      <w:pPr>
        <w:keepNext w:val="0"/>
        <w:numPr>
          <w:ilvl w:val="0"/>
          <w:numId w:val="55"/>
        </w:numPr>
        <w:autoSpaceDE w:val="0"/>
        <w:autoSpaceDN w:val="0"/>
        <w:adjustRightInd w:val="0"/>
        <w:spacing w:before="0"/>
        <w:rPr>
          <w:rFonts w:cs="Arial"/>
          <w:color w:val="auto"/>
          <w:szCs w:val="24"/>
        </w:rPr>
      </w:pPr>
      <w:r w:rsidRPr="003C7E62">
        <w:rPr>
          <w:rFonts w:cs="Arial"/>
          <w:color w:val="auto"/>
          <w:szCs w:val="24"/>
        </w:rPr>
        <w:t>‘Develop</w:t>
      </w:r>
      <w:r w:rsidR="00E53AAA" w:rsidRPr="003C7E62">
        <w:rPr>
          <w:rFonts w:cs="Arial"/>
          <w:color w:val="auto"/>
          <w:szCs w:val="24"/>
        </w:rPr>
        <w:t>ing</w:t>
      </w:r>
      <w:r w:rsidRPr="003C7E62">
        <w:rPr>
          <w:rFonts w:cs="Arial"/>
          <w:color w:val="auto"/>
          <w:szCs w:val="24"/>
        </w:rPr>
        <w:t xml:space="preserve"> planning policy for new housing developments which surpass national standards</w:t>
      </w:r>
      <w:r w:rsidRPr="003C7E62">
        <w:rPr>
          <w:rFonts w:cs="Arial"/>
          <w:color w:val="auto"/>
          <w:szCs w:val="24"/>
          <w:vertAlign w:val="superscript"/>
        </w:rPr>
        <w:footnoteReference w:id="33"/>
      </w:r>
      <w:r w:rsidRPr="003C7E62">
        <w:rPr>
          <w:rFonts w:cs="Arial"/>
          <w:color w:val="auto"/>
          <w:szCs w:val="24"/>
        </w:rPr>
        <w:t xml:space="preserve"> .’  </w:t>
      </w:r>
    </w:p>
    <w:p w14:paraId="2DCA76D5" w14:textId="7C1E981A" w:rsidR="00100330" w:rsidRPr="003C7E62" w:rsidRDefault="00100330" w:rsidP="00D01157">
      <w:pPr>
        <w:keepNext w:val="0"/>
        <w:numPr>
          <w:ilvl w:val="0"/>
          <w:numId w:val="55"/>
        </w:numPr>
        <w:autoSpaceDE w:val="0"/>
        <w:autoSpaceDN w:val="0"/>
        <w:adjustRightInd w:val="0"/>
        <w:spacing w:before="0"/>
        <w:rPr>
          <w:rFonts w:cs="Arial"/>
          <w:color w:val="auto"/>
          <w:szCs w:val="24"/>
        </w:rPr>
      </w:pPr>
      <w:r w:rsidRPr="003C7E62">
        <w:rPr>
          <w:rFonts w:cs="Arial"/>
          <w:color w:val="auto"/>
          <w:szCs w:val="24"/>
        </w:rPr>
        <w:t>‘Support</w:t>
      </w:r>
      <w:r w:rsidR="00E53AAA" w:rsidRPr="003C7E62">
        <w:rPr>
          <w:rFonts w:cs="Arial"/>
          <w:color w:val="auto"/>
          <w:szCs w:val="24"/>
        </w:rPr>
        <w:t>ing</w:t>
      </w:r>
      <w:r w:rsidRPr="003C7E62">
        <w:rPr>
          <w:rFonts w:cs="Arial"/>
          <w:color w:val="auto"/>
          <w:szCs w:val="24"/>
        </w:rPr>
        <w:t xml:space="preserve"> the growth of our cities, towns and economic corridors to improve quality of place and economic prosperity in the wider region.</w:t>
      </w:r>
    </w:p>
    <w:p w14:paraId="4B3D9AC0" w14:textId="42DC3F32" w:rsidR="00100330" w:rsidRPr="003C7E62" w:rsidRDefault="00100330" w:rsidP="00D01157">
      <w:pPr>
        <w:keepNext w:val="0"/>
        <w:numPr>
          <w:ilvl w:val="0"/>
          <w:numId w:val="55"/>
        </w:numPr>
        <w:autoSpaceDE w:val="0"/>
        <w:autoSpaceDN w:val="0"/>
        <w:adjustRightInd w:val="0"/>
        <w:spacing w:before="0"/>
        <w:rPr>
          <w:rFonts w:cs="Arial"/>
          <w:color w:val="auto"/>
          <w:szCs w:val="24"/>
        </w:rPr>
      </w:pPr>
      <w:r w:rsidRPr="003C7E62">
        <w:rPr>
          <w:rFonts w:cs="Arial"/>
          <w:color w:val="auto"/>
          <w:szCs w:val="24"/>
        </w:rPr>
        <w:t>Ensur</w:t>
      </w:r>
      <w:r w:rsidR="00E53AAA" w:rsidRPr="003C7E62">
        <w:rPr>
          <w:rFonts w:cs="Arial"/>
          <w:color w:val="auto"/>
          <w:szCs w:val="24"/>
        </w:rPr>
        <w:t>ing</w:t>
      </w:r>
      <w:r w:rsidRPr="003C7E62">
        <w:rPr>
          <w:rFonts w:cs="Arial"/>
          <w:color w:val="auto"/>
          <w:szCs w:val="24"/>
        </w:rPr>
        <w:t xml:space="preserve"> that housing and employment development opportunities are unlocked, and the visitor economy bolstered, to enable wider place-making and productivity objectives</w:t>
      </w:r>
      <w:r w:rsidRPr="003C7E62">
        <w:rPr>
          <w:rFonts w:cs="Arial"/>
          <w:color w:val="auto"/>
          <w:szCs w:val="24"/>
          <w:vertAlign w:val="superscript"/>
        </w:rPr>
        <w:footnoteReference w:id="34"/>
      </w:r>
      <w:r w:rsidRPr="003C7E62">
        <w:rPr>
          <w:rFonts w:cs="Arial"/>
          <w:color w:val="auto"/>
          <w:szCs w:val="24"/>
        </w:rPr>
        <w:t>.’</w:t>
      </w:r>
    </w:p>
    <w:p w14:paraId="16713397" w14:textId="77777777" w:rsidR="00606546" w:rsidRPr="003C7E62" w:rsidRDefault="00606546" w:rsidP="00606546">
      <w:pPr>
        <w:keepNext w:val="0"/>
        <w:autoSpaceDE w:val="0"/>
        <w:autoSpaceDN w:val="0"/>
        <w:adjustRightInd w:val="0"/>
        <w:spacing w:before="0"/>
        <w:ind w:left="1080"/>
        <w:rPr>
          <w:rFonts w:cs="Arial"/>
          <w:color w:val="auto"/>
          <w:szCs w:val="24"/>
        </w:rPr>
      </w:pPr>
    </w:p>
    <w:p w14:paraId="15669BA2" w14:textId="7F63FA53" w:rsidR="00100330" w:rsidRPr="00040103" w:rsidRDefault="00100330" w:rsidP="00D01157">
      <w:pPr>
        <w:keepNext w:val="0"/>
        <w:numPr>
          <w:ilvl w:val="1"/>
          <w:numId w:val="52"/>
        </w:numPr>
        <w:autoSpaceDE w:val="0"/>
        <w:autoSpaceDN w:val="0"/>
        <w:adjustRightInd w:val="0"/>
        <w:spacing w:before="0"/>
        <w:ind w:left="709" w:hanging="709"/>
        <w:rPr>
          <w:rFonts w:cs="Arial"/>
          <w:color w:val="auto"/>
          <w:szCs w:val="24"/>
        </w:rPr>
      </w:pPr>
      <w:r w:rsidRPr="003C7E62">
        <w:rPr>
          <w:rFonts w:eastAsia="Calibri" w:cs="Arial"/>
          <w:color w:val="auto"/>
          <w:szCs w:val="24"/>
          <w:shd w:val="clear" w:color="auto" w:fill="FFFFFF"/>
        </w:rPr>
        <w:t xml:space="preserve">The role of the local plan is to identify the physical infrastructure requirements to deliver the priorities set out </w:t>
      </w:r>
      <w:r w:rsidR="009871EF">
        <w:rPr>
          <w:rFonts w:eastAsia="Calibri" w:cs="Arial"/>
          <w:color w:val="auto"/>
          <w:szCs w:val="24"/>
          <w:shd w:val="clear" w:color="auto" w:fill="FFFFFF"/>
        </w:rPr>
        <w:t>by Ashfield District Council</w:t>
      </w:r>
      <w:r w:rsidR="001373A7">
        <w:rPr>
          <w:rFonts w:eastAsia="Calibri" w:cs="Arial"/>
          <w:color w:val="auto"/>
          <w:szCs w:val="24"/>
          <w:shd w:val="clear" w:color="auto" w:fill="FFFFFF"/>
        </w:rPr>
        <w:t xml:space="preserve">, government, partner organisations and </w:t>
      </w:r>
      <w:r w:rsidRPr="003C7E62">
        <w:rPr>
          <w:rFonts w:eastAsia="Calibri" w:cs="Arial"/>
          <w:color w:val="auto"/>
          <w:szCs w:val="24"/>
          <w:shd w:val="clear" w:color="auto" w:fill="FFFFFF"/>
        </w:rPr>
        <w:t>local industrial strategies.  Councils need to ensure that the right kind of employment space, employment land and housing is available to enable that growth and facilitate increase</w:t>
      </w:r>
      <w:r w:rsidR="00E53AAA" w:rsidRPr="003C7E62">
        <w:rPr>
          <w:rFonts w:eastAsia="Calibri" w:cs="Arial"/>
          <w:color w:val="auto"/>
          <w:szCs w:val="24"/>
          <w:shd w:val="clear" w:color="auto" w:fill="FFFFFF"/>
        </w:rPr>
        <w:t>d</w:t>
      </w:r>
      <w:r w:rsidRPr="003C7E62">
        <w:rPr>
          <w:rFonts w:eastAsia="Calibri" w:cs="Arial"/>
          <w:color w:val="auto"/>
          <w:szCs w:val="24"/>
          <w:shd w:val="clear" w:color="auto" w:fill="FFFFFF"/>
        </w:rPr>
        <w:t xml:space="preserve"> productivity.   High quality housing, vibrant town centres, leisure and recreation facilities and good infrastructure are important aspect</w:t>
      </w:r>
      <w:r w:rsidR="00E53AAA" w:rsidRPr="003C7E62">
        <w:rPr>
          <w:rFonts w:eastAsia="Calibri" w:cs="Arial"/>
          <w:color w:val="auto"/>
          <w:szCs w:val="24"/>
          <w:shd w:val="clear" w:color="auto" w:fill="FFFFFF"/>
        </w:rPr>
        <w:t>s</w:t>
      </w:r>
      <w:r w:rsidRPr="003C7E62">
        <w:rPr>
          <w:rFonts w:eastAsia="Calibri" w:cs="Arial"/>
          <w:color w:val="auto"/>
          <w:szCs w:val="24"/>
          <w:shd w:val="clear" w:color="auto" w:fill="FFFFFF"/>
        </w:rPr>
        <w:t xml:space="preserve"> to retaining and attracting graduates and skilled people.  The culture, leisure, and town centre offers are significant factors in business decision-making about where to locate, and key to supporting start-ups.  From Ashfield</w:t>
      </w:r>
      <w:r w:rsidR="00E53AAA" w:rsidRPr="003C7E62">
        <w:rPr>
          <w:rFonts w:eastAsia="Calibri" w:cs="Arial"/>
          <w:color w:val="auto"/>
          <w:szCs w:val="24"/>
          <w:shd w:val="clear" w:color="auto" w:fill="FFFFFF"/>
        </w:rPr>
        <w:t>’s</w:t>
      </w:r>
      <w:r w:rsidRPr="003C7E62">
        <w:rPr>
          <w:rFonts w:eastAsia="Calibri" w:cs="Arial"/>
          <w:color w:val="auto"/>
          <w:szCs w:val="24"/>
          <w:shd w:val="clear" w:color="auto" w:fill="FFFFFF"/>
        </w:rPr>
        <w:t xml:space="preserve"> perspective, place making is regarded as having a key role within the plan and it is important to improve productivity, to upskill local people and our connectiv</w:t>
      </w:r>
      <w:r w:rsidR="00E53AAA" w:rsidRPr="003C7E62">
        <w:rPr>
          <w:rFonts w:eastAsia="Calibri" w:cs="Arial"/>
          <w:color w:val="auto"/>
          <w:szCs w:val="24"/>
          <w:shd w:val="clear" w:color="auto" w:fill="FFFFFF"/>
        </w:rPr>
        <w:t>ity</w:t>
      </w:r>
      <w:r w:rsidRPr="003C7E62">
        <w:rPr>
          <w:rFonts w:eastAsia="Calibri" w:cs="Arial"/>
          <w:color w:val="auto"/>
          <w:szCs w:val="24"/>
          <w:shd w:val="clear" w:color="auto" w:fill="FFFFFF"/>
        </w:rPr>
        <w:t xml:space="preserve">. </w:t>
      </w:r>
    </w:p>
    <w:p w14:paraId="4E06BC78" w14:textId="77777777" w:rsidR="00040103" w:rsidRDefault="00040103" w:rsidP="00040103">
      <w:pPr>
        <w:keepNext w:val="0"/>
        <w:autoSpaceDE w:val="0"/>
        <w:autoSpaceDN w:val="0"/>
        <w:adjustRightInd w:val="0"/>
        <w:spacing w:before="0"/>
        <w:ind w:left="709"/>
        <w:rPr>
          <w:rFonts w:eastAsia="Calibri" w:cs="Arial"/>
          <w:color w:val="auto"/>
          <w:szCs w:val="24"/>
          <w:shd w:val="clear" w:color="auto" w:fill="FFFFFF"/>
        </w:rPr>
      </w:pPr>
    </w:p>
    <w:p w14:paraId="1251CE1B" w14:textId="77777777" w:rsidR="001373A7" w:rsidRDefault="001373A7" w:rsidP="00040103">
      <w:pPr>
        <w:keepNext w:val="0"/>
        <w:autoSpaceDE w:val="0"/>
        <w:autoSpaceDN w:val="0"/>
        <w:adjustRightInd w:val="0"/>
        <w:spacing w:before="0"/>
        <w:ind w:left="709"/>
        <w:rPr>
          <w:rFonts w:eastAsia="Calibri" w:cs="Arial"/>
          <w:i/>
          <w:iCs/>
          <w:color w:val="auto"/>
          <w:szCs w:val="24"/>
          <w:u w:val="single"/>
          <w:shd w:val="clear" w:color="auto" w:fill="FFFFFF"/>
        </w:rPr>
      </w:pPr>
    </w:p>
    <w:p w14:paraId="3A8A35F1" w14:textId="39873039" w:rsidR="00040103" w:rsidRPr="001277CD" w:rsidRDefault="00040103" w:rsidP="00040103">
      <w:pPr>
        <w:keepNext w:val="0"/>
        <w:autoSpaceDE w:val="0"/>
        <w:autoSpaceDN w:val="0"/>
        <w:adjustRightInd w:val="0"/>
        <w:spacing w:before="0"/>
        <w:ind w:left="709"/>
        <w:rPr>
          <w:rFonts w:cs="Arial"/>
          <w:i/>
          <w:iCs/>
          <w:color w:val="auto"/>
          <w:szCs w:val="24"/>
          <w:u w:val="single"/>
        </w:rPr>
      </w:pPr>
      <w:r w:rsidRPr="001277CD">
        <w:rPr>
          <w:rFonts w:eastAsia="Calibri" w:cs="Arial"/>
          <w:i/>
          <w:iCs/>
          <w:color w:val="auto"/>
          <w:szCs w:val="24"/>
          <w:u w:val="single"/>
          <w:shd w:val="clear" w:color="auto" w:fill="FFFFFF"/>
        </w:rPr>
        <w:lastRenderedPageBreak/>
        <w:t>Maid Marian Line</w:t>
      </w:r>
    </w:p>
    <w:p w14:paraId="0AA053F1" w14:textId="09821326" w:rsidR="00E81B70" w:rsidRPr="00E81B70" w:rsidRDefault="00E81B70" w:rsidP="00D01157">
      <w:pPr>
        <w:keepNext w:val="0"/>
        <w:numPr>
          <w:ilvl w:val="1"/>
          <w:numId w:val="52"/>
        </w:numPr>
        <w:autoSpaceDE w:val="0"/>
        <w:autoSpaceDN w:val="0"/>
        <w:adjustRightInd w:val="0"/>
        <w:spacing w:before="0"/>
        <w:ind w:left="709" w:hanging="709"/>
        <w:rPr>
          <w:rFonts w:cs="Arial"/>
          <w:color w:val="auto"/>
          <w:szCs w:val="24"/>
        </w:rPr>
      </w:pPr>
      <w:r w:rsidRPr="00E81B70">
        <w:rPr>
          <w:rFonts w:eastAsia="Calibri"/>
          <w:color w:val="auto"/>
          <w:szCs w:val="22"/>
          <w:lang w:eastAsia="en-US"/>
        </w:rPr>
        <w:t xml:space="preserve">The Council with its partners has developed a business case for the reopening of the freight-only line between the Robin Hood Line in Nottinghamshire and the </w:t>
      </w:r>
      <w:bookmarkStart w:id="18" w:name="_Hlk82271285"/>
      <w:r w:rsidRPr="00E81B70">
        <w:rPr>
          <w:rFonts w:eastAsia="Calibri"/>
          <w:color w:val="auto"/>
          <w:szCs w:val="22"/>
          <w:lang w:eastAsia="en-US"/>
        </w:rPr>
        <w:t xml:space="preserve">Erewash Valley Line in Derbyshire </w:t>
      </w:r>
      <w:bookmarkEnd w:id="18"/>
      <w:r w:rsidRPr="00E81B70">
        <w:rPr>
          <w:rFonts w:eastAsia="Calibri"/>
          <w:color w:val="auto"/>
          <w:szCs w:val="22"/>
          <w:lang w:eastAsia="en-US"/>
        </w:rPr>
        <w:t>(between Kirkby Lane End and Ironville Junctions) and convert it to carry passenger train</w:t>
      </w:r>
      <w:r>
        <w:rPr>
          <w:rFonts w:eastAsia="Calibri"/>
          <w:color w:val="auto"/>
          <w:szCs w:val="22"/>
          <w:lang w:eastAsia="en-US"/>
        </w:rPr>
        <w:t>.</w:t>
      </w:r>
    </w:p>
    <w:p w14:paraId="70C00482" w14:textId="5E254EC0" w:rsidR="00E81B70" w:rsidRPr="00E81B70" w:rsidRDefault="00E81B70" w:rsidP="00E81B70">
      <w:pPr>
        <w:keepNext w:val="0"/>
        <w:autoSpaceDE w:val="0"/>
        <w:autoSpaceDN w:val="0"/>
        <w:adjustRightInd w:val="0"/>
        <w:spacing w:before="0"/>
        <w:rPr>
          <w:rFonts w:cs="Arial"/>
          <w:color w:val="auto"/>
          <w:szCs w:val="24"/>
        </w:rPr>
      </w:pPr>
    </w:p>
    <w:p w14:paraId="2A16FA1D" w14:textId="77777777" w:rsidR="00A04606" w:rsidRDefault="00E81B70" w:rsidP="00EE0D10">
      <w:pPr>
        <w:keepNext w:val="0"/>
        <w:numPr>
          <w:ilvl w:val="1"/>
          <w:numId w:val="52"/>
        </w:numPr>
        <w:autoSpaceDE w:val="0"/>
        <w:autoSpaceDN w:val="0"/>
        <w:adjustRightInd w:val="0"/>
        <w:spacing w:before="0"/>
        <w:ind w:left="709" w:hanging="709"/>
        <w:rPr>
          <w:rFonts w:cs="Arial"/>
          <w:color w:val="auto"/>
          <w:szCs w:val="24"/>
        </w:rPr>
      </w:pPr>
      <w:r w:rsidRPr="00A04606">
        <w:rPr>
          <w:rFonts w:eastAsia="Calibri"/>
          <w:color w:val="auto"/>
          <w:szCs w:val="22"/>
          <w:lang w:eastAsia="en-US"/>
        </w:rPr>
        <w:t>The business case is supported by Ashfield and Mansfield Station Masterplans which identify development and place making improvement opportunities arising from locations near Kirkby-in-Ashfield and Sutton Parkway Stations.</w:t>
      </w:r>
      <w:r w:rsidR="00A04606" w:rsidRPr="00A04606">
        <w:rPr>
          <w:rFonts w:eastAsia="Calibri"/>
          <w:color w:val="auto"/>
          <w:szCs w:val="22"/>
          <w:lang w:eastAsia="en-US"/>
        </w:rPr>
        <w:t xml:space="preserve">  </w:t>
      </w:r>
      <w:r w:rsidR="00A04606" w:rsidRPr="00A04606">
        <w:rPr>
          <w:rFonts w:cs="Arial"/>
          <w:color w:val="auto"/>
          <w:szCs w:val="24"/>
        </w:rPr>
        <w:t>As  part of the Council's Towns Fund programme, development work has commenced on the Kirkby in Ashfield Station Masterplan</w:t>
      </w:r>
      <w:r w:rsidR="00A04606">
        <w:rPr>
          <w:rFonts w:cs="Arial"/>
          <w:color w:val="auto"/>
          <w:szCs w:val="24"/>
        </w:rPr>
        <w:t>.</w:t>
      </w:r>
    </w:p>
    <w:p w14:paraId="7CDE1D08" w14:textId="1BA87ED9" w:rsidR="00E81B70" w:rsidRPr="00A04606" w:rsidRDefault="00E81B70" w:rsidP="00A04606">
      <w:pPr>
        <w:keepNext w:val="0"/>
        <w:autoSpaceDE w:val="0"/>
        <w:autoSpaceDN w:val="0"/>
        <w:adjustRightInd w:val="0"/>
        <w:spacing w:before="0"/>
        <w:rPr>
          <w:rFonts w:cs="Arial"/>
          <w:color w:val="auto"/>
          <w:szCs w:val="24"/>
        </w:rPr>
      </w:pPr>
      <w:r w:rsidRPr="00A04606">
        <w:rPr>
          <w:rFonts w:eastAsia="Calibri"/>
          <w:color w:val="auto"/>
          <w:szCs w:val="22"/>
          <w:lang w:eastAsia="en-US"/>
        </w:rPr>
        <w:t xml:space="preserve">  </w:t>
      </w:r>
    </w:p>
    <w:p w14:paraId="0B32BBE6" w14:textId="6C99D497" w:rsidR="00193119" w:rsidRPr="00774946" w:rsidRDefault="00E81B70" w:rsidP="00200D52">
      <w:pPr>
        <w:keepNext w:val="0"/>
        <w:numPr>
          <w:ilvl w:val="1"/>
          <w:numId w:val="52"/>
        </w:numPr>
        <w:autoSpaceDE w:val="0"/>
        <w:autoSpaceDN w:val="0"/>
        <w:adjustRightInd w:val="0"/>
        <w:spacing w:before="0"/>
        <w:ind w:left="709" w:hanging="709"/>
        <w:rPr>
          <w:rFonts w:cs="Arial"/>
          <w:color w:val="auto"/>
          <w:szCs w:val="24"/>
        </w:rPr>
      </w:pPr>
      <w:r w:rsidRPr="00774946">
        <w:rPr>
          <w:rFonts w:eastAsia="Calibri"/>
          <w:color w:val="auto"/>
          <w:szCs w:val="22"/>
          <w:lang w:eastAsia="en-US"/>
        </w:rPr>
        <w:t xml:space="preserve">Additional work </w:t>
      </w:r>
      <w:r w:rsidR="00A04606">
        <w:rPr>
          <w:rFonts w:eastAsia="Calibri"/>
          <w:color w:val="auto"/>
          <w:szCs w:val="22"/>
          <w:lang w:eastAsia="en-US"/>
        </w:rPr>
        <w:t xml:space="preserve">has been </w:t>
      </w:r>
      <w:r w:rsidRPr="00774946">
        <w:rPr>
          <w:rFonts w:eastAsia="Calibri"/>
          <w:color w:val="auto"/>
          <w:szCs w:val="22"/>
          <w:lang w:eastAsia="en-US"/>
        </w:rPr>
        <w:t xml:space="preserve">undertaken to investigate the economic, social, and environmental benefits of providing additional station platforms at both Kingsmill and Selston (Jubilee), building on recent Maid Marian Line studies by AECOM and Systra on behalf of Nottinghamshire Councils. </w:t>
      </w:r>
    </w:p>
    <w:p w14:paraId="682F04B1" w14:textId="77777777" w:rsidR="00774946" w:rsidRPr="00774946" w:rsidRDefault="00774946" w:rsidP="00774946">
      <w:pPr>
        <w:keepNext w:val="0"/>
        <w:autoSpaceDE w:val="0"/>
        <w:autoSpaceDN w:val="0"/>
        <w:adjustRightInd w:val="0"/>
        <w:spacing w:before="0"/>
        <w:rPr>
          <w:rFonts w:cs="Arial"/>
          <w:color w:val="auto"/>
          <w:szCs w:val="24"/>
        </w:rPr>
      </w:pPr>
    </w:p>
    <w:p w14:paraId="1D9891F0" w14:textId="341D7669" w:rsidR="00E81B70" w:rsidRPr="00A04606" w:rsidRDefault="00E81B70" w:rsidP="00A04606">
      <w:pPr>
        <w:keepNext w:val="0"/>
        <w:numPr>
          <w:ilvl w:val="1"/>
          <w:numId w:val="52"/>
        </w:numPr>
        <w:autoSpaceDE w:val="0"/>
        <w:autoSpaceDN w:val="0"/>
        <w:adjustRightInd w:val="0"/>
        <w:spacing w:before="0"/>
        <w:ind w:left="709" w:hanging="709"/>
        <w:rPr>
          <w:rFonts w:cs="Arial"/>
          <w:color w:val="auto"/>
          <w:szCs w:val="24"/>
        </w:rPr>
      </w:pPr>
      <w:r w:rsidRPr="00A82872">
        <w:rPr>
          <w:rFonts w:eastAsia="Calibri"/>
          <w:color w:val="auto"/>
          <w:szCs w:val="22"/>
          <w:lang w:eastAsia="en-US"/>
        </w:rPr>
        <w:t xml:space="preserve">The Maid Marian Line reflects the opportunity for the existing freight-only line between the Robin Hood Line at Kirkby-in-Ashfield and the Erewash Valley Line to be reopened to passenger trains. This would connect the four existing stations in Ashfield </w:t>
      </w:r>
      <w:r w:rsidRPr="00A04606">
        <w:rPr>
          <w:rFonts w:eastAsia="Calibri"/>
          <w:color w:val="auto"/>
          <w:szCs w:val="22"/>
          <w:lang w:eastAsia="en-US"/>
        </w:rPr>
        <w:t>and Mansfield</w:t>
      </w:r>
      <w:r w:rsidR="00A82872" w:rsidRPr="00A04606">
        <w:rPr>
          <w:rFonts w:eastAsia="Calibri"/>
          <w:color w:val="auto"/>
          <w:szCs w:val="22"/>
          <w:lang w:eastAsia="en-US"/>
        </w:rPr>
        <w:t>.</w:t>
      </w:r>
      <w:r w:rsidRPr="00A04606">
        <w:rPr>
          <w:rFonts w:eastAsia="Calibri"/>
          <w:color w:val="auto"/>
          <w:szCs w:val="22"/>
          <w:lang w:eastAsia="en-US"/>
        </w:rPr>
        <w:t xml:space="preserve"> </w:t>
      </w:r>
      <w:r w:rsidR="00193119" w:rsidRPr="00A04606">
        <w:rPr>
          <w:rFonts w:eastAsia="Calibri"/>
          <w:color w:val="auto"/>
          <w:szCs w:val="22"/>
          <w:lang w:eastAsia="en-US"/>
        </w:rPr>
        <w:t xml:space="preserve">It also offers wider connectivity to </w:t>
      </w:r>
      <w:r w:rsidR="00774946" w:rsidRPr="00A04606">
        <w:rPr>
          <w:rFonts w:eastAsia="Calibri"/>
          <w:color w:val="auto"/>
          <w:szCs w:val="22"/>
          <w:lang w:eastAsia="en-US"/>
        </w:rPr>
        <w:t>Nottingham/</w:t>
      </w:r>
      <w:r w:rsidR="00193119" w:rsidRPr="00A04606">
        <w:rPr>
          <w:rFonts w:eastAsia="Calibri"/>
          <w:color w:val="auto"/>
          <w:szCs w:val="22"/>
          <w:lang w:eastAsia="en-US"/>
        </w:rPr>
        <w:t>Derby/ Leicester and beyond.</w:t>
      </w:r>
    </w:p>
    <w:p w14:paraId="6E3C3BF4" w14:textId="77777777" w:rsidR="00A82872" w:rsidRPr="00A82872" w:rsidRDefault="00A82872" w:rsidP="00A82872">
      <w:pPr>
        <w:keepNext w:val="0"/>
        <w:autoSpaceDE w:val="0"/>
        <w:autoSpaceDN w:val="0"/>
        <w:adjustRightInd w:val="0"/>
        <w:spacing w:before="0"/>
        <w:rPr>
          <w:rFonts w:cs="Arial"/>
          <w:color w:val="auto"/>
          <w:szCs w:val="24"/>
        </w:rPr>
      </w:pPr>
    </w:p>
    <w:p w14:paraId="5342B57D" w14:textId="4CE1CE85" w:rsidR="00E81B70" w:rsidRPr="00E81B70" w:rsidRDefault="00A04606" w:rsidP="00D01157">
      <w:pPr>
        <w:keepNext w:val="0"/>
        <w:numPr>
          <w:ilvl w:val="1"/>
          <w:numId w:val="52"/>
        </w:numPr>
        <w:autoSpaceDE w:val="0"/>
        <w:autoSpaceDN w:val="0"/>
        <w:adjustRightInd w:val="0"/>
        <w:spacing w:before="0"/>
        <w:ind w:left="709" w:hanging="709"/>
        <w:rPr>
          <w:rFonts w:cs="Arial"/>
          <w:color w:val="auto"/>
          <w:szCs w:val="24"/>
        </w:rPr>
      </w:pPr>
      <w:r w:rsidRPr="00A04606">
        <w:rPr>
          <w:rFonts w:eastAsia="Calibri"/>
          <w:color w:val="auto"/>
          <w:szCs w:val="22"/>
          <w:lang w:eastAsia="en-US"/>
        </w:rPr>
        <w:t>The Maid Marian Line is being developed as stand-alone scheme which will provide greater local connectivity with cross county connections, an alternative route into Nottingham and to Derby and beyond. The scheme offers the opportunity to maximise access to employment and education to enhance quality of life, improve the environment and strengthen the economy. There is a clear ‘golden thread’ from National Policy, through regional strategies and local plans. This will support Ashfield’s ambition to be a destination for employment, education, and tourism.</w:t>
      </w:r>
    </w:p>
    <w:p w14:paraId="154593E5" w14:textId="77777777" w:rsidR="00E81B70" w:rsidRPr="003C7E62" w:rsidRDefault="00E81B70" w:rsidP="00E81B70">
      <w:pPr>
        <w:keepNext w:val="0"/>
        <w:autoSpaceDE w:val="0"/>
        <w:autoSpaceDN w:val="0"/>
        <w:adjustRightInd w:val="0"/>
        <w:spacing w:before="0"/>
        <w:ind w:left="360"/>
        <w:rPr>
          <w:rFonts w:cs="Arial"/>
          <w:color w:val="auto"/>
          <w:szCs w:val="24"/>
        </w:rPr>
      </w:pPr>
    </w:p>
    <w:p w14:paraId="1C6D4E33" w14:textId="7AC655B8" w:rsidR="00100330" w:rsidRPr="00655AE8" w:rsidRDefault="00100330" w:rsidP="00606546">
      <w:pPr>
        <w:autoSpaceDE w:val="0"/>
        <w:autoSpaceDN w:val="0"/>
        <w:adjustRightInd w:val="0"/>
        <w:spacing w:before="0"/>
        <w:ind w:left="709"/>
        <w:rPr>
          <w:rFonts w:cs="Arial"/>
          <w:i/>
          <w:color w:val="auto"/>
          <w:szCs w:val="24"/>
          <w:u w:val="single"/>
        </w:rPr>
      </w:pPr>
      <w:r w:rsidRPr="00655AE8">
        <w:rPr>
          <w:rFonts w:eastAsia="Calibri" w:cs="Arial"/>
          <w:i/>
          <w:color w:val="auto"/>
          <w:szCs w:val="24"/>
          <w:u w:val="single"/>
          <w:shd w:val="clear" w:color="auto" w:fill="FFFFFF"/>
        </w:rPr>
        <w:t>High Speed 2 Phase 2b (HS2)</w:t>
      </w:r>
    </w:p>
    <w:p w14:paraId="7742A565" w14:textId="5DD1FCCB" w:rsidR="00BA7A0D" w:rsidRPr="00BA7A0D" w:rsidRDefault="00BA7A0D" w:rsidP="00BA7A0D">
      <w:pPr>
        <w:keepNext w:val="0"/>
        <w:numPr>
          <w:ilvl w:val="1"/>
          <w:numId w:val="52"/>
        </w:numPr>
        <w:autoSpaceDE w:val="0"/>
        <w:autoSpaceDN w:val="0"/>
        <w:adjustRightInd w:val="0"/>
        <w:spacing w:before="0"/>
        <w:ind w:left="709" w:hanging="709"/>
        <w:rPr>
          <w:rFonts w:cs="Arial"/>
          <w:color w:val="auto"/>
          <w:szCs w:val="24"/>
        </w:rPr>
      </w:pPr>
      <w:bookmarkStart w:id="19" w:name="_Hlk142981422"/>
      <w:bookmarkStart w:id="20" w:name="_Hlk75956208"/>
      <w:r w:rsidRPr="00BA7A0D">
        <w:rPr>
          <w:rFonts w:cs="Arial"/>
          <w:color w:val="auto"/>
          <w:szCs w:val="24"/>
        </w:rPr>
        <w:t>The Department for Transport Integrated Rail Plan for the North and Midlands 2021</w:t>
      </w:r>
      <w:r w:rsidRPr="00BA7A0D">
        <w:rPr>
          <w:rStyle w:val="FootnoteReference"/>
          <w:rFonts w:cs="Arial"/>
          <w:color w:val="auto"/>
          <w:szCs w:val="24"/>
        </w:rPr>
        <w:footnoteReference w:id="35"/>
      </w:r>
      <w:r w:rsidRPr="00BA7A0D">
        <w:rPr>
          <w:rFonts w:cs="Arial"/>
          <w:color w:val="auto"/>
          <w:szCs w:val="24"/>
        </w:rPr>
        <w:t xml:space="preserve"> </w:t>
      </w:r>
      <w:r w:rsidR="00774946">
        <w:rPr>
          <w:rFonts w:cs="Arial"/>
          <w:color w:val="auto"/>
          <w:szCs w:val="24"/>
        </w:rPr>
        <w:t xml:space="preserve">stated it would </w:t>
      </w:r>
      <w:r w:rsidRPr="00BA7A0D">
        <w:rPr>
          <w:rFonts w:cs="Arial"/>
          <w:color w:val="auto"/>
          <w:szCs w:val="24"/>
        </w:rPr>
        <w:t>include the following proposals</w:t>
      </w:r>
      <w:r w:rsidR="00774946">
        <w:rPr>
          <w:rFonts w:cs="Arial"/>
          <w:color w:val="auto"/>
          <w:szCs w:val="24"/>
        </w:rPr>
        <w:t>, some of which are under review following Government announcements in 2023</w:t>
      </w:r>
      <w:r w:rsidRPr="00BA7A0D">
        <w:rPr>
          <w:rFonts w:cs="Arial"/>
          <w:color w:val="auto"/>
          <w:szCs w:val="24"/>
        </w:rPr>
        <w:t>:</w:t>
      </w:r>
    </w:p>
    <w:p w14:paraId="52CFFE8A" w14:textId="77777777" w:rsidR="00BA7A0D" w:rsidRPr="00BA7A0D" w:rsidRDefault="00BA7A0D" w:rsidP="00BA7A0D">
      <w:pPr>
        <w:keepNext w:val="0"/>
        <w:autoSpaceDE w:val="0"/>
        <w:autoSpaceDN w:val="0"/>
        <w:adjustRightInd w:val="0"/>
        <w:spacing w:before="0"/>
        <w:ind w:left="1276" w:hanging="425"/>
        <w:rPr>
          <w:rFonts w:cs="Arial"/>
          <w:color w:val="auto"/>
          <w:szCs w:val="24"/>
        </w:rPr>
      </w:pPr>
    </w:p>
    <w:p w14:paraId="1064CEE0" w14:textId="77777777" w:rsidR="00BA7A0D" w:rsidRPr="00BA7A0D" w:rsidRDefault="00BA7A0D" w:rsidP="00BA7A0D">
      <w:pPr>
        <w:keepNext w:val="0"/>
        <w:autoSpaceDE w:val="0"/>
        <w:autoSpaceDN w:val="0"/>
        <w:adjustRightInd w:val="0"/>
        <w:spacing w:before="0"/>
        <w:ind w:left="1276" w:hanging="425"/>
        <w:rPr>
          <w:rFonts w:cs="Arial"/>
          <w:color w:val="auto"/>
          <w:szCs w:val="24"/>
        </w:rPr>
      </w:pPr>
      <w:r w:rsidRPr="00BA7A0D">
        <w:rPr>
          <w:rFonts w:cs="Arial"/>
          <w:color w:val="auto"/>
          <w:szCs w:val="24"/>
        </w:rPr>
        <w:t>•</w:t>
      </w:r>
      <w:r w:rsidRPr="00BA7A0D">
        <w:rPr>
          <w:rFonts w:cs="Arial"/>
          <w:color w:val="auto"/>
          <w:szCs w:val="24"/>
        </w:rPr>
        <w:tab/>
        <w:t>Subject to consultation, a stretch of new high-speed line, HS2, will be built from the West Midlands to the East Midlands, based largely on the existing safeguarded route, connecting to the existing railway line near East Midlands Parkway Station (close to East Midlands Airport).</w:t>
      </w:r>
    </w:p>
    <w:p w14:paraId="06611995" w14:textId="77777777" w:rsidR="00BA7A0D" w:rsidRPr="00BA7A0D" w:rsidRDefault="00BA7A0D" w:rsidP="00BA7A0D">
      <w:pPr>
        <w:keepNext w:val="0"/>
        <w:autoSpaceDE w:val="0"/>
        <w:autoSpaceDN w:val="0"/>
        <w:adjustRightInd w:val="0"/>
        <w:spacing w:before="0"/>
        <w:ind w:left="1276" w:hanging="425"/>
        <w:rPr>
          <w:rFonts w:cs="Arial"/>
          <w:color w:val="auto"/>
          <w:szCs w:val="24"/>
        </w:rPr>
      </w:pPr>
    </w:p>
    <w:p w14:paraId="561F1111" w14:textId="710E38B0" w:rsidR="00BA7A0D" w:rsidRPr="00BA7A0D" w:rsidRDefault="00BA7A0D" w:rsidP="00BA7A0D">
      <w:pPr>
        <w:keepNext w:val="0"/>
        <w:autoSpaceDE w:val="0"/>
        <w:autoSpaceDN w:val="0"/>
        <w:adjustRightInd w:val="0"/>
        <w:spacing w:before="0"/>
        <w:ind w:left="1276" w:hanging="425"/>
        <w:rPr>
          <w:rFonts w:cs="Arial"/>
          <w:color w:val="auto"/>
          <w:szCs w:val="24"/>
        </w:rPr>
      </w:pPr>
      <w:r w:rsidRPr="00BA7A0D">
        <w:rPr>
          <w:rFonts w:cs="Arial"/>
          <w:color w:val="auto"/>
          <w:szCs w:val="24"/>
        </w:rPr>
        <w:t>•</w:t>
      </w:r>
      <w:r w:rsidRPr="00BA7A0D">
        <w:rPr>
          <w:rFonts w:cs="Arial"/>
          <w:color w:val="auto"/>
          <w:szCs w:val="24"/>
        </w:rPr>
        <w:tab/>
        <w:t xml:space="preserve">The Government will accelerate transport improvements at Toton, such as a station for local/regional services, with delivery subject to significant private sector investment – on a 50:50 match-funded basis with the taxpayer – coming forward at the site and developer contributions.  It “will look to exploit any linkages with other investment in Nottinghamshire, including the proposals </w:t>
      </w:r>
      <w:r w:rsidRPr="00BA7A0D">
        <w:rPr>
          <w:rFonts w:cs="Arial"/>
          <w:color w:val="auto"/>
          <w:szCs w:val="24"/>
        </w:rPr>
        <w:lastRenderedPageBreak/>
        <w:t>for the Robin Hood Line Extension and reopening the Maid Marian line</w:t>
      </w:r>
      <w:r w:rsidR="00A04606">
        <w:rPr>
          <w:rFonts w:cs="Arial"/>
          <w:color w:val="auto"/>
          <w:szCs w:val="24"/>
        </w:rPr>
        <w:t xml:space="preserve"> to a passenger rail services</w:t>
      </w:r>
      <w:r w:rsidRPr="00BA7A0D">
        <w:rPr>
          <w:rFonts w:cs="Arial"/>
          <w:color w:val="auto"/>
          <w:szCs w:val="24"/>
        </w:rPr>
        <w:t>.”</w:t>
      </w:r>
    </w:p>
    <w:p w14:paraId="00DE8BE7" w14:textId="77777777" w:rsidR="00BA7A0D" w:rsidRPr="00BA7A0D" w:rsidRDefault="00BA7A0D" w:rsidP="00BA7A0D">
      <w:pPr>
        <w:keepNext w:val="0"/>
        <w:autoSpaceDE w:val="0"/>
        <w:autoSpaceDN w:val="0"/>
        <w:adjustRightInd w:val="0"/>
        <w:spacing w:before="0"/>
        <w:ind w:left="1276" w:hanging="425"/>
        <w:rPr>
          <w:rFonts w:cs="Arial"/>
          <w:color w:val="auto"/>
          <w:szCs w:val="24"/>
        </w:rPr>
      </w:pPr>
    </w:p>
    <w:p w14:paraId="74A9BE68" w14:textId="77777777" w:rsidR="00BA7A0D" w:rsidRPr="00BA7A0D" w:rsidRDefault="00BA7A0D" w:rsidP="00BA7A0D">
      <w:pPr>
        <w:keepNext w:val="0"/>
        <w:autoSpaceDE w:val="0"/>
        <w:autoSpaceDN w:val="0"/>
        <w:adjustRightInd w:val="0"/>
        <w:spacing w:before="0"/>
        <w:ind w:left="1276" w:hanging="425"/>
        <w:rPr>
          <w:rFonts w:cs="Arial"/>
          <w:color w:val="auto"/>
          <w:szCs w:val="24"/>
        </w:rPr>
      </w:pPr>
      <w:r w:rsidRPr="00BA7A0D">
        <w:rPr>
          <w:rFonts w:cs="Arial"/>
          <w:color w:val="auto"/>
          <w:szCs w:val="24"/>
        </w:rPr>
        <w:t>•</w:t>
      </w:r>
      <w:r w:rsidRPr="00BA7A0D">
        <w:rPr>
          <w:rFonts w:cs="Arial"/>
          <w:color w:val="auto"/>
          <w:szCs w:val="24"/>
        </w:rPr>
        <w:tab/>
        <w:t>Complete electrification of the Midland Mainline, which will allow HS2 trains to serve Nottingham, Derby and Sheffield.</w:t>
      </w:r>
    </w:p>
    <w:p w14:paraId="2EFAA367" w14:textId="77777777" w:rsidR="00BA7A0D" w:rsidRPr="00BA7A0D" w:rsidRDefault="00BA7A0D" w:rsidP="00BA7A0D">
      <w:pPr>
        <w:keepNext w:val="0"/>
        <w:autoSpaceDE w:val="0"/>
        <w:autoSpaceDN w:val="0"/>
        <w:adjustRightInd w:val="0"/>
        <w:spacing w:before="0"/>
        <w:ind w:left="1276" w:hanging="425"/>
        <w:rPr>
          <w:rFonts w:cs="Arial"/>
          <w:color w:val="auto"/>
          <w:szCs w:val="24"/>
        </w:rPr>
      </w:pPr>
    </w:p>
    <w:p w14:paraId="605B82F4" w14:textId="77777777" w:rsidR="00BA7A0D" w:rsidRPr="00BA7A0D" w:rsidRDefault="00BA7A0D" w:rsidP="00BA7A0D">
      <w:pPr>
        <w:keepNext w:val="0"/>
        <w:autoSpaceDE w:val="0"/>
        <w:autoSpaceDN w:val="0"/>
        <w:adjustRightInd w:val="0"/>
        <w:spacing w:before="0"/>
        <w:ind w:left="1276" w:hanging="425"/>
        <w:rPr>
          <w:rFonts w:cs="Arial"/>
          <w:color w:val="auto"/>
          <w:szCs w:val="24"/>
        </w:rPr>
      </w:pPr>
      <w:r w:rsidRPr="00BA7A0D">
        <w:rPr>
          <w:rFonts w:cs="Arial"/>
          <w:color w:val="auto"/>
          <w:szCs w:val="24"/>
        </w:rPr>
        <w:t>•</w:t>
      </w:r>
      <w:r w:rsidRPr="00BA7A0D">
        <w:rPr>
          <w:rFonts w:cs="Arial"/>
          <w:color w:val="auto"/>
          <w:szCs w:val="24"/>
        </w:rPr>
        <w:tab/>
        <w:t>The Government is undertaking further work to look at the most effective way to run HS2 trains to Leeds.</w:t>
      </w:r>
    </w:p>
    <w:p w14:paraId="31BBB0FE" w14:textId="77777777" w:rsidR="00BA7A0D" w:rsidRPr="00BA7A0D" w:rsidRDefault="00BA7A0D" w:rsidP="00BA7A0D">
      <w:pPr>
        <w:pStyle w:val="ListParagraph"/>
        <w:rPr>
          <w:rFonts w:cs="Arial"/>
          <w:color w:val="auto"/>
          <w:szCs w:val="24"/>
        </w:rPr>
      </w:pPr>
    </w:p>
    <w:p w14:paraId="0881DEC3" w14:textId="77777777" w:rsidR="00BA7A0D" w:rsidRPr="00BA7A0D" w:rsidRDefault="00BA7A0D" w:rsidP="00BA7A0D">
      <w:pPr>
        <w:pStyle w:val="ListParagraph"/>
        <w:numPr>
          <w:ilvl w:val="1"/>
          <w:numId w:val="52"/>
        </w:numPr>
        <w:ind w:left="709" w:hanging="709"/>
        <w:rPr>
          <w:rFonts w:ascii="Arial" w:hAnsi="Arial" w:cs="Arial"/>
          <w:color w:val="auto"/>
          <w:szCs w:val="24"/>
          <w:lang w:eastAsia="en-GB"/>
        </w:rPr>
      </w:pPr>
      <w:r w:rsidRPr="00BA7A0D">
        <w:rPr>
          <w:rFonts w:ascii="Arial" w:hAnsi="Arial" w:cs="Arial"/>
          <w:color w:val="auto"/>
          <w:szCs w:val="24"/>
          <w:lang w:eastAsia="en-GB"/>
        </w:rPr>
        <w:t>Whilst the Government removed the section of HS2 from Birmingham to East Midlands on the 4th of October 2023, it restated its commitment to transportation projects in the East Midlands area. Maid Marian Line and Robin Hood line and electrification of the line to Nottingham all remain priorities for wider connectivity in the region.</w:t>
      </w:r>
    </w:p>
    <w:p w14:paraId="794B9430" w14:textId="77777777" w:rsidR="00BA7A0D" w:rsidRPr="00BA7A0D" w:rsidRDefault="00BA7A0D" w:rsidP="00BA7A0D">
      <w:pPr>
        <w:pStyle w:val="ListParagraph"/>
        <w:ind w:left="709"/>
        <w:rPr>
          <w:rFonts w:ascii="Arial" w:hAnsi="Arial" w:cs="Arial"/>
          <w:color w:val="auto"/>
          <w:szCs w:val="24"/>
          <w:lang w:eastAsia="en-GB"/>
        </w:rPr>
      </w:pPr>
    </w:p>
    <w:p w14:paraId="6380DBDD" w14:textId="77777777" w:rsidR="00BA7A0D" w:rsidRPr="00BA7A0D" w:rsidRDefault="00BA7A0D" w:rsidP="00BA7A0D">
      <w:pPr>
        <w:pStyle w:val="ListParagraph"/>
        <w:numPr>
          <w:ilvl w:val="1"/>
          <w:numId w:val="52"/>
        </w:numPr>
        <w:ind w:left="709" w:hanging="709"/>
        <w:rPr>
          <w:rFonts w:ascii="Arial" w:hAnsi="Arial" w:cs="Arial"/>
          <w:color w:val="auto"/>
          <w:szCs w:val="24"/>
          <w:lang w:eastAsia="en-GB"/>
        </w:rPr>
      </w:pPr>
      <w:r w:rsidRPr="00BA7A0D">
        <w:rPr>
          <w:rFonts w:ascii="Arial" w:hAnsi="Arial" w:cs="Arial"/>
          <w:color w:val="auto"/>
          <w:szCs w:val="24"/>
          <w:lang w:eastAsia="en-GB"/>
        </w:rPr>
        <w:t>The Department for Transport’s Safeguarding Directions</w:t>
      </w:r>
      <w:r w:rsidRPr="00BA7A0D">
        <w:rPr>
          <w:rStyle w:val="FootnoteReference"/>
          <w:rFonts w:ascii="Arial" w:hAnsi="Arial" w:cs="Arial"/>
          <w:color w:val="auto"/>
          <w:szCs w:val="24"/>
          <w:lang w:eastAsia="en-GB"/>
        </w:rPr>
        <w:footnoteReference w:id="36"/>
      </w:r>
      <w:r w:rsidRPr="00BA7A0D">
        <w:rPr>
          <w:rFonts w:ascii="Arial" w:hAnsi="Arial" w:cs="Arial"/>
          <w:color w:val="auto"/>
          <w:szCs w:val="24"/>
          <w:lang w:eastAsia="en-GB"/>
        </w:rPr>
        <w:t xml:space="preserve"> remain in place at this time, which including safeguarding the route through the District of Ashfield.  The anticipated route is shown on the Policies Map.</w:t>
      </w:r>
    </w:p>
    <w:bookmarkEnd w:id="19"/>
    <w:bookmarkEnd w:id="20"/>
    <w:p w14:paraId="7D7184AF" w14:textId="48821A96" w:rsidR="00100330" w:rsidRPr="003C7E62" w:rsidRDefault="00100330" w:rsidP="00606546">
      <w:pPr>
        <w:autoSpaceDE w:val="0"/>
        <w:autoSpaceDN w:val="0"/>
        <w:adjustRightInd w:val="0"/>
        <w:spacing w:before="0"/>
        <w:ind w:left="709"/>
        <w:rPr>
          <w:rFonts w:cs="Arial"/>
          <w:i/>
          <w:color w:val="auto"/>
          <w:szCs w:val="24"/>
          <w:u w:val="single"/>
        </w:rPr>
      </w:pPr>
      <w:r w:rsidRPr="003C7E62">
        <w:rPr>
          <w:rFonts w:cs="Arial"/>
          <w:i/>
          <w:color w:val="auto"/>
          <w:szCs w:val="24"/>
          <w:u w:val="single"/>
        </w:rPr>
        <w:t>Joint Health &amp; Wellbeing Strategy 20</w:t>
      </w:r>
      <w:r w:rsidR="00033FE0">
        <w:rPr>
          <w:rFonts w:cs="Arial"/>
          <w:i/>
          <w:color w:val="auto"/>
          <w:szCs w:val="24"/>
          <w:u w:val="single"/>
        </w:rPr>
        <w:t>22</w:t>
      </w:r>
      <w:r w:rsidRPr="003C7E62">
        <w:rPr>
          <w:rFonts w:cs="Arial"/>
          <w:i/>
          <w:color w:val="auto"/>
          <w:szCs w:val="24"/>
          <w:u w:val="single"/>
        </w:rPr>
        <w:t>-202</w:t>
      </w:r>
      <w:r w:rsidR="00033FE0">
        <w:rPr>
          <w:rFonts w:cs="Arial"/>
          <w:i/>
          <w:color w:val="auto"/>
          <w:szCs w:val="24"/>
          <w:u w:val="single"/>
        </w:rPr>
        <w:t>6</w:t>
      </w:r>
    </w:p>
    <w:p w14:paraId="06FC3B7E" w14:textId="55D363AD" w:rsidR="00100330" w:rsidRDefault="00033FE0" w:rsidP="00D01157">
      <w:pPr>
        <w:keepNext w:val="0"/>
        <w:numPr>
          <w:ilvl w:val="1"/>
          <w:numId w:val="52"/>
        </w:numPr>
        <w:autoSpaceDE w:val="0"/>
        <w:autoSpaceDN w:val="0"/>
        <w:adjustRightInd w:val="0"/>
        <w:spacing w:before="0"/>
        <w:ind w:left="709" w:hanging="709"/>
        <w:rPr>
          <w:rFonts w:cs="Arial"/>
          <w:color w:val="auto"/>
          <w:szCs w:val="24"/>
        </w:rPr>
      </w:pPr>
      <w:r w:rsidRPr="00033FE0">
        <w:rPr>
          <w:rFonts w:cs="Arial"/>
          <w:color w:val="auto"/>
          <w:szCs w:val="24"/>
        </w:rPr>
        <w:t xml:space="preserve">This </w:t>
      </w:r>
      <w:r>
        <w:rPr>
          <w:rFonts w:cs="Arial"/>
          <w:color w:val="auto"/>
          <w:szCs w:val="24"/>
        </w:rPr>
        <w:t>S</w:t>
      </w:r>
      <w:r w:rsidRPr="00033FE0">
        <w:rPr>
          <w:rFonts w:cs="Arial"/>
          <w:color w:val="auto"/>
          <w:szCs w:val="24"/>
        </w:rPr>
        <w:t>trategy</w:t>
      </w:r>
      <w:r>
        <w:rPr>
          <w:rStyle w:val="FootnoteReference"/>
          <w:rFonts w:cs="Arial"/>
          <w:color w:val="auto"/>
          <w:szCs w:val="24"/>
        </w:rPr>
        <w:footnoteReference w:id="37"/>
      </w:r>
      <w:r w:rsidRPr="00033FE0">
        <w:rPr>
          <w:rFonts w:cs="Arial"/>
          <w:color w:val="auto"/>
          <w:szCs w:val="24"/>
        </w:rPr>
        <w:t xml:space="preserve"> sets out the priorities for the Nottinghamshire Health and Wellbeing Board and how it plans to improve the health and wellbeing of our residents and reduce health inequalities amongst our communities.</w:t>
      </w:r>
    </w:p>
    <w:p w14:paraId="5A9123BA" w14:textId="11175542" w:rsidR="00CB6138" w:rsidRDefault="00CB6138" w:rsidP="009F53F8">
      <w:pPr>
        <w:keepNext w:val="0"/>
        <w:autoSpaceDE w:val="0"/>
        <w:autoSpaceDN w:val="0"/>
        <w:adjustRightInd w:val="0"/>
        <w:spacing w:before="0"/>
        <w:rPr>
          <w:rFonts w:cs="Arial"/>
          <w:color w:val="auto"/>
        </w:rPr>
      </w:pPr>
    </w:p>
    <w:p w14:paraId="517CC556" w14:textId="40712904" w:rsidR="000B31B8" w:rsidRPr="003C7E62" w:rsidRDefault="000B31B8" w:rsidP="000B31B8">
      <w:pPr>
        <w:keepNext w:val="0"/>
        <w:autoSpaceDE w:val="0"/>
        <w:autoSpaceDN w:val="0"/>
        <w:adjustRightInd w:val="0"/>
        <w:spacing w:before="0"/>
        <w:rPr>
          <w:rFonts w:cs="Arial"/>
          <w:szCs w:val="24"/>
        </w:rPr>
      </w:pPr>
    </w:p>
    <w:p w14:paraId="7CB0B303" w14:textId="49988D00" w:rsidR="00100330" w:rsidRDefault="00100330" w:rsidP="00606546">
      <w:pPr>
        <w:autoSpaceDE w:val="0"/>
        <w:autoSpaceDN w:val="0"/>
        <w:adjustRightInd w:val="0"/>
        <w:spacing w:before="0"/>
        <w:ind w:left="709"/>
        <w:rPr>
          <w:rFonts w:cs="Arial"/>
          <w:b/>
          <w:szCs w:val="24"/>
        </w:rPr>
      </w:pPr>
      <w:r w:rsidRPr="003C7E62">
        <w:rPr>
          <w:rFonts w:cs="Arial"/>
          <w:b/>
          <w:szCs w:val="24"/>
        </w:rPr>
        <w:t>Local Context / Strategies</w:t>
      </w:r>
    </w:p>
    <w:p w14:paraId="556D4AE8" w14:textId="77777777" w:rsidR="0038361D" w:rsidRPr="003C7E62" w:rsidRDefault="0038361D" w:rsidP="00606546">
      <w:pPr>
        <w:autoSpaceDE w:val="0"/>
        <w:autoSpaceDN w:val="0"/>
        <w:adjustRightInd w:val="0"/>
        <w:spacing w:before="0"/>
        <w:ind w:left="709"/>
        <w:rPr>
          <w:rFonts w:cs="Arial"/>
          <w:b/>
          <w:szCs w:val="24"/>
        </w:rPr>
      </w:pPr>
    </w:p>
    <w:p w14:paraId="21D08648" w14:textId="223E31F6" w:rsidR="00100330" w:rsidRPr="003C7E62" w:rsidRDefault="00100330" w:rsidP="00D01157">
      <w:pPr>
        <w:keepNext w:val="0"/>
        <w:numPr>
          <w:ilvl w:val="1"/>
          <w:numId w:val="52"/>
        </w:numPr>
        <w:autoSpaceDE w:val="0"/>
        <w:autoSpaceDN w:val="0"/>
        <w:adjustRightInd w:val="0"/>
        <w:spacing w:before="0"/>
        <w:ind w:left="709" w:hanging="709"/>
        <w:rPr>
          <w:rFonts w:cs="Arial"/>
          <w:szCs w:val="24"/>
        </w:rPr>
      </w:pPr>
      <w:r w:rsidRPr="003C7E62">
        <w:rPr>
          <w:rFonts w:cs="Arial"/>
          <w:szCs w:val="24"/>
        </w:rPr>
        <w:t xml:space="preserve">The following plans and polices are of local relevance and have been used to shape the draft </w:t>
      </w:r>
      <w:r w:rsidR="00E96CEF">
        <w:rPr>
          <w:rFonts w:cs="Arial"/>
          <w:szCs w:val="24"/>
        </w:rPr>
        <w:t>L</w:t>
      </w:r>
      <w:r w:rsidRPr="003C7E62">
        <w:rPr>
          <w:rFonts w:cs="Arial"/>
          <w:szCs w:val="24"/>
        </w:rPr>
        <w:t xml:space="preserve">ocal </w:t>
      </w:r>
      <w:r w:rsidR="00E96CEF">
        <w:rPr>
          <w:rFonts w:cs="Arial"/>
          <w:szCs w:val="24"/>
        </w:rPr>
        <w:t>P</w:t>
      </w:r>
      <w:r w:rsidRPr="003C7E62">
        <w:rPr>
          <w:rFonts w:cs="Arial"/>
          <w:szCs w:val="24"/>
        </w:rPr>
        <w:t>lan.</w:t>
      </w:r>
    </w:p>
    <w:p w14:paraId="24DC83B0" w14:textId="77777777" w:rsidR="00606546" w:rsidRPr="003C7E62" w:rsidRDefault="00606546" w:rsidP="00606546">
      <w:pPr>
        <w:autoSpaceDE w:val="0"/>
        <w:autoSpaceDN w:val="0"/>
        <w:adjustRightInd w:val="0"/>
        <w:spacing w:before="0"/>
        <w:ind w:left="709"/>
        <w:rPr>
          <w:rFonts w:cs="Arial"/>
          <w:i/>
          <w:szCs w:val="24"/>
          <w:u w:val="single"/>
        </w:rPr>
      </w:pPr>
    </w:p>
    <w:p w14:paraId="57BC4C4D" w14:textId="78DA5765" w:rsidR="00100330" w:rsidRPr="00E96CEF" w:rsidRDefault="00100330" w:rsidP="00606546">
      <w:pPr>
        <w:autoSpaceDE w:val="0"/>
        <w:autoSpaceDN w:val="0"/>
        <w:adjustRightInd w:val="0"/>
        <w:spacing w:before="0"/>
        <w:ind w:left="709"/>
        <w:rPr>
          <w:rFonts w:cs="Arial"/>
          <w:color w:val="auto"/>
          <w:szCs w:val="24"/>
        </w:rPr>
      </w:pPr>
      <w:r w:rsidRPr="00E96CEF">
        <w:rPr>
          <w:rFonts w:cs="Arial"/>
          <w:i/>
          <w:color w:val="auto"/>
          <w:szCs w:val="24"/>
          <w:u w:val="single"/>
        </w:rPr>
        <w:t>Ashfield District Council Corporate Plan (20</w:t>
      </w:r>
      <w:r w:rsidR="00F844C8">
        <w:rPr>
          <w:rFonts w:cs="Arial"/>
          <w:i/>
          <w:color w:val="auto"/>
          <w:szCs w:val="24"/>
          <w:u w:val="single"/>
        </w:rPr>
        <w:t>23</w:t>
      </w:r>
      <w:r w:rsidRPr="00E96CEF">
        <w:rPr>
          <w:rFonts w:cs="Arial"/>
          <w:i/>
          <w:color w:val="auto"/>
          <w:szCs w:val="24"/>
          <w:u w:val="single"/>
        </w:rPr>
        <w:t xml:space="preserve"> – 202</w:t>
      </w:r>
      <w:r w:rsidR="00F844C8">
        <w:rPr>
          <w:rFonts w:cs="Arial"/>
          <w:i/>
          <w:color w:val="auto"/>
          <w:szCs w:val="24"/>
          <w:u w:val="single"/>
        </w:rPr>
        <w:t>7</w:t>
      </w:r>
      <w:r w:rsidRPr="00E96CEF">
        <w:rPr>
          <w:rFonts w:cs="Arial"/>
          <w:i/>
          <w:color w:val="auto"/>
          <w:szCs w:val="24"/>
          <w:u w:val="single"/>
        </w:rPr>
        <w:t>)</w:t>
      </w:r>
    </w:p>
    <w:p w14:paraId="6DC7FF23" w14:textId="499CDA55" w:rsidR="00100330" w:rsidRPr="00E96CEF" w:rsidRDefault="00100330" w:rsidP="00D01157">
      <w:pPr>
        <w:keepNext w:val="0"/>
        <w:numPr>
          <w:ilvl w:val="1"/>
          <w:numId w:val="52"/>
        </w:numPr>
        <w:autoSpaceDE w:val="0"/>
        <w:autoSpaceDN w:val="0"/>
        <w:adjustRightInd w:val="0"/>
        <w:spacing w:before="0"/>
        <w:ind w:left="709" w:hanging="709"/>
        <w:rPr>
          <w:rFonts w:cs="Arial"/>
          <w:color w:val="auto"/>
          <w:szCs w:val="24"/>
        </w:rPr>
      </w:pPr>
      <w:r w:rsidRPr="00E96CEF">
        <w:rPr>
          <w:rFonts w:cs="Arial"/>
          <w:color w:val="auto"/>
          <w:szCs w:val="24"/>
        </w:rPr>
        <w:t>Six priorities are set out in the Ashfield District Council Corporate Plan</w:t>
      </w:r>
      <w:r w:rsidRPr="00E96CEF">
        <w:rPr>
          <w:rFonts w:cs="Arial"/>
          <w:color w:val="auto"/>
          <w:szCs w:val="24"/>
          <w:vertAlign w:val="superscript"/>
        </w:rPr>
        <w:footnoteReference w:id="38"/>
      </w:r>
      <w:r w:rsidRPr="00E96CEF">
        <w:rPr>
          <w:rFonts w:cs="Arial"/>
          <w:color w:val="auto"/>
          <w:szCs w:val="24"/>
        </w:rPr>
        <w:t xml:space="preserve"> as follows:</w:t>
      </w:r>
    </w:p>
    <w:p w14:paraId="40BFAEDC" w14:textId="77777777" w:rsidR="008B78E9" w:rsidRPr="00E96CEF" w:rsidRDefault="008B78E9" w:rsidP="008B78E9">
      <w:pPr>
        <w:keepNext w:val="0"/>
        <w:autoSpaceDE w:val="0"/>
        <w:autoSpaceDN w:val="0"/>
        <w:adjustRightInd w:val="0"/>
        <w:spacing w:before="0"/>
        <w:ind w:left="709"/>
        <w:rPr>
          <w:rFonts w:cs="Arial"/>
          <w:color w:val="auto"/>
          <w:szCs w:val="24"/>
        </w:rPr>
      </w:pPr>
    </w:p>
    <w:p w14:paraId="2C93C166" w14:textId="77777777" w:rsidR="00100330" w:rsidRPr="00E96CEF" w:rsidRDefault="00100330" w:rsidP="00D01157">
      <w:pPr>
        <w:keepNext w:val="0"/>
        <w:numPr>
          <w:ilvl w:val="0"/>
          <w:numId w:val="53"/>
        </w:numPr>
        <w:autoSpaceDE w:val="0"/>
        <w:autoSpaceDN w:val="0"/>
        <w:adjustRightInd w:val="0"/>
        <w:spacing w:before="0"/>
        <w:ind w:left="1134" w:hanging="425"/>
        <w:rPr>
          <w:rFonts w:cs="Arial"/>
          <w:color w:val="auto"/>
          <w:szCs w:val="24"/>
        </w:rPr>
      </w:pPr>
      <w:r w:rsidRPr="00E96CEF">
        <w:rPr>
          <w:rFonts w:cs="Arial"/>
          <w:color w:val="auto"/>
          <w:szCs w:val="24"/>
        </w:rPr>
        <w:t>Health and Happiness,</w:t>
      </w:r>
    </w:p>
    <w:p w14:paraId="3B6F3E3F" w14:textId="77777777" w:rsidR="00100330" w:rsidRPr="00E96CEF" w:rsidRDefault="00100330" w:rsidP="00D01157">
      <w:pPr>
        <w:keepNext w:val="0"/>
        <w:numPr>
          <w:ilvl w:val="0"/>
          <w:numId w:val="53"/>
        </w:numPr>
        <w:autoSpaceDE w:val="0"/>
        <w:autoSpaceDN w:val="0"/>
        <w:adjustRightInd w:val="0"/>
        <w:spacing w:before="0"/>
        <w:ind w:left="1134" w:hanging="425"/>
        <w:rPr>
          <w:rFonts w:cs="Arial"/>
          <w:color w:val="auto"/>
          <w:szCs w:val="24"/>
        </w:rPr>
      </w:pPr>
      <w:r w:rsidRPr="00E96CEF">
        <w:rPr>
          <w:rFonts w:cs="Arial"/>
          <w:color w:val="auto"/>
          <w:szCs w:val="24"/>
        </w:rPr>
        <w:t>Homes and Housing,</w:t>
      </w:r>
    </w:p>
    <w:p w14:paraId="35B3C8B6" w14:textId="77777777" w:rsidR="00100330" w:rsidRPr="00E96CEF" w:rsidRDefault="00100330" w:rsidP="00D01157">
      <w:pPr>
        <w:keepNext w:val="0"/>
        <w:numPr>
          <w:ilvl w:val="0"/>
          <w:numId w:val="53"/>
        </w:numPr>
        <w:autoSpaceDE w:val="0"/>
        <w:autoSpaceDN w:val="0"/>
        <w:adjustRightInd w:val="0"/>
        <w:spacing w:before="0"/>
        <w:ind w:left="1134" w:hanging="425"/>
        <w:rPr>
          <w:rFonts w:cs="Arial"/>
          <w:color w:val="auto"/>
          <w:szCs w:val="24"/>
        </w:rPr>
      </w:pPr>
      <w:r w:rsidRPr="00E96CEF">
        <w:rPr>
          <w:rFonts w:cs="Arial"/>
          <w:color w:val="auto"/>
          <w:szCs w:val="24"/>
        </w:rPr>
        <w:t>Economic Growth and Place,</w:t>
      </w:r>
    </w:p>
    <w:p w14:paraId="4D27AF14" w14:textId="77777777" w:rsidR="00100330" w:rsidRPr="00E96CEF" w:rsidRDefault="00100330" w:rsidP="00D01157">
      <w:pPr>
        <w:keepNext w:val="0"/>
        <w:numPr>
          <w:ilvl w:val="0"/>
          <w:numId w:val="53"/>
        </w:numPr>
        <w:autoSpaceDE w:val="0"/>
        <w:autoSpaceDN w:val="0"/>
        <w:adjustRightInd w:val="0"/>
        <w:spacing w:before="0"/>
        <w:ind w:left="1134" w:hanging="425"/>
        <w:rPr>
          <w:rFonts w:cs="Arial"/>
          <w:color w:val="auto"/>
          <w:szCs w:val="24"/>
        </w:rPr>
      </w:pPr>
      <w:r w:rsidRPr="00E96CEF">
        <w:rPr>
          <w:rFonts w:cs="Arial"/>
          <w:color w:val="auto"/>
          <w:szCs w:val="24"/>
        </w:rPr>
        <w:t>Cleaner and Greener,</w:t>
      </w:r>
    </w:p>
    <w:p w14:paraId="06747E9E" w14:textId="77777777" w:rsidR="00100330" w:rsidRPr="00E96CEF" w:rsidRDefault="00100330" w:rsidP="00D01157">
      <w:pPr>
        <w:keepNext w:val="0"/>
        <w:numPr>
          <w:ilvl w:val="0"/>
          <w:numId w:val="53"/>
        </w:numPr>
        <w:autoSpaceDE w:val="0"/>
        <w:autoSpaceDN w:val="0"/>
        <w:adjustRightInd w:val="0"/>
        <w:spacing w:before="0"/>
        <w:ind w:left="1134" w:hanging="425"/>
        <w:rPr>
          <w:rFonts w:cs="Arial"/>
          <w:color w:val="auto"/>
          <w:szCs w:val="24"/>
        </w:rPr>
      </w:pPr>
      <w:r w:rsidRPr="00E96CEF">
        <w:rPr>
          <w:rFonts w:cs="Arial"/>
          <w:color w:val="auto"/>
          <w:szCs w:val="24"/>
        </w:rPr>
        <w:t xml:space="preserve">Safer and Stronger, and </w:t>
      </w:r>
    </w:p>
    <w:p w14:paraId="3E2A198A" w14:textId="77777777" w:rsidR="00100330" w:rsidRPr="00E96CEF" w:rsidRDefault="00100330" w:rsidP="00D01157">
      <w:pPr>
        <w:keepNext w:val="0"/>
        <w:numPr>
          <w:ilvl w:val="0"/>
          <w:numId w:val="53"/>
        </w:numPr>
        <w:autoSpaceDE w:val="0"/>
        <w:autoSpaceDN w:val="0"/>
        <w:adjustRightInd w:val="0"/>
        <w:spacing w:before="0"/>
        <w:ind w:left="1134" w:hanging="425"/>
        <w:rPr>
          <w:rFonts w:cs="Arial"/>
          <w:color w:val="auto"/>
          <w:szCs w:val="24"/>
        </w:rPr>
      </w:pPr>
      <w:r w:rsidRPr="00E96CEF">
        <w:rPr>
          <w:rFonts w:cs="Arial"/>
          <w:color w:val="auto"/>
          <w:szCs w:val="24"/>
        </w:rPr>
        <w:t>Innovate and Improve</w:t>
      </w:r>
    </w:p>
    <w:p w14:paraId="70228810" w14:textId="77777777" w:rsidR="00100330" w:rsidRPr="003C7E62" w:rsidRDefault="00100330" w:rsidP="00606546">
      <w:pPr>
        <w:autoSpaceDE w:val="0"/>
        <w:autoSpaceDN w:val="0"/>
        <w:adjustRightInd w:val="0"/>
        <w:spacing w:before="0"/>
        <w:ind w:left="709"/>
        <w:rPr>
          <w:rFonts w:cs="Arial"/>
          <w:szCs w:val="24"/>
        </w:rPr>
      </w:pPr>
    </w:p>
    <w:p w14:paraId="77CAD235" w14:textId="3AB4B461" w:rsidR="00100330" w:rsidRPr="003C7E62" w:rsidRDefault="00100330" w:rsidP="00D01157">
      <w:pPr>
        <w:keepNext w:val="0"/>
        <w:numPr>
          <w:ilvl w:val="1"/>
          <w:numId w:val="52"/>
        </w:numPr>
        <w:autoSpaceDE w:val="0"/>
        <w:autoSpaceDN w:val="0"/>
        <w:adjustRightInd w:val="0"/>
        <w:spacing w:before="0"/>
        <w:ind w:left="709" w:hanging="709"/>
        <w:rPr>
          <w:rFonts w:cs="Arial"/>
          <w:szCs w:val="24"/>
        </w:rPr>
      </w:pPr>
      <w:r w:rsidRPr="003C7E62">
        <w:rPr>
          <w:rFonts w:cs="Arial"/>
          <w:szCs w:val="24"/>
        </w:rPr>
        <w:t>Planning, and the development plan in particular has a cross cutting role to play in helping to meet and deliver these priorities for the People of Ashfield. In particular, the local plan has a key responsibility in delivering the outcomes around the supply of appropriate and affordable homes, improving our town centres, facilitating economic growth especially around transport hubs, improving parks and open space and increasing tree coverage.</w:t>
      </w:r>
    </w:p>
    <w:p w14:paraId="4178C4FB" w14:textId="77777777" w:rsidR="00606546" w:rsidRPr="003C7E62" w:rsidRDefault="00606546" w:rsidP="00606546">
      <w:pPr>
        <w:keepNext w:val="0"/>
        <w:autoSpaceDE w:val="0"/>
        <w:autoSpaceDN w:val="0"/>
        <w:adjustRightInd w:val="0"/>
        <w:spacing w:before="0"/>
        <w:ind w:left="709"/>
        <w:rPr>
          <w:rFonts w:cs="Arial"/>
          <w:szCs w:val="24"/>
        </w:rPr>
      </w:pPr>
    </w:p>
    <w:p w14:paraId="068F4BD7" w14:textId="04BC202E" w:rsidR="00100330" w:rsidRPr="003C7E62" w:rsidRDefault="00E3388F" w:rsidP="00606546">
      <w:pPr>
        <w:autoSpaceDE w:val="0"/>
        <w:autoSpaceDN w:val="0"/>
        <w:adjustRightInd w:val="0"/>
        <w:spacing w:before="0"/>
        <w:ind w:left="709"/>
        <w:rPr>
          <w:rFonts w:cs="Arial"/>
          <w:color w:val="auto"/>
          <w:szCs w:val="24"/>
          <w:u w:val="single"/>
        </w:rPr>
      </w:pPr>
      <w:r w:rsidRPr="003C7E62">
        <w:rPr>
          <w:rFonts w:cs="Arial"/>
          <w:color w:val="auto"/>
          <w:szCs w:val="24"/>
          <w:u w:val="single"/>
        </w:rPr>
        <w:t xml:space="preserve">Ashfield </w:t>
      </w:r>
      <w:r w:rsidR="00100330" w:rsidRPr="003C7E62">
        <w:rPr>
          <w:rFonts w:cs="Arial"/>
          <w:color w:val="auto"/>
          <w:szCs w:val="24"/>
          <w:u w:val="single"/>
        </w:rPr>
        <w:t>Social Value Policy</w:t>
      </w:r>
    </w:p>
    <w:p w14:paraId="425D36CB" w14:textId="51299F8F" w:rsidR="00100330" w:rsidRPr="003C7E62" w:rsidRDefault="00100330" w:rsidP="00D01157">
      <w:pPr>
        <w:keepNext w:val="0"/>
        <w:numPr>
          <w:ilvl w:val="1"/>
          <w:numId w:val="52"/>
        </w:numPr>
        <w:autoSpaceDE w:val="0"/>
        <w:autoSpaceDN w:val="0"/>
        <w:adjustRightInd w:val="0"/>
        <w:spacing w:before="0"/>
        <w:ind w:left="709" w:hanging="709"/>
        <w:rPr>
          <w:rFonts w:cs="Arial"/>
          <w:color w:val="auto"/>
          <w:szCs w:val="24"/>
        </w:rPr>
      </w:pPr>
      <w:r w:rsidRPr="00F916A1">
        <w:rPr>
          <w:rFonts w:cs="Arial"/>
          <w:color w:val="auto"/>
          <w:szCs w:val="24"/>
        </w:rPr>
        <w:t>The Council’s Social Value Policy</w:t>
      </w:r>
      <w:r w:rsidR="00E3388F" w:rsidRPr="00F916A1">
        <w:rPr>
          <w:rStyle w:val="FootnoteReference"/>
          <w:rFonts w:cs="Arial"/>
          <w:color w:val="auto"/>
          <w:szCs w:val="24"/>
        </w:rPr>
        <w:footnoteReference w:id="39"/>
      </w:r>
      <w:r w:rsidRPr="00F916A1">
        <w:rPr>
          <w:rFonts w:cs="Arial"/>
          <w:color w:val="auto"/>
          <w:szCs w:val="24"/>
        </w:rPr>
        <w:t xml:space="preserve"> </w:t>
      </w:r>
      <w:r w:rsidRPr="003C7E62">
        <w:rPr>
          <w:rFonts w:cs="Arial"/>
          <w:color w:val="auto"/>
          <w:szCs w:val="24"/>
        </w:rPr>
        <w:t>sets out the Council’s commitment to social value and the added benefits that can be gained from projects and public procurement, specifically for the social, economic and environmental benefit of local people living in the local area.</w:t>
      </w:r>
    </w:p>
    <w:p w14:paraId="44DB0AA3" w14:textId="77777777" w:rsidR="00606546" w:rsidRPr="003C7E62" w:rsidRDefault="00606546" w:rsidP="00606546">
      <w:pPr>
        <w:keepNext w:val="0"/>
        <w:autoSpaceDE w:val="0"/>
        <w:autoSpaceDN w:val="0"/>
        <w:adjustRightInd w:val="0"/>
        <w:spacing w:before="0"/>
        <w:ind w:left="709"/>
        <w:rPr>
          <w:rFonts w:cs="Arial"/>
          <w:color w:val="auto"/>
          <w:szCs w:val="24"/>
        </w:rPr>
      </w:pPr>
    </w:p>
    <w:p w14:paraId="132499FA" w14:textId="2233F951" w:rsidR="00100330" w:rsidRPr="003C7E62" w:rsidRDefault="00100330" w:rsidP="00D01157">
      <w:pPr>
        <w:keepNext w:val="0"/>
        <w:numPr>
          <w:ilvl w:val="1"/>
          <w:numId w:val="52"/>
        </w:numPr>
        <w:autoSpaceDE w:val="0"/>
        <w:autoSpaceDN w:val="0"/>
        <w:adjustRightInd w:val="0"/>
        <w:spacing w:before="0"/>
        <w:ind w:left="709" w:hanging="709"/>
        <w:rPr>
          <w:rFonts w:cs="Arial"/>
          <w:color w:val="auto"/>
          <w:szCs w:val="24"/>
        </w:rPr>
      </w:pPr>
      <w:r w:rsidRPr="003C7E62">
        <w:rPr>
          <w:rFonts w:cs="Arial"/>
          <w:color w:val="auto"/>
          <w:szCs w:val="24"/>
        </w:rPr>
        <w:t>The Policy identifies that it is important for Ashfield District Council to know and understand what is being delivered so that we can understand where we need to concentrate improvement on.  Examples of delivering social value in the Policy includes ‘Building Social Value into planning services’.</w:t>
      </w:r>
      <w:r w:rsidR="001275A6" w:rsidRPr="003C7E62">
        <w:rPr>
          <w:rFonts w:cs="Arial"/>
          <w:color w:val="auto"/>
          <w:szCs w:val="24"/>
        </w:rPr>
        <w:t xml:space="preserve">  This has been reflected with the inclusion of a social value policy in the draft Plan and the Council have been involved with the Social Value Task Force in the development of the policy approach.</w:t>
      </w:r>
    </w:p>
    <w:p w14:paraId="3EF053B2" w14:textId="77777777" w:rsidR="00606546" w:rsidRPr="003C7E62" w:rsidRDefault="00606546" w:rsidP="00606546">
      <w:pPr>
        <w:keepNext w:val="0"/>
        <w:autoSpaceDE w:val="0"/>
        <w:autoSpaceDN w:val="0"/>
        <w:adjustRightInd w:val="0"/>
        <w:spacing w:before="0"/>
        <w:rPr>
          <w:rFonts w:cs="Arial"/>
          <w:color w:val="auto"/>
          <w:szCs w:val="24"/>
        </w:rPr>
      </w:pPr>
    </w:p>
    <w:p w14:paraId="7E33C117" w14:textId="77777777" w:rsidR="00100330" w:rsidRPr="003C7E62" w:rsidRDefault="00100330" w:rsidP="00606546">
      <w:pPr>
        <w:autoSpaceDE w:val="0"/>
        <w:autoSpaceDN w:val="0"/>
        <w:adjustRightInd w:val="0"/>
        <w:spacing w:before="0"/>
        <w:ind w:left="709"/>
        <w:rPr>
          <w:rFonts w:cs="Arial"/>
          <w:color w:val="auto"/>
          <w:szCs w:val="24"/>
          <w:u w:val="single"/>
        </w:rPr>
      </w:pPr>
      <w:r w:rsidRPr="003C7E62">
        <w:rPr>
          <w:rFonts w:cs="Arial"/>
          <w:color w:val="auto"/>
          <w:szCs w:val="24"/>
          <w:u w:val="single"/>
        </w:rPr>
        <w:t>Ashfield and Mansfield A Plan for Growth 2017. Ashfield DC &amp; Mansfield DC</w:t>
      </w:r>
      <w:r w:rsidRPr="003C7E62">
        <w:rPr>
          <w:rFonts w:cs="Arial"/>
          <w:color w:val="auto"/>
          <w:szCs w:val="24"/>
          <w:u w:val="single"/>
          <w:vertAlign w:val="superscript"/>
        </w:rPr>
        <w:footnoteReference w:id="40"/>
      </w:r>
    </w:p>
    <w:p w14:paraId="2283952E" w14:textId="197DB4E0" w:rsidR="00100330" w:rsidRPr="003C7E62" w:rsidRDefault="00100330" w:rsidP="00D01157">
      <w:pPr>
        <w:keepNext w:val="0"/>
        <w:numPr>
          <w:ilvl w:val="1"/>
          <w:numId w:val="52"/>
        </w:numPr>
        <w:autoSpaceDE w:val="0"/>
        <w:autoSpaceDN w:val="0"/>
        <w:adjustRightInd w:val="0"/>
        <w:spacing w:before="0"/>
        <w:ind w:left="709" w:hanging="709"/>
        <w:rPr>
          <w:rFonts w:cs="Arial"/>
          <w:color w:val="auto"/>
          <w:szCs w:val="24"/>
        </w:rPr>
      </w:pPr>
      <w:r w:rsidRPr="003C7E62">
        <w:rPr>
          <w:rFonts w:cs="Arial"/>
          <w:color w:val="auto"/>
          <w:szCs w:val="24"/>
        </w:rPr>
        <w:t>This reflects the commitment by both councils, to produce a combined economic strategy. This reflects the fact that the two districts together are effectively an integrated economic community, with many people living in one district and working in the other. This is also supported by Centre for Cities, who have recognised Mansfield principle urban area (including the Ashfield area) as one of the 64 UK “cities”.</w:t>
      </w:r>
    </w:p>
    <w:p w14:paraId="0690C434" w14:textId="77777777" w:rsidR="00606546" w:rsidRPr="003C7E62" w:rsidRDefault="00606546" w:rsidP="00606546">
      <w:pPr>
        <w:keepNext w:val="0"/>
        <w:autoSpaceDE w:val="0"/>
        <w:autoSpaceDN w:val="0"/>
        <w:adjustRightInd w:val="0"/>
        <w:spacing w:before="0"/>
        <w:ind w:left="709"/>
        <w:rPr>
          <w:rFonts w:cs="Arial"/>
          <w:color w:val="auto"/>
          <w:szCs w:val="24"/>
        </w:rPr>
      </w:pPr>
    </w:p>
    <w:p w14:paraId="385EB349" w14:textId="2BE47989" w:rsidR="0089108C" w:rsidRPr="00885A45" w:rsidRDefault="0089108C" w:rsidP="0089108C">
      <w:pPr>
        <w:keepNext w:val="0"/>
        <w:numPr>
          <w:ilvl w:val="1"/>
          <w:numId w:val="52"/>
        </w:numPr>
        <w:autoSpaceDE w:val="0"/>
        <w:autoSpaceDN w:val="0"/>
        <w:adjustRightInd w:val="0"/>
        <w:spacing w:before="0"/>
        <w:ind w:left="709" w:hanging="709"/>
        <w:rPr>
          <w:rFonts w:cs="Arial"/>
          <w:color w:val="auto"/>
          <w:szCs w:val="24"/>
        </w:rPr>
      </w:pPr>
      <w:r w:rsidRPr="00885A45">
        <w:rPr>
          <w:rFonts w:cs="Arial"/>
          <w:color w:val="auto"/>
          <w:szCs w:val="24"/>
        </w:rPr>
        <w:t>The Strategy sets out a vision ‘to maximise the opportunities for people and businesses to grow and prosper in Ashfield &amp; Mansfield’, together with three themes and associated priority actions:</w:t>
      </w:r>
    </w:p>
    <w:p w14:paraId="411D0C21" w14:textId="77777777" w:rsidR="00606546" w:rsidRPr="003C7E62" w:rsidRDefault="00606546" w:rsidP="00606546">
      <w:pPr>
        <w:keepNext w:val="0"/>
        <w:autoSpaceDE w:val="0"/>
        <w:autoSpaceDN w:val="0"/>
        <w:adjustRightInd w:val="0"/>
        <w:spacing w:before="0"/>
        <w:rPr>
          <w:rFonts w:cs="Arial"/>
          <w:color w:val="auto"/>
          <w:szCs w:val="24"/>
        </w:rPr>
      </w:pPr>
    </w:p>
    <w:p w14:paraId="45749CB1" w14:textId="77777777" w:rsidR="00100330" w:rsidRPr="003C7E62" w:rsidRDefault="00100330" w:rsidP="0089108C">
      <w:pPr>
        <w:keepNext w:val="0"/>
        <w:numPr>
          <w:ilvl w:val="0"/>
          <w:numId w:val="56"/>
        </w:numPr>
        <w:autoSpaceDE w:val="0"/>
        <w:autoSpaceDN w:val="0"/>
        <w:adjustRightInd w:val="0"/>
        <w:spacing w:before="0"/>
        <w:ind w:left="1418"/>
        <w:rPr>
          <w:rFonts w:cs="Arial"/>
          <w:color w:val="auto"/>
          <w:szCs w:val="24"/>
        </w:rPr>
      </w:pPr>
      <w:r w:rsidRPr="003C7E62">
        <w:rPr>
          <w:rFonts w:cs="Arial"/>
          <w:color w:val="auto"/>
          <w:szCs w:val="24"/>
        </w:rPr>
        <w:t>Developing the workforce to support business growth.</w:t>
      </w:r>
    </w:p>
    <w:p w14:paraId="25AC1462" w14:textId="77777777" w:rsidR="00100330" w:rsidRPr="003C7E62" w:rsidRDefault="00100330" w:rsidP="0089108C">
      <w:pPr>
        <w:keepNext w:val="0"/>
        <w:numPr>
          <w:ilvl w:val="0"/>
          <w:numId w:val="56"/>
        </w:numPr>
        <w:autoSpaceDE w:val="0"/>
        <w:autoSpaceDN w:val="0"/>
        <w:adjustRightInd w:val="0"/>
        <w:spacing w:before="0"/>
        <w:ind w:left="1418"/>
        <w:rPr>
          <w:rFonts w:cs="Arial"/>
          <w:color w:val="auto"/>
          <w:szCs w:val="24"/>
        </w:rPr>
      </w:pPr>
      <w:r w:rsidRPr="003C7E62">
        <w:rPr>
          <w:rFonts w:cs="Arial"/>
          <w:color w:val="auto"/>
          <w:szCs w:val="24"/>
        </w:rPr>
        <w:t>Encouraging enterprise and business growth.</w:t>
      </w:r>
    </w:p>
    <w:p w14:paraId="13FE291E" w14:textId="143C1537" w:rsidR="00100330" w:rsidRDefault="00100330" w:rsidP="0089108C">
      <w:pPr>
        <w:keepNext w:val="0"/>
        <w:numPr>
          <w:ilvl w:val="0"/>
          <w:numId w:val="56"/>
        </w:numPr>
        <w:autoSpaceDE w:val="0"/>
        <w:autoSpaceDN w:val="0"/>
        <w:adjustRightInd w:val="0"/>
        <w:spacing w:before="0"/>
        <w:ind w:left="1418"/>
        <w:rPr>
          <w:rFonts w:cs="Arial"/>
          <w:color w:val="auto"/>
          <w:szCs w:val="24"/>
        </w:rPr>
      </w:pPr>
      <w:r w:rsidRPr="003C7E62">
        <w:rPr>
          <w:rFonts w:cs="Arial"/>
          <w:color w:val="auto"/>
          <w:szCs w:val="24"/>
        </w:rPr>
        <w:t>Improving infrastructure and stimulating investment</w:t>
      </w:r>
      <w:r w:rsidR="00606546" w:rsidRPr="003C7E62">
        <w:rPr>
          <w:rFonts w:cs="Arial"/>
          <w:color w:val="auto"/>
          <w:szCs w:val="24"/>
        </w:rPr>
        <w:t>.</w:t>
      </w:r>
    </w:p>
    <w:p w14:paraId="6006905B" w14:textId="77777777" w:rsidR="005E21D7" w:rsidRPr="003C7E62" w:rsidRDefault="005E21D7" w:rsidP="005E21D7">
      <w:pPr>
        <w:keepNext w:val="0"/>
        <w:autoSpaceDE w:val="0"/>
        <w:autoSpaceDN w:val="0"/>
        <w:adjustRightInd w:val="0"/>
        <w:spacing w:before="0"/>
        <w:ind w:left="1080"/>
        <w:rPr>
          <w:rFonts w:cs="Arial"/>
          <w:color w:val="auto"/>
          <w:szCs w:val="24"/>
        </w:rPr>
      </w:pPr>
    </w:p>
    <w:p w14:paraId="187C0E9C" w14:textId="344AED9A" w:rsidR="00100330" w:rsidRPr="00E6288C" w:rsidRDefault="00100330" w:rsidP="005E21D7">
      <w:pPr>
        <w:autoSpaceDE w:val="0"/>
        <w:autoSpaceDN w:val="0"/>
        <w:adjustRightInd w:val="0"/>
        <w:spacing w:before="0"/>
        <w:ind w:left="709"/>
        <w:rPr>
          <w:rFonts w:cs="Arial"/>
          <w:szCs w:val="24"/>
        </w:rPr>
      </w:pPr>
      <w:r w:rsidRPr="003C7E62">
        <w:rPr>
          <w:rFonts w:cs="Arial"/>
          <w:color w:val="auto"/>
          <w:szCs w:val="24"/>
          <w:u w:val="single"/>
        </w:rPr>
        <w:t xml:space="preserve">Affordable Housing Delivery Strategy </w:t>
      </w:r>
      <w:r w:rsidRPr="00E6288C">
        <w:rPr>
          <w:rFonts w:cs="Arial"/>
          <w:szCs w:val="24"/>
          <w:u w:val="single"/>
        </w:rPr>
        <w:t>20</w:t>
      </w:r>
      <w:r w:rsidR="00904ED5" w:rsidRPr="00E6288C">
        <w:rPr>
          <w:rFonts w:cs="Arial"/>
          <w:szCs w:val="24"/>
          <w:u w:val="single"/>
        </w:rPr>
        <w:t>21</w:t>
      </w:r>
      <w:r w:rsidRPr="00E6288C">
        <w:rPr>
          <w:rFonts w:cs="Arial"/>
          <w:szCs w:val="24"/>
          <w:u w:val="single"/>
        </w:rPr>
        <w:t xml:space="preserve"> – 202</w:t>
      </w:r>
      <w:r w:rsidR="00904ED5" w:rsidRPr="00E6288C">
        <w:rPr>
          <w:rFonts w:cs="Arial"/>
          <w:szCs w:val="24"/>
          <w:u w:val="single"/>
        </w:rPr>
        <w:t>3</w:t>
      </w:r>
      <w:r w:rsidRPr="00E6288C">
        <w:rPr>
          <w:rFonts w:cs="Arial"/>
          <w:szCs w:val="24"/>
          <w:u w:val="single"/>
        </w:rPr>
        <w:t>. Ashfield District Council</w:t>
      </w:r>
      <w:r w:rsidRPr="00E6288C">
        <w:rPr>
          <w:rFonts w:cs="Arial"/>
          <w:szCs w:val="24"/>
          <w:vertAlign w:val="superscript"/>
        </w:rPr>
        <w:footnoteReference w:id="41"/>
      </w:r>
    </w:p>
    <w:p w14:paraId="6A493EAD" w14:textId="40DC7315" w:rsidR="00100330" w:rsidRPr="00E6288C" w:rsidRDefault="00100330" w:rsidP="00D01157">
      <w:pPr>
        <w:keepNext w:val="0"/>
        <w:numPr>
          <w:ilvl w:val="1"/>
          <w:numId w:val="52"/>
        </w:numPr>
        <w:autoSpaceDE w:val="0"/>
        <w:autoSpaceDN w:val="0"/>
        <w:adjustRightInd w:val="0"/>
        <w:spacing w:before="0"/>
        <w:ind w:left="709" w:hanging="709"/>
        <w:rPr>
          <w:rFonts w:cs="Arial"/>
          <w:szCs w:val="24"/>
        </w:rPr>
      </w:pPr>
      <w:r w:rsidRPr="00E6288C">
        <w:rPr>
          <w:rFonts w:cs="Arial"/>
          <w:szCs w:val="24"/>
        </w:rPr>
        <w:t>The strategy focuses on the actions that can be taken by the Council to increase the supply of affordable homes for rent or for sale in Ashfield district, developed either by the Council, housing association or by a private developer.</w:t>
      </w:r>
      <w:r w:rsidR="00E3388F" w:rsidRPr="00E6288C">
        <w:rPr>
          <w:rFonts w:cs="Arial"/>
          <w:szCs w:val="24"/>
        </w:rPr>
        <w:t xml:space="preserve"> Together with the </w:t>
      </w:r>
      <w:r w:rsidR="00E3388F" w:rsidRPr="00E6288C">
        <w:rPr>
          <w:rFonts w:cs="Arial"/>
          <w:szCs w:val="24"/>
        </w:rPr>
        <w:lastRenderedPageBreak/>
        <w:t>Local Plan, this strategy will help to deliver affordable homes in the District.</w:t>
      </w:r>
      <w:r w:rsidR="00904ED5" w:rsidRPr="00E6288C">
        <w:rPr>
          <w:rFonts w:cs="Arial"/>
          <w:szCs w:val="24"/>
        </w:rPr>
        <w:t xml:space="preserve">  A series of “Action</w:t>
      </w:r>
      <w:r w:rsidR="002C0A96" w:rsidRPr="00E6288C">
        <w:rPr>
          <w:rFonts w:cs="Arial"/>
          <w:szCs w:val="24"/>
        </w:rPr>
        <w:t>s</w:t>
      </w:r>
      <w:r w:rsidR="00904ED5" w:rsidRPr="00E6288C">
        <w:rPr>
          <w:rFonts w:cs="Arial"/>
          <w:szCs w:val="24"/>
        </w:rPr>
        <w:t xml:space="preserve">” are set out for the period 2023 to 2025. </w:t>
      </w:r>
    </w:p>
    <w:p w14:paraId="04870F8D" w14:textId="77777777" w:rsidR="00606546" w:rsidRPr="003C7E62" w:rsidRDefault="00606546" w:rsidP="00606546">
      <w:pPr>
        <w:keepNext w:val="0"/>
        <w:autoSpaceDE w:val="0"/>
        <w:autoSpaceDN w:val="0"/>
        <w:adjustRightInd w:val="0"/>
        <w:spacing w:before="0"/>
        <w:ind w:left="709"/>
        <w:rPr>
          <w:rFonts w:cs="Arial"/>
          <w:color w:val="auto"/>
          <w:szCs w:val="24"/>
        </w:rPr>
      </w:pPr>
    </w:p>
    <w:p w14:paraId="16F6620B" w14:textId="36B14AC4" w:rsidR="00100330" w:rsidRPr="00E6288C" w:rsidRDefault="00100330" w:rsidP="00606546">
      <w:pPr>
        <w:autoSpaceDE w:val="0"/>
        <w:autoSpaceDN w:val="0"/>
        <w:adjustRightInd w:val="0"/>
        <w:spacing w:before="0"/>
        <w:ind w:left="709"/>
        <w:rPr>
          <w:rFonts w:cs="Arial"/>
          <w:szCs w:val="24"/>
          <w:u w:val="single"/>
        </w:rPr>
      </w:pPr>
      <w:r w:rsidRPr="00E6288C">
        <w:rPr>
          <w:rFonts w:cs="Arial"/>
          <w:szCs w:val="24"/>
          <w:u w:val="single"/>
        </w:rPr>
        <w:t>Ashfield Playing Pitch Strategy 20</w:t>
      </w:r>
      <w:r w:rsidR="00E6288C" w:rsidRPr="00E6288C">
        <w:rPr>
          <w:rFonts w:cs="Arial"/>
          <w:szCs w:val="24"/>
          <w:u w:val="single"/>
        </w:rPr>
        <w:t>23</w:t>
      </w:r>
      <w:r w:rsidRPr="00E6288C">
        <w:rPr>
          <w:rFonts w:cs="Arial"/>
          <w:szCs w:val="24"/>
          <w:u w:val="single"/>
        </w:rPr>
        <w:t xml:space="preserve"> -202</w:t>
      </w:r>
      <w:r w:rsidR="00E6288C" w:rsidRPr="00E6288C">
        <w:rPr>
          <w:rFonts w:cs="Arial"/>
          <w:szCs w:val="24"/>
          <w:u w:val="single"/>
        </w:rPr>
        <w:t>7</w:t>
      </w:r>
    </w:p>
    <w:p w14:paraId="051C08C1" w14:textId="4C6C411B" w:rsidR="00100330" w:rsidRPr="00E6288C" w:rsidRDefault="00100330" w:rsidP="00D01157">
      <w:pPr>
        <w:keepNext w:val="0"/>
        <w:numPr>
          <w:ilvl w:val="1"/>
          <w:numId w:val="52"/>
        </w:numPr>
        <w:autoSpaceDE w:val="0"/>
        <w:autoSpaceDN w:val="0"/>
        <w:adjustRightInd w:val="0"/>
        <w:spacing w:before="0"/>
        <w:ind w:left="709" w:hanging="709"/>
        <w:rPr>
          <w:rFonts w:cs="Arial"/>
          <w:szCs w:val="24"/>
        </w:rPr>
      </w:pPr>
      <w:r w:rsidRPr="00E6288C">
        <w:rPr>
          <w:rFonts w:cs="Arial"/>
          <w:szCs w:val="24"/>
        </w:rPr>
        <w:t>The Playing Pitch Strategy will provide a focus for three key areas</w:t>
      </w:r>
      <w:r w:rsidR="00CD5B8F" w:rsidRPr="00E6288C">
        <w:rPr>
          <w:rFonts w:cs="Arial"/>
          <w:szCs w:val="24"/>
        </w:rPr>
        <w:t>:</w:t>
      </w:r>
    </w:p>
    <w:p w14:paraId="1F8895E7" w14:textId="77777777" w:rsidR="00100330" w:rsidRPr="00E6288C" w:rsidRDefault="00100330" w:rsidP="00874A98">
      <w:pPr>
        <w:keepNext w:val="0"/>
        <w:numPr>
          <w:ilvl w:val="0"/>
          <w:numId w:val="58"/>
        </w:numPr>
        <w:autoSpaceDE w:val="0"/>
        <w:autoSpaceDN w:val="0"/>
        <w:adjustRightInd w:val="0"/>
        <w:spacing w:before="0"/>
        <w:ind w:left="1418"/>
        <w:rPr>
          <w:rFonts w:cs="Arial"/>
          <w:szCs w:val="24"/>
        </w:rPr>
      </w:pPr>
      <w:r w:rsidRPr="00E6288C">
        <w:rPr>
          <w:rFonts w:cs="Arial"/>
          <w:szCs w:val="24"/>
        </w:rPr>
        <w:t>Sustainable long term management of outdoor sports facilities,</w:t>
      </w:r>
    </w:p>
    <w:p w14:paraId="55EB84D3" w14:textId="77777777" w:rsidR="00100330" w:rsidRPr="00E6288C" w:rsidRDefault="00100330" w:rsidP="00874A98">
      <w:pPr>
        <w:keepNext w:val="0"/>
        <w:numPr>
          <w:ilvl w:val="0"/>
          <w:numId w:val="58"/>
        </w:numPr>
        <w:autoSpaceDE w:val="0"/>
        <w:autoSpaceDN w:val="0"/>
        <w:adjustRightInd w:val="0"/>
        <w:spacing w:before="0"/>
        <w:ind w:left="1418"/>
        <w:rPr>
          <w:rFonts w:cs="Arial"/>
          <w:szCs w:val="24"/>
        </w:rPr>
      </w:pPr>
      <w:r w:rsidRPr="00E6288C">
        <w:rPr>
          <w:rFonts w:cs="Arial"/>
          <w:szCs w:val="24"/>
        </w:rPr>
        <w:t>Evidence of need and priorities to support funding bids for continued improvement of facilities,</w:t>
      </w:r>
    </w:p>
    <w:p w14:paraId="47537E8D" w14:textId="2D0A7C7E" w:rsidR="00100330" w:rsidRPr="00E6288C" w:rsidRDefault="00100330" w:rsidP="00874A98">
      <w:pPr>
        <w:keepNext w:val="0"/>
        <w:numPr>
          <w:ilvl w:val="0"/>
          <w:numId w:val="58"/>
        </w:numPr>
        <w:autoSpaceDE w:val="0"/>
        <w:autoSpaceDN w:val="0"/>
        <w:adjustRightInd w:val="0"/>
        <w:spacing w:before="0"/>
        <w:ind w:left="1418"/>
        <w:rPr>
          <w:rFonts w:cs="Arial"/>
          <w:szCs w:val="24"/>
        </w:rPr>
      </w:pPr>
      <w:r w:rsidRPr="00E6288C">
        <w:rPr>
          <w:rFonts w:cs="Arial"/>
          <w:szCs w:val="24"/>
        </w:rPr>
        <w:t>Provision of new facilities through the development process where a need has been identified.</w:t>
      </w:r>
    </w:p>
    <w:p w14:paraId="0656C36C" w14:textId="4993AAF3" w:rsidR="00CD5B8F" w:rsidRPr="003C7E62" w:rsidRDefault="00CD5B8F" w:rsidP="00606546">
      <w:pPr>
        <w:keepNext w:val="0"/>
        <w:autoSpaceDE w:val="0"/>
        <w:autoSpaceDN w:val="0"/>
        <w:adjustRightInd w:val="0"/>
        <w:spacing w:before="0"/>
        <w:rPr>
          <w:rFonts w:cs="Arial"/>
          <w:color w:val="auto"/>
          <w:szCs w:val="24"/>
        </w:rPr>
      </w:pPr>
    </w:p>
    <w:p w14:paraId="25B97175" w14:textId="77777777" w:rsidR="00100330" w:rsidRPr="003C7E62" w:rsidRDefault="00100330" w:rsidP="00606546">
      <w:pPr>
        <w:autoSpaceDE w:val="0"/>
        <w:autoSpaceDN w:val="0"/>
        <w:adjustRightInd w:val="0"/>
        <w:spacing w:before="0"/>
        <w:ind w:left="709"/>
        <w:rPr>
          <w:rFonts w:cs="Arial"/>
          <w:color w:val="auto"/>
          <w:szCs w:val="24"/>
          <w:u w:val="single"/>
        </w:rPr>
      </w:pPr>
      <w:r w:rsidRPr="00D91D0F">
        <w:rPr>
          <w:rFonts w:cs="Arial"/>
          <w:color w:val="auto"/>
          <w:szCs w:val="24"/>
          <w:u w:val="single"/>
        </w:rPr>
        <w:t>Ashfield Public Open Space Strategy 2016-2026</w:t>
      </w:r>
    </w:p>
    <w:p w14:paraId="4841537E" w14:textId="77777777" w:rsidR="00100330" w:rsidRPr="003C7E62" w:rsidRDefault="00100330" w:rsidP="00D01157">
      <w:pPr>
        <w:keepNext w:val="0"/>
        <w:numPr>
          <w:ilvl w:val="1"/>
          <w:numId w:val="52"/>
        </w:numPr>
        <w:autoSpaceDE w:val="0"/>
        <w:autoSpaceDN w:val="0"/>
        <w:adjustRightInd w:val="0"/>
        <w:spacing w:before="0"/>
        <w:ind w:left="709" w:hanging="709"/>
        <w:rPr>
          <w:rFonts w:cs="Arial"/>
          <w:color w:val="auto"/>
          <w:szCs w:val="24"/>
        </w:rPr>
      </w:pPr>
      <w:r w:rsidRPr="003C7E62">
        <w:rPr>
          <w:rFonts w:cs="Arial"/>
          <w:color w:val="auto"/>
          <w:szCs w:val="24"/>
        </w:rPr>
        <w:t>The Public Open Space Strategy provides a vision for Ashfield’s public open spaces and emphasises three key areas:</w:t>
      </w:r>
    </w:p>
    <w:p w14:paraId="0F1DE5C7" w14:textId="77777777" w:rsidR="00100330" w:rsidRPr="003C7E62" w:rsidRDefault="00100330" w:rsidP="00874A98">
      <w:pPr>
        <w:keepNext w:val="0"/>
        <w:numPr>
          <w:ilvl w:val="0"/>
          <w:numId w:val="59"/>
        </w:numPr>
        <w:autoSpaceDE w:val="0"/>
        <w:autoSpaceDN w:val="0"/>
        <w:adjustRightInd w:val="0"/>
        <w:spacing w:before="0"/>
        <w:ind w:left="1418"/>
        <w:rPr>
          <w:rFonts w:cs="Arial"/>
          <w:color w:val="auto"/>
          <w:szCs w:val="24"/>
        </w:rPr>
      </w:pPr>
      <w:r w:rsidRPr="003C7E62">
        <w:rPr>
          <w:rFonts w:cs="Arial"/>
          <w:color w:val="auto"/>
          <w:szCs w:val="24"/>
        </w:rPr>
        <w:t>Sustainable long term management of public open space;</w:t>
      </w:r>
    </w:p>
    <w:p w14:paraId="0904C037" w14:textId="77777777" w:rsidR="00100330" w:rsidRPr="003C7E62" w:rsidRDefault="00100330" w:rsidP="00874A98">
      <w:pPr>
        <w:keepNext w:val="0"/>
        <w:numPr>
          <w:ilvl w:val="0"/>
          <w:numId w:val="59"/>
        </w:numPr>
        <w:autoSpaceDE w:val="0"/>
        <w:autoSpaceDN w:val="0"/>
        <w:adjustRightInd w:val="0"/>
        <w:spacing w:before="0"/>
        <w:ind w:left="1418"/>
        <w:rPr>
          <w:rFonts w:cs="Arial"/>
          <w:color w:val="auto"/>
          <w:szCs w:val="24"/>
        </w:rPr>
      </w:pPr>
      <w:r w:rsidRPr="003C7E62">
        <w:rPr>
          <w:rFonts w:cs="Arial"/>
          <w:color w:val="auto"/>
          <w:szCs w:val="24"/>
        </w:rPr>
        <w:t>Continued improvement of public spaces;</w:t>
      </w:r>
    </w:p>
    <w:p w14:paraId="164EA4F2" w14:textId="77777777" w:rsidR="00100330" w:rsidRPr="003C7E62" w:rsidRDefault="00100330" w:rsidP="00874A98">
      <w:pPr>
        <w:keepNext w:val="0"/>
        <w:numPr>
          <w:ilvl w:val="0"/>
          <w:numId w:val="59"/>
        </w:numPr>
        <w:autoSpaceDE w:val="0"/>
        <w:autoSpaceDN w:val="0"/>
        <w:adjustRightInd w:val="0"/>
        <w:spacing w:before="0"/>
        <w:ind w:left="1418"/>
        <w:rPr>
          <w:rFonts w:cs="Arial"/>
          <w:color w:val="auto"/>
          <w:szCs w:val="24"/>
        </w:rPr>
      </w:pPr>
      <w:r w:rsidRPr="003C7E62">
        <w:rPr>
          <w:rFonts w:cs="Arial"/>
          <w:color w:val="auto"/>
          <w:szCs w:val="24"/>
        </w:rPr>
        <w:t>Provision of new public open space and associated facilities through the development process.</w:t>
      </w:r>
    </w:p>
    <w:p w14:paraId="621A9CC5" w14:textId="77777777" w:rsidR="00100330" w:rsidRPr="003C7E62" w:rsidRDefault="00100330" w:rsidP="00606546">
      <w:pPr>
        <w:autoSpaceDE w:val="0"/>
        <w:autoSpaceDN w:val="0"/>
        <w:adjustRightInd w:val="0"/>
        <w:spacing w:before="0"/>
        <w:ind w:left="709"/>
        <w:rPr>
          <w:rFonts w:cs="Arial"/>
          <w:color w:val="0070C0"/>
          <w:szCs w:val="24"/>
        </w:rPr>
      </w:pPr>
    </w:p>
    <w:p w14:paraId="31FD2EFF" w14:textId="00622C7B" w:rsidR="00100330" w:rsidRDefault="00100330" w:rsidP="00D01157">
      <w:pPr>
        <w:keepNext w:val="0"/>
        <w:numPr>
          <w:ilvl w:val="1"/>
          <w:numId w:val="52"/>
        </w:numPr>
        <w:autoSpaceDE w:val="0"/>
        <w:autoSpaceDN w:val="0"/>
        <w:adjustRightInd w:val="0"/>
        <w:spacing w:before="0"/>
        <w:ind w:left="709" w:hanging="709"/>
        <w:rPr>
          <w:rFonts w:cs="Arial"/>
          <w:color w:val="auto"/>
          <w:szCs w:val="24"/>
        </w:rPr>
      </w:pPr>
      <w:r w:rsidRPr="003C7E62">
        <w:rPr>
          <w:rFonts w:cs="Arial"/>
          <w:color w:val="auto"/>
          <w:szCs w:val="24"/>
        </w:rPr>
        <w:t>The strategy focuses on publicly accessible open spaces, including parks and green spaces, town centre spaces such as squares and plazas, allotments, cemeteries and green links.</w:t>
      </w:r>
    </w:p>
    <w:p w14:paraId="51510881" w14:textId="77777777" w:rsidR="00D91D0F" w:rsidRDefault="00D91D0F" w:rsidP="00D91D0F">
      <w:pPr>
        <w:keepNext w:val="0"/>
        <w:autoSpaceDE w:val="0"/>
        <w:autoSpaceDN w:val="0"/>
        <w:adjustRightInd w:val="0"/>
        <w:spacing w:before="0"/>
        <w:ind w:left="709"/>
        <w:rPr>
          <w:rFonts w:cs="Arial"/>
          <w:color w:val="auto"/>
          <w:szCs w:val="24"/>
        </w:rPr>
      </w:pPr>
    </w:p>
    <w:p w14:paraId="44519B61" w14:textId="74B140F2" w:rsidR="00D91D0F" w:rsidRPr="00A5463B" w:rsidRDefault="00D91D0F" w:rsidP="00D91D0F">
      <w:pPr>
        <w:keepNext w:val="0"/>
        <w:autoSpaceDE w:val="0"/>
        <w:autoSpaceDN w:val="0"/>
        <w:adjustRightInd w:val="0"/>
        <w:spacing w:before="0"/>
        <w:ind w:left="709"/>
        <w:rPr>
          <w:rFonts w:cs="Arial"/>
          <w:color w:val="auto"/>
          <w:szCs w:val="24"/>
          <w:u w:val="single"/>
        </w:rPr>
      </w:pPr>
      <w:r w:rsidRPr="00A5463B">
        <w:rPr>
          <w:rFonts w:cs="Arial"/>
          <w:color w:val="auto"/>
          <w:szCs w:val="24"/>
          <w:u w:val="single"/>
        </w:rPr>
        <w:t>The Ashfield Community Partnership Strategic Plan 2019 - 2022</w:t>
      </w:r>
      <w:r w:rsidRPr="00A5463B">
        <w:rPr>
          <w:rStyle w:val="FootnoteReference"/>
          <w:rFonts w:cs="Arial"/>
          <w:color w:val="auto"/>
          <w:szCs w:val="24"/>
          <w:u w:val="single"/>
        </w:rPr>
        <w:footnoteReference w:id="42"/>
      </w:r>
    </w:p>
    <w:p w14:paraId="118CB68B" w14:textId="3BBD224A" w:rsidR="00D91D0F" w:rsidRPr="00A5463B" w:rsidRDefault="00D91D0F" w:rsidP="00D01157">
      <w:pPr>
        <w:keepNext w:val="0"/>
        <w:numPr>
          <w:ilvl w:val="1"/>
          <w:numId w:val="52"/>
        </w:numPr>
        <w:autoSpaceDE w:val="0"/>
        <w:autoSpaceDN w:val="0"/>
        <w:adjustRightInd w:val="0"/>
        <w:spacing w:before="0"/>
        <w:ind w:left="709" w:hanging="709"/>
        <w:rPr>
          <w:rFonts w:cs="Arial"/>
          <w:color w:val="auto"/>
          <w:szCs w:val="24"/>
        </w:rPr>
      </w:pPr>
      <w:r w:rsidRPr="00A5463B">
        <w:rPr>
          <w:rFonts w:cs="Arial"/>
          <w:color w:val="auto"/>
          <w:szCs w:val="24"/>
        </w:rPr>
        <w:t>Ashfield Community Partnership (ACP) is a multi-agency body responsible for tackling and addressing crime and disorder in Ashfield. The Strategic Plan 2019 - 2022 is a 3-year rolling document, which identifies how the partnership plans to tackle local community safety issues that matter to the local community.</w:t>
      </w:r>
    </w:p>
    <w:p w14:paraId="62C1E475" w14:textId="77777777" w:rsidR="00D91D0F" w:rsidRDefault="00D91D0F" w:rsidP="00606546">
      <w:pPr>
        <w:keepNext w:val="0"/>
        <w:autoSpaceDE w:val="0"/>
        <w:autoSpaceDN w:val="0"/>
        <w:adjustRightInd w:val="0"/>
        <w:spacing w:before="0"/>
        <w:ind w:left="709"/>
        <w:rPr>
          <w:rFonts w:cs="Arial"/>
          <w:color w:val="auto"/>
          <w:szCs w:val="24"/>
        </w:rPr>
      </w:pPr>
    </w:p>
    <w:p w14:paraId="0756B69A" w14:textId="5F590FD8" w:rsidR="00F916A1" w:rsidRPr="00D91D0F" w:rsidRDefault="00D91D0F" w:rsidP="00F916A1">
      <w:pPr>
        <w:keepNext w:val="0"/>
        <w:autoSpaceDE w:val="0"/>
        <w:autoSpaceDN w:val="0"/>
        <w:adjustRightInd w:val="0"/>
        <w:spacing w:before="0"/>
        <w:ind w:left="709"/>
        <w:rPr>
          <w:rFonts w:cs="Arial"/>
          <w:color w:val="auto"/>
          <w:szCs w:val="24"/>
          <w:u w:val="single"/>
        </w:rPr>
      </w:pPr>
      <w:bookmarkStart w:id="21" w:name="_Hlk75958138"/>
      <w:r w:rsidRPr="00D91D0F">
        <w:rPr>
          <w:rFonts w:cs="Arial"/>
          <w:color w:val="auto"/>
          <w:szCs w:val="24"/>
          <w:u w:val="single"/>
        </w:rPr>
        <w:t>Ashfield Health and Wellbeing Partnership Strategy Be Healthy, Be Happy, 2021 – 2025 Ashfield Health and Wellbeing Partnership.</w:t>
      </w:r>
    </w:p>
    <w:p w14:paraId="7E50ED81" w14:textId="65ECE250" w:rsidR="00B87025" w:rsidRPr="00D91D0F" w:rsidRDefault="00D91D0F" w:rsidP="00D01157">
      <w:pPr>
        <w:keepNext w:val="0"/>
        <w:numPr>
          <w:ilvl w:val="1"/>
          <w:numId w:val="52"/>
        </w:numPr>
        <w:autoSpaceDE w:val="0"/>
        <w:autoSpaceDN w:val="0"/>
        <w:adjustRightInd w:val="0"/>
        <w:spacing w:before="0"/>
        <w:ind w:left="709" w:hanging="709"/>
        <w:rPr>
          <w:rFonts w:cs="Arial"/>
          <w:color w:val="auto"/>
          <w:szCs w:val="24"/>
        </w:rPr>
      </w:pPr>
      <w:r w:rsidRPr="00D91D0F">
        <w:rPr>
          <w:rFonts w:cs="Arial"/>
          <w:color w:val="auto"/>
          <w:szCs w:val="24"/>
        </w:rPr>
        <w:t>The Ashfield Health and Wellbeing partnership is a local partnership which aims to encourage and provide opportunities for residents within the Ashfield area to lead a healthy, active lifestyle.</w:t>
      </w:r>
      <w:r>
        <w:rPr>
          <w:rFonts w:cs="Arial"/>
          <w:color w:val="auto"/>
          <w:szCs w:val="24"/>
        </w:rPr>
        <w:t xml:space="preserve">  </w:t>
      </w:r>
      <w:r w:rsidRPr="00D91D0F">
        <w:rPr>
          <w:rFonts w:cs="Arial"/>
          <w:color w:val="auto"/>
          <w:szCs w:val="24"/>
        </w:rPr>
        <w:t xml:space="preserve">The </w:t>
      </w:r>
      <w:r>
        <w:rPr>
          <w:rFonts w:cs="Arial"/>
          <w:color w:val="auto"/>
          <w:szCs w:val="24"/>
        </w:rPr>
        <w:t xml:space="preserve">Strategy identifies a mission </w:t>
      </w:r>
      <w:r w:rsidRPr="00D91D0F">
        <w:rPr>
          <w:rFonts w:cs="Arial"/>
          <w:color w:val="auto"/>
          <w:szCs w:val="24"/>
        </w:rPr>
        <w:t>‘To work collaboratively to help people improve their health and wellbeing, develop pride and aspiration in our communities and promote Ashfield in a positive manner.’</w:t>
      </w:r>
    </w:p>
    <w:p w14:paraId="1CF8DFCC" w14:textId="77777777" w:rsidR="00D91D0F" w:rsidRDefault="00D91D0F" w:rsidP="00D91D0F">
      <w:pPr>
        <w:keepNext w:val="0"/>
        <w:autoSpaceDE w:val="0"/>
        <w:autoSpaceDN w:val="0"/>
        <w:adjustRightInd w:val="0"/>
        <w:spacing w:before="0"/>
        <w:ind w:left="709"/>
        <w:rPr>
          <w:rFonts w:cs="Arial"/>
          <w:color w:val="auto"/>
          <w:szCs w:val="24"/>
        </w:rPr>
      </w:pPr>
    </w:p>
    <w:p w14:paraId="07D64F24" w14:textId="77777777" w:rsidR="00B87025" w:rsidRPr="003C7E62" w:rsidRDefault="00B87025" w:rsidP="00606546">
      <w:pPr>
        <w:keepNext w:val="0"/>
        <w:autoSpaceDE w:val="0"/>
        <w:autoSpaceDN w:val="0"/>
        <w:adjustRightInd w:val="0"/>
        <w:spacing w:before="0"/>
        <w:ind w:left="709"/>
        <w:rPr>
          <w:rFonts w:cs="Arial"/>
          <w:color w:val="auto"/>
          <w:szCs w:val="24"/>
          <w:u w:val="single"/>
        </w:rPr>
      </w:pPr>
      <w:r w:rsidRPr="003C7E62">
        <w:rPr>
          <w:rFonts w:cs="Arial"/>
          <w:color w:val="auto"/>
          <w:szCs w:val="24"/>
          <w:u w:val="single"/>
        </w:rPr>
        <w:t>Ashfield District Council Towns Fund</w:t>
      </w:r>
    </w:p>
    <w:p w14:paraId="60A74433" w14:textId="2013BFF8" w:rsidR="00B87025" w:rsidRPr="003C7E62" w:rsidRDefault="00B87025" w:rsidP="00D01157">
      <w:pPr>
        <w:keepNext w:val="0"/>
        <w:numPr>
          <w:ilvl w:val="1"/>
          <w:numId w:val="52"/>
        </w:numPr>
        <w:autoSpaceDE w:val="0"/>
        <w:autoSpaceDN w:val="0"/>
        <w:adjustRightInd w:val="0"/>
        <w:spacing w:before="0"/>
        <w:ind w:left="709" w:hanging="709"/>
        <w:rPr>
          <w:rFonts w:cs="Arial"/>
          <w:color w:val="auto"/>
          <w:szCs w:val="24"/>
        </w:rPr>
      </w:pPr>
      <w:r w:rsidRPr="003C7E62">
        <w:rPr>
          <w:rFonts w:cs="Arial"/>
          <w:color w:val="0A0A0A"/>
          <w:szCs w:val="24"/>
        </w:rPr>
        <w:t>Kirkby</w:t>
      </w:r>
      <w:r w:rsidR="00606546" w:rsidRPr="003C7E62">
        <w:rPr>
          <w:rFonts w:cs="Arial"/>
          <w:color w:val="0A0A0A"/>
          <w:szCs w:val="24"/>
        </w:rPr>
        <w:t>-</w:t>
      </w:r>
      <w:r w:rsidRPr="003C7E62">
        <w:rPr>
          <w:rFonts w:cs="Arial"/>
          <w:color w:val="0A0A0A"/>
          <w:szCs w:val="24"/>
        </w:rPr>
        <w:t>in</w:t>
      </w:r>
      <w:r w:rsidR="00606546" w:rsidRPr="003C7E62">
        <w:rPr>
          <w:rFonts w:cs="Arial"/>
          <w:color w:val="0A0A0A"/>
          <w:szCs w:val="24"/>
        </w:rPr>
        <w:t>-</w:t>
      </w:r>
      <w:r w:rsidRPr="003C7E62">
        <w:rPr>
          <w:rFonts w:cs="Arial"/>
          <w:color w:val="0A0A0A"/>
          <w:szCs w:val="24"/>
        </w:rPr>
        <w:t>Ashfield and Sutton in Ashfield were chosen by the government in Autumn 2019, as two of the towns in the UK to receive the governments Towns Fund.  The Government set out the three areas of regeneration the Towns Fund will focus on:</w:t>
      </w:r>
    </w:p>
    <w:p w14:paraId="4881B05A" w14:textId="3257353A" w:rsidR="00B87025" w:rsidRPr="003C7E62" w:rsidRDefault="00B87025" w:rsidP="00606546">
      <w:pPr>
        <w:keepNext w:val="0"/>
        <w:autoSpaceDE w:val="0"/>
        <w:autoSpaceDN w:val="0"/>
        <w:adjustRightInd w:val="0"/>
        <w:spacing w:before="0"/>
        <w:ind w:left="709"/>
        <w:rPr>
          <w:rFonts w:cs="Arial"/>
          <w:color w:val="0A0A0A"/>
          <w:szCs w:val="24"/>
        </w:rPr>
      </w:pPr>
    </w:p>
    <w:p w14:paraId="6438348E" w14:textId="77777777" w:rsidR="00B87025" w:rsidRPr="003C7E62" w:rsidRDefault="00B87025" w:rsidP="00874A98">
      <w:pPr>
        <w:keepNext w:val="0"/>
        <w:numPr>
          <w:ilvl w:val="0"/>
          <w:numId w:val="80"/>
        </w:numPr>
        <w:shd w:val="clear" w:color="auto" w:fill="FEFEFE"/>
        <w:spacing w:before="0"/>
        <w:rPr>
          <w:rFonts w:cs="Arial"/>
          <w:color w:val="0A0A0A"/>
          <w:szCs w:val="24"/>
        </w:rPr>
      </w:pPr>
      <w:r w:rsidRPr="003C7E62">
        <w:rPr>
          <w:rFonts w:cs="Arial"/>
          <w:color w:val="0A0A0A"/>
          <w:szCs w:val="24"/>
        </w:rPr>
        <w:t>urban regeneration, planning and land use,</w:t>
      </w:r>
    </w:p>
    <w:p w14:paraId="5B451D07" w14:textId="77777777" w:rsidR="00B87025" w:rsidRPr="003C7E62" w:rsidRDefault="00B87025" w:rsidP="00874A98">
      <w:pPr>
        <w:keepNext w:val="0"/>
        <w:numPr>
          <w:ilvl w:val="0"/>
          <w:numId w:val="80"/>
        </w:numPr>
        <w:shd w:val="clear" w:color="auto" w:fill="FEFEFE"/>
        <w:spacing w:before="0"/>
        <w:rPr>
          <w:rFonts w:cs="Arial"/>
          <w:color w:val="0A0A0A"/>
          <w:szCs w:val="24"/>
        </w:rPr>
      </w:pPr>
      <w:r w:rsidRPr="003C7E62">
        <w:rPr>
          <w:rFonts w:cs="Arial"/>
          <w:color w:val="0A0A0A"/>
          <w:szCs w:val="24"/>
        </w:rPr>
        <w:t xml:space="preserve">skills and enterprise infrastructure, and </w:t>
      </w:r>
    </w:p>
    <w:p w14:paraId="05776F89" w14:textId="3E709CD4" w:rsidR="00B87025" w:rsidRPr="003C7E62" w:rsidRDefault="00B87025" w:rsidP="00874A98">
      <w:pPr>
        <w:keepNext w:val="0"/>
        <w:numPr>
          <w:ilvl w:val="0"/>
          <w:numId w:val="80"/>
        </w:numPr>
        <w:shd w:val="clear" w:color="auto" w:fill="FEFEFE"/>
        <w:spacing w:before="0"/>
        <w:rPr>
          <w:rFonts w:cs="Arial"/>
          <w:color w:val="0A0A0A"/>
          <w:szCs w:val="24"/>
        </w:rPr>
      </w:pPr>
      <w:r w:rsidRPr="003C7E62">
        <w:rPr>
          <w:rFonts w:cs="Arial"/>
          <w:color w:val="0A0A0A"/>
          <w:szCs w:val="24"/>
        </w:rPr>
        <w:t>digital and transport connectivity.</w:t>
      </w:r>
    </w:p>
    <w:p w14:paraId="03603D91" w14:textId="77777777" w:rsidR="00B87025" w:rsidRPr="003C7E62" w:rsidRDefault="00B87025" w:rsidP="00606546">
      <w:pPr>
        <w:keepNext w:val="0"/>
        <w:autoSpaceDE w:val="0"/>
        <w:autoSpaceDN w:val="0"/>
        <w:adjustRightInd w:val="0"/>
        <w:spacing w:before="0"/>
        <w:ind w:left="709"/>
        <w:rPr>
          <w:rFonts w:cs="Arial"/>
          <w:color w:val="auto"/>
          <w:szCs w:val="24"/>
        </w:rPr>
      </w:pPr>
    </w:p>
    <w:p w14:paraId="7A2A89B3" w14:textId="4E55327B" w:rsidR="0095083D" w:rsidRPr="003C7E62" w:rsidRDefault="00B87025" w:rsidP="00D01157">
      <w:pPr>
        <w:keepNext w:val="0"/>
        <w:numPr>
          <w:ilvl w:val="1"/>
          <w:numId w:val="52"/>
        </w:numPr>
        <w:autoSpaceDE w:val="0"/>
        <w:autoSpaceDN w:val="0"/>
        <w:adjustRightInd w:val="0"/>
        <w:spacing w:before="0"/>
        <w:ind w:left="709" w:hanging="709"/>
        <w:rPr>
          <w:rFonts w:cs="Arial"/>
          <w:color w:val="auto"/>
          <w:szCs w:val="24"/>
        </w:rPr>
      </w:pPr>
      <w:r w:rsidRPr="003C7E62">
        <w:rPr>
          <w:rFonts w:cs="Arial"/>
          <w:color w:val="0A0A0A"/>
          <w:szCs w:val="24"/>
          <w:shd w:val="clear" w:color="auto" w:fill="FEFEFE"/>
        </w:rPr>
        <w:lastRenderedPageBreak/>
        <w:t>Since then, the Council, together with the Discover Ashfield Board have been working closely with stakeholders including business, education, health, transport, and local elected Members to develop the Kirkby and Sutton Town Investment Plan</w:t>
      </w:r>
      <w:r w:rsidR="0095083D" w:rsidRPr="003C7E62">
        <w:rPr>
          <w:rStyle w:val="FootnoteReference"/>
          <w:rFonts w:cs="Arial"/>
          <w:color w:val="0A0A0A"/>
          <w:szCs w:val="24"/>
          <w:shd w:val="clear" w:color="auto" w:fill="FEFEFE"/>
        </w:rPr>
        <w:footnoteReference w:id="43"/>
      </w:r>
      <w:r w:rsidRPr="003C7E62">
        <w:rPr>
          <w:rFonts w:cs="Arial"/>
          <w:color w:val="0A0A0A"/>
          <w:szCs w:val="24"/>
          <w:shd w:val="clear" w:color="auto" w:fill="FEFEFE"/>
        </w:rPr>
        <w:t>.</w:t>
      </w:r>
    </w:p>
    <w:p w14:paraId="68F45D6D" w14:textId="77777777" w:rsidR="0095083D" w:rsidRPr="003C7E62" w:rsidRDefault="0095083D" w:rsidP="00606546">
      <w:pPr>
        <w:keepNext w:val="0"/>
        <w:autoSpaceDE w:val="0"/>
        <w:autoSpaceDN w:val="0"/>
        <w:adjustRightInd w:val="0"/>
        <w:spacing w:before="0"/>
        <w:ind w:left="709"/>
        <w:rPr>
          <w:rFonts w:cs="Arial"/>
          <w:color w:val="auto"/>
          <w:szCs w:val="24"/>
        </w:rPr>
      </w:pPr>
    </w:p>
    <w:p w14:paraId="6DCBA7D5" w14:textId="77777777" w:rsidR="0095083D" w:rsidRPr="003C7E62" w:rsidRDefault="00B87025" w:rsidP="00D01157">
      <w:pPr>
        <w:keepNext w:val="0"/>
        <w:numPr>
          <w:ilvl w:val="1"/>
          <w:numId w:val="52"/>
        </w:numPr>
        <w:autoSpaceDE w:val="0"/>
        <w:autoSpaceDN w:val="0"/>
        <w:adjustRightInd w:val="0"/>
        <w:spacing w:before="0"/>
        <w:ind w:left="709" w:hanging="709"/>
        <w:rPr>
          <w:rFonts w:cs="Arial"/>
          <w:color w:val="auto"/>
          <w:szCs w:val="24"/>
        </w:rPr>
      </w:pPr>
      <w:r w:rsidRPr="003C7E62">
        <w:rPr>
          <w:rFonts w:cs="Arial"/>
          <w:color w:val="0A0A0A"/>
          <w:szCs w:val="24"/>
          <w:shd w:val="clear" w:color="auto" w:fill="FEFEFE"/>
        </w:rPr>
        <w:t>On 8 June 2021 the government announced that it was awarding the Kirkby and Sutton Town Deal £62.6 million. Together with funding secured from the Towns Fund Accelerator Fund (£1.5m) and the Future High Streets Fund, over £70 million has now been secured for Ashfield. Together with co-funding this will bring well over £100 million of investment into the District over the next five years.</w:t>
      </w:r>
    </w:p>
    <w:p w14:paraId="38F287F9" w14:textId="77777777" w:rsidR="0095083D" w:rsidRPr="003C7E62" w:rsidRDefault="0095083D" w:rsidP="00606546">
      <w:pPr>
        <w:pStyle w:val="ListParagraph"/>
        <w:spacing w:after="0" w:line="240" w:lineRule="auto"/>
        <w:rPr>
          <w:rFonts w:ascii="Arial" w:hAnsi="Arial" w:cs="Arial"/>
          <w:color w:val="0A0A0A"/>
          <w:szCs w:val="24"/>
        </w:rPr>
      </w:pPr>
    </w:p>
    <w:p w14:paraId="7DF075C0" w14:textId="1B4D122A" w:rsidR="00B87025" w:rsidRDefault="00B87025" w:rsidP="00D01157">
      <w:pPr>
        <w:keepNext w:val="0"/>
        <w:numPr>
          <w:ilvl w:val="1"/>
          <w:numId w:val="52"/>
        </w:numPr>
        <w:autoSpaceDE w:val="0"/>
        <w:autoSpaceDN w:val="0"/>
        <w:adjustRightInd w:val="0"/>
        <w:spacing w:before="0"/>
        <w:ind w:left="709" w:hanging="709"/>
        <w:rPr>
          <w:rFonts w:cs="Arial"/>
          <w:color w:val="auto"/>
          <w:szCs w:val="24"/>
        </w:rPr>
      </w:pPr>
      <w:r w:rsidRPr="003C7E62">
        <w:rPr>
          <w:rFonts w:cs="Arial"/>
          <w:color w:val="0A0A0A"/>
          <w:szCs w:val="24"/>
        </w:rPr>
        <w:t>T</w:t>
      </w:r>
      <w:r w:rsidRPr="003C7E62">
        <w:rPr>
          <w:rFonts w:cs="Arial"/>
          <w:color w:val="auto"/>
          <w:szCs w:val="24"/>
        </w:rPr>
        <w:t>he investment will deliver jobs and further education opportunities, long-term economic and productivity growth, new homes, improved transport infrastructure, reduced carbon and new cultural and visitor facilities.</w:t>
      </w:r>
      <w:r w:rsidRPr="003C7E62">
        <w:rPr>
          <w:rFonts w:cs="Arial"/>
          <w:color w:val="0A0A0A"/>
          <w:szCs w:val="24"/>
        </w:rPr>
        <w:t xml:space="preserve">  </w:t>
      </w:r>
      <w:r w:rsidRPr="003C7E62">
        <w:rPr>
          <w:rFonts w:cs="Arial"/>
          <w:color w:val="auto"/>
          <w:szCs w:val="24"/>
        </w:rPr>
        <w:t>The investment plan focuses on four areas:</w:t>
      </w:r>
    </w:p>
    <w:p w14:paraId="4F14027E" w14:textId="700955B7" w:rsidR="00874A98" w:rsidRPr="00874A98" w:rsidRDefault="00874A98" w:rsidP="00874A98">
      <w:pPr>
        <w:pStyle w:val="ListParagraph"/>
        <w:numPr>
          <w:ilvl w:val="1"/>
          <w:numId w:val="80"/>
        </w:numPr>
        <w:rPr>
          <w:rFonts w:ascii="Arial" w:hAnsi="Arial" w:cs="Arial"/>
          <w:color w:val="auto"/>
          <w:szCs w:val="24"/>
        </w:rPr>
      </w:pPr>
      <w:r w:rsidRPr="00874A98">
        <w:rPr>
          <w:rFonts w:ascii="Arial" w:hAnsi="Arial" w:cs="Arial"/>
          <w:color w:val="auto"/>
          <w:szCs w:val="24"/>
        </w:rPr>
        <w:t>Business &amp; Education</w:t>
      </w:r>
    </w:p>
    <w:p w14:paraId="4DB0845F" w14:textId="35C2A228" w:rsidR="00874A98" w:rsidRPr="00874A98" w:rsidRDefault="00874A98" w:rsidP="00874A98">
      <w:pPr>
        <w:pStyle w:val="ListParagraph"/>
        <w:numPr>
          <w:ilvl w:val="1"/>
          <w:numId w:val="80"/>
        </w:numPr>
        <w:rPr>
          <w:rFonts w:ascii="Arial" w:hAnsi="Arial" w:cs="Arial"/>
          <w:color w:val="auto"/>
          <w:szCs w:val="24"/>
        </w:rPr>
      </w:pPr>
      <w:r w:rsidRPr="00874A98">
        <w:rPr>
          <w:rFonts w:ascii="Arial" w:hAnsi="Arial" w:cs="Arial"/>
          <w:color w:val="auto"/>
          <w:szCs w:val="24"/>
        </w:rPr>
        <w:t>Health &amp; Wellbeing</w:t>
      </w:r>
    </w:p>
    <w:p w14:paraId="07D3203C" w14:textId="06D3A02B" w:rsidR="00874A98" w:rsidRPr="00874A98" w:rsidRDefault="00874A98" w:rsidP="00874A98">
      <w:pPr>
        <w:pStyle w:val="ListParagraph"/>
        <w:numPr>
          <w:ilvl w:val="1"/>
          <w:numId w:val="80"/>
        </w:numPr>
        <w:rPr>
          <w:rFonts w:ascii="Arial" w:hAnsi="Arial" w:cs="Arial"/>
          <w:color w:val="auto"/>
          <w:szCs w:val="24"/>
        </w:rPr>
      </w:pPr>
      <w:r w:rsidRPr="00874A98">
        <w:rPr>
          <w:rFonts w:ascii="Arial" w:hAnsi="Arial" w:cs="Arial"/>
          <w:color w:val="auto"/>
          <w:szCs w:val="24"/>
        </w:rPr>
        <w:t>Visitor Economy</w:t>
      </w:r>
    </w:p>
    <w:p w14:paraId="04F7D3EA" w14:textId="7FB4379B" w:rsidR="00874A98" w:rsidRPr="00874A98" w:rsidRDefault="00874A98" w:rsidP="00874A98">
      <w:pPr>
        <w:pStyle w:val="ListParagraph"/>
        <w:numPr>
          <w:ilvl w:val="1"/>
          <w:numId w:val="80"/>
        </w:numPr>
        <w:rPr>
          <w:rFonts w:ascii="Arial" w:hAnsi="Arial" w:cs="Arial"/>
          <w:color w:val="auto"/>
          <w:szCs w:val="24"/>
        </w:rPr>
      </w:pPr>
      <w:r w:rsidRPr="00874A98">
        <w:rPr>
          <w:rFonts w:ascii="Arial" w:hAnsi="Arial" w:cs="Arial"/>
          <w:color w:val="auto"/>
          <w:szCs w:val="24"/>
        </w:rPr>
        <w:t>Greener Ashfield</w:t>
      </w:r>
    </w:p>
    <w:p w14:paraId="242FEA68" w14:textId="77777777" w:rsidR="00874A98" w:rsidRDefault="00874A98" w:rsidP="00874A98">
      <w:pPr>
        <w:keepNext w:val="0"/>
        <w:numPr>
          <w:ilvl w:val="1"/>
          <w:numId w:val="52"/>
        </w:numPr>
        <w:autoSpaceDE w:val="0"/>
        <w:autoSpaceDN w:val="0"/>
        <w:adjustRightInd w:val="0"/>
        <w:spacing w:before="0"/>
        <w:ind w:left="709" w:hanging="709"/>
        <w:rPr>
          <w:rFonts w:cs="Arial"/>
          <w:color w:val="auto"/>
          <w:szCs w:val="24"/>
        </w:rPr>
      </w:pPr>
      <w:r w:rsidRPr="00874A98">
        <w:rPr>
          <w:rFonts w:cs="Arial"/>
          <w:color w:val="auto"/>
          <w:szCs w:val="24"/>
        </w:rPr>
        <w:t>The Towns Fund investment will deliver jobs and further education opportunities, long-term economic and productivity growth, new homes, improved transport infrastructure, reduced carbon, and new cultural and visitor facilities.</w:t>
      </w:r>
    </w:p>
    <w:p w14:paraId="71F5F3CC" w14:textId="77777777" w:rsidR="00874A98" w:rsidRPr="00874A98" w:rsidRDefault="00874A98" w:rsidP="00874A98">
      <w:pPr>
        <w:keepNext w:val="0"/>
        <w:autoSpaceDE w:val="0"/>
        <w:autoSpaceDN w:val="0"/>
        <w:adjustRightInd w:val="0"/>
        <w:spacing w:before="0"/>
        <w:ind w:left="709"/>
        <w:rPr>
          <w:rFonts w:cs="Arial"/>
          <w:color w:val="auto"/>
          <w:szCs w:val="24"/>
        </w:rPr>
      </w:pPr>
    </w:p>
    <w:p w14:paraId="5D406DF3" w14:textId="77777777" w:rsidR="00874A98" w:rsidRPr="00874A98" w:rsidRDefault="00874A98" w:rsidP="00874A98">
      <w:pPr>
        <w:keepNext w:val="0"/>
        <w:numPr>
          <w:ilvl w:val="1"/>
          <w:numId w:val="52"/>
        </w:numPr>
        <w:autoSpaceDE w:val="0"/>
        <w:autoSpaceDN w:val="0"/>
        <w:adjustRightInd w:val="0"/>
        <w:spacing w:before="0"/>
        <w:ind w:left="709" w:hanging="709"/>
        <w:rPr>
          <w:rFonts w:cs="Arial"/>
          <w:color w:val="auto"/>
          <w:szCs w:val="24"/>
        </w:rPr>
      </w:pPr>
      <w:r w:rsidRPr="00874A98">
        <w:rPr>
          <w:rFonts w:cs="Arial"/>
          <w:color w:val="auto"/>
          <w:szCs w:val="24"/>
        </w:rPr>
        <w:t>The investment focuses on four areas:</w:t>
      </w:r>
    </w:p>
    <w:p w14:paraId="081AA4CB" w14:textId="77777777" w:rsidR="00874A98" w:rsidRDefault="00874A98" w:rsidP="00874A98">
      <w:pPr>
        <w:keepNext w:val="0"/>
        <w:autoSpaceDE w:val="0"/>
        <w:autoSpaceDN w:val="0"/>
        <w:adjustRightInd w:val="0"/>
        <w:spacing w:before="0"/>
        <w:ind w:left="709"/>
        <w:rPr>
          <w:rFonts w:cs="Arial"/>
          <w:color w:val="auto"/>
          <w:szCs w:val="24"/>
        </w:rPr>
      </w:pPr>
    </w:p>
    <w:p w14:paraId="0BC6D8C6" w14:textId="52970EAB" w:rsidR="00874A98" w:rsidRPr="00874A98" w:rsidRDefault="00874A98" w:rsidP="00874A98">
      <w:pPr>
        <w:keepNext w:val="0"/>
        <w:autoSpaceDE w:val="0"/>
        <w:autoSpaceDN w:val="0"/>
        <w:adjustRightInd w:val="0"/>
        <w:spacing w:before="0"/>
        <w:ind w:left="709"/>
        <w:rPr>
          <w:rFonts w:cs="Arial"/>
          <w:color w:val="auto"/>
          <w:szCs w:val="24"/>
        </w:rPr>
      </w:pPr>
      <w:r w:rsidRPr="00874A98">
        <w:rPr>
          <w:rFonts w:cs="Arial"/>
          <w:color w:val="auto"/>
          <w:szCs w:val="24"/>
          <w:u w:val="single"/>
        </w:rPr>
        <w:t>Business and education</w:t>
      </w:r>
      <w:r w:rsidRPr="00874A98">
        <w:rPr>
          <w:rFonts w:cs="Arial"/>
          <w:color w:val="auto"/>
          <w:szCs w:val="24"/>
        </w:rPr>
        <w:t>:</w:t>
      </w:r>
    </w:p>
    <w:p w14:paraId="6676E112" w14:textId="03CB53C7" w:rsidR="00874A98" w:rsidRPr="00874A98" w:rsidRDefault="00874A98" w:rsidP="00874A98">
      <w:pPr>
        <w:pStyle w:val="ListParagraph"/>
        <w:numPr>
          <w:ilvl w:val="0"/>
          <w:numId w:val="341"/>
        </w:numPr>
        <w:autoSpaceDE w:val="0"/>
        <w:autoSpaceDN w:val="0"/>
        <w:adjustRightInd w:val="0"/>
        <w:ind w:left="1134"/>
        <w:rPr>
          <w:rFonts w:ascii="Arial" w:hAnsi="Arial" w:cs="Arial"/>
          <w:color w:val="auto"/>
          <w:szCs w:val="24"/>
        </w:rPr>
      </w:pPr>
      <w:r w:rsidRPr="00874A98">
        <w:rPr>
          <w:rFonts w:ascii="Arial" w:hAnsi="Arial" w:cs="Arial"/>
          <w:color w:val="auto"/>
          <w:szCs w:val="24"/>
        </w:rPr>
        <w:t>The centrepiece of the plan is an Automated Distribution and Manufacturing Centre to create a national centre of excellence focused on promoting and providing access to the latest technologies and best practice in automated distribution.</w:t>
      </w:r>
    </w:p>
    <w:p w14:paraId="41718A9E" w14:textId="77777777" w:rsidR="00874A98" w:rsidRDefault="00874A98" w:rsidP="00874A98">
      <w:pPr>
        <w:pStyle w:val="ListParagraph"/>
        <w:autoSpaceDE w:val="0"/>
        <w:autoSpaceDN w:val="0"/>
        <w:adjustRightInd w:val="0"/>
        <w:ind w:left="1134"/>
        <w:rPr>
          <w:rFonts w:ascii="Arial" w:hAnsi="Arial" w:cs="Arial"/>
          <w:color w:val="auto"/>
          <w:szCs w:val="24"/>
        </w:rPr>
      </w:pPr>
    </w:p>
    <w:p w14:paraId="79A551C4" w14:textId="1D4028FF" w:rsidR="00874A98" w:rsidRPr="00874A98" w:rsidRDefault="00874A98" w:rsidP="00874A98">
      <w:pPr>
        <w:pStyle w:val="ListParagraph"/>
        <w:numPr>
          <w:ilvl w:val="0"/>
          <w:numId w:val="341"/>
        </w:numPr>
        <w:autoSpaceDE w:val="0"/>
        <w:autoSpaceDN w:val="0"/>
        <w:adjustRightInd w:val="0"/>
        <w:ind w:left="1134"/>
        <w:rPr>
          <w:rFonts w:ascii="Arial" w:hAnsi="Arial" w:cs="Arial"/>
          <w:color w:val="auto"/>
          <w:szCs w:val="24"/>
        </w:rPr>
      </w:pPr>
      <w:r w:rsidRPr="00874A98">
        <w:rPr>
          <w:rFonts w:ascii="Arial" w:hAnsi="Arial" w:cs="Arial"/>
          <w:color w:val="auto"/>
          <w:szCs w:val="24"/>
        </w:rPr>
        <w:t>Two new education centres will provide opportunities for qualifications in construction and civil engineering. At Kirkby and Sutton libraries there will be new innovation centres which will support residents with digital skills, helping them access digital services, learn new skills, and adapt to new ways of working.</w:t>
      </w:r>
    </w:p>
    <w:p w14:paraId="6ECEEB7A" w14:textId="77777777" w:rsidR="00874A98" w:rsidRPr="00874A98" w:rsidRDefault="00874A98" w:rsidP="00874A98">
      <w:pPr>
        <w:keepNext w:val="0"/>
        <w:autoSpaceDE w:val="0"/>
        <w:autoSpaceDN w:val="0"/>
        <w:adjustRightInd w:val="0"/>
        <w:spacing w:before="0"/>
        <w:ind w:left="1134"/>
        <w:rPr>
          <w:rFonts w:cs="Arial"/>
          <w:color w:val="auto"/>
          <w:szCs w:val="24"/>
        </w:rPr>
      </w:pPr>
    </w:p>
    <w:p w14:paraId="563ED16D" w14:textId="4FA457F3" w:rsidR="00874A98" w:rsidRPr="00874A98" w:rsidRDefault="00874A98" w:rsidP="00874A98">
      <w:pPr>
        <w:keepNext w:val="0"/>
        <w:autoSpaceDE w:val="0"/>
        <w:autoSpaceDN w:val="0"/>
        <w:adjustRightInd w:val="0"/>
        <w:spacing w:before="0"/>
        <w:ind w:firstLine="720"/>
        <w:rPr>
          <w:rFonts w:cs="Arial"/>
          <w:color w:val="auto"/>
          <w:szCs w:val="24"/>
        </w:rPr>
      </w:pPr>
      <w:r w:rsidRPr="00874A98">
        <w:rPr>
          <w:rFonts w:cs="Arial"/>
          <w:color w:val="auto"/>
          <w:szCs w:val="24"/>
          <w:u w:val="single"/>
        </w:rPr>
        <w:t>Health and wellbeing</w:t>
      </w:r>
      <w:r w:rsidRPr="00874A98">
        <w:rPr>
          <w:rFonts w:cs="Arial"/>
          <w:color w:val="auto"/>
          <w:szCs w:val="24"/>
        </w:rPr>
        <w:t>:</w:t>
      </w:r>
    </w:p>
    <w:p w14:paraId="42F51AF0" w14:textId="132C9E3C" w:rsidR="00874A98" w:rsidRPr="00874A98" w:rsidRDefault="00874A98" w:rsidP="00874A98">
      <w:pPr>
        <w:pStyle w:val="ListParagraph"/>
        <w:numPr>
          <w:ilvl w:val="0"/>
          <w:numId w:val="342"/>
        </w:numPr>
        <w:autoSpaceDE w:val="0"/>
        <w:autoSpaceDN w:val="0"/>
        <w:adjustRightInd w:val="0"/>
        <w:ind w:left="1134"/>
        <w:rPr>
          <w:rFonts w:ascii="Arial" w:hAnsi="Arial" w:cs="Arial"/>
          <w:color w:val="auto"/>
          <w:szCs w:val="24"/>
        </w:rPr>
      </w:pPr>
      <w:r w:rsidRPr="00874A98">
        <w:rPr>
          <w:rFonts w:ascii="Arial" w:hAnsi="Arial" w:cs="Arial"/>
          <w:color w:val="auto"/>
          <w:szCs w:val="24"/>
        </w:rPr>
        <w:t>New Sports Hubs at Kingsway Park and Sutton Lawn will give residents greater access to healthier lifestyles and help improve local health outcomes.</w:t>
      </w:r>
    </w:p>
    <w:p w14:paraId="49AEC1F7" w14:textId="77777777" w:rsidR="00874A98" w:rsidRDefault="00874A98" w:rsidP="00874A98">
      <w:pPr>
        <w:keepNext w:val="0"/>
        <w:autoSpaceDE w:val="0"/>
        <w:autoSpaceDN w:val="0"/>
        <w:adjustRightInd w:val="0"/>
        <w:spacing w:before="0"/>
        <w:ind w:left="709"/>
        <w:rPr>
          <w:rFonts w:cs="Arial"/>
          <w:color w:val="auto"/>
          <w:szCs w:val="24"/>
        </w:rPr>
      </w:pPr>
    </w:p>
    <w:p w14:paraId="501748F2" w14:textId="5053FB8B" w:rsidR="00874A98" w:rsidRPr="00874A98" w:rsidRDefault="00874A98" w:rsidP="00874A98">
      <w:pPr>
        <w:keepNext w:val="0"/>
        <w:autoSpaceDE w:val="0"/>
        <w:autoSpaceDN w:val="0"/>
        <w:adjustRightInd w:val="0"/>
        <w:spacing w:before="0"/>
        <w:ind w:left="709"/>
        <w:rPr>
          <w:rFonts w:cs="Arial"/>
          <w:color w:val="auto"/>
          <w:szCs w:val="24"/>
        </w:rPr>
      </w:pPr>
      <w:r w:rsidRPr="00874A98">
        <w:rPr>
          <w:rFonts w:cs="Arial"/>
          <w:color w:val="auto"/>
          <w:szCs w:val="24"/>
          <w:u w:val="single"/>
        </w:rPr>
        <w:lastRenderedPageBreak/>
        <w:t>Boost visitor economy</w:t>
      </w:r>
      <w:r w:rsidRPr="00874A98">
        <w:rPr>
          <w:rFonts w:cs="Arial"/>
          <w:color w:val="auto"/>
          <w:szCs w:val="24"/>
        </w:rPr>
        <w:t>:</w:t>
      </w:r>
    </w:p>
    <w:p w14:paraId="28564B00" w14:textId="77777777" w:rsidR="00874A98" w:rsidRPr="00874A98" w:rsidRDefault="00874A98" w:rsidP="00874A98">
      <w:pPr>
        <w:pStyle w:val="ListParagraph"/>
        <w:numPr>
          <w:ilvl w:val="0"/>
          <w:numId w:val="342"/>
        </w:numPr>
        <w:autoSpaceDE w:val="0"/>
        <w:autoSpaceDN w:val="0"/>
        <w:adjustRightInd w:val="0"/>
        <w:ind w:left="1134"/>
        <w:rPr>
          <w:rFonts w:ascii="Arial" w:hAnsi="Arial" w:cs="Arial"/>
          <w:color w:val="auto"/>
          <w:szCs w:val="24"/>
        </w:rPr>
      </w:pPr>
      <w:r w:rsidRPr="00874A98">
        <w:rPr>
          <w:rFonts w:ascii="Arial" w:hAnsi="Arial" w:cs="Arial"/>
          <w:color w:val="auto"/>
          <w:szCs w:val="24"/>
        </w:rPr>
        <w:t>A new Planetarium and Science Discovery Centre at Sherwood Observatory will help inspire a new generation of scientists and engineers across the region.</w:t>
      </w:r>
    </w:p>
    <w:p w14:paraId="7148550C" w14:textId="77777777" w:rsidR="00874A98" w:rsidRPr="00874A98" w:rsidRDefault="00874A98" w:rsidP="00874A98">
      <w:pPr>
        <w:pStyle w:val="ListParagraph"/>
        <w:autoSpaceDE w:val="0"/>
        <w:autoSpaceDN w:val="0"/>
        <w:adjustRightInd w:val="0"/>
        <w:ind w:left="1134"/>
        <w:rPr>
          <w:rFonts w:ascii="Arial" w:hAnsi="Arial" w:cs="Arial"/>
          <w:color w:val="auto"/>
          <w:szCs w:val="24"/>
        </w:rPr>
      </w:pPr>
    </w:p>
    <w:p w14:paraId="118805BC" w14:textId="77777777" w:rsidR="00874A98" w:rsidRPr="00874A98" w:rsidRDefault="00874A98" w:rsidP="00874A98">
      <w:pPr>
        <w:pStyle w:val="ListParagraph"/>
        <w:numPr>
          <w:ilvl w:val="0"/>
          <w:numId w:val="342"/>
        </w:numPr>
        <w:autoSpaceDE w:val="0"/>
        <w:autoSpaceDN w:val="0"/>
        <w:adjustRightInd w:val="0"/>
        <w:ind w:left="1134"/>
        <w:rPr>
          <w:rFonts w:ascii="Arial" w:hAnsi="Arial" w:cs="Arial"/>
          <w:color w:val="auto"/>
          <w:szCs w:val="24"/>
        </w:rPr>
      </w:pPr>
      <w:r w:rsidRPr="00874A98">
        <w:rPr>
          <w:rFonts w:ascii="Arial" w:hAnsi="Arial" w:cs="Arial"/>
          <w:color w:val="auto"/>
          <w:szCs w:val="24"/>
        </w:rPr>
        <w:t>A new leisure facility at Kings Mill Reservoir will offer a range of new water sports attractions for visitors from across the region. A network of cycling and walking routes across the area will connect visitor attractions, homes, and places of work.</w:t>
      </w:r>
    </w:p>
    <w:p w14:paraId="2A50C2C2" w14:textId="1F425841" w:rsidR="00874A98" w:rsidRPr="00874A98" w:rsidRDefault="00874A98" w:rsidP="00874A98">
      <w:pPr>
        <w:keepNext w:val="0"/>
        <w:autoSpaceDE w:val="0"/>
        <w:autoSpaceDN w:val="0"/>
        <w:adjustRightInd w:val="0"/>
        <w:spacing w:before="0"/>
        <w:ind w:firstLine="720"/>
        <w:rPr>
          <w:rFonts w:cs="Arial"/>
          <w:color w:val="auto"/>
          <w:szCs w:val="24"/>
        </w:rPr>
      </w:pPr>
      <w:r w:rsidRPr="00874A98">
        <w:rPr>
          <w:rFonts w:cs="Arial"/>
          <w:color w:val="auto"/>
          <w:szCs w:val="24"/>
          <w:u w:val="single"/>
        </w:rPr>
        <w:t>Make Ashfield Greener</w:t>
      </w:r>
      <w:r w:rsidRPr="00874A98">
        <w:rPr>
          <w:rFonts w:cs="Arial"/>
          <w:color w:val="auto"/>
          <w:szCs w:val="24"/>
        </w:rPr>
        <w:t>:</w:t>
      </w:r>
    </w:p>
    <w:p w14:paraId="557E9C3A" w14:textId="774C4E8F" w:rsidR="00874A98" w:rsidRPr="00874A98" w:rsidRDefault="00874A98" w:rsidP="00874A98">
      <w:pPr>
        <w:pStyle w:val="ListParagraph"/>
        <w:numPr>
          <w:ilvl w:val="0"/>
          <w:numId w:val="343"/>
        </w:numPr>
        <w:autoSpaceDE w:val="0"/>
        <w:autoSpaceDN w:val="0"/>
        <w:adjustRightInd w:val="0"/>
        <w:ind w:left="1134"/>
        <w:rPr>
          <w:rFonts w:ascii="Arial" w:hAnsi="Arial" w:cs="Arial"/>
          <w:color w:val="auto"/>
          <w:szCs w:val="24"/>
        </w:rPr>
      </w:pPr>
      <w:r w:rsidRPr="00874A98">
        <w:rPr>
          <w:rFonts w:ascii="Arial" w:hAnsi="Arial" w:cs="Arial"/>
          <w:color w:val="auto"/>
          <w:szCs w:val="24"/>
        </w:rPr>
        <w:t>The gateway area around Kirkby train station will be developed to provide better access to the station and interchange to buses and the new cycle/walking network, to promote use of more sustainable forms of transport, as well as a programme to fit existing buildings with solar and other green energy sources.</w:t>
      </w:r>
    </w:p>
    <w:p w14:paraId="76BE9B8A" w14:textId="77777777" w:rsidR="0095083D" w:rsidRPr="003C7E62" w:rsidRDefault="0095083D" w:rsidP="00606546">
      <w:pPr>
        <w:keepNext w:val="0"/>
        <w:autoSpaceDE w:val="0"/>
        <w:autoSpaceDN w:val="0"/>
        <w:adjustRightInd w:val="0"/>
        <w:spacing w:before="0"/>
        <w:rPr>
          <w:rFonts w:cs="Arial"/>
          <w:color w:val="auto"/>
          <w:szCs w:val="24"/>
        </w:rPr>
      </w:pPr>
    </w:p>
    <w:bookmarkEnd w:id="21"/>
    <w:p w14:paraId="08533EF3" w14:textId="7C9B8EFA" w:rsidR="00162A7B" w:rsidRPr="00162A7B" w:rsidRDefault="00162A7B" w:rsidP="00F66CEF">
      <w:pPr>
        <w:keepNext w:val="0"/>
        <w:autoSpaceDE w:val="0"/>
        <w:autoSpaceDN w:val="0"/>
        <w:adjustRightInd w:val="0"/>
        <w:spacing w:before="0"/>
        <w:ind w:left="525" w:firstLine="184"/>
        <w:rPr>
          <w:rFonts w:cs="Arial"/>
          <w:b/>
          <w:bCs/>
          <w:i/>
          <w:iCs/>
          <w:szCs w:val="24"/>
        </w:rPr>
      </w:pPr>
      <w:r w:rsidRPr="00162A7B">
        <w:rPr>
          <w:rFonts w:cs="Arial"/>
          <w:b/>
          <w:bCs/>
          <w:i/>
          <w:iCs/>
          <w:szCs w:val="24"/>
        </w:rPr>
        <w:t>Key Issues</w:t>
      </w:r>
    </w:p>
    <w:p w14:paraId="7281C846" w14:textId="6A37B474" w:rsidR="00162A7B" w:rsidRPr="00162A7B" w:rsidRDefault="00162A7B" w:rsidP="00162A7B">
      <w:pPr>
        <w:pStyle w:val="NormalWeb"/>
        <w:numPr>
          <w:ilvl w:val="1"/>
          <w:numId w:val="52"/>
        </w:numPr>
        <w:shd w:val="clear" w:color="auto" w:fill="FEFEFE"/>
        <w:spacing w:before="0" w:beforeAutospacing="0" w:after="0" w:afterAutospacing="0"/>
        <w:ind w:left="709" w:hanging="709"/>
        <w:rPr>
          <w:rFonts w:ascii="Arial" w:hAnsi="Arial" w:cs="Arial"/>
          <w:color w:val="0A0A0A"/>
        </w:rPr>
      </w:pPr>
      <w:r>
        <w:rPr>
          <w:rFonts w:ascii="Arial" w:eastAsia="Arial" w:hAnsi="Arial" w:cs="Arial"/>
        </w:rPr>
        <w:t>Set out below is a s</w:t>
      </w:r>
      <w:r w:rsidRPr="00162A7B">
        <w:rPr>
          <w:rFonts w:ascii="Arial" w:eastAsia="Arial" w:hAnsi="Arial" w:cs="Arial"/>
        </w:rPr>
        <w:t>ummary of the key issues facing the District as has been identified by the extensive evidence base</w:t>
      </w:r>
      <w:r w:rsidRPr="00162A7B">
        <w:rPr>
          <w:rFonts w:ascii="Arial" w:eastAsia="Arial" w:hAnsi="Arial" w:cs="Arial"/>
          <w:vertAlign w:val="superscript"/>
        </w:rPr>
        <w:footnoteReference w:id="44"/>
      </w:r>
      <w:r w:rsidRPr="00162A7B">
        <w:rPr>
          <w:rFonts w:ascii="Arial" w:eastAsia="Arial" w:hAnsi="Arial" w:cs="Arial"/>
        </w:rPr>
        <w:t xml:space="preserve"> in support of the </w:t>
      </w:r>
      <w:r>
        <w:rPr>
          <w:rFonts w:ascii="Arial" w:eastAsia="Arial" w:hAnsi="Arial" w:cs="Arial"/>
        </w:rPr>
        <w:t>P</w:t>
      </w:r>
      <w:r w:rsidRPr="00162A7B">
        <w:rPr>
          <w:rFonts w:ascii="Arial" w:eastAsia="Arial" w:hAnsi="Arial" w:cs="Arial"/>
        </w:rPr>
        <w:t>lan, the Annual Monitoring Report (AMR)</w:t>
      </w:r>
      <w:r w:rsidRPr="00162A7B">
        <w:rPr>
          <w:rFonts w:ascii="Arial" w:eastAsia="Arial" w:hAnsi="Arial" w:cs="Arial"/>
          <w:vertAlign w:val="superscript"/>
        </w:rPr>
        <w:footnoteReference w:id="45"/>
      </w:r>
      <w:r w:rsidRPr="00162A7B">
        <w:rPr>
          <w:rFonts w:ascii="Arial" w:eastAsia="Arial" w:hAnsi="Arial" w:cs="Arial"/>
        </w:rPr>
        <w:t xml:space="preserve"> and the Sustainability Appraisal (SA) scoping report</w:t>
      </w:r>
      <w:r w:rsidRPr="00162A7B">
        <w:rPr>
          <w:rFonts w:ascii="Arial" w:eastAsia="Arial" w:hAnsi="Arial" w:cs="Arial"/>
          <w:vertAlign w:val="superscript"/>
        </w:rPr>
        <w:footnoteReference w:id="46"/>
      </w:r>
      <w:r w:rsidRPr="00162A7B">
        <w:rPr>
          <w:rFonts w:ascii="Arial" w:eastAsia="Arial" w:hAnsi="Arial" w:cs="Arial"/>
        </w:rPr>
        <w:t>.  The key issues identified are not ranked in any particular order of importance or priority.</w:t>
      </w:r>
    </w:p>
    <w:p w14:paraId="77ED269A" w14:textId="77777777" w:rsidR="00162A7B" w:rsidRPr="00162A7B" w:rsidRDefault="00162A7B" w:rsidP="00162A7B">
      <w:pPr>
        <w:keepNext w:val="0"/>
        <w:autoSpaceDE w:val="0"/>
        <w:autoSpaceDN w:val="0"/>
        <w:adjustRightInd w:val="0"/>
        <w:spacing w:before="0"/>
        <w:ind w:left="709"/>
        <w:rPr>
          <w:rFonts w:cs="Arial"/>
        </w:rPr>
      </w:pPr>
    </w:p>
    <w:p w14:paraId="276DEBFA" w14:textId="681164F6" w:rsidR="000005E9" w:rsidRPr="00E6288C" w:rsidRDefault="000005E9" w:rsidP="00C06232">
      <w:pPr>
        <w:spacing w:before="0"/>
        <w:ind w:firstLine="709"/>
        <w:rPr>
          <w:rFonts w:eastAsia="Arial" w:cs="Arial"/>
          <w:u w:val="single"/>
        </w:rPr>
      </w:pPr>
      <w:bookmarkStart w:id="22" w:name="_Hlk128235319"/>
      <w:r w:rsidRPr="00E6288C">
        <w:rPr>
          <w:rFonts w:eastAsia="Arial" w:cs="Arial"/>
          <w:u w:val="single"/>
        </w:rPr>
        <w:t>Climate Change</w:t>
      </w:r>
    </w:p>
    <w:p w14:paraId="64D4BB2B" w14:textId="7B3BCAEC" w:rsidR="000005E9" w:rsidRPr="00A5463B" w:rsidRDefault="000005E9" w:rsidP="00874A98">
      <w:pPr>
        <w:pStyle w:val="ListParagraph"/>
        <w:numPr>
          <w:ilvl w:val="0"/>
          <w:numId w:val="339"/>
        </w:numPr>
        <w:ind w:left="993" w:hanging="284"/>
        <w:rPr>
          <w:rFonts w:ascii="Arial" w:eastAsia="Arial" w:hAnsi="Arial" w:cs="Arial"/>
        </w:rPr>
      </w:pPr>
      <w:r w:rsidRPr="00A5463B">
        <w:rPr>
          <w:rFonts w:ascii="Arial" w:eastAsia="Arial" w:hAnsi="Arial" w:cs="Arial"/>
        </w:rPr>
        <w:t>Climate change has substantial implications for future generations and action is need by all to meet national and local targets to reduce carbon emissions and other gases, which make major contributions towards the rises in air and sea temperatures. Ashfield has committed to do everything possible to combat climate change and it is main priority for the local plan. The challenge for us is to provide for new homes and jobs in a way that does not have a detrimental impact on our climate and environment.</w:t>
      </w:r>
    </w:p>
    <w:bookmarkEnd w:id="22"/>
    <w:p w14:paraId="5FEEE7D7" w14:textId="7A245835" w:rsidR="00162A7B" w:rsidRPr="00162A7B" w:rsidRDefault="00162A7B" w:rsidP="00C06232">
      <w:pPr>
        <w:spacing w:before="0"/>
        <w:ind w:left="360" w:firstLine="349"/>
        <w:rPr>
          <w:rFonts w:eastAsia="Arial" w:cs="Arial"/>
          <w:color w:val="auto"/>
          <w:u w:val="single"/>
        </w:rPr>
      </w:pPr>
      <w:r w:rsidRPr="00162A7B">
        <w:rPr>
          <w:rFonts w:eastAsia="Arial" w:cs="Arial"/>
          <w:color w:val="auto"/>
          <w:u w:val="single"/>
        </w:rPr>
        <w:t>Transport</w:t>
      </w:r>
    </w:p>
    <w:p w14:paraId="6B4113B8" w14:textId="77777777" w:rsidR="00162A7B" w:rsidRDefault="00162A7B" w:rsidP="00874A98">
      <w:pPr>
        <w:keepNext w:val="0"/>
        <w:numPr>
          <w:ilvl w:val="0"/>
          <w:numId w:val="81"/>
        </w:numPr>
        <w:spacing w:before="0"/>
        <w:ind w:left="1134"/>
        <w:rPr>
          <w:rFonts w:eastAsia="Arial" w:cs="Arial"/>
          <w:color w:val="auto"/>
        </w:rPr>
      </w:pPr>
      <w:r w:rsidRPr="00162A7B">
        <w:rPr>
          <w:rFonts w:eastAsia="Arial" w:cs="Arial"/>
          <w:color w:val="auto"/>
        </w:rPr>
        <w:t xml:space="preserve">Ashfield is well located with regard to national, regional and local transport links and is close to major centres of population including Nottingham City, Mansfield, Chesterfield and Sheffield. </w:t>
      </w:r>
    </w:p>
    <w:p w14:paraId="01E3B1F1" w14:textId="77777777" w:rsidR="00A5463B" w:rsidRPr="00162A7B" w:rsidRDefault="00A5463B" w:rsidP="00C06232">
      <w:pPr>
        <w:keepNext w:val="0"/>
        <w:spacing w:before="0"/>
        <w:ind w:left="1134"/>
        <w:rPr>
          <w:rFonts w:eastAsia="Arial" w:cs="Arial"/>
          <w:color w:val="auto"/>
        </w:rPr>
      </w:pPr>
    </w:p>
    <w:p w14:paraId="3A9E7A46" w14:textId="77777777" w:rsidR="00162A7B" w:rsidRPr="00A5463B" w:rsidRDefault="00162A7B" w:rsidP="00874A98">
      <w:pPr>
        <w:keepNext w:val="0"/>
        <w:numPr>
          <w:ilvl w:val="0"/>
          <w:numId w:val="81"/>
        </w:numPr>
        <w:spacing w:before="0"/>
        <w:ind w:left="1134"/>
        <w:rPr>
          <w:rFonts w:eastAsia="Arial" w:cs="Arial"/>
          <w:color w:val="auto"/>
        </w:rPr>
      </w:pPr>
      <w:r w:rsidRPr="00162A7B">
        <w:rPr>
          <w:rFonts w:eastAsia="ArialMT" w:cs="Arial"/>
          <w:color w:val="auto"/>
          <w:szCs w:val="24"/>
        </w:rPr>
        <w:t>Traffic congestion is an issue at specific locations in the District but it is unlikely that there will be significant public funding available for new roads.</w:t>
      </w:r>
    </w:p>
    <w:p w14:paraId="5D403B5D" w14:textId="77777777" w:rsidR="00A5463B" w:rsidRPr="00162A7B" w:rsidRDefault="00A5463B" w:rsidP="00C06232">
      <w:pPr>
        <w:keepNext w:val="0"/>
        <w:spacing w:before="0"/>
        <w:ind w:left="1134"/>
        <w:rPr>
          <w:rFonts w:eastAsia="Arial" w:cs="Arial"/>
          <w:color w:val="auto"/>
        </w:rPr>
      </w:pPr>
    </w:p>
    <w:p w14:paraId="6CC58FCA" w14:textId="77777777" w:rsidR="00162A7B" w:rsidRPr="00162A7B" w:rsidRDefault="00162A7B" w:rsidP="00874A98">
      <w:pPr>
        <w:keepNext w:val="0"/>
        <w:numPr>
          <w:ilvl w:val="0"/>
          <w:numId w:val="81"/>
        </w:numPr>
        <w:spacing w:before="0"/>
        <w:ind w:left="1134"/>
        <w:rPr>
          <w:rFonts w:eastAsia="Arial" w:cs="Arial"/>
          <w:color w:val="auto"/>
        </w:rPr>
      </w:pPr>
      <w:r w:rsidRPr="00162A7B">
        <w:rPr>
          <w:rFonts w:eastAsia="Calibri" w:cs="Arial"/>
          <w:color w:val="auto"/>
          <w:szCs w:val="24"/>
        </w:rPr>
        <w:lastRenderedPageBreak/>
        <w:t>To work with partners to provide an integrated and efficient transport system including public transport, community transport, taxis, walking and cycling network in Ashfield.</w:t>
      </w:r>
    </w:p>
    <w:p w14:paraId="722A39B5" w14:textId="77777777" w:rsidR="00162A7B" w:rsidRPr="00162A7B" w:rsidRDefault="00162A7B" w:rsidP="00162A7B">
      <w:pPr>
        <w:keepNext w:val="0"/>
        <w:spacing w:before="0"/>
        <w:ind w:left="1080"/>
        <w:rPr>
          <w:rFonts w:eastAsia="Arial" w:cs="Arial"/>
          <w:color w:val="auto"/>
        </w:rPr>
      </w:pPr>
    </w:p>
    <w:p w14:paraId="58F4C25F" w14:textId="77777777" w:rsidR="00162A7B" w:rsidRPr="00162A7B" w:rsidRDefault="00162A7B" w:rsidP="00C06232">
      <w:pPr>
        <w:spacing w:before="0"/>
        <w:ind w:left="360" w:firstLine="349"/>
        <w:rPr>
          <w:rFonts w:eastAsia="Arial" w:cs="Arial"/>
          <w:color w:val="auto"/>
          <w:u w:val="single"/>
        </w:rPr>
      </w:pPr>
      <w:r w:rsidRPr="00162A7B">
        <w:rPr>
          <w:rFonts w:eastAsia="Arial" w:cs="Arial"/>
          <w:color w:val="auto"/>
          <w:u w:val="single"/>
        </w:rPr>
        <w:t>Settlements</w:t>
      </w:r>
    </w:p>
    <w:p w14:paraId="40D1ACD3" w14:textId="77777777" w:rsidR="00162A7B" w:rsidRDefault="00162A7B" w:rsidP="00874A98">
      <w:pPr>
        <w:keepNext w:val="0"/>
        <w:numPr>
          <w:ilvl w:val="0"/>
          <w:numId w:val="87"/>
        </w:numPr>
        <w:spacing w:before="0"/>
        <w:ind w:left="1134"/>
        <w:rPr>
          <w:rFonts w:eastAsia="Arial" w:cs="Arial"/>
          <w:color w:val="auto"/>
        </w:rPr>
      </w:pPr>
      <w:r w:rsidRPr="00162A7B">
        <w:rPr>
          <w:rFonts w:eastAsia="Arial" w:cs="Arial"/>
          <w:color w:val="auto"/>
        </w:rPr>
        <w:t>Ashfield has a network of urban areas with their own ‘sense of place’ providing accessible local services and facilities, attractive rural settings and generally high quality environments.</w:t>
      </w:r>
    </w:p>
    <w:p w14:paraId="7C9255A0" w14:textId="77777777" w:rsidR="00A5463B" w:rsidRPr="00162A7B" w:rsidRDefault="00A5463B" w:rsidP="00C06232">
      <w:pPr>
        <w:keepNext w:val="0"/>
        <w:spacing w:before="0"/>
        <w:ind w:left="1134"/>
        <w:rPr>
          <w:rFonts w:eastAsia="Arial" w:cs="Arial"/>
          <w:color w:val="auto"/>
        </w:rPr>
      </w:pPr>
    </w:p>
    <w:p w14:paraId="46DFED39" w14:textId="77777777" w:rsidR="00162A7B" w:rsidRPr="00162A7B" w:rsidRDefault="00162A7B" w:rsidP="00874A98">
      <w:pPr>
        <w:keepNext w:val="0"/>
        <w:numPr>
          <w:ilvl w:val="0"/>
          <w:numId w:val="87"/>
        </w:numPr>
        <w:spacing w:before="0"/>
        <w:ind w:left="1134"/>
        <w:rPr>
          <w:rFonts w:eastAsia="Arial" w:cs="Arial"/>
          <w:color w:val="auto"/>
        </w:rPr>
      </w:pPr>
      <w:r w:rsidRPr="00162A7B">
        <w:rPr>
          <w:rFonts w:eastAsia="Arial" w:cs="Arial"/>
          <w:color w:val="auto"/>
        </w:rPr>
        <w:t>There is a need to improve the quality and range of services available within communities.</w:t>
      </w:r>
    </w:p>
    <w:p w14:paraId="179C83FE" w14:textId="77777777" w:rsidR="00162A7B" w:rsidRPr="00162A7B" w:rsidRDefault="00162A7B" w:rsidP="00162A7B">
      <w:pPr>
        <w:spacing w:before="0"/>
        <w:ind w:firstLine="567"/>
        <w:rPr>
          <w:rFonts w:eastAsia="Arial" w:cs="Arial"/>
          <w:color w:val="auto"/>
          <w:u w:val="single"/>
        </w:rPr>
      </w:pPr>
    </w:p>
    <w:p w14:paraId="6A806A68" w14:textId="77777777" w:rsidR="00162A7B" w:rsidRPr="00162A7B" w:rsidRDefault="00162A7B" w:rsidP="00C06232">
      <w:pPr>
        <w:spacing w:before="0"/>
        <w:ind w:left="360" w:firstLine="349"/>
        <w:rPr>
          <w:rFonts w:eastAsia="Arial" w:cs="Arial"/>
          <w:color w:val="auto"/>
          <w:u w:val="single"/>
        </w:rPr>
      </w:pPr>
      <w:r w:rsidRPr="00162A7B">
        <w:rPr>
          <w:rFonts w:eastAsia="Arial" w:cs="Arial"/>
          <w:color w:val="auto"/>
          <w:u w:val="single"/>
        </w:rPr>
        <w:t>Town Centres</w:t>
      </w:r>
    </w:p>
    <w:p w14:paraId="5B7F0E64" w14:textId="77777777" w:rsidR="00162A7B" w:rsidRPr="00162A7B" w:rsidRDefault="00162A7B" w:rsidP="00874A98">
      <w:pPr>
        <w:keepNext w:val="0"/>
        <w:numPr>
          <w:ilvl w:val="0"/>
          <w:numId w:val="87"/>
        </w:numPr>
        <w:spacing w:before="0"/>
        <w:ind w:left="1134"/>
        <w:rPr>
          <w:rFonts w:eastAsia="Arial" w:cs="Arial"/>
          <w:color w:val="auto"/>
        </w:rPr>
      </w:pPr>
      <w:r w:rsidRPr="00162A7B">
        <w:rPr>
          <w:rFonts w:eastAsia="Arial" w:cs="Arial"/>
          <w:color w:val="auto"/>
        </w:rPr>
        <w:t xml:space="preserve">All the District’s town centres need continued support and investment to help sustain them into the future.   </w:t>
      </w:r>
    </w:p>
    <w:p w14:paraId="345800C6" w14:textId="77777777" w:rsidR="00162A7B" w:rsidRPr="00162A7B" w:rsidRDefault="00162A7B" w:rsidP="00162A7B">
      <w:pPr>
        <w:spacing w:before="0"/>
        <w:ind w:firstLine="567"/>
        <w:rPr>
          <w:rFonts w:eastAsia="Arial" w:cs="Arial"/>
          <w:color w:val="auto"/>
          <w:u w:val="single"/>
        </w:rPr>
      </w:pPr>
    </w:p>
    <w:p w14:paraId="2F227BBB" w14:textId="77777777" w:rsidR="00162A7B" w:rsidRPr="00162A7B" w:rsidRDefault="00162A7B" w:rsidP="00C06232">
      <w:pPr>
        <w:spacing w:before="0"/>
        <w:ind w:left="360" w:firstLine="349"/>
        <w:rPr>
          <w:rFonts w:eastAsia="Arial" w:cs="Arial"/>
          <w:color w:val="auto"/>
          <w:u w:val="single"/>
        </w:rPr>
      </w:pPr>
      <w:r w:rsidRPr="00162A7B">
        <w:rPr>
          <w:rFonts w:eastAsia="Arial" w:cs="Arial"/>
          <w:color w:val="auto"/>
          <w:u w:val="single"/>
        </w:rPr>
        <w:t>Housing</w:t>
      </w:r>
    </w:p>
    <w:p w14:paraId="58F17991" w14:textId="77777777" w:rsidR="00162A7B" w:rsidRDefault="00162A7B" w:rsidP="00874A98">
      <w:pPr>
        <w:keepNext w:val="0"/>
        <w:numPr>
          <w:ilvl w:val="0"/>
          <w:numId w:val="86"/>
        </w:numPr>
        <w:spacing w:before="0"/>
        <w:ind w:left="1134"/>
        <w:rPr>
          <w:rFonts w:eastAsia="Arial" w:cs="Arial"/>
          <w:color w:val="auto"/>
        </w:rPr>
      </w:pPr>
      <w:r w:rsidRPr="00162A7B">
        <w:rPr>
          <w:rFonts w:eastAsia="Arial" w:cs="Arial"/>
          <w:color w:val="auto"/>
        </w:rPr>
        <w:t xml:space="preserve">There is a need for more housing across the District, including affordable, specialist housing and housing for travelling show people and gypsies and travellers. </w:t>
      </w:r>
    </w:p>
    <w:p w14:paraId="258C89E4" w14:textId="77777777" w:rsidR="00A5463B" w:rsidRPr="00162A7B" w:rsidRDefault="00A5463B" w:rsidP="00C06232">
      <w:pPr>
        <w:keepNext w:val="0"/>
        <w:spacing w:before="0"/>
        <w:ind w:left="1134"/>
        <w:rPr>
          <w:rFonts w:eastAsia="Arial" w:cs="Arial"/>
          <w:color w:val="auto"/>
        </w:rPr>
      </w:pPr>
    </w:p>
    <w:p w14:paraId="42D19833" w14:textId="77777777" w:rsidR="00162A7B" w:rsidRDefault="00162A7B" w:rsidP="00874A98">
      <w:pPr>
        <w:keepNext w:val="0"/>
        <w:numPr>
          <w:ilvl w:val="0"/>
          <w:numId w:val="86"/>
        </w:numPr>
        <w:spacing w:before="0"/>
        <w:ind w:left="1134"/>
        <w:rPr>
          <w:rFonts w:eastAsia="Arial" w:cs="Arial"/>
          <w:color w:val="auto"/>
        </w:rPr>
      </w:pPr>
      <w:r w:rsidRPr="00162A7B">
        <w:rPr>
          <w:rFonts w:eastAsia="Arial" w:cs="Arial"/>
          <w:color w:val="auto"/>
        </w:rPr>
        <w:t>Given that substantial parts of the District are in Green Belt, there are issues in balancing the housing needs of specific areas against the impact on the Green Belt and the countryside.</w:t>
      </w:r>
    </w:p>
    <w:p w14:paraId="665E58AD" w14:textId="77777777" w:rsidR="00A5463B" w:rsidRPr="00162A7B" w:rsidRDefault="00A5463B" w:rsidP="00C06232">
      <w:pPr>
        <w:keepNext w:val="0"/>
        <w:spacing w:before="0"/>
        <w:ind w:left="1134"/>
        <w:rPr>
          <w:rFonts w:eastAsia="Arial" w:cs="Arial"/>
          <w:color w:val="auto"/>
        </w:rPr>
      </w:pPr>
    </w:p>
    <w:p w14:paraId="7DC8C546" w14:textId="77777777" w:rsidR="00162A7B" w:rsidRPr="00162A7B" w:rsidRDefault="00162A7B" w:rsidP="00874A98">
      <w:pPr>
        <w:keepNext w:val="0"/>
        <w:numPr>
          <w:ilvl w:val="0"/>
          <w:numId w:val="86"/>
        </w:numPr>
        <w:spacing w:before="0"/>
        <w:ind w:left="1134"/>
        <w:rPr>
          <w:rFonts w:eastAsia="Arial" w:cs="Arial"/>
          <w:color w:val="auto"/>
        </w:rPr>
      </w:pPr>
      <w:r w:rsidRPr="00162A7B">
        <w:rPr>
          <w:rFonts w:eastAsia="Arial" w:cs="Arial"/>
          <w:color w:val="auto"/>
        </w:rPr>
        <w:t>Past development of previously developed land means that currently there are limited stocks of vacant previously developed land. By implication, this means that there will be a loss of green field sites and agricultural land.</w:t>
      </w:r>
    </w:p>
    <w:p w14:paraId="1A450C16" w14:textId="77777777" w:rsidR="00162A7B" w:rsidRPr="00162A7B" w:rsidRDefault="00162A7B" w:rsidP="00162A7B">
      <w:pPr>
        <w:keepNext w:val="0"/>
        <w:spacing w:before="0"/>
        <w:ind w:left="1080"/>
        <w:rPr>
          <w:rFonts w:eastAsia="Arial" w:cs="Arial"/>
          <w:color w:val="auto"/>
        </w:rPr>
      </w:pPr>
    </w:p>
    <w:p w14:paraId="65ED72FE" w14:textId="77777777" w:rsidR="00162A7B" w:rsidRPr="00162A7B" w:rsidRDefault="00162A7B" w:rsidP="00C06232">
      <w:pPr>
        <w:spacing w:before="0"/>
        <w:ind w:left="360" w:firstLine="349"/>
        <w:rPr>
          <w:rFonts w:eastAsia="Arial" w:cs="Arial"/>
          <w:color w:val="auto"/>
          <w:u w:val="single"/>
        </w:rPr>
      </w:pPr>
      <w:r w:rsidRPr="00162A7B">
        <w:rPr>
          <w:rFonts w:eastAsia="Arial" w:cs="Arial"/>
          <w:color w:val="auto"/>
          <w:u w:val="single"/>
        </w:rPr>
        <w:t>Economy</w:t>
      </w:r>
    </w:p>
    <w:p w14:paraId="616173A8" w14:textId="77777777" w:rsidR="00162A7B" w:rsidRDefault="00162A7B" w:rsidP="00874A98">
      <w:pPr>
        <w:keepNext w:val="0"/>
        <w:numPr>
          <w:ilvl w:val="0"/>
          <w:numId w:val="83"/>
        </w:numPr>
        <w:spacing w:before="0"/>
        <w:ind w:left="1134"/>
        <w:rPr>
          <w:rFonts w:eastAsia="Arial" w:cs="Arial"/>
          <w:color w:val="auto"/>
        </w:rPr>
      </w:pPr>
      <w:r w:rsidRPr="00162A7B">
        <w:rPr>
          <w:rFonts w:eastAsia="Arial" w:cs="Arial"/>
          <w:color w:val="auto"/>
        </w:rPr>
        <w:t>The District offers relatively affordable housing and supply of employment sites to meet the District’s job forecasts.</w:t>
      </w:r>
    </w:p>
    <w:p w14:paraId="339E017A" w14:textId="77777777" w:rsidR="00A5463B" w:rsidRPr="00162A7B" w:rsidRDefault="00A5463B" w:rsidP="00C06232">
      <w:pPr>
        <w:keepNext w:val="0"/>
        <w:spacing w:before="0"/>
        <w:ind w:left="1134"/>
        <w:rPr>
          <w:rFonts w:eastAsia="Arial" w:cs="Arial"/>
          <w:color w:val="auto"/>
        </w:rPr>
      </w:pPr>
    </w:p>
    <w:p w14:paraId="729ED7C2" w14:textId="77777777" w:rsidR="00162A7B" w:rsidRPr="00162A7B" w:rsidRDefault="00162A7B" w:rsidP="00874A98">
      <w:pPr>
        <w:keepNext w:val="0"/>
        <w:numPr>
          <w:ilvl w:val="0"/>
          <w:numId w:val="83"/>
        </w:numPr>
        <w:spacing w:before="0"/>
        <w:ind w:left="1134"/>
        <w:rPr>
          <w:rFonts w:eastAsia="Arial" w:cs="Arial"/>
          <w:color w:val="auto"/>
        </w:rPr>
      </w:pPr>
      <w:r w:rsidRPr="00162A7B">
        <w:rPr>
          <w:rFonts w:eastAsia="Arial" w:cs="Arial"/>
          <w:color w:val="auto"/>
        </w:rPr>
        <w:t>The District has traditionally relied on the manufacturing and construction sectors and there needs to be a more diverse local economy moving towards ‘high value-added’ services and manufacturing.</w:t>
      </w:r>
    </w:p>
    <w:p w14:paraId="21C40357" w14:textId="77777777" w:rsidR="00CB6138" w:rsidRDefault="00CB6138" w:rsidP="00F66CEF">
      <w:pPr>
        <w:spacing w:before="0"/>
        <w:ind w:left="360" w:firstLine="720"/>
        <w:rPr>
          <w:rFonts w:eastAsia="Arial" w:cs="Arial"/>
          <w:color w:val="auto"/>
          <w:u w:val="single"/>
        </w:rPr>
      </w:pPr>
    </w:p>
    <w:p w14:paraId="63316DAE" w14:textId="231618D9" w:rsidR="00162A7B" w:rsidRPr="00162A7B" w:rsidRDefault="00162A7B" w:rsidP="00C06232">
      <w:pPr>
        <w:spacing w:before="0"/>
        <w:ind w:left="360" w:firstLine="349"/>
        <w:rPr>
          <w:rFonts w:eastAsia="Arial" w:cs="Arial"/>
          <w:color w:val="auto"/>
          <w:u w:val="single"/>
        </w:rPr>
      </w:pPr>
      <w:r w:rsidRPr="00162A7B">
        <w:rPr>
          <w:rFonts w:eastAsia="Arial" w:cs="Arial"/>
          <w:color w:val="auto"/>
          <w:u w:val="single"/>
        </w:rPr>
        <w:t>Employment</w:t>
      </w:r>
    </w:p>
    <w:p w14:paraId="7A499375" w14:textId="77777777" w:rsidR="00162A7B" w:rsidRDefault="00162A7B" w:rsidP="00874A98">
      <w:pPr>
        <w:keepNext w:val="0"/>
        <w:numPr>
          <w:ilvl w:val="0"/>
          <w:numId w:val="84"/>
        </w:numPr>
        <w:spacing w:before="0"/>
        <w:ind w:left="1134"/>
        <w:rPr>
          <w:rFonts w:eastAsia="Arial" w:cs="Arial"/>
          <w:color w:val="auto"/>
        </w:rPr>
      </w:pPr>
      <w:r w:rsidRPr="00162A7B">
        <w:rPr>
          <w:rFonts w:eastAsia="Arial" w:cs="Arial"/>
          <w:color w:val="auto"/>
        </w:rPr>
        <w:t>New employment will require higher level skills, so that businesses and the District can compete in both national and international markets. The past industrial history also results in negative perceptions of the District.</w:t>
      </w:r>
    </w:p>
    <w:p w14:paraId="236A08CC" w14:textId="77777777" w:rsidR="00A5463B" w:rsidRPr="00162A7B" w:rsidRDefault="00A5463B" w:rsidP="00C06232">
      <w:pPr>
        <w:keepNext w:val="0"/>
        <w:spacing w:before="0"/>
        <w:ind w:left="1134"/>
        <w:rPr>
          <w:rFonts w:eastAsia="Arial" w:cs="Arial"/>
          <w:color w:val="auto"/>
        </w:rPr>
      </w:pPr>
    </w:p>
    <w:p w14:paraId="73AAFB3E" w14:textId="77777777" w:rsidR="00162A7B" w:rsidRDefault="00162A7B" w:rsidP="00874A98">
      <w:pPr>
        <w:keepNext w:val="0"/>
        <w:numPr>
          <w:ilvl w:val="0"/>
          <w:numId w:val="84"/>
        </w:numPr>
        <w:spacing w:before="0"/>
        <w:ind w:left="1134"/>
        <w:rPr>
          <w:rFonts w:eastAsia="Arial" w:cs="Arial"/>
          <w:color w:val="auto"/>
        </w:rPr>
      </w:pPr>
      <w:r w:rsidRPr="00162A7B">
        <w:rPr>
          <w:rFonts w:eastAsia="Arial" w:cs="Arial"/>
          <w:color w:val="auto"/>
        </w:rPr>
        <w:t>Ashfield has lower than average education attainment levels in schools.</w:t>
      </w:r>
    </w:p>
    <w:p w14:paraId="78BC918F" w14:textId="77777777" w:rsidR="00A5463B" w:rsidRPr="00162A7B" w:rsidRDefault="00A5463B" w:rsidP="00C06232">
      <w:pPr>
        <w:keepNext w:val="0"/>
        <w:spacing w:before="0"/>
        <w:ind w:left="1134"/>
        <w:rPr>
          <w:rFonts w:eastAsia="Arial" w:cs="Arial"/>
          <w:color w:val="auto"/>
        </w:rPr>
      </w:pPr>
    </w:p>
    <w:p w14:paraId="76963892" w14:textId="77777777" w:rsidR="00541C68" w:rsidRDefault="00162A7B" w:rsidP="00541C68">
      <w:pPr>
        <w:keepNext w:val="0"/>
        <w:numPr>
          <w:ilvl w:val="0"/>
          <w:numId w:val="84"/>
        </w:numPr>
        <w:spacing w:before="0"/>
        <w:ind w:left="1134"/>
        <w:rPr>
          <w:rFonts w:eastAsia="Arial" w:cs="Arial"/>
          <w:color w:val="auto"/>
        </w:rPr>
      </w:pPr>
      <w:r w:rsidRPr="00162A7B">
        <w:rPr>
          <w:rFonts w:eastAsia="Arial" w:cs="Arial"/>
          <w:color w:val="auto"/>
        </w:rPr>
        <w:t>There is a h</w:t>
      </w:r>
      <w:r w:rsidRPr="00162A7B">
        <w:rPr>
          <w:rFonts w:cs="Arial"/>
          <w:color w:val="auto"/>
        </w:rPr>
        <w:t>igh percentage of residents with no qualifications and those working in unskilled occupations in comparison to other areas.</w:t>
      </w:r>
    </w:p>
    <w:p w14:paraId="7C05423B" w14:textId="77777777" w:rsidR="00541C68" w:rsidRDefault="00541C68" w:rsidP="00541C68">
      <w:pPr>
        <w:pStyle w:val="ListParagraph"/>
        <w:rPr>
          <w:rFonts w:eastAsia="Arial" w:cs="Arial"/>
          <w:color w:val="auto"/>
        </w:rPr>
      </w:pPr>
    </w:p>
    <w:p w14:paraId="54E33036" w14:textId="5D007BB2" w:rsidR="00541C68" w:rsidRPr="00541C68" w:rsidRDefault="00541C68" w:rsidP="00541C68">
      <w:pPr>
        <w:keepNext w:val="0"/>
        <w:numPr>
          <w:ilvl w:val="0"/>
          <w:numId w:val="84"/>
        </w:numPr>
        <w:spacing w:before="0"/>
        <w:ind w:left="1134"/>
        <w:rPr>
          <w:rFonts w:eastAsia="Arial" w:cs="Arial"/>
          <w:color w:val="auto"/>
        </w:rPr>
      </w:pPr>
      <w:r w:rsidRPr="00541C68">
        <w:rPr>
          <w:rFonts w:eastAsia="Arial" w:cs="Arial"/>
          <w:color w:val="auto"/>
        </w:rPr>
        <w:lastRenderedPageBreak/>
        <w:t xml:space="preserve">The District demonstrates income levels that are significantly lower than average compared to neighbouring areas or regional figures, resulting in difficulties in accumulating the financial deposits required for house purchases.  </w:t>
      </w:r>
    </w:p>
    <w:p w14:paraId="6AF79AF0" w14:textId="77777777" w:rsidR="00541C68" w:rsidRPr="00162A7B" w:rsidRDefault="00541C68" w:rsidP="00541C68">
      <w:pPr>
        <w:keepNext w:val="0"/>
        <w:spacing w:before="0"/>
        <w:ind w:left="774"/>
        <w:rPr>
          <w:rFonts w:eastAsia="Arial" w:cs="Arial"/>
          <w:color w:val="auto"/>
        </w:rPr>
      </w:pPr>
    </w:p>
    <w:p w14:paraId="1C29DB20" w14:textId="77777777" w:rsidR="00162A7B" w:rsidRPr="00162A7B" w:rsidRDefault="00162A7B" w:rsidP="00C06232">
      <w:pPr>
        <w:spacing w:before="0"/>
        <w:ind w:left="360" w:firstLine="349"/>
        <w:rPr>
          <w:rFonts w:eastAsia="Arial" w:cs="Arial"/>
          <w:color w:val="auto"/>
          <w:u w:val="single"/>
        </w:rPr>
      </w:pPr>
      <w:r w:rsidRPr="00162A7B">
        <w:rPr>
          <w:rFonts w:eastAsia="Arial" w:cs="Arial"/>
          <w:color w:val="auto"/>
          <w:u w:val="single"/>
        </w:rPr>
        <w:t>Ageing Population</w:t>
      </w:r>
    </w:p>
    <w:p w14:paraId="0CC828E4" w14:textId="77777777" w:rsidR="00162A7B" w:rsidRPr="00162A7B" w:rsidRDefault="00162A7B" w:rsidP="00874A98">
      <w:pPr>
        <w:keepNext w:val="0"/>
        <w:numPr>
          <w:ilvl w:val="0"/>
          <w:numId w:val="88"/>
        </w:numPr>
        <w:spacing w:before="0"/>
        <w:ind w:left="1134"/>
        <w:rPr>
          <w:rFonts w:eastAsia="Arial" w:cs="Arial"/>
          <w:color w:val="auto"/>
        </w:rPr>
      </w:pPr>
      <w:r w:rsidRPr="00162A7B">
        <w:rPr>
          <w:rFonts w:eastAsia="Arial" w:cs="Arial"/>
          <w:color w:val="auto"/>
        </w:rPr>
        <w:t>The older population (65+) continues to increase across the District. The Rurals has a particularly large percentage of older people, exceeding that of the younger generation (up 15).</w:t>
      </w:r>
    </w:p>
    <w:p w14:paraId="75D56EE1" w14:textId="77777777" w:rsidR="00162A7B" w:rsidRPr="00162A7B" w:rsidRDefault="00162A7B" w:rsidP="00162A7B">
      <w:pPr>
        <w:spacing w:before="0"/>
        <w:ind w:firstLine="567"/>
        <w:rPr>
          <w:rFonts w:eastAsia="Arial" w:cs="Arial"/>
          <w:color w:val="auto"/>
          <w:u w:val="single"/>
        </w:rPr>
      </w:pPr>
    </w:p>
    <w:p w14:paraId="180BB134" w14:textId="77777777" w:rsidR="00162A7B" w:rsidRPr="00162A7B" w:rsidRDefault="00162A7B" w:rsidP="00C06232">
      <w:pPr>
        <w:spacing w:before="0"/>
        <w:ind w:left="360" w:firstLine="349"/>
        <w:rPr>
          <w:rFonts w:eastAsia="Arial" w:cs="Arial"/>
          <w:color w:val="auto"/>
          <w:u w:val="single"/>
        </w:rPr>
      </w:pPr>
      <w:r w:rsidRPr="00162A7B">
        <w:rPr>
          <w:rFonts w:eastAsia="Arial" w:cs="Arial"/>
          <w:color w:val="auto"/>
          <w:u w:val="single"/>
        </w:rPr>
        <w:t>Deprivation</w:t>
      </w:r>
    </w:p>
    <w:p w14:paraId="1399D2B6" w14:textId="77777777" w:rsidR="00162A7B" w:rsidRPr="00162A7B" w:rsidRDefault="00162A7B" w:rsidP="00874A98">
      <w:pPr>
        <w:keepNext w:val="0"/>
        <w:numPr>
          <w:ilvl w:val="0"/>
          <w:numId w:val="88"/>
        </w:numPr>
        <w:spacing w:before="0"/>
        <w:ind w:left="1134"/>
        <w:rPr>
          <w:rFonts w:cs="Arial"/>
          <w:color w:val="auto"/>
        </w:rPr>
      </w:pPr>
      <w:r w:rsidRPr="00162A7B">
        <w:rPr>
          <w:rFonts w:eastAsia="Arial" w:cs="Arial"/>
          <w:color w:val="auto"/>
        </w:rPr>
        <w:t>The Index of Multiple Deprivation identifies that Ashfield is within the top 25% of most deprived districts in the country.</w:t>
      </w:r>
    </w:p>
    <w:p w14:paraId="0F355A26" w14:textId="77777777" w:rsidR="00162A7B" w:rsidRPr="00162A7B" w:rsidRDefault="00162A7B" w:rsidP="00162A7B">
      <w:pPr>
        <w:spacing w:before="0"/>
        <w:ind w:left="567"/>
        <w:rPr>
          <w:rFonts w:cs="Arial"/>
          <w:color w:val="auto"/>
          <w:u w:val="single"/>
        </w:rPr>
      </w:pPr>
    </w:p>
    <w:p w14:paraId="0CD028F8" w14:textId="77777777" w:rsidR="00162A7B" w:rsidRPr="00162A7B" w:rsidRDefault="00162A7B" w:rsidP="00C06232">
      <w:pPr>
        <w:spacing w:before="0"/>
        <w:ind w:left="1069" w:hanging="360"/>
        <w:rPr>
          <w:rFonts w:cs="Arial"/>
          <w:color w:val="auto"/>
          <w:u w:val="single"/>
        </w:rPr>
      </w:pPr>
      <w:r w:rsidRPr="00162A7B">
        <w:rPr>
          <w:rFonts w:cs="Arial"/>
          <w:color w:val="auto"/>
          <w:u w:val="single"/>
        </w:rPr>
        <w:t>Health</w:t>
      </w:r>
    </w:p>
    <w:p w14:paraId="28C0584F" w14:textId="77777777" w:rsidR="00162A7B" w:rsidRPr="00162A7B" w:rsidRDefault="00162A7B" w:rsidP="00874A98">
      <w:pPr>
        <w:keepNext w:val="0"/>
        <w:numPr>
          <w:ilvl w:val="0"/>
          <w:numId w:val="88"/>
        </w:numPr>
        <w:spacing w:before="0"/>
        <w:ind w:left="1134"/>
        <w:rPr>
          <w:rFonts w:cs="Arial"/>
          <w:color w:val="auto"/>
        </w:rPr>
      </w:pPr>
      <w:r w:rsidRPr="00162A7B">
        <w:rPr>
          <w:rFonts w:eastAsia="Arial" w:cs="Arial"/>
          <w:color w:val="auto"/>
        </w:rPr>
        <w:t xml:space="preserve">The health of people in Ashfield is generally worse than the England average, with higher mortality rates, high numbers of smokers and high levels of obesity.  </w:t>
      </w:r>
    </w:p>
    <w:p w14:paraId="76089A99" w14:textId="77777777" w:rsidR="00162A7B" w:rsidRPr="00162A7B" w:rsidRDefault="00162A7B" w:rsidP="00162A7B">
      <w:pPr>
        <w:spacing w:before="0"/>
        <w:ind w:firstLine="567"/>
        <w:rPr>
          <w:rFonts w:eastAsia="Arial" w:cs="Arial"/>
          <w:color w:val="auto"/>
          <w:u w:val="single"/>
        </w:rPr>
      </w:pPr>
    </w:p>
    <w:p w14:paraId="431FDFDC" w14:textId="77777777" w:rsidR="00162A7B" w:rsidRPr="00162A7B" w:rsidRDefault="00162A7B" w:rsidP="00C06232">
      <w:pPr>
        <w:spacing w:before="0"/>
        <w:ind w:left="360" w:firstLine="349"/>
        <w:rPr>
          <w:rFonts w:eastAsia="Arial" w:cs="Arial"/>
          <w:color w:val="auto"/>
          <w:u w:val="single"/>
        </w:rPr>
      </w:pPr>
      <w:r w:rsidRPr="00162A7B">
        <w:rPr>
          <w:rFonts w:eastAsia="Arial" w:cs="Arial"/>
          <w:color w:val="auto"/>
          <w:u w:val="single"/>
        </w:rPr>
        <w:t>Infrastructure</w:t>
      </w:r>
    </w:p>
    <w:p w14:paraId="38DBD390" w14:textId="77777777" w:rsidR="00162A7B" w:rsidRPr="00162A7B" w:rsidRDefault="00162A7B" w:rsidP="00874A98">
      <w:pPr>
        <w:keepNext w:val="0"/>
        <w:numPr>
          <w:ilvl w:val="0"/>
          <w:numId w:val="88"/>
        </w:numPr>
        <w:spacing w:before="0"/>
        <w:ind w:left="1134"/>
        <w:rPr>
          <w:rFonts w:eastAsia="Arial" w:cs="Arial"/>
          <w:color w:val="auto"/>
        </w:rPr>
      </w:pPr>
      <w:r w:rsidRPr="00162A7B">
        <w:rPr>
          <w:rFonts w:eastAsia="Arial" w:cs="Arial"/>
          <w:color w:val="auto"/>
        </w:rPr>
        <w:t>Areas of the District suffer from limited infrastructure capacity and solutions are needed, in consultation with infrastructure providers to enable future development needs to be accommodated.</w:t>
      </w:r>
    </w:p>
    <w:p w14:paraId="64501094" w14:textId="77777777" w:rsidR="00162A7B" w:rsidRPr="00162A7B" w:rsidRDefault="00162A7B" w:rsidP="00C06232">
      <w:pPr>
        <w:spacing w:before="0"/>
        <w:ind w:left="1134" w:firstLine="567"/>
        <w:rPr>
          <w:rFonts w:eastAsia="Arial" w:cs="Arial"/>
          <w:color w:val="auto"/>
          <w:u w:val="single"/>
        </w:rPr>
      </w:pPr>
    </w:p>
    <w:p w14:paraId="6E98F2BA" w14:textId="77777777" w:rsidR="00162A7B" w:rsidRPr="00162A7B" w:rsidRDefault="00162A7B" w:rsidP="00C06232">
      <w:pPr>
        <w:spacing w:before="0"/>
        <w:ind w:left="360" w:firstLine="349"/>
        <w:rPr>
          <w:rFonts w:eastAsia="Arial" w:cs="Arial"/>
          <w:color w:val="auto"/>
          <w:u w:val="single"/>
        </w:rPr>
      </w:pPr>
      <w:bookmarkStart w:id="23" w:name="_Hlk137027234"/>
      <w:r w:rsidRPr="00162A7B">
        <w:rPr>
          <w:rFonts w:eastAsia="Arial" w:cs="Arial"/>
          <w:color w:val="auto"/>
          <w:u w:val="single"/>
        </w:rPr>
        <w:t>Flooding and Water</w:t>
      </w:r>
    </w:p>
    <w:p w14:paraId="0C1542C7" w14:textId="45BE506F" w:rsidR="003514D5" w:rsidRPr="00E6288C" w:rsidRDefault="0002416B" w:rsidP="00874A98">
      <w:pPr>
        <w:numPr>
          <w:ilvl w:val="0"/>
          <w:numId w:val="85"/>
        </w:numPr>
        <w:spacing w:before="0"/>
        <w:ind w:left="1134" w:hanging="284"/>
        <w:rPr>
          <w:rFonts w:eastAsia="Arial" w:cs="Arial"/>
          <w:szCs w:val="24"/>
        </w:rPr>
      </w:pPr>
      <w:r w:rsidRPr="00E6288C">
        <w:rPr>
          <w:rFonts w:eastAsia="Arial" w:cs="Arial"/>
          <w:szCs w:val="24"/>
        </w:rPr>
        <w:t>Ashfield is substantial</w:t>
      </w:r>
      <w:r w:rsidR="004D1175" w:rsidRPr="00E6288C">
        <w:rPr>
          <w:rFonts w:eastAsia="Arial" w:cs="Arial"/>
          <w:szCs w:val="24"/>
        </w:rPr>
        <w:t>ly</w:t>
      </w:r>
      <w:r w:rsidRPr="00E6288C">
        <w:rPr>
          <w:rFonts w:eastAsia="Arial" w:cs="Arial"/>
          <w:szCs w:val="24"/>
        </w:rPr>
        <w:t xml:space="preserve"> located with Flood Zone 1, </w:t>
      </w:r>
      <w:r w:rsidR="00024856" w:rsidRPr="00E6288C">
        <w:rPr>
          <w:rFonts w:eastAsia="Arial" w:cs="Arial"/>
          <w:szCs w:val="24"/>
        </w:rPr>
        <w:t>which is land at the lowest risk of flooding from watercourses. Nevertheless, there are areas at risk of flooding from watercourses including parts of Hucknall and Jacksdale. Further, additional water into the River Leen raises significant flood issues in Nottingham. The Nottinghamshire Local Flood Risk Management Strategy 2021-27 identifies that approximately 3,783 residential, and commercial properties together with critical infrastructure is at a high or medium risk of flooding. The Council’s approach is to ensure that the risk of flooding is minimised and does not increase the risk of flooding to the surrounding area. It promotes the use of SUDS and blue / green infrastructure throughout development to ensure a sustainable approach to the management of water and flood risk.</w:t>
      </w:r>
      <w:r w:rsidR="003514D5" w:rsidRPr="00E6288C">
        <w:rPr>
          <w:rFonts w:eastAsia="Arial" w:cs="Arial"/>
          <w:szCs w:val="24"/>
        </w:rPr>
        <w:t xml:space="preserve"> N</w:t>
      </w:r>
      <w:r w:rsidRPr="00E6288C">
        <w:rPr>
          <w:rFonts w:eastAsia="Arial" w:cs="Arial"/>
        </w:rPr>
        <w:t xml:space="preserve">evertheless, there are areas at risk of flooding from watercourses including parts of Hucknall and Jacksdale. Further, additional water into the River Leen raises significant flood issues in Nottingham. </w:t>
      </w:r>
    </w:p>
    <w:p w14:paraId="38633C1B" w14:textId="77777777" w:rsidR="003514D5" w:rsidRPr="00E6288C" w:rsidRDefault="003514D5" w:rsidP="00C06232">
      <w:pPr>
        <w:spacing w:before="0"/>
        <w:ind w:left="1134"/>
        <w:rPr>
          <w:rFonts w:eastAsia="Arial" w:cs="Arial"/>
          <w:szCs w:val="24"/>
        </w:rPr>
      </w:pPr>
    </w:p>
    <w:p w14:paraId="1875601F" w14:textId="269B21D8" w:rsidR="0002416B" w:rsidRPr="00E6288C" w:rsidRDefault="0002416B" w:rsidP="00874A98">
      <w:pPr>
        <w:numPr>
          <w:ilvl w:val="0"/>
          <w:numId w:val="85"/>
        </w:numPr>
        <w:spacing w:before="0"/>
        <w:ind w:left="1134" w:hanging="284"/>
        <w:rPr>
          <w:rFonts w:eastAsia="Arial" w:cs="Arial"/>
          <w:szCs w:val="24"/>
        </w:rPr>
      </w:pPr>
      <w:r w:rsidRPr="00E6288C">
        <w:rPr>
          <w:rFonts w:eastAsia="Arial" w:cs="Arial"/>
        </w:rPr>
        <w:t>The Nottinghamshire Local Flood Risk Management Strategy 2021-27 identifies that approximately 3,783 residential, and commercial properties together with critical infrastructure is at a high or medium risk of flooding. The Council’s approach is to ensure that the risk of flooding is minimised and does not increase the risk of flooding to the surrounding area. It promotes the use of SUDS and blue / green infrastructure throughout development to ensure a sustainable approach to the management of water and flood risk.</w:t>
      </w:r>
    </w:p>
    <w:p w14:paraId="25B6ED28" w14:textId="77777777" w:rsidR="003514D5" w:rsidRPr="00E6288C" w:rsidRDefault="003514D5" w:rsidP="00C06232">
      <w:pPr>
        <w:keepNext w:val="0"/>
        <w:spacing w:before="0"/>
        <w:ind w:left="1134"/>
        <w:rPr>
          <w:rFonts w:eastAsia="Arial" w:cs="Arial"/>
        </w:rPr>
      </w:pPr>
    </w:p>
    <w:p w14:paraId="0A44F31C" w14:textId="30967E3B" w:rsidR="00162A7B" w:rsidRPr="00162A7B" w:rsidRDefault="00162A7B" w:rsidP="00874A98">
      <w:pPr>
        <w:keepNext w:val="0"/>
        <w:numPr>
          <w:ilvl w:val="0"/>
          <w:numId w:val="85"/>
        </w:numPr>
        <w:spacing w:before="0"/>
        <w:ind w:left="1134"/>
        <w:rPr>
          <w:rFonts w:eastAsia="Arial" w:cs="Arial"/>
          <w:color w:val="auto"/>
        </w:rPr>
      </w:pPr>
      <w:r w:rsidRPr="00162A7B">
        <w:rPr>
          <w:rFonts w:eastAsia="Arial" w:cs="Arial"/>
          <w:color w:val="auto"/>
        </w:rPr>
        <w:t>Reducing the level of water use given the constrained water supply for Greater Nottingham and Ashfield.</w:t>
      </w:r>
    </w:p>
    <w:bookmarkEnd w:id="23"/>
    <w:p w14:paraId="122F1CB1" w14:textId="77777777" w:rsidR="00162A7B" w:rsidRPr="00162A7B" w:rsidRDefault="00162A7B" w:rsidP="00162A7B">
      <w:pPr>
        <w:spacing w:before="0"/>
        <w:ind w:firstLine="567"/>
        <w:rPr>
          <w:rFonts w:eastAsia="Arial" w:cs="Arial"/>
          <w:color w:val="auto"/>
          <w:u w:val="single"/>
        </w:rPr>
      </w:pPr>
    </w:p>
    <w:p w14:paraId="346C6986" w14:textId="77777777" w:rsidR="00162A7B" w:rsidRPr="00162A7B" w:rsidRDefault="00162A7B" w:rsidP="00C06232">
      <w:pPr>
        <w:spacing w:before="0"/>
        <w:ind w:left="360" w:firstLine="349"/>
        <w:rPr>
          <w:rFonts w:eastAsia="Arial" w:cs="Arial"/>
          <w:color w:val="auto"/>
          <w:u w:val="single"/>
        </w:rPr>
      </w:pPr>
      <w:r w:rsidRPr="00162A7B">
        <w:rPr>
          <w:rFonts w:eastAsia="Arial" w:cs="Arial"/>
          <w:color w:val="auto"/>
          <w:u w:val="single"/>
        </w:rPr>
        <w:t>Green Infrastructure</w:t>
      </w:r>
    </w:p>
    <w:p w14:paraId="3E190E80" w14:textId="2C11F657" w:rsidR="00162A7B" w:rsidRDefault="00162A7B" w:rsidP="00874A98">
      <w:pPr>
        <w:keepNext w:val="0"/>
        <w:numPr>
          <w:ilvl w:val="0"/>
          <w:numId w:val="82"/>
        </w:numPr>
        <w:spacing w:before="0"/>
        <w:ind w:left="1134"/>
        <w:rPr>
          <w:rFonts w:cs="Arial"/>
          <w:color w:val="auto"/>
        </w:rPr>
      </w:pPr>
      <w:r w:rsidRPr="00162A7B">
        <w:rPr>
          <w:rFonts w:cs="Arial"/>
          <w:color w:val="auto"/>
          <w:szCs w:val="24"/>
        </w:rPr>
        <w:t xml:space="preserve">The District holds sites of </w:t>
      </w:r>
      <w:r w:rsidRPr="00E6288C">
        <w:rPr>
          <w:rFonts w:cs="Arial"/>
          <w:szCs w:val="24"/>
        </w:rPr>
        <w:t>significant</w:t>
      </w:r>
      <w:r w:rsidRPr="00162A7B">
        <w:rPr>
          <w:rFonts w:cs="Arial"/>
          <w:color w:val="auto"/>
          <w:szCs w:val="24"/>
        </w:rPr>
        <w:t xml:space="preserve"> environment value</w:t>
      </w:r>
      <w:r w:rsidRPr="00162A7B">
        <w:rPr>
          <w:rFonts w:eastAsia="Arial" w:cs="Arial"/>
          <w:color w:val="auto"/>
        </w:rPr>
        <w:t xml:space="preserve">, as well as open space and facilities, including the Green Belt. </w:t>
      </w:r>
      <w:r w:rsidRPr="00162A7B">
        <w:rPr>
          <w:rFonts w:cs="Arial"/>
          <w:color w:val="auto"/>
        </w:rPr>
        <w:t xml:space="preserve">Appropriate protection, access and linkages between these assets may need to be improved to aid the network of green spaces. </w:t>
      </w:r>
      <w:bookmarkStart w:id="24" w:name="_Hlk149135957"/>
      <w:r w:rsidR="005C7C7C">
        <w:rPr>
          <w:rFonts w:cs="Arial"/>
          <w:color w:val="auto"/>
        </w:rPr>
        <w:t>The Council’s Green and Blue Infrastructure Strategy, 2022 -2032, provides further details.</w:t>
      </w:r>
      <w:bookmarkEnd w:id="24"/>
    </w:p>
    <w:p w14:paraId="199EC15B" w14:textId="77777777" w:rsidR="00A5463B" w:rsidRPr="00162A7B" w:rsidRDefault="00A5463B" w:rsidP="00C06232">
      <w:pPr>
        <w:keepNext w:val="0"/>
        <w:spacing w:before="0"/>
        <w:ind w:left="1134"/>
        <w:rPr>
          <w:rFonts w:cs="Arial"/>
          <w:color w:val="auto"/>
        </w:rPr>
      </w:pPr>
    </w:p>
    <w:p w14:paraId="624E0FA7" w14:textId="4F8726C1" w:rsidR="00162A7B" w:rsidRPr="00E6288C" w:rsidRDefault="00162A7B" w:rsidP="00874A98">
      <w:pPr>
        <w:keepNext w:val="0"/>
        <w:numPr>
          <w:ilvl w:val="0"/>
          <w:numId w:val="82"/>
        </w:numPr>
        <w:spacing w:before="0"/>
        <w:ind w:left="1134"/>
        <w:rPr>
          <w:rFonts w:cs="Arial"/>
        </w:rPr>
      </w:pPr>
      <w:r w:rsidRPr="00162A7B">
        <w:rPr>
          <w:rFonts w:eastAsia="Calibri" w:cs="Arial"/>
          <w:color w:val="auto"/>
          <w:szCs w:val="24"/>
        </w:rPr>
        <w:t xml:space="preserve">Ensuring that there are no adverse effect upon the South Pennines Special Area of Conservation (SAC), the </w:t>
      </w:r>
      <w:r w:rsidRPr="00E6288C">
        <w:rPr>
          <w:rFonts w:eastAsia="Calibri" w:cs="Arial"/>
          <w:szCs w:val="24"/>
        </w:rPr>
        <w:t xml:space="preserve">Birklands </w:t>
      </w:r>
      <w:r w:rsidR="00DB66DD" w:rsidRPr="00E6288C">
        <w:rPr>
          <w:rFonts w:eastAsia="Calibri" w:cs="Arial"/>
          <w:szCs w:val="24"/>
        </w:rPr>
        <w:t>and</w:t>
      </w:r>
      <w:r w:rsidRPr="00E6288C">
        <w:rPr>
          <w:rFonts w:eastAsia="Calibri" w:cs="Arial"/>
          <w:szCs w:val="24"/>
        </w:rPr>
        <w:t xml:space="preserve"> Bilhaugh S</w:t>
      </w:r>
      <w:r w:rsidR="00DB66DD" w:rsidRPr="00E6288C">
        <w:rPr>
          <w:rFonts w:eastAsia="Calibri" w:cs="Arial"/>
          <w:szCs w:val="24"/>
        </w:rPr>
        <w:t>AC a</w:t>
      </w:r>
      <w:r w:rsidRPr="00E6288C">
        <w:rPr>
          <w:rFonts w:eastAsia="Calibri" w:cs="Arial"/>
          <w:szCs w:val="24"/>
        </w:rPr>
        <w:t xml:space="preserve">nd the Sherwood Forest </w:t>
      </w:r>
      <w:r w:rsidR="00DB66DD" w:rsidRPr="00E6288C">
        <w:rPr>
          <w:rFonts w:eastAsia="Calibri" w:cs="Arial"/>
          <w:szCs w:val="24"/>
        </w:rPr>
        <w:t xml:space="preserve">possible </w:t>
      </w:r>
      <w:r w:rsidRPr="00E6288C">
        <w:rPr>
          <w:rFonts w:eastAsia="Calibri" w:cs="Arial"/>
          <w:szCs w:val="24"/>
        </w:rPr>
        <w:t>potential Special Protection Area</w:t>
      </w:r>
      <w:r w:rsidR="00603B4C" w:rsidRPr="00E6288C">
        <w:rPr>
          <w:rFonts w:eastAsia="Calibri" w:cs="Arial"/>
          <w:szCs w:val="24"/>
        </w:rPr>
        <w:t xml:space="preserve"> (ppSPA)</w:t>
      </w:r>
      <w:r w:rsidRPr="00E6288C">
        <w:rPr>
          <w:rFonts w:eastAsia="Calibri" w:cs="Arial"/>
          <w:szCs w:val="24"/>
        </w:rPr>
        <w:t>.</w:t>
      </w:r>
    </w:p>
    <w:p w14:paraId="67BB5AA0" w14:textId="7D7B5F41" w:rsidR="00162A7B" w:rsidRPr="00E6288C" w:rsidRDefault="00162A7B" w:rsidP="00162A7B">
      <w:pPr>
        <w:spacing w:before="0"/>
        <w:ind w:firstLine="567"/>
        <w:rPr>
          <w:rFonts w:eastAsia="Arial" w:cs="Arial"/>
          <w:u w:val="single"/>
        </w:rPr>
      </w:pPr>
    </w:p>
    <w:p w14:paraId="1990879D" w14:textId="77777777" w:rsidR="00162A7B" w:rsidRPr="00162A7B" w:rsidRDefault="00162A7B" w:rsidP="00C06232">
      <w:pPr>
        <w:spacing w:before="0"/>
        <w:ind w:left="360" w:firstLine="349"/>
        <w:rPr>
          <w:rFonts w:eastAsia="Arial" w:cs="Arial"/>
          <w:color w:val="auto"/>
          <w:u w:val="single"/>
        </w:rPr>
      </w:pPr>
      <w:r w:rsidRPr="00162A7B">
        <w:rPr>
          <w:rFonts w:eastAsia="Arial" w:cs="Arial"/>
          <w:color w:val="auto"/>
          <w:u w:val="single"/>
        </w:rPr>
        <w:t>Historic Environment</w:t>
      </w:r>
    </w:p>
    <w:p w14:paraId="58AF638E" w14:textId="77777777" w:rsidR="00162A7B" w:rsidRPr="00162A7B" w:rsidRDefault="00162A7B" w:rsidP="00874A98">
      <w:pPr>
        <w:keepNext w:val="0"/>
        <w:numPr>
          <w:ilvl w:val="0"/>
          <w:numId w:val="89"/>
        </w:numPr>
        <w:autoSpaceDE w:val="0"/>
        <w:autoSpaceDN w:val="0"/>
        <w:adjustRightInd w:val="0"/>
        <w:spacing w:before="0"/>
        <w:ind w:left="1134"/>
        <w:rPr>
          <w:rFonts w:eastAsia="Arial" w:cs="Arial"/>
          <w:color w:val="auto"/>
        </w:rPr>
      </w:pPr>
      <w:r w:rsidRPr="00162A7B">
        <w:rPr>
          <w:rFonts w:eastAsia="Arial" w:cs="Arial"/>
          <w:color w:val="auto"/>
        </w:rPr>
        <w:t xml:space="preserve">There is a significant history in Ashfield which should be positively utilised and enhanced. These assets play an important role in providing our places with their distinct identity and character, which should be used in a positive way to regenerate the District’s town centres and communities.  </w:t>
      </w:r>
    </w:p>
    <w:p w14:paraId="0EA6A78B" w14:textId="2D3CBABA" w:rsidR="00D91D0F" w:rsidRDefault="00D91D0F" w:rsidP="00C06232">
      <w:pPr>
        <w:keepNext w:val="0"/>
        <w:spacing w:before="0"/>
        <w:ind w:left="1134"/>
        <w:rPr>
          <w:rFonts w:cs="Arial"/>
          <w:b/>
          <w:bCs/>
          <w:szCs w:val="24"/>
        </w:rPr>
      </w:pPr>
    </w:p>
    <w:p w14:paraId="40212CFF" w14:textId="77777777" w:rsidR="00DA4833" w:rsidRPr="003C7E62" w:rsidRDefault="00DA4833" w:rsidP="00D210FC">
      <w:pPr>
        <w:keepNext w:val="0"/>
        <w:autoSpaceDE w:val="0"/>
        <w:autoSpaceDN w:val="0"/>
        <w:adjustRightInd w:val="0"/>
        <w:spacing w:before="0"/>
        <w:rPr>
          <w:rFonts w:cs="Arial"/>
          <w:b/>
          <w:bCs/>
          <w:szCs w:val="24"/>
        </w:rPr>
        <w:sectPr w:rsidR="00DA4833" w:rsidRPr="003C7E62" w:rsidSect="00D76B97">
          <w:headerReference w:type="default" r:id="rId20"/>
          <w:pgSz w:w="11906" w:h="16838" w:code="9"/>
          <w:pgMar w:top="1258" w:right="1133" w:bottom="1079" w:left="1134" w:header="709" w:footer="709" w:gutter="0"/>
          <w:cols w:space="708"/>
          <w:docGrid w:linePitch="360"/>
        </w:sectPr>
      </w:pPr>
    </w:p>
    <w:p w14:paraId="69044070" w14:textId="6C966B47" w:rsidR="00DA4833" w:rsidRPr="003C7E62" w:rsidRDefault="00DA4833" w:rsidP="00165C32">
      <w:pPr>
        <w:pStyle w:val="Heading1"/>
      </w:pPr>
      <w:bookmarkStart w:id="25" w:name="_Toc145511549"/>
      <w:r w:rsidRPr="003C7E62">
        <w:lastRenderedPageBreak/>
        <w:t>Chapter 2</w:t>
      </w:r>
      <w:bookmarkEnd w:id="25"/>
      <w:r w:rsidRPr="003C7E62">
        <w:t xml:space="preserve"> </w:t>
      </w:r>
    </w:p>
    <w:p w14:paraId="6328FB07" w14:textId="451484F7" w:rsidR="00DA4833" w:rsidRPr="007620D3" w:rsidRDefault="00162A7B" w:rsidP="007620D3">
      <w:pPr>
        <w:spacing w:before="240" w:after="60"/>
        <w:outlineLvl w:val="0"/>
        <w:rPr>
          <w:rFonts w:cs="Arial"/>
          <w:b/>
          <w:bCs/>
          <w:color w:val="auto"/>
          <w:kern w:val="32"/>
          <w:sz w:val="36"/>
          <w:szCs w:val="36"/>
          <w:lang w:eastAsia="en-US"/>
        </w:rPr>
      </w:pPr>
      <w:bookmarkStart w:id="26" w:name="_Toc145511550"/>
      <w:r w:rsidRPr="007620D3">
        <w:rPr>
          <w:rFonts w:cs="Arial"/>
          <w:b/>
          <w:bCs/>
          <w:color w:val="auto"/>
          <w:kern w:val="32"/>
          <w:sz w:val="36"/>
          <w:szCs w:val="36"/>
          <w:lang w:eastAsia="en-US"/>
        </w:rPr>
        <w:t xml:space="preserve">Shaping the future of Ashfield, what we want to achieve (Vision and </w:t>
      </w:r>
      <w:r w:rsidR="00E6288C">
        <w:rPr>
          <w:rFonts w:cs="Arial"/>
          <w:b/>
          <w:bCs/>
          <w:color w:val="auto"/>
          <w:kern w:val="32"/>
          <w:sz w:val="36"/>
          <w:szCs w:val="36"/>
          <w:lang w:eastAsia="en-US"/>
        </w:rPr>
        <w:t>O</w:t>
      </w:r>
      <w:r w:rsidRPr="007620D3">
        <w:rPr>
          <w:rFonts w:cs="Arial"/>
          <w:b/>
          <w:bCs/>
          <w:color w:val="auto"/>
          <w:kern w:val="32"/>
          <w:sz w:val="36"/>
          <w:szCs w:val="36"/>
          <w:lang w:eastAsia="en-US"/>
        </w:rPr>
        <w:t>bjectives)</w:t>
      </w:r>
      <w:bookmarkEnd w:id="26"/>
    </w:p>
    <w:p w14:paraId="558137DC" w14:textId="58ADFBDF" w:rsidR="00865571" w:rsidRPr="003C7E62" w:rsidRDefault="00865571" w:rsidP="00606546">
      <w:pPr>
        <w:spacing w:before="0"/>
        <w:rPr>
          <w:rFonts w:cs="Arial"/>
          <w:szCs w:val="24"/>
        </w:rPr>
      </w:pPr>
    </w:p>
    <w:p w14:paraId="1F906F7D" w14:textId="601A0A18" w:rsidR="00865571" w:rsidRPr="003C7E62" w:rsidRDefault="00865571" w:rsidP="00162A7B">
      <w:pPr>
        <w:keepNext w:val="0"/>
        <w:numPr>
          <w:ilvl w:val="1"/>
          <w:numId w:val="1"/>
        </w:numPr>
        <w:tabs>
          <w:tab w:val="clear" w:pos="525"/>
        </w:tabs>
        <w:spacing w:before="0"/>
        <w:ind w:left="709" w:hanging="709"/>
        <w:rPr>
          <w:rFonts w:cs="Arial"/>
          <w:color w:val="auto"/>
          <w:szCs w:val="24"/>
          <w:lang w:val="en-US" w:eastAsia="en-US"/>
        </w:rPr>
      </w:pPr>
      <w:r w:rsidRPr="003C7E62">
        <w:rPr>
          <w:rFonts w:cs="Arial"/>
          <w:color w:val="auto"/>
          <w:szCs w:val="24"/>
          <w:lang w:val="en-US" w:eastAsia="en-US"/>
        </w:rPr>
        <w:t>This chapter sets out a vision for Ashfield to 20</w:t>
      </w:r>
      <w:r w:rsidR="00D333EC" w:rsidRPr="00E6288C">
        <w:rPr>
          <w:rFonts w:cs="Arial"/>
          <w:szCs w:val="24"/>
          <w:lang w:val="en-US" w:eastAsia="en-US"/>
        </w:rPr>
        <w:t>40</w:t>
      </w:r>
      <w:r w:rsidRPr="003C7E62">
        <w:rPr>
          <w:rFonts w:cs="Arial"/>
          <w:color w:val="auto"/>
          <w:szCs w:val="24"/>
          <w:lang w:val="en-US" w:eastAsia="en-US"/>
        </w:rPr>
        <w:t xml:space="preserve"> and a number of strategic objectives to </w:t>
      </w:r>
      <w:r w:rsidR="0004665C" w:rsidRPr="003C7E62">
        <w:rPr>
          <w:rFonts w:cs="Arial"/>
          <w:color w:val="auto"/>
          <w:szCs w:val="24"/>
          <w:lang w:val="en-US" w:eastAsia="en-US"/>
        </w:rPr>
        <w:t xml:space="preserve">help deliver the identified </w:t>
      </w:r>
      <w:r w:rsidRPr="003C7E62">
        <w:rPr>
          <w:rFonts w:cs="Arial"/>
          <w:color w:val="auto"/>
          <w:szCs w:val="24"/>
          <w:lang w:val="en-US" w:eastAsia="en-US"/>
        </w:rPr>
        <w:t>vision.</w:t>
      </w:r>
    </w:p>
    <w:p w14:paraId="0EE8D897" w14:textId="15C9D0C1" w:rsidR="00865571" w:rsidRPr="003C7E62" w:rsidRDefault="00865571" w:rsidP="00606546">
      <w:pPr>
        <w:keepNext w:val="0"/>
        <w:spacing w:before="0"/>
        <w:rPr>
          <w:rFonts w:cs="Arial"/>
          <w:color w:val="auto"/>
          <w:szCs w:val="24"/>
          <w:lang w:val="en-US" w:eastAsia="en-US"/>
        </w:rPr>
      </w:pPr>
    </w:p>
    <w:p w14:paraId="3E7CD9BB" w14:textId="1FBD31C1" w:rsidR="00B81AB8" w:rsidRPr="003C7E62" w:rsidRDefault="00B81AB8" w:rsidP="00CC6BDF">
      <w:pPr>
        <w:keepNext w:val="0"/>
        <w:spacing w:before="0"/>
        <w:ind w:left="709"/>
        <w:rPr>
          <w:rFonts w:cs="Arial"/>
          <w:b/>
          <w:bCs/>
          <w:i/>
          <w:iCs/>
          <w:color w:val="auto"/>
          <w:szCs w:val="24"/>
          <w:lang w:val="en-US" w:eastAsia="en-US"/>
        </w:rPr>
      </w:pPr>
      <w:r w:rsidRPr="003C7E62">
        <w:rPr>
          <w:rFonts w:cs="Arial"/>
          <w:b/>
          <w:bCs/>
          <w:i/>
          <w:iCs/>
          <w:color w:val="auto"/>
          <w:szCs w:val="24"/>
          <w:lang w:val="en-US" w:eastAsia="en-US"/>
        </w:rPr>
        <w:t>A Vision for Ashfield</w:t>
      </w:r>
    </w:p>
    <w:p w14:paraId="1493CD3F" w14:textId="6BA3BADB" w:rsidR="00B81AB8" w:rsidRPr="003C7E62" w:rsidRDefault="00B81AB8" w:rsidP="00606546">
      <w:pPr>
        <w:keepNext w:val="0"/>
        <w:spacing w:before="0"/>
        <w:rPr>
          <w:rFonts w:cs="Arial"/>
          <w:b/>
          <w:bCs/>
          <w:i/>
          <w:iCs/>
          <w:color w:val="auto"/>
          <w:szCs w:val="24"/>
          <w:lang w:val="en-US" w:eastAsia="en-US"/>
        </w:rPr>
      </w:pPr>
    </w:p>
    <w:p w14:paraId="77427B4E" w14:textId="7E0F7139" w:rsidR="00B81AB8" w:rsidRDefault="00B81AB8" w:rsidP="00874A98">
      <w:pPr>
        <w:pStyle w:val="ListParagraph"/>
        <w:numPr>
          <w:ilvl w:val="1"/>
          <w:numId w:val="90"/>
        </w:numPr>
        <w:spacing w:after="0" w:line="240" w:lineRule="auto"/>
        <w:ind w:left="709" w:hanging="709"/>
        <w:jc w:val="both"/>
        <w:rPr>
          <w:rFonts w:ascii="Arial" w:hAnsi="Arial" w:cs="Arial"/>
          <w:color w:val="auto"/>
          <w:szCs w:val="24"/>
          <w:lang w:val="en-US"/>
        </w:rPr>
      </w:pPr>
      <w:bookmarkStart w:id="27" w:name="_Toc500408726"/>
      <w:r w:rsidRPr="003C7E62">
        <w:rPr>
          <w:rFonts w:ascii="Arial" w:hAnsi="Arial" w:cs="Arial"/>
          <w:color w:val="auto"/>
          <w:szCs w:val="24"/>
          <w:lang w:val="en-US"/>
        </w:rPr>
        <w:t xml:space="preserve">The Vision and set of accompanying strategic objectives will guide future development across the District, benefiting existing and new communities.  The policies and proposals identified in </w:t>
      </w:r>
      <w:r w:rsidRPr="00CC6BDF">
        <w:rPr>
          <w:rFonts w:ascii="Arial" w:hAnsi="Arial" w:cs="Arial"/>
          <w:color w:val="auto"/>
          <w:szCs w:val="24"/>
          <w:lang w:val="en-US"/>
        </w:rPr>
        <w:t>the P</w:t>
      </w:r>
      <w:r w:rsidRPr="003C7E62">
        <w:rPr>
          <w:rFonts w:ascii="Arial" w:hAnsi="Arial" w:cs="Arial"/>
          <w:color w:val="auto"/>
          <w:szCs w:val="24"/>
          <w:lang w:val="en-US"/>
        </w:rPr>
        <w:t>lan flow from the vision and the strategic objectives.</w:t>
      </w:r>
    </w:p>
    <w:p w14:paraId="31779763" w14:textId="77777777" w:rsidR="00CC6BDF" w:rsidRPr="003C7E62" w:rsidRDefault="00CC6BDF" w:rsidP="00CC6BDF">
      <w:pPr>
        <w:pStyle w:val="ListParagraph"/>
        <w:spacing w:after="0" w:line="240" w:lineRule="auto"/>
        <w:ind w:left="709"/>
        <w:jc w:val="both"/>
        <w:rPr>
          <w:rFonts w:ascii="Arial" w:hAnsi="Arial" w:cs="Arial"/>
          <w:color w:val="auto"/>
          <w:szCs w:val="24"/>
          <w:lang w:val="en-US"/>
        </w:rPr>
      </w:pPr>
    </w:p>
    <w:p w14:paraId="3AC5A8AD" w14:textId="5C155D9E" w:rsidR="00B81AB8" w:rsidRDefault="00654B53" w:rsidP="00EC2E31">
      <w:pPr>
        <w:keepNext w:val="0"/>
        <w:spacing w:before="0"/>
        <w:ind w:left="709"/>
        <w:rPr>
          <w:rFonts w:eastAsia="Arial" w:cs="Arial"/>
          <w:color w:val="auto"/>
        </w:rPr>
      </w:pPr>
      <w:r w:rsidRPr="003C7E62">
        <w:rPr>
          <w:rFonts w:eastAsia="Calibri" w:cs="Arial"/>
          <w:noProof/>
          <w:color w:val="auto"/>
        </w:rPr>
        <mc:AlternateContent>
          <mc:Choice Requires="wps">
            <w:drawing>
              <wp:inline distT="0" distB="0" distL="0" distR="0" wp14:anchorId="27495341" wp14:editId="5023AD12">
                <wp:extent cx="5560213" cy="4988603"/>
                <wp:effectExtent l="19050" t="19050" r="21590" b="21590"/>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0213" cy="4988603"/>
                        </a:xfrm>
                        <a:prstGeom prst="rect">
                          <a:avLst/>
                        </a:prstGeom>
                        <a:solidFill>
                          <a:srgbClr val="E2EFD9"/>
                        </a:solidFill>
                        <a:ln w="38100">
                          <a:solidFill>
                            <a:srgbClr val="538135"/>
                          </a:solidFill>
                          <a:miter lim="800000"/>
                          <a:headEnd/>
                          <a:tailEnd/>
                        </a:ln>
                      </wps:spPr>
                      <wps:txbx id="1">
                        <w:txbxContent>
                          <w:p w14:paraId="3F0E4754" w14:textId="77777777" w:rsidR="00054236" w:rsidRDefault="00054236" w:rsidP="00EC2E31">
                            <w:pPr>
                              <w:spacing w:before="0"/>
                              <w:ind w:right="-334"/>
                              <w:rPr>
                                <w:rFonts w:eastAsia="Calibri"/>
                                <w:b/>
                                <w:color w:val="auto"/>
                                <w:szCs w:val="24"/>
                              </w:rPr>
                            </w:pPr>
                          </w:p>
                          <w:p w14:paraId="314FD9D2" w14:textId="2AF9751B" w:rsidR="00054236" w:rsidRPr="005D3347" w:rsidRDefault="00054236" w:rsidP="005D3347">
                            <w:pPr>
                              <w:spacing w:before="0"/>
                              <w:ind w:right="96"/>
                              <w:jc w:val="center"/>
                              <w:rPr>
                                <w:rFonts w:eastAsia="Calibri"/>
                                <w:b/>
                                <w:color w:val="auto"/>
                                <w:sz w:val="32"/>
                                <w:szCs w:val="32"/>
                              </w:rPr>
                            </w:pPr>
                            <w:r w:rsidRPr="005D3347">
                              <w:rPr>
                                <w:rFonts w:eastAsia="Calibri"/>
                                <w:b/>
                                <w:color w:val="auto"/>
                                <w:sz w:val="32"/>
                                <w:szCs w:val="32"/>
                              </w:rPr>
                              <w:t>Vision: ‘Ashfield, a place to be proud of’’</w:t>
                            </w:r>
                          </w:p>
                          <w:p w14:paraId="0178B598" w14:textId="77777777" w:rsidR="003514D5" w:rsidRPr="002A20BE" w:rsidRDefault="003514D5" w:rsidP="003514D5">
                            <w:pPr>
                              <w:spacing w:before="0"/>
                              <w:ind w:right="96"/>
                              <w:rPr>
                                <w:rFonts w:eastAsia="Calibri" w:cs="Arial"/>
                                <w:color w:val="auto"/>
                                <w:szCs w:val="24"/>
                                <w:lang w:eastAsia="en-US"/>
                              </w:rPr>
                            </w:pPr>
                          </w:p>
                          <w:p w14:paraId="4C854F0B" w14:textId="2480EFB5" w:rsidR="003514D5" w:rsidRPr="003514D5" w:rsidRDefault="003514D5" w:rsidP="003514D5">
                            <w:pPr>
                              <w:spacing w:before="0"/>
                              <w:ind w:right="96"/>
                              <w:rPr>
                                <w:rFonts w:eastAsia="Calibri" w:cs="Arial"/>
                                <w:color w:val="auto"/>
                                <w:szCs w:val="24"/>
                                <w:lang w:eastAsia="en-US"/>
                              </w:rPr>
                            </w:pPr>
                            <w:r w:rsidRPr="003514D5">
                              <w:rPr>
                                <w:rFonts w:eastAsia="Calibri" w:cs="Arial"/>
                                <w:color w:val="auto"/>
                                <w:szCs w:val="24"/>
                                <w:lang w:eastAsia="en-US"/>
                              </w:rPr>
                              <w:t>Ashfield is a District where people of all ages are proud to live, study, work, visit and aspire to stay.</w:t>
                            </w:r>
                          </w:p>
                          <w:p w14:paraId="3136421F" w14:textId="77777777" w:rsidR="003514D5" w:rsidRPr="003514D5" w:rsidRDefault="003514D5" w:rsidP="003514D5">
                            <w:pPr>
                              <w:spacing w:before="0"/>
                              <w:ind w:right="95"/>
                              <w:rPr>
                                <w:rFonts w:eastAsia="Calibri" w:cs="Arial"/>
                                <w:color w:val="auto"/>
                                <w:szCs w:val="24"/>
                                <w:lang w:eastAsia="en-US"/>
                              </w:rPr>
                            </w:pPr>
                          </w:p>
                          <w:p w14:paraId="3892D5BC" w14:textId="5EA317F3" w:rsidR="00A1210E" w:rsidRDefault="003514D5" w:rsidP="003514D5">
                            <w:pPr>
                              <w:spacing w:before="0"/>
                              <w:ind w:right="95"/>
                              <w:rPr>
                                <w:rFonts w:eastAsia="Calibri" w:cs="Arial"/>
                                <w:color w:val="auto"/>
                                <w:szCs w:val="24"/>
                                <w:lang w:eastAsia="en-US"/>
                              </w:rPr>
                            </w:pPr>
                            <w:r w:rsidRPr="003514D5">
                              <w:rPr>
                                <w:rFonts w:eastAsia="Calibri" w:cs="Arial"/>
                                <w:color w:val="auto"/>
                                <w:szCs w:val="24"/>
                                <w:lang w:eastAsia="en-US"/>
                              </w:rPr>
                              <w:t>High quality design and place making will shape the delivery of new development, responding to the infrastructure requirements of new and existing local communities</w:t>
                            </w:r>
                            <w:r w:rsidR="00E6288C">
                              <w:rPr>
                                <w:rFonts w:eastAsia="Calibri" w:cs="Arial"/>
                                <w:color w:val="auto"/>
                                <w:szCs w:val="24"/>
                                <w:lang w:eastAsia="en-US"/>
                              </w:rPr>
                              <w:t>.</w:t>
                            </w:r>
                          </w:p>
                          <w:p w14:paraId="4BDDAD1B" w14:textId="77777777" w:rsidR="00A1210E" w:rsidRDefault="00A1210E" w:rsidP="003514D5">
                            <w:pPr>
                              <w:spacing w:before="0"/>
                              <w:ind w:right="95"/>
                              <w:rPr>
                                <w:rFonts w:eastAsia="Calibri" w:cs="Arial"/>
                                <w:color w:val="auto"/>
                                <w:szCs w:val="24"/>
                                <w:lang w:eastAsia="en-US"/>
                              </w:rPr>
                            </w:pPr>
                          </w:p>
                          <w:p w14:paraId="09937309" w14:textId="2F7F2AE9" w:rsidR="003514D5" w:rsidRPr="00E6288C" w:rsidRDefault="003514D5" w:rsidP="003514D5">
                            <w:pPr>
                              <w:spacing w:before="0"/>
                              <w:ind w:right="95"/>
                              <w:rPr>
                                <w:rFonts w:eastAsia="Calibri" w:cs="Arial"/>
                                <w:szCs w:val="24"/>
                                <w:lang w:eastAsia="en-US"/>
                              </w:rPr>
                            </w:pPr>
                            <w:r w:rsidRPr="003514D5">
                              <w:rPr>
                                <w:rFonts w:eastAsia="Calibri" w:cs="Arial"/>
                                <w:color w:val="auto"/>
                                <w:szCs w:val="24"/>
                                <w:lang w:eastAsia="en-US"/>
                              </w:rPr>
                              <w:t xml:space="preserve">New housing </w:t>
                            </w:r>
                            <w:r w:rsidR="00A1210E">
                              <w:rPr>
                                <w:rFonts w:eastAsia="Calibri" w:cs="Arial"/>
                                <w:color w:val="auto"/>
                                <w:szCs w:val="24"/>
                                <w:lang w:eastAsia="en-US"/>
                              </w:rPr>
                              <w:t>will be</w:t>
                            </w:r>
                            <w:r w:rsidRPr="003514D5">
                              <w:rPr>
                                <w:rFonts w:eastAsia="Calibri" w:cs="Arial"/>
                                <w:color w:val="auto"/>
                                <w:szCs w:val="24"/>
                                <w:lang w:eastAsia="en-US"/>
                              </w:rPr>
                              <w:t xml:space="preserve"> responsive to local needs, enhancing the built environment and reflecting the distinctive characteristics of Ashfield’s towns and villages. The lifestyle of the community will be enhanced by accessible health, leisure, and education opportunities</w:t>
                            </w:r>
                            <w:r w:rsidRPr="00E6288C">
                              <w:rPr>
                                <w:rFonts w:eastAsia="Calibri" w:cs="Arial"/>
                                <w:szCs w:val="24"/>
                                <w:lang w:eastAsia="en-US"/>
                              </w:rPr>
                              <w:t>, which will reduce health and income inequality in the district.</w:t>
                            </w:r>
                          </w:p>
                          <w:p w14:paraId="78B0D697" w14:textId="77777777" w:rsidR="003514D5" w:rsidRPr="00E6288C" w:rsidRDefault="003514D5" w:rsidP="003514D5">
                            <w:pPr>
                              <w:spacing w:before="0"/>
                              <w:ind w:right="95"/>
                              <w:rPr>
                                <w:rFonts w:eastAsia="Calibri" w:cs="Arial"/>
                                <w:szCs w:val="24"/>
                                <w:lang w:eastAsia="en-US"/>
                              </w:rPr>
                            </w:pPr>
                          </w:p>
                          <w:p w14:paraId="33255325" w14:textId="77777777" w:rsidR="003514D5" w:rsidRPr="00E6288C" w:rsidRDefault="003514D5" w:rsidP="003514D5">
                            <w:pPr>
                              <w:keepNext w:val="0"/>
                              <w:spacing w:before="0"/>
                              <w:rPr>
                                <w:rFonts w:eastAsia="Calibri" w:cs="Arial"/>
                                <w:szCs w:val="24"/>
                                <w:lang w:eastAsia="en-US"/>
                              </w:rPr>
                            </w:pPr>
                            <w:r w:rsidRPr="00E6288C">
                              <w:rPr>
                                <w:rFonts w:eastAsia="Calibri" w:cs="Arial"/>
                                <w:szCs w:val="24"/>
                                <w:lang w:eastAsia="en-US"/>
                              </w:rPr>
                              <w:t xml:space="preserve">Working in Partnership with other organisations and residents, Ashfield will have taken major steps towards becoming net- zero carbon by 2050. The design and layout of development will reflect the change to drier and hotter summers, including the utilisations of green roofs and green space with extensive tree planting. Green space will be utilised to minimising the increased risk of flooding from all sources. New houses and employment units will be energy efficient, utilising solar and other forms of low carbon energy, reflecting electricity generated from a low carbon grid, combined heat and power plants and local heat sources such as mine water. To minimise the impact of periods of drought, development will be designed to use water efficiently, which facilitate ecosystems with less water being taken out of rivers and aquifers. Vehicles will be substantially powered by electricity resulting in significant local air quality benefits. The emphasis on green infrastructure will facilitate cycling and walking to access local facilities and services, achieving a shift in travel behaviour reducing energy usage and improving the health of residents. </w:t>
                            </w:r>
                          </w:p>
                          <w:p w14:paraId="39F388AF" w14:textId="77777777" w:rsidR="003514D5" w:rsidRPr="00E6288C" w:rsidRDefault="003514D5" w:rsidP="003514D5">
                            <w:pPr>
                              <w:spacing w:before="0"/>
                              <w:ind w:right="95"/>
                              <w:rPr>
                                <w:rFonts w:eastAsia="Calibri" w:cs="Arial"/>
                                <w:szCs w:val="24"/>
                                <w:lang w:eastAsia="en-US"/>
                              </w:rPr>
                            </w:pPr>
                          </w:p>
                          <w:p w14:paraId="4ECF7E09" w14:textId="77777777" w:rsidR="003514D5" w:rsidRPr="00E6288C" w:rsidRDefault="003514D5" w:rsidP="003514D5">
                            <w:pPr>
                              <w:spacing w:before="0"/>
                              <w:ind w:right="95"/>
                              <w:rPr>
                                <w:rFonts w:eastAsia="Calibri" w:cs="Arial"/>
                                <w:szCs w:val="24"/>
                                <w:lang w:eastAsia="en-US"/>
                              </w:rPr>
                            </w:pPr>
                            <w:r w:rsidRPr="00E6288C">
                              <w:rPr>
                                <w:rFonts w:eastAsia="Calibri" w:cs="Arial"/>
                                <w:szCs w:val="24"/>
                                <w:lang w:eastAsia="en-US"/>
                              </w:rPr>
                              <w:t>Building on our transport links, a more diverse and thriving economy will encourage higher educational attainment, business enterprise, quality jobs and provide opportunities for a skilled workforce. Improved interchange between transport modes and the use of innovative solutions will help to manage the utilisation of the highway network for all users.</w:t>
                            </w:r>
                          </w:p>
                          <w:p w14:paraId="7E91EA1E" w14:textId="77777777" w:rsidR="002A20BE" w:rsidRPr="00E6288C" w:rsidRDefault="002A20BE" w:rsidP="003514D5">
                            <w:pPr>
                              <w:spacing w:before="0"/>
                              <w:ind w:right="95"/>
                              <w:rPr>
                                <w:rFonts w:eastAsia="Calibri" w:cs="Arial"/>
                                <w:szCs w:val="24"/>
                                <w:lang w:eastAsia="en-US"/>
                              </w:rPr>
                            </w:pPr>
                          </w:p>
                          <w:p w14:paraId="1E902F47" w14:textId="19D71601" w:rsidR="003514D5" w:rsidRPr="00E6288C" w:rsidRDefault="00723B23" w:rsidP="003514D5">
                            <w:pPr>
                              <w:spacing w:before="0"/>
                              <w:ind w:right="95"/>
                              <w:rPr>
                                <w:rFonts w:eastAsia="Calibri" w:cs="Arial"/>
                                <w:szCs w:val="24"/>
                                <w:lang w:eastAsia="en-US"/>
                              </w:rPr>
                            </w:pPr>
                            <w:r>
                              <w:rPr>
                                <w:color w:val="000000"/>
                              </w:rPr>
                              <w:t xml:space="preserve">Sutton in Ashfield, </w:t>
                            </w:r>
                            <w:r w:rsidRPr="00723B23">
                              <w:rPr>
                                <w:color w:val="auto"/>
                              </w:rPr>
                              <w:t xml:space="preserve">Kirkby-in-Ashfield and Hucknall </w:t>
                            </w:r>
                            <w:r w:rsidR="003514D5" w:rsidRPr="00E6288C">
                              <w:rPr>
                                <w:rFonts w:eastAsia="Calibri" w:cs="Arial"/>
                                <w:szCs w:val="24"/>
                                <w:lang w:eastAsia="en-US"/>
                              </w:rPr>
                              <w:t xml:space="preserve">will have thriving, vibrant town centres, offering local products from local sources.  They will provide a mix of retail, cultural, </w:t>
                            </w:r>
                            <w:r w:rsidR="00EA7AE9" w:rsidRPr="00E6288C">
                              <w:rPr>
                                <w:rFonts w:eastAsia="Calibri" w:cs="Arial"/>
                                <w:szCs w:val="24"/>
                                <w:lang w:eastAsia="en-US"/>
                              </w:rPr>
                              <w:t>employment</w:t>
                            </w:r>
                            <w:r w:rsidR="003514D5" w:rsidRPr="00E6288C">
                              <w:rPr>
                                <w:rFonts w:eastAsia="Calibri" w:cs="Arial"/>
                                <w:szCs w:val="24"/>
                                <w:lang w:eastAsia="en-US"/>
                              </w:rPr>
                              <w:t xml:space="preserve"> and local services, being places where people want to visit and live.</w:t>
                            </w:r>
                          </w:p>
                          <w:p w14:paraId="1C726BC5" w14:textId="77777777" w:rsidR="003514D5" w:rsidRPr="00E6288C" w:rsidRDefault="003514D5" w:rsidP="003514D5">
                            <w:pPr>
                              <w:spacing w:before="0"/>
                              <w:rPr>
                                <w:rFonts w:eastAsia="Calibri" w:cs="Arial"/>
                                <w:sz w:val="20"/>
                                <w:lang w:eastAsia="en-US"/>
                              </w:rPr>
                            </w:pPr>
                          </w:p>
                          <w:p w14:paraId="6C9D2826" w14:textId="136AAE30" w:rsidR="003514D5" w:rsidRPr="00E6288C" w:rsidRDefault="003514D5" w:rsidP="003514D5">
                            <w:pPr>
                              <w:spacing w:before="0"/>
                              <w:ind w:right="95"/>
                              <w:rPr>
                                <w:rFonts w:eastAsia="Calibri" w:cs="Arial"/>
                                <w:szCs w:val="24"/>
                                <w:lang w:eastAsia="en-US"/>
                              </w:rPr>
                            </w:pPr>
                            <w:r w:rsidRPr="00E6288C">
                              <w:rPr>
                                <w:rFonts w:eastAsia="Calibri" w:cs="Arial"/>
                                <w:szCs w:val="24"/>
                                <w:lang w:eastAsia="en-US"/>
                              </w:rPr>
                              <w:t>The District’s rich heritage, scenic countryside and biodiversity are valued resources which will be protected and enhanced for residents to discover and provid</w:t>
                            </w:r>
                            <w:r w:rsidR="00A1210E" w:rsidRPr="00E6288C">
                              <w:rPr>
                                <w:rFonts w:eastAsia="Calibri" w:cs="Arial"/>
                                <w:szCs w:val="24"/>
                                <w:lang w:eastAsia="en-US"/>
                              </w:rPr>
                              <w:t xml:space="preserve">e </w:t>
                            </w:r>
                            <w:r w:rsidRPr="00E6288C">
                              <w:rPr>
                                <w:rFonts w:eastAsia="Calibri" w:cs="Arial"/>
                                <w:szCs w:val="24"/>
                                <w:lang w:eastAsia="en-US"/>
                              </w:rPr>
                              <w:t>opportunities for tourism and recreation.</w:t>
                            </w:r>
                          </w:p>
                          <w:p w14:paraId="5F6428DA" w14:textId="77777777" w:rsidR="00054236" w:rsidRPr="009C5FB2" w:rsidRDefault="00054236" w:rsidP="00622E46">
                            <w:pPr>
                              <w:spacing w:before="0"/>
                              <w:ind w:right="96"/>
                              <w:rPr>
                                <w:rFonts w:eastAsia="Calibri"/>
                                <w:color w:val="auto"/>
                                <w:szCs w:val="24"/>
                              </w:rPr>
                            </w:pPr>
                          </w:p>
                        </w:txbxContent>
                      </wps:txbx>
                      <wps:bodyPr rot="0" vert="horz" wrap="square" lIns="91440" tIns="45720" rIns="91440" bIns="45720" anchor="t" anchorCtr="0" upright="1">
                        <a:noAutofit/>
                      </wps:bodyPr>
                    </wps:wsp>
                  </a:graphicData>
                </a:graphic>
              </wp:inline>
            </w:drawing>
          </mc:Choice>
          <mc:Fallback>
            <w:pict>
              <v:shapetype w14:anchorId="27495341" id="_x0000_t202" coordsize="21600,21600" o:spt="202" path="m,l,21600r21600,l21600,xe">
                <v:stroke joinstyle="miter"/>
                <v:path gradientshapeok="t" o:connecttype="rect"/>
              </v:shapetype>
              <v:shape id="Text Box 5" o:spid="_x0000_s1026" type="#_x0000_t202" style="width:437.8pt;height:392.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" fillcolor="#e2efd9" strokecolor="#538135" strokeweight="3pt">
                <v:textbox style="mso-next-textbox:#Text Box 2">
                  <w:txbxContent>
                    <w:p w14:paraId="3F0E4754" w14:textId="77777777" w:rsidR="00054236" w:rsidRDefault="00054236" w:rsidP="00EC2E31">
                      <w:pPr>
                        <w:spacing w:before="0"/>
                        <w:ind w:right="-334"/>
                        <w:rPr>
                          <w:rFonts w:eastAsia="Calibri"/>
                          <w:b/>
                          <w:color w:val="auto"/>
                          <w:szCs w:val="24"/>
                        </w:rPr>
                      </w:pPr>
                    </w:p>
                    <w:p w14:paraId="314FD9D2" w14:textId="2AF9751B" w:rsidR="00054236" w:rsidRPr="005D3347" w:rsidRDefault="00054236" w:rsidP="005D3347">
                      <w:pPr>
                        <w:spacing w:before="0"/>
                        <w:ind w:right="96"/>
                        <w:jc w:val="center"/>
                        <w:rPr>
                          <w:rFonts w:eastAsia="Calibri"/>
                          <w:b/>
                          <w:color w:val="auto"/>
                          <w:sz w:val="32"/>
                          <w:szCs w:val="32"/>
                        </w:rPr>
                      </w:pPr>
                      <w:r w:rsidRPr="005D3347">
                        <w:rPr>
                          <w:rFonts w:eastAsia="Calibri"/>
                          <w:b/>
                          <w:color w:val="auto"/>
                          <w:sz w:val="32"/>
                          <w:szCs w:val="32"/>
                        </w:rPr>
                        <w:t>Vision: ‘Ashfield, a place to be proud of’’</w:t>
                      </w:r>
                    </w:p>
                    <w:p w14:paraId="0178B598" w14:textId="77777777" w:rsidR="003514D5" w:rsidRPr="002A20BE" w:rsidRDefault="003514D5" w:rsidP="003514D5">
                      <w:pPr>
                        <w:spacing w:before="0"/>
                        <w:ind w:right="96"/>
                        <w:rPr>
                          <w:rFonts w:eastAsia="Calibri" w:cs="Arial"/>
                          <w:color w:val="auto"/>
                          <w:szCs w:val="24"/>
                          <w:lang w:eastAsia="en-US"/>
                        </w:rPr>
                      </w:pPr>
                    </w:p>
                    <w:p w14:paraId="4C854F0B" w14:textId="2480EFB5" w:rsidR="003514D5" w:rsidRPr="003514D5" w:rsidRDefault="003514D5" w:rsidP="003514D5">
                      <w:pPr>
                        <w:spacing w:before="0"/>
                        <w:ind w:right="96"/>
                        <w:rPr>
                          <w:rFonts w:eastAsia="Calibri" w:cs="Arial"/>
                          <w:color w:val="auto"/>
                          <w:szCs w:val="24"/>
                          <w:lang w:eastAsia="en-US"/>
                        </w:rPr>
                      </w:pPr>
                      <w:r w:rsidRPr="003514D5">
                        <w:rPr>
                          <w:rFonts w:eastAsia="Calibri" w:cs="Arial"/>
                          <w:color w:val="auto"/>
                          <w:szCs w:val="24"/>
                          <w:lang w:eastAsia="en-US"/>
                        </w:rPr>
                        <w:t>Ashfield is a District where people of all ages are proud to live, study, work, visit and aspire to stay.</w:t>
                      </w:r>
                    </w:p>
                    <w:p w14:paraId="3136421F" w14:textId="77777777" w:rsidR="003514D5" w:rsidRPr="003514D5" w:rsidRDefault="003514D5" w:rsidP="003514D5">
                      <w:pPr>
                        <w:spacing w:before="0"/>
                        <w:ind w:right="95"/>
                        <w:rPr>
                          <w:rFonts w:eastAsia="Calibri" w:cs="Arial"/>
                          <w:color w:val="auto"/>
                          <w:szCs w:val="24"/>
                          <w:lang w:eastAsia="en-US"/>
                        </w:rPr>
                      </w:pPr>
                    </w:p>
                    <w:p w14:paraId="3892D5BC" w14:textId="5EA317F3" w:rsidR="00A1210E" w:rsidRDefault="003514D5" w:rsidP="003514D5">
                      <w:pPr>
                        <w:spacing w:before="0"/>
                        <w:ind w:right="95"/>
                        <w:rPr>
                          <w:rFonts w:eastAsia="Calibri" w:cs="Arial"/>
                          <w:color w:val="auto"/>
                          <w:szCs w:val="24"/>
                          <w:lang w:eastAsia="en-US"/>
                        </w:rPr>
                      </w:pPr>
                      <w:r w:rsidRPr="003514D5">
                        <w:rPr>
                          <w:rFonts w:eastAsia="Calibri" w:cs="Arial"/>
                          <w:color w:val="auto"/>
                          <w:szCs w:val="24"/>
                          <w:lang w:eastAsia="en-US"/>
                        </w:rPr>
                        <w:t>High quality design and place making will shape the delivery of new development, responding to the infrastructure requirements of new and existing local communities</w:t>
                      </w:r>
                      <w:r w:rsidR="00E6288C">
                        <w:rPr>
                          <w:rFonts w:eastAsia="Calibri" w:cs="Arial"/>
                          <w:color w:val="auto"/>
                          <w:szCs w:val="24"/>
                          <w:lang w:eastAsia="en-US"/>
                        </w:rPr>
                        <w:t>.</w:t>
                      </w:r>
                    </w:p>
                    <w:p w14:paraId="4BDDAD1B" w14:textId="77777777" w:rsidR="00A1210E" w:rsidRDefault="00A1210E" w:rsidP="003514D5">
                      <w:pPr>
                        <w:spacing w:before="0"/>
                        <w:ind w:right="95"/>
                        <w:rPr>
                          <w:rFonts w:eastAsia="Calibri" w:cs="Arial"/>
                          <w:color w:val="auto"/>
                          <w:szCs w:val="24"/>
                          <w:lang w:eastAsia="en-US"/>
                        </w:rPr>
                      </w:pPr>
                    </w:p>
                    <w:p w14:paraId="09937309" w14:textId="2F7F2AE9" w:rsidR="003514D5" w:rsidRPr="00E6288C" w:rsidRDefault="003514D5" w:rsidP="003514D5">
                      <w:pPr>
                        <w:spacing w:before="0"/>
                        <w:ind w:right="95"/>
                        <w:rPr>
                          <w:rFonts w:eastAsia="Calibri" w:cs="Arial"/>
                          <w:szCs w:val="24"/>
                          <w:lang w:eastAsia="en-US"/>
                        </w:rPr>
                      </w:pPr>
                      <w:r w:rsidRPr="003514D5">
                        <w:rPr>
                          <w:rFonts w:eastAsia="Calibri" w:cs="Arial"/>
                          <w:color w:val="auto"/>
                          <w:szCs w:val="24"/>
                          <w:lang w:eastAsia="en-US"/>
                        </w:rPr>
                        <w:t xml:space="preserve">New housing </w:t>
                      </w:r>
                      <w:r w:rsidR="00A1210E">
                        <w:rPr>
                          <w:rFonts w:eastAsia="Calibri" w:cs="Arial"/>
                          <w:color w:val="auto"/>
                          <w:szCs w:val="24"/>
                          <w:lang w:eastAsia="en-US"/>
                        </w:rPr>
                        <w:t>will be</w:t>
                      </w:r>
                      <w:r w:rsidRPr="003514D5">
                        <w:rPr>
                          <w:rFonts w:eastAsia="Calibri" w:cs="Arial"/>
                          <w:color w:val="auto"/>
                          <w:szCs w:val="24"/>
                          <w:lang w:eastAsia="en-US"/>
                        </w:rPr>
                        <w:t xml:space="preserve"> responsive to local needs, enhancing the built environment and reflecting the distinctive characteristics of Ashfield’s towns and villages. The lifestyle of the community will be enhanced by accessible health, leisure, and education opportunities</w:t>
                      </w:r>
                      <w:r w:rsidRPr="00E6288C">
                        <w:rPr>
                          <w:rFonts w:eastAsia="Calibri" w:cs="Arial"/>
                          <w:szCs w:val="24"/>
                          <w:lang w:eastAsia="en-US"/>
                        </w:rPr>
                        <w:t>, which will reduce health and income inequality in the district.</w:t>
                      </w:r>
                    </w:p>
                    <w:p w14:paraId="78B0D697" w14:textId="77777777" w:rsidR="003514D5" w:rsidRPr="00E6288C" w:rsidRDefault="003514D5" w:rsidP="003514D5">
                      <w:pPr>
                        <w:spacing w:before="0"/>
                        <w:ind w:right="95"/>
                        <w:rPr>
                          <w:rFonts w:eastAsia="Calibri" w:cs="Arial"/>
                          <w:szCs w:val="24"/>
                          <w:lang w:eastAsia="en-US"/>
                        </w:rPr>
                      </w:pPr>
                    </w:p>
                    <w:p w14:paraId="33255325" w14:textId="77777777" w:rsidR="003514D5" w:rsidRPr="00E6288C" w:rsidRDefault="003514D5" w:rsidP="003514D5">
                      <w:pPr>
                        <w:keepNext w:val="0"/>
                        <w:spacing w:before="0"/>
                        <w:rPr>
                          <w:rFonts w:eastAsia="Calibri" w:cs="Arial"/>
                          <w:szCs w:val="24"/>
                          <w:lang w:eastAsia="en-US"/>
                        </w:rPr>
                      </w:pPr>
                      <w:r w:rsidRPr="00E6288C">
                        <w:rPr>
                          <w:rFonts w:eastAsia="Calibri" w:cs="Arial"/>
                          <w:szCs w:val="24"/>
                          <w:lang w:eastAsia="en-US"/>
                        </w:rPr>
                        <w:t xml:space="preserve">Working in Partnership with other organisations and residents, Ashfield will have taken major steps towards becoming net- zero carbon by 2050. The design and layout of development will reflect the change to drier and hotter summers, including the utilisations of green roofs and green space with extensive tree planting. Green space will be utilised to minimising the increased risk of flooding from all sources. New houses and employment units will be energy efficient, utilising solar and other forms of low carbon energy, reflecting electricity generated from a low carbon grid, combined heat and power plants and local heat sources such as mine water. To minimise the impact of periods of drought, development will be designed to use water efficiently, which facilitate ecosystems with less water being taken out of rivers and aquifers. Vehicles will be substantially powered by electricity resulting in significant local air quality benefits. The emphasis on green infrastructure will facilitate cycling and walking to access local facilities and services, achieving a shift in travel behaviour reducing energy usage and improving the health of residents. </w:t>
                      </w:r>
                    </w:p>
                    <w:p w14:paraId="39F388AF" w14:textId="77777777" w:rsidR="003514D5" w:rsidRPr="00E6288C" w:rsidRDefault="003514D5" w:rsidP="003514D5">
                      <w:pPr>
                        <w:spacing w:before="0"/>
                        <w:ind w:right="95"/>
                        <w:rPr>
                          <w:rFonts w:eastAsia="Calibri" w:cs="Arial"/>
                          <w:szCs w:val="24"/>
                          <w:lang w:eastAsia="en-US"/>
                        </w:rPr>
                      </w:pPr>
                    </w:p>
                    <w:p w14:paraId="4ECF7E09" w14:textId="77777777" w:rsidR="003514D5" w:rsidRPr="00E6288C" w:rsidRDefault="003514D5" w:rsidP="003514D5">
                      <w:pPr>
                        <w:spacing w:before="0"/>
                        <w:ind w:right="95"/>
                        <w:rPr>
                          <w:rFonts w:eastAsia="Calibri" w:cs="Arial"/>
                          <w:szCs w:val="24"/>
                          <w:lang w:eastAsia="en-US"/>
                        </w:rPr>
                      </w:pPr>
                      <w:r w:rsidRPr="00E6288C">
                        <w:rPr>
                          <w:rFonts w:eastAsia="Calibri" w:cs="Arial"/>
                          <w:szCs w:val="24"/>
                          <w:lang w:eastAsia="en-US"/>
                        </w:rPr>
                        <w:t>Building on our transport links, a more diverse and thriving economy will encourage higher educational attainment, business enterprise, quality jobs and provide opportunities for a skilled workforce. Improved interchange between transport modes and the use of innovative solutions will help to manage the utilisation of the highway network for all users.</w:t>
                      </w:r>
                    </w:p>
                    <w:p w14:paraId="7E91EA1E" w14:textId="77777777" w:rsidR="002A20BE" w:rsidRPr="00E6288C" w:rsidRDefault="002A20BE" w:rsidP="003514D5">
                      <w:pPr>
                        <w:spacing w:before="0"/>
                        <w:ind w:right="95"/>
                        <w:rPr>
                          <w:rFonts w:eastAsia="Calibri" w:cs="Arial"/>
                          <w:szCs w:val="24"/>
                          <w:lang w:eastAsia="en-US"/>
                        </w:rPr>
                      </w:pPr>
                    </w:p>
                    <w:p w14:paraId="1E902F47" w14:textId="19D71601" w:rsidR="003514D5" w:rsidRPr="00E6288C" w:rsidRDefault="00723B23" w:rsidP="003514D5">
                      <w:pPr>
                        <w:spacing w:before="0"/>
                        <w:ind w:right="95"/>
                        <w:rPr>
                          <w:rFonts w:eastAsia="Calibri" w:cs="Arial"/>
                          <w:szCs w:val="24"/>
                          <w:lang w:eastAsia="en-US"/>
                        </w:rPr>
                      </w:pPr>
                      <w:r>
                        <w:rPr>
                          <w:color w:val="000000"/>
                        </w:rPr>
                        <w:t xml:space="preserve">Sutton in Ashfield, </w:t>
                      </w:r>
                      <w:r w:rsidRPr="00723B23">
                        <w:rPr>
                          <w:color w:val="auto"/>
                        </w:rPr>
                        <w:t xml:space="preserve">Kirkby-in-Ashfield and Hucknall </w:t>
                      </w:r>
                      <w:r w:rsidR="003514D5" w:rsidRPr="00E6288C">
                        <w:rPr>
                          <w:rFonts w:eastAsia="Calibri" w:cs="Arial"/>
                          <w:szCs w:val="24"/>
                          <w:lang w:eastAsia="en-US"/>
                        </w:rPr>
                        <w:t xml:space="preserve">will have thriving, vibrant town centres, offering local products from local sources.  They will provide a mix of retail, cultural, </w:t>
                      </w:r>
                      <w:r w:rsidR="00EA7AE9" w:rsidRPr="00E6288C">
                        <w:rPr>
                          <w:rFonts w:eastAsia="Calibri" w:cs="Arial"/>
                          <w:szCs w:val="24"/>
                          <w:lang w:eastAsia="en-US"/>
                        </w:rPr>
                        <w:t>employment</w:t>
                      </w:r>
                      <w:r w:rsidR="003514D5" w:rsidRPr="00E6288C">
                        <w:rPr>
                          <w:rFonts w:eastAsia="Calibri" w:cs="Arial"/>
                          <w:szCs w:val="24"/>
                          <w:lang w:eastAsia="en-US"/>
                        </w:rPr>
                        <w:t xml:space="preserve"> and local services, being places where people want to visit and live.</w:t>
                      </w:r>
                    </w:p>
                    <w:p w14:paraId="1C726BC5" w14:textId="77777777" w:rsidR="003514D5" w:rsidRPr="00E6288C" w:rsidRDefault="003514D5" w:rsidP="003514D5">
                      <w:pPr>
                        <w:spacing w:before="0"/>
                        <w:rPr>
                          <w:rFonts w:eastAsia="Calibri" w:cs="Arial"/>
                          <w:sz w:val="20"/>
                          <w:lang w:eastAsia="en-US"/>
                        </w:rPr>
                      </w:pPr>
                    </w:p>
                    <w:p w14:paraId="6C9D2826" w14:textId="136AAE30" w:rsidR="003514D5" w:rsidRPr="00E6288C" w:rsidRDefault="003514D5" w:rsidP="003514D5">
                      <w:pPr>
                        <w:spacing w:before="0"/>
                        <w:ind w:right="95"/>
                        <w:rPr>
                          <w:rFonts w:eastAsia="Calibri" w:cs="Arial"/>
                          <w:szCs w:val="24"/>
                          <w:lang w:eastAsia="en-US"/>
                        </w:rPr>
                      </w:pPr>
                      <w:r w:rsidRPr="00E6288C">
                        <w:rPr>
                          <w:rFonts w:eastAsia="Calibri" w:cs="Arial"/>
                          <w:szCs w:val="24"/>
                          <w:lang w:eastAsia="en-US"/>
                        </w:rPr>
                        <w:t>The District’s rich heritage, scenic countryside and biodiversity are valued resources which will be protected and enhanced for residents to discover and provid</w:t>
                      </w:r>
                      <w:r w:rsidR="00A1210E" w:rsidRPr="00E6288C">
                        <w:rPr>
                          <w:rFonts w:eastAsia="Calibri" w:cs="Arial"/>
                          <w:szCs w:val="24"/>
                          <w:lang w:eastAsia="en-US"/>
                        </w:rPr>
                        <w:t xml:space="preserve">e </w:t>
                      </w:r>
                      <w:r w:rsidRPr="00E6288C">
                        <w:rPr>
                          <w:rFonts w:eastAsia="Calibri" w:cs="Arial"/>
                          <w:szCs w:val="24"/>
                          <w:lang w:eastAsia="en-US"/>
                        </w:rPr>
                        <w:t>opportunities for tourism and recreation.</w:t>
                      </w:r>
                    </w:p>
                    <w:p w14:paraId="5F6428DA" w14:textId="77777777" w:rsidR="00054236" w:rsidRPr="009C5FB2" w:rsidRDefault="00054236" w:rsidP="00622E46">
                      <w:pPr>
                        <w:spacing w:before="0"/>
                        <w:ind w:right="96"/>
                        <w:rPr>
                          <w:rFonts w:eastAsia="Calibri"/>
                          <w:color w:val="auto"/>
                          <w:szCs w:val="24"/>
                        </w:rPr>
                      </w:pPr>
                    </w:p>
                  </w:txbxContent>
                </v:textbox>
                <w10:anchorlock/>
              </v:shape>
            </w:pict>
          </mc:Fallback>
        </mc:AlternateContent>
      </w:r>
    </w:p>
    <w:p w14:paraId="7D055483" w14:textId="77777777" w:rsidR="00D34A53" w:rsidRDefault="00D34A53" w:rsidP="00EC2E31">
      <w:pPr>
        <w:keepNext w:val="0"/>
        <w:spacing w:before="0"/>
        <w:ind w:left="709"/>
        <w:rPr>
          <w:rFonts w:eastAsia="Arial" w:cs="Arial"/>
          <w:color w:val="auto"/>
        </w:rPr>
      </w:pPr>
    </w:p>
    <w:p w14:paraId="103BC439" w14:textId="77777777" w:rsidR="00D34A53" w:rsidRDefault="00D34A53" w:rsidP="00EC2E31">
      <w:pPr>
        <w:keepNext w:val="0"/>
        <w:spacing w:before="0"/>
        <w:ind w:left="709"/>
        <w:rPr>
          <w:rFonts w:eastAsia="Arial" w:cs="Arial"/>
          <w:color w:val="auto"/>
        </w:rPr>
      </w:pPr>
    </w:p>
    <w:p w14:paraId="2147B619" w14:textId="6B73D870" w:rsidR="00B049C5" w:rsidRDefault="002A20BE" w:rsidP="00EA7AE9">
      <w:pPr>
        <w:keepNext w:val="0"/>
        <w:spacing w:before="0"/>
        <w:rPr>
          <w:rFonts w:eastAsia="Arial" w:cs="Arial"/>
          <w:b/>
          <w:bCs/>
          <w:i/>
          <w:iCs/>
          <w:color w:val="auto"/>
        </w:rPr>
      </w:pPr>
      <w:r w:rsidRPr="002A20BE">
        <w:rPr>
          <w:rFonts w:eastAsia="Arial" w:cs="Arial"/>
          <w:b/>
          <w:bCs/>
          <w:i/>
          <w:iCs/>
          <w:noProof/>
          <w:color w:val="auto"/>
        </w:rPr>
        <w:lastRenderedPageBreak/>
        <mc:AlternateContent>
          <mc:Choice Requires="wps">
            <w:drawing>
              <wp:inline distT="0" distB="0" distL="0" distR="0" wp14:anchorId="06399240" wp14:editId="4D9BD2A3">
                <wp:extent cx="5400675" cy="3857625"/>
                <wp:effectExtent l="19050" t="19050" r="28575" b="28575"/>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675" cy="3857625"/>
                        </a:xfrm>
                        <a:prstGeom prst="rect">
                          <a:avLst/>
                        </a:prstGeom>
                        <a:solidFill>
                          <a:schemeClr val="accent6">
                            <a:lumMod val="20000"/>
                            <a:lumOff val="80000"/>
                          </a:schemeClr>
                        </a:solidFill>
                        <a:ln w="38100">
                          <a:solidFill>
                            <a:schemeClr val="accent6">
                              <a:lumMod val="75000"/>
                            </a:schemeClr>
                          </a:solidFill>
                          <a:miter lim="800000"/>
                          <a:headEnd/>
                          <a:tailEnd/>
                        </a:ln>
                      </wps:spPr>
                      <wps:linkedTxbx id="1" seq="1"/>
                      <wps:bodyPr rot="0" vert="horz" wrap="square" lIns="91440" tIns="45720" rIns="91440" bIns="45720" anchor="t" anchorCtr="0">
                        <a:noAutofit/>
                      </wps:bodyPr>
                    </wps:wsp>
                  </a:graphicData>
                </a:graphic>
              </wp:inline>
            </w:drawing>
          </mc:Choice>
          <mc:Fallback>
            <w:pict>
              <v:shape w14:anchorId="06399240" id="Text Box 2" o:spid="_x0000_s1027" type="#_x0000_t202" style="width:425.25pt;height:30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" fillcolor="#e2efd9 [665]" strokecolor="#538135 [2409]" strokeweight="3pt">
                <v:textbox>
                  <w:txbxContent/>
                </v:textbox>
                <w10:anchorlock/>
              </v:shape>
            </w:pict>
          </mc:Fallback>
        </mc:AlternateContent>
      </w:r>
    </w:p>
    <w:p w14:paraId="68BF0EF5" w14:textId="77777777" w:rsidR="00EA7AE9" w:rsidRDefault="00EA7AE9" w:rsidP="00CC6BDF">
      <w:pPr>
        <w:keepNext w:val="0"/>
        <w:spacing w:before="0"/>
        <w:ind w:left="851"/>
        <w:rPr>
          <w:rFonts w:eastAsia="Arial" w:cs="Arial"/>
          <w:b/>
          <w:bCs/>
          <w:color w:val="auto"/>
        </w:rPr>
      </w:pPr>
    </w:p>
    <w:p w14:paraId="510F4D27" w14:textId="564323BE" w:rsidR="00B81AB8" w:rsidRPr="003C7E62" w:rsidRDefault="00B81AB8" w:rsidP="00CC6BDF">
      <w:pPr>
        <w:keepNext w:val="0"/>
        <w:spacing w:before="0"/>
        <w:ind w:left="851"/>
        <w:rPr>
          <w:rFonts w:eastAsia="Arial" w:cs="Arial"/>
          <w:b/>
          <w:bCs/>
          <w:i/>
          <w:iCs/>
          <w:color w:val="auto"/>
        </w:rPr>
      </w:pPr>
      <w:r w:rsidRPr="003C7E62">
        <w:rPr>
          <w:rFonts w:eastAsia="Arial" w:cs="Arial"/>
          <w:b/>
          <w:bCs/>
          <w:i/>
          <w:iCs/>
          <w:color w:val="auto"/>
        </w:rPr>
        <w:t xml:space="preserve">Strategic Objectives </w:t>
      </w:r>
    </w:p>
    <w:p w14:paraId="039E19B0" w14:textId="77777777" w:rsidR="00B81AB8" w:rsidRPr="003C7E62" w:rsidRDefault="00B81AB8" w:rsidP="00606546">
      <w:pPr>
        <w:keepNext w:val="0"/>
        <w:spacing w:before="0"/>
        <w:rPr>
          <w:rFonts w:cs="Arial"/>
          <w:color w:val="auto"/>
          <w:szCs w:val="24"/>
          <w:lang w:val="en-US" w:eastAsia="en-US"/>
        </w:rPr>
      </w:pPr>
    </w:p>
    <w:p w14:paraId="170A14C6" w14:textId="48477AEB" w:rsidR="003D2A07" w:rsidRPr="003C7E62" w:rsidRDefault="003D2A07" w:rsidP="00874A98">
      <w:pPr>
        <w:pStyle w:val="ListParagraph"/>
        <w:numPr>
          <w:ilvl w:val="1"/>
          <w:numId w:val="90"/>
        </w:numPr>
        <w:spacing w:after="0" w:line="240" w:lineRule="auto"/>
        <w:ind w:left="851" w:hanging="851"/>
        <w:rPr>
          <w:rFonts w:ascii="Arial" w:hAnsi="Arial" w:cs="Arial"/>
          <w:color w:val="auto"/>
          <w:szCs w:val="24"/>
          <w:lang w:val="en-US"/>
        </w:rPr>
      </w:pPr>
      <w:r w:rsidRPr="003C7E62">
        <w:rPr>
          <w:rFonts w:ascii="Arial" w:eastAsia="Arial" w:hAnsi="Arial" w:cs="Arial"/>
          <w:color w:val="auto"/>
        </w:rPr>
        <w:t>The following strategic objectives have been identified as central to achieving the delivery of the vision for Ashfield</w:t>
      </w:r>
      <w:r w:rsidR="00622E46" w:rsidRPr="003C7E62">
        <w:rPr>
          <w:rFonts w:ascii="Arial" w:eastAsia="Arial" w:hAnsi="Arial" w:cs="Arial"/>
          <w:color w:val="auto"/>
        </w:rPr>
        <w:t xml:space="preserve">. </w:t>
      </w:r>
    </w:p>
    <w:p w14:paraId="07666845" w14:textId="7EBAD995" w:rsidR="003D2A07" w:rsidRPr="003C7E62" w:rsidRDefault="003D2A07" w:rsidP="00606546">
      <w:pPr>
        <w:keepNext w:val="0"/>
        <w:spacing w:before="0"/>
        <w:ind w:left="525"/>
        <w:rPr>
          <w:rFonts w:eastAsia="Arial" w:cs="Arial"/>
          <w:color w:val="538135"/>
        </w:rPr>
      </w:pPr>
      <w:bookmarkStart w:id="28" w:name="_Hlk83706108"/>
    </w:p>
    <w:tbl>
      <w:tblPr>
        <w:tblStyle w:val="TableGrid4"/>
        <w:tblW w:w="9634" w:type="dxa"/>
        <w:tblLook w:val="04A0" w:firstRow="1" w:lastRow="0" w:firstColumn="1" w:lastColumn="0" w:noHBand="0" w:noVBand="1"/>
      </w:tblPr>
      <w:tblGrid>
        <w:gridCol w:w="900"/>
        <w:gridCol w:w="1080"/>
        <w:gridCol w:w="7654"/>
      </w:tblGrid>
      <w:tr w:rsidR="001B5662" w:rsidRPr="003C7E62" w14:paraId="7943FBEA" w14:textId="77777777" w:rsidTr="006C6E8A">
        <w:trPr>
          <w:cantSplit/>
          <w:trHeight w:val="1134"/>
        </w:trPr>
        <w:tc>
          <w:tcPr>
            <w:tcW w:w="900" w:type="dxa"/>
            <w:shd w:val="clear" w:color="auto" w:fill="FFF2CC" w:themeFill="accent4" w:themeFillTint="33"/>
            <w:textDirection w:val="btLr"/>
            <w:vAlign w:val="center"/>
          </w:tcPr>
          <w:p w14:paraId="6F238FCE" w14:textId="27649870" w:rsidR="001B5662" w:rsidRPr="003C7E62" w:rsidRDefault="001B5662" w:rsidP="001B5662">
            <w:pPr>
              <w:keepNext w:val="0"/>
              <w:spacing w:before="0" w:line="276" w:lineRule="auto"/>
              <w:jc w:val="center"/>
              <w:rPr>
                <w:rFonts w:cs="Arial"/>
                <w:b/>
                <w:color w:val="auto"/>
              </w:rPr>
            </w:pPr>
            <w:r w:rsidRPr="006E6F68">
              <w:rPr>
                <w:rFonts w:cs="Arial"/>
                <w:b/>
              </w:rPr>
              <w:t>The Community</w:t>
            </w:r>
          </w:p>
        </w:tc>
        <w:tc>
          <w:tcPr>
            <w:tcW w:w="1080" w:type="dxa"/>
          </w:tcPr>
          <w:p w14:paraId="2B454198" w14:textId="7CB2B701" w:rsidR="001B5662" w:rsidRPr="003C7E62" w:rsidRDefault="001B5662" w:rsidP="001B5662">
            <w:pPr>
              <w:keepNext w:val="0"/>
              <w:spacing w:before="0" w:line="276" w:lineRule="auto"/>
              <w:rPr>
                <w:rFonts w:cs="Arial"/>
                <w:b/>
                <w:color w:val="auto"/>
              </w:rPr>
            </w:pPr>
            <w:r w:rsidRPr="003C7E62">
              <w:rPr>
                <w:rFonts w:cs="Arial"/>
                <w:b/>
                <w:color w:val="auto"/>
              </w:rPr>
              <w:t xml:space="preserve">SO1 </w:t>
            </w:r>
          </w:p>
        </w:tc>
        <w:tc>
          <w:tcPr>
            <w:tcW w:w="7654" w:type="dxa"/>
          </w:tcPr>
          <w:p w14:paraId="1AF22064" w14:textId="58C5810B" w:rsidR="001B5662" w:rsidRPr="003C7E62" w:rsidRDefault="001B5662" w:rsidP="001B5662">
            <w:pPr>
              <w:keepNext w:val="0"/>
              <w:spacing w:before="0" w:line="276" w:lineRule="auto"/>
              <w:rPr>
                <w:rFonts w:cs="Arial"/>
                <w:b/>
                <w:color w:val="auto"/>
                <w:sz w:val="20"/>
              </w:rPr>
            </w:pPr>
            <w:r w:rsidRPr="003C7E62">
              <w:rPr>
                <w:rFonts w:cs="Arial"/>
                <w:b/>
                <w:color w:val="auto"/>
                <w:sz w:val="20"/>
              </w:rPr>
              <w:t>Facilitate Place Making</w:t>
            </w:r>
          </w:p>
          <w:p w14:paraId="6B2AA278" w14:textId="77777777" w:rsidR="001B5662" w:rsidRPr="003C7E62" w:rsidRDefault="001B5662" w:rsidP="001B5662">
            <w:pPr>
              <w:keepNext w:val="0"/>
              <w:spacing w:before="0" w:line="276" w:lineRule="auto"/>
              <w:rPr>
                <w:rFonts w:cs="Arial"/>
                <w:b/>
                <w:color w:val="auto"/>
                <w:sz w:val="20"/>
              </w:rPr>
            </w:pPr>
          </w:p>
          <w:p w14:paraId="55D14A55" w14:textId="77777777" w:rsidR="001B5662" w:rsidRPr="003C7E62" w:rsidRDefault="001B5662" w:rsidP="006C6E8A">
            <w:pPr>
              <w:keepNext w:val="0"/>
              <w:spacing w:before="0" w:line="276" w:lineRule="auto"/>
              <w:jc w:val="left"/>
              <w:rPr>
                <w:rFonts w:cs="Arial"/>
                <w:color w:val="auto"/>
                <w:sz w:val="20"/>
              </w:rPr>
            </w:pPr>
            <w:bookmarkStart w:id="29" w:name="_Hlk82272209"/>
            <w:r w:rsidRPr="003C7E62">
              <w:rPr>
                <w:rFonts w:cs="Arial"/>
                <w:color w:val="auto"/>
                <w:sz w:val="20"/>
              </w:rPr>
              <w:t>Ensure that place making is at the heart of the delivery of high quality well designed neighbourhoods and developments by:</w:t>
            </w:r>
          </w:p>
          <w:bookmarkEnd w:id="29"/>
          <w:p w14:paraId="591D8CF3" w14:textId="77777777" w:rsidR="001B5662" w:rsidRPr="003C7E62" w:rsidRDefault="001B5662" w:rsidP="006C6E8A">
            <w:pPr>
              <w:keepNext w:val="0"/>
              <w:numPr>
                <w:ilvl w:val="0"/>
                <w:numId w:val="66"/>
              </w:numPr>
              <w:spacing w:before="0" w:line="276" w:lineRule="auto"/>
              <w:ind w:left="315" w:hanging="284"/>
              <w:contextualSpacing/>
              <w:jc w:val="left"/>
              <w:rPr>
                <w:rFonts w:cs="Arial"/>
                <w:color w:val="auto"/>
                <w:sz w:val="20"/>
              </w:rPr>
            </w:pPr>
            <w:r w:rsidRPr="003C7E62">
              <w:rPr>
                <w:rFonts w:cs="Arial"/>
                <w:color w:val="auto"/>
                <w:sz w:val="20"/>
              </w:rPr>
              <w:t>Creating, safe, welcoming and adaptable places that enhance local character and support communities.</w:t>
            </w:r>
          </w:p>
          <w:p w14:paraId="5DB51999" w14:textId="77777777" w:rsidR="001B5662" w:rsidRPr="003C7E62" w:rsidRDefault="001B5662" w:rsidP="006C6E8A">
            <w:pPr>
              <w:keepNext w:val="0"/>
              <w:numPr>
                <w:ilvl w:val="0"/>
                <w:numId w:val="66"/>
              </w:numPr>
              <w:tabs>
                <w:tab w:val="left" w:pos="680"/>
              </w:tabs>
              <w:spacing w:before="0" w:line="276" w:lineRule="auto"/>
              <w:ind w:left="315" w:hanging="284"/>
              <w:contextualSpacing/>
              <w:jc w:val="left"/>
              <w:rPr>
                <w:rFonts w:cs="Arial"/>
                <w:color w:val="auto"/>
                <w:sz w:val="20"/>
              </w:rPr>
            </w:pPr>
            <w:r w:rsidRPr="003C7E62">
              <w:rPr>
                <w:rFonts w:cs="Arial"/>
                <w:color w:val="auto"/>
                <w:sz w:val="20"/>
              </w:rPr>
              <w:t xml:space="preserve">Providing attractive and accessible green spaces to encourage healthy lifestyles. </w:t>
            </w:r>
          </w:p>
          <w:p w14:paraId="07A3DBD3" w14:textId="77777777" w:rsidR="001B5662" w:rsidRPr="003C7E62" w:rsidRDefault="001B5662" w:rsidP="006C6E8A">
            <w:pPr>
              <w:keepNext w:val="0"/>
              <w:numPr>
                <w:ilvl w:val="0"/>
                <w:numId w:val="66"/>
              </w:numPr>
              <w:tabs>
                <w:tab w:val="left" w:pos="680"/>
              </w:tabs>
              <w:spacing w:before="0" w:line="276" w:lineRule="auto"/>
              <w:ind w:left="315" w:hanging="284"/>
              <w:contextualSpacing/>
              <w:jc w:val="left"/>
              <w:rPr>
                <w:rFonts w:cs="Arial"/>
                <w:color w:val="auto"/>
                <w:sz w:val="20"/>
              </w:rPr>
            </w:pPr>
            <w:r w:rsidRPr="003C7E62">
              <w:rPr>
                <w:rFonts w:cs="Arial"/>
                <w:color w:val="auto"/>
                <w:sz w:val="20"/>
              </w:rPr>
              <w:t>Identifying strategic gaps between settlements to prevent coalescence.</w:t>
            </w:r>
          </w:p>
          <w:p w14:paraId="3434EDF1" w14:textId="77777777" w:rsidR="001B5662" w:rsidRPr="003C7E62" w:rsidRDefault="001B5662" w:rsidP="006C6E8A">
            <w:pPr>
              <w:keepNext w:val="0"/>
              <w:numPr>
                <w:ilvl w:val="0"/>
                <w:numId w:val="66"/>
              </w:numPr>
              <w:tabs>
                <w:tab w:val="left" w:pos="680"/>
              </w:tabs>
              <w:spacing w:before="0" w:line="276" w:lineRule="auto"/>
              <w:ind w:left="315" w:hanging="284"/>
              <w:contextualSpacing/>
              <w:jc w:val="left"/>
              <w:rPr>
                <w:rFonts w:cs="Arial"/>
                <w:color w:val="auto"/>
                <w:sz w:val="20"/>
              </w:rPr>
            </w:pPr>
            <w:r w:rsidRPr="003C7E62">
              <w:rPr>
                <w:rFonts w:cs="Arial"/>
                <w:color w:val="auto"/>
                <w:sz w:val="20"/>
              </w:rPr>
              <w:t xml:space="preserve">Creating sustainable places that contribute to people’s health and wellbeing and function well for the purpose they were designed. </w:t>
            </w:r>
          </w:p>
          <w:p w14:paraId="6D990A8B" w14:textId="77777777" w:rsidR="001B5662" w:rsidRPr="003C7E62" w:rsidRDefault="001B5662" w:rsidP="006C6E8A">
            <w:pPr>
              <w:keepNext w:val="0"/>
              <w:numPr>
                <w:ilvl w:val="0"/>
                <w:numId w:val="66"/>
              </w:numPr>
              <w:tabs>
                <w:tab w:val="left" w:pos="680"/>
              </w:tabs>
              <w:spacing w:before="0" w:line="276" w:lineRule="auto"/>
              <w:ind w:left="315" w:hanging="284"/>
              <w:contextualSpacing/>
              <w:jc w:val="left"/>
              <w:rPr>
                <w:rFonts w:cs="Arial"/>
                <w:color w:val="auto"/>
                <w:sz w:val="20"/>
              </w:rPr>
            </w:pPr>
            <w:r w:rsidRPr="003C7E62">
              <w:rPr>
                <w:rFonts w:cs="Arial"/>
                <w:color w:val="auto"/>
                <w:sz w:val="20"/>
              </w:rPr>
              <w:t>Reducing energy needs by adopting sustainable energy measures.</w:t>
            </w:r>
          </w:p>
          <w:p w14:paraId="55C1C57D" w14:textId="77777777" w:rsidR="001B5662" w:rsidRPr="001B5662" w:rsidRDefault="001B5662" w:rsidP="006C6E8A">
            <w:pPr>
              <w:keepNext w:val="0"/>
              <w:numPr>
                <w:ilvl w:val="0"/>
                <w:numId w:val="66"/>
              </w:numPr>
              <w:tabs>
                <w:tab w:val="left" w:pos="680"/>
              </w:tabs>
              <w:spacing w:before="0" w:line="276" w:lineRule="auto"/>
              <w:ind w:left="315" w:hanging="284"/>
              <w:contextualSpacing/>
              <w:jc w:val="left"/>
              <w:rPr>
                <w:rFonts w:cs="Arial"/>
                <w:b/>
                <w:color w:val="auto"/>
              </w:rPr>
            </w:pPr>
            <w:r w:rsidRPr="003C7E62">
              <w:rPr>
                <w:rFonts w:cs="Arial"/>
                <w:color w:val="auto"/>
                <w:sz w:val="20"/>
              </w:rPr>
              <w:t>Promoting greater community pride and ownership in an area.</w:t>
            </w:r>
          </w:p>
          <w:p w14:paraId="23366817" w14:textId="32893BA4" w:rsidR="001B5662" w:rsidRPr="003C7E62" w:rsidRDefault="001B5662" w:rsidP="001B5662">
            <w:pPr>
              <w:keepNext w:val="0"/>
              <w:tabs>
                <w:tab w:val="left" w:pos="680"/>
              </w:tabs>
              <w:spacing w:before="0" w:line="276" w:lineRule="auto"/>
              <w:ind w:left="315"/>
              <w:contextualSpacing/>
              <w:rPr>
                <w:rFonts w:cs="Arial"/>
                <w:b/>
                <w:color w:val="auto"/>
              </w:rPr>
            </w:pPr>
          </w:p>
        </w:tc>
      </w:tr>
      <w:tr w:rsidR="001B5662" w:rsidRPr="003C7E62" w14:paraId="00D19433" w14:textId="77777777" w:rsidTr="006C6E8A">
        <w:trPr>
          <w:cantSplit/>
          <w:trHeight w:val="1134"/>
        </w:trPr>
        <w:tc>
          <w:tcPr>
            <w:tcW w:w="900" w:type="dxa"/>
            <w:shd w:val="clear" w:color="auto" w:fill="FFF2CC" w:themeFill="accent4" w:themeFillTint="33"/>
            <w:textDirection w:val="btLr"/>
            <w:vAlign w:val="center"/>
          </w:tcPr>
          <w:p w14:paraId="301B2C74" w14:textId="6522B726" w:rsidR="001B5662" w:rsidRPr="003C7E62" w:rsidRDefault="001B5662" w:rsidP="001B5662">
            <w:pPr>
              <w:keepNext w:val="0"/>
              <w:spacing w:before="0"/>
              <w:ind w:left="113" w:right="113"/>
              <w:jc w:val="center"/>
              <w:rPr>
                <w:rFonts w:cs="Arial"/>
                <w:b/>
                <w:bCs/>
                <w:color w:val="auto"/>
              </w:rPr>
            </w:pPr>
            <w:r w:rsidRPr="006E6F68">
              <w:rPr>
                <w:rFonts w:cs="Arial"/>
                <w:b/>
              </w:rPr>
              <w:lastRenderedPageBreak/>
              <w:t>The Community</w:t>
            </w:r>
          </w:p>
        </w:tc>
        <w:tc>
          <w:tcPr>
            <w:tcW w:w="1080" w:type="dxa"/>
          </w:tcPr>
          <w:p w14:paraId="49614DB5" w14:textId="4250C826" w:rsidR="001B5662" w:rsidRPr="003C7E62" w:rsidRDefault="001B5662" w:rsidP="001B5662">
            <w:pPr>
              <w:keepNext w:val="0"/>
              <w:spacing w:before="0"/>
              <w:rPr>
                <w:rFonts w:cs="Arial"/>
                <w:b/>
                <w:bCs/>
                <w:color w:val="auto"/>
              </w:rPr>
            </w:pPr>
            <w:r w:rsidRPr="003C7E62">
              <w:rPr>
                <w:rFonts w:cs="Arial"/>
                <w:b/>
                <w:bCs/>
                <w:color w:val="auto"/>
              </w:rPr>
              <w:t>SO2</w:t>
            </w:r>
          </w:p>
        </w:tc>
        <w:tc>
          <w:tcPr>
            <w:tcW w:w="7654" w:type="dxa"/>
          </w:tcPr>
          <w:p w14:paraId="34EEEE9F" w14:textId="5CD03EEA" w:rsidR="001B5662" w:rsidRPr="003C7E62" w:rsidRDefault="001B5662" w:rsidP="001B5662">
            <w:pPr>
              <w:keepNext w:val="0"/>
              <w:spacing w:before="0" w:line="276" w:lineRule="auto"/>
              <w:rPr>
                <w:rFonts w:cs="Arial"/>
                <w:b/>
                <w:color w:val="auto"/>
                <w:sz w:val="20"/>
              </w:rPr>
            </w:pPr>
            <w:r w:rsidRPr="003C7E62">
              <w:rPr>
                <w:rFonts w:cs="Arial"/>
                <w:b/>
                <w:color w:val="auto"/>
                <w:sz w:val="20"/>
              </w:rPr>
              <w:t>Promote socially cohesive, healthy and active communities</w:t>
            </w:r>
          </w:p>
          <w:p w14:paraId="617EC9C6" w14:textId="77777777" w:rsidR="001B5662" w:rsidRPr="003C7E62" w:rsidRDefault="001B5662" w:rsidP="001B5662">
            <w:pPr>
              <w:keepNext w:val="0"/>
              <w:spacing w:before="0" w:line="276" w:lineRule="auto"/>
              <w:rPr>
                <w:rFonts w:cs="Arial"/>
                <w:b/>
                <w:color w:val="auto"/>
                <w:sz w:val="20"/>
              </w:rPr>
            </w:pPr>
          </w:p>
          <w:p w14:paraId="4D4529BF" w14:textId="77777777" w:rsidR="001B5662" w:rsidRPr="003C7E62" w:rsidRDefault="001B5662" w:rsidP="001B5662">
            <w:pPr>
              <w:keepNext w:val="0"/>
              <w:spacing w:before="0" w:line="276" w:lineRule="auto"/>
              <w:rPr>
                <w:rFonts w:cs="Arial"/>
                <w:color w:val="auto"/>
                <w:sz w:val="20"/>
              </w:rPr>
            </w:pPr>
            <w:r w:rsidRPr="003C7E62">
              <w:rPr>
                <w:rFonts w:cs="Arial"/>
                <w:color w:val="auto"/>
                <w:sz w:val="20"/>
              </w:rPr>
              <w:t>Promote social inclusion, healthier life styles and improve the health and wellbeing of the population by:</w:t>
            </w:r>
          </w:p>
          <w:p w14:paraId="715F5202" w14:textId="77777777" w:rsidR="001B5662" w:rsidRPr="003C7E62" w:rsidRDefault="001B5662" w:rsidP="00874A98">
            <w:pPr>
              <w:keepNext w:val="0"/>
              <w:numPr>
                <w:ilvl w:val="0"/>
                <w:numId w:val="67"/>
              </w:numPr>
              <w:spacing w:before="0" w:line="276" w:lineRule="auto"/>
              <w:ind w:left="315" w:hanging="284"/>
              <w:contextualSpacing/>
              <w:rPr>
                <w:rFonts w:cs="Arial"/>
                <w:b/>
                <w:color w:val="auto"/>
                <w:sz w:val="20"/>
              </w:rPr>
            </w:pPr>
            <w:r w:rsidRPr="003C7E62">
              <w:rPr>
                <w:rFonts w:cs="Arial"/>
                <w:color w:val="auto"/>
                <w:sz w:val="20"/>
              </w:rPr>
              <w:t>Working with healthcare partners to deliver improved and, where required, new health and social care facilities.</w:t>
            </w:r>
          </w:p>
          <w:p w14:paraId="70DA1DD2" w14:textId="77777777" w:rsidR="001B5662" w:rsidRPr="003C7E62" w:rsidRDefault="001B5662" w:rsidP="00874A98">
            <w:pPr>
              <w:keepNext w:val="0"/>
              <w:numPr>
                <w:ilvl w:val="0"/>
                <w:numId w:val="67"/>
              </w:numPr>
              <w:tabs>
                <w:tab w:val="left" w:pos="680"/>
              </w:tabs>
              <w:spacing w:before="0" w:line="276" w:lineRule="auto"/>
              <w:ind w:left="315" w:hanging="284"/>
              <w:contextualSpacing/>
              <w:rPr>
                <w:rFonts w:cs="Arial"/>
                <w:b/>
                <w:color w:val="auto"/>
                <w:sz w:val="20"/>
              </w:rPr>
            </w:pPr>
            <w:r w:rsidRPr="003C7E62">
              <w:rPr>
                <w:rFonts w:cs="Arial"/>
                <w:color w:val="auto"/>
                <w:sz w:val="20"/>
              </w:rPr>
              <w:t>Facilitating involvement for all in the social and economic life of the community through the location and design of development and supporting infrastructure.</w:t>
            </w:r>
          </w:p>
          <w:p w14:paraId="7AB6EE4E" w14:textId="77777777" w:rsidR="001B5662" w:rsidRPr="003C7E62" w:rsidRDefault="001B5662" w:rsidP="00874A98">
            <w:pPr>
              <w:keepNext w:val="0"/>
              <w:numPr>
                <w:ilvl w:val="0"/>
                <w:numId w:val="67"/>
              </w:numPr>
              <w:tabs>
                <w:tab w:val="left" w:pos="680"/>
              </w:tabs>
              <w:spacing w:before="0" w:line="276" w:lineRule="auto"/>
              <w:ind w:left="315" w:hanging="284"/>
              <w:contextualSpacing/>
              <w:rPr>
                <w:rFonts w:cs="Arial"/>
                <w:b/>
                <w:color w:val="auto"/>
                <w:sz w:val="20"/>
              </w:rPr>
            </w:pPr>
            <w:r w:rsidRPr="003C7E62">
              <w:rPr>
                <w:rFonts w:cs="Arial"/>
                <w:color w:val="auto"/>
                <w:sz w:val="20"/>
              </w:rPr>
              <w:t>Improving community safety, reduce crime and the fear of crime through the development of good quality well planned environments.</w:t>
            </w:r>
          </w:p>
          <w:p w14:paraId="56E131A0" w14:textId="77777777" w:rsidR="001B5662" w:rsidRPr="003C7E62" w:rsidRDefault="001B5662" w:rsidP="00874A98">
            <w:pPr>
              <w:keepNext w:val="0"/>
              <w:numPr>
                <w:ilvl w:val="0"/>
                <w:numId w:val="67"/>
              </w:numPr>
              <w:tabs>
                <w:tab w:val="left" w:pos="680"/>
              </w:tabs>
              <w:spacing w:before="0" w:line="276" w:lineRule="auto"/>
              <w:ind w:left="315" w:hanging="284"/>
              <w:contextualSpacing/>
              <w:rPr>
                <w:rFonts w:cs="Arial"/>
                <w:b/>
                <w:color w:val="auto"/>
                <w:sz w:val="20"/>
              </w:rPr>
            </w:pPr>
            <w:r w:rsidRPr="003C7E62">
              <w:rPr>
                <w:rFonts w:cs="Arial"/>
                <w:color w:val="auto"/>
                <w:sz w:val="20"/>
              </w:rPr>
              <w:t>Improving access to the countryside, recreational, leisure and cultural facilities.</w:t>
            </w:r>
          </w:p>
          <w:p w14:paraId="1839BABE" w14:textId="77777777" w:rsidR="001B5662" w:rsidRPr="003C7E62" w:rsidRDefault="001B5662" w:rsidP="00874A98">
            <w:pPr>
              <w:keepNext w:val="0"/>
              <w:numPr>
                <w:ilvl w:val="0"/>
                <w:numId w:val="67"/>
              </w:numPr>
              <w:tabs>
                <w:tab w:val="left" w:pos="680"/>
              </w:tabs>
              <w:spacing w:before="0" w:line="276" w:lineRule="auto"/>
              <w:ind w:left="315" w:hanging="284"/>
              <w:contextualSpacing/>
              <w:rPr>
                <w:rFonts w:cs="Arial"/>
                <w:b/>
                <w:color w:val="auto"/>
                <w:sz w:val="20"/>
              </w:rPr>
            </w:pPr>
            <w:r w:rsidRPr="003C7E62">
              <w:rPr>
                <w:rFonts w:cs="Arial"/>
                <w:color w:val="auto"/>
                <w:sz w:val="20"/>
              </w:rPr>
              <w:t>Addresses issues of air quality.</w:t>
            </w:r>
          </w:p>
          <w:p w14:paraId="7CB8AE2D" w14:textId="77777777" w:rsidR="001B5662" w:rsidRDefault="001B5662" w:rsidP="00874A98">
            <w:pPr>
              <w:keepNext w:val="0"/>
              <w:numPr>
                <w:ilvl w:val="0"/>
                <w:numId w:val="67"/>
              </w:numPr>
              <w:tabs>
                <w:tab w:val="left" w:pos="680"/>
              </w:tabs>
              <w:autoSpaceDE w:val="0"/>
              <w:autoSpaceDN w:val="0"/>
              <w:adjustRightInd w:val="0"/>
              <w:spacing w:before="0"/>
              <w:ind w:left="315" w:hanging="284"/>
              <w:contextualSpacing/>
              <w:rPr>
                <w:rFonts w:cs="Arial"/>
                <w:color w:val="auto"/>
                <w:sz w:val="20"/>
              </w:rPr>
            </w:pPr>
            <w:r w:rsidRPr="003C7E62">
              <w:rPr>
                <w:rFonts w:cs="Arial"/>
                <w:color w:val="auto"/>
                <w:sz w:val="20"/>
              </w:rPr>
              <w:t xml:space="preserve">Facilitating walking and cycling to work, to services and for leisure. </w:t>
            </w:r>
          </w:p>
          <w:p w14:paraId="2089FAA7" w14:textId="77777777" w:rsidR="006A2145" w:rsidRDefault="006A2145" w:rsidP="006A2145">
            <w:pPr>
              <w:keepNext w:val="0"/>
              <w:tabs>
                <w:tab w:val="left" w:pos="680"/>
              </w:tabs>
              <w:autoSpaceDE w:val="0"/>
              <w:autoSpaceDN w:val="0"/>
              <w:adjustRightInd w:val="0"/>
              <w:spacing w:before="0"/>
              <w:ind w:left="315"/>
              <w:contextualSpacing/>
              <w:rPr>
                <w:rFonts w:cs="Arial"/>
                <w:color w:val="auto"/>
                <w:sz w:val="20"/>
              </w:rPr>
            </w:pPr>
          </w:p>
          <w:p w14:paraId="75431F04" w14:textId="77777777" w:rsidR="006A2145" w:rsidRDefault="006A2145" w:rsidP="006A2145">
            <w:pPr>
              <w:keepNext w:val="0"/>
              <w:tabs>
                <w:tab w:val="left" w:pos="680"/>
              </w:tabs>
              <w:autoSpaceDE w:val="0"/>
              <w:autoSpaceDN w:val="0"/>
              <w:adjustRightInd w:val="0"/>
              <w:spacing w:before="0"/>
              <w:ind w:left="315"/>
              <w:contextualSpacing/>
              <w:rPr>
                <w:rFonts w:cs="Arial"/>
                <w:color w:val="auto"/>
                <w:sz w:val="20"/>
              </w:rPr>
            </w:pPr>
          </w:p>
          <w:p w14:paraId="79BDC8E9" w14:textId="21D4D33E" w:rsidR="001B5662" w:rsidRPr="003C7E62" w:rsidRDefault="001B5662" w:rsidP="001B5662">
            <w:pPr>
              <w:keepNext w:val="0"/>
              <w:tabs>
                <w:tab w:val="left" w:pos="680"/>
              </w:tabs>
              <w:autoSpaceDE w:val="0"/>
              <w:autoSpaceDN w:val="0"/>
              <w:adjustRightInd w:val="0"/>
              <w:spacing w:before="0"/>
              <w:ind w:left="315"/>
              <w:contextualSpacing/>
              <w:rPr>
                <w:rFonts w:cs="Arial"/>
                <w:color w:val="auto"/>
                <w:sz w:val="20"/>
              </w:rPr>
            </w:pPr>
          </w:p>
        </w:tc>
      </w:tr>
      <w:tr w:rsidR="001B5662" w:rsidRPr="003C7E62" w14:paraId="0440F2B1" w14:textId="77777777" w:rsidTr="006C6E8A">
        <w:tc>
          <w:tcPr>
            <w:tcW w:w="900" w:type="dxa"/>
            <w:shd w:val="clear" w:color="auto" w:fill="FFF2CC" w:themeFill="accent4" w:themeFillTint="33"/>
            <w:textDirection w:val="btLr"/>
            <w:vAlign w:val="center"/>
          </w:tcPr>
          <w:p w14:paraId="170434EC" w14:textId="1F77602B" w:rsidR="001B5662" w:rsidRPr="003C7E62" w:rsidRDefault="001B5662" w:rsidP="001B5662">
            <w:pPr>
              <w:keepNext w:val="0"/>
              <w:spacing w:before="0"/>
              <w:jc w:val="center"/>
              <w:rPr>
                <w:rFonts w:cs="Arial"/>
                <w:b/>
                <w:bCs/>
                <w:color w:val="auto"/>
              </w:rPr>
            </w:pPr>
            <w:r w:rsidRPr="006E6F68">
              <w:rPr>
                <w:rFonts w:cs="Arial"/>
                <w:b/>
              </w:rPr>
              <w:t>The Community</w:t>
            </w:r>
          </w:p>
        </w:tc>
        <w:tc>
          <w:tcPr>
            <w:tcW w:w="1080" w:type="dxa"/>
          </w:tcPr>
          <w:p w14:paraId="41A86028" w14:textId="1D851F08" w:rsidR="001B5662" w:rsidRPr="003C7E62" w:rsidRDefault="001B5662" w:rsidP="001B5662">
            <w:pPr>
              <w:keepNext w:val="0"/>
              <w:spacing w:before="0"/>
              <w:rPr>
                <w:rFonts w:cs="Arial"/>
                <w:b/>
                <w:bCs/>
                <w:color w:val="auto"/>
              </w:rPr>
            </w:pPr>
            <w:r w:rsidRPr="003C7E62">
              <w:rPr>
                <w:rFonts w:cs="Arial"/>
                <w:b/>
                <w:bCs/>
                <w:color w:val="auto"/>
              </w:rPr>
              <w:t>SO3</w:t>
            </w:r>
          </w:p>
        </w:tc>
        <w:tc>
          <w:tcPr>
            <w:tcW w:w="7654" w:type="dxa"/>
          </w:tcPr>
          <w:p w14:paraId="737DBAE0" w14:textId="3C0A8BE6" w:rsidR="001B5662" w:rsidRPr="003C7E62" w:rsidRDefault="001B5662" w:rsidP="001B5662">
            <w:pPr>
              <w:keepNext w:val="0"/>
              <w:spacing w:before="0" w:line="276" w:lineRule="auto"/>
              <w:rPr>
                <w:rFonts w:cs="Arial"/>
                <w:b/>
                <w:color w:val="auto"/>
                <w:sz w:val="20"/>
              </w:rPr>
            </w:pPr>
            <w:r w:rsidRPr="003C7E62">
              <w:rPr>
                <w:rFonts w:cs="Arial"/>
                <w:b/>
                <w:color w:val="auto"/>
                <w:sz w:val="20"/>
              </w:rPr>
              <w:t>Meeting Local Housing Needs and Aspirations</w:t>
            </w:r>
          </w:p>
          <w:p w14:paraId="2A5C5255" w14:textId="77777777" w:rsidR="001B5662" w:rsidRPr="003C7E62" w:rsidRDefault="001B5662" w:rsidP="001B5662">
            <w:pPr>
              <w:keepNext w:val="0"/>
              <w:spacing w:before="0" w:line="276" w:lineRule="auto"/>
              <w:rPr>
                <w:rFonts w:cs="Arial"/>
                <w:b/>
                <w:color w:val="auto"/>
                <w:sz w:val="20"/>
              </w:rPr>
            </w:pPr>
          </w:p>
          <w:p w14:paraId="39771AE3" w14:textId="77777777" w:rsidR="001B5662" w:rsidRPr="003C7E62" w:rsidRDefault="001B5662" w:rsidP="001B5662">
            <w:pPr>
              <w:keepNext w:val="0"/>
              <w:spacing w:before="0" w:line="276" w:lineRule="auto"/>
              <w:rPr>
                <w:rFonts w:cs="Arial"/>
                <w:color w:val="auto"/>
                <w:sz w:val="20"/>
              </w:rPr>
            </w:pPr>
            <w:r w:rsidRPr="003C7E62">
              <w:rPr>
                <w:rFonts w:cs="Arial"/>
                <w:color w:val="auto"/>
                <w:sz w:val="20"/>
              </w:rPr>
              <w:t>To meet local housing needs and aspirations by:</w:t>
            </w:r>
          </w:p>
          <w:p w14:paraId="294F4584" w14:textId="77777777" w:rsidR="001B5662" w:rsidRPr="003C7E62" w:rsidRDefault="001B5662" w:rsidP="00874A98">
            <w:pPr>
              <w:keepNext w:val="0"/>
              <w:numPr>
                <w:ilvl w:val="0"/>
                <w:numId w:val="68"/>
              </w:numPr>
              <w:spacing w:before="0" w:line="276" w:lineRule="auto"/>
              <w:ind w:left="315" w:hanging="284"/>
              <w:contextualSpacing/>
              <w:rPr>
                <w:rFonts w:cs="Arial"/>
                <w:color w:val="auto"/>
                <w:sz w:val="20"/>
              </w:rPr>
            </w:pPr>
            <w:r w:rsidRPr="003C7E62">
              <w:rPr>
                <w:rFonts w:cs="Arial"/>
                <w:color w:val="auto"/>
                <w:sz w:val="20"/>
              </w:rPr>
              <w:t>Supporting the delivery of well-designed good quality, new homes at densities, which respect local character.</w:t>
            </w:r>
          </w:p>
          <w:p w14:paraId="612AA4A1" w14:textId="77777777" w:rsidR="001B5662" w:rsidRPr="003C7E62" w:rsidRDefault="001B5662" w:rsidP="00874A98">
            <w:pPr>
              <w:keepNext w:val="0"/>
              <w:numPr>
                <w:ilvl w:val="0"/>
                <w:numId w:val="68"/>
              </w:numPr>
              <w:spacing w:before="0" w:line="276" w:lineRule="auto"/>
              <w:ind w:left="315" w:hanging="284"/>
              <w:contextualSpacing/>
              <w:rPr>
                <w:rFonts w:cs="Arial"/>
                <w:color w:val="auto"/>
                <w:sz w:val="20"/>
              </w:rPr>
            </w:pPr>
            <w:r w:rsidRPr="003C7E62">
              <w:rPr>
                <w:rFonts w:cs="Arial"/>
                <w:color w:val="auto"/>
                <w:sz w:val="20"/>
              </w:rPr>
              <w:t>Ensuring that development delivers a range of housing types and tenures to meet the needs of Ashfield’s existing and future households.</w:t>
            </w:r>
          </w:p>
          <w:p w14:paraId="3BFA9FDC" w14:textId="77777777" w:rsidR="001B5662" w:rsidRPr="003C7E62" w:rsidRDefault="001B5662" w:rsidP="00874A98">
            <w:pPr>
              <w:keepNext w:val="0"/>
              <w:numPr>
                <w:ilvl w:val="0"/>
                <w:numId w:val="68"/>
              </w:numPr>
              <w:spacing w:before="0" w:line="276" w:lineRule="auto"/>
              <w:ind w:left="315" w:hanging="284"/>
              <w:contextualSpacing/>
              <w:rPr>
                <w:rFonts w:cs="Arial"/>
                <w:color w:val="auto"/>
                <w:sz w:val="20"/>
              </w:rPr>
            </w:pPr>
            <w:r w:rsidRPr="003C7E62">
              <w:rPr>
                <w:rFonts w:cs="Arial"/>
                <w:color w:val="auto"/>
                <w:sz w:val="20"/>
              </w:rPr>
              <w:t>Enabling people to live independently longer including provision of adaptable, accessible and specialist homes.</w:t>
            </w:r>
          </w:p>
          <w:p w14:paraId="18D39FEE" w14:textId="77777777" w:rsidR="001B5662" w:rsidRPr="003C7E62" w:rsidRDefault="001B5662" w:rsidP="00874A98">
            <w:pPr>
              <w:keepNext w:val="0"/>
              <w:numPr>
                <w:ilvl w:val="0"/>
                <w:numId w:val="68"/>
              </w:numPr>
              <w:spacing w:before="0" w:line="276" w:lineRule="auto"/>
              <w:ind w:left="315" w:hanging="284"/>
              <w:contextualSpacing/>
              <w:rPr>
                <w:rFonts w:cs="Arial"/>
                <w:color w:val="auto"/>
                <w:sz w:val="20"/>
              </w:rPr>
            </w:pPr>
            <w:r w:rsidRPr="003C7E62">
              <w:rPr>
                <w:rFonts w:cs="Arial"/>
                <w:color w:val="auto"/>
                <w:sz w:val="20"/>
              </w:rPr>
              <w:t>Increasing the supply of quality affordable homes to provide inclusive and mixed communities.</w:t>
            </w:r>
          </w:p>
          <w:p w14:paraId="50EA6E6D" w14:textId="77777777" w:rsidR="001B5662" w:rsidRDefault="001B5662" w:rsidP="00874A98">
            <w:pPr>
              <w:keepNext w:val="0"/>
              <w:numPr>
                <w:ilvl w:val="0"/>
                <w:numId w:val="68"/>
              </w:numPr>
              <w:spacing w:before="0" w:line="276" w:lineRule="auto"/>
              <w:ind w:left="315" w:hanging="284"/>
              <w:contextualSpacing/>
              <w:rPr>
                <w:rFonts w:cs="Arial"/>
                <w:color w:val="auto"/>
                <w:sz w:val="20"/>
              </w:rPr>
            </w:pPr>
            <w:r w:rsidRPr="003C7E62">
              <w:rPr>
                <w:rFonts w:cs="Arial"/>
                <w:color w:val="auto"/>
                <w:sz w:val="20"/>
              </w:rPr>
              <w:t>Meeting the accommodation needs of Gypsies, Travellers and Travelling Showpeople in appropriate locations.</w:t>
            </w:r>
          </w:p>
          <w:p w14:paraId="3074D80B" w14:textId="77777777" w:rsidR="006A2145" w:rsidRDefault="006A2145" w:rsidP="006A2145">
            <w:pPr>
              <w:keepNext w:val="0"/>
              <w:spacing w:before="0" w:line="276" w:lineRule="auto"/>
              <w:ind w:left="315"/>
              <w:contextualSpacing/>
              <w:rPr>
                <w:rFonts w:cs="Arial"/>
                <w:color w:val="auto"/>
                <w:sz w:val="20"/>
              </w:rPr>
            </w:pPr>
          </w:p>
          <w:p w14:paraId="09AB1B3F" w14:textId="17800815" w:rsidR="006A2145" w:rsidRPr="001B5662" w:rsidRDefault="006A2145" w:rsidP="006A2145">
            <w:pPr>
              <w:keepNext w:val="0"/>
              <w:spacing w:before="0" w:line="276" w:lineRule="auto"/>
              <w:ind w:left="315"/>
              <w:contextualSpacing/>
              <w:rPr>
                <w:rFonts w:cs="Arial"/>
                <w:color w:val="auto"/>
                <w:sz w:val="20"/>
              </w:rPr>
            </w:pPr>
          </w:p>
        </w:tc>
      </w:tr>
      <w:tr w:rsidR="001B5662" w:rsidRPr="003C7E62" w14:paraId="2927B354" w14:textId="77777777" w:rsidTr="006C6E8A">
        <w:tc>
          <w:tcPr>
            <w:tcW w:w="900" w:type="dxa"/>
            <w:shd w:val="clear" w:color="auto" w:fill="FFF2CC" w:themeFill="accent4" w:themeFillTint="33"/>
            <w:textDirection w:val="btLr"/>
            <w:vAlign w:val="center"/>
          </w:tcPr>
          <w:p w14:paraId="1B2017FC" w14:textId="1DC93B4F" w:rsidR="001B5662" w:rsidRPr="003C7E62" w:rsidRDefault="001B5662" w:rsidP="001B5662">
            <w:pPr>
              <w:keepNext w:val="0"/>
              <w:spacing w:before="0"/>
              <w:jc w:val="center"/>
              <w:rPr>
                <w:rFonts w:cs="Arial"/>
                <w:b/>
                <w:bCs/>
                <w:color w:val="auto"/>
              </w:rPr>
            </w:pPr>
            <w:r w:rsidRPr="006E6F68">
              <w:rPr>
                <w:rFonts w:cs="Arial"/>
                <w:b/>
              </w:rPr>
              <w:t>The Community</w:t>
            </w:r>
          </w:p>
        </w:tc>
        <w:tc>
          <w:tcPr>
            <w:tcW w:w="1080" w:type="dxa"/>
          </w:tcPr>
          <w:p w14:paraId="236890E1" w14:textId="176F125C" w:rsidR="001B5662" w:rsidRPr="003C7E62" w:rsidRDefault="001B5662" w:rsidP="001B5662">
            <w:pPr>
              <w:keepNext w:val="0"/>
              <w:spacing w:before="0"/>
              <w:rPr>
                <w:rFonts w:cs="Arial"/>
                <w:b/>
                <w:bCs/>
                <w:color w:val="auto"/>
              </w:rPr>
            </w:pPr>
            <w:r w:rsidRPr="003C7E62">
              <w:rPr>
                <w:rFonts w:cs="Arial"/>
                <w:b/>
                <w:bCs/>
                <w:color w:val="auto"/>
              </w:rPr>
              <w:t>SO4</w:t>
            </w:r>
          </w:p>
        </w:tc>
        <w:tc>
          <w:tcPr>
            <w:tcW w:w="7654" w:type="dxa"/>
          </w:tcPr>
          <w:p w14:paraId="7D8AD297" w14:textId="7BA5B7D0" w:rsidR="001B5662" w:rsidRPr="003C7E62" w:rsidRDefault="001B5662" w:rsidP="001B5662">
            <w:pPr>
              <w:keepNext w:val="0"/>
              <w:spacing w:before="0" w:line="276" w:lineRule="auto"/>
              <w:rPr>
                <w:rFonts w:cs="Arial"/>
                <w:b/>
                <w:color w:val="auto"/>
                <w:sz w:val="20"/>
              </w:rPr>
            </w:pPr>
            <w:r w:rsidRPr="003C7E62">
              <w:rPr>
                <w:rFonts w:cs="Arial"/>
                <w:b/>
                <w:color w:val="auto"/>
                <w:sz w:val="20"/>
              </w:rPr>
              <w:t>Timely and Viable Infrastructure</w:t>
            </w:r>
          </w:p>
          <w:p w14:paraId="1A5CBEAC" w14:textId="77777777" w:rsidR="001B5662" w:rsidRPr="003C7E62" w:rsidRDefault="001B5662" w:rsidP="001B5662">
            <w:pPr>
              <w:keepNext w:val="0"/>
              <w:spacing w:before="0" w:line="276" w:lineRule="auto"/>
              <w:rPr>
                <w:rFonts w:cs="Arial"/>
                <w:b/>
                <w:color w:val="auto"/>
                <w:sz w:val="20"/>
              </w:rPr>
            </w:pPr>
          </w:p>
          <w:p w14:paraId="51BDD64D" w14:textId="77777777" w:rsidR="001B5662" w:rsidRPr="003C7E62" w:rsidRDefault="001B5662" w:rsidP="001B5662">
            <w:pPr>
              <w:keepNext w:val="0"/>
              <w:spacing w:before="0" w:line="276" w:lineRule="auto"/>
              <w:rPr>
                <w:rFonts w:cs="Arial"/>
                <w:color w:val="auto"/>
                <w:sz w:val="20"/>
              </w:rPr>
            </w:pPr>
            <w:r w:rsidRPr="003C7E62">
              <w:rPr>
                <w:rFonts w:cs="Arial"/>
                <w:color w:val="auto"/>
                <w:sz w:val="20"/>
              </w:rPr>
              <w:t>Ensure necessary infrastructure is provided on a timely basis as part of new development for the benefit of new and existing residents. This includes:</w:t>
            </w:r>
          </w:p>
          <w:p w14:paraId="7AD33417" w14:textId="77777777" w:rsidR="001B5662" w:rsidRPr="003C7E62" w:rsidRDefault="001B5662" w:rsidP="00874A98">
            <w:pPr>
              <w:keepNext w:val="0"/>
              <w:numPr>
                <w:ilvl w:val="0"/>
                <w:numId w:val="69"/>
              </w:numPr>
              <w:spacing w:before="0" w:line="276" w:lineRule="auto"/>
              <w:ind w:left="315" w:hanging="284"/>
              <w:contextualSpacing/>
              <w:rPr>
                <w:rFonts w:cs="Arial"/>
                <w:color w:val="auto"/>
                <w:sz w:val="20"/>
              </w:rPr>
            </w:pPr>
            <w:r w:rsidRPr="003C7E62">
              <w:rPr>
                <w:rFonts w:cs="Arial"/>
                <w:color w:val="auto"/>
                <w:sz w:val="20"/>
              </w:rPr>
              <w:t xml:space="preserve">Working with partners to secure education, training, community and health facilities in appropriate locations. </w:t>
            </w:r>
          </w:p>
          <w:p w14:paraId="13825AAF" w14:textId="77777777" w:rsidR="001B5662" w:rsidRPr="003C7E62" w:rsidRDefault="001B5662" w:rsidP="00874A98">
            <w:pPr>
              <w:keepNext w:val="0"/>
              <w:numPr>
                <w:ilvl w:val="0"/>
                <w:numId w:val="69"/>
              </w:numPr>
              <w:spacing w:before="0" w:line="276" w:lineRule="auto"/>
              <w:ind w:left="315" w:hanging="284"/>
              <w:contextualSpacing/>
              <w:rPr>
                <w:rFonts w:cs="Arial"/>
                <w:color w:val="auto"/>
                <w:sz w:val="20"/>
              </w:rPr>
            </w:pPr>
            <w:r w:rsidRPr="003C7E62">
              <w:rPr>
                <w:rFonts w:cs="Arial"/>
                <w:color w:val="auto"/>
                <w:sz w:val="20"/>
              </w:rPr>
              <w:t>The provision of green and blue infrastructure.</w:t>
            </w:r>
          </w:p>
          <w:p w14:paraId="0ADD96A9" w14:textId="77777777" w:rsidR="001B5662" w:rsidRPr="003C7E62" w:rsidRDefault="001B5662" w:rsidP="00874A98">
            <w:pPr>
              <w:keepNext w:val="0"/>
              <w:numPr>
                <w:ilvl w:val="0"/>
                <w:numId w:val="69"/>
              </w:numPr>
              <w:spacing w:before="0" w:line="276" w:lineRule="auto"/>
              <w:ind w:left="315" w:hanging="284"/>
              <w:contextualSpacing/>
              <w:rPr>
                <w:rFonts w:cs="Arial"/>
                <w:color w:val="auto"/>
                <w:sz w:val="20"/>
              </w:rPr>
            </w:pPr>
            <w:r w:rsidRPr="003C7E62">
              <w:rPr>
                <w:rFonts w:cs="Arial"/>
                <w:color w:val="auto"/>
                <w:sz w:val="20"/>
              </w:rPr>
              <w:t>Supporting the provision of an accessible, energy efficient and integrated transport network including links to regional and national destinations.</w:t>
            </w:r>
          </w:p>
          <w:p w14:paraId="1F96FFBC" w14:textId="77777777" w:rsidR="001B5662" w:rsidRDefault="001B5662" w:rsidP="00874A98">
            <w:pPr>
              <w:keepNext w:val="0"/>
              <w:numPr>
                <w:ilvl w:val="0"/>
                <w:numId w:val="69"/>
              </w:numPr>
              <w:spacing w:before="0" w:line="276" w:lineRule="auto"/>
              <w:ind w:left="315" w:hanging="284"/>
              <w:contextualSpacing/>
              <w:rPr>
                <w:rFonts w:cs="Arial"/>
                <w:color w:val="auto"/>
                <w:sz w:val="20"/>
              </w:rPr>
            </w:pPr>
            <w:r w:rsidRPr="003C7E62">
              <w:rPr>
                <w:rFonts w:cs="Arial"/>
                <w:color w:val="auto"/>
                <w:sz w:val="20"/>
              </w:rPr>
              <w:t>Enhancing the digital infrastructure of broadband and mobile networks to ensure that benefits to economic growth and social wellbeing for Ashfield are fully realised in the future.</w:t>
            </w:r>
          </w:p>
          <w:p w14:paraId="047D7442" w14:textId="77777777" w:rsidR="006A2145" w:rsidRDefault="006A2145" w:rsidP="006A2145">
            <w:pPr>
              <w:keepNext w:val="0"/>
              <w:spacing w:before="0" w:line="276" w:lineRule="auto"/>
              <w:ind w:left="315"/>
              <w:contextualSpacing/>
              <w:rPr>
                <w:rFonts w:cs="Arial"/>
                <w:color w:val="auto"/>
                <w:sz w:val="20"/>
              </w:rPr>
            </w:pPr>
          </w:p>
          <w:p w14:paraId="71E995E0" w14:textId="730B9D1B" w:rsidR="001B5662" w:rsidRPr="003C7E62" w:rsidRDefault="001B5662" w:rsidP="001B5662">
            <w:pPr>
              <w:keepNext w:val="0"/>
              <w:spacing w:before="0" w:line="276" w:lineRule="auto"/>
              <w:ind w:left="315"/>
              <w:contextualSpacing/>
              <w:rPr>
                <w:rFonts w:cs="Arial"/>
                <w:color w:val="auto"/>
                <w:sz w:val="20"/>
              </w:rPr>
            </w:pPr>
          </w:p>
        </w:tc>
      </w:tr>
      <w:tr w:rsidR="001B5662" w:rsidRPr="003C7E62" w14:paraId="231C5F11" w14:textId="77777777" w:rsidTr="006C6E8A">
        <w:tc>
          <w:tcPr>
            <w:tcW w:w="900" w:type="dxa"/>
            <w:shd w:val="clear" w:color="auto" w:fill="FFF2CC" w:themeFill="accent4" w:themeFillTint="33"/>
            <w:textDirection w:val="btLr"/>
            <w:vAlign w:val="center"/>
          </w:tcPr>
          <w:p w14:paraId="21621488" w14:textId="50DAD131" w:rsidR="001B5662" w:rsidRPr="003C7E62" w:rsidRDefault="001B5662" w:rsidP="001B5662">
            <w:pPr>
              <w:keepNext w:val="0"/>
              <w:spacing w:before="0"/>
              <w:jc w:val="center"/>
              <w:rPr>
                <w:rFonts w:cs="Arial"/>
                <w:b/>
                <w:bCs/>
                <w:color w:val="auto"/>
              </w:rPr>
            </w:pPr>
            <w:r w:rsidRPr="006E6F68">
              <w:rPr>
                <w:rFonts w:cs="Arial"/>
                <w:b/>
              </w:rPr>
              <w:t>The Community</w:t>
            </w:r>
          </w:p>
        </w:tc>
        <w:tc>
          <w:tcPr>
            <w:tcW w:w="1080" w:type="dxa"/>
          </w:tcPr>
          <w:p w14:paraId="640609DA" w14:textId="3944D9BE" w:rsidR="001B5662" w:rsidRPr="003C7E62" w:rsidRDefault="001B5662" w:rsidP="001B5662">
            <w:pPr>
              <w:keepNext w:val="0"/>
              <w:spacing w:before="0"/>
              <w:rPr>
                <w:rFonts w:cs="Arial"/>
                <w:b/>
                <w:bCs/>
                <w:color w:val="auto"/>
              </w:rPr>
            </w:pPr>
            <w:r w:rsidRPr="003C7E62">
              <w:rPr>
                <w:rFonts w:cs="Arial"/>
                <w:b/>
                <w:bCs/>
                <w:color w:val="auto"/>
              </w:rPr>
              <w:t>SO5</w:t>
            </w:r>
          </w:p>
        </w:tc>
        <w:tc>
          <w:tcPr>
            <w:tcW w:w="7654" w:type="dxa"/>
          </w:tcPr>
          <w:p w14:paraId="56B4E468" w14:textId="1F89AEC9" w:rsidR="001B5662" w:rsidRPr="003C7E62" w:rsidRDefault="001B5662" w:rsidP="001B5662">
            <w:pPr>
              <w:keepNext w:val="0"/>
              <w:spacing w:before="0" w:line="276" w:lineRule="auto"/>
              <w:rPr>
                <w:rFonts w:cs="Arial"/>
                <w:b/>
                <w:color w:val="auto"/>
                <w:sz w:val="20"/>
              </w:rPr>
            </w:pPr>
            <w:r w:rsidRPr="003C7E62">
              <w:rPr>
                <w:rFonts w:cs="Arial"/>
                <w:b/>
                <w:color w:val="auto"/>
                <w:sz w:val="20"/>
              </w:rPr>
              <w:t>Strong and Vibrant Rural Communities</w:t>
            </w:r>
          </w:p>
          <w:p w14:paraId="1419AA28" w14:textId="77777777" w:rsidR="001B5662" w:rsidRPr="003C7E62" w:rsidRDefault="001B5662" w:rsidP="001B5662">
            <w:pPr>
              <w:keepNext w:val="0"/>
              <w:spacing w:before="0" w:line="276" w:lineRule="auto"/>
              <w:rPr>
                <w:rFonts w:cs="Arial"/>
                <w:b/>
                <w:color w:val="auto"/>
                <w:sz w:val="20"/>
              </w:rPr>
            </w:pPr>
          </w:p>
          <w:p w14:paraId="74AB5F6A" w14:textId="77777777" w:rsidR="001B5662" w:rsidRPr="003C7E62" w:rsidRDefault="001B5662" w:rsidP="001B5662">
            <w:pPr>
              <w:keepNext w:val="0"/>
              <w:spacing w:before="0" w:line="276" w:lineRule="auto"/>
              <w:rPr>
                <w:rFonts w:cs="Arial"/>
                <w:color w:val="auto"/>
                <w:sz w:val="20"/>
              </w:rPr>
            </w:pPr>
            <w:r w:rsidRPr="003C7E62">
              <w:rPr>
                <w:rFonts w:cs="Arial"/>
                <w:color w:val="auto"/>
                <w:sz w:val="20"/>
              </w:rPr>
              <w:t>Protecting the character of rural settlements and ensuring that development respects the size of villages, whilst sustaining local services, supporting diversification of rural businesses and making provision for affordable housing.</w:t>
            </w:r>
          </w:p>
          <w:p w14:paraId="6D786C74" w14:textId="77777777" w:rsidR="001B5662" w:rsidRPr="003C7E62" w:rsidRDefault="001B5662" w:rsidP="001B5662">
            <w:pPr>
              <w:keepNext w:val="0"/>
              <w:spacing w:before="0" w:line="276" w:lineRule="auto"/>
              <w:rPr>
                <w:rFonts w:cs="Arial"/>
                <w:color w:val="auto"/>
                <w:sz w:val="20"/>
              </w:rPr>
            </w:pPr>
          </w:p>
          <w:p w14:paraId="3FE57D3A" w14:textId="77777777" w:rsidR="001B5662" w:rsidRPr="003C7E62" w:rsidRDefault="001B5662" w:rsidP="001B5662">
            <w:pPr>
              <w:keepNext w:val="0"/>
              <w:spacing w:before="0" w:line="276" w:lineRule="auto"/>
              <w:rPr>
                <w:rFonts w:cs="Arial"/>
                <w:color w:val="auto"/>
                <w:sz w:val="20"/>
              </w:rPr>
            </w:pPr>
            <w:r w:rsidRPr="003C7E62">
              <w:rPr>
                <w:rFonts w:cs="Arial"/>
                <w:color w:val="auto"/>
                <w:sz w:val="20"/>
              </w:rPr>
              <w:lastRenderedPageBreak/>
              <w:t xml:space="preserve">Supporting enhancing and improving the sustainability, vibrancy and vitality of the larger villages of Selston, Jacksdale and Underwood by providing: </w:t>
            </w:r>
          </w:p>
          <w:p w14:paraId="6201E0E0" w14:textId="77777777" w:rsidR="001B5662" w:rsidRPr="003C7E62" w:rsidRDefault="001B5662" w:rsidP="00874A98">
            <w:pPr>
              <w:keepNext w:val="0"/>
              <w:numPr>
                <w:ilvl w:val="0"/>
                <w:numId w:val="70"/>
              </w:numPr>
              <w:spacing w:before="0" w:line="276" w:lineRule="auto"/>
              <w:ind w:left="315" w:hanging="284"/>
              <w:contextualSpacing/>
              <w:rPr>
                <w:rFonts w:cs="Arial"/>
                <w:color w:val="auto"/>
                <w:sz w:val="20"/>
              </w:rPr>
            </w:pPr>
            <w:r w:rsidRPr="003C7E62">
              <w:rPr>
                <w:rFonts w:cs="Arial"/>
                <w:color w:val="auto"/>
                <w:sz w:val="20"/>
              </w:rPr>
              <w:t xml:space="preserve">Access to a range of quality housing providing for the needs of all sectors of the communities, while ensuring that any development relates positively in form and function of the village. </w:t>
            </w:r>
          </w:p>
          <w:p w14:paraId="7D1CE429" w14:textId="77777777" w:rsidR="001B5662" w:rsidRPr="003C7E62" w:rsidRDefault="001B5662" w:rsidP="00874A98">
            <w:pPr>
              <w:keepNext w:val="0"/>
              <w:numPr>
                <w:ilvl w:val="0"/>
                <w:numId w:val="70"/>
              </w:numPr>
              <w:spacing w:before="0" w:line="276" w:lineRule="auto"/>
              <w:ind w:left="315" w:hanging="284"/>
              <w:contextualSpacing/>
              <w:rPr>
                <w:rFonts w:cs="Arial"/>
                <w:color w:val="auto"/>
                <w:sz w:val="20"/>
              </w:rPr>
            </w:pPr>
            <w:r w:rsidRPr="003C7E62">
              <w:rPr>
                <w:rFonts w:cs="Arial"/>
                <w:color w:val="auto"/>
                <w:sz w:val="20"/>
              </w:rPr>
              <w:t xml:space="preserve">Development, which sustain and where appropriate, enhances local facilities including retail capacity and community facilities such as health and education. </w:t>
            </w:r>
          </w:p>
          <w:p w14:paraId="586A0396" w14:textId="77777777" w:rsidR="001B5662" w:rsidRPr="003C7E62" w:rsidRDefault="001B5662" w:rsidP="00874A98">
            <w:pPr>
              <w:keepNext w:val="0"/>
              <w:numPr>
                <w:ilvl w:val="0"/>
                <w:numId w:val="70"/>
              </w:numPr>
              <w:spacing w:before="0" w:line="276" w:lineRule="auto"/>
              <w:ind w:left="315" w:hanging="284"/>
              <w:contextualSpacing/>
              <w:rPr>
                <w:rFonts w:cs="Arial"/>
                <w:color w:val="auto"/>
                <w:sz w:val="20"/>
              </w:rPr>
            </w:pPr>
            <w:r w:rsidRPr="003C7E62">
              <w:rPr>
                <w:rFonts w:cs="Arial"/>
                <w:color w:val="auto"/>
                <w:sz w:val="20"/>
              </w:rPr>
              <w:t>An environment that is attractive to small businesses and home working.</w:t>
            </w:r>
          </w:p>
          <w:p w14:paraId="73E06468" w14:textId="77777777" w:rsidR="001B5662" w:rsidRDefault="001B5662" w:rsidP="00874A98">
            <w:pPr>
              <w:keepNext w:val="0"/>
              <w:numPr>
                <w:ilvl w:val="0"/>
                <w:numId w:val="70"/>
              </w:numPr>
              <w:spacing w:before="0" w:line="276" w:lineRule="auto"/>
              <w:ind w:left="315" w:hanging="284"/>
              <w:contextualSpacing/>
              <w:rPr>
                <w:rFonts w:cs="Arial"/>
                <w:color w:val="auto"/>
                <w:sz w:val="20"/>
              </w:rPr>
            </w:pPr>
            <w:r w:rsidRPr="003C7E62">
              <w:rPr>
                <w:rFonts w:cs="Arial"/>
                <w:color w:val="auto"/>
                <w:sz w:val="20"/>
              </w:rPr>
              <w:t>For the extension and enhancement of public space and recreational facilities.</w:t>
            </w:r>
          </w:p>
          <w:p w14:paraId="761873B8" w14:textId="051AE56E" w:rsidR="001630D1" w:rsidRPr="003C7E62" w:rsidRDefault="001630D1" w:rsidP="001630D1">
            <w:pPr>
              <w:keepNext w:val="0"/>
              <w:spacing w:before="0" w:line="276" w:lineRule="auto"/>
              <w:ind w:left="315"/>
              <w:contextualSpacing/>
              <w:rPr>
                <w:rFonts w:cs="Arial"/>
                <w:color w:val="auto"/>
                <w:sz w:val="20"/>
              </w:rPr>
            </w:pPr>
          </w:p>
        </w:tc>
      </w:tr>
    </w:tbl>
    <w:p w14:paraId="1277E785" w14:textId="6A7FAA4C" w:rsidR="003D2A07" w:rsidRDefault="003D2A07" w:rsidP="003D2A07">
      <w:pPr>
        <w:keepNext w:val="0"/>
        <w:spacing w:before="0" w:after="160" w:line="252" w:lineRule="auto"/>
        <w:jc w:val="both"/>
        <w:rPr>
          <w:rFonts w:eastAsia="Calibri" w:cs="Arial"/>
          <w:color w:val="auto"/>
          <w:szCs w:val="22"/>
          <w:lang w:eastAsia="en-US"/>
        </w:rPr>
      </w:pPr>
    </w:p>
    <w:tbl>
      <w:tblPr>
        <w:tblStyle w:val="TableGrid4"/>
        <w:tblW w:w="9634" w:type="dxa"/>
        <w:tblLook w:val="04A0" w:firstRow="1" w:lastRow="0" w:firstColumn="1" w:lastColumn="0" w:noHBand="0" w:noVBand="1"/>
      </w:tblPr>
      <w:tblGrid>
        <w:gridCol w:w="846"/>
        <w:gridCol w:w="1134"/>
        <w:gridCol w:w="7654"/>
      </w:tblGrid>
      <w:tr w:rsidR="001B5662" w:rsidRPr="003C7E62" w14:paraId="0F9CC3B8" w14:textId="77777777" w:rsidTr="006C6E8A">
        <w:trPr>
          <w:cantSplit/>
          <w:trHeight w:val="1134"/>
        </w:trPr>
        <w:tc>
          <w:tcPr>
            <w:tcW w:w="846" w:type="dxa"/>
            <w:shd w:val="clear" w:color="auto" w:fill="0070C0"/>
            <w:textDirection w:val="btLr"/>
            <w:vAlign w:val="center"/>
          </w:tcPr>
          <w:p w14:paraId="4D1164ED" w14:textId="7BECF110" w:rsidR="001B5662" w:rsidRPr="003C7E62" w:rsidRDefault="001B5662" w:rsidP="001B5662">
            <w:pPr>
              <w:keepNext w:val="0"/>
              <w:spacing w:before="0" w:line="276" w:lineRule="auto"/>
              <w:jc w:val="center"/>
              <w:rPr>
                <w:rFonts w:cs="Arial"/>
                <w:b/>
                <w:color w:val="auto"/>
              </w:rPr>
            </w:pPr>
            <w:r w:rsidRPr="003C7E62">
              <w:rPr>
                <w:rFonts w:cs="Arial"/>
                <w:b/>
                <w:color w:val="FFFFFF"/>
              </w:rPr>
              <w:t>The Economy</w:t>
            </w:r>
          </w:p>
        </w:tc>
        <w:tc>
          <w:tcPr>
            <w:tcW w:w="1134" w:type="dxa"/>
          </w:tcPr>
          <w:p w14:paraId="655BFAC5" w14:textId="4C49FA3A" w:rsidR="001B5662" w:rsidRPr="003C7E62" w:rsidRDefault="001B5662" w:rsidP="001B5662">
            <w:pPr>
              <w:keepNext w:val="0"/>
              <w:spacing w:before="0" w:line="276" w:lineRule="auto"/>
              <w:rPr>
                <w:rFonts w:cs="Arial"/>
                <w:b/>
                <w:color w:val="auto"/>
              </w:rPr>
            </w:pPr>
            <w:r w:rsidRPr="003C7E62">
              <w:rPr>
                <w:rFonts w:cs="Arial"/>
                <w:b/>
                <w:color w:val="auto"/>
              </w:rPr>
              <w:t xml:space="preserve">SO6 </w:t>
            </w:r>
          </w:p>
        </w:tc>
        <w:tc>
          <w:tcPr>
            <w:tcW w:w="7654" w:type="dxa"/>
          </w:tcPr>
          <w:p w14:paraId="14B05260" w14:textId="77777777" w:rsidR="001B5662" w:rsidRPr="003C7E62" w:rsidRDefault="001B5662" w:rsidP="001B5662">
            <w:pPr>
              <w:keepNext w:val="0"/>
              <w:spacing w:before="0" w:after="120" w:line="276" w:lineRule="auto"/>
              <w:rPr>
                <w:rFonts w:cs="Arial"/>
                <w:b/>
                <w:color w:val="auto"/>
                <w:sz w:val="20"/>
              </w:rPr>
            </w:pPr>
            <w:r w:rsidRPr="003C7E62">
              <w:rPr>
                <w:rFonts w:cs="Arial"/>
                <w:b/>
                <w:color w:val="auto"/>
                <w:sz w:val="20"/>
              </w:rPr>
              <w:t>Economic Opportunity for All</w:t>
            </w:r>
          </w:p>
          <w:p w14:paraId="4B54FB8D" w14:textId="77777777" w:rsidR="001B5662" w:rsidRPr="003C7E62" w:rsidRDefault="001B5662" w:rsidP="001B5662">
            <w:pPr>
              <w:keepNext w:val="0"/>
              <w:spacing w:before="0" w:line="276" w:lineRule="auto"/>
              <w:rPr>
                <w:rFonts w:cs="Arial"/>
                <w:color w:val="auto"/>
                <w:sz w:val="20"/>
              </w:rPr>
            </w:pPr>
            <w:r w:rsidRPr="003C7E62">
              <w:rPr>
                <w:rFonts w:cs="Arial"/>
                <w:color w:val="auto"/>
                <w:sz w:val="20"/>
              </w:rPr>
              <w:t xml:space="preserve">To be ambitious for economic growth and productivity in Ashfield while recognising the requirements of environmental capacity and amenity by: </w:t>
            </w:r>
          </w:p>
          <w:p w14:paraId="16431F6D" w14:textId="77777777" w:rsidR="001B5662" w:rsidRPr="003C7E62" w:rsidRDefault="001B5662" w:rsidP="00874A98">
            <w:pPr>
              <w:keepNext w:val="0"/>
              <w:numPr>
                <w:ilvl w:val="0"/>
                <w:numId w:val="71"/>
              </w:numPr>
              <w:spacing w:before="0" w:line="276" w:lineRule="auto"/>
              <w:ind w:left="315" w:hanging="284"/>
              <w:contextualSpacing/>
              <w:rPr>
                <w:rFonts w:cs="Arial"/>
                <w:color w:val="auto"/>
                <w:sz w:val="20"/>
              </w:rPr>
            </w:pPr>
            <w:r w:rsidRPr="003C7E62">
              <w:rPr>
                <w:rFonts w:cs="Arial"/>
                <w:color w:val="auto"/>
                <w:sz w:val="20"/>
              </w:rPr>
              <w:t>Creating a climate for business and enterprise growth with an emphasis on making investment happen.</w:t>
            </w:r>
          </w:p>
          <w:p w14:paraId="28194BDA" w14:textId="77777777" w:rsidR="001B5662" w:rsidRPr="003C7E62" w:rsidRDefault="001B5662" w:rsidP="00874A98">
            <w:pPr>
              <w:keepNext w:val="0"/>
              <w:numPr>
                <w:ilvl w:val="0"/>
                <w:numId w:val="71"/>
              </w:numPr>
              <w:spacing w:before="0" w:line="276" w:lineRule="auto"/>
              <w:ind w:left="315" w:hanging="284"/>
              <w:contextualSpacing/>
              <w:rPr>
                <w:rFonts w:cs="Arial"/>
                <w:color w:val="auto"/>
                <w:sz w:val="20"/>
              </w:rPr>
            </w:pPr>
            <w:r w:rsidRPr="003C7E62">
              <w:rPr>
                <w:rFonts w:cs="Arial"/>
                <w:color w:val="auto"/>
                <w:sz w:val="20"/>
              </w:rPr>
              <w:t>To encourage economic development and regeneration of the District and diversification of the local economy by ensuring the provision of a range and choice of employment sites in terms of size, quality and location</w:t>
            </w:r>
          </w:p>
          <w:p w14:paraId="6D7FA6F6" w14:textId="77777777" w:rsidR="001B5662" w:rsidRPr="003C7E62" w:rsidRDefault="001B5662" w:rsidP="00874A98">
            <w:pPr>
              <w:keepNext w:val="0"/>
              <w:numPr>
                <w:ilvl w:val="0"/>
                <w:numId w:val="71"/>
              </w:numPr>
              <w:spacing w:before="0" w:line="276" w:lineRule="auto"/>
              <w:ind w:left="315" w:hanging="284"/>
              <w:contextualSpacing/>
              <w:rPr>
                <w:rFonts w:cs="Arial"/>
                <w:color w:val="auto"/>
                <w:sz w:val="20"/>
              </w:rPr>
            </w:pPr>
            <w:r w:rsidRPr="003C7E62">
              <w:rPr>
                <w:rFonts w:cs="Arial"/>
                <w:color w:val="auto"/>
                <w:sz w:val="20"/>
              </w:rPr>
              <w:t>Promoting a higher wage and higher skilled economy.</w:t>
            </w:r>
          </w:p>
          <w:p w14:paraId="5535111E" w14:textId="77777777" w:rsidR="001B5662" w:rsidRPr="003C7E62" w:rsidRDefault="001B5662" w:rsidP="00874A98">
            <w:pPr>
              <w:keepNext w:val="0"/>
              <w:numPr>
                <w:ilvl w:val="0"/>
                <w:numId w:val="71"/>
              </w:numPr>
              <w:spacing w:before="0" w:line="276" w:lineRule="auto"/>
              <w:ind w:left="315" w:hanging="284"/>
              <w:contextualSpacing/>
              <w:rPr>
                <w:rFonts w:cs="Arial"/>
                <w:vanish/>
                <w:color w:val="auto"/>
                <w:sz w:val="20"/>
              </w:rPr>
            </w:pPr>
            <w:r w:rsidRPr="003C7E62">
              <w:rPr>
                <w:rFonts w:cs="Arial"/>
                <w:color w:val="auto"/>
                <w:sz w:val="20"/>
              </w:rPr>
              <w:t>Supporting the growth of a diverse range of economic sectors, p</w:t>
            </w:r>
            <w:r w:rsidRPr="003C7E62">
              <w:rPr>
                <w:rFonts w:cs="Arial"/>
                <w:bCs/>
                <w:color w:val="auto"/>
                <w:kern w:val="24"/>
                <w:sz w:val="20"/>
              </w:rPr>
              <w:t>romoting development to parts of the district where it is needed to build and strengthen</w:t>
            </w:r>
            <w:r w:rsidRPr="003C7E62">
              <w:rPr>
                <w:rFonts w:cs="Arial"/>
                <w:bCs/>
                <w:i/>
                <w:color w:val="auto"/>
                <w:kern w:val="24"/>
                <w:sz w:val="20"/>
              </w:rPr>
              <w:t xml:space="preserve"> </w:t>
            </w:r>
            <w:r w:rsidRPr="003C7E62">
              <w:rPr>
                <w:rFonts w:cs="Arial"/>
                <w:bCs/>
                <w:color w:val="auto"/>
                <w:kern w:val="24"/>
                <w:sz w:val="20"/>
              </w:rPr>
              <w:t xml:space="preserve">vibrant and cohesive communities. </w:t>
            </w:r>
          </w:p>
          <w:p w14:paraId="6FDE9F83" w14:textId="77777777" w:rsidR="001B5662" w:rsidRPr="003C7E62" w:rsidRDefault="001B5662" w:rsidP="00874A98">
            <w:pPr>
              <w:keepNext w:val="0"/>
              <w:numPr>
                <w:ilvl w:val="0"/>
                <w:numId w:val="71"/>
              </w:numPr>
              <w:spacing w:before="0" w:line="276" w:lineRule="auto"/>
              <w:ind w:left="315" w:hanging="284"/>
              <w:contextualSpacing/>
              <w:rPr>
                <w:rFonts w:cs="Arial"/>
                <w:color w:val="auto"/>
                <w:sz w:val="20"/>
              </w:rPr>
            </w:pPr>
            <w:r w:rsidRPr="003C7E62">
              <w:rPr>
                <w:rFonts w:cs="Arial"/>
                <w:color w:val="auto"/>
                <w:sz w:val="20"/>
              </w:rPr>
              <w:t>Facilitating access to a skilled and educated labour force.</w:t>
            </w:r>
          </w:p>
          <w:p w14:paraId="4A9A48D8" w14:textId="77777777" w:rsidR="001B5662" w:rsidRPr="003C7E62" w:rsidRDefault="001B5662" w:rsidP="00874A98">
            <w:pPr>
              <w:keepNext w:val="0"/>
              <w:numPr>
                <w:ilvl w:val="0"/>
                <w:numId w:val="104"/>
              </w:numPr>
              <w:spacing w:before="0" w:line="276" w:lineRule="auto"/>
              <w:ind w:left="315" w:hanging="284"/>
              <w:contextualSpacing/>
              <w:rPr>
                <w:rFonts w:cs="Arial"/>
                <w:color w:val="auto"/>
                <w:sz w:val="20"/>
              </w:rPr>
            </w:pPr>
            <w:r w:rsidRPr="003C7E62">
              <w:rPr>
                <w:rFonts w:cs="Arial"/>
                <w:color w:val="auto"/>
                <w:sz w:val="20"/>
              </w:rPr>
              <w:t>Facilitating the wider transport network and local rail links to integrate with key transport hubs</w:t>
            </w:r>
          </w:p>
          <w:p w14:paraId="1BE961CF" w14:textId="77777777" w:rsidR="001B5662" w:rsidRPr="003C7E62" w:rsidRDefault="001B5662" w:rsidP="00874A98">
            <w:pPr>
              <w:keepNext w:val="0"/>
              <w:numPr>
                <w:ilvl w:val="0"/>
                <w:numId w:val="104"/>
              </w:numPr>
              <w:spacing w:before="0" w:line="276" w:lineRule="auto"/>
              <w:ind w:left="315" w:hanging="284"/>
              <w:contextualSpacing/>
              <w:rPr>
                <w:rFonts w:cs="Arial"/>
                <w:color w:val="auto"/>
                <w:sz w:val="20"/>
              </w:rPr>
            </w:pPr>
            <w:r w:rsidRPr="003C7E62">
              <w:rPr>
                <w:rFonts w:cs="Arial"/>
                <w:color w:val="auto"/>
                <w:sz w:val="20"/>
              </w:rPr>
              <w:t xml:space="preserve">Expanding the leisure, tourism and visitor offer to inspire and encourage the exploration of Ashfield. </w:t>
            </w:r>
          </w:p>
          <w:p w14:paraId="635A05C8" w14:textId="102CA43A" w:rsidR="001B5662" w:rsidRPr="003C7E62" w:rsidRDefault="001B5662" w:rsidP="001B5662">
            <w:pPr>
              <w:keepNext w:val="0"/>
              <w:spacing w:before="0" w:line="276" w:lineRule="auto"/>
              <w:contextualSpacing/>
              <w:rPr>
                <w:rFonts w:cs="Arial"/>
                <w:color w:val="auto"/>
                <w:sz w:val="20"/>
              </w:rPr>
            </w:pPr>
          </w:p>
        </w:tc>
      </w:tr>
      <w:tr w:rsidR="001B5662" w:rsidRPr="003C7E62" w14:paraId="1DE4E7E1" w14:textId="77777777" w:rsidTr="006C6E8A">
        <w:tc>
          <w:tcPr>
            <w:tcW w:w="846" w:type="dxa"/>
            <w:shd w:val="clear" w:color="auto" w:fill="0070C0"/>
            <w:textDirection w:val="btLr"/>
            <w:vAlign w:val="center"/>
          </w:tcPr>
          <w:p w14:paraId="2053C71E" w14:textId="715094F3" w:rsidR="001B5662" w:rsidRPr="003C7E62" w:rsidRDefault="001B5662" w:rsidP="001B5662">
            <w:pPr>
              <w:keepNext w:val="0"/>
              <w:spacing w:before="0"/>
              <w:jc w:val="center"/>
              <w:rPr>
                <w:rFonts w:cs="Arial"/>
                <w:b/>
                <w:bCs/>
                <w:color w:val="auto"/>
              </w:rPr>
            </w:pPr>
            <w:r w:rsidRPr="003C7E62">
              <w:rPr>
                <w:rFonts w:cs="Arial"/>
                <w:b/>
                <w:color w:val="FFFFFF"/>
              </w:rPr>
              <w:t>The Economy</w:t>
            </w:r>
          </w:p>
        </w:tc>
        <w:tc>
          <w:tcPr>
            <w:tcW w:w="1134" w:type="dxa"/>
          </w:tcPr>
          <w:p w14:paraId="6D8C8B92" w14:textId="2F59BA7B" w:rsidR="001B5662" w:rsidRPr="003C7E62" w:rsidRDefault="001B5662" w:rsidP="001B5662">
            <w:pPr>
              <w:keepNext w:val="0"/>
              <w:spacing w:before="0"/>
              <w:rPr>
                <w:rFonts w:cs="Arial"/>
                <w:b/>
                <w:bCs/>
                <w:color w:val="auto"/>
              </w:rPr>
            </w:pPr>
            <w:r w:rsidRPr="003C7E62">
              <w:rPr>
                <w:rFonts w:cs="Arial"/>
                <w:b/>
                <w:bCs/>
                <w:color w:val="auto"/>
              </w:rPr>
              <w:t>SO7</w:t>
            </w:r>
          </w:p>
        </w:tc>
        <w:tc>
          <w:tcPr>
            <w:tcW w:w="7654" w:type="dxa"/>
          </w:tcPr>
          <w:p w14:paraId="43D35C45" w14:textId="77777777" w:rsidR="001B5662" w:rsidRPr="003C7E62" w:rsidRDefault="001B5662" w:rsidP="001B5662">
            <w:pPr>
              <w:keepNext w:val="0"/>
              <w:spacing w:before="0" w:line="276" w:lineRule="auto"/>
              <w:rPr>
                <w:rFonts w:cs="Arial"/>
                <w:b/>
                <w:color w:val="auto"/>
                <w:sz w:val="20"/>
              </w:rPr>
            </w:pPr>
            <w:r w:rsidRPr="003C7E62">
              <w:rPr>
                <w:rFonts w:cs="Arial"/>
                <w:b/>
                <w:color w:val="auto"/>
                <w:sz w:val="20"/>
              </w:rPr>
              <w:t>Sutton-in-Ashfield Town Centre</w:t>
            </w:r>
          </w:p>
          <w:p w14:paraId="1E87A334" w14:textId="77777777" w:rsidR="001B5662" w:rsidRPr="003C7E62" w:rsidRDefault="001B5662" w:rsidP="001B5662">
            <w:pPr>
              <w:keepNext w:val="0"/>
              <w:spacing w:before="0" w:line="276" w:lineRule="auto"/>
              <w:rPr>
                <w:rFonts w:cs="Arial"/>
                <w:b/>
                <w:color w:val="auto"/>
                <w:sz w:val="20"/>
              </w:rPr>
            </w:pPr>
          </w:p>
          <w:p w14:paraId="548CB717" w14:textId="77777777" w:rsidR="001B5662" w:rsidRPr="003C7E62" w:rsidRDefault="001B5662" w:rsidP="001B5662">
            <w:pPr>
              <w:keepNext w:val="0"/>
              <w:spacing w:before="0" w:line="276" w:lineRule="auto"/>
              <w:rPr>
                <w:rFonts w:cs="Arial"/>
                <w:color w:val="auto"/>
                <w:sz w:val="20"/>
              </w:rPr>
            </w:pPr>
            <w:r w:rsidRPr="003C7E62">
              <w:rPr>
                <w:rFonts w:cs="Arial"/>
                <w:color w:val="auto"/>
                <w:sz w:val="20"/>
              </w:rPr>
              <w:t>Refocus Sutton as an attractive and vibrant Town Centre by:</w:t>
            </w:r>
          </w:p>
          <w:p w14:paraId="3558C5D9" w14:textId="77777777" w:rsidR="001B5662" w:rsidRPr="003C7E62" w:rsidRDefault="001B5662" w:rsidP="00874A98">
            <w:pPr>
              <w:keepNext w:val="0"/>
              <w:numPr>
                <w:ilvl w:val="0"/>
                <w:numId w:val="72"/>
              </w:numPr>
              <w:spacing w:before="0" w:line="276" w:lineRule="auto"/>
              <w:ind w:left="315" w:hanging="284"/>
              <w:contextualSpacing/>
              <w:rPr>
                <w:rFonts w:cs="Arial"/>
                <w:color w:val="auto"/>
                <w:sz w:val="20"/>
              </w:rPr>
            </w:pPr>
            <w:r w:rsidRPr="003C7E62">
              <w:rPr>
                <w:rFonts w:cs="Arial"/>
                <w:color w:val="auto"/>
                <w:sz w:val="20"/>
              </w:rPr>
              <w:t>Encouraging a high quality mix of retail, health, culture, housing, employment and leisure that will enhance the opportunity for people to live, work and visit the town centre;</w:t>
            </w:r>
          </w:p>
          <w:p w14:paraId="29AADD2A" w14:textId="77777777" w:rsidR="001B5662" w:rsidRPr="003C7E62" w:rsidRDefault="001B5662" w:rsidP="00874A98">
            <w:pPr>
              <w:keepNext w:val="0"/>
              <w:numPr>
                <w:ilvl w:val="0"/>
                <w:numId w:val="72"/>
              </w:numPr>
              <w:spacing w:before="0" w:line="276" w:lineRule="auto"/>
              <w:ind w:left="315" w:hanging="284"/>
              <w:contextualSpacing/>
              <w:rPr>
                <w:rFonts w:cs="Arial"/>
                <w:color w:val="auto"/>
                <w:sz w:val="20"/>
              </w:rPr>
            </w:pPr>
            <w:r w:rsidRPr="003C7E62">
              <w:rPr>
                <w:rFonts w:cs="Arial"/>
                <w:color w:val="auto"/>
                <w:sz w:val="20"/>
              </w:rPr>
              <w:t xml:space="preserve">Creating </w:t>
            </w:r>
            <w:r w:rsidRPr="003C7E62">
              <w:rPr>
                <w:rFonts w:cs="Arial"/>
                <w:bCs/>
                <w:color w:val="auto"/>
                <w:sz w:val="20"/>
              </w:rPr>
              <w:t xml:space="preserve">a town centre environment which residents are proud of;  </w:t>
            </w:r>
          </w:p>
          <w:p w14:paraId="1AF36B1A" w14:textId="77777777" w:rsidR="001B5662" w:rsidRPr="003C7E62" w:rsidRDefault="001B5662" w:rsidP="00874A98">
            <w:pPr>
              <w:keepNext w:val="0"/>
              <w:numPr>
                <w:ilvl w:val="0"/>
                <w:numId w:val="72"/>
              </w:numPr>
              <w:autoSpaceDE w:val="0"/>
              <w:autoSpaceDN w:val="0"/>
              <w:adjustRightInd w:val="0"/>
              <w:spacing w:before="0" w:line="241" w:lineRule="atLeast"/>
              <w:ind w:left="315" w:hanging="284"/>
              <w:rPr>
                <w:rFonts w:cs="Arial"/>
                <w:bCs/>
                <w:color w:val="auto"/>
                <w:sz w:val="20"/>
              </w:rPr>
            </w:pPr>
            <w:r w:rsidRPr="003C7E62">
              <w:rPr>
                <w:rFonts w:cs="Arial"/>
                <w:bCs/>
                <w:color w:val="auto"/>
                <w:sz w:val="20"/>
              </w:rPr>
              <w:t xml:space="preserve">Strengthening connections across the town centre through linking key destinations and promoting activity; </w:t>
            </w:r>
          </w:p>
          <w:p w14:paraId="15ABC6F2" w14:textId="77777777" w:rsidR="001B5662" w:rsidRPr="001B5662" w:rsidRDefault="001B5662" w:rsidP="00874A98">
            <w:pPr>
              <w:keepNext w:val="0"/>
              <w:numPr>
                <w:ilvl w:val="0"/>
                <w:numId w:val="72"/>
              </w:numPr>
              <w:autoSpaceDE w:val="0"/>
              <w:autoSpaceDN w:val="0"/>
              <w:adjustRightInd w:val="0"/>
              <w:spacing w:before="0" w:line="241" w:lineRule="atLeast"/>
              <w:ind w:left="315" w:hanging="284"/>
              <w:rPr>
                <w:rFonts w:eastAsia="Arial" w:cs="Arial"/>
                <w:color w:val="auto"/>
                <w:sz w:val="20"/>
              </w:rPr>
            </w:pPr>
            <w:r w:rsidRPr="003C7E62">
              <w:rPr>
                <w:rFonts w:cs="Arial"/>
                <w:bCs/>
                <w:color w:val="auto"/>
                <w:sz w:val="20"/>
              </w:rPr>
              <w:t>Enhancing the townscape character by ensuring that new development respects the town’s heritage particularly around Brook Street, Market Square (Conservation Area), Portland Square and Fox Street, and provides high quality design.</w:t>
            </w:r>
          </w:p>
          <w:p w14:paraId="4E6B4CB5" w14:textId="77777777" w:rsidR="001B5662" w:rsidRDefault="001B5662" w:rsidP="001B5662">
            <w:pPr>
              <w:keepNext w:val="0"/>
              <w:autoSpaceDE w:val="0"/>
              <w:autoSpaceDN w:val="0"/>
              <w:adjustRightInd w:val="0"/>
              <w:spacing w:before="0" w:line="241" w:lineRule="atLeast"/>
              <w:rPr>
                <w:rFonts w:cs="Arial"/>
                <w:bCs/>
                <w:color w:val="auto"/>
                <w:sz w:val="20"/>
              </w:rPr>
            </w:pPr>
          </w:p>
          <w:p w14:paraId="07608BEE" w14:textId="79FBDD72" w:rsidR="001B5662" w:rsidRPr="003C7E62" w:rsidRDefault="001B5662" w:rsidP="001B5662">
            <w:pPr>
              <w:keepNext w:val="0"/>
              <w:autoSpaceDE w:val="0"/>
              <w:autoSpaceDN w:val="0"/>
              <w:adjustRightInd w:val="0"/>
              <w:spacing w:before="0" w:line="241" w:lineRule="atLeast"/>
              <w:rPr>
                <w:rFonts w:eastAsia="Arial" w:cs="Arial"/>
                <w:color w:val="auto"/>
                <w:sz w:val="20"/>
              </w:rPr>
            </w:pPr>
          </w:p>
        </w:tc>
      </w:tr>
      <w:tr w:rsidR="001B5662" w:rsidRPr="003C7E62" w14:paraId="12EFF2BF" w14:textId="77777777" w:rsidTr="006C6E8A">
        <w:tc>
          <w:tcPr>
            <w:tcW w:w="846" w:type="dxa"/>
            <w:shd w:val="clear" w:color="auto" w:fill="0070C0"/>
            <w:textDirection w:val="btLr"/>
            <w:vAlign w:val="center"/>
          </w:tcPr>
          <w:p w14:paraId="36BCEC67" w14:textId="6BD5C8C6" w:rsidR="001B5662" w:rsidRPr="003C7E62" w:rsidRDefault="001B5662" w:rsidP="001B5662">
            <w:pPr>
              <w:keepNext w:val="0"/>
              <w:spacing w:before="0"/>
              <w:jc w:val="center"/>
              <w:rPr>
                <w:rFonts w:cs="Arial"/>
                <w:b/>
                <w:bCs/>
                <w:color w:val="auto"/>
              </w:rPr>
            </w:pPr>
            <w:r w:rsidRPr="003C7E62">
              <w:rPr>
                <w:rFonts w:cs="Arial"/>
                <w:b/>
                <w:color w:val="FFFFFF"/>
              </w:rPr>
              <w:t>The Economy</w:t>
            </w:r>
          </w:p>
        </w:tc>
        <w:tc>
          <w:tcPr>
            <w:tcW w:w="1134" w:type="dxa"/>
          </w:tcPr>
          <w:p w14:paraId="30DB9959" w14:textId="490A99D9" w:rsidR="001B5662" w:rsidRPr="003C7E62" w:rsidRDefault="001B5662" w:rsidP="001B5662">
            <w:pPr>
              <w:keepNext w:val="0"/>
              <w:spacing w:before="0"/>
              <w:rPr>
                <w:rFonts w:cs="Arial"/>
                <w:b/>
                <w:bCs/>
                <w:color w:val="auto"/>
              </w:rPr>
            </w:pPr>
            <w:r w:rsidRPr="003C7E62">
              <w:rPr>
                <w:rFonts w:cs="Arial"/>
                <w:b/>
                <w:bCs/>
                <w:color w:val="auto"/>
              </w:rPr>
              <w:t>SO8</w:t>
            </w:r>
          </w:p>
        </w:tc>
        <w:tc>
          <w:tcPr>
            <w:tcW w:w="7654" w:type="dxa"/>
          </w:tcPr>
          <w:p w14:paraId="7396C9F7" w14:textId="77777777" w:rsidR="001B5662" w:rsidRPr="003C7E62" w:rsidRDefault="001B5662" w:rsidP="006C6E8A">
            <w:pPr>
              <w:keepNext w:val="0"/>
              <w:spacing w:before="0" w:line="276" w:lineRule="auto"/>
              <w:jc w:val="left"/>
              <w:rPr>
                <w:rFonts w:cs="Arial"/>
                <w:b/>
                <w:color w:val="auto"/>
                <w:sz w:val="20"/>
              </w:rPr>
            </w:pPr>
            <w:r w:rsidRPr="003C7E62">
              <w:rPr>
                <w:rFonts w:cs="Arial"/>
                <w:b/>
                <w:color w:val="auto"/>
                <w:sz w:val="20"/>
              </w:rPr>
              <w:t>Hucknall Town Centre</w:t>
            </w:r>
          </w:p>
          <w:p w14:paraId="7ACEF260" w14:textId="77777777" w:rsidR="001B5662" w:rsidRPr="003C7E62" w:rsidRDefault="001B5662" w:rsidP="006C6E8A">
            <w:pPr>
              <w:keepNext w:val="0"/>
              <w:spacing w:before="0" w:line="276" w:lineRule="auto"/>
              <w:jc w:val="left"/>
              <w:rPr>
                <w:rFonts w:cs="Arial"/>
                <w:b/>
                <w:color w:val="auto"/>
                <w:sz w:val="20"/>
              </w:rPr>
            </w:pPr>
          </w:p>
          <w:p w14:paraId="70355192" w14:textId="77777777" w:rsidR="001B5662" w:rsidRPr="003C7E62" w:rsidRDefault="001B5662" w:rsidP="006C6E8A">
            <w:pPr>
              <w:keepNext w:val="0"/>
              <w:spacing w:before="0" w:line="276" w:lineRule="auto"/>
              <w:jc w:val="left"/>
              <w:rPr>
                <w:rFonts w:cs="Arial"/>
                <w:color w:val="auto"/>
                <w:sz w:val="20"/>
              </w:rPr>
            </w:pPr>
            <w:r w:rsidRPr="003C7E62">
              <w:rPr>
                <w:rFonts w:cs="Arial"/>
                <w:color w:val="auto"/>
                <w:sz w:val="20"/>
              </w:rPr>
              <w:t>Promote Hucknall as a lively and prosperous Town Centre that is proud of its past by:</w:t>
            </w:r>
          </w:p>
          <w:p w14:paraId="48874241" w14:textId="77777777" w:rsidR="001B5662" w:rsidRPr="003C7E62" w:rsidRDefault="001B5662" w:rsidP="006C6E8A">
            <w:pPr>
              <w:keepNext w:val="0"/>
              <w:numPr>
                <w:ilvl w:val="0"/>
                <w:numId w:val="73"/>
              </w:numPr>
              <w:autoSpaceDE w:val="0"/>
              <w:autoSpaceDN w:val="0"/>
              <w:adjustRightInd w:val="0"/>
              <w:spacing w:before="0" w:line="241" w:lineRule="atLeast"/>
              <w:jc w:val="left"/>
              <w:rPr>
                <w:rFonts w:cs="Arial"/>
                <w:color w:val="auto"/>
                <w:sz w:val="20"/>
              </w:rPr>
            </w:pPr>
            <w:r w:rsidRPr="003C7E62">
              <w:rPr>
                <w:rFonts w:cs="Arial"/>
                <w:color w:val="auto"/>
                <w:sz w:val="20"/>
              </w:rPr>
              <w:t>Protecting and making the most of the town centre’s rich heritage and strong links to Lord Byron as part of the District’s visitor economy;</w:t>
            </w:r>
          </w:p>
          <w:p w14:paraId="080586F7" w14:textId="77777777" w:rsidR="001B5662" w:rsidRPr="003C7E62" w:rsidRDefault="001B5662" w:rsidP="006C6E8A">
            <w:pPr>
              <w:keepNext w:val="0"/>
              <w:numPr>
                <w:ilvl w:val="0"/>
                <w:numId w:val="73"/>
              </w:numPr>
              <w:autoSpaceDE w:val="0"/>
              <w:autoSpaceDN w:val="0"/>
              <w:adjustRightInd w:val="0"/>
              <w:spacing w:before="0" w:line="241" w:lineRule="atLeast"/>
              <w:jc w:val="left"/>
              <w:rPr>
                <w:rFonts w:cs="Arial"/>
                <w:color w:val="auto"/>
                <w:sz w:val="20"/>
              </w:rPr>
            </w:pPr>
            <w:r w:rsidRPr="003C7E62">
              <w:rPr>
                <w:rFonts w:cs="Arial"/>
                <w:bCs/>
                <w:color w:val="auto"/>
                <w:sz w:val="20"/>
              </w:rPr>
              <w:lastRenderedPageBreak/>
              <w:t>Enhancing the townscape character and historic environment through ensuring that new development respects the town’s Conservation Area and provides high quality design;</w:t>
            </w:r>
          </w:p>
          <w:p w14:paraId="571772EB" w14:textId="77777777" w:rsidR="001B5662" w:rsidRPr="003C7E62" w:rsidRDefault="001B5662" w:rsidP="006C6E8A">
            <w:pPr>
              <w:keepNext w:val="0"/>
              <w:numPr>
                <w:ilvl w:val="0"/>
                <w:numId w:val="73"/>
              </w:numPr>
              <w:autoSpaceDE w:val="0"/>
              <w:autoSpaceDN w:val="0"/>
              <w:adjustRightInd w:val="0"/>
              <w:spacing w:before="0" w:line="241" w:lineRule="atLeast"/>
              <w:jc w:val="left"/>
              <w:rPr>
                <w:rFonts w:cs="Arial"/>
                <w:color w:val="auto"/>
                <w:sz w:val="20"/>
              </w:rPr>
            </w:pPr>
            <w:r w:rsidRPr="003C7E62">
              <w:rPr>
                <w:rFonts w:cs="Arial"/>
                <w:bCs/>
                <w:color w:val="auto"/>
                <w:sz w:val="20"/>
              </w:rPr>
              <w:t>E</w:t>
            </w:r>
            <w:r w:rsidRPr="003C7E62">
              <w:rPr>
                <w:rFonts w:cs="Arial"/>
                <w:color w:val="auto"/>
                <w:sz w:val="20"/>
              </w:rPr>
              <w:t>ncouraging a high quality mix of retail, tourism, health, culture, leisure, housing and  employment that will enhance the opportunity for people to live, work and visit the town centre;</w:t>
            </w:r>
          </w:p>
          <w:p w14:paraId="39A07C43" w14:textId="77777777" w:rsidR="001B5662" w:rsidRPr="003C7E62" w:rsidRDefault="001B5662" w:rsidP="006C6E8A">
            <w:pPr>
              <w:keepNext w:val="0"/>
              <w:numPr>
                <w:ilvl w:val="0"/>
                <w:numId w:val="73"/>
              </w:numPr>
              <w:autoSpaceDE w:val="0"/>
              <w:autoSpaceDN w:val="0"/>
              <w:adjustRightInd w:val="0"/>
              <w:spacing w:before="0" w:line="241" w:lineRule="atLeast"/>
              <w:jc w:val="left"/>
              <w:rPr>
                <w:rFonts w:cs="Arial"/>
                <w:color w:val="auto"/>
                <w:sz w:val="20"/>
              </w:rPr>
            </w:pPr>
            <w:r w:rsidRPr="003C7E62">
              <w:rPr>
                <w:rFonts w:cs="Arial"/>
                <w:bCs/>
                <w:color w:val="auto"/>
                <w:sz w:val="20"/>
              </w:rPr>
              <w:t xml:space="preserve">Strengthening connections between the NET Station and the </w:t>
            </w:r>
            <w:r w:rsidRPr="003C7E62">
              <w:rPr>
                <w:rFonts w:cs="Arial"/>
                <w:color w:val="auto"/>
                <w:sz w:val="20"/>
              </w:rPr>
              <w:t>town centre;</w:t>
            </w:r>
          </w:p>
          <w:p w14:paraId="5E0A31AA" w14:textId="2CAE6DE1" w:rsidR="001B5662" w:rsidRPr="00CB6138" w:rsidRDefault="001B5662" w:rsidP="006C6E8A">
            <w:pPr>
              <w:keepNext w:val="0"/>
              <w:numPr>
                <w:ilvl w:val="0"/>
                <w:numId w:val="73"/>
              </w:numPr>
              <w:autoSpaceDE w:val="0"/>
              <w:autoSpaceDN w:val="0"/>
              <w:adjustRightInd w:val="0"/>
              <w:spacing w:before="0" w:line="241" w:lineRule="atLeast"/>
              <w:jc w:val="left"/>
              <w:rPr>
                <w:rFonts w:cs="Arial"/>
                <w:bCs/>
                <w:color w:val="auto"/>
                <w:sz w:val="20"/>
              </w:rPr>
            </w:pPr>
            <w:r w:rsidRPr="00CB6138">
              <w:rPr>
                <w:rFonts w:cs="Arial"/>
                <w:color w:val="auto"/>
                <w:sz w:val="20"/>
              </w:rPr>
              <w:t xml:space="preserve">Creating </w:t>
            </w:r>
            <w:r w:rsidRPr="00CB6138">
              <w:rPr>
                <w:rFonts w:cs="Arial"/>
                <w:bCs/>
                <w:color w:val="auto"/>
                <w:sz w:val="20"/>
              </w:rPr>
              <w:t>a town centre environment, which is the focus for the life of the community.</w:t>
            </w:r>
          </w:p>
          <w:p w14:paraId="5CCBD67A" w14:textId="6BFCD87D" w:rsidR="001B5662" w:rsidRPr="003C7E62" w:rsidRDefault="001B5662" w:rsidP="006C6E8A">
            <w:pPr>
              <w:keepNext w:val="0"/>
              <w:autoSpaceDE w:val="0"/>
              <w:autoSpaceDN w:val="0"/>
              <w:adjustRightInd w:val="0"/>
              <w:spacing w:before="0" w:line="241" w:lineRule="atLeast"/>
              <w:ind w:left="360"/>
              <w:jc w:val="left"/>
              <w:rPr>
                <w:rFonts w:cs="Arial"/>
                <w:color w:val="auto"/>
                <w:sz w:val="20"/>
              </w:rPr>
            </w:pPr>
          </w:p>
        </w:tc>
      </w:tr>
      <w:tr w:rsidR="001B5662" w:rsidRPr="003C7E62" w14:paraId="7F095563" w14:textId="77777777" w:rsidTr="006C6E8A">
        <w:tc>
          <w:tcPr>
            <w:tcW w:w="846" w:type="dxa"/>
            <w:shd w:val="clear" w:color="auto" w:fill="0070C0"/>
            <w:textDirection w:val="btLr"/>
            <w:vAlign w:val="center"/>
          </w:tcPr>
          <w:p w14:paraId="30BBBB87" w14:textId="09E304A4" w:rsidR="001B5662" w:rsidRPr="003C7E62" w:rsidRDefault="001B5662" w:rsidP="001B5662">
            <w:pPr>
              <w:keepNext w:val="0"/>
              <w:spacing w:before="0"/>
              <w:jc w:val="center"/>
              <w:rPr>
                <w:rFonts w:cs="Arial"/>
                <w:b/>
                <w:bCs/>
                <w:color w:val="auto"/>
              </w:rPr>
            </w:pPr>
            <w:r w:rsidRPr="003C7E62">
              <w:rPr>
                <w:rFonts w:cs="Arial"/>
                <w:b/>
                <w:color w:val="FFFFFF"/>
              </w:rPr>
              <w:lastRenderedPageBreak/>
              <w:t>The Economy</w:t>
            </w:r>
          </w:p>
        </w:tc>
        <w:tc>
          <w:tcPr>
            <w:tcW w:w="1134" w:type="dxa"/>
          </w:tcPr>
          <w:p w14:paraId="2C7766F4" w14:textId="08C60BB4" w:rsidR="001B5662" w:rsidRPr="003C7E62" w:rsidRDefault="001B5662" w:rsidP="001B5662">
            <w:pPr>
              <w:keepNext w:val="0"/>
              <w:spacing w:before="0"/>
              <w:rPr>
                <w:rFonts w:cs="Arial"/>
                <w:b/>
                <w:bCs/>
                <w:color w:val="auto"/>
              </w:rPr>
            </w:pPr>
            <w:r w:rsidRPr="003C7E62">
              <w:rPr>
                <w:rFonts w:cs="Arial"/>
                <w:b/>
                <w:bCs/>
                <w:color w:val="auto"/>
              </w:rPr>
              <w:t>SO9</w:t>
            </w:r>
          </w:p>
        </w:tc>
        <w:tc>
          <w:tcPr>
            <w:tcW w:w="7654" w:type="dxa"/>
          </w:tcPr>
          <w:p w14:paraId="7BB556AF" w14:textId="77777777" w:rsidR="001B5662" w:rsidRPr="003C7E62" w:rsidRDefault="001B5662" w:rsidP="006C6E8A">
            <w:pPr>
              <w:keepNext w:val="0"/>
              <w:spacing w:before="0" w:line="276" w:lineRule="auto"/>
              <w:jc w:val="left"/>
              <w:rPr>
                <w:rFonts w:cs="Arial"/>
                <w:b/>
                <w:color w:val="auto"/>
                <w:sz w:val="20"/>
              </w:rPr>
            </w:pPr>
            <w:r w:rsidRPr="003C7E62">
              <w:rPr>
                <w:rFonts w:cs="Arial"/>
                <w:b/>
                <w:color w:val="auto"/>
                <w:sz w:val="20"/>
              </w:rPr>
              <w:t>Kirkby-in-Ashfield Town Centre</w:t>
            </w:r>
          </w:p>
          <w:p w14:paraId="76CB72AE" w14:textId="77777777" w:rsidR="001B5662" w:rsidRPr="003C7E62" w:rsidRDefault="001B5662" w:rsidP="006C6E8A">
            <w:pPr>
              <w:keepNext w:val="0"/>
              <w:spacing w:before="0" w:line="276" w:lineRule="auto"/>
              <w:jc w:val="left"/>
              <w:rPr>
                <w:rFonts w:cs="Arial"/>
                <w:b/>
                <w:color w:val="auto"/>
                <w:sz w:val="20"/>
              </w:rPr>
            </w:pPr>
          </w:p>
          <w:p w14:paraId="75FB67D5" w14:textId="77777777" w:rsidR="001B5662" w:rsidRPr="003C7E62" w:rsidRDefault="001B5662" w:rsidP="000808D9">
            <w:pPr>
              <w:keepNext w:val="0"/>
              <w:spacing w:before="0" w:line="276" w:lineRule="auto"/>
              <w:jc w:val="left"/>
              <w:rPr>
                <w:rFonts w:cs="Arial"/>
                <w:color w:val="auto"/>
                <w:sz w:val="20"/>
              </w:rPr>
            </w:pPr>
            <w:r w:rsidRPr="003C7E62">
              <w:rPr>
                <w:rFonts w:cs="Arial"/>
                <w:color w:val="auto"/>
                <w:sz w:val="20"/>
              </w:rPr>
              <w:t>Continue Kirkby’s regeneration as a vibrant and successful District Centre by:</w:t>
            </w:r>
          </w:p>
          <w:p w14:paraId="48CB4280" w14:textId="77777777" w:rsidR="001B5662" w:rsidRPr="003C7E62" w:rsidRDefault="001B5662" w:rsidP="000808D9">
            <w:pPr>
              <w:keepNext w:val="0"/>
              <w:numPr>
                <w:ilvl w:val="0"/>
                <w:numId w:val="74"/>
              </w:numPr>
              <w:autoSpaceDE w:val="0"/>
              <w:autoSpaceDN w:val="0"/>
              <w:adjustRightInd w:val="0"/>
              <w:spacing w:before="0" w:line="241" w:lineRule="atLeast"/>
              <w:jc w:val="left"/>
              <w:rPr>
                <w:rFonts w:cs="Arial"/>
                <w:color w:val="auto"/>
                <w:sz w:val="20"/>
              </w:rPr>
            </w:pPr>
            <w:r w:rsidRPr="003C7E62">
              <w:rPr>
                <w:rFonts w:cs="Arial"/>
                <w:color w:val="auto"/>
                <w:sz w:val="20"/>
              </w:rPr>
              <w:t>Reinvigorating the town centre leisure offer and health provision through the provision of a state-of-the-art flagship leisure centre and swimming pool;</w:t>
            </w:r>
          </w:p>
          <w:p w14:paraId="38C30689" w14:textId="77777777" w:rsidR="001B5662" w:rsidRPr="003C7E62" w:rsidRDefault="001B5662" w:rsidP="000808D9">
            <w:pPr>
              <w:keepNext w:val="0"/>
              <w:numPr>
                <w:ilvl w:val="0"/>
                <w:numId w:val="74"/>
              </w:numPr>
              <w:autoSpaceDE w:val="0"/>
              <w:autoSpaceDN w:val="0"/>
              <w:adjustRightInd w:val="0"/>
              <w:spacing w:before="0" w:line="241" w:lineRule="atLeast"/>
              <w:jc w:val="left"/>
              <w:rPr>
                <w:rFonts w:cs="Arial"/>
                <w:color w:val="auto"/>
                <w:sz w:val="20"/>
              </w:rPr>
            </w:pPr>
            <w:r w:rsidRPr="003C7E62">
              <w:rPr>
                <w:rFonts w:cs="Arial"/>
                <w:bCs/>
                <w:color w:val="auto"/>
                <w:sz w:val="20"/>
              </w:rPr>
              <w:t>E</w:t>
            </w:r>
            <w:r w:rsidRPr="003C7E62">
              <w:rPr>
                <w:rFonts w:cs="Arial"/>
                <w:color w:val="auto"/>
                <w:sz w:val="20"/>
              </w:rPr>
              <w:t>ncouraging a high quality mix of retail, culture, health, housing and employment that will enhance the opportunity for people to live, work and visit the town centre;</w:t>
            </w:r>
          </w:p>
          <w:p w14:paraId="2CDE8E09" w14:textId="77777777" w:rsidR="001B5662" w:rsidRPr="003C7E62" w:rsidRDefault="001B5662" w:rsidP="000808D9">
            <w:pPr>
              <w:keepNext w:val="0"/>
              <w:numPr>
                <w:ilvl w:val="0"/>
                <w:numId w:val="74"/>
              </w:numPr>
              <w:autoSpaceDE w:val="0"/>
              <w:autoSpaceDN w:val="0"/>
              <w:adjustRightInd w:val="0"/>
              <w:spacing w:before="0" w:line="241" w:lineRule="atLeast"/>
              <w:jc w:val="left"/>
              <w:rPr>
                <w:rFonts w:cs="Arial"/>
                <w:color w:val="auto"/>
                <w:sz w:val="20"/>
              </w:rPr>
            </w:pPr>
            <w:r w:rsidRPr="003C7E62">
              <w:rPr>
                <w:rFonts w:cs="Arial"/>
                <w:bCs/>
                <w:color w:val="auto"/>
                <w:sz w:val="20"/>
              </w:rPr>
              <w:t>Enhancing the townscape character by ensuring that new development offers high quality design;</w:t>
            </w:r>
          </w:p>
          <w:p w14:paraId="70FBC80F" w14:textId="77777777" w:rsidR="001B5662" w:rsidRPr="003C7E62" w:rsidRDefault="001B5662" w:rsidP="000808D9">
            <w:pPr>
              <w:keepNext w:val="0"/>
              <w:numPr>
                <w:ilvl w:val="0"/>
                <w:numId w:val="74"/>
              </w:numPr>
              <w:autoSpaceDE w:val="0"/>
              <w:autoSpaceDN w:val="0"/>
              <w:adjustRightInd w:val="0"/>
              <w:spacing w:before="0" w:line="241" w:lineRule="atLeast"/>
              <w:jc w:val="left"/>
              <w:rPr>
                <w:rFonts w:cs="Arial"/>
                <w:color w:val="auto"/>
                <w:sz w:val="20"/>
              </w:rPr>
            </w:pPr>
            <w:r w:rsidRPr="003C7E62">
              <w:rPr>
                <w:rFonts w:cs="Arial"/>
                <w:color w:val="auto"/>
                <w:sz w:val="20"/>
              </w:rPr>
              <w:t xml:space="preserve">Creating </w:t>
            </w:r>
            <w:r w:rsidRPr="003C7E62">
              <w:rPr>
                <w:rFonts w:cs="Arial"/>
                <w:bCs/>
                <w:color w:val="auto"/>
                <w:sz w:val="20"/>
              </w:rPr>
              <w:t xml:space="preserve">a town centre environment which is the focus for the life of the community;  </w:t>
            </w:r>
          </w:p>
          <w:p w14:paraId="7EF2B6D2" w14:textId="77777777" w:rsidR="001B5662" w:rsidRPr="005A3E46" w:rsidRDefault="001B5662" w:rsidP="000808D9">
            <w:pPr>
              <w:keepNext w:val="0"/>
              <w:numPr>
                <w:ilvl w:val="0"/>
                <w:numId w:val="74"/>
              </w:numPr>
              <w:autoSpaceDE w:val="0"/>
              <w:autoSpaceDN w:val="0"/>
              <w:adjustRightInd w:val="0"/>
              <w:spacing w:before="0" w:line="241" w:lineRule="atLeast"/>
              <w:jc w:val="left"/>
              <w:rPr>
                <w:rFonts w:cs="Arial"/>
                <w:color w:val="auto"/>
                <w:sz w:val="20"/>
              </w:rPr>
            </w:pPr>
            <w:r w:rsidRPr="003C7E62">
              <w:rPr>
                <w:rFonts w:cs="Arial"/>
                <w:bCs/>
                <w:color w:val="auto"/>
                <w:sz w:val="20"/>
              </w:rPr>
              <w:t>Strengthening connections across the town centre through linking key destinations and promoting activity.</w:t>
            </w:r>
          </w:p>
          <w:p w14:paraId="0636CAA8" w14:textId="6175CAD2" w:rsidR="005A3E46" w:rsidRPr="003C7E62" w:rsidRDefault="005A3E46" w:rsidP="006C6E8A">
            <w:pPr>
              <w:keepNext w:val="0"/>
              <w:autoSpaceDE w:val="0"/>
              <w:autoSpaceDN w:val="0"/>
              <w:adjustRightInd w:val="0"/>
              <w:spacing w:before="0" w:line="241" w:lineRule="atLeast"/>
              <w:ind w:left="360"/>
              <w:jc w:val="left"/>
              <w:rPr>
                <w:rFonts w:cs="Arial"/>
                <w:color w:val="auto"/>
                <w:sz w:val="20"/>
              </w:rPr>
            </w:pPr>
          </w:p>
        </w:tc>
      </w:tr>
      <w:tr w:rsidR="001B5662" w:rsidRPr="003C7E62" w14:paraId="46B95F8B" w14:textId="77777777" w:rsidTr="006C6E8A">
        <w:tc>
          <w:tcPr>
            <w:tcW w:w="846" w:type="dxa"/>
            <w:shd w:val="clear" w:color="auto" w:fill="0070C0"/>
            <w:textDirection w:val="btLr"/>
            <w:vAlign w:val="center"/>
          </w:tcPr>
          <w:p w14:paraId="3F2FD754" w14:textId="5DA797F0" w:rsidR="001B5662" w:rsidRPr="003C7E62" w:rsidRDefault="001B5662" w:rsidP="001B5662">
            <w:pPr>
              <w:keepNext w:val="0"/>
              <w:spacing w:before="0"/>
              <w:jc w:val="center"/>
              <w:rPr>
                <w:rFonts w:cs="Arial"/>
                <w:b/>
                <w:bCs/>
                <w:color w:val="auto"/>
              </w:rPr>
            </w:pPr>
            <w:r w:rsidRPr="003C7E62">
              <w:rPr>
                <w:rFonts w:cs="Arial"/>
                <w:b/>
                <w:color w:val="FFFFFF"/>
              </w:rPr>
              <w:t>The Economy</w:t>
            </w:r>
          </w:p>
        </w:tc>
        <w:tc>
          <w:tcPr>
            <w:tcW w:w="1134" w:type="dxa"/>
          </w:tcPr>
          <w:p w14:paraId="2081FB8B" w14:textId="2D15FA4B" w:rsidR="001B5662" w:rsidRPr="003C7E62" w:rsidRDefault="001B5662" w:rsidP="001B5662">
            <w:pPr>
              <w:keepNext w:val="0"/>
              <w:spacing w:before="0"/>
              <w:rPr>
                <w:rFonts w:cs="Arial"/>
                <w:b/>
                <w:bCs/>
                <w:color w:val="auto"/>
              </w:rPr>
            </w:pPr>
            <w:r w:rsidRPr="003C7E62">
              <w:rPr>
                <w:rFonts w:cs="Arial"/>
                <w:b/>
                <w:bCs/>
                <w:color w:val="auto"/>
              </w:rPr>
              <w:t>SO10</w:t>
            </w:r>
          </w:p>
        </w:tc>
        <w:tc>
          <w:tcPr>
            <w:tcW w:w="7654" w:type="dxa"/>
          </w:tcPr>
          <w:p w14:paraId="359BCAFB" w14:textId="77777777" w:rsidR="001B5662" w:rsidRPr="003C7E62" w:rsidRDefault="001B5662" w:rsidP="001B5662">
            <w:pPr>
              <w:keepNext w:val="0"/>
              <w:spacing w:before="0" w:line="276" w:lineRule="auto"/>
              <w:rPr>
                <w:rFonts w:cs="Arial"/>
                <w:b/>
                <w:color w:val="auto"/>
                <w:sz w:val="20"/>
              </w:rPr>
            </w:pPr>
            <w:r w:rsidRPr="003C7E62">
              <w:rPr>
                <w:rFonts w:cs="Arial"/>
                <w:b/>
                <w:color w:val="auto"/>
                <w:sz w:val="20"/>
              </w:rPr>
              <w:t>Local Shopping Areas</w:t>
            </w:r>
          </w:p>
          <w:p w14:paraId="34C6BD9A" w14:textId="77777777" w:rsidR="001B5662" w:rsidRPr="003C7E62" w:rsidRDefault="001B5662" w:rsidP="001B5662">
            <w:pPr>
              <w:keepNext w:val="0"/>
              <w:spacing w:before="0" w:line="276" w:lineRule="auto"/>
              <w:rPr>
                <w:rFonts w:cs="Arial"/>
                <w:b/>
                <w:color w:val="auto"/>
                <w:sz w:val="20"/>
              </w:rPr>
            </w:pPr>
          </w:p>
          <w:p w14:paraId="47647C2F" w14:textId="77777777" w:rsidR="001B5662" w:rsidRPr="003C7E62" w:rsidRDefault="001B5662" w:rsidP="006C6E8A">
            <w:pPr>
              <w:keepNext w:val="0"/>
              <w:spacing w:before="0" w:line="276" w:lineRule="auto"/>
              <w:jc w:val="left"/>
              <w:rPr>
                <w:rFonts w:cs="Arial"/>
                <w:color w:val="auto"/>
                <w:sz w:val="20"/>
              </w:rPr>
            </w:pPr>
            <w:r w:rsidRPr="003C7E62">
              <w:rPr>
                <w:rFonts w:cs="Arial"/>
                <w:color w:val="auto"/>
                <w:sz w:val="20"/>
              </w:rPr>
              <w:t>Ensure local shopping areas provide appropriate services to satisfy local consumer needs by:</w:t>
            </w:r>
          </w:p>
          <w:p w14:paraId="74FCFC99" w14:textId="77777777" w:rsidR="001B5662" w:rsidRPr="003C7E62" w:rsidRDefault="001B5662" w:rsidP="006C6E8A">
            <w:pPr>
              <w:keepNext w:val="0"/>
              <w:numPr>
                <w:ilvl w:val="0"/>
                <w:numId w:val="75"/>
              </w:numPr>
              <w:autoSpaceDE w:val="0"/>
              <w:autoSpaceDN w:val="0"/>
              <w:adjustRightInd w:val="0"/>
              <w:spacing w:before="0" w:line="241" w:lineRule="atLeast"/>
              <w:jc w:val="left"/>
              <w:rPr>
                <w:rFonts w:cs="Arial"/>
                <w:color w:val="auto"/>
                <w:sz w:val="20"/>
              </w:rPr>
            </w:pPr>
            <w:r w:rsidRPr="003C7E62">
              <w:rPr>
                <w:rFonts w:cs="Arial"/>
                <w:color w:val="auto"/>
                <w:sz w:val="20"/>
              </w:rPr>
              <w:t xml:space="preserve">Protecting and promoting a diverse mix of uses, which cater for the day-to-day needs of the community.  </w:t>
            </w:r>
          </w:p>
          <w:p w14:paraId="28737E82" w14:textId="77777777" w:rsidR="001B5662" w:rsidRPr="003C7E62" w:rsidRDefault="001B5662" w:rsidP="006C6E8A">
            <w:pPr>
              <w:keepNext w:val="0"/>
              <w:numPr>
                <w:ilvl w:val="0"/>
                <w:numId w:val="75"/>
              </w:numPr>
              <w:autoSpaceDE w:val="0"/>
              <w:autoSpaceDN w:val="0"/>
              <w:adjustRightInd w:val="0"/>
              <w:spacing w:before="0" w:line="241" w:lineRule="atLeast"/>
              <w:jc w:val="left"/>
              <w:rPr>
                <w:rFonts w:cs="Arial"/>
                <w:color w:val="auto"/>
                <w:sz w:val="20"/>
              </w:rPr>
            </w:pPr>
            <w:r w:rsidRPr="003C7E62">
              <w:rPr>
                <w:rFonts w:cs="Arial"/>
                <w:color w:val="auto"/>
                <w:sz w:val="20"/>
              </w:rPr>
              <w:t>Supporting sensitive redevelopments and new developments where they contribute to the vitality and viability of the area and enhance the retail, service and leisure offer;</w:t>
            </w:r>
          </w:p>
          <w:p w14:paraId="12D3C694" w14:textId="77777777" w:rsidR="001B5662" w:rsidRDefault="001B5662" w:rsidP="006C6E8A">
            <w:pPr>
              <w:keepNext w:val="0"/>
              <w:numPr>
                <w:ilvl w:val="0"/>
                <w:numId w:val="75"/>
              </w:numPr>
              <w:autoSpaceDE w:val="0"/>
              <w:autoSpaceDN w:val="0"/>
              <w:adjustRightInd w:val="0"/>
              <w:spacing w:before="0" w:line="241" w:lineRule="atLeast"/>
              <w:jc w:val="left"/>
              <w:rPr>
                <w:rFonts w:cs="Arial"/>
                <w:color w:val="auto"/>
                <w:sz w:val="20"/>
              </w:rPr>
            </w:pPr>
            <w:r w:rsidRPr="003C7E62">
              <w:rPr>
                <w:rFonts w:cs="Arial"/>
                <w:color w:val="auto"/>
                <w:sz w:val="20"/>
              </w:rPr>
              <w:t>Enhancing the environment to make local shopping areas attractive place to visit at any time of the day.</w:t>
            </w:r>
          </w:p>
          <w:p w14:paraId="71C8FDB1" w14:textId="3F2BEA99" w:rsidR="005A3E46" w:rsidRPr="003C7E62" w:rsidRDefault="005A3E46" w:rsidP="005A3E46">
            <w:pPr>
              <w:keepNext w:val="0"/>
              <w:autoSpaceDE w:val="0"/>
              <w:autoSpaceDN w:val="0"/>
              <w:adjustRightInd w:val="0"/>
              <w:spacing w:before="0" w:line="241" w:lineRule="atLeast"/>
              <w:ind w:left="360"/>
              <w:rPr>
                <w:rFonts w:cs="Arial"/>
                <w:color w:val="auto"/>
                <w:sz w:val="20"/>
              </w:rPr>
            </w:pPr>
          </w:p>
        </w:tc>
      </w:tr>
    </w:tbl>
    <w:p w14:paraId="4193E5E0" w14:textId="77777777" w:rsidR="005A3E46" w:rsidRDefault="005A3E46" w:rsidP="003D2A07">
      <w:pPr>
        <w:keepNext w:val="0"/>
        <w:spacing w:before="0" w:after="160" w:line="252" w:lineRule="auto"/>
        <w:jc w:val="both"/>
        <w:rPr>
          <w:rFonts w:eastAsia="Calibri" w:cs="Arial"/>
          <w:color w:val="auto"/>
          <w:szCs w:val="22"/>
          <w:lang w:eastAsia="en-US"/>
        </w:rPr>
      </w:pPr>
    </w:p>
    <w:tbl>
      <w:tblPr>
        <w:tblStyle w:val="TableGrid"/>
        <w:tblW w:w="9634" w:type="dxa"/>
        <w:tblLayout w:type="fixed"/>
        <w:tblLook w:val="04A0" w:firstRow="1" w:lastRow="0" w:firstColumn="1" w:lastColumn="0" w:noHBand="0" w:noVBand="1"/>
      </w:tblPr>
      <w:tblGrid>
        <w:gridCol w:w="851"/>
        <w:gridCol w:w="1129"/>
        <w:gridCol w:w="7654"/>
      </w:tblGrid>
      <w:tr w:rsidR="001B5662" w14:paraId="1043E50D" w14:textId="77777777" w:rsidTr="006C6E8A">
        <w:tc>
          <w:tcPr>
            <w:tcW w:w="851" w:type="dxa"/>
            <w:shd w:val="clear" w:color="auto" w:fill="A8D08D" w:themeFill="accent6" w:themeFillTint="99"/>
            <w:textDirection w:val="btLr"/>
            <w:vAlign w:val="center"/>
          </w:tcPr>
          <w:p w14:paraId="4F7C9311" w14:textId="131BA464" w:rsidR="001B5662" w:rsidRPr="003C7E62" w:rsidRDefault="001B5662" w:rsidP="001B5662">
            <w:pPr>
              <w:keepNext w:val="0"/>
              <w:spacing w:before="0" w:after="160" w:line="252" w:lineRule="auto"/>
              <w:jc w:val="center"/>
              <w:rPr>
                <w:rFonts w:cs="Arial"/>
                <w:b/>
                <w:color w:val="auto"/>
              </w:rPr>
            </w:pPr>
            <w:r w:rsidRPr="003C7E62">
              <w:rPr>
                <w:rFonts w:cs="Arial"/>
                <w:b/>
                <w:color w:val="auto"/>
              </w:rPr>
              <w:t>The Environment</w:t>
            </w:r>
          </w:p>
        </w:tc>
        <w:tc>
          <w:tcPr>
            <w:tcW w:w="1129" w:type="dxa"/>
          </w:tcPr>
          <w:p w14:paraId="3C19F1F8" w14:textId="5209728E" w:rsidR="001B5662" w:rsidRDefault="001B5662" w:rsidP="001B5662">
            <w:pPr>
              <w:keepNext w:val="0"/>
              <w:spacing w:before="0" w:after="160" w:line="252" w:lineRule="auto"/>
              <w:jc w:val="both"/>
              <w:rPr>
                <w:rFonts w:eastAsia="Calibri" w:cs="Arial"/>
                <w:color w:val="auto"/>
                <w:szCs w:val="22"/>
                <w:lang w:eastAsia="en-US"/>
              </w:rPr>
            </w:pPr>
            <w:r w:rsidRPr="003C7E62">
              <w:rPr>
                <w:rFonts w:cs="Arial"/>
                <w:b/>
                <w:color w:val="auto"/>
              </w:rPr>
              <w:t>SO11</w:t>
            </w:r>
          </w:p>
        </w:tc>
        <w:tc>
          <w:tcPr>
            <w:tcW w:w="7654" w:type="dxa"/>
          </w:tcPr>
          <w:p w14:paraId="654A9C8E" w14:textId="77777777" w:rsidR="001B5662" w:rsidRPr="003C7E62" w:rsidRDefault="001B5662" w:rsidP="001B5662">
            <w:pPr>
              <w:keepNext w:val="0"/>
              <w:spacing w:before="0"/>
              <w:rPr>
                <w:rFonts w:cs="Arial"/>
                <w:b/>
                <w:color w:val="auto"/>
                <w:sz w:val="20"/>
              </w:rPr>
            </w:pPr>
            <w:r w:rsidRPr="003C7E62">
              <w:rPr>
                <w:rFonts w:cs="Arial"/>
                <w:b/>
                <w:color w:val="auto"/>
                <w:sz w:val="20"/>
              </w:rPr>
              <w:t>To meet the global challenge of climate change</w:t>
            </w:r>
          </w:p>
          <w:p w14:paraId="7A64E972" w14:textId="77777777" w:rsidR="001B5662" w:rsidRPr="003C7E62" w:rsidRDefault="001B5662" w:rsidP="001B5662">
            <w:pPr>
              <w:keepNext w:val="0"/>
              <w:spacing w:before="0"/>
              <w:rPr>
                <w:rFonts w:cs="Arial"/>
                <w:color w:val="auto"/>
                <w:sz w:val="20"/>
              </w:rPr>
            </w:pPr>
          </w:p>
          <w:p w14:paraId="0C5CAFE8" w14:textId="77777777" w:rsidR="001B5662" w:rsidRPr="003C7E62" w:rsidRDefault="001B5662" w:rsidP="001B5662">
            <w:pPr>
              <w:keepNext w:val="0"/>
              <w:spacing w:before="0"/>
              <w:rPr>
                <w:rFonts w:cs="Arial"/>
                <w:color w:val="auto"/>
                <w:sz w:val="20"/>
              </w:rPr>
            </w:pPr>
            <w:r w:rsidRPr="003C7E62">
              <w:rPr>
                <w:rFonts w:cs="Arial"/>
                <w:color w:val="auto"/>
                <w:sz w:val="20"/>
              </w:rPr>
              <w:t>To rise to the global challenge of climate change, which at a local level presents risks to people, property, infrastructure and natural resources by:</w:t>
            </w:r>
          </w:p>
          <w:p w14:paraId="5AD50390" w14:textId="77777777" w:rsidR="001B5662" w:rsidRPr="003C7E62" w:rsidRDefault="001B5662" w:rsidP="001B5662">
            <w:pPr>
              <w:keepNext w:val="0"/>
              <w:spacing w:before="0"/>
              <w:rPr>
                <w:rFonts w:cs="Arial"/>
                <w:color w:val="auto"/>
                <w:sz w:val="20"/>
              </w:rPr>
            </w:pPr>
          </w:p>
          <w:p w14:paraId="38F69290" w14:textId="77777777" w:rsidR="001B5662" w:rsidRPr="003C7E62" w:rsidRDefault="001B5662" w:rsidP="00874A98">
            <w:pPr>
              <w:keepNext w:val="0"/>
              <w:numPr>
                <w:ilvl w:val="0"/>
                <w:numId w:val="76"/>
              </w:numPr>
              <w:autoSpaceDE w:val="0"/>
              <w:autoSpaceDN w:val="0"/>
              <w:adjustRightInd w:val="0"/>
              <w:spacing w:before="0" w:line="259" w:lineRule="auto"/>
              <w:contextualSpacing/>
              <w:rPr>
                <w:rFonts w:cs="Arial"/>
                <w:color w:val="auto"/>
                <w:sz w:val="20"/>
              </w:rPr>
            </w:pPr>
            <w:r w:rsidRPr="003C7E62">
              <w:rPr>
                <w:rFonts w:cs="Arial"/>
                <w:color w:val="auto"/>
                <w:sz w:val="20"/>
              </w:rPr>
              <w:t>Supporting the delivery of low carbon renewable energy and local energy networks;</w:t>
            </w:r>
          </w:p>
          <w:p w14:paraId="666183B0" w14:textId="77777777" w:rsidR="001B5662" w:rsidRPr="003C7E62" w:rsidRDefault="001B5662" w:rsidP="00874A98">
            <w:pPr>
              <w:keepNext w:val="0"/>
              <w:numPr>
                <w:ilvl w:val="0"/>
                <w:numId w:val="76"/>
              </w:numPr>
              <w:spacing w:before="0" w:line="259" w:lineRule="auto"/>
              <w:contextualSpacing/>
              <w:rPr>
                <w:rFonts w:cs="Arial"/>
                <w:color w:val="auto"/>
                <w:sz w:val="20"/>
              </w:rPr>
            </w:pPr>
            <w:r w:rsidRPr="003C7E62">
              <w:rPr>
                <w:rFonts w:cs="Arial"/>
                <w:color w:val="auto"/>
                <w:sz w:val="20"/>
              </w:rPr>
              <w:t>Shaping places to help secure cuts in greenhouse gas emissions with location for new developments that allows for efficient use of resources;</w:t>
            </w:r>
          </w:p>
          <w:p w14:paraId="4605EDEC" w14:textId="7947679A" w:rsidR="001B5662" w:rsidRPr="003C7E62" w:rsidRDefault="001B5662" w:rsidP="00874A98">
            <w:pPr>
              <w:keepNext w:val="0"/>
              <w:numPr>
                <w:ilvl w:val="0"/>
                <w:numId w:val="76"/>
              </w:numPr>
              <w:autoSpaceDE w:val="0"/>
              <w:autoSpaceDN w:val="0"/>
              <w:adjustRightInd w:val="0"/>
              <w:spacing w:before="0" w:line="259" w:lineRule="auto"/>
              <w:contextualSpacing/>
              <w:rPr>
                <w:rFonts w:cs="Arial"/>
                <w:color w:val="auto"/>
                <w:sz w:val="20"/>
              </w:rPr>
            </w:pPr>
            <w:r w:rsidRPr="003C7E62">
              <w:rPr>
                <w:rFonts w:cs="Arial"/>
                <w:color w:val="auto"/>
                <w:sz w:val="20"/>
              </w:rPr>
              <w:t xml:space="preserve">Facilitating the integration of sustainable building design principles in new development, improve the resilience of buildings and places to cope with a changing climate, ensuring flood risk is </w:t>
            </w:r>
            <w:r w:rsidRPr="00E6288C">
              <w:rPr>
                <w:rFonts w:cs="Arial"/>
                <w:sz w:val="20"/>
              </w:rPr>
              <w:t xml:space="preserve">managed </w:t>
            </w:r>
            <w:r w:rsidR="00D148F4" w:rsidRPr="00E6288C">
              <w:rPr>
                <w:rFonts w:cs="Arial"/>
                <w:sz w:val="20"/>
              </w:rPr>
              <w:t xml:space="preserve">by encouraging nature based solutions </w:t>
            </w:r>
            <w:r w:rsidRPr="00E6288C">
              <w:rPr>
                <w:rFonts w:cs="Arial"/>
                <w:sz w:val="20"/>
              </w:rPr>
              <w:t xml:space="preserve">and potential problems of extreme weather </w:t>
            </w:r>
            <w:r w:rsidRPr="003C7E62">
              <w:rPr>
                <w:rFonts w:cs="Arial"/>
                <w:color w:val="auto"/>
                <w:sz w:val="20"/>
              </w:rPr>
              <w:t xml:space="preserve">are minimised; </w:t>
            </w:r>
          </w:p>
          <w:p w14:paraId="6C8561A8" w14:textId="77777777" w:rsidR="001B5662" w:rsidRPr="003C7E62" w:rsidRDefault="001B5662" w:rsidP="00874A98">
            <w:pPr>
              <w:keepNext w:val="0"/>
              <w:numPr>
                <w:ilvl w:val="0"/>
                <w:numId w:val="76"/>
              </w:numPr>
              <w:autoSpaceDE w:val="0"/>
              <w:autoSpaceDN w:val="0"/>
              <w:adjustRightInd w:val="0"/>
              <w:spacing w:before="0" w:line="259" w:lineRule="auto"/>
              <w:contextualSpacing/>
              <w:rPr>
                <w:rFonts w:cs="Arial"/>
                <w:color w:val="auto"/>
                <w:sz w:val="20"/>
              </w:rPr>
            </w:pPr>
            <w:r w:rsidRPr="003C7E62">
              <w:rPr>
                <w:rFonts w:cs="Arial"/>
                <w:color w:val="auto"/>
                <w:sz w:val="20"/>
              </w:rPr>
              <w:t xml:space="preserve">Reducing the amount of waste that ends up in landfill, particularly biodegradable waste, and increase self-sufficiency; </w:t>
            </w:r>
          </w:p>
          <w:p w14:paraId="54004B96" w14:textId="77777777" w:rsidR="001B5662" w:rsidRPr="003C7E62" w:rsidRDefault="001B5662" w:rsidP="00874A98">
            <w:pPr>
              <w:keepNext w:val="0"/>
              <w:numPr>
                <w:ilvl w:val="0"/>
                <w:numId w:val="76"/>
              </w:numPr>
              <w:autoSpaceDE w:val="0"/>
              <w:autoSpaceDN w:val="0"/>
              <w:adjustRightInd w:val="0"/>
              <w:spacing w:before="0" w:line="259" w:lineRule="auto"/>
              <w:contextualSpacing/>
              <w:rPr>
                <w:rFonts w:cs="Arial"/>
                <w:color w:val="auto"/>
                <w:sz w:val="20"/>
              </w:rPr>
            </w:pPr>
            <w:r w:rsidRPr="003C7E62">
              <w:rPr>
                <w:rFonts w:cs="Arial"/>
                <w:color w:val="auto"/>
                <w:sz w:val="20"/>
              </w:rPr>
              <w:lastRenderedPageBreak/>
              <w:t>Supporting the infrastructure to provide for zero emission vehicles;</w:t>
            </w:r>
          </w:p>
          <w:p w14:paraId="375E2A4A" w14:textId="77777777" w:rsidR="001B5662" w:rsidRDefault="001B5662" w:rsidP="00874A98">
            <w:pPr>
              <w:keepNext w:val="0"/>
              <w:numPr>
                <w:ilvl w:val="0"/>
                <w:numId w:val="76"/>
              </w:numPr>
              <w:spacing w:before="0" w:line="259" w:lineRule="auto"/>
              <w:contextualSpacing/>
              <w:rPr>
                <w:rFonts w:cs="Arial"/>
                <w:color w:val="auto"/>
                <w:sz w:val="20"/>
              </w:rPr>
            </w:pPr>
            <w:r w:rsidRPr="003C7E62">
              <w:rPr>
                <w:rFonts w:cs="Arial"/>
                <w:color w:val="auto"/>
                <w:sz w:val="20"/>
              </w:rPr>
              <w:t>Ensuring that there are opportunities to take positive action on climate change by encouraging community-led initiatives such as the promotion of decentralised renewable energy use;</w:t>
            </w:r>
          </w:p>
          <w:p w14:paraId="516071B5" w14:textId="77777777" w:rsidR="001B5662" w:rsidRDefault="001B5662" w:rsidP="00874A98">
            <w:pPr>
              <w:keepNext w:val="0"/>
              <w:numPr>
                <w:ilvl w:val="0"/>
                <w:numId w:val="76"/>
              </w:numPr>
              <w:spacing w:before="0" w:line="259" w:lineRule="auto"/>
              <w:contextualSpacing/>
              <w:rPr>
                <w:rFonts w:cs="Arial"/>
                <w:color w:val="auto"/>
                <w:sz w:val="20"/>
              </w:rPr>
            </w:pPr>
            <w:r w:rsidRPr="001B5662">
              <w:rPr>
                <w:rFonts w:cs="Arial"/>
                <w:color w:val="auto"/>
                <w:sz w:val="20"/>
              </w:rPr>
              <w:t>Moving away from the extraction of fossil fuels, the burning of which is carbon intensive.</w:t>
            </w:r>
          </w:p>
          <w:p w14:paraId="62EE8B5B" w14:textId="028C09CB" w:rsidR="005A3E46" w:rsidRPr="001B5662" w:rsidRDefault="005A3E46" w:rsidP="005A3E46">
            <w:pPr>
              <w:keepNext w:val="0"/>
              <w:spacing w:before="0" w:line="259" w:lineRule="auto"/>
              <w:ind w:left="360"/>
              <w:contextualSpacing/>
              <w:rPr>
                <w:rFonts w:cs="Arial"/>
                <w:color w:val="auto"/>
                <w:sz w:val="20"/>
              </w:rPr>
            </w:pPr>
          </w:p>
        </w:tc>
      </w:tr>
      <w:tr w:rsidR="001B5662" w14:paraId="31E2D48A" w14:textId="77777777" w:rsidTr="006C6E8A">
        <w:tc>
          <w:tcPr>
            <w:tcW w:w="851" w:type="dxa"/>
            <w:shd w:val="clear" w:color="auto" w:fill="A8D08D" w:themeFill="accent6" w:themeFillTint="99"/>
            <w:textDirection w:val="btLr"/>
            <w:vAlign w:val="center"/>
          </w:tcPr>
          <w:p w14:paraId="48EEAF4E" w14:textId="14BE7A60" w:rsidR="001B5662" w:rsidRPr="004C5E1B" w:rsidRDefault="001B5662" w:rsidP="005A3E46">
            <w:pPr>
              <w:keepNext w:val="0"/>
              <w:spacing w:before="0" w:after="160" w:line="252" w:lineRule="auto"/>
              <w:jc w:val="center"/>
              <w:rPr>
                <w:b/>
                <w:bCs/>
              </w:rPr>
            </w:pPr>
            <w:r w:rsidRPr="003C7E62">
              <w:rPr>
                <w:rFonts w:cs="Arial"/>
                <w:b/>
                <w:color w:val="auto"/>
              </w:rPr>
              <w:lastRenderedPageBreak/>
              <w:t>The Environment</w:t>
            </w:r>
          </w:p>
        </w:tc>
        <w:tc>
          <w:tcPr>
            <w:tcW w:w="1129" w:type="dxa"/>
          </w:tcPr>
          <w:p w14:paraId="5B5C5D5B" w14:textId="7922D913" w:rsidR="001B5662" w:rsidRPr="004C5E1B" w:rsidRDefault="001B5662" w:rsidP="001B5662">
            <w:pPr>
              <w:keepNext w:val="0"/>
              <w:spacing w:before="0" w:after="160" w:line="252" w:lineRule="auto"/>
              <w:jc w:val="both"/>
              <w:rPr>
                <w:rFonts w:eastAsia="Calibri" w:cs="Arial"/>
                <w:b/>
                <w:bCs/>
                <w:color w:val="auto"/>
                <w:szCs w:val="22"/>
                <w:lang w:eastAsia="en-US"/>
              </w:rPr>
            </w:pPr>
            <w:r w:rsidRPr="004C5E1B">
              <w:rPr>
                <w:b/>
                <w:bCs/>
              </w:rPr>
              <w:t>SO12</w:t>
            </w:r>
          </w:p>
        </w:tc>
        <w:tc>
          <w:tcPr>
            <w:tcW w:w="7654" w:type="dxa"/>
          </w:tcPr>
          <w:p w14:paraId="4442DF9F" w14:textId="387A56E3" w:rsidR="001B5662" w:rsidRPr="003C7E62" w:rsidRDefault="001B5662" w:rsidP="001B5662">
            <w:pPr>
              <w:keepNext w:val="0"/>
              <w:spacing w:before="0" w:line="276" w:lineRule="auto"/>
              <w:rPr>
                <w:rFonts w:cs="Arial"/>
                <w:b/>
                <w:color w:val="auto"/>
                <w:sz w:val="20"/>
              </w:rPr>
            </w:pPr>
            <w:r w:rsidRPr="003C7E62">
              <w:rPr>
                <w:rFonts w:cs="Arial"/>
                <w:b/>
                <w:color w:val="auto"/>
                <w:sz w:val="20"/>
              </w:rPr>
              <w:t>Transport and Accessibility</w:t>
            </w:r>
          </w:p>
          <w:p w14:paraId="5489B82B" w14:textId="77777777" w:rsidR="001B5662" w:rsidRPr="003C7E62" w:rsidRDefault="001B5662" w:rsidP="001B5662">
            <w:pPr>
              <w:keepNext w:val="0"/>
              <w:spacing w:before="0" w:line="276" w:lineRule="auto"/>
              <w:rPr>
                <w:rFonts w:cs="Arial"/>
                <w:b/>
                <w:color w:val="auto"/>
                <w:sz w:val="20"/>
              </w:rPr>
            </w:pPr>
          </w:p>
          <w:p w14:paraId="426B288E" w14:textId="77777777" w:rsidR="001B5662" w:rsidRPr="003C7E62" w:rsidRDefault="001B5662" w:rsidP="001B5662">
            <w:pPr>
              <w:keepNext w:val="0"/>
              <w:spacing w:before="0" w:line="276" w:lineRule="auto"/>
              <w:rPr>
                <w:rFonts w:cs="Arial"/>
                <w:color w:val="auto"/>
                <w:sz w:val="20"/>
              </w:rPr>
            </w:pPr>
            <w:r w:rsidRPr="003C7E62">
              <w:rPr>
                <w:rFonts w:cs="Arial"/>
                <w:color w:val="auto"/>
                <w:sz w:val="20"/>
              </w:rPr>
              <w:t xml:space="preserve">Improving movement and accessibility through: </w:t>
            </w:r>
          </w:p>
          <w:p w14:paraId="23FFAEBF" w14:textId="77777777" w:rsidR="001B5662" w:rsidRPr="003C7E62" w:rsidRDefault="001B5662" w:rsidP="00874A98">
            <w:pPr>
              <w:keepNext w:val="0"/>
              <w:numPr>
                <w:ilvl w:val="0"/>
                <w:numId w:val="77"/>
              </w:numPr>
              <w:spacing w:before="0" w:line="276" w:lineRule="auto"/>
              <w:contextualSpacing/>
              <w:rPr>
                <w:rFonts w:cs="Arial"/>
                <w:color w:val="auto"/>
                <w:sz w:val="20"/>
              </w:rPr>
            </w:pPr>
            <w:r w:rsidRPr="003C7E62">
              <w:rPr>
                <w:rFonts w:cs="Arial"/>
                <w:color w:val="auto"/>
                <w:sz w:val="20"/>
              </w:rPr>
              <w:t>Make efficient use of the existing transport infrastructure,</w:t>
            </w:r>
          </w:p>
          <w:p w14:paraId="22DFA317" w14:textId="77777777" w:rsidR="001B5662" w:rsidRPr="003C7E62" w:rsidRDefault="001B5662" w:rsidP="00874A98">
            <w:pPr>
              <w:keepNext w:val="0"/>
              <w:numPr>
                <w:ilvl w:val="0"/>
                <w:numId w:val="77"/>
              </w:numPr>
              <w:spacing w:before="0" w:line="276" w:lineRule="auto"/>
              <w:contextualSpacing/>
              <w:rPr>
                <w:rFonts w:cs="Arial"/>
                <w:color w:val="auto"/>
                <w:sz w:val="20"/>
              </w:rPr>
            </w:pPr>
            <w:r w:rsidRPr="003C7E62">
              <w:rPr>
                <w:rFonts w:cs="Arial"/>
                <w:color w:val="auto"/>
                <w:sz w:val="20"/>
              </w:rPr>
              <w:t>Reduce the need to travel by car and improves accessibility.</w:t>
            </w:r>
          </w:p>
          <w:p w14:paraId="78806AB1" w14:textId="77777777" w:rsidR="001B5662" w:rsidRPr="003C7E62" w:rsidRDefault="001B5662" w:rsidP="00874A98">
            <w:pPr>
              <w:keepNext w:val="0"/>
              <w:numPr>
                <w:ilvl w:val="0"/>
                <w:numId w:val="77"/>
              </w:numPr>
              <w:spacing w:before="0" w:line="276" w:lineRule="auto"/>
              <w:contextualSpacing/>
              <w:rPr>
                <w:rFonts w:cs="Arial"/>
                <w:color w:val="auto"/>
                <w:sz w:val="20"/>
              </w:rPr>
            </w:pPr>
            <w:r w:rsidRPr="003C7E62">
              <w:rPr>
                <w:rFonts w:cs="Arial"/>
                <w:color w:val="auto"/>
                <w:sz w:val="20"/>
              </w:rPr>
              <w:t>Working with others to promote quality public transport.</w:t>
            </w:r>
          </w:p>
          <w:p w14:paraId="7DF277AC" w14:textId="77777777" w:rsidR="001B5662" w:rsidRDefault="001B5662" w:rsidP="00874A98">
            <w:pPr>
              <w:keepNext w:val="0"/>
              <w:numPr>
                <w:ilvl w:val="0"/>
                <w:numId w:val="77"/>
              </w:numPr>
              <w:spacing w:before="0" w:line="276" w:lineRule="auto"/>
              <w:contextualSpacing/>
              <w:rPr>
                <w:rFonts w:cs="Arial"/>
                <w:color w:val="auto"/>
                <w:sz w:val="20"/>
              </w:rPr>
            </w:pPr>
            <w:r w:rsidRPr="003C7E62">
              <w:rPr>
                <w:rFonts w:cs="Arial"/>
                <w:color w:val="auto"/>
                <w:sz w:val="20"/>
              </w:rPr>
              <w:t>Encouraging cycling and walking opportunities.</w:t>
            </w:r>
          </w:p>
          <w:p w14:paraId="66AA9FA9" w14:textId="77777777" w:rsidR="001B5662" w:rsidRDefault="001B5662" w:rsidP="00874A98">
            <w:pPr>
              <w:keepNext w:val="0"/>
              <w:numPr>
                <w:ilvl w:val="0"/>
                <w:numId w:val="77"/>
              </w:numPr>
              <w:spacing w:before="0" w:line="276" w:lineRule="auto"/>
              <w:contextualSpacing/>
              <w:rPr>
                <w:rFonts w:cs="Arial"/>
                <w:color w:val="auto"/>
                <w:sz w:val="20"/>
              </w:rPr>
            </w:pPr>
            <w:r w:rsidRPr="001B5662">
              <w:rPr>
                <w:rFonts w:cs="Arial"/>
                <w:color w:val="auto"/>
                <w:sz w:val="20"/>
              </w:rPr>
              <w:t>Improve access to jobs, homes and services.</w:t>
            </w:r>
          </w:p>
          <w:p w14:paraId="62945B98" w14:textId="77777777" w:rsidR="006A2145" w:rsidRDefault="006A2145" w:rsidP="006A2145">
            <w:pPr>
              <w:keepNext w:val="0"/>
              <w:spacing w:before="0" w:line="276" w:lineRule="auto"/>
              <w:ind w:left="360"/>
              <w:contextualSpacing/>
              <w:rPr>
                <w:rFonts w:cs="Arial"/>
                <w:color w:val="auto"/>
                <w:sz w:val="20"/>
              </w:rPr>
            </w:pPr>
          </w:p>
          <w:p w14:paraId="656D66B1" w14:textId="61E699E4" w:rsidR="005A3E46" w:rsidRPr="001B5662" w:rsidRDefault="005A3E46" w:rsidP="005A3E46">
            <w:pPr>
              <w:keepNext w:val="0"/>
              <w:spacing w:before="0" w:line="276" w:lineRule="auto"/>
              <w:ind w:left="360"/>
              <w:contextualSpacing/>
              <w:rPr>
                <w:rFonts w:cs="Arial"/>
                <w:color w:val="auto"/>
                <w:sz w:val="20"/>
              </w:rPr>
            </w:pPr>
          </w:p>
        </w:tc>
      </w:tr>
      <w:tr w:rsidR="001B5662" w14:paraId="0C4E211A" w14:textId="77777777" w:rsidTr="006C6E8A">
        <w:tc>
          <w:tcPr>
            <w:tcW w:w="851" w:type="dxa"/>
            <w:shd w:val="clear" w:color="auto" w:fill="A8D08D" w:themeFill="accent6" w:themeFillTint="99"/>
            <w:textDirection w:val="btLr"/>
            <w:vAlign w:val="center"/>
          </w:tcPr>
          <w:p w14:paraId="2153AD32" w14:textId="6EA96E08" w:rsidR="001B5662" w:rsidRPr="004C5E1B" w:rsidRDefault="001B5662" w:rsidP="005A3E46">
            <w:pPr>
              <w:keepNext w:val="0"/>
              <w:spacing w:before="0" w:after="160" w:line="252" w:lineRule="auto"/>
              <w:jc w:val="center"/>
              <w:rPr>
                <w:b/>
                <w:bCs/>
              </w:rPr>
            </w:pPr>
            <w:r w:rsidRPr="003C7E62">
              <w:rPr>
                <w:rFonts w:cs="Arial"/>
                <w:b/>
                <w:color w:val="auto"/>
              </w:rPr>
              <w:t>The Environment</w:t>
            </w:r>
          </w:p>
        </w:tc>
        <w:tc>
          <w:tcPr>
            <w:tcW w:w="1129" w:type="dxa"/>
          </w:tcPr>
          <w:p w14:paraId="39C81D84" w14:textId="07C8117D" w:rsidR="001B5662" w:rsidRPr="004C5E1B" w:rsidRDefault="001B5662" w:rsidP="001B5662">
            <w:pPr>
              <w:keepNext w:val="0"/>
              <w:spacing w:before="0" w:after="160" w:line="252" w:lineRule="auto"/>
              <w:jc w:val="both"/>
              <w:rPr>
                <w:rFonts w:eastAsia="Calibri" w:cs="Arial"/>
                <w:b/>
                <w:bCs/>
                <w:color w:val="auto"/>
                <w:szCs w:val="22"/>
                <w:lang w:eastAsia="en-US"/>
              </w:rPr>
            </w:pPr>
            <w:r w:rsidRPr="004C5E1B">
              <w:rPr>
                <w:b/>
                <w:bCs/>
              </w:rPr>
              <w:t>SO13</w:t>
            </w:r>
          </w:p>
        </w:tc>
        <w:tc>
          <w:tcPr>
            <w:tcW w:w="7654" w:type="dxa"/>
          </w:tcPr>
          <w:p w14:paraId="5AED4937" w14:textId="77777777" w:rsidR="001B5662" w:rsidRPr="003C7E62" w:rsidRDefault="001B5662" w:rsidP="001B5662">
            <w:pPr>
              <w:keepNext w:val="0"/>
              <w:spacing w:before="0" w:line="276" w:lineRule="auto"/>
              <w:rPr>
                <w:rFonts w:cs="Arial"/>
                <w:b/>
                <w:color w:val="auto"/>
                <w:sz w:val="20"/>
              </w:rPr>
            </w:pPr>
            <w:r w:rsidRPr="003C7E62">
              <w:rPr>
                <w:rFonts w:cs="Arial"/>
                <w:b/>
                <w:color w:val="auto"/>
                <w:sz w:val="20"/>
              </w:rPr>
              <w:t>Minimising our Impact on the Environment</w:t>
            </w:r>
          </w:p>
          <w:p w14:paraId="5C1EB89E" w14:textId="77777777" w:rsidR="001B5662" w:rsidRPr="003C7E62" w:rsidRDefault="001B5662" w:rsidP="001B5662">
            <w:pPr>
              <w:keepNext w:val="0"/>
              <w:spacing w:before="0" w:line="276" w:lineRule="auto"/>
              <w:rPr>
                <w:rFonts w:cs="Arial"/>
                <w:b/>
                <w:color w:val="auto"/>
                <w:sz w:val="20"/>
              </w:rPr>
            </w:pPr>
            <w:r w:rsidRPr="003C7E62">
              <w:rPr>
                <w:rFonts w:cs="Arial"/>
                <w:b/>
                <w:color w:val="auto"/>
                <w:sz w:val="20"/>
              </w:rPr>
              <w:t xml:space="preserve"> </w:t>
            </w:r>
          </w:p>
          <w:p w14:paraId="219D65FC" w14:textId="77777777" w:rsidR="001B5662" w:rsidRPr="003C7E62" w:rsidRDefault="001B5662" w:rsidP="001B5662">
            <w:pPr>
              <w:keepNext w:val="0"/>
              <w:spacing w:before="0" w:line="276" w:lineRule="auto"/>
              <w:rPr>
                <w:rFonts w:cs="Arial"/>
                <w:color w:val="auto"/>
                <w:sz w:val="20"/>
              </w:rPr>
            </w:pPr>
            <w:r w:rsidRPr="003C7E62">
              <w:rPr>
                <w:rFonts w:cs="Arial"/>
                <w:color w:val="auto"/>
                <w:sz w:val="20"/>
              </w:rPr>
              <w:t>Promote the efficient use of resources by embracing sustainable patterns of development including:</w:t>
            </w:r>
          </w:p>
          <w:p w14:paraId="2E5E2D32" w14:textId="77777777" w:rsidR="001B5662" w:rsidRPr="003C7E62" w:rsidRDefault="001B5662" w:rsidP="00874A98">
            <w:pPr>
              <w:keepNext w:val="0"/>
              <w:numPr>
                <w:ilvl w:val="0"/>
                <w:numId w:val="78"/>
              </w:numPr>
              <w:spacing w:before="0" w:line="276" w:lineRule="auto"/>
              <w:contextualSpacing/>
              <w:rPr>
                <w:rFonts w:cs="Arial"/>
                <w:color w:val="auto"/>
                <w:sz w:val="20"/>
              </w:rPr>
            </w:pPr>
            <w:r w:rsidRPr="003C7E62">
              <w:rPr>
                <w:rFonts w:cs="Arial"/>
                <w:color w:val="auto"/>
                <w:sz w:val="20"/>
              </w:rPr>
              <w:t>Maximising the use of previously developed land unless it conflicts with other strategic objectives and policies.</w:t>
            </w:r>
          </w:p>
          <w:p w14:paraId="6DF896ED" w14:textId="77777777" w:rsidR="001B5662" w:rsidRPr="003C7E62" w:rsidRDefault="001B5662" w:rsidP="00874A98">
            <w:pPr>
              <w:keepNext w:val="0"/>
              <w:numPr>
                <w:ilvl w:val="0"/>
                <w:numId w:val="78"/>
              </w:numPr>
              <w:spacing w:before="0" w:line="276" w:lineRule="auto"/>
              <w:contextualSpacing/>
              <w:rPr>
                <w:rFonts w:cs="Arial"/>
                <w:color w:val="auto"/>
                <w:sz w:val="20"/>
              </w:rPr>
            </w:pPr>
            <w:r w:rsidRPr="003C7E62">
              <w:rPr>
                <w:rFonts w:cs="Arial"/>
                <w:color w:val="auto"/>
                <w:sz w:val="20"/>
              </w:rPr>
              <w:t>Ensuring development proposals fully consider the coal mining legacy issues to ensure the stability of the land</w:t>
            </w:r>
            <w:r>
              <w:rPr>
                <w:rFonts w:cs="Arial"/>
                <w:color w:val="auto"/>
                <w:sz w:val="20"/>
              </w:rPr>
              <w:t xml:space="preserve"> and to o</w:t>
            </w:r>
            <w:r w:rsidRPr="00832DE8">
              <w:rPr>
                <w:rFonts w:cs="Arial"/>
                <w:color w:val="auto"/>
                <w:sz w:val="20"/>
              </w:rPr>
              <w:t>ptimise the potential for the u</w:t>
            </w:r>
            <w:r>
              <w:rPr>
                <w:rFonts w:cs="Arial"/>
                <w:color w:val="auto"/>
                <w:sz w:val="20"/>
              </w:rPr>
              <w:t>s</w:t>
            </w:r>
            <w:r w:rsidRPr="00832DE8">
              <w:rPr>
                <w:rFonts w:cs="Arial"/>
                <w:color w:val="auto"/>
                <w:sz w:val="20"/>
              </w:rPr>
              <w:t>e of mine water heating</w:t>
            </w:r>
            <w:r w:rsidRPr="003C7E62">
              <w:rPr>
                <w:rFonts w:cs="Arial"/>
                <w:color w:val="auto"/>
                <w:sz w:val="20"/>
              </w:rPr>
              <w:t>.</w:t>
            </w:r>
          </w:p>
          <w:p w14:paraId="74C2F20A" w14:textId="4AF393C8" w:rsidR="001B5662" w:rsidRPr="00E6288C" w:rsidRDefault="00D148F4" w:rsidP="00874A98">
            <w:pPr>
              <w:keepNext w:val="0"/>
              <w:numPr>
                <w:ilvl w:val="0"/>
                <w:numId w:val="78"/>
              </w:numPr>
              <w:spacing w:before="0" w:line="276" w:lineRule="auto"/>
              <w:contextualSpacing/>
              <w:rPr>
                <w:rFonts w:cs="Arial"/>
                <w:sz w:val="20"/>
              </w:rPr>
            </w:pPr>
            <w:r w:rsidRPr="00E6288C">
              <w:rPr>
                <w:rFonts w:cs="Arial"/>
                <w:sz w:val="20"/>
              </w:rPr>
              <w:t>Avoiding the impacts of new development on natural resources wherever possible and minimise, mitigate and compensate where it cannot be avoided.</w:t>
            </w:r>
          </w:p>
          <w:p w14:paraId="34FA15D7" w14:textId="77777777" w:rsidR="001B5662" w:rsidRDefault="001B5662" w:rsidP="00874A98">
            <w:pPr>
              <w:keepNext w:val="0"/>
              <w:numPr>
                <w:ilvl w:val="0"/>
                <w:numId w:val="78"/>
              </w:numPr>
              <w:spacing w:before="0" w:line="276" w:lineRule="auto"/>
              <w:contextualSpacing/>
              <w:rPr>
                <w:rFonts w:cs="Arial"/>
                <w:color w:val="auto"/>
                <w:sz w:val="20"/>
              </w:rPr>
            </w:pPr>
            <w:r w:rsidRPr="003C7E62">
              <w:rPr>
                <w:rFonts w:cs="Arial"/>
                <w:color w:val="auto"/>
                <w:sz w:val="20"/>
              </w:rPr>
              <w:t>Improving water quality, ensuring that development safeguards the water supply in the principal limestone and sandstone aquifers.</w:t>
            </w:r>
          </w:p>
          <w:p w14:paraId="445655F1" w14:textId="77777777" w:rsidR="001B5662" w:rsidRDefault="001B5662" w:rsidP="00874A98">
            <w:pPr>
              <w:keepNext w:val="0"/>
              <w:numPr>
                <w:ilvl w:val="0"/>
                <w:numId w:val="78"/>
              </w:numPr>
              <w:spacing w:before="0" w:line="276" w:lineRule="auto"/>
              <w:contextualSpacing/>
              <w:rPr>
                <w:rFonts w:cs="Arial"/>
                <w:color w:val="auto"/>
                <w:sz w:val="20"/>
              </w:rPr>
            </w:pPr>
            <w:r w:rsidRPr="001B5662">
              <w:rPr>
                <w:rFonts w:cs="Arial"/>
                <w:color w:val="auto"/>
                <w:sz w:val="20"/>
              </w:rPr>
              <w:t>Minimising pollution including air, noise, water, soil and light pollution.</w:t>
            </w:r>
          </w:p>
          <w:p w14:paraId="00062A1E" w14:textId="77777777" w:rsidR="006A2145" w:rsidRDefault="006A2145" w:rsidP="006A2145">
            <w:pPr>
              <w:keepNext w:val="0"/>
              <w:spacing w:before="0" w:line="276" w:lineRule="auto"/>
              <w:ind w:left="360"/>
              <w:contextualSpacing/>
              <w:rPr>
                <w:rFonts w:cs="Arial"/>
                <w:color w:val="auto"/>
                <w:sz w:val="20"/>
              </w:rPr>
            </w:pPr>
          </w:p>
          <w:p w14:paraId="56B2B49F" w14:textId="4DFB7F7A" w:rsidR="005A3E46" w:rsidRPr="001B5662" w:rsidRDefault="005A3E46" w:rsidP="005A3E46">
            <w:pPr>
              <w:keepNext w:val="0"/>
              <w:spacing w:before="0" w:line="276" w:lineRule="auto"/>
              <w:ind w:left="360"/>
              <w:contextualSpacing/>
              <w:rPr>
                <w:rFonts w:cs="Arial"/>
                <w:color w:val="auto"/>
                <w:sz w:val="20"/>
              </w:rPr>
            </w:pPr>
          </w:p>
        </w:tc>
      </w:tr>
      <w:tr w:rsidR="001B5662" w14:paraId="14464128" w14:textId="77777777" w:rsidTr="006C6E8A">
        <w:tc>
          <w:tcPr>
            <w:tcW w:w="851" w:type="dxa"/>
            <w:shd w:val="clear" w:color="auto" w:fill="A8D08D" w:themeFill="accent6" w:themeFillTint="99"/>
            <w:textDirection w:val="btLr"/>
            <w:vAlign w:val="center"/>
          </w:tcPr>
          <w:p w14:paraId="797715D8" w14:textId="7A2A50B7" w:rsidR="001B5662" w:rsidRPr="004C5E1B" w:rsidRDefault="001B5662" w:rsidP="005A3E46">
            <w:pPr>
              <w:keepNext w:val="0"/>
              <w:spacing w:before="0" w:after="160" w:line="252" w:lineRule="auto"/>
              <w:jc w:val="center"/>
              <w:rPr>
                <w:b/>
                <w:bCs/>
              </w:rPr>
            </w:pPr>
            <w:r w:rsidRPr="003C7E62">
              <w:rPr>
                <w:rFonts w:cs="Arial"/>
                <w:b/>
                <w:color w:val="auto"/>
              </w:rPr>
              <w:t>The Environment</w:t>
            </w:r>
          </w:p>
        </w:tc>
        <w:tc>
          <w:tcPr>
            <w:tcW w:w="1129" w:type="dxa"/>
          </w:tcPr>
          <w:p w14:paraId="5FB296ED" w14:textId="22282744" w:rsidR="001B5662" w:rsidRPr="004C5E1B" w:rsidRDefault="001B5662" w:rsidP="001B5662">
            <w:pPr>
              <w:keepNext w:val="0"/>
              <w:spacing w:before="0" w:after="160" w:line="252" w:lineRule="auto"/>
              <w:jc w:val="both"/>
              <w:rPr>
                <w:rFonts w:eastAsia="Calibri" w:cs="Arial"/>
                <w:b/>
                <w:bCs/>
                <w:color w:val="auto"/>
                <w:szCs w:val="22"/>
                <w:lang w:eastAsia="en-US"/>
              </w:rPr>
            </w:pPr>
            <w:r w:rsidRPr="004C5E1B">
              <w:rPr>
                <w:b/>
                <w:bCs/>
              </w:rPr>
              <w:t>SO14</w:t>
            </w:r>
          </w:p>
        </w:tc>
        <w:tc>
          <w:tcPr>
            <w:tcW w:w="7654" w:type="dxa"/>
          </w:tcPr>
          <w:p w14:paraId="0A1F26D6" w14:textId="77777777" w:rsidR="001B5662" w:rsidRPr="003C7E62" w:rsidRDefault="001B5662" w:rsidP="001B5662">
            <w:pPr>
              <w:keepNext w:val="0"/>
              <w:spacing w:before="0" w:line="276" w:lineRule="auto"/>
              <w:rPr>
                <w:rFonts w:cs="Arial"/>
                <w:b/>
                <w:color w:val="auto"/>
                <w:sz w:val="20"/>
              </w:rPr>
            </w:pPr>
            <w:r w:rsidRPr="003C7E62">
              <w:rPr>
                <w:rFonts w:cs="Arial"/>
                <w:b/>
                <w:color w:val="auto"/>
                <w:sz w:val="20"/>
              </w:rPr>
              <w:t>Protecting and Enhancing the Quality of the Local Environment</w:t>
            </w:r>
          </w:p>
          <w:p w14:paraId="682185A7" w14:textId="77777777" w:rsidR="001B5662" w:rsidRPr="003C7E62" w:rsidRDefault="001B5662" w:rsidP="001B5662">
            <w:pPr>
              <w:keepNext w:val="0"/>
              <w:spacing w:before="0" w:line="276" w:lineRule="auto"/>
              <w:rPr>
                <w:rFonts w:cs="Arial"/>
                <w:b/>
                <w:color w:val="auto"/>
                <w:sz w:val="20"/>
              </w:rPr>
            </w:pPr>
          </w:p>
          <w:p w14:paraId="6911546C" w14:textId="77777777" w:rsidR="001B5662" w:rsidRPr="003C7E62" w:rsidRDefault="001B5662" w:rsidP="001B5662">
            <w:pPr>
              <w:keepNext w:val="0"/>
              <w:spacing w:before="0" w:line="276" w:lineRule="auto"/>
              <w:rPr>
                <w:rFonts w:cs="Arial"/>
                <w:color w:val="auto"/>
                <w:sz w:val="20"/>
              </w:rPr>
            </w:pPr>
            <w:r w:rsidRPr="003C7E62">
              <w:rPr>
                <w:rFonts w:cs="Arial"/>
                <w:color w:val="auto"/>
                <w:sz w:val="20"/>
              </w:rPr>
              <w:t>Enrich the quality of the natural, historic, geological and built environment enhancing the District’s distinctiveness and sense of place by:</w:t>
            </w:r>
          </w:p>
          <w:p w14:paraId="58E09DA2" w14:textId="77777777" w:rsidR="001B5662" w:rsidRPr="003C7E62" w:rsidRDefault="001B5662" w:rsidP="00874A98">
            <w:pPr>
              <w:keepNext w:val="0"/>
              <w:numPr>
                <w:ilvl w:val="0"/>
                <w:numId w:val="79"/>
              </w:numPr>
              <w:spacing w:before="0" w:line="276" w:lineRule="auto"/>
              <w:contextualSpacing/>
              <w:rPr>
                <w:rFonts w:cs="Arial"/>
                <w:color w:val="auto"/>
                <w:sz w:val="20"/>
              </w:rPr>
            </w:pPr>
            <w:r w:rsidRPr="003C7E62">
              <w:rPr>
                <w:rFonts w:cs="Arial"/>
                <w:color w:val="auto"/>
                <w:sz w:val="20"/>
              </w:rPr>
              <w:t>Protecting and enhancing geological sites, natural habitats, ecological networks and the biodiversity they support.</w:t>
            </w:r>
          </w:p>
          <w:p w14:paraId="3C0C26FE" w14:textId="77777777" w:rsidR="001B5662" w:rsidRPr="003C7E62" w:rsidRDefault="001B5662" w:rsidP="00874A98">
            <w:pPr>
              <w:keepNext w:val="0"/>
              <w:numPr>
                <w:ilvl w:val="0"/>
                <w:numId w:val="79"/>
              </w:numPr>
              <w:spacing w:before="0" w:line="276" w:lineRule="auto"/>
              <w:contextualSpacing/>
              <w:rPr>
                <w:rFonts w:cs="Arial"/>
                <w:color w:val="auto"/>
                <w:sz w:val="20"/>
              </w:rPr>
            </w:pPr>
            <w:r w:rsidRPr="003C7E62">
              <w:rPr>
                <w:rFonts w:cs="Arial"/>
                <w:color w:val="auto"/>
                <w:sz w:val="20"/>
              </w:rPr>
              <w:t xml:space="preserve">Safeguarding Ashfield’s scenic and distinct countryside, heritage and valued landscapes. </w:t>
            </w:r>
          </w:p>
          <w:p w14:paraId="1DA3F1E1" w14:textId="77777777" w:rsidR="001B5662" w:rsidRDefault="001B5662" w:rsidP="00874A98">
            <w:pPr>
              <w:keepNext w:val="0"/>
              <w:numPr>
                <w:ilvl w:val="0"/>
                <w:numId w:val="79"/>
              </w:numPr>
              <w:spacing w:before="0" w:line="276" w:lineRule="auto"/>
              <w:contextualSpacing/>
              <w:rPr>
                <w:rFonts w:cs="Arial"/>
                <w:color w:val="auto"/>
                <w:sz w:val="20"/>
              </w:rPr>
            </w:pPr>
            <w:r w:rsidRPr="003C7E62">
              <w:rPr>
                <w:rFonts w:cs="Arial"/>
                <w:color w:val="auto"/>
                <w:sz w:val="20"/>
              </w:rPr>
              <w:t>The provision of connected quality green and blue spaces that are multifunctional, accessible to all, supporting wildlife and human health.</w:t>
            </w:r>
          </w:p>
          <w:p w14:paraId="6E33A2DA" w14:textId="77777777" w:rsidR="001B5662" w:rsidRDefault="001B5662" w:rsidP="00874A98">
            <w:pPr>
              <w:keepNext w:val="0"/>
              <w:numPr>
                <w:ilvl w:val="0"/>
                <w:numId w:val="79"/>
              </w:numPr>
              <w:spacing w:before="0" w:line="276" w:lineRule="auto"/>
              <w:contextualSpacing/>
              <w:rPr>
                <w:rFonts w:cs="Arial"/>
                <w:color w:val="auto"/>
                <w:sz w:val="20"/>
              </w:rPr>
            </w:pPr>
            <w:r w:rsidRPr="001B5662">
              <w:rPr>
                <w:rFonts w:cs="Arial"/>
                <w:color w:val="auto"/>
                <w:sz w:val="20"/>
              </w:rPr>
              <w:t>Conserving, and enhancing the District’s distinct historic environment and cultural heritage including locally valued non-designated heritage assets.</w:t>
            </w:r>
          </w:p>
          <w:p w14:paraId="38747A4E" w14:textId="271510D6" w:rsidR="005A3E46" w:rsidRPr="001B5662" w:rsidRDefault="005A3E46" w:rsidP="005A3E46">
            <w:pPr>
              <w:keepNext w:val="0"/>
              <w:spacing w:before="0" w:line="276" w:lineRule="auto"/>
              <w:ind w:left="360"/>
              <w:contextualSpacing/>
              <w:rPr>
                <w:rFonts w:cs="Arial"/>
                <w:color w:val="auto"/>
                <w:sz w:val="20"/>
              </w:rPr>
            </w:pPr>
          </w:p>
        </w:tc>
      </w:tr>
      <w:bookmarkEnd w:id="27"/>
    </w:tbl>
    <w:p w14:paraId="029728A9" w14:textId="77777777" w:rsidR="00F42218" w:rsidRPr="00F42218" w:rsidRDefault="00F42218" w:rsidP="00CB1B12">
      <w:pPr>
        <w:keepNext w:val="0"/>
        <w:spacing w:before="0"/>
        <w:rPr>
          <w:rFonts w:cs="Arial"/>
          <w:bCs/>
          <w:color w:val="auto"/>
          <w:szCs w:val="24"/>
        </w:rPr>
      </w:pPr>
    </w:p>
    <w:bookmarkEnd w:id="28"/>
    <w:p w14:paraId="5862FBD6" w14:textId="77777777" w:rsidR="007A4FE5" w:rsidRDefault="007A4FE5" w:rsidP="00CB1B12">
      <w:pPr>
        <w:keepNext w:val="0"/>
        <w:spacing w:before="0"/>
        <w:rPr>
          <w:rFonts w:cs="Arial"/>
          <w:b/>
          <w:color w:val="auto"/>
          <w:sz w:val="36"/>
          <w:szCs w:val="36"/>
        </w:rPr>
        <w:sectPr w:rsidR="007A4FE5" w:rsidSect="007A4FE5">
          <w:headerReference w:type="default" r:id="rId21"/>
          <w:pgSz w:w="11906" w:h="16838" w:code="9"/>
          <w:pgMar w:top="1258" w:right="1133" w:bottom="1079" w:left="1134" w:header="709" w:footer="709" w:gutter="0"/>
          <w:cols w:space="708"/>
          <w:docGrid w:linePitch="360"/>
        </w:sectPr>
      </w:pPr>
    </w:p>
    <w:p w14:paraId="11D2B71A" w14:textId="523BBA32" w:rsidR="00DA4833" w:rsidRPr="003C7E62" w:rsidRDefault="00DA4833" w:rsidP="00165C32">
      <w:pPr>
        <w:pStyle w:val="Heading1"/>
      </w:pPr>
      <w:bookmarkStart w:id="30" w:name="_Toc145511551"/>
      <w:bookmarkStart w:id="31" w:name="_Hlk129877992"/>
      <w:r w:rsidRPr="00E439EC">
        <w:lastRenderedPageBreak/>
        <w:t>Chapter 3</w:t>
      </w:r>
      <w:bookmarkEnd w:id="30"/>
      <w:r w:rsidRPr="003C7E62">
        <w:t xml:space="preserve"> </w:t>
      </w:r>
    </w:p>
    <w:p w14:paraId="5BC722C1" w14:textId="77777777" w:rsidR="00DA4833" w:rsidRPr="003C7E62" w:rsidRDefault="00DA4833" w:rsidP="00CB1B12">
      <w:pPr>
        <w:keepNext w:val="0"/>
        <w:spacing w:before="0"/>
        <w:rPr>
          <w:rFonts w:cs="Arial"/>
          <w:b/>
          <w:color w:val="auto"/>
          <w:sz w:val="20"/>
        </w:rPr>
      </w:pPr>
    </w:p>
    <w:p w14:paraId="795389DD" w14:textId="22FBCC23" w:rsidR="0004665C" w:rsidRPr="00E6288C" w:rsidRDefault="00162A7B" w:rsidP="00E6288C">
      <w:pPr>
        <w:pStyle w:val="Heading1"/>
      </w:pPr>
      <w:bookmarkStart w:id="32" w:name="_Toc145511552"/>
      <w:r w:rsidRPr="00364726">
        <w:t xml:space="preserve">Sustainable </w:t>
      </w:r>
      <w:r w:rsidR="00E6288C">
        <w:t>d</w:t>
      </w:r>
      <w:r w:rsidRPr="00364726">
        <w:t>evelopment in Ashfield -</w:t>
      </w:r>
      <w:r w:rsidR="00364726">
        <w:t xml:space="preserve"> </w:t>
      </w:r>
      <w:r w:rsidR="006A5605" w:rsidRPr="00364726">
        <w:t>S</w:t>
      </w:r>
      <w:r w:rsidRPr="00364726">
        <w:t xml:space="preserve">trategic </w:t>
      </w:r>
      <w:r w:rsidR="006A5605" w:rsidRPr="00364726">
        <w:t>P</w:t>
      </w:r>
      <w:r w:rsidRPr="00364726">
        <w:t>olicies</w:t>
      </w:r>
      <w:bookmarkStart w:id="33" w:name="_Hlk80698575"/>
      <w:bookmarkEnd w:id="32"/>
    </w:p>
    <w:p w14:paraId="3B73FDD0" w14:textId="77777777" w:rsidR="006A5605" w:rsidRPr="006A5605" w:rsidRDefault="006A5605" w:rsidP="006A5605">
      <w:pPr>
        <w:rPr>
          <w:lang w:eastAsia="en-US"/>
        </w:rPr>
      </w:pPr>
    </w:p>
    <w:p w14:paraId="0F3B4749" w14:textId="37F2A39A" w:rsidR="006A5605" w:rsidRPr="009D5737" w:rsidRDefault="006A5605" w:rsidP="009D5737">
      <w:pPr>
        <w:pStyle w:val="Heading2"/>
        <w:jc w:val="left"/>
        <w:rPr>
          <w:sz w:val="28"/>
          <w:szCs w:val="28"/>
        </w:rPr>
      </w:pPr>
      <w:bookmarkStart w:id="34" w:name="_Toc145511553"/>
      <w:r w:rsidRPr="009D5737">
        <w:rPr>
          <w:sz w:val="28"/>
          <w:szCs w:val="28"/>
        </w:rPr>
        <w:t xml:space="preserve">Strategic Policy </w:t>
      </w:r>
      <w:bookmarkStart w:id="35" w:name="_Hlk144276185"/>
      <w:r w:rsidRPr="009D5737">
        <w:rPr>
          <w:sz w:val="28"/>
          <w:szCs w:val="28"/>
        </w:rPr>
        <w:t xml:space="preserve">S1: Spatial Strategy to </w:t>
      </w:r>
      <w:r w:rsidR="00952440" w:rsidRPr="009D5737">
        <w:rPr>
          <w:sz w:val="28"/>
          <w:szCs w:val="28"/>
        </w:rPr>
        <w:t>D</w:t>
      </w:r>
      <w:r w:rsidRPr="009D5737">
        <w:rPr>
          <w:sz w:val="28"/>
          <w:szCs w:val="28"/>
        </w:rPr>
        <w:t>eliver the Vision</w:t>
      </w:r>
      <w:bookmarkEnd w:id="34"/>
      <w:bookmarkEnd w:id="35"/>
    </w:p>
    <w:p w14:paraId="702A81A6" w14:textId="7FAFA75E" w:rsidR="006A5605" w:rsidRPr="009B02C6" w:rsidRDefault="006A5605" w:rsidP="006A5605">
      <w:pPr>
        <w:rPr>
          <w:b/>
          <w:bCs/>
          <w:color w:val="auto"/>
          <w:sz w:val="28"/>
          <w:szCs w:val="28"/>
        </w:rPr>
      </w:pPr>
    </w:p>
    <w:p w14:paraId="29BCBE1C" w14:textId="44C6E218" w:rsidR="006A5605" w:rsidRPr="00E439EC" w:rsidRDefault="006A5605" w:rsidP="006A5605">
      <w:pPr>
        <w:keepNext w:val="0"/>
        <w:numPr>
          <w:ilvl w:val="1"/>
          <w:numId w:val="2"/>
        </w:numPr>
        <w:tabs>
          <w:tab w:val="clear" w:pos="525"/>
          <w:tab w:val="num" w:pos="709"/>
        </w:tabs>
        <w:autoSpaceDE w:val="0"/>
        <w:autoSpaceDN w:val="0"/>
        <w:adjustRightInd w:val="0"/>
        <w:spacing w:before="0"/>
        <w:ind w:left="709" w:hanging="709"/>
        <w:rPr>
          <w:rFonts w:eastAsia="Arial" w:cs="Arial"/>
        </w:rPr>
      </w:pPr>
      <w:r w:rsidRPr="00E439EC">
        <w:rPr>
          <w:rFonts w:eastAsia="Arial" w:cs="Arial"/>
        </w:rPr>
        <w:t>The spatial strategy sets out how the Council will seek to deliver the Local Plan’s Vision by guiding the distribution of development across the District over the Plan period, 2023 – 2040.</w:t>
      </w:r>
      <w:r w:rsidRPr="00E439EC">
        <w:t xml:space="preserve"> It has been positively prepared to meet the development and infrastructure needs of Ashfield and provides a framework and context for the other policies of the </w:t>
      </w:r>
      <w:r w:rsidR="006C49F9">
        <w:t>P</w:t>
      </w:r>
      <w:r w:rsidRPr="00E439EC">
        <w:t>lan.</w:t>
      </w:r>
    </w:p>
    <w:p w14:paraId="48D5F4F0" w14:textId="15F2C9C2" w:rsidR="006A5605" w:rsidRPr="00E439EC" w:rsidRDefault="006A5605" w:rsidP="006A5605">
      <w:pPr>
        <w:autoSpaceDE w:val="0"/>
        <w:autoSpaceDN w:val="0"/>
        <w:adjustRightInd w:val="0"/>
        <w:ind w:left="709"/>
        <w:rPr>
          <w:rFonts w:eastAsia="Arial" w:cs="Arial"/>
        </w:rPr>
      </w:pPr>
    </w:p>
    <w:p w14:paraId="532280F0" w14:textId="1AE99FCC" w:rsidR="006A5605" w:rsidRPr="00E439EC" w:rsidRDefault="006A5605" w:rsidP="006A5605">
      <w:pPr>
        <w:keepNext w:val="0"/>
        <w:numPr>
          <w:ilvl w:val="1"/>
          <w:numId w:val="2"/>
        </w:numPr>
        <w:tabs>
          <w:tab w:val="clear" w:pos="525"/>
          <w:tab w:val="num" w:pos="709"/>
        </w:tabs>
        <w:autoSpaceDE w:val="0"/>
        <w:autoSpaceDN w:val="0"/>
        <w:adjustRightInd w:val="0"/>
        <w:spacing w:before="0"/>
        <w:ind w:left="709" w:hanging="709"/>
        <w:rPr>
          <w:rFonts w:eastAsia="Arial" w:cs="Arial"/>
        </w:rPr>
      </w:pPr>
      <w:bookmarkStart w:id="36" w:name="_Hlk148449767"/>
      <w:r w:rsidRPr="00E439EC">
        <w:rPr>
          <w:rFonts w:eastAsia="Arial" w:cs="Arial"/>
        </w:rPr>
        <w:t>The main proposals of the Local Plan are illustrated on the Key Diagram below.</w:t>
      </w:r>
    </w:p>
    <w:p w14:paraId="7D3D5EFB" w14:textId="2FBD5881" w:rsidR="006A5605" w:rsidRDefault="006A5605" w:rsidP="006A5605">
      <w:pPr>
        <w:autoSpaceDE w:val="0"/>
        <w:autoSpaceDN w:val="0"/>
        <w:adjustRightInd w:val="0"/>
        <w:ind w:left="851"/>
        <w:jc w:val="center"/>
        <w:rPr>
          <w:rFonts w:eastAsia="Arial" w:cs="Arial"/>
        </w:rPr>
      </w:pPr>
    </w:p>
    <w:p w14:paraId="3B4A0C41" w14:textId="77C6EA74" w:rsidR="00CA619B" w:rsidRDefault="00BF07B5" w:rsidP="009B02C6">
      <w:pPr>
        <w:keepNext w:val="0"/>
        <w:spacing w:before="0"/>
        <w:ind w:left="720"/>
        <w:jc w:val="center"/>
        <w:rPr>
          <w:rFonts w:cs="Arial"/>
          <w:b/>
          <w:bCs/>
          <w:color w:val="auto"/>
          <w:szCs w:val="24"/>
        </w:rPr>
      </w:pPr>
      <w:r>
        <w:rPr>
          <w:rFonts w:cs="Arial"/>
          <w:b/>
          <w:bCs/>
          <w:noProof/>
          <w:color w:val="auto"/>
          <w:szCs w:val="24"/>
        </w:rPr>
        <w:drawing>
          <wp:inline distT="0" distB="0" distL="0" distR="0" wp14:anchorId="3988D778" wp14:editId="12699C47">
            <wp:extent cx="4280104" cy="5213267"/>
            <wp:effectExtent l="0" t="0" r="6350" b="6985"/>
            <wp:docPr id="363242021" name="Picture 1" descr="Figure 4: Ashfield Local Plan Key Diagram Source: Ashfield District Cou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242021" name="Picture 1" descr="Figure 4: Ashfield Local Plan Key Diagram Source: Ashfield District Council"/>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321250" cy="5263383"/>
                    </a:xfrm>
                    <a:prstGeom prst="rect">
                      <a:avLst/>
                    </a:prstGeom>
                    <a:noFill/>
                  </pic:spPr>
                </pic:pic>
              </a:graphicData>
            </a:graphic>
          </wp:inline>
        </w:drawing>
      </w:r>
    </w:p>
    <w:p w14:paraId="3EA3F47F" w14:textId="5AF24A36" w:rsidR="00BF07B5" w:rsidRDefault="009B02C6" w:rsidP="00890704">
      <w:pPr>
        <w:pStyle w:val="Heading3"/>
        <w:rPr>
          <w:rFonts w:eastAsia="Arial"/>
        </w:rPr>
      </w:pPr>
      <w:r w:rsidRPr="00716A70">
        <w:t xml:space="preserve">Figure </w:t>
      </w:r>
      <w:r w:rsidR="005D3347">
        <w:t>4</w:t>
      </w:r>
      <w:r w:rsidRPr="00716A70">
        <w:t>:</w:t>
      </w:r>
      <w:r w:rsidRPr="009B02C6">
        <w:t xml:space="preserve"> Ashfield Local Plan Key Diagram</w:t>
      </w:r>
      <w:r w:rsidR="00885A45">
        <w:t xml:space="preserve"> </w:t>
      </w:r>
      <w:r w:rsidRPr="006C49F9">
        <w:rPr>
          <w:sz w:val="20"/>
        </w:rPr>
        <w:t>Source: Ashfield District Council</w:t>
      </w:r>
      <w:r w:rsidR="00BF07B5">
        <w:rPr>
          <w:rFonts w:eastAsia="Arial"/>
        </w:rPr>
        <w:br w:type="page"/>
      </w:r>
    </w:p>
    <w:tbl>
      <w:tblPr>
        <w:tblStyle w:val="TableGrid24"/>
        <w:tblW w:w="9356" w:type="dxa"/>
        <w:tblInd w:w="137" w:type="dxa"/>
        <w:tblLook w:val="04A0" w:firstRow="1" w:lastRow="0" w:firstColumn="1" w:lastColumn="0" w:noHBand="0" w:noVBand="1"/>
      </w:tblPr>
      <w:tblGrid>
        <w:gridCol w:w="3260"/>
        <w:gridCol w:w="6096"/>
      </w:tblGrid>
      <w:tr w:rsidR="000B3D9D" w:rsidRPr="000B3D9D" w14:paraId="0E3764CF" w14:textId="77777777" w:rsidTr="009D4C91">
        <w:tc>
          <w:tcPr>
            <w:tcW w:w="9356" w:type="dxa"/>
            <w:gridSpan w:val="2"/>
          </w:tcPr>
          <w:p w14:paraId="1ABDC263" w14:textId="77777777" w:rsidR="0020285D" w:rsidRDefault="0020285D" w:rsidP="0020285D">
            <w:pPr>
              <w:keepNext w:val="0"/>
              <w:spacing w:before="0"/>
              <w:ind w:left="164"/>
              <w:rPr>
                <w:rFonts w:cs="Arial"/>
                <w:b/>
                <w:bCs/>
                <w:iCs/>
                <w:color w:val="auto"/>
                <w:szCs w:val="24"/>
              </w:rPr>
            </w:pPr>
          </w:p>
          <w:p w14:paraId="3161E929" w14:textId="20C40342" w:rsidR="0020285D" w:rsidRDefault="000B3D9D" w:rsidP="0020285D">
            <w:pPr>
              <w:keepNext w:val="0"/>
              <w:spacing w:before="0"/>
              <w:ind w:left="164"/>
              <w:rPr>
                <w:rFonts w:cs="Arial"/>
                <w:b/>
                <w:bCs/>
                <w:iCs/>
                <w:color w:val="auto"/>
                <w:szCs w:val="24"/>
              </w:rPr>
            </w:pPr>
            <w:r w:rsidRPr="000B3D9D">
              <w:rPr>
                <w:rFonts w:cs="Arial"/>
                <w:b/>
                <w:bCs/>
                <w:iCs/>
                <w:color w:val="auto"/>
                <w:szCs w:val="24"/>
              </w:rPr>
              <w:t xml:space="preserve">Strategic Policy S1: Spatial Strategy to Deliver the Vision  </w:t>
            </w:r>
          </w:p>
          <w:p w14:paraId="037081FC" w14:textId="03BE2A1A" w:rsidR="000B3D9D" w:rsidRPr="000B3D9D" w:rsidRDefault="000B3D9D" w:rsidP="0020285D">
            <w:pPr>
              <w:keepNext w:val="0"/>
              <w:spacing w:before="0"/>
              <w:ind w:left="164"/>
              <w:rPr>
                <w:rFonts w:cs="Arial"/>
                <w:color w:val="auto"/>
                <w:szCs w:val="24"/>
              </w:rPr>
            </w:pPr>
            <w:r w:rsidRPr="000B3D9D">
              <w:rPr>
                <w:rFonts w:cs="Arial"/>
                <w:b/>
                <w:bCs/>
                <w:iCs/>
                <w:color w:val="auto"/>
                <w:szCs w:val="24"/>
              </w:rPr>
              <w:t xml:space="preserve"> </w:t>
            </w:r>
          </w:p>
        </w:tc>
      </w:tr>
      <w:tr w:rsidR="000B3D9D" w:rsidRPr="000B3D9D" w14:paraId="429EBD36" w14:textId="77777777" w:rsidTr="009D4C91">
        <w:tc>
          <w:tcPr>
            <w:tcW w:w="3260" w:type="dxa"/>
          </w:tcPr>
          <w:p w14:paraId="7E231EE1" w14:textId="77777777" w:rsidR="000B3D9D" w:rsidRPr="000B3D9D" w:rsidRDefault="000B3D9D" w:rsidP="0020285D">
            <w:pPr>
              <w:keepNext w:val="0"/>
              <w:spacing w:before="0"/>
              <w:ind w:left="164"/>
              <w:rPr>
                <w:rFonts w:cs="Arial"/>
                <w:color w:val="auto"/>
                <w:szCs w:val="24"/>
              </w:rPr>
            </w:pPr>
            <w:r w:rsidRPr="000B3D9D">
              <w:rPr>
                <w:rFonts w:cs="Arial"/>
                <w:bCs/>
                <w:color w:val="auto"/>
                <w:szCs w:val="24"/>
              </w:rPr>
              <w:t>Strategic Objectives</w:t>
            </w:r>
          </w:p>
        </w:tc>
        <w:tc>
          <w:tcPr>
            <w:tcW w:w="6096" w:type="dxa"/>
          </w:tcPr>
          <w:p w14:paraId="24649B18" w14:textId="77777777" w:rsidR="000B3D9D" w:rsidRPr="000B3D9D" w:rsidRDefault="000B3D9D" w:rsidP="0020285D">
            <w:pPr>
              <w:keepNext w:val="0"/>
              <w:spacing w:before="0"/>
              <w:ind w:left="164"/>
              <w:rPr>
                <w:rFonts w:cs="Arial"/>
                <w:color w:val="auto"/>
                <w:szCs w:val="24"/>
              </w:rPr>
            </w:pPr>
            <w:r w:rsidRPr="000B3D9D">
              <w:rPr>
                <w:rFonts w:cs="Arial"/>
                <w:bCs/>
                <w:color w:val="auto"/>
                <w:szCs w:val="24"/>
              </w:rPr>
              <w:t>SO1, SO3, SO5, SO6, SO11, SO13, S014</w:t>
            </w:r>
          </w:p>
        </w:tc>
      </w:tr>
      <w:tr w:rsidR="000B3D9D" w:rsidRPr="000B3D9D" w14:paraId="5042C0BE" w14:textId="77777777" w:rsidTr="009D4C91">
        <w:tc>
          <w:tcPr>
            <w:tcW w:w="9356" w:type="dxa"/>
            <w:gridSpan w:val="2"/>
            <w:shd w:val="clear" w:color="auto" w:fill="D9D9D9" w:themeFill="background1" w:themeFillShade="D9"/>
          </w:tcPr>
          <w:p w14:paraId="45F93049" w14:textId="77777777" w:rsidR="0020285D" w:rsidRDefault="0020285D" w:rsidP="0020285D">
            <w:pPr>
              <w:keepNext w:val="0"/>
              <w:tabs>
                <w:tab w:val="left" w:pos="1133"/>
                <w:tab w:val="left" w:pos="2267"/>
              </w:tabs>
              <w:spacing w:before="0"/>
              <w:ind w:left="164" w:right="284"/>
              <w:rPr>
                <w:rFonts w:cs="Arial"/>
                <w:bCs/>
                <w:color w:val="auto"/>
                <w:szCs w:val="24"/>
              </w:rPr>
            </w:pPr>
          </w:p>
          <w:p w14:paraId="5ECDA41F" w14:textId="354F8049" w:rsidR="000B3D9D" w:rsidRPr="000B3D9D" w:rsidRDefault="000B3D9D" w:rsidP="0020285D">
            <w:pPr>
              <w:keepNext w:val="0"/>
              <w:tabs>
                <w:tab w:val="left" w:pos="1133"/>
                <w:tab w:val="left" w:pos="2267"/>
              </w:tabs>
              <w:spacing w:before="0"/>
              <w:ind w:left="164" w:right="284"/>
              <w:rPr>
                <w:rFonts w:cs="Arial"/>
                <w:bCs/>
                <w:color w:val="auto"/>
                <w:szCs w:val="24"/>
              </w:rPr>
            </w:pPr>
            <w:r w:rsidRPr="000B3D9D">
              <w:rPr>
                <w:rFonts w:cs="Arial"/>
                <w:bCs/>
                <w:color w:val="auto"/>
                <w:szCs w:val="24"/>
              </w:rPr>
              <w:t>Sustainable growth to deliver the Vision will be achieved through:</w:t>
            </w:r>
          </w:p>
          <w:p w14:paraId="121E1B7F" w14:textId="77777777" w:rsidR="000B3D9D" w:rsidRPr="000B3D9D" w:rsidRDefault="000B3D9D" w:rsidP="0020285D">
            <w:pPr>
              <w:keepNext w:val="0"/>
              <w:tabs>
                <w:tab w:val="left" w:pos="680"/>
                <w:tab w:val="left" w:pos="1133"/>
                <w:tab w:val="left" w:pos="2267"/>
              </w:tabs>
              <w:spacing w:before="0"/>
              <w:ind w:left="589" w:right="284"/>
              <w:rPr>
                <w:rFonts w:cs="Arial"/>
                <w:bCs/>
                <w:color w:val="auto"/>
                <w:szCs w:val="24"/>
              </w:rPr>
            </w:pPr>
          </w:p>
          <w:p w14:paraId="28118FA2" w14:textId="77777777" w:rsidR="000B3D9D" w:rsidRPr="000B3D9D" w:rsidRDefault="000B3D9D" w:rsidP="00874A98">
            <w:pPr>
              <w:keepNext w:val="0"/>
              <w:numPr>
                <w:ilvl w:val="0"/>
                <w:numId w:val="333"/>
              </w:numPr>
              <w:tabs>
                <w:tab w:val="left" w:pos="680"/>
                <w:tab w:val="left" w:pos="1133"/>
                <w:tab w:val="left" w:pos="2267"/>
              </w:tabs>
              <w:spacing w:before="0"/>
              <w:ind w:left="589" w:right="284"/>
              <w:contextualSpacing/>
              <w:rPr>
                <w:rFonts w:cs="Arial"/>
                <w:bCs/>
                <w:szCs w:val="24"/>
              </w:rPr>
            </w:pPr>
            <w:r w:rsidRPr="000B3D9D">
              <w:rPr>
                <w:rFonts w:cs="Arial"/>
                <w:bCs/>
                <w:szCs w:val="24"/>
              </w:rPr>
              <w:t>Creating sustainable and attractive places with an enhanced quality of life for residents;</w:t>
            </w:r>
          </w:p>
          <w:p w14:paraId="44C0120B" w14:textId="77777777" w:rsidR="000B3D9D" w:rsidRPr="000B3D9D" w:rsidRDefault="000B3D9D" w:rsidP="0020285D">
            <w:pPr>
              <w:keepNext w:val="0"/>
              <w:tabs>
                <w:tab w:val="left" w:pos="680"/>
                <w:tab w:val="left" w:pos="1133"/>
                <w:tab w:val="left" w:pos="2267"/>
              </w:tabs>
              <w:spacing w:before="0"/>
              <w:ind w:left="589" w:right="284"/>
              <w:contextualSpacing/>
              <w:rPr>
                <w:rFonts w:cs="Arial"/>
                <w:bCs/>
                <w:szCs w:val="24"/>
              </w:rPr>
            </w:pPr>
          </w:p>
          <w:p w14:paraId="178101D2" w14:textId="77777777" w:rsidR="000B3D9D" w:rsidRPr="000B3D9D" w:rsidRDefault="000B3D9D" w:rsidP="00874A98">
            <w:pPr>
              <w:keepNext w:val="0"/>
              <w:numPr>
                <w:ilvl w:val="0"/>
                <w:numId w:val="333"/>
              </w:numPr>
              <w:tabs>
                <w:tab w:val="left" w:pos="680"/>
                <w:tab w:val="left" w:pos="1133"/>
                <w:tab w:val="left" w:pos="2267"/>
              </w:tabs>
              <w:spacing w:before="0"/>
              <w:ind w:left="589" w:right="284"/>
              <w:contextualSpacing/>
              <w:rPr>
                <w:rFonts w:cs="Arial"/>
                <w:bCs/>
                <w:szCs w:val="24"/>
              </w:rPr>
            </w:pPr>
            <w:r w:rsidRPr="000B3D9D">
              <w:rPr>
                <w:rFonts w:cs="Arial"/>
                <w:bCs/>
                <w:szCs w:val="24"/>
              </w:rPr>
              <w:t>Ensuring a strong regeneration focus for our towns, including maximising the use of previously developed (Brownfield) land;</w:t>
            </w:r>
          </w:p>
          <w:p w14:paraId="4B2F9640" w14:textId="77777777" w:rsidR="000B3D9D" w:rsidRPr="000B3D9D" w:rsidRDefault="000B3D9D" w:rsidP="0020285D">
            <w:pPr>
              <w:keepNext w:val="0"/>
              <w:tabs>
                <w:tab w:val="left" w:pos="680"/>
                <w:tab w:val="left" w:pos="1133"/>
                <w:tab w:val="left" w:pos="2267"/>
              </w:tabs>
              <w:spacing w:before="0"/>
              <w:ind w:left="589" w:right="284"/>
              <w:rPr>
                <w:rFonts w:cs="Arial"/>
                <w:bCs/>
                <w:color w:val="auto"/>
                <w:szCs w:val="24"/>
              </w:rPr>
            </w:pPr>
          </w:p>
          <w:p w14:paraId="7BA40198" w14:textId="77777777" w:rsidR="000B3D9D" w:rsidRPr="000B3D9D" w:rsidRDefault="000B3D9D" w:rsidP="00874A98">
            <w:pPr>
              <w:keepNext w:val="0"/>
              <w:numPr>
                <w:ilvl w:val="0"/>
                <w:numId w:val="333"/>
              </w:numPr>
              <w:spacing w:before="0" w:line="259" w:lineRule="auto"/>
              <w:ind w:left="589"/>
              <w:contextualSpacing/>
              <w:rPr>
                <w:rFonts w:cs="Arial"/>
                <w:szCs w:val="24"/>
              </w:rPr>
            </w:pPr>
            <w:r w:rsidRPr="000B3D9D">
              <w:rPr>
                <w:rFonts w:cs="Arial"/>
                <w:szCs w:val="24"/>
              </w:rPr>
              <w:t xml:space="preserve">Locating growth in sustainable and accessible locations </w:t>
            </w:r>
            <w:r w:rsidRPr="000B3D9D">
              <w:rPr>
                <w:rFonts w:cs="Arial"/>
                <w:bCs/>
                <w:szCs w:val="24"/>
              </w:rPr>
              <w:t>through prioritising sites for development within and adjoining the Main Urban Areas;</w:t>
            </w:r>
          </w:p>
          <w:p w14:paraId="5DDE1715" w14:textId="77777777" w:rsidR="000B3D9D" w:rsidRPr="000B3D9D" w:rsidRDefault="000B3D9D" w:rsidP="0020285D">
            <w:pPr>
              <w:keepNext w:val="0"/>
              <w:spacing w:before="0" w:after="200" w:line="276" w:lineRule="auto"/>
              <w:ind w:left="589"/>
              <w:contextualSpacing/>
              <w:rPr>
                <w:rFonts w:cs="Arial"/>
                <w:bCs/>
                <w:szCs w:val="24"/>
              </w:rPr>
            </w:pPr>
          </w:p>
          <w:p w14:paraId="2C286C01" w14:textId="77777777" w:rsidR="000B3D9D" w:rsidRPr="000B3D9D" w:rsidRDefault="000B3D9D" w:rsidP="00874A98">
            <w:pPr>
              <w:keepNext w:val="0"/>
              <w:numPr>
                <w:ilvl w:val="0"/>
                <w:numId w:val="333"/>
              </w:numPr>
              <w:tabs>
                <w:tab w:val="left" w:pos="680"/>
                <w:tab w:val="left" w:pos="1133"/>
                <w:tab w:val="left" w:pos="2267"/>
              </w:tabs>
              <w:spacing w:before="0"/>
              <w:ind w:left="589" w:right="284"/>
              <w:contextualSpacing/>
              <w:rPr>
                <w:rFonts w:cs="Arial"/>
                <w:bCs/>
                <w:szCs w:val="24"/>
              </w:rPr>
            </w:pPr>
            <w:r w:rsidRPr="000B3D9D">
              <w:rPr>
                <w:rFonts w:cs="Arial"/>
                <w:bCs/>
                <w:szCs w:val="24"/>
              </w:rPr>
              <w:t>Ensuring that new development in or adjoining Named Settlements is of a scale and character that supports these as sustainable locations for growth;</w:t>
            </w:r>
          </w:p>
          <w:p w14:paraId="25C42101" w14:textId="77777777" w:rsidR="000B3D9D" w:rsidRPr="000B3D9D" w:rsidRDefault="000B3D9D" w:rsidP="0020285D">
            <w:pPr>
              <w:keepNext w:val="0"/>
              <w:spacing w:before="0" w:after="200" w:line="276" w:lineRule="auto"/>
              <w:ind w:left="589"/>
              <w:contextualSpacing/>
              <w:rPr>
                <w:rFonts w:cs="Arial"/>
                <w:bCs/>
                <w:szCs w:val="24"/>
              </w:rPr>
            </w:pPr>
          </w:p>
          <w:p w14:paraId="7032F781" w14:textId="77777777" w:rsidR="000B3D9D" w:rsidRPr="000B3D9D" w:rsidRDefault="000B3D9D" w:rsidP="00874A98">
            <w:pPr>
              <w:keepNext w:val="0"/>
              <w:numPr>
                <w:ilvl w:val="0"/>
                <w:numId w:val="333"/>
              </w:numPr>
              <w:tabs>
                <w:tab w:val="left" w:pos="680"/>
                <w:tab w:val="left" w:pos="1133"/>
                <w:tab w:val="left" w:pos="2267"/>
              </w:tabs>
              <w:spacing w:before="0" w:after="160" w:line="259" w:lineRule="auto"/>
              <w:ind w:left="589" w:right="284"/>
              <w:contextualSpacing/>
              <w:rPr>
                <w:rFonts w:cs="Arial"/>
                <w:bCs/>
                <w:szCs w:val="24"/>
              </w:rPr>
            </w:pPr>
            <w:r w:rsidRPr="000B3D9D">
              <w:rPr>
                <w:rFonts w:cs="Arial"/>
                <w:bCs/>
                <w:szCs w:val="24"/>
              </w:rPr>
              <w:t xml:space="preserve">Delivering homes via dispersed development, focusing on sites of less than 500 dwellings; </w:t>
            </w:r>
          </w:p>
          <w:p w14:paraId="6E4E0F64" w14:textId="77777777" w:rsidR="000B3D9D" w:rsidRPr="000B3D9D" w:rsidRDefault="000B3D9D" w:rsidP="0020285D">
            <w:pPr>
              <w:keepNext w:val="0"/>
              <w:spacing w:before="0" w:after="200" w:line="276" w:lineRule="auto"/>
              <w:ind w:left="589"/>
              <w:contextualSpacing/>
              <w:rPr>
                <w:rFonts w:cs="Arial"/>
                <w:bCs/>
                <w:szCs w:val="24"/>
                <w:highlight w:val="yellow"/>
              </w:rPr>
            </w:pPr>
          </w:p>
          <w:p w14:paraId="43B14F29" w14:textId="77777777" w:rsidR="000B3D9D" w:rsidRPr="000B3D9D" w:rsidRDefault="000B3D9D" w:rsidP="00874A98">
            <w:pPr>
              <w:keepNext w:val="0"/>
              <w:numPr>
                <w:ilvl w:val="0"/>
                <w:numId w:val="333"/>
              </w:numPr>
              <w:tabs>
                <w:tab w:val="left" w:pos="680"/>
                <w:tab w:val="left" w:pos="1133"/>
                <w:tab w:val="left" w:pos="2267"/>
              </w:tabs>
              <w:spacing w:before="0"/>
              <w:ind w:left="589" w:right="284"/>
              <w:contextualSpacing/>
              <w:rPr>
                <w:rFonts w:cs="Arial"/>
                <w:bCs/>
                <w:szCs w:val="24"/>
              </w:rPr>
            </w:pPr>
            <w:r w:rsidRPr="000B3D9D">
              <w:rPr>
                <w:rFonts w:cs="Arial"/>
                <w:bCs/>
                <w:szCs w:val="24"/>
              </w:rPr>
              <w:t>Maximising the economic development potential of key sites including land adjacent to M1 Junction 27 and Sherwood Business Park;</w:t>
            </w:r>
          </w:p>
          <w:p w14:paraId="0436BE07" w14:textId="77777777" w:rsidR="000B3D9D" w:rsidRPr="000B3D9D" w:rsidRDefault="000B3D9D" w:rsidP="0020285D">
            <w:pPr>
              <w:keepNext w:val="0"/>
              <w:tabs>
                <w:tab w:val="left" w:pos="680"/>
                <w:tab w:val="left" w:pos="1133"/>
                <w:tab w:val="left" w:pos="2267"/>
              </w:tabs>
              <w:spacing w:before="0" w:after="200" w:line="276" w:lineRule="auto"/>
              <w:ind w:left="589" w:right="284"/>
              <w:contextualSpacing/>
              <w:rPr>
                <w:rFonts w:cs="Arial"/>
                <w:bCs/>
                <w:szCs w:val="24"/>
              </w:rPr>
            </w:pPr>
          </w:p>
          <w:p w14:paraId="4324B5C2" w14:textId="77777777" w:rsidR="000B3D9D" w:rsidRPr="000B3D9D" w:rsidRDefault="000B3D9D" w:rsidP="00874A98">
            <w:pPr>
              <w:keepNext w:val="0"/>
              <w:numPr>
                <w:ilvl w:val="0"/>
                <w:numId w:val="333"/>
              </w:numPr>
              <w:tabs>
                <w:tab w:val="left" w:pos="680"/>
                <w:tab w:val="left" w:pos="1133"/>
                <w:tab w:val="left" w:pos="2267"/>
              </w:tabs>
              <w:spacing w:before="0"/>
              <w:ind w:left="589" w:right="284"/>
              <w:contextualSpacing/>
              <w:rPr>
                <w:rFonts w:cs="Arial"/>
                <w:bCs/>
                <w:szCs w:val="24"/>
              </w:rPr>
            </w:pPr>
            <w:r w:rsidRPr="000B3D9D">
              <w:rPr>
                <w:rFonts w:cs="Arial"/>
                <w:bCs/>
                <w:szCs w:val="24"/>
              </w:rPr>
              <w:t>Facilitating the delivery of new key infrastructure;</w:t>
            </w:r>
          </w:p>
          <w:p w14:paraId="725DBB8D" w14:textId="77777777" w:rsidR="000B3D9D" w:rsidRPr="000B3D9D" w:rsidRDefault="000B3D9D" w:rsidP="0020285D">
            <w:pPr>
              <w:keepNext w:val="0"/>
              <w:spacing w:before="0" w:after="200" w:line="276" w:lineRule="auto"/>
              <w:ind w:left="589"/>
              <w:contextualSpacing/>
              <w:rPr>
                <w:rFonts w:cs="Arial"/>
                <w:bCs/>
                <w:szCs w:val="24"/>
              </w:rPr>
            </w:pPr>
          </w:p>
          <w:p w14:paraId="10F0F587" w14:textId="77777777" w:rsidR="000B3D9D" w:rsidRPr="000B3D9D" w:rsidRDefault="000B3D9D" w:rsidP="00874A98">
            <w:pPr>
              <w:keepNext w:val="0"/>
              <w:numPr>
                <w:ilvl w:val="0"/>
                <w:numId w:val="333"/>
              </w:numPr>
              <w:tabs>
                <w:tab w:val="left" w:pos="680"/>
                <w:tab w:val="left" w:pos="1133"/>
                <w:tab w:val="left" w:pos="2267"/>
              </w:tabs>
              <w:spacing w:before="0"/>
              <w:ind w:left="589" w:right="284"/>
              <w:contextualSpacing/>
              <w:rPr>
                <w:rFonts w:cs="Arial"/>
                <w:bCs/>
                <w:szCs w:val="24"/>
              </w:rPr>
            </w:pPr>
            <w:r w:rsidRPr="000B3D9D">
              <w:rPr>
                <w:rFonts w:cs="Arial"/>
                <w:bCs/>
                <w:szCs w:val="24"/>
              </w:rPr>
              <w:t>Ensuring development maximises opportunities to enhance the Blue and Green Infrastructure network and incorporates Blue and Green Infrastructure into new development; and</w:t>
            </w:r>
          </w:p>
          <w:p w14:paraId="070805B4" w14:textId="77777777" w:rsidR="000B3D9D" w:rsidRPr="000B3D9D" w:rsidRDefault="000B3D9D" w:rsidP="0020285D">
            <w:pPr>
              <w:keepNext w:val="0"/>
              <w:spacing w:before="0" w:after="200" w:line="276" w:lineRule="auto"/>
              <w:ind w:left="589"/>
              <w:contextualSpacing/>
              <w:rPr>
                <w:rFonts w:cs="Arial"/>
                <w:bCs/>
                <w:szCs w:val="24"/>
              </w:rPr>
            </w:pPr>
          </w:p>
          <w:p w14:paraId="59CF6CB5" w14:textId="77777777" w:rsidR="000B3D9D" w:rsidRPr="000B3D9D" w:rsidRDefault="000B3D9D" w:rsidP="00874A98">
            <w:pPr>
              <w:keepNext w:val="0"/>
              <w:numPr>
                <w:ilvl w:val="0"/>
                <w:numId w:val="333"/>
              </w:numPr>
              <w:tabs>
                <w:tab w:val="left" w:pos="680"/>
                <w:tab w:val="left" w:pos="1133"/>
                <w:tab w:val="left" w:pos="2267"/>
              </w:tabs>
              <w:spacing w:before="0"/>
              <w:ind w:left="589" w:right="284"/>
              <w:contextualSpacing/>
              <w:rPr>
                <w:rFonts w:cs="Arial"/>
                <w:bCs/>
                <w:szCs w:val="24"/>
              </w:rPr>
            </w:pPr>
            <w:r w:rsidRPr="000B3D9D">
              <w:rPr>
                <w:rFonts w:cs="Arial"/>
                <w:bCs/>
                <w:szCs w:val="24"/>
              </w:rPr>
              <w:t>Protecting and enhancing the natural and built heritage, providing opportunities for tourism and recreation.</w:t>
            </w:r>
          </w:p>
          <w:p w14:paraId="058A3CF1" w14:textId="77777777" w:rsidR="000B3D9D" w:rsidRDefault="000B3D9D" w:rsidP="0020285D">
            <w:pPr>
              <w:keepNext w:val="0"/>
              <w:spacing w:before="0" w:after="200" w:line="276" w:lineRule="auto"/>
              <w:ind w:left="589"/>
              <w:contextualSpacing/>
              <w:rPr>
                <w:rFonts w:cs="Arial"/>
                <w:bCs/>
                <w:szCs w:val="24"/>
              </w:rPr>
            </w:pPr>
          </w:p>
          <w:p w14:paraId="23508D38" w14:textId="77777777" w:rsidR="000B3D9D" w:rsidRPr="000B3D9D" w:rsidRDefault="000B3D9D" w:rsidP="00E02410">
            <w:pPr>
              <w:keepNext w:val="0"/>
              <w:tabs>
                <w:tab w:val="left" w:pos="175"/>
                <w:tab w:val="left" w:pos="1133"/>
                <w:tab w:val="left" w:pos="2267"/>
              </w:tabs>
              <w:spacing w:before="0"/>
              <w:ind w:left="175" w:right="284"/>
              <w:rPr>
                <w:rFonts w:cs="Arial"/>
                <w:bCs/>
                <w:color w:val="auto"/>
                <w:szCs w:val="24"/>
              </w:rPr>
            </w:pPr>
            <w:r w:rsidRPr="000B3D9D">
              <w:rPr>
                <w:rFonts w:cs="Arial"/>
                <w:bCs/>
                <w:color w:val="auto"/>
                <w:szCs w:val="24"/>
              </w:rPr>
              <w:t>The settlement hierarchy to accommodate future growth is set out below and identified on the Policies Map:</w:t>
            </w:r>
          </w:p>
          <w:p w14:paraId="64466280" w14:textId="77777777" w:rsidR="000B3D9D" w:rsidRPr="000B3D9D" w:rsidRDefault="000B3D9D" w:rsidP="0020285D">
            <w:pPr>
              <w:keepNext w:val="0"/>
              <w:tabs>
                <w:tab w:val="left" w:pos="680"/>
                <w:tab w:val="left" w:pos="1133"/>
                <w:tab w:val="left" w:pos="2267"/>
              </w:tabs>
              <w:spacing w:before="0"/>
              <w:ind w:left="589" w:right="284"/>
              <w:rPr>
                <w:rFonts w:cs="Arial"/>
                <w:bCs/>
                <w:color w:val="auto"/>
                <w:szCs w:val="24"/>
              </w:rPr>
            </w:pPr>
          </w:p>
          <w:p w14:paraId="7B3DBB70" w14:textId="77777777" w:rsidR="000B3D9D" w:rsidRPr="000B3D9D" w:rsidRDefault="000B3D9D" w:rsidP="00874A98">
            <w:pPr>
              <w:keepNext w:val="0"/>
              <w:numPr>
                <w:ilvl w:val="0"/>
                <w:numId w:val="334"/>
              </w:numPr>
              <w:autoSpaceDE w:val="0"/>
              <w:autoSpaceDN w:val="0"/>
              <w:adjustRightInd w:val="0"/>
              <w:spacing w:before="0"/>
              <w:ind w:left="589"/>
              <w:contextualSpacing/>
              <w:rPr>
                <w:rFonts w:cs="Arial"/>
                <w:b/>
                <w:bCs/>
                <w:szCs w:val="24"/>
              </w:rPr>
            </w:pPr>
            <w:r w:rsidRPr="000B3D9D">
              <w:rPr>
                <w:rFonts w:cs="Arial"/>
                <w:b/>
                <w:bCs/>
                <w:szCs w:val="24"/>
              </w:rPr>
              <w:t xml:space="preserve">Main Urban Areas </w:t>
            </w:r>
            <w:r w:rsidRPr="000B3D9D">
              <w:rPr>
                <w:rFonts w:cs="Arial"/>
                <w:szCs w:val="24"/>
              </w:rPr>
              <w:t>to accommodate the largest scale of growth:</w:t>
            </w:r>
          </w:p>
          <w:p w14:paraId="0A4CA9F5" w14:textId="77777777" w:rsidR="000B3D9D" w:rsidRPr="000B3D9D" w:rsidRDefault="000B3D9D" w:rsidP="0020285D">
            <w:pPr>
              <w:keepNext w:val="0"/>
              <w:autoSpaceDE w:val="0"/>
              <w:autoSpaceDN w:val="0"/>
              <w:adjustRightInd w:val="0"/>
              <w:spacing w:before="0" w:after="200" w:line="276" w:lineRule="auto"/>
              <w:ind w:left="589"/>
              <w:contextualSpacing/>
              <w:rPr>
                <w:rFonts w:cs="Arial"/>
                <w:szCs w:val="24"/>
              </w:rPr>
            </w:pPr>
            <w:r w:rsidRPr="000B3D9D">
              <w:rPr>
                <w:rFonts w:cs="Arial"/>
                <w:szCs w:val="24"/>
              </w:rPr>
              <w:t>Sutton in Ashfield (Sutton)</w:t>
            </w:r>
          </w:p>
          <w:p w14:paraId="3A20CFA1" w14:textId="77777777" w:rsidR="000B3D9D" w:rsidRPr="000B3D9D" w:rsidRDefault="000B3D9D" w:rsidP="0020285D">
            <w:pPr>
              <w:keepNext w:val="0"/>
              <w:autoSpaceDE w:val="0"/>
              <w:autoSpaceDN w:val="0"/>
              <w:adjustRightInd w:val="0"/>
              <w:spacing w:before="0" w:after="200" w:line="276" w:lineRule="auto"/>
              <w:ind w:left="589"/>
              <w:contextualSpacing/>
              <w:rPr>
                <w:rFonts w:cs="Arial"/>
                <w:szCs w:val="24"/>
              </w:rPr>
            </w:pPr>
            <w:r w:rsidRPr="000B3D9D">
              <w:rPr>
                <w:rFonts w:cs="Arial"/>
                <w:szCs w:val="24"/>
              </w:rPr>
              <w:t>Kirkby-in-Ashfield (Kirkby)</w:t>
            </w:r>
          </w:p>
          <w:p w14:paraId="17CA3319" w14:textId="77777777" w:rsidR="000B3D9D" w:rsidRPr="000B3D9D" w:rsidRDefault="000B3D9D" w:rsidP="0020285D">
            <w:pPr>
              <w:keepNext w:val="0"/>
              <w:autoSpaceDE w:val="0"/>
              <w:autoSpaceDN w:val="0"/>
              <w:adjustRightInd w:val="0"/>
              <w:spacing w:before="0" w:after="200" w:line="276" w:lineRule="auto"/>
              <w:ind w:left="589"/>
              <w:contextualSpacing/>
              <w:rPr>
                <w:rFonts w:cs="Arial"/>
                <w:szCs w:val="24"/>
              </w:rPr>
            </w:pPr>
            <w:r w:rsidRPr="000B3D9D">
              <w:rPr>
                <w:rFonts w:cs="Arial"/>
                <w:szCs w:val="24"/>
              </w:rPr>
              <w:t>Hucknall</w:t>
            </w:r>
          </w:p>
          <w:p w14:paraId="4317173B" w14:textId="77777777" w:rsidR="000B3D9D" w:rsidRPr="000B3D9D" w:rsidRDefault="000B3D9D" w:rsidP="0020285D">
            <w:pPr>
              <w:keepNext w:val="0"/>
              <w:autoSpaceDE w:val="0"/>
              <w:autoSpaceDN w:val="0"/>
              <w:adjustRightInd w:val="0"/>
              <w:spacing w:before="0" w:after="200" w:line="276" w:lineRule="auto"/>
              <w:ind w:left="589"/>
              <w:contextualSpacing/>
              <w:rPr>
                <w:rFonts w:cs="Arial"/>
                <w:szCs w:val="24"/>
              </w:rPr>
            </w:pPr>
            <w:r w:rsidRPr="000B3D9D">
              <w:rPr>
                <w:rFonts w:cs="Arial"/>
                <w:szCs w:val="24"/>
              </w:rPr>
              <w:t>Areas in the District adjacent to the Mansfield Urban Area</w:t>
            </w:r>
          </w:p>
          <w:p w14:paraId="67E30168" w14:textId="77777777" w:rsidR="000B3D9D" w:rsidRPr="000B3D9D" w:rsidRDefault="000B3D9D" w:rsidP="0020285D">
            <w:pPr>
              <w:keepNext w:val="0"/>
              <w:autoSpaceDE w:val="0"/>
              <w:autoSpaceDN w:val="0"/>
              <w:adjustRightInd w:val="0"/>
              <w:spacing w:before="0" w:after="200" w:line="276" w:lineRule="auto"/>
              <w:ind w:left="589"/>
              <w:contextualSpacing/>
              <w:rPr>
                <w:rFonts w:cs="Arial"/>
                <w:szCs w:val="24"/>
              </w:rPr>
            </w:pPr>
          </w:p>
          <w:p w14:paraId="0AB9DDDB" w14:textId="77777777" w:rsidR="000B3D9D" w:rsidRPr="000B3D9D" w:rsidRDefault="000B3D9D" w:rsidP="00874A98">
            <w:pPr>
              <w:keepNext w:val="0"/>
              <w:numPr>
                <w:ilvl w:val="0"/>
                <w:numId w:val="334"/>
              </w:numPr>
              <w:autoSpaceDE w:val="0"/>
              <w:autoSpaceDN w:val="0"/>
              <w:adjustRightInd w:val="0"/>
              <w:spacing w:before="0"/>
              <w:ind w:left="589"/>
              <w:contextualSpacing/>
              <w:rPr>
                <w:rFonts w:cs="Arial"/>
                <w:szCs w:val="24"/>
              </w:rPr>
            </w:pPr>
            <w:r w:rsidRPr="000B3D9D">
              <w:rPr>
                <w:rFonts w:cs="Arial"/>
                <w:b/>
                <w:bCs/>
                <w:szCs w:val="24"/>
              </w:rPr>
              <w:t>Strategic Employment Areas</w:t>
            </w:r>
            <w:r w:rsidRPr="000B3D9D">
              <w:rPr>
                <w:rFonts w:cs="Arial"/>
                <w:szCs w:val="24"/>
              </w:rPr>
              <w:t xml:space="preserve"> to assist in economic growth, whilst maximising the locational benefits associated with major transport corridors:</w:t>
            </w:r>
          </w:p>
          <w:p w14:paraId="1780E3B1" w14:textId="77777777" w:rsidR="000B3D9D" w:rsidRPr="000B3D9D" w:rsidRDefault="000B3D9D" w:rsidP="0020285D">
            <w:pPr>
              <w:keepNext w:val="0"/>
              <w:autoSpaceDE w:val="0"/>
              <w:autoSpaceDN w:val="0"/>
              <w:adjustRightInd w:val="0"/>
              <w:spacing w:before="0" w:after="200" w:line="276" w:lineRule="auto"/>
              <w:ind w:left="589"/>
              <w:contextualSpacing/>
              <w:rPr>
                <w:rFonts w:cs="Arial"/>
                <w:szCs w:val="24"/>
              </w:rPr>
            </w:pPr>
            <w:r w:rsidRPr="000B3D9D">
              <w:rPr>
                <w:rFonts w:cs="Arial"/>
                <w:szCs w:val="24"/>
              </w:rPr>
              <w:t>Sherwood Business Park/M1 Motorway Junction 27.</w:t>
            </w:r>
          </w:p>
          <w:p w14:paraId="46ABBB91" w14:textId="77777777" w:rsidR="000B3D9D" w:rsidRPr="000B3D9D" w:rsidRDefault="000B3D9D" w:rsidP="0020285D">
            <w:pPr>
              <w:keepNext w:val="0"/>
              <w:autoSpaceDE w:val="0"/>
              <w:autoSpaceDN w:val="0"/>
              <w:adjustRightInd w:val="0"/>
              <w:spacing w:before="0" w:after="200" w:line="276" w:lineRule="auto"/>
              <w:ind w:left="589"/>
              <w:contextualSpacing/>
              <w:rPr>
                <w:rFonts w:cs="Arial"/>
                <w:szCs w:val="24"/>
              </w:rPr>
            </w:pPr>
          </w:p>
          <w:p w14:paraId="45478158" w14:textId="77777777" w:rsidR="000B3D9D" w:rsidRPr="000B3D9D" w:rsidRDefault="000B3D9D" w:rsidP="00874A98">
            <w:pPr>
              <w:keepNext w:val="0"/>
              <w:numPr>
                <w:ilvl w:val="0"/>
                <w:numId w:val="334"/>
              </w:numPr>
              <w:autoSpaceDE w:val="0"/>
              <w:autoSpaceDN w:val="0"/>
              <w:adjustRightInd w:val="0"/>
              <w:spacing w:before="0"/>
              <w:ind w:left="589"/>
              <w:contextualSpacing/>
              <w:rPr>
                <w:rFonts w:cs="Arial"/>
                <w:b/>
                <w:bCs/>
                <w:szCs w:val="24"/>
              </w:rPr>
            </w:pPr>
            <w:r w:rsidRPr="000B3D9D">
              <w:rPr>
                <w:rFonts w:cs="Arial"/>
                <w:b/>
                <w:bCs/>
                <w:szCs w:val="24"/>
              </w:rPr>
              <w:t>Named Settlements</w:t>
            </w:r>
            <w:r w:rsidRPr="000B3D9D">
              <w:rPr>
                <w:rFonts w:cs="Arial"/>
                <w:szCs w:val="24"/>
              </w:rPr>
              <w:t xml:space="preserve"> to </w:t>
            </w:r>
            <w:r w:rsidRPr="000B3D9D">
              <w:rPr>
                <w:rFonts w:cs="Arial"/>
                <w:bCs/>
                <w:szCs w:val="24"/>
              </w:rPr>
              <w:t>accommodate smaller scale growth</w:t>
            </w:r>
            <w:r w:rsidRPr="000B3D9D">
              <w:rPr>
                <w:rFonts w:cs="Arial"/>
                <w:szCs w:val="24"/>
              </w:rPr>
              <w:t xml:space="preserve"> which</w:t>
            </w:r>
            <w:r w:rsidRPr="000B3D9D">
              <w:rPr>
                <w:rFonts w:cs="Arial"/>
                <w:bCs/>
                <w:szCs w:val="24"/>
              </w:rPr>
              <w:t xml:space="preserve"> meets the needs of the community and sustains services and facilities:</w:t>
            </w:r>
          </w:p>
          <w:p w14:paraId="6339D460" w14:textId="77777777" w:rsidR="000B3D9D" w:rsidRPr="000B3D9D" w:rsidRDefault="000B3D9D" w:rsidP="0020285D">
            <w:pPr>
              <w:keepNext w:val="0"/>
              <w:autoSpaceDE w:val="0"/>
              <w:autoSpaceDN w:val="0"/>
              <w:adjustRightInd w:val="0"/>
              <w:spacing w:before="0" w:after="200" w:line="276" w:lineRule="auto"/>
              <w:ind w:left="589"/>
              <w:contextualSpacing/>
              <w:rPr>
                <w:rFonts w:cs="Arial"/>
                <w:szCs w:val="24"/>
              </w:rPr>
            </w:pPr>
            <w:r w:rsidRPr="000B3D9D">
              <w:rPr>
                <w:rFonts w:cs="Arial"/>
                <w:szCs w:val="24"/>
              </w:rPr>
              <w:t>Selston</w:t>
            </w:r>
          </w:p>
          <w:p w14:paraId="3C9544B0" w14:textId="77777777" w:rsidR="000B3D9D" w:rsidRPr="000B3D9D" w:rsidRDefault="000B3D9D" w:rsidP="0020285D">
            <w:pPr>
              <w:keepNext w:val="0"/>
              <w:autoSpaceDE w:val="0"/>
              <w:autoSpaceDN w:val="0"/>
              <w:adjustRightInd w:val="0"/>
              <w:spacing w:before="0" w:after="200" w:line="276" w:lineRule="auto"/>
              <w:ind w:left="589"/>
              <w:contextualSpacing/>
              <w:rPr>
                <w:rFonts w:cs="Arial"/>
                <w:szCs w:val="24"/>
              </w:rPr>
            </w:pPr>
            <w:r w:rsidRPr="000B3D9D">
              <w:rPr>
                <w:rFonts w:cs="Arial"/>
                <w:szCs w:val="24"/>
              </w:rPr>
              <w:t>Jacksdale</w:t>
            </w:r>
          </w:p>
          <w:p w14:paraId="4578D74C" w14:textId="77777777" w:rsidR="000B3D9D" w:rsidRPr="000B3D9D" w:rsidRDefault="000B3D9D" w:rsidP="0020285D">
            <w:pPr>
              <w:keepNext w:val="0"/>
              <w:autoSpaceDE w:val="0"/>
              <w:autoSpaceDN w:val="0"/>
              <w:adjustRightInd w:val="0"/>
              <w:spacing w:before="0" w:after="200" w:line="276" w:lineRule="auto"/>
              <w:ind w:left="589"/>
              <w:contextualSpacing/>
              <w:rPr>
                <w:rFonts w:cs="Arial"/>
                <w:szCs w:val="24"/>
              </w:rPr>
            </w:pPr>
            <w:r w:rsidRPr="000B3D9D">
              <w:rPr>
                <w:rFonts w:cs="Arial"/>
                <w:szCs w:val="24"/>
              </w:rPr>
              <w:t>Underwood</w:t>
            </w:r>
          </w:p>
          <w:p w14:paraId="47E863C3" w14:textId="77777777" w:rsidR="000B3D9D" w:rsidRPr="000B3D9D" w:rsidRDefault="000B3D9D" w:rsidP="0020285D">
            <w:pPr>
              <w:keepNext w:val="0"/>
              <w:autoSpaceDE w:val="0"/>
              <w:autoSpaceDN w:val="0"/>
              <w:adjustRightInd w:val="0"/>
              <w:spacing w:before="0" w:after="200" w:line="276" w:lineRule="auto"/>
              <w:ind w:left="589"/>
              <w:contextualSpacing/>
              <w:rPr>
                <w:rFonts w:cs="Arial"/>
                <w:szCs w:val="24"/>
              </w:rPr>
            </w:pPr>
            <w:r w:rsidRPr="000B3D9D">
              <w:rPr>
                <w:rFonts w:cs="Arial"/>
                <w:szCs w:val="24"/>
              </w:rPr>
              <w:t>Annesley/ Newstead</w:t>
            </w:r>
          </w:p>
          <w:p w14:paraId="394811EC" w14:textId="77777777" w:rsidR="000B3D9D" w:rsidRPr="000B3D9D" w:rsidRDefault="000B3D9D" w:rsidP="0020285D">
            <w:pPr>
              <w:keepNext w:val="0"/>
              <w:autoSpaceDE w:val="0"/>
              <w:autoSpaceDN w:val="0"/>
              <w:adjustRightInd w:val="0"/>
              <w:spacing w:before="0" w:after="200" w:line="276" w:lineRule="auto"/>
              <w:ind w:left="589"/>
              <w:contextualSpacing/>
              <w:rPr>
                <w:rFonts w:cs="Arial"/>
                <w:szCs w:val="24"/>
              </w:rPr>
            </w:pPr>
            <w:r w:rsidRPr="000B3D9D">
              <w:rPr>
                <w:rFonts w:cs="Arial"/>
                <w:szCs w:val="24"/>
              </w:rPr>
              <w:t>Bestwood Village</w:t>
            </w:r>
          </w:p>
          <w:p w14:paraId="1CE45BA9" w14:textId="77777777" w:rsidR="000B3D9D" w:rsidRPr="000B3D9D" w:rsidRDefault="000B3D9D" w:rsidP="0020285D">
            <w:pPr>
              <w:keepNext w:val="0"/>
              <w:autoSpaceDE w:val="0"/>
              <w:autoSpaceDN w:val="0"/>
              <w:adjustRightInd w:val="0"/>
              <w:spacing w:before="0" w:after="200" w:line="276" w:lineRule="auto"/>
              <w:ind w:left="589"/>
              <w:contextualSpacing/>
              <w:rPr>
                <w:rFonts w:cs="Arial"/>
                <w:szCs w:val="24"/>
              </w:rPr>
            </w:pPr>
            <w:r w:rsidRPr="000B3D9D">
              <w:rPr>
                <w:rFonts w:cs="Arial"/>
                <w:szCs w:val="24"/>
              </w:rPr>
              <w:t>Brinsley</w:t>
            </w:r>
          </w:p>
          <w:p w14:paraId="7F9D1C76" w14:textId="77777777" w:rsidR="000B3D9D" w:rsidRPr="000B3D9D" w:rsidRDefault="000B3D9D" w:rsidP="0020285D">
            <w:pPr>
              <w:keepNext w:val="0"/>
              <w:autoSpaceDE w:val="0"/>
              <w:autoSpaceDN w:val="0"/>
              <w:adjustRightInd w:val="0"/>
              <w:spacing w:before="0" w:after="200" w:line="276" w:lineRule="auto"/>
              <w:ind w:left="589"/>
              <w:contextualSpacing/>
              <w:rPr>
                <w:rFonts w:cs="Arial"/>
                <w:szCs w:val="24"/>
              </w:rPr>
            </w:pPr>
            <w:r w:rsidRPr="000B3D9D">
              <w:rPr>
                <w:rFonts w:cs="Arial"/>
                <w:szCs w:val="24"/>
              </w:rPr>
              <w:t>Fackley</w:t>
            </w:r>
          </w:p>
          <w:p w14:paraId="4959D24D" w14:textId="77777777" w:rsidR="000B3D9D" w:rsidRPr="000B3D9D" w:rsidRDefault="000B3D9D" w:rsidP="0020285D">
            <w:pPr>
              <w:keepNext w:val="0"/>
              <w:autoSpaceDE w:val="0"/>
              <w:autoSpaceDN w:val="0"/>
              <w:adjustRightInd w:val="0"/>
              <w:spacing w:before="0" w:after="200" w:line="276" w:lineRule="auto"/>
              <w:ind w:left="589"/>
              <w:contextualSpacing/>
              <w:rPr>
                <w:rFonts w:cs="Arial"/>
                <w:szCs w:val="24"/>
              </w:rPr>
            </w:pPr>
          </w:p>
          <w:p w14:paraId="15E5C27F" w14:textId="77777777" w:rsidR="000B3D9D" w:rsidRPr="000B3D9D" w:rsidRDefault="000B3D9D" w:rsidP="00874A98">
            <w:pPr>
              <w:keepNext w:val="0"/>
              <w:numPr>
                <w:ilvl w:val="0"/>
                <w:numId w:val="334"/>
              </w:numPr>
              <w:autoSpaceDE w:val="0"/>
              <w:autoSpaceDN w:val="0"/>
              <w:adjustRightInd w:val="0"/>
              <w:spacing w:before="0"/>
              <w:ind w:left="589"/>
              <w:contextualSpacing/>
              <w:rPr>
                <w:rFonts w:cs="Arial"/>
                <w:szCs w:val="24"/>
              </w:rPr>
            </w:pPr>
            <w:r w:rsidRPr="000B3D9D">
              <w:rPr>
                <w:rFonts w:cs="Arial"/>
                <w:b/>
                <w:bCs/>
                <w:szCs w:val="24"/>
              </w:rPr>
              <w:t>Blenheim Industrial Estate</w:t>
            </w:r>
            <w:r w:rsidRPr="000B3D9D">
              <w:rPr>
                <w:rFonts w:cs="Arial"/>
                <w:szCs w:val="24"/>
              </w:rPr>
              <w:t xml:space="preserve"> to accommodate existing and future employment uses in the event of redevelopment. </w:t>
            </w:r>
          </w:p>
          <w:p w14:paraId="2A63328B" w14:textId="77777777" w:rsidR="000B3D9D" w:rsidRPr="000B3D9D" w:rsidRDefault="000B3D9D" w:rsidP="0020285D">
            <w:pPr>
              <w:keepNext w:val="0"/>
              <w:autoSpaceDE w:val="0"/>
              <w:autoSpaceDN w:val="0"/>
              <w:adjustRightInd w:val="0"/>
              <w:spacing w:before="0"/>
              <w:ind w:left="589"/>
              <w:contextualSpacing/>
              <w:rPr>
                <w:rFonts w:cs="Arial"/>
                <w:strike/>
                <w:szCs w:val="24"/>
              </w:rPr>
            </w:pPr>
          </w:p>
          <w:p w14:paraId="3A96BF03" w14:textId="77777777" w:rsidR="000B3D9D" w:rsidRDefault="000B3D9D" w:rsidP="00874A98">
            <w:pPr>
              <w:keepNext w:val="0"/>
              <w:numPr>
                <w:ilvl w:val="0"/>
                <w:numId w:val="334"/>
              </w:numPr>
              <w:autoSpaceDE w:val="0"/>
              <w:autoSpaceDN w:val="0"/>
              <w:adjustRightInd w:val="0"/>
              <w:spacing w:before="0"/>
              <w:ind w:left="589"/>
              <w:contextualSpacing/>
              <w:rPr>
                <w:rFonts w:cs="Arial"/>
                <w:szCs w:val="24"/>
              </w:rPr>
            </w:pPr>
            <w:r w:rsidRPr="000B3D9D">
              <w:rPr>
                <w:rFonts w:cs="Arial"/>
                <w:b/>
                <w:bCs/>
                <w:szCs w:val="24"/>
              </w:rPr>
              <w:t>The Remainder of the District</w:t>
            </w:r>
            <w:r w:rsidRPr="000B3D9D">
              <w:rPr>
                <w:rFonts w:cs="Arial"/>
                <w:szCs w:val="24"/>
              </w:rPr>
              <w:t xml:space="preserve"> comprises open countryside including land in Green Belt and all other small villages/hamlets within the District not defined above.</w:t>
            </w:r>
          </w:p>
          <w:p w14:paraId="0AE5A393" w14:textId="77777777" w:rsidR="0020285D" w:rsidRPr="000B3D9D" w:rsidRDefault="0020285D" w:rsidP="0020285D">
            <w:pPr>
              <w:keepNext w:val="0"/>
              <w:autoSpaceDE w:val="0"/>
              <w:autoSpaceDN w:val="0"/>
              <w:adjustRightInd w:val="0"/>
              <w:spacing w:before="0"/>
              <w:contextualSpacing/>
              <w:rPr>
                <w:rFonts w:cs="Arial"/>
                <w:szCs w:val="24"/>
              </w:rPr>
            </w:pPr>
          </w:p>
          <w:p w14:paraId="442A98A0" w14:textId="77777777" w:rsidR="000B3D9D" w:rsidRPr="000B3D9D" w:rsidRDefault="000B3D9D" w:rsidP="0020285D">
            <w:pPr>
              <w:keepNext w:val="0"/>
              <w:tabs>
                <w:tab w:val="left" w:pos="680"/>
                <w:tab w:val="left" w:pos="1133"/>
                <w:tab w:val="left" w:pos="2267"/>
              </w:tabs>
              <w:spacing w:before="0" w:after="160"/>
              <w:ind w:left="589" w:right="284"/>
              <w:rPr>
                <w:rFonts w:cs="Arial"/>
                <w:bCs/>
                <w:color w:val="auto"/>
                <w:szCs w:val="24"/>
              </w:rPr>
            </w:pPr>
            <w:r w:rsidRPr="000B3D9D">
              <w:rPr>
                <w:rFonts w:cs="Arial"/>
                <w:bCs/>
                <w:color w:val="auto"/>
                <w:szCs w:val="24"/>
              </w:rPr>
              <w:t>Limited infill development may be appropriate in small villages/hamlets, provided there is no adverse effect on the scale and character of the area. In all other areas, development will only be considered appropriate where sites are specifically allocated in the Development Plan, or where development is appropriate to the Green Belt or Countryside as set out in Policies EV1 and EV2. In this respect development will be restricted to that which requires a countryside location, meets a local need, or supports rural diversification in accordance with policies in this Local Plan.</w:t>
            </w:r>
          </w:p>
          <w:p w14:paraId="312E175B" w14:textId="77777777" w:rsidR="000B3D9D" w:rsidRPr="000B3D9D" w:rsidRDefault="000B3D9D" w:rsidP="0020285D">
            <w:pPr>
              <w:keepNext w:val="0"/>
              <w:spacing w:before="0"/>
              <w:ind w:left="589"/>
              <w:rPr>
                <w:rFonts w:cs="Arial"/>
                <w:color w:val="auto"/>
                <w:szCs w:val="24"/>
              </w:rPr>
            </w:pPr>
          </w:p>
        </w:tc>
      </w:tr>
      <w:tr w:rsidR="000B3D9D" w:rsidRPr="000B3D9D" w14:paraId="3F202409" w14:textId="77777777" w:rsidTr="009D4C91">
        <w:tc>
          <w:tcPr>
            <w:tcW w:w="3260" w:type="dxa"/>
          </w:tcPr>
          <w:p w14:paraId="2BE92C31" w14:textId="77777777" w:rsidR="000B3D9D" w:rsidRPr="000B3D9D" w:rsidRDefault="000B3D9D" w:rsidP="000B3D9D">
            <w:pPr>
              <w:keepNext w:val="0"/>
              <w:spacing w:before="0"/>
              <w:rPr>
                <w:rFonts w:cs="Arial"/>
                <w:color w:val="auto"/>
                <w:sz w:val="20"/>
              </w:rPr>
            </w:pPr>
            <w:r w:rsidRPr="000B3D9D">
              <w:rPr>
                <w:rFonts w:cs="Arial"/>
                <w:bCs/>
                <w:color w:val="auto"/>
                <w:sz w:val="20"/>
              </w:rPr>
              <w:lastRenderedPageBreak/>
              <w:t>Evidence base</w:t>
            </w:r>
          </w:p>
        </w:tc>
        <w:tc>
          <w:tcPr>
            <w:tcW w:w="6096" w:type="dxa"/>
          </w:tcPr>
          <w:p w14:paraId="2B510E3F" w14:textId="77777777" w:rsidR="000B3D9D" w:rsidRPr="000B3D9D" w:rsidRDefault="000B3D9D" w:rsidP="000B3D9D">
            <w:pPr>
              <w:keepNext w:val="0"/>
              <w:numPr>
                <w:ilvl w:val="0"/>
                <w:numId w:val="13"/>
              </w:numPr>
              <w:tabs>
                <w:tab w:val="left" w:pos="680"/>
                <w:tab w:val="left" w:pos="1133"/>
                <w:tab w:val="left" w:pos="2267"/>
              </w:tabs>
              <w:spacing w:before="0" w:after="160" w:line="252" w:lineRule="auto"/>
              <w:ind w:right="284"/>
              <w:contextualSpacing/>
              <w:rPr>
                <w:rFonts w:cs="Arial"/>
                <w:bCs/>
                <w:color w:val="auto"/>
                <w:sz w:val="20"/>
              </w:rPr>
            </w:pPr>
            <w:r w:rsidRPr="000B3D9D">
              <w:rPr>
                <w:rFonts w:cs="Arial"/>
                <w:bCs/>
                <w:color w:val="auto"/>
                <w:sz w:val="20"/>
              </w:rPr>
              <w:t>Greater Nottingham (including Ashfield) Accessibility of Settlements Study – Nottingham Outer Housing Market Area authorities and Ashfield, 2010.</w:t>
            </w:r>
          </w:p>
          <w:p w14:paraId="5F9C5470" w14:textId="146E095E" w:rsidR="000B3D9D" w:rsidRPr="000B3D9D" w:rsidRDefault="000B3D9D" w:rsidP="005831B9">
            <w:pPr>
              <w:keepNext w:val="0"/>
              <w:numPr>
                <w:ilvl w:val="0"/>
                <w:numId w:val="13"/>
              </w:numPr>
              <w:tabs>
                <w:tab w:val="left" w:pos="680"/>
                <w:tab w:val="left" w:pos="1133"/>
                <w:tab w:val="left" w:pos="2267"/>
              </w:tabs>
              <w:spacing w:before="0" w:after="160" w:line="252" w:lineRule="auto"/>
              <w:ind w:right="284"/>
              <w:contextualSpacing/>
              <w:rPr>
                <w:rFonts w:eastAsia="Arial" w:cs="Arial"/>
                <w:bCs/>
                <w:color w:val="auto"/>
                <w:sz w:val="20"/>
              </w:rPr>
            </w:pPr>
            <w:r w:rsidRPr="000B3D9D">
              <w:rPr>
                <w:rFonts w:eastAsia="Arial" w:cs="Arial"/>
                <w:bCs/>
                <w:color w:val="auto"/>
                <w:sz w:val="20"/>
              </w:rPr>
              <w:t>Annual Monitoring Re</w:t>
            </w:r>
            <w:r w:rsidR="00266968">
              <w:rPr>
                <w:rFonts w:eastAsia="Arial" w:cs="Arial"/>
                <w:bCs/>
                <w:color w:val="auto"/>
                <w:sz w:val="20"/>
              </w:rPr>
              <w:t>port, Annually</w:t>
            </w:r>
            <w:r w:rsidR="0020285D">
              <w:rPr>
                <w:rFonts w:eastAsia="Arial" w:cs="Arial"/>
                <w:bCs/>
                <w:color w:val="auto"/>
                <w:sz w:val="20"/>
              </w:rPr>
              <w:t xml:space="preserve"> </w:t>
            </w:r>
            <w:r w:rsidRPr="000B3D9D">
              <w:rPr>
                <w:rFonts w:eastAsia="Arial" w:cs="Arial"/>
                <w:bCs/>
                <w:color w:val="auto"/>
                <w:sz w:val="20"/>
              </w:rPr>
              <w:t>– Ashfield District Council.</w:t>
            </w:r>
            <w:r w:rsidRPr="000B3D9D">
              <w:rPr>
                <w:rFonts w:eastAsia="Arial" w:cs="Arial"/>
                <w:bCs/>
                <w:color w:val="auto"/>
                <w:sz w:val="20"/>
              </w:rPr>
              <w:tab/>
            </w:r>
          </w:p>
          <w:p w14:paraId="0B602675" w14:textId="77777777" w:rsidR="000B3D9D" w:rsidRPr="000B3D9D" w:rsidRDefault="000B3D9D" w:rsidP="000B3D9D">
            <w:pPr>
              <w:keepNext w:val="0"/>
              <w:numPr>
                <w:ilvl w:val="0"/>
                <w:numId w:val="13"/>
              </w:numPr>
              <w:tabs>
                <w:tab w:val="left" w:pos="680"/>
                <w:tab w:val="left" w:pos="1133"/>
                <w:tab w:val="left" w:pos="2267"/>
              </w:tabs>
              <w:spacing w:before="0" w:after="160" w:line="252" w:lineRule="auto"/>
              <w:ind w:right="284"/>
              <w:contextualSpacing/>
              <w:rPr>
                <w:rFonts w:cs="Arial"/>
                <w:bCs/>
                <w:color w:val="auto"/>
                <w:sz w:val="20"/>
              </w:rPr>
            </w:pPr>
            <w:r w:rsidRPr="000B3D9D">
              <w:rPr>
                <w:rFonts w:cs="Arial"/>
                <w:color w:val="auto"/>
                <w:sz w:val="20"/>
              </w:rPr>
              <w:t>Background Paper No 1: Spatial Strategy and Site Selection 2023. Ashfield District Council</w:t>
            </w:r>
          </w:p>
          <w:p w14:paraId="02AFFAD9" w14:textId="77777777" w:rsidR="000B3D9D" w:rsidRPr="000B3D9D" w:rsidRDefault="000B3D9D" w:rsidP="000B3D9D">
            <w:pPr>
              <w:keepNext w:val="0"/>
              <w:numPr>
                <w:ilvl w:val="0"/>
                <w:numId w:val="13"/>
              </w:numPr>
              <w:tabs>
                <w:tab w:val="left" w:pos="680"/>
                <w:tab w:val="left" w:pos="1133"/>
                <w:tab w:val="left" w:pos="2267"/>
              </w:tabs>
              <w:spacing w:before="0" w:after="160" w:line="252" w:lineRule="auto"/>
              <w:ind w:right="284"/>
              <w:contextualSpacing/>
              <w:rPr>
                <w:rFonts w:cs="Arial"/>
                <w:bCs/>
                <w:color w:val="auto"/>
                <w:sz w:val="20"/>
              </w:rPr>
            </w:pPr>
            <w:r w:rsidRPr="000B3D9D">
              <w:rPr>
                <w:rFonts w:cs="Arial"/>
                <w:bCs/>
                <w:color w:val="auto"/>
                <w:sz w:val="20"/>
              </w:rPr>
              <w:t xml:space="preserve">Sustainability Appraisal August 2023, </w:t>
            </w:r>
            <w:r w:rsidRPr="000B3D9D">
              <w:rPr>
                <w:rFonts w:cs="Arial"/>
                <w:color w:val="auto"/>
                <w:sz w:val="20"/>
              </w:rPr>
              <w:t xml:space="preserve">WSP UK Limited </w:t>
            </w:r>
          </w:p>
          <w:p w14:paraId="34370DFB" w14:textId="77777777" w:rsidR="000B3D9D" w:rsidRPr="000B3D9D" w:rsidRDefault="000B3D9D" w:rsidP="000B3D9D">
            <w:pPr>
              <w:keepNext w:val="0"/>
              <w:spacing w:before="0"/>
              <w:rPr>
                <w:rFonts w:cs="Arial"/>
                <w:color w:val="auto"/>
                <w:sz w:val="20"/>
              </w:rPr>
            </w:pPr>
          </w:p>
        </w:tc>
      </w:tr>
      <w:tr w:rsidR="000B3D9D" w:rsidRPr="000B3D9D" w14:paraId="01589428" w14:textId="77777777" w:rsidTr="009D4C91">
        <w:tc>
          <w:tcPr>
            <w:tcW w:w="3260" w:type="dxa"/>
          </w:tcPr>
          <w:p w14:paraId="4F13538C" w14:textId="77777777" w:rsidR="000B3D9D" w:rsidRPr="000B3D9D" w:rsidRDefault="000B3D9D" w:rsidP="000B3D9D">
            <w:pPr>
              <w:keepNext w:val="0"/>
              <w:spacing w:before="0"/>
              <w:rPr>
                <w:rFonts w:cs="Arial"/>
                <w:color w:val="auto"/>
                <w:sz w:val="20"/>
              </w:rPr>
            </w:pPr>
            <w:r w:rsidRPr="000B3D9D">
              <w:rPr>
                <w:rFonts w:cs="Arial"/>
                <w:bCs/>
                <w:color w:val="auto"/>
                <w:sz w:val="20"/>
              </w:rPr>
              <w:t>National Planning Policy and Guidance</w:t>
            </w:r>
          </w:p>
        </w:tc>
        <w:tc>
          <w:tcPr>
            <w:tcW w:w="6096" w:type="dxa"/>
          </w:tcPr>
          <w:p w14:paraId="3378F960" w14:textId="77777777" w:rsidR="000B3D9D" w:rsidRPr="000B3D9D" w:rsidRDefault="000B3D9D" w:rsidP="00874A98">
            <w:pPr>
              <w:keepNext w:val="0"/>
              <w:numPr>
                <w:ilvl w:val="0"/>
                <w:numId w:val="91"/>
              </w:numPr>
              <w:spacing w:before="0" w:after="160" w:line="252" w:lineRule="auto"/>
              <w:contextualSpacing/>
              <w:rPr>
                <w:rFonts w:cs="Arial"/>
                <w:color w:val="auto"/>
                <w:sz w:val="20"/>
              </w:rPr>
            </w:pPr>
            <w:r w:rsidRPr="000B3D9D">
              <w:rPr>
                <w:rFonts w:cs="Arial"/>
                <w:color w:val="auto"/>
                <w:sz w:val="20"/>
              </w:rPr>
              <w:t>NPPF 2023, Part 2: Achieving sustainable development.</w:t>
            </w:r>
          </w:p>
          <w:p w14:paraId="4303B7B5" w14:textId="77777777" w:rsidR="000B3D9D" w:rsidRPr="000B3D9D" w:rsidRDefault="000B3D9D" w:rsidP="00874A98">
            <w:pPr>
              <w:keepNext w:val="0"/>
              <w:numPr>
                <w:ilvl w:val="0"/>
                <w:numId w:val="91"/>
              </w:numPr>
              <w:spacing w:before="0" w:after="160" w:line="252" w:lineRule="auto"/>
              <w:contextualSpacing/>
              <w:rPr>
                <w:rFonts w:cs="Arial"/>
                <w:color w:val="auto"/>
                <w:sz w:val="20"/>
              </w:rPr>
            </w:pPr>
            <w:r w:rsidRPr="000B3D9D">
              <w:rPr>
                <w:rFonts w:cs="Arial"/>
                <w:color w:val="auto"/>
                <w:sz w:val="20"/>
              </w:rPr>
              <w:t>NPPF 2023, Part 3: Plan-making.</w:t>
            </w:r>
          </w:p>
          <w:p w14:paraId="00AB80CF" w14:textId="77777777" w:rsidR="000B3D9D" w:rsidRPr="000B3D9D" w:rsidRDefault="000B3D9D" w:rsidP="00874A98">
            <w:pPr>
              <w:keepNext w:val="0"/>
              <w:numPr>
                <w:ilvl w:val="0"/>
                <w:numId w:val="91"/>
              </w:numPr>
              <w:spacing w:before="0" w:after="160" w:line="252" w:lineRule="auto"/>
              <w:contextualSpacing/>
              <w:rPr>
                <w:rFonts w:cs="Arial"/>
                <w:color w:val="auto"/>
                <w:sz w:val="20"/>
              </w:rPr>
            </w:pPr>
            <w:r w:rsidRPr="000B3D9D">
              <w:rPr>
                <w:rFonts w:cs="Arial"/>
                <w:color w:val="auto"/>
                <w:sz w:val="20"/>
              </w:rPr>
              <w:t>NPPF 2023, Part 7: Ensuring the vitality of town centres.</w:t>
            </w:r>
          </w:p>
          <w:p w14:paraId="4E7947CF" w14:textId="77777777" w:rsidR="000B3D9D" w:rsidRPr="000B3D9D" w:rsidRDefault="000B3D9D" w:rsidP="00874A98">
            <w:pPr>
              <w:keepNext w:val="0"/>
              <w:numPr>
                <w:ilvl w:val="0"/>
                <w:numId w:val="91"/>
              </w:numPr>
              <w:spacing w:before="0" w:after="160" w:line="252" w:lineRule="auto"/>
              <w:contextualSpacing/>
              <w:rPr>
                <w:rFonts w:cs="Arial"/>
                <w:color w:val="auto"/>
                <w:sz w:val="20"/>
              </w:rPr>
            </w:pPr>
            <w:r w:rsidRPr="000B3D9D">
              <w:rPr>
                <w:rFonts w:cs="Arial"/>
                <w:color w:val="auto"/>
                <w:sz w:val="20"/>
              </w:rPr>
              <w:t>NPPF 2023, Part 8: Promoting healthy and safe communities.</w:t>
            </w:r>
          </w:p>
          <w:p w14:paraId="1DC4BC66" w14:textId="77777777" w:rsidR="000B3D9D" w:rsidRPr="000B3D9D" w:rsidRDefault="000B3D9D" w:rsidP="00874A98">
            <w:pPr>
              <w:keepNext w:val="0"/>
              <w:numPr>
                <w:ilvl w:val="0"/>
                <w:numId w:val="91"/>
              </w:numPr>
              <w:spacing w:before="0" w:after="160" w:line="252" w:lineRule="auto"/>
              <w:contextualSpacing/>
              <w:rPr>
                <w:rFonts w:cs="Arial"/>
                <w:color w:val="auto"/>
                <w:sz w:val="20"/>
              </w:rPr>
            </w:pPr>
            <w:r w:rsidRPr="000B3D9D">
              <w:rPr>
                <w:rFonts w:cs="Arial"/>
                <w:color w:val="auto"/>
                <w:sz w:val="20"/>
              </w:rPr>
              <w:t>NPPF 2023, Part 9: Promoting sustainable transport.</w:t>
            </w:r>
          </w:p>
          <w:p w14:paraId="1F7C5F16" w14:textId="77777777" w:rsidR="000B3D9D" w:rsidRPr="000B3D9D" w:rsidRDefault="000B3D9D" w:rsidP="00874A98">
            <w:pPr>
              <w:keepNext w:val="0"/>
              <w:numPr>
                <w:ilvl w:val="0"/>
                <w:numId w:val="91"/>
              </w:numPr>
              <w:spacing w:before="0" w:after="160" w:line="252" w:lineRule="auto"/>
              <w:contextualSpacing/>
              <w:rPr>
                <w:rFonts w:cs="Arial"/>
                <w:color w:val="auto"/>
                <w:sz w:val="20"/>
              </w:rPr>
            </w:pPr>
            <w:r w:rsidRPr="000B3D9D">
              <w:rPr>
                <w:rFonts w:cs="Arial"/>
                <w:color w:val="auto"/>
                <w:sz w:val="20"/>
              </w:rPr>
              <w:t>Planning Practice Guidance: Plan-making as of August 2021.</w:t>
            </w:r>
          </w:p>
        </w:tc>
      </w:tr>
    </w:tbl>
    <w:p w14:paraId="01AEC0F4" w14:textId="77777777" w:rsidR="000B3D9D" w:rsidRDefault="000B3D9D" w:rsidP="006A5605">
      <w:pPr>
        <w:tabs>
          <w:tab w:val="left" w:pos="680"/>
          <w:tab w:val="left" w:pos="1133"/>
          <w:tab w:val="left" w:pos="2267"/>
        </w:tabs>
        <w:ind w:right="284"/>
        <w:rPr>
          <w:rFonts w:eastAsia="Arial" w:cs="Arial"/>
          <w:b/>
          <w:szCs w:val="24"/>
        </w:rPr>
      </w:pPr>
    </w:p>
    <w:p w14:paraId="32E7792A" w14:textId="2F9FC5A7" w:rsidR="006A5605" w:rsidRPr="00E6288C" w:rsidRDefault="006A5605" w:rsidP="006A5605">
      <w:pPr>
        <w:keepNext w:val="0"/>
        <w:numPr>
          <w:ilvl w:val="1"/>
          <w:numId w:val="2"/>
        </w:numPr>
        <w:tabs>
          <w:tab w:val="clear" w:pos="525"/>
        </w:tabs>
        <w:autoSpaceDE w:val="0"/>
        <w:autoSpaceDN w:val="0"/>
        <w:adjustRightInd w:val="0"/>
        <w:spacing w:before="0"/>
        <w:ind w:left="851" w:hanging="851"/>
        <w:rPr>
          <w:rFonts w:eastAsia="Arial" w:cs="Arial"/>
        </w:rPr>
      </w:pPr>
      <w:r w:rsidRPr="00E6288C">
        <w:rPr>
          <w:rFonts w:eastAsia="Arial" w:cs="Arial"/>
        </w:rPr>
        <w:t xml:space="preserve">In order to arrive at the preferred spatial strategy, the Council formulated a number of alternative spatial options (outlined within the Sustainability Appraisal) to deliver the vision. These took into consideration the evidence base including the Strategic Housing and Employment Availability Assessment (SHELAA), the key issues that </w:t>
      </w:r>
      <w:r w:rsidRPr="00E6288C">
        <w:rPr>
          <w:rFonts w:eastAsia="Arial" w:cs="Arial"/>
        </w:rPr>
        <w:lastRenderedPageBreak/>
        <w:t>the plan is seeking to address and the outcome of previous Local Plan consultations. The Council has concluded that that the spatial strategy proposed is the most appropriate way forward</w:t>
      </w:r>
      <w:r w:rsidR="00E6288C" w:rsidRPr="00E6288C">
        <w:rPr>
          <w:rFonts w:eastAsia="Arial" w:cs="Arial"/>
        </w:rPr>
        <w:t>.</w:t>
      </w:r>
    </w:p>
    <w:p w14:paraId="75200F9B" w14:textId="77777777" w:rsidR="006A5605" w:rsidRPr="00E6288C" w:rsidRDefault="006A5605" w:rsidP="006A5605">
      <w:pPr>
        <w:autoSpaceDE w:val="0"/>
        <w:autoSpaceDN w:val="0"/>
        <w:adjustRightInd w:val="0"/>
        <w:ind w:left="525"/>
        <w:rPr>
          <w:rFonts w:eastAsia="Arial" w:cs="Arial"/>
        </w:rPr>
      </w:pPr>
    </w:p>
    <w:bookmarkEnd w:id="36"/>
    <w:p w14:paraId="14CB1B63" w14:textId="77777777" w:rsidR="00B41355" w:rsidRPr="00014EF9" w:rsidRDefault="006A5605" w:rsidP="00B37FA3">
      <w:pPr>
        <w:keepNext w:val="0"/>
        <w:numPr>
          <w:ilvl w:val="1"/>
          <w:numId w:val="306"/>
        </w:numPr>
        <w:autoSpaceDE w:val="0"/>
        <w:autoSpaceDN w:val="0"/>
        <w:adjustRightInd w:val="0"/>
        <w:spacing w:before="0"/>
        <w:ind w:left="851" w:hanging="851"/>
        <w:rPr>
          <w:rFonts w:eastAsia="Arial" w:cs="Arial"/>
          <w:strike/>
        </w:rPr>
      </w:pPr>
      <w:r w:rsidRPr="00B41355">
        <w:rPr>
          <w:rFonts w:eastAsia="Arial" w:cs="Arial"/>
        </w:rPr>
        <w:t>Further information in relation to the Spatial Strategy and Site Selection can be found in Background Paper 1</w:t>
      </w:r>
      <w:r w:rsidR="007B6BB8" w:rsidRPr="00B41355">
        <w:rPr>
          <w:rFonts w:eastAsia="Arial" w:cs="Arial"/>
        </w:rPr>
        <w:t>,</w:t>
      </w:r>
      <w:r w:rsidR="00716A70" w:rsidRPr="00B41355">
        <w:rPr>
          <w:rFonts w:eastAsia="Arial" w:cs="Arial"/>
        </w:rPr>
        <w:t xml:space="preserve"> 2023.</w:t>
      </w:r>
      <w:r w:rsidRPr="00B41355">
        <w:rPr>
          <w:rFonts w:eastAsia="Arial" w:cs="Arial"/>
        </w:rPr>
        <w:t xml:space="preserve">  Briefly, the spatial strategy seeks to:</w:t>
      </w:r>
    </w:p>
    <w:p w14:paraId="38E2CC37" w14:textId="77777777" w:rsidR="00014EF9" w:rsidRPr="00B41355" w:rsidRDefault="00014EF9" w:rsidP="00014EF9">
      <w:pPr>
        <w:keepNext w:val="0"/>
        <w:autoSpaceDE w:val="0"/>
        <w:autoSpaceDN w:val="0"/>
        <w:adjustRightInd w:val="0"/>
        <w:spacing w:before="0"/>
        <w:rPr>
          <w:rFonts w:eastAsia="Arial" w:cs="Arial"/>
          <w:strike/>
        </w:rPr>
      </w:pPr>
    </w:p>
    <w:p w14:paraId="14F45A1D" w14:textId="77777777" w:rsidR="00014EF9" w:rsidRPr="00014EF9" w:rsidRDefault="00014EF9" w:rsidP="00014EF9">
      <w:pPr>
        <w:keepNext w:val="0"/>
        <w:numPr>
          <w:ilvl w:val="0"/>
          <w:numId w:val="281"/>
        </w:numPr>
        <w:spacing w:before="0"/>
        <w:contextualSpacing/>
        <w:rPr>
          <w:rFonts w:eastAsia="Arial" w:cs="Arial"/>
          <w:color w:val="auto"/>
          <w:szCs w:val="22"/>
          <w:lang w:eastAsia="en-US"/>
        </w:rPr>
      </w:pPr>
      <w:r w:rsidRPr="00014EF9">
        <w:rPr>
          <w:rFonts w:eastAsia="Arial" w:cs="Arial"/>
          <w:color w:val="auto"/>
          <w:szCs w:val="22"/>
          <w:lang w:eastAsia="en-US"/>
        </w:rPr>
        <w:t>Take advantage of the district’s proximity to Nottingham City,</w:t>
      </w:r>
    </w:p>
    <w:p w14:paraId="7D31B59E" w14:textId="77777777" w:rsidR="00014EF9" w:rsidRPr="00014EF9" w:rsidRDefault="00014EF9" w:rsidP="00014EF9">
      <w:pPr>
        <w:keepNext w:val="0"/>
        <w:numPr>
          <w:ilvl w:val="0"/>
          <w:numId w:val="281"/>
        </w:numPr>
        <w:spacing w:before="0"/>
        <w:contextualSpacing/>
        <w:rPr>
          <w:rFonts w:eastAsia="Arial" w:cs="Arial"/>
          <w:color w:val="auto"/>
          <w:szCs w:val="22"/>
          <w:lang w:eastAsia="en-US"/>
        </w:rPr>
      </w:pPr>
      <w:r w:rsidRPr="00014EF9">
        <w:rPr>
          <w:rFonts w:eastAsia="Arial" w:cs="Arial"/>
          <w:color w:val="auto"/>
          <w:szCs w:val="22"/>
          <w:lang w:eastAsia="en-US"/>
        </w:rPr>
        <w:t>Capitalise on the accessibility of the M1 transport corridor,</w:t>
      </w:r>
    </w:p>
    <w:p w14:paraId="7711593E" w14:textId="77777777" w:rsidR="00014EF9" w:rsidRPr="00014EF9" w:rsidRDefault="00014EF9" w:rsidP="00014EF9">
      <w:pPr>
        <w:keepNext w:val="0"/>
        <w:numPr>
          <w:ilvl w:val="0"/>
          <w:numId w:val="281"/>
        </w:numPr>
        <w:spacing w:before="0"/>
        <w:contextualSpacing/>
        <w:rPr>
          <w:rFonts w:eastAsia="Arial" w:cs="Arial"/>
          <w:color w:val="auto"/>
          <w:szCs w:val="22"/>
          <w:lang w:eastAsia="en-US"/>
        </w:rPr>
      </w:pPr>
      <w:r w:rsidRPr="00014EF9">
        <w:rPr>
          <w:rFonts w:eastAsia="Arial" w:cs="Arial"/>
          <w:color w:val="auto"/>
          <w:szCs w:val="22"/>
          <w:lang w:eastAsia="en-US"/>
        </w:rPr>
        <w:t>Locate growth in sustainable and accessible locations,</w:t>
      </w:r>
    </w:p>
    <w:p w14:paraId="6F99A09F" w14:textId="6D8B9A78" w:rsidR="00014EF9" w:rsidRPr="00014EF9" w:rsidRDefault="00014EF9" w:rsidP="00014EF9">
      <w:pPr>
        <w:keepNext w:val="0"/>
        <w:numPr>
          <w:ilvl w:val="0"/>
          <w:numId w:val="281"/>
        </w:numPr>
        <w:spacing w:before="0"/>
        <w:contextualSpacing/>
        <w:rPr>
          <w:rFonts w:eastAsia="Arial" w:cs="Arial"/>
          <w:color w:val="auto"/>
          <w:szCs w:val="22"/>
          <w:lang w:eastAsia="en-US"/>
        </w:rPr>
      </w:pPr>
      <w:r w:rsidRPr="00014EF9">
        <w:rPr>
          <w:rFonts w:eastAsia="Arial" w:cs="Arial"/>
          <w:color w:val="auto"/>
          <w:szCs w:val="22"/>
          <w:lang w:eastAsia="en-US"/>
        </w:rPr>
        <w:t>Ensure a strong regeneration focus for our towns,</w:t>
      </w:r>
    </w:p>
    <w:p w14:paraId="73B3F2C3" w14:textId="1634B95C" w:rsidR="00014EF9" w:rsidRPr="00014EF9" w:rsidRDefault="00014EF9" w:rsidP="00014EF9">
      <w:pPr>
        <w:keepNext w:val="0"/>
        <w:numPr>
          <w:ilvl w:val="0"/>
          <w:numId w:val="281"/>
        </w:numPr>
        <w:spacing w:before="0"/>
        <w:contextualSpacing/>
        <w:rPr>
          <w:rFonts w:eastAsia="Arial" w:cs="Arial"/>
          <w:color w:val="auto"/>
          <w:szCs w:val="22"/>
          <w:lang w:eastAsia="en-US"/>
        </w:rPr>
      </w:pPr>
      <w:r w:rsidRPr="00014EF9">
        <w:rPr>
          <w:rFonts w:eastAsia="Arial" w:cs="Arial"/>
          <w:color w:val="auto"/>
          <w:szCs w:val="22"/>
          <w:lang w:eastAsia="en-US"/>
        </w:rPr>
        <w:t>Support proportionate and sustainable growth in the villages,</w:t>
      </w:r>
    </w:p>
    <w:p w14:paraId="59751E8C" w14:textId="77777777" w:rsidR="00014EF9" w:rsidRPr="00014EF9" w:rsidRDefault="00014EF9" w:rsidP="00014EF9">
      <w:pPr>
        <w:keepNext w:val="0"/>
        <w:numPr>
          <w:ilvl w:val="0"/>
          <w:numId w:val="281"/>
        </w:numPr>
        <w:spacing w:before="0"/>
        <w:contextualSpacing/>
        <w:rPr>
          <w:rFonts w:eastAsia="Arial" w:cs="Arial"/>
          <w:color w:val="auto"/>
          <w:szCs w:val="22"/>
          <w:lang w:eastAsia="en-US"/>
        </w:rPr>
      </w:pPr>
      <w:r w:rsidRPr="00014EF9">
        <w:rPr>
          <w:rFonts w:eastAsia="Arial" w:cs="Arial"/>
          <w:color w:val="auto"/>
          <w:szCs w:val="22"/>
          <w:lang w:eastAsia="en-US"/>
        </w:rPr>
        <w:t>Promote sites which will be deliverable in the short to medium term, distributed proportionately across the District,</w:t>
      </w:r>
    </w:p>
    <w:p w14:paraId="1786DACD" w14:textId="77777777" w:rsidR="00014EF9" w:rsidRDefault="00014EF9" w:rsidP="00014EF9">
      <w:pPr>
        <w:keepNext w:val="0"/>
        <w:numPr>
          <w:ilvl w:val="0"/>
          <w:numId w:val="281"/>
        </w:numPr>
        <w:spacing w:before="0"/>
        <w:contextualSpacing/>
        <w:rPr>
          <w:rFonts w:eastAsia="Arial" w:cs="Arial"/>
          <w:szCs w:val="22"/>
          <w:lang w:eastAsia="en-US"/>
        </w:rPr>
      </w:pPr>
      <w:r w:rsidRPr="00014EF9">
        <w:rPr>
          <w:rFonts w:eastAsia="Arial" w:cs="Arial"/>
          <w:color w:val="auto"/>
          <w:szCs w:val="22"/>
          <w:lang w:eastAsia="en-US"/>
        </w:rPr>
        <w:t>Facilitate the delivery of new infrastructure</w:t>
      </w:r>
      <w:r w:rsidRPr="00014EF9">
        <w:rPr>
          <w:rFonts w:eastAsia="Arial" w:cs="Arial"/>
          <w:szCs w:val="22"/>
          <w:lang w:eastAsia="en-US"/>
        </w:rPr>
        <w:t xml:space="preserve">, and </w:t>
      </w:r>
    </w:p>
    <w:p w14:paraId="753D9FD5" w14:textId="7FB7AF32" w:rsidR="00B41355" w:rsidRPr="00014EF9" w:rsidRDefault="00014EF9" w:rsidP="00014EF9">
      <w:pPr>
        <w:keepNext w:val="0"/>
        <w:numPr>
          <w:ilvl w:val="0"/>
          <w:numId w:val="281"/>
        </w:numPr>
        <w:spacing w:before="0"/>
        <w:contextualSpacing/>
        <w:rPr>
          <w:rFonts w:eastAsia="Arial" w:cs="Arial"/>
          <w:szCs w:val="22"/>
          <w:lang w:eastAsia="en-US"/>
        </w:rPr>
      </w:pPr>
      <w:r w:rsidRPr="00014EF9">
        <w:rPr>
          <w:rFonts w:eastAsia="Arial" w:cs="Arial"/>
        </w:rPr>
        <w:t>Deliver high quality design and placemaking</w:t>
      </w:r>
      <w:r>
        <w:rPr>
          <w:rFonts w:eastAsia="Arial" w:cs="Arial"/>
        </w:rPr>
        <w:t>.</w:t>
      </w:r>
    </w:p>
    <w:p w14:paraId="1919AB8C" w14:textId="77777777" w:rsidR="00014EF9" w:rsidRPr="00014EF9" w:rsidRDefault="00014EF9" w:rsidP="00014EF9">
      <w:pPr>
        <w:keepNext w:val="0"/>
        <w:spacing w:before="0"/>
        <w:ind w:left="1211"/>
        <w:contextualSpacing/>
        <w:rPr>
          <w:rFonts w:eastAsia="Arial" w:cs="Arial"/>
          <w:szCs w:val="22"/>
          <w:lang w:eastAsia="en-US"/>
        </w:rPr>
      </w:pPr>
    </w:p>
    <w:p w14:paraId="6DD10F14" w14:textId="090507B8" w:rsidR="00B41355" w:rsidRDefault="001213D8" w:rsidP="00B41355">
      <w:pPr>
        <w:keepNext w:val="0"/>
        <w:numPr>
          <w:ilvl w:val="1"/>
          <w:numId w:val="306"/>
        </w:numPr>
        <w:autoSpaceDE w:val="0"/>
        <w:autoSpaceDN w:val="0"/>
        <w:adjustRightInd w:val="0"/>
        <w:spacing w:before="0"/>
        <w:ind w:left="851" w:hanging="851"/>
        <w:rPr>
          <w:rFonts w:eastAsia="Calibri" w:cs="Arial"/>
          <w:color w:val="auto"/>
        </w:rPr>
      </w:pPr>
      <w:r w:rsidRPr="00B41355">
        <w:rPr>
          <w:rFonts w:eastAsia="Arial" w:cs="Arial"/>
        </w:rPr>
        <w:t xml:space="preserve">The strategy </w:t>
      </w:r>
      <w:r w:rsidRPr="00B41355">
        <w:rPr>
          <w:rFonts w:eastAsia="Arial" w:cs="Arial"/>
          <w:color w:val="auto"/>
        </w:rPr>
        <w:t>is estimated to meet the housing requirement of 446 dwellings per annum (dpa)</w:t>
      </w:r>
      <w:r w:rsidR="00D70FDB" w:rsidRPr="00B41355">
        <w:rPr>
          <w:rFonts w:eastAsia="Arial" w:cs="Arial"/>
          <w:color w:val="auto"/>
        </w:rPr>
        <w:t>,</w:t>
      </w:r>
      <w:r w:rsidRPr="00B41355">
        <w:rPr>
          <w:rFonts w:eastAsia="Arial" w:cs="Arial"/>
          <w:color w:val="auto"/>
        </w:rPr>
        <w:t xml:space="preserve"> identified </w:t>
      </w:r>
      <w:r w:rsidR="00D70FDB" w:rsidRPr="00B41355">
        <w:rPr>
          <w:rFonts w:eastAsia="Arial" w:cs="Arial"/>
          <w:color w:val="auto"/>
        </w:rPr>
        <w:t>using</w:t>
      </w:r>
      <w:r w:rsidRPr="00B41355">
        <w:rPr>
          <w:rFonts w:eastAsia="Arial" w:cs="Arial"/>
          <w:color w:val="auto"/>
        </w:rPr>
        <w:t xml:space="preserve"> </w:t>
      </w:r>
      <w:r w:rsidRPr="00B41355">
        <w:rPr>
          <w:rFonts w:eastAsia="Arial" w:cs="Arial"/>
        </w:rPr>
        <w:t xml:space="preserve">the standard </w:t>
      </w:r>
      <w:r w:rsidR="00D70FDB" w:rsidRPr="00B41355">
        <w:rPr>
          <w:rFonts w:eastAsia="Arial" w:cs="Arial"/>
        </w:rPr>
        <w:t xml:space="preserve">method for assessing </w:t>
      </w:r>
      <w:r w:rsidRPr="00B41355">
        <w:rPr>
          <w:rFonts w:eastAsia="Arial" w:cs="Arial"/>
        </w:rPr>
        <w:t xml:space="preserve">housing need </w:t>
      </w:r>
      <w:r w:rsidRPr="00B0559A">
        <w:rPr>
          <w:rStyle w:val="FootnoteReference"/>
          <w:rFonts w:eastAsia="Arial" w:cs="Arial"/>
        </w:rPr>
        <w:footnoteReference w:id="47"/>
      </w:r>
      <w:r w:rsidRPr="00B41355">
        <w:rPr>
          <w:rFonts w:eastAsia="Arial" w:cs="Arial"/>
          <w:strike/>
        </w:rPr>
        <w:t xml:space="preserve">, </w:t>
      </w:r>
      <w:r w:rsidRPr="00B41355">
        <w:rPr>
          <w:rFonts w:eastAsia="Arial" w:cs="Arial"/>
          <w:color w:val="auto"/>
        </w:rPr>
        <w:t>up to the year 203</w:t>
      </w:r>
      <w:r w:rsidR="00B2195C">
        <w:rPr>
          <w:rFonts w:eastAsia="Arial" w:cs="Arial"/>
          <w:color w:val="auto"/>
        </w:rPr>
        <w:t>8</w:t>
      </w:r>
      <w:r w:rsidRPr="00B41355">
        <w:rPr>
          <w:rFonts w:eastAsia="Arial" w:cs="Arial"/>
          <w:color w:val="auto"/>
        </w:rPr>
        <w:t>/3</w:t>
      </w:r>
      <w:r w:rsidR="00B2195C">
        <w:rPr>
          <w:rFonts w:eastAsia="Arial" w:cs="Arial"/>
          <w:color w:val="auto"/>
        </w:rPr>
        <w:t>9</w:t>
      </w:r>
      <w:r w:rsidRPr="00B41355">
        <w:rPr>
          <w:rFonts w:eastAsia="Arial" w:cs="Arial"/>
          <w:color w:val="auto"/>
        </w:rPr>
        <w:t>. It provides for the evidenced employment land requirement as set out in the Employment Land Needs Study</w:t>
      </w:r>
      <w:r w:rsidRPr="001213D8">
        <w:rPr>
          <w:rStyle w:val="FootnoteReference"/>
          <w:rFonts w:eastAsia="Arial" w:cs="Arial"/>
          <w:color w:val="auto"/>
        </w:rPr>
        <w:footnoteReference w:id="48"/>
      </w:r>
      <w:r w:rsidRPr="00B41355">
        <w:rPr>
          <w:rFonts w:eastAsia="Arial" w:cs="Arial"/>
          <w:color w:val="auto"/>
        </w:rPr>
        <w:t xml:space="preserve"> and the Employment Background Papers 2021 and 2023</w:t>
      </w:r>
      <w:r w:rsidRPr="001213D8">
        <w:rPr>
          <w:rStyle w:val="FootnoteReference"/>
          <w:rFonts w:eastAsia="Arial" w:cs="Arial"/>
          <w:color w:val="auto"/>
        </w:rPr>
        <w:footnoteReference w:id="49"/>
      </w:r>
      <w:r w:rsidRPr="00B41355">
        <w:rPr>
          <w:rFonts w:eastAsia="Arial" w:cs="Arial"/>
          <w:color w:val="auto"/>
        </w:rPr>
        <w:t xml:space="preserve">. </w:t>
      </w:r>
    </w:p>
    <w:p w14:paraId="0AAFC2CB" w14:textId="77777777" w:rsidR="00B41355" w:rsidRPr="00B41355" w:rsidRDefault="00B41355" w:rsidP="00B41355">
      <w:pPr>
        <w:keepNext w:val="0"/>
        <w:autoSpaceDE w:val="0"/>
        <w:autoSpaceDN w:val="0"/>
        <w:adjustRightInd w:val="0"/>
        <w:spacing w:before="0"/>
        <w:ind w:left="851"/>
        <w:rPr>
          <w:rFonts w:eastAsia="Calibri" w:cs="Arial"/>
          <w:color w:val="auto"/>
        </w:rPr>
      </w:pPr>
    </w:p>
    <w:p w14:paraId="3F954554" w14:textId="075E778F" w:rsidR="00B41355" w:rsidRDefault="001213D8" w:rsidP="00B41355">
      <w:pPr>
        <w:keepNext w:val="0"/>
        <w:numPr>
          <w:ilvl w:val="1"/>
          <w:numId w:val="306"/>
        </w:numPr>
        <w:autoSpaceDE w:val="0"/>
        <w:autoSpaceDN w:val="0"/>
        <w:adjustRightInd w:val="0"/>
        <w:spacing w:before="0"/>
        <w:ind w:left="851" w:hanging="851"/>
        <w:rPr>
          <w:rFonts w:eastAsia="Calibri" w:cs="Arial"/>
          <w:color w:val="auto"/>
        </w:rPr>
      </w:pPr>
      <w:r w:rsidRPr="00B41355">
        <w:rPr>
          <w:rFonts w:eastAsia="Arial" w:cs="Arial"/>
        </w:rPr>
        <w:t xml:space="preserve">The SHELAA </w:t>
      </w:r>
      <w:r w:rsidRPr="00B41355">
        <w:rPr>
          <w:rFonts w:eastAsia="Arial" w:cs="Arial"/>
          <w:color w:val="auto"/>
        </w:rPr>
        <w:t xml:space="preserve">and Brownfield Capacity Study </w:t>
      </w:r>
      <w:r w:rsidR="00014EF9" w:rsidRPr="00B41355">
        <w:rPr>
          <w:rFonts w:eastAsia="Arial" w:cs="Arial"/>
          <w:color w:val="auto"/>
        </w:rPr>
        <w:t>identify</w:t>
      </w:r>
      <w:r w:rsidRPr="00B41355">
        <w:rPr>
          <w:rFonts w:eastAsia="Arial" w:cs="Arial"/>
          <w:color w:val="auto"/>
        </w:rPr>
        <w:t xml:space="preserve"> that there are insufficient developable brownfie</w:t>
      </w:r>
      <w:r w:rsidRPr="00B41355">
        <w:rPr>
          <w:rFonts w:eastAsia="Arial" w:cs="Arial"/>
        </w:rPr>
        <w:t xml:space="preserve">ld sites within the existing built-up areas to accommodate the required levels of growth over the plan period.  As such, it has been necessary to direct new development to greenfield land outside of the existing settlements. Some of this new development requires the release of land from the Green Belt, including strategic employment land allocated at junction 27 of the </w:t>
      </w:r>
      <w:r w:rsidRPr="00B41355">
        <w:rPr>
          <w:rFonts w:eastAsia="Arial" w:cs="Arial"/>
          <w:color w:val="auto"/>
        </w:rPr>
        <w:t>M1 (Policy S8) and several housing allocations identified under Policy H1.</w:t>
      </w:r>
    </w:p>
    <w:p w14:paraId="1DA1B787" w14:textId="77777777" w:rsidR="00B41355" w:rsidRPr="00B41355" w:rsidRDefault="00B41355" w:rsidP="00B41355">
      <w:pPr>
        <w:keepNext w:val="0"/>
        <w:autoSpaceDE w:val="0"/>
        <w:autoSpaceDN w:val="0"/>
        <w:adjustRightInd w:val="0"/>
        <w:spacing w:before="0"/>
        <w:ind w:left="851"/>
        <w:rPr>
          <w:rFonts w:eastAsia="Calibri" w:cs="Arial"/>
          <w:color w:val="auto"/>
        </w:rPr>
      </w:pPr>
    </w:p>
    <w:p w14:paraId="17EB3F84" w14:textId="5E4BD11A" w:rsidR="00B41355" w:rsidRDefault="006A5605" w:rsidP="00B41355">
      <w:pPr>
        <w:keepNext w:val="0"/>
        <w:numPr>
          <w:ilvl w:val="1"/>
          <w:numId w:val="306"/>
        </w:numPr>
        <w:autoSpaceDE w:val="0"/>
        <w:autoSpaceDN w:val="0"/>
        <w:adjustRightInd w:val="0"/>
        <w:spacing w:before="0"/>
        <w:ind w:left="851" w:hanging="851"/>
        <w:rPr>
          <w:rFonts w:eastAsia="Calibri" w:cs="Arial"/>
          <w:color w:val="auto"/>
        </w:rPr>
      </w:pPr>
      <w:r w:rsidRPr="00B41355">
        <w:rPr>
          <w:rFonts w:eastAsia="Arial" w:cs="Arial"/>
          <w:color w:val="auto"/>
        </w:rPr>
        <w:t xml:space="preserve">Policy S1 sets </w:t>
      </w:r>
      <w:r w:rsidRPr="00B41355">
        <w:rPr>
          <w:rFonts w:eastAsia="Arial" w:cs="Arial"/>
        </w:rPr>
        <w:t>out the hierarchy of settlements which will assist in the creation of sustainable communities by identifying the areas which have the best access to a wide range of services and facilities.  It also promotes sustainability by directing</w:t>
      </w:r>
      <w:r w:rsidR="009C12CD" w:rsidRPr="00B41355">
        <w:rPr>
          <w:rFonts w:eastAsia="Arial" w:cs="Arial"/>
        </w:rPr>
        <w:t xml:space="preserve"> </w:t>
      </w:r>
      <w:r w:rsidRPr="00B41355">
        <w:rPr>
          <w:rFonts w:eastAsia="Arial" w:cs="Arial"/>
        </w:rPr>
        <w:t xml:space="preserve">development within and adjacent to the built-up areas of the </w:t>
      </w:r>
      <w:r w:rsidR="00716A70" w:rsidRPr="00B41355">
        <w:rPr>
          <w:rFonts w:eastAsia="Arial" w:cs="Arial"/>
        </w:rPr>
        <w:t>District and</w:t>
      </w:r>
      <w:r w:rsidRPr="00B41355">
        <w:rPr>
          <w:rFonts w:eastAsia="Arial" w:cs="Arial"/>
        </w:rPr>
        <w:t xml:space="preserve"> protecting rural and natural environments. </w:t>
      </w:r>
    </w:p>
    <w:p w14:paraId="458186A5" w14:textId="77777777" w:rsidR="00B41355" w:rsidRPr="00B41355" w:rsidRDefault="00B41355" w:rsidP="00B41355">
      <w:pPr>
        <w:keepNext w:val="0"/>
        <w:autoSpaceDE w:val="0"/>
        <w:autoSpaceDN w:val="0"/>
        <w:adjustRightInd w:val="0"/>
        <w:spacing w:before="0"/>
        <w:ind w:left="851"/>
        <w:rPr>
          <w:rFonts w:eastAsia="Calibri" w:cs="Arial"/>
          <w:color w:val="auto"/>
        </w:rPr>
      </w:pPr>
    </w:p>
    <w:p w14:paraId="7F220D55" w14:textId="13D09F72" w:rsidR="00B41355" w:rsidRDefault="006A5605" w:rsidP="00B41355">
      <w:pPr>
        <w:keepNext w:val="0"/>
        <w:numPr>
          <w:ilvl w:val="1"/>
          <w:numId w:val="306"/>
        </w:numPr>
        <w:autoSpaceDE w:val="0"/>
        <w:autoSpaceDN w:val="0"/>
        <w:adjustRightInd w:val="0"/>
        <w:spacing w:before="0"/>
        <w:ind w:left="851" w:hanging="851"/>
        <w:rPr>
          <w:rFonts w:eastAsia="Calibri" w:cs="Arial"/>
          <w:color w:val="auto"/>
        </w:rPr>
      </w:pPr>
      <w:r w:rsidRPr="00B41355">
        <w:rPr>
          <w:rFonts w:eastAsia="Arial" w:cs="Arial"/>
        </w:rPr>
        <w:t xml:space="preserve">The hierarchy identifies that the existing settlements and town centres of Sutton, Hucknall, and Kirkby offer the best opportunities for residential, employment, services, and facilities within the District.  </w:t>
      </w:r>
    </w:p>
    <w:p w14:paraId="38ADC28B" w14:textId="77777777" w:rsidR="00B41355" w:rsidRPr="00B41355" w:rsidRDefault="00B41355" w:rsidP="00B41355">
      <w:pPr>
        <w:keepNext w:val="0"/>
        <w:autoSpaceDE w:val="0"/>
        <w:autoSpaceDN w:val="0"/>
        <w:adjustRightInd w:val="0"/>
        <w:spacing w:before="0"/>
        <w:ind w:left="851"/>
        <w:rPr>
          <w:rFonts w:eastAsia="Calibri" w:cs="Arial"/>
          <w:color w:val="auto"/>
        </w:rPr>
      </w:pPr>
    </w:p>
    <w:p w14:paraId="4A041005" w14:textId="77777777" w:rsidR="00014EF9" w:rsidRPr="000808D9" w:rsidRDefault="006A5605" w:rsidP="00014EF9">
      <w:pPr>
        <w:keepNext w:val="0"/>
        <w:numPr>
          <w:ilvl w:val="1"/>
          <w:numId w:val="306"/>
        </w:numPr>
        <w:autoSpaceDE w:val="0"/>
        <w:autoSpaceDN w:val="0"/>
        <w:adjustRightInd w:val="0"/>
        <w:spacing w:before="0"/>
        <w:ind w:left="851" w:hanging="851"/>
        <w:rPr>
          <w:rFonts w:eastAsia="Calibri" w:cs="Arial"/>
          <w:color w:val="auto"/>
        </w:rPr>
      </w:pPr>
      <w:r w:rsidRPr="00B41355">
        <w:rPr>
          <w:rFonts w:cs="Arial"/>
          <w:szCs w:val="24"/>
        </w:rPr>
        <w:t>Housing Development will be mainly concentrated in and adjacent to the larger and more accessible towns of Hucknall, Sutton-in-Ashfield (Sutton) and Kirkby-in-</w:t>
      </w:r>
      <w:r w:rsidRPr="00B41355">
        <w:rPr>
          <w:rFonts w:cs="Arial"/>
          <w:szCs w:val="24"/>
        </w:rPr>
        <w:lastRenderedPageBreak/>
        <w:t>Ashfield (Kirkby). The villages of Selston, Jacksdale and Underwood</w:t>
      </w:r>
      <w:r w:rsidR="00B0466E" w:rsidRPr="00B41355">
        <w:rPr>
          <w:rFonts w:cs="Arial"/>
          <w:szCs w:val="24"/>
        </w:rPr>
        <w:t>, Brinsley, Annesley/Newstead and Fackley</w:t>
      </w:r>
      <w:r w:rsidRPr="00B41355">
        <w:rPr>
          <w:rFonts w:cs="Arial"/>
          <w:szCs w:val="24"/>
        </w:rPr>
        <w:t xml:space="preserve"> have been allocated appropriate levels of development to support rural infrastructure and sustain vitality, whilst respecting their ‘village’ character. </w:t>
      </w:r>
    </w:p>
    <w:p w14:paraId="03619819" w14:textId="77777777" w:rsidR="000808D9" w:rsidRDefault="000808D9" w:rsidP="000808D9">
      <w:pPr>
        <w:keepNext w:val="0"/>
        <w:autoSpaceDE w:val="0"/>
        <w:autoSpaceDN w:val="0"/>
        <w:adjustRightInd w:val="0"/>
        <w:spacing w:before="0"/>
        <w:rPr>
          <w:rFonts w:eastAsia="Calibri" w:cs="Arial"/>
          <w:color w:val="auto"/>
        </w:rPr>
      </w:pPr>
    </w:p>
    <w:p w14:paraId="7480B849" w14:textId="55557205" w:rsidR="00B41355" w:rsidRPr="00014EF9" w:rsidRDefault="006A5605" w:rsidP="00014EF9">
      <w:pPr>
        <w:keepNext w:val="0"/>
        <w:numPr>
          <w:ilvl w:val="1"/>
          <w:numId w:val="306"/>
        </w:numPr>
        <w:autoSpaceDE w:val="0"/>
        <w:autoSpaceDN w:val="0"/>
        <w:adjustRightInd w:val="0"/>
        <w:spacing w:before="0"/>
        <w:ind w:left="851" w:hanging="851"/>
        <w:rPr>
          <w:rFonts w:eastAsia="Calibri" w:cs="Arial"/>
          <w:color w:val="auto"/>
        </w:rPr>
      </w:pPr>
      <w:r w:rsidRPr="00014EF9">
        <w:rPr>
          <w:rFonts w:eastAsia="Arial" w:cs="Arial"/>
        </w:rPr>
        <w:t>Concentrating new development in these areas will help to reduce the carbon footprint of the community, with less need to travel to other areas for jobs, services, and facilities. The growth of the three towns will also serve to attract inward investment into these areas, assisting in regeneration and improving the opportunities and the lives of people living there.</w:t>
      </w:r>
    </w:p>
    <w:p w14:paraId="7CE55C01" w14:textId="77777777" w:rsidR="00B41355" w:rsidRPr="00B41355" w:rsidRDefault="00B41355" w:rsidP="00B41355">
      <w:pPr>
        <w:keepNext w:val="0"/>
        <w:autoSpaceDE w:val="0"/>
        <w:autoSpaceDN w:val="0"/>
        <w:adjustRightInd w:val="0"/>
        <w:spacing w:before="0"/>
        <w:ind w:left="851"/>
        <w:rPr>
          <w:rFonts w:eastAsia="Calibri" w:cs="Arial"/>
          <w:color w:val="auto"/>
        </w:rPr>
      </w:pPr>
    </w:p>
    <w:p w14:paraId="575EE327" w14:textId="7D0D28DB" w:rsidR="00B41355" w:rsidRDefault="006A5605" w:rsidP="00B41355">
      <w:pPr>
        <w:keepNext w:val="0"/>
        <w:numPr>
          <w:ilvl w:val="1"/>
          <w:numId w:val="306"/>
        </w:numPr>
        <w:autoSpaceDE w:val="0"/>
        <w:autoSpaceDN w:val="0"/>
        <w:adjustRightInd w:val="0"/>
        <w:spacing w:before="0"/>
        <w:ind w:left="851" w:hanging="851"/>
        <w:rPr>
          <w:rFonts w:eastAsia="Calibri" w:cs="Arial"/>
          <w:color w:val="auto"/>
        </w:rPr>
      </w:pPr>
      <w:r w:rsidRPr="00B41355">
        <w:rPr>
          <w:rFonts w:cs="Arial"/>
          <w:szCs w:val="24"/>
        </w:rPr>
        <w:t>The Greater Nottingham Accessible Settlements Study was produced for Ashfield and other Nottinghamshire core authority areas in 2010 and ranks settlements in terms of the level of access to a range of facilities and services. The findings of this study support the hierarchy of settlements as set out in Policy S</w:t>
      </w:r>
      <w:r w:rsidR="00716A70" w:rsidRPr="00B41355">
        <w:rPr>
          <w:rFonts w:cs="Arial"/>
          <w:szCs w:val="24"/>
        </w:rPr>
        <w:t>1</w:t>
      </w:r>
      <w:r w:rsidRPr="00B41355">
        <w:rPr>
          <w:rFonts w:cs="Arial"/>
          <w:szCs w:val="24"/>
        </w:rPr>
        <w:t>.</w:t>
      </w:r>
    </w:p>
    <w:p w14:paraId="6CED46A4" w14:textId="77777777" w:rsidR="00B41355" w:rsidRPr="00B41355" w:rsidRDefault="00B41355" w:rsidP="00B41355">
      <w:pPr>
        <w:keepNext w:val="0"/>
        <w:autoSpaceDE w:val="0"/>
        <w:autoSpaceDN w:val="0"/>
        <w:adjustRightInd w:val="0"/>
        <w:spacing w:before="0"/>
        <w:ind w:left="851"/>
        <w:rPr>
          <w:rFonts w:eastAsia="Calibri" w:cs="Arial"/>
          <w:color w:val="auto"/>
        </w:rPr>
      </w:pPr>
    </w:p>
    <w:p w14:paraId="044F2C25" w14:textId="06079BB6" w:rsidR="00B41355" w:rsidRDefault="006A5605" w:rsidP="00B41355">
      <w:pPr>
        <w:keepNext w:val="0"/>
        <w:numPr>
          <w:ilvl w:val="1"/>
          <w:numId w:val="306"/>
        </w:numPr>
        <w:autoSpaceDE w:val="0"/>
        <w:autoSpaceDN w:val="0"/>
        <w:adjustRightInd w:val="0"/>
        <w:spacing w:before="0"/>
        <w:ind w:left="851" w:hanging="851"/>
        <w:rPr>
          <w:rFonts w:eastAsia="Calibri" w:cs="Arial"/>
          <w:color w:val="auto"/>
        </w:rPr>
      </w:pPr>
      <w:r w:rsidRPr="00B41355">
        <w:rPr>
          <w:rFonts w:eastAsia="Arial" w:cs="Arial"/>
        </w:rPr>
        <w:t xml:space="preserve">Sutton, Hucknall and Kirkby are the largest towns in Ashfield and provide excellent public transport links to other major conurbations via the Robin Hood rail line, with stations in all three areas. Sutton has a central bus station and there are frequent, regular bus services in operation throughout Ashfield and Mansfield. Sutton and Kirkby are also in close proximity to each other, so the services and facilities available within each town can be easily accessed from both locations. In the south, Hucknall has excellent links to Nottingham via the Robin Hood Line and the NET tram service, with tram stops within the town centre and to the south and east of the centre. Expansion to the south-west of Hucknall should bring further investment opportunities at </w:t>
      </w:r>
      <w:r w:rsidR="002605A4" w:rsidRPr="00B41355">
        <w:rPr>
          <w:rFonts w:eastAsia="Arial" w:cs="Arial"/>
        </w:rPr>
        <w:t xml:space="preserve">Harrier Park </w:t>
      </w:r>
      <w:r w:rsidRPr="00B41355">
        <w:rPr>
          <w:rFonts w:eastAsia="Arial" w:cs="Arial"/>
        </w:rPr>
        <w:t>leading to the creation of new jobs. Hucknall is surrounded by the Nottinghamshire-Derbyshire Green Belt which constrains growth in this area.</w:t>
      </w:r>
    </w:p>
    <w:p w14:paraId="78FC030F" w14:textId="77777777" w:rsidR="00B41355" w:rsidRPr="00B41355" w:rsidRDefault="00B41355" w:rsidP="00B41355">
      <w:pPr>
        <w:keepNext w:val="0"/>
        <w:autoSpaceDE w:val="0"/>
        <w:autoSpaceDN w:val="0"/>
        <w:adjustRightInd w:val="0"/>
        <w:spacing w:before="0"/>
        <w:ind w:left="851"/>
        <w:rPr>
          <w:rFonts w:eastAsia="Calibri" w:cs="Arial"/>
          <w:color w:val="auto"/>
        </w:rPr>
      </w:pPr>
    </w:p>
    <w:p w14:paraId="72AD0F64" w14:textId="65BC0440" w:rsidR="00B41355" w:rsidRDefault="006A5605" w:rsidP="00B41355">
      <w:pPr>
        <w:keepNext w:val="0"/>
        <w:numPr>
          <w:ilvl w:val="1"/>
          <w:numId w:val="306"/>
        </w:numPr>
        <w:autoSpaceDE w:val="0"/>
        <w:autoSpaceDN w:val="0"/>
        <w:adjustRightInd w:val="0"/>
        <w:spacing w:before="0"/>
        <w:ind w:left="851" w:hanging="851"/>
        <w:rPr>
          <w:rFonts w:eastAsia="Calibri" w:cs="Arial"/>
          <w:color w:val="auto"/>
        </w:rPr>
      </w:pPr>
      <w:r w:rsidRPr="00B41355">
        <w:rPr>
          <w:rFonts w:eastAsia="Arial" w:cs="Arial"/>
        </w:rPr>
        <w:t>The sub-regional centre of Mansfield also offers opportunities for larger scale growth. Future growth to the south of the town at Lindhurst (within Mansfield District), provides opportunities for new facilities and infrastructure which will support further expansion within Ashfield District.</w:t>
      </w:r>
    </w:p>
    <w:p w14:paraId="78EBDB58" w14:textId="77777777" w:rsidR="00B41355" w:rsidRPr="00B41355" w:rsidRDefault="00B41355" w:rsidP="00B41355">
      <w:pPr>
        <w:keepNext w:val="0"/>
        <w:autoSpaceDE w:val="0"/>
        <w:autoSpaceDN w:val="0"/>
        <w:adjustRightInd w:val="0"/>
        <w:spacing w:before="0"/>
        <w:ind w:left="851"/>
        <w:rPr>
          <w:rFonts w:eastAsia="Calibri" w:cs="Arial"/>
          <w:color w:val="auto"/>
        </w:rPr>
      </w:pPr>
    </w:p>
    <w:p w14:paraId="678FF6F9" w14:textId="6904DC71" w:rsidR="00B41355" w:rsidRDefault="006A5605" w:rsidP="00B41355">
      <w:pPr>
        <w:keepNext w:val="0"/>
        <w:numPr>
          <w:ilvl w:val="1"/>
          <w:numId w:val="306"/>
        </w:numPr>
        <w:autoSpaceDE w:val="0"/>
        <w:autoSpaceDN w:val="0"/>
        <w:adjustRightInd w:val="0"/>
        <w:spacing w:before="0"/>
        <w:ind w:left="851" w:hanging="851"/>
        <w:rPr>
          <w:rFonts w:eastAsia="Calibri" w:cs="Arial"/>
          <w:color w:val="auto"/>
        </w:rPr>
      </w:pPr>
      <w:r w:rsidRPr="00B41355">
        <w:rPr>
          <w:rFonts w:eastAsia="Arial" w:cs="Arial"/>
        </w:rPr>
        <w:t>Opportunities for walking and cycling are good in all of towns, and will continue to improve over time through the delivery of plans for Green</w:t>
      </w:r>
      <w:r w:rsidR="00B41355">
        <w:rPr>
          <w:rFonts w:eastAsia="Arial" w:cs="Arial"/>
        </w:rPr>
        <w:t xml:space="preserve"> and Blue</w:t>
      </w:r>
      <w:r w:rsidRPr="00B41355">
        <w:rPr>
          <w:rFonts w:eastAsia="Arial" w:cs="Arial"/>
        </w:rPr>
        <w:t xml:space="preserve"> Infrastructure links.</w:t>
      </w:r>
    </w:p>
    <w:p w14:paraId="4D66CECD" w14:textId="77777777" w:rsidR="00B41355" w:rsidRPr="00B41355" w:rsidRDefault="00B41355" w:rsidP="00B41355">
      <w:pPr>
        <w:keepNext w:val="0"/>
        <w:autoSpaceDE w:val="0"/>
        <w:autoSpaceDN w:val="0"/>
        <w:adjustRightInd w:val="0"/>
        <w:spacing w:before="0"/>
        <w:ind w:left="851"/>
        <w:rPr>
          <w:rFonts w:eastAsia="Calibri" w:cs="Arial"/>
          <w:color w:val="auto"/>
        </w:rPr>
      </w:pPr>
    </w:p>
    <w:p w14:paraId="367DFFFB" w14:textId="0B4ABDFA" w:rsidR="00B41355" w:rsidRDefault="006A5605" w:rsidP="00B41355">
      <w:pPr>
        <w:keepNext w:val="0"/>
        <w:numPr>
          <w:ilvl w:val="1"/>
          <w:numId w:val="306"/>
        </w:numPr>
        <w:autoSpaceDE w:val="0"/>
        <w:autoSpaceDN w:val="0"/>
        <w:adjustRightInd w:val="0"/>
        <w:spacing w:before="0"/>
        <w:ind w:left="851" w:hanging="851"/>
        <w:rPr>
          <w:rFonts w:eastAsia="Calibri" w:cs="Arial"/>
          <w:color w:val="auto"/>
        </w:rPr>
      </w:pPr>
      <w:r w:rsidRPr="00B41355">
        <w:rPr>
          <w:rFonts w:eastAsia="Arial" w:cs="Arial"/>
        </w:rPr>
        <w:t>Sherwood Business Park, Annesley is a former Enterprise Zone, which has been developed as a high quality business park.  The development of the Business Park reflects the strategic significance of the site lying close to Junction 27 of the M1 motorway. New sites have also been allocated for strategic employment opportunities in this location which capitalise on the M1 corridor.</w:t>
      </w:r>
    </w:p>
    <w:p w14:paraId="4EC2BE1B" w14:textId="77777777" w:rsidR="00B41355" w:rsidRPr="00B41355" w:rsidRDefault="00B41355" w:rsidP="00B41355">
      <w:pPr>
        <w:keepNext w:val="0"/>
        <w:autoSpaceDE w:val="0"/>
        <w:autoSpaceDN w:val="0"/>
        <w:adjustRightInd w:val="0"/>
        <w:spacing w:before="0"/>
        <w:ind w:left="851"/>
        <w:rPr>
          <w:rFonts w:eastAsia="Calibri" w:cs="Arial"/>
          <w:color w:val="auto"/>
        </w:rPr>
      </w:pPr>
    </w:p>
    <w:p w14:paraId="4B16DFAF" w14:textId="7C18640A" w:rsidR="00B41355" w:rsidRDefault="006A5605" w:rsidP="00B41355">
      <w:pPr>
        <w:keepNext w:val="0"/>
        <w:numPr>
          <w:ilvl w:val="1"/>
          <w:numId w:val="306"/>
        </w:numPr>
        <w:autoSpaceDE w:val="0"/>
        <w:autoSpaceDN w:val="0"/>
        <w:adjustRightInd w:val="0"/>
        <w:spacing w:before="0"/>
        <w:ind w:left="851" w:hanging="851"/>
        <w:rPr>
          <w:rFonts w:eastAsia="Calibri" w:cs="Arial"/>
          <w:color w:val="auto"/>
        </w:rPr>
      </w:pPr>
      <w:bookmarkStart w:id="37" w:name="_Hlk151030053"/>
      <w:r w:rsidRPr="00B41355">
        <w:rPr>
          <w:rFonts w:eastAsia="Arial" w:cs="Arial"/>
        </w:rPr>
        <w:t>Huthwaite, Stanton Hill, and Skegby</w:t>
      </w:r>
      <w:bookmarkEnd w:id="37"/>
      <w:r w:rsidRPr="00B41355">
        <w:rPr>
          <w:rFonts w:eastAsia="Arial" w:cs="Arial"/>
        </w:rPr>
        <w:t xml:space="preserve">, which form part of Sutton Main Urban Area, are key settlements located to the north and west of Sutton-in-Ashfield. Their proximity to a town centre, accompanied by the services and facilities available in each area mean that these settlements are capable of expansion. A regular bus </w:t>
      </w:r>
      <w:r w:rsidRPr="00B41355">
        <w:rPr>
          <w:rFonts w:eastAsia="Arial" w:cs="Arial"/>
        </w:rPr>
        <w:lastRenderedPageBreak/>
        <w:t>service operates in each area and there are fewer policy restrictions to growth due to the absence of Green Belt in this area.</w:t>
      </w:r>
    </w:p>
    <w:p w14:paraId="521AC97A" w14:textId="77777777" w:rsidR="00B41355" w:rsidRPr="00B41355" w:rsidRDefault="00B41355" w:rsidP="00B41355">
      <w:pPr>
        <w:keepNext w:val="0"/>
        <w:autoSpaceDE w:val="0"/>
        <w:autoSpaceDN w:val="0"/>
        <w:adjustRightInd w:val="0"/>
        <w:spacing w:before="0"/>
        <w:ind w:left="851"/>
        <w:rPr>
          <w:rFonts w:eastAsia="Calibri" w:cs="Arial"/>
          <w:color w:val="auto"/>
        </w:rPr>
      </w:pPr>
    </w:p>
    <w:p w14:paraId="451F06F1" w14:textId="2003EFFF" w:rsidR="00B41355" w:rsidRDefault="006A5605" w:rsidP="00B41355">
      <w:pPr>
        <w:keepNext w:val="0"/>
        <w:numPr>
          <w:ilvl w:val="1"/>
          <w:numId w:val="306"/>
        </w:numPr>
        <w:autoSpaceDE w:val="0"/>
        <w:autoSpaceDN w:val="0"/>
        <w:adjustRightInd w:val="0"/>
        <w:spacing w:before="0"/>
        <w:ind w:left="851" w:hanging="851"/>
        <w:rPr>
          <w:rFonts w:eastAsia="Calibri" w:cs="Arial"/>
          <w:color w:val="auto"/>
        </w:rPr>
      </w:pPr>
      <w:r w:rsidRPr="00B41355">
        <w:rPr>
          <w:rFonts w:eastAsia="Arial" w:cs="Arial"/>
        </w:rPr>
        <w:t>Annesley Woodhouse falls within Kirkby-in-Ashfield Main Urban Area and scored reasonably well in the Accessible Settlements Study. However, there is less opportunity for large scale development here due to its character as a moderately sized settlement, and its location surrounded by Green Belt. As such, this settlement will only be expected to accommodate small scale growth.</w:t>
      </w:r>
    </w:p>
    <w:p w14:paraId="4776B19A" w14:textId="77777777" w:rsidR="00B41355" w:rsidRPr="00B41355" w:rsidRDefault="00B41355" w:rsidP="00B41355">
      <w:pPr>
        <w:keepNext w:val="0"/>
        <w:autoSpaceDE w:val="0"/>
        <w:autoSpaceDN w:val="0"/>
        <w:adjustRightInd w:val="0"/>
        <w:spacing w:before="0"/>
        <w:ind w:left="851"/>
        <w:rPr>
          <w:rFonts w:eastAsia="Calibri" w:cs="Arial"/>
          <w:color w:val="auto"/>
        </w:rPr>
      </w:pPr>
    </w:p>
    <w:p w14:paraId="2EF6ACDE" w14:textId="68B01DDE" w:rsidR="00B41355" w:rsidRDefault="006A5605" w:rsidP="00B41355">
      <w:pPr>
        <w:keepNext w:val="0"/>
        <w:numPr>
          <w:ilvl w:val="1"/>
          <w:numId w:val="306"/>
        </w:numPr>
        <w:autoSpaceDE w:val="0"/>
        <w:autoSpaceDN w:val="0"/>
        <w:adjustRightInd w:val="0"/>
        <w:spacing w:before="0"/>
        <w:ind w:left="851" w:hanging="851"/>
        <w:rPr>
          <w:rFonts w:eastAsia="Calibri" w:cs="Arial"/>
          <w:color w:val="auto"/>
        </w:rPr>
      </w:pPr>
      <w:r w:rsidRPr="00B41355">
        <w:rPr>
          <w:rFonts w:eastAsia="Arial" w:cs="Arial"/>
        </w:rPr>
        <w:t>In the Named Settlements of Selston, Jacksdale, Underwood, Annesley</w:t>
      </w:r>
      <w:r w:rsidR="00D70FDB" w:rsidRPr="00B41355">
        <w:rPr>
          <w:rFonts w:eastAsia="Arial" w:cs="Arial"/>
        </w:rPr>
        <w:t>/ Newstead</w:t>
      </w:r>
      <w:r w:rsidRPr="00B41355">
        <w:rPr>
          <w:rFonts w:eastAsia="Arial" w:cs="Arial"/>
        </w:rPr>
        <w:t>, Bestwood Village, Brinsley and Fackley, access to services and facilities is more limited and the settlements are more rural in character than their larger counterparts. There is however scope to deliver smaller scale growth to meet the needs of the communities, and to continue to support the services located there.</w:t>
      </w:r>
    </w:p>
    <w:p w14:paraId="1A0A2E43" w14:textId="77777777" w:rsidR="00B41355" w:rsidRPr="00B41355" w:rsidRDefault="00B41355" w:rsidP="00B41355">
      <w:pPr>
        <w:keepNext w:val="0"/>
        <w:autoSpaceDE w:val="0"/>
        <w:autoSpaceDN w:val="0"/>
        <w:adjustRightInd w:val="0"/>
        <w:spacing w:before="0"/>
        <w:ind w:left="851"/>
        <w:rPr>
          <w:rFonts w:eastAsia="Calibri" w:cs="Arial"/>
          <w:color w:val="auto"/>
        </w:rPr>
      </w:pPr>
    </w:p>
    <w:p w14:paraId="12796247" w14:textId="6F4D5F90" w:rsidR="00B41355" w:rsidRDefault="00682BF2" w:rsidP="00B41355">
      <w:pPr>
        <w:keepNext w:val="0"/>
        <w:numPr>
          <w:ilvl w:val="1"/>
          <w:numId w:val="306"/>
        </w:numPr>
        <w:autoSpaceDE w:val="0"/>
        <w:autoSpaceDN w:val="0"/>
        <w:adjustRightInd w:val="0"/>
        <w:spacing w:before="0"/>
        <w:ind w:left="851" w:hanging="851"/>
        <w:rPr>
          <w:rFonts w:eastAsia="Calibri" w:cs="Arial"/>
          <w:color w:val="auto"/>
        </w:rPr>
      </w:pPr>
      <w:r w:rsidRPr="00B41355">
        <w:rPr>
          <w:rFonts w:cs="Arial"/>
          <w:szCs w:val="24"/>
        </w:rPr>
        <w:t xml:space="preserve">Blenheim </w:t>
      </w:r>
      <w:r w:rsidR="00656DAA" w:rsidRPr="00B41355">
        <w:rPr>
          <w:rFonts w:cs="Arial"/>
          <w:szCs w:val="24"/>
        </w:rPr>
        <w:t>I</w:t>
      </w:r>
      <w:r w:rsidRPr="00B41355">
        <w:rPr>
          <w:rFonts w:cs="Arial"/>
          <w:szCs w:val="24"/>
        </w:rPr>
        <w:t xml:space="preserve">ndustrial </w:t>
      </w:r>
      <w:r w:rsidR="00656DAA" w:rsidRPr="00B41355">
        <w:rPr>
          <w:rFonts w:cs="Arial"/>
          <w:szCs w:val="24"/>
        </w:rPr>
        <w:t>E</w:t>
      </w:r>
      <w:r w:rsidRPr="00B41355">
        <w:rPr>
          <w:rFonts w:cs="Arial"/>
          <w:szCs w:val="24"/>
        </w:rPr>
        <w:t xml:space="preserve">state largely falls within Nottingham City </w:t>
      </w:r>
      <w:r w:rsidR="00656DAA" w:rsidRPr="00B41355">
        <w:rPr>
          <w:rFonts w:cs="Arial"/>
          <w:szCs w:val="24"/>
        </w:rPr>
        <w:t>Council</w:t>
      </w:r>
      <w:r w:rsidRPr="00B41355">
        <w:rPr>
          <w:rFonts w:cs="Arial"/>
          <w:szCs w:val="24"/>
        </w:rPr>
        <w:t xml:space="preserve"> area. However, the north-eastern section crosses the boundary into Ashfield District to the south of Hucknall.  </w:t>
      </w:r>
      <w:r w:rsidR="00656DAA" w:rsidRPr="00B41355">
        <w:rPr>
          <w:rFonts w:cs="Arial"/>
          <w:szCs w:val="24"/>
        </w:rPr>
        <w:t>T</w:t>
      </w:r>
      <w:r w:rsidRPr="00B41355">
        <w:rPr>
          <w:rFonts w:cs="Arial"/>
          <w:szCs w:val="24"/>
        </w:rPr>
        <w:t xml:space="preserve">he area adjoining Nottingham </w:t>
      </w:r>
      <w:r w:rsidR="00656DAA" w:rsidRPr="00B41355">
        <w:rPr>
          <w:rFonts w:cs="Arial"/>
          <w:szCs w:val="24"/>
        </w:rPr>
        <w:t>City</w:t>
      </w:r>
      <w:r w:rsidRPr="00B41355">
        <w:rPr>
          <w:rFonts w:cs="Arial"/>
          <w:szCs w:val="24"/>
        </w:rPr>
        <w:t xml:space="preserve"> is not a focus for future development within </w:t>
      </w:r>
      <w:r w:rsidR="00656DAA" w:rsidRPr="00B41355">
        <w:rPr>
          <w:rFonts w:cs="Arial"/>
          <w:szCs w:val="24"/>
        </w:rPr>
        <w:t>Ashfield and</w:t>
      </w:r>
      <w:r w:rsidRPr="00B41355">
        <w:rPr>
          <w:rFonts w:cs="Arial"/>
          <w:szCs w:val="24"/>
        </w:rPr>
        <w:t xml:space="preserve"> performs an important strategic Green Belt role in the segregation of Hucknall and Nottingham</w:t>
      </w:r>
      <w:r w:rsidR="00656DAA" w:rsidRPr="00B41355">
        <w:rPr>
          <w:rFonts w:cs="Arial"/>
          <w:szCs w:val="24"/>
        </w:rPr>
        <w:t xml:space="preserve">. However, </w:t>
      </w:r>
      <w:r w:rsidRPr="00B41355">
        <w:rPr>
          <w:rFonts w:cs="Arial"/>
          <w:szCs w:val="24"/>
        </w:rPr>
        <w:t xml:space="preserve">this </w:t>
      </w:r>
      <w:r w:rsidR="00656DAA" w:rsidRPr="00B41355">
        <w:rPr>
          <w:rFonts w:cs="Arial"/>
          <w:szCs w:val="24"/>
        </w:rPr>
        <w:t xml:space="preserve">particular </w:t>
      </w:r>
      <w:r w:rsidRPr="00B41355">
        <w:rPr>
          <w:rFonts w:cs="Arial"/>
          <w:szCs w:val="24"/>
        </w:rPr>
        <w:t xml:space="preserve">area is already comprehensively developed for employment uses and is protected for such under Policy EM1. </w:t>
      </w:r>
      <w:r w:rsidR="00425B8E">
        <w:rPr>
          <w:rFonts w:cs="Arial"/>
          <w:szCs w:val="24"/>
        </w:rPr>
        <w:t>Consequently</w:t>
      </w:r>
      <w:r w:rsidRPr="00B41355">
        <w:rPr>
          <w:rFonts w:cs="Arial"/>
          <w:szCs w:val="24"/>
        </w:rPr>
        <w:t xml:space="preserve">, it is excluded from the ‘Remainder of the District’. </w:t>
      </w:r>
    </w:p>
    <w:p w14:paraId="1A87E991" w14:textId="77777777" w:rsidR="00B41355" w:rsidRPr="00B41355" w:rsidRDefault="00B41355" w:rsidP="00B41355">
      <w:pPr>
        <w:keepNext w:val="0"/>
        <w:autoSpaceDE w:val="0"/>
        <w:autoSpaceDN w:val="0"/>
        <w:adjustRightInd w:val="0"/>
        <w:spacing w:before="0"/>
        <w:ind w:left="851"/>
        <w:rPr>
          <w:rFonts w:eastAsia="Calibri" w:cs="Arial"/>
          <w:color w:val="auto"/>
        </w:rPr>
      </w:pPr>
    </w:p>
    <w:p w14:paraId="37889C4D" w14:textId="139D746B" w:rsidR="00B41355" w:rsidRDefault="006A5605" w:rsidP="00B41355">
      <w:pPr>
        <w:keepNext w:val="0"/>
        <w:numPr>
          <w:ilvl w:val="1"/>
          <w:numId w:val="306"/>
        </w:numPr>
        <w:autoSpaceDE w:val="0"/>
        <w:autoSpaceDN w:val="0"/>
        <w:adjustRightInd w:val="0"/>
        <w:spacing w:before="0"/>
        <w:ind w:left="851" w:hanging="851"/>
        <w:rPr>
          <w:rFonts w:eastAsia="Calibri" w:cs="Arial"/>
          <w:color w:val="auto"/>
        </w:rPr>
      </w:pPr>
      <w:r w:rsidRPr="00B41355">
        <w:rPr>
          <w:rFonts w:eastAsia="Arial" w:cs="Arial"/>
        </w:rPr>
        <w:t xml:space="preserve">The </w:t>
      </w:r>
      <w:r w:rsidR="00656DAA" w:rsidRPr="00B41355">
        <w:rPr>
          <w:rFonts w:eastAsia="Arial" w:cs="Arial"/>
        </w:rPr>
        <w:t>‘</w:t>
      </w:r>
      <w:r w:rsidRPr="00B41355">
        <w:rPr>
          <w:rFonts w:eastAsia="Arial" w:cs="Arial"/>
        </w:rPr>
        <w:t>Remainder of the District</w:t>
      </w:r>
      <w:r w:rsidR="00656DAA" w:rsidRPr="00B41355">
        <w:rPr>
          <w:rFonts w:eastAsia="Arial" w:cs="Arial"/>
        </w:rPr>
        <w:t>’</w:t>
      </w:r>
      <w:r w:rsidRPr="00B41355">
        <w:rPr>
          <w:rFonts w:eastAsia="Arial" w:cs="Arial"/>
        </w:rPr>
        <w:t xml:space="preserve"> is not defined by any boundaries and is considered to be ‘open countryside’ with a limited number of small villages and hamlets, largely associated with agriculture (Teversal, Bagthorpe, New Westwood, Jubilee and Harlow Wood). Teversal village scored the lowest in the Accessible Settlements Study due to its location and a lesser opportunity for access to services and facilities.</w:t>
      </w:r>
    </w:p>
    <w:p w14:paraId="1661484F" w14:textId="77777777" w:rsidR="00B41355" w:rsidRPr="00B41355" w:rsidRDefault="00B41355" w:rsidP="00B41355">
      <w:pPr>
        <w:keepNext w:val="0"/>
        <w:autoSpaceDE w:val="0"/>
        <w:autoSpaceDN w:val="0"/>
        <w:adjustRightInd w:val="0"/>
        <w:spacing w:before="0"/>
        <w:ind w:left="851"/>
        <w:rPr>
          <w:rFonts w:eastAsia="Calibri" w:cs="Arial"/>
          <w:color w:val="auto"/>
        </w:rPr>
      </w:pPr>
    </w:p>
    <w:p w14:paraId="45EF9F93" w14:textId="6B181818" w:rsidR="00B41355" w:rsidRDefault="006A5605" w:rsidP="00B41355">
      <w:pPr>
        <w:keepNext w:val="0"/>
        <w:numPr>
          <w:ilvl w:val="1"/>
          <w:numId w:val="306"/>
        </w:numPr>
        <w:autoSpaceDE w:val="0"/>
        <w:autoSpaceDN w:val="0"/>
        <w:adjustRightInd w:val="0"/>
        <w:spacing w:before="0"/>
        <w:ind w:left="851" w:hanging="851"/>
        <w:rPr>
          <w:rFonts w:eastAsia="Calibri" w:cs="Arial"/>
          <w:color w:val="auto"/>
        </w:rPr>
      </w:pPr>
      <w:r w:rsidRPr="00B41355">
        <w:rPr>
          <w:rFonts w:eastAsia="Arial" w:cs="Arial"/>
        </w:rPr>
        <w:t>The villages of Teversal and Bagthorpe are also Conservation Areas and, due to the character of the settlements, infill development will be restricted. Development in the rest of the District, outside the villages named, is restricted by national and local planning policies.</w:t>
      </w:r>
    </w:p>
    <w:p w14:paraId="336DC0BF" w14:textId="77777777" w:rsidR="00B41355" w:rsidRPr="00B41355" w:rsidRDefault="00B41355" w:rsidP="00B41355">
      <w:pPr>
        <w:keepNext w:val="0"/>
        <w:autoSpaceDE w:val="0"/>
        <w:autoSpaceDN w:val="0"/>
        <w:adjustRightInd w:val="0"/>
        <w:spacing w:before="0"/>
        <w:ind w:left="851"/>
        <w:rPr>
          <w:rFonts w:eastAsia="Calibri" w:cs="Arial"/>
          <w:color w:val="auto"/>
        </w:rPr>
      </w:pPr>
    </w:p>
    <w:p w14:paraId="61D38C02" w14:textId="2D1FAE48" w:rsidR="00B41355" w:rsidRDefault="006A5605" w:rsidP="00B41355">
      <w:pPr>
        <w:keepNext w:val="0"/>
        <w:numPr>
          <w:ilvl w:val="1"/>
          <w:numId w:val="306"/>
        </w:numPr>
        <w:autoSpaceDE w:val="0"/>
        <w:autoSpaceDN w:val="0"/>
        <w:adjustRightInd w:val="0"/>
        <w:spacing w:before="0"/>
        <w:ind w:left="851" w:hanging="851"/>
        <w:rPr>
          <w:rFonts w:eastAsia="Calibri" w:cs="Arial"/>
          <w:color w:val="auto"/>
        </w:rPr>
      </w:pPr>
      <w:r w:rsidRPr="00B41355">
        <w:rPr>
          <w:rFonts w:cs="Arial"/>
          <w:szCs w:val="24"/>
        </w:rPr>
        <w:t>To the north of the District the countryside forms the setting</w:t>
      </w:r>
      <w:r>
        <w:rPr>
          <w:rStyle w:val="FootnoteReference"/>
          <w:rFonts w:cs="Arial"/>
        </w:rPr>
        <w:footnoteReference w:id="50"/>
      </w:r>
      <w:r w:rsidRPr="00B41355">
        <w:rPr>
          <w:rFonts w:cs="Arial"/>
          <w:szCs w:val="24"/>
        </w:rPr>
        <w:t xml:space="preserve"> of Hardwick Hall and Hardwick Old Hall, both Grade 1 Listed Building, and the associated historic listed gardens. Heritage assets “are an irreplaceable resource and should be conserved in a manner appropriate to their significance, so that they can be enjoyed for their contribution to the quality of life of existing and future generations</w:t>
      </w:r>
      <w:r>
        <w:rPr>
          <w:rStyle w:val="FootnoteReference"/>
          <w:rFonts w:cs="Arial"/>
        </w:rPr>
        <w:footnoteReference w:id="51"/>
      </w:r>
      <w:r w:rsidRPr="00B41355">
        <w:rPr>
          <w:rFonts w:cs="Arial"/>
          <w:szCs w:val="24"/>
        </w:rPr>
        <w:t xml:space="preserve"> ”.  Consequently, the potential impact both on the setting and the significance of these heritage assets is a major constraint on development in this part of the District.</w:t>
      </w:r>
    </w:p>
    <w:p w14:paraId="469593EF" w14:textId="77777777" w:rsidR="00B41355" w:rsidRPr="00B41355" w:rsidRDefault="00B41355" w:rsidP="00B41355">
      <w:pPr>
        <w:keepNext w:val="0"/>
        <w:autoSpaceDE w:val="0"/>
        <w:autoSpaceDN w:val="0"/>
        <w:adjustRightInd w:val="0"/>
        <w:spacing w:before="0"/>
        <w:ind w:left="851"/>
        <w:rPr>
          <w:rFonts w:eastAsia="Calibri" w:cs="Arial"/>
          <w:color w:val="auto"/>
        </w:rPr>
      </w:pPr>
    </w:p>
    <w:p w14:paraId="10911812" w14:textId="148828E5" w:rsidR="00B41355" w:rsidRDefault="006A5605" w:rsidP="00B41355">
      <w:pPr>
        <w:keepNext w:val="0"/>
        <w:numPr>
          <w:ilvl w:val="1"/>
          <w:numId w:val="306"/>
        </w:numPr>
        <w:autoSpaceDE w:val="0"/>
        <w:autoSpaceDN w:val="0"/>
        <w:adjustRightInd w:val="0"/>
        <w:spacing w:before="0"/>
        <w:ind w:left="851" w:hanging="851"/>
        <w:rPr>
          <w:rFonts w:eastAsia="Calibri" w:cs="Arial"/>
          <w:color w:val="auto"/>
        </w:rPr>
      </w:pPr>
      <w:r w:rsidRPr="00B41355">
        <w:rPr>
          <w:rFonts w:eastAsia="Arial" w:cs="Arial"/>
        </w:rPr>
        <w:t>It should be noted that the southern part of the District which lies outside any settlement/strategic Employment area boundaries is washed over by the Nottingham/Derby Green Belt.</w:t>
      </w:r>
    </w:p>
    <w:p w14:paraId="61DC4DD6" w14:textId="77777777" w:rsidR="00B41355" w:rsidRPr="00FA0A04" w:rsidRDefault="00B41355" w:rsidP="00FA0A04">
      <w:pPr>
        <w:keepNext w:val="0"/>
        <w:autoSpaceDE w:val="0"/>
        <w:autoSpaceDN w:val="0"/>
        <w:adjustRightInd w:val="0"/>
        <w:spacing w:before="0"/>
        <w:ind w:left="851"/>
        <w:rPr>
          <w:rFonts w:eastAsia="Calibri" w:cs="Arial"/>
          <w:bCs/>
          <w:color w:val="auto"/>
        </w:rPr>
      </w:pPr>
    </w:p>
    <w:p w14:paraId="184B40E1" w14:textId="37873B1D" w:rsidR="006A5605" w:rsidRPr="00B41355" w:rsidRDefault="004E56FA" w:rsidP="00B41355">
      <w:pPr>
        <w:keepNext w:val="0"/>
        <w:numPr>
          <w:ilvl w:val="1"/>
          <w:numId w:val="306"/>
        </w:numPr>
        <w:autoSpaceDE w:val="0"/>
        <w:autoSpaceDN w:val="0"/>
        <w:adjustRightInd w:val="0"/>
        <w:spacing w:before="0"/>
        <w:ind w:left="851" w:hanging="851"/>
        <w:rPr>
          <w:rFonts w:eastAsia="Calibri" w:cs="Arial"/>
          <w:color w:val="auto"/>
        </w:rPr>
      </w:pPr>
      <w:r w:rsidRPr="00B41355">
        <w:rPr>
          <w:rFonts w:eastAsia="Calibri" w:cs="Arial"/>
          <w:bCs/>
          <w:color w:val="auto"/>
        </w:rPr>
        <w:t xml:space="preserve">Table 1 compares the distribution of future housing development proposals across the district by geographical area. The figures include pipeline projects which already have planning permission and in many cases are under construction, in addition to new sites proposed in the emerging Local Plan. When compared with the existing population, the level of growth directed to each area is broadly comparable and supports the Council’s spatial strategy for dispersed development.  </w:t>
      </w:r>
      <w:r w:rsidR="006A5605" w:rsidRPr="00B41355">
        <w:rPr>
          <w:rFonts w:eastAsia="Arial" w:cs="Arial"/>
          <w:color w:val="auto"/>
        </w:rPr>
        <w:t xml:space="preserve">Housing </w:t>
      </w:r>
      <w:r w:rsidR="006A5605" w:rsidRPr="00B41355">
        <w:rPr>
          <w:rFonts w:eastAsia="Arial" w:cs="Arial"/>
        </w:rPr>
        <w:t>policies for the provision of land allocations are included in Policies H1 and are identified on the Policies Map, with employment allocations also shown on the Policies Map and as identified in Policy EM2</w:t>
      </w:r>
      <w:r w:rsidR="00425B8E">
        <w:rPr>
          <w:rFonts w:eastAsia="Arial" w:cs="Arial"/>
        </w:rPr>
        <w:t xml:space="preserve"> and Policy S6</w:t>
      </w:r>
      <w:r w:rsidR="006A5605" w:rsidRPr="00B41355">
        <w:rPr>
          <w:rFonts w:eastAsia="Arial" w:cs="Arial"/>
        </w:rPr>
        <w:t>.</w:t>
      </w:r>
    </w:p>
    <w:p w14:paraId="1A9E469C" w14:textId="77777777" w:rsidR="001C7722" w:rsidRDefault="001C7722" w:rsidP="001C7722">
      <w:pPr>
        <w:pStyle w:val="ListParagraph"/>
        <w:ind w:left="525"/>
        <w:rPr>
          <w:rFonts w:eastAsia="Calibri" w:cs="Arial"/>
          <w:bCs/>
          <w:color w:val="0070C0"/>
        </w:rPr>
      </w:pPr>
    </w:p>
    <w:tbl>
      <w:tblPr>
        <w:tblW w:w="8832" w:type="dxa"/>
        <w:tblInd w:w="704" w:type="dxa"/>
        <w:tblLook w:val="04A0" w:firstRow="1" w:lastRow="0" w:firstColumn="1" w:lastColumn="0" w:noHBand="0" w:noVBand="1"/>
      </w:tblPr>
      <w:tblGrid>
        <w:gridCol w:w="1622"/>
        <w:gridCol w:w="1499"/>
        <w:gridCol w:w="1451"/>
        <w:gridCol w:w="1412"/>
        <w:gridCol w:w="1474"/>
        <w:gridCol w:w="1374"/>
      </w:tblGrid>
      <w:tr w:rsidR="001C7722" w:rsidRPr="008929E4" w14:paraId="24EEBC62" w14:textId="77777777" w:rsidTr="0021547A">
        <w:trPr>
          <w:trHeight w:val="1353"/>
        </w:trPr>
        <w:tc>
          <w:tcPr>
            <w:tcW w:w="1622" w:type="dxa"/>
            <w:tcBorders>
              <w:top w:val="single" w:sz="4" w:space="0" w:color="auto"/>
              <w:left w:val="single" w:sz="4" w:space="0" w:color="auto"/>
              <w:bottom w:val="single" w:sz="4" w:space="0" w:color="auto"/>
              <w:right w:val="single" w:sz="4" w:space="0" w:color="auto"/>
            </w:tcBorders>
            <w:shd w:val="clear" w:color="000000" w:fill="D9D9D9"/>
            <w:hideMark/>
          </w:tcPr>
          <w:p w14:paraId="450790D5" w14:textId="77777777" w:rsidR="001C7722" w:rsidRPr="001C7722" w:rsidRDefault="001C7722" w:rsidP="00E604B7">
            <w:pPr>
              <w:jc w:val="center"/>
              <w:rPr>
                <w:rFonts w:cs="Arial"/>
                <w:b/>
                <w:bCs/>
                <w:color w:val="000000"/>
                <w:sz w:val="22"/>
                <w:szCs w:val="22"/>
              </w:rPr>
            </w:pPr>
            <w:r w:rsidRPr="001C7722">
              <w:rPr>
                <w:rFonts w:cs="Arial"/>
                <w:b/>
                <w:bCs/>
                <w:color w:val="000000"/>
                <w:sz w:val="22"/>
                <w:szCs w:val="22"/>
              </w:rPr>
              <w:t>Geographical Area</w:t>
            </w:r>
          </w:p>
        </w:tc>
        <w:tc>
          <w:tcPr>
            <w:tcW w:w="1499" w:type="dxa"/>
            <w:tcBorders>
              <w:top w:val="single" w:sz="4" w:space="0" w:color="auto"/>
              <w:left w:val="nil"/>
              <w:bottom w:val="single" w:sz="4" w:space="0" w:color="auto"/>
              <w:right w:val="single" w:sz="4" w:space="0" w:color="auto"/>
            </w:tcBorders>
            <w:shd w:val="clear" w:color="000000" w:fill="D9D9D9"/>
            <w:hideMark/>
          </w:tcPr>
          <w:p w14:paraId="4E4C2421" w14:textId="77777777" w:rsidR="001C7722" w:rsidRPr="001C7722" w:rsidRDefault="001C7722" w:rsidP="00E604B7">
            <w:pPr>
              <w:jc w:val="center"/>
              <w:rPr>
                <w:rFonts w:cs="Arial"/>
                <w:b/>
                <w:bCs/>
                <w:color w:val="000000"/>
                <w:sz w:val="22"/>
                <w:szCs w:val="22"/>
              </w:rPr>
            </w:pPr>
            <w:r w:rsidRPr="001C7722">
              <w:rPr>
                <w:rFonts w:cs="Arial"/>
                <w:b/>
                <w:bCs/>
                <w:color w:val="000000"/>
                <w:sz w:val="22"/>
                <w:szCs w:val="22"/>
              </w:rPr>
              <w:t>Housing Sites with planning permission (Dwellings)*</w:t>
            </w:r>
          </w:p>
        </w:tc>
        <w:tc>
          <w:tcPr>
            <w:tcW w:w="1451" w:type="dxa"/>
            <w:tcBorders>
              <w:top w:val="single" w:sz="4" w:space="0" w:color="auto"/>
              <w:left w:val="nil"/>
              <w:bottom w:val="single" w:sz="4" w:space="0" w:color="auto"/>
              <w:right w:val="single" w:sz="4" w:space="0" w:color="auto"/>
            </w:tcBorders>
            <w:shd w:val="clear" w:color="000000" w:fill="D9D9D9"/>
            <w:hideMark/>
          </w:tcPr>
          <w:p w14:paraId="5A12DD47" w14:textId="10AD29EA" w:rsidR="001C7722" w:rsidRPr="001C7722" w:rsidRDefault="001C7722" w:rsidP="00E604B7">
            <w:pPr>
              <w:jc w:val="center"/>
              <w:rPr>
                <w:rFonts w:cs="Arial"/>
                <w:b/>
                <w:bCs/>
                <w:color w:val="000000"/>
                <w:sz w:val="22"/>
                <w:szCs w:val="22"/>
              </w:rPr>
            </w:pPr>
            <w:r w:rsidRPr="001C7722">
              <w:rPr>
                <w:rFonts w:cs="Arial"/>
                <w:b/>
                <w:bCs/>
                <w:color w:val="000000"/>
                <w:sz w:val="22"/>
                <w:szCs w:val="22"/>
              </w:rPr>
              <w:t>Housing Sites without planning permission (Dwellings)</w:t>
            </w:r>
          </w:p>
        </w:tc>
        <w:tc>
          <w:tcPr>
            <w:tcW w:w="1412" w:type="dxa"/>
            <w:tcBorders>
              <w:top w:val="single" w:sz="4" w:space="0" w:color="auto"/>
              <w:left w:val="nil"/>
              <w:bottom w:val="single" w:sz="4" w:space="0" w:color="auto"/>
              <w:right w:val="single" w:sz="4" w:space="0" w:color="auto"/>
            </w:tcBorders>
            <w:shd w:val="clear" w:color="000000" w:fill="D9D9D9"/>
            <w:hideMark/>
          </w:tcPr>
          <w:p w14:paraId="20BFDE16" w14:textId="77777777" w:rsidR="001C7722" w:rsidRPr="001C7722" w:rsidRDefault="001C7722" w:rsidP="00E604B7">
            <w:pPr>
              <w:jc w:val="center"/>
              <w:rPr>
                <w:rFonts w:cs="Arial"/>
                <w:b/>
                <w:bCs/>
                <w:color w:val="000000"/>
                <w:sz w:val="22"/>
                <w:szCs w:val="22"/>
              </w:rPr>
            </w:pPr>
            <w:r w:rsidRPr="001C7722">
              <w:rPr>
                <w:rFonts w:cs="Arial"/>
                <w:b/>
                <w:bCs/>
                <w:color w:val="000000"/>
                <w:sz w:val="22"/>
                <w:szCs w:val="22"/>
              </w:rPr>
              <w:t>All Housing Sites (Dwellings)</w:t>
            </w:r>
          </w:p>
        </w:tc>
        <w:tc>
          <w:tcPr>
            <w:tcW w:w="1474" w:type="dxa"/>
            <w:tcBorders>
              <w:top w:val="single" w:sz="4" w:space="0" w:color="auto"/>
              <w:left w:val="nil"/>
              <w:bottom w:val="single" w:sz="4" w:space="0" w:color="auto"/>
              <w:right w:val="single" w:sz="4" w:space="0" w:color="auto"/>
            </w:tcBorders>
            <w:shd w:val="clear" w:color="000000" w:fill="D9D9D9"/>
            <w:hideMark/>
          </w:tcPr>
          <w:p w14:paraId="7BB7BE0B" w14:textId="77777777" w:rsidR="001C7722" w:rsidRPr="001C7722" w:rsidRDefault="001C7722" w:rsidP="00E604B7">
            <w:pPr>
              <w:jc w:val="center"/>
              <w:rPr>
                <w:rFonts w:cs="Arial"/>
                <w:b/>
                <w:bCs/>
                <w:color w:val="000000"/>
                <w:sz w:val="22"/>
                <w:szCs w:val="22"/>
              </w:rPr>
            </w:pPr>
            <w:r w:rsidRPr="001C7722">
              <w:rPr>
                <w:rFonts w:cs="Arial"/>
                <w:b/>
                <w:bCs/>
                <w:color w:val="000000"/>
                <w:sz w:val="22"/>
                <w:szCs w:val="22"/>
              </w:rPr>
              <w:t>% Distribution by Area</w:t>
            </w:r>
          </w:p>
        </w:tc>
        <w:tc>
          <w:tcPr>
            <w:tcW w:w="1374" w:type="dxa"/>
            <w:tcBorders>
              <w:top w:val="single" w:sz="4" w:space="0" w:color="auto"/>
              <w:left w:val="nil"/>
              <w:bottom w:val="single" w:sz="4" w:space="0" w:color="auto"/>
              <w:right w:val="single" w:sz="4" w:space="0" w:color="auto"/>
            </w:tcBorders>
            <w:shd w:val="clear" w:color="000000" w:fill="D9D9D9"/>
            <w:hideMark/>
          </w:tcPr>
          <w:p w14:paraId="530293D9" w14:textId="77777777" w:rsidR="001C7722" w:rsidRPr="001C7722" w:rsidRDefault="001C7722" w:rsidP="00E604B7">
            <w:pPr>
              <w:jc w:val="center"/>
              <w:rPr>
                <w:rFonts w:cs="Arial"/>
                <w:b/>
                <w:bCs/>
                <w:color w:val="000000"/>
                <w:sz w:val="22"/>
                <w:szCs w:val="22"/>
              </w:rPr>
            </w:pPr>
            <w:r w:rsidRPr="001C7722">
              <w:rPr>
                <w:rFonts w:cs="Arial"/>
                <w:b/>
                <w:bCs/>
                <w:color w:val="000000"/>
                <w:sz w:val="22"/>
                <w:szCs w:val="22"/>
              </w:rPr>
              <w:t>% Existing Population (2021 Census)</w:t>
            </w:r>
          </w:p>
        </w:tc>
      </w:tr>
      <w:tr w:rsidR="0021547A" w:rsidRPr="008929E4" w14:paraId="1D8F8D6C" w14:textId="77777777" w:rsidTr="002341B1">
        <w:trPr>
          <w:trHeight w:val="603"/>
        </w:trPr>
        <w:tc>
          <w:tcPr>
            <w:tcW w:w="1622" w:type="dxa"/>
            <w:tcBorders>
              <w:top w:val="nil"/>
              <w:left w:val="single" w:sz="4" w:space="0" w:color="auto"/>
              <w:bottom w:val="single" w:sz="4" w:space="0" w:color="auto"/>
              <w:right w:val="single" w:sz="4" w:space="0" w:color="auto"/>
            </w:tcBorders>
            <w:shd w:val="clear" w:color="auto" w:fill="auto"/>
            <w:vAlign w:val="bottom"/>
            <w:hideMark/>
          </w:tcPr>
          <w:p w14:paraId="75BDB931" w14:textId="77777777" w:rsidR="0021547A" w:rsidRPr="001C7722" w:rsidRDefault="0021547A" w:rsidP="0021547A">
            <w:pPr>
              <w:rPr>
                <w:rFonts w:cs="Arial"/>
                <w:color w:val="000000"/>
                <w:sz w:val="22"/>
                <w:szCs w:val="22"/>
              </w:rPr>
            </w:pPr>
            <w:r w:rsidRPr="001C7722">
              <w:rPr>
                <w:rFonts w:cs="Arial"/>
                <w:color w:val="000000"/>
                <w:sz w:val="22"/>
                <w:szCs w:val="22"/>
              </w:rPr>
              <w:t>Northern Towns Area</w:t>
            </w:r>
          </w:p>
        </w:tc>
        <w:tc>
          <w:tcPr>
            <w:tcW w:w="1499" w:type="dxa"/>
            <w:tcBorders>
              <w:top w:val="nil"/>
              <w:left w:val="nil"/>
              <w:bottom w:val="single" w:sz="4" w:space="0" w:color="auto"/>
              <w:right w:val="single" w:sz="4" w:space="0" w:color="auto"/>
            </w:tcBorders>
            <w:shd w:val="clear" w:color="auto" w:fill="auto"/>
            <w:vAlign w:val="bottom"/>
            <w:hideMark/>
          </w:tcPr>
          <w:p w14:paraId="0A76727B" w14:textId="77777777" w:rsidR="0021547A" w:rsidRPr="001C7722" w:rsidRDefault="0021547A" w:rsidP="0021547A">
            <w:pPr>
              <w:jc w:val="right"/>
              <w:rPr>
                <w:rFonts w:cs="Arial"/>
                <w:color w:val="000000"/>
                <w:sz w:val="22"/>
                <w:szCs w:val="22"/>
              </w:rPr>
            </w:pPr>
            <w:r w:rsidRPr="001C7722">
              <w:rPr>
                <w:rFonts w:cs="Arial"/>
                <w:color w:val="000000"/>
                <w:sz w:val="22"/>
                <w:szCs w:val="22"/>
              </w:rPr>
              <w:t>1600</w:t>
            </w:r>
          </w:p>
        </w:tc>
        <w:tc>
          <w:tcPr>
            <w:tcW w:w="145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D129EE3" w14:textId="63A8A931" w:rsidR="0021547A" w:rsidRPr="001C7722" w:rsidRDefault="0021547A" w:rsidP="0021547A">
            <w:pPr>
              <w:jc w:val="right"/>
              <w:rPr>
                <w:rFonts w:cs="Arial"/>
                <w:color w:val="000000"/>
                <w:sz w:val="22"/>
                <w:szCs w:val="22"/>
              </w:rPr>
            </w:pPr>
            <w:r>
              <w:rPr>
                <w:color w:val="000000"/>
              </w:rPr>
              <w:t>2418</w:t>
            </w:r>
          </w:p>
        </w:tc>
        <w:tc>
          <w:tcPr>
            <w:tcW w:w="1412" w:type="dxa"/>
            <w:tcBorders>
              <w:top w:val="single" w:sz="4" w:space="0" w:color="auto"/>
              <w:left w:val="nil"/>
              <w:bottom w:val="single" w:sz="4" w:space="0" w:color="auto"/>
              <w:right w:val="single" w:sz="4" w:space="0" w:color="auto"/>
            </w:tcBorders>
            <w:shd w:val="clear" w:color="auto" w:fill="auto"/>
            <w:vAlign w:val="bottom"/>
            <w:hideMark/>
          </w:tcPr>
          <w:p w14:paraId="4E66723C" w14:textId="4CB93A53" w:rsidR="0021547A" w:rsidRPr="001C7722" w:rsidRDefault="0021547A" w:rsidP="0021547A">
            <w:pPr>
              <w:jc w:val="right"/>
              <w:rPr>
                <w:rFonts w:cs="Arial"/>
                <w:color w:val="000000"/>
                <w:sz w:val="22"/>
                <w:szCs w:val="22"/>
              </w:rPr>
            </w:pPr>
            <w:r>
              <w:rPr>
                <w:color w:val="000000"/>
              </w:rPr>
              <w:t>4018</w:t>
            </w:r>
          </w:p>
        </w:tc>
        <w:tc>
          <w:tcPr>
            <w:tcW w:w="1474" w:type="dxa"/>
            <w:tcBorders>
              <w:top w:val="single" w:sz="4" w:space="0" w:color="auto"/>
              <w:left w:val="nil"/>
              <w:bottom w:val="single" w:sz="4" w:space="0" w:color="auto"/>
              <w:right w:val="single" w:sz="4" w:space="0" w:color="auto"/>
            </w:tcBorders>
            <w:shd w:val="clear" w:color="auto" w:fill="auto"/>
            <w:vAlign w:val="bottom"/>
            <w:hideMark/>
          </w:tcPr>
          <w:p w14:paraId="4B3946BB" w14:textId="7AC8EACA" w:rsidR="0021547A" w:rsidRPr="001C7722" w:rsidRDefault="0021547A" w:rsidP="0021547A">
            <w:pPr>
              <w:jc w:val="right"/>
              <w:rPr>
                <w:rFonts w:cs="Arial"/>
                <w:color w:val="000000"/>
                <w:sz w:val="22"/>
                <w:szCs w:val="22"/>
              </w:rPr>
            </w:pPr>
            <w:r>
              <w:rPr>
                <w:color w:val="000000"/>
              </w:rPr>
              <w:t>65.8%</w:t>
            </w:r>
          </w:p>
        </w:tc>
        <w:tc>
          <w:tcPr>
            <w:tcW w:w="1374" w:type="dxa"/>
            <w:tcBorders>
              <w:top w:val="single" w:sz="4" w:space="0" w:color="auto"/>
              <w:left w:val="nil"/>
              <w:bottom w:val="single" w:sz="4" w:space="0" w:color="auto"/>
              <w:right w:val="single" w:sz="4" w:space="0" w:color="auto"/>
            </w:tcBorders>
            <w:shd w:val="clear" w:color="auto" w:fill="auto"/>
            <w:vAlign w:val="bottom"/>
            <w:hideMark/>
          </w:tcPr>
          <w:p w14:paraId="6F5B5317" w14:textId="3A55C353" w:rsidR="0021547A" w:rsidRPr="001C7722" w:rsidRDefault="0021547A" w:rsidP="0021547A">
            <w:pPr>
              <w:jc w:val="right"/>
              <w:rPr>
                <w:rFonts w:cs="Arial"/>
                <w:color w:val="000000"/>
                <w:sz w:val="22"/>
                <w:szCs w:val="22"/>
              </w:rPr>
            </w:pPr>
            <w:r>
              <w:rPr>
                <w:color w:val="000000"/>
              </w:rPr>
              <w:t>61.1%</w:t>
            </w:r>
          </w:p>
        </w:tc>
      </w:tr>
      <w:tr w:rsidR="0021547A" w:rsidRPr="008929E4" w14:paraId="40C439C0" w14:textId="77777777" w:rsidTr="002341B1">
        <w:trPr>
          <w:trHeight w:val="755"/>
        </w:trPr>
        <w:tc>
          <w:tcPr>
            <w:tcW w:w="1622" w:type="dxa"/>
            <w:tcBorders>
              <w:top w:val="nil"/>
              <w:left w:val="single" w:sz="4" w:space="0" w:color="auto"/>
              <w:bottom w:val="single" w:sz="4" w:space="0" w:color="auto"/>
              <w:right w:val="single" w:sz="4" w:space="0" w:color="auto"/>
            </w:tcBorders>
            <w:shd w:val="clear" w:color="auto" w:fill="auto"/>
            <w:vAlign w:val="bottom"/>
            <w:hideMark/>
          </w:tcPr>
          <w:p w14:paraId="273129A6" w14:textId="77777777" w:rsidR="0021547A" w:rsidRPr="001C7722" w:rsidRDefault="0021547A" w:rsidP="0021547A">
            <w:pPr>
              <w:rPr>
                <w:rFonts w:cs="Arial"/>
                <w:color w:val="000000"/>
                <w:sz w:val="22"/>
                <w:szCs w:val="22"/>
              </w:rPr>
            </w:pPr>
            <w:r w:rsidRPr="001C7722">
              <w:rPr>
                <w:rFonts w:cs="Arial"/>
                <w:color w:val="000000"/>
                <w:sz w:val="22"/>
                <w:szCs w:val="22"/>
              </w:rPr>
              <w:t>Rural Villages west of M1 (Green Belt constrained)</w:t>
            </w:r>
          </w:p>
        </w:tc>
        <w:tc>
          <w:tcPr>
            <w:tcW w:w="1499" w:type="dxa"/>
            <w:tcBorders>
              <w:top w:val="nil"/>
              <w:left w:val="nil"/>
              <w:bottom w:val="single" w:sz="4" w:space="0" w:color="auto"/>
              <w:right w:val="single" w:sz="4" w:space="0" w:color="auto"/>
            </w:tcBorders>
            <w:shd w:val="clear" w:color="auto" w:fill="auto"/>
            <w:vAlign w:val="bottom"/>
            <w:hideMark/>
          </w:tcPr>
          <w:p w14:paraId="24178EBD" w14:textId="77777777" w:rsidR="0021547A" w:rsidRPr="001C7722" w:rsidRDefault="0021547A" w:rsidP="0021547A">
            <w:pPr>
              <w:jc w:val="right"/>
              <w:rPr>
                <w:rFonts w:cs="Arial"/>
                <w:color w:val="000000"/>
                <w:sz w:val="22"/>
                <w:szCs w:val="22"/>
              </w:rPr>
            </w:pPr>
            <w:r w:rsidRPr="001C7722">
              <w:rPr>
                <w:rFonts w:cs="Arial"/>
                <w:color w:val="000000"/>
                <w:sz w:val="22"/>
                <w:szCs w:val="22"/>
              </w:rPr>
              <w:t>38</w:t>
            </w:r>
          </w:p>
        </w:tc>
        <w:tc>
          <w:tcPr>
            <w:tcW w:w="1451" w:type="dxa"/>
            <w:tcBorders>
              <w:top w:val="nil"/>
              <w:left w:val="single" w:sz="4" w:space="0" w:color="auto"/>
              <w:bottom w:val="single" w:sz="4" w:space="0" w:color="auto"/>
              <w:right w:val="single" w:sz="4" w:space="0" w:color="auto"/>
            </w:tcBorders>
            <w:shd w:val="clear" w:color="auto" w:fill="auto"/>
            <w:vAlign w:val="bottom"/>
            <w:hideMark/>
          </w:tcPr>
          <w:p w14:paraId="36CB9C70" w14:textId="4D607AA5" w:rsidR="0021547A" w:rsidRPr="001C7722" w:rsidRDefault="0021547A" w:rsidP="0021547A">
            <w:pPr>
              <w:jc w:val="right"/>
              <w:rPr>
                <w:rFonts w:cs="Arial"/>
                <w:color w:val="000000"/>
                <w:sz w:val="22"/>
                <w:szCs w:val="22"/>
              </w:rPr>
            </w:pPr>
            <w:r>
              <w:rPr>
                <w:color w:val="000000"/>
              </w:rPr>
              <w:t>580</w:t>
            </w:r>
          </w:p>
        </w:tc>
        <w:tc>
          <w:tcPr>
            <w:tcW w:w="1412" w:type="dxa"/>
            <w:tcBorders>
              <w:top w:val="nil"/>
              <w:left w:val="nil"/>
              <w:bottom w:val="single" w:sz="4" w:space="0" w:color="auto"/>
              <w:right w:val="single" w:sz="4" w:space="0" w:color="auto"/>
            </w:tcBorders>
            <w:shd w:val="clear" w:color="auto" w:fill="auto"/>
            <w:vAlign w:val="bottom"/>
            <w:hideMark/>
          </w:tcPr>
          <w:p w14:paraId="3C3D3BDF" w14:textId="0F5D79D6" w:rsidR="0021547A" w:rsidRPr="001C7722" w:rsidRDefault="0021547A" w:rsidP="0021547A">
            <w:pPr>
              <w:jc w:val="right"/>
              <w:rPr>
                <w:rFonts w:cs="Arial"/>
                <w:color w:val="000000"/>
                <w:sz w:val="22"/>
                <w:szCs w:val="22"/>
              </w:rPr>
            </w:pPr>
            <w:r>
              <w:rPr>
                <w:color w:val="000000"/>
              </w:rPr>
              <w:t>618</w:t>
            </w:r>
          </w:p>
        </w:tc>
        <w:tc>
          <w:tcPr>
            <w:tcW w:w="1474" w:type="dxa"/>
            <w:tcBorders>
              <w:top w:val="nil"/>
              <w:left w:val="nil"/>
              <w:bottom w:val="single" w:sz="4" w:space="0" w:color="auto"/>
              <w:right w:val="single" w:sz="4" w:space="0" w:color="auto"/>
            </w:tcBorders>
            <w:shd w:val="clear" w:color="auto" w:fill="auto"/>
            <w:vAlign w:val="bottom"/>
            <w:hideMark/>
          </w:tcPr>
          <w:p w14:paraId="142EA2EC" w14:textId="7A441D05" w:rsidR="0021547A" w:rsidRPr="001C7722" w:rsidRDefault="0021547A" w:rsidP="0021547A">
            <w:pPr>
              <w:jc w:val="right"/>
              <w:rPr>
                <w:rFonts w:cs="Arial"/>
                <w:color w:val="000000"/>
                <w:sz w:val="22"/>
                <w:szCs w:val="22"/>
              </w:rPr>
            </w:pPr>
            <w:r>
              <w:rPr>
                <w:color w:val="000000"/>
              </w:rPr>
              <w:t>10.1%</w:t>
            </w:r>
          </w:p>
        </w:tc>
        <w:tc>
          <w:tcPr>
            <w:tcW w:w="1374" w:type="dxa"/>
            <w:tcBorders>
              <w:top w:val="nil"/>
              <w:left w:val="nil"/>
              <w:bottom w:val="single" w:sz="4" w:space="0" w:color="auto"/>
              <w:right w:val="single" w:sz="4" w:space="0" w:color="auto"/>
            </w:tcBorders>
            <w:shd w:val="clear" w:color="auto" w:fill="auto"/>
            <w:vAlign w:val="bottom"/>
            <w:hideMark/>
          </w:tcPr>
          <w:p w14:paraId="5C2CE118" w14:textId="649E4014" w:rsidR="0021547A" w:rsidRPr="001C7722" w:rsidRDefault="0021547A" w:rsidP="0021547A">
            <w:pPr>
              <w:jc w:val="right"/>
              <w:rPr>
                <w:rFonts w:cs="Arial"/>
                <w:color w:val="000000"/>
                <w:sz w:val="22"/>
                <w:szCs w:val="22"/>
              </w:rPr>
            </w:pPr>
            <w:r>
              <w:rPr>
                <w:color w:val="000000"/>
              </w:rPr>
              <w:t>10.1%</w:t>
            </w:r>
          </w:p>
        </w:tc>
      </w:tr>
      <w:tr w:rsidR="0021547A" w:rsidRPr="008929E4" w14:paraId="438912C1" w14:textId="77777777" w:rsidTr="002341B1">
        <w:trPr>
          <w:trHeight w:val="654"/>
        </w:trPr>
        <w:tc>
          <w:tcPr>
            <w:tcW w:w="1622" w:type="dxa"/>
            <w:tcBorders>
              <w:top w:val="nil"/>
              <w:left w:val="single" w:sz="4" w:space="0" w:color="auto"/>
              <w:bottom w:val="single" w:sz="4" w:space="0" w:color="auto"/>
              <w:right w:val="single" w:sz="4" w:space="0" w:color="auto"/>
            </w:tcBorders>
            <w:shd w:val="clear" w:color="auto" w:fill="auto"/>
            <w:vAlign w:val="bottom"/>
            <w:hideMark/>
          </w:tcPr>
          <w:p w14:paraId="42E84108" w14:textId="77777777" w:rsidR="0021547A" w:rsidRPr="001C7722" w:rsidRDefault="0021547A" w:rsidP="0021547A">
            <w:pPr>
              <w:rPr>
                <w:rFonts w:cs="Arial"/>
                <w:color w:val="000000"/>
                <w:sz w:val="22"/>
                <w:szCs w:val="22"/>
              </w:rPr>
            </w:pPr>
            <w:r w:rsidRPr="001C7722">
              <w:rPr>
                <w:rFonts w:cs="Arial"/>
                <w:color w:val="000000"/>
                <w:sz w:val="22"/>
                <w:szCs w:val="22"/>
              </w:rPr>
              <w:t>Southern Town Area (Green Belt constrained)</w:t>
            </w:r>
          </w:p>
        </w:tc>
        <w:tc>
          <w:tcPr>
            <w:tcW w:w="1499" w:type="dxa"/>
            <w:tcBorders>
              <w:top w:val="nil"/>
              <w:left w:val="nil"/>
              <w:bottom w:val="single" w:sz="4" w:space="0" w:color="auto"/>
              <w:right w:val="single" w:sz="4" w:space="0" w:color="auto"/>
            </w:tcBorders>
            <w:shd w:val="clear" w:color="auto" w:fill="auto"/>
            <w:vAlign w:val="bottom"/>
            <w:hideMark/>
          </w:tcPr>
          <w:p w14:paraId="6313B848" w14:textId="77777777" w:rsidR="0021547A" w:rsidRPr="001C7722" w:rsidRDefault="0021547A" w:rsidP="0021547A">
            <w:pPr>
              <w:jc w:val="right"/>
              <w:rPr>
                <w:rFonts w:cs="Arial"/>
                <w:color w:val="000000"/>
                <w:sz w:val="22"/>
                <w:szCs w:val="22"/>
              </w:rPr>
            </w:pPr>
            <w:r w:rsidRPr="001C7722">
              <w:rPr>
                <w:rFonts w:cs="Arial"/>
                <w:color w:val="000000"/>
                <w:sz w:val="22"/>
                <w:szCs w:val="22"/>
              </w:rPr>
              <w:t>710</w:t>
            </w:r>
          </w:p>
        </w:tc>
        <w:tc>
          <w:tcPr>
            <w:tcW w:w="1451" w:type="dxa"/>
            <w:tcBorders>
              <w:top w:val="nil"/>
              <w:left w:val="single" w:sz="4" w:space="0" w:color="auto"/>
              <w:bottom w:val="single" w:sz="4" w:space="0" w:color="auto"/>
              <w:right w:val="single" w:sz="4" w:space="0" w:color="auto"/>
            </w:tcBorders>
            <w:shd w:val="clear" w:color="auto" w:fill="auto"/>
            <w:vAlign w:val="bottom"/>
            <w:hideMark/>
          </w:tcPr>
          <w:p w14:paraId="06917CF9" w14:textId="60A585AD" w:rsidR="0021547A" w:rsidRPr="001C7722" w:rsidRDefault="0021547A" w:rsidP="0021547A">
            <w:pPr>
              <w:jc w:val="right"/>
              <w:rPr>
                <w:rFonts w:cs="Arial"/>
                <w:color w:val="000000"/>
                <w:sz w:val="22"/>
                <w:szCs w:val="22"/>
              </w:rPr>
            </w:pPr>
            <w:r>
              <w:rPr>
                <w:color w:val="000000"/>
              </w:rPr>
              <w:t>759</w:t>
            </w:r>
          </w:p>
        </w:tc>
        <w:tc>
          <w:tcPr>
            <w:tcW w:w="1412" w:type="dxa"/>
            <w:tcBorders>
              <w:top w:val="nil"/>
              <w:left w:val="nil"/>
              <w:bottom w:val="single" w:sz="4" w:space="0" w:color="auto"/>
              <w:right w:val="single" w:sz="4" w:space="0" w:color="auto"/>
            </w:tcBorders>
            <w:shd w:val="clear" w:color="auto" w:fill="auto"/>
            <w:vAlign w:val="bottom"/>
            <w:hideMark/>
          </w:tcPr>
          <w:p w14:paraId="167415A1" w14:textId="0BCFD534" w:rsidR="0021547A" w:rsidRPr="001C7722" w:rsidRDefault="0021547A" w:rsidP="0021547A">
            <w:pPr>
              <w:jc w:val="right"/>
              <w:rPr>
                <w:rFonts w:cs="Arial"/>
                <w:color w:val="000000"/>
                <w:sz w:val="22"/>
                <w:szCs w:val="22"/>
              </w:rPr>
            </w:pPr>
            <w:r>
              <w:rPr>
                <w:color w:val="000000"/>
              </w:rPr>
              <w:t>1469</w:t>
            </w:r>
          </w:p>
        </w:tc>
        <w:tc>
          <w:tcPr>
            <w:tcW w:w="1474" w:type="dxa"/>
            <w:tcBorders>
              <w:top w:val="nil"/>
              <w:left w:val="nil"/>
              <w:bottom w:val="single" w:sz="4" w:space="0" w:color="auto"/>
              <w:right w:val="single" w:sz="4" w:space="0" w:color="auto"/>
            </w:tcBorders>
            <w:shd w:val="clear" w:color="auto" w:fill="auto"/>
            <w:vAlign w:val="bottom"/>
            <w:hideMark/>
          </w:tcPr>
          <w:p w14:paraId="7E6E8BAA" w14:textId="20D1E6BE" w:rsidR="0021547A" w:rsidRPr="001C7722" w:rsidRDefault="0021547A" w:rsidP="0021547A">
            <w:pPr>
              <w:jc w:val="right"/>
              <w:rPr>
                <w:rFonts w:cs="Arial"/>
                <w:color w:val="000000"/>
                <w:sz w:val="22"/>
                <w:szCs w:val="22"/>
              </w:rPr>
            </w:pPr>
            <w:r>
              <w:rPr>
                <w:color w:val="000000"/>
              </w:rPr>
              <w:t>24.1%</w:t>
            </w:r>
          </w:p>
        </w:tc>
        <w:tc>
          <w:tcPr>
            <w:tcW w:w="1374" w:type="dxa"/>
            <w:tcBorders>
              <w:top w:val="nil"/>
              <w:left w:val="nil"/>
              <w:bottom w:val="single" w:sz="4" w:space="0" w:color="auto"/>
              <w:right w:val="single" w:sz="4" w:space="0" w:color="auto"/>
            </w:tcBorders>
            <w:shd w:val="clear" w:color="auto" w:fill="auto"/>
            <w:vAlign w:val="bottom"/>
            <w:hideMark/>
          </w:tcPr>
          <w:p w14:paraId="71F0F237" w14:textId="6B527101" w:rsidR="0021547A" w:rsidRPr="001C7722" w:rsidRDefault="0021547A" w:rsidP="0021547A">
            <w:pPr>
              <w:jc w:val="right"/>
              <w:rPr>
                <w:rFonts w:cs="Arial"/>
                <w:color w:val="000000"/>
                <w:sz w:val="22"/>
                <w:szCs w:val="22"/>
              </w:rPr>
            </w:pPr>
            <w:r>
              <w:rPr>
                <w:color w:val="000000"/>
              </w:rPr>
              <w:t>28.8%</w:t>
            </w:r>
          </w:p>
        </w:tc>
      </w:tr>
      <w:tr w:rsidR="0021547A" w:rsidRPr="008929E4" w14:paraId="75A88A68" w14:textId="77777777" w:rsidTr="002341B1">
        <w:trPr>
          <w:trHeight w:val="603"/>
        </w:trPr>
        <w:tc>
          <w:tcPr>
            <w:tcW w:w="1622" w:type="dxa"/>
            <w:tcBorders>
              <w:top w:val="nil"/>
              <w:left w:val="single" w:sz="4" w:space="0" w:color="auto"/>
              <w:bottom w:val="single" w:sz="4" w:space="0" w:color="auto"/>
              <w:right w:val="single" w:sz="4" w:space="0" w:color="auto"/>
            </w:tcBorders>
            <w:shd w:val="clear" w:color="auto" w:fill="auto"/>
            <w:vAlign w:val="bottom"/>
            <w:hideMark/>
          </w:tcPr>
          <w:p w14:paraId="7CA149CE" w14:textId="77777777" w:rsidR="0021547A" w:rsidRPr="001C7722" w:rsidRDefault="0021547A" w:rsidP="0021547A">
            <w:pPr>
              <w:rPr>
                <w:rFonts w:cs="Arial"/>
                <w:b/>
                <w:bCs/>
                <w:color w:val="000000"/>
                <w:sz w:val="22"/>
                <w:szCs w:val="22"/>
              </w:rPr>
            </w:pPr>
            <w:r w:rsidRPr="001C7722">
              <w:rPr>
                <w:rFonts w:cs="Arial"/>
                <w:b/>
                <w:bCs/>
                <w:color w:val="000000"/>
                <w:sz w:val="22"/>
                <w:szCs w:val="22"/>
              </w:rPr>
              <w:t>Ashfield District Total</w:t>
            </w:r>
          </w:p>
        </w:tc>
        <w:tc>
          <w:tcPr>
            <w:tcW w:w="1499" w:type="dxa"/>
            <w:tcBorders>
              <w:top w:val="nil"/>
              <w:left w:val="nil"/>
              <w:bottom w:val="single" w:sz="4" w:space="0" w:color="auto"/>
              <w:right w:val="single" w:sz="4" w:space="0" w:color="auto"/>
            </w:tcBorders>
            <w:shd w:val="clear" w:color="auto" w:fill="auto"/>
            <w:vAlign w:val="bottom"/>
            <w:hideMark/>
          </w:tcPr>
          <w:p w14:paraId="52995FEB" w14:textId="77777777" w:rsidR="0021547A" w:rsidRPr="001C7722" w:rsidRDefault="0021547A" w:rsidP="0021547A">
            <w:pPr>
              <w:jc w:val="right"/>
              <w:rPr>
                <w:rFonts w:cs="Arial"/>
                <w:b/>
                <w:bCs/>
                <w:color w:val="000000"/>
                <w:sz w:val="22"/>
                <w:szCs w:val="22"/>
              </w:rPr>
            </w:pPr>
            <w:r w:rsidRPr="001C7722">
              <w:rPr>
                <w:rFonts w:cs="Arial"/>
                <w:b/>
                <w:bCs/>
                <w:color w:val="000000"/>
                <w:sz w:val="22"/>
                <w:szCs w:val="22"/>
              </w:rPr>
              <w:t>2348</w:t>
            </w:r>
          </w:p>
        </w:tc>
        <w:tc>
          <w:tcPr>
            <w:tcW w:w="1451" w:type="dxa"/>
            <w:tcBorders>
              <w:top w:val="nil"/>
              <w:left w:val="single" w:sz="4" w:space="0" w:color="auto"/>
              <w:bottom w:val="single" w:sz="4" w:space="0" w:color="auto"/>
              <w:right w:val="single" w:sz="4" w:space="0" w:color="auto"/>
            </w:tcBorders>
            <w:shd w:val="clear" w:color="auto" w:fill="auto"/>
            <w:vAlign w:val="bottom"/>
            <w:hideMark/>
          </w:tcPr>
          <w:p w14:paraId="61018C6A" w14:textId="52D4B213" w:rsidR="0021547A" w:rsidRPr="001C7722" w:rsidRDefault="0021547A" w:rsidP="0021547A">
            <w:pPr>
              <w:jc w:val="right"/>
              <w:rPr>
                <w:rFonts w:cs="Arial"/>
                <w:b/>
                <w:bCs/>
                <w:color w:val="000000"/>
                <w:sz w:val="22"/>
                <w:szCs w:val="22"/>
              </w:rPr>
            </w:pPr>
            <w:r>
              <w:rPr>
                <w:b/>
                <w:bCs/>
                <w:color w:val="000000"/>
              </w:rPr>
              <w:t>3757</w:t>
            </w:r>
          </w:p>
        </w:tc>
        <w:tc>
          <w:tcPr>
            <w:tcW w:w="1412" w:type="dxa"/>
            <w:tcBorders>
              <w:top w:val="nil"/>
              <w:left w:val="nil"/>
              <w:bottom w:val="single" w:sz="4" w:space="0" w:color="auto"/>
              <w:right w:val="single" w:sz="4" w:space="0" w:color="auto"/>
            </w:tcBorders>
            <w:shd w:val="clear" w:color="auto" w:fill="auto"/>
            <w:vAlign w:val="bottom"/>
            <w:hideMark/>
          </w:tcPr>
          <w:p w14:paraId="1374BABE" w14:textId="23ACCB72" w:rsidR="0021547A" w:rsidRPr="001C7722" w:rsidRDefault="0021547A" w:rsidP="0021547A">
            <w:pPr>
              <w:jc w:val="right"/>
              <w:rPr>
                <w:rFonts w:cs="Arial"/>
                <w:b/>
                <w:bCs/>
                <w:color w:val="000000"/>
                <w:sz w:val="22"/>
                <w:szCs w:val="22"/>
              </w:rPr>
            </w:pPr>
            <w:r>
              <w:rPr>
                <w:b/>
                <w:bCs/>
                <w:color w:val="000000"/>
              </w:rPr>
              <w:t>6105</w:t>
            </w:r>
          </w:p>
        </w:tc>
        <w:tc>
          <w:tcPr>
            <w:tcW w:w="1474" w:type="dxa"/>
            <w:tcBorders>
              <w:top w:val="nil"/>
              <w:left w:val="nil"/>
              <w:bottom w:val="single" w:sz="4" w:space="0" w:color="auto"/>
              <w:right w:val="single" w:sz="4" w:space="0" w:color="auto"/>
            </w:tcBorders>
            <w:shd w:val="clear" w:color="auto" w:fill="auto"/>
            <w:vAlign w:val="bottom"/>
            <w:hideMark/>
          </w:tcPr>
          <w:p w14:paraId="002CC4A6" w14:textId="6DECBCF3" w:rsidR="0021547A" w:rsidRPr="001C7722" w:rsidRDefault="0021547A" w:rsidP="0021547A">
            <w:pPr>
              <w:jc w:val="right"/>
              <w:rPr>
                <w:rFonts w:cs="Arial"/>
                <w:b/>
                <w:bCs/>
                <w:color w:val="000000"/>
                <w:sz w:val="22"/>
                <w:szCs w:val="22"/>
              </w:rPr>
            </w:pPr>
            <w:r>
              <w:rPr>
                <w:b/>
                <w:bCs/>
                <w:color w:val="000000"/>
              </w:rPr>
              <w:t>100.0%</w:t>
            </w:r>
          </w:p>
        </w:tc>
        <w:tc>
          <w:tcPr>
            <w:tcW w:w="1374" w:type="dxa"/>
            <w:tcBorders>
              <w:top w:val="nil"/>
              <w:left w:val="nil"/>
              <w:bottom w:val="single" w:sz="4" w:space="0" w:color="auto"/>
              <w:right w:val="single" w:sz="4" w:space="0" w:color="auto"/>
            </w:tcBorders>
            <w:shd w:val="clear" w:color="auto" w:fill="auto"/>
            <w:vAlign w:val="bottom"/>
            <w:hideMark/>
          </w:tcPr>
          <w:p w14:paraId="5080BB91" w14:textId="297215EA" w:rsidR="0021547A" w:rsidRPr="001C7722" w:rsidRDefault="0021547A" w:rsidP="0021547A">
            <w:pPr>
              <w:jc w:val="right"/>
              <w:rPr>
                <w:rFonts w:cs="Arial"/>
                <w:b/>
                <w:bCs/>
                <w:color w:val="000000"/>
                <w:sz w:val="22"/>
                <w:szCs w:val="22"/>
              </w:rPr>
            </w:pPr>
            <w:r>
              <w:rPr>
                <w:b/>
                <w:bCs/>
                <w:color w:val="000000"/>
              </w:rPr>
              <w:t>100.0%</w:t>
            </w:r>
          </w:p>
        </w:tc>
      </w:tr>
    </w:tbl>
    <w:p w14:paraId="58D1E756" w14:textId="77777777" w:rsidR="0021547A" w:rsidRPr="0021547A" w:rsidRDefault="0021547A" w:rsidP="0021547A">
      <w:pPr>
        <w:keepNext w:val="0"/>
        <w:spacing w:before="0"/>
        <w:ind w:left="720"/>
        <w:rPr>
          <w:rFonts w:cs="Arial"/>
          <w:color w:val="000000"/>
          <w:sz w:val="22"/>
          <w:szCs w:val="22"/>
        </w:rPr>
      </w:pPr>
      <w:r w:rsidRPr="0021547A">
        <w:rPr>
          <w:rFonts w:cs="Arial"/>
          <w:color w:val="000000"/>
          <w:sz w:val="22"/>
          <w:szCs w:val="22"/>
        </w:rPr>
        <w:t xml:space="preserve">*  </w:t>
      </w:r>
      <w:r w:rsidRPr="0021547A">
        <w:rPr>
          <w:rFonts w:cs="Arial"/>
          <w:color w:val="000000"/>
          <w:sz w:val="20"/>
        </w:rPr>
        <w:t>All sites with planning permission (including small sites), Planning in Principle or permitted development</w:t>
      </w:r>
    </w:p>
    <w:p w14:paraId="17EB132D" w14:textId="77777777" w:rsidR="0021547A" w:rsidRDefault="0021547A" w:rsidP="001C7722">
      <w:pPr>
        <w:ind w:firstLine="720"/>
        <w:rPr>
          <w:rFonts w:cs="Arial"/>
          <w:b/>
          <w:bCs/>
          <w:color w:val="000000"/>
          <w:szCs w:val="24"/>
        </w:rPr>
      </w:pPr>
    </w:p>
    <w:p w14:paraId="1A0C0D00" w14:textId="3CFBC8B9" w:rsidR="006A5605" w:rsidRPr="005D3347" w:rsidRDefault="006A5605" w:rsidP="004B40BA">
      <w:pPr>
        <w:pStyle w:val="Heading3"/>
        <w:ind w:left="567" w:firstLine="0"/>
        <w:rPr>
          <w:sz w:val="28"/>
        </w:rPr>
      </w:pPr>
      <w:r w:rsidRPr="009D5737">
        <w:rPr>
          <w:color w:val="000000"/>
        </w:rPr>
        <w:t xml:space="preserve">Table 1: </w:t>
      </w:r>
      <w:r w:rsidRPr="009D5737">
        <w:t>Distribution of New Housing</w:t>
      </w:r>
      <w:r w:rsidR="001C7722" w:rsidRPr="009D5737">
        <w:t xml:space="preserve"> Development by Geographical Area</w:t>
      </w:r>
      <w:r w:rsidRPr="001C7722">
        <w:t xml:space="preserve"> </w:t>
      </w:r>
      <w:r w:rsidRPr="005D3347">
        <w:rPr>
          <w:color w:val="000000"/>
          <w:sz w:val="20"/>
        </w:rPr>
        <w:t>Source: Ashfield District Council</w:t>
      </w:r>
    </w:p>
    <w:p w14:paraId="5E3AAC08" w14:textId="5E2DA2ED" w:rsidR="006A5605" w:rsidRDefault="006A5605" w:rsidP="001C7722">
      <w:pPr>
        <w:ind w:firstLine="720"/>
        <w:rPr>
          <w:b/>
          <w:bCs/>
          <w:color w:val="0070C0"/>
        </w:rPr>
      </w:pPr>
      <w:r>
        <w:rPr>
          <w:b/>
          <w:bCs/>
          <w:color w:val="0070C0"/>
        </w:rPr>
        <w:br w:type="page"/>
      </w:r>
    </w:p>
    <w:p w14:paraId="5F2D34B7" w14:textId="5B403E0E" w:rsidR="007070E5" w:rsidRPr="009D5737" w:rsidRDefault="00216BD3" w:rsidP="009D5737">
      <w:pPr>
        <w:pStyle w:val="Heading2"/>
        <w:jc w:val="left"/>
        <w:rPr>
          <w:sz w:val="28"/>
          <w:szCs w:val="28"/>
        </w:rPr>
      </w:pPr>
      <w:bookmarkStart w:id="38" w:name="_Hlk141796593"/>
      <w:bookmarkStart w:id="39" w:name="_Toc500408729"/>
      <w:bookmarkStart w:id="40" w:name="_Toc145511554"/>
      <w:bookmarkEnd w:id="33"/>
      <w:r w:rsidRPr="009D5737">
        <w:rPr>
          <w:sz w:val="28"/>
          <w:szCs w:val="28"/>
        </w:rPr>
        <w:lastRenderedPageBreak/>
        <w:t xml:space="preserve">Strategic Policy </w:t>
      </w:r>
      <w:r w:rsidR="00CB1B12" w:rsidRPr="009D5737">
        <w:rPr>
          <w:sz w:val="28"/>
          <w:szCs w:val="28"/>
        </w:rPr>
        <w:t>S</w:t>
      </w:r>
      <w:bookmarkEnd w:id="38"/>
      <w:r w:rsidR="006A5605" w:rsidRPr="009D5737">
        <w:rPr>
          <w:sz w:val="28"/>
          <w:szCs w:val="28"/>
        </w:rPr>
        <w:t>2</w:t>
      </w:r>
      <w:r w:rsidR="00CB1B12" w:rsidRPr="009D5737">
        <w:rPr>
          <w:sz w:val="28"/>
          <w:szCs w:val="28"/>
        </w:rPr>
        <w:t>:</w:t>
      </w:r>
      <w:r w:rsidR="003962EC" w:rsidRPr="009D5737">
        <w:rPr>
          <w:sz w:val="28"/>
          <w:szCs w:val="28"/>
        </w:rPr>
        <w:t xml:space="preserve"> </w:t>
      </w:r>
      <w:r w:rsidR="00162A7B" w:rsidRPr="009D5737">
        <w:rPr>
          <w:sz w:val="28"/>
          <w:szCs w:val="28"/>
        </w:rPr>
        <w:t xml:space="preserve">Achieving </w:t>
      </w:r>
      <w:r w:rsidR="00CB1B12" w:rsidRPr="009D5737">
        <w:rPr>
          <w:sz w:val="28"/>
          <w:szCs w:val="28"/>
        </w:rPr>
        <w:t>Sustainable Development</w:t>
      </w:r>
      <w:bookmarkEnd w:id="39"/>
      <w:bookmarkEnd w:id="40"/>
    </w:p>
    <w:p w14:paraId="700CFD4C" w14:textId="65937194" w:rsidR="007070E5" w:rsidRPr="009B02C6" w:rsidRDefault="007070E5" w:rsidP="005E17D1">
      <w:pPr>
        <w:keepNext w:val="0"/>
        <w:spacing w:before="0"/>
        <w:rPr>
          <w:rFonts w:eastAsia="Arial" w:cs="Arial"/>
          <w:color w:val="auto"/>
        </w:rPr>
      </w:pPr>
    </w:p>
    <w:tbl>
      <w:tblPr>
        <w:tblStyle w:val="ReportTable1"/>
        <w:tblpPr w:leftFromText="180" w:rightFromText="180" w:vertAnchor="text" w:horzAnchor="margin" w:tblpXSpec="right" w:tblpY="191"/>
        <w:tblW w:w="0" w:type="auto"/>
        <w:tblLook w:val="04A0" w:firstRow="1" w:lastRow="0" w:firstColumn="1" w:lastColumn="0" w:noHBand="0" w:noVBand="1"/>
      </w:tblPr>
      <w:tblGrid>
        <w:gridCol w:w="2552"/>
        <w:gridCol w:w="367"/>
        <w:gridCol w:w="6579"/>
      </w:tblGrid>
      <w:tr w:rsidR="00FB4E8F" w:rsidRPr="003C7E62" w14:paraId="59EED329" w14:textId="77777777" w:rsidTr="009D4C91">
        <w:tc>
          <w:tcPr>
            <w:tcW w:w="9498" w:type="dxa"/>
            <w:gridSpan w:val="3"/>
          </w:tcPr>
          <w:p w14:paraId="0B53C14A" w14:textId="77777777" w:rsidR="005E17D1" w:rsidRDefault="005E17D1" w:rsidP="005E17D1">
            <w:pPr>
              <w:spacing w:before="0"/>
              <w:outlineLvl w:val="1"/>
              <w:rPr>
                <w:rFonts w:cs="Arial"/>
                <w:b/>
                <w:bCs/>
                <w:iCs/>
                <w:color w:val="auto"/>
                <w:szCs w:val="22"/>
                <w:lang w:eastAsia="en-US"/>
              </w:rPr>
            </w:pPr>
          </w:p>
          <w:p w14:paraId="62A807DD" w14:textId="3315A844" w:rsidR="00FB4E8F" w:rsidRDefault="00FB4E8F" w:rsidP="00E605B7">
            <w:pPr>
              <w:rPr>
                <w:rFonts w:cs="Arial"/>
                <w:b/>
                <w:bCs/>
                <w:iCs/>
                <w:color w:val="auto"/>
                <w:szCs w:val="24"/>
                <w:lang w:eastAsia="en-US"/>
              </w:rPr>
            </w:pPr>
            <w:r w:rsidRPr="003C7E62">
              <w:rPr>
                <w:rFonts w:cs="Arial"/>
                <w:b/>
                <w:bCs/>
                <w:iCs/>
                <w:color w:val="auto"/>
                <w:szCs w:val="22"/>
                <w:lang w:eastAsia="en-US"/>
              </w:rPr>
              <w:t xml:space="preserve">Strategic Policy </w:t>
            </w:r>
            <w:r w:rsidRPr="009C12CD">
              <w:rPr>
                <w:rFonts w:cs="Arial"/>
                <w:b/>
                <w:bCs/>
                <w:iCs/>
                <w:szCs w:val="22"/>
                <w:lang w:eastAsia="en-US"/>
              </w:rPr>
              <w:t>S</w:t>
            </w:r>
            <w:r w:rsidR="009B02C6" w:rsidRPr="009C12CD">
              <w:rPr>
                <w:rFonts w:cs="Arial"/>
                <w:b/>
                <w:bCs/>
                <w:iCs/>
                <w:szCs w:val="22"/>
                <w:lang w:eastAsia="en-US"/>
              </w:rPr>
              <w:t>2</w:t>
            </w:r>
            <w:r w:rsidRPr="009C12CD">
              <w:rPr>
                <w:rFonts w:cs="Arial"/>
                <w:b/>
                <w:bCs/>
                <w:iCs/>
                <w:szCs w:val="22"/>
                <w:lang w:eastAsia="en-US"/>
              </w:rPr>
              <w:t>:</w:t>
            </w:r>
            <w:r w:rsidRPr="003C7E62">
              <w:rPr>
                <w:rFonts w:cs="Arial"/>
                <w:b/>
                <w:bCs/>
                <w:iCs/>
                <w:color w:val="auto"/>
                <w:szCs w:val="22"/>
                <w:lang w:eastAsia="en-US"/>
              </w:rPr>
              <w:t xml:space="preserve"> </w:t>
            </w:r>
            <w:r w:rsidR="00162A7B">
              <w:t xml:space="preserve"> </w:t>
            </w:r>
            <w:r w:rsidR="00162A7B" w:rsidRPr="00162A7B">
              <w:rPr>
                <w:rFonts w:cs="Arial"/>
                <w:b/>
                <w:bCs/>
                <w:iCs/>
                <w:color w:val="auto"/>
                <w:szCs w:val="22"/>
                <w:lang w:eastAsia="en-US"/>
              </w:rPr>
              <w:t xml:space="preserve">Achieving </w:t>
            </w:r>
            <w:r w:rsidRPr="003C7E62">
              <w:rPr>
                <w:rFonts w:cs="Arial"/>
                <w:b/>
                <w:bCs/>
                <w:iCs/>
                <w:color w:val="auto"/>
                <w:szCs w:val="24"/>
                <w:lang w:eastAsia="en-US"/>
              </w:rPr>
              <w:t>Sustainable Development</w:t>
            </w:r>
          </w:p>
          <w:p w14:paraId="457FFBE1" w14:textId="0D7528B9" w:rsidR="005E17D1" w:rsidRPr="003C7E62" w:rsidRDefault="005E17D1" w:rsidP="005E17D1">
            <w:pPr>
              <w:spacing w:before="0"/>
              <w:outlineLvl w:val="1"/>
              <w:rPr>
                <w:rFonts w:cs="Arial"/>
                <w:bCs/>
                <w:iCs/>
                <w:color w:val="auto"/>
                <w:szCs w:val="24"/>
                <w:lang w:eastAsia="en-US"/>
              </w:rPr>
            </w:pPr>
          </w:p>
        </w:tc>
      </w:tr>
      <w:tr w:rsidR="00DC5B07" w:rsidRPr="003C7E62" w14:paraId="6AA7BDBD" w14:textId="77777777" w:rsidTr="009D4C91">
        <w:tc>
          <w:tcPr>
            <w:tcW w:w="2919" w:type="dxa"/>
            <w:gridSpan w:val="2"/>
          </w:tcPr>
          <w:p w14:paraId="7016B600" w14:textId="77777777" w:rsidR="00DC5B07" w:rsidRPr="005E17D1" w:rsidRDefault="00DC5B07" w:rsidP="005E17D1">
            <w:pPr>
              <w:keepNext w:val="0"/>
              <w:tabs>
                <w:tab w:val="left" w:pos="680"/>
              </w:tabs>
              <w:spacing w:before="40" w:after="40"/>
              <w:rPr>
                <w:rFonts w:eastAsia="Arial" w:cs="Arial"/>
                <w:bCs/>
                <w:color w:val="auto"/>
              </w:rPr>
            </w:pPr>
            <w:bookmarkStart w:id="41" w:name="_Hlk77148378"/>
            <w:r w:rsidRPr="005E17D1">
              <w:rPr>
                <w:rFonts w:eastAsia="Arial" w:cs="Arial"/>
                <w:bCs/>
                <w:color w:val="auto"/>
              </w:rPr>
              <w:t>Strategic Objectives</w:t>
            </w:r>
          </w:p>
        </w:tc>
        <w:tc>
          <w:tcPr>
            <w:tcW w:w="6579" w:type="dxa"/>
          </w:tcPr>
          <w:p w14:paraId="32510E8B" w14:textId="77777777" w:rsidR="00DC5B07" w:rsidRPr="005E17D1" w:rsidRDefault="00DC5B07" w:rsidP="005E17D1">
            <w:pPr>
              <w:keepNext w:val="0"/>
              <w:tabs>
                <w:tab w:val="left" w:pos="680"/>
              </w:tabs>
              <w:spacing w:before="40" w:after="40"/>
              <w:rPr>
                <w:rFonts w:eastAsia="Arial" w:cs="Arial"/>
                <w:bCs/>
                <w:color w:val="auto"/>
              </w:rPr>
            </w:pPr>
            <w:r w:rsidRPr="005E17D1">
              <w:rPr>
                <w:rFonts w:eastAsia="Arial" w:cs="Arial"/>
                <w:bCs/>
                <w:color w:val="auto"/>
              </w:rPr>
              <w:t>SO1, SO2, SO4, SO6, SO11, SO12, SO13.</w:t>
            </w:r>
          </w:p>
        </w:tc>
      </w:tr>
      <w:tr w:rsidR="00DC5B07" w:rsidRPr="003C7E62" w14:paraId="11A73974" w14:textId="77777777" w:rsidTr="009D4C91">
        <w:tc>
          <w:tcPr>
            <w:tcW w:w="9498" w:type="dxa"/>
            <w:gridSpan w:val="3"/>
            <w:shd w:val="clear" w:color="auto" w:fill="D9D9D9" w:themeFill="background1" w:themeFillShade="D9"/>
          </w:tcPr>
          <w:p w14:paraId="4026F44C" w14:textId="77777777" w:rsidR="00DC5B07" w:rsidRPr="003C7E62" w:rsidRDefault="00DC5B07" w:rsidP="005E17D1">
            <w:pPr>
              <w:keepNext w:val="0"/>
              <w:tabs>
                <w:tab w:val="left" w:pos="680"/>
                <w:tab w:val="left" w:pos="1133"/>
                <w:tab w:val="left" w:pos="2267"/>
              </w:tabs>
              <w:spacing w:before="0"/>
              <w:ind w:right="284"/>
              <w:rPr>
                <w:rFonts w:eastAsia="Arial" w:cs="Arial"/>
                <w:bCs/>
                <w:color w:val="auto"/>
                <w:szCs w:val="24"/>
              </w:rPr>
            </w:pPr>
          </w:p>
          <w:p w14:paraId="3176CC05" w14:textId="77777777" w:rsidR="00DC5B07" w:rsidRPr="003C7E62" w:rsidRDefault="00DC5B07" w:rsidP="00D01157">
            <w:pPr>
              <w:keepNext w:val="0"/>
              <w:numPr>
                <w:ilvl w:val="0"/>
                <w:numId w:val="11"/>
              </w:numPr>
              <w:tabs>
                <w:tab w:val="left" w:pos="680"/>
                <w:tab w:val="left" w:pos="1133"/>
                <w:tab w:val="left" w:pos="2267"/>
              </w:tabs>
              <w:spacing w:before="0"/>
              <w:ind w:right="284"/>
              <w:rPr>
                <w:rFonts w:eastAsia="Arial" w:cs="Arial"/>
                <w:bCs/>
                <w:color w:val="auto"/>
                <w:szCs w:val="24"/>
              </w:rPr>
            </w:pPr>
            <w:r w:rsidRPr="003C7E62">
              <w:rPr>
                <w:rFonts w:eastAsia="Arial" w:cs="Arial"/>
                <w:bCs/>
                <w:color w:val="auto"/>
                <w:szCs w:val="24"/>
              </w:rPr>
              <w:t>The Council will work with applicants and other stakeholders to seek solutions, which mean that proposals can be approved wherever possible and will secure improvements to the economic, social and environmental conditions in the area.</w:t>
            </w:r>
          </w:p>
          <w:p w14:paraId="357DAF70" w14:textId="77777777" w:rsidR="00DC5B07" w:rsidRPr="003C7E62" w:rsidRDefault="00DC5B07" w:rsidP="005E17D1">
            <w:pPr>
              <w:keepNext w:val="0"/>
              <w:tabs>
                <w:tab w:val="left" w:pos="680"/>
                <w:tab w:val="left" w:pos="1133"/>
                <w:tab w:val="left" w:pos="2267"/>
              </w:tabs>
              <w:spacing w:before="0"/>
              <w:ind w:right="284"/>
              <w:rPr>
                <w:rFonts w:eastAsia="Arial" w:cs="Arial"/>
                <w:bCs/>
                <w:color w:val="auto"/>
                <w:szCs w:val="24"/>
              </w:rPr>
            </w:pPr>
          </w:p>
          <w:p w14:paraId="31C02A70" w14:textId="77777777" w:rsidR="00DC5B07" w:rsidRPr="009C12CD" w:rsidRDefault="00DC5B07" w:rsidP="00D01157">
            <w:pPr>
              <w:keepNext w:val="0"/>
              <w:numPr>
                <w:ilvl w:val="0"/>
                <w:numId w:val="11"/>
              </w:numPr>
              <w:tabs>
                <w:tab w:val="left" w:pos="680"/>
                <w:tab w:val="left" w:pos="1133"/>
                <w:tab w:val="left" w:pos="2267"/>
              </w:tabs>
              <w:spacing w:before="0"/>
              <w:ind w:right="284"/>
              <w:rPr>
                <w:rFonts w:eastAsia="Arial" w:cs="Arial"/>
                <w:bCs/>
                <w:szCs w:val="24"/>
              </w:rPr>
            </w:pPr>
            <w:r w:rsidRPr="009C12CD">
              <w:rPr>
                <w:rFonts w:eastAsia="Arial" w:cs="Arial"/>
                <w:bCs/>
                <w:szCs w:val="24"/>
              </w:rPr>
              <w:t>Development will be permitted without delay where:</w:t>
            </w:r>
          </w:p>
          <w:p w14:paraId="3428E0DB" w14:textId="77777777" w:rsidR="00DC5B07" w:rsidRPr="009C12CD" w:rsidRDefault="00DC5B07" w:rsidP="005E17D1">
            <w:pPr>
              <w:keepNext w:val="0"/>
              <w:tabs>
                <w:tab w:val="left" w:pos="680"/>
                <w:tab w:val="left" w:pos="1133"/>
                <w:tab w:val="left" w:pos="2267"/>
              </w:tabs>
              <w:spacing w:before="0"/>
              <w:ind w:right="284"/>
              <w:rPr>
                <w:rFonts w:eastAsia="Arial" w:cs="Arial"/>
                <w:bCs/>
                <w:szCs w:val="24"/>
              </w:rPr>
            </w:pPr>
          </w:p>
          <w:p w14:paraId="1F47070E" w14:textId="6804D710" w:rsidR="00DC5B07" w:rsidRPr="009C12CD" w:rsidRDefault="00DC5B07" w:rsidP="00D01157">
            <w:pPr>
              <w:keepNext w:val="0"/>
              <w:numPr>
                <w:ilvl w:val="1"/>
                <w:numId w:val="11"/>
              </w:numPr>
              <w:spacing w:before="0"/>
              <w:rPr>
                <w:rFonts w:eastAsia="Arial" w:cs="Arial"/>
                <w:bCs/>
                <w:szCs w:val="24"/>
              </w:rPr>
            </w:pPr>
            <w:r w:rsidRPr="009C12CD">
              <w:rPr>
                <w:rFonts w:eastAsia="Arial" w:cs="Arial"/>
                <w:bCs/>
                <w:szCs w:val="24"/>
              </w:rPr>
              <w:t>It will not conflict with other policies in this Local Plan or policies in a neighbourhood plan, unless material considerations indicate otherwise;</w:t>
            </w:r>
          </w:p>
          <w:p w14:paraId="1CBB6358" w14:textId="77777777" w:rsidR="005F5595" w:rsidRPr="009C12CD" w:rsidRDefault="005F5595" w:rsidP="005E17D1">
            <w:pPr>
              <w:keepNext w:val="0"/>
              <w:spacing w:before="0"/>
              <w:ind w:left="964"/>
              <w:rPr>
                <w:rFonts w:eastAsia="Arial" w:cs="Arial"/>
                <w:bCs/>
                <w:szCs w:val="24"/>
              </w:rPr>
            </w:pPr>
          </w:p>
          <w:p w14:paraId="02E6613B" w14:textId="24B4D808" w:rsidR="00DC5B07" w:rsidRPr="009C12CD" w:rsidRDefault="00DC5B07" w:rsidP="00D01157">
            <w:pPr>
              <w:keepNext w:val="0"/>
              <w:numPr>
                <w:ilvl w:val="1"/>
                <w:numId w:val="11"/>
              </w:numPr>
              <w:spacing w:before="0"/>
              <w:rPr>
                <w:rFonts w:eastAsia="Arial" w:cs="Arial"/>
                <w:bCs/>
                <w:szCs w:val="24"/>
              </w:rPr>
            </w:pPr>
            <w:r w:rsidRPr="009C12CD">
              <w:rPr>
                <w:rFonts w:eastAsia="Arial" w:cs="Arial"/>
                <w:bCs/>
                <w:szCs w:val="24"/>
              </w:rPr>
              <w:t xml:space="preserve">It will not adversely affect, and should enhance, the character, quality, amenity </w:t>
            </w:r>
            <w:r w:rsidR="00862B71" w:rsidRPr="009C12CD">
              <w:rPr>
                <w:rFonts w:eastAsia="Arial" w:cs="Arial"/>
                <w:bCs/>
                <w:szCs w:val="24"/>
              </w:rPr>
              <w:t>and</w:t>
            </w:r>
            <w:r w:rsidRPr="009C12CD">
              <w:rPr>
                <w:rFonts w:eastAsia="Arial" w:cs="Arial"/>
                <w:bCs/>
                <w:szCs w:val="24"/>
              </w:rPr>
              <w:t xml:space="preserve"> safety of the environment</w:t>
            </w:r>
            <w:r w:rsidR="005F5595" w:rsidRPr="009C12CD">
              <w:rPr>
                <w:rFonts w:eastAsia="Arial" w:cs="Arial"/>
                <w:bCs/>
                <w:szCs w:val="24"/>
              </w:rPr>
              <w:t>;</w:t>
            </w:r>
          </w:p>
          <w:p w14:paraId="72F81514" w14:textId="77777777" w:rsidR="005F5595" w:rsidRPr="009C12CD" w:rsidRDefault="005F5595" w:rsidP="005E17D1">
            <w:pPr>
              <w:keepNext w:val="0"/>
              <w:spacing w:before="0"/>
              <w:rPr>
                <w:rFonts w:eastAsia="Arial" w:cs="Arial"/>
                <w:bCs/>
                <w:szCs w:val="24"/>
              </w:rPr>
            </w:pPr>
          </w:p>
          <w:p w14:paraId="5B2CD04D" w14:textId="63F05B11" w:rsidR="00DC5B07" w:rsidRPr="009C12CD" w:rsidRDefault="00DC5B07" w:rsidP="00D01157">
            <w:pPr>
              <w:keepNext w:val="0"/>
              <w:numPr>
                <w:ilvl w:val="1"/>
                <w:numId w:val="11"/>
              </w:numPr>
              <w:spacing w:before="0"/>
              <w:rPr>
                <w:rFonts w:eastAsia="Arial" w:cs="Arial"/>
                <w:bCs/>
                <w:szCs w:val="24"/>
              </w:rPr>
            </w:pPr>
            <w:r w:rsidRPr="009C12CD">
              <w:rPr>
                <w:rFonts w:eastAsia="Arial" w:cs="Arial"/>
                <w:bCs/>
                <w:szCs w:val="24"/>
              </w:rPr>
              <w:t>It will not adversely affect highway safety or the capacity of the transport system;</w:t>
            </w:r>
          </w:p>
          <w:p w14:paraId="16E28940" w14:textId="77777777" w:rsidR="005F5595" w:rsidRPr="009C12CD" w:rsidRDefault="005F5595" w:rsidP="005E17D1">
            <w:pPr>
              <w:keepNext w:val="0"/>
              <w:spacing w:before="0"/>
              <w:rPr>
                <w:rFonts w:eastAsia="Arial" w:cs="Arial"/>
                <w:bCs/>
                <w:szCs w:val="24"/>
              </w:rPr>
            </w:pPr>
          </w:p>
          <w:p w14:paraId="613FF8D5" w14:textId="2E460F7F" w:rsidR="00DC5B07" w:rsidRPr="009C12CD" w:rsidRDefault="00DC5B07" w:rsidP="00D01157">
            <w:pPr>
              <w:keepNext w:val="0"/>
              <w:numPr>
                <w:ilvl w:val="1"/>
                <w:numId w:val="11"/>
              </w:numPr>
              <w:spacing w:before="0"/>
              <w:contextualSpacing/>
              <w:rPr>
                <w:rFonts w:eastAsia="Arial" w:cs="Arial"/>
                <w:bCs/>
                <w:szCs w:val="24"/>
              </w:rPr>
            </w:pPr>
            <w:r w:rsidRPr="009C12CD">
              <w:rPr>
                <w:rFonts w:eastAsia="Arial" w:cs="Arial"/>
                <w:bCs/>
                <w:szCs w:val="24"/>
              </w:rPr>
              <w:t>It will not materially conflict with adjoining or nearby land uses;</w:t>
            </w:r>
          </w:p>
          <w:p w14:paraId="50CD3B6D" w14:textId="77777777" w:rsidR="005F5595" w:rsidRPr="009C12CD" w:rsidRDefault="005F5595" w:rsidP="005E17D1">
            <w:pPr>
              <w:keepNext w:val="0"/>
              <w:spacing w:before="0"/>
              <w:contextualSpacing/>
              <w:rPr>
                <w:rFonts w:eastAsia="Arial" w:cs="Arial"/>
                <w:bCs/>
                <w:szCs w:val="24"/>
              </w:rPr>
            </w:pPr>
          </w:p>
          <w:p w14:paraId="6E39F292" w14:textId="1C0CD1D2" w:rsidR="00DC5B07" w:rsidRPr="009C12CD" w:rsidRDefault="00DC5B07" w:rsidP="00D01157">
            <w:pPr>
              <w:pStyle w:val="ListParagraph"/>
              <w:numPr>
                <w:ilvl w:val="1"/>
                <w:numId w:val="11"/>
              </w:numPr>
              <w:spacing w:after="0" w:line="240" w:lineRule="auto"/>
              <w:rPr>
                <w:rFonts w:ascii="Arial" w:eastAsia="Arial" w:hAnsi="Arial" w:cs="Arial"/>
                <w:bCs/>
                <w:szCs w:val="24"/>
                <w:lang w:eastAsia="en-GB"/>
              </w:rPr>
            </w:pPr>
            <w:r w:rsidRPr="009C12CD">
              <w:rPr>
                <w:rFonts w:ascii="Arial" w:eastAsia="Arial" w:hAnsi="Arial" w:cs="Arial"/>
                <w:bCs/>
                <w:szCs w:val="24"/>
                <w:lang w:eastAsia="en-GB"/>
              </w:rPr>
              <w:t>It will not prejudice the comprehensive development of an area</w:t>
            </w:r>
            <w:r w:rsidR="005F5595" w:rsidRPr="009C12CD">
              <w:rPr>
                <w:rFonts w:ascii="Arial" w:eastAsia="Arial" w:hAnsi="Arial" w:cs="Arial"/>
                <w:bCs/>
                <w:szCs w:val="24"/>
                <w:lang w:eastAsia="en-GB"/>
              </w:rPr>
              <w:t>;</w:t>
            </w:r>
          </w:p>
          <w:p w14:paraId="7702C5B2" w14:textId="77777777" w:rsidR="00EE1451" w:rsidRPr="009C12CD" w:rsidRDefault="00EE1451" w:rsidP="00EE1451">
            <w:pPr>
              <w:pStyle w:val="ListParagraph"/>
              <w:rPr>
                <w:rFonts w:ascii="Arial" w:eastAsia="Arial" w:hAnsi="Arial" w:cs="Arial"/>
                <w:bCs/>
                <w:szCs w:val="24"/>
                <w:lang w:eastAsia="en-GB"/>
              </w:rPr>
            </w:pPr>
          </w:p>
          <w:p w14:paraId="49EAA1DA" w14:textId="77777777" w:rsidR="00EE1451" w:rsidRPr="009C12CD" w:rsidRDefault="00EE1451" w:rsidP="00EE1451">
            <w:pPr>
              <w:pStyle w:val="ListParagraph"/>
              <w:numPr>
                <w:ilvl w:val="1"/>
                <w:numId w:val="11"/>
              </w:numPr>
              <w:rPr>
                <w:rFonts w:ascii="Arial" w:eastAsia="Arial" w:hAnsi="Arial" w:cs="Arial"/>
                <w:bCs/>
                <w:szCs w:val="24"/>
                <w:lang w:eastAsia="en-GB"/>
              </w:rPr>
            </w:pPr>
            <w:r w:rsidRPr="009C12CD">
              <w:rPr>
                <w:rFonts w:ascii="Arial" w:eastAsia="Arial" w:hAnsi="Arial" w:cs="Arial"/>
                <w:bCs/>
                <w:szCs w:val="24"/>
                <w:lang w:eastAsia="en-GB"/>
              </w:rPr>
              <w:t>It makes effective use of land by:</w:t>
            </w:r>
          </w:p>
          <w:p w14:paraId="65CD2DF8" w14:textId="3474584C" w:rsidR="00EE1451" w:rsidRPr="009C12CD" w:rsidRDefault="00EE1451" w:rsidP="00874A98">
            <w:pPr>
              <w:pStyle w:val="ListParagraph"/>
              <w:numPr>
                <w:ilvl w:val="0"/>
                <w:numId w:val="319"/>
              </w:numPr>
              <w:rPr>
                <w:rFonts w:ascii="Arial" w:eastAsia="Arial" w:hAnsi="Arial" w:cs="Arial"/>
                <w:bCs/>
                <w:szCs w:val="24"/>
                <w:lang w:eastAsia="en-GB"/>
              </w:rPr>
            </w:pPr>
            <w:r w:rsidRPr="009C12CD">
              <w:rPr>
                <w:rFonts w:ascii="Arial" w:eastAsia="Arial" w:hAnsi="Arial" w:cs="Arial"/>
                <w:bCs/>
                <w:szCs w:val="24"/>
                <w:lang w:eastAsia="en-GB"/>
              </w:rPr>
              <w:t>the re-use of previously developed land within main urban areas and named settlements provided it is not of high environmental value;</w:t>
            </w:r>
          </w:p>
          <w:p w14:paraId="32DA2D25" w14:textId="1020213E" w:rsidR="00EE1451" w:rsidRPr="009C12CD" w:rsidRDefault="00EE1451" w:rsidP="00874A98">
            <w:pPr>
              <w:pStyle w:val="ListParagraph"/>
              <w:numPr>
                <w:ilvl w:val="0"/>
                <w:numId w:val="319"/>
              </w:numPr>
              <w:rPr>
                <w:rFonts w:ascii="Arial" w:eastAsia="Arial" w:hAnsi="Arial" w:cs="Arial"/>
                <w:bCs/>
                <w:szCs w:val="24"/>
                <w:lang w:eastAsia="en-GB"/>
              </w:rPr>
            </w:pPr>
            <w:r w:rsidRPr="009C12CD">
              <w:rPr>
                <w:rFonts w:ascii="Arial" w:eastAsia="Arial" w:hAnsi="Arial" w:cs="Arial"/>
                <w:bCs/>
                <w:szCs w:val="24"/>
              </w:rPr>
              <w:t>Achieving appropriate densities</w:t>
            </w:r>
            <w:r w:rsidR="00263588" w:rsidRPr="009C12CD">
              <w:rPr>
                <w:rFonts w:ascii="Arial" w:eastAsia="Arial" w:hAnsi="Arial" w:cs="Arial"/>
                <w:bCs/>
                <w:szCs w:val="24"/>
              </w:rPr>
              <w:t>;</w:t>
            </w:r>
          </w:p>
          <w:p w14:paraId="785D4001" w14:textId="77777777" w:rsidR="00EE1451" w:rsidRPr="009C12CD" w:rsidRDefault="00EE1451" w:rsidP="00EE1451">
            <w:pPr>
              <w:pStyle w:val="ListParagraph"/>
              <w:ind w:left="1324"/>
              <w:rPr>
                <w:rFonts w:ascii="Arial" w:eastAsia="Arial" w:hAnsi="Arial" w:cs="Arial"/>
                <w:bCs/>
                <w:szCs w:val="24"/>
                <w:lang w:eastAsia="en-GB"/>
              </w:rPr>
            </w:pPr>
          </w:p>
          <w:p w14:paraId="30D30E13" w14:textId="77777777" w:rsidR="00D9460E" w:rsidRPr="009C12CD" w:rsidRDefault="00D9460E" w:rsidP="00D01157">
            <w:pPr>
              <w:pStyle w:val="ListParagraph"/>
              <w:numPr>
                <w:ilvl w:val="1"/>
                <w:numId w:val="11"/>
              </w:numPr>
              <w:spacing w:line="240" w:lineRule="auto"/>
              <w:rPr>
                <w:rFonts w:ascii="Arial" w:eastAsia="Arial" w:hAnsi="Arial" w:cs="Arial"/>
                <w:bCs/>
                <w:szCs w:val="24"/>
                <w:lang w:eastAsia="en-GB"/>
              </w:rPr>
            </w:pPr>
            <w:r w:rsidRPr="009C12CD">
              <w:rPr>
                <w:rFonts w:ascii="Arial" w:eastAsia="Arial" w:hAnsi="Arial" w:cs="Arial"/>
                <w:bCs/>
                <w:szCs w:val="24"/>
                <w:lang w:eastAsia="en-GB"/>
              </w:rPr>
              <w:t>It protects the environment and quality of life by:</w:t>
            </w:r>
          </w:p>
          <w:p w14:paraId="13A0D4D1" w14:textId="77777777" w:rsidR="00D9460E" w:rsidRPr="009C12CD" w:rsidRDefault="00D9460E" w:rsidP="00D01157">
            <w:pPr>
              <w:pStyle w:val="ListParagraph"/>
              <w:numPr>
                <w:ilvl w:val="0"/>
                <w:numId w:val="44"/>
              </w:numPr>
              <w:spacing w:line="240" w:lineRule="auto"/>
              <w:rPr>
                <w:rFonts w:ascii="Arial" w:eastAsia="Arial" w:hAnsi="Arial" w:cs="Arial"/>
                <w:bCs/>
                <w:szCs w:val="24"/>
                <w:lang w:eastAsia="en-GB"/>
              </w:rPr>
            </w:pPr>
            <w:r w:rsidRPr="009C12CD">
              <w:rPr>
                <w:rFonts w:ascii="Arial" w:eastAsia="Arial" w:hAnsi="Arial" w:cs="Arial"/>
                <w:bCs/>
                <w:szCs w:val="24"/>
                <w:lang w:eastAsia="en-GB"/>
              </w:rPr>
              <w:t xml:space="preserve">managing and reducing the risk of pollution in relation to the quality of land, air, light and water and </w:t>
            </w:r>
          </w:p>
          <w:p w14:paraId="042464A3" w14:textId="37D62F58" w:rsidR="00D9460E" w:rsidRPr="003C7E62" w:rsidRDefault="00D9460E" w:rsidP="00D01157">
            <w:pPr>
              <w:pStyle w:val="ListParagraph"/>
              <w:numPr>
                <w:ilvl w:val="0"/>
                <w:numId w:val="44"/>
              </w:numPr>
              <w:spacing w:line="240" w:lineRule="auto"/>
              <w:rPr>
                <w:rFonts w:ascii="Arial" w:eastAsia="Arial" w:hAnsi="Arial" w:cs="Arial"/>
                <w:bCs/>
                <w:color w:val="auto"/>
                <w:szCs w:val="24"/>
                <w:lang w:eastAsia="en-GB"/>
              </w:rPr>
            </w:pPr>
            <w:r w:rsidRPr="003C7E62">
              <w:rPr>
                <w:rFonts w:ascii="Arial" w:eastAsia="Arial" w:hAnsi="Arial" w:cs="Arial"/>
                <w:bCs/>
                <w:color w:val="auto"/>
                <w:szCs w:val="24"/>
                <w:lang w:eastAsia="en-GB"/>
              </w:rPr>
              <w:t>ensuring the site is suitable for its proposed use taking account of ground conditions, including land instability and contamination</w:t>
            </w:r>
            <w:r w:rsidR="00263588">
              <w:rPr>
                <w:rFonts w:ascii="Arial" w:eastAsia="Arial" w:hAnsi="Arial" w:cs="Arial"/>
                <w:bCs/>
                <w:color w:val="auto"/>
                <w:szCs w:val="24"/>
                <w:lang w:eastAsia="en-GB"/>
              </w:rPr>
              <w:t>;</w:t>
            </w:r>
          </w:p>
          <w:p w14:paraId="330C3C64" w14:textId="77777777" w:rsidR="005F5595" w:rsidRPr="003C7E62" w:rsidRDefault="005F5595" w:rsidP="005E17D1">
            <w:pPr>
              <w:pStyle w:val="ListParagraph"/>
              <w:spacing w:line="240" w:lineRule="auto"/>
              <w:ind w:left="1324"/>
              <w:rPr>
                <w:rFonts w:ascii="Arial" w:eastAsia="Arial" w:hAnsi="Arial" w:cs="Arial"/>
                <w:bCs/>
                <w:color w:val="auto"/>
                <w:szCs w:val="24"/>
                <w:lang w:eastAsia="en-GB"/>
              </w:rPr>
            </w:pPr>
          </w:p>
          <w:p w14:paraId="57BB88CB" w14:textId="5F7E4B47" w:rsidR="005F5595" w:rsidRPr="003C7E62" w:rsidRDefault="00DC5B07" w:rsidP="00D01157">
            <w:pPr>
              <w:pStyle w:val="ListParagraph"/>
              <w:numPr>
                <w:ilvl w:val="1"/>
                <w:numId w:val="11"/>
              </w:numPr>
              <w:spacing w:after="0" w:line="240" w:lineRule="auto"/>
              <w:rPr>
                <w:rFonts w:ascii="Arial" w:eastAsia="Arial" w:hAnsi="Arial" w:cs="Arial"/>
                <w:bCs/>
                <w:color w:val="auto"/>
                <w:szCs w:val="24"/>
                <w:lang w:eastAsia="en-GB"/>
              </w:rPr>
            </w:pPr>
            <w:r w:rsidRPr="003C7E62">
              <w:rPr>
                <w:rFonts w:ascii="Arial" w:eastAsia="Arial" w:hAnsi="Arial" w:cs="Arial"/>
                <w:bCs/>
                <w:color w:val="auto"/>
                <w:szCs w:val="24"/>
                <w:lang w:eastAsia="en-GB"/>
              </w:rPr>
              <w:t xml:space="preserve">It </w:t>
            </w:r>
            <w:r w:rsidRPr="003C7E62">
              <w:rPr>
                <w:rFonts w:ascii="Arial" w:eastAsia="Arial" w:hAnsi="Arial" w:cs="Arial"/>
                <w:bCs/>
                <w:color w:val="auto"/>
                <w:szCs w:val="24"/>
              </w:rPr>
              <w:t>does not form part of a larger site where there would be a requirement for infrastructure provision if developed as a whole;</w:t>
            </w:r>
          </w:p>
          <w:p w14:paraId="0B1ACE8B" w14:textId="77777777" w:rsidR="005F5595" w:rsidRPr="003C7E62" w:rsidRDefault="005F5595" w:rsidP="005E17D1">
            <w:pPr>
              <w:pStyle w:val="ListParagraph"/>
              <w:spacing w:after="0" w:line="240" w:lineRule="auto"/>
              <w:ind w:left="964"/>
              <w:rPr>
                <w:rFonts w:ascii="Arial" w:eastAsia="Arial" w:hAnsi="Arial" w:cs="Arial"/>
                <w:bCs/>
                <w:color w:val="auto"/>
                <w:szCs w:val="24"/>
                <w:lang w:eastAsia="en-GB"/>
              </w:rPr>
            </w:pPr>
          </w:p>
          <w:p w14:paraId="292C2202" w14:textId="77777777" w:rsidR="00862B71" w:rsidRPr="003C7E62" w:rsidRDefault="00DC5B07" w:rsidP="00D01157">
            <w:pPr>
              <w:keepNext w:val="0"/>
              <w:numPr>
                <w:ilvl w:val="1"/>
                <w:numId w:val="11"/>
              </w:numPr>
              <w:spacing w:before="0"/>
              <w:contextualSpacing/>
              <w:rPr>
                <w:rFonts w:eastAsia="Arial" w:cs="Arial"/>
                <w:bCs/>
                <w:color w:val="auto"/>
                <w:szCs w:val="24"/>
              </w:rPr>
            </w:pPr>
            <w:r w:rsidRPr="003C7E62">
              <w:rPr>
                <w:rFonts w:eastAsia="Arial" w:cs="Arial"/>
                <w:bCs/>
                <w:color w:val="auto"/>
                <w:szCs w:val="24"/>
              </w:rPr>
              <w:t xml:space="preserve">It would not result in piecemeal, unsatisfactory forms of development, </w:t>
            </w:r>
            <w:r w:rsidR="00862B71" w:rsidRPr="003C7E62">
              <w:rPr>
                <w:rFonts w:eastAsia="Arial" w:cs="Arial"/>
                <w:bCs/>
                <w:color w:val="auto"/>
                <w:szCs w:val="24"/>
              </w:rPr>
              <w:t>and</w:t>
            </w:r>
          </w:p>
          <w:p w14:paraId="1D216A50" w14:textId="77777777" w:rsidR="00862B71" w:rsidRPr="003C7E62" w:rsidRDefault="00862B71" w:rsidP="005E17D1">
            <w:pPr>
              <w:rPr>
                <w:rFonts w:eastAsia="Arial" w:cs="Arial"/>
                <w:bCs/>
                <w:color w:val="auto"/>
                <w:szCs w:val="24"/>
              </w:rPr>
            </w:pPr>
          </w:p>
          <w:p w14:paraId="02C178C3" w14:textId="341D0B6A" w:rsidR="00DC5B07" w:rsidRPr="003C7E62" w:rsidRDefault="00DC5B07" w:rsidP="00D01157">
            <w:pPr>
              <w:keepNext w:val="0"/>
              <w:numPr>
                <w:ilvl w:val="1"/>
                <w:numId w:val="11"/>
              </w:numPr>
              <w:spacing w:before="0"/>
              <w:contextualSpacing/>
              <w:rPr>
                <w:rFonts w:eastAsia="Arial" w:cs="Arial"/>
                <w:bCs/>
                <w:color w:val="auto"/>
                <w:szCs w:val="24"/>
              </w:rPr>
            </w:pPr>
            <w:r w:rsidRPr="003C7E62">
              <w:rPr>
                <w:rFonts w:eastAsia="Arial" w:cs="Arial"/>
                <w:bCs/>
                <w:color w:val="auto"/>
                <w:szCs w:val="24"/>
              </w:rPr>
              <w:t xml:space="preserve">proposals </w:t>
            </w:r>
            <w:r w:rsidR="00FF7C78" w:rsidRPr="009C12CD">
              <w:rPr>
                <w:rFonts w:eastAsia="Arial" w:cs="Arial"/>
                <w:bCs/>
                <w:szCs w:val="24"/>
              </w:rPr>
              <w:t xml:space="preserve">reflect a </w:t>
            </w:r>
            <w:r w:rsidR="003962EC" w:rsidRPr="009C12CD">
              <w:rPr>
                <w:rFonts w:eastAsia="Arial" w:cs="Arial"/>
                <w:bCs/>
                <w:szCs w:val="24"/>
              </w:rPr>
              <w:t>high</w:t>
            </w:r>
            <w:r w:rsidR="003962EC" w:rsidRPr="003C7E62">
              <w:rPr>
                <w:rFonts w:eastAsia="Arial" w:cs="Arial"/>
                <w:bCs/>
                <w:color w:val="auto"/>
                <w:szCs w:val="24"/>
              </w:rPr>
              <w:t>-quality</w:t>
            </w:r>
            <w:r w:rsidRPr="003C7E62">
              <w:rPr>
                <w:rFonts w:eastAsia="Arial" w:cs="Arial"/>
                <w:bCs/>
                <w:color w:val="auto"/>
                <w:szCs w:val="24"/>
              </w:rPr>
              <w:t xml:space="preserve"> design and construction, which enhance local character and distinctiveness.</w:t>
            </w:r>
          </w:p>
          <w:p w14:paraId="5342775A" w14:textId="77777777" w:rsidR="00DC5B07" w:rsidRPr="003C7E62" w:rsidRDefault="00DC5B07" w:rsidP="005E17D1">
            <w:pPr>
              <w:keepNext w:val="0"/>
              <w:tabs>
                <w:tab w:val="left" w:pos="680"/>
                <w:tab w:val="left" w:pos="1133"/>
                <w:tab w:val="left" w:pos="2267"/>
              </w:tabs>
              <w:spacing w:before="0"/>
              <w:ind w:right="284"/>
              <w:rPr>
                <w:rFonts w:eastAsia="Arial" w:cs="Arial"/>
                <w:bCs/>
                <w:color w:val="auto"/>
                <w:szCs w:val="24"/>
              </w:rPr>
            </w:pPr>
          </w:p>
          <w:p w14:paraId="37E99F79" w14:textId="21488303" w:rsidR="00DC5B07" w:rsidRPr="003C7E62" w:rsidRDefault="00DC5B07" w:rsidP="00D01157">
            <w:pPr>
              <w:keepNext w:val="0"/>
              <w:numPr>
                <w:ilvl w:val="0"/>
                <w:numId w:val="11"/>
              </w:numPr>
              <w:tabs>
                <w:tab w:val="left" w:pos="680"/>
                <w:tab w:val="left" w:pos="1133"/>
                <w:tab w:val="left" w:pos="2267"/>
              </w:tabs>
              <w:spacing w:before="0"/>
              <w:ind w:right="284"/>
              <w:rPr>
                <w:rFonts w:eastAsia="Arial" w:cs="Arial"/>
                <w:bCs/>
                <w:color w:val="auto"/>
                <w:szCs w:val="24"/>
              </w:rPr>
            </w:pPr>
            <w:r w:rsidRPr="003C7E62">
              <w:rPr>
                <w:rFonts w:eastAsia="Arial" w:cs="Arial"/>
                <w:bCs/>
                <w:color w:val="auto"/>
                <w:szCs w:val="24"/>
              </w:rPr>
              <w:lastRenderedPageBreak/>
              <w:t>Where there are no policies relevant to the application or the policies which are most important for determining the application are out of date at the time of making the decision, the Council will grant permission unless material considerations indicate otherwise, taking into account whether:</w:t>
            </w:r>
          </w:p>
          <w:p w14:paraId="1897C564" w14:textId="77777777" w:rsidR="00DC5B07" w:rsidRPr="003C7E62" w:rsidRDefault="00DC5B07" w:rsidP="005E17D1">
            <w:pPr>
              <w:keepNext w:val="0"/>
              <w:tabs>
                <w:tab w:val="left" w:pos="680"/>
                <w:tab w:val="left" w:pos="1133"/>
                <w:tab w:val="left" w:pos="2267"/>
              </w:tabs>
              <w:spacing w:before="0"/>
              <w:ind w:right="284"/>
              <w:rPr>
                <w:rFonts w:eastAsia="Arial" w:cs="Arial"/>
                <w:bCs/>
                <w:color w:val="auto"/>
                <w:szCs w:val="24"/>
              </w:rPr>
            </w:pPr>
          </w:p>
          <w:p w14:paraId="117C5E67" w14:textId="77777777" w:rsidR="00DC5B07" w:rsidRPr="003C7E62" w:rsidRDefault="00DC5B07" w:rsidP="00D01157">
            <w:pPr>
              <w:keepNext w:val="0"/>
              <w:numPr>
                <w:ilvl w:val="0"/>
                <w:numId w:val="12"/>
              </w:numPr>
              <w:tabs>
                <w:tab w:val="left" w:pos="1133"/>
                <w:tab w:val="left" w:pos="2267"/>
              </w:tabs>
              <w:spacing w:before="0"/>
              <w:ind w:right="284"/>
              <w:rPr>
                <w:rFonts w:eastAsia="Arial" w:cs="Arial"/>
                <w:bCs/>
                <w:color w:val="auto"/>
                <w:szCs w:val="24"/>
              </w:rPr>
            </w:pPr>
            <w:r w:rsidRPr="003C7E62">
              <w:rPr>
                <w:rFonts w:eastAsia="Arial" w:cs="Arial"/>
                <w:bCs/>
                <w:color w:val="auto"/>
                <w:szCs w:val="24"/>
              </w:rPr>
              <w:t xml:space="preserve">Application of policies within the National Planning Policy Framework that protect areas or assets of particular importance provide a clear reason for refusing the development proposed, or </w:t>
            </w:r>
          </w:p>
          <w:p w14:paraId="6B3E5D6C" w14:textId="77777777" w:rsidR="00DC5B07" w:rsidRPr="003C7E62" w:rsidRDefault="00DC5B07" w:rsidP="005E17D1">
            <w:pPr>
              <w:keepNext w:val="0"/>
              <w:tabs>
                <w:tab w:val="left" w:pos="1133"/>
                <w:tab w:val="left" w:pos="2267"/>
              </w:tabs>
              <w:spacing w:before="0"/>
              <w:ind w:left="964" w:right="284"/>
              <w:rPr>
                <w:rFonts w:eastAsia="Arial" w:cs="Arial"/>
                <w:bCs/>
                <w:color w:val="auto"/>
                <w:szCs w:val="24"/>
              </w:rPr>
            </w:pPr>
            <w:r w:rsidRPr="003C7E62">
              <w:rPr>
                <w:rFonts w:eastAsia="Arial" w:cs="Arial"/>
                <w:bCs/>
                <w:color w:val="auto"/>
                <w:szCs w:val="24"/>
              </w:rPr>
              <w:t xml:space="preserve">  </w:t>
            </w:r>
          </w:p>
          <w:p w14:paraId="5292E76D" w14:textId="77777777" w:rsidR="00DC5B07" w:rsidRPr="003C7E62" w:rsidRDefault="00DC5B07" w:rsidP="00D01157">
            <w:pPr>
              <w:keepNext w:val="0"/>
              <w:numPr>
                <w:ilvl w:val="0"/>
                <w:numId w:val="12"/>
              </w:numPr>
              <w:spacing w:before="0"/>
              <w:contextualSpacing/>
              <w:rPr>
                <w:rFonts w:eastAsia="Arial" w:cs="Arial"/>
                <w:bCs/>
                <w:color w:val="auto"/>
                <w:szCs w:val="24"/>
              </w:rPr>
            </w:pPr>
            <w:r w:rsidRPr="003C7E62">
              <w:rPr>
                <w:rFonts w:eastAsia="Arial" w:cs="Arial"/>
                <w:bCs/>
                <w:color w:val="auto"/>
                <w:szCs w:val="24"/>
              </w:rPr>
              <w:t>Any adverse impacts of granting permission would significantly and demonstrably outweigh the benefits, when assessed against the policies in the National Planning Policy Framework (NPPF) taken as a whole.</w:t>
            </w:r>
          </w:p>
          <w:p w14:paraId="68C52FB7" w14:textId="77777777" w:rsidR="00DC5B07" w:rsidRPr="003C7E62" w:rsidRDefault="00DC5B07" w:rsidP="005E17D1">
            <w:pPr>
              <w:keepNext w:val="0"/>
              <w:spacing w:before="0"/>
              <w:contextualSpacing/>
              <w:rPr>
                <w:rFonts w:eastAsia="Arial" w:cs="Arial"/>
                <w:bCs/>
                <w:color w:val="auto"/>
                <w:szCs w:val="24"/>
              </w:rPr>
            </w:pPr>
          </w:p>
          <w:p w14:paraId="6FC467A1" w14:textId="1B8BDC43" w:rsidR="00DC5B07" w:rsidRPr="003C7E62" w:rsidRDefault="00DC5B07" w:rsidP="00D01157">
            <w:pPr>
              <w:keepNext w:val="0"/>
              <w:numPr>
                <w:ilvl w:val="0"/>
                <w:numId w:val="11"/>
              </w:numPr>
              <w:tabs>
                <w:tab w:val="left" w:pos="680"/>
                <w:tab w:val="left" w:pos="1133"/>
                <w:tab w:val="left" w:pos="2267"/>
              </w:tabs>
              <w:spacing w:before="0"/>
              <w:ind w:right="284"/>
              <w:rPr>
                <w:rFonts w:eastAsia="Arial" w:cs="Arial"/>
                <w:bCs/>
                <w:color w:val="auto"/>
                <w:szCs w:val="24"/>
              </w:rPr>
            </w:pPr>
            <w:r w:rsidRPr="003C7E62">
              <w:rPr>
                <w:rFonts w:eastAsia="Arial" w:cs="Arial"/>
                <w:bCs/>
                <w:color w:val="auto"/>
                <w:szCs w:val="24"/>
              </w:rPr>
              <w:t xml:space="preserve">All development should be located, designed, constructed and operated so as to maximise </w:t>
            </w:r>
            <w:r w:rsidR="00945E91">
              <w:rPr>
                <w:rFonts w:eastAsia="Arial" w:cs="Arial"/>
                <w:bCs/>
                <w:color w:val="auto"/>
                <w:szCs w:val="24"/>
              </w:rPr>
              <w:t xml:space="preserve">and deliver </w:t>
            </w:r>
            <w:r w:rsidRPr="003C7E62">
              <w:rPr>
                <w:rFonts w:eastAsia="Arial" w:cs="Arial"/>
                <w:bCs/>
                <w:color w:val="auto"/>
                <w:szCs w:val="24"/>
              </w:rPr>
              <w:t>social value.</w:t>
            </w:r>
          </w:p>
          <w:p w14:paraId="5CC877C2" w14:textId="77777777" w:rsidR="00DC5B07" w:rsidRPr="003C7E62" w:rsidRDefault="00DC5B07" w:rsidP="005E17D1">
            <w:pPr>
              <w:keepNext w:val="0"/>
              <w:tabs>
                <w:tab w:val="left" w:pos="680"/>
                <w:tab w:val="left" w:pos="1133"/>
                <w:tab w:val="left" w:pos="2267"/>
              </w:tabs>
              <w:spacing w:before="0"/>
              <w:ind w:left="360" w:right="284"/>
              <w:rPr>
                <w:rFonts w:eastAsia="Arial" w:cs="Arial"/>
                <w:bCs/>
                <w:color w:val="auto"/>
                <w:szCs w:val="24"/>
              </w:rPr>
            </w:pPr>
          </w:p>
        </w:tc>
      </w:tr>
      <w:tr w:rsidR="00DC5B07" w:rsidRPr="003C7E62" w14:paraId="30B4165A" w14:textId="77777777" w:rsidTr="009D4C91">
        <w:tc>
          <w:tcPr>
            <w:tcW w:w="2552" w:type="dxa"/>
            <w:shd w:val="clear" w:color="auto" w:fill="auto"/>
          </w:tcPr>
          <w:p w14:paraId="5753C0CD" w14:textId="77777777" w:rsidR="00DC5B07" w:rsidRPr="00D46943" w:rsidRDefault="00DC5B07" w:rsidP="005A3E46">
            <w:pPr>
              <w:keepNext w:val="0"/>
              <w:tabs>
                <w:tab w:val="left" w:pos="680"/>
                <w:tab w:val="left" w:pos="1133"/>
                <w:tab w:val="left" w:pos="2267"/>
              </w:tabs>
              <w:spacing w:before="0"/>
              <w:ind w:right="284"/>
              <w:rPr>
                <w:rFonts w:eastAsia="Arial" w:cs="Arial"/>
                <w:bCs/>
                <w:color w:val="auto"/>
                <w:sz w:val="20"/>
              </w:rPr>
            </w:pPr>
            <w:r w:rsidRPr="00D46943">
              <w:rPr>
                <w:rFonts w:eastAsia="Arial" w:cs="Arial"/>
                <w:bCs/>
                <w:color w:val="auto"/>
                <w:sz w:val="20"/>
              </w:rPr>
              <w:lastRenderedPageBreak/>
              <w:t>Evidence base</w:t>
            </w:r>
          </w:p>
        </w:tc>
        <w:tc>
          <w:tcPr>
            <w:tcW w:w="6946" w:type="dxa"/>
            <w:gridSpan w:val="2"/>
            <w:shd w:val="clear" w:color="auto" w:fill="auto"/>
          </w:tcPr>
          <w:p w14:paraId="43185203" w14:textId="0F8C56F8" w:rsidR="00DC5B07" w:rsidRPr="009C12CD" w:rsidRDefault="00DC5B07" w:rsidP="005A3E46">
            <w:pPr>
              <w:keepNext w:val="0"/>
              <w:numPr>
                <w:ilvl w:val="0"/>
                <w:numId w:val="13"/>
              </w:numPr>
              <w:tabs>
                <w:tab w:val="left" w:pos="680"/>
                <w:tab w:val="left" w:pos="1133"/>
                <w:tab w:val="left" w:pos="2267"/>
              </w:tabs>
              <w:spacing w:before="0" w:after="160" w:line="252" w:lineRule="auto"/>
              <w:ind w:right="284"/>
              <w:contextualSpacing/>
              <w:rPr>
                <w:rFonts w:eastAsia="Arial" w:cs="Arial"/>
                <w:bCs/>
                <w:sz w:val="20"/>
              </w:rPr>
            </w:pPr>
            <w:r w:rsidRPr="00D46943">
              <w:rPr>
                <w:rFonts w:eastAsia="Arial" w:cs="Arial"/>
                <w:bCs/>
                <w:color w:val="auto"/>
                <w:sz w:val="20"/>
              </w:rPr>
              <w:t>Sustainability Appraisal</w:t>
            </w:r>
            <w:r w:rsidR="006549CC" w:rsidRPr="00D46943">
              <w:rPr>
                <w:rFonts w:eastAsia="Arial" w:cs="Arial"/>
                <w:bCs/>
                <w:color w:val="auto"/>
                <w:sz w:val="20"/>
              </w:rPr>
              <w:t xml:space="preserve">, </w:t>
            </w:r>
            <w:r w:rsidR="006549CC" w:rsidRPr="009C12CD">
              <w:rPr>
                <w:rFonts w:eastAsia="Arial" w:cs="Arial"/>
                <w:bCs/>
                <w:sz w:val="20"/>
              </w:rPr>
              <w:t>202</w:t>
            </w:r>
            <w:r w:rsidR="00D411FD" w:rsidRPr="009C12CD">
              <w:rPr>
                <w:rFonts w:eastAsia="Arial" w:cs="Arial"/>
                <w:bCs/>
                <w:sz w:val="20"/>
              </w:rPr>
              <w:t>3</w:t>
            </w:r>
            <w:r w:rsidR="00017F77" w:rsidRPr="009C12CD">
              <w:rPr>
                <w:rFonts w:eastAsia="Arial" w:cs="Arial"/>
                <w:bCs/>
                <w:sz w:val="20"/>
              </w:rPr>
              <w:t xml:space="preserve">. WSP UK Limited.  </w:t>
            </w:r>
          </w:p>
          <w:p w14:paraId="170F1941" w14:textId="5D65D4C9" w:rsidR="00DC5B07" w:rsidRPr="009C12CD" w:rsidRDefault="00DC5B07" w:rsidP="005A3E46">
            <w:pPr>
              <w:keepNext w:val="0"/>
              <w:numPr>
                <w:ilvl w:val="0"/>
                <w:numId w:val="13"/>
              </w:numPr>
              <w:tabs>
                <w:tab w:val="left" w:pos="680"/>
                <w:tab w:val="left" w:pos="1133"/>
                <w:tab w:val="left" w:pos="2267"/>
              </w:tabs>
              <w:spacing w:before="0" w:after="160" w:line="252" w:lineRule="auto"/>
              <w:ind w:right="284"/>
              <w:contextualSpacing/>
              <w:rPr>
                <w:rFonts w:eastAsia="Arial" w:cs="Arial"/>
                <w:bCs/>
                <w:sz w:val="20"/>
              </w:rPr>
            </w:pPr>
            <w:r w:rsidRPr="009C12CD">
              <w:rPr>
                <w:rFonts w:eastAsia="Arial" w:cs="Arial"/>
                <w:bCs/>
                <w:sz w:val="20"/>
              </w:rPr>
              <w:t>Social Value Portal</w:t>
            </w:r>
            <w:r w:rsidR="006549CC" w:rsidRPr="009C12CD">
              <w:rPr>
                <w:rFonts w:eastAsia="Arial" w:cs="Arial"/>
                <w:bCs/>
                <w:sz w:val="20"/>
              </w:rPr>
              <w:t>, August 2021.</w:t>
            </w:r>
          </w:p>
          <w:p w14:paraId="1D0D3994" w14:textId="77777777" w:rsidR="00CB51F1" w:rsidRPr="00CB51F1" w:rsidRDefault="00CB51F1" w:rsidP="005A3E46">
            <w:pPr>
              <w:keepNext w:val="0"/>
              <w:numPr>
                <w:ilvl w:val="0"/>
                <w:numId w:val="13"/>
              </w:numPr>
              <w:tabs>
                <w:tab w:val="left" w:pos="680"/>
                <w:tab w:val="left" w:pos="1133"/>
                <w:tab w:val="left" w:pos="2267"/>
              </w:tabs>
              <w:spacing w:before="0" w:after="160" w:line="252" w:lineRule="auto"/>
              <w:ind w:right="284"/>
              <w:contextualSpacing/>
              <w:rPr>
                <w:rFonts w:eastAsia="Arial" w:cs="Arial"/>
                <w:bCs/>
                <w:color w:val="auto"/>
                <w:sz w:val="20"/>
              </w:rPr>
            </w:pPr>
            <w:r w:rsidRPr="009C12CD">
              <w:rPr>
                <w:rFonts w:eastAsia="Arial" w:cs="Arial"/>
                <w:bCs/>
                <w:sz w:val="20"/>
              </w:rPr>
              <w:t>Ashfield Social Value Policy, 2020.  Ashfield District Coun</w:t>
            </w:r>
            <w:r w:rsidRPr="00CB51F1">
              <w:rPr>
                <w:rFonts w:eastAsia="Arial" w:cs="Arial"/>
                <w:bCs/>
                <w:color w:val="auto"/>
                <w:sz w:val="20"/>
              </w:rPr>
              <w:t>cil</w:t>
            </w:r>
          </w:p>
          <w:p w14:paraId="1F66B257" w14:textId="77777777" w:rsidR="00CB51F1" w:rsidRPr="00CB51F1" w:rsidRDefault="00CB51F1" w:rsidP="005A3E46">
            <w:pPr>
              <w:keepNext w:val="0"/>
              <w:numPr>
                <w:ilvl w:val="0"/>
                <w:numId w:val="13"/>
              </w:numPr>
              <w:tabs>
                <w:tab w:val="left" w:pos="680"/>
                <w:tab w:val="left" w:pos="1133"/>
                <w:tab w:val="left" w:pos="2267"/>
              </w:tabs>
              <w:spacing w:before="0" w:after="160" w:line="252" w:lineRule="auto"/>
              <w:ind w:right="284"/>
              <w:contextualSpacing/>
              <w:rPr>
                <w:rFonts w:eastAsia="Arial" w:cs="Arial"/>
                <w:bCs/>
                <w:color w:val="auto"/>
                <w:sz w:val="20"/>
              </w:rPr>
            </w:pPr>
            <w:r w:rsidRPr="00CB51F1">
              <w:rPr>
                <w:rFonts w:eastAsia="Arial" w:cs="Arial"/>
                <w:bCs/>
                <w:color w:val="auto"/>
                <w:sz w:val="20"/>
              </w:rPr>
              <w:t>Ashfield Health and Wellbeing Partnership Strategy Be Healthy, Be Happy, 2021 – 2025 Ashfield Health and Wellbeing Partnership.</w:t>
            </w:r>
          </w:p>
          <w:p w14:paraId="41D489B3" w14:textId="77777777" w:rsidR="00CB51F1" w:rsidRPr="00716A70" w:rsidRDefault="00CB51F1" w:rsidP="005A3E46">
            <w:pPr>
              <w:keepNext w:val="0"/>
              <w:numPr>
                <w:ilvl w:val="0"/>
                <w:numId w:val="13"/>
              </w:numPr>
              <w:tabs>
                <w:tab w:val="left" w:pos="680"/>
                <w:tab w:val="left" w:pos="1133"/>
                <w:tab w:val="left" w:pos="2267"/>
              </w:tabs>
              <w:spacing w:before="0" w:after="160" w:line="252" w:lineRule="auto"/>
              <w:ind w:right="284"/>
              <w:contextualSpacing/>
              <w:rPr>
                <w:rFonts w:eastAsia="Arial" w:cs="Arial"/>
                <w:bCs/>
                <w:color w:val="auto"/>
                <w:sz w:val="20"/>
              </w:rPr>
            </w:pPr>
            <w:r w:rsidRPr="00716A70">
              <w:rPr>
                <w:rFonts w:eastAsia="Arial" w:cs="Arial"/>
                <w:bCs/>
                <w:color w:val="auto"/>
                <w:sz w:val="20"/>
              </w:rPr>
              <w:t xml:space="preserve">Ashfield Community Partnership Strategic Plan 2019-2022 </w:t>
            </w:r>
          </w:p>
          <w:p w14:paraId="11B3668E" w14:textId="77777777" w:rsidR="00CB51F1" w:rsidRPr="00716A70" w:rsidRDefault="00CB51F1" w:rsidP="005A3E46">
            <w:pPr>
              <w:keepNext w:val="0"/>
              <w:numPr>
                <w:ilvl w:val="0"/>
                <w:numId w:val="13"/>
              </w:numPr>
              <w:tabs>
                <w:tab w:val="left" w:pos="680"/>
                <w:tab w:val="left" w:pos="1133"/>
                <w:tab w:val="left" w:pos="2267"/>
              </w:tabs>
              <w:spacing w:before="0" w:after="160" w:line="252" w:lineRule="auto"/>
              <w:ind w:right="284"/>
              <w:contextualSpacing/>
              <w:rPr>
                <w:rFonts w:eastAsia="Arial" w:cs="Arial"/>
                <w:bCs/>
                <w:color w:val="auto"/>
                <w:sz w:val="20"/>
              </w:rPr>
            </w:pPr>
            <w:r w:rsidRPr="00716A70">
              <w:rPr>
                <w:rFonts w:eastAsia="Arial" w:cs="Arial"/>
                <w:bCs/>
                <w:color w:val="auto"/>
                <w:sz w:val="20"/>
              </w:rPr>
              <w:t>Ashfield Community Partnership Strategic Assessment 2019-2022</w:t>
            </w:r>
          </w:p>
          <w:p w14:paraId="39489620" w14:textId="205D8EE0" w:rsidR="00DC5B07" w:rsidRPr="00D46943" w:rsidRDefault="00DC5B07" w:rsidP="005A3E46">
            <w:pPr>
              <w:keepNext w:val="0"/>
              <w:numPr>
                <w:ilvl w:val="0"/>
                <w:numId w:val="13"/>
              </w:numPr>
              <w:tabs>
                <w:tab w:val="left" w:pos="680"/>
                <w:tab w:val="left" w:pos="1133"/>
                <w:tab w:val="left" w:pos="2267"/>
              </w:tabs>
              <w:spacing w:before="0" w:after="160" w:line="252" w:lineRule="auto"/>
              <w:ind w:right="284"/>
              <w:contextualSpacing/>
              <w:rPr>
                <w:rFonts w:eastAsia="Arial" w:cs="Arial"/>
                <w:bCs/>
                <w:color w:val="auto"/>
                <w:sz w:val="20"/>
              </w:rPr>
            </w:pPr>
            <w:r w:rsidRPr="00D46943">
              <w:rPr>
                <w:rFonts w:eastAsia="Arial" w:cs="Arial"/>
                <w:bCs/>
                <w:color w:val="auto"/>
                <w:sz w:val="20"/>
              </w:rPr>
              <w:t>Annual Monitoring Report</w:t>
            </w:r>
            <w:r w:rsidR="006549CC" w:rsidRPr="00D46943">
              <w:rPr>
                <w:rFonts w:eastAsia="Arial" w:cs="Arial"/>
                <w:bCs/>
                <w:color w:val="auto"/>
                <w:sz w:val="20"/>
              </w:rPr>
              <w:t xml:space="preserve">, Annually </w:t>
            </w:r>
            <w:r w:rsidRPr="00D46943">
              <w:rPr>
                <w:rFonts w:eastAsia="Arial" w:cs="Arial"/>
                <w:bCs/>
                <w:color w:val="auto"/>
                <w:sz w:val="20"/>
              </w:rPr>
              <w:t>– Ashfield District Council</w:t>
            </w:r>
            <w:r w:rsidR="00617AEA" w:rsidRPr="00D46943">
              <w:rPr>
                <w:rFonts w:eastAsia="Arial" w:cs="Arial"/>
                <w:bCs/>
                <w:color w:val="auto"/>
                <w:sz w:val="20"/>
              </w:rPr>
              <w:t>.</w:t>
            </w:r>
          </w:p>
        </w:tc>
      </w:tr>
      <w:tr w:rsidR="00DC5B07" w:rsidRPr="003C7E62" w14:paraId="13511171" w14:textId="77777777" w:rsidTr="009D4C91">
        <w:tc>
          <w:tcPr>
            <w:tcW w:w="2552" w:type="dxa"/>
            <w:shd w:val="clear" w:color="auto" w:fill="auto"/>
          </w:tcPr>
          <w:p w14:paraId="07CA548A" w14:textId="68FAD1A1" w:rsidR="00DC5B07" w:rsidRPr="00D46943" w:rsidRDefault="00DC5B07" w:rsidP="005A3E46">
            <w:pPr>
              <w:keepNext w:val="0"/>
              <w:tabs>
                <w:tab w:val="left" w:pos="680"/>
                <w:tab w:val="left" w:pos="1133"/>
                <w:tab w:val="left" w:pos="2267"/>
              </w:tabs>
              <w:spacing w:before="0"/>
              <w:ind w:right="284"/>
              <w:rPr>
                <w:rFonts w:eastAsia="Arial" w:cs="Arial"/>
                <w:bCs/>
                <w:color w:val="auto"/>
                <w:sz w:val="20"/>
              </w:rPr>
            </w:pPr>
            <w:r w:rsidRPr="00D46943">
              <w:rPr>
                <w:rFonts w:eastAsia="Arial" w:cs="Arial"/>
                <w:bCs/>
                <w:color w:val="auto"/>
                <w:sz w:val="20"/>
              </w:rPr>
              <w:t xml:space="preserve">National Planning Policy </w:t>
            </w:r>
            <w:r w:rsidR="00B8736C" w:rsidRPr="00D46943">
              <w:rPr>
                <w:rFonts w:eastAsia="Arial" w:cs="Arial"/>
                <w:bCs/>
                <w:color w:val="auto"/>
                <w:sz w:val="20"/>
              </w:rPr>
              <w:t>and</w:t>
            </w:r>
            <w:r w:rsidRPr="00D46943">
              <w:rPr>
                <w:rFonts w:eastAsia="Arial" w:cs="Arial"/>
                <w:bCs/>
                <w:color w:val="auto"/>
                <w:sz w:val="20"/>
              </w:rPr>
              <w:t xml:space="preserve"> Guidance</w:t>
            </w:r>
          </w:p>
        </w:tc>
        <w:tc>
          <w:tcPr>
            <w:tcW w:w="6946" w:type="dxa"/>
            <w:gridSpan w:val="2"/>
            <w:shd w:val="clear" w:color="auto" w:fill="auto"/>
          </w:tcPr>
          <w:p w14:paraId="7819DD70" w14:textId="5A9A6068" w:rsidR="00DC5B07" w:rsidRPr="00D46943" w:rsidRDefault="00DC5B07" w:rsidP="00874A98">
            <w:pPr>
              <w:pStyle w:val="ListParagraph"/>
              <w:numPr>
                <w:ilvl w:val="0"/>
                <w:numId w:val="105"/>
              </w:numPr>
              <w:tabs>
                <w:tab w:val="left" w:pos="680"/>
                <w:tab w:val="left" w:pos="1133"/>
                <w:tab w:val="left" w:pos="2267"/>
              </w:tabs>
              <w:ind w:right="284"/>
              <w:rPr>
                <w:rFonts w:ascii="Arial" w:eastAsia="Arial" w:hAnsi="Arial" w:cs="Arial"/>
                <w:bCs/>
                <w:color w:val="auto"/>
                <w:sz w:val="20"/>
              </w:rPr>
            </w:pPr>
            <w:r w:rsidRPr="00D46943">
              <w:rPr>
                <w:rFonts w:ascii="Arial" w:eastAsia="Arial" w:hAnsi="Arial" w:cs="Arial"/>
                <w:bCs/>
                <w:color w:val="auto"/>
                <w:sz w:val="20"/>
              </w:rPr>
              <w:t xml:space="preserve">NPPF </w:t>
            </w:r>
            <w:r w:rsidR="006549CC" w:rsidRPr="00D46943">
              <w:rPr>
                <w:rFonts w:ascii="Arial" w:eastAsia="Arial" w:hAnsi="Arial" w:cs="Arial"/>
                <w:bCs/>
                <w:color w:val="auto"/>
                <w:sz w:val="20"/>
              </w:rPr>
              <w:t>20</w:t>
            </w:r>
            <w:r w:rsidR="00A74E08" w:rsidRPr="00D46943">
              <w:rPr>
                <w:rFonts w:ascii="Arial" w:eastAsia="Arial" w:hAnsi="Arial" w:cs="Arial"/>
                <w:bCs/>
                <w:color w:val="auto"/>
                <w:sz w:val="20"/>
              </w:rPr>
              <w:t>2</w:t>
            </w:r>
            <w:r w:rsidR="00A37A61">
              <w:rPr>
                <w:rFonts w:ascii="Arial" w:eastAsia="Arial" w:hAnsi="Arial" w:cs="Arial"/>
                <w:bCs/>
                <w:color w:val="auto"/>
                <w:sz w:val="20"/>
              </w:rPr>
              <w:t>3</w:t>
            </w:r>
            <w:r w:rsidR="00617AEA" w:rsidRPr="00D46943">
              <w:rPr>
                <w:rFonts w:ascii="Arial" w:eastAsia="Arial" w:hAnsi="Arial" w:cs="Arial"/>
                <w:bCs/>
                <w:color w:val="auto"/>
                <w:sz w:val="20"/>
              </w:rPr>
              <w:t>.</w:t>
            </w:r>
          </w:p>
        </w:tc>
      </w:tr>
      <w:bookmarkEnd w:id="41"/>
    </w:tbl>
    <w:p w14:paraId="483C13C5" w14:textId="77777777" w:rsidR="00FA0A04" w:rsidRDefault="00FA0A04" w:rsidP="00FA0A04">
      <w:pPr>
        <w:keepNext w:val="0"/>
        <w:spacing w:before="0"/>
        <w:ind w:left="709"/>
        <w:rPr>
          <w:rFonts w:cs="Arial"/>
          <w:color w:val="auto"/>
          <w:szCs w:val="24"/>
          <w:lang w:eastAsia="en-US"/>
        </w:rPr>
      </w:pPr>
    </w:p>
    <w:p w14:paraId="555F696F" w14:textId="64092221" w:rsidR="005E21D7" w:rsidRPr="00FA0A04" w:rsidRDefault="005E21D7" w:rsidP="00636D0F">
      <w:pPr>
        <w:keepNext w:val="0"/>
        <w:numPr>
          <w:ilvl w:val="1"/>
          <w:numId w:val="306"/>
        </w:numPr>
        <w:autoSpaceDE w:val="0"/>
        <w:autoSpaceDN w:val="0"/>
        <w:adjustRightInd w:val="0"/>
        <w:spacing w:before="0"/>
        <w:ind w:left="851" w:hanging="851"/>
        <w:rPr>
          <w:rFonts w:cs="Arial"/>
          <w:color w:val="auto"/>
          <w:szCs w:val="24"/>
          <w:lang w:eastAsia="en-US"/>
        </w:rPr>
      </w:pPr>
      <w:r w:rsidRPr="00FA0A04">
        <w:rPr>
          <w:rFonts w:cs="Arial"/>
          <w:color w:val="auto"/>
          <w:szCs w:val="24"/>
        </w:rPr>
        <w:t>Policy S</w:t>
      </w:r>
      <w:r w:rsidR="00FA0A04">
        <w:rPr>
          <w:rFonts w:cs="Arial"/>
          <w:color w:val="auto"/>
          <w:szCs w:val="24"/>
        </w:rPr>
        <w:t>2</w:t>
      </w:r>
      <w:r w:rsidRPr="00FA0A04">
        <w:rPr>
          <w:rFonts w:cs="Arial"/>
          <w:color w:val="auto"/>
          <w:szCs w:val="24"/>
        </w:rPr>
        <w:t xml:space="preserve"> sets out the Councils approach to sustainable development, including social value.  It represents the general policy against which all development proposals will be assessed irrespective of land use.  It enshrines the presumption in favour of sustainable development and outlines the basic criteria which all development proposals must satisfy, it also applies to all the land use-based policies in the Plan.</w:t>
      </w:r>
    </w:p>
    <w:p w14:paraId="485CBBC3" w14:textId="77777777" w:rsidR="005E21D7" w:rsidRDefault="005E21D7" w:rsidP="005E21D7">
      <w:pPr>
        <w:pStyle w:val="ListParagraph"/>
        <w:spacing w:after="0" w:line="240" w:lineRule="auto"/>
        <w:rPr>
          <w:rFonts w:cs="Arial"/>
          <w:color w:val="auto"/>
          <w:szCs w:val="24"/>
        </w:rPr>
      </w:pPr>
    </w:p>
    <w:p w14:paraId="3617E0FB" w14:textId="77777777" w:rsidR="00FA0A04" w:rsidRDefault="005E21D7" w:rsidP="00636D0F">
      <w:pPr>
        <w:keepNext w:val="0"/>
        <w:numPr>
          <w:ilvl w:val="1"/>
          <w:numId w:val="306"/>
        </w:numPr>
        <w:autoSpaceDE w:val="0"/>
        <w:autoSpaceDN w:val="0"/>
        <w:adjustRightInd w:val="0"/>
        <w:spacing w:before="0"/>
        <w:ind w:left="851" w:hanging="851"/>
        <w:rPr>
          <w:rFonts w:cs="Arial"/>
          <w:color w:val="auto"/>
          <w:szCs w:val="24"/>
          <w:lang w:eastAsia="en-US"/>
        </w:rPr>
      </w:pPr>
      <w:r w:rsidRPr="005E21D7">
        <w:rPr>
          <w:rFonts w:cs="Arial"/>
          <w:color w:val="auto"/>
          <w:szCs w:val="24"/>
        </w:rPr>
        <w:t>The Council has adopted a positive approach in seeking to meet the objectively assessed development needs of the District. The policies in the Local Plan provide a clear framework to guide development that creates positive, sustainable growth, enabling proposals that accord with the Plan objectives to be approved without delay.  Development is required to make effective use of land while safeguarding and improving the environment and ensuring the health/ wellbeing of the community.</w:t>
      </w:r>
    </w:p>
    <w:p w14:paraId="2F51DF36" w14:textId="77777777" w:rsidR="00FA0A04" w:rsidRDefault="00FA0A04" w:rsidP="00FA0A04">
      <w:pPr>
        <w:keepNext w:val="0"/>
        <w:spacing w:before="0"/>
        <w:ind w:left="709"/>
        <w:rPr>
          <w:rFonts w:cs="Arial"/>
          <w:color w:val="auto"/>
          <w:szCs w:val="24"/>
          <w:lang w:eastAsia="en-US"/>
        </w:rPr>
      </w:pPr>
    </w:p>
    <w:p w14:paraId="7E000E7B" w14:textId="4D1EBD52" w:rsidR="003962EC" w:rsidRPr="00FA0A04" w:rsidRDefault="005E21D7" w:rsidP="00636D0F">
      <w:pPr>
        <w:keepNext w:val="0"/>
        <w:numPr>
          <w:ilvl w:val="1"/>
          <w:numId w:val="306"/>
        </w:numPr>
        <w:autoSpaceDE w:val="0"/>
        <w:autoSpaceDN w:val="0"/>
        <w:adjustRightInd w:val="0"/>
        <w:spacing w:before="0"/>
        <w:ind w:left="851" w:hanging="851"/>
        <w:rPr>
          <w:rFonts w:cs="Arial"/>
          <w:color w:val="auto"/>
          <w:szCs w:val="24"/>
          <w:lang w:eastAsia="en-US"/>
        </w:rPr>
      </w:pPr>
      <w:r w:rsidRPr="00FA0A04">
        <w:rPr>
          <w:rFonts w:cs="Arial"/>
          <w:color w:val="auto"/>
          <w:szCs w:val="24"/>
        </w:rPr>
        <w:t>A development must not adversely affect the character, quality, amenity or safety of the built or natural environment, wherever it occurs. This will include the need to protect open spaces and playing fields in urban areas and elsewhere. The appearance of a proposed development and its relationship with its surroundings are a key factor and the Council will require good quality design solutions which respect and enhance the local character of an area.</w:t>
      </w:r>
    </w:p>
    <w:p w14:paraId="359606E7" w14:textId="77777777" w:rsidR="005E21D7" w:rsidRPr="005E21D7" w:rsidRDefault="005E21D7" w:rsidP="005E21D7">
      <w:pPr>
        <w:keepNext w:val="0"/>
        <w:spacing w:before="0"/>
        <w:rPr>
          <w:rFonts w:cs="Arial"/>
          <w:color w:val="auto"/>
          <w:szCs w:val="24"/>
          <w:lang w:eastAsia="en-US"/>
        </w:rPr>
      </w:pPr>
    </w:p>
    <w:p w14:paraId="417324D4" w14:textId="68A3B840" w:rsidR="005E17D1" w:rsidRDefault="005E17D1" w:rsidP="00285BC7">
      <w:pPr>
        <w:keepNext w:val="0"/>
        <w:spacing w:before="0"/>
        <w:ind w:firstLine="851"/>
        <w:rPr>
          <w:rFonts w:cs="Arial"/>
          <w:color w:val="auto"/>
          <w:szCs w:val="24"/>
        </w:rPr>
      </w:pPr>
      <w:r w:rsidRPr="005E17D1">
        <w:rPr>
          <w:rFonts w:asciiTheme="minorHAnsi" w:eastAsia="Arial" w:hAnsiTheme="minorHAnsi" w:cs="Arial"/>
          <w:noProof/>
          <w:color w:val="FF0000"/>
          <w:sz w:val="22"/>
          <w:szCs w:val="22"/>
        </w:rPr>
        <w:lastRenderedPageBreak/>
        <mc:AlternateContent>
          <mc:Choice Requires="wps">
            <w:drawing>
              <wp:inline distT="0" distB="0" distL="0" distR="0" wp14:anchorId="2BDE29F8" wp14:editId="10752B6F">
                <wp:extent cx="5391150" cy="4171950"/>
                <wp:effectExtent l="0" t="0" r="19050" b="19050"/>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1150" cy="4171950"/>
                        </a:xfrm>
                        <a:prstGeom prst="rect">
                          <a:avLst/>
                        </a:prstGeom>
                        <a:solidFill>
                          <a:schemeClr val="accent6">
                            <a:lumMod val="60000"/>
                            <a:lumOff val="40000"/>
                          </a:schemeClr>
                        </a:solidFill>
                        <a:ln w="9525">
                          <a:solidFill>
                            <a:srgbClr val="000000"/>
                          </a:solidFill>
                          <a:miter lim="800000"/>
                          <a:headEnd/>
                          <a:tailEnd/>
                        </a:ln>
                      </wps:spPr>
                      <wps:txbx>
                        <w:txbxContent>
                          <w:p w14:paraId="1A25C88B" w14:textId="77777777" w:rsidR="00054236" w:rsidRPr="00716A70" w:rsidRDefault="00054236" w:rsidP="005E17D1">
                            <w:pPr>
                              <w:keepNext w:val="0"/>
                              <w:spacing w:before="0"/>
                              <w:rPr>
                                <w:rFonts w:cs="Arial"/>
                                <w:b/>
                                <w:bCs/>
                                <w:color w:val="auto"/>
                                <w:sz w:val="22"/>
                                <w:szCs w:val="22"/>
                              </w:rPr>
                            </w:pPr>
                            <w:r w:rsidRPr="00716A70">
                              <w:rPr>
                                <w:rFonts w:cs="Arial"/>
                                <w:b/>
                                <w:bCs/>
                                <w:color w:val="auto"/>
                                <w:sz w:val="22"/>
                                <w:szCs w:val="22"/>
                              </w:rPr>
                              <w:t>NPPF Paragraph 8</w:t>
                            </w:r>
                          </w:p>
                          <w:p w14:paraId="368B3E36" w14:textId="77777777" w:rsidR="00054236" w:rsidRPr="00716A70" w:rsidRDefault="00054236" w:rsidP="005E17D1">
                            <w:pPr>
                              <w:keepNext w:val="0"/>
                              <w:spacing w:before="0"/>
                              <w:rPr>
                                <w:rFonts w:cs="Arial"/>
                                <w:color w:val="auto"/>
                                <w:sz w:val="22"/>
                                <w:szCs w:val="22"/>
                              </w:rPr>
                            </w:pPr>
                          </w:p>
                          <w:p w14:paraId="6B91A39A" w14:textId="0CC9871C" w:rsidR="00054236" w:rsidRPr="005E17D1" w:rsidRDefault="00054236" w:rsidP="005E17D1">
                            <w:pPr>
                              <w:keepNext w:val="0"/>
                              <w:autoSpaceDE w:val="0"/>
                              <w:autoSpaceDN w:val="0"/>
                              <w:adjustRightInd w:val="0"/>
                              <w:spacing w:before="0"/>
                              <w:rPr>
                                <w:rFonts w:cs="Arial"/>
                                <w:i/>
                                <w:iCs/>
                                <w:color w:val="auto"/>
                                <w:sz w:val="22"/>
                                <w:szCs w:val="22"/>
                              </w:rPr>
                            </w:pPr>
                            <w:r w:rsidRPr="005E17D1">
                              <w:rPr>
                                <w:rFonts w:cs="Arial"/>
                                <w:i/>
                                <w:iCs/>
                                <w:color w:val="auto"/>
                                <w:sz w:val="22"/>
                                <w:szCs w:val="22"/>
                              </w:rPr>
                              <w:t>Achieving sustainable development means that the planning system has three</w:t>
                            </w:r>
                            <w:r w:rsidR="00716A70">
                              <w:rPr>
                                <w:rFonts w:cs="Arial"/>
                                <w:i/>
                                <w:iCs/>
                                <w:color w:val="auto"/>
                                <w:sz w:val="22"/>
                                <w:szCs w:val="22"/>
                              </w:rPr>
                              <w:t xml:space="preserve"> </w:t>
                            </w:r>
                            <w:r w:rsidRPr="005E17D1">
                              <w:rPr>
                                <w:rFonts w:cs="Arial"/>
                                <w:i/>
                                <w:iCs/>
                                <w:color w:val="auto"/>
                                <w:sz w:val="22"/>
                                <w:szCs w:val="22"/>
                              </w:rPr>
                              <w:t>overarching objectives, which are interdependent and need to be pursued in</w:t>
                            </w:r>
                          </w:p>
                          <w:p w14:paraId="4D3E39FD" w14:textId="77777777" w:rsidR="00054236" w:rsidRPr="005E17D1" w:rsidRDefault="00054236" w:rsidP="005E17D1">
                            <w:pPr>
                              <w:keepNext w:val="0"/>
                              <w:autoSpaceDE w:val="0"/>
                              <w:autoSpaceDN w:val="0"/>
                              <w:adjustRightInd w:val="0"/>
                              <w:spacing w:before="0"/>
                              <w:rPr>
                                <w:rFonts w:cs="Arial"/>
                                <w:i/>
                                <w:iCs/>
                                <w:color w:val="auto"/>
                                <w:sz w:val="22"/>
                                <w:szCs w:val="22"/>
                              </w:rPr>
                            </w:pPr>
                            <w:r w:rsidRPr="005E17D1">
                              <w:rPr>
                                <w:rFonts w:cs="Arial"/>
                                <w:i/>
                                <w:iCs/>
                                <w:color w:val="auto"/>
                                <w:sz w:val="22"/>
                                <w:szCs w:val="22"/>
                              </w:rPr>
                              <w:t>mutually supportive ways (so that opportunities can be taken to secure net gains</w:t>
                            </w:r>
                          </w:p>
                          <w:p w14:paraId="6743803D" w14:textId="77777777" w:rsidR="00054236" w:rsidRPr="005E17D1" w:rsidRDefault="00054236" w:rsidP="005E17D1">
                            <w:pPr>
                              <w:keepNext w:val="0"/>
                              <w:spacing w:before="0"/>
                              <w:rPr>
                                <w:rFonts w:cs="Arial"/>
                                <w:i/>
                                <w:iCs/>
                                <w:color w:val="auto"/>
                                <w:sz w:val="22"/>
                                <w:szCs w:val="22"/>
                              </w:rPr>
                            </w:pPr>
                            <w:r w:rsidRPr="005E17D1">
                              <w:rPr>
                                <w:rFonts w:cs="Arial"/>
                                <w:i/>
                                <w:iCs/>
                                <w:color w:val="auto"/>
                                <w:sz w:val="22"/>
                                <w:szCs w:val="22"/>
                              </w:rPr>
                              <w:t>across each of the different objectives):</w:t>
                            </w:r>
                          </w:p>
                          <w:p w14:paraId="239BA27E" w14:textId="77777777" w:rsidR="00054236" w:rsidRPr="005E17D1" w:rsidRDefault="00054236" w:rsidP="005E17D1">
                            <w:pPr>
                              <w:keepNext w:val="0"/>
                              <w:spacing w:before="0"/>
                              <w:rPr>
                                <w:rFonts w:cs="Arial"/>
                                <w:i/>
                                <w:iCs/>
                                <w:color w:val="auto"/>
                                <w:sz w:val="22"/>
                                <w:szCs w:val="22"/>
                              </w:rPr>
                            </w:pPr>
                          </w:p>
                          <w:p w14:paraId="24B578B1" w14:textId="77777777" w:rsidR="00054236" w:rsidRPr="005E17D1" w:rsidRDefault="00054236" w:rsidP="00D01157">
                            <w:pPr>
                              <w:pStyle w:val="ListParagraph"/>
                              <w:numPr>
                                <w:ilvl w:val="0"/>
                                <w:numId w:val="41"/>
                              </w:numPr>
                              <w:spacing w:after="160" w:line="252" w:lineRule="auto"/>
                              <w:rPr>
                                <w:rFonts w:ascii="Arial" w:hAnsi="Arial" w:cs="Arial"/>
                                <w:i/>
                                <w:iCs/>
                                <w:color w:val="auto"/>
                                <w:sz w:val="22"/>
                              </w:rPr>
                            </w:pPr>
                            <w:r w:rsidRPr="005E17D1">
                              <w:rPr>
                                <w:rFonts w:ascii="Arial" w:hAnsi="Arial" w:cs="Arial"/>
                                <w:i/>
                                <w:iCs/>
                                <w:color w:val="auto"/>
                                <w:sz w:val="22"/>
                              </w:rPr>
                              <w:t>an economic objective – to help build a strong, responsive and competitive economy, by ensuring that sufficient land of the right types is available in the right places and at the right time to support growth, innovation and improved productivity; and by identifying and coordinating the provision of infrastructure;</w:t>
                            </w:r>
                          </w:p>
                          <w:p w14:paraId="60E3EBA0" w14:textId="77777777" w:rsidR="00054236" w:rsidRPr="005E17D1" w:rsidRDefault="00054236" w:rsidP="005E17D1">
                            <w:pPr>
                              <w:pStyle w:val="ListParagraph"/>
                              <w:spacing w:after="160" w:line="252" w:lineRule="auto"/>
                              <w:ind w:left="360"/>
                              <w:rPr>
                                <w:rFonts w:ascii="Arial" w:hAnsi="Arial" w:cs="Arial"/>
                                <w:i/>
                                <w:iCs/>
                                <w:color w:val="auto"/>
                                <w:sz w:val="22"/>
                              </w:rPr>
                            </w:pPr>
                          </w:p>
                          <w:p w14:paraId="22D34459" w14:textId="77777777" w:rsidR="00054236" w:rsidRPr="005E17D1" w:rsidRDefault="00054236" w:rsidP="00D01157">
                            <w:pPr>
                              <w:pStyle w:val="ListParagraph"/>
                              <w:numPr>
                                <w:ilvl w:val="0"/>
                                <w:numId w:val="41"/>
                              </w:numPr>
                              <w:spacing w:after="160" w:line="252" w:lineRule="auto"/>
                              <w:rPr>
                                <w:rFonts w:ascii="Arial" w:hAnsi="Arial" w:cs="Arial"/>
                                <w:i/>
                                <w:iCs/>
                                <w:color w:val="auto"/>
                                <w:sz w:val="22"/>
                              </w:rPr>
                            </w:pPr>
                            <w:r w:rsidRPr="005E17D1">
                              <w:rPr>
                                <w:rFonts w:ascii="Arial" w:hAnsi="Arial" w:cs="Arial"/>
                                <w:i/>
                                <w:iCs/>
                                <w:color w:val="auto"/>
                                <w:sz w:val="22"/>
                              </w:rPr>
                              <w:t>a social objective – to support strong, vibrant and healthy communities, by ensuring that a sufficient number and range of homes can be provided to meet the needs of present and future generations; and by fostering well-designed, beautiful and safe places, with accessible services and open spaces that reflect current and future needs and support communities’ health, social and cultural well-being; and</w:t>
                            </w:r>
                          </w:p>
                          <w:p w14:paraId="1DF1E167" w14:textId="77777777" w:rsidR="00054236" w:rsidRPr="005E17D1" w:rsidRDefault="00054236" w:rsidP="005E17D1">
                            <w:pPr>
                              <w:pStyle w:val="ListParagraph"/>
                              <w:spacing w:after="160" w:line="252" w:lineRule="auto"/>
                              <w:ind w:left="360"/>
                              <w:rPr>
                                <w:rFonts w:ascii="Arial" w:hAnsi="Arial" w:cs="Arial"/>
                                <w:i/>
                                <w:iCs/>
                                <w:color w:val="auto"/>
                                <w:sz w:val="22"/>
                              </w:rPr>
                            </w:pPr>
                          </w:p>
                          <w:p w14:paraId="6360E270" w14:textId="77777777" w:rsidR="00054236" w:rsidRPr="005E17D1" w:rsidRDefault="00054236" w:rsidP="00D01157">
                            <w:pPr>
                              <w:pStyle w:val="ListParagraph"/>
                              <w:numPr>
                                <w:ilvl w:val="0"/>
                                <w:numId w:val="41"/>
                              </w:numPr>
                              <w:spacing w:after="160" w:line="252" w:lineRule="auto"/>
                              <w:rPr>
                                <w:rFonts w:ascii="Arial" w:hAnsi="Arial" w:cs="Arial"/>
                                <w:i/>
                                <w:iCs/>
                                <w:color w:val="auto"/>
                                <w:sz w:val="22"/>
                              </w:rPr>
                            </w:pPr>
                            <w:r w:rsidRPr="005E17D1">
                              <w:rPr>
                                <w:rFonts w:ascii="Arial" w:hAnsi="Arial" w:cs="Arial"/>
                                <w:i/>
                                <w:iCs/>
                                <w:color w:val="auto"/>
                                <w:sz w:val="22"/>
                              </w:rPr>
                              <w:t>an environmental objective –</w:t>
                            </w:r>
                            <w:r w:rsidRPr="005E17D1">
                              <w:rPr>
                                <w:sz w:val="22"/>
                              </w:rPr>
                              <w:t xml:space="preserve"> </w:t>
                            </w:r>
                            <w:r w:rsidRPr="005E17D1">
                              <w:rPr>
                                <w:rFonts w:ascii="Arial" w:hAnsi="Arial" w:cs="Arial"/>
                                <w:i/>
                                <w:iCs/>
                                <w:color w:val="auto"/>
                                <w:sz w:val="22"/>
                              </w:rPr>
                              <w:t>to protect and enhance our natural, built and historic environment; including making effective use of land, improving biodiversity, using natural resources prudently, minimising waste and pollution, and mitigating and adapting to climate change, including moving to a low carbon economy.</w:t>
                            </w:r>
                          </w:p>
                          <w:p w14:paraId="16DBE178" w14:textId="77777777" w:rsidR="00054236" w:rsidRPr="006971C4" w:rsidRDefault="00054236" w:rsidP="005E17D1">
                            <w:pPr>
                              <w:pStyle w:val="Pa5"/>
                              <w:rPr>
                                <w:rFonts w:ascii="Calibri" w:hAnsi="Calibri" w:cs="Calibri"/>
                                <w:color w:val="000000"/>
                              </w:rPr>
                            </w:pPr>
                          </w:p>
                        </w:txbxContent>
                      </wps:txbx>
                      <wps:bodyPr rot="0" vert="horz" wrap="square" lIns="91440" tIns="45720" rIns="91440" bIns="45720" anchor="t" anchorCtr="0">
                        <a:noAutofit/>
                      </wps:bodyPr>
                    </wps:wsp>
                  </a:graphicData>
                </a:graphic>
              </wp:inline>
            </w:drawing>
          </mc:Choice>
          <mc:Fallback>
            <w:pict>
              <v:shape w14:anchorId="2BDE29F8" id="_x0000_s1028" type="#_x0000_t202" style="width:424.5pt;height:32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" fillcolor="#a8d08d [1945]">
                <v:textbox>
                  <w:txbxContent>
                    <w:p w14:paraId="1A25C88B" w14:textId="77777777" w:rsidR="00054236" w:rsidRPr="00716A70" w:rsidRDefault="00054236" w:rsidP="005E17D1">
                      <w:pPr>
                        <w:keepNext w:val="0"/>
                        <w:spacing w:before="0"/>
                        <w:rPr>
                          <w:rFonts w:cs="Arial"/>
                          <w:b/>
                          <w:bCs/>
                          <w:color w:val="auto"/>
                          <w:sz w:val="22"/>
                          <w:szCs w:val="22"/>
                        </w:rPr>
                      </w:pPr>
                      <w:r w:rsidRPr="00716A70">
                        <w:rPr>
                          <w:rFonts w:cs="Arial"/>
                          <w:b/>
                          <w:bCs/>
                          <w:color w:val="auto"/>
                          <w:sz w:val="22"/>
                          <w:szCs w:val="22"/>
                        </w:rPr>
                        <w:t>NPPF Paragraph 8</w:t>
                      </w:r>
                    </w:p>
                    <w:p w14:paraId="368B3E36" w14:textId="77777777" w:rsidR="00054236" w:rsidRPr="00716A70" w:rsidRDefault="00054236" w:rsidP="005E17D1">
                      <w:pPr>
                        <w:keepNext w:val="0"/>
                        <w:spacing w:before="0"/>
                        <w:rPr>
                          <w:rFonts w:cs="Arial"/>
                          <w:color w:val="auto"/>
                          <w:sz w:val="22"/>
                          <w:szCs w:val="22"/>
                        </w:rPr>
                      </w:pPr>
                    </w:p>
                    <w:p w14:paraId="6B91A39A" w14:textId="0CC9871C" w:rsidR="00054236" w:rsidRPr="005E17D1" w:rsidRDefault="00054236" w:rsidP="005E17D1">
                      <w:pPr>
                        <w:keepNext w:val="0"/>
                        <w:autoSpaceDE w:val="0"/>
                        <w:autoSpaceDN w:val="0"/>
                        <w:adjustRightInd w:val="0"/>
                        <w:spacing w:before="0"/>
                        <w:rPr>
                          <w:rFonts w:cs="Arial"/>
                          <w:i/>
                          <w:iCs/>
                          <w:color w:val="auto"/>
                          <w:sz w:val="22"/>
                          <w:szCs w:val="22"/>
                        </w:rPr>
                      </w:pPr>
                      <w:r w:rsidRPr="005E17D1">
                        <w:rPr>
                          <w:rFonts w:cs="Arial"/>
                          <w:i/>
                          <w:iCs/>
                          <w:color w:val="auto"/>
                          <w:sz w:val="22"/>
                          <w:szCs w:val="22"/>
                        </w:rPr>
                        <w:t>Achieving sustainable development means that the planning system has three</w:t>
                      </w:r>
                      <w:r w:rsidR="00716A70">
                        <w:rPr>
                          <w:rFonts w:cs="Arial"/>
                          <w:i/>
                          <w:iCs/>
                          <w:color w:val="auto"/>
                          <w:sz w:val="22"/>
                          <w:szCs w:val="22"/>
                        </w:rPr>
                        <w:t xml:space="preserve"> </w:t>
                      </w:r>
                      <w:r w:rsidRPr="005E17D1">
                        <w:rPr>
                          <w:rFonts w:cs="Arial"/>
                          <w:i/>
                          <w:iCs/>
                          <w:color w:val="auto"/>
                          <w:sz w:val="22"/>
                          <w:szCs w:val="22"/>
                        </w:rPr>
                        <w:t>overarching objectives, which are interdependent and need to be pursued in</w:t>
                      </w:r>
                    </w:p>
                    <w:p w14:paraId="4D3E39FD" w14:textId="77777777" w:rsidR="00054236" w:rsidRPr="005E17D1" w:rsidRDefault="00054236" w:rsidP="005E17D1">
                      <w:pPr>
                        <w:keepNext w:val="0"/>
                        <w:autoSpaceDE w:val="0"/>
                        <w:autoSpaceDN w:val="0"/>
                        <w:adjustRightInd w:val="0"/>
                        <w:spacing w:before="0"/>
                        <w:rPr>
                          <w:rFonts w:cs="Arial"/>
                          <w:i/>
                          <w:iCs/>
                          <w:color w:val="auto"/>
                          <w:sz w:val="22"/>
                          <w:szCs w:val="22"/>
                        </w:rPr>
                      </w:pPr>
                      <w:r w:rsidRPr="005E17D1">
                        <w:rPr>
                          <w:rFonts w:cs="Arial"/>
                          <w:i/>
                          <w:iCs/>
                          <w:color w:val="auto"/>
                          <w:sz w:val="22"/>
                          <w:szCs w:val="22"/>
                        </w:rPr>
                        <w:t>mutually supportive ways (so that opportunities can be taken to secure net gains</w:t>
                      </w:r>
                    </w:p>
                    <w:p w14:paraId="6743803D" w14:textId="77777777" w:rsidR="00054236" w:rsidRPr="005E17D1" w:rsidRDefault="00054236" w:rsidP="005E17D1">
                      <w:pPr>
                        <w:keepNext w:val="0"/>
                        <w:spacing w:before="0"/>
                        <w:rPr>
                          <w:rFonts w:cs="Arial"/>
                          <w:i/>
                          <w:iCs/>
                          <w:color w:val="auto"/>
                          <w:sz w:val="22"/>
                          <w:szCs w:val="22"/>
                        </w:rPr>
                      </w:pPr>
                      <w:r w:rsidRPr="005E17D1">
                        <w:rPr>
                          <w:rFonts w:cs="Arial"/>
                          <w:i/>
                          <w:iCs/>
                          <w:color w:val="auto"/>
                          <w:sz w:val="22"/>
                          <w:szCs w:val="22"/>
                        </w:rPr>
                        <w:t>across each of the different objectives):</w:t>
                      </w:r>
                    </w:p>
                    <w:p w14:paraId="239BA27E" w14:textId="77777777" w:rsidR="00054236" w:rsidRPr="005E17D1" w:rsidRDefault="00054236" w:rsidP="005E17D1">
                      <w:pPr>
                        <w:keepNext w:val="0"/>
                        <w:spacing w:before="0"/>
                        <w:rPr>
                          <w:rFonts w:cs="Arial"/>
                          <w:i/>
                          <w:iCs/>
                          <w:color w:val="auto"/>
                          <w:sz w:val="22"/>
                          <w:szCs w:val="22"/>
                        </w:rPr>
                      </w:pPr>
                    </w:p>
                    <w:p w14:paraId="24B578B1" w14:textId="77777777" w:rsidR="00054236" w:rsidRPr="005E17D1" w:rsidRDefault="00054236" w:rsidP="00D01157">
                      <w:pPr>
                        <w:pStyle w:val="ListParagraph"/>
                        <w:numPr>
                          <w:ilvl w:val="0"/>
                          <w:numId w:val="41"/>
                        </w:numPr>
                        <w:spacing w:after="160" w:line="252" w:lineRule="auto"/>
                        <w:rPr>
                          <w:rFonts w:ascii="Arial" w:hAnsi="Arial" w:cs="Arial"/>
                          <w:i/>
                          <w:iCs/>
                          <w:color w:val="auto"/>
                          <w:sz w:val="22"/>
                        </w:rPr>
                      </w:pPr>
                      <w:r w:rsidRPr="005E17D1">
                        <w:rPr>
                          <w:rFonts w:ascii="Arial" w:hAnsi="Arial" w:cs="Arial"/>
                          <w:i/>
                          <w:iCs/>
                          <w:color w:val="auto"/>
                          <w:sz w:val="22"/>
                        </w:rPr>
                        <w:t>an economic objective – to help build a strong, responsive and competitive economy, by ensuring that sufficient land of the right types is available in the right places and at the right time to support growth, innovation and improved productivity; and by identifying and coordinating the provision of infrastructure;</w:t>
                      </w:r>
                    </w:p>
                    <w:p w14:paraId="60E3EBA0" w14:textId="77777777" w:rsidR="00054236" w:rsidRPr="005E17D1" w:rsidRDefault="00054236" w:rsidP="005E17D1">
                      <w:pPr>
                        <w:pStyle w:val="ListParagraph"/>
                        <w:spacing w:after="160" w:line="252" w:lineRule="auto"/>
                        <w:ind w:left="360"/>
                        <w:rPr>
                          <w:rFonts w:ascii="Arial" w:hAnsi="Arial" w:cs="Arial"/>
                          <w:i/>
                          <w:iCs/>
                          <w:color w:val="auto"/>
                          <w:sz w:val="22"/>
                        </w:rPr>
                      </w:pPr>
                    </w:p>
                    <w:p w14:paraId="22D34459" w14:textId="77777777" w:rsidR="00054236" w:rsidRPr="005E17D1" w:rsidRDefault="00054236" w:rsidP="00D01157">
                      <w:pPr>
                        <w:pStyle w:val="ListParagraph"/>
                        <w:numPr>
                          <w:ilvl w:val="0"/>
                          <w:numId w:val="41"/>
                        </w:numPr>
                        <w:spacing w:after="160" w:line="252" w:lineRule="auto"/>
                        <w:rPr>
                          <w:rFonts w:ascii="Arial" w:hAnsi="Arial" w:cs="Arial"/>
                          <w:i/>
                          <w:iCs/>
                          <w:color w:val="auto"/>
                          <w:sz w:val="22"/>
                        </w:rPr>
                      </w:pPr>
                      <w:r w:rsidRPr="005E17D1">
                        <w:rPr>
                          <w:rFonts w:ascii="Arial" w:hAnsi="Arial" w:cs="Arial"/>
                          <w:i/>
                          <w:iCs/>
                          <w:color w:val="auto"/>
                          <w:sz w:val="22"/>
                        </w:rPr>
                        <w:t>a social objective – to support strong, vibrant and healthy communities, by ensuring that a sufficient number and range of homes can be provided to meet the needs of present and future generations; and by fostering well-designed, beautiful and safe places, with accessible services and open spaces that reflect current and future needs and support communities’ health, social and cultural well-being; and</w:t>
                      </w:r>
                    </w:p>
                    <w:p w14:paraId="1DF1E167" w14:textId="77777777" w:rsidR="00054236" w:rsidRPr="005E17D1" w:rsidRDefault="00054236" w:rsidP="005E17D1">
                      <w:pPr>
                        <w:pStyle w:val="ListParagraph"/>
                        <w:spacing w:after="160" w:line="252" w:lineRule="auto"/>
                        <w:ind w:left="360"/>
                        <w:rPr>
                          <w:rFonts w:ascii="Arial" w:hAnsi="Arial" w:cs="Arial"/>
                          <w:i/>
                          <w:iCs/>
                          <w:color w:val="auto"/>
                          <w:sz w:val="22"/>
                        </w:rPr>
                      </w:pPr>
                    </w:p>
                    <w:p w14:paraId="6360E270" w14:textId="77777777" w:rsidR="00054236" w:rsidRPr="005E17D1" w:rsidRDefault="00054236" w:rsidP="00D01157">
                      <w:pPr>
                        <w:pStyle w:val="ListParagraph"/>
                        <w:numPr>
                          <w:ilvl w:val="0"/>
                          <w:numId w:val="41"/>
                        </w:numPr>
                        <w:spacing w:after="160" w:line="252" w:lineRule="auto"/>
                        <w:rPr>
                          <w:rFonts w:ascii="Arial" w:hAnsi="Arial" w:cs="Arial"/>
                          <w:i/>
                          <w:iCs/>
                          <w:color w:val="auto"/>
                          <w:sz w:val="22"/>
                        </w:rPr>
                      </w:pPr>
                      <w:r w:rsidRPr="005E17D1">
                        <w:rPr>
                          <w:rFonts w:ascii="Arial" w:hAnsi="Arial" w:cs="Arial"/>
                          <w:i/>
                          <w:iCs/>
                          <w:color w:val="auto"/>
                          <w:sz w:val="22"/>
                        </w:rPr>
                        <w:t>an environmental objective –</w:t>
                      </w:r>
                      <w:r w:rsidRPr="005E17D1">
                        <w:rPr>
                          <w:sz w:val="22"/>
                        </w:rPr>
                        <w:t xml:space="preserve"> </w:t>
                      </w:r>
                      <w:r w:rsidRPr="005E17D1">
                        <w:rPr>
                          <w:rFonts w:ascii="Arial" w:hAnsi="Arial" w:cs="Arial"/>
                          <w:i/>
                          <w:iCs/>
                          <w:color w:val="auto"/>
                          <w:sz w:val="22"/>
                        </w:rPr>
                        <w:t>to protect and enhance our natural, built and historic environment; including making effective use of land, improving biodiversity, using natural resources prudently, minimising waste and pollution, and mitigating and adapting to climate change, including moving to a low carbon economy.</w:t>
                      </w:r>
                    </w:p>
                    <w:p w14:paraId="16DBE178" w14:textId="77777777" w:rsidR="00054236" w:rsidRPr="006971C4" w:rsidRDefault="00054236" w:rsidP="005E17D1">
                      <w:pPr>
                        <w:pStyle w:val="Pa5"/>
                        <w:rPr>
                          <w:rFonts w:ascii="Calibri" w:hAnsi="Calibri" w:cs="Calibri"/>
                          <w:color w:val="000000"/>
                        </w:rPr>
                      </w:pPr>
                    </w:p>
                  </w:txbxContent>
                </v:textbox>
                <w10:anchorlock/>
              </v:shape>
            </w:pict>
          </mc:Fallback>
        </mc:AlternateContent>
      </w:r>
    </w:p>
    <w:p w14:paraId="0407FFFB" w14:textId="77777777" w:rsidR="0077141C" w:rsidRPr="005E21D7" w:rsidRDefault="0077141C" w:rsidP="005E21D7">
      <w:pPr>
        <w:rPr>
          <w:rFonts w:eastAsia="Calibri" w:cs="Arial"/>
          <w:color w:val="auto"/>
          <w:szCs w:val="24"/>
        </w:rPr>
      </w:pPr>
    </w:p>
    <w:p w14:paraId="397A21F9" w14:textId="77777777" w:rsidR="0077141C" w:rsidRPr="003C7E62" w:rsidRDefault="007070E5" w:rsidP="00636D0F">
      <w:pPr>
        <w:keepNext w:val="0"/>
        <w:numPr>
          <w:ilvl w:val="1"/>
          <w:numId w:val="306"/>
        </w:numPr>
        <w:autoSpaceDE w:val="0"/>
        <w:autoSpaceDN w:val="0"/>
        <w:adjustRightInd w:val="0"/>
        <w:spacing w:before="0"/>
        <w:ind w:left="851" w:hanging="851"/>
        <w:rPr>
          <w:rFonts w:cs="Arial"/>
          <w:color w:val="auto"/>
          <w:szCs w:val="24"/>
          <w:lang w:eastAsia="en-US"/>
        </w:rPr>
      </w:pPr>
      <w:r w:rsidRPr="003C7E62">
        <w:rPr>
          <w:rFonts w:eastAsia="Calibri" w:cs="Arial"/>
          <w:color w:val="auto"/>
          <w:szCs w:val="24"/>
        </w:rPr>
        <w:t xml:space="preserve">All developments must have a safe means of access which is adequate to serve the proposal and does not adversely affect pedestrian, cyclist or vehicular safety. The capacity of the transport system to take new development will </w:t>
      </w:r>
      <w:r w:rsidR="005F229B" w:rsidRPr="003C7E62">
        <w:rPr>
          <w:rFonts w:eastAsia="Calibri" w:cs="Arial"/>
          <w:color w:val="auto"/>
          <w:szCs w:val="24"/>
        </w:rPr>
        <w:t xml:space="preserve">also be an important aspect </w:t>
      </w:r>
      <w:r w:rsidRPr="003C7E62">
        <w:rPr>
          <w:rFonts w:eastAsia="Calibri" w:cs="Arial"/>
          <w:color w:val="auto"/>
          <w:szCs w:val="24"/>
        </w:rPr>
        <w:t xml:space="preserve">and transport impact assessments will be required for major proposals. </w:t>
      </w:r>
    </w:p>
    <w:p w14:paraId="1D761BAF" w14:textId="3A55A568" w:rsidR="0077141C" w:rsidRDefault="0077141C" w:rsidP="005E17D1">
      <w:pPr>
        <w:pStyle w:val="ListParagraph"/>
        <w:spacing w:after="0" w:line="240" w:lineRule="auto"/>
        <w:rPr>
          <w:rFonts w:ascii="Arial" w:eastAsia="Calibri" w:hAnsi="Arial" w:cs="Arial"/>
          <w:color w:val="auto"/>
          <w:szCs w:val="24"/>
        </w:rPr>
      </w:pPr>
    </w:p>
    <w:p w14:paraId="4E9F8639" w14:textId="77777777" w:rsidR="00636D0F" w:rsidRPr="00636D0F" w:rsidRDefault="00636D0F" w:rsidP="00636D0F">
      <w:pPr>
        <w:pStyle w:val="ListParagraph"/>
        <w:numPr>
          <w:ilvl w:val="0"/>
          <w:numId w:val="344"/>
        </w:numPr>
        <w:spacing w:after="0" w:line="240" w:lineRule="auto"/>
        <w:contextualSpacing w:val="0"/>
        <w:rPr>
          <w:rFonts w:ascii="Arial" w:eastAsia="Calibri" w:hAnsi="Arial"/>
          <w:vanish/>
          <w:color w:val="auto"/>
        </w:rPr>
      </w:pPr>
    </w:p>
    <w:p w14:paraId="1C713991" w14:textId="77777777" w:rsidR="00636D0F" w:rsidRPr="00636D0F" w:rsidRDefault="00636D0F" w:rsidP="00636D0F">
      <w:pPr>
        <w:pStyle w:val="ListParagraph"/>
        <w:numPr>
          <w:ilvl w:val="0"/>
          <w:numId w:val="344"/>
        </w:numPr>
        <w:spacing w:after="0" w:line="240" w:lineRule="auto"/>
        <w:contextualSpacing w:val="0"/>
        <w:rPr>
          <w:rFonts w:ascii="Arial" w:eastAsia="Calibri" w:hAnsi="Arial"/>
          <w:vanish/>
          <w:color w:val="auto"/>
        </w:rPr>
      </w:pPr>
    </w:p>
    <w:p w14:paraId="057625C2" w14:textId="77777777" w:rsidR="00636D0F" w:rsidRPr="00636D0F" w:rsidRDefault="00636D0F" w:rsidP="00636D0F">
      <w:pPr>
        <w:pStyle w:val="ListParagraph"/>
        <w:numPr>
          <w:ilvl w:val="0"/>
          <w:numId w:val="344"/>
        </w:numPr>
        <w:spacing w:after="0" w:line="240" w:lineRule="auto"/>
        <w:contextualSpacing w:val="0"/>
        <w:rPr>
          <w:rFonts w:ascii="Arial" w:eastAsia="Calibri" w:hAnsi="Arial"/>
          <w:vanish/>
          <w:color w:val="auto"/>
        </w:rPr>
      </w:pPr>
    </w:p>
    <w:p w14:paraId="4B177BA8" w14:textId="77777777" w:rsidR="00636D0F" w:rsidRPr="00636D0F" w:rsidRDefault="00636D0F" w:rsidP="00636D0F">
      <w:pPr>
        <w:pStyle w:val="ListParagraph"/>
        <w:numPr>
          <w:ilvl w:val="1"/>
          <w:numId w:val="344"/>
        </w:numPr>
        <w:spacing w:after="0" w:line="240" w:lineRule="auto"/>
        <w:contextualSpacing w:val="0"/>
        <w:rPr>
          <w:rFonts w:ascii="Arial" w:eastAsia="Calibri" w:hAnsi="Arial"/>
          <w:vanish/>
          <w:color w:val="auto"/>
        </w:rPr>
      </w:pPr>
    </w:p>
    <w:p w14:paraId="2DD335AB" w14:textId="77777777" w:rsidR="00636D0F" w:rsidRPr="00636D0F" w:rsidRDefault="00636D0F" w:rsidP="00636D0F">
      <w:pPr>
        <w:pStyle w:val="ListParagraph"/>
        <w:numPr>
          <w:ilvl w:val="1"/>
          <w:numId w:val="344"/>
        </w:numPr>
        <w:spacing w:after="0" w:line="240" w:lineRule="auto"/>
        <w:contextualSpacing w:val="0"/>
        <w:rPr>
          <w:rFonts w:ascii="Arial" w:eastAsia="Calibri" w:hAnsi="Arial"/>
          <w:vanish/>
          <w:color w:val="auto"/>
        </w:rPr>
      </w:pPr>
    </w:p>
    <w:p w14:paraId="1E3A6D88" w14:textId="77777777" w:rsidR="00636D0F" w:rsidRPr="00636D0F" w:rsidRDefault="00636D0F" w:rsidP="00636D0F">
      <w:pPr>
        <w:pStyle w:val="ListParagraph"/>
        <w:numPr>
          <w:ilvl w:val="1"/>
          <w:numId w:val="344"/>
        </w:numPr>
        <w:spacing w:after="0" w:line="240" w:lineRule="auto"/>
        <w:contextualSpacing w:val="0"/>
        <w:rPr>
          <w:rFonts w:ascii="Arial" w:eastAsia="Calibri" w:hAnsi="Arial"/>
          <w:vanish/>
          <w:color w:val="auto"/>
        </w:rPr>
      </w:pPr>
    </w:p>
    <w:p w14:paraId="102D4CA8" w14:textId="77777777" w:rsidR="00636D0F" w:rsidRPr="00636D0F" w:rsidRDefault="00636D0F" w:rsidP="00636D0F">
      <w:pPr>
        <w:pStyle w:val="ListParagraph"/>
        <w:numPr>
          <w:ilvl w:val="1"/>
          <w:numId w:val="344"/>
        </w:numPr>
        <w:spacing w:after="0" w:line="240" w:lineRule="auto"/>
        <w:contextualSpacing w:val="0"/>
        <w:rPr>
          <w:rFonts w:ascii="Arial" w:eastAsia="Calibri" w:hAnsi="Arial"/>
          <w:vanish/>
          <w:color w:val="auto"/>
        </w:rPr>
      </w:pPr>
    </w:p>
    <w:p w14:paraId="7105CAEE" w14:textId="77777777" w:rsidR="00636D0F" w:rsidRPr="00636D0F" w:rsidRDefault="00636D0F" w:rsidP="00636D0F">
      <w:pPr>
        <w:pStyle w:val="ListParagraph"/>
        <w:numPr>
          <w:ilvl w:val="1"/>
          <w:numId w:val="344"/>
        </w:numPr>
        <w:spacing w:after="0" w:line="240" w:lineRule="auto"/>
        <w:contextualSpacing w:val="0"/>
        <w:rPr>
          <w:rFonts w:ascii="Arial" w:eastAsia="Calibri" w:hAnsi="Arial"/>
          <w:vanish/>
          <w:color w:val="auto"/>
        </w:rPr>
      </w:pPr>
    </w:p>
    <w:p w14:paraId="6B37101C" w14:textId="77777777" w:rsidR="00636D0F" w:rsidRPr="00636D0F" w:rsidRDefault="00636D0F" w:rsidP="00636D0F">
      <w:pPr>
        <w:pStyle w:val="ListParagraph"/>
        <w:numPr>
          <w:ilvl w:val="1"/>
          <w:numId w:val="344"/>
        </w:numPr>
        <w:spacing w:after="0" w:line="240" w:lineRule="auto"/>
        <w:contextualSpacing w:val="0"/>
        <w:rPr>
          <w:rFonts w:ascii="Arial" w:eastAsia="Calibri" w:hAnsi="Arial"/>
          <w:vanish/>
          <w:color w:val="auto"/>
        </w:rPr>
      </w:pPr>
    </w:p>
    <w:p w14:paraId="423F5525" w14:textId="77777777" w:rsidR="00636D0F" w:rsidRPr="00636D0F" w:rsidRDefault="00636D0F" w:rsidP="00636D0F">
      <w:pPr>
        <w:pStyle w:val="ListParagraph"/>
        <w:numPr>
          <w:ilvl w:val="1"/>
          <w:numId w:val="344"/>
        </w:numPr>
        <w:spacing w:after="0" w:line="240" w:lineRule="auto"/>
        <w:contextualSpacing w:val="0"/>
        <w:rPr>
          <w:rFonts w:ascii="Arial" w:eastAsia="Calibri" w:hAnsi="Arial"/>
          <w:vanish/>
          <w:color w:val="auto"/>
        </w:rPr>
      </w:pPr>
    </w:p>
    <w:p w14:paraId="592E4D22" w14:textId="77777777" w:rsidR="00636D0F" w:rsidRPr="00636D0F" w:rsidRDefault="00636D0F" w:rsidP="00636D0F">
      <w:pPr>
        <w:pStyle w:val="ListParagraph"/>
        <w:numPr>
          <w:ilvl w:val="1"/>
          <w:numId w:val="344"/>
        </w:numPr>
        <w:spacing w:after="0" w:line="240" w:lineRule="auto"/>
        <w:contextualSpacing w:val="0"/>
        <w:rPr>
          <w:rFonts w:ascii="Arial" w:eastAsia="Calibri" w:hAnsi="Arial"/>
          <w:vanish/>
          <w:color w:val="auto"/>
        </w:rPr>
      </w:pPr>
    </w:p>
    <w:p w14:paraId="438753A7" w14:textId="77777777" w:rsidR="00636D0F" w:rsidRPr="00636D0F" w:rsidRDefault="00636D0F" w:rsidP="00636D0F">
      <w:pPr>
        <w:pStyle w:val="ListParagraph"/>
        <w:numPr>
          <w:ilvl w:val="1"/>
          <w:numId w:val="344"/>
        </w:numPr>
        <w:spacing w:after="0" w:line="240" w:lineRule="auto"/>
        <w:contextualSpacing w:val="0"/>
        <w:rPr>
          <w:rFonts w:ascii="Arial" w:eastAsia="Calibri" w:hAnsi="Arial"/>
          <w:vanish/>
          <w:color w:val="auto"/>
        </w:rPr>
      </w:pPr>
    </w:p>
    <w:p w14:paraId="6FE68C33" w14:textId="77777777" w:rsidR="00636D0F" w:rsidRPr="00636D0F" w:rsidRDefault="00636D0F" w:rsidP="00636D0F">
      <w:pPr>
        <w:pStyle w:val="ListParagraph"/>
        <w:numPr>
          <w:ilvl w:val="1"/>
          <w:numId w:val="344"/>
        </w:numPr>
        <w:spacing w:after="0" w:line="240" w:lineRule="auto"/>
        <w:contextualSpacing w:val="0"/>
        <w:rPr>
          <w:rFonts w:ascii="Arial" w:eastAsia="Calibri" w:hAnsi="Arial"/>
          <w:vanish/>
          <w:color w:val="auto"/>
        </w:rPr>
      </w:pPr>
    </w:p>
    <w:p w14:paraId="0688C14F" w14:textId="77777777" w:rsidR="00636D0F" w:rsidRPr="00636D0F" w:rsidRDefault="00636D0F" w:rsidP="00636D0F">
      <w:pPr>
        <w:pStyle w:val="ListParagraph"/>
        <w:numPr>
          <w:ilvl w:val="1"/>
          <w:numId w:val="344"/>
        </w:numPr>
        <w:spacing w:after="0" w:line="240" w:lineRule="auto"/>
        <w:contextualSpacing w:val="0"/>
        <w:rPr>
          <w:rFonts w:ascii="Arial" w:eastAsia="Calibri" w:hAnsi="Arial"/>
          <w:vanish/>
          <w:color w:val="auto"/>
        </w:rPr>
      </w:pPr>
    </w:p>
    <w:p w14:paraId="2E9B37EB" w14:textId="77777777" w:rsidR="00636D0F" w:rsidRPr="00636D0F" w:rsidRDefault="00636D0F" w:rsidP="00636D0F">
      <w:pPr>
        <w:pStyle w:val="ListParagraph"/>
        <w:numPr>
          <w:ilvl w:val="1"/>
          <w:numId w:val="344"/>
        </w:numPr>
        <w:spacing w:after="0" w:line="240" w:lineRule="auto"/>
        <w:contextualSpacing w:val="0"/>
        <w:rPr>
          <w:rFonts w:ascii="Arial" w:eastAsia="Calibri" w:hAnsi="Arial"/>
          <w:vanish/>
          <w:color w:val="auto"/>
        </w:rPr>
      </w:pPr>
    </w:p>
    <w:p w14:paraId="53262C58" w14:textId="77777777" w:rsidR="00636D0F" w:rsidRPr="00636D0F" w:rsidRDefault="00636D0F" w:rsidP="00636D0F">
      <w:pPr>
        <w:pStyle w:val="ListParagraph"/>
        <w:numPr>
          <w:ilvl w:val="1"/>
          <w:numId w:val="344"/>
        </w:numPr>
        <w:spacing w:after="0" w:line="240" w:lineRule="auto"/>
        <w:contextualSpacing w:val="0"/>
        <w:rPr>
          <w:rFonts w:ascii="Arial" w:eastAsia="Calibri" w:hAnsi="Arial"/>
          <w:vanish/>
          <w:color w:val="auto"/>
        </w:rPr>
      </w:pPr>
    </w:p>
    <w:p w14:paraId="1EE40B6C" w14:textId="77777777" w:rsidR="00636D0F" w:rsidRPr="00636D0F" w:rsidRDefault="00636D0F" w:rsidP="00636D0F">
      <w:pPr>
        <w:pStyle w:val="ListParagraph"/>
        <w:numPr>
          <w:ilvl w:val="1"/>
          <w:numId w:val="344"/>
        </w:numPr>
        <w:spacing w:after="0" w:line="240" w:lineRule="auto"/>
        <w:contextualSpacing w:val="0"/>
        <w:rPr>
          <w:rFonts w:ascii="Arial" w:eastAsia="Calibri" w:hAnsi="Arial"/>
          <w:vanish/>
          <w:color w:val="auto"/>
        </w:rPr>
      </w:pPr>
    </w:p>
    <w:p w14:paraId="126EBCFF" w14:textId="77777777" w:rsidR="00636D0F" w:rsidRPr="00636D0F" w:rsidRDefault="00636D0F" w:rsidP="00636D0F">
      <w:pPr>
        <w:pStyle w:val="ListParagraph"/>
        <w:numPr>
          <w:ilvl w:val="1"/>
          <w:numId w:val="344"/>
        </w:numPr>
        <w:spacing w:after="0" w:line="240" w:lineRule="auto"/>
        <w:contextualSpacing w:val="0"/>
        <w:rPr>
          <w:rFonts w:ascii="Arial" w:eastAsia="Calibri" w:hAnsi="Arial"/>
          <w:vanish/>
          <w:color w:val="auto"/>
        </w:rPr>
      </w:pPr>
    </w:p>
    <w:p w14:paraId="0A517978" w14:textId="77777777" w:rsidR="00636D0F" w:rsidRPr="00636D0F" w:rsidRDefault="00636D0F" w:rsidP="00636D0F">
      <w:pPr>
        <w:pStyle w:val="ListParagraph"/>
        <w:numPr>
          <w:ilvl w:val="1"/>
          <w:numId w:val="344"/>
        </w:numPr>
        <w:spacing w:after="0" w:line="240" w:lineRule="auto"/>
        <w:contextualSpacing w:val="0"/>
        <w:rPr>
          <w:rFonts w:ascii="Arial" w:eastAsia="Calibri" w:hAnsi="Arial"/>
          <w:vanish/>
          <w:color w:val="auto"/>
        </w:rPr>
      </w:pPr>
    </w:p>
    <w:p w14:paraId="0900A949" w14:textId="77777777" w:rsidR="00636D0F" w:rsidRPr="00636D0F" w:rsidRDefault="00636D0F" w:rsidP="00636D0F">
      <w:pPr>
        <w:pStyle w:val="ListParagraph"/>
        <w:numPr>
          <w:ilvl w:val="1"/>
          <w:numId w:val="344"/>
        </w:numPr>
        <w:spacing w:after="0" w:line="240" w:lineRule="auto"/>
        <w:contextualSpacing w:val="0"/>
        <w:rPr>
          <w:rFonts w:ascii="Arial" w:eastAsia="Calibri" w:hAnsi="Arial"/>
          <w:vanish/>
          <w:color w:val="auto"/>
        </w:rPr>
      </w:pPr>
    </w:p>
    <w:p w14:paraId="1B41E4EE" w14:textId="77777777" w:rsidR="00636D0F" w:rsidRPr="00636D0F" w:rsidRDefault="00636D0F" w:rsidP="00636D0F">
      <w:pPr>
        <w:pStyle w:val="ListParagraph"/>
        <w:numPr>
          <w:ilvl w:val="1"/>
          <w:numId w:val="344"/>
        </w:numPr>
        <w:spacing w:after="0" w:line="240" w:lineRule="auto"/>
        <w:contextualSpacing w:val="0"/>
        <w:rPr>
          <w:rFonts w:ascii="Arial" w:eastAsia="Calibri" w:hAnsi="Arial"/>
          <w:vanish/>
          <w:color w:val="auto"/>
        </w:rPr>
      </w:pPr>
    </w:p>
    <w:p w14:paraId="54B9F22A" w14:textId="77777777" w:rsidR="00636D0F" w:rsidRPr="00636D0F" w:rsidRDefault="00636D0F" w:rsidP="00636D0F">
      <w:pPr>
        <w:pStyle w:val="ListParagraph"/>
        <w:numPr>
          <w:ilvl w:val="1"/>
          <w:numId w:val="344"/>
        </w:numPr>
        <w:spacing w:after="0" w:line="240" w:lineRule="auto"/>
        <w:contextualSpacing w:val="0"/>
        <w:rPr>
          <w:rFonts w:ascii="Arial" w:eastAsia="Calibri" w:hAnsi="Arial"/>
          <w:vanish/>
          <w:color w:val="auto"/>
        </w:rPr>
      </w:pPr>
    </w:p>
    <w:p w14:paraId="26202D41" w14:textId="77777777" w:rsidR="00636D0F" w:rsidRPr="00636D0F" w:rsidRDefault="00636D0F" w:rsidP="00636D0F">
      <w:pPr>
        <w:pStyle w:val="ListParagraph"/>
        <w:numPr>
          <w:ilvl w:val="1"/>
          <w:numId w:val="344"/>
        </w:numPr>
        <w:spacing w:after="0" w:line="240" w:lineRule="auto"/>
        <w:contextualSpacing w:val="0"/>
        <w:rPr>
          <w:rFonts w:ascii="Arial" w:eastAsia="Calibri" w:hAnsi="Arial"/>
          <w:vanish/>
          <w:color w:val="auto"/>
        </w:rPr>
      </w:pPr>
    </w:p>
    <w:p w14:paraId="0C2E9260" w14:textId="77777777" w:rsidR="00636D0F" w:rsidRPr="00636D0F" w:rsidRDefault="00636D0F" w:rsidP="00636D0F">
      <w:pPr>
        <w:pStyle w:val="ListParagraph"/>
        <w:numPr>
          <w:ilvl w:val="1"/>
          <w:numId w:val="344"/>
        </w:numPr>
        <w:spacing w:after="0" w:line="240" w:lineRule="auto"/>
        <w:contextualSpacing w:val="0"/>
        <w:rPr>
          <w:rFonts w:ascii="Arial" w:eastAsia="Calibri" w:hAnsi="Arial"/>
          <w:vanish/>
          <w:color w:val="auto"/>
        </w:rPr>
      </w:pPr>
    </w:p>
    <w:p w14:paraId="579BC4DE" w14:textId="77777777" w:rsidR="00636D0F" w:rsidRPr="00636D0F" w:rsidRDefault="00636D0F" w:rsidP="00636D0F">
      <w:pPr>
        <w:pStyle w:val="ListParagraph"/>
        <w:numPr>
          <w:ilvl w:val="1"/>
          <w:numId w:val="344"/>
        </w:numPr>
        <w:spacing w:after="0" w:line="240" w:lineRule="auto"/>
        <w:contextualSpacing w:val="0"/>
        <w:rPr>
          <w:rFonts w:ascii="Arial" w:eastAsia="Calibri" w:hAnsi="Arial"/>
          <w:vanish/>
          <w:color w:val="auto"/>
        </w:rPr>
      </w:pPr>
    </w:p>
    <w:p w14:paraId="5C3DAA13" w14:textId="77777777" w:rsidR="00636D0F" w:rsidRPr="00636D0F" w:rsidRDefault="00636D0F" w:rsidP="00636D0F">
      <w:pPr>
        <w:pStyle w:val="ListParagraph"/>
        <w:numPr>
          <w:ilvl w:val="1"/>
          <w:numId w:val="344"/>
        </w:numPr>
        <w:spacing w:after="0" w:line="240" w:lineRule="auto"/>
        <w:contextualSpacing w:val="0"/>
        <w:rPr>
          <w:rFonts w:ascii="Arial" w:eastAsia="Calibri" w:hAnsi="Arial"/>
          <w:vanish/>
          <w:color w:val="auto"/>
        </w:rPr>
      </w:pPr>
    </w:p>
    <w:p w14:paraId="10B0869C" w14:textId="77777777" w:rsidR="00636D0F" w:rsidRPr="00636D0F" w:rsidRDefault="00636D0F" w:rsidP="00636D0F">
      <w:pPr>
        <w:pStyle w:val="ListParagraph"/>
        <w:numPr>
          <w:ilvl w:val="1"/>
          <w:numId w:val="344"/>
        </w:numPr>
        <w:spacing w:after="0" w:line="240" w:lineRule="auto"/>
        <w:contextualSpacing w:val="0"/>
        <w:rPr>
          <w:rFonts w:ascii="Arial" w:eastAsia="Calibri" w:hAnsi="Arial"/>
          <w:vanish/>
          <w:color w:val="auto"/>
        </w:rPr>
      </w:pPr>
    </w:p>
    <w:p w14:paraId="37E1122B" w14:textId="77777777" w:rsidR="00636D0F" w:rsidRPr="00636D0F" w:rsidRDefault="00636D0F" w:rsidP="00636D0F">
      <w:pPr>
        <w:pStyle w:val="ListParagraph"/>
        <w:numPr>
          <w:ilvl w:val="1"/>
          <w:numId w:val="344"/>
        </w:numPr>
        <w:spacing w:after="0" w:line="240" w:lineRule="auto"/>
        <w:contextualSpacing w:val="0"/>
        <w:rPr>
          <w:rFonts w:ascii="Arial" w:eastAsia="Calibri" w:hAnsi="Arial"/>
          <w:vanish/>
          <w:color w:val="auto"/>
        </w:rPr>
      </w:pPr>
    </w:p>
    <w:p w14:paraId="474695E6" w14:textId="77777777" w:rsidR="00636D0F" w:rsidRPr="00636D0F" w:rsidRDefault="00636D0F" w:rsidP="00636D0F">
      <w:pPr>
        <w:pStyle w:val="ListParagraph"/>
        <w:numPr>
          <w:ilvl w:val="1"/>
          <w:numId w:val="344"/>
        </w:numPr>
        <w:spacing w:after="0" w:line="240" w:lineRule="auto"/>
        <w:contextualSpacing w:val="0"/>
        <w:rPr>
          <w:rFonts w:ascii="Arial" w:eastAsia="Calibri" w:hAnsi="Arial"/>
          <w:vanish/>
          <w:color w:val="auto"/>
        </w:rPr>
      </w:pPr>
    </w:p>
    <w:p w14:paraId="4095C927" w14:textId="77777777" w:rsidR="00636D0F" w:rsidRPr="00636D0F" w:rsidRDefault="00636D0F" w:rsidP="00636D0F">
      <w:pPr>
        <w:pStyle w:val="ListParagraph"/>
        <w:numPr>
          <w:ilvl w:val="1"/>
          <w:numId w:val="344"/>
        </w:numPr>
        <w:spacing w:after="0" w:line="240" w:lineRule="auto"/>
        <w:contextualSpacing w:val="0"/>
        <w:rPr>
          <w:rFonts w:ascii="Arial" w:eastAsia="Calibri" w:hAnsi="Arial"/>
          <w:vanish/>
          <w:color w:val="auto"/>
        </w:rPr>
      </w:pPr>
    </w:p>
    <w:p w14:paraId="7B6B8091" w14:textId="77777777" w:rsidR="00636D0F" w:rsidRPr="00636D0F" w:rsidRDefault="00636D0F" w:rsidP="00636D0F">
      <w:pPr>
        <w:pStyle w:val="ListParagraph"/>
        <w:numPr>
          <w:ilvl w:val="1"/>
          <w:numId w:val="344"/>
        </w:numPr>
        <w:spacing w:after="0" w:line="240" w:lineRule="auto"/>
        <w:contextualSpacing w:val="0"/>
        <w:rPr>
          <w:rFonts w:ascii="Arial" w:eastAsia="Calibri" w:hAnsi="Arial"/>
          <w:vanish/>
          <w:color w:val="auto"/>
        </w:rPr>
      </w:pPr>
    </w:p>
    <w:p w14:paraId="43AE788F" w14:textId="4D52C565" w:rsidR="0077141C" w:rsidRPr="003C7E62" w:rsidRDefault="002D6995" w:rsidP="00636D0F">
      <w:pPr>
        <w:keepNext w:val="0"/>
        <w:numPr>
          <w:ilvl w:val="1"/>
          <w:numId w:val="344"/>
        </w:numPr>
        <w:tabs>
          <w:tab w:val="clear" w:pos="525"/>
          <w:tab w:val="num" w:pos="851"/>
        </w:tabs>
        <w:spacing w:before="0"/>
        <w:ind w:left="851" w:hanging="851"/>
        <w:rPr>
          <w:rFonts w:cs="Arial"/>
          <w:color w:val="auto"/>
          <w:szCs w:val="24"/>
          <w:lang w:eastAsia="en-US"/>
        </w:rPr>
      </w:pPr>
      <w:r w:rsidRPr="00D15F96">
        <w:rPr>
          <w:rFonts w:eastAsia="Calibri"/>
          <w:color w:val="auto"/>
          <w:szCs w:val="22"/>
          <w:lang w:eastAsia="en-US"/>
        </w:rPr>
        <w:t xml:space="preserve">National planning policy requires that policies and decisions should promote an effective use of land in meeting the needs for homes and other uses.  Some developments, due to the relationship between the site and adjacent land, may prove to be unacceptable as their implementation in isolation could adversely affect the more comprehensive development of the area of land at a later date or negate the development contributing towards affordable housing and infrastructure.  In such circumstances, the Council will expect that </w:t>
      </w:r>
      <w:r w:rsidR="000255E1" w:rsidRPr="009C12CD">
        <w:rPr>
          <w:rFonts w:eastAsia="Calibri"/>
          <w:szCs w:val="22"/>
          <w:lang w:eastAsia="en-US"/>
        </w:rPr>
        <w:t xml:space="preserve">landowners, promoters, </w:t>
      </w:r>
      <w:r w:rsidRPr="009C12CD">
        <w:rPr>
          <w:rFonts w:eastAsia="Calibri"/>
          <w:szCs w:val="22"/>
          <w:lang w:eastAsia="en-US"/>
        </w:rPr>
        <w:t>developer</w:t>
      </w:r>
      <w:r w:rsidR="00EE1451" w:rsidRPr="009C12CD">
        <w:rPr>
          <w:rFonts w:eastAsia="Calibri"/>
          <w:szCs w:val="22"/>
          <w:lang w:eastAsia="en-US"/>
        </w:rPr>
        <w:t>s</w:t>
      </w:r>
      <w:r w:rsidRPr="009C12CD">
        <w:rPr>
          <w:rFonts w:eastAsia="Calibri"/>
          <w:szCs w:val="22"/>
          <w:lang w:eastAsia="en-US"/>
        </w:rPr>
        <w:t xml:space="preserve"> </w:t>
      </w:r>
      <w:r w:rsidR="00EE1451" w:rsidRPr="009C12CD">
        <w:rPr>
          <w:rFonts w:eastAsia="Calibri"/>
          <w:szCs w:val="22"/>
          <w:lang w:eastAsia="en-US"/>
        </w:rPr>
        <w:t xml:space="preserve">and adjacent landowners </w:t>
      </w:r>
      <w:r w:rsidRPr="009C12CD">
        <w:rPr>
          <w:rFonts w:eastAsia="Calibri"/>
          <w:szCs w:val="22"/>
          <w:lang w:eastAsia="en-US"/>
        </w:rPr>
        <w:t>will work</w:t>
      </w:r>
      <w:r w:rsidR="00EE1451" w:rsidRPr="009C12CD">
        <w:rPr>
          <w:rFonts w:eastAsia="Calibri"/>
          <w:szCs w:val="22"/>
          <w:lang w:eastAsia="en-US"/>
        </w:rPr>
        <w:t xml:space="preserve"> together to maximise the efficient delivery of sites and achieve </w:t>
      </w:r>
      <w:r w:rsidRPr="009C12CD">
        <w:rPr>
          <w:rFonts w:eastAsia="Calibri"/>
          <w:szCs w:val="22"/>
          <w:lang w:eastAsia="en-US"/>
        </w:rPr>
        <w:t xml:space="preserve">a comprehensive solution.  </w:t>
      </w:r>
    </w:p>
    <w:p w14:paraId="1753E29A" w14:textId="5ACC90B9" w:rsidR="0077141C" w:rsidRDefault="0077141C" w:rsidP="005E17D1">
      <w:pPr>
        <w:pStyle w:val="ListParagraph"/>
        <w:spacing w:after="0" w:line="240" w:lineRule="auto"/>
        <w:rPr>
          <w:rFonts w:ascii="Arial" w:eastAsia="Calibri" w:hAnsi="Arial" w:cs="Arial"/>
          <w:color w:val="auto"/>
          <w:szCs w:val="24"/>
        </w:rPr>
      </w:pPr>
    </w:p>
    <w:p w14:paraId="300B409A" w14:textId="1ACC943A" w:rsidR="0077141C" w:rsidRPr="003C7E62" w:rsidRDefault="007070E5" w:rsidP="00FA0A04">
      <w:pPr>
        <w:keepNext w:val="0"/>
        <w:numPr>
          <w:ilvl w:val="1"/>
          <w:numId w:val="344"/>
        </w:numPr>
        <w:tabs>
          <w:tab w:val="clear" w:pos="525"/>
          <w:tab w:val="num" w:pos="851"/>
        </w:tabs>
        <w:spacing w:before="0"/>
        <w:ind w:left="851" w:hanging="851"/>
        <w:rPr>
          <w:rFonts w:cs="Arial"/>
          <w:color w:val="auto"/>
          <w:szCs w:val="24"/>
          <w:lang w:eastAsia="en-US"/>
        </w:rPr>
      </w:pPr>
      <w:r w:rsidRPr="003C7E62">
        <w:rPr>
          <w:rFonts w:eastAsia="Calibri" w:cs="Arial"/>
          <w:color w:val="auto"/>
          <w:szCs w:val="24"/>
        </w:rPr>
        <w:t>Developments which are acceptable in one location may be unacceptable in another due to possible conflicts with adjacent or nearby land uses. This may include such issues as diverse as a new lighting scheme which may result in glare or light spillage beyond the site, for example the floodlighting of a sports facility adjacent to residential properties</w:t>
      </w:r>
      <w:r w:rsidR="00CD61AD" w:rsidRPr="00CD61AD">
        <w:t xml:space="preserve"> </w:t>
      </w:r>
      <w:r w:rsidR="00CD61AD" w:rsidRPr="00CD61AD">
        <w:rPr>
          <w:rFonts w:eastAsia="Calibri" w:cs="Arial"/>
          <w:color w:val="auto"/>
          <w:szCs w:val="24"/>
        </w:rPr>
        <w:t>or light pollution that has the ability to impact on dark skies particularly in the vicinity of the Sherwood Observatory</w:t>
      </w:r>
      <w:r w:rsidRPr="003C7E62">
        <w:rPr>
          <w:rFonts w:eastAsia="Calibri" w:cs="Arial"/>
          <w:color w:val="auto"/>
          <w:szCs w:val="24"/>
        </w:rPr>
        <w:t xml:space="preserve">. New industrial uses may also be unacceptable close to residential areas or existing uses may </w:t>
      </w:r>
      <w:r w:rsidRPr="003C7E62">
        <w:rPr>
          <w:rFonts w:eastAsia="Calibri" w:cs="Arial"/>
          <w:color w:val="auto"/>
          <w:szCs w:val="24"/>
        </w:rPr>
        <w:lastRenderedPageBreak/>
        <w:t>generate noise, smells, vibrations etc. which render nearby sites unsuitable for other uses.</w:t>
      </w:r>
    </w:p>
    <w:p w14:paraId="3ABA1E80" w14:textId="77777777" w:rsidR="0077141C" w:rsidRPr="003C7E62" w:rsidRDefault="0077141C" w:rsidP="005E17D1">
      <w:pPr>
        <w:pStyle w:val="ListParagraph"/>
        <w:spacing w:after="0" w:line="240" w:lineRule="auto"/>
        <w:rPr>
          <w:rFonts w:ascii="Arial" w:hAnsi="Arial" w:cs="Arial"/>
          <w:color w:val="auto"/>
          <w:szCs w:val="24"/>
        </w:rPr>
      </w:pPr>
    </w:p>
    <w:p w14:paraId="1E756E93" w14:textId="2A50E32A" w:rsidR="0077141C" w:rsidRPr="003C7E62" w:rsidRDefault="00D9460E" w:rsidP="00FA0A04">
      <w:pPr>
        <w:keepNext w:val="0"/>
        <w:numPr>
          <w:ilvl w:val="1"/>
          <w:numId w:val="344"/>
        </w:numPr>
        <w:tabs>
          <w:tab w:val="clear" w:pos="525"/>
          <w:tab w:val="num" w:pos="851"/>
        </w:tabs>
        <w:spacing w:before="0"/>
        <w:ind w:left="851" w:hanging="851"/>
        <w:rPr>
          <w:rFonts w:cs="Arial"/>
          <w:color w:val="auto"/>
          <w:szCs w:val="24"/>
          <w:lang w:eastAsia="en-US"/>
        </w:rPr>
      </w:pPr>
      <w:r w:rsidRPr="003C7E62">
        <w:rPr>
          <w:rFonts w:cs="Arial"/>
          <w:color w:val="auto"/>
          <w:szCs w:val="24"/>
          <w:lang w:eastAsia="en-US"/>
        </w:rPr>
        <w:t>The minimisation of pollution, ground instability and contamination are important priorities.  The Council will consider the possible polluting effects of a development proposal on aspects such as amenity and surrounding land-uses, and will take account of the agent of change principle</w:t>
      </w:r>
      <w:r w:rsidRPr="003C7E62">
        <w:rPr>
          <w:rStyle w:val="FootnoteReference"/>
          <w:rFonts w:cs="Arial"/>
          <w:color w:val="auto"/>
          <w:szCs w:val="24"/>
          <w:lang w:eastAsia="en-US"/>
        </w:rPr>
        <w:footnoteReference w:id="52"/>
      </w:r>
    </w:p>
    <w:p w14:paraId="0C2F84ED" w14:textId="77777777" w:rsidR="00A74E08" w:rsidRPr="003C7E62" w:rsidRDefault="00A74E08" w:rsidP="005E17D1">
      <w:pPr>
        <w:keepNext w:val="0"/>
        <w:spacing w:before="0"/>
        <w:ind w:left="851"/>
        <w:rPr>
          <w:rFonts w:cs="Arial"/>
          <w:color w:val="auto"/>
          <w:szCs w:val="24"/>
          <w:lang w:eastAsia="en-US"/>
        </w:rPr>
      </w:pPr>
    </w:p>
    <w:p w14:paraId="56BB75D3" w14:textId="7C165B1A" w:rsidR="0077141C" w:rsidRPr="003C7E62" w:rsidRDefault="007070E5" w:rsidP="00FA0A04">
      <w:pPr>
        <w:keepNext w:val="0"/>
        <w:numPr>
          <w:ilvl w:val="1"/>
          <w:numId w:val="344"/>
        </w:numPr>
        <w:tabs>
          <w:tab w:val="clear" w:pos="525"/>
          <w:tab w:val="num" w:pos="851"/>
        </w:tabs>
        <w:spacing w:before="0"/>
        <w:ind w:left="851" w:hanging="851"/>
        <w:rPr>
          <w:rFonts w:cs="Arial"/>
          <w:color w:val="auto"/>
          <w:szCs w:val="24"/>
          <w:lang w:eastAsia="en-US"/>
        </w:rPr>
      </w:pPr>
      <w:r w:rsidRPr="003C7E62">
        <w:rPr>
          <w:rFonts w:eastAsia="Arial" w:cs="Arial"/>
          <w:color w:val="auto"/>
        </w:rPr>
        <w:t>It is important to make efficient use of land. Development proposals should not sterilise a larger site, for example by impeding access, or bringing forward a number of small developments which could limit the potential for a holistic approach to be taken to design</w:t>
      </w:r>
      <w:r w:rsidR="00A714D1" w:rsidRPr="009C12CD">
        <w:rPr>
          <w:rFonts w:eastAsia="Arial" w:cs="Arial"/>
        </w:rPr>
        <w:t>,</w:t>
      </w:r>
      <w:r w:rsidR="00A714D1" w:rsidRPr="009C12CD">
        <w:t xml:space="preserve"> </w:t>
      </w:r>
      <w:r w:rsidR="00A714D1" w:rsidRPr="009C12CD">
        <w:rPr>
          <w:rFonts w:eastAsia="Arial" w:cs="Arial"/>
        </w:rPr>
        <w:t>that might otherwise prejudice the place-making objectives of the Plan.</w:t>
      </w:r>
      <w:r w:rsidRPr="009C12CD">
        <w:rPr>
          <w:rFonts w:cs="Arial"/>
          <w:szCs w:val="24"/>
          <w:lang w:eastAsia="en-US"/>
        </w:rPr>
        <w:t xml:space="preserve">   </w:t>
      </w:r>
      <w:r w:rsidRPr="009C12CD">
        <w:rPr>
          <w:rFonts w:eastAsia="Arial" w:cs="Arial"/>
        </w:rPr>
        <w:t>Develop</w:t>
      </w:r>
      <w:r w:rsidRPr="003C7E62">
        <w:rPr>
          <w:rFonts w:eastAsia="Arial" w:cs="Arial"/>
          <w:color w:val="auto"/>
        </w:rPr>
        <w:t>ment proposals will be required to provide or contribute towards infrastructure needs arising from the development. Where requirements are based on development thresholds, a number of smaller development proposals will not be permitted if by doing so, the full requirements of a site would not be met.</w:t>
      </w:r>
      <w:bookmarkStart w:id="42" w:name="_Hlk75271165"/>
    </w:p>
    <w:p w14:paraId="46FAC7E9" w14:textId="77777777" w:rsidR="00A74E08" w:rsidRPr="003C7E62" w:rsidRDefault="00A74E08" w:rsidP="005E17D1">
      <w:pPr>
        <w:keepNext w:val="0"/>
        <w:spacing w:before="0"/>
        <w:ind w:left="851"/>
        <w:rPr>
          <w:rFonts w:cs="Arial"/>
          <w:color w:val="auto"/>
          <w:szCs w:val="24"/>
          <w:lang w:eastAsia="en-US"/>
        </w:rPr>
      </w:pPr>
    </w:p>
    <w:p w14:paraId="51A2FA11" w14:textId="3D5D269B" w:rsidR="007070E5" w:rsidRPr="003C7E62" w:rsidRDefault="007070E5" w:rsidP="00FA0A04">
      <w:pPr>
        <w:keepNext w:val="0"/>
        <w:numPr>
          <w:ilvl w:val="1"/>
          <w:numId w:val="344"/>
        </w:numPr>
        <w:tabs>
          <w:tab w:val="clear" w:pos="525"/>
          <w:tab w:val="num" w:pos="851"/>
        </w:tabs>
        <w:spacing w:before="0"/>
        <w:ind w:left="851" w:hanging="851"/>
        <w:rPr>
          <w:rFonts w:cs="Arial"/>
          <w:color w:val="auto"/>
          <w:szCs w:val="24"/>
          <w:lang w:eastAsia="en-US"/>
        </w:rPr>
      </w:pPr>
      <w:r w:rsidRPr="003C7E62">
        <w:rPr>
          <w:rFonts w:eastAsia="Arial" w:cs="Arial"/>
          <w:color w:val="auto"/>
        </w:rPr>
        <w:t>The concept of social value relates to the delivery of positive social, economic and environmental impacts, arising from the actions and operations of various organisations.  It can be defined as</w:t>
      </w:r>
      <w:bookmarkEnd w:id="42"/>
      <w:r w:rsidR="00DC5B07" w:rsidRPr="003C7E62">
        <w:rPr>
          <w:rFonts w:eastAsia="Arial" w:cs="Arial"/>
          <w:color w:val="auto"/>
        </w:rPr>
        <w:t>:</w:t>
      </w:r>
    </w:p>
    <w:p w14:paraId="399ED4BC" w14:textId="5D51A2AB" w:rsidR="00A74E08" w:rsidRPr="003C7E62" w:rsidRDefault="00A74E08" w:rsidP="005E17D1">
      <w:pPr>
        <w:keepNext w:val="0"/>
        <w:spacing w:before="0"/>
        <w:ind w:left="851"/>
        <w:rPr>
          <w:rFonts w:eastAsia="Arial" w:cs="Arial"/>
          <w:color w:val="auto"/>
        </w:rPr>
      </w:pPr>
    </w:p>
    <w:p w14:paraId="00402BD5" w14:textId="4A722D22" w:rsidR="00A74E08" w:rsidRDefault="00A74E08" w:rsidP="005E17D1">
      <w:pPr>
        <w:keepNext w:val="0"/>
        <w:autoSpaceDE w:val="0"/>
        <w:autoSpaceDN w:val="0"/>
        <w:adjustRightInd w:val="0"/>
        <w:spacing w:before="0"/>
        <w:ind w:left="993" w:right="566"/>
        <w:rPr>
          <w:rFonts w:eastAsia="Arial" w:cs="Arial"/>
          <w:color w:val="auto"/>
        </w:rPr>
      </w:pPr>
      <w:r w:rsidRPr="003C7E62">
        <w:rPr>
          <w:rFonts w:eastAsia="Arial" w:cs="Arial"/>
          <w:i/>
          <w:iCs/>
          <w:color w:val="auto"/>
        </w:rPr>
        <w:t>“ the wider social contribution that a development creates for society through how it is constructed and managed including the economic return to the local economy, the wellbeing of individuals and communities as well as the benefits to help regenerate the environment.”</w:t>
      </w:r>
      <w:r w:rsidRPr="003C7E62">
        <w:rPr>
          <w:rFonts w:eastAsia="Arial" w:cs="Arial"/>
          <w:color w:val="auto"/>
        </w:rPr>
        <w:t xml:space="preserve">  (Social Value Portal, </w:t>
      </w:r>
      <w:r w:rsidR="00CB51F1">
        <w:rPr>
          <w:rFonts w:eastAsia="Arial" w:cs="Arial"/>
          <w:color w:val="auto"/>
        </w:rPr>
        <w:t>August 2021)</w:t>
      </w:r>
      <w:r w:rsidRPr="00CB51F1">
        <w:rPr>
          <w:rFonts w:eastAsia="Arial" w:cs="Arial"/>
          <w:color w:val="auto"/>
        </w:rPr>
        <w:t>.</w:t>
      </w:r>
      <w:r w:rsidRPr="003C7E62">
        <w:rPr>
          <w:rFonts w:eastAsia="Arial" w:cs="Arial"/>
          <w:color w:val="auto"/>
        </w:rPr>
        <w:t xml:space="preserve"> </w:t>
      </w:r>
    </w:p>
    <w:p w14:paraId="193A5CCD" w14:textId="77777777" w:rsidR="009A1B27" w:rsidRPr="009A1B27" w:rsidRDefault="009A1B27" w:rsidP="009A1B27">
      <w:pPr>
        <w:keepNext w:val="0"/>
        <w:autoSpaceDE w:val="0"/>
        <w:autoSpaceDN w:val="0"/>
        <w:adjustRightInd w:val="0"/>
        <w:spacing w:before="0"/>
        <w:ind w:left="851" w:right="566"/>
        <w:rPr>
          <w:rFonts w:eastAsia="Arial" w:cs="Arial"/>
          <w:color w:val="auto"/>
        </w:rPr>
      </w:pPr>
    </w:p>
    <w:p w14:paraId="30E5F707" w14:textId="0D6D82AB" w:rsidR="00A74E08" w:rsidRPr="003C7E62" w:rsidRDefault="007070E5" w:rsidP="00CD61AD">
      <w:pPr>
        <w:keepNext w:val="0"/>
        <w:numPr>
          <w:ilvl w:val="1"/>
          <w:numId w:val="344"/>
        </w:numPr>
        <w:tabs>
          <w:tab w:val="clear" w:pos="525"/>
          <w:tab w:val="num" w:pos="851"/>
        </w:tabs>
        <w:spacing w:before="0"/>
        <w:ind w:left="851" w:hanging="851"/>
        <w:rPr>
          <w:rFonts w:eastAsia="Calibri" w:cs="Arial"/>
          <w:color w:val="auto"/>
          <w:szCs w:val="22"/>
          <w:lang w:eastAsia="en-US"/>
        </w:rPr>
      </w:pPr>
      <w:r w:rsidRPr="003C7E62">
        <w:rPr>
          <w:rFonts w:eastAsia="Arial" w:cs="Arial"/>
          <w:color w:val="auto"/>
        </w:rPr>
        <w:t>This means that as well as taking into account the direct effects of interventions, the wider effects on other areas must also be considered, particularly the effects on the local economy and the health and wellbeing of local residents.</w:t>
      </w:r>
      <w:r w:rsidR="00DC5B07" w:rsidRPr="003C7E62">
        <w:rPr>
          <w:rFonts w:eastAsia="Arial" w:cs="Arial"/>
          <w:color w:val="auto"/>
        </w:rPr>
        <w:t xml:space="preserve"> </w:t>
      </w:r>
      <w:r w:rsidRPr="003C7E62">
        <w:rPr>
          <w:rFonts w:eastAsia="Arial" w:cs="Arial"/>
          <w:color w:val="auto"/>
        </w:rPr>
        <w:t xml:space="preserve"> It is important to ensure that potential benefits – including small-scale benefits which together can have major cumulative benefits – are maximised from all possible sources.  The way </w:t>
      </w:r>
      <w:r w:rsidRPr="003C7E62">
        <w:rPr>
          <w:rFonts w:eastAsia="Calibri" w:cs="Arial"/>
          <w:color w:val="auto"/>
          <w:szCs w:val="22"/>
          <w:lang w:eastAsia="en-US"/>
        </w:rPr>
        <w:t>places are planned, maintained, built and operated can positively impact a number of factors including:</w:t>
      </w:r>
    </w:p>
    <w:p w14:paraId="3D3A8581" w14:textId="77777777" w:rsidR="00A74E08" w:rsidRPr="003C7E62" w:rsidRDefault="00A74E08" w:rsidP="005E17D1">
      <w:pPr>
        <w:keepNext w:val="0"/>
        <w:spacing w:before="0"/>
        <w:ind w:left="851"/>
        <w:rPr>
          <w:rFonts w:eastAsia="Calibri" w:cs="Arial"/>
          <w:color w:val="auto"/>
          <w:szCs w:val="22"/>
          <w:lang w:eastAsia="en-US"/>
        </w:rPr>
      </w:pPr>
    </w:p>
    <w:p w14:paraId="01429F5D" w14:textId="77777777" w:rsidR="00A74E08" w:rsidRPr="003C7E62" w:rsidRDefault="00A74E08" w:rsidP="00874A98">
      <w:pPr>
        <w:pStyle w:val="ListParagraph"/>
        <w:numPr>
          <w:ilvl w:val="0"/>
          <w:numId w:val="95"/>
        </w:numPr>
        <w:autoSpaceDE w:val="0"/>
        <w:autoSpaceDN w:val="0"/>
        <w:adjustRightInd w:val="0"/>
        <w:spacing w:after="0" w:line="240" w:lineRule="auto"/>
        <w:rPr>
          <w:rFonts w:ascii="Arial" w:eastAsia="Calibri" w:hAnsi="Arial" w:cs="Arial"/>
          <w:color w:val="auto"/>
        </w:rPr>
      </w:pPr>
      <w:r w:rsidRPr="003C7E62">
        <w:rPr>
          <w:rFonts w:ascii="Arial" w:eastAsia="Calibri" w:hAnsi="Arial" w:cs="Arial"/>
          <w:color w:val="auto"/>
        </w:rPr>
        <w:t>Jobs and economic growth</w:t>
      </w:r>
    </w:p>
    <w:p w14:paraId="73E861C3" w14:textId="77777777" w:rsidR="00A74E08" w:rsidRPr="003C7E62" w:rsidRDefault="00A74E08" w:rsidP="00874A98">
      <w:pPr>
        <w:pStyle w:val="ListParagraph"/>
        <w:numPr>
          <w:ilvl w:val="0"/>
          <w:numId w:val="95"/>
        </w:numPr>
        <w:autoSpaceDE w:val="0"/>
        <w:autoSpaceDN w:val="0"/>
        <w:adjustRightInd w:val="0"/>
        <w:spacing w:after="0" w:line="240" w:lineRule="auto"/>
        <w:rPr>
          <w:rFonts w:ascii="Arial" w:eastAsia="Calibri" w:hAnsi="Arial" w:cs="Arial"/>
          <w:color w:val="auto"/>
        </w:rPr>
      </w:pPr>
      <w:r w:rsidRPr="003C7E62">
        <w:rPr>
          <w:rFonts w:ascii="Arial" w:eastAsia="Calibri" w:hAnsi="Arial" w:cs="Arial"/>
          <w:color w:val="auto"/>
        </w:rPr>
        <w:t>Health, wellbeing and the environment;</w:t>
      </w:r>
    </w:p>
    <w:p w14:paraId="34FB71C6" w14:textId="4E02378C" w:rsidR="00A74E08" w:rsidRPr="003C7E62" w:rsidRDefault="00A74E08" w:rsidP="00874A98">
      <w:pPr>
        <w:pStyle w:val="ListParagraph"/>
        <w:numPr>
          <w:ilvl w:val="0"/>
          <w:numId w:val="95"/>
        </w:numPr>
        <w:autoSpaceDE w:val="0"/>
        <w:autoSpaceDN w:val="0"/>
        <w:adjustRightInd w:val="0"/>
        <w:spacing w:after="0" w:line="240" w:lineRule="auto"/>
        <w:rPr>
          <w:rFonts w:ascii="Arial" w:eastAsia="Calibri" w:hAnsi="Arial" w:cs="Arial"/>
          <w:color w:val="auto"/>
        </w:rPr>
      </w:pPr>
      <w:r w:rsidRPr="003C7E62">
        <w:rPr>
          <w:rFonts w:ascii="Arial" w:eastAsia="Calibri" w:hAnsi="Arial" w:cs="Arial"/>
          <w:color w:val="auto"/>
        </w:rPr>
        <w:t>Community cohesiveness.</w:t>
      </w:r>
    </w:p>
    <w:p w14:paraId="4619C7E8" w14:textId="77777777" w:rsidR="00EE39E9" w:rsidRPr="003C7E62" w:rsidRDefault="00EE39E9" w:rsidP="005E17D1">
      <w:pPr>
        <w:pStyle w:val="ListParagraph"/>
        <w:autoSpaceDE w:val="0"/>
        <w:autoSpaceDN w:val="0"/>
        <w:adjustRightInd w:val="0"/>
        <w:spacing w:after="0" w:line="240" w:lineRule="auto"/>
        <w:ind w:left="1211"/>
        <w:rPr>
          <w:rFonts w:ascii="Arial" w:eastAsia="Calibri" w:hAnsi="Arial" w:cs="Arial"/>
          <w:color w:val="auto"/>
        </w:rPr>
      </w:pPr>
    </w:p>
    <w:p w14:paraId="464C91C0" w14:textId="677155E7" w:rsidR="007070E5" w:rsidRPr="009A1B27" w:rsidRDefault="007070E5" w:rsidP="00CD61AD">
      <w:pPr>
        <w:keepNext w:val="0"/>
        <w:numPr>
          <w:ilvl w:val="1"/>
          <w:numId w:val="344"/>
        </w:numPr>
        <w:tabs>
          <w:tab w:val="clear" w:pos="525"/>
          <w:tab w:val="num" w:pos="851"/>
        </w:tabs>
        <w:spacing w:before="0"/>
        <w:ind w:left="851" w:hanging="851"/>
        <w:rPr>
          <w:rFonts w:eastAsia="Calibri" w:cs="Arial"/>
          <w:color w:val="auto"/>
          <w:szCs w:val="22"/>
          <w:lang w:eastAsia="en-US"/>
        </w:rPr>
      </w:pPr>
      <w:r w:rsidRPr="003C7E62">
        <w:rPr>
          <w:rFonts w:eastAsia="Calibri" w:cs="Arial"/>
          <w:color w:val="auto"/>
          <w:szCs w:val="22"/>
          <w:lang w:eastAsia="en-US"/>
        </w:rPr>
        <w:t xml:space="preserve">For Ashfield, to achieve the maximum benefits of a social value approach, the Council will take social value into consideration for decisions </w:t>
      </w:r>
      <w:r w:rsidR="00216BD3" w:rsidRPr="003C7E62">
        <w:rPr>
          <w:rFonts w:eastAsia="Calibri" w:cs="Arial"/>
          <w:color w:val="auto"/>
          <w:szCs w:val="22"/>
          <w:lang w:eastAsia="en-US"/>
        </w:rPr>
        <w:t xml:space="preserve">on </w:t>
      </w:r>
      <w:r w:rsidRPr="003C7E62">
        <w:rPr>
          <w:rFonts w:eastAsia="Calibri" w:cs="Arial"/>
          <w:color w:val="auto"/>
          <w:szCs w:val="22"/>
          <w:lang w:eastAsia="en-US"/>
        </w:rPr>
        <w:t xml:space="preserve">planning and development with the aim of integrating sustainable economic, social and </w:t>
      </w:r>
      <w:r w:rsidRPr="003C7E62">
        <w:rPr>
          <w:rFonts w:eastAsia="Calibri" w:cs="Arial"/>
          <w:color w:val="auto"/>
          <w:szCs w:val="22"/>
          <w:lang w:eastAsia="en-US"/>
        </w:rPr>
        <w:lastRenderedPageBreak/>
        <w:t>environment</w:t>
      </w:r>
      <w:r w:rsidR="00216BD3" w:rsidRPr="003C7E62">
        <w:rPr>
          <w:rFonts w:eastAsia="Calibri" w:cs="Arial"/>
          <w:color w:val="auto"/>
          <w:szCs w:val="22"/>
          <w:lang w:eastAsia="en-US"/>
        </w:rPr>
        <w:t>al</w:t>
      </w:r>
      <w:r w:rsidRPr="003C7E62">
        <w:rPr>
          <w:rFonts w:eastAsia="Calibri" w:cs="Arial"/>
          <w:color w:val="auto"/>
          <w:szCs w:val="22"/>
          <w:lang w:eastAsia="en-US"/>
        </w:rPr>
        <w:t xml:space="preserve"> objectives through social value. </w:t>
      </w:r>
      <w:r w:rsidR="00216BD3" w:rsidRPr="009A1B27">
        <w:rPr>
          <w:rFonts w:eastAsia="Calibri" w:cs="Arial"/>
          <w:color w:val="auto"/>
          <w:szCs w:val="22"/>
          <w:lang w:eastAsia="en-US"/>
        </w:rPr>
        <w:t xml:space="preserve">Further detail on how this will be applied to individual development proposals is set out in </w:t>
      </w:r>
      <w:r w:rsidR="009A1B27" w:rsidRPr="009A1B27">
        <w:rPr>
          <w:rFonts w:eastAsia="Calibri" w:cs="Arial"/>
          <w:color w:val="auto"/>
          <w:szCs w:val="22"/>
          <w:lang w:eastAsia="en-US"/>
        </w:rPr>
        <w:t>P</w:t>
      </w:r>
      <w:r w:rsidR="00216BD3" w:rsidRPr="009A1B27">
        <w:rPr>
          <w:rFonts w:eastAsia="Calibri" w:cs="Arial"/>
          <w:color w:val="auto"/>
          <w:szCs w:val="22"/>
          <w:lang w:eastAsia="en-US"/>
        </w:rPr>
        <w:t xml:space="preserve">olicy </w:t>
      </w:r>
      <w:r w:rsidR="009A1B27" w:rsidRPr="009A1B27">
        <w:rPr>
          <w:rFonts w:eastAsia="Calibri" w:cs="Arial"/>
          <w:color w:val="auto"/>
          <w:szCs w:val="22"/>
          <w:lang w:eastAsia="en-US"/>
        </w:rPr>
        <w:t>SD1.</w:t>
      </w:r>
      <w:r w:rsidR="00216BD3" w:rsidRPr="009A1B27">
        <w:rPr>
          <w:rFonts w:eastAsia="Calibri" w:cs="Arial"/>
          <w:color w:val="auto"/>
          <w:szCs w:val="22"/>
          <w:lang w:eastAsia="en-US"/>
        </w:rPr>
        <w:t xml:space="preserve"> </w:t>
      </w:r>
    </w:p>
    <w:p w14:paraId="18672DC2" w14:textId="49531B81" w:rsidR="00A74E08" w:rsidRPr="003C7E62" w:rsidRDefault="00A74E08" w:rsidP="005E17D1">
      <w:pPr>
        <w:keepNext w:val="0"/>
        <w:spacing w:before="0"/>
        <w:ind w:left="851"/>
        <w:rPr>
          <w:rFonts w:eastAsia="Calibri" w:cs="Arial"/>
          <w:color w:val="auto"/>
          <w:szCs w:val="22"/>
          <w:lang w:eastAsia="en-US"/>
        </w:rPr>
      </w:pPr>
    </w:p>
    <w:p w14:paraId="03361FE0" w14:textId="77777777" w:rsidR="00CB51F1" w:rsidRDefault="00CB51F1" w:rsidP="00CB51F1">
      <w:pPr>
        <w:keepNext w:val="0"/>
        <w:spacing w:before="0"/>
        <w:ind w:left="851"/>
        <w:rPr>
          <w:rFonts w:eastAsia="Arial" w:cs="Arial"/>
          <w:color w:val="auto"/>
        </w:rPr>
      </w:pPr>
    </w:p>
    <w:p w14:paraId="4E717E2F" w14:textId="77777777" w:rsidR="00CB51F1" w:rsidRDefault="00CB51F1" w:rsidP="00CB51F1">
      <w:pPr>
        <w:keepNext w:val="0"/>
        <w:spacing w:before="0"/>
        <w:ind w:left="851"/>
        <w:rPr>
          <w:rFonts w:eastAsia="Arial" w:cs="Arial"/>
          <w:color w:val="auto"/>
        </w:rPr>
      </w:pPr>
      <w:r w:rsidRPr="00CB51F1">
        <w:rPr>
          <w:rFonts w:cs="Arial"/>
          <w:noProof/>
          <w:color w:val="0070C0"/>
        </w:rPr>
        <w:drawing>
          <wp:inline distT="0" distB="0" distL="0" distR="0" wp14:anchorId="18544362" wp14:editId="1356650D">
            <wp:extent cx="5631180" cy="1455420"/>
            <wp:effectExtent l="0" t="0" r="7620" b="0"/>
            <wp:docPr id="19" name="Picture 19" descr="Figure 6: Ashfield District Council Social Value &#10;Source Ashfield District Counci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Figure 6: Ashfield District Council Social Value &#10;Source Ashfield District Council&#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31180" cy="1455420"/>
                    </a:xfrm>
                    <a:prstGeom prst="rect">
                      <a:avLst/>
                    </a:prstGeom>
                    <a:noFill/>
                    <a:ln>
                      <a:noFill/>
                    </a:ln>
                  </pic:spPr>
                </pic:pic>
              </a:graphicData>
            </a:graphic>
          </wp:inline>
        </w:drawing>
      </w:r>
    </w:p>
    <w:p w14:paraId="7302B88D" w14:textId="77777777" w:rsidR="00CB51F1" w:rsidRDefault="00CB51F1" w:rsidP="00CB51F1">
      <w:pPr>
        <w:keepNext w:val="0"/>
        <w:spacing w:before="0"/>
        <w:ind w:left="851"/>
        <w:rPr>
          <w:rFonts w:eastAsia="Arial" w:cs="Arial"/>
          <w:color w:val="auto"/>
        </w:rPr>
      </w:pPr>
    </w:p>
    <w:p w14:paraId="4A6EE425" w14:textId="68DB009D" w:rsidR="00CB51F1" w:rsidRPr="0011216B" w:rsidRDefault="009A1B27" w:rsidP="00890704">
      <w:pPr>
        <w:pStyle w:val="Heading3"/>
      </w:pPr>
      <w:r w:rsidRPr="0011216B">
        <w:t xml:space="preserve">Figure </w:t>
      </w:r>
      <w:r w:rsidR="00636D0F">
        <w:t>5</w:t>
      </w:r>
      <w:r w:rsidRPr="0011216B">
        <w:t>:</w:t>
      </w:r>
      <w:r w:rsidR="00CB51F1" w:rsidRPr="0011216B">
        <w:t xml:space="preserve"> Ashfield District Council Social Value </w:t>
      </w:r>
    </w:p>
    <w:p w14:paraId="1B334113" w14:textId="77777777" w:rsidR="00CB51F1" w:rsidRPr="00CB51F1" w:rsidRDefault="00CB51F1" w:rsidP="00636D0F">
      <w:pPr>
        <w:keepNext w:val="0"/>
        <w:autoSpaceDE w:val="0"/>
        <w:autoSpaceDN w:val="0"/>
        <w:adjustRightInd w:val="0"/>
        <w:spacing w:before="0"/>
        <w:ind w:left="720" w:firstLine="131"/>
        <w:rPr>
          <w:rFonts w:cs="Arial"/>
          <w:color w:val="auto"/>
          <w:sz w:val="20"/>
        </w:rPr>
      </w:pPr>
      <w:r w:rsidRPr="00CB51F1">
        <w:rPr>
          <w:rFonts w:cs="Arial"/>
          <w:color w:val="auto"/>
          <w:sz w:val="20"/>
        </w:rPr>
        <w:t>Source Ashfield District Council</w:t>
      </w:r>
    </w:p>
    <w:p w14:paraId="14530E44" w14:textId="33CFF845" w:rsidR="00A74E08" w:rsidRPr="003C7E62" w:rsidRDefault="00A74E08" w:rsidP="005E17D1">
      <w:pPr>
        <w:keepNext w:val="0"/>
        <w:spacing w:before="0"/>
        <w:ind w:left="851"/>
        <w:rPr>
          <w:rFonts w:eastAsia="Calibri" w:cs="Arial"/>
          <w:color w:val="auto"/>
          <w:szCs w:val="22"/>
          <w:lang w:eastAsia="en-US"/>
        </w:rPr>
      </w:pPr>
    </w:p>
    <w:p w14:paraId="0EF55F32" w14:textId="77777777" w:rsidR="00A74E08" w:rsidRPr="003C7E62" w:rsidRDefault="00A74E08" w:rsidP="005E17D1">
      <w:pPr>
        <w:keepNext w:val="0"/>
        <w:autoSpaceDE w:val="0"/>
        <w:autoSpaceDN w:val="0"/>
        <w:adjustRightInd w:val="0"/>
        <w:spacing w:before="0"/>
        <w:ind w:left="851" w:hanging="851"/>
        <w:rPr>
          <w:rFonts w:eastAsia="Calibri" w:cs="Arial"/>
          <w:color w:val="auto"/>
          <w:szCs w:val="22"/>
          <w:lang w:eastAsia="en-US"/>
        </w:rPr>
      </w:pPr>
    </w:p>
    <w:p w14:paraId="371BAE4B" w14:textId="2FD32D59" w:rsidR="00A74E08" w:rsidRPr="009D5737" w:rsidRDefault="00A74E08" w:rsidP="009D5737">
      <w:pPr>
        <w:pStyle w:val="Heading2"/>
        <w:jc w:val="left"/>
        <w:rPr>
          <w:rFonts w:eastAsia="Calibri"/>
          <w:sz w:val="28"/>
          <w:szCs w:val="28"/>
        </w:rPr>
      </w:pPr>
      <w:r w:rsidRPr="003C7E62">
        <w:rPr>
          <w:rFonts w:eastAsia="Calibri"/>
          <w:szCs w:val="22"/>
        </w:rPr>
        <w:br w:type="page"/>
      </w:r>
      <w:bookmarkStart w:id="43" w:name="_Toc145511555"/>
      <w:bookmarkStart w:id="44" w:name="_Hlk75527559"/>
      <w:r w:rsidRPr="009D5737">
        <w:rPr>
          <w:sz w:val="28"/>
          <w:szCs w:val="28"/>
        </w:rPr>
        <w:lastRenderedPageBreak/>
        <w:t>Strategic Policy S</w:t>
      </w:r>
      <w:r w:rsidR="0043047B" w:rsidRPr="009D5737">
        <w:rPr>
          <w:sz w:val="28"/>
          <w:szCs w:val="28"/>
        </w:rPr>
        <w:t>3</w:t>
      </w:r>
      <w:r w:rsidRPr="009D5737">
        <w:rPr>
          <w:sz w:val="28"/>
          <w:szCs w:val="28"/>
        </w:rPr>
        <w:t xml:space="preserve">: </w:t>
      </w:r>
      <w:r w:rsidR="00162A7B" w:rsidRPr="009D5737">
        <w:rPr>
          <w:sz w:val="28"/>
          <w:szCs w:val="28"/>
        </w:rPr>
        <w:t xml:space="preserve">Meeting the Challenge of </w:t>
      </w:r>
      <w:r w:rsidRPr="009D5737">
        <w:rPr>
          <w:rFonts w:eastAsia="Arial"/>
          <w:sz w:val="28"/>
          <w:szCs w:val="28"/>
        </w:rPr>
        <w:t>Climate Change</w:t>
      </w:r>
      <w:bookmarkEnd w:id="31"/>
      <w:bookmarkEnd w:id="43"/>
    </w:p>
    <w:p w14:paraId="3BFA53FB" w14:textId="77777777" w:rsidR="00A74E08" w:rsidRPr="003C7E62" w:rsidRDefault="00A74E08" w:rsidP="00A74E08">
      <w:pPr>
        <w:keepNext w:val="0"/>
        <w:spacing w:before="0"/>
        <w:rPr>
          <w:rFonts w:cs="Arial"/>
          <w:color w:val="auto"/>
          <w:lang w:eastAsia="en-US"/>
        </w:rPr>
      </w:pPr>
      <w:bookmarkStart w:id="45" w:name="_Hlk129878067"/>
      <w:bookmarkEnd w:id="44"/>
    </w:p>
    <w:tbl>
      <w:tblPr>
        <w:tblStyle w:val="ReportTable1"/>
        <w:tblW w:w="9634" w:type="dxa"/>
        <w:tblLook w:val="04A0" w:firstRow="1" w:lastRow="0" w:firstColumn="1" w:lastColumn="0" w:noHBand="0" w:noVBand="1"/>
      </w:tblPr>
      <w:tblGrid>
        <w:gridCol w:w="1701"/>
        <w:gridCol w:w="850"/>
        <w:gridCol w:w="7083"/>
      </w:tblGrid>
      <w:tr w:rsidR="00FB4E8F" w:rsidRPr="003C7E62" w14:paraId="2C10BA36" w14:textId="77777777" w:rsidTr="009D4C91">
        <w:tc>
          <w:tcPr>
            <w:tcW w:w="9634" w:type="dxa"/>
            <w:gridSpan w:val="3"/>
          </w:tcPr>
          <w:p w14:paraId="79236F4A" w14:textId="77777777" w:rsidR="005E17D1" w:rsidRDefault="005E17D1" w:rsidP="005E17D1">
            <w:pPr>
              <w:keepNext w:val="0"/>
              <w:tabs>
                <w:tab w:val="left" w:pos="680"/>
              </w:tabs>
              <w:spacing w:before="40" w:after="40"/>
              <w:rPr>
                <w:rFonts w:cs="Arial"/>
                <w:b/>
                <w:bCs/>
                <w:iCs/>
                <w:color w:val="auto"/>
                <w:szCs w:val="24"/>
                <w:lang w:eastAsia="en-US"/>
              </w:rPr>
            </w:pPr>
          </w:p>
          <w:p w14:paraId="207E51DC" w14:textId="52085A11" w:rsidR="00FB4E8F" w:rsidRDefault="00FB4E8F" w:rsidP="00E605B7">
            <w:pPr>
              <w:rPr>
                <w:rFonts w:eastAsia="Arial" w:cs="Arial"/>
                <w:b/>
                <w:bCs/>
                <w:iCs/>
                <w:color w:val="auto"/>
                <w:szCs w:val="24"/>
                <w:lang w:eastAsia="en-US"/>
              </w:rPr>
            </w:pPr>
            <w:r w:rsidRPr="003C7E62">
              <w:rPr>
                <w:rFonts w:cs="Arial"/>
                <w:b/>
                <w:bCs/>
                <w:iCs/>
                <w:color w:val="auto"/>
                <w:szCs w:val="24"/>
                <w:lang w:eastAsia="en-US"/>
              </w:rPr>
              <w:t>Strategic Policy S</w:t>
            </w:r>
            <w:r w:rsidR="0043047B" w:rsidRPr="009C12CD">
              <w:rPr>
                <w:rFonts w:cs="Arial"/>
                <w:b/>
                <w:bCs/>
                <w:iCs/>
                <w:szCs w:val="24"/>
                <w:lang w:eastAsia="en-US"/>
              </w:rPr>
              <w:t>3</w:t>
            </w:r>
            <w:r w:rsidRPr="003C7E62">
              <w:rPr>
                <w:rFonts w:cs="Arial"/>
                <w:b/>
                <w:bCs/>
                <w:iCs/>
                <w:color w:val="auto"/>
                <w:szCs w:val="24"/>
                <w:lang w:eastAsia="en-US"/>
              </w:rPr>
              <w:t xml:space="preserve">: </w:t>
            </w:r>
            <w:r w:rsidR="00162A7B" w:rsidRPr="00162A7B">
              <w:rPr>
                <w:rFonts w:cs="Arial"/>
                <w:b/>
                <w:bCs/>
                <w:iCs/>
                <w:color w:val="auto"/>
                <w:szCs w:val="24"/>
                <w:lang w:eastAsia="en-US"/>
              </w:rPr>
              <w:t xml:space="preserve">Meeting the Challenge of </w:t>
            </w:r>
            <w:r w:rsidRPr="003C7E62">
              <w:rPr>
                <w:rFonts w:eastAsia="Arial" w:cs="Arial"/>
                <w:b/>
                <w:bCs/>
                <w:iCs/>
                <w:color w:val="auto"/>
                <w:szCs w:val="24"/>
                <w:lang w:eastAsia="en-US"/>
              </w:rPr>
              <w:t>Climate Change</w:t>
            </w:r>
          </w:p>
          <w:p w14:paraId="35CA46F3" w14:textId="0D76C55E" w:rsidR="005E17D1" w:rsidRPr="003C7E62" w:rsidRDefault="005E17D1" w:rsidP="005E17D1">
            <w:pPr>
              <w:keepNext w:val="0"/>
              <w:tabs>
                <w:tab w:val="left" w:pos="680"/>
              </w:tabs>
              <w:spacing w:before="40" w:after="40"/>
              <w:rPr>
                <w:rFonts w:eastAsia="Arial" w:cs="Arial"/>
                <w:b/>
                <w:color w:val="auto"/>
              </w:rPr>
            </w:pPr>
          </w:p>
        </w:tc>
      </w:tr>
      <w:tr w:rsidR="00A74E08" w:rsidRPr="003C7E62" w14:paraId="4ED8BFAF" w14:textId="77777777" w:rsidTr="009D4C91">
        <w:tc>
          <w:tcPr>
            <w:tcW w:w="2551" w:type="dxa"/>
            <w:gridSpan w:val="2"/>
          </w:tcPr>
          <w:p w14:paraId="0D748AC5" w14:textId="77777777" w:rsidR="00A74E08" w:rsidRPr="005E17D1" w:rsidRDefault="00A74E08" w:rsidP="00A74E08">
            <w:pPr>
              <w:keepNext w:val="0"/>
              <w:tabs>
                <w:tab w:val="left" w:pos="680"/>
              </w:tabs>
              <w:spacing w:before="40" w:after="40"/>
              <w:rPr>
                <w:rFonts w:eastAsia="Arial" w:cs="Arial"/>
                <w:bCs/>
                <w:color w:val="auto"/>
              </w:rPr>
            </w:pPr>
            <w:bookmarkStart w:id="46" w:name="_Hlk77151511"/>
            <w:r w:rsidRPr="005E17D1">
              <w:rPr>
                <w:rFonts w:eastAsia="Arial" w:cs="Arial"/>
                <w:bCs/>
                <w:color w:val="auto"/>
              </w:rPr>
              <w:t>Strategic Objectives</w:t>
            </w:r>
          </w:p>
        </w:tc>
        <w:tc>
          <w:tcPr>
            <w:tcW w:w="7083" w:type="dxa"/>
          </w:tcPr>
          <w:p w14:paraId="4AFC5F17" w14:textId="77777777" w:rsidR="00A74E08" w:rsidRPr="005E17D1" w:rsidRDefault="00A74E08" w:rsidP="00A74E08">
            <w:pPr>
              <w:keepNext w:val="0"/>
              <w:tabs>
                <w:tab w:val="left" w:pos="680"/>
              </w:tabs>
              <w:spacing w:before="40" w:after="40"/>
              <w:rPr>
                <w:rFonts w:eastAsia="Arial" w:cs="Arial"/>
                <w:bCs/>
                <w:color w:val="auto"/>
              </w:rPr>
            </w:pPr>
            <w:r w:rsidRPr="005E17D1">
              <w:rPr>
                <w:rFonts w:eastAsia="Arial" w:cs="Arial"/>
                <w:bCs/>
                <w:color w:val="auto"/>
              </w:rPr>
              <w:t>SO1, SO11, SO13.</w:t>
            </w:r>
          </w:p>
        </w:tc>
      </w:tr>
      <w:tr w:rsidR="00A74E08" w:rsidRPr="003C7E62" w14:paraId="060CA0D0" w14:textId="77777777" w:rsidTr="009D4C91">
        <w:tc>
          <w:tcPr>
            <w:tcW w:w="9634" w:type="dxa"/>
            <w:gridSpan w:val="3"/>
            <w:shd w:val="clear" w:color="auto" w:fill="D9D9D9" w:themeFill="background1" w:themeFillShade="D9"/>
          </w:tcPr>
          <w:p w14:paraId="6C3E7D9B" w14:textId="77777777" w:rsidR="00A74E08" w:rsidRPr="003C7E62" w:rsidRDefault="00A74E08" w:rsidP="00EE39E9">
            <w:pPr>
              <w:keepNext w:val="0"/>
              <w:tabs>
                <w:tab w:val="left" w:pos="680"/>
                <w:tab w:val="left" w:pos="1133"/>
                <w:tab w:val="left" w:pos="2267"/>
              </w:tabs>
              <w:spacing w:before="0"/>
              <w:ind w:left="360" w:right="284"/>
              <w:rPr>
                <w:rFonts w:eastAsia="Arial" w:cs="Arial"/>
                <w:color w:val="auto"/>
                <w:szCs w:val="24"/>
              </w:rPr>
            </w:pPr>
          </w:p>
          <w:p w14:paraId="346585C4" w14:textId="746F4E6E" w:rsidR="00A74E08" w:rsidRPr="003C7E62" w:rsidRDefault="00673FC7" w:rsidP="00D01157">
            <w:pPr>
              <w:keepNext w:val="0"/>
              <w:numPr>
                <w:ilvl w:val="0"/>
                <w:numId w:val="14"/>
              </w:numPr>
              <w:tabs>
                <w:tab w:val="left" w:pos="680"/>
                <w:tab w:val="left" w:pos="1133"/>
                <w:tab w:val="left" w:pos="2267"/>
              </w:tabs>
              <w:spacing w:before="0"/>
              <w:ind w:right="284"/>
              <w:rPr>
                <w:rFonts w:eastAsia="Arial" w:cs="Arial"/>
                <w:color w:val="auto"/>
                <w:szCs w:val="24"/>
              </w:rPr>
            </w:pPr>
            <w:r w:rsidRPr="009C12CD">
              <w:rPr>
                <w:rFonts w:eastAsia="Arial" w:cs="Arial"/>
                <w:szCs w:val="24"/>
              </w:rPr>
              <w:t>The Council will prioritis</w:t>
            </w:r>
            <w:r w:rsidR="00285BC7" w:rsidRPr="009C12CD">
              <w:rPr>
                <w:rFonts w:eastAsia="Arial" w:cs="Arial"/>
                <w:szCs w:val="24"/>
              </w:rPr>
              <w:t>e</w:t>
            </w:r>
            <w:r w:rsidRPr="009C12CD">
              <w:rPr>
                <w:rFonts w:eastAsia="Arial" w:cs="Arial"/>
                <w:szCs w:val="24"/>
              </w:rPr>
              <w:t xml:space="preserve"> climate change in all planning decisions, </w:t>
            </w:r>
            <w:r w:rsidR="00A74E08" w:rsidRPr="003C7E62">
              <w:rPr>
                <w:rFonts w:eastAsia="Arial" w:cs="Arial"/>
                <w:color w:val="auto"/>
                <w:szCs w:val="24"/>
              </w:rPr>
              <w:t>tackling the causes and impacts of climate change and deliver a reduction in the District’s carbon footprint.  Development and the use of land/ and buildings will be required to address climate change, adapting to anticipated future changes and mitigating against further change by reducing greenhouse gas emissions.</w:t>
            </w:r>
          </w:p>
          <w:p w14:paraId="35C97DC1" w14:textId="77777777" w:rsidR="00A74E08" w:rsidRPr="003C7E62" w:rsidRDefault="00A74E08" w:rsidP="00EE39E9">
            <w:pPr>
              <w:keepNext w:val="0"/>
              <w:tabs>
                <w:tab w:val="left" w:pos="680"/>
                <w:tab w:val="left" w:pos="1133"/>
                <w:tab w:val="left" w:pos="2267"/>
              </w:tabs>
              <w:spacing w:before="0"/>
              <w:ind w:left="360" w:right="284"/>
              <w:rPr>
                <w:rFonts w:eastAsia="Arial" w:cs="Arial"/>
                <w:color w:val="auto"/>
                <w:szCs w:val="24"/>
              </w:rPr>
            </w:pPr>
          </w:p>
          <w:p w14:paraId="0DEA2EE1" w14:textId="77777777" w:rsidR="00A74E08" w:rsidRPr="003C7E62" w:rsidRDefault="00A74E08" w:rsidP="00D01157">
            <w:pPr>
              <w:keepNext w:val="0"/>
              <w:numPr>
                <w:ilvl w:val="0"/>
                <w:numId w:val="14"/>
              </w:numPr>
              <w:tabs>
                <w:tab w:val="left" w:pos="680"/>
                <w:tab w:val="left" w:pos="1133"/>
                <w:tab w:val="left" w:pos="2267"/>
              </w:tabs>
              <w:spacing w:before="0"/>
              <w:ind w:right="284"/>
              <w:rPr>
                <w:rFonts w:eastAsia="Arial" w:cs="Arial"/>
                <w:color w:val="auto"/>
                <w:szCs w:val="24"/>
              </w:rPr>
            </w:pPr>
            <w:r w:rsidRPr="003C7E62">
              <w:rPr>
                <w:rFonts w:eastAsia="Arial" w:cs="Arial"/>
                <w:color w:val="auto"/>
                <w:szCs w:val="24"/>
              </w:rPr>
              <w:t xml:space="preserve">The Council will work with partners, stakeholders and developers to: </w:t>
            </w:r>
          </w:p>
          <w:p w14:paraId="6C153870" w14:textId="77777777" w:rsidR="00A74E08" w:rsidRPr="003C7E62" w:rsidRDefault="00A74E08" w:rsidP="00EE39E9">
            <w:pPr>
              <w:keepNext w:val="0"/>
              <w:tabs>
                <w:tab w:val="left" w:pos="680"/>
                <w:tab w:val="left" w:pos="1133"/>
                <w:tab w:val="left" w:pos="2267"/>
              </w:tabs>
              <w:spacing w:before="0"/>
              <w:ind w:right="284"/>
              <w:rPr>
                <w:rFonts w:eastAsia="Arial" w:cs="Arial"/>
                <w:color w:val="auto"/>
                <w:szCs w:val="24"/>
              </w:rPr>
            </w:pPr>
          </w:p>
          <w:p w14:paraId="05232491" w14:textId="61AED2DE" w:rsidR="00A74E08" w:rsidRPr="003C7E62" w:rsidRDefault="00A74E08" w:rsidP="00D01157">
            <w:pPr>
              <w:keepNext w:val="0"/>
              <w:numPr>
                <w:ilvl w:val="0"/>
                <w:numId w:val="15"/>
              </w:numPr>
              <w:spacing w:before="0"/>
              <w:ind w:right="284"/>
              <w:contextualSpacing/>
              <w:rPr>
                <w:rFonts w:eastAsia="Arial" w:cs="Arial"/>
                <w:color w:val="auto"/>
                <w:szCs w:val="24"/>
                <w:lang w:eastAsia="en-US"/>
              </w:rPr>
            </w:pPr>
            <w:r w:rsidRPr="003C7E62">
              <w:rPr>
                <w:rFonts w:eastAsia="Arial" w:cs="Arial"/>
                <w:color w:val="auto"/>
                <w:szCs w:val="24"/>
                <w:lang w:eastAsia="en-US"/>
              </w:rPr>
              <w:t xml:space="preserve">Promote energy generation from renewable and low-carbon sources, through supporting new development where it is able to demonstrate that its adverse impacts have been satisfactorily addressed. </w:t>
            </w:r>
          </w:p>
          <w:p w14:paraId="303E762A" w14:textId="77777777" w:rsidR="00A74E08" w:rsidRPr="003C7E62" w:rsidRDefault="00A74E08" w:rsidP="00EE39E9">
            <w:pPr>
              <w:keepNext w:val="0"/>
              <w:spacing w:before="0"/>
              <w:ind w:left="720" w:right="284"/>
              <w:contextualSpacing/>
              <w:rPr>
                <w:rFonts w:eastAsia="Arial" w:cs="Arial"/>
                <w:color w:val="auto"/>
                <w:szCs w:val="24"/>
                <w:lang w:eastAsia="en-US"/>
              </w:rPr>
            </w:pPr>
          </w:p>
          <w:p w14:paraId="6747F888" w14:textId="77777777" w:rsidR="00A74E08" w:rsidRPr="003C7E62" w:rsidRDefault="00A74E08" w:rsidP="00D01157">
            <w:pPr>
              <w:keepNext w:val="0"/>
              <w:numPr>
                <w:ilvl w:val="0"/>
                <w:numId w:val="15"/>
              </w:numPr>
              <w:spacing w:before="0"/>
              <w:ind w:right="284"/>
              <w:contextualSpacing/>
              <w:rPr>
                <w:rFonts w:eastAsia="Arial" w:cs="Arial"/>
                <w:color w:val="auto"/>
                <w:szCs w:val="24"/>
                <w:lang w:eastAsia="en-US"/>
              </w:rPr>
            </w:pPr>
            <w:r w:rsidRPr="003C7E62">
              <w:rPr>
                <w:rFonts w:eastAsia="Arial" w:cs="Arial"/>
                <w:color w:val="auto"/>
                <w:szCs w:val="24"/>
                <w:lang w:eastAsia="en-US"/>
              </w:rPr>
              <w:t>Mitigate the impacts of climate change through ensuring that new development proposals minimise their potential adverse environmental impacts during their construction and eventual operation. New proposals for development should:</w:t>
            </w:r>
          </w:p>
          <w:p w14:paraId="4F1659FD" w14:textId="77777777" w:rsidR="00A74E08" w:rsidRPr="003C7E62" w:rsidRDefault="00A74E08" w:rsidP="00EE39E9">
            <w:pPr>
              <w:keepNext w:val="0"/>
              <w:spacing w:before="0"/>
              <w:ind w:left="720" w:right="284"/>
              <w:contextualSpacing/>
              <w:rPr>
                <w:rFonts w:eastAsia="Arial" w:cs="Arial"/>
                <w:color w:val="auto"/>
                <w:szCs w:val="24"/>
                <w:lang w:eastAsia="en-US"/>
              </w:rPr>
            </w:pPr>
          </w:p>
          <w:p w14:paraId="27871DEC" w14:textId="04803F1A" w:rsidR="00A74E08" w:rsidRPr="003C7E62" w:rsidRDefault="00A74E08" w:rsidP="00D01157">
            <w:pPr>
              <w:keepNext w:val="0"/>
              <w:numPr>
                <w:ilvl w:val="0"/>
                <w:numId w:val="16"/>
              </w:numPr>
              <w:tabs>
                <w:tab w:val="left" w:pos="680"/>
                <w:tab w:val="left" w:pos="1133"/>
                <w:tab w:val="left" w:pos="2267"/>
              </w:tabs>
              <w:spacing w:before="0"/>
              <w:ind w:right="284"/>
              <w:contextualSpacing/>
              <w:rPr>
                <w:rFonts w:eastAsia="Arial" w:cs="Arial"/>
                <w:color w:val="auto"/>
                <w:szCs w:val="24"/>
                <w:lang w:eastAsia="en-US"/>
              </w:rPr>
            </w:pPr>
            <w:r w:rsidRPr="003C7E62">
              <w:rPr>
                <w:rFonts w:eastAsia="Arial" w:cs="Arial"/>
                <w:color w:val="auto"/>
                <w:szCs w:val="24"/>
                <w:lang w:eastAsia="en-US"/>
              </w:rPr>
              <w:t>Ensure that the impacts on natural resources are minimised and the use of renewable resources encouraged</w:t>
            </w:r>
            <w:r w:rsidR="00A52BBF">
              <w:rPr>
                <w:rFonts w:eastAsia="Arial" w:cs="Arial"/>
                <w:color w:val="auto"/>
                <w:szCs w:val="24"/>
                <w:lang w:eastAsia="en-US"/>
              </w:rPr>
              <w:t>;</w:t>
            </w:r>
            <w:r w:rsidRPr="003C7E62">
              <w:rPr>
                <w:rFonts w:eastAsia="Arial" w:cs="Arial"/>
                <w:color w:val="auto"/>
                <w:szCs w:val="24"/>
                <w:lang w:eastAsia="en-US"/>
              </w:rPr>
              <w:t xml:space="preserve"> </w:t>
            </w:r>
          </w:p>
          <w:p w14:paraId="0593A681" w14:textId="1CC597E3" w:rsidR="00A74E08" w:rsidRPr="003C7E62" w:rsidRDefault="00A74E08" w:rsidP="00D01157">
            <w:pPr>
              <w:keepNext w:val="0"/>
              <w:numPr>
                <w:ilvl w:val="0"/>
                <w:numId w:val="16"/>
              </w:numPr>
              <w:tabs>
                <w:tab w:val="left" w:pos="680"/>
                <w:tab w:val="left" w:pos="1133"/>
                <w:tab w:val="left" w:pos="2267"/>
              </w:tabs>
              <w:spacing w:before="0"/>
              <w:ind w:right="284"/>
              <w:contextualSpacing/>
              <w:rPr>
                <w:rFonts w:eastAsia="Arial" w:cs="Arial"/>
                <w:color w:val="auto"/>
                <w:szCs w:val="24"/>
                <w:lang w:eastAsia="en-US"/>
              </w:rPr>
            </w:pPr>
            <w:r w:rsidRPr="003C7E62">
              <w:rPr>
                <w:rFonts w:eastAsia="Arial" w:cs="Arial"/>
                <w:color w:val="auto"/>
                <w:szCs w:val="24"/>
              </w:rPr>
              <w:t>Reduce carbon emissions</w:t>
            </w:r>
            <w:r w:rsidR="00A52BBF">
              <w:rPr>
                <w:rFonts w:eastAsia="Arial" w:cs="Arial"/>
                <w:color w:val="auto"/>
                <w:szCs w:val="24"/>
              </w:rPr>
              <w:t>;</w:t>
            </w:r>
            <w:r w:rsidRPr="003C7E62">
              <w:rPr>
                <w:rFonts w:eastAsia="Arial" w:cs="Arial"/>
                <w:color w:val="auto"/>
                <w:szCs w:val="24"/>
                <w:lang w:eastAsia="en-US"/>
              </w:rPr>
              <w:t xml:space="preserve"> </w:t>
            </w:r>
          </w:p>
          <w:p w14:paraId="0C674615" w14:textId="213D19EB" w:rsidR="00A74E08" w:rsidRDefault="00A74E08" w:rsidP="00D01157">
            <w:pPr>
              <w:keepNext w:val="0"/>
              <w:numPr>
                <w:ilvl w:val="0"/>
                <w:numId w:val="16"/>
              </w:numPr>
              <w:tabs>
                <w:tab w:val="left" w:pos="680"/>
                <w:tab w:val="left" w:pos="1133"/>
                <w:tab w:val="left" w:pos="2267"/>
              </w:tabs>
              <w:spacing w:before="0"/>
              <w:ind w:right="284"/>
              <w:contextualSpacing/>
              <w:rPr>
                <w:rFonts w:eastAsia="Arial" w:cs="Arial"/>
                <w:color w:val="auto"/>
                <w:szCs w:val="24"/>
                <w:lang w:eastAsia="en-US"/>
              </w:rPr>
            </w:pPr>
            <w:r w:rsidRPr="003C7E62">
              <w:rPr>
                <w:rFonts w:eastAsia="Arial" w:cs="Arial"/>
                <w:color w:val="auto"/>
                <w:szCs w:val="24"/>
                <w:lang w:eastAsia="en-US"/>
              </w:rPr>
              <w:t>Be efficient in minimising the consumption of energy, water and other resources</w:t>
            </w:r>
            <w:r w:rsidR="00A52BBF">
              <w:rPr>
                <w:rFonts w:eastAsia="Arial" w:cs="Arial"/>
                <w:color w:val="auto"/>
                <w:szCs w:val="24"/>
                <w:lang w:eastAsia="en-US"/>
              </w:rPr>
              <w:t>;</w:t>
            </w:r>
          </w:p>
          <w:p w14:paraId="33AC0029" w14:textId="213DD1E8" w:rsidR="00A52BBF" w:rsidRPr="009C12CD" w:rsidRDefault="00A52BBF" w:rsidP="0007395B">
            <w:pPr>
              <w:pStyle w:val="ListParagraph"/>
              <w:numPr>
                <w:ilvl w:val="0"/>
                <w:numId w:val="16"/>
              </w:numPr>
              <w:tabs>
                <w:tab w:val="left" w:pos="680"/>
                <w:tab w:val="left" w:pos="1133"/>
                <w:tab w:val="left" w:pos="2267"/>
              </w:tabs>
              <w:ind w:right="284"/>
              <w:rPr>
                <w:rFonts w:ascii="Arial" w:eastAsia="Arial" w:hAnsi="Arial" w:cs="Arial"/>
                <w:szCs w:val="24"/>
              </w:rPr>
            </w:pPr>
            <w:r w:rsidRPr="009C12CD">
              <w:rPr>
                <w:rFonts w:ascii="Arial" w:eastAsia="Arial" w:hAnsi="Arial" w:cs="Arial"/>
                <w:szCs w:val="24"/>
              </w:rPr>
              <w:t>Make new and existing buildings as energy efficient as possible;</w:t>
            </w:r>
          </w:p>
          <w:p w14:paraId="02BCACF6" w14:textId="218AB493" w:rsidR="00A52BBF" w:rsidRPr="009C12CD" w:rsidRDefault="00A52BBF" w:rsidP="0007395B">
            <w:pPr>
              <w:pStyle w:val="ListParagraph"/>
              <w:numPr>
                <w:ilvl w:val="0"/>
                <w:numId w:val="16"/>
              </w:numPr>
              <w:tabs>
                <w:tab w:val="left" w:pos="680"/>
                <w:tab w:val="left" w:pos="1133"/>
                <w:tab w:val="left" w:pos="2267"/>
              </w:tabs>
              <w:ind w:right="284"/>
              <w:rPr>
                <w:rFonts w:ascii="Arial" w:eastAsia="Arial" w:hAnsi="Arial" w:cs="Arial"/>
                <w:szCs w:val="24"/>
              </w:rPr>
            </w:pPr>
            <w:r w:rsidRPr="009C12CD">
              <w:rPr>
                <w:rFonts w:ascii="Arial" w:eastAsia="Arial" w:hAnsi="Arial" w:cs="Arial"/>
                <w:szCs w:val="24"/>
              </w:rPr>
              <w:t>Protect and enhance the network of green and blue spaces; and</w:t>
            </w:r>
          </w:p>
          <w:p w14:paraId="70F85557" w14:textId="796F4571" w:rsidR="00A74E08" w:rsidRPr="009C12CD" w:rsidRDefault="00A74E08" w:rsidP="0007395B">
            <w:pPr>
              <w:pStyle w:val="ListParagraph"/>
              <w:numPr>
                <w:ilvl w:val="0"/>
                <w:numId w:val="16"/>
              </w:numPr>
              <w:tabs>
                <w:tab w:val="left" w:pos="680"/>
                <w:tab w:val="left" w:pos="1133"/>
                <w:tab w:val="left" w:pos="2267"/>
              </w:tabs>
              <w:ind w:right="284"/>
              <w:rPr>
                <w:rFonts w:ascii="Arial" w:eastAsia="Arial" w:hAnsi="Arial" w:cs="Arial"/>
                <w:szCs w:val="24"/>
              </w:rPr>
            </w:pPr>
            <w:r w:rsidRPr="009C12CD">
              <w:rPr>
                <w:rFonts w:ascii="Arial" w:eastAsia="Arial" w:hAnsi="Arial" w:cs="Arial"/>
                <w:szCs w:val="24"/>
              </w:rPr>
              <w:t xml:space="preserve">Maintain </w:t>
            </w:r>
            <w:r w:rsidR="00A52BBF" w:rsidRPr="009C12CD">
              <w:rPr>
                <w:rFonts w:ascii="Arial" w:eastAsia="Arial" w:hAnsi="Arial" w:cs="Arial"/>
                <w:szCs w:val="24"/>
              </w:rPr>
              <w:t xml:space="preserve">and enhancing </w:t>
            </w:r>
            <w:r w:rsidRPr="009C12CD">
              <w:rPr>
                <w:rFonts w:ascii="Arial" w:eastAsia="Arial" w:hAnsi="Arial" w:cs="Arial"/>
                <w:szCs w:val="24"/>
              </w:rPr>
              <w:t>ecological</w:t>
            </w:r>
            <w:r w:rsidRPr="009C12CD">
              <w:rPr>
                <w:rFonts w:ascii="Arial" w:eastAsia="Calibri" w:hAnsi="Arial" w:cs="Arial"/>
              </w:rPr>
              <w:t xml:space="preserve"> </w:t>
            </w:r>
            <w:r w:rsidRPr="009C12CD">
              <w:rPr>
                <w:rFonts w:ascii="Arial" w:eastAsia="Arial" w:hAnsi="Arial" w:cs="Arial"/>
                <w:szCs w:val="24"/>
              </w:rPr>
              <w:t>resilience</w:t>
            </w:r>
            <w:r w:rsidR="00263588" w:rsidRPr="009C12CD">
              <w:rPr>
                <w:rFonts w:ascii="Arial" w:eastAsia="Arial" w:hAnsi="Arial" w:cs="Arial"/>
                <w:szCs w:val="24"/>
              </w:rPr>
              <w:t>.</w:t>
            </w:r>
          </w:p>
          <w:p w14:paraId="01EECFEA" w14:textId="77777777" w:rsidR="00A74E08" w:rsidRPr="009C12CD" w:rsidRDefault="00A74E08" w:rsidP="00EE39E9">
            <w:pPr>
              <w:keepNext w:val="0"/>
              <w:spacing w:before="0"/>
              <w:ind w:left="720" w:right="284"/>
              <w:contextualSpacing/>
              <w:rPr>
                <w:rFonts w:eastAsia="Arial" w:cs="Arial"/>
                <w:szCs w:val="24"/>
                <w:lang w:eastAsia="en-US"/>
              </w:rPr>
            </w:pPr>
          </w:p>
          <w:p w14:paraId="41AAE74D" w14:textId="47267D9F" w:rsidR="00A74E08" w:rsidRPr="009C12CD" w:rsidRDefault="002558FC" w:rsidP="00D01157">
            <w:pPr>
              <w:keepNext w:val="0"/>
              <w:numPr>
                <w:ilvl w:val="0"/>
                <w:numId w:val="15"/>
              </w:numPr>
              <w:spacing w:before="0"/>
              <w:ind w:right="284"/>
              <w:contextualSpacing/>
              <w:rPr>
                <w:rFonts w:eastAsia="Arial" w:cs="Arial"/>
                <w:szCs w:val="24"/>
                <w:lang w:eastAsia="en-US"/>
              </w:rPr>
            </w:pPr>
            <w:r w:rsidRPr="009C12CD">
              <w:t>The Council will ensure no development is put at risk of flooding nor does it increase the risk of flooding to the surrounding areas</w:t>
            </w:r>
            <w:r w:rsidR="003C32D3" w:rsidRPr="009C12CD">
              <w:t>, d</w:t>
            </w:r>
            <w:r w:rsidR="00A74E08" w:rsidRPr="009C12CD">
              <w:rPr>
                <w:rFonts w:eastAsia="Arial" w:cs="Arial"/>
                <w:szCs w:val="24"/>
                <w:lang w:eastAsia="en-US"/>
              </w:rPr>
              <w:t xml:space="preserve">irecting development </w:t>
            </w:r>
            <w:r w:rsidR="00B34068" w:rsidRPr="009C12CD">
              <w:rPr>
                <w:rFonts w:eastAsia="Arial" w:cs="Arial"/>
                <w:szCs w:val="24"/>
                <w:lang w:eastAsia="en-US"/>
              </w:rPr>
              <w:t xml:space="preserve">and infrastructure </w:t>
            </w:r>
            <w:r w:rsidR="00A74E08" w:rsidRPr="009C12CD">
              <w:rPr>
                <w:rFonts w:eastAsia="Arial" w:cs="Arial"/>
                <w:szCs w:val="24"/>
                <w:lang w:eastAsia="en-US"/>
              </w:rPr>
              <w:t>to area at the lowest risk of flooding in the District.</w:t>
            </w:r>
          </w:p>
          <w:p w14:paraId="54783DA8" w14:textId="450C3222" w:rsidR="00A74E08" w:rsidRPr="009C12CD" w:rsidRDefault="00A74E08" w:rsidP="00611C8D">
            <w:pPr>
              <w:keepNext w:val="0"/>
              <w:spacing w:before="0"/>
              <w:ind w:right="284"/>
              <w:contextualSpacing/>
              <w:rPr>
                <w:rFonts w:eastAsia="Arial" w:cs="Arial"/>
                <w:szCs w:val="24"/>
                <w:lang w:eastAsia="en-US"/>
              </w:rPr>
            </w:pPr>
          </w:p>
          <w:p w14:paraId="23E227DB" w14:textId="4D0FE97A" w:rsidR="00A74E08" w:rsidRPr="009C12CD" w:rsidRDefault="00A74E08" w:rsidP="00D01157">
            <w:pPr>
              <w:keepNext w:val="0"/>
              <w:numPr>
                <w:ilvl w:val="0"/>
                <w:numId w:val="15"/>
              </w:numPr>
              <w:spacing w:before="0"/>
              <w:ind w:right="284"/>
              <w:contextualSpacing/>
              <w:rPr>
                <w:rFonts w:eastAsia="Arial" w:cs="Arial"/>
                <w:szCs w:val="24"/>
                <w:lang w:eastAsia="en-US"/>
              </w:rPr>
            </w:pPr>
            <w:r w:rsidRPr="009C12CD">
              <w:rPr>
                <w:rFonts w:eastAsia="Arial" w:cs="Arial"/>
                <w:szCs w:val="24"/>
                <w:lang w:eastAsia="en-US"/>
              </w:rPr>
              <w:t>Ensure, that development</w:t>
            </w:r>
            <w:r w:rsidR="00275006" w:rsidRPr="009C12CD">
              <w:rPr>
                <w:rFonts w:eastAsia="Arial" w:cs="Arial"/>
                <w:szCs w:val="24"/>
                <w:lang w:eastAsia="en-US"/>
              </w:rPr>
              <w:t xml:space="preserve"> provides for integrated water </w:t>
            </w:r>
            <w:r w:rsidRPr="009C12CD">
              <w:rPr>
                <w:rFonts w:eastAsia="Arial" w:cs="Arial"/>
                <w:szCs w:val="24"/>
                <w:lang w:eastAsia="en-US"/>
              </w:rPr>
              <w:t>management including:</w:t>
            </w:r>
          </w:p>
          <w:p w14:paraId="361FBD86" w14:textId="77777777" w:rsidR="00A74E08" w:rsidRPr="009C12CD" w:rsidRDefault="00A74E08" w:rsidP="00EE39E9">
            <w:pPr>
              <w:keepNext w:val="0"/>
              <w:spacing w:before="0"/>
              <w:ind w:left="1080" w:right="284"/>
              <w:contextualSpacing/>
              <w:rPr>
                <w:rFonts w:eastAsia="Arial" w:cs="Arial"/>
                <w:szCs w:val="24"/>
                <w:lang w:eastAsia="en-US"/>
              </w:rPr>
            </w:pPr>
          </w:p>
          <w:p w14:paraId="7AB683A9" w14:textId="54B9A377" w:rsidR="00A74E08" w:rsidRPr="003C7E62" w:rsidRDefault="00A74E08" w:rsidP="00D01157">
            <w:pPr>
              <w:pStyle w:val="ListParagraph"/>
              <w:numPr>
                <w:ilvl w:val="0"/>
                <w:numId w:val="42"/>
              </w:numPr>
              <w:tabs>
                <w:tab w:val="left" w:pos="1133"/>
                <w:tab w:val="left" w:pos="2267"/>
              </w:tabs>
              <w:spacing w:after="0" w:line="240" w:lineRule="auto"/>
              <w:ind w:left="1080" w:right="284"/>
              <w:rPr>
                <w:rFonts w:ascii="Arial" w:eastAsia="Arial" w:hAnsi="Arial" w:cs="Arial"/>
                <w:color w:val="auto"/>
                <w:szCs w:val="24"/>
              </w:rPr>
            </w:pPr>
            <w:r w:rsidRPr="003C7E62">
              <w:rPr>
                <w:rFonts w:ascii="Arial" w:eastAsia="Arial" w:hAnsi="Arial" w:cs="Arial"/>
                <w:color w:val="auto"/>
                <w:szCs w:val="24"/>
              </w:rPr>
              <w:t>Improving the quality of water resources and the natural features of Kings Mill Reservoir, the Rivers Leen, Erewash, Maun, Meden, Idle and Doe Lea, their tributary streams, ponds and associated habitats</w:t>
            </w:r>
            <w:r w:rsidR="00282C6F">
              <w:rPr>
                <w:rFonts w:ascii="Arial" w:eastAsia="Arial" w:hAnsi="Arial" w:cs="Arial"/>
                <w:color w:val="auto"/>
                <w:szCs w:val="24"/>
              </w:rPr>
              <w:t>;</w:t>
            </w:r>
          </w:p>
          <w:p w14:paraId="46E5DD42" w14:textId="77777777" w:rsidR="00A74E08" w:rsidRPr="003C7E62" w:rsidRDefault="00A74E08" w:rsidP="00EE39E9">
            <w:pPr>
              <w:pStyle w:val="ListParagraph"/>
              <w:tabs>
                <w:tab w:val="left" w:pos="1133"/>
                <w:tab w:val="left" w:pos="2267"/>
              </w:tabs>
              <w:spacing w:after="0" w:line="240" w:lineRule="auto"/>
              <w:ind w:left="1080" w:right="284"/>
              <w:rPr>
                <w:rFonts w:ascii="Arial" w:eastAsia="Arial" w:hAnsi="Arial" w:cs="Arial"/>
                <w:color w:val="auto"/>
                <w:szCs w:val="24"/>
              </w:rPr>
            </w:pPr>
          </w:p>
          <w:p w14:paraId="7B661858" w14:textId="35CDD51D" w:rsidR="00A74E08" w:rsidRPr="00372D94" w:rsidRDefault="00A74E08" w:rsidP="00D01157">
            <w:pPr>
              <w:pStyle w:val="ListParagraph"/>
              <w:numPr>
                <w:ilvl w:val="0"/>
                <w:numId w:val="42"/>
              </w:numPr>
              <w:tabs>
                <w:tab w:val="left" w:pos="1133"/>
                <w:tab w:val="left" w:pos="2267"/>
              </w:tabs>
              <w:spacing w:after="0" w:line="240" w:lineRule="auto"/>
              <w:ind w:left="1080" w:right="284"/>
              <w:rPr>
                <w:rFonts w:ascii="Arial" w:eastAsia="Arial" w:hAnsi="Arial" w:cs="Arial"/>
                <w:szCs w:val="24"/>
              </w:rPr>
            </w:pPr>
            <w:r w:rsidRPr="00372D94">
              <w:rPr>
                <w:rFonts w:ascii="Arial" w:eastAsia="Arial" w:hAnsi="Arial" w:cs="Arial"/>
                <w:szCs w:val="24"/>
              </w:rPr>
              <w:t>Minimising any risk to the quality of the groundwater in the principal aquifers</w:t>
            </w:r>
            <w:r w:rsidR="004D5481" w:rsidRPr="00372D94">
              <w:rPr>
                <w:rFonts w:ascii="Arial" w:eastAsia="Arial" w:hAnsi="Arial" w:cs="Arial"/>
                <w:szCs w:val="24"/>
              </w:rPr>
              <w:t>,</w:t>
            </w:r>
            <w:r w:rsidRPr="00372D94">
              <w:rPr>
                <w:rFonts w:ascii="Arial" w:eastAsia="Arial" w:hAnsi="Arial" w:cs="Arial"/>
                <w:szCs w:val="24"/>
              </w:rPr>
              <w:t xml:space="preserve"> </w:t>
            </w:r>
            <w:r w:rsidR="004D5481" w:rsidRPr="00372D94">
              <w:rPr>
                <w:rFonts w:ascii="Arial" w:eastAsia="Arial" w:hAnsi="Arial" w:cs="Arial"/>
                <w:szCs w:val="24"/>
              </w:rPr>
              <w:t xml:space="preserve">secondary aquifers </w:t>
            </w:r>
            <w:r w:rsidRPr="00372D94">
              <w:rPr>
                <w:rFonts w:ascii="Arial" w:eastAsia="Arial" w:hAnsi="Arial" w:cs="Arial"/>
                <w:szCs w:val="24"/>
              </w:rPr>
              <w:t>or in groundwater source protection zones</w:t>
            </w:r>
            <w:r w:rsidR="00282C6F" w:rsidRPr="00372D94">
              <w:rPr>
                <w:rFonts w:ascii="Arial" w:eastAsia="Arial" w:hAnsi="Arial" w:cs="Arial"/>
                <w:szCs w:val="24"/>
              </w:rPr>
              <w:t>;</w:t>
            </w:r>
          </w:p>
          <w:p w14:paraId="16C0F357" w14:textId="77777777" w:rsidR="00A74E08" w:rsidRPr="00372D94" w:rsidRDefault="00A74E08" w:rsidP="00EE39E9">
            <w:pPr>
              <w:tabs>
                <w:tab w:val="left" w:pos="1133"/>
                <w:tab w:val="left" w:pos="2267"/>
              </w:tabs>
              <w:spacing w:before="0"/>
              <w:ind w:right="284"/>
              <w:rPr>
                <w:rFonts w:eastAsia="Arial" w:cs="Arial"/>
                <w:szCs w:val="24"/>
              </w:rPr>
            </w:pPr>
          </w:p>
          <w:p w14:paraId="0343FE64" w14:textId="1C9B2773" w:rsidR="00A74E08" w:rsidRPr="00372D94" w:rsidRDefault="00A74E08" w:rsidP="00D01157">
            <w:pPr>
              <w:pStyle w:val="ListParagraph"/>
              <w:numPr>
                <w:ilvl w:val="0"/>
                <w:numId w:val="42"/>
              </w:numPr>
              <w:tabs>
                <w:tab w:val="left" w:pos="1133"/>
                <w:tab w:val="left" w:pos="2267"/>
              </w:tabs>
              <w:spacing w:after="0" w:line="240" w:lineRule="auto"/>
              <w:ind w:left="1080" w:right="284"/>
              <w:rPr>
                <w:rFonts w:ascii="Arial" w:eastAsia="Arial" w:hAnsi="Arial" w:cs="Arial"/>
                <w:szCs w:val="24"/>
              </w:rPr>
            </w:pPr>
            <w:r w:rsidRPr="00372D94">
              <w:rPr>
                <w:rFonts w:ascii="Arial" w:eastAsia="Arial" w:hAnsi="Arial" w:cs="Arial"/>
                <w:szCs w:val="24"/>
              </w:rPr>
              <w:t>Applying a sequential approach to minimise flood risk</w:t>
            </w:r>
            <w:r w:rsidR="00282C6F" w:rsidRPr="00372D94">
              <w:rPr>
                <w:rFonts w:ascii="Arial" w:eastAsia="Arial" w:hAnsi="Arial" w:cs="Arial"/>
                <w:szCs w:val="24"/>
              </w:rPr>
              <w:t>;</w:t>
            </w:r>
          </w:p>
          <w:p w14:paraId="6282F521" w14:textId="77777777" w:rsidR="00A74E08" w:rsidRPr="00372D94" w:rsidRDefault="00A74E08" w:rsidP="00EE39E9">
            <w:pPr>
              <w:pStyle w:val="ListParagraph"/>
              <w:tabs>
                <w:tab w:val="left" w:pos="1133"/>
                <w:tab w:val="left" w:pos="2267"/>
              </w:tabs>
              <w:spacing w:after="0" w:line="240" w:lineRule="auto"/>
              <w:ind w:left="1080" w:right="284"/>
              <w:rPr>
                <w:rFonts w:ascii="Arial" w:eastAsia="Arial" w:hAnsi="Arial" w:cs="Arial"/>
                <w:szCs w:val="24"/>
              </w:rPr>
            </w:pPr>
          </w:p>
          <w:p w14:paraId="634C3465" w14:textId="004F49D3" w:rsidR="00F577CC" w:rsidRPr="00372D94" w:rsidRDefault="00A74E08" w:rsidP="00F577CC">
            <w:pPr>
              <w:pStyle w:val="ListParagraph"/>
              <w:numPr>
                <w:ilvl w:val="0"/>
                <w:numId w:val="42"/>
              </w:numPr>
              <w:tabs>
                <w:tab w:val="left" w:pos="1133"/>
                <w:tab w:val="left" w:pos="2267"/>
              </w:tabs>
              <w:spacing w:after="0" w:line="240" w:lineRule="auto"/>
              <w:ind w:left="1080" w:right="284"/>
              <w:rPr>
                <w:rFonts w:ascii="Arial" w:eastAsia="Arial" w:hAnsi="Arial" w:cs="Arial"/>
                <w:szCs w:val="24"/>
              </w:rPr>
            </w:pPr>
            <w:r w:rsidRPr="00372D94">
              <w:rPr>
                <w:rFonts w:ascii="Arial" w:hAnsi="Arial" w:cs="Arial"/>
                <w:szCs w:val="24"/>
              </w:rPr>
              <w:t xml:space="preserve">Achieving greenfield run-off rates within the catchment of the River Leen </w:t>
            </w:r>
            <w:r w:rsidRPr="00372D94">
              <w:rPr>
                <w:rFonts w:ascii="Arial" w:eastAsia="Arial" w:hAnsi="Arial" w:cs="Arial"/>
                <w:szCs w:val="24"/>
              </w:rPr>
              <w:t>to minimise the risk of flooding to Hucknall and the City of Nottingham</w:t>
            </w:r>
            <w:r w:rsidR="00282C6F" w:rsidRPr="00372D94">
              <w:rPr>
                <w:rFonts w:ascii="Arial" w:eastAsia="Arial" w:hAnsi="Arial" w:cs="Arial"/>
                <w:szCs w:val="24"/>
              </w:rPr>
              <w:t>;</w:t>
            </w:r>
          </w:p>
          <w:p w14:paraId="7D82EB3E" w14:textId="77777777" w:rsidR="00F577CC" w:rsidRPr="00372D94" w:rsidRDefault="00F577CC" w:rsidP="00F577CC">
            <w:pPr>
              <w:pStyle w:val="ListParagraph"/>
              <w:rPr>
                <w:rFonts w:ascii="Arial" w:hAnsi="Arial" w:cs="Arial"/>
                <w:szCs w:val="24"/>
              </w:rPr>
            </w:pPr>
          </w:p>
          <w:p w14:paraId="6BCE861E" w14:textId="0E61A17A" w:rsidR="00F30460" w:rsidRPr="00372D94" w:rsidRDefault="00F30460" w:rsidP="00F577CC">
            <w:pPr>
              <w:pStyle w:val="ListParagraph"/>
              <w:numPr>
                <w:ilvl w:val="0"/>
                <w:numId w:val="42"/>
              </w:numPr>
              <w:tabs>
                <w:tab w:val="left" w:pos="1133"/>
                <w:tab w:val="left" w:pos="2267"/>
              </w:tabs>
              <w:spacing w:after="0" w:line="240" w:lineRule="auto"/>
              <w:ind w:left="1080" w:right="284"/>
              <w:rPr>
                <w:rFonts w:ascii="Arial" w:hAnsi="Arial" w:cs="Arial"/>
                <w:bCs/>
                <w:szCs w:val="24"/>
              </w:rPr>
            </w:pPr>
            <w:r w:rsidRPr="00372D94">
              <w:rPr>
                <w:rFonts w:ascii="Arial" w:hAnsi="Arial" w:cs="Arial"/>
                <w:bCs/>
                <w:szCs w:val="24"/>
              </w:rPr>
              <w:t>Util</w:t>
            </w:r>
            <w:r w:rsidR="002D00A7" w:rsidRPr="00372D94">
              <w:rPr>
                <w:rFonts w:ascii="Arial" w:hAnsi="Arial" w:cs="Arial"/>
                <w:bCs/>
                <w:szCs w:val="24"/>
              </w:rPr>
              <w:t>i</w:t>
            </w:r>
            <w:r w:rsidRPr="00372D94">
              <w:rPr>
                <w:rFonts w:ascii="Arial" w:hAnsi="Arial" w:cs="Arial"/>
                <w:bCs/>
                <w:szCs w:val="24"/>
              </w:rPr>
              <w:t>sing Sustainable Drainage Systems (Su</w:t>
            </w:r>
            <w:r w:rsidR="002D00A7" w:rsidRPr="00372D94">
              <w:rPr>
                <w:rFonts w:ascii="Arial" w:hAnsi="Arial" w:cs="Arial"/>
                <w:bCs/>
                <w:szCs w:val="24"/>
              </w:rPr>
              <w:t>DS)</w:t>
            </w:r>
            <w:r w:rsidR="00282C6F" w:rsidRPr="00372D94">
              <w:rPr>
                <w:rFonts w:ascii="Arial" w:hAnsi="Arial" w:cs="Arial"/>
                <w:bCs/>
                <w:szCs w:val="24"/>
              </w:rPr>
              <w:t xml:space="preserve">; </w:t>
            </w:r>
          </w:p>
          <w:p w14:paraId="6CFC2EE6" w14:textId="77777777" w:rsidR="00F30460" w:rsidRPr="00372D94" w:rsidRDefault="00F30460" w:rsidP="00F30460">
            <w:pPr>
              <w:pStyle w:val="ListParagraph"/>
              <w:rPr>
                <w:rFonts w:ascii="Arial" w:hAnsi="Arial" w:cs="Arial"/>
                <w:szCs w:val="24"/>
              </w:rPr>
            </w:pPr>
          </w:p>
          <w:p w14:paraId="0DF7838B" w14:textId="673E940B" w:rsidR="00275006" w:rsidRDefault="00A74E08" w:rsidP="00516BEE">
            <w:pPr>
              <w:pStyle w:val="ListParagraph"/>
              <w:numPr>
                <w:ilvl w:val="0"/>
                <w:numId w:val="42"/>
              </w:numPr>
              <w:tabs>
                <w:tab w:val="left" w:pos="1133"/>
                <w:tab w:val="left" w:pos="2267"/>
              </w:tabs>
              <w:spacing w:after="0" w:line="240" w:lineRule="auto"/>
              <w:ind w:left="1080" w:right="284"/>
              <w:rPr>
                <w:rFonts w:ascii="Arial" w:eastAsia="Arial" w:hAnsi="Arial" w:cs="Arial"/>
                <w:color w:val="auto"/>
                <w:szCs w:val="24"/>
              </w:rPr>
            </w:pPr>
            <w:r w:rsidRPr="00372D94">
              <w:rPr>
                <w:rFonts w:ascii="Arial" w:eastAsia="Arial" w:hAnsi="Arial" w:cs="Arial"/>
                <w:szCs w:val="24"/>
              </w:rPr>
              <w:t>Ensu</w:t>
            </w:r>
            <w:r w:rsidR="00A3215F" w:rsidRPr="00372D94">
              <w:rPr>
                <w:rFonts w:ascii="Arial" w:eastAsia="Arial" w:hAnsi="Arial" w:cs="Arial"/>
                <w:szCs w:val="24"/>
              </w:rPr>
              <w:t>r</w:t>
            </w:r>
            <w:r w:rsidR="00263588" w:rsidRPr="00372D94">
              <w:rPr>
                <w:rFonts w:ascii="Arial" w:eastAsia="Arial" w:hAnsi="Arial" w:cs="Arial"/>
                <w:szCs w:val="24"/>
              </w:rPr>
              <w:t>e</w:t>
            </w:r>
            <w:r w:rsidRPr="00372D94">
              <w:rPr>
                <w:rFonts w:ascii="Arial" w:eastAsia="Arial" w:hAnsi="Arial" w:cs="Arial"/>
                <w:szCs w:val="24"/>
              </w:rPr>
              <w:t xml:space="preserve"> that surface water is managed so that there is no unacceptable impact from surface water flooding to </w:t>
            </w:r>
            <w:r w:rsidRPr="00275006">
              <w:rPr>
                <w:rFonts w:ascii="Arial" w:eastAsia="Arial" w:hAnsi="Arial" w:cs="Arial"/>
                <w:color w:val="auto"/>
                <w:szCs w:val="24"/>
              </w:rPr>
              <w:t>the development, to surrounding areas or to the existing drainage regime</w:t>
            </w:r>
            <w:r w:rsidR="00282C6F">
              <w:rPr>
                <w:rFonts w:ascii="Arial" w:eastAsia="Arial" w:hAnsi="Arial" w:cs="Arial"/>
                <w:color w:val="auto"/>
                <w:szCs w:val="24"/>
              </w:rPr>
              <w:t>; and</w:t>
            </w:r>
          </w:p>
          <w:p w14:paraId="772CE24C" w14:textId="77777777" w:rsidR="00282C6F" w:rsidRPr="00263588" w:rsidRDefault="00282C6F" w:rsidP="00282C6F">
            <w:pPr>
              <w:pStyle w:val="ListParagraph"/>
              <w:rPr>
                <w:rFonts w:ascii="Arial" w:eastAsia="Arial" w:hAnsi="Arial" w:cs="Arial"/>
                <w:color w:val="auto"/>
                <w:szCs w:val="24"/>
              </w:rPr>
            </w:pPr>
          </w:p>
          <w:p w14:paraId="39176438" w14:textId="576DC32F" w:rsidR="00282C6F" w:rsidRPr="00716A70" w:rsidRDefault="00282C6F" w:rsidP="00716A70">
            <w:pPr>
              <w:pStyle w:val="ListParagraph"/>
              <w:numPr>
                <w:ilvl w:val="0"/>
                <w:numId w:val="42"/>
              </w:numPr>
              <w:tabs>
                <w:tab w:val="left" w:pos="1133"/>
                <w:tab w:val="left" w:pos="2267"/>
              </w:tabs>
              <w:spacing w:after="0" w:line="240" w:lineRule="auto"/>
              <w:ind w:left="1080" w:right="284"/>
              <w:rPr>
                <w:rFonts w:ascii="Arial" w:eastAsia="Arial" w:hAnsi="Arial" w:cs="Arial"/>
                <w:szCs w:val="24"/>
              </w:rPr>
            </w:pPr>
            <w:r w:rsidRPr="00716A70">
              <w:rPr>
                <w:rFonts w:ascii="Arial" w:hAnsi="Arial" w:cs="Arial"/>
                <w:szCs w:val="24"/>
              </w:rPr>
              <w:t xml:space="preserve">Discharge of surface water as high up </w:t>
            </w:r>
            <w:r w:rsidRPr="00716A70">
              <w:rPr>
                <w:rFonts w:ascii="Arial" w:hAnsi="Arial" w:cs="Arial"/>
                <w:bCs/>
                <w:szCs w:val="24"/>
              </w:rPr>
              <w:t>the drainage hierarchy, as reasonably practicable:</w:t>
            </w:r>
          </w:p>
          <w:p w14:paraId="516C82E6" w14:textId="77777777" w:rsidR="00282C6F" w:rsidRPr="00716A70" w:rsidRDefault="00282C6F" w:rsidP="00716A70">
            <w:pPr>
              <w:keepNext w:val="0"/>
              <w:spacing w:before="0"/>
              <w:ind w:left="720"/>
              <w:contextualSpacing/>
              <w:rPr>
                <w:rFonts w:cs="Arial"/>
                <w:bCs/>
                <w:color w:val="0070C0"/>
                <w:szCs w:val="24"/>
              </w:rPr>
            </w:pPr>
          </w:p>
          <w:p w14:paraId="4AE68121" w14:textId="0BCD545C" w:rsidR="00282C6F" w:rsidRPr="00716A70" w:rsidRDefault="00282C6F" w:rsidP="00874A98">
            <w:pPr>
              <w:keepNext w:val="0"/>
              <w:numPr>
                <w:ilvl w:val="0"/>
                <w:numId w:val="320"/>
              </w:numPr>
              <w:spacing w:before="0"/>
              <w:ind w:left="1308" w:hanging="283"/>
              <w:contextualSpacing/>
              <w:rPr>
                <w:rFonts w:cs="Arial"/>
                <w:bCs/>
                <w:color w:val="auto"/>
                <w:szCs w:val="24"/>
                <w:lang w:eastAsia="en-US"/>
              </w:rPr>
            </w:pPr>
            <w:r w:rsidRPr="00716A70">
              <w:rPr>
                <w:rFonts w:cs="Arial"/>
                <w:bCs/>
                <w:color w:val="auto"/>
                <w:szCs w:val="24"/>
                <w:lang w:eastAsia="en-US"/>
              </w:rPr>
              <w:t>to an infiltration based system wherever possible (such as soakaways)</w:t>
            </w:r>
            <w:r w:rsidR="00263588" w:rsidRPr="00716A70">
              <w:rPr>
                <w:rFonts w:cs="Arial"/>
                <w:bCs/>
                <w:color w:val="auto"/>
                <w:szCs w:val="24"/>
                <w:lang w:eastAsia="en-US"/>
              </w:rPr>
              <w:t>,</w:t>
            </w:r>
          </w:p>
          <w:p w14:paraId="07F4A516" w14:textId="77777777" w:rsidR="00282C6F" w:rsidRPr="00716A70" w:rsidRDefault="00282C6F" w:rsidP="00716A70">
            <w:pPr>
              <w:keepNext w:val="0"/>
              <w:spacing w:before="0"/>
              <w:ind w:left="1308"/>
              <w:contextualSpacing/>
              <w:rPr>
                <w:rFonts w:cs="Arial"/>
                <w:bCs/>
                <w:color w:val="auto"/>
                <w:sz w:val="16"/>
                <w:szCs w:val="16"/>
                <w:lang w:eastAsia="en-US"/>
              </w:rPr>
            </w:pPr>
          </w:p>
          <w:p w14:paraId="4F6DE527" w14:textId="410FB142" w:rsidR="00282C6F" w:rsidRPr="00716A70" w:rsidRDefault="00282C6F" w:rsidP="00874A98">
            <w:pPr>
              <w:keepNext w:val="0"/>
              <w:numPr>
                <w:ilvl w:val="0"/>
                <w:numId w:val="320"/>
              </w:numPr>
              <w:spacing w:before="0"/>
              <w:ind w:left="1308" w:hanging="283"/>
              <w:contextualSpacing/>
              <w:rPr>
                <w:rFonts w:cs="Arial"/>
                <w:bCs/>
                <w:color w:val="auto"/>
                <w:szCs w:val="24"/>
                <w:lang w:eastAsia="en-US"/>
              </w:rPr>
            </w:pPr>
            <w:r w:rsidRPr="00716A70">
              <w:rPr>
                <w:rFonts w:cs="Arial"/>
                <w:bCs/>
                <w:color w:val="auto"/>
                <w:szCs w:val="24"/>
                <w:lang w:eastAsia="en-US"/>
              </w:rPr>
              <w:t>discharge into a watercourse with the prior approval of the landowner and navigation authority (following treatment where necessary)</w:t>
            </w:r>
            <w:r w:rsidR="00263588" w:rsidRPr="00716A70">
              <w:rPr>
                <w:rFonts w:cs="Arial"/>
                <w:bCs/>
                <w:color w:val="auto"/>
                <w:szCs w:val="24"/>
                <w:lang w:eastAsia="en-US"/>
              </w:rPr>
              <w:t>,</w:t>
            </w:r>
          </w:p>
          <w:p w14:paraId="45FCF0CB" w14:textId="77777777" w:rsidR="00282C6F" w:rsidRPr="00716A70" w:rsidRDefault="00282C6F" w:rsidP="00716A70">
            <w:pPr>
              <w:rPr>
                <w:rFonts w:cs="Arial"/>
                <w:bCs/>
                <w:color w:val="auto"/>
                <w:sz w:val="16"/>
                <w:szCs w:val="16"/>
              </w:rPr>
            </w:pPr>
          </w:p>
          <w:p w14:paraId="13AE7D9B" w14:textId="0987C79D" w:rsidR="00282C6F" w:rsidRPr="00716A70" w:rsidRDefault="00282C6F" w:rsidP="00874A98">
            <w:pPr>
              <w:keepNext w:val="0"/>
              <w:numPr>
                <w:ilvl w:val="0"/>
                <w:numId w:val="320"/>
              </w:numPr>
              <w:spacing w:before="0"/>
              <w:ind w:left="1308" w:hanging="283"/>
              <w:contextualSpacing/>
              <w:rPr>
                <w:rFonts w:cs="Arial"/>
                <w:bCs/>
                <w:color w:val="auto"/>
                <w:szCs w:val="24"/>
                <w:lang w:eastAsia="en-US"/>
              </w:rPr>
            </w:pPr>
            <w:r w:rsidRPr="00716A70">
              <w:rPr>
                <w:rFonts w:cs="Arial"/>
                <w:bCs/>
                <w:color w:val="auto"/>
                <w:szCs w:val="24"/>
                <w:lang w:eastAsia="en-US"/>
              </w:rPr>
              <w:t>discharge to a surface water sewer, highway drain, or another drainage system</w:t>
            </w:r>
            <w:r w:rsidR="00263588" w:rsidRPr="00716A70">
              <w:rPr>
                <w:rFonts w:cs="Arial"/>
                <w:bCs/>
                <w:color w:val="auto"/>
                <w:szCs w:val="24"/>
                <w:lang w:eastAsia="en-US"/>
              </w:rPr>
              <w:t>,</w:t>
            </w:r>
          </w:p>
          <w:p w14:paraId="28155F54" w14:textId="77777777" w:rsidR="00282C6F" w:rsidRPr="00716A70" w:rsidRDefault="00282C6F" w:rsidP="00716A70">
            <w:pPr>
              <w:rPr>
                <w:rFonts w:cs="Arial"/>
                <w:bCs/>
                <w:color w:val="auto"/>
                <w:sz w:val="16"/>
                <w:szCs w:val="16"/>
              </w:rPr>
            </w:pPr>
          </w:p>
          <w:p w14:paraId="6AB4E42D" w14:textId="338FBA29" w:rsidR="00282C6F" w:rsidRPr="00716A70" w:rsidRDefault="00372D94" w:rsidP="00874A98">
            <w:pPr>
              <w:keepNext w:val="0"/>
              <w:numPr>
                <w:ilvl w:val="0"/>
                <w:numId w:val="320"/>
              </w:numPr>
              <w:spacing w:before="0"/>
              <w:ind w:left="1308" w:right="284" w:hanging="283"/>
              <w:contextualSpacing/>
              <w:rPr>
                <w:rFonts w:eastAsia="Arial" w:cs="Arial"/>
                <w:color w:val="auto"/>
                <w:szCs w:val="24"/>
              </w:rPr>
            </w:pPr>
            <w:r w:rsidRPr="00716A70">
              <w:rPr>
                <w:rFonts w:cs="Arial"/>
                <w:bCs/>
                <w:color w:val="auto"/>
                <w:szCs w:val="24"/>
                <w:lang w:eastAsia="en-US"/>
              </w:rPr>
              <w:t>d</w:t>
            </w:r>
            <w:r w:rsidR="00282C6F" w:rsidRPr="00716A70">
              <w:rPr>
                <w:rFonts w:cs="Arial"/>
                <w:bCs/>
                <w:color w:val="auto"/>
                <w:szCs w:val="24"/>
                <w:lang w:eastAsia="en-US"/>
              </w:rPr>
              <w:t>ischarge to a combined sewer.</w:t>
            </w:r>
          </w:p>
          <w:p w14:paraId="31AE47FE" w14:textId="77777777" w:rsidR="00A74E08" w:rsidRPr="003C7E62" w:rsidRDefault="00A74E08" w:rsidP="00EE39E9">
            <w:pPr>
              <w:keepNext w:val="0"/>
              <w:spacing w:before="0"/>
              <w:ind w:left="360" w:right="284"/>
              <w:rPr>
                <w:rFonts w:eastAsia="Arial" w:cs="Arial"/>
                <w:color w:val="auto"/>
                <w:szCs w:val="24"/>
              </w:rPr>
            </w:pPr>
          </w:p>
        </w:tc>
      </w:tr>
      <w:tr w:rsidR="00A74E08" w:rsidRPr="003C7E62" w14:paraId="04427602" w14:textId="77777777" w:rsidTr="009D4C91">
        <w:tc>
          <w:tcPr>
            <w:tcW w:w="1701" w:type="dxa"/>
            <w:shd w:val="clear" w:color="auto" w:fill="auto"/>
          </w:tcPr>
          <w:p w14:paraId="2D81EE41" w14:textId="77777777" w:rsidR="00A74E08" w:rsidRPr="00D46943" w:rsidRDefault="00A74E08" w:rsidP="00D0642D">
            <w:pPr>
              <w:keepNext w:val="0"/>
              <w:tabs>
                <w:tab w:val="left" w:pos="680"/>
                <w:tab w:val="left" w:pos="1133"/>
                <w:tab w:val="left" w:pos="2267"/>
              </w:tabs>
              <w:spacing w:before="0"/>
              <w:ind w:right="284"/>
              <w:rPr>
                <w:rFonts w:eastAsia="Arial" w:cs="Arial"/>
                <w:bCs/>
                <w:color w:val="C00000"/>
                <w:sz w:val="20"/>
              </w:rPr>
            </w:pPr>
            <w:r w:rsidRPr="00D46943">
              <w:rPr>
                <w:rFonts w:eastAsia="Arial" w:cs="Arial"/>
                <w:bCs/>
                <w:color w:val="auto"/>
                <w:sz w:val="20"/>
              </w:rPr>
              <w:lastRenderedPageBreak/>
              <w:t>Evidence base</w:t>
            </w:r>
          </w:p>
        </w:tc>
        <w:tc>
          <w:tcPr>
            <w:tcW w:w="7933" w:type="dxa"/>
            <w:gridSpan w:val="2"/>
            <w:shd w:val="clear" w:color="auto" w:fill="auto"/>
          </w:tcPr>
          <w:p w14:paraId="6C9E1145" w14:textId="77777777" w:rsidR="00A74E08" w:rsidRPr="003C7E62" w:rsidRDefault="00A74E08" w:rsidP="00D01157">
            <w:pPr>
              <w:keepNext w:val="0"/>
              <w:numPr>
                <w:ilvl w:val="0"/>
                <w:numId w:val="18"/>
              </w:numPr>
              <w:spacing w:before="0" w:after="160" w:line="252" w:lineRule="auto"/>
              <w:contextualSpacing/>
              <w:rPr>
                <w:rFonts w:eastAsia="Calibri" w:cs="Arial"/>
                <w:color w:val="auto"/>
                <w:sz w:val="20"/>
                <w:lang w:eastAsia="en-US"/>
              </w:rPr>
            </w:pPr>
            <w:r w:rsidRPr="003C7E62">
              <w:rPr>
                <w:rFonts w:eastAsia="Calibri" w:cs="Arial"/>
                <w:color w:val="auto"/>
                <w:sz w:val="20"/>
                <w:lang w:eastAsia="en-US"/>
              </w:rPr>
              <w:t xml:space="preserve">Towards a Sustainable Energy Policy for Nottinghamshire - Nottinghamshire Sustainable Energy Planning Partnership  2009 (NSEPP). </w:t>
            </w:r>
          </w:p>
          <w:p w14:paraId="07098638" w14:textId="77777777" w:rsidR="00A74E08" w:rsidRPr="003C7E62" w:rsidRDefault="00A74E08" w:rsidP="00D01157">
            <w:pPr>
              <w:keepNext w:val="0"/>
              <w:numPr>
                <w:ilvl w:val="0"/>
                <w:numId w:val="18"/>
              </w:numPr>
              <w:spacing w:before="0" w:after="160" w:line="252" w:lineRule="auto"/>
              <w:contextualSpacing/>
              <w:rPr>
                <w:rFonts w:eastAsia="Calibri" w:cs="Arial"/>
                <w:color w:val="auto"/>
                <w:sz w:val="20"/>
                <w:lang w:eastAsia="en-US"/>
              </w:rPr>
            </w:pPr>
            <w:r w:rsidRPr="003C7E62">
              <w:rPr>
                <w:rFonts w:eastAsia="Calibri" w:cs="Arial"/>
                <w:color w:val="auto"/>
                <w:sz w:val="20"/>
                <w:lang w:eastAsia="en-US"/>
              </w:rPr>
              <w:t>Nottinghamshire: Operational Renewal and Low Carbon Energy Schemes 2009 - Nottinghamshire Sustainable Energy Planning Partnership (NSEPP).</w:t>
            </w:r>
          </w:p>
          <w:p w14:paraId="136ED974" w14:textId="77777777" w:rsidR="00A74E08" w:rsidRPr="003C7E62" w:rsidRDefault="00A74E08" w:rsidP="00D01157">
            <w:pPr>
              <w:keepNext w:val="0"/>
              <w:numPr>
                <w:ilvl w:val="0"/>
                <w:numId w:val="18"/>
              </w:numPr>
              <w:spacing w:before="0" w:after="160" w:line="252" w:lineRule="auto"/>
              <w:contextualSpacing/>
              <w:rPr>
                <w:rFonts w:eastAsia="Calibri" w:cs="Arial"/>
                <w:color w:val="auto"/>
                <w:sz w:val="20"/>
                <w:lang w:eastAsia="en-US"/>
              </w:rPr>
            </w:pPr>
            <w:r w:rsidRPr="003C7E62">
              <w:rPr>
                <w:rFonts w:eastAsia="Calibri" w:cs="Arial"/>
                <w:color w:val="auto"/>
                <w:sz w:val="20"/>
                <w:lang w:eastAsia="en-US"/>
              </w:rPr>
              <w:t>Towards a Sustainable Energy Policy for Nottinghamshire, Report of Consultation 2009 - Nottinghamshire Sustainable Energy Planning Partnership (NSEPP).</w:t>
            </w:r>
          </w:p>
          <w:p w14:paraId="1E98F914" w14:textId="77777777" w:rsidR="00A74E08" w:rsidRPr="003C7E62" w:rsidRDefault="00A74E08" w:rsidP="00D01157">
            <w:pPr>
              <w:keepNext w:val="0"/>
              <w:numPr>
                <w:ilvl w:val="0"/>
                <w:numId w:val="18"/>
              </w:numPr>
              <w:spacing w:before="0" w:after="160" w:line="252" w:lineRule="auto"/>
              <w:contextualSpacing/>
              <w:rPr>
                <w:rFonts w:eastAsia="Calibri" w:cs="Arial"/>
                <w:color w:val="auto"/>
                <w:sz w:val="20"/>
                <w:lang w:eastAsia="en-US"/>
              </w:rPr>
            </w:pPr>
            <w:r w:rsidRPr="003C7E62">
              <w:rPr>
                <w:rFonts w:eastAsia="Calibri" w:cs="Arial"/>
                <w:color w:val="auto"/>
                <w:sz w:val="20"/>
                <w:lang w:eastAsia="en-US"/>
              </w:rPr>
              <w:t>Low Carbon Energy Opportunities and Heat Mapping for Local Planning Areas Across the East Midlands 2011 - Final Report - Land Use Consultants, Centre for Sustainable Energy and SQW</w:t>
            </w:r>
          </w:p>
          <w:p w14:paraId="6D98481C" w14:textId="2CED5F0A" w:rsidR="00A74E08" w:rsidRPr="00372D94" w:rsidRDefault="00A74E08" w:rsidP="00D01157">
            <w:pPr>
              <w:keepNext w:val="0"/>
              <w:numPr>
                <w:ilvl w:val="0"/>
                <w:numId w:val="18"/>
              </w:numPr>
              <w:spacing w:before="0" w:after="160" w:line="252" w:lineRule="auto"/>
              <w:contextualSpacing/>
              <w:rPr>
                <w:rFonts w:eastAsia="Calibri" w:cs="Arial"/>
                <w:sz w:val="20"/>
                <w:lang w:eastAsia="en-US"/>
              </w:rPr>
            </w:pPr>
            <w:r w:rsidRPr="00372D94">
              <w:rPr>
                <w:rFonts w:eastAsia="Calibri" w:cs="Arial"/>
                <w:sz w:val="20"/>
                <w:lang w:eastAsia="en-US"/>
              </w:rPr>
              <w:t>Ashfield District Council Strategic Flood Risk Assessment Level 1</w:t>
            </w:r>
            <w:r w:rsidR="00D46943" w:rsidRPr="00372D94">
              <w:rPr>
                <w:rFonts w:eastAsia="Calibri" w:cs="Arial"/>
                <w:sz w:val="20"/>
                <w:lang w:eastAsia="en-US"/>
              </w:rPr>
              <w:t xml:space="preserve"> </w:t>
            </w:r>
            <w:r w:rsidR="00017F77" w:rsidRPr="00372D94">
              <w:rPr>
                <w:rFonts w:eastAsia="Calibri" w:cs="Arial"/>
                <w:sz w:val="20"/>
                <w:lang w:eastAsia="en-US"/>
              </w:rPr>
              <w:t xml:space="preserve">2023. </w:t>
            </w:r>
            <w:r w:rsidRPr="00372D94">
              <w:rPr>
                <w:rFonts w:eastAsia="Calibri" w:cs="Arial"/>
                <w:sz w:val="20"/>
                <w:lang w:eastAsia="en-US"/>
              </w:rPr>
              <w:t>Ashfield District Council.</w:t>
            </w:r>
          </w:p>
          <w:p w14:paraId="139989A7" w14:textId="50B6171B" w:rsidR="00A74E08" w:rsidRPr="00D46943" w:rsidRDefault="00A74E08" w:rsidP="00D01157">
            <w:pPr>
              <w:keepNext w:val="0"/>
              <w:numPr>
                <w:ilvl w:val="0"/>
                <w:numId w:val="18"/>
              </w:numPr>
              <w:spacing w:before="0" w:after="160" w:line="252" w:lineRule="auto"/>
              <w:contextualSpacing/>
              <w:rPr>
                <w:rFonts w:eastAsia="Calibri" w:cs="Arial"/>
                <w:color w:val="auto"/>
                <w:sz w:val="20"/>
                <w:lang w:eastAsia="en-US"/>
              </w:rPr>
            </w:pPr>
            <w:r w:rsidRPr="00372D94">
              <w:rPr>
                <w:rFonts w:eastAsia="Calibri" w:cs="Arial"/>
                <w:sz w:val="20"/>
                <w:lang w:eastAsia="en-US"/>
              </w:rPr>
              <w:t xml:space="preserve">Sustainability Appraisal </w:t>
            </w:r>
            <w:bookmarkStart w:id="47" w:name="_Hlk139609672"/>
            <w:r w:rsidRPr="00372D94">
              <w:rPr>
                <w:rFonts w:eastAsia="Calibri" w:cs="Arial"/>
                <w:sz w:val="20"/>
                <w:lang w:eastAsia="en-US"/>
              </w:rPr>
              <w:t>20</w:t>
            </w:r>
            <w:r w:rsidR="00017F77" w:rsidRPr="00372D94">
              <w:rPr>
                <w:rFonts w:eastAsia="Calibri" w:cs="Arial"/>
                <w:sz w:val="20"/>
                <w:lang w:eastAsia="en-US"/>
              </w:rPr>
              <w:t>23</w:t>
            </w:r>
            <w:r w:rsidRPr="00372D94">
              <w:rPr>
                <w:rFonts w:eastAsia="Calibri" w:cs="Arial"/>
                <w:sz w:val="20"/>
                <w:lang w:eastAsia="en-US"/>
              </w:rPr>
              <w:t xml:space="preserve">, </w:t>
            </w:r>
            <w:r w:rsidR="00017F77" w:rsidRPr="00372D94">
              <w:rPr>
                <w:rFonts w:eastAsia="Calibri" w:cs="Arial"/>
                <w:sz w:val="20"/>
                <w:lang w:eastAsia="en-US"/>
              </w:rPr>
              <w:t xml:space="preserve">WSP UK Limited </w:t>
            </w:r>
            <w:bookmarkEnd w:id="47"/>
          </w:p>
        </w:tc>
      </w:tr>
      <w:tr w:rsidR="00A74E08" w:rsidRPr="003C7E62" w14:paraId="7FF4F003" w14:textId="77777777" w:rsidTr="009D4C91">
        <w:tc>
          <w:tcPr>
            <w:tcW w:w="1701" w:type="dxa"/>
            <w:shd w:val="clear" w:color="auto" w:fill="auto"/>
          </w:tcPr>
          <w:p w14:paraId="04B5CFE5" w14:textId="77777777" w:rsidR="00A74E08" w:rsidRPr="00D46943" w:rsidRDefault="00A74E08" w:rsidP="00D0642D">
            <w:pPr>
              <w:keepNext w:val="0"/>
              <w:tabs>
                <w:tab w:val="left" w:pos="680"/>
                <w:tab w:val="left" w:pos="1133"/>
                <w:tab w:val="left" w:pos="2267"/>
              </w:tabs>
              <w:spacing w:before="0"/>
              <w:ind w:right="284"/>
              <w:contextualSpacing/>
              <w:rPr>
                <w:rFonts w:eastAsia="Arial" w:cs="Arial"/>
                <w:bCs/>
                <w:color w:val="auto"/>
                <w:sz w:val="20"/>
              </w:rPr>
            </w:pPr>
            <w:r w:rsidRPr="00D46943">
              <w:rPr>
                <w:rFonts w:eastAsia="Arial" w:cs="Arial"/>
                <w:bCs/>
                <w:color w:val="auto"/>
                <w:sz w:val="20"/>
              </w:rPr>
              <w:t>National Planning Policy and Guidance</w:t>
            </w:r>
          </w:p>
        </w:tc>
        <w:tc>
          <w:tcPr>
            <w:tcW w:w="7933" w:type="dxa"/>
            <w:gridSpan w:val="2"/>
            <w:shd w:val="clear" w:color="auto" w:fill="auto"/>
          </w:tcPr>
          <w:p w14:paraId="4DF53B43" w14:textId="6D4F8728" w:rsidR="00A74E08" w:rsidRPr="003C7E62" w:rsidRDefault="00A74E08" w:rsidP="00D01157">
            <w:pPr>
              <w:pStyle w:val="ListParagraph"/>
              <w:numPr>
                <w:ilvl w:val="0"/>
                <w:numId w:val="19"/>
              </w:numPr>
              <w:spacing w:after="0" w:line="240" w:lineRule="auto"/>
              <w:rPr>
                <w:rFonts w:ascii="Arial" w:hAnsi="Arial" w:cs="Arial"/>
                <w:color w:val="auto"/>
                <w:sz w:val="20"/>
                <w:szCs w:val="20"/>
              </w:rPr>
            </w:pPr>
            <w:r w:rsidRPr="003C7E62">
              <w:rPr>
                <w:rFonts w:ascii="Arial" w:eastAsia="Arial" w:hAnsi="Arial" w:cs="Arial"/>
                <w:bCs/>
                <w:color w:val="auto"/>
                <w:sz w:val="20"/>
                <w:szCs w:val="20"/>
              </w:rPr>
              <w:t>NPPF 202</w:t>
            </w:r>
            <w:r w:rsidR="00A37A61">
              <w:rPr>
                <w:rFonts w:ascii="Arial" w:eastAsia="Arial" w:hAnsi="Arial" w:cs="Arial"/>
                <w:bCs/>
                <w:color w:val="auto"/>
                <w:sz w:val="20"/>
                <w:szCs w:val="20"/>
              </w:rPr>
              <w:t>3</w:t>
            </w:r>
            <w:r w:rsidRPr="003C7E62">
              <w:rPr>
                <w:rFonts w:ascii="Arial" w:eastAsia="Arial" w:hAnsi="Arial" w:cs="Arial"/>
                <w:bCs/>
                <w:color w:val="auto"/>
                <w:sz w:val="20"/>
                <w:szCs w:val="20"/>
              </w:rPr>
              <w:t>, Part 2: Achieving sustainable development.</w:t>
            </w:r>
          </w:p>
          <w:p w14:paraId="53EF6696" w14:textId="063B3EE9" w:rsidR="00A74E08" w:rsidRPr="003C7E62" w:rsidRDefault="00A74E08" w:rsidP="00D01157">
            <w:pPr>
              <w:pStyle w:val="ListParagraph"/>
              <w:numPr>
                <w:ilvl w:val="0"/>
                <w:numId w:val="19"/>
              </w:numPr>
              <w:spacing w:after="0" w:line="240" w:lineRule="auto"/>
              <w:rPr>
                <w:rFonts w:ascii="Arial" w:hAnsi="Arial" w:cs="Arial"/>
                <w:color w:val="auto"/>
                <w:sz w:val="20"/>
                <w:szCs w:val="20"/>
              </w:rPr>
            </w:pPr>
            <w:r w:rsidRPr="003C7E62">
              <w:rPr>
                <w:rFonts w:ascii="Arial" w:hAnsi="Arial" w:cs="Arial"/>
                <w:color w:val="auto"/>
                <w:sz w:val="20"/>
                <w:szCs w:val="20"/>
              </w:rPr>
              <w:t>NPPF 202</w:t>
            </w:r>
            <w:r w:rsidR="00A37A61">
              <w:rPr>
                <w:rFonts w:ascii="Arial" w:hAnsi="Arial" w:cs="Arial"/>
                <w:color w:val="auto"/>
                <w:sz w:val="20"/>
                <w:szCs w:val="20"/>
              </w:rPr>
              <w:t>3</w:t>
            </w:r>
            <w:r w:rsidRPr="003C7E62">
              <w:rPr>
                <w:rFonts w:ascii="Arial" w:hAnsi="Arial" w:cs="Arial"/>
                <w:color w:val="auto"/>
                <w:sz w:val="20"/>
                <w:szCs w:val="20"/>
              </w:rPr>
              <w:t>, Part 14: Meeting the challenge of climate change, flooding and coastal change.</w:t>
            </w:r>
          </w:p>
          <w:p w14:paraId="223F5BE4" w14:textId="313CBB25" w:rsidR="00A74E08" w:rsidRPr="003C7E62" w:rsidRDefault="00A74E08" w:rsidP="00D01157">
            <w:pPr>
              <w:pStyle w:val="ListParagraph"/>
              <w:numPr>
                <w:ilvl w:val="0"/>
                <w:numId w:val="19"/>
              </w:numPr>
              <w:spacing w:after="0" w:line="240" w:lineRule="auto"/>
              <w:rPr>
                <w:rFonts w:ascii="Arial" w:hAnsi="Arial" w:cs="Arial"/>
                <w:color w:val="auto"/>
                <w:sz w:val="20"/>
                <w:szCs w:val="20"/>
              </w:rPr>
            </w:pPr>
            <w:r w:rsidRPr="003C7E62">
              <w:rPr>
                <w:rFonts w:ascii="Arial" w:eastAsia="Calibri" w:hAnsi="Arial" w:cs="Arial"/>
                <w:color w:val="auto"/>
                <w:sz w:val="20"/>
                <w:szCs w:val="20"/>
              </w:rPr>
              <w:t xml:space="preserve">Planning Practice Guidance: Climate change as </w:t>
            </w:r>
            <w:r w:rsidR="00416653" w:rsidRPr="003C7E62">
              <w:rPr>
                <w:rFonts w:ascii="Arial" w:eastAsia="Calibri" w:hAnsi="Arial" w:cs="Arial"/>
                <w:color w:val="auto"/>
                <w:sz w:val="20"/>
                <w:szCs w:val="20"/>
              </w:rPr>
              <w:t>of</w:t>
            </w:r>
            <w:r w:rsidRPr="003C7E62">
              <w:rPr>
                <w:rFonts w:ascii="Arial" w:eastAsia="Calibri" w:hAnsi="Arial" w:cs="Arial"/>
                <w:color w:val="auto"/>
                <w:sz w:val="20"/>
                <w:szCs w:val="20"/>
              </w:rPr>
              <w:t xml:space="preserve"> August 2021.</w:t>
            </w:r>
          </w:p>
          <w:p w14:paraId="73B4F3AC" w14:textId="24F172B8" w:rsidR="00A74E08" w:rsidRPr="003C7E62" w:rsidRDefault="00A74E08" w:rsidP="00D01157">
            <w:pPr>
              <w:pStyle w:val="ListParagraph"/>
              <w:numPr>
                <w:ilvl w:val="0"/>
                <w:numId w:val="19"/>
              </w:numPr>
              <w:spacing w:after="0" w:line="240" w:lineRule="auto"/>
              <w:rPr>
                <w:rFonts w:ascii="Arial" w:hAnsi="Arial" w:cs="Arial"/>
                <w:color w:val="auto"/>
                <w:sz w:val="20"/>
                <w:szCs w:val="20"/>
              </w:rPr>
            </w:pPr>
            <w:r w:rsidRPr="003C7E62">
              <w:rPr>
                <w:rFonts w:ascii="Arial" w:eastAsia="Calibri" w:hAnsi="Arial" w:cs="Arial"/>
                <w:color w:val="auto"/>
                <w:sz w:val="20"/>
                <w:szCs w:val="20"/>
              </w:rPr>
              <w:t xml:space="preserve">Planning Practice Guidance: Flood risk </w:t>
            </w:r>
            <w:r w:rsidR="00716A70">
              <w:rPr>
                <w:rFonts w:ascii="Arial" w:eastAsia="Calibri" w:hAnsi="Arial" w:cs="Arial"/>
                <w:color w:val="auto"/>
                <w:sz w:val="20"/>
                <w:szCs w:val="20"/>
              </w:rPr>
              <w:t>&amp;</w:t>
            </w:r>
            <w:r w:rsidRPr="003C7E62">
              <w:rPr>
                <w:rFonts w:ascii="Arial" w:eastAsia="Calibri" w:hAnsi="Arial" w:cs="Arial"/>
                <w:color w:val="auto"/>
                <w:sz w:val="20"/>
                <w:szCs w:val="20"/>
              </w:rPr>
              <w:t xml:space="preserve"> coastal change as </w:t>
            </w:r>
            <w:r w:rsidR="00416653" w:rsidRPr="003C7E62">
              <w:rPr>
                <w:rFonts w:ascii="Arial" w:eastAsia="Calibri" w:hAnsi="Arial" w:cs="Arial"/>
                <w:color w:val="auto"/>
                <w:sz w:val="20"/>
                <w:szCs w:val="20"/>
              </w:rPr>
              <w:t>of</w:t>
            </w:r>
            <w:r w:rsidRPr="003C7E62">
              <w:rPr>
                <w:rFonts w:ascii="Arial" w:eastAsia="Calibri" w:hAnsi="Arial" w:cs="Arial"/>
                <w:color w:val="auto"/>
                <w:sz w:val="20"/>
                <w:szCs w:val="20"/>
              </w:rPr>
              <w:t xml:space="preserve"> August 2021.</w:t>
            </w:r>
          </w:p>
        </w:tc>
      </w:tr>
      <w:bookmarkEnd w:id="46"/>
    </w:tbl>
    <w:p w14:paraId="766FBD72" w14:textId="77777777" w:rsidR="00CB6138" w:rsidRPr="00CB6138" w:rsidRDefault="00CB6138" w:rsidP="00CB6138">
      <w:pPr>
        <w:keepNext w:val="0"/>
        <w:spacing w:before="0"/>
        <w:ind w:left="851"/>
        <w:rPr>
          <w:rFonts w:cs="Arial"/>
          <w:szCs w:val="24"/>
        </w:rPr>
      </w:pPr>
    </w:p>
    <w:p w14:paraId="68FF0164" w14:textId="77777777" w:rsidR="00CB6138" w:rsidRPr="00CB6138" w:rsidRDefault="00CB6138" w:rsidP="00CB6138">
      <w:pPr>
        <w:keepNext w:val="0"/>
        <w:spacing w:before="0"/>
        <w:ind w:left="851"/>
        <w:rPr>
          <w:rFonts w:cs="Arial"/>
          <w:szCs w:val="24"/>
        </w:rPr>
      </w:pPr>
    </w:p>
    <w:p w14:paraId="0671B6E5" w14:textId="37C3AE35" w:rsidR="00A53A3F" w:rsidRPr="00372D94" w:rsidRDefault="007070E5" w:rsidP="00CD61AD">
      <w:pPr>
        <w:keepNext w:val="0"/>
        <w:numPr>
          <w:ilvl w:val="1"/>
          <w:numId w:val="344"/>
        </w:numPr>
        <w:tabs>
          <w:tab w:val="clear" w:pos="525"/>
          <w:tab w:val="num" w:pos="851"/>
        </w:tabs>
        <w:spacing w:before="0"/>
        <w:ind w:left="851" w:hanging="851"/>
        <w:rPr>
          <w:rFonts w:cs="Arial"/>
          <w:szCs w:val="24"/>
        </w:rPr>
      </w:pPr>
      <w:r w:rsidRPr="003C7E62">
        <w:rPr>
          <w:rFonts w:eastAsia="Arial" w:cs="Arial"/>
          <w:color w:val="auto"/>
        </w:rPr>
        <w:t xml:space="preserve">Adapting and mitigating against the effects of climate change is one of the key challenges facing us all and a core element of sustainable development. As such, the Council is committed to supporting proposals and initiatives that seek to achieve zero and low carbon development; and implement low carbon and renewable energy infrastructure.  </w:t>
      </w:r>
      <w:r w:rsidR="004D5481" w:rsidRPr="00372D94">
        <w:rPr>
          <w:rFonts w:eastAsia="Arial" w:cs="Arial"/>
        </w:rPr>
        <w:t xml:space="preserve">This includes all types of buildings. For example, </w:t>
      </w:r>
      <w:r w:rsidR="004D5481" w:rsidRPr="00372D94">
        <w:rPr>
          <w:rFonts w:eastAsia="Arial" w:cs="Arial"/>
        </w:rPr>
        <w:lastRenderedPageBreak/>
        <w:t>the sympathetic re-use and refurbishment of historic buildings, and the sustainability of traditional building materials.</w:t>
      </w:r>
    </w:p>
    <w:p w14:paraId="18D83A72" w14:textId="77777777" w:rsidR="00A74E08" w:rsidRPr="00372D94" w:rsidRDefault="00A74E08" w:rsidP="005E17D1">
      <w:pPr>
        <w:keepNext w:val="0"/>
        <w:spacing w:before="0"/>
        <w:ind w:left="851"/>
        <w:rPr>
          <w:rFonts w:cs="Arial"/>
          <w:szCs w:val="24"/>
        </w:rPr>
      </w:pPr>
    </w:p>
    <w:p w14:paraId="31A5465C" w14:textId="2C891203" w:rsidR="00A74E08" w:rsidRPr="003C7E62" w:rsidRDefault="007070E5" w:rsidP="00CD61AD">
      <w:pPr>
        <w:keepNext w:val="0"/>
        <w:numPr>
          <w:ilvl w:val="1"/>
          <w:numId w:val="344"/>
        </w:numPr>
        <w:tabs>
          <w:tab w:val="clear" w:pos="525"/>
          <w:tab w:val="num" w:pos="851"/>
        </w:tabs>
        <w:spacing w:before="0"/>
        <w:ind w:left="851" w:hanging="851"/>
        <w:rPr>
          <w:rFonts w:cs="Arial"/>
          <w:color w:val="auto"/>
          <w:szCs w:val="24"/>
        </w:rPr>
      </w:pPr>
      <w:r w:rsidRPr="003C7E62">
        <w:rPr>
          <w:rFonts w:eastAsia="Arial" w:cs="Arial"/>
          <w:color w:val="auto"/>
        </w:rPr>
        <w:t xml:space="preserve">Development in Ashfield should contribute towards the construction and creation of well-designed sustainable </w:t>
      </w:r>
      <w:r w:rsidR="00A53A3F" w:rsidRPr="003C7E62">
        <w:rPr>
          <w:rFonts w:eastAsia="Arial" w:cs="Arial"/>
          <w:color w:val="auto"/>
        </w:rPr>
        <w:t>places</w:t>
      </w:r>
      <w:r w:rsidRPr="003C7E62">
        <w:rPr>
          <w:rFonts w:eastAsia="Arial" w:cs="Arial"/>
          <w:color w:val="auto"/>
        </w:rPr>
        <w:t xml:space="preserve"> to mitigate against and adapt to climate change, and to contribute to national targets on reducing carbon emissions and energy use.</w:t>
      </w:r>
    </w:p>
    <w:p w14:paraId="2184C7B8" w14:textId="77777777" w:rsidR="00A74E08" w:rsidRPr="003C7E62" w:rsidRDefault="00A74E08" w:rsidP="005E17D1">
      <w:pPr>
        <w:keepNext w:val="0"/>
        <w:spacing w:before="0"/>
        <w:ind w:left="851"/>
        <w:rPr>
          <w:rFonts w:cs="Arial"/>
          <w:color w:val="auto"/>
          <w:szCs w:val="24"/>
        </w:rPr>
      </w:pPr>
    </w:p>
    <w:p w14:paraId="06082072" w14:textId="6876AA38" w:rsidR="00275006" w:rsidRPr="00F12DDD" w:rsidRDefault="00611C8D" w:rsidP="00CD61AD">
      <w:pPr>
        <w:keepNext w:val="0"/>
        <w:numPr>
          <w:ilvl w:val="1"/>
          <w:numId w:val="344"/>
        </w:numPr>
        <w:tabs>
          <w:tab w:val="clear" w:pos="525"/>
          <w:tab w:val="num" w:pos="851"/>
        </w:tabs>
        <w:spacing w:before="0"/>
        <w:ind w:left="851" w:hanging="851"/>
        <w:rPr>
          <w:rFonts w:cs="Arial"/>
          <w:color w:val="0070C0"/>
          <w:szCs w:val="24"/>
        </w:rPr>
      </w:pPr>
      <w:r w:rsidRPr="00372D94">
        <w:rPr>
          <w:rFonts w:eastAsia="Arial" w:cs="Arial"/>
        </w:rPr>
        <w:t xml:space="preserve">Integrated </w:t>
      </w:r>
      <w:r w:rsidR="007070E5" w:rsidRPr="00372D94">
        <w:rPr>
          <w:rFonts w:eastAsia="Arial" w:cs="Arial"/>
        </w:rPr>
        <w:t xml:space="preserve">Water </w:t>
      </w:r>
      <w:r w:rsidR="00B34068" w:rsidRPr="00372D94">
        <w:rPr>
          <w:rFonts w:eastAsia="Arial" w:cs="Arial"/>
        </w:rPr>
        <w:t>M</w:t>
      </w:r>
      <w:r w:rsidR="007070E5" w:rsidRPr="00372D94">
        <w:rPr>
          <w:rFonts w:eastAsia="Arial" w:cs="Arial"/>
        </w:rPr>
        <w:t xml:space="preserve">anagement is a key aspect of sustainable development. </w:t>
      </w:r>
      <w:r w:rsidRPr="00372D94">
        <w:rPr>
          <w:rFonts w:eastAsia="Arial" w:cs="Arial"/>
        </w:rPr>
        <w:t>It is a collaborative approach to managing land and water that delivers coordinated management of water storage, supply, demand, wastewater, flood risk, water quality and the wider environment.</w:t>
      </w:r>
      <w:r w:rsidRPr="00372D94">
        <w:rPr>
          <w:rFonts w:cs="Arial"/>
          <w:szCs w:val="24"/>
        </w:rPr>
        <w:t xml:space="preserve"> </w:t>
      </w:r>
      <w:r w:rsidR="007070E5" w:rsidRPr="00372D94">
        <w:rPr>
          <w:rFonts w:eastAsia="Arial" w:cs="Arial"/>
        </w:rPr>
        <w:t xml:space="preserve">As a substantial area of Ashfield is on a principal aquifer there is a particular emphasis on protecting ground water from contamination and enhancing the water environment. </w:t>
      </w:r>
      <w:r w:rsidR="00F12DDD" w:rsidRPr="00372D94">
        <w:rPr>
          <w:rFonts w:eastAsia="Arial" w:cs="Arial"/>
        </w:rPr>
        <w:t>Management of surface water requires the use of SuDS and implementing the drainage hierarchy. However, infiltration should not be used where there are existing groundwater flooding issues and, where appropriate, should include suitable pollution prevention measures to protect the quality of the groundwater.</w:t>
      </w:r>
      <w:r w:rsidR="00F12DDD" w:rsidRPr="00372D94">
        <w:rPr>
          <w:rFonts w:cs="Arial"/>
          <w:szCs w:val="24"/>
        </w:rPr>
        <w:t xml:space="preserve">   </w:t>
      </w:r>
      <w:r w:rsidR="007070E5" w:rsidRPr="00372D94">
        <w:rPr>
          <w:rFonts w:eastAsia="Arial" w:cs="Arial"/>
        </w:rPr>
        <w:t xml:space="preserve">Development Management Policies on these aspects set out </w:t>
      </w:r>
      <w:r w:rsidR="007070E5" w:rsidRPr="00F12DDD">
        <w:rPr>
          <w:rFonts w:eastAsia="Arial" w:cs="Arial"/>
          <w:color w:val="auto"/>
        </w:rPr>
        <w:t xml:space="preserve">in Policy CC2: Water Resource Management and Policy CC3: Flood Risk. </w:t>
      </w:r>
      <w:r w:rsidR="00F12DDD" w:rsidRPr="00F12DDD">
        <w:rPr>
          <w:rFonts w:eastAsia="Arial" w:cs="Arial"/>
          <w:color w:val="auto"/>
        </w:rPr>
        <w:t xml:space="preserve"> </w:t>
      </w:r>
    </w:p>
    <w:p w14:paraId="7B86D1F2" w14:textId="77777777" w:rsidR="00275006" w:rsidRPr="003C7E62" w:rsidRDefault="00275006" w:rsidP="005E17D1">
      <w:pPr>
        <w:keepNext w:val="0"/>
        <w:spacing w:before="0"/>
        <w:ind w:left="851"/>
        <w:rPr>
          <w:rFonts w:cs="Arial"/>
          <w:color w:val="auto"/>
          <w:szCs w:val="24"/>
        </w:rPr>
      </w:pPr>
    </w:p>
    <w:p w14:paraId="69093FEB" w14:textId="219CF6F3" w:rsidR="00A74E08" w:rsidRPr="003C7E62" w:rsidRDefault="007070E5" w:rsidP="00CD61AD">
      <w:pPr>
        <w:keepNext w:val="0"/>
        <w:numPr>
          <w:ilvl w:val="1"/>
          <w:numId w:val="344"/>
        </w:numPr>
        <w:tabs>
          <w:tab w:val="clear" w:pos="525"/>
          <w:tab w:val="num" w:pos="851"/>
        </w:tabs>
        <w:spacing w:before="0"/>
        <w:ind w:left="851" w:hanging="851"/>
        <w:rPr>
          <w:rFonts w:cs="Arial"/>
          <w:color w:val="auto"/>
          <w:szCs w:val="24"/>
        </w:rPr>
      </w:pPr>
      <w:r w:rsidRPr="003C7E62">
        <w:rPr>
          <w:rFonts w:eastAsia="Calibri" w:cs="Arial"/>
          <w:color w:val="auto"/>
        </w:rPr>
        <w:t xml:space="preserve">Design and Access Statements (DAS) can </w:t>
      </w:r>
      <w:r w:rsidR="00A53A3F" w:rsidRPr="003C7E62">
        <w:rPr>
          <w:rFonts w:eastAsia="Calibri" w:cs="Arial"/>
          <w:color w:val="auto"/>
        </w:rPr>
        <w:t xml:space="preserve">also </w:t>
      </w:r>
      <w:r w:rsidRPr="003C7E62">
        <w:rPr>
          <w:rFonts w:eastAsia="Calibri" w:cs="Arial"/>
          <w:color w:val="auto"/>
        </w:rPr>
        <w:t>be used to explain:</w:t>
      </w:r>
    </w:p>
    <w:p w14:paraId="60B23D49" w14:textId="77777777" w:rsidR="00A74E08" w:rsidRPr="003C7E62" w:rsidRDefault="00A74E08" w:rsidP="009A1B27">
      <w:pPr>
        <w:keepNext w:val="0"/>
        <w:spacing w:before="0"/>
        <w:ind w:left="851"/>
        <w:rPr>
          <w:rFonts w:cs="Arial"/>
          <w:color w:val="auto"/>
          <w:szCs w:val="24"/>
        </w:rPr>
      </w:pPr>
    </w:p>
    <w:p w14:paraId="30E60172" w14:textId="77777777" w:rsidR="00A74E08" w:rsidRPr="003C7E62" w:rsidRDefault="00A74E08" w:rsidP="00D01157">
      <w:pPr>
        <w:keepNext w:val="0"/>
        <w:numPr>
          <w:ilvl w:val="0"/>
          <w:numId w:val="17"/>
        </w:numPr>
        <w:spacing w:before="0"/>
        <w:contextualSpacing/>
        <w:rPr>
          <w:rFonts w:eastAsia="Calibri" w:cs="Arial"/>
          <w:color w:val="auto"/>
          <w:szCs w:val="22"/>
          <w:lang w:eastAsia="en-US"/>
        </w:rPr>
      </w:pPr>
      <w:r w:rsidRPr="003C7E62">
        <w:rPr>
          <w:rFonts w:eastAsia="Calibri" w:cs="Arial"/>
          <w:color w:val="auto"/>
          <w:szCs w:val="22"/>
          <w:lang w:eastAsia="en-US"/>
        </w:rPr>
        <w:t xml:space="preserve">How the proposal seeks to reduce carbon emissions through reducing energy demand by maximising energy efficiency and reducing the need to travel. </w:t>
      </w:r>
    </w:p>
    <w:p w14:paraId="02D249C9" w14:textId="77777777" w:rsidR="00A74E08" w:rsidRPr="003C7E62" w:rsidRDefault="00A74E08" w:rsidP="009A1B27">
      <w:pPr>
        <w:keepNext w:val="0"/>
        <w:spacing w:before="0"/>
        <w:ind w:left="720"/>
        <w:contextualSpacing/>
        <w:rPr>
          <w:rFonts w:eastAsia="Calibri" w:cs="Arial"/>
          <w:color w:val="auto"/>
          <w:szCs w:val="22"/>
          <w:lang w:eastAsia="en-US"/>
        </w:rPr>
      </w:pPr>
    </w:p>
    <w:p w14:paraId="58654F8D" w14:textId="6CF7E4FD" w:rsidR="00A74E08" w:rsidRDefault="00A74E08" w:rsidP="00D01157">
      <w:pPr>
        <w:keepNext w:val="0"/>
        <w:numPr>
          <w:ilvl w:val="0"/>
          <w:numId w:val="17"/>
        </w:numPr>
        <w:spacing w:before="0"/>
        <w:contextualSpacing/>
        <w:rPr>
          <w:rFonts w:eastAsia="Calibri" w:cs="Arial"/>
          <w:color w:val="auto"/>
          <w:szCs w:val="22"/>
          <w:lang w:eastAsia="en-US"/>
        </w:rPr>
      </w:pPr>
      <w:r w:rsidRPr="003C7E62">
        <w:rPr>
          <w:rFonts w:eastAsia="Calibri" w:cs="Arial"/>
          <w:color w:val="auto"/>
          <w:szCs w:val="22"/>
          <w:lang w:eastAsia="en-US"/>
        </w:rPr>
        <w:t xml:space="preserve">How renewable energy and low carbon development have been incorporated to reduce reliance on fossil fuels; </w:t>
      </w:r>
    </w:p>
    <w:p w14:paraId="7D18A6A8" w14:textId="77777777" w:rsidR="009A1B27" w:rsidRPr="003C7E62" w:rsidRDefault="009A1B27" w:rsidP="009A1B27">
      <w:pPr>
        <w:keepNext w:val="0"/>
        <w:spacing w:before="0"/>
        <w:contextualSpacing/>
        <w:rPr>
          <w:rFonts w:eastAsia="Calibri" w:cs="Arial"/>
          <w:color w:val="auto"/>
          <w:szCs w:val="22"/>
          <w:lang w:eastAsia="en-US"/>
        </w:rPr>
      </w:pPr>
    </w:p>
    <w:p w14:paraId="41A9C285" w14:textId="059C9642" w:rsidR="00A74E08" w:rsidRDefault="00A74E08" w:rsidP="00D01157">
      <w:pPr>
        <w:keepNext w:val="0"/>
        <w:numPr>
          <w:ilvl w:val="0"/>
          <w:numId w:val="17"/>
        </w:numPr>
        <w:spacing w:before="0"/>
        <w:contextualSpacing/>
        <w:rPr>
          <w:rFonts w:eastAsia="Calibri" w:cs="Arial"/>
          <w:color w:val="auto"/>
          <w:szCs w:val="22"/>
          <w:lang w:eastAsia="en-US"/>
        </w:rPr>
      </w:pPr>
      <w:r w:rsidRPr="003C7E62">
        <w:rPr>
          <w:rFonts w:eastAsia="Calibri" w:cs="Arial"/>
          <w:color w:val="auto"/>
          <w:szCs w:val="22"/>
          <w:lang w:eastAsia="en-US"/>
        </w:rPr>
        <w:t xml:space="preserve">How trees and soils, are affected by </w:t>
      </w:r>
      <w:r w:rsidR="00416653" w:rsidRPr="003C7E62">
        <w:rPr>
          <w:rFonts w:eastAsia="Calibri" w:cs="Arial"/>
          <w:color w:val="auto"/>
          <w:szCs w:val="22"/>
          <w:lang w:eastAsia="en-US"/>
        </w:rPr>
        <w:t>development with</w:t>
      </w:r>
      <w:r w:rsidRPr="003C7E62">
        <w:rPr>
          <w:rFonts w:eastAsia="Calibri" w:cs="Arial"/>
          <w:color w:val="auto"/>
          <w:szCs w:val="22"/>
          <w:lang w:eastAsia="en-US"/>
        </w:rPr>
        <w:t xml:space="preserve"> the emphasis on the retention of </w:t>
      </w:r>
      <w:r w:rsidR="00416653" w:rsidRPr="003C7E62">
        <w:rPr>
          <w:rFonts w:eastAsia="Calibri" w:cs="Arial"/>
          <w:color w:val="auto"/>
          <w:szCs w:val="22"/>
          <w:lang w:eastAsia="en-US"/>
        </w:rPr>
        <w:t>trees as</w:t>
      </w:r>
      <w:r w:rsidRPr="003C7E62">
        <w:rPr>
          <w:rFonts w:eastAsia="Calibri" w:cs="Arial"/>
          <w:color w:val="auto"/>
          <w:szCs w:val="22"/>
          <w:lang w:eastAsia="en-US"/>
        </w:rPr>
        <w:t xml:space="preserve"> they </w:t>
      </w:r>
      <w:r w:rsidR="00416653" w:rsidRPr="003C7E62">
        <w:rPr>
          <w:rFonts w:eastAsia="Calibri" w:cs="Arial"/>
          <w:color w:val="auto"/>
          <w:szCs w:val="22"/>
          <w:lang w:eastAsia="en-US"/>
        </w:rPr>
        <w:t>provide</w:t>
      </w:r>
      <w:r w:rsidRPr="003C7E62">
        <w:rPr>
          <w:rFonts w:eastAsia="Calibri" w:cs="Arial"/>
          <w:color w:val="auto"/>
          <w:szCs w:val="22"/>
          <w:lang w:eastAsia="en-US"/>
        </w:rPr>
        <w:t xml:space="preserve"> a carbon store.</w:t>
      </w:r>
    </w:p>
    <w:p w14:paraId="791D7326" w14:textId="77777777" w:rsidR="009A1B27" w:rsidRPr="003C7E62" w:rsidRDefault="009A1B27" w:rsidP="009A1B27">
      <w:pPr>
        <w:keepNext w:val="0"/>
        <w:spacing w:before="0"/>
        <w:contextualSpacing/>
        <w:rPr>
          <w:rFonts w:eastAsia="Calibri" w:cs="Arial"/>
          <w:color w:val="auto"/>
          <w:szCs w:val="22"/>
          <w:lang w:eastAsia="en-US"/>
        </w:rPr>
      </w:pPr>
    </w:p>
    <w:p w14:paraId="2898412F" w14:textId="59CE78F5" w:rsidR="00A74E08" w:rsidRDefault="00A74E08" w:rsidP="00D01157">
      <w:pPr>
        <w:keepNext w:val="0"/>
        <w:numPr>
          <w:ilvl w:val="0"/>
          <w:numId w:val="17"/>
        </w:numPr>
        <w:spacing w:before="0"/>
        <w:contextualSpacing/>
        <w:rPr>
          <w:rFonts w:eastAsia="Calibri" w:cs="Arial"/>
          <w:color w:val="auto"/>
          <w:szCs w:val="22"/>
          <w:lang w:eastAsia="en-US"/>
        </w:rPr>
      </w:pPr>
      <w:r w:rsidRPr="003C7E62">
        <w:rPr>
          <w:rFonts w:eastAsia="Calibri" w:cs="Arial"/>
          <w:color w:val="auto"/>
          <w:szCs w:val="22"/>
          <w:lang w:eastAsia="en-US"/>
        </w:rPr>
        <w:t xml:space="preserve">How the proposal for buildings, the public realm and the wider landscape adapts to the implications of climate change which include likely increased temperatures, more frequent and severe flooding and extreme weather events. </w:t>
      </w:r>
    </w:p>
    <w:p w14:paraId="61034038" w14:textId="77777777" w:rsidR="009A1B27" w:rsidRPr="003C7E62" w:rsidRDefault="009A1B27" w:rsidP="009A1B27">
      <w:pPr>
        <w:keepNext w:val="0"/>
        <w:spacing w:before="0"/>
        <w:contextualSpacing/>
        <w:rPr>
          <w:rFonts w:eastAsia="Calibri" w:cs="Arial"/>
          <w:color w:val="auto"/>
          <w:szCs w:val="22"/>
          <w:lang w:eastAsia="en-US"/>
        </w:rPr>
      </w:pPr>
    </w:p>
    <w:p w14:paraId="74096BE2" w14:textId="77777777" w:rsidR="00A74E08" w:rsidRPr="003C7E62" w:rsidRDefault="00A74E08" w:rsidP="00D01157">
      <w:pPr>
        <w:keepNext w:val="0"/>
        <w:numPr>
          <w:ilvl w:val="0"/>
          <w:numId w:val="17"/>
        </w:numPr>
        <w:spacing w:before="0"/>
        <w:contextualSpacing/>
        <w:rPr>
          <w:rFonts w:eastAsia="Calibri" w:cs="Arial"/>
          <w:color w:val="auto"/>
          <w:szCs w:val="22"/>
          <w:lang w:eastAsia="en-US"/>
        </w:rPr>
      </w:pPr>
      <w:r w:rsidRPr="003C7E62">
        <w:rPr>
          <w:rFonts w:eastAsia="Calibri" w:cs="Arial"/>
          <w:color w:val="auto"/>
          <w:szCs w:val="22"/>
          <w:lang w:eastAsia="en-US"/>
        </w:rPr>
        <w:t>How flood risk within areas susceptible to fluvial and surface water flooding has been considered.</w:t>
      </w:r>
    </w:p>
    <w:p w14:paraId="287CA5B4" w14:textId="77777777" w:rsidR="00A74E08" w:rsidRPr="003C7E62" w:rsidRDefault="00A74E08" w:rsidP="005E17D1">
      <w:pPr>
        <w:keepNext w:val="0"/>
        <w:spacing w:before="0"/>
        <w:rPr>
          <w:rFonts w:cs="Arial"/>
          <w:color w:val="auto"/>
          <w:szCs w:val="24"/>
        </w:rPr>
      </w:pPr>
      <w:r w:rsidRPr="003C7E62">
        <w:rPr>
          <w:rFonts w:cs="Arial"/>
          <w:color w:val="auto"/>
          <w:szCs w:val="24"/>
        </w:rPr>
        <w:br w:type="page"/>
      </w:r>
    </w:p>
    <w:p w14:paraId="156B17DF" w14:textId="7F5B2E78" w:rsidR="00AE71BE" w:rsidRPr="009D5737" w:rsidRDefault="00AE71BE" w:rsidP="009D5737">
      <w:pPr>
        <w:pStyle w:val="Heading2"/>
        <w:jc w:val="left"/>
        <w:rPr>
          <w:rFonts w:eastAsia="Arial"/>
          <w:sz w:val="28"/>
          <w:szCs w:val="28"/>
        </w:rPr>
      </w:pPr>
      <w:bookmarkStart w:id="48" w:name="_Toc145511556"/>
      <w:bookmarkStart w:id="49" w:name="_Hlk76638620"/>
      <w:r w:rsidRPr="009D5737">
        <w:rPr>
          <w:sz w:val="28"/>
          <w:szCs w:val="28"/>
        </w:rPr>
        <w:lastRenderedPageBreak/>
        <w:t>Strategic Policy S4: Green Belt</w:t>
      </w:r>
      <w:bookmarkEnd w:id="45"/>
      <w:bookmarkEnd w:id="48"/>
      <w:r w:rsidRPr="009D5737">
        <w:rPr>
          <w:rFonts w:eastAsia="Arial"/>
          <w:sz w:val="28"/>
          <w:szCs w:val="28"/>
        </w:rPr>
        <w:t xml:space="preserve"> </w:t>
      </w:r>
    </w:p>
    <w:p w14:paraId="487F955C" w14:textId="77777777" w:rsidR="00AE71BE" w:rsidRPr="009B02C6" w:rsidRDefault="00AE71BE" w:rsidP="009B02C6">
      <w:pPr>
        <w:rPr>
          <w:rFonts w:eastAsia="Arial"/>
        </w:rPr>
      </w:pPr>
    </w:p>
    <w:tbl>
      <w:tblPr>
        <w:tblStyle w:val="ReportTable1"/>
        <w:tblW w:w="9634" w:type="dxa"/>
        <w:tblLook w:val="04A0" w:firstRow="1" w:lastRow="0" w:firstColumn="1" w:lastColumn="0" w:noHBand="0" w:noVBand="1"/>
      </w:tblPr>
      <w:tblGrid>
        <w:gridCol w:w="1980"/>
        <w:gridCol w:w="637"/>
        <w:gridCol w:w="7017"/>
      </w:tblGrid>
      <w:tr w:rsidR="00FB4E8F" w:rsidRPr="003C7E62" w14:paraId="2DA04031" w14:textId="77777777" w:rsidTr="009D4C91">
        <w:tc>
          <w:tcPr>
            <w:tcW w:w="9634" w:type="dxa"/>
            <w:gridSpan w:val="3"/>
          </w:tcPr>
          <w:p w14:paraId="7E37B9BE" w14:textId="77777777" w:rsidR="005E17D1" w:rsidRDefault="005E17D1" w:rsidP="00FB4E8F">
            <w:pPr>
              <w:spacing w:before="0"/>
              <w:outlineLvl w:val="1"/>
              <w:rPr>
                <w:rFonts w:cs="Arial"/>
                <w:b/>
                <w:bCs/>
                <w:iCs/>
                <w:color w:val="auto"/>
                <w:szCs w:val="24"/>
                <w:lang w:eastAsia="en-US"/>
              </w:rPr>
            </w:pPr>
          </w:p>
          <w:p w14:paraId="5939433B" w14:textId="04D51949" w:rsidR="005E17D1" w:rsidRDefault="00FB4E8F" w:rsidP="00E605B7">
            <w:pPr>
              <w:rPr>
                <w:rFonts w:eastAsia="Arial" w:cs="Arial"/>
                <w:b/>
                <w:bCs/>
                <w:iCs/>
                <w:color w:val="auto"/>
                <w:szCs w:val="24"/>
                <w:lang w:eastAsia="en-US"/>
              </w:rPr>
            </w:pPr>
            <w:r w:rsidRPr="003C7E62">
              <w:rPr>
                <w:rFonts w:cs="Arial"/>
                <w:b/>
                <w:bCs/>
                <w:iCs/>
                <w:color w:val="auto"/>
                <w:szCs w:val="24"/>
                <w:lang w:eastAsia="en-US"/>
              </w:rPr>
              <w:t>Strategic Policy S4: Green Belt</w:t>
            </w:r>
            <w:r w:rsidRPr="003C7E62">
              <w:rPr>
                <w:rFonts w:eastAsia="Arial" w:cs="Arial"/>
                <w:b/>
                <w:bCs/>
                <w:iCs/>
                <w:color w:val="auto"/>
                <w:szCs w:val="24"/>
                <w:lang w:eastAsia="en-US"/>
              </w:rPr>
              <w:t xml:space="preserve"> </w:t>
            </w:r>
          </w:p>
          <w:p w14:paraId="5403B76A" w14:textId="0B6C6A5E" w:rsidR="00FB4E8F" w:rsidRPr="003C7E62" w:rsidRDefault="00FB4E8F" w:rsidP="00FB4E8F">
            <w:pPr>
              <w:spacing w:before="0"/>
              <w:outlineLvl w:val="1"/>
              <w:rPr>
                <w:rFonts w:eastAsia="Arial" w:cs="Arial"/>
                <w:b/>
                <w:bCs/>
                <w:iCs/>
                <w:color w:val="auto"/>
                <w:szCs w:val="24"/>
                <w:lang w:eastAsia="en-US"/>
              </w:rPr>
            </w:pPr>
            <w:r w:rsidRPr="003C7E62">
              <w:rPr>
                <w:rFonts w:eastAsia="Arial" w:cs="Arial"/>
                <w:b/>
                <w:bCs/>
                <w:iCs/>
                <w:color w:val="auto"/>
                <w:szCs w:val="24"/>
                <w:lang w:eastAsia="en-US"/>
              </w:rPr>
              <w:t xml:space="preserve"> </w:t>
            </w:r>
          </w:p>
        </w:tc>
      </w:tr>
      <w:tr w:rsidR="00AE71BE" w:rsidRPr="003C7E62" w14:paraId="207FCE79" w14:textId="77777777" w:rsidTr="009D4C91">
        <w:tc>
          <w:tcPr>
            <w:tcW w:w="2617" w:type="dxa"/>
            <w:gridSpan w:val="2"/>
            <w:shd w:val="clear" w:color="auto" w:fill="auto"/>
          </w:tcPr>
          <w:p w14:paraId="6191D1F9" w14:textId="77777777" w:rsidR="00AE71BE" w:rsidRPr="005E17D1" w:rsidRDefault="00AE71BE" w:rsidP="00523DED">
            <w:pPr>
              <w:tabs>
                <w:tab w:val="left" w:pos="680"/>
              </w:tabs>
              <w:spacing w:before="40" w:after="40"/>
              <w:rPr>
                <w:rFonts w:eastAsia="Arial" w:cs="Arial"/>
                <w:bCs/>
              </w:rPr>
            </w:pPr>
            <w:r w:rsidRPr="005E17D1">
              <w:rPr>
                <w:rFonts w:eastAsia="Arial" w:cs="Arial"/>
                <w:bCs/>
              </w:rPr>
              <w:t>Strategic Objectives</w:t>
            </w:r>
          </w:p>
        </w:tc>
        <w:tc>
          <w:tcPr>
            <w:tcW w:w="7017" w:type="dxa"/>
            <w:shd w:val="clear" w:color="auto" w:fill="auto"/>
          </w:tcPr>
          <w:p w14:paraId="32311859" w14:textId="77777777" w:rsidR="00AE71BE" w:rsidRPr="005E17D1" w:rsidRDefault="00AE71BE" w:rsidP="00523DED">
            <w:pPr>
              <w:tabs>
                <w:tab w:val="left" w:pos="680"/>
              </w:tabs>
              <w:spacing w:before="40" w:after="40"/>
              <w:rPr>
                <w:rFonts w:eastAsia="Arial" w:cs="Arial"/>
                <w:bCs/>
              </w:rPr>
            </w:pPr>
            <w:r w:rsidRPr="005E17D1">
              <w:rPr>
                <w:rFonts w:eastAsia="Arial" w:cs="Arial"/>
                <w:bCs/>
              </w:rPr>
              <w:t>SO1, SO2, SO5, SO6, SO13, SO14.</w:t>
            </w:r>
          </w:p>
        </w:tc>
      </w:tr>
      <w:tr w:rsidR="00AE71BE" w:rsidRPr="003C7E62" w14:paraId="6713AEE9" w14:textId="77777777" w:rsidTr="009D4C91">
        <w:tc>
          <w:tcPr>
            <w:tcW w:w="9634" w:type="dxa"/>
            <w:gridSpan w:val="3"/>
            <w:shd w:val="clear" w:color="auto" w:fill="DBDBDB"/>
          </w:tcPr>
          <w:p w14:paraId="582ECCD5" w14:textId="77777777" w:rsidR="00EE39E9" w:rsidRPr="003C7E62" w:rsidRDefault="00EE39E9" w:rsidP="00EE39E9">
            <w:pPr>
              <w:autoSpaceDE w:val="0"/>
              <w:autoSpaceDN w:val="0"/>
              <w:adjustRightInd w:val="0"/>
              <w:spacing w:before="0"/>
              <w:rPr>
                <w:rFonts w:eastAsia="Calibri" w:cs="Arial"/>
                <w:color w:val="000000"/>
                <w:szCs w:val="24"/>
              </w:rPr>
            </w:pPr>
            <w:bookmarkStart w:id="50" w:name="_Hlk75350766"/>
          </w:p>
          <w:p w14:paraId="6220BE03" w14:textId="580B8434" w:rsidR="00AE71BE" w:rsidRPr="003C7E62" w:rsidRDefault="00AE71BE" w:rsidP="00EE39E9">
            <w:pPr>
              <w:autoSpaceDE w:val="0"/>
              <w:autoSpaceDN w:val="0"/>
              <w:adjustRightInd w:val="0"/>
              <w:spacing w:before="0"/>
              <w:rPr>
                <w:rFonts w:eastAsia="Calibri" w:cs="Arial"/>
                <w:color w:val="auto"/>
                <w:szCs w:val="24"/>
              </w:rPr>
            </w:pPr>
            <w:r w:rsidRPr="003C7E62">
              <w:rPr>
                <w:rFonts w:eastAsia="Calibri" w:cs="Arial"/>
                <w:color w:val="000000"/>
                <w:szCs w:val="24"/>
              </w:rPr>
              <w:t xml:space="preserve">The Green Belt, as shown on the Policies Map, will be protected against inappropriate development as identified in the National Planning Policy Framework.  </w:t>
            </w:r>
            <w:r w:rsidRPr="003C7E62">
              <w:rPr>
                <w:rFonts w:eastAsia="Arial" w:cs="Arial"/>
                <w:color w:val="auto"/>
              </w:rPr>
              <w:t>This includes land around Hucknall, land to the south and east of Kirkby-in-Ashfield and land surrounding the rural villages of Selston, Jacksdale, Underwood and part of Brinsley.  The village of Bagthorpe is ‘wash</w:t>
            </w:r>
            <w:r w:rsidR="00832DE8">
              <w:rPr>
                <w:rFonts w:eastAsia="Arial" w:cs="Arial"/>
                <w:color w:val="auto"/>
              </w:rPr>
              <w:t>ed</w:t>
            </w:r>
            <w:r w:rsidRPr="003C7E62">
              <w:rPr>
                <w:rFonts w:eastAsia="Arial" w:cs="Arial"/>
                <w:color w:val="auto"/>
              </w:rPr>
              <w:t xml:space="preserve"> over’ by the Green Belt.  </w:t>
            </w:r>
          </w:p>
          <w:bookmarkEnd w:id="50"/>
          <w:p w14:paraId="1D2672ED" w14:textId="77777777" w:rsidR="00AE71BE" w:rsidRPr="003C7E62" w:rsidRDefault="00AE71BE" w:rsidP="00523DED">
            <w:pPr>
              <w:tabs>
                <w:tab w:val="left" w:pos="680"/>
                <w:tab w:val="left" w:pos="1133"/>
                <w:tab w:val="left" w:pos="2267"/>
              </w:tabs>
              <w:ind w:right="284"/>
              <w:rPr>
                <w:rFonts w:eastAsia="Arial" w:cs="Arial"/>
                <w:b/>
                <w:color w:val="0070C0"/>
              </w:rPr>
            </w:pPr>
          </w:p>
        </w:tc>
      </w:tr>
      <w:tr w:rsidR="00AE71BE" w:rsidRPr="003C7E62" w14:paraId="696FDF25" w14:textId="77777777" w:rsidTr="009D4C91">
        <w:tc>
          <w:tcPr>
            <w:tcW w:w="1980" w:type="dxa"/>
            <w:shd w:val="clear" w:color="auto" w:fill="DBDBDB"/>
          </w:tcPr>
          <w:p w14:paraId="7929FF0D" w14:textId="77777777" w:rsidR="00AE71BE" w:rsidRPr="003C7E62" w:rsidRDefault="00AE71BE" w:rsidP="00D0642D">
            <w:pPr>
              <w:tabs>
                <w:tab w:val="left" w:pos="680"/>
                <w:tab w:val="left" w:pos="1133"/>
                <w:tab w:val="left" w:pos="2267"/>
              </w:tabs>
              <w:ind w:right="284"/>
              <w:rPr>
                <w:rFonts w:eastAsia="Arial" w:cs="Arial"/>
                <w:b/>
                <w:color w:val="C00000"/>
                <w:sz w:val="20"/>
              </w:rPr>
            </w:pPr>
            <w:r w:rsidRPr="003C7E62">
              <w:rPr>
                <w:rFonts w:eastAsia="Arial" w:cs="Arial"/>
                <w:bCs/>
                <w:sz w:val="20"/>
              </w:rPr>
              <w:t>Evidence base</w:t>
            </w:r>
          </w:p>
        </w:tc>
        <w:tc>
          <w:tcPr>
            <w:tcW w:w="7654" w:type="dxa"/>
            <w:gridSpan w:val="2"/>
            <w:shd w:val="clear" w:color="auto" w:fill="DBDBDB"/>
          </w:tcPr>
          <w:p w14:paraId="1B6FB986" w14:textId="1B296679" w:rsidR="00F10F95" w:rsidRPr="00372D94" w:rsidRDefault="00AE71BE" w:rsidP="0092554C">
            <w:pPr>
              <w:pStyle w:val="ListParagraph"/>
              <w:numPr>
                <w:ilvl w:val="0"/>
                <w:numId w:val="13"/>
              </w:numPr>
              <w:tabs>
                <w:tab w:val="left" w:pos="680"/>
                <w:tab w:val="left" w:pos="1133"/>
                <w:tab w:val="left" w:pos="2267"/>
              </w:tabs>
              <w:spacing w:after="0" w:line="240" w:lineRule="auto"/>
              <w:ind w:right="284"/>
              <w:rPr>
                <w:rFonts w:ascii="Arial" w:eastAsia="Arial" w:hAnsi="Arial" w:cs="Arial"/>
                <w:bCs/>
                <w:sz w:val="20"/>
                <w:szCs w:val="20"/>
                <w:lang w:eastAsia="en-GB"/>
              </w:rPr>
            </w:pPr>
            <w:r w:rsidRPr="00372D94">
              <w:rPr>
                <w:rFonts w:ascii="Arial" w:eastAsia="Arial" w:hAnsi="Arial" w:cs="Arial"/>
                <w:bCs/>
                <w:sz w:val="20"/>
                <w:szCs w:val="20"/>
                <w:lang w:eastAsia="en-GB"/>
              </w:rPr>
              <w:t xml:space="preserve">Sustainability Appraisal </w:t>
            </w:r>
            <w:r w:rsidR="00F10F95" w:rsidRPr="00372D94">
              <w:rPr>
                <w:rFonts w:ascii="Arial" w:eastAsia="Arial" w:hAnsi="Arial" w:cs="Arial"/>
                <w:bCs/>
                <w:sz w:val="20"/>
                <w:szCs w:val="20"/>
                <w:lang w:eastAsia="en-GB"/>
              </w:rPr>
              <w:t>2023</w:t>
            </w:r>
            <w:r w:rsidR="00A86E75" w:rsidRPr="00372D94">
              <w:rPr>
                <w:rFonts w:ascii="Arial" w:eastAsia="Arial" w:hAnsi="Arial" w:cs="Arial"/>
                <w:bCs/>
                <w:sz w:val="20"/>
                <w:szCs w:val="20"/>
                <w:lang w:eastAsia="en-GB"/>
              </w:rPr>
              <w:t>,</w:t>
            </w:r>
            <w:r w:rsidR="00F10F95" w:rsidRPr="00372D94">
              <w:t xml:space="preserve"> </w:t>
            </w:r>
            <w:r w:rsidR="00F10F95" w:rsidRPr="00372D94">
              <w:rPr>
                <w:rFonts w:ascii="Arial" w:eastAsia="Arial" w:hAnsi="Arial" w:cs="Arial"/>
                <w:bCs/>
                <w:sz w:val="20"/>
                <w:szCs w:val="20"/>
                <w:lang w:eastAsia="en-GB"/>
              </w:rPr>
              <w:t>WSP UK Limited.</w:t>
            </w:r>
          </w:p>
          <w:p w14:paraId="0B02FFA4" w14:textId="41256B1D" w:rsidR="00AE71BE" w:rsidRPr="00372D94" w:rsidRDefault="00F10F95" w:rsidP="0092554C">
            <w:pPr>
              <w:pStyle w:val="ListParagraph"/>
              <w:numPr>
                <w:ilvl w:val="0"/>
                <w:numId w:val="13"/>
              </w:numPr>
              <w:tabs>
                <w:tab w:val="left" w:pos="680"/>
                <w:tab w:val="left" w:pos="1133"/>
                <w:tab w:val="left" w:pos="2267"/>
              </w:tabs>
              <w:spacing w:after="0" w:line="240" w:lineRule="auto"/>
              <w:ind w:right="284"/>
              <w:rPr>
                <w:rFonts w:ascii="Arial" w:eastAsia="Arial" w:hAnsi="Arial" w:cs="Arial"/>
                <w:bCs/>
                <w:sz w:val="20"/>
                <w:szCs w:val="20"/>
                <w:lang w:eastAsia="en-GB"/>
              </w:rPr>
            </w:pPr>
            <w:r w:rsidRPr="00372D94">
              <w:rPr>
                <w:rFonts w:ascii="Arial" w:eastAsia="Arial" w:hAnsi="Arial" w:cs="Arial"/>
                <w:bCs/>
                <w:sz w:val="20"/>
                <w:szCs w:val="20"/>
                <w:lang w:eastAsia="en-GB"/>
              </w:rPr>
              <w:t>B</w:t>
            </w:r>
            <w:r w:rsidR="00AE71BE" w:rsidRPr="00372D94">
              <w:rPr>
                <w:rFonts w:ascii="Arial" w:eastAsia="Arial" w:hAnsi="Arial" w:cs="Arial"/>
                <w:bCs/>
                <w:sz w:val="20"/>
                <w:szCs w:val="20"/>
                <w:lang w:eastAsia="en-GB"/>
              </w:rPr>
              <w:t xml:space="preserve">ackground Paper 04: Green Belt </w:t>
            </w:r>
            <w:r w:rsidR="001E72FC" w:rsidRPr="00372D94">
              <w:rPr>
                <w:rFonts w:ascii="Arial" w:eastAsia="Arial" w:hAnsi="Arial" w:cs="Arial"/>
                <w:bCs/>
                <w:sz w:val="20"/>
                <w:szCs w:val="20"/>
                <w:lang w:eastAsia="en-GB"/>
              </w:rPr>
              <w:t xml:space="preserve">Harm </w:t>
            </w:r>
            <w:r w:rsidR="000350D9" w:rsidRPr="00372D94">
              <w:rPr>
                <w:rFonts w:ascii="Arial" w:eastAsia="Arial" w:hAnsi="Arial" w:cs="Arial"/>
                <w:bCs/>
                <w:sz w:val="20"/>
                <w:szCs w:val="20"/>
                <w:lang w:eastAsia="en-GB"/>
              </w:rPr>
              <w:t xml:space="preserve">Assessment </w:t>
            </w:r>
            <w:r w:rsidR="00AE71BE" w:rsidRPr="00372D94">
              <w:rPr>
                <w:rFonts w:ascii="Arial" w:eastAsia="Arial" w:hAnsi="Arial" w:cs="Arial"/>
                <w:bCs/>
                <w:sz w:val="20"/>
                <w:szCs w:val="20"/>
                <w:lang w:eastAsia="en-GB"/>
              </w:rPr>
              <w:t>202</w:t>
            </w:r>
            <w:r w:rsidR="00372D94" w:rsidRPr="00372D94">
              <w:rPr>
                <w:rFonts w:ascii="Arial" w:eastAsia="Arial" w:hAnsi="Arial" w:cs="Arial"/>
                <w:bCs/>
                <w:sz w:val="20"/>
                <w:szCs w:val="20"/>
                <w:lang w:eastAsia="en-GB"/>
              </w:rPr>
              <w:t>3</w:t>
            </w:r>
            <w:r w:rsidR="00AE71BE" w:rsidRPr="00372D94">
              <w:rPr>
                <w:rFonts w:ascii="Arial" w:eastAsia="Arial" w:hAnsi="Arial" w:cs="Arial"/>
                <w:bCs/>
                <w:sz w:val="20"/>
                <w:szCs w:val="20"/>
                <w:lang w:eastAsia="en-GB"/>
              </w:rPr>
              <w:t>, Ashfield District Council.</w:t>
            </w:r>
          </w:p>
          <w:p w14:paraId="0D15FC44" w14:textId="4AE05199" w:rsidR="00AE71BE" w:rsidRPr="003C7E62" w:rsidRDefault="00AE71BE" w:rsidP="00D01157">
            <w:pPr>
              <w:pStyle w:val="ListParagraph"/>
              <w:numPr>
                <w:ilvl w:val="0"/>
                <w:numId w:val="13"/>
              </w:numPr>
              <w:tabs>
                <w:tab w:val="left" w:pos="680"/>
                <w:tab w:val="left" w:pos="1133"/>
                <w:tab w:val="left" w:pos="2267"/>
              </w:tabs>
              <w:spacing w:after="0" w:line="240" w:lineRule="auto"/>
              <w:ind w:right="284"/>
              <w:rPr>
                <w:rFonts w:ascii="Arial" w:eastAsia="Arial" w:hAnsi="Arial" w:cs="Arial"/>
                <w:bCs/>
                <w:sz w:val="20"/>
                <w:szCs w:val="20"/>
                <w:lang w:eastAsia="en-GB"/>
              </w:rPr>
            </w:pPr>
            <w:r w:rsidRPr="003C7E62">
              <w:rPr>
                <w:rFonts w:ascii="Arial" w:eastAsia="Arial" w:hAnsi="Arial" w:cs="Arial"/>
                <w:bCs/>
                <w:sz w:val="20"/>
                <w:szCs w:val="20"/>
                <w:lang w:eastAsia="en-GB"/>
              </w:rPr>
              <w:t>Ashfield Green Belt Boundary Review Technical Paper</w:t>
            </w:r>
            <w:r w:rsidR="00F10F95">
              <w:rPr>
                <w:rFonts w:ascii="Arial" w:eastAsia="Arial" w:hAnsi="Arial" w:cs="Arial"/>
                <w:bCs/>
                <w:sz w:val="20"/>
                <w:szCs w:val="20"/>
                <w:lang w:eastAsia="en-GB"/>
              </w:rPr>
              <w:t>,</w:t>
            </w:r>
            <w:r w:rsidRPr="003C7E62">
              <w:rPr>
                <w:rFonts w:ascii="Arial" w:eastAsia="Arial" w:hAnsi="Arial" w:cs="Arial"/>
                <w:bCs/>
                <w:sz w:val="20"/>
                <w:szCs w:val="20"/>
                <w:lang w:eastAsia="en-GB"/>
              </w:rPr>
              <w:t xml:space="preserve"> 20</w:t>
            </w:r>
            <w:r w:rsidR="00C17B15">
              <w:rPr>
                <w:rFonts w:ascii="Arial" w:eastAsia="Arial" w:hAnsi="Arial" w:cs="Arial"/>
                <w:bCs/>
                <w:sz w:val="20"/>
                <w:szCs w:val="20"/>
                <w:lang w:eastAsia="en-GB"/>
              </w:rPr>
              <w:t>21</w:t>
            </w:r>
            <w:r w:rsidR="00F10F95">
              <w:rPr>
                <w:rFonts w:ascii="Arial" w:eastAsia="Arial" w:hAnsi="Arial" w:cs="Arial"/>
                <w:bCs/>
                <w:sz w:val="20"/>
                <w:szCs w:val="20"/>
                <w:lang w:eastAsia="en-GB"/>
              </w:rPr>
              <w:t>.</w:t>
            </w:r>
            <w:r w:rsidRPr="003C7E62">
              <w:rPr>
                <w:rFonts w:ascii="Arial" w:eastAsia="Arial" w:hAnsi="Arial" w:cs="Arial"/>
                <w:bCs/>
                <w:sz w:val="20"/>
                <w:szCs w:val="20"/>
                <w:lang w:eastAsia="en-GB"/>
              </w:rPr>
              <w:t xml:space="preserve"> Ashfield District Council.</w:t>
            </w:r>
          </w:p>
          <w:p w14:paraId="5D1E2B4C" w14:textId="77777777" w:rsidR="00AE71BE" w:rsidRPr="003C7E62" w:rsidRDefault="00AE71BE" w:rsidP="00D01157">
            <w:pPr>
              <w:pStyle w:val="ListParagraph"/>
              <w:numPr>
                <w:ilvl w:val="0"/>
                <w:numId w:val="13"/>
              </w:numPr>
              <w:tabs>
                <w:tab w:val="left" w:pos="680"/>
                <w:tab w:val="left" w:pos="1133"/>
                <w:tab w:val="left" w:pos="2267"/>
              </w:tabs>
              <w:spacing w:after="0" w:line="240" w:lineRule="auto"/>
              <w:ind w:right="284"/>
              <w:rPr>
                <w:rFonts w:ascii="Arial" w:eastAsia="Arial" w:hAnsi="Arial" w:cs="Arial"/>
                <w:bCs/>
                <w:sz w:val="20"/>
                <w:szCs w:val="20"/>
                <w:lang w:eastAsia="en-GB"/>
              </w:rPr>
            </w:pPr>
            <w:r w:rsidRPr="003C7E62">
              <w:rPr>
                <w:rFonts w:ascii="Arial" w:eastAsia="Arial" w:hAnsi="Arial" w:cs="Arial"/>
                <w:bCs/>
                <w:sz w:val="20"/>
                <w:szCs w:val="20"/>
                <w:lang w:eastAsia="en-GB"/>
              </w:rPr>
              <w:t>Ashfield Strategic Green Belt Review 2016, Ashfield District Council.</w:t>
            </w:r>
          </w:p>
        </w:tc>
      </w:tr>
      <w:tr w:rsidR="00AE71BE" w:rsidRPr="003C7E62" w14:paraId="575AE81A" w14:textId="77777777" w:rsidTr="009D4C91">
        <w:tc>
          <w:tcPr>
            <w:tcW w:w="1980" w:type="dxa"/>
            <w:shd w:val="clear" w:color="auto" w:fill="DBDBDB"/>
          </w:tcPr>
          <w:p w14:paraId="03D074CC" w14:textId="77777777" w:rsidR="00AE71BE" w:rsidRPr="003C7E62" w:rsidRDefault="00AE71BE" w:rsidP="00D0642D">
            <w:pPr>
              <w:tabs>
                <w:tab w:val="left" w:pos="680"/>
                <w:tab w:val="left" w:pos="1133"/>
                <w:tab w:val="left" w:pos="2267"/>
              </w:tabs>
              <w:ind w:right="284"/>
              <w:contextualSpacing/>
              <w:rPr>
                <w:rFonts w:eastAsia="Arial" w:cs="Arial"/>
                <w:b/>
                <w:sz w:val="20"/>
              </w:rPr>
            </w:pPr>
            <w:r w:rsidRPr="003C7E62">
              <w:rPr>
                <w:rFonts w:eastAsia="Arial" w:cs="Arial"/>
                <w:bCs/>
                <w:sz w:val="20"/>
              </w:rPr>
              <w:t>National Planning Policy and Guidance</w:t>
            </w:r>
          </w:p>
        </w:tc>
        <w:tc>
          <w:tcPr>
            <w:tcW w:w="7654" w:type="dxa"/>
            <w:gridSpan w:val="2"/>
            <w:shd w:val="clear" w:color="auto" w:fill="DBDBDB"/>
          </w:tcPr>
          <w:p w14:paraId="6F1D6E3A" w14:textId="6E91BCA6" w:rsidR="00AE71BE" w:rsidRPr="003C7E62" w:rsidRDefault="00AE71BE" w:rsidP="00874A98">
            <w:pPr>
              <w:pStyle w:val="ListParagraph"/>
              <w:numPr>
                <w:ilvl w:val="0"/>
                <w:numId w:val="60"/>
              </w:numPr>
              <w:spacing w:after="0" w:line="240" w:lineRule="auto"/>
              <w:rPr>
                <w:rFonts w:ascii="Arial" w:hAnsi="Arial" w:cs="Arial"/>
                <w:sz w:val="20"/>
                <w:szCs w:val="20"/>
              </w:rPr>
            </w:pPr>
            <w:r w:rsidRPr="003C7E62">
              <w:rPr>
                <w:rFonts w:ascii="Arial" w:eastAsia="Arial" w:hAnsi="Arial" w:cs="Arial"/>
                <w:bCs/>
                <w:sz w:val="20"/>
                <w:szCs w:val="20"/>
                <w:lang w:eastAsia="en-GB"/>
              </w:rPr>
              <w:t>NPPF 202</w:t>
            </w:r>
            <w:r w:rsidR="00A37A61">
              <w:rPr>
                <w:rFonts w:ascii="Arial" w:eastAsia="Arial" w:hAnsi="Arial" w:cs="Arial"/>
                <w:bCs/>
                <w:sz w:val="20"/>
                <w:szCs w:val="20"/>
                <w:lang w:eastAsia="en-GB"/>
              </w:rPr>
              <w:t>3</w:t>
            </w:r>
            <w:r w:rsidRPr="003C7E62">
              <w:rPr>
                <w:rFonts w:ascii="Arial" w:eastAsia="Arial" w:hAnsi="Arial" w:cs="Arial"/>
                <w:bCs/>
                <w:sz w:val="20"/>
                <w:szCs w:val="20"/>
                <w:lang w:eastAsia="en-GB"/>
              </w:rPr>
              <w:t>, Part 2: Achieving sustainable development.</w:t>
            </w:r>
          </w:p>
          <w:p w14:paraId="571AA925" w14:textId="41A93C6D" w:rsidR="00AE71BE" w:rsidRPr="003C7E62" w:rsidRDefault="00AE71BE" w:rsidP="00874A98">
            <w:pPr>
              <w:pStyle w:val="ListParagraph"/>
              <w:numPr>
                <w:ilvl w:val="0"/>
                <w:numId w:val="60"/>
              </w:numPr>
              <w:spacing w:after="0" w:line="240" w:lineRule="auto"/>
              <w:rPr>
                <w:rFonts w:ascii="Arial" w:hAnsi="Arial" w:cs="Arial"/>
                <w:sz w:val="20"/>
                <w:szCs w:val="20"/>
              </w:rPr>
            </w:pPr>
            <w:r w:rsidRPr="003C7E62">
              <w:rPr>
                <w:rFonts w:ascii="Arial" w:hAnsi="Arial" w:cs="Arial"/>
                <w:sz w:val="20"/>
                <w:szCs w:val="20"/>
              </w:rPr>
              <w:t>NPPF 202</w:t>
            </w:r>
            <w:r w:rsidR="00A37A61">
              <w:rPr>
                <w:rFonts w:ascii="Arial" w:hAnsi="Arial" w:cs="Arial"/>
                <w:sz w:val="20"/>
                <w:szCs w:val="20"/>
              </w:rPr>
              <w:t>3</w:t>
            </w:r>
            <w:r w:rsidRPr="003C7E62">
              <w:rPr>
                <w:rFonts w:ascii="Arial" w:hAnsi="Arial" w:cs="Arial"/>
                <w:sz w:val="20"/>
                <w:szCs w:val="20"/>
              </w:rPr>
              <w:t>, Part 13: Protecting Green Belt land.</w:t>
            </w:r>
          </w:p>
          <w:p w14:paraId="34D7D6DF" w14:textId="54CB213E" w:rsidR="00AE71BE" w:rsidRPr="003C7E62" w:rsidRDefault="00AE71BE" w:rsidP="00874A98">
            <w:pPr>
              <w:pStyle w:val="ListParagraph"/>
              <w:numPr>
                <w:ilvl w:val="0"/>
                <w:numId w:val="60"/>
              </w:numPr>
              <w:spacing w:after="0" w:line="240" w:lineRule="auto"/>
              <w:rPr>
                <w:rFonts w:ascii="Arial" w:hAnsi="Arial" w:cs="Arial"/>
                <w:sz w:val="20"/>
                <w:szCs w:val="20"/>
              </w:rPr>
            </w:pPr>
            <w:r w:rsidRPr="003C7E62">
              <w:rPr>
                <w:rFonts w:ascii="Arial" w:hAnsi="Arial" w:cs="Arial"/>
                <w:sz w:val="20"/>
                <w:szCs w:val="20"/>
              </w:rPr>
              <w:t xml:space="preserve">Planning Practice Guidance: Green Belt as </w:t>
            </w:r>
            <w:r w:rsidR="00416653" w:rsidRPr="003C7E62">
              <w:rPr>
                <w:rFonts w:ascii="Arial" w:hAnsi="Arial" w:cs="Arial"/>
                <w:sz w:val="20"/>
                <w:szCs w:val="20"/>
              </w:rPr>
              <w:t>of</w:t>
            </w:r>
            <w:r w:rsidRPr="003C7E62">
              <w:rPr>
                <w:rFonts w:ascii="Arial" w:hAnsi="Arial" w:cs="Arial"/>
                <w:sz w:val="20"/>
                <w:szCs w:val="20"/>
              </w:rPr>
              <w:t xml:space="preserve"> </w:t>
            </w:r>
            <w:r w:rsidR="00F10F95" w:rsidRPr="00372D94">
              <w:rPr>
                <w:rFonts w:ascii="Arial" w:hAnsi="Arial" w:cs="Arial"/>
                <w:sz w:val="20"/>
                <w:szCs w:val="20"/>
              </w:rPr>
              <w:t>July 2019</w:t>
            </w:r>
            <w:r w:rsidRPr="00372D94">
              <w:rPr>
                <w:rFonts w:ascii="Arial" w:hAnsi="Arial" w:cs="Arial"/>
                <w:sz w:val="20"/>
                <w:szCs w:val="20"/>
              </w:rPr>
              <w:t>.</w:t>
            </w:r>
          </w:p>
        </w:tc>
      </w:tr>
    </w:tbl>
    <w:p w14:paraId="55870509" w14:textId="77777777" w:rsidR="00AE71BE" w:rsidRPr="009B02C6" w:rsidRDefault="00AE71BE" w:rsidP="009B02C6"/>
    <w:p w14:paraId="51A2E2BC" w14:textId="426BE95B" w:rsidR="00AE71BE" w:rsidRPr="0031252C" w:rsidRDefault="00007328" w:rsidP="0031252C">
      <w:pPr>
        <w:keepNext w:val="0"/>
        <w:spacing w:before="0"/>
        <w:rPr>
          <w:rFonts w:cs="Arial"/>
          <w:color w:val="auto"/>
          <w:szCs w:val="24"/>
        </w:rPr>
      </w:pPr>
      <w:r w:rsidRPr="003C7E62">
        <w:rPr>
          <w:rFonts w:eastAsia="Arial" w:cs="Arial"/>
        </w:rPr>
        <w:t xml:space="preserve">  </w:t>
      </w:r>
    </w:p>
    <w:p w14:paraId="4973FF11" w14:textId="265B38C8" w:rsidR="0031252C" w:rsidRPr="0031252C" w:rsidRDefault="0031252C" w:rsidP="00CD61AD">
      <w:pPr>
        <w:pStyle w:val="ListParagraph"/>
        <w:numPr>
          <w:ilvl w:val="1"/>
          <w:numId w:val="344"/>
        </w:numPr>
        <w:tabs>
          <w:tab w:val="clear" w:pos="525"/>
          <w:tab w:val="num" w:pos="851"/>
        </w:tabs>
        <w:spacing w:after="0" w:line="240" w:lineRule="auto"/>
        <w:ind w:left="851" w:hanging="851"/>
        <w:rPr>
          <w:rFonts w:ascii="Arial" w:hAnsi="Arial" w:cs="Arial"/>
          <w:color w:val="auto"/>
          <w:szCs w:val="24"/>
          <w:lang w:eastAsia="en-GB"/>
        </w:rPr>
      </w:pPr>
      <w:r w:rsidRPr="0031252C">
        <w:rPr>
          <w:rFonts w:ascii="Arial" w:hAnsi="Arial" w:cs="Arial"/>
          <w:color w:val="auto"/>
          <w:szCs w:val="24"/>
          <w:lang w:eastAsia="en-GB"/>
        </w:rPr>
        <w:t xml:space="preserve">The main purpose the Nottingham – Derby Green Belt is to contain the outward growth of Nottingham City and Derby City and to prevent the coalescence of these and other settlements within it by keeping land permanently open; the essential characteristics of Green Belts are their openness and their permanence. This original purpose remains important today, and at a local level maintenance of the Green Belt ensures that Hucknall and Nottingham in particular, which lie very close together, remain physically separate.  </w:t>
      </w:r>
    </w:p>
    <w:p w14:paraId="084168E4" w14:textId="77777777" w:rsidR="00AE71BE" w:rsidRPr="003C7E62" w:rsidRDefault="00AE71BE" w:rsidP="005E17D1">
      <w:pPr>
        <w:keepNext w:val="0"/>
        <w:spacing w:before="0"/>
        <w:ind w:left="851"/>
        <w:rPr>
          <w:rFonts w:cs="Arial"/>
          <w:color w:val="auto"/>
          <w:szCs w:val="24"/>
        </w:rPr>
      </w:pPr>
    </w:p>
    <w:p w14:paraId="33FC73C6" w14:textId="76F230BE" w:rsidR="00AE71BE" w:rsidRPr="003C7E62" w:rsidRDefault="00007328" w:rsidP="00CD61AD">
      <w:pPr>
        <w:keepNext w:val="0"/>
        <w:numPr>
          <w:ilvl w:val="1"/>
          <w:numId w:val="344"/>
        </w:numPr>
        <w:tabs>
          <w:tab w:val="clear" w:pos="525"/>
          <w:tab w:val="num" w:pos="851"/>
        </w:tabs>
        <w:spacing w:before="0"/>
        <w:ind w:left="851" w:hanging="851"/>
        <w:rPr>
          <w:rFonts w:cs="Arial"/>
          <w:color w:val="auto"/>
          <w:szCs w:val="24"/>
        </w:rPr>
      </w:pPr>
      <w:r w:rsidRPr="003C7E62">
        <w:rPr>
          <w:rFonts w:eastAsia="Arial" w:cs="Arial"/>
        </w:rPr>
        <w:t xml:space="preserve">When considering proposals for development within the Green Belt, regard will be given to the following five purposes: </w:t>
      </w:r>
    </w:p>
    <w:p w14:paraId="4444E39B" w14:textId="21DC9172" w:rsidR="00AE71BE" w:rsidRPr="003C7E62" w:rsidRDefault="00AE71BE" w:rsidP="0031252C">
      <w:pPr>
        <w:keepNext w:val="0"/>
        <w:spacing w:before="0"/>
        <w:ind w:left="851"/>
        <w:rPr>
          <w:rFonts w:eastAsia="Arial" w:cs="Arial"/>
        </w:rPr>
      </w:pPr>
    </w:p>
    <w:p w14:paraId="598DF460" w14:textId="77777777" w:rsidR="00AE71BE" w:rsidRPr="003C7E62" w:rsidRDefault="00AE71BE" w:rsidP="005E17D1">
      <w:pPr>
        <w:autoSpaceDE w:val="0"/>
        <w:autoSpaceDN w:val="0"/>
        <w:adjustRightInd w:val="0"/>
        <w:spacing w:before="0"/>
        <w:ind w:left="731" w:firstLine="120"/>
        <w:rPr>
          <w:rFonts w:eastAsia="Arial" w:cs="Arial"/>
        </w:rPr>
      </w:pPr>
      <w:r w:rsidRPr="003C7E62">
        <w:rPr>
          <w:rFonts w:eastAsia="Arial" w:cs="Arial"/>
        </w:rPr>
        <w:t>a)  Check the unrestricted sprawl of large built-up areas;</w:t>
      </w:r>
    </w:p>
    <w:p w14:paraId="35E4DDB8" w14:textId="77777777" w:rsidR="00AE71BE" w:rsidRPr="003C7E62" w:rsidRDefault="00AE71BE" w:rsidP="005E17D1">
      <w:pPr>
        <w:autoSpaceDE w:val="0"/>
        <w:autoSpaceDN w:val="0"/>
        <w:adjustRightInd w:val="0"/>
        <w:spacing w:before="0"/>
        <w:ind w:left="611" w:firstLine="240"/>
        <w:rPr>
          <w:rFonts w:eastAsia="Arial" w:cs="Arial"/>
        </w:rPr>
      </w:pPr>
      <w:r w:rsidRPr="003C7E62">
        <w:rPr>
          <w:rFonts w:eastAsia="Arial" w:cs="Arial"/>
        </w:rPr>
        <w:t>b)  Prevent neighbouring towns from merging into one another;</w:t>
      </w:r>
    </w:p>
    <w:p w14:paraId="281AA354" w14:textId="77777777" w:rsidR="00AE71BE" w:rsidRPr="003C7E62" w:rsidRDefault="00AE71BE" w:rsidP="005E17D1">
      <w:pPr>
        <w:autoSpaceDE w:val="0"/>
        <w:autoSpaceDN w:val="0"/>
        <w:adjustRightInd w:val="0"/>
        <w:spacing w:before="0"/>
        <w:ind w:left="491" w:firstLine="360"/>
        <w:rPr>
          <w:rFonts w:eastAsia="Arial" w:cs="Arial"/>
        </w:rPr>
      </w:pPr>
      <w:r w:rsidRPr="003C7E62">
        <w:rPr>
          <w:rFonts w:eastAsia="Arial" w:cs="Arial"/>
        </w:rPr>
        <w:t>c)  Assist in safeguarding the countryside from encroachment;</w:t>
      </w:r>
    </w:p>
    <w:p w14:paraId="20F88BEF" w14:textId="77777777" w:rsidR="00AE71BE" w:rsidRPr="003C7E62" w:rsidRDefault="00AE71BE" w:rsidP="005E17D1">
      <w:pPr>
        <w:autoSpaceDE w:val="0"/>
        <w:autoSpaceDN w:val="0"/>
        <w:adjustRightInd w:val="0"/>
        <w:spacing w:before="0"/>
        <w:ind w:left="371" w:firstLine="480"/>
        <w:rPr>
          <w:rFonts w:eastAsia="Arial" w:cs="Arial"/>
        </w:rPr>
      </w:pPr>
      <w:r w:rsidRPr="003C7E62">
        <w:rPr>
          <w:rFonts w:eastAsia="Arial" w:cs="Arial"/>
        </w:rPr>
        <w:t>d)  Preserve the setting and character of historic towns; and</w:t>
      </w:r>
    </w:p>
    <w:p w14:paraId="7A1D0F0F" w14:textId="77777777" w:rsidR="00AE71BE" w:rsidRPr="003C7E62" w:rsidRDefault="00AE71BE" w:rsidP="00716A70">
      <w:pPr>
        <w:autoSpaceDE w:val="0"/>
        <w:autoSpaceDN w:val="0"/>
        <w:adjustRightInd w:val="0"/>
        <w:spacing w:before="0"/>
        <w:ind w:left="1276" w:hanging="425"/>
        <w:rPr>
          <w:rFonts w:eastAsia="Arial" w:cs="Arial"/>
        </w:rPr>
      </w:pPr>
      <w:r w:rsidRPr="003C7E62">
        <w:rPr>
          <w:rFonts w:eastAsia="Arial" w:cs="Arial"/>
        </w:rPr>
        <w:t>e)  Assist in urban regeneration, by encouraging the recycling of derelict and other urban land.</w:t>
      </w:r>
    </w:p>
    <w:p w14:paraId="25C4779D" w14:textId="77777777" w:rsidR="00AE71BE" w:rsidRPr="003C7E62" w:rsidRDefault="00AE71BE" w:rsidP="005E17D1">
      <w:pPr>
        <w:keepNext w:val="0"/>
        <w:spacing w:before="0"/>
        <w:ind w:left="851"/>
        <w:rPr>
          <w:rFonts w:cs="Arial"/>
          <w:color w:val="auto"/>
          <w:szCs w:val="24"/>
        </w:rPr>
      </w:pPr>
    </w:p>
    <w:p w14:paraId="2A56387C" w14:textId="48C1B295" w:rsidR="00AE71BE" w:rsidRPr="003C7E62" w:rsidRDefault="00007328" w:rsidP="00CD61AD">
      <w:pPr>
        <w:keepNext w:val="0"/>
        <w:numPr>
          <w:ilvl w:val="1"/>
          <w:numId w:val="344"/>
        </w:numPr>
        <w:tabs>
          <w:tab w:val="clear" w:pos="525"/>
          <w:tab w:val="num" w:pos="851"/>
        </w:tabs>
        <w:spacing w:before="0"/>
        <w:ind w:left="851" w:hanging="851"/>
        <w:rPr>
          <w:rFonts w:cs="Arial"/>
          <w:color w:val="auto"/>
          <w:szCs w:val="24"/>
        </w:rPr>
      </w:pPr>
      <w:r w:rsidRPr="003C7E62">
        <w:rPr>
          <w:rFonts w:eastAsia="Arial" w:cs="Arial"/>
        </w:rPr>
        <w:t xml:space="preserve">Due to the nature and location of the built-up areas in Ashfield, the Council consider that the five Green Belt purposes should relate to all settlements (rather than only to ‘large built-up areas’ and ‘towns/historic towns’), as listed in the ‘Accessible Settlements Study for Greater Nottingham February 2010’. </w:t>
      </w:r>
      <w:r w:rsidRPr="003C7E62">
        <w:rPr>
          <w:rFonts w:eastAsia="Arial" w:cs="Arial"/>
        </w:rPr>
        <w:lastRenderedPageBreak/>
        <w:t xml:space="preserve">Settlements will be considered on the basis of their built form and not on the basis of town or parish boundaries.  </w:t>
      </w:r>
    </w:p>
    <w:p w14:paraId="49ECC72F" w14:textId="77777777" w:rsidR="00AE71BE" w:rsidRPr="003C7E62" w:rsidRDefault="00AE71BE" w:rsidP="005E17D1">
      <w:pPr>
        <w:keepNext w:val="0"/>
        <w:spacing w:before="0"/>
        <w:ind w:left="851"/>
        <w:rPr>
          <w:rFonts w:cs="Arial"/>
          <w:color w:val="auto"/>
          <w:szCs w:val="24"/>
        </w:rPr>
      </w:pPr>
    </w:p>
    <w:p w14:paraId="4E483F6F" w14:textId="568FF167" w:rsidR="00AE71BE" w:rsidRPr="003C7E62" w:rsidRDefault="00007328" w:rsidP="00CD61AD">
      <w:pPr>
        <w:keepNext w:val="0"/>
        <w:numPr>
          <w:ilvl w:val="1"/>
          <w:numId w:val="344"/>
        </w:numPr>
        <w:tabs>
          <w:tab w:val="clear" w:pos="525"/>
          <w:tab w:val="num" w:pos="851"/>
        </w:tabs>
        <w:spacing w:before="0"/>
        <w:ind w:left="851" w:hanging="851"/>
        <w:rPr>
          <w:rFonts w:cs="Arial"/>
          <w:color w:val="auto"/>
          <w:szCs w:val="24"/>
        </w:rPr>
      </w:pPr>
      <w:r w:rsidRPr="003C7E62">
        <w:rPr>
          <w:rFonts w:cs="Arial"/>
          <w:szCs w:val="24"/>
        </w:rPr>
        <w:t xml:space="preserve">The </w:t>
      </w:r>
      <w:r w:rsidR="005D6672">
        <w:rPr>
          <w:rFonts w:cs="Arial"/>
          <w:szCs w:val="24"/>
        </w:rPr>
        <w:t>N</w:t>
      </w:r>
      <w:r w:rsidRPr="003C7E62">
        <w:rPr>
          <w:rFonts w:cs="Arial"/>
          <w:szCs w:val="24"/>
        </w:rPr>
        <w:t>PPF highlights that once established Green Belt boundaries should be altered only in exceptional circumstances, when fully evidenced and justified, and only when a Local Plan is being prepared or updated.</w:t>
      </w:r>
    </w:p>
    <w:p w14:paraId="22B88814" w14:textId="77777777" w:rsidR="00AE71BE" w:rsidRPr="003C7E62" w:rsidRDefault="00AE71BE" w:rsidP="005E17D1">
      <w:pPr>
        <w:keepNext w:val="0"/>
        <w:spacing w:before="0"/>
        <w:ind w:left="851"/>
        <w:rPr>
          <w:rFonts w:cs="Arial"/>
          <w:color w:val="auto"/>
          <w:szCs w:val="24"/>
        </w:rPr>
      </w:pPr>
    </w:p>
    <w:p w14:paraId="4C843E00" w14:textId="7909D58A" w:rsidR="00AE71BE" w:rsidRPr="005E1157" w:rsidRDefault="00007328" w:rsidP="00CD61AD">
      <w:pPr>
        <w:keepNext w:val="0"/>
        <w:numPr>
          <w:ilvl w:val="1"/>
          <w:numId w:val="344"/>
        </w:numPr>
        <w:tabs>
          <w:tab w:val="clear" w:pos="525"/>
          <w:tab w:val="num" w:pos="851"/>
        </w:tabs>
        <w:spacing w:before="0"/>
        <w:ind w:left="851" w:hanging="851"/>
        <w:rPr>
          <w:rFonts w:eastAsia="Calibri" w:cs="Arial"/>
          <w:bCs/>
          <w:color w:val="auto"/>
          <w:szCs w:val="24"/>
          <w:lang w:eastAsia="en-US"/>
        </w:rPr>
      </w:pPr>
      <w:r w:rsidRPr="00507499">
        <w:rPr>
          <w:rFonts w:eastAsia="Arial" w:cs="Arial"/>
        </w:rPr>
        <w:t xml:space="preserve">Ashfield’s Green Belt has been subject to </w:t>
      </w:r>
      <w:r w:rsidR="00472971" w:rsidRPr="00507499">
        <w:rPr>
          <w:rFonts w:eastAsia="Arial" w:cs="Arial"/>
        </w:rPr>
        <w:t>t</w:t>
      </w:r>
      <w:r w:rsidR="00827521" w:rsidRPr="00507499">
        <w:rPr>
          <w:rFonts w:eastAsia="Arial" w:cs="Arial"/>
        </w:rPr>
        <w:t xml:space="preserve">hree </w:t>
      </w:r>
      <w:r w:rsidR="00472971" w:rsidRPr="00507499">
        <w:rPr>
          <w:rFonts w:eastAsia="Arial" w:cs="Arial"/>
        </w:rPr>
        <w:t xml:space="preserve">sperate </w:t>
      </w:r>
      <w:r w:rsidRPr="00507499">
        <w:rPr>
          <w:rFonts w:eastAsia="Arial" w:cs="Arial"/>
        </w:rPr>
        <w:t xml:space="preserve">reviews as part of the local plan process.  </w:t>
      </w:r>
      <w:r w:rsidRPr="00507499">
        <w:rPr>
          <w:rFonts w:eastAsia="Arial" w:cs="Arial"/>
          <w:szCs w:val="24"/>
        </w:rPr>
        <w:t xml:space="preserve">A number of changes have been </w:t>
      </w:r>
      <w:r w:rsidR="009355A4" w:rsidRPr="00507499">
        <w:rPr>
          <w:rFonts w:eastAsia="Arial" w:cs="Arial"/>
          <w:szCs w:val="24"/>
        </w:rPr>
        <w:t>proposed</w:t>
      </w:r>
      <w:r w:rsidRPr="00507499">
        <w:rPr>
          <w:rFonts w:eastAsia="Arial" w:cs="Arial"/>
          <w:szCs w:val="24"/>
        </w:rPr>
        <w:t xml:space="preserve"> to the Ashfield Green Belt boundary to accommodate the spatial strategy.  These changes </w:t>
      </w:r>
      <w:r w:rsidR="002E0CB4" w:rsidRPr="00507499">
        <w:rPr>
          <w:rFonts w:eastAsia="Arial" w:cs="Arial"/>
          <w:szCs w:val="24"/>
        </w:rPr>
        <w:t>are discussed further</w:t>
      </w:r>
      <w:r w:rsidRPr="00507499">
        <w:rPr>
          <w:rFonts w:eastAsia="Arial" w:cs="Arial"/>
          <w:szCs w:val="24"/>
        </w:rPr>
        <w:t xml:space="preserve"> in </w:t>
      </w:r>
      <w:r w:rsidR="005E1157" w:rsidRPr="005E1157">
        <w:rPr>
          <w:rFonts w:eastAsia="Calibri" w:cs="Arial"/>
          <w:color w:val="auto"/>
          <w:szCs w:val="24"/>
          <w:lang w:eastAsia="en-US"/>
        </w:rPr>
        <w:t>Background Paper No 1: Spatial Strategy and Site Selection 2023 - Ashfield District Council</w:t>
      </w:r>
      <w:r w:rsidR="00827521" w:rsidRPr="005E1157">
        <w:rPr>
          <w:rFonts w:eastAsia="Calibri" w:cs="Arial"/>
          <w:color w:val="auto"/>
          <w:szCs w:val="24"/>
          <w:lang w:eastAsia="en-US"/>
        </w:rPr>
        <w:t xml:space="preserve"> </w:t>
      </w:r>
      <w:r w:rsidRPr="005E1157">
        <w:rPr>
          <w:rFonts w:eastAsia="Arial" w:cs="Arial"/>
          <w:szCs w:val="24"/>
        </w:rPr>
        <w:t xml:space="preserve">which sets out the reasoned justification for why this has been necessary.   </w:t>
      </w:r>
    </w:p>
    <w:p w14:paraId="512C6FCF" w14:textId="77777777" w:rsidR="00AE71BE" w:rsidRPr="003C7E62" w:rsidRDefault="00AE71BE" w:rsidP="005E17D1">
      <w:pPr>
        <w:keepNext w:val="0"/>
        <w:spacing w:before="0"/>
        <w:ind w:left="851"/>
        <w:rPr>
          <w:rFonts w:cs="Arial"/>
          <w:color w:val="auto"/>
          <w:szCs w:val="24"/>
        </w:rPr>
      </w:pPr>
    </w:p>
    <w:p w14:paraId="51C25346" w14:textId="27018191" w:rsidR="00AE71BE" w:rsidRPr="003C7E62" w:rsidRDefault="00007328" w:rsidP="00CD61AD">
      <w:pPr>
        <w:keepNext w:val="0"/>
        <w:numPr>
          <w:ilvl w:val="1"/>
          <w:numId w:val="344"/>
        </w:numPr>
        <w:tabs>
          <w:tab w:val="clear" w:pos="525"/>
          <w:tab w:val="num" w:pos="851"/>
        </w:tabs>
        <w:spacing w:before="0"/>
        <w:ind w:left="851" w:hanging="851"/>
        <w:rPr>
          <w:rFonts w:cs="Arial"/>
          <w:color w:val="auto"/>
          <w:szCs w:val="24"/>
        </w:rPr>
      </w:pPr>
      <w:r w:rsidRPr="003C7E62">
        <w:rPr>
          <w:rFonts w:eastAsia="Arial" w:cs="Arial"/>
        </w:rPr>
        <w:t>Notwithstanding these changes, the majority of the Green Belt in the District continues to fulfil the purposes set out in the NPPF. The remaining Green Belt will therefore need to be protected for the long term, and opportunities which enhance the Green Belt, particularly in terms of public accessibility or enhancement to the landscape, visual amenity and biodiversity will be supported.</w:t>
      </w:r>
      <w:bookmarkStart w:id="51" w:name="_Hlk76640399"/>
      <w:bookmarkEnd w:id="49"/>
    </w:p>
    <w:p w14:paraId="7FD4690B" w14:textId="77777777" w:rsidR="00AE71BE" w:rsidRPr="003C7E62" w:rsidRDefault="00AE71BE" w:rsidP="005E17D1">
      <w:pPr>
        <w:keepNext w:val="0"/>
        <w:spacing w:before="0"/>
        <w:ind w:left="851"/>
        <w:rPr>
          <w:rFonts w:cs="Arial"/>
          <w:color w:val="auto"/>
          <w:szCs w:val="24"/>
        </w:rPr>
      </w:pPr>
    </w:p>
    <w:p w14:paraId="146BFCF2" w14:textId="77777777" w:rsidR="00CD61AD" w:rsidRDefault="00CD61AD" w:rsidP="001B14F5">
      <w:pPr>
        <w:keepNext w:val="0"/>
        <w:spacing w:before="0"/>
        <w:ind w:left="851"/>
        <w:rPr>
          <w:rFonts w:cs="Arial"/>
          <w:color w:val="auto"/>
          <w:szCs w:val="24"/>
        </w:rPr>
      </w:pPr>
      <w:bookmarkStart w:id="52" w:name="_Hlk77166763"/>
      <w:bookmarkEnd w:id="51"/>
    </w:p>
    <w:p w14:paraId="0650C845" w14:textId="77777777" w:rsidR="00B65753" w:rsidRDefault="00B65753" w:rsidP="009D5737">
      <w:pPr>
        <w:pStyle w:val="Heading2"/>
        <w:jc w:val="left"/>
        <w:rPr>
          <w:sz w:val="28"/>
          <w:szCs w:val="28"/>
        </w:rPr>
      </w:pPr>
      <w:bookmarkStart w:id="53" w:name="_Toc145511557"/>
    </w:p>
    <w:p w14:paraId="4BBF366F" w14:textId="2C20EDD5" w:rsidR="00AD3C00" w:rsidRPr="009D5737" w:rsidRDefault="00AD3C00" w:rsidP="009D5737">
      <w:pPr>
        <w:pStyle w:val="Heading2"/>
        <w:jc w:val="left"/>
        <w:rPr>
          <w:sz w:val="28"/>
          <w:szCs w:val="28"/>
        </w:rPr>
      </w:pPr>
      <w:r w:rsidRPr="009D5737">
        <w:rPr>
          <w:sz w:val="28"/>
          <w:szCs w:val="28"/>
        </w:rPr>
        <w:t>S</w:t>
      </w:r>
      <w:r w:rsidR="0038361D" w:rsidRPr="009D5737">
        <w:rPr>
          <w:sz w:val="28"/>
          <w:szCs w:val="28"/>
        </w:rPr>
        <w:t>trategic Policy S</w:t>
      </w:r>
      <w:r w:rsidRPr="009D5737">
        <w:rPr>
          <w:sz w:val="28"/>
          <w:szCs w:val="28"/>
        </w:rPr>
        <w:t xml:space="preserve">5: </w:t>
      </w:r>
      <w:r w:rsidR="00162A7B" w:rsidRPr="009D5737">
        <w:rPr>
          <w:sz w:val="28"/>
          <w:szCs w:val="28"/>
        </w:rPr>
        <w:t xml:space="preserve">High Quality Buildings and Places through </w:t>
      </w:r>
      <w:r w:rsidRPr="009D5737">
        <w:rPr>
          <w:sz w:val="28"/>
          <w:szCs w:val="28"/>
        </w:rPr>
        <w:t>Place Making and Design</w:t>
      </w:r>
      <w:bookmarkEnd w:id="53"/>
    </w:p>
    <w:p w14:paraId="01980D0E" w14:textId="77777777" w:rsidR="00AD3C00" w:rsidRPr="009D5737" w:rsidRDefault="00AD3C00" w:rsidP="009D5737">
      <w:pPr>
        <w:keepNext w:val="0"/>
        <w:spacing w:before="0"/>
        <w:rPr>
          <w:rFonts w:cs="Arial"/>
          <w:color w:val="auto"/>
          <w:sz w:val="28"/>
          <w:szCs w:val="28"/>
          <w:lang w:eastAsia="en-US"/>
        </w:rPr>
      </w:pPr>
    </w:p>
    <w:tbl>
      <w:tblPr>
        <w:tblStyle w:val="ReportTable1"/>
        <w:tblW w:w="9634" w:type="dxa"/>
        <w:tblLook w:val="04A0" w:firstRow="1" w:lastRow="0" w:firstColumn="1" w:lastColumn="0" w:noHBand="0" w:noVBand="1"/>
      </w:tblPr>
      <w:tblGrid>
        <w:gridCol w:w="1838"/>
        <w:gridCol w:w="779"/>
        <w:gridCol w:w="7017"/>
      </w:tblGrid>
      <w:tr w:rsidR="00AD3C00" w:rsidRPr="00AD3C00" w14:paraId="56C5B6FC" w14:textId="77777777" w:rsidTr="009D4C91">
        <w:tc>
          <w:tcPr>
            <w:tcW w:w="9634" w:type="dxa"/>
            <w:gridSpan w:val="3"/>
          </w:tcPr>
          <w:p w14:paraId="392E0216" w14:textId="77777777" w:rsidR="00F260E8" w:rsidRDefault="00F260E8" w:rsidP="00F260E8">
            <w:pPr>
              <w:keepNext w:val="0"/>
              <w:tabs>
                <w:tab w:val="left" w:pos="680"/>
              </w:tabs>
              <w:spacing w:before="0"/>
              <w:rPr>
                <w:rFonts w:eastAsia="Arial"/>
                <w:b/>
                <w:color w:val="auto"/>
              </w:rPr>
            </w:pPr>
            <w:bookmarkStart w:id="54" w:name="_Hlk78364801"/>
          </w:p>
          <w:p w14:paraId="5A5311D8" w14:textId="77777777" w:rsidR="00F260E8" w:rsidRDefault="00372D94" w:rsidP="00CD61AD">
            <w:pPr>
              <w:keepNext w:val="0"/>
              <w:tabs>
                <w:tab w:val="left" w:pos="680"/>
              </w:tabs>
              <w:spacing w:before="0"/>
              <w:rPr>
                <w:rFonts w:eastAsia="Arial"/>
                <w:b/>
                <w:color w:val="auto"/>
              </w:rPr>
            </w:pPr>
            <w:r>
              <w:rPr>
                <w:rFonts w:eastAsia="Arial"/>
                <w:b/>
                <w:color w:val="auto"/>
              </w:rPr>
              <w:t xml:space="preserve">Strategic </w:t>
            </w:r>
            <w:r w:rsidR="00AD3C00" w:rsidRPr="00AD3C00">
              <w:rPr>
                <w:rFonts w:eastAsia="Arial"/>
                <w:b/>
                <w:color w:val="auto"/>
              </w:rPr>
              <w:t xml:space="preserve">Policy S5: </w:t>
            </w:r>
            <w:r w:rsidR="00162A7B" w:rsidRPr="00162A7B">
              <w:rPr>
                <w:rFonts w:eastAsia="Arial"/>
                <w:b/>
                <w:color w:val="auto"/>
              </w:rPr>
              <w:t xml:space="preserve">High Quality Buildings and Places through </w:t>
            </w:r>
            <w:r w:rsidR="00AD3C00" w:rsidRPr="00AD3C00">
              <w:rPr>
                <w:rFonts w:eastAsia="Arial"/>
                <w:b/>
                <w:color w:val="auto"/>
              </w:rPr>
              <w:t>Place Making and Design</w:t>
            </w:r>
          </w:p>
          <w:p w14:paraId="41398590" w14:textId="0DD3881D" w:rsidR="00CD61AD" w:rsidRPr="00F260E8" w:rsidRDefault="00CD61AD" w:rsidP="00CD61AD">
            <w:pPr>
              <w:keepNext w:val="0"/>
              <w:tabs>
                <w:tab w:val="left" w:pos="680"/>
              </w:tabs>
              <w:spacing w:before="0"/>
              <w:rPr>
                <w:rFonts w:eastAsia="Arial"/>
                <w:b/>
                <w:color w:val="auto"/>
              </w:rPr>
            </w:pPr>
          </w:p>
        </w:tc>
      </w:tr>
      <w:tr w:rsidR="00AD3C00" w:rsidRPr="00AD3C00" w14:paraId="671C929B" w14:textId="77777777" w:rsidTr="009D4C91">
        <w:tc>
          <w:tcPr>
            <w:tcW w:w="2617" w:type="dxa"/>
            <w:gridSpan w:val="2"/>
            <w:shd w:val="clear" w:color="auto" w:fill="auto"/>
          </w:tcPr>
          <w:p w14:paraId="7A09C666" w14:textId="77777777" w:rsidR="00AD3C00" w:rsidRPr="005E17D1" w:rsidRDefault="00AD3C00" w:rsidP="005E17D1">
            <w:pPr>
              <w:keepNext w:val="0"/>
              <w:tabs>
                <w:tab w:val="left" w:pos="680"/>
              </w:tabs>
              <w:spacing w:before="0" w:after="170"/>
              <w:rPr>
                <w:rFonts w:eastAsia="Arial"/>
                <w:bCs/>
                <w:color w:val="auto"/>
              </w:rPr>
            </w:pPr>
            <w:r w:rsidRPr="005E17D1">
              <w:rPr>
                <w:rFonts w:eastAsia="Arial"/>
                <w:bCs/>
                <w:color w:val="auto"/>
              </w:rPr>
              <w:t>Strategic Objectives</w:t>
            </w:r>
          </w:p>
        </w:tc>
        <w:tc>
          <w:tcPr>
            <w:tcW w:w="7017" w:type="dxa"/>
            <w:shd w:val="clear" w:color="auto" w:fill="auto"/>
          </w:tcPr>
          <w:p w14:paraId="640D23A0" w14:textId="77777777" w:rsidR="00AD3C00" w:rsidRPr="005E17D1" w:rsidRDefault="00AD3C00" w:rsidP="005E17D1">
            <w:pPr>
              <w:keepNext w:val="0"/>
              <w:tabs>
                <w:tab w:val="left" w:pos="680"/>
              </w:tabs>
              <w:spacing w:before="40" w:after="40"/>
              <w:rPr>
                <w:rFonts w:eastAsia="Arial"/>
                <w:bCs/>
                <w:color w:val="auto"/>
              </w:rPr>
            </w:pPr>
            <w:r w:rsidRPr="005E17D1">
              <w:rPr>
                <w:rFonts w:eastAsia="Arial"/>
                <w:bCs/>
                <w:color w:val="auto"/>
              </w:rPr>
              <w:t>SO1, SO5, SO6, SO11, SO12.</w:t>
            </w:r>
          </w:p>
        </w:tc>
      </w:tr>
      <w:tr w:rsidR="00AD3C00" w:rsidRPr="00AD3C00" w14:paraId="4CDA54E4" w14:textId="77777777" w:rsidTr="009D4C91">
        <w:tc>
          <w:tcPr>
            <w:tcW w:w="9634" w:type="dxa"/>
            <w:gridSpan w:val="3"/>
            <w:shd w:val="clear" w:color="auto" w:fill="D9D9D9"/>
          </w:tcPr>
          <w:p w14:paraId="4E312A36" w14:textId="77777777" w:rsidR="00AD3C00" w:rsidRPr="00372D94" w:rsidRDefault="00AD3C00" w:rsidP="00D46943">
            <w:pPr>
              <w:keepNext w:val="0"/>
              <w:tabs>
                <w:tab w:val="left" w:pos="680"/>
                <w:tab w:val="left" w:pos="1133"/>
                <w:tab w:val="left" w:pos="2267"/>
              </w:tabs>
              <w:spacing w:before="0"/>
              <w:ind w:right="284"/>
              <w:rPr>
                <w:rFonts w:eastAsia="Calibri" w:cs="Arial"/>
                <w:szCs w:val="24"/>
              </w:rPr>
            </w:pPr>
          </w:p>
          <w:p w14:paraId="4F2D34A8" w14:textId="77777777" w:rsidR="00AD3C00" w:rsidRPr="00372D94" w:rsidRDefault="00AD3C00" w:rsidP="00874A98">
            <w:pPr>
              <w:keepNext w:val="0"/>
              <w:numPr>
                <w:ilvl w:val="0"/>
                <w:numId w:val="155"/>
              </w:numPr>
              <w:tabs>
                <w:tab w:val="left" w:pos="680"/>
                <w:tab w:val="left" w:pos="1133"/>
                <w:tab w:val="left" w:pos="2267"/>
              </w:tabs>
              <w:spacing w:before="0"/>
              <w:ind w:right="284"/>
              <w:contextualSpacing/>
              <w:rPr>
                <w:rFonts w:eastAsia="Arial" w:cs="Arial"/>
                <w:szCs w:val="24"/>
              </w:rPr>
            </w:pPr>
            <w:r w:rsidRPr="00372D94">
              <w:rPr>
                <w:rFonts w:eastAsia="Calibri" w:cs="Arial"/>
                <w:szCs w:val="24"/>
              </w:rPr>
              <w:t xml:space="preserve">New development must create high quality building and places. </w:t>
            </w:r>
          </w:p>
          <w:p w14:paraId="1449DF1C" w14:textId="77777777" w:rsidR="00AD3C00" w:rsidRPr="00372D94" w:rsidRDefault="00AD3C00" w:rsidP="00D46943">
            <w:pPr>
              <w:keepNext w:val="0"/>
              <w:tabs>
                <w:tab w:val="left" w:pos="680"/>
                <w:tab w:val="left" w:pos="1133"/>
                <w:tab w:val="left" w:pos="2267"/>
              </w:tabs>
              <w:spacing w:before="0"/>
              <w:ind w:left="360" w:right="284"/>
              <w:contextualSpacing/>
              <w:rPr>
                <w:rFonts w:eastAsia="Arial" w:cs="Arial"/>
                <w:szCs w:val="24"/>
              </w:rPr>
            </w:pPr>
          </w:p>
          <w:p w14:paraId="3868EACF" w14:textId="77777777" w:rsidR="00D46943" w:rsidRPr="00372D94" w:rsidRDefault="00AD3C00" w:rsidP="00874A98">
            <w:pPr>
              <w:keepNext w:val="0"/>
              <w:numPr>
                <w:ilvl w:val="0"/>
                <w:numId w:val="155"/>
              </w:numPr>
              <w:tabs>
                <w:tab w:val="left" w:pos="680"/>
                <w:tab w:val="left" w:pos="1133"/>
                <w:tab w:val="left" w:pos="2267"/>
              </w:tabs>
              <w:spacing w:before="0"/>
              <w:ind w:right="284"/>
              <w:contextualSpacing/>
              <w:rPr>
                <w:rFonts w:eastAsia="Arial" w:cs="Arial"/>
                <w:szCs w:val="24"/>
              </w:rPr>
            </w:pPr>
            <w:r w:rsidRPr="00372D94">
              <w:rPr>
                <w:rFonts w:eastAsia="Calibri" w:cs="Arial"/>
                <w:szCs w:val="24"/>
              </w:rPr>
              <w:t>To ensure good place making the Council will require:</w:t>
            </w:r>
          </w:p>
          <w:p w14:paraId="7100F2FC" w14:textId="2D97ECEC" w:rsidR="00AD3C00" w:rsidRPr="00372D94" w:rsidRDefault="00AD3C00" w:rsidP="00D46943">
            <w:pPr>
              <w:keepNext w:val="0"/>
              <w:tabs>
                <w:tab w:val="left" w:pos="680"/>
                <w:tab w:val="left" w:pos="1133"/>
                <w:tab w:val="left" w:pos="2267"/>
              </w:tabs>
              <w:spacing w:before="0"/>
              <w:ind w:left="360" w:right="284"/>
              <w:contextualSpacing/>
              <w:rPr>
                <w:rFonts w:eastAsia="Arial" w:cs="Arial"/>
                <w:szCs w:val="24"/>
              </w:rPr>
            </w:pPr>
            <w:r w:rsidRPr="00372D94">
              <w:rPr>
                <w:rFonts w:eastAsia="Calibri" w:cs="Arial"/>
                <w:szCs w:val="24"/>
              </w:rPr>
              <w:t xml:space="preserve"> </w:t>
            </w:r>
          </w:p>
          <w:p w14:paraId="47C67CDA" w14:textId="31D37979" w:rsidR="00D46943" w:rsidRPr="00372D94" w:rsidRDefault="00AD3C00" w:rsidP="00874A98">
            <w:pPr>
              <w:pStyle w:val="ListParagraph"/>
              <w:numPr>
                <w:ilvl w:val="0"/>
                <w:numId w:val="162"/>
              </w:numPr>
              <w:tabs>
                <w:tab w:val="left" w:pos="1133"/>
                <w:tab w:val="left" w:pos="2267"/>
              </w:tabs>
              <w:ind w:right="284"/>
              <w:rPr>
                <w:rFonts w:ascii="Arial" w:eastAsia="Arial" w:hAnsi="Arial" w:cs="Arial"/>
                <w:szCs w:val="24"/>
              </w:rPr>
            </w:pPr>
            <w:r w:rsidRPr="00372D94">
              <w:rPr>
                <w:rFonts w:ascii="Arial" w:eastAsia="Calibri" w:hAnsi="Arial" w:cs="Arial"/>
                <w:szCs w:val="24"/>
              </w:rPr>
              <w:t xml:space="preserve">the use of </w:t>
            </w:r>
            <w:r w:rsidR="006C310B" w:rsidRPr="00372D94">
              <w:rPr>
                <w:rFonts w:ascii="Arial" w:eastAsia="Calibri" w:hAnsi="Arial" w:cs="Arial"/>
                <w:szCs w:val="24"/>
              </w:rPr>
              <w:t xml:space="preserve">agreed </w:t>
            </w:r>
            <w:r w:rsidRPr="00372D94">
              <w:rPr>
                <w:rFonts w:ascii="Arial" w:eastAsia="Calibri" w:hAnsi="Arial" w:cs="Arial"/>
                <w:szCs w:val="24"/>
              </w:rPr>
              <w:t xml:space="preserve">development frameworks, masterplans and other design guidance documents, </w:t>
            </w:r>
          </w:p>
          <w:p w14:paraId="4175A4A9" w14:textId="37B96EC7" w:rsidR="00546C3C" w:rsidRPr="00546C3C" w:rsidRDefault="00546C3C" w:rsidP="00874A98">
            <w:pPr>
              <w:pStyle w:val="ListParagraph"/>
              <w:numPr>
                <w:ilvl w:val="0"/>
                <w:numId w:val="162"/>
              </w:numPr>
              <w:tabs>
                <w:tab w:val="left" w:pos="1133"/>
                <w:tab w:val="left" w:pos="2267"/>
              </w:tabs>
              <w:ind w:right="284"/>
              <w:rPr>
                <w:rFonts w:ascii="Arial" w:eastAsia="Arial" w:hAnsi="Arial" w:cs="Arial"/>
                <w:szCs w:val="24"/>
              </w:rPr>
            </w:pPr>
            <w:r>
              <w:rPr>
                <w:rFonts w:ascii="Arial" w:eastAsia="Calibri" w:hAnsi="Arial" w:cs="Arial"/>
                <w:szCs w:val="24"/>
              </w:rPr>
              <w:t xml:space="preserve">the </w:t>
            </w:r>
            <w:r w:rsidR="00AD3C00" w:rsidRPr="00372D94">
              <w:rPr>
                <w:rFonts w:ascii="Arial" w:eastAsia="Calibri" w:hAnsi="Arial" w:cs="Arial"/>
                <w:szCs w:val="24"/>
              </w:rPr>
              <w:t xml:space="preserve">use design codes </w:t>
            </w:r>
            <w:r>
              <w:rPr>
                <w:rFonts w:ascii="Arial" w:eastAsia="Calibri" w:hAnsi="Arial" w:cs="Arial"/>
                <w:szCs w:val="24"/>
              </w:rPr>
              <w:t xml:space="preserve">for strategic scale developments and other large sites, and   </w:t>
            </w:r>
          </w:p>
          <w:p w14:paraId="7F1CDA1E" w14:textId="4302BDDE" w:rsidR="00AD3C00" w:rsidRPr="00372D94" w:rsidRDefault="00546C3C" w:rsidP="00874A98">
            <w:pPr>
              <w:pStyle w:val="ListParagraph"/>
              <w:numPr>
                <w:ilvl w:val="0"/>
                <w:numId w:val="162"/>
              </w:numPr>
              <w:tabs>
                <w:tab w:val="left" w:pos="1133"/>
                <w:tab w:val="left" w:pos="2267"/>
              </w:tabs>
              <w:ind w:right="284"/>
              <w:rPr>
                <w:rFonts w:ascii="Arial" w:eastAsia="Arial" w:hAnsi="Arial" w:cs="Arial"/>
                <w:szCs w:val="24"/>
              </w:rPr>
            </w:pPr>
            <w:r>
              <w:rPr>
                <w:rFonts w:ascii="Arial" w:eastAsia="Calibri" w:hAnsi="Arial" w:cs="Arial"/>
                <w:szCs w:val="24"/>
              </w:rPr>
              <w:t xml:space="preserve">the use of </w:t>
            </w:r>
            <w:r w:rsidR="00AD3C00" w:rsidRPr="00372D94">
              <w:rPr>
                <w:rFonts w:ascii="Arial" w:eastAsia="Calibri" w:hAnsi="Arial" w:cs="Arial"/>
                <w:szCs w:val="24"/>
              </w:rPr>
              <w:t>the Design Review Panel</w:t>
            </w:r>
            <w:r>
              <w:rPr>
                <w:rFonts w:ascii="Arial" w:eastAsia="Calibri" w:hAnsi="Arial" w:cs="Arial"/>
                <w:szCs w:val="24"/>
              </w:rPr>
              <w:t>, where deemed appropriate</w:t>
            </w:r>
            <w:r w:rsidR="00AD3C00" w:rsidRPr="00372D94">
              <w:rPr>
                <w:rFonts w:ascii="Arial" w:eastAsia="Calibri" w:hAnsi="Arial" w:cs="Arial"/>
                <w:szCs w:val="24"/>
              </w:rPr>
              <w:t xml:space="preserve">. </w:t>
            </w:r>
            <w:r w:rsidR="00AD3C00" w:rsidRPr="00372D94">
              <w:rPr>
                <w:rFonts w:ascii="Arial" w:eastAsia="Arial" w:hAnsi="Arial" w:cs="Arial"/>
                <w:szCs w:val="24"/>
              </w:rPr>
              <w:t xml:space="preserve"> </w:t>
            </w:r>
          </w:p>
          <w:p w14:paraId="4DEB098D" w14:textId="641FA1E8" w:rsidR="00D46943" w:rsidRPr="00372D94" w:rsidRDefault="00AD3C00" w:rsidP="00B65753">
            <w:pPr>
              <w:keepNext w:val="0"/>
              <w:numPr>
                <w:ilvl w:val="0"/>
                <w:numId w:val="155"/>
              </w:numPr>
              <w:tabs>
                <w:tab w:val="left" w:pos="680"/>
                <w:tab w:val="left" w:pos="1133"/>
                <w:tab w:val="left" w:pos="2267"/>
              </w:tabs>
              <w:spacing w:before="0"/>
              <w:ind w:right="284"/>
              <w:contextualSpacing/>
              <w:rPr>
                <w:rFonts w:eastAsia="Calibri"/>
                <w:szCs w:val="22"/>
              </w:rPr>
            </w:pPr>
            <w:r w:rsidRPr="00372D94">
              <w:rPr>
                <w:rFonts w:eastAsia="Calibri"/>
                <w:szCs w:val="22"/>
              </w:rPr>
              <w:t>Neighbourhood plans/orders can have a key role in placemaking and allows communities to have more influence and control over their local area to ensure they get the right type of development for their neighbourhood.   The Council is supportive of the production of neighbourhood plans/orders that are in conformity with strategic policies within the Local Plan.</w:t>
            </w:r>
          </w:p>
        </w:tc>
      </w:tr>
      <w:bookmarkEnd w:id="54"/>
      <w:tr w:rsidR="00AD3C00" w:rsidRPr="00AD3C00" w14:paraId="7FD2B26F" w14:textId="77777777" w:rsidTr="009D4C91">
        <w:tc>
          <w:tcPr>
            <w:tcW w:w="1838" w:type="dxa"/>
            <w:shd w:val="clear" w:color="auto" w:fill="D9D9D9"/>
          </w:tcPr>
          <w:p w14:paraId="6EF79387" w14:textId="77777777" w:rsidR="00AD3C00" w:rsidRPr="00D0642D" w:rsidDel="009E40E4" w:rsidRDefault="00AD3C00" w:rsidP="00D0642D">
            <w:pPr>
              <w:keepNext w:val="0"/>
              <w:tabs>
                <w:tab w:val="left" w:pos="680"/>
                <w:tab w:val="left" w:pos="1133"/>
                <w:tab w:val="left" w:pos="2267"/>
              </w:tabs>
              <w:spacing w:before="0"/>
              <w:ind w:right="284"/>
              <w:rPr>
                <w:rFonts w:eastAsia="Arial"/>
                <w:bCs/>
                <w:color w:val="C00000"/>
                <w:sz w:val="20"/>
              </w:rPr>
            </w:pPr>
            <w:r w:rsidRPr="00D0642D">
              <w:rPr>
                <w:rFonts w:eastAsia="Arial"/>
                <w:bCs/>
                <w:color w:val="auto"/>
                <w:sz w:val="20"/>
              </w:rPr>
              <w:lastRenderedPageBreak/>
              <w:t>Evidence base</w:t>
            </w:r>
          </w:p>
        </w:tc>
        <w:tc>
          <w:tcPr>
            <w:tcW w:w="7796" w:type="dxa"/>
            <w:gridSpan w:val="2"/>
            <w:shd w:val="clear" w:color="auto" w:fill="D9D9D9"/>
          </w:tcPr>
          <w:p w14:paraId="2AE3A70B" w14:textId="75B9CE93" w:rsidR="00AD3C00" w:rsidRPr="00372D94" w:rsidRDefault="00AD3C00" w:rsidP="00874A98">
            <w:pPr>
              <w:keepNext w:val="0"/>
              <w:numPr>
                <w:ilvl w:val="0"/>
                <w:numId w:val="156"/>
              </w:numPr>
              <w:spacing w:before="0" w:after="160" w:line="252" w:lineRule="auto"/>
              <w:ind w:right="284"/>
              <w:contextualSpacing/>
              <w:rPr>
                <w:rFonts w:eastAsia="Arial"/>
                <w:bCs/>
                <w:sz w:val="20"/>
              </w:rPr>
            </w:pPr>
            <w:r w:rsidRPr="00372D94">
              <w:rPr>
                <w:rFonts w:eastAsia="Arial"/>
                <w:bCs/>
                <w:sz w:val="20"/>
              </w:rPr>
              <w:t>Sustainability Appraisal 202</w:t>
            </w:r>
            <w:r w:rsidR="00F10F95" w:rsidRPr="00372D94">
              <w:rPr>
                <w:rFonts w:eastAsia="Arial"/>
                <w:bCs/>
                <w:sz w:val="20"/>
              </w:rPr>
              <w:t>3</w:t>
            </w:r>
            <w:r w:rsidRPr="00372D94">
              <w:rPr>
                <w:rFonts w:eastAsia="Arial"/>
                <w:bCs/>
                <w:sz w:val="20"/>
              </w:rPr>
              <w:t xml:space="preserve">, </w:t>
            </w:r>
            <w:r w:rsidR="00F10F95" w:rsidRPr="00372D94">
              <w:rPr>
                <w:rFonts w:eastAsia="Calibri" w:cs="Arial"/>
                <w:sz w:val="20"/>
                <w:lang w:eastAsia="en-US"/>
              </w:rPr>
              <w:t>WSP UK Limited.</w:t>
            </w:r>
          </w:p>
          <w:p w14:paraId="7A8C145A" w14:textId="19A58B03" w:rsidR="00AD3C00" w:rsidRPr="00372D94" w:rsidRDefault="00AD3C00" w:rsidP="00874A98">
            <w:pPr>
              <w:keepNext w:val="0"/>
              <w:numPr>
                <w:ilvl w:val="0"/>
                <w:numId w:val="156"/>
              </w:numPr>
              <w:tabs>
                <w:tab w:val="left" w:pos="680"/>
                <w:tab w:val="left" w:pos="1133"/>
                <w:tab w:val="left" w:pos="2267"/>
              </w:tabs>
              <w:spacing w:before="0" w:after="160" w:line="252" w:lineRule="auto"/>
              <w:ind w:right="284"/>
              <w:contextualSpacing/>
              <w:rPr>
                <w:rFonts w:eastAsia="Arial"/>
                <w:bCs/>
                <w:sz w:val="20"/>
              </w:rPr>
            </w:pPr>
            <w:r w:rsidRPr="00372D94">
              <w:rPr>
                <w:rFonts w:eastAsia="Arial"/>
                <w:bCs/>
                <w:sz w:val="20"/>
              </w:rPr>
              <w:t>Sutton Town Centre Spatial Masterplan</w:t>
            </w:r>
            <w:r w:rsidR="00D46943" w:rsidRPr="00372D94">
              <w:rPr>
                <w:rFonts w:eastAsia="Arial"/>
                <w:bCs/>
                <w:sz w:val="20"/>
              </w:rPr>
              <w:t xml:space="preserve"> 2019.  Ashfield District Council.</w:t>
            </w:r>
          </w:p>
          <w:p w14:paraId="6AF5CC36" w14:textId="7F68ABA1" w:rsidR="00AD3C00" w:rsidRPr="00372D94" w:rsidRDefault="00AD3C00" w:rsidP="00874A98">
            <w:pPr>
              <w:keepNext w:val="0"/>
              <w:numPr>
                <w:ilvl w:val="0"/>
                <w:numId w:val="156"/>
              </w:numPr>
              <w:tabs>
                <w:tab w:val="left" w:pos="680"/>
                <w:tab w:val="left" w:pos="1133"/>
                <w:tab w:val="left" w:pos="2267"/>
              </w:tabs>
              <w:spacing w:before="0" w:after="160" w:line="252" w:lineRule="auto"/>
              <w:ind w:right="284"/>
              <w:contextualSpacing/>
              <w:rPr>
                <w:rFonts w:eastAsia="Arial"/>
                <w:bCs/>
                <w:sz w:val="20"/>
              </w:rPr>
            </w:pPr>
            <w:r w:rsidRPr="00372D94">
              <w:rPr>
                <w:rFonts w:eastAsia="Arial"/>
                <w:bCs/>
                <w:sz w:val="20"/>
              </w:rPr>
              <w:t>Kirkby Town Centre Spatial Masterplan</w:t>
            </w:r>
            <w:r w:rsidR="00D46943" w:rsidRPr="00372D94">
              <w:rPr>
                <w:rFonts w:eastAsia="Arial"/>
                <w:bCs/>
                <w:sz w:val="20"/>
              </w:rPr>
              <w:t xml:space="preserve"> 2021.  Ashfield District Council.</w:t>
            </w:r>
          </w:p>
          <w:p w14:paraId="1B42C6E0" w14:textId="762355B3" w:rsidR="00F10F95" w:rsidRPr="00372D94" w:rsidRDefault="00F10F95" w:rsidP="00874A98">
            <w:pPr>
              <w:keepNext w:val="0"/>
              <w:numPr>
                <w:ilvl w:val="0"/>
                <w:numId w:val="156"/>
              </w:numPr>
              <w:tabs>
                <w:tab w:val="left" w:pos="680"/>
                <w:tab w:val="left" w:pos="1133"/>
                <w:tab w:val="left" w:pos="2267"/>
              </w:tabs>
              <w:spacing w:before="0" w:after="160" w:line="252" w:lineRule="auto"/>
              <w:ind w:right="284"/>
              <w:contextualSpacing/>
              <w:rPr>
                <w:rFonts w:eastAsia="Arial"/>
                <w:bCs/>
                <w:sz w:val="20"/>
              </w:rPr>
            </w:pPr>
            <w:r w:rsidRPr="00372D94">
              <w:rPr>
                <w:rFonts w:eastAsia="Arial"/>
                <w:bCs/>
                <w:sz w:val="20"/>
              </w:rPr>
              <w:t>Hucknall Town Centre Spatial Masterplan 2022.</w:t>
            </w:r>
          </w:p>
          <w:p w14:paraId="5C9DCBBA" w14:textId="77777777" w:rsidR="00165056" w:rsidRPr="00372D94" w:rsidRDefault="00165056" w:rsidP="00874A98">
            <w:pPr>
              <w:keepNext w:val="0"/>
              <w:numPr>
                <w:ilvl w:val="0"/>
                <w:numId w:val="156"/>
              </w:numPr>
              <w:tabs>
                <w:tab w:val="left" w:pos="680"/>
                <w:tab w:val="left" w:pos="1133"/>
                <w:tab w:val="left" w:pos="2267"/>
              </w:tabs>
              <w:spacing w:before="0" w:after="160" w:line="252" w:lineRule="auto"/>
              <w:ind w:right="284"/>
              <w:contextualSpacing/>
              <w:rPr>
                <w:rFonts w:eastAsia="Arial"/>
                <w:bCs/>
                <w:sz w:val="20"/>
              </w:rPr>
            </w:pPr>
            <w:r w:rsidRPr="00372D94">
              <w:rPr>
                <w:rFonts w:eastAsia="Arial"/>
                <w:bCs/>
                <w:sz w:val="20"/>
              </w:rPr>
              <w:t>Active Design 2015, Sport England.</w:t>
            </w:r>
          </w:p>
          <w:p w14:paraId="355B04C4" w14:textId="7E6A5FC2" w:rsidR="00165056" w:rsidRPr="00372D94" w:rsidDel="009E40E4" w:rsidRDefault="00165056" w:rsidP="00874A98">
            <w:pPr>
              <w:keepNext w:val="0"/>
              <w:numPr>
                <w:ilvl w:val="0"/>
                <w:numId w:val="156"/>
              </w:numPr>
              <w:tabs>
                <w:tab w:val="left" w:pos="680"/>
                <w:tab w:val="left" w:pos="1133"/>
                <w:tab w:val="left" w:pos="2267"/>
              </w:tabs>
              <w:spacing w:before="0" w:after="160" w:line="252" w:lineRule="auto"/>
              <w:ind w:right="284"/>
              <w:contextualSpacing/>
              <w:rPr>
                <w:rFonts w:eastAsia="Arial"/>
                <w:bCs/>
                <w:sz w:val="20"/>
              </w:rPr>
            </w:pPr>
            <w:r w:rsidRPr="00372D94">
              <w:rPr>
                <w:rFonts w:eastAsia="Arial"/>
                <w:bCs/>
                <w:sz w:val="20"/>
              </w:rPr>
              <w:t>Handbook Designing for physical activity 2021, Sports England.</w:t>
            </w:r>
          </w:p>
        </w:tc>
      </w:tr>
      <w:tr w:rsidR="00AD3C00" w:rsidRPr="00AD3C00" w14:paraId="3D9A567A" w14:textId="77777777" w:rsidTr="009D4C91">
        <w:tc>
          <w:tcPr>
            <w:tcW w:w="1838" w:type="dxa"/>
            <w:shd w:val="clear" w:color="auto" w:fill="D9D9D9"/>
          </w:tcPr>
          <w:p w14:paraId="5114475B" w14:textId="77777777" w:rsidR="00AD3C00" w:rsidRPr="00AD3C00" w:rsidRDefault="00AD3C00" w:rsidP="00D0642D">
            <w:pPr>
              <w:keepNext w:val="0"/>
              <w:tabs>
                <w:tab w:val="left" w:pos="680"/>
                <w:tab w:val="left" w:pos="1133"/>
                <w:tab w:val="left" w:pos="2267"/>
              </w:tabs>
              <w:spacing w:before="0"/>
              <w:ind w:right="284"/>
              <w:rPr>
                <w:rFonts w:eastAsia="Arial"/>
                <w:bCs/>
                <w:color w:val="C00000"/>
                <w:sz w:val="20"/>
              </w:rPr>
            </w:pPr>
            <w:r w:rsidRPr="00AD3C00">
              <w:rPr>
                <w:rFonts w:eastAsia="Arial"/>
                <w:bCs/>
                <w:color w:val="auto"/>
                <w:sz w:val="20"/>
              </w:rPr>
              <w:t>National Planning Policy &amp; Guidance</w:t>
            </w:r>
          </w:p>
        </w:tc>
        <w:tc>
          <w:tcPr>
            <w:tcW w:w="7796" w:type="dxa"/>
            <w:gridSpan w:val="2"/>
            <w:shd w:val="clear" w:color="auto" w:fill="D9D9D9"/>
          </w:tcPr>
          <w:p w14:paraId="120251CB" w14:textId="0E115B86" w:rsidR="00AD3C00" w:rsidRPr="00372D94" w:rsidRDefault="00AD3C00" w:rsidP="00874A98">
            <w:pPr>
              <w:keepNext w:val="0"/>
              <w:numPr>
                <w:ilvl w:val="0"/>
                <w:numId w:val="158"/>
              </w:numPr>
              <w:tabs>
                <w:tab w:val="left" w:pos="360"/>
                <w:tab w:val="left" w:pos="1133"/>
                <w:tab w:val="left" w:pos="2267"/>
              </w:tabs>
              <w:spacing w:before="0" w:after="160" w:line="252" w:lineRule="auto"/>
              <w:ind w:right="284"/>
              <w:contextualSpacing/>
              <w:rPr>
                <w:rFonts w:eastAsia="Arial"/>
                <w:bCs/>
                <w:sz w:val="20"/>
              </w:rPr>
            </w:pPr>
            <w:r w:rsidRPr="00372D94">
              <w:rPr>
                <w:rFonts w:eastAsia="Arial"/>
                <w:bCs/>
                <w:sz w:val="20"/>
              </w:rPr>
              <w:t>NPPF 202</w:t>
            </w:r>
            <w:r w:rsidR="00A37A61" w:rsidRPr="00372D94">
              <w:rPr>
                <w:rFonts w:eastAsia="Arial"/>
                <w:bCs/>
                <w:sz w:val="20"/>
              </w:rPr>
              <w:t>3</w:t>
            </w:r>
            <w:r w:rsidRPr="00372D94">
              <w:rPr>
                <w:rFonts w:eastAsia="Arial"/>
                <w:bCs/>
                <w:sz w:val="20"/>
              </w:rPr>
              <w:t>, Part 2 – Achieving Sustainable Development</w:t>
            </w:r>
          </w:p>
          <w:p w14:paraId="7E088327" w14:textId="17522A7D" w:rsidR="00AD3C00" w:rsidRPr="00372D94" w:rsidRDefault="00AD3C00" w:rsidP="00874A98">
            <w:pPr>
              <w:keepNext w:val="0"/>
              <w:numPr>
                <w:ilvl w:val="0"/>
                <w:numId w:val="157"/>
              </w:numPr>
              <w:tabs>
                <w:tab w:val="left" w:pos="360"/>
                <w:tab w:val="left" w:pos="1133"/>
                <w:tab w:val="left" w:pos="2267"/>
              </w:tabs>
              <w:spacing w:before="0" w:after="160" w:line="252" w:lineRule="auto"/>
              <w:ind w:left="328" w:right="284" w:hanging="328"/>
              <w:contextualSpacing/>
              <w:rPr>
                <w:rFonts w:eastAsia="Arial"/>
                <w:bCs/>
                <w:sz w:val="20"/>
              </w:rPr>
            </w:pPr>
            <w:r w:rsidRPr="00372D94">
              <w:rPr>
                <w:rFonts w:eastAsia="Arial"/>
                <w:bCs/>
                <w:sz w:val="20"/>
              </w:rPr>
              <w:t>NPPF 202</w:t>
            </w:r>
            <w:r w:rsidR="00A37A61" w:rsidRPr="00372D94">
              <w:rPr>
                <w:rFonts w:eastAsia="Arial"/>
                <w:bCs/>
                <w:sz w:val="20"/>
              </w:rPr>
              <w:t>3</w:t>
            </w:r>
            <w:r w:rsidRPr="00372D94">
              <w:rPr>
                <w:rFonts w:eastAsia="Arial"/>
                <w:bCs/>
                <w:sz w:val="20"/>
              </w:rPr>
              <w:t>, Part 12 – Achieving Well Designed Places</w:t>
            </w:r>
          </w:p>
          <w:p w14:paraId="279C6807" w14:textId="4ADA7400" w:rsidR="00AD3C00" w:rsidRPr="00372D94" w:rsidRDefault="00AD3C00" w:rsidP="00874A98">
            <w:pPr>
              <w:keepNext w:val="0"/>
              <w:numPr>
                <w:ilvl w:val="0"/>
                <w:numId w:val="157"/>
              </w:numPr>
              <w:tabs>
                <w:tab w:val="left" w:pos="360"/>
                <w:tab w:val="left" w:pos="1133"/>
                <w:tab w:val="left" w:pos="2267"/>
              </w:tabs>
              <w:spacing w:before="0" w:after="160" w:line="252" w:lineRule="auto"/>
              <w:ind w:left="328" w:right="284" w:hanging="328"/>
              <w:contextualSpacing/>
              <w:rPr>
                <w:rFonts w:eastAsia="Arial"/>
                <w:bCs/>
                <w:sz w:val="20"/>
              </w:rPr>
            </w:pPr>
            <w:r w:rsidRPr="00372D94">
              <w:rPr>
                <w:rFonts w:eastAsia="Arial"/>
                <w:bCs/>
                <w:sz w:val="20"/>
              </w:rPr>
              <w:t xml:space="preserve">Planning Practice Guidance Design: Process and Tools as </w:t>
            </w:r>
            <w:r w:rsidR="00416653" w:rsidRPr="00372D94">
              <w:rPr>
                <w:rFonts w:eastAsia="Arial"/>
                <w:bCs/>
                <w:sz w:val="20"/>
              </w:rPr>
              <w:t>of</w:t>
            </w:r>
            <w:r w:rsidRPr="00372D94">
              <w:rPr>
                <w:rFonts w:eastAsia="Arial"/>
                <w:bCs/>
                <w:sz w:val="20"/>
              </w:rPr>
              <w:t xml:space="preserve"> </w:t>
            </w:r>
            <w:r w:rsidR="00D949EB" w:rsidRPr="00372D94">
              <w:rPr>
                <w:rFonts w:eastAsia="Arial"/>
                <w:bCs/>
                <w:sz w:val="20"/>
              </w:rPr>
              <w:t>October 2019.</w:t>
            </w:r>
          </w:p>
          <w:p w14:paraId="015626A0" w14:textId="77777777" w:rsidR="00D949EB" w:rsidRPr="00372D94" w:rsidRDefault="00AD3C00" w:rsidP="00874A98">
            <w:pPr>
              <w:keepNext w:val="0"/>
              <w:numPr>
                <w:ilvl w:val="0"/>
                <w:numId w:val="157"/>
              </w:numPr>
              <w:tabs>
                <w:tab w:val="left" w:pos="360"/>
                <w:tab w:val="left" w:pos="1133"/>
                <w:tab w:val="left" w:pos="2267"/>
              </w:tabs>
              <w:spacing w:before="0" w:after="160" w:line="252" w:lineRule="auto"/>
              <w:ind w:left="328" w:right="284" w:hanging="328"/>
              <w:contextualSpacing/>
              <w:rPr>
                <w:rFonts w:eastAsia="Arial"/>
                <w:bCs/>
                <w:sz w:val="20"/>
              </w:rPr>
            </w:pPr>
            <w:r w:rsidRPr="00372D94">
              <w:rPr>
                <w:rFonts w:eastAsia="Arial"/>
                <w:bCs/>
                <w:sz w:val="20"/>
              </w:rPr>
              <w:t xml:space="preserve">Planning Practice Guidance Neighbourhood Planning as </w:t>
            </w:r>
            <w:r w:rsidR="00416653" w:rsidRPr="00372D94">
              <w:rPr>
                <w:rFonts w:eastAsia="Arial"/>
                <w:bCs/>
                <w:sz w:val="20"/>
              </w:rPr>
              <w:t>of</w:t>
            </w:r>
            <w:r w:rsidRPr="00372D94">
              <w:rPr>
                <w:rFonts w:eastAsia="Arial"/>
                <w:bCs/>
                <w:sz w:val="20"/>
              </w:rPr>
              <w:t xml:space="preserve"> </w:t>
            </w:r>
            <w:r w:rsidR="00D949EB" w:rsidRPr="00372D94">
              <w:rPr>
                <w:rFonts w:eastAsia="Arial"/>
                <w:bCs/>
                <w:sz w:val="20"/>
              </w:rPr>
              <w:t>September</w:t>
            </w:r>
          </w:p>
          <w:p w14:paraId="29D0780D" w14:textId="28206F12" w:rsidR="00AD3C00" w:rsidRPr="00372D94" w:rsidRDefault="00D949EB" w:rsidP="00546C3C">
            <w:pPr>
              <w:keepNext w:val="0"/>
              <w:tabs>
                <w:tab w:val="left" w:pos="360"/>
                <w:tab w:val="left" w:pos="1133"/>
                <w:tab w:val="left" w:pos="2267"/>
              </w:tabs>
              <w:spacing w:before="0" w:after="160" w:line="252" w:lineRule="auto"/>
              <w:ind w:left="328" w:right="284"/>
              <w:contextualSpacing/>
              <w:rPr>
                <w:rFonts w:eastAsia="Arial"/>
                <w:bCs/>
                <w:sz w:val="20"/>
              </w:rPr>
            </w:pPr>
            <w:r w:rsidRPr="00372D94">
              <w:rPr>
                <w:rFonts w:eastAsia="Arial"/>
                <w:bCs/>
                <w:sz w:val="20"/>
              </w:rPr>
              <w:t>2020</w:t>
            </w:r>
          </w:p>
        </w:tc>
      </w:tr>
    </w:tbl>
    <w:p w14:paraId="64F4524C" w14:textId="77777777" w:rsidR="00AD3C00" w:rsidRPr="00AD3C00" w:rsidRDefault="00AD3C00" w:rsidP="00AD3C00">
      <w:pPr>
        <w:keepNext w:val="0"/>
        <w:tabs>
          <w:tab w:val="left" w:pos="680"/>
          <w:tab w:val="left" w:pos="1133"/>
          <w:tab w:val="left" w:pos="2267"/>
        </w:tabs>
        <w:spacing w:before="0"/>
        <w:ind w:right="284"/>
        <w:rPr>
          <w:rFonts w:eastAsia="Arial"/>
          <w:b/>
          <w:color w:val="auto"/>
          <w:szCs w:val="24"/>
        </w:rPr>
      </w:pPr>
    </w:p>
    <w:p w14:paraId="4413C1A9" w14:textId="77777777" w:rsidR="0052046F" w:rsidRPr="0052046F" w:rsidRDefault="0052046F" w:rsidP="00CD61AD">
      <w:pPr>
        <w:keepNext w:val="0"/>
        <w:numPr>
          <w:ilvl w:val="1"/>
          <w:numId w:val="344"/>
        </w:numPr>
        <w:tabs>
          <w:tab w:val="clear" w:pos="525"/>
          <w:tab w:val="num" w:pos="851"/>
        </w:tabs>
        <w:spacing w:before="0"/>
        <w:ind w:left="851" w:hanging="851"/>
        <w:rPr>
          <w:rFonts w:cs="Arial"/>
          <w:color w:val="auto"/>
          <w:szCs w:val="24"/>
        </w:rPr>
      </w:pPr>
      <w:r w:rsidRPr="0052046F">
        <w:rPr>
          <w:rFonts w:eastAsia="Calibri"/>
          <w:color w:val="auto"/>
          <w:szCs w:val="22"/>
          <w:lang w:eastAsia="en-US"/>
        </w:rPr>
        <w:t>The design of the built environment has a direct effect upon how places are used. The relationship between buildings, spaces and landscape as well as detailed design and materials are all relevant factors. Good design will influence how people move around our settlements, how they interact and how places make people feel.</w:t>
      </w:r>
    </w:p>
    <w:p w14:paraId="712B9B36" w14:textId="30EE6133" w:rsidR="0052046F" w:rsidRDefault="0052046F" w:rsidP="00F260E8">
      <w:pPr>
        <w:keepNext w:val="0"/>
        <w:spacing w:before="0"/>
        <w:ind w:left="851"/>
        <w:rPr>
          <w:rFonts w:cs="Arial"/>
          <w:color w:val="auto"/>
          <w:szCs w:val="24"/>
        </w:rPr>
      </w:pPr>
      <w:r w:rsidRPr="0052046F">
        <w:rPr>
          <w:rFonts w:eastAsia="Calibri"/>
          <w:color w:val="auto"/>
          <w:szCs w:val="22"/>
          <w:lang w:eastAsia="en-US"/>
        </w:rPr>
        <w:t xml:space="preserve">  </w:t>
      </w:r>
    </w:p>
    <w:p w14:paraId="50C99AE8" w14:textId="77777777" w:rsidR="0052046F" w:rsidRDefault="0052046F" w:rsidP="00CD61AD">
      <w:pPr>
        <w:keepNext w:val="0"/>
        <w:numPr>
          <w:ilvl w:val="1"/>
          <w:numId w:val="344"/>
        </w:numPr>
        <w:tabs>
          <w:tab w:val="clear" w:pos="525"/>
          <w:tab w:val="num" w:pos="851"/>
        </w:tabs>
        <w:spacing w:before="0"/>
        <w:ind w:left="851" w:hanging="851"/>
        <w:rPr>
          <w:rFonts w:cs="Arial"/>
          <w:color w:val="auto"/>
          <w:szCs w:val="24"/>
        </w:rPr>
      </w:pPr>
      <w:r w:rsidRPr="0052046F">
        <w:rPr>
          <w:rFonts w:eastAsia="Calibri"/>
          <w:color w:val="auto"/>
          <w:szCs w:val="22"/>
          <w:lang w:eastAsia="en-US"/>
        </w:rPr>
        <w:t xml:space="preserve">The NPPF states that the creation of high quality buildings and places is fundamental to what the planning and development process should achieve. Good design is a key aspect of sustainable development, creates better places in which to live and work and helps make development acceptable to communities. Urban design and architecture can contribute to health outcomes through encouragement of more active lifestyles. </w:t>
      </w:r>
    </w:p>
    <w:p w14:paraId="0E00FD7B" w14:textId="77777777" w:rsidR="0052046F" w:rsidRPr="0052046F" w:rsidRDefault="0052046F" w:rsidP="00F260E8">
      <w:pPr>
        <w:keepNext w:val="0"/>
        <w:spacing w:before="0"/>
        <w:ind w:left="851"/>
        <w:rPr>
          <w:rFonts w:cs="Arial"/>
          <w:color w:val="auto"/>
          <w:szCs w:val="24"/>
        </w:rPr>
      </w:pPr>
    </w:p>
    <w:p w14:paraId="19F304EC" w14:textId="77777777" w:rsidR="0052046F" w:rsidRDefault="0052046F" w:rsidP="00CD61AD">
      <w:pPr>
        <w:keepNext w:val="0"/>
        <w:numPr>
          <w:ilvl w:val="1"/>
          <w:numId w:val="344"/>
        </w:numPr>
        <w:tabs>
          <w:tab w:val="clear" w:pos="525"/>
          <w:tab w:val="num" w:pos="851"/>
        </w:tabs>
        <w:spacing w:before="0"/>
        <w:ind w:left="851" w:hanging="851"/>
        <w:rPr>
          <w:rFonts w:cs="Arial"/>
          <w:color w:val="auto"/>
          <w:szCs w:val="24"/>
        </w:rPr>
      </w:pPr>
      <w:r w:rsidRPr="0052046F">
        <w:rPr>
          <w:rFonts w:eastAsia="Calibri"/>
          <w:color w:val="auto"/>
          <w:szCs w:val="22"/>
          <w:lang w:eastAsia="en-US"/>
        </w:rPr>
        <w:t xml:space="preserve">Development should be encouraged to create places that create mixed communities catering for the needs of different types of people, including the young and old, encourage walking and cycling, improve access to public transport, and ensure that new development connects with existing parks and open spaces for recreation. Building exteriors and public realm should be designed in a way that contributes to pedestrian friendly environments. </w:t>
      </w:r>
    </w:p>
    <w:p w14:paraId="6297DAAE" w14:textId="77777777" w:rsidR="0052046F" w:rsidRPr="0052046F" w:rsidRDefault="0052046F" w:rsidP="00F260E8">
      <w:pPr>
        <w:keepNext w:val="0"/>
        <w:spacing w:before="0"/>
        <w:ind w:left="851"/>
        <w:rPr>
          <w:rFonts w:cs="Arial"/>
          <w:color w:val="auto"/>
          <w:szCs w:val="24"/>
        </w:rPr>
      </w:pPr>
    </w:p>
    <w:p w14:paraId="613904C8" w14:textId="6EDC1960" w:rsidR="0052046F" w:rsidRPr="00D0642D" w:rsidRDefault="0052046F" w:rsidP="00CD61AD">
      <w:pPr>
        <w:keepNext w:val="0"/>
        <w:numPr>
          <w:ilvl w:val="1"/>
          <w:numId w:val="344"/>
        </w:numPr>
        <w:tabs>
          <w:tab w:val="clear" w:pos="525"/>
          <w:tab w:val="num" w:pos="851"/>
        </w:tabs>
        <w:spacing w:before="0"/>
        <w:ind w:left="851" w:hanging="851"/>
        <w:rPr>
          <w:rFonts w:cs="Arial"/>
          <w:color w:val="auto"/>
          <w:szCs w:val="24"/>
        </w:rPr>
      </w:pPr>
      <w:r w:rsidRPr="0052046F">
        <w:rPr>
          <w:rFonts w:eastAsia="Calibri"/>
          <w:color w:val="auto"/>
          <w:szCs w:val="22"/>
          <w:lang w:eastAsia="en-US"/>
        </w:rPr>
        <w:t xml:space="preserve">The Council will expect development to respond to local character and history, reflecting the identity of its context whilst allowing for innovative and forward thinking design. More detail on this is set out in </w:t>
      </w:r>
      <w:r w:rsidRPr="00D0642D">
        <w:rPr>
          <w:rFonts w:eastAsia="Calibri"/>
          <w:color w:val="auto"/>
          <w:szCs w:val="22"/>
          <w:lang w:eastAsia="en-US"/>
        </w:rPr>
        <w:t>Policy SD</w:t>
      </w:r>
      <w:r w:rsidR="00D0642D" w:rsidRPr="00D0642D">
        <w:rPr>
          <w:rFonts w:eastAsia="Calibri"/>
          <w:color w:val="auto"/>
          <w:szCs w:val="22"/>
          <w:lang w:eastAsia="en-US"/>
        </w:rPr>
        <w:t>2</w:t>
      </w:r>
      <w:r w:rsidRPr="00D0642D">
        <w:rPr>
          <w:rFonts w:eastAsia="Calibri"/>
          <w:color w:val="auto"/>
          <w:szCs w:val="22"/>
          <w:lang w:eastAsia="en-US"/>
        </w:rPr>
        <w:t xml:space="preserve">. </w:t>
      </w:r>
    </w:p>
    <w:p w14:paraId="6F1B298F" w14:textId="77777777" w:rsidR="0052046F" w:rsidRPr="0052046F" w:rsidRDefault="0052046F" w:rsidP="00F260E8">
      <w:pPr>
        <w:keepNext w:val="0"/>
        <w:spacing w:before="0"/>
        <w:ind w:left="851"/>
        <w:rPr>
          <w:rFonts w:cs="Arial"/>
          <w:color w:val="auto"/>
          <w:szCs w:val="24"/>
        </w:rPr>
      </w:pPr>
    </w:p>
    <w:p w14:paraId="2E040024" w14:textId="22AE4A09" w:rsidR="0052046F" w:rsidRDefault="0052046F" w:rsidP="00DE3E54">
      <w:pPr>
        <w:keepNext w:val="0"/>
        <w:numPr>
          <w:ilvl w:val="1"/>
          <w:numId w:val="344"/>
        </w:numPr>
        <w:tabs>
          <w:tab w:val="clear" w:pos="525"/>
          <w:tab w:val="num" w:pos="851"/>
        </w:tabs>
        <w:spacing w:before="0"/>
        <w:ind w:left="851" w:hanging="851"/>
        <w:rPr>
          <w:rFonts w:cs="Arial"/>
          <w:color w:val="auto"/>
          <w:szCs w:val="24"/>
        </w:rPr>
      </w:pPr>
      <w:r w:rsidRPr="00F753D6">
        <w:rPr>
          <w:rFonts w:eastAsia="Calibri"/>
          <w:color w:val="auto"/>
          <w:szCs w:val="22"/>
          <w:lang w:eastAsia="en-US"/>
        </w:rPr>
        <w:t xml:space="preserve">Regard will be had to various Council documents in assessing the design of new development to ensure that it provides positive benefit in terms of landscape and townscape </w:t>
      </w:r>
      <w:r w:rsidR="00416653" w:rsidRPr="00F753D6">
        <w:rPr>
          <w:rFonts w:eastAsia="Calibri"/>
          <w:color w:val="auto"/>
          <w:szCs w:val="22"/>
          <w:lang w:eastAsia="en-US"/>
        </w:rPr>
        <w:t>character and</w:t>
      </w:r>
      <w:r w:rsidRPr="00F753D6">
        <w:rPr>
          <w:rFonts w:eastAsia="Calibri"/>
          <w:color w:val="auto"/>
          <w:szCs w:val="22"/>
          <w:lang w:eastAsia="en-US"/>
        </w:rPr>
        <w:t xml:space="preserve"> enhances local distinctiveness. This includes the Town Centre Masterplans, the Residential Design Guide SPD and the Landscape Character Assessment (LCA).</w:t>
      </w:r>
    </w:p>
    <w:p w14:paraId="2C80B6E2" w14:textId="77777777" w:rsidR="00F753D6" w:rsidRDefault="00F753D6" w:rsidP="00F753D6">
      <w:pPr>
        <w:keepNext w:val="0"/>
        <w:spacing w:before="0"/>
        <w:ind w:left="851"/>
        <w:rPr>
          <w:rFonts w:cs="Arial"/>
          <w:color w:val="auto"/>
          <w:szCs w:val="24"/>
        </w:rPr>
      </w:pPr>
    </w:p>
    <w:p w14:paraId="27822DA4" w14:textId="0D2A7FAA" w:rsidR="00F753D6" w:rsidRDefault="00F753D6" w:rsidP="00DE3E54">
      <w:pPr>
        <w:keepNext w:val="0"/>
        <w:numPr>
          <w:ilvl w:val="1"/>
          <w:numId w:val="344"/>
        </w:numPr>
        <w:tabs>
          <w:tab w:val="clear" w:pos="525"/>
          <w:tab w:val="num" w:pos="851"/>
        </w:tabs>
        <w:spacing w:before="0"/>
        <w:ind w:left="851" w:hanging="851"/>
        <w:rPr>
          <w:rFonts w:cs="Arial"/>
          <w:color w:val="auto"/>
          <w:szCs w:val="24"/>
        </w:rPr>
      </w:pPr>
      <w:r>
        <w:rPr>
          <w:rFonts w:cs="Arial"/>
          <w:color w:val="auto"/>
          <w:szCs w:val="24"/>
        </w:rPr>
        <w:t>The National Model Design Code</w:t>
      </w:r>
      <w:r w:rsidR="0042513D">
        <w:rPr>
          <w:rStyle w:val="FootnoteReference"/>
          <w:rFonts w:cs="Arial"/>
          <w:color w:val="auto"/>
          <w:szCs w:val="24"/>
        </w:rPr>
        <w:footnoteReference w:id="53"/>
      </w:r>
      <w:r>
        <w:rPr>
          <w:rFonts w:cs="Arial"/>
          <w:color w:val="auto"/>
          <w:szCs w:val="24"/>
        </w:rPr>
        <w:t xml:space="preserve"> </w:t>
      </w:r>
      <w:r w:rsidR="0042513D">
        <w:rPr>
          <w:rFonts w:cs="Arial"/>
          <w:color w:val="auto"/>
          <w:szCs w:val="24"/>
        </w:rPr>
        <w:t xml:space="preserve">describes </w:t>
      </w:r>
      <w:r w:rsidRPr="00F753D6">
        <w:rPr>
          <w:rFonts w:cs="Arial"/>
          <w:color w:val="auto"/>
          <w:szCs w:val="24"/>
        </w:rPr>
        <w:t>design code</w:t>
      </w:r>
      <w:r w:rsidR="0042513D">
        <w:rPr>
          <w:rFonts w:cs="Arial"/>
          <w:color w:val="auto"/>
          <w:szCs w:val="24"/>
        </w:rPr>
        <w:t>s as</w:t>
      </w:r>
      <w:r w:rsidRPr="00F753D6">
        <w:rPr>
          <w:rFonts w:cs="Arial"/>
          <w:color w:val="auto"/>
          <w:szCs w:val="24"/>
        </w:rPr>
        <w:t xml:space="preserve"> a set of simple, concise, illustrated design requirements that are visual and numerical wherever possible to provide specific, detailed parameters for the physical development of a site or area. The code should build upon a design vision, such as a masterplan or other design and development framework for a site or area.</w:t>
      </w:r>
    </w:p>
    <w:p w14:paraId="0C3244F8" w14:textId="77777777" w:rsidR="00F753D6" w:rsidRPr="00F753D6" w:rsidRDefault="00F753D6" w:rsidP="00F753D6">
      <w:pPr>
        <w:keepNext w:val="0"/>
        <w:spacing w:before="0"/>
        <w:rPr>
          <w:rFonts w:cs="Arial"/>
          <w:color w:val="auto"/>
          <w:szCs w:val="24"/>
        </w:rPr>
      </w:pPr>
    </w:p>
    <w:p w14:paraId="665C263A" w14:textId="4994947B" w:rsidR="0052046F" w:rsidRPr="00F753D6" w:rsidRDefault="0052046F" w:rsidP="007D37C7">
      <w:pPr>
        <w:keepNext w:val="0"/>
        <w:numPr>
          <w:ilvl w:val="1"/>
          <w:numId w:val="344"/>
        </w:numPr>
        <w:tabs>
          <w:tab w:val="clear" w:pos="525"/>
          <w:tab w:val="num" w:pos="851"/>
        </w:tabs>
        <w:spacing w:before="0"/>
        <w:ind w:left="851" w:hanging="851"/>
        <w:rPr>
          <w:rFonts w:cs="Arial"/>
          <w:color w:val="auto"/>
          <w:szCs w:val="24"/>
        </w:rPr>
      </w:pPr>
      <w:r w:rsidRPr="00F753D6">
        <w:rPr>
          <w:rFonts w:eastAsia="Calibri"/>
          <w:color w:val="auto"/>
          <w:szCs w:val="22"/>
          <w:lang w:eastAsia="en-US"/>
        </w:rPr>
        <w:t xml:space="preserve">The use of the ‘Design Review Panel’ </w:t>
      </w:r>
      <w:r w:rsidR="00F753D6" w:rsidRPr="00F753D6">
        <w:rPr>
          <w:rFonts w:eastAsia="Calibri"/>
          <w:color w:val="auto"/>
          <w:szCs w:val="22"/>
          <w:lang w:eastAsia="en-US"/>
        </w:rPr>
        <w:t>may</w:t>
      </w:r>
      <w:r w:rsidRPr="00F753D6">
        <w:rPr>
          <w:rFonts w:eastAsia="Calibri"/>
          <w:color w:val="auto"/>
          <w:szCs w:val="22"/>
          <w:lang w:eastAsia="en-US"/>
        </w:rPr>
        <w:t xml:space="preserve"> be used for important new development schemes and proposals for important public spaces, strategic </w:t>
      </w:r>
      <w:r w:rsidR="00416653" w:rsidRPr="00F753D6">
        <w:rPr>
          <w:rFonts w:eastAsia="Calibri"/>
          <w:color w:val="auto"/>
          <w:szCs w:val="22"/>
          <w:lang w:eastAsia="en-US"/>
        </w:rPr>
        <w:t>sites,</w:t>
      </w:r>
      <w:r w:rsidRPr="00F753D6">
        <w:rPr>
          <w:rFonts w:eastAsia="Calibri"/>
          <w:color w:val="auto"/>
          <w:szCs w:val="22"/>
          <w:lang w:eastAsia="en-US"/>
        </w:rPr>
        <w:t xml:space="preserve"> and other large sites</w:t>
      </w:r>
      <w:r w:rsidR="00F753D6" w:rsidRPr="00F753D6">
        <w:rPr>
          <w:rFonts w:eastAsia="Calibri"/>
          <w:color w:val="auto"/>
          <w:szCs w:val="22"/>
          <w:lang w:eastAsia="en-US"/>
        </w:rPr>
        <w:t>,</w:t>
      </w:r>
      <w:r w:rsidRPr="00F753D6">
        <w:rPr>
          <w:rFonts w:eastAsia="Calibri"/>
          <w:color w:val="auto"/>
          <w:szCs w:val="22"/>
          <w:lang w:eastAsia="en-US"/>
        </w:rPr>
        <w:t xml:space="preserve"> where deemed appropriate.  The Design Review Panel operates nationally, providing an impartial, multi-disciplinary, constructive, expert, review process during the pre-application stage of the planning process, to applicants and local authorities.  </w:t>
      </w:r>
    </w:p>
    <w:p w14:paraId="7D34212F" w14:textId="77777777" w:rsidR="00F753D6" w:rsidRPr="00F753D6" w:rsidRDefault="00F753D6" w:rsidP="00F753D6">
      <w:pPr>
        <w:keepNext w:val="0"/>
        <w:spacing w:before="0"/>
        <w:rPr>
          <w:rFonts w:cs="Arial"/>
          <w:color w:val="auto"/>
          <w:szCs w:val="24"/>
        </w:rPr>
      </w:pPr>
    </w:p>
    <w:p w14:paraId="6550862B" w14:textId="16B71AB6" w:rsidR="0052046F" w:rsidRDefault="0052046F" w:rsidP="00CD61AD">
      <w:pPr>
        <w:keepNext w:val="0"/>
        <w:numPr>
          <w:ilvl w:val="1"/>
          <w:numId w:val="344"/>
        </w:numPr>
        <w:tabs>
          <w:tab w:val="clear" w:pos="525"/>
          <w:tab w:val="num" w:pos="851"/>
        </w:tabs>
        <w:spacing w:before="0"/>
        <w:ind w:left="851" w:hanging="851"/>
        <w:rPr>
          <w:rFonts w:cs="Arial"/>
          <w:color w:val="auto"/>
          <w:szCs w:val="24"/>
        </w:rPr>
      </w:pPr>
      <w:r w:rsidRPr="0052046F">
        <w:rPr>
          <w:rFonts w:eastAsia="Calibri"/>
          <w:color w:val="auto"/>
          <w:szCs w:val="22"/>
          <w:lang w:eastAsia="en-US"/>
        </w:rPr>
        <w:t>It is important that new housing development is of high quality, in order to enhance or create a distinctive sense of place, where people will be proud of their neighbourhood. Building for a Healthy</w:t>
      </w:r>
      <w:r w:rsidR="00F753D6">
        <w:rPr>
          <w:rFonts w:eastAsia="Calibri"/>
          <w:color w:val="auto"/>
          <w:szCs w:val="22"/>
          <w:lang w:eastAsia="en-US"/>
        </w:rPr>
        <w:t xml:space="preserve"> Life</w:t>
      </w:r>
      <w:r w:rsidR="00F753D6">
        <w:rPr>
          <w:rStyle w:val="FootnoteReference"/>
          <w:rFonts w:eastAsia="Calibri"/>
          <w:color w:val="auto"/>
          <w:szCs w:val="22"/>
          <w:lang w:eastAsia="en-US"/>
        </w:rPr>
        <w:footnoteReference w:id="54"/>
      </w:r>
      <w:r w:rsidRPr="0052046F">
        <w:rPr>
          <w:rFonts w:eastAsia="Calibri"/>
          <w:color w:val="auto"/>
          <w:szCs w:val="22"/>
          <w:lang w:eastAsia="en-US"/>
        </w:rPr>
        <w:t xml:space="preserve"> is an established and recognised methodology for assessing the design of new housing and neighbourhoods, and all new housing development will be expected to perform well against it, or any successor standards.  </w:t>
      </w:r>
      <w:bookmarkStart w:id="55" w:name="_Hlk77669697"/>
    </w:p>
    <w:p w14:paraId="3E2AD533" w14:textId="77777777" w:rsidR="0052046F" w:rsidRPr="0052046F" w:rsidRDefault="0052046F" w:rsidP="00F260E8">
      <w:pPr>
        <w:keepNext w:val="0"/>
        <w:spacing w:before="0"/>
        <w:ind w:left="851"/>
        <w:rPr>
          <w:rFonts w:cs="Arial"/>
          <w:color w:val="auto"/>
          <w:szCs w:val="24"/>
        </w:rPr>
      </w:pPr>
    </w:p>
    <w:p w14:paraId="42A07813" w14:textId="3B050A8E" w:rsidR="0052046F" w:rsidRPr="0052046F" w:rsidRDefault="0052046F" w:rsidP="00CD61AD">
      <w:pPr>
        <w:keepNext w:val="0"/>
        <w:numPr>
          <w:ilvl w:val="1"/>
          <w:numId w:val="344"/>
        </w:numPr>
        <w:tabs>
          <w:tab w:val="clear" w:pos="525"/>
          <w:tab w:val="num" w:pos="851"/>
        </w:tabs>
        <w:spacing w:before="0"/>
        <w:ind w:left="851" w:hanging="851"/>
        <w:rPr>
          <w:rFonts w:cs="Arial"/>
          <w:color w:val="auto"/>
          <w:szCs w:val="24"/>
        </w:rPr>
      </w:pPr>
      <w:r w:rsidRPr="0052046F">
        <w:rPr>
          <w:rFonts w:eastAsia="Calibri" w:cs="Arial"/>
          <w:color w:val="auto"/>
          <w:szCs w:val="24"/>
        </w:rPr>
        <w:t xml:space="preserve">The Localism Act of 2011 introduced a new right for communities to shape their local areas. Neighbourhood Plans provide an opportunity for local people to </w:t>
      </w:r>
      <w:r w:rsidR="00416653" w:rsidRPr="0052046F">
        <w:rPr>
          <w:rFonts w:eastAsia="Calibri" w:cs="Arial"/>
          <w:color w:val="auto"/>
          <w:szCs w:val="24"/>
        </w:rPr>
        <w:t>help actively and positively</w:t>
      </w:r>
      <w:r w:rsidRPr="0052046F">
        <w:rPr>
          <w:rFonts w:eastAsia="Calibri" w:cs="Arial"/>
          <w:color w:val="auto"/>
          <w:szCs w:val="24"/>
        </w:rPr>
        <w:t xml:space="preserve"> to make their local area a great place to live and work</w:t>
      </w:r>
      <w:r w:rsidRPr="0052046F">
        <w:rPr>
          <w:rFonts w:eastAsia="Calibri" w:cs="Arial"/>
          <w:color w:val="auto"/>
          <w:szCs w:val="24"/>
          <w:vertAlign w:val="superscript"/>
        </w:rPr>
        <w:footnoteReference w:id="55"/>
      </w:r>
      <w:r w:rsidRPr="0052046F">
        <w:rPr>
          <w:rFonts w:eastAsia="Calibri" w:cs="Arial"/>
          <w:color w:val="auto"/>
          <w:szCs w:val="24"/>
        </w:rPr>
        <w:t>. The Council will support parish councils and community groups who form neighbourhood forums to prepare a neighbourhood plan/order provided that it is undertake in accordance with the regulations and strategic requirements set out in the Local Plan.</w:t>
      </w:r>
    </w:p>
    <w:p w14:paraId="6A075F81" w14:textId="1B6786DD" w:rsidR="00D0642D" w:rsidRDefault="00D0642D" w:rsidP="00EE39E9">
      <w:pPr>
        <w:pStyle w:val="ListParagraph"/>
        <w:spacing w:after="0" w:line="240" w:lineRule="auto"/>
        <w:rPr>
          <w:rFonts w:ascii="Arial" w:eastAsia="Calibri" w:hAnsi="Arial" w:cs="Arial"/>
          <w:color w:val="auto"/>
          <w:szCs w:val="24"/>
        </w:rPr>
      </w:pPr>
      <w:bookmarkStart w:id="56" w:name="_Hlk79153383"/>
      <w:bookmarkEnd w:id="55"/>
    </w:p>
    <w:p w14:paraId="33A971E9" w14:textId="77777777" w:rsidR="00CD61AD" w:rsidRDefault="00CD61AD" w:rsidP="00EE39E9">
      <w:pPr>
        <w:pStyle w:val="ListParagraph"/>
        <w:spacing w:after="0" w:line="240" w:lineRule="auto"/>
        <w:rPr>
          <w:rFonts w:ascii="Arial" w:eastAsia="Calibri" w:hAnsi="Arial" w:cs="Arial"/>
          <w:color w:val="auto"/>
          <w:szCs w:val="24"/>
        </w:rPr>
      </w:pPr>
    </w:p>
    <w:p w14:paraId="07F76B85" w14:textId="77777777" w:rsidR="00CD61AD" w:rsidRDefault="00CD61AD" w:rsidP="00EE39E9">
      <w:pPr>
        <w:pStyle w:val="ListParagraph"/>
        <w:spacing w:after="0" w:line="240" w:lineRule="auto"/>
        <w:rPr>
          <w:rFonts w:ascii="Arial" w:eastAsia="Calibri" w:hAnsi="Arial" w:cs="Arial"/>
          <w:color w:val="auto"/>
          <w:szCs w:val="24"/>
        </w:rPr>
      </w:pPr>
    </w:p>
    <w:p w14:paraId="013603E6" w14:textId="6D92B075" w:rsidR="009933FB" w:rsidRPr="009D5737" w:rsidRDefault="009933FB" w:rsidP="009D5737">
      <w:pPr>
        <w:pStyle w:val="Heading2"/>
        <w:jc w:val="left"/>
        <w:rPr>
          <w:sz w:val="28"/>
          <w:szCs w:val="28"/>
        </w:rPr>
      </w:pPr>
      <w:bookmarkStart w:id="57" w:name="_Toc145511558"/>
      <w:bookmarkStart w:id="58" w:name="_Hlk83014372"/>
      <w:bookmarkStart w:id="59" w:name="_Hlk78538142"/>
      <w:bookmarkEnd w:id="52"/>
      <w:r w:rsidRPr="009D5737">
        <w:rPr>
          <w:sz w:val="28"/>
          <w:szCs w:val="28"/>
        </w:rPr>
        <w:t>Strategic Policy S</w:t>
      </w:r>
      <w:r w:rsidR="00295930" w:rsidRPr="009D5737">
        <w:rPr>
          <w:sz w:val="28"/>
          <w:szCs w:val="28"/>
        </w:rPr>
        <w:t>6</w:t>
      </w:r>
      <w:r w:rsidRPr="009D5737">
        <w:rPr>
          <w:sz w:val="28"/>
          <w:szCs w:val="28"/>
        </w:rPr>
        <w:t xml:space="preserve">: </w:t>
      </w:r>
      <w:r w:rsidR="00162A7B" w:rsidRPr="009D5737">
        <w:rPr>
          <w:sz w:val="28"/>
          <w:szCs w:val="28"/>
        </w:rPr>
        <w:t xml:space="preserve">Meeting Future Needs - </w:t>
      </w:r>
      <w:r w:rsidRPr="009D5737">
        <w:rPr>
          <w:sz w:val="28"/>
          <w:szCs w:val="28"/>
        </w:rPr>
        <w:t xml:space="preserve">Strategic Employment Allocation </w:t>
      </w:r>
      <w:r w:rsidR="009E6F00" w:rsidRPr="009D5737">
        <w:rPr>
          <w:sz w:val="28"/>
          <w:szCs w:val="28"/>
        </w:rPr>
        <w:t xml:space="preserve">at </w:t>
      </w:r>
      <w:r w:rsidRPr="009D5737">
        <w:rPr>
          <w:sz w:val="28"/>
          <w:szCs w:val="28"/>
        </w:rPr>
        <w:t>Junction 27 M1 Motorway</w:t>
      </w:r>
      <w:bookmarkEnd w:id="57"/>
    </w:p>
    <w:bookmarkEnd w:id="58"/>
    <w:p w14:paraId="52CC52D0" w14:textId="77777777" w:rsidR="00BD197D" w:rsidRDefault="00BD197D" w:rsidP="00BD197D">
      <w:pPr>
        <w:keepNext w:val="0"/>
        <w:spacing w:before="0"/>
        <w:rPr>
          <w:rFonts w:cs="Arial"/>
          <w:b/>
          <w:bCs/>
          <w:iCs/>
          <w:color w:val="auto"/>
          <w:szCs w:val="24"/>
        </w:rPr>
      </w:pPr>
    </w:p>
    <w:p w14:paraId="184DD5AF" w14:textId="77777777" w:rsidR="009D5737" w:rsidRPr="00BD197D" w:rsidRDefault="009D5737" w:rsidP="00BD197D">
      <w:pPr>
        <w:keepNext w:val="0"/>
        <w:spacing w:before="0"/>
        <w:rPr>
          <w:rFonts w:cs="Arial"/>
          <w:b/>
          <w:bCs/>
          <w:iCs/>
          <w:color w:val="auto"/>
          <w:szCs w:val="24"/>
        </w:rPr>
      </w:pPr>
    </w:p>
    <w:tbl>
      <w:tblPr>
        <w:tblStyle w:val="ReportTable1"/>
        <w:tblW w:w="9634" w:type="dxa"/>
        <w:tblLook w:val="04A0" w:firstRow="1" w:lastRow="0" w:firstColumn="1" w:lastColumn="0" w:noHBand="0" w:noVBand="1"/>
      </w:tblPr>
      <w:tblGrid>
        <w:gridCol w:w="1838"/>
        <w:gridCol w:w="1276"/>
        <w:gridCol w:w="6520"/>
      </w:tblGrid>
      <w:tr w:rsidR="00BD197D" w:rsidRPr="00BD197D" w14:paraId="33AE825F" w14:textId="77777777" w:rsidTr="009D4C91">
        <w:tc>
          <w:tcPr>
            <w:tcW w:w="9634" w:type="dxa"/>
            <w:gridSpan w:val="3"/>
          </w:tcPr>
          <w:p w14:paraId="0391CD9B" w14:textId="77777777" w:rsidR="00BD197D" w:rsidRPr="00BD197D" w:rsidRDefault="00BD197D" w:rsidP="00BD197D">
            <w:pPr>
              <w:keepNext w:val="0"/>
              <w:spacing w:before="0"/>
              <w:rPr>
                <w:rFonts w:eastAsia="Arial" w:cs="Arial"/>
                <w:b/>
                <w:color w:val="auto"/>
              </w:rPr>
            </w:pPr>
          </w:p>
          <w:p w14:paraId="2A873605" w14:textId="66BCA0BA" w:rsidR="00BD197D" w:rsidRDefault="00BD197D" w:rsidP="00BD197D">
            <w:pPr>
              <w:keepNext w:val="0"/>
              <w:spacing w:before="0"/>
              <w:rPr>
                <w:rFonts w:eastAsia="Arial" w:cs="Arial"/>
                <w:b/>
                <w:color w:val="auto"/>
              </w:rPr>
            </w:pPr>
            <w:r w:rsidRPr="00BD197D">
              <w:rPr>
                <w:rFonts w:eastAsia="Arial" w:cs="Arial"/>
                <w:b/>
                <w:color w:val="auto"/>
              </w:rPr>
              <w:t xml:space="preserve">Strategic Policy </w:t>
            </w:r>
            <w:r w:rsidRPr="00372D94">
              <w:rPr>
                <w:rFonts w:eastAsia="Arial" w:cs="Arial"/>
                <w:b/>
              </w:rPr>
              <w:t>S</w:t>
            </w:r>
            <w:r w:rsidR="00295930" w:rsidRPr="00372D94">
              <w:rPr>
                <w:rFonts w:eastAsia="Arial" w:cs="Arial"/>
                <w:b/>
              </w:rPr>
              <w:t>6</w:t>
            </w:r>
            <w:r w:rsidRPr="00372D94">
              <w:rPr>
                <w:rFonts w:eastAsia="Arial" w:cs="Arial"/>
                <w:b/>
              </w:rPr>
              <w:t>:</w:t>
            </w:r>
            <w:r w:rsidRPr="00BD197D">
              <w:rPr>
                <w:rFonts w:eastAsia="Arial" w:cs="Arial"/>
                <w:b/>
                <w:color w:val="auto"/>
              </w:rPr>
              <w:t xml:space="preserve"> </w:t>
            </w:r>
            <w:r w:rsidR="00162A7B" w:rsidRPr="00162A7B">
              <w:rPr>
                <w:rFonts w:eastAsia="Arial" w:cs="Arial"/>
                <w:b/>
                <w:color w:val="auto"/>
              </w:rPr>
              <w:t xml:space="preserve">Meeting Future Needs - </w:t>
            </w:r>
            <w:r w:rsidRPr="00BD197D">
              <w:rPr>
                <w:rFonts w:eastAsia="Arial" w:cs="Arial"/>
                <w:b/>
                <w:color w:val="auto"/>
              </w:rPr>
              <w:t>Strategic Employment Allocation</w:t>
            </w:r>
            <w:r w:rsidR="00910CAF">
              <w:rPr>
                <w:rFonts w:eastAsia="Arial" w:cs="Arial"/>
                <w:b/>
                <w:color w:val="auto"/>
              </w:rPr>
              <w:t>s</w:t>
            </w:r>
            <w:r w:rsidRPr="00BD197D">
              <w:rPr>
                <w:rFonts w:eastAsia="Arial" w:cs="Arial"/>
                <w:b/>
                <w:color w:val="auto"/>
              </w:rPr>
              <w:t xml:space="preserve"> Junction 27, M1 Motorway, Annesley</w:t>
            </w:r>
          </w:p>
          <w:p w14:paraId="0B897732" w14:textId="11775868" w:rsidR="009B4089" w:rsidRPr="00BD197D" w:rsidRDefault="009B4089" w:rsidP="00BD197D">
            <w:pPr>
              <w:keepNext w:val="0"/>
              <w:spacing w:before="0"/>
              <w:rPr>
                <w:rFonts w:cs="Arial"/>
                <w:b/>
                <w:bCs/>
                <w:color w:val="auto"/>
                <w:szCs w:val="24"/>
              </w:rPr>
            </w:pPr>
          </w:p>
        </w:tc>
      </w:tr>
      <w:tr w:rsidR="00BD197D" w:rsidRPr="00BD197D" w14:paraId="1514559C" w14:textId="77777777" w:rsidTr="009D4C91">
        <w:tc>
          <w:tcPr>
            <w:tcW w:w="3114" w:type="dxa"/>
            <w:gridSpan w:val="2"/>
          </w:tcPr>
          <w:p w14:paraId="48CC3BBF" w14:textId="77777777" w:rsidR="00BD197D" w:rsidRPr="00BD197D" w:rsidRDefault="00BD197D" w:rsidP="00BD197D">
            <w:pPr>
              <w:keepNext w:val="0"/>
              <w:spacing w:before="0"/>
              <w:rPr>
                <w:rFonts w:eastAsia="Arial" w:cs="Arial"/>
                <w:b/>
                <w:color w:val="auto"/>
              </w:rPr>
            </w:pPr>
            <w:r w:rsidRPr="00BD197D">
              <w:rPr>
                <w:rFonts w:eastAsia="Arial" w:cs="Arial"/>
                <w:bCs/>
                <w:color w:val="auto"/>
              </w:rPr>
              <w:t>Strategic Objectives</w:t>
            </w:r>
          </w:p>
        </w:tc>
        <w:tc>
          <w:tcPr>
            <w:tcW w:w="6520" w:type="dxa"/>
          </w:tcPr>
          <w:p w14:paraId="5E1CE1EE" w14:textId="77777777" w:rsidR="00BD197D" w:rsidRPr="00BD197D" w:rsidRDefault="00BD197D" w:rsidP="00BD197D">
            <w:pPr>
              <w:keepNext w:val="0"/>
              <w:spacing w:before="0"/>
              <w:rPr>
                <w:rFonts w:eastAsia="Arial" w:cs="Arial"/>
                <w:b/>
                <w:color w:val="auto"/>
              </w:rPr>
            </w:pPr>
            <w:r w:rsidRPr="00BD197D">
              <w:rPr>
                <w:rFonts w:eastAsia="Arial" w:cs="Arial"/>
                <w:bCs/>
                <w:color w:val="auto"/>
              </w:rPr>
              <w:t>SO1, S02, SO3, SO4, SO11, SO12, SO13, SO14</w:t>
            </w:r>
          </w:p>
        </w:tc>
      </w:tr>
      <w:tr w:rsidR="00BD197D" w:rsidRPr="00BD197D" w14:paraId="7D6D13D2" w14:textId="77777777" w:rsidTr="009D4C91">
        <w:tc>
          <w:tcPr>
            <w:tcW w:w="9634" w:type="dxa"/>
            <w:gridSpan w:val="3"/>
            <w:shd w:val="clear" w:color="auto" w:fill="D9D9D9" w:themeFill="background1" w:themeFillShade="D9"/>
          </w:tcPr>
          <w:p w14:paraId="4824F599" w14:textId="77777777" w:rsidR="00BD197D" w:rsidRPr="00971F1A" w:rsidRDefault="00BD197D" w:rsidP="00BD197D">
            <w:pPr>
              <w:keepNext w:val="0"/>
              <w:spacing w:before="0"/>
              <w:rPr>
                <w:rFonts w:eastAsia="Arial" w:cs="Arial"/>
                <w:bCs/>
              </w:rPr>
            </w:pPr>
          </w:p>
          <w:p w14:paraId="4CEEC3B3" w14:textId="1FD697C4" w:rsidR="00BD197D" w:rsidRPr="00971F1A" w:rsidRDefault="00BD197D" w:rsidP="00BD197D">
            <w:pPr>
              <w:keepNext w:val="0"/>
              <w:spacing w:before="0"/>
              <w:rPr>
                <w:rFonts w:eastAsia="Arial" w:cs="Arial"/>
                <w:bCs/>
              </w:rPr>
            </w:pPr>
            <w:r w:rsidRPr="00971F1A">
              <w:rPr>
                <w:rFonts w:eastAsia="Arial" w:cs="Arial"/>
                <w:bCs/>
              </w:rPr>
              <w:t>Employment land development</w:t>
            </w:r>
            <w:r w:rsidR="00BC3D9B">
              <w:rPr>
                <w:rFonts w:eastAsia="Arial" w:cs="Arial"/>
                <w:bCs/>
              </w:rPr>
              <w:t>,</w:t>
            </w:r>
            <w:r w:rsidRPr="00971F1A">
              <w:rPr>
                <w:rFonts w:eastAsia="Arial" w:cs="Arial"/>
                <w:bCs/>
              </w:rPr>
              <w:t xml:space="preserve"> </w:t>
            </w:r>
            <w:r w:rsidR="00BC3D9B">
              <w:rPr>
                <w:rFonts w:eastAsia="Arial" w:cs="Arial"/>
                <w:bCs/>
              </w:rPr>
              <w:t xml:space="preserve">principally for logistic and distribution, </w:t>
            </w:r>
            <w:r w:rsidRPr="00971F1A">
              <w:rPr>
                <w:rFonts w:eastAsia="Arial" w:cs="Arial"/>
                <w:bCs/>
              </w:rPr>
              <w:t>will be permitted on land off Junction 27 of the M1 Motorway as shown on the Policies Map:</w:t>
            </w:r>
          </w:p>
          <w:p w14:paraId="7EB5D0C7" w14:textId="77777777" w:rsidR="003444EA" w:rsidRPr="00971F1A" w:rsidRDefault="003444EA" w:rsidP="00BD197D">
            <w:pPr>
              <w:keepNext w:val="0"/>
              <w:spacing w:before="0"/>
              <w:rPr>
                <w:rFonts w:eastAsia="Arial" w:cs="Arial"/>
                <w:bCs/>
              </w:rPr>
            </w:pPr>
          </w:p>
          <w:p w14:paraId="08879690" w14:textId="5228DB4B" w:rsidR="00BD197D" w:rsidRPr="00971F1A" w:rsidRDefault="00BD197D" w:rsidP="00910CAF">
            <w:pPr>
              <w:pStyle w:val="ListParagraph"/>
              <w:numPr>
                <w:ilvl w:val="1"/>
                <w:numId w:val="11"/>
              </w:numPr>
              <w:tabs>
                <w:tab w:val="clear" w:pos="964"/>
              </w:tabs>
              <w:spacing w:after="160" w:line="252" w:lineRule="auto"/>
              <w:ind w:left="306" w:hanging="306"/>
              <w:rPr>
                <w:rFonts w:ascii="Arial" w:eastAsia="Arial" w:hAnsi="Arial" w:cs="Arial"/>
                <w:b/>
              </w:rPr>
            </w:pPr>
            <w:r w:rsidRPr="00971F1A">
              <w:rPr>
                <w:rFonts w:ascii="Arial" w:eastAsia="Arial" w:hAnsi="Arial" w:cs="Arial"/>
                <w:b/>
              </w:rPr>
              <w:t>Land to the North</w:t>
            </w:r>
            <w:r w:rsidR="00580F27" w:rsidRPr="00971F1A">
              <w:rPr>
                <w:rFonts w:ascii="Arial" w:eastAsia="Arial" w:hAnsi="Arial" w:cs="Arial"/>
                <w:b/>
              </w:rPr>
              <w:t>-</w:t>
            </w:r>
            <w:r w:rsidRPr="00971F1A">
              <w:rPr>
                <w:rFonts w:ascii="Arial" w:eastAsia="Arial" w:hAnsi="Arial" w:cs="Arial"/>
                <w:b/>
              </w:rPr>
              <w:t xml:space="preserve">East of Junction 27 and west of Sherwood Business Park comprising a gross site area of </w:t>
            </w:r>
            <w:r w:rsidR="00265BB0" w:rsidRPr="00971F1A">
              <w:rPr>
                <w:rFonts w:ascii="Arial" w:eastAsia="Arial" w:hAnsi="Arial" w:cs="Arial"/>
                <w:b/>
              </w:rPr>
              <w:t xml:space="preserve">approximately </w:t>
            </w:r>
            <w:r w:rsidRPr="00971F1A">
              <w:rPr>
                <w:rFonts w:ascii="Arial" w:eastAsia="Arial" w:hAnsi="Arial" w:cs="Arial"/>
                <w:b/>
              </w:rPr>
              <w:t>20.</w:t>
            </w:r>
            <w:r w:rsidR="00265BB0" w:rsidRPr="00971F1A">
              <w:rPr>
                <w:rFonts w:ascii="Arial" w:eastAsia="Arial" w:hAnsi="Arial" w:cs="Arial"/>
                <w:b/>
              </w:rPr>
              <w:t>47</w:t>
            </w:r>
            <w:r w:rsidRPr="00971F1A">
              <w:rPr>
                <w:rFonts w:ascii="Arial" w:eastAsia="Arial" w:hAnsi="Arial" w:cs="Arial"/>
                <w:b/>
              </w:rPr>
              <w:t xml:space="preserve"> hectares.</w:t>
            </w:r>
          </w:p>
          <w:p w14:paraId="1CCDE8E6" w14:textId="7FFDB892" w:rsidR="00BD197D" w:rsidRPr="0073604D" w:rsidRDefault="00BD197D" w:rsidP="00BD197D">
            <w:pPr>
              <w:keepNext w:val="0"/>
              <w:spacing w:before="0"/>
              <w:rPr>
                <w:rFonts w:eastAsia="Arial" w:cs="Arial"/>
                <w:bCs/>
              </w:rPr>
            </w:pPr>
            <w:bookmarkStart w:id="60" w:name="_Hlk146272607"/>
            <w:bookmarkStart w:id="61" w:name="_Hlk146272934"/>
            <w:r w:rsidRPr="00971F1A">
              <w:rPr>
                <w:rFonts w:eastAsia="Arial" w:cs="Arial"/>
                <w:bCs/>
              </w:rPr>
              <w:t xml:space="preserve">The site is of strategic employment importance given its relationship to the principal areas of growth and its accessibility via the strategic road network.  It will create high </w:t>
            </w:r>
            <w:r w:rsidRPr="00971F1A">
              <w:rPr>
                <w:rFonts w:eastAsia="Arial" w:cs="Arial"/>
                <w:bCs/>
              </w:rPr>
              <w:lastRenderedPageBreak/>
              <w:t xml:space="preserve">quality business space </w:t>
            </w:r>
            <w:r w:rsidR="00045A5E" w:rsidRPr="00971F1A">
              <w:rPr>
                <w:rFonts w:eastAsia="Arial" w:cs="Arial"/>
                <w:bCs/>
              </w:rPr>
              <w:t xml:space="preserve">to contribute towards meeting the regional demand for logistics.  </w:t>
            </w:r>
            <w:bookmarkEnd w:id="60"/>
            <w:r w:rsidR="00045A5E" w:rsidRPr="0073604D">
              <w:rPr>
                <w:rFonts w:eastAsia="Arial" w:cs="Arial"/>
                <w:bCs/>
              </w:rPr>
              <w:t xml:space="preserve">The site </w:t>
            </w:r>
            <w:r w:rsidR="00890358" w:rsidRPr="0073604D">
              <w:rPr>
                <w:rFonts w:eastAsia="Arial" w:cs="Arial"/>
                <w:bCs/>
              </w:rPr>
              <w:t>will deliver</w:t>
            </w:r>
            <w:r w:rsidRPr="0073604D">
              <w:rPr>
                <w:rFonts w:eastAsia="Arial" w:cs="Arial"/>
                <w:bCs/>
              </w:rPr>
              <w:t>:</w:t>
            </w:r>
          </w:p>
          <w:bookmarkEnd w:id="61"/>
          <w:p w14:paraId="226C7FEC" w14:textId="2286E62B" w:rsidR="00BD197D" w:rsidRPr="0073604D" w:rsidRDefault="00BD197D" w:rsidP="00BD197D">
            <w:pPr>
              <w:keepNext w:val="0"/>
              <w:spacing w:before="0"/>
              <w:rPr>
                <w:rFonts w:eastAsia="Arial" w:cs="Arial"/>
                <w:bCs/>
                <w:u w:val="single"/>
              </w:rPr>
            </w:pPr>
          </w:p>
          <w:p w14:paraId="37743556" w14:textId="4495EFA8" w:rsidR="00BD197D" w:rsidRPr="0073604D" w:rsidRDefault="00C867BE" w:rsidP="00874A98">
            <w:pPr>
              <w:keepNext w:val="0"/>
              <w:numPr>
                <w:ilvl w:val="0"/>
                <w:numId w:val="213"/>
              </w:numPr>
              <w:spacing w:before="0" w:after="160" w:line="252" w:lineRule="auto"/>
              <w:contextualSpacing/>
              <w:rPr>
                <w:rFonts w:eastAsia="Arial" w:cs="Arial"/>
                <w:bCs/>
              </w:rPr>
            </w:pPr>
            <w:r w:rsidRPr="0073604D">
              <w:rPr>
                <w:rFonts w:eastAsia="Arial" w:cs="Arial"/>
                <w:bCs/>
              </w:rPr>
              <w:t>D</w:t>
            </w:r>
            <w:r w:rsidR="00BD197D" w:rsidRPr="0073604D">
              <w:rPr>
                <w:rFonts w:eastAsia="Arial" w:cs="Arial"/>
                <w:bCs/>
              </w:rPr>
              <w:t>evelopment of business</w:t>
            </w:r>
            <w:r w:rsidRPr="0073604D">
              <w:rPr>
                <w:rFonts w:eastAsia="Arial" w:cs="Arial"/>
                <w:bCs/>
              </w:rPr>
              <w:t>es</w:t>
            </w:r>
            <w:r w:rsidR="00BD197D" w:rsidRPr="0073604D">
              <w:rPr>
                <w:rFonts w:eastAsia="Arial" w:cs="Arial"/>
                <w:bCs/>
              </w:rPr>
              <w:t xml:space="preserve"> operated substantially within the logistics sector</w:t>
            </w:r>
            <w:r w:rsidR="00263588" w:rsidRPr="0073604D">
              <w:rPr>
                <w:rFonts w:eastAsia="Arial" w:cs="Arial"/>
                <w:bCs/>
              </w:rPr>
              <w:t>;</w:t>
            </w:r>
          </w:p>
          <w:p w14:paraId="002EEB5A" w14:textId="6A168128" w:rsidR="00BD197D" w:rsidRPr="0073604D" w:rsidRDefault="00971F1A" w:rsidP="00874A98">
            <w:pPr>
              <w:keepNext w:val="0"/>
              <w:numPr>
                <w:ilvl w:val="0"/>
                <w:numId w:val="213"/>
              </w:numPr>
              <w:spacing w:before="0" w:after="160" w:line="252" w:lineRule="auto"/>
              <w:contextualSpacing/>
              <w:rPr>
                <w:rFonts w:eastAsia="Arial" w:cs="Arial"/>
                <w:bCs/>
              </w:rPr>
            </w:pPr>
            <w:r w:rsidRPr="0073604D">
              <w:rPr>
                <w:rFonts w:eastAsia="Arial" w:cs="Arial"/>
                <w:bCs/>
              </w:rPr>
              <w:t>H</w:t>
            </w:r>
            <w:r w:rsidR="00BD197D" w:rsidRPr="0073604D">
              <w:rPr>
                <w:rFonts w:eastAsia="Arial" w:cs="Arial"/>
                <w:bCs/>
              </w:rPr>
              <w:t xml:space="preserve">igh-quality </w:t>
            </w:r>
            <w:r w:rsidR="00832DE8" w:rsidRPr="0073604D">
              <w:rPr>
                <w:rFonts w:eastAsia="Arial" w:cs="Arial"/>
                <w:bCs/>
              </w:rPr>
              <w:t xml:space="preserve">sustainable buildings, which are carbon neutral with the </w:t>
            </w:r>
            <w:r w:rsidR="00BD197D" w:rsidRPr="0073604D">
              <w:rPr>
                <w:rFonts w:eastAsia="Arial" w:cs="Arial"/>
                <w:bCs/>
              </w:rPr>
              <w:t xml:space="preserve">design in the form and layout of the buildings and green space, which respond to </w:t>
            </w:r>
            <w:r w:rsidR="00832DE8" w:rsidRPr="0073604D">
              <w:rPr>
                <w:rFonts w:eastAsia="Arial" w:cs="Arial"/>
                <w:bCs/>
              </w:rPr>
              <w:t>site levels so as to minimise the visual impact on the</w:t>
            </w:r>
            <w:r w:rsidR="00BD197D" w:rsidRPr="0073604D">
              <w:rPr>
                <w:rFonts w:eastAsia="Arial" w:cs="Arial"/>
                <w:bCs/>
              </w:rPr>
              <w:t xml:space="preserve"> landscape</w:t>
            </w:r>
            <w:r w:rsidR="00263588" w:rsidRPr="0073604D">
              <w:rPr>
                <w:rFonts w:eastAsia="Arial" w:cs="Arial"/>
                <w:bCs/>
              </w:rPr>
              <w:t>;</w:t>
            </w:r>
          </w:p>
          <w:p w14:paraId="763E1682" w14:textId="0CD3ACF3" w:rsidR="00C867BE" w:rsidRPr="0073604D" w:rsidRDefault="00C867BE" w:rsidP="00874A98">
            <w:pPr>
              <w:keepNext w:val="0"/>
              <w:numPr>
                <w:ilvl w:val="0"/>
                <w:numId w:val="213"/>
              </w:numPr>
              <w:spacing w:before="0" w:after="160" w:line="252" w:lineRule="auto"/>
              <w:contextualSpacing/>
              <w:rPr>
                <w:rFonts w:eastAsia="Arial" w:cs="Arial"/>
                <w:bCs/>
              </w:rPr>
            </w:pPr>
            <w:r w:rsidRPr="0073604D">
              <w:rPr>
                <w:rFonts w:eastAsia="Arial" w:cs="Arial"/>
                <w:bCs/>
              </w:rPr>
              <w:t>The sensitive design and location of buildings that support the positive development of the site whilst respecting local character and distinctiveness</w:t>
            </w:r>
            <w:r w:rsidR="00263588" w:rsidRPr="0073604D">
              <w:rPr>
                <w:rFonts w:eastAsia="Arial" w:cs="Arial"/>
                <w:bCs/>
              </w:rPr>
              <w:t>;</w:t>
            </w:r>
          </w:p>
          <w:p w14:paraId="23079DA2" w14:textId="1D6468E5" w:rsidR="00BD197D" w:rsidRPr="0073604D" w:rsidRDefault="00C867BE" w:rsidP="00874A98">
            <w:pPr>
              <w:keepNext w:val="0"/>
              <w:numPr>
                <w:ilvl w:val="0"/>
                <w:numId w:val="213"/>
              </w:numPr>
              <w:spacing w:before="0" w:after="160" w:line="252" w:lineRule="auto"/>
              <w:contextualSpacing/>
              <w:rPr>
                <w:rFonts w:eastAsia="Arial" w:cs="Arial"/>
                <w:bCs/>
              </w:rPr>
            </w:pPr>
            <w:r w:rsidRPr="0073604D">
              <w:rPr>
                <w:rFonts w:eastAsia="Arial" w:cs="Arial"/>
                <w:bCs/>
              </w:rPr>
              <w:t>A</w:t>
            </w:r>
            <w:r w:rsidR="00BD197D" w:rsidRPr="0073604D">
              <w:rPr>
                <w:rFonts w:eastAsia="Arial" w:cs="Arial"/>
                <w:bCs/>
              </w:rPr>
              <w:t xml:space="preserve"> comprehensive package of highway improvements to facilitate the employment site</w:t>
            </w:r>
            <w:r w:rsidRPr="0073604D">
              <w:rPr>
                <w:rFonts w:eastAsia="Arial" w:cs="Arial"/>
                <w:bCs/>
              </w:rPr>
              <w:t xml:space="preserve"> including all necessary transport infrastructure improvements through direct mitigation or contributions to new and improved infrastructure, informed by National Highways and Local Highways Authority advice</w:t>
            </w:r>
            <w:r w:rsidR="00632834" w:rsidRPr="0073604D">
              <w:rPr>
                <w:rFonts w:eastAsia="Arial" w:cs="Arial"/>
                <w:bCs/>
              </w:rPr>
              <w:t>;</w:t>
            </w:r>
          </w:p>
          <w:p w14:paraId="0013D9FC" w14:textId="70722A52" w:rsidR="00973BDE" w:rsidRPr="0073604D" w:rsidRDefault="00973BDE" w:rsidP="00874A98">
            <w:pPr>
              <w:keepNext w:val="0"/>
              <w:numPr>
                <w:ilvl w:val="0"/>
                <w:numId w:val="213"/>
              </w:numPr>
              <w:spacing w:before="0" w:after="160" w:line="252" w:lineRule="auto"/>
              <w:contextualSpacing/>
              <w:rPr>
                <w:rFonts w:eastAsia="Arial" w:cs="Arial"/>
                <w:bCs/>
              </w:rPr>
            </w:pPr>
            <w:r w:rsidRPr="0073604D">
              <w:rPr>
                <w:rFonts w:eastAsia="Arial" w:cs="Arial"/>
                <w:bCs/>
              </w:rPr>
              <w:t>An appropriate financial contribution towards extending a high frequency bus service to the site supported by appropriate public transport infrastructure in or close proximity to the site</w:t>
            </w:r>
            <w:r w:rsidR="00263588" w:rsidRPr="0073604D">
              <w:rPr>
                <w:rFonts w:eastAsia="Arial" w:cs="Arial"/>
                <w:bCs/>
              </w:rPr>
              <w:t>;</w:t>
            </w:r>
          </w:p>
          <w:p w14:paraId="763723B2" w14:textId="1A36FF8B" w:rsidR="00BD197D" w:rsidRPr="0073604D" w:rsidRDefault="004C757A" w:rsidP="00874A98">
            <w:pPr>
              <w:keepNext w:val="0"/>
              <w:numPr>
                <w:ilvl w:val="0"/>
                <w:numId w:val="213"/>
              </w:numPr>
              <w:spacing w:before="0" w:after="160" w:line="252" w:lineRule="auto"/>
              <w:contextualSpacing/>
              <w:rPr>
                <w:rFonts w:eastAsia="Arial" w:cs="Arial"/>
                <w:bCs/>
              </w:rPr>
            </w:pPr>
            <w:r w:rsidRPr="0073604D">
              <w:rPr>
                <w:rFonts w:eastAsia="Arial" w:cs="Arial"/>
                <w:bCs/>
              </w:rPr>
              <w:t>Facilitates and enhances the right of way networking including access from north to south onto Weavers Lane</w:t>
            </w:r>
            <w:r w:rsidR="00263588" w:rsidRPr="0073604D">
              <w:rPr>
                <w:rFonts w:eastAsia="Arial" w:cs="Arial"/>
                <w:bCs/>
              </w:rPr>
              <w:t>;</w:t>
            </w:r>
          </w:p>
          <w:p w14:paraId="3C6155B5" w14:textId="77777777" w:rsidR="00BD197D" w:rsidRPr="0073604D" w:rsidRDefault="00BD197D" w:rsidP="00874A98">
            <w:pPr>
              <w:keepNext w:val="0"/>
              <w:numPr>
                <w:ilvl w:val="0"/>
                <w:numId w:val="213"/>
              </w:numPr>
              <w:spacing w:before="0" w:after="160" w:line="252" w:lineRule="auto"/>
              <w:contextualSpacing/>
              <w:rPr>
                <w:rFonts w:eastAsia="Arial" w:cs="Arial"/>
                <w:bCs/>
              </w:rPr>
            </w:pPr>
            <w:r w:rsidRPr="0073604D">
              <w:rPr>
                <w:rFonts w:eastAsia="Arial" w:cs="Arial"/>
                <w:bCs/>
              </w:rPr>
              <w:t>Provides a choice of walking and cycling links to Sherwood Business Park.</w:t>
            </w:r>
          </w:p>
          <w:p w14:paraId="13B26E96" w14:textId="46989D68" w:rsidR="00BD197D" w:rsidRPr="0073604D" w:rsidRDefault="00632834" w:rsidP="00874A98">
            <w:pPr>
              <w:keepNext w:val="0"/>
              <w:numPr>
                <w:ilvl w:val="0"/>
                <w:numId w:val="213"/>
              </w:numPr>
              <w:spacing w:before="0" w:after="160" w:line="252" w:lineRule="auto"/>
              <w:contextualSpacing/>
              <w:rPr>
                <w:rFonts w:eastAsia="Arial" w:cs="Arial"/>
                <w:bCs/>
              </w:rPr>
            </w:pPr>
            <w:r w:rsidRPr="0073604D">
              <w:rPr>
                <w:rFonts w:eastAsia="Arial" w:cs="Arial"/>
                <w:bCs/>
              </w:rPr>
              <w:t>A development that integrates into the landscape to c</w:t>
            </w:r>
            <w:r w:rsidR="00BD197D" w:rsidRPr="0073604D">
              <w:rPr>
                <w:rFonts w:eastAsia="Arial" w:cs="Arial"/>
                <w:bCs/>
              </w:rPr>
              <w:t>reate attractive landscaped edges to the boundaries</w:t>
            </w:r>
            <w:r w:rsidR="00263588" w:rsidRPr="0073604D">
              <w:rPr>
                <w:rFonts w:eastAsia="Arial" w:cs="Arial"/>
                <w:bCs/>
              </w:rPr>
              <w:t>;</w:t>
            </w:r>
          </w:p>
          <w:p w14:paraId="40A3675B" w14:textId="7BB6618A" w:rsidR="00567A3F" w:rsidRPr="0073604D" w:rsidRDefault="00C867BE" w:rsidP="00874A98">
            <w:pPr>
              <w:keepNext w:val="0"/>
              <w:numPr>
                <w:ilvl w:val="0"/>
                <w:numId w:val="213"/>
              </w:numPr>
              <w:spacing w:before="0" w:after="160" w:line="252" w:lineRule="auto"/>
              <w:contextualSpacing/>
              <w:rPr>
                <w:rFonts w:eastAsia="Arial" w:cs="Arial"/>
                <w:bCs/>
              </w:rPr>
            </w:pPr>
            <w:r w:rsidRPr="0073604D">
              <w:rPr>
                <w:rFonts w:eastAsia="Arial" w:cs="Arial"/>
                <w:bCs/>
              </w:rPr>
              <w:t>A scheme of an appropriate scale, layout, form and materials which respects the significance and setting of affected heritage asset</w:t>
            </w:r>
            <w:r w:rsidR="00973BDE" w:rsidRPr="0073604D">
              <w:rPr>
                <w:rFonts w:eastAsia="Arial" w:cs="Arial"/>
                <w:bCs/>
              </w:rPr>
              <w:t>s, m</w:t>
            </w:r>
            <w:r w:rsidR="000C1B98" w:rsidRPr="0073604D">
              <w:rPr>
                <w:rFonts w:eastAsia="Arial" w:cs="Arial"/>
                <w:bCs/>
              </w:rPr>
              <w:t>inimis</w:t>
            </w:r>
            <w:r w:rsidRPr="0073604D">
              <w:rPr>
                <w:rFonts w:eastAsia="Arial" w:cs="Arial"/>
                <w:bCs/>
              </w:rPr>
              <w:t>ing</w:t>
            </w:r>
            <w:r w:rsidR="000C1B98" w:rsidRPr="0073604D">
              <w:rPr>
                <w:rFonts w:eastAsia="Arial" w:cs="Arial"/>
                <w:bCs/>
              </w:rPr>
              <w:t xml:space="preserve"> </w:t>
            </w:r>
            <w:r w:rsidR="00973BDE" w:rsidRPr="0073604D">
              <w:rPr>
                <w:rFonts w:eastAsia="Arial" w:cs="Arial"/>
                <w:bCs/>
              </w:rPr>
              <w:t>any</w:t>
            </w:r>
            <w:r w:rsidR="000C1B98" w:rsidRPr="0073604D">
              <w:rPr>
                <w:rFonts w:eastAsia="Arial" w:cs="Arial"/>
                <w:bCs/>
              </w:rPr>
              <w:t xml:space="preserve"> harm to</w:t>
            </w:r>
            <w:r w:rsidR="00B21D61" w:rsidRPr="0073604D">
              <w:rPr>
                <w:rFonts w:eastAsia="Arial" w:cs="Arial"/>
                <w:bCs/>
              </w:rPr>
              <w:t xml:space="preserve"> </w:t>
            </w:r>
            <w:r w:rsidR="008D7AE2" w:rsidRPr="0073604D">
              <w:rPr>
                <w:rFonts w:eastAsia="Arial" w:cs="Arial"/>
                <w:bCs/>
              </w:rPr>
              <w:t>designated and non-designated heritage assets and their settin</w:t>
            </w:r>
            <w:r w:rsidR="00263588" w:rsidRPr="0073604D">
              <w:rPr>
                <w:rFonts w:eastAsia="Arial" w:cs="Arial"/>
                <w:bCs/>
              </w:rPr>
              <w:t>g;</w:t>
            </w:r>
          </w:p>
          <w:p w14:paraId="3F493C8B" w14:textId="0910E3F2" w:rsidR="00BD197D" w:rsidRPr="0073604D" w:rsidRDefault="00632834" w:rsidP="00874A98">
            <w:pPr>
              <w:keepNext w:val="0"/>
              <w:numPr>
                <w:ilvl w:val="0"/>
                <w:numId w:val="213"/>
              </w:numPr>
              <w:spacing w:before="0" w:after="160" w:line="252" w:lineRule="auto"/>
              <w:contextualSpacing/>
              <w:rPr>
                <w:rFonts w:eastAsia="Arial" w:cs="Arial"/>
                <w:bCs/>
              </w:rPr>
            </w:pPr>
            <w:r w:rsidRPr="0073604D">
              <w:rPr>
                <w:rFonts w:eastAsia="Arial" w:cs="Arial"/>
                <w:bCs/>
              </w:rPr>
              <w:t>The r</w:t>
            </w:r>
            <w:r w:rsidR="00BD197D" w:rsidRPr="0073604D">
              <w:rPr>
                <w:rFonts w:eastAsia="Arial" w:cs="Arial"/>
                <w:bCs/>
              </w:rPr>
              <w:t>et</w:t>
            </w:r>
            <w:r w:rsidRPr="0073604D">
              <w:rPr>
                <w:rFonts w:eastAsia="Arial" w:cs="Arial"/>
                <w:bCs/>
              </w:rPr>
              <w:t>ention</w:t>
            </w:r>
            <w:r w:rsidR="00BD197D" w:rsidRPr="0073604D">
              <w:rPr>
                <w:rFonts w:eastAsia="Arial" w:cs="Arial"/>
                <w:bCs/>
              </w:rPr>
              <w:t>, where possible, exiting hedges and trees together with enhancement of boundary hedges and trees</w:t>
            </w:r>
            <w:r w:rsidR="00263588" w:rsidRPr="0073604D">
              <w:rPr>
                <w:rFonts w:eastAsia="Arial" w:cs="Arial"/>
                <w:bCs/>
              </w:rPr>
              <w:t>;</w:t>
            </w:r>
          </w:p>
          <w:p w14:paraId="77A48858" w14:textId="4DC1385D" w:rsidR="00BD197D" w:rsidRPr="0073604D" w:rsidRDefault="00632834" w:rsidP="00874A98">
            <w:pPr>
              <w:keepNext w:val="0"/>
              <w:numPr>
                <w:ilvl w:val="0"/>
                <w:numId w:val="213"/>
              </w:numPr>
              <w:spacing w:before="0" w:after="160" w:line="252" w:lineRule="auto"/>
              <w:contextualSpacing/>
              <w:rPr>
                <w:rFonts w:eastAsia="Arial" w:cs="Arial"/>
                <w:bCs/>
                <w:strike/>
              </w:rPr>
            </w:pPr>
            <w:r w:rsidRPr="0073604D">
              <w:rPr>
                <w:rFonts w:eastAsia="Arial" w:cs="Arial"/>
                <w:bCs/>
              </w:rPr>
              <w:t>Protection and enhancement of existing wildlife areas and create a coherent biodiversity network in accordance with Policy EV4</w:t>
            </w:r>
            <w:r w:rsidR="00971F1A" w:rsidRPr="0073604D">
              <w:rPr>
                <w:rFonts w:eastAsia="Arial" w:cs="Arial"/>
                <w:bCs/>
              </w:rPr>
              <w:t>;</w:t>
            </w:r>
          </w:p>
          <w:p w14:paraId="7E0F8EBA" w14:textId="37BAA32B" w:rsidR="00BD197D" w:rsidRPr="0073604D" w:rsidRDefault="00632834" w:rsidP="00874A98">
            <w:pPr>
              <w:keepNext w:val="0"/>
              <w:numPr>
                <w:ilvl w:val="0"/>
                <w:numId w:val="213"/>
              </w:numPr>
              <w:spacing w:before="0" w:after="160" w:line="252" w:lineRule="auto"/>
              <w:contextualSpacing/>
              <w:rPr>
                <w:rFonts w:eastAsia="Arial" w:cs="Arial"/>
                <w:bCs/>
              </w:rPr>
            </w:pPr>
            <w:r w:rsidRPr="0073604D">
              <w:rPr>
                <w:rFonts w:eastAsia="Arial" w:cs="Arial"/>
                <w:bCs/>
              </w:rPr>
              <w:t>B</w:t>
            </w:r>
            <w:r w:rsidR="00BD197D" w:rsidRPr="0073604D">
              <w:rPr>
                <w:rFonts w:eastAsia="Arial" w:cs="Arial"/>
                <w:bCs/>
              </w:rPr>
              <w:t>iodiversity net gain through the delivery of extensive woodland and native scrub planting, wildflower meadows and neutral grassland and reinforcement of hedgerows with native species</w:t>
            </w:r>
            <w:r w:rsidR="00263588" w:rsidRPr="0073604D">
              <w:rPr>
                <w:rFonts w:eastAsia="Arial" w:cs="Arial"/>
                <w:bCs/>
              </w:rPr>
              <w:t>;</w:t>
            </w:r>
          </w:p>
          <w:p w14:paraId="7FAC2F73" w14:textId="3A1AC6D9" w:rsidR="006F6F68" w:rsidRPr="0073604D" w:rsidRDefault="009D275E" w:rsidP="00874A98">
            <w:pPr>
              <w:keepNext w:val="0"/>
              <w:numPr>
                <w:ilvl w:val="0"/>
                <w:numId w:val="213"/>
              </w:numPr>
              <w:spacing w:before="0"/>
              <w:ind w:left="357" w:hanging="357"/>
              <w:contextualSpacing/>
              <w:rPr>
                <w:rFonts w:eastAsia="Arial" w:cs="Arial"/>
                <w:bCs/>
              </w:rPr>
            </w:pPr>
            <w:r w:rsidRPr="0073604D">
              <w:rPr>
                <w:rFonts w:eastAsia="Arial" w:cs="Arial"/>
                <w:bCs/>
              </w:rPr>
              <w:t>M</w:t>
            </w:r>
            <w:r w:rsidR="006F6F68" w:rsidRPr="0073604D">
              <w:rPr>
                <w:rFonts w:eastAsia="Arial" w:cs="Arial"/>
                <w:bCs/>
              </w:rPr>
              <w:t>inimising the likely ecological impacts of the amount and quality of artificial light</w:t>
            </w:r>
            <w:r w:rsidR="00263588" w:rsidRPr="0073604D">
              <w:rPr>
                <w:rFonts w:eastAsia="Arial" w:cs="Arial"/>
                <w:bCs/>
              </w:rPr>
              <w:t>;</w:t>
            </w:r>
          </w:p>
          <w:p w14:paraId="19917000" w14:textId="6DE90D41" w:rsidR="006456CA" w:rsidRPr="0073604D" w:rsidRDefault="00971F1A" w:rsidP="00874A98">
            <w:pPr>
              <w:pStyle w:val="ListParagraph"/>
              <w:numPr>
                <w:ilvl w:val="0"/>
                <w:numId w:val="213"/>
              </w:numPr>
              <w:spacing w:after="0" w:line="240" w:lineRule="auto"/>
              <w:ind w:left="357" w:hanging="357"/>
              <w:rPr>
                <w:rFonts w:ascii="Arial" w:eastAsia="Arial" w:hAnsi="Arial" w:cs="Arial"/>
                <w:bCs/>
                <w:szCs w:val="20"/>
                <w:lang w:eastAsia="en-GB"/>
              </w:rPr>
            </w:pPr>
            <w:r w:rsidRPr="0073604D">
              <w:rPr>
                <w:rFonts w:ascii="Arial" w:eastAsia="Arial" w:hAnsi="Arial" w:cs="Arial"/>
                <w:bCs/>
                <w:szCs w:val="20"/>
                <w:lang w:eastAsia="en-GB"/>
              </w:rPr>
              <w:t>D</w:t>
            </w:r>
            <w:r w:rsidR="006456CA" w:rsidRPr="0073604D">
              <w:rPr>
                <w:rFonts w:ascii="Arial" w:eastAsia="Arial" w:hAnsi="Arial" w:cs="Arial"/>
                <w:bCs/>
                <w:szCs w:val="20"/>
                <w:lang w:eastAsia="en-GB"/>
              </w:rPr>
              <w:t>evelopment which, subject to viability, will exceed Building Regulations requirements for carbon emissions in accordance with Policy CC1;</w:t>
            </w:r>
          </w:p>
          <w:p w14:paraId="719A4524" w14:textId="083E4D64" w:rsidR="00BD197D" w:rsidRPr="0073604D" w:rsidRDefault="00632834" w:rsidP="00874A98">
            <w:pPr>
              <w:keepNext w:val="0"/>
              <w:numPr>
                <w:ilvl w:val="0"/>
                <w:numId w:val="213"/>
              </w:numPr>
              <w:spacing w:before="0" w:after="160" w:line="252" w:lineRule="auto"/>
              <w:contextualSpacing/>
              <w:rPr>
                <w:rFonts w:eastAsia="Arial" w:cs="Arial"/>
                <w:bCs/>
              </w:rPr>
            </w:pPr>
            <w:r w:rsidRPr="0073604D">
              <w:rPr>
                <w:rFonts w:eastAsia="Arial" w:cs="Arial"/>
                <w:bCs/>
              </w:rPr>
              <w:t>S</w:t>
            </w:r>
            <w:r w:rsidR="00BD197D" w:rsidRPr="0073604D">
              <w:rPr>
                <w:rFonts w:eastAsia="Arial" w:cs="Arial"/>
                <w:bCs/>
              </w:rPr>
              <w:t>ustainable drainage systems (SuDS) to retain surface water flows at greenfield rates of run off.  SuDS should be integrated into the green/blue infrastructure</w:t>
            </w:r>
            <w:r w:rsidRPr="0073604D">
              <w:rPr>
                <w:rFonts w:eastAsia="Arial" w:cs="Arial"/>
                <w:bCs/>
              </w:rPr>
              <w:t>; and</w:t>
            </w:r>
          </w:p>
          <w:p w14:paraId="465B64AC" w14:textId="49BD181E" w:rsidR="00BD197D" w:rsidRPr="0073604D" w:rsidRDefault="00BD197D" w:rsidP="00874A98">
            <w:pPr>
              <w:keepNext w:val="0"/>
              <w:numPr>
                <w:ilvl w:val="0"/>
                <w:numId w:val="213"/>
              </w:numPr>
              <w:spacing w:before="0" w:after="160" w:line="252" w:lineRule="auto"/>
              <w:contextualSpacing/>
              <w:rPr>
                <w:rFonts w:eastAsia="Arial" w:cs="Arial"/>
                <w:bCs/>
              </w:rPr>
            </w:pPr>
            <w:r w:rsidRPr="0073604D">
              <w:rPr>
                <w:rFonts w:eastAsia="Arial" w:cs="Arial"/>
                <w:bCs/>
              </w:rPr>
              <w:t>Provision for the long-term managements of the green spaces.</w:t>
            </w:r>
          </w:p>
          <w:p w14:paraId="60ECBEC3" w14:textId="77777777" w:rsidR="00971F1A" w:rsidRPr="00971F1A" w:rsidRDefault="00971F1A" w:rsidP="00971F1A">
            <w:pPr>
              <w:keepNext w:val="0"/>
              <w:spacing w:before="0" w:after="160" w:line="252" w:lineRule="auto"/>
              <w:ind w:left="360"/>
              <w:contextualSpacing/>
              <w:rPr>
                <w:rFonts w:eastAsia="Arial" w:cs="Arial"/>
                <w:bCs/>
              </w:rPr>
            </w:pPr>
          </w:p>
          <w:p w14:paraId="070C5F1A" w14:textId="77777777" w:rsidR="00BD197D" w:rsidRPr="00971F1A" w:rsidRDefault="00BD197D" w:rsidP="00BD197D">
            <w:pPr>
              <w:keepNext w:val="0"/>
              <w:spacing w:before="0"/>
              <w:rPr>
                <w:rFonts w:eastAsia="Arial" w:cs="Arial"/>
                <w:bCs/>
              </w:rPr>
            </w:pPr>
          </w:p>
          <w:p w14:paraId="1437EC73" w14:textId="213023F0" w:rsidR="003444EA" w:rsidRPr="00971F1A" w:rsidRDefault="003444EA" w:rsidP="003444EA">
            <w:pPr>
              <w:pStyle w:val="ListParagraph"/>
              <w:numPr>
                <w:ilvl w:val="1"/>
                <w:numId w:val="11"/>
              </w:numPr>
              <w:tabs>
                <w:tab w:val="clear" w:pos="964"/>
              </w:tabs>
              <w:spacing w:after="160" w:line="252" w:lineRule="auto"/>
              <w:ind w:left="306" w:hanging="306"/>
              <w:rPr>
                <w:rFonts w:ascii="Arial" w:eastAsia="Arial" w:hAnsi="Arial" w:cs="Arial"/>
                <w:b/>
              </w:rPr>
            </w:pPr>
            <w:r w:rsidRPr="00971F1A">
              <w:rPr>
                <w:rFonts w:ascii="Arial" w:eastAsia="Arial" w:hAnsi="Arial" w:cs="Arial"/>
                <w:b/>
              </w:rPr>
              <w:t>Land to the South- East of Junction 27 comprising a gross area of approximately 25 hectares towards the latter part of the Plan Period.</w:t>
            </w:r>
          </w:p>
          <w:p w14:paraId="61F5EAA6" w14:textId="6F281231" w:rsidR="00BD197D" w:rsidRPr="00971F1A" w:rsidRDefault="00BD197D" w:rsidP="00BD197D">
            <w:pPr>
              <w:keepNext w:val="0"/>
              <w:spacing w:before="0"/>
              <w:rPr>
                <w:rFonts w:eastAsia="Arial" w:cs="Arial"/>
                <w:bCs/>
              </w:rPr>
            </w:pPr>
            <w:r w:rsidRPr="00971F1A">
              <w:rPr>
                <w:rFonts w:eastAsia="Arial" w:cs="Arial"/>
                <w:bCs/>
              </w:rPr>
              <w:t xml:space="preserve">This site is of strategic employment importance given its relationship to the principal areas of growth and its accessibility via the strategic road network.  It will create high quality business space </w:t>
            </w:r>
            <w:r w:rsidR="00045A5E" w:rsidRPr="00971F1A">
              <w:rPr>
                <w:rFonts w:eastAsia="Arial" w:cs="Arial"/>
                <w:bCs/>
              </w:rPr>
              <w:t xml:space="preserve">to contribute towards meeting the regional demand for logistics. The site </w:t>
            </w:r>
            <w:r w:rsidR="00973BDE" w:rsidRPr="00971F1A">
              <w:rPr>
                <w:rFonts w:eastAsia="Arial" w:cs="Arial"/>
                <w:bCs/>
              </w:rPr>
              <w:t>will deliver</w:t>
            </w:r>
            <w:r w:rsidRPr="00971F1A">
              <w:rPr>
                <w:rFonts w:eastAsia="Arial" w:cs="Arial"/>
                <w:bCs/>
              </w:rPr>
              <w:t>:</w:t>
            </w:r>
          </w:p>
          <w:p w14:paraId="3237BC98" w14:textId="77777777" w:rsidR="00BD197D" w:rsidRPr="00971F1A" w:rsidRDefault="00BD197D" w:rsidP="00BD197D">
            <w:pPr>
              <w:keepNext w:val="0"/>
              <w:spacing w:before="0"/>
              <w:rPr>
                <w:rFonts w:eastAsia="Arial" w:cs="Arial"/>
                <w:bCs/>
                <w:u w:val="single"/>
              </w:rPr>
            </w:pPr>
          </w:p>
          <w:p w14:paraId="1F4AE857" w14:textId="108812BD" w:rsidR="00BD197D" w:rsidRPr="00971F1A" w:rsidRDefault="00973BDE" w:rsidP="00874A98">
            <w:pPr>
              <w:keepNext w:val="0"/>
              <w:numPr>
                <w:ilvl w:val="0"/>
                <w:numId w:val="213"/>
              </w:numPr>
              <w:spacing w:before="0" w:after="160" w:line="252" w:lineRule="auto"/>
              <w:contextualSpacing/>
              <w:rPr>
                <w:rFonts w:eastAsia="Arial" w:cs="Arial"/>
                <w:bCs/>
              </w:rPr>
            </w:pPr>
            <w:r w:rsidRPr="00971F1A">
              <w:rPr>
                <w:rFonts w:eastAsia="Arial" w:cs="Arial"/>
                <w:bCs/>
              </w:rPr>
              <w:t>D</w:t>
            </w:r>
            <w:r w:rsidR="00BD197D" w:rsidRPr="00971F1A">
              <w:rPr>
                <w:rFonts w:eastAsia="Arial" w:cs="Arial"/>
                <w:bCs/>
              </w:rPr>
              <w:t>evelopment of business</w:t>
            </w:r>
            <w:r w:rsidRPr="00971F1A">
              <w:rPr>
                <w:rFonts w:eastAsia="Arial" w:cs="Arial"/>
                <w:bCs/>
              </w:rPr>
              <w:t>es</w:t>
            </w:r>
            <w:r w:rsidR="00BD197D" w:rsidRPr="00971F1A">
              <w:rPr>
                <w:rFonts w:eastAsia="Arial" w:cs="Arial"/>
                <w:bCs/>
              </w:rPr>
              <w:t xml:space="preserve"> operated substantially within the logistics sector</w:t>
            </w:r>
            <w:r w:rsidR="00971F1A">
              <w:rPr>
                <w:rFonts w:eastAsia="Arial" w:cs="Arial"/>
                <w:bCs/>
              </w:rPr>
              <w:t>;</w:t>
            </w:r>
          </w:p>
          <w:p w14:paraId="3DD8E408" w14:textId="63F13EE4" w:rsidR="00D411FD" w:rsidRPr="00971F1A" w:rsidRDefault="00C336C2" w:rsidP="00874A98">
            <w:pPr>
              <w:keepNext w:val="0"/>
              <w:numPr>
                <w:ilvl w:val="0"/>
                <w:numId w:val="213"/>
              </w:numPr>
              <w:spacing w:before="0" w:after="160" w:line="252" w:lineRule="auto"/>
              <w:contextualSpacing/>
              <w:rPr>
                <w:rFonts w:eastAsia="Arial" w:cs="Arial"/>
                <w:bCs/>
              </w:rPr>
            </w:pPr>
            <w:r w:rsidRPr="00971F1A">
              <w:rPr>
                <w:rFonts w:eastAsia="Arial" w:cs="Arial"/>
                <w:bCs/>
              </w:rPr>
              <w:t>H</w:t>
            </w:r>
            <w:r w:rsidR="00D411FD" w:rsidRPr="00971F1A">
              <w:rPr>
                <w:rFonts w:eastAsia="Arial" w:cs="Arial"/>
                <w:bCs/>
              </w:rPr>
              <w:t>igh-quality sustainable buildings, which are carbon neutral with the design in the form and layout of the buildings and green space, which respond to site levels so as to minimise the visual impact on the landscape</w:t>
            </w:r>
            <w:r w:rsidR="00632834" w:rsidRPr="00971F1A">
              <w:rPr>
                <w:rFonts w:eastAsia="Arial" w:cs="Arial"/>
                <w:bCs/>
              </w:rPr>
              <w:t>;</w:t>
            </w:r>
          </w:p>
          <w:p w14:paraId="4CB68BB7" w14:textId="674AB4ED" w:rsidR="00C336C2" w:rsidRPr="00971F1A" w:rsidRDefault="00C336C2" w:rsidP="00874A98">
            <w:pPr>
              <w:keepNext w:val="0"/>
              <w:numPr>
                <w:ilvl w:val="0"/>
                <w:numId w:val="213"/>
              </w:numPr>
              <w:spacing w:before="0" w:after="160" w:line="252" w:lineRule="auto"/>
              <w:contextualSpacing/>
              <w:rPr>
                <w:rFonts w:eastAsia="Arial" w:cs="Arial"/>
                <w:bCs/>
              </w:rPr>
            </w:pPr>
            <w:r w:rsidRPr="00971F1A">
              <w:rPr>
                <w:rFonts w:eastAsia="Arial" w:cs="Arial"/>
                <w:bCs/>
              </w:rPr>
              <w:t>A</w:t>
            </w:r>
            <w:r w:rsidR="00BD197D" w:rsidRPr="00971F1A">
              <w:rPr>
                <w:rFonts w:eastAsia="Arial" w:cs="Arial"/>
                <w:bCs/>
              </w:rPr>
              <w:t xml:space="preserve"> comprehensive package of highway improvements to facilitate the employment site</w:t>
            </w:r>
            <w:r w:rsidRPr="00971F1A">
              <w:t xml:space="preserve"> </w:t>
            </w:r>
            <w:r w:rsidRPr="00971F1A">
              <w:rPr>
                <w:rFonts w:eastAsia="Arial" w:cs="Arial"/>
                <w:bCs/>
              </w:rPr>
              <w:t>including all necessary transport infrastructure improvements through direct mitigation or contributions to new and improved infrastructure, informed by National Highways and Local Highways Authority advice</w:t>
            </w:r>
            <w:r w:rsidR="00632834" w:rsidRPr="00971F1A">
              <w:rPr>
                <w:rFonts w:eastAsia="Arial" w:cs="Arial"/>
                <w:bCs/>
              </w:rPr>
              <w:t>;</w:t>
            </w:r>
          </w:p>
          <w:p w14:paraId="121ACE9D" w14:textId="188544DC" w:rsidR="00C336C2" w:rsidRPr="00971F1A" w:rsidRDefault="00C336C2" w:rsidP="00874A98">
            <w:pPr>
              <w:keepNext w:val="0"/>
              <w:numPr>
                <w:ilvl w:val="0"/>
                <w:numId w:val="213"/>
              </w:numPr>
              <w:spacing w:before="0" w:after="160" w:line="252" w:lineRule="auto"/>
              <w:contextualSpacing/>
              <w:rPr>
                <w:rFonts w:eastAsia="Arial" w:cs="Arial"/>
                <w:bCs/>
              </w:rPr>
            </w:pPr>
            <w:r w:rsidRPr="00971F1A">
              <w:rPr>
                <w:rFonts w:eastAsia="Arial" w:cs="Arial"/>
                <w:bCs/>
              </w:rPr>
              <w:t>An appropriate financial contribution towards extending a high frequency bus service to the site supported by appropriate public transport infrastructure in or close proximity to the site</w:t>
            </w:r>
            <w:r w:rsidR="006456CA" w:rsidRPr="00971F1A">
              <w:rPr>
                <w:rFonts w:eastAsia="Arial" w:cs="Arial"/>
                <w:bCs/>
              </w:rPr>
              <w:t>;</w:t>
            </w:r>
          </w:p>
          <w:p w14:paraId="7C959C6C" w14:textId="3A2F56EA" w:rsidR="000E096B" w:rsidRPr="00971F1A" w:rsidRDefault="000E096B" w:rsidP="00874A98">
            <w:pPr>
              <w:keepNext w:val="0"/>
              <w:numPr>
                <w:ilvl w:val="0"/>
                <w:numId w:val="213"/>
              </w:numPr>
              <w:spacing w:before="0" w:after="160" w:line="252" w:lineRule="auto"/>
              <w:contextualSpacing/>
              <w:rPr>
                <w:rFonts w:eastAsia="Arial" w:cs="Arial"/>
                <w:bCs/>
              </w:rPr>
            </w:pPr>
            <w:r w:rsidRPr="00971F1A">
              <w:rPr>
                <w:rFonts w:eastAsia="Arial" w:cs="Arial"/>
                <w:bCs/>
              </w:rPr>
              <w:t>Facilitates and enhances the right of way networking including access from north to south onto Weavers Lane</w:t>
            </w:r>
            <w:r w:rsidR="00632834" w:rsidRPr="00971F1A">
              <w:rPr>
                <w:rFonts w:eastAsia="Arial" w:cs="Arial"/>
                <w:bCs/>
              </w:rPr>
              <w:t>;</w:t>
            </w:r>
          </w:p>
          <w:p w14:paraId="01B9A0D3" w14:textId="017E7A3F" w:rsidR="00632834" w:rsidRPr="00971F1A" w:rsidRDefault="00632834" w:rsidP="00874A98">
            <w:pPr>
              <w:keepNext w:val="0"/>
              <w:numPr>
                <w:ilvl w:val="0"/>
                <w:numId w:val="213"/>
              </w:numPr>
              <w:spacing w:before="0" w:after="160" w:line="252" w:lineRule="auto"/>
              <w:contextualSpacing/>
              <w:rPr>
                <w:rFonts w:eastAsia="Arial" w:cs="Arial"/>
                <w:bCs/>
              </w:rPr>
            </w:pPr>
            <w:r w:rsidRPr="00971F1A">
              <w:rPr>
                <w:rFonts w:eastAsia="Arial" w:cs="Arial"/>
                <w:bCs/>
              </w:rPr>
              <w:t>A development that i</w:t>
            </w:r>
            <w:r w:rsidR="00BD197D" w:rsidRPr="00971F1A">
              <w:rPr>
                <w:rFonts w:eastAsia="Arial" w:cs="Arial"/>
                <w:bCs/>
              </w:rPr>
              <w:t>ntegrates into the landscape to create attractive landscaped edges to the boundaries</w:t>
            </w:r>
            <w:r w:rsidRPr="00971F1A">
              <w:rPr>
                <w:rFonts w:eastAsia="Arial" w:cs="Arial"/>
                <w:bCs/>
              </w:rPr>
              <w:t>;</w:t>
            </w:r>
          </w:p>
          <w:p w14:paraId="27E64AF2" w14:textId="54BECEFD" w:rsidR="00567A3F" w:rsidRPr="00971F1A" w:rsidRDefault="00C336C2" w:rsidP="00874A98">
            <w:pPr>
              <w:keepNext w:val="0"/>
              <w:numPr>
                <w:ilvl w:val="0"/>
                <w:numId w:val="213"/>
              </w:numPr>
              <w:spacing w:before="0" w:after="160" w:line="252" w:lineRule="auto"/>
              <w:contextualSpacing/>
              <w:rPr>
                <w:rFonts w:eastAsia="Arial" w:cs="Arial"/>
                <w:bCs/>
              </w:rPr>
            </w:pPr>
            <w:r w:rsidRPr="00971F1A">
              <w:rPr>
                <w:rFonts w:eastAsia="Arial" w:cs="Arial"/>
                <w:bCs/>
              </w:rPr>
              <w:t>A scheme of an appropriate scale, layout, form and materials which respects the significance and setting of affected heritage assets, minimising any harm to designated and non-designated heritage assets and their setting</w:t>
            </w:r>
            <w:r w:rsidR="006456CA" w:rsidRPr="00971F1A">
              <w:rPr>
                <w:rFonts w:eastAsia="Arial" w:cs="Arial"/>
                <w:bCs/>
              </w:rPr>
              <w:t>;</w:t>
            </w:r>
            <w:r w:rsidR="008D7AE2" w:rsidRPr="00971F1A">
              <w:rPr>
                <w:rFonts w:eastAsia="Arial" w:cs="Arial"/>
                <w:bCs/>
              </w:rPr>
              <w:t xml:space="preserve"> </w:t>
            </w:r>
          </w:p>
          <w:p w14:paraId="6D7014FA" w14:textId="6A5830B8" w:rsidR="00BD197D" w:rsidRPr="00971F1A" w:rsidRDefault="00632834" w:rsidP="00874A98">
            <w:pPr>
              <w:keepNext w:val="0"/>
              <w:numPr>
                <w:ilvl w:val="0"/>
                <w:numId w:val="213"/>
              </w:numPr>
              <w:spacing w:before="0" w:after="160" w:line="252" w:lineRule="auto"/>
              <w:contextualSpacing/>
              <w:rPr>
                <w:rFonts w:eastAsia="Arial" w:cs="Arial"/>
                <w:bCs/>
              </w:rPr>
            </w:pPr>
            <w:r w:rsidRPr="00971F1A">
              <w:rPr>
                <w:rFonts w:eastAsia="Arial" w:cs="Arial"/>
                <w:bCs/>
              </w:rPr>
              <w:t>The r</w:t>
            </w:r>
            <w:r w:rsidR="00BD197D" w:rsidRPr="00971F1A">
              <w:rPr>
                <w:rFonts w:eastAsia="Arial" w:cs="Arial"/>
                <w:bCs/>
              </w:rPr>
              <w:t>etention, where possible, of exiting hedges and trees together with enhancement of boundary hedges and trees</w:t>
            </w:r>
            <w:r w:rsidR="00971F1A">
              <w:rPr>
                <w:rFonts w:eastAsia="Arial" w:cs="Arial"/>
                <w:bCs/>
              </w:rPr>
              <w:t>;</w:t>
            </w:r>
          </w:p>
          <w:p w14:paraId="108EB56A" w14:textId="64273043" w:rsidR="00BD197D" w:rsidRPr="00971F1A" w:rsidRDefault="00632834" w:rsidP="00874A98">
            <w:pPr>
              <w:keepNext w:val="0"/>
              <w:numPr>
                <w:ilvl w:val="0"/>
                <w:numId w:val="213"/>
              </w:numPr>
              <w:tabs>
                <w:tab w:val="left" w:pos="680"/>
                <w:tab w:val="left" w:pos="1133"/>
                <w:tab w:val="left" w:pos="2267"/>
              </w:tabs>
              <w:spacing w:before="0" w:after="160" w:line="252" w:lineRule="auto"/>
              <w:ind w:right="284"/>
              <w:contextualSpacing/>
              <w:jc w:val="both"/>
              <w:rPr>
                <w:rFonts w:eastAsia="Arial" w:cs="Arial"/>
                <w:szCs w:val="24"/>
                <w:lang w:eastAsia="en-US"/>
              </w:rPr>
            </w:pPr>
            <w:r w:rsidRPr="00971F1A">
              <w:rPr>
                <w:rFonts w:eastAsia="Arial" w:cs="Arial"/>
                <w:szCs w:val="24"/>
                <w:lang w:eastAsia="en-US"/>
              </w:rPr>
              <w:t>P</w:t>
            </w:r>
            <w:r w:rsidR="00AE30BD" w:rsidRPr="00971F1A">
              <w:rPr>
                <w:rFonts w:eastAsia="Arial" w:cs="Arial"/>
                <w:szCs w:val="24"/>
                <w:lang w:eastAsia="en-US"/>
              </w:rPr>
              <w:t>rotect</w:t>
            </w:r>
            <w:r w:rsidRPr="00971F1A">
              <w:rPr>
                <w:rFonts w:eastAsia="Arial" w:cs="Arial"/>
                <w:szCs w:val="24"/>
                <w:lang w:eastAsia="en-US"/>
              </w:rPr>
              <w:t>ion</w:t>
            </w:r>
            <w:r w:rsidR="00AE30BD" w:rsidRPr="00971F1A">
              <w:rPr>
                <w:rFonts w:eastAsia="Arial" w:cs="Arial"/>
                <w:szCs w:val="24"/>
                <w:lang w:eastAsia="en-US"/>
              </w:rPr>
              <w:t xml:space="preserve"> and enhance</w:t>
            </w:r>
            <w:r w:rsidRPr="00971F1A">
              <w:rPr>
                <w:rFonts w:eastAsia="Arial" w:cs="Arial"/>
                <w:szCs w:val="24"/>
                <w:lang w:eastAsia="en-US"/>
              </w:rPr>
              <w:t>ment of</w:t>
            </w:r>
            <w:r w:rsidR="00AE30BD" w:rsidRPr="00971F1A">
              <w:rPr>
                <w:rFonts w:eastAsia="Arial" w:cs="Arial"/>
                <w:szCs w:val="24"/>
                <w:lang w:eastAsia="en-US"/>
              </w:rPr>
              <w:t xml:space="preserve"> existing wildlife areas and create a coherent biodiversity network in accordance with Policy EV4</w:t>
            </w:r>
            <w:r w:rsidR="00971F1A">
              <w:rPr>
                <w:rFonts w:eastAsia="Arial" w:cs="Arial"/>
                <w:szCs w:val="24"/>
                <w:lang w:eastAsia="en-US"/>
              </w:rPr>
              <w:t>;</w:t>
            </w:r>
          </w:p>
          <w:p w14:paraId="59D2E474" w14:textId="77777777" w:rsidR="006456CA" w:rsidRPr="00971F1A" w:rsidRDefault="006456CA" w:rsidP="00874A98">
            <w:pPr>
              <w:keepNext w:val="0"/>
              <w:numPr>
                <w:ilvl w:val="0"/>
                <w:numId w:val="213"/>
              </w:numPr>
              <w:spacing w:before="0" w:after="160" w:line="252" w:lineRule="auto"/>
              <w:contextualSpacing/>
              <w:rPr>
                <w:rFonts w:eastAsia="Arial" w:cs="Arial"/>
                <w:bCs/>
              </w:rPr>
            </w:pPr>
            <w:r w:rsidRPr="00971F1A">
              <w:rPr>
                <w:rFonts w:eastAsia="Arial" w:cs="Arial"/>
                <w:bCs/>
              </w:rPr>
              <w:t>Biodiversity net gain through the delivery of extensive woodland and native scrub planting, wildflower meadows and neutral grassland and reinforcement of hedgerows with native species;</w:t>
            </w:r>
          </w:p>
          <w:p w14:paraId="225C839D" w14:textId="3A852DF8" w:rsidR="006F6F68" w:rsidRPr="00971F1A" w:rsidRDefault="009D275E" w:rsidP="00874A98">
            <w:pPr>
              <w:keepNext w:val="0"/>
              <w:numPr>
                <w:ilvl w:val="0"/>
                <w:numId w:val="213"/>
              </w:numPr>
              <w:spacing w:before="0" w:after="160" w:line="252" w:lineRule="auto"/>
              <w:contextualSpacing/>
              <w:rPr>
                <w:rFonts w:eastAsia="Arial" w:cs="Arial"/>
                <w:bCs/>
              </w:rPr>
            </w:pPr>
            <w:r w:rsidRPr="00971F1A">
              <w:rPr>
                <w:rFonts w:eastAsia="Arial" w:cs="Arial"/>
                <w:bCs/>
              </w:rPr>
              <w:t>M</w:t>
            </w:r>
            <w:r w:rsidR="006F6F68" w:rsidRPr="00971F1A">
              <w:rPr>
                <w:rFonts w:eastAsia="Arial" w:cs="Arial"/>
                <w:bCs/>
              </w:rPr>
              <w:t>inimis</w:t>
            </w:r>
            <w:r w:rsidR="000C1B98" w:rsidRPr="00971F1A">
              <w:rPr>
                <w:rFonts w:eastAsia="Arial" w:cs="Arial"/>
                <w:bCs/>
              </w:rPr>
              <w:t>es</w:t>
            </w:r>
            <w:r w:rsidR="006F6F68" w:rsidRPr="00971F1A">
              <w:rPr>
                <w:rFonts w:eastAsia="Arial" w:cs="Arial"/>
                <w:bCs/>
              </w:rPr>
              <w:t xml:space="preserve"> the ecological impacts of the amount and quality of artificial light</w:t>
            </w:r>
            <w:r w:rsidR="00971F1A">
              <w:rPr>
                <w:rFonts w:eastAsia="Arial" w:cs="Arial"/>
                <w:bCs/>
              </w:rPr>
              <w:t>;</w:t>
            </w:r>
          </w:p>
          <w:p w14:paraId="4DD25EC7" w14:textId="3B8FC29C" w:rsidR="00BD197D" w:rsidRPr="00971F1A" w:rsidRDefault="00971F1A" w:rsidP="00874A98">
            <w:pPr>
              <w:keepNext w:val="0"/>
              <w:numPr>
                <w:ilvl w:val="0"/>
                <w:numId w:val="213"/>
              </w:numPr>
              <w:spacing w:before="0" w:after="160" w:line="252" w:lineRule="auto"/>
              <w:contextualSpacing/>
              <w:rPr>
                <w:rFonts w:eastAsia="Arial" w:cs="Arial"/>
                <w:bCs/>
              </w:rPr>
            </w:pPr>
            <w:r>
              <w:rPr>
                <w:rFonts w:eastAsia="Arial" w:cs="Arial"/>
                <w:bCs/>
              </w:rPr>
              <w:t>D</w:t>
            </w:r>
            <w:r w:rsidR="00BD197D" w:rsidRPr="00971F1A">
              <w:rPr>
                <w:rFonts w:eastAsia="Arial" w:cs="Arial"/>
                <w:bCs/>
              </w:rPr>
              <w:t xml:space="preserve">evelopment </w:t>
            </w:r>
            <w:r w:rsidR="00263588" w:rsidRPr="00971F1A">
              <w:rPr>
                <w:rFonts w:eastAsia="Arial" w:cs="Arial"/>
                <w:bCs/>
              </w:rPr>
              <w:t xml:space="preserve">which subject to </w:t>
            </w:r>
            <w:r w:rsidR="00BD197D" w:rsidRPr="00971F1A">
              <w:rPr>
                <w:rFonts w:eastAsia="Arial" w:cs="Arial"/>
                <w:bCs/>
              </w:rPr>
              <w:t>viab</w:t>
            </w:r>
            <w:r w:rsidR="00632834" w:rsidRPr="00971F1A">
              <w:rPr>
                <w:rFonts w:eastAsia="Arial" w:cs="Arial"/>
                <w:bCs/>
              </w:rPr>
              <w:t>ility</w:t>
            </w:r>
            <w:r w:rsidR="00BD197D" w:rsidRPr="00971F1A">
              <w:rPr>
                <w:rFonts w:eastAsia="Arial" w:cs="Arial"/>
                <w:bCs/>
              </w:rPr>
              <w:t xml:space="preserve">, </w:t>
            </w:r>
            <w:r w:rsidR="00632834" w:rsidRPr="00971F1A">
              <w:rPr>
                <w:rFonts w:eastAsia="Arial" w:cs="Arial"/>
                <w:bCs/>
              </w:rPr>
              <w:t xml:space="preserve">will </w:t>
            </w:r>
            <w:r w:rsidR="00BD197D" w:rsidRPr="00971F1A">
              <w:rPr>
                <w:rFonts w:eastAsia="Arial" w:cs="Arial"/>
                <w:bCs/>
              </w:rPr>
              <w:t xml:space="preserve">exceed Building Regulations </w:t>
            </w:r>
            <w:r w:rsidR="00632834" w:rsidRPr="00971F1A">
              <w:rPr>
                <w:rFonts w:eastAsia="Arial" w:cs="Arial"/>
                <w:bCs/>
              </w:rPr>
              <w:t xml:space="preserve">requirements </w:t>
            </w:r>
            <w:r w:rsidR="00BD197D" w:rsidRPr="00971F1A">
              <w:rPr>
                <w:rFonts w:eastAsia="Arial" w:cs="Arial"/>
                <w:bCs/>
              </w:rPr>
              <w:t>for carbon emissions in accordance with Policy CC1</w:t>
            </w:r>
            <w:r w:rsidR="00632834" w:rsidRPr="00971F1A">
              <w:rPr>
                <w:rFonts w:eastAsia="Arial" w:cs="Arial"/>
                <w:bCs/>
              </w:rPr>
              <w:t>;</w:t>
            </w:r>
          </w:p>
          <w:p w14:paraId="1A8AC5C5" w14:textId="6192A512" w:rsidR="00BD197D" w:rsidRPr="00971F1A" w:rsidRDefault="00632834" w:rsidP="00874A98">
            <w:pPr>
              <w:keepNext w:val="0"/>
              <w:numPr>
                <w:ilvl w:val="0"/>
                <w:numId w:val="213"/>
              </w:numPr>
              <w:spacing w:before="0" w:after="160" w:line="252" w:lineRule="auto"/>
              <w:contextualSpacing/>
              <w:rPr>
                <w:rFonts w:eastAsia="Arial" w:cs="Arial"/>
                <w:bCs/>
              </w:rPr>
            </w:pPr>
            <w:r w:rsidRPr="00971F1A">
              <w:rPr>
                <w:rFonts w:eastAsia="Arial" w:cs="Arial"/>
                <w:bCs/>
              </w:rPr>
              <w:t>S</w:t>
            </w:r>
            <w:r w:rsidR="00BD197D" w:rsidRPr="00971F1A">
              <w:rPr>
                <w:rFonts w:eastAsia="Arial" w:cs="Arial"/>
                <w:bCs/>
              </w:rPr>
              <w:t>ustainable drainage systems (SuDS) to retain surface water flows at greenfield rates of run off.  SuDS should be integrated into the green/blue infrastructure</w:t>
            </w:r>
            <w:r w:rsidRPr="00971F1A">
              <w:rPr>
                <w:rFonts w:eastAsia="Arial" w:cs="Arial"/>
                <w:bCs/>
              </w:rPr>
              <w:t>; and</w:t>
            </w:r>
          </w:p>
          <w:p w14:paraId="58D1E95C" w14:textId="5B8B52E0" w:rsidR="00BD197D" w:rsidRPr="00971F1A" w:rsidRDefault="00BD197D" w:rsidP="00874A98">
            <w:pPr>
              <w:keepNext w:val="0"/>
              <w:numPr>
                <w:ilvl w:val="0"/>
                <w:numId w:val="213"/>
              </w:numPr>
              <w:spacing w:before="0" w:after="160" w:line="252" w:lineRule="auto"/>
              <w:contextualSpacing/>
              <w:rPr>
                <w:rFonts w:eastAsia="Arial" w:cs="Arial"/>
                <w:bCs/>
              </w:rPr>
            </w:pPr>
            <w:r w:rsidRPr="00971F1A">
              <w:rPr>
                <w:rFonts w:eastAsia="Arial" w:cs="Arial"/>
                <w:bCs/>
              </w:rPr>
              <w:t>Provision for the long-term managements of the green spaces.</w:t>
            </w:r>
          </w:p>
          <w:p w14:paraId="07F2639D" w14:textId="5DCBBD29" w:rsidR="00BD197D" w:rsidRPr="00971F1A" w:rsidRDefault="00BD197D" w:rsidP="00BD197D">
            <w:pPr>
              <w:keepNext w:val="0"/>
              <w:spacing w:before="0"/>
              <w:rPr>
                <w:rFonts w:eastAsia="Arial" w:cs="Arial"/>
                <w:bCs/>
              </w:rPr>
            </w:pPr>
          </w:p>
          <w:p w14:paraId="6C24BD9C" w14:textId="4AF77B18" w:rsidR="00265BB0" w:rsidRPr="00971F1A" w:rsidRDefault="00265BB0" w:rsidP="00BD197D">
            <w:pPr>
              <w:keepNext w:val="0"/>
              <w:spacing w:before="0"/>
              <w:rPr>
                <w:rFonts w:eastAsia="Arial" w:cs="Arial"/>
                <w:bCs/>
              </w:rPr>
            </w:pPr>
            <w:r w:rsidRPr="00971F1A">
              <w:rPr>
                <w:rFonts w:eastAsia="Arial" w:cs="Arial"/>
                <w:bCs/>
              </w:rPr>
              <w:t xml:space="preserve">The site to the south east of Junction 27 </w:t>
            </w:r>
            <w:r w:rsidR="00C336C2" w:rsidRPr="00971F1A">
              <w:rPr>
                <w:rFonts w:eastAsia="Arial" w:cs="Arial"/>
                <w:bCs/>
              </w:rPr>
              <w:t xml:space="preserve">may </w:t>
            </w:r>
            <w:r w:rsidRPr="00971F1A">
              <w:rPr>
                <w:rFonts w:eastAsia="Arial" w:cs="Arial"/>
                <w:bCs/>
              </w:rPr>
              <w:t xml:space="preserve">not come forward until the latter part of the </w:t>
            </w:r>
            <w:r w:rsidR="00C336C2" w:rsidRPr="00971F1A">
              <w:rPr>
                <w:rFonts w:eastAsia="Arial" w:cs="Arial"/>
                <w:bCs/>
              </w:rPr>
              <w:t>P</w:t>
            </w:r>
            <w:r w:rsidRPr="00971F1A">
              <w:rPr>
                <w:rFonts w:eastAsia="Arial" w:cs="Arial"/>
                <w:bCs/>
              </w:rPr>
              <w:t xml:space="preserve">lan as substantial areas are </w:t>
            </w:r>
            <w:r w:rsidR="00C336C2" w:rsidRPr="00971F1A">
              <w:rPr>
                <w:rFonts w:eastAsia="Arial" w:cs="Arial"/>
                <w:bCs/>
              </w:rPr>
              <w:t xml:space="preserve">identified as </w:t>
            </w:r>
            <w:r w:rsidRPr="00971F1A">
              <w:rPr>
                <w:rFonts w:eastAsia="Arial" w:cs="Arial"/>
                <w:bCs/>
              </w:rPr>
              <w:t>a HS2 compound associated with the construction of High Speed Railway Phased 2b</w:t>
            </w:r>
            <w:r w:rsidR="00C336C2" w:rsidRPr="00971F1A">
              <w:rPr>
                <w:rFonts w:eastAsia="Arial" w:cs="Arial"/>
                <w:bCs/>
              </w:rPr>
              <w:t xml:space="preserve"> with the route and compound area being subject to Safeguarding Directions by the Department for Transport</w:t>
            </w:r>
            <w:r w:rsidRPr="00971F1A">
              <w:rPr>
                <w:rFonts w:eastAsia="Arial" w:cs="Arial"/>
                <w:bCs/>
              </w:rPr>
              <w:t xml:space="preserve">.  </w:t>
            </w:r>
          </w:p>
          <w:p w14:paraId="5AAF733F" w14:textId="77777777" w:rsidR="00265BB0" w:rsidRPr="00971F1A" w:rsidRDefault="00265BB0" w:rsidP="00BD197D">
            <w:pPr>
              <w:keepNext w:val="0"/>
              <w:spacing w:before="0"/>
              <w:rPr>
                <w:rFonts w:eastAsia="Arial" w:cs="Arial"/>
                <w:bCs/>
              </w:rPr>
            </w:pPr>
          </w:p>
          <w:p w14:paraId="65CABA92" w14:textId="77777777" w:rsidR="00BD197D" w:rsidRPr="00971F1A" w:rsidRDefault="00BD197D" w:rsidP="00BD197D">
            <w:pPr>
              <w:keepNext w:val="0"/>
              <w:spacing w:before="0"/>
              <w:rPr>
                <w:rFonts w:eastAsia="Arial" w:cs="Arial"/>
                <w:bCs/>
              </w:rPr>
            </w:pPr>
            <w:r w:rsidRPr="00971F1A">
              <w:rPr>
                <w:rFonts w:eastAsia="Arial" w:cs="Arial"/>
                <w:bCs/>
              </w:rPr>
              <w:t>This will be achieved through working with public and private partners to agree a development framework.</w:t>
            </w:r>
          </w:p>
          <w:p w14:paraId="2D645712" w14:textId="77777777" w:rsidR="00BD197D" w:rsidRPr="00971F1A" w:rsidRDefault="00BD197D" w:rsidP="00BD197D">
            <w:pPr>
              <w:contextualSpacing/>
              <w:rPr>
                <w:rFonts w:ascii="Calibri" w:eastAsia="Arial" w:hAnsi="Calibri" w:cs="Arial"/>
                <w:bCs/>
                <w:szCs w:val="22"/>
                <w:lang w:eastAsia="en-US"/>
              </w:rPr>
            </w:pPr>
          </w:p>
        </w:tc>
      </w:tr>
      <w:tr w:rsidR="00BD197D" w:rsidRPr="00BD197D" w14:paraId="4AAF5BE1" w14:textId="77777777" w:rsidTr="009D4C91">
        <w:tc>
          <w:tcPr>
            <w:tcW w:w="1838" w:type="dxa"/>
            <w:shd w:val="clear" w:color="auto" w:fill="auto"/>
          </w:tcPr>
          <w:p w14:paraId="5C9E47AA" w14:textId="77777777" w:rsidR="00BD197D" w:rsidRPr="00BD197D" w:rsidRDefault="00BD197D" w:rsidP="000032A9">
            <w:pPr>
              <w:keepNext w:val="0"/>
              <w:spacing w:before="0"/>
              <w:jc w:val="both"/>
              <w:rPr>
                <w:rFonts w:eastAsia="Arial" w:cs="Arial"/>
                <w:b/>
                <w:color w:val="auto"/>
              </w:rPr>
            </w:pPr>
            <w:r w:rsidRPr="00BD197D">
              <w:rPr>
                <w:rFonts w:eastAsia="Arial" w:cs="Arial"/>
                <w:color w:val="auto"/>
                <w:sz w:val="20"/>
              </w:rPr>
              <w:lastRenderedPageBreak/>
              <w:t>Evidence Base</w:t>
            </w:r>
          </w:p>
        </w:tc>
        <w:tc>
          <w:tcPr>
            <w:tcW w:w="7796" w:type="dxa"/>
            <w:gridSpan w:val="2"/>
            <w:shd w:val="clear" w:color="auto" w:fill="auto"/>
          </w:tcPr>
          <w:p w14:paraId="3F301FA5" w14:textId="16EBC3D8" w:rsidR="00BD197D" w:rsidRPr="00971F1A" w:rsidRDefault="00BD197D" w:rsidP="00874A98">
            <w:pPr>
              <w:keepNext w:val="0"/>
              <w:numPr>
                <w:ilvl w:val="0"/>
                <w:numId w:val="97"/>
              </w:numPr>
              <w:tabs>
                <w:tab w:val="left" w:pos="680"/>
                <w:tab w:val="left" w:pos="1133"/>
                <w:tab w:val="left" w:pos="2267"/>
              </w:tabs>
              <w:spacing w:before="0" w:after="160" w:line="252" w:lineRule="auto"/>
              <w:ind w:left="357" w:right="284" w:hanging="357"/>
              <w:contextualSpacing/>
              <w:rPr>
                <w:rFonts w:eastAsia="Arial" w:cs="Arial"/>
                <w:bCs/>
                <w:sz w:val="20"/>
                <w:lang w:eastAsia="en-US"/>
              </w:rPr>
            </w:pPr>
            <w:r w:rsidRPr="00D949EB">
              <w:rPr>
                <w:rFonts w:eastAsia="Arial" w:cs="Arial"/>
                <w:bCs/>
                <w:color w:val="auto"/>
                <w:sz w:val="20"/>
                <w:lang w:eastAsia="en-US"/>
              </w:rPr>
              <w:t>Sustainability Appraisal</w:t>
            </w:r>
            <w:r w:rsidRPr="00971F1A">
              <w:rPr>
                <w:rFonts w:eastAsia="Arial" w:cs="Arial"/>
                <w:bCs/>
                <w:sz w:val="20"/>
                <w:lang w:eastAsia="en-US"/>
              </w:rPr>
              <w:t xml:space="preserve">, </w:t>
            </w:r>
            <w:r w:rsidR="00D949EB" w:rsidRPr="00971F1A">
              <w:rPr>
                <w:rFonts w:eastAsia="Arial" w:cs="Arial"/>
                <w:bCs/>
                <w:sz w:val="20"/>
                <w:lang w:eastAsia="en-US"/>
              </w:rPr>
              <w:t xml:space="preserve">2023, </w:t>
            </w:r>
            <w:bookmarkStart w:id="62" w:name="_Hlk139622805"/>
            <w:r w:rsidR="00D949EB" w:rsidRPr="00971F1A">
              <w:rPr>
                <w:rFonts w:eastAsia="Arial" w:cs="Arial"/>
                <w:bCs/>
                <w:sz w:val="20"/>
                <w:lang w:eastAsia="en-US"/>
              </w:rPr>
              <w:t>WSP UK Limited</w:t>
            </w:r>
            <w:bookmarkEnd w:id="62"/>
          </w:p>
          <w:p w14:paraId="343AE372" w14:textId="479041E6" w:rsidR="00BD197D" w:rsidRPr="00971F1A" w:rsidRDefault="00BD197D" w:rsidP="00874A98">
            <w:pPr>
              <w:keepNext w:val="0"/>
              <w:numPr>
                <w:ilvl w:val="0"/>
                <w:numId w:val="97"/>
              </w:numPr>
              <w:tabs>
                <w:tab w:val="left" w:pos="680"/>
                <w:tab w:val="left" w:pos="1133"/>
                <w:tab w:val="left" w:pos="2267"/>
              </w:tabs>
              <w:spacing w:before="0" w:after="160" w:line="252" w:lineRule="auto"/>
              <w:ind w:left="357" w:right="284" w:hanging="357"/>
              <w:contextualSpacing/>
              <w:rPr>
                <w:rFonts w:eastAsia="Arial" w:cs="Arial"/>
                <w:bCs/>
                <w:sz w:val="20"/>
                <w:lang w:eastAsia="en-US"/>
              </w:rPr>
            </w:pPr>
            <w:r w:rsidRPr="00971F1A">
              <w:rPr>
                <w:rFonts w:eastAsia="Arial" w:cs="Arial"/>
                <w:bCs/>
                <w:sz w:val="20"/>
                <w:szCs w:val="22"/>
                <w:lang w:eastAsia="en-US"/>
              </w:rPr>
              <w:t>Background Paper</w:t>
            </w:r>
            <w:r w:rsidR="00A05D94" w:rsidRPr="00971F1A">
              <w:rPr>
                <w:rFonts w:eastAsia="Arial" w:cs="Arial"/>
                <w:bCs/>
                <w:sz w:val="20"/>
                <w:szCs w:val="22"/>
                <w:lang w:eastAsia="en-US"/>
              </w:rPr>
              <w:t xml:space="preserve"> No1:</w:t>
            </w:r>
            <w:r w:rsidRPr="00971F1A">
              <w:rPr>
                <w:rFonts w:eastAsia="Arial" w:cs="Arial"/>
                <w:bCs/>
                <w:sz w:val="20"/>
                <w:szCs w:val="22"/>
                <w:lang w:eastAsia="en-US"/>
              </w:rPr>
              <w:t xml:space="preserve"> Spatial Strategy and </w:t>
            </w:r>
            <w:r w:rsidR="000E778B">
              <w:rPr>
                <w:rFonts w:eastAsia="Arial" w:cs="Arial"/>
                <w:bCs/>
                <w:sz w:val="20"/>
                <w:szCs w:val="22"/>
                <w:lang w:eastAsia="en-US"/>
              </w:rPr>
              <w:t>Site Selection, 2023</w:t>
            </w:r>
            <w:r w:rsidRPr="00971F1A">
              <w:rPr>
                <w:rFonts w:eastAsia="Arial" w:cs="Arial"/>
                <w:bCs/>
                <w:sz w:val="20"/>
                <w:szCs w:val="22"/>
                <w:lang w:eastAsia="en-US"/>
              </w:rPr>
              <w:t>. Ashfield District Council</w:t>
            </w:r>
          </w:p>
          <w:p w14:paraId="52345279" w14:textId="53C9A29A" w:rsidR="00BD197D" w:rsidRPr="00971F1A" w:rsidRDefault="00BD197D" w:rsidP="00874A98">
            <w:pPr>
              <w:keepNext w:val="0"/>
              <w:numPr>
                <w:ilvl w:val="0"/>
                <w:numId w:val="97"/>
              </w:numPr>
              <w:tabs>
                <w:tab w:val="left" w:pos="680"/>
                <w:tab w:val="left" w:pos="1133"/>
                <w:tab w:val="left" w:pos="2267"/>
              </w:tabs>
              <w:spacing w:before="0" w:after="160" w:line="252" w:lineRule="auto"/>
              <w:ind w:left="357" w:right="284" w:hanging="357"/>
              <w:contextualSpacing/>
              <w:rPr>
                <w:rFonts w:eastAsia="Arial" w:cs="Arial"/>
                <w:bCs/>
                <w:sz w:val="20"/>
                <w:lang w:eastAsia="en-US"/>
              </w:rPr>
            </w:pPr>
            <w:r w:rsidRPr="00971F1A">
              <w:rPr>
                <w:rFonts w:eastAsia="Arial" w:cs="Arial"/>
                <w:bCs/>
                <w:sz w:val="20"/>
                <w:szCs w:val="22"/>
                <w:lang w:eastAsia="en-US"/>
              </w:rPr>
              <w:t xml:space="preserve">Background Paper </w:t>
            </w:r>
            <w:r w:rsidR="00A05D94" w:rsidRPr="00971F1A">
              <w:rPr>
                <w:rFonts w:eastAsia="Arial" w:cs="Arial"/>
                <w:bCs/>
                <w:sz w:val="20"/>
                <w:szCs w:val="22"/>
                <w:lang w:eastAsia="en-US"/>
              </w:rPr>
              <w:t>No 3:</w:t>
            </w:r>
            <w:r w:rsidRPr="00971F1A">
              <w:rPr>
                <w:rFonts w:eastAsia="Arial" w:cs="Arial"/>
                <w:bCs/>
                <w:sz w:val="20"/>
                <w:szCs w:val="22"/>
                <w:lang w:eastAsia="en-US"/>
              </w:rPr>
              <w:t xml:space="preserve"> </w:t>
            </w:r>
            <w:r w:rsidR="000032A9" w:rsidRPr="00971F1A">
              <w:rPr>
                <w:rFonts w:eastAsia="Arial" w:cs="Arial"/>
                <w:bCs/>
                <w:sz w:val="20"/>
                <w:szCs w:val="22"/>
                <w:lang w:eastAsia="en-US"/>
              </w:rPr>
              <w:t xml:space="preserve">Economy &amp; </w:t>
            </w:r>
            <w:r w:rsidRPr="00971F1A">
              <w:rPr>
                <w:rFonts w:eastAsia="Arial" w:cs="Arial"/>
                <w:bCs/>
                <w:sz w:val="20"/>
                <w:szCs w:val="22"/>
                <w:lang w:eastAsia="en-US"/>
              </w:rPr>
              <w:t>Employment Land 202</w:t>
            </w:r>
            <w:r w:rsidR="00D411FD" w:rsidRPr="00971F1A">
              <w:rPr>
                <w:rFonts w:eastAsia="Arial" w:cs="Arial"/>
                <w:bCs/>
                <w:sz w:val="20"/>
                <w:szCs w:val="22"/>
                <w:lang w:eastAsia="en-US"/>
              </w:rPr>
              <w:t>3</w:t>
            </w:r>
            <w:r w:rsidRPr="00971F1A">
              <w:rPr>
                <w:rFonts w:eastAsia="Arial" w:cs="Arial"/>
                <w:bCs/>
                <w:sz w:val="20"/>
                <w:szCs w:val="22"/>
                <w:lang w:eastAsia="en-US"/>
              </w:rPr>
              <w:t>.  Ashfield District Council.</w:t>
            </w:r>
          </w:p>
          <w:p w14:paraId="3C4CBF6D" w14:textId="06BEBBA3" w:rsidR="00BD197D" w:rsidRPr="00971F1A" w:rsidRDefault="00BD197D" w:rsidP="00874A98">
            <w:pPr>
              <w:keepNext w:val="0"/>
              <w:numPr>
                <w:ilvl w:val="0"/>
                <w:numId w:val="97"/>
              </w:numPr>
              <w:tabs>
                <w:tab w:val="left" w:pos="680"/>
                <w:tab w:val="left" w:pos="1133"/>
                <w:tab w:val="left" w:pos="2267"/>
              </w:tabs>
              <w:spacing w:before="0" w:after="160" w:line="252" w:lineRule="auto"/>
              <w:ind w:left="357" w:right="284" w:hanging="357"/>
              <w:contextualSpacing/>
              <w:rPr>
                <w:rFonts w:eastAsia="Arial" w:cs="Arial"/>
                <w:bCs/>
                <w:sz w:val="20"/>
              </w:rPr>
            </w:pPr>
            <w:r w:rsidRPr="00971F1A">
              <w:rPr>
                <w:rFonts w:eastAsia="Arial" w:cs="Arial"/>
                <w:bCs/>
                <w:sz w:val="20"/>
              </w:rPr>
              <w:lastRenderedPageBreak/>
              <w:t xml:space="preserve">Background Paper </w:t>
            </w:r>
            <w:r w:rsidR="00A05D94" w:rsidRPr="00971F1A">
              <w:rPr>
                <w:rFonts w:eastAsia="Arial" w:cs="Arial"/>
                <w:bCs/>
                <w:sz w:val="20"/>
              </w:rPr>
              <w:t xml:space="preserve">No </w:t>
            </w:r>
            <w:r w:rsidRPr="00971F1A">
              <w:rPr>
                <w:rFonts w:eastAsia="Arial" w:cs="Arial"/>
                <w:bCs/>
                <w:sz w:val="20"/>
              </w:rPr>
              <w:t xml:space="preserve">4: </w:t>
            </w:r>
            <w:bookmarkStart w:id="63" w:name="_Hlk82270992"/>
            <w:r w:rsidRPr="00971F1A">
              <w:rPr>
                <w:rFonts w:eastAsia="Arial" w:cs="Arial"/>
                <w:bCs/>
                <w:sz w:val="20"/>
              </w:rPr>
              <w:t xml:space="preserve">Green Belt </w:t>
            </w:r>
            <w:r w:rsidR="002B15A2" w:rsidRPr="00971F1A">
              <w:rPr>
                <w:rFonts w:eastAsia="Arial" w:cs="Arial"/>
                <w:bCs/>
                <w:sz w:val="20"/>
              </w:rPr>
              <w:t xml:space="preserve">Harm Assessment </w:t>
            </w:r>
            <w:r w:rsidRPr="00971F1A">
              <w:rPr>
                <w:rFonts w:eastAsia="Arial" w:cs="Arial"/>
                <w:bCs/>
                <w:sz w:val="20"/>
              </w:rPr>
              <w:t>202</w:t>
            </w:r>
            <w:bookmarkEnd w:id="63"/>
            <w:r w:rsidR="0073604D">
              <w:rPr>
                <w:rFonts w:eastAsia="Arial" w:cs="Arial"/>
                <w:bCs/>
                <w:sz w:val="20"/>
              </w:rPr>
              <w:t>3</w:t>
            </w:r>
            <w:r w:rsidRPr="00971F1A">
              <w:rPr>
                <w:rFonts w:eastAsia="Arial" w:cs="Arial"/>
                <w:bCs/>
                <w:sz w:val="20"/>
              </w:rPr>
              <w:t>, Ashfield District Council.</w:t>
            </w:r>
          </w:p>
          <w:p w14:paraId="67589FC6" w14:textId="77777777" w:rsidR="00BD197D" w:rsidRPr="00971F1A" w:rsidRDefault="00BD197D" w:rsidP="00874A98">
            <w:pPr>
              <w:keepNext w:val="0"/>
              <w:numPr>
                <w:ilvl w:val="0"/>
                <w:numId w:val="97"/>
              </w:numPr>
              <w:tabs>
                <w:tab w:val="left" w:pos="680"/>
                <w:tab w:val="left" w:pos="1133"/>
                <w:tab w:val="left" w:pos="2267"/>
              </w:tabs>
              <w:spacing w:before="0" w:after="160" w:line="252" w:lineRule="auto"/>
              <w:ind w:left="357" w:right="284" w:hanging="357"/>
              <w:contextualSpacing/>
              <w:rPr>
                <w:rFonts w:eastAsia="Arial" w:cs="Arial"/>
                <w:bCs/>
                <w:sz w:val="20"/>
                <w:lang w:eastAsia="en-US"/>
              </w:rPr>
            </w:pPr>
            <w:r w:rsidRPr="00971F1A">
              <w:rPr>
                <w:rFonts w:eastAsia="Arial" w:cs="Arial"/>
                <w:bCs/>
                <w:sz w:val="20"/>
                <w:szCs w:val="22"/>
                <w:lang w:eastAsia="en-US"/>
              </w:rPr>
              <w:t>The Nottingham Core HMA and Nottingham Outer HMA Employment Land Needs Study, 2021.  Lichfield.</w:t>
            </w:r>
          </w:p>
          <w:p w14:paraId="4DF64D57" w14:textId="698C2955" w:rsidR="00BD197D" w:rsidRPr="00971F1A" w:rsidRDefault="00BD197D" w:rsidP="00874A98">
            <w:pPr>
              <w:keepNext w:val="0"/>
              <w:numPr>
                <w:ilvl w:val="0"/>
                <w:numId w:val="97"/>
              </w:numPr>
              <w:tabs>
                <w:tab w:val="left" w:pos="680"/>
                <w:tab w:val="left" w:pos="1133"/>
                <w:tab w:val="left" w:pos="2267"/>
              </w:tabs>
              <w:spacing w:before="0" w:after="160" w:line="252" w:lineRule="auto"/>
              <w:ind w:left="357" w:right="284" w:hanging="357"/>
              <w:contextualSpacing/>
              <w:rPr>
                <w:rFonts w:eastAsia="Arial" w:cs="Arial"/>
                <w:bCs/>
                <w:sz w:val="20"/>
                <w:lang w:eastAsia="en-US"/>
              </w:rPr>
            </w:pPr>
            <w:r w:rsidRPr="00971F1A">
              <w:rPr>
                <w:rFonts w:eastAsia="Arial" w:cs="Arial"/>
                <w:bCs/>
                <w:sz w:val="20"/>
                <w:szCs w:val="22"/>
                <w:lang w:eastAsia="en-US"/>
              </w:rPr>
              <w:t>Strategic Housing and Employment Land Availability Assessment</w:t>
            </w:r>
            <w:r w:rsidR="00AE785A">
              <w:rPr>
                <w:rFonts w:eastAsia="Arial" w:cs="Arial"/>
                <w:bCs/>
                <w:sz w:val="20"/>
                <w:szCs w:val="22"/>
                <w:lang w:eastAsia="en-US"/>
              </w:rPr>
              <w:t xml:space="preserve"> </w:t>
            </w:r>
            <w:r w:rsidRPr="00971F1A">
              <w:rPr>
                <w:rFonts w:eastAsia="Arial" w:cs="Arial"/>
                <w:bCs/>
                <w:sz w:val="20"/>
                <w:szCs w:val="22"/>
                <w:lang w:eastAsia="en-US"/>
              </w:rPr>
              <w:t>2021</w:t>
            </w:r>
            <w:r w:rsidR="00AE785A">
              <w:rPr>
                <w:rFonts w:eastAsia="Arial" w:cs="Arial"/>
                <w:bCs/>
                <w:sz w:val="20"/>
                <w:szCs w:val="22"/>
                <w:lang w:eastAsia="en-US"/>
              </w:rPr>
              <w:t xml:space="preserve"> - 2023</w:t>
            </w:r>
            <w:r w:rsidRPr="00971F1A">
              <w:rPr>
                <w:rFonts w:eastAsia="Arial" w:cs="Arial"/>
                <w:bCs/>
                <w:sz w:val="20"/>
                <w:szCs w:val="22"/>
                <w:lang w:eastAsia="en-US"/>
              </w:rPr>
              <w:t>. Ashfield District Council.</w:t>
            </w:r>
          </w:p>
          <w:p w14:paraId="0AC80FAC" w14:textId="14BD8CF7" w:rsidR="00D411FD" w:rsidRPr="00971F1A" w:rsidRDefault="00D411FD" w:rsidP="00874A98">
            <w:pPr>
              <w:keepNext w:val="0"/>
              <w:numPr>
                <w:ilvl w:val="0"/>
                <w:numId w:val="97"/>
              </w:numPr>
              <w:tabs>
                <w:tab w:val="left" w:pos="680"/>
                <w:tab w:val="left" w:pos="1133"/>
                <w:tab w:val="left" w:pos="2267"/>
              </w:tabs>
              <w:spacing w:before="0" w:after="160" w:line="252" w:lineRule="auto"/>
              <w:ind w:left="357" w:right="284" w:hanging="357"/>
              <w:contextualSpacing/>
              <w:rPr>
                <w:rFonts w:eastAsia="Arial" w:cs="Arial"/>
                <w:bCs/>
                <w:sz w:val="20"/>
                <w:lang w:eastAsia="en-US"/>
              </w:rPr>
            </w:pPr>
            <w:r w:rsidRPr="00971F1A">
              <w:rPr>
                <w:rFonts w:eastAsia="Arial" w:cs="Arial"/>
                <w:bCs/>
                <w:sz w:val="20"/>
                <w:szCs w:val="22"/>
                <w:lang w:eastAsia="en-US"/>
              </w:rPr>
              <w:t>The Nottingham Core HMA and Nottingham Outer HMA Logistics Study 2022, Iceni.</w:t>
            </w:r>
          </w:p>
          <w:p w14:paraId="37150F76" w14:textId="585F6338" w:rsidR="00274F30" w:rsidRPr="00971F1A" w:rsidRDefault="00274F30" w:rsidP="00874A98">
            <w:pPr>
              <w:keepNext w:val="0"/>
              <w:numPr>
                <w:ilvl w:val="0"/>
                <w:numId w:val="97"/>
              </w:numPr>
              <w:tabs>
                <w:tab w:val="left" w:pos="680"/>
                <w:tab w:val="left" w:pos="1133"/>
                <w:tab w:val="left" w:pos="2267"/>
              </w:tabs>
              <w:spacing w:before="0" w:after="160" w:line="252" w:lineRule="auto"/>
              <w:ind w:left="357" w:right="284" w:hanging="357"/>
              <w:contextualSpacing/>
              <w:rPr>
                <w:rFonts w:eastAsia="Arial" w:cs="Arial"/>
                <w:bCs/>
                <w:sz w:val="20"/>
                <w:lang w:eastAsia="en-US"/>
              </w:rPr>
            </w:pPr>
            <w:r w:rsidRPr="00971F1A">
              <w:rPr>
                <w:rFonts w:eastAsia="Arial" w:cs="Arial"/>
                <w:bCs/>
                <w:sz w:val="20"/>
                <w:szCs w:val="22"/>
                <w:lang w:eastAsia="en-US"/>
              </w:rPr>
              <w:t xml:space="preserve">Greater Nottingham Logistics Background </w:t>
            </w:r>
            <w:r w:rsidR="00CD61AD">
              <w:rPr>
                <w:rFonts w:eastAsia="Arial" w:cs="Arial"/>
                <w:bCs/>
                <w:sz w:val="20"/>
                <w:szCs w:val="22"/>
                <w:lang w:eastAsia="en-US"/>
              </w:rPr>
              <w:t>P</w:t>
            </w:r>
            <w:r w:rsidRPr="00971F1A">
              <w:rPr>
                <w:rFonts w:eastAsia="Arial" w:cs="Arial"/>
                <w:bCs/>
                <w:sz w:val="20"/>
                <w:szCs w:val="22"/>
                <w:lang w:eastAsia="en-US"/>
              </w:rPr>
              <w:t>aper 2023.  Ashfield DC, Broxtowe BC, Erewash BC, Gedling BC, Nottingham City, &amp; Rushcliffe BC.</w:t>
            </w:r>
          </w:p>
          <w:p w14:paraId="4E5C8E75" w14:textId="77777777" w:rsidR="00BD197D" w:rsidRPr="006E3758" w:rsidRDefault="00BD197D" w:rsidP="00874A98">
            <w:pPr>
              <w:keepNext w:val="0"/>
              <w:numPr>
                <w:ilvl w:val="0"/>
                <w:numId w:val="97"/>
              </w:numPr>
              <w:tabs>
                <w:tab w:val="left" w:pos="680"/>
                <w:tab w:val="left" w:pos="1133"/>
                <w:tab w:val="left" w:pos="2267"/>
              </w:tabs>
              <w:spacing w:before="0" w:after="160" w:line="252" w:lineRule="auto"/>
              <w:ind w:left="357" w:right="284" w:hanging="357"/>
              <w:contextualSpacing/>
              <w:rPr>
                <w:rFonts w:eastAsia="Arial" w:cs="Arial"/>
                <w:bCs/>
                <w:color w:val="auto"/>
                <w:sz w:val="20"/>
                <w:lang w:eastAsia="en-US"/>
              </w:rPr>
            </w:pPr>
            <w:r w:rsidRPr="00971F1A">
              <w:rPr>
                <w:rFonts w:eastAsia="Arial" w:cs="Arial"/>
                <w:bCs/>
                <w:sz w:val="20"/>
                <w:szCs w:val="22"/>
                <w:lang w:eastAsia="en-US"/>
              </w:rPr>
              <w:t>Ashfield and Mansfield - A Plan for Growth 2016 (Joint Economic Strategic) Ashfield DC &amp; Mansfield DC</w:t>
            </w:r>
            <w:r w:rsidRPr="00BD197D">
              <w:rPr>
                <w:rFonts w:eastAsia="Arial" w:cs="Arial"/>
                <w:bCs/>
                <w:color w:val="auto"/>
                <w:sz w:val="20"/>
                <w:szCs w:val="22"/>
                <w:lang w:eastAsia="en-US"/>
              </w:rPr>
              <w:t>.</w:t>
            </w:r>
          </w:p>
          <w:p w14:paraId="7D01D759" w14:textId="3EF6EB0B" w:rsidR="006E3758" w:rsidRPr="006E3758" w:rsidRDefault="006E3758" w:rsidP="00874A98">
            <w:pPr>
              <w:keepNext w:val="0"/>
              <w:numPr>
                <w:ilvl w:val="0"/>
                <w:numId w:val="97"/>
              </w:numPr>
              <w:tabs>
                <w:tab w:val="left" w:pos="680"/>
                <w:tab w:val="left" w:pos="1133"/>
                <w:tab w:val="left" w:pos="2267"/>
              </w:tabs>
              <w:spacing w:before="0" w:after="160" w:line="252" w:lineRule="auto"/>
              <w:ind w:right="284"/>
              <w:contextualSpacing/>
              <w:rPr>
                <w:rFonts w:eastAsia="Arial" w:cs="Arial"/>
                <w:bCs/>
                <w:color w:val="auto"/>
                <w:sz w:val="20"/>
                <w:lang w:eastAsia="en-US"/>
              </w:rPr>
            </w:pPr>
            <w:r w:rsidRPr="006E3758">
              <w:rPr>
                <w:rFonts w:eastAsia="Arial" w:cs="Arial"/>
                <w:bCs/>
                <w:color w:val="auto"/>
                <w:sz w:val="20"/>
                <w:lang w:eastAsia="en-US"/>
              </w:rPr>
              <w:t>Gear change: a bold vision for cycling and walking (2020) Department for Transport</w:t>
            </w:r>
            <w:r>
              <w:rPr>
                <w:rFonts w:eastAsia="Arial" w:cs="Arial"/>
                <w:bCs/>
                <w:color w:val="auto"/>
                <w:sz w:val="20"/>
                <w:lang w:eastAsia="en-US"/>
              </w:rPr>
              <w:t>.</w:t>
            </w:r>
          </w:p>
        </w:tc>
      </w:tr>
      <w:tr w:rsidR="00BD197D" w:rsidRPr="00BD197D" w14:paraId="0F6D12C7" w14:textId="77777777" w:rsidTr="009D4C91">
        <w:tc>
          <w:tcPr>
            <w:tcW w:w="1838" w:type="dxa"/>
            <w:shd w:val="clear" w:color="auto" w:fill="auto"/>
          </w:tcPr>
          <w:p w14:paraId="4464ABF7" w14:textId="77777777" w:rsidR="00BD197D" w:rsidRPr="00BD197D" w:rsidRDefault="00BD197D" w:rsidP="00CD61AD">
            <w:pPr>
              <w:keepNext w:val="0"/>
              <w:spacing w:before="0"/>
              <w:rPr>
                <w:rFonts w:eastAsia="Arial" w:cs="Arial"/>
                <w:b/>
                <w:color w:val="auto"/>
              </w:rPr>
            </w:pPr>
            <w:r w:rsidRPr="00BD197D">
              <w:rPr>
                <w:rFonts w:eastAsia="Arial" w:cs="Arial"/>
                <w:color w:val="auto"/>
                <w:sz w:val="20"/>
              </w:rPr>
              <w:lastRenderedPageBreak/>
              <w:t xml:space="preserve">National Planning Policy and Guidance </w:t>
            </w:r>
          </w:p>
        </w:tc>
        <w:tc>
          <w:tcPr>
            <w:tcW w:w="7796" w:type="dxa"/>
            <w:gridSpan w:val="2"/>
            <w:shd w:val="clear" w:color="auto" w:fill="auto"/>
          </w:tcPr>
          <w:p w14:paraId="65260BC7" w14:textId="0E94A45E" w:rsidR="00BD197D" w:rsidRPr="00BD197D" w:rsidRDefault="00BD197D" w:rsidP="00874A98">
            <w:pPr>
              <w:keepNext w:val="0"/>
              <w:numPr>
                <w:ilvl w:val="0"/>
                <w:numId w:val="98"/>
              </w:numPr>
              <w:spacing w:before="0" w:after="160" w:line="252" w:lineRule="auto"/>
              <w:ind w:left="357" w:hanging="357"/>
              <w:contextualSpacing/>
              <w:rPr>
                <w:rFonts w:cs="Arial"/>
                <w:bCs/>
                <w:color w:val="auto"/>
                <w:sz w:val="20"/>
                <w:u w:val="single"/>
              </w:rPr>
            </w:pPr>
            <w:r w:rsidRPr="00BD197D">
              <w:rPr>
                <w:rFonts w:eastAsia="Arial" w:cs="Arial"/>
                <w:bCs/>
                <w:color w:val="auto"/>
                <w:sz w:val="20"/>
              </w:rPr>
              <w:t>NPPF 202</w:t>
            </w:r>
            <w:r w:rsidR="00A37A61">
              <w:rPr>
                <w:rFonts w:eastAsia="Arial" w:cs="Arial"/>
                <w:bCs/>
                <w:color w:val="auto"/>
                <w:sz w:val="20"/>
              </w:rPr>
              <w:t>3</w:t>
            </w:r>
            <w:r w:rsidRPr="00BD197D">
              <w:rPr>
                <w:rFonts w:eastAsia="Arial" w:cs="Arial"/>
                <w:bCs/>
                <w:color w:val="auto"/>
                <w:sz w:val="20"/>
              </w:rPr>
              <w:t>, Part 2: Achieving sustainable development.</w:t>
            </w:r>
          </w:p>
          <w:p w14:paraId="7F9EC474" w14:textId="7C97F119" w:rsidR="00BD197D" w:rsidRPr="00BD197D" w:rsidRDefault="00BD197D" w:rsidP="00874A98">
            <w:pPr>
              <w:keepNext w:val="0"/>
              <w:numPr>
                <w:ilvl w:val="0"/>
                <w:numId w:val="98"/>
              </w:numPr>
              <w:tabs>
                <w:tab w:val="left" w:pos="360"/>
                <w:tab w:val="left" w:pos="1133"/>
                <w:tab w:val="left" w:pos="2267"/>
              </w:tabs>
              <w:spacing w:before="0" w:after="160" w:line="252" w:lineRule="auto"/>
              <w:ind w:left="357" w:right="284" w:hanging="357"/>
              <w:contextualSpacing/>
              <w:rPr>
                <w:rFonts w:eastAsia="Arial" w:cs="Arial"/>
                <w:bCs/>
                <w:color w:val="auto"/>
                <w:sz w:val="20"/>
                <w:lang w:eastAsia="en-US"/>
              </w:rPr>
            </w:pPr>
            <w:r w:rsidRPr="00BD197D">
              <w:rPr>
                <w:rFonts w:eastAsia="Arial" w:cs="Arial"/>
                <w:bCs/>
                <w:color w:val="auto"/>
                <w:sz w:val="20"/>
                <w:lang w:eastAsia="en-US"/>
              </w:rPr>
              <w:t>NPPF 202</w:t>
            </w:r>
            <w:r w:rsidR="00A37A61">
              <w:rPr>
                <w:rFonts w:eastAsia="Arial" w:cs="Arial"/>
                <w:bCs/>
                <w:color w:val="auto"/>
                <w:sz w:val="20"/>
                <w:lang w:eastAsia="en-US"/>
              </w:rPr>
              <w:t>3</w:t>
            </w:r>
            <w:r w:rsidRPr="00BD197D">
              <w:rPr>
                <w:rFonts w:eastAsia="Arial" w:cs="Arial"/>
                <w:bCs/>
                <w:color w:val="auto"/>
                <w:sz w:val="20"/>
                <w:lang w:eastAsia="en-US"/>
              </w:rPr>
              <w:t>, Part 3: Plan Making.</w:t>
            </w:r>
          </w:p>
          <w:p w14:paraId="08E39D51" w14:textId="3DBA4781" w:rsidR="00BD197D" w:rsidRPr="00BD197D" w:rsidRDefault="00BD197D" w:rsidP="00874A98">
            <w:pPr>
              <w:keepNext w:val="0"/>
              <w:numPr>
                <w:ilvl w:val="0"/>
                <w:numId w:val="98"/>
              </w:numPr>
              <w:tabs>
                <w:tab w:val="left" w:pos="680"/>
                <w:tab w:val="left" w:pos="1133"/>
                <w:tab w:val="left" w:pos="2267"/>
              </w:tabs>
              <w:spacing w:before="0" w:after="160" w:line="252" w:lineRule="auto"/>
              <w:ind w:left="357" w:right="284" w:hanging="357"/>
              <w:contextualSpacing/>
              <w:rPr>
                <w:rFonts w:eastAsia="Arial" w:cs="Arial"/>
                <w:bCs/>
                <w:color w:val="auto"/>
                <w:sz w:val="20"/>
              </w:rPr>
            </w:pPr>
            <w:r w:rsidRPr="00BD197D">
              <w:rPr>
                <w:rFonts w:eastAsia="Arial" w:cs="Arial"/>
                <w:bCs/>
                <w:color w:val="auto"/>
                <w:sz w:val="20"/>
              </w:rPr>
              <w:t>NPPF 202</w:t>
            </w:r>
            <w:r w:rsidR="00A37A61">
              <w:rPr>
                <w:rFonts w:eastAsia="Arial" w:cs="Arial"/>
                <w:bCs/>
                <w:color w:val="auto"/>
                <w:sz w:val="20"/>
              </w:rPr>
              <w:t>3</w:t>
            </w:r>
            <w:r w:rsidRPr="00BD197D">
              <w:rPr>
                <w:rFonts w:eastAsia="Arial" w:cs="Arial"/>
                <w:bCs/>
                <w:color w:val="auto"/>
                <w:sz w:val="20"/>
              </w:rPr>
              <w:t xml:space="preserve">, Part 6: </w:t>
            </w:r>
            <w:r w:rsidRPr="00BD197D">
              <w:rPr>
                <w:rFonts w:eastAsia="Calibri" w:cs="Arial"/>
                <w:bCs/>
                <w:color w:val="auto"/>
                <w:sz w:val="20"/>
                <w:lang w:eastAsia="en-US"/>
              </w:rPr>
              <w:t>Building a strong, competitive economy.</w:t>
            </w:r>
          </w:p>
          <w:p w14:paraId="1F16D39E" w14:textId="34E02E7A" w:rsidR="00BD197D" w:rsidRPr="00BD197D" w:rsidRDefault="00BD197D" w:rsidP="00874A98">
            <w:pPr>
              <w:keepNext w:val="0"/>
              <w:numPr>
                <w:ilvl w:val="0"/>
                <w:numId w:val="98"/>
              </w:numPr>
              <w:spacing w:before="0" w:after="160" w:line="252" w:lineRule="auto"/>
              <w:ind w:left="357" w:hanging="357"/>
              <w:contextualSpacing/>
              <w:rPr>
                <w:rFonts w:cs="Arial"/>
                <w:bCs/>
                <w:color w:val="auto"/>
                <w:sz w:val="20"/>
                <w:u w:val="single"/>
              </w:rPr>
            </w:pPr>
            <w:r w:rsidRPr="00BD197D">
              <w:rPr>
                <w:rFonts w:eastAsia="Arial" w:cs="Arial"/>
                <w:bCs/>
                <w:color w:val="auto"/>
                <w:sz w:val="20"/>
              </w:rPr>
              <w:t>NPPF 202</w:t>
            </w:r>
            <w:r w:rsidR="00A37A61">
              <w:rPr>
                <w:rFonts w:eastAsia="Arial" w:cs="Arial"/>
                <w:bCs/>
                <w:color w:val="auto"/>
                <w:sz w:val="20"/>
              </w:rPr>
              <w:t>3</w:t>
            </w:r>
            <w:r w:rsidRPr="00BD197D">
              <w:rPr>
                <w:rFonts w:eastAsia="Arial" w:cs="Arial"/>
                <w:bCs/>
                <w:color w:val="auto"/>
                <w:sz w:val="20"/>
              </w:rPr>
              <w:t xml:space="preserve"> Part 11: Making effective use of land.</w:t>
            </w:r>
          </w:p>
          <w:p w14:paraId="49C107CD" w14:textId="68D657B1" w:rsidR="00BD197D" w:rsidRPr="00BD197D" w:rsidRDefault="00BD197D" w:rsidP="00874A98">
            <w:pPr>
              <w:keepNext w:val="0"/>
              <w:numPr>
                <w:ilvl w:val="0"/>
                <w:numId w:val="98"/>
              </w:numPr>
              <w:spacing w:before="0" w:after="160" w:line="252" w:lineRule="auto"/>
              <w:ind w:left="357" w:hanging="357"/>
              <w:contextualSpacing/>
              <w:rPr>
                <w:rFonts w:cs="Arial"/>
                <w:bCs/>
                <w:color w:val="auto"/>
                <w:sz w:val="20"/>
              </w:rPr>
            </w:pPr>
            <w:r w:rsidRPr="00BD197D">
              <w:rPr>
                <w:rFonts w:cs="Arial"/>
                <w:bCs/>
                <w:color w:val="auto"/>
                <w:sz w:val="20"/>
              </w:rPr>
              <w:t>NPPF 202</w:t>
            </w:r>
            <w:r w:rsidR="00A37A61">
              <w:rPr>
                <w:rFonts w:cs="Arial"/>
                <w:bCs/>
                <w:color w:val="auto"/>
                <w:sz w:val="20"/>
              </w:rPr>
              <w:t>3</w:t>
            </w:r>
            <w:r w:rsidRPr="00BD197D">
              <w:rPr>
                <w:rFonts w:cs="Arial"/>
                <w:bCs/>
                <w:color w:val="auto"/>
                <w:sz w:val="20"/>
              </w:rPr>
              <w:t xml:space="preserve">, Part 13: </w:t>
            </w:r>
            <w:r w:rsidR="0048712C">
              <w:rPr>
                <w:rFonts w:cs="Arial"/>
                <w:bCs/>
                <w:color w:val="auto"/>
                <w:sz w:val="20"/>
              </w:rPr>
              <w:t>P</w:t>
            </w:r>
            <w:r w:rsidRPr="00BD197D">
              <w:rPr>
                <w:rFonts w:cs="Arial"/>
                <w:bCs/>
                <w:color w:val="auto"/>
                <w:sz w:val="20"/>
              </w:rPr>
              <w:t>rotecting Green Belt land</w:t>
            </w:r>
          </w:p>
          <w:p w14:paraId="0D550E2E" w14:textId="1A393DFC" w:rsidR="00BD197D" w:rsidRPr="0073604D" w:rsidRDefault="00BD197D" w:rsidP="00874A98">
            <w:pPr>
              <w:keepNext w:val="0"/>
              <w:numPr>
                <w:ilvl w:val="0"/>
                <w:numId w:val="98"/>
              </w:numPr>
              <w:tabs>
                <w:tab w:val="left" w:pos="360"/>
                <w:tab w:val="left" w:pos="1133"/>
                <w:tab w:val="left" w:pos="2267"/>
              </w:tabs>
              <w:spacing w:before="0" w:after="160" w:line="252" w:lineRule="auto"/>
              <w:ind w:left="357" w:right="284" w:hanging="357"/>
              <w:contextualSpacing/>
              <w:rPr>
                <w:rFonts w:eastAsia="Arial" w:cs="Arial"/>
                <w:bCs/>
                <w:sz w:val="20"/>
                <w:lang w:eastAsia="en-US"/>
              </w:rPr>
            </w:pPr>
            <w:r w:rsidRPr="00BD197D">
              <w:rPr>
                <w:rFonts w:eastAsia="Arial" w:cs="Arial"/>
                <w:bCs/>
                <w:color w:val="auto"/>
                <w:sz w:val="20"/>
                <w:lang w:eastAsia="en-US"/>
              </w:rPr>
              <w:t xml:space="preserve">Planning Practice Guidance: Housing and economic land availability assessment as of </w:t>
            </w:r>
            <w:r w:rsidR="00D949EB" w:rsidRPr="0073604D">
              <w:rPr>
                <w:rFonts w:eastAsia="Arial" w:cs="Arial"/>
                <w:bCs/>
                <w:sz w:val="20"/>
                <w:lang w:eastAsia="en-US"/>
              </w:rPr>
              <w:t>July 2019</w:t>
            </w:r>
            <w:r w:rsidRPr="0073604D">
              <w:rPr>
                <w:rFonts w:eastAsia="Arial" w:cs="Arial"/>
                <w:bCs/>
                <w:sz w:val="20"/>
                <w:lang w:eastAsia="en-US"/>
              </w:rPr>
              <w:t>.</w:t>
            </w:r>
          </w:p>
          <w:p w14:paraId="130DB1DC" w14:textId="10CA9E0E" w:rsidR="00BD197D" w:rsidRPr="00BD197D" w:rsidRDefault="00BD197D" w:rsidP="00874A98">
            <w:pPr>
              <w:keepNext w:val="0"/>
              <w:numPr>
                <w:ilvl w:val="0"/>
                <w:numId w:val="98"/>
              </w:numPr>
              <w:tabs>
                <w:tab w:val="left" w:pos="360"/>
                <w:tab w:val="left" w:pos="1133"/>
                <w:tab w:val="left" w:pos="2267"/>
              </w:tabs>
              <w:spacing w:before="0" w:after="160" w:line="252" w:lineRule="auto"/>
              <w:ind w:left="357" w:right="284" w:hanging="357"/>
              <w:contextualSpacing/>
              <w:rPr>
                <w:rFonts w:eastAsia="Arial" w:cs="Arial"/>
                <w:bCs/>
                <w:color w:val="auto"/>
                <w:sz w:val="20"/>
                <w:lang w:eastAsia="en-US"/>
              </w:rPr>
            </w:pPr>
            <w:r w:rsidRPr="0073604D">
              <w:rPr>
                <w:rFonts w:eastAsia="Arial" w:cs="Arial"/>
                <w:bCs/>
                <w:sz w:val="20"/>
                <w:szCs w:val="22"/>
                <w:lang w:eastAsia="en-US"/>
              </w:rPr>
              <w:t xml:space="preserve">Planning Practice Guidance: </w:t>
            </w:r>
            <w:bookmarkStart w:id="64" w:name="_Hlk78550548"/>
            <w:r w:rsidRPr="0073604D">
              <w:rPr>
                <w:rFonts w:eastAsia="Arial" w:cs="Arial"/>
                <w:bCs/>
                <w:sz w:val="20"/>
                <w:szCs w:val="22"/>
                <w:lang w:eastAsia="en-US"/>
              </w:rPr>
              <w:t xml:space="preserve">Housing and economic needs assessment </w:t>
            </w:r>
            <w:bookmarkEnd w:id="64"/>
            <w:r w:rsidRPr="0073604D">
              <w:rPr>
                <w:rFonts w:eastAsia="Arial" w:cs="Arial"/>
                <w:bCs/>
                <w:sz w:val="20"/>
                <w:szCs w:val="22"/>
                <w:lang w:eastAsia="en-US"/>
              </w:rPr>
              <w:t xml:space="preserve">as of </w:t>
            </w:r>
            <w:r w:rsidR="00D949EB" w:rsidRPr="0073604D">
              <w:rPr>
                <w:rFonts w:eastAsia="Arial" w:cs="Arial"/>
                <w:bCs/>
                <w:sz w:val="20"/>
                <w:szCs w:val="22"/>
                <w:lang w:eastAsia="en-US"/>
              </w:rPr>
              <w:t>December 2020</w:t>
            </w:r>
            <w:r w:rsidRPr="0073604D">
              <w:rPr>
                <w:rFonts w:eastAsia="Arial" w:cs="Arial"/>
                <w:bCs/>
                <w:sz w:val="20"/>
                <w:szCs w:val="22"/>
                <w:lang w:eastAsia="en-US"/>
              </w:rPr>
              <w:t>.</w:t>
            </w:r>
          </w:p>
        </w:tc>
      </w:tr>
    </w:tbl>
    <w:p w14:paraId="66760534" w14:textId="77777777" w:rsidR="00BD197D" w:rsidRPr="00BD197D" w:rsidRDefault="00BD197D" w:rsidP="00BD197D">
      <w:pPr>
        <w:keepNext w:val="0"/>
        <w:spacing w:before="0"/>
        <w:ind w:left="851"/>
        <w:rPr>
          <w:rFonts w:cs="Arial"/>
          <w:color w:val="auto"/>
          <w:szCs w:val="24"/>
        </w:rPr>
      </w:pPr>
    </w:p>
    <w:p w14:paraId="6F7431C8" w14:textId="77777777" w:rsidR="009933FB" w:rsidRPr="003C7E62" w:rsidRDefault="009933FB" w:rsidP="009933FB">
      <w:pPr>
        <w:keepNext w:val="0"/>
        <w:spacing w:before="0"/>
        <w:rPr>
          <w:rFonts w:cs="Arial"/>
          <w:b/>
          <w:bCs/>
          <w:color w:val="auto"/>
          <w:szCs w:val="24"/>
        </w:rPr>
      </w:pPr>
    </w:p>
    <w:p w14:paraId="482B3048" w14:textId="6EBDFD53" w:rsidR="00BD197D" w:rsidRPr="006456CA" w:rsidRDefault="00BD197D" w:rsidP="00CD61AD">
      <w:pPr>
        <w:keepNext w:val="0"/>
        <w:numPr>
          <w:ilvl w:val="1"/>
          <w:numId w:val="344"/>
        </w:numPr>
        <w:tabs>
          <w:tab w:val="clear" w:pos="525"/>
          <w:tab w:val="num" w:pos="851"/>
        </w:tabs>
        <w:spacing w:before="0"/>
        <w:ind w:left="851" w:hanging="851"/>
        <w:rPr>
          <w:rFonts w:cs="Arial"/>
          <w:color w:val="auto"/>
          <w:szCs w:val="24"/>
        </w:rPr>
      </w:pPr>
      <w:r w:rsidRPr="00BD197D">
        <w:rPr>
          <w:rFonts w:cs="Arial"/>
          <w:color w:val="auto"/>
          <w:szCs w:val="24"/>
        </w:rPr>
        <w:t>The employment evidence base for the Local Plan is set out by the Employment Land Need Study</w:t>
      </w:r>
      <w:r w:rsidRPr="0073604D">
        <w:rPr>
          <w:rFonts w:cs="Arial"/>
          <w:szCs w:val="24"/>
          <w:vertAlign w:val="superscript"/>
        </w:rPr>
        <w:footnoteReference w:id="56"/>
      </w:r>
      <w:r w:rsidR="00AE7D37">
        <w:rPr>
          <w:rFonts w:cs="Arial"/>
          <w:color w:val="auto"/>
          <w:szCs w:val="24"/>
        </w:rPr>
        <w:t xml:space="preserve"> </w:t>
      </w:r>
      <w:r w:rsidR="002E32C8" w:rsidRPr="0073604D">
        <w:rPr>
          <w:rFonts w:cs="Arial"/>
          <w:szCs w:val="24"/>
        </w:rPr>
        <w:t>(ELNS)</w:t>
      </w:r>
      <w:r w:rsidR="006456CA" w:rsidRPr="0073604D">
        <w:rPr>
          <w:rFonts w:cs="Arial"/>
          <w:szCs w:val="24"/>
        </w:rPr>
        <w:t>, Logistics Study 2022</w:t>
      </w:r>
      <w:r w:rsidR="006456CA" w:rsidRPr="0073604D">
        <w:rPr>
          <w:rStyle w:val="FootnoteReference"/>
          <w:rFonts w:cs="Arial"/>
          <w:szCs w:val="24"/>
        </w:rPr>
        <w:footnoteReference w:id="57"/>
      </w:r>
      <w:r w:rsidR="006456CA" w:rsidRPr="0073604D">
        <w:rPr>
          <w:rFonts w:cs="Arial"/>
          <w:szCs w:val="24"/>
        </w:rPr>
        <w:t xml:space="preserve">, Background Paper No 3 Economy </w:t>
      </w:r>
      <w:r w:rsidR="006A2E08">
        <w:rPr>
          <w:rFonts w:cs="Arial"/>
          <w:szCs w:val="24"/>
        </w:rPr>
        <w:t>and</w:t>
      </w:r>
      <w:r w:rsidR="006456CA" w:rsidRPr="0073604D">
        <w:rPr>
          <w:rFonts w:cs="Arial"/>
          <w:szCs w:val="24"/>
        </w:rPr>
        <w:t xml:space="preserve"> Employment Land 2023 and the Greater Nottingham Strategic Distribution and Logistics Sites Background Paper 2023</w:t>
      </w:r>
      <w:r w:rsidRPr="0073604D">
        <w:rPr>
          <w:rFonts w:cs="Arial"/>
          <w:szCs w:val="24"/>
        </w:rPr>
        <w:t xml:space="preserve">. The </w:t>
      </w:r>
      <w:r w:rsidR="002E32C8" w:rsidRPr="0073604D">
        <w:rPr>
          <w:rFonts w:cs="Arial"/>
          <w:szCs w:val="24"/>
        </w:rPr>
        <w:t xml:space="preserve">ELNS </w:t>
      </w:r>
      <w:r w:rsidRPr="006456CA">
        <w:rPr>
          <w:rFonts w:cs="Arial"/>
          <w:color w:val="auto"/>
          <w:szCs w:val="24"/>
        </w:rPr>
        <w:t xml:space="preserve">identified various scenarios to meet future employment land needs based on labour demand, labour supply and past take up rates.  It was acknowledged in the Study that Ashfield past take up rates, at least in part reflected the development of logistics units on a number of sites such as Castlewood Grange Business Park and Summit Park. The Study highlighted there was a substantial regional demand for distributions facilities along the western arc of the M1 corridor (Junctions 28 to Junction 24). This is in the context of the evidence indicating there is a limited supply of sites to meet this need. </w:t>
      </w:r>
    </w:p>
    <w:p w14:paraId="4FA4C2B5" w14:textId="77777777" w:rsidR="00BD197D" w:rsidRDefault="00BD197D" w:rsidP="00BD197D">
      <w:pPr>
        <w:keepNext w:val="0"/>
        <w:spacing w:before="0"/>
        <w:ind w:left="851"/>
        <w:rPr>
          <w:rFonts w:cs="Arial"/>
          <w:color w:val="auto"/>
          <w:szCs w:val="24"/>
        </w:rPr>
      </w:pPr>
    </w:p>
    <w:p w14:paraId="6532583A" w14:textId="769D4915" w:rsidR="00BD197D" w:rsidRDefault="00BD197D" w:rsidP="006A2E08">
      <w:pPr>
        <w:keepNext w:val="0"/>
        <w:numPr>
          <w:ilvl w:val="1"/>
          <w:numId w:val="344"/>
        </w:numPr>
        <w:tabs>
          <w:tab w:val="clear" w:pos="525"/>
          <w:tab w:val="num" w:pos="851"/>
        </w:tabs>
        <w:spacing w:before="0"/>
        <w:ind w:left="851" w:hanging="851"/>
        <w:rPr>
          <w:rFonts w:cs="Arial"/>
          <w:color w:val="auto"/>
          <w:szCs w:val="24"/>
        </w:rPr>
      </w:pPr>
      <w:r w:rsidRPr="00BD197D">
        <w:rPr>
          <w:rFonts w:cs="Arial"/>
          <w:color w:val="auto"/>
          <w:szCs w:val="24"/>
        </w:rPr>
        <w:t>The NPPF  highlights that planning policies should recognise the specific locational requirements of different sectors including distribution operations in suitably accessible locations.  Further guidance is set out in Planning Practice Guidance</w:t>
      </w:r>
      <w:r w:rsidRPr="00BD197D">
        <w:rPr>
          <w:rFonts w:cs="Arial"/>
          <w:color w:val="auto"/>
          <w:szCs w:val="24"/>
          <w:vertAlign w:val="superscript"/>
        </w:rPr>
        <w:footnoteReference w:id="58"/>
      </w:r>
      <w:r w:rsidRPr="00BD197D">
        <w:rPr>
          <w:rFonts w:cs="Arial"/>
          <w:color w:val="auto"/>
          <w:szCs w:val="24"/>
        </w:rPr>
        <w:t xml:space="preserve">  highlights that strategic policy-making authorities will need to identify the scale of any need and the most appropriate locations for meeting these identified needs. The PPG identifies that high tech, engineering, digital, creative and logistics as examples of such industries, where clustering can drive innovation, productivity and economic growth.</w:t>
      </w:r>
    </w:p>
    <w:p w14:paraId="576F9976" w14:textId="77777777" w:rsidR="00BD197D" w:rsidRDefault="00BD197D" w:rsidP="00BD197D">
      <w:pPr>
        <w:pStyle w:val="ListParagraph"/>
        <w:spacing w:after="0" w:line="240" w:lineRule="auto"/>
        <w:rPr>
          <w:rFonts w:cs="Arial"/>
          <w:color w:val="auto"/>
          <w:szCs w:val="24"/>
        </w:rPr>
      </w:pPr>
    </w:p>
    <w:p w14:paraId="0F9AD894" w14:textId="1EDD4D10" w:rsidR="009431BD" w:rsidRPr="009431BD" w:rsidRDefault="00BD197D" w:rsidP="006A2E08">
      <w:pPr>
        <w:keepNext w:val="0"/>
        <w:numPr>
          <w:ilvl w:val="1"/>
          <w:numId w:val="344"/>
        </w:numPr>
        <w:tabs>
          <w:tab w:val="clear" w:pos="525"/>
          <w:tab w:val="num" w:pos="851"/>
        </w:tabs>
        <w:spacing w:before="0"/>
        <w:ind w:left="851" w:hanging="851"/>
        <w:rPr>
          <w:rFonts w:cs="Arial"/>
          <w:color w:val="FF0000"/>
          <w:szCs w:val="24"/>
        </w:rPr>
      </w:pPr>
      <w:bookmarkStart w:id="65" w:name="_Hlk149206544"/>
      <w:bookmarkStart w:id="66" w:name="_Hlk83014234"/>
      <w:r w:rsidRPr="00BD197D">
        <w:rPr>
          <w:rFonts w:cs="Arial"/>
          <w:color w:val="auto"/>
          <w:szCs w:val="24"/>
        </w:rPr>
        <w:t>Based on the evidence</w:t>
      </w:r>
      <w:r w:rsidR="002929F1">
        <w:rPr>
          <w:rFonts w:cs="Arial"/>
          <w:color w:val="auto"/>
          <w:szCs w:val="24"/>
        </w:rPr>
        <w:t>,</w:t>
      </w:r>
      <w:r w:rsidRPr="00BD197D">
        <w:rPr>
          <w:rFonts w:cs="Arial"/>
          <w:color w:val="auto"/>
          <w:szCs w:val="24"/>
        </w:rPr>
        <w:t xml:space="preserve"> the Council has identified the need to meet an employment requirement of </w:t>
      </w:r>
      <w:r w:rsidRPr="0073604D">
        <w:rPr>
          <w:rFonts w:cs="Arial"/>
          <w:szCs w:val="24"/>
        </w:rPr>
        <w:t xml:space="preserve">approximately </w:t>
      </w:r>
      <w:r w:rsidR="000A5EE8">
        <w:rPr>
          <w:rFonts w:cs="Arial"/>
          <w:szCs w:val="24"/>
        </w:rPr>
        <w:t>81</w:t>
      </w:r>
      <w:r w:rsidR="002E32C8" w:rsidRPr="0073604D">
        <w:rPr>
          <w:rFonts w:cs="Arial"/>
          <w:szCs w:val="24"/>
        </w:rPr>
        <w:t xml:space="preserve"> </w:t>
      </w:r>
      <w:r w:rsidRPr="0073604D">
        <w:rPr>
          <w:rFonts w:cs="Arial"/>
          <w:szCs w:val="24"/>
        </w:rPr>
        <w:t>hectares</w:t>
      </w:r>
      <w:r w:rsidRPr="0073604D">
        <w:rPr>
          <w:rFonts w:cs="Arial"/>
          <w:szCs w:val="24"/>
          <w:vertAlign w:val="superscript"/>
        </w:rPr>
        <w:footnoteReference w:id="59"/>
      </w:r>
      <w:r w:rsidRPr="0073604D">
        <w:rPr>
          <w:rFonts w:cs="Arial"/>
          <w:szCs w:val="24"/>
        </w:rPr>
        <w:t>.  Taken with the sites submitted to the Strategic Housing</w:t>
      </w:r>
      <w:r w:rsidR="00936E25">
        <w:rPr>
          <w:rFonts w:cs="Arial"/>
          <w:szCs w:val="24"/>
        </w:rPr>
        <w:t xml:space="preserve"> and Employment</w:t>
      </w:r>
      <w:r w:rsidRPr="0073604D">
        <w:rPr>
          <w:rFonts w:cs="Arial"/>
          <w:szCs w:val="24"/>
        </w:rPr>
        <w:t xml:space="preserve"> Land Availability Assessment and the evidence </w:t>
      </w:r>
      <w:r w:rsidR="002E32C8" w:rsidRPr="0073604D">
        <w:rPr>
          <w:rFonts w:cs="Arial"/>
          <w:szCs w:val="24"/>
        </w:rPr>
        <w:t>for employment land requirements</w:t>
      </w:r>
      <w:r w:rsidR="00936E25">
        <w:rPr>
          <w:rFonts w:cs="Arial"/>
          <w:szCs w:val="24"/>
        </w:rPr>
        <w:t>,</w:t>
      </w:r>
      <w:r w:rsidR="002E32C8" w:rsidRPr="0073604D">
        <w:rPr>
          <w:rFonts w:cs="Arial"/>
          <w:szCs w:val="24"/>
        </w:rPr>
        <w:t xml:space="preserve"> </w:t>
      </w:r>
      <w:r w:rsidRPr="0073604D">
        <w:rPr>
          <w:rFonts w:cs="Arial"/>
          <w:szCs w:val="24"/>
        </w:rPr>
        <w:t>the allocations of</w:t>
      </w:r>
      <w:r w:rsidR="002E32C8" w:rsidRPr="0073604D">
        <w:rPr>
          <w:rFonts w:cs="Arial"/>
          <w:szCs w:val="24"/>
        </w:rPr>
        <w:t>f</w:t>
      </w:r>
      <w:r w:rsidRPr="0073604D">
        <w:rPr>
          <w:rFonts w:cs="Arial"/>
          <w:szCs w:val="24"/>
        </w:rPr>
        <w:t xml:space="preserve"> Junction 27 are regarded as key in meeting future employment land needs in the District</w:t>
      </w:r>
      <w:r w:rsidR="002E32C8" w:rsidRPr="0073604D">
        <w:rPr>
          <w:rFonts w:cs="Arial"/>
          <w:szCs w:val="24"/>
        </w:rPr>
        <w:t xml:space="preserve"> and contribution to regional needs for logistics</w:t>
      </w:r>
      <w:r w:rsidRPr="0073604D">
        <w:rPr>
          <w:rFonts w:cs="Arial"/>
          <w:szCs w:val="24"/>
        </w:rPr>
        <w:t>.</w:t>
      </w:r>
      <w:r w:rsidR="00FD028C" w:rsidRPr="0073604D">
        <w:rPr>
          <w:rFonts w:cs="Arial"/>
          <w:szCs w:val="24"/>
        </w:rPr>
        <w:t xml:space="preserve">  </w:t>
      </w:r>
    </w:p>
    <w:bookmarkEnd w:id="65"/>
    <w:p w14:paraId="1F7402C1" w14:textId="77777777" w:rsidR="009431BD" w:rsidRPr="009431BD" w:rsidRDefault="009431BD" w:rsidP="009431BD">
      <w:pPr>
        <w:keepNext w:val="0"/>
        <w:spacing w:before="0"/>
        <w:rPr>
          <w:rFonts w:cs="Arial"/>
          <w:color w:val="FF0000"/>
          <w:szCs w:val="24"/>
        </w:rPr>
      </w:pPr>
    </w:p>
    <w:p w14:paraId="2FA1CC0E" w14:textId="14FB6F58" w:rsidR="00BD197D" w:rsidRPr="0073604D" w:rsidRDefault="000D0A37" w:rsidP="006A2E08">
      <w:pPr>
        <w:pStyle w:val="ListParagraph"/>
        <w:numPr>
          <w:ilvl w:val="1"/>
          <w:numId w:val="344"/>
        </w:numPr>
        <w:spacing w:after="0" w:line="240" w:lineRule="auto"/>
        <w:ind w:left="851" w:hanging="709"/>
        <w:rPr>
          <w:rFonts w:ascii="Arial" w:hAnsi="Arial" w:cs="Arial"/>
          <w:szCs w:val="24"/>
          <w:lang w:eastAsia="en-GB"/>
        </w:rPr>
      </w:pPr>
      <w:r w:rsidRPr="0073604D">
        <w:rPr>
          <w:rFonts w:ascii="Arial" w:hAnsi="Arial" w:cs="Arial"/>
          <w:szCs w:val="24"/>
          <w:lang w:eastAsia="en-GB"/>
        </w:rPr>
        <w:t>There is the potential for archaeological remain on both sites. Prior to development further archaeological evaluation work will be required, beginning with a Desk Based Assessment (DBA), to ascertain the extent and level of survival of archaeological remains within the site.  Depending on the results of the DBA further archaeological investigations may be warranted, including a geophysical survey and targeted trial trenching, where necessary.  This work will inform the need for mitigation</w:t>
      </w:r>
      <w:r w:rsidR="0073604D" w:rsidRPr="0073604D">
        <w:rPr>
          <w:rFonts w:ascii="Arial" w:hAnsi="Arial" w:cs="Arial"/>
          <w:szCs w:val="24"/>
          <w:lang w:eastAsia="en-GB"/>
        </w:rPr>
        <w:t>.</w:t>
      </w:r>
    </w:p>
    <w:bookmarkEnd w:id="66"/>
    <w:p w14:paraId="6D1E01BC" w14:textId="77777777" w:rsidR="00BD197D" w:rsidRDefault="00BD197D" w:rsidP="00BD197D">
      <w:pPr>
        <w:pStyle w:val="ListParagraph"/>
        <w:spacing w:after="0" w:line="240" w:lineRule="auto"/>
        <w:rPr>
          <w:rFonts w:cs="Arial"/>
          <w:color w:val="auto"/>
          <w:szCs w:val="24"/>
        </w:rPr>
      </w:pPr>
    </w:p>
    <w:p w14:paraId="5BFE1464" w14:textId="7D4D0DEF" w:rsidR="00BD197D" w:rsidRPr="006A2E08" w:rsidRDefault="00BD197D" w:rsidP="008815C3">
      <w:pPr>
        <w:keepNext w:val="0"/>
        <w:numPr>
          <w:ilvl w:val="1"/>
          <w:numId w:val="344"/>
        </w:numPr>
        <w:tabs>
          <w:tab w:val="clear" w:pos="525"/>
          <w:tab w:val="num" w:pos="851"/>
        </w:tabs>
        <w:spacing w:before="0"/>
        <w:ind w:left="851" w:hanging="851"/>
        <w:rPr>
          <w:rFonts w:cs="Arial"/>
          <w:color w:val="auto"/>
          <w:szCs w:val="24"/>
        </w:rPr>
      </w:pPr>
      <w:r w:rsidRPr="006A2E08">
        <w:rPr>
          <w:rFonts w:cs="Arial"/>
          <w:color w:val="auto"/>
          <w:szCs w:val="24"/>
        </w:rPr>
        <w:t xml:space="preserve">This site is adjacent to Junction 27 of the M1 Motorway and established Sherwood Business Park. The site is split into two portions – the land north of Mansfield Road (A608) and land south of Mansfield Road. The site to the south of Mansfield Road is substantially impacted by HS2 Safeguarding Land, both in terms of the route and for a major compound and temporary material stockpile. Under these circumstances, it is not anticipated that the site would come forward until the later part of the Plan once </w:t>
      </w:r>
      <w:r w:rsidR="002E32C8" w:rsidRPr="006A2E08">
        <w:rPr>
          <w:rFonts w:cs="Arial"/>
          <w:szCs w:val="24"/>
        </w:rPr>
        <w:t xml:space="preserve">HS2b </w:t>
      </w:r>
      <w:r w:rsidR="006A2E08" w:rsidRPr="006A2E08">
        <w:rPr>
          <w:rFonts w:cs="Arial"/>
          <w:szCs w:val="24"/>
        </w:rPr>
        <w:t xml:space="preserve">safeguarded route </w:t>
      </w:r>
      <w:r w:rsidR="002E32C8" w:rsidRPr="006A2E08">
        <w:rPr>
          <w:rFonts w:cs="Arial"/>
          <w:szCs w:val="24"/>
        </w:rPr>
        <w:t>through Ashfield</w:t>
      </w:r>
      <w:r w:rsidR="006A2E08" w:rsidRPr="006A2E08">
        <w:rPr>
          <w:rFonts w:cs="Arial"/>
          <w:szCs w:val="24"/>
        </w:rPr>
        <w:t xml:space="preserve"> has been removed</w:t>
      </w:r>
      <w:r w:rsidRPr="006A2E08">
        <w:rPr>
          <w:rFonts w:cs="Arial"/>
          <w:szCs w:val="24"/>
        </w:rPr>
        <w:t>.</w:t>
      </w:r>
    </w:p>
    <w:p w14:paraId="25AD6F61" w14:textId="4BFAB15B" w:rsidR="002E32C8" w:rsidRDefault="002E32C8" w:rsidP="00BD197D">
      <w:pPr>
        <w:pStyle w:val="ListParagraph"/>
        <w:spacing w:after="0" w:line="240" w:lineRule="auto"/>
        <w:rPr>
          <w:rFonts w:cs="Arial"/>
          <w:color w:val="auto"/>
          <w:szCs w:val="24"/>
        </w:rPr>
      </w:pPr>
    </w:p>
    <w:p w14:paraId="405E21DF" w14:textId="17C7B7D0" w:rsidR="00FB4E8F" w:rsidRPr="00CB6138" w:rsidRDefault="00BD197D" w:rsidP="006A2E08">
      <w:pPr>
        <w:keepNext w:val="0"/>
        <w:numPr>
          <w:ilvl w:val="1"/>
          <w:numId w:val="344"/>
        </w:numPr>
        <w:tabs>
          <w:tab w:val="clear" w:pos="525"/>
        </w:tabs>
        <w:spacing w:before="0"/>
        <w:ind w:left="851" w:hanging="851"/>
        <w:rPr>
          <w:rFonts w:cs="Arial"/>
          <w:b/>
          <w:bCs/>
          <w:color w:val="auto"/>
          <w:szCs w:val="24"/>
        </w:rPr>
      </w:pPr>
      <w:r w:rsidRPr="00CB6138">
        <w:rPr>
          <w:rFonts w:cs="Arial"/>
          <w:color w:val="auto"/>
          <w:szCs w:val="24"/>
        </w:rPr>
        <w:t xml:space="preserve">An assessment of the site was undertaken as part of the ELNS which anticipated that a ratio of 90% of </w:t>
      </w:r>
      <w:r w:rsidR="006A2E08">
        <w:rPr>
          <w:rFonts w:cs="Arial"/>
          <w:color w:val="auto"/>
          <w:szCs w:val="24"/>
        </w:rPr>
        <w:t xml:space="preserve">the </w:t>
      </w:r>
      <w:r w:rsidRPr="00CB6138">
        <w:rPr>
          <w:rFonts w:cs="Arial"/>
          <w:color w:val="auto"/>
          <w:szCs w:val="24"/>
        </w:rPr>
        <w:t>gross</w:t>
      </w:r>
      <w:r w:rsidR="006A2E08">
        <w:rPr>
          <w:rFonts w:cs="Arial"/>
          <w:color w:val="auto"/>
          <w:szCs w:val="24"/>
        </w:rPr>
        <w:t xml:space="preserve"> area</w:t>
      </w:r>
      <w:r w:rsidRPr="00CB6138">
        <w:rPr>
          <w:rFonts w:cs="Arial"/>
          <w:color w:val="auto"/>
          <w:szCs w:val="24"/>
        </w:rPr>
        <w:t xml:space="preserve"> was realistic.  Consequently, for the site to the north</w:t>
      </w:r>
      <w:r w:rsidR="003C3D52">
        <w:rPr>
          <w:rFonts w:cs="Arial"/>
          <w:color w:val="auto"/>
          <w:szCs w:val="24"/>
        </w:rPr>
        <w:t>-</w:t>
      </w:r>
      <w:r w:rsidRPr="00CB6138">
        <w:rPr>
          <w:rFonts w:cs="Arial"/>
          <w:color w:val="auto"/>
          <w:szCs w:val="24"/>
        </w:rPr>
        <w:t>east of Junction 27 the net developable area is anticipated to be 18.42 hectares.  Applying a similar ratio to the area to the south</w:t>
      </w:r>
      <w:r w:rsidR="003C3D52">
        <w:rPr>
          <w:rFonts w:cs="Arial"/>
          <w:color w:val="auto"/>
          <w:szCs w:val="24"/>
        </w:rPr>
        <w:t>-</w:t>
      </w:r>
      <w:r w:rsidRPr="00CB6138">
        <w:rPr>
          <w:rFonts w:cs="Arial"/>
          <w:color w:val="auto"/>
          <w:szCs w:val="24"/>
        </w:rPr>
        <w:t>east of Junction 27 would result in a net developable area of 22.5 hectares.</w:t>
      </w:r>
      <w:bookmarkEnd w:id="59"/>
    </w:p>
    <w:p w14:paraId="76463543" w14:textId="1700C96C" w:rsidR="00643893" w:rsidRPr="003C7E62" w:rsidRDefault="00643893" w:rsidP="00F260E8">
      <w:pPr>
        <w:keepNext w:val="0"/>
        <w:spacing w:before="0"/>
        <w:rPr>
          <w:rFonts w:cs="Arial"/>
          <w:b/>
          <w:bCs/>
          <w:color w:val="auto"/>
          <w:szCs w:val="24"/>
        </w:rPr>
      </w:pPr>
      <w:r w:rsidRPr="003C7E62">
        <w:rPr>
          <w:rFonts w:cs="Arial"/>
          <w:b/>
          <w:bCs/>
          <w:color w:val="auto"/>
          <w:szCs w:val="24"/>
        </w:rPr>
        <w:br w:type="page"/>
      </w:r>
    </w:p>
    <w:p w14:paraId="02F95240" w14:textId="056AA1FC" w:rsidR="00F260E8" w:rsidRPr="009D5737" w:rsidRDefault="00FB4E8F" w:rsidP="009D5737">
      <w:pPr>
        <w:pStyle w:val="Heading2"/>
        <w:jc w:val="left"/>
        <w:rPr>
          <w:rFonts w:eastAsia="Arial"/>
          <w:sz w:val="28"/>
          <w:szCs w:val="28"/>
        </w:rPr>
      </w:pPr>
      <w:bookmarkStart w:id="67" w:name="_Toc145511559"/>
      <w:bookmarkEnd w:id="56"/>
      <w:r w:rsidRPr="009D5737">
        <w:rPr>
          <w:sz w:val="28"/>
          <w:szCs w:val="28"/>
        </w:rPr>
        <w:lastRenderedPageBreak/>
        <w:t>Strategic Policy S</w:t>
      </w:r>
      <w:r w:rsidR="00295930" w:rsidRPr="009D5737">
        <w:rPr>
          <w:sz w:val="28"/>
          <w:szCs w:val="28"/>
        </w:rPr>
        <w:t>7</w:t>
      </w:r>
      <w:r w:rsidRPr="009D5737">
        <w:rPr>
          <w:sz w:val="28"/>
          <w:szCs w:val="28"/>
        </w:rPr>
        <w:t xml:space="preserve">: </w:t>
      </w:r>
      <w:r w:rsidR="00162A7B" w:rsidRPr="009D5737">
        <w:rPr>
          <w:sz w:val="28"/>
          <w:szCs w:val="28"/>
        </w:rPr>
        <w:t xml:space="preserve">Meeting Future </w:t>
      </w:r>
      <w:r w:rsidRPr="009D5737">
        <w:rPr>
          <w:sz w:val="28"/>
          <w:szCs w:val="28"/>
        </w:rPr>
        <w:t>Housing Provision</w:t>
      </w:r>
      <w:bookmarkEnd w:id="67"/>
      <w:r w:rsidRPr="009D5737">
        <w:rPr>
          <w:rFonts w:eastAsia="Arial"/>
          <w:sz w:val="28"/>
          <w:szCs w:val="28"/>
        </w:rPr>
        <w:t xml:space="preserve"> </w:t>
      </w:r>
    </w:p>
    <w:p w14:paraId="2367067B" w14:textId="42706477" w:rsidR="00F260E8" w:rsidRPr="009D5737" w:rsidRDefault="00F260E8" w:rsidP="009D5737">
      <w:pPr>
        <w:rPr>
          <w:rFonts w:eastAsia="Arial"/>
        </w:rPr>
      </w:pPr>
    </w:p>
    <w:tbl>
      <w:tblPr>
        <w:tblStyle w:val="ReportTable1"/>
        <w:tblW w:w="9776" w:type="dxa"/>
        <w:tblLook w:val="04A0" w:firstRow="1" w:lastRow="0" w:firstColumn="1" w:lastColumn="0" w:noHBand="0" w:noVBand="1"/>
      </w:tblPr>
      <w:tblGrid>
        <w:gridCol w:w="1980"/>
        <w:gridCol w:w="680"/>
        <w:gridCol w:w="7116"/>
      </w:tblGrid>
      <w:tr w:rsidR="00F260E8" w:rsidRPr="003C7E62" w14:paraId="241A8AFF" w14:textId="77777777" w:rsidTr="009D4C91">
        <w:trPr>
          <w:trHeight w:val="295"/>
        </w:trPr>
        <w:tc>
          <w:tcPr>
            <w:tcW w:w="9776" w:type="dxa"/>
            <w:gridSpan w:val="3"/>
          </w:tcPr>
          <w:p w14:paraId="04F0C74D" w14:textId="77CA67F6" w:rsidR="00F260E8" w:rsidRPr="0073604D" w:rsidRDefault="00F260E8" w:rsidP="00F34584">
            <w:pPr>
              <w:keepNext w:val="0"/>
              <w:spacing w:before="40" w:after="120"/>
              <w:rPr>
                <w:rFonts w:eastAsia="Arial" w:cs="Arial"/>
                <w:b/>
                <w:sz w:val="22"/>
                <w:szCs w:val="22"/>
                <w:u w:val="single"/>
              </w:rPr>
            </w:pPr>
            <w:r w:rsidRPr="0073604D">
              <w:rPr>
                <w:rFonts w:eastAsia="Arial" w:cs="Arial"/>
                <w:b/>
              </w:rPr>
              <w:t>Strategic Policy S</w:t>
            </w:r>
            <w:r w:rsidR="00295930" w:rsidRPr="0073604D">
              <w:rPr>
                <w:rFonts w:eastAsia="Arial" w:cs="Arial"/>
                <w:b/>
              </w:rPr>
              <w:t>7</w:t>
            </w:r>
            <w:r w:rsidRPr="0073604D">
              <w:rPr>
                <w:rFonts w:eastAsia="Arial" w:cs="Arial"/>
                <w:b/>
              </w:rPr>
              <w:t xml:space="preserve">: </w:t>
            </w:r>
            <w:r w:rsidR="00162A7B" w:rsidRPr="0073604D">
              <w:rPr>
                <w:rFonts w:eastAsia="Arial" w:cs="Arial"/>
                <w:b/>
              </w:rPr>
              <w:t xml:space="preserve">Meeting Future </w:t>
            </w:r>
            <w:r w:rsidRPr="0073604D">
              <w:rPr>
                <w:rFonts w:eastAsia="Arial" w:cs="Arial"/>
                <w:b/>
              </w:rPr>
              <w:t>Housing Provision</w:t>
            </w:r>
          </w:p>
        </w:tc>
      </w:tr>
      <w:tr w:rsidR="00F260E8" w:rsidRPr="00F260E8" w14:paraId="103764BE" w14:textId="77777777" w:rsidTr="009D4C91">
        <w:tc>
          <w:tcPr>
            <w:tcW w:w="2660" w:type="dxa"/>
            <w:gridSpan w:val="2"/>
          </w:tcPr>
          <w:p w14:paraId="2953310E" w14:textId="1A537251" w:rsidR="00F260E8" w:rsidRPr="0073604D" w:rsidRDefault="00F260E8" w:rsidP="00F260E8">
            <w:pPr>
              <w:keepNext w:val="0"/>
              <w:tabs>
                <w:tab w:val="left" w:pos="680"/>
              </w:tabs>
              <w:spacing w:before="40" w:after="40"/>
              <w:rPr>
                <w:rFonts w:eastAsia="Arial" w:cs="Arial"/>
                <w:bCs/>
                <w:sz w:val="22"/>
                <w:szCs w:val="22"/>
                <w:u w:val="single"/>
              </w:rPr>
            </w:pPr>
            <w:r w:rsidRPr="0073604D">
              <w:rPr>
                <w:rFonts w:eastAsia="Arial" w:cs="Arial"/>
                <w:bCs/>
                <w:szCs w:val="24"/>
              </w:rPr>
              <w:t>Strategic Objectives</w:t>
            </w:r>
          </w:p>
        </w:tc>
        <w:tc>
          <w:tcPr>
            <w:tcW w:w="7116" w:type="dxa"/>
          </w:tcPr>
          <w:p w14:paraId="778DA672" w14:textId="0E5555AA" w:rsidR="00F260E8" w:rsidRPr="0073604D" w:rsidRDefault="00F260E8" w:rsidP="00F260E8">
            <w:pPr>
              <w:keepNext w:val="0"/>
              <w:tabs>
                <w:tab w:val="left" w:pos="680"/>
              </w:tabs>
              <w:spacing w:before="40" w:after="40"/>
              <w:rPr>
                <w:rFonts w:eastAsia="Arial" w:cs="Arial"/>
                <w:bCs/>
                <w:sz w:val="22"/>
                <w:szCs w:val="22"/>
                <w:u w:val="single"/>
              </w:rPr>
            </w:pPr>
            <w:r w:rsidRPr="0073604D">
              <w:rPr>
                <w:rFonts w:eastAsia="Arial" w:cs="Arial"/>
                <w:bCs/>
              </w:rPr>
              <w:t>SO1, SO2, SO3, SO5, SO12.</w:t>
            </w:r>
          </w:p>
        </w:tc>
      </w:tr>
      <w:tr w:rsidR="00F260E8" w:rsidRPr="003C7E62" w14:paraId="04BB47B0" w14:textId="77777777" w:rsidTr="009D4C91">
        <w:trPr>
          <w:trHeight w:val="416"/>
        </w:trPr>
        <w:tc>
          <w:tcPr>
            <w:tcW w:w="9776" w:type="dxa"/>
            <w:gridSpan w:val="3"/>
            <w:shd w:val="clear" w:color="auto" w:fill="D9D9D9" w:themeFill="background1" w:themeFillShade="D9"/>
          </w:tcPr>
          <w:p w14:paraId="7EED5504" w14:textId="77777777" w:rsidR="00F260E8" w:rsidRPr="0073604D" w:rsidRDefault="00F260E8" w:rsidP="00F260E8">
            <w:pPr>
              <w:keepNext w:val="0"/>
              <w:tabs>
                <w:tab w:val="left" w:pos="680"/>
                <w:tab w:val="left" w:pos="1133"/>
                <w:tab w:val="left" w:pos="2267"/>
              </w:tabs>
              <w:spacing w:before="0"/>
              <w:ind w:right="284"/>
              <w:rPr>
                <w:rFonts w:eastAsia="Arial" w:cs="Arial"/>
                <w:bCs/>
                <w:sz w:val="22"/>
                <w:szCs w:val="22"/>
              </w:rPr>
            </w:pPr>
          </w:p>
          <w:p w14:paraId="26F3BAB0" w14:textId="03F26751" w:rsidR="00F260E8" w:rsidRPr="0073604D" w:rsidRDefault="00F260E8" w:rsidP="00874A98">
            <w:pPr>
              <w:pStyle w:val="ListParagraph"/>
              <w:numPr>
                <w:ilvl w:val="0"/>
                <w:numId w:val="161"/>
              </w:numPr>
              <w:tabs>
                <w:tab w:val="left" w:pos="680"/>
                <w:tab w:val="left" w:pos="1133"/>
                <w:tab w:val="left" w:pos="2267"/>
              </w:tabs>
              <w:spacing w:after="0" w:line="240" w:lineRule="auto"/>
              <w:ind w:right="284"/>
              <w:rPr>
                <w:rFonts w:ascii="Arial" w:eastAsia="Arial" w:hAnsi="Arial" w:cs="Arial"/>
                <w:bCs/>
                <w:szCs w:val="24"/>
              </w:rPr>
            </w:pPr>
            <w:r w:rsidRPr="0073604D">
              <w:rPr>
                <w:rFonts w:ascii="Arial" w:eastAsia="Arial" w:hAnsi="Arial" w:cs="Arial"/>
                <w:bCs/>
                <w:szCs w:val="24"/>
              </w:rPr>
              <w:t>A minimum of</w:t>
            </w:r>
            <w:r w:rsidR="00060199" w:rsidRPr="0073604D">
              <w:rPr>
                <w:rFonts w:ascii="Arial" w:eastAsia="Arial" w:hAnsi="Arial" w:cs="Arial"/>
                <w:bCs/>
                <w:szCs w:val="24"/>
              </w:rPr>
              <w:t xml:space="preserve"> 7,582</w:t>
            </w:r>
            <w:r w:rsidRPr="0073604D">
              <w:rPr>
                <w:rFonts w:ascii="Arial" w:eastAsia="Arial" w:hAnsi="Arial" w:cs="Arial"/>
                <w:bCs/>
                <w:szCs w:val="24"/>
              </w:rPr>
              <w:t xml:space="preserve"> new dwellings will be delivered within the period 202</w:t>
            </w:r>
            <w:r w:rsidR="001B3786" w:rsidRPr="0073604D">
              <w:rPr>
                <w:rFonts w:ascii="Arial" w:eastAsia="Arial" w:hAnsi="Arial" w:cs="Arial"/>
                <w:bCs/>
                <w:szCs w:val="24"/>
              </w:rPr>
              <w:t xml:space="preserve">3 </w:t>
            </w:r>
            <w:r w:rsidRPr="0073604D">
              <w:rPr>
                <w:rFonts w:ascii="Arial" w:eastAsia="Arial" w:hAnsi="Arial" w:cs="Arial"/>
                <w:bCs/>
                <w:szCs w:val="24"/>
              </w:rPr>
              <w:t>to 20</w:t>
            </w:r>
            <w:r w:rsidR="001B3786" w:rsidRPr="0073604D">
              <w:rPr>
                <w:rFonts w:ascii="Arial" w:eastAsia="Arial" w:hAnsi="Arial" w:cs="Arial"/>
                <w:bCs/>
                <w:szCs w:val="24"/>
              </w:rPr>
              <w:t>40</w:t>
            </w:r>
            <w:r w:rsidRPr="0073604D">
              <w:rPr>
                <w:rFonts w:ascii="Arial" w:eastAsia="Arial" w:hAnsi="Arial" w:cs="Arial"/>
                <w:bCs/>
                <w:szCs w:val="24"/>
              </w:rPr>
              <w:t xml:space="preserve">, dispersed across the District in accordance with the Council’s spatial strategy for growth.  </w:t>
            </w:r>
            <w:r w:rsidR="00933854" w:rsidRPr="0073604D">
              <w:rPr>
                <w:rFonts w:ascii="Arial" w:eastAsia="Arial" w:hAnsi="Arial" w:cs="Arial"/>
                <w:bCs/>
                <w:szCs w:val="24"/>
              </w:rPr>
              <w:t>This will necessitate the release of land previously identified as Green Belt in order to meet the identified needs. N</w:t>
            </w:r>
            <w:r w:rsidRPr="0073604D">
              <w:rPr>
                <w:rFonts w:ascii="Arial" w:eastAsia="Arial" w:hAnsi="Arial" w:cs="Arial"/>
                <w:bCs/>
                <w:szCs w:val="24"/>
              </w:rPr>
              <w:t xml:space="preserve">ew dwelling provision will </w:t>
            </w:r>
            <w:r w:rsidR="00933854" w:rsidRPr="0073604D">
              <w:rPr>
                <w:rFonts w:ascii="Arial" w:eastAsia="Arial" w:hAnsi="Arial" w:cs="Arial"/>
                <w:bCs/>
                <w:szCs w:val="24"/>
              </w:rPr>
              <w:t xml:space="preserve">also </w:t>
            </w:r>
            <w:r w:rsidRPr="0073604D">
              <w:rPr>
                <w:rFonts w:ascii="Arial" w:eastAsia="Arial" w:hAnsi="Arial" w:cs="Arial"/>
                <w:bCs/>
                <w:szCs w:val="24"/>
              </w:rPr>
              <w:t xml:space="preserve">include an element of Affordable Housing as set out under Policy H3 of this Plan. </w:t>
            </w:r>
          </w:p>
          <w:p w14:paraId="7526A8A8" w14:textId="77777777" w:rsidR="00F260E8" w:rsidRPr="0073604D" w:rsidRDefault="00F260E8" w:rsidP="00F260E8">
            <w:pPr>
              <w:pStyle w:val="ListParagraph"/>
              <w:tabs>
                <w:tab w:val="left" w:pos="680"/>
                <w:tab w:val="left" w:pos="1133"/>
                <w:tab w:val="left" w:pos="2267"/>
              </w:tabs>
              <w:spacing w:after="0" w:line="240" w:lineRule="auto"/>
              <w:ind w:left="360" w:right="284"/>
              <w:rPr>
                <w:rFonts w:ascii="Arial" w:eastAsia="Arial" w:hAnsi="Arial" w:cs="Arial"/>
                <w:bCs/>
                <w:szCs w:val="24"/>
              </w:rPr>
            </w:pPr>
          </w:p>
          <w:p w14:paraId="4340012E" w14:textId="77777777" w:rsidR="00F260E8" w:rsidRPr="0073604D" w:rsidRDefault="00F260E8" w:rsidP="00874A98">
            <w:pPr>
              <w:pStyle w:val="ListParagraph"/>
              <w:numPr>
                <w:ilvl w:val="0"/>
                <w:numId w:val="161"/>
              </w:numPr>
              <w:tabs>
                <w:tab w:val="left" w:pos="680"/>
                <w:tab w:val="left" w:pos="1133"/>
                <w:tab w:val="left" w:pos="2267"/>
              </w:tabs>
              <w:spacing w:after="0" w:line="240" w:lineRule="auto"/>
              <w:ind w:right="284"/>
              <w:rPr>
                <w:rFonts w:ascii="Arial" w:eastAsia="Arial" w:hAnsi="Arial" w:cs="Arial"/>
                <w:bCs/>
                <w:szCs w:val="24"/>
              </w:rPr>
            </w:pPr>
            <w:r w:rsidRPr="0073604D">
              <w:rPr>
                <w:rFonts w:ascii="Arial" w:eastAsia="Arial" w:hAnsi="Arial" w:cs="Arial"/>
                <w:bCs/>
                <w:szCs w:val="24"/>
              </w:rPr>
              <w:t>Proposals for new housing for older people and those with disabilities, including supported and specialist accommodation, will be encouraged where they are in suitable locations in line with the role and size of the settlement.</w:t>
            </w:r>
          </w:p>
          <w:p w14:paraId="097A1A0E" w14:textId="77777777" w:rsidR="00F260E8" w:rsidRPr="0073604D" w:rsidRDefault="00F260E8" w:rsidP="00F260E8">
            <w:pPr>
              <w:pStyle w:val="ListParagraph"/>
              <w:spacing w:after="0" w:line="240" w:lineRule="auto"/>
              <w:rPr>
                <w:rFonts w:ascii="Arial" w:eastAsia="Arial" w:hAnsi="Arial" w:cs="Arial"/>
                <w:bCs/>
                <w:szCs w:val="24"/>
              </w:rPr>
            </w:pPr>
          </w:p>
          <w:p w14:paraId="6E97C14B" w14:textId="77777777" w:rsidR="00F260E8" w:rsidRPr="0073604D" w:rsidRDefault="00F260E8" w:rsidP="00874A98">
            <w:pPr>
              <w:pStyle w:val="ListParagraph"/>
              <w:numPr>
                <w:ilvl w:val="0"/>
                <w:numId w:val="161"/>
              </w:numPr>
              <w:tabs>
                <w:tab w:val="left" w:pos="680"/>
                <w:tab w:val="left" w:pos="1133"/>
                <w:tab w:val="left" w:pos="2267"/>
              </w:tabs>
              <w:spacing w:after="0" w:line="240" w:lineRule="auto"/>
              <w:ind w:right="284"/>
              <w:rPr>
                <w:rFonts w:ascii="Arial" w:eastAsia="Arial" w:hAnsi="Arial" w:cs="Arial"/>
                <w:bCs/>
                <w:szCs w:val="24"/>
              </w:rPr>
            </w:pPr>
            <w:r w:rsidRPr="0073604D">
              <w:rPr>
                <w:rFonts w:ascii="Arial" w:eastAsia="Arial" w:hAnsi="Arial" w:cs="Arial"/>
                <w:bCs/>
                <w:szCs w:val="24"/>
              </w:rPr>
              <w:t>The inclusion of self-build and custom-build properties on sites will be encouraged.</w:t>
            </w:r>
          </w:p>
          <w:p w14:paraId="4EDF4EAF" w14:textId="77777777" w:rsidR="00F260E8" w:rsidRPr="0073604D" w:rsidRDefault="00F260E8" w:rsidP="00F260E8">
            <w:pPr>
              <w:pStyle w:val="ListParagraph"/>
              <w:spacing w:after="0" w:line="240" w:lineRule="auto"/>
              <w:rPr>
                <w:rFonts w:ascii="Arial" w:eastAsia="Arial" w:hAnsi="Arial" w:cs="Arial"/>
                <w:bCs/>
                <w:szCs w:val="24"/>
              </w:rPr>
            </w:pPr>
          </w:p>
          <w:p w14:paraId="3C67C959" w14:textId="77777777" w:rsidR="00F260E8" w:rsidRPr="0073604D" w:rsidRDefault="00F260E8" w:rsidP="00874A98">
            <w:pPr>
              <w:pStyle w:val="ListParagraph"/>
              <w:numPr>
                <w:ilvl w:val="0"/>
                <w:numId w:val="161"/>
              </w:numPr>
              <w:tabs>
                <w:tab w:val="left" w:pos="680"/>
                <w:tab w:val="left" w:pos="1133"/>
                <w:tab w:val="left" w:pos="2267"/>
              </w:tabs>
              <w:spacing w:after="0" w:line="240" w:lineRule="auto"/>
              <w:ind w:right="284"/>
              <w:rPr>
                <w:rFonts w:ascii="Arial" w:eastAsia="Arial" w:hAnsi="Arial" w:cs="Arial"/>
                <w:bCs/>
                <w:szCs w:val="24"/>
              </w:rPr>
            </w:pPr>
            <w:r w:rsidRPr="0073604D">
              <w:rPr>
                <w:rFonts w:ascii="Arial" w:eastAsia="Arial" w:hAnsi="Arial" w:cs="Arial"/>
                <w:bCs/>
                <w:szCs w:val="24"/>
              </w:rPr>
              <w:t>The Council will support schemes which bring forward a mix of house sizes appropriate to deliver mixed and balanced communities.</w:t>
            </w:r>
          </w:p>
          <w:p w14:paraId="74A430E6" w14:textId="77777777" w:rsidR="00F260E8" w:rsidRPr="0073604D" w:rsidRDefault="00F260E8" w:rsidP="00F260E8">
            <w:pPr>
              <w:pStyle w:val="ListParagraph"/>
              <w:spacing w:after="0" w:line="240" w:lineRule="auto"/>
              <w:rPr>
                <w:rFonts w:ascii="Arial" w:eastAsia="Arial" w:hAnsi="Arial" w:cs="Arial"/>
                <w:bCs/>
                <w:szCs w:val="24"/>
              </w:rPr>
            </w:pPr>
          </w:p>
          <w:p w14:paraId="635E311B" w14:textId="5E01EBC7" w:rsidR="00F260E8" w:rsidRPr="0073604D" w:rsidRDefault="00F260E8" w:rsidP="00874A98">
            <w:pPr>
              <w:pStyle w:val="ListParagraph"/>
              <w:numPr>
                <w:ilvl w:val="0"/>
                <w:numId w:val="161"/>
              </w:numPr>
              <w:tabs>
                <w:tab w:val="left" w:pos="680"/>
                <w:tab w:val="left" w:pos="1133"/>
                <w:tab w:val="left" w:pos="2267"/>
              </w:tabs>
              <w:spacing w:after="0" w:line="240" w:lineRule="auto"/>
              <w:ind w:right="284"/>
              <w:rPr>
                <w:rFonts w:ascii="Arial" w:eastAsia="Arial" w:hAnsi="Arial" w:cs="Arial"/>
                <w:bCs/>
                <w:szCs w:val="24"/>
              </w:rPr>
            </w:pPr>
            <w:r w:rsidRPr="0073604D">
              <w:rPr>
                <w:rFonts w:ascii="Arial" w:eastAsia="Arial" w:hAnsi="Arial" w:cs="Arial"/>
                <w:bCs/>
                <w:szCs w:val="24"/>
              </w:rPr>
              <w:t>All new housing development within the area must deliver high quality, sustainable design as required by Policy SD</w:t>
            </w:r>
            <w:r w:rsidR="00AF02F7" w:rsidRPr="0073604D">
              <w:rPr>
                <w:rFonts w:ascii="Arial" w:eastAsia="Arial" w:hAnsi="Arial" w:cs="Arial"/>
                <w:bCs/>
                <w:szCs w:val="24"/>
              </w:rPr>
              <w:t>2</w:t>
            </w:r>
            <w:r w:rsidRPr="0073604D">
              <w:rPr>
                <w:rFonts w:ascii="Arial" w:eastAsia="Arial" w:hAnsi="Arial" w:cs="Arial"/>
                <w:bCs/>
                <w:szCs w:val="24"/>
              </w:rPr>
              <w:t xml:space="preserve"> and site-specific design policies in the Neighbourhood Plan, where relevant.</w:t>
            </w:r>
            <w:r w:rsidR="008C5D99">
              <w:rPr>
                <w:rFonts w:ascii="Arial" w:eastAsia="Arial" w:hAnsi="Arial" w:cs="Arial"/>
                <w:bCs/>
                <w:szCs w:val="24"/>
              </w:rPr>
              <w:t xml:space="preserve"> </w:t>
            </w:r>
            <w:r w:rsidR="008C5D99">
              <w:rPr>
                <w:rFonts w:eastAsia="Arial" w:cs="Arial"/>
                <w:szCs w:val="24"/>
              </w:rPr>
              <w:t xml:space="preserve"> </w:t>
            </w:r>
          </w:p>
          <w:p w14:paraId="2F8EC874" w14:textId="77777777" w:rsidR="00F260E8" w:rsidRPr="0073604D" w:rsidRDefault="00F260E8" w:rsidP="00F260E8">
            <w:pPr>
              <w:pStyle w:val="ListParagraph"/>
              <w:spacing w:after="0" w:line="240" w:lineRule="auto"/>
              <w:rPr>
                <w:rFonts w:ascii="Arial" w:eastAsia="Arial" w:hAnsi="Arial" w:cs="Arial"/>
                <w:bCs/>
                <w:szCs w:val="24"/>
              </w:rPr>
            </w:pPr>
          </w:p>
          <w:p w14:paraId="76A5D50B" w14:textId="1E7AAD7C" w:rsidR="00F260E8" w:rsidRPr="0073604D" w:rsidRDefault="00F260E8" w:rsidP="00874A98">
            <w:pPr>
              <w:pStyle w:val="ListParagraph"/>
              <w:numPr>
                <w:ilvl w:val="0"/>
                <w:numId w:val="161"/>
              </w:numPr>
              <w:tabs>
                <w:tab w:val="left" w:pos="680"/>
                <w:tab w:val="left" w:pos="1133"/>
                <w:tab w:val="left" w:pos="2267"/>
              </w:tabs>
              <w:spacing w:after="0" w:line="240" w:lineRule="auto"/>
              <w:ind w:right="284"/>
              <w:rPr>
                <w:rFonts w:ascii="Arial" w:eastAsia="Arial" w:hAnsi="Arial" w:cs="Arial"/>
                <w:bCs/>
                <w:szCs w:val="24"/>
              </w:rPr>
            </w:pPr>
            <w:r w:rsidRPr="0073604D">
              <w:rPr>
                <w:rFonts w:ascii="Arial" w:eastAsia="Arial" w:hAnsi="Arial" w:cs="Arial"/>
                <w:bCs/>
                <w:szCs w:val="24"/>
              </w:rPr>
              <w:t xml:space="preserve">The Council will permit, and where necessary identify, sufficient pitches or plots to meet the current and any future identified accommodation needs of Gypsies, Travellers and Travelling Showpeople as set out by national guidance.  </w:t>
            </w:r>
          </w:p>
          <w:p w14:paraId="3D51C339" w14:textId="77777777" w:rsidR="00F260E8" w:rsidRPr="0073604D" w:rsidRDefault="00F260E8" w:rsidP="00F260E8">
            <w:pPr>
              <w:keepNext w:val="0"/>
              <w:spacing w:before="0"/>
              <w:rPr>
                <w:rFonts w:cs="Arial"/>
                <w:bCs/>
                <w:sz w:val="22"/>
                <w:szCs w:val="22"/>
                <w:lang w:eastAsia="en-US"/>
              </w:rPr>
            </w:pPr>
          </w:p>
        </w:tc>
      </w:tr>
      <w:tr w:rsidR="00F260E8" w:rsidRPr="003C7E62" w14:paraId="1BE56EBE" w14:textId="77777777" w:rsidTr="009D4C91">
        <w:trPr>
          <w:trHeight w:val="416"/>
        </w:trPr>
        <w:tc>
          <w:tcPr>
            <w:tcW w:w="1980" w:type="dxa"/>
            <w:shd w:val="clear" w:color="auto" w:fill="auto"/>
          </w:tcPr>
          <w:p w14:paraId="3DF4EA27" w14:textId="4C539A2E" w:rsidR="00F260E8" w:rsidRPr="00F260E8" w:rsidRDefault="00F260E8" w:rsidP="000032A9">
            <w:pPr>
              <w:keepNext w:val="0"/>
              <w:tabs>
                <w:tab w:val="left" w:pos="680"/>
                <w:tab w:val="left" w:pos="1133"/>
                <w:tab w:val="left" w:pos="2267"/>
              </w:tabs>
              <w:spacing w:before="0"/>
              <w:ind w:right="284"/>
              <w:rPr>
                <w:rFonts w:eastAsia="Arial" w:cs="Arial"/>
                <w:b/>
                <w:color w:val="auto"/>
                <w:sz w:val="22"/>
                <w:szCs w:val="22"/>
                <w:u w:val="single"/>
              </w:rPr>
            </w:pPr>
            <w:r w:rsidRPr="003C7E62">
              <w:rPr>
                <w:rFonts w:eastAsia="Arial" w:cs="Arial"/>
                <w:iCs/>
                <w:color w:val="auto"/>
                <w:sz w:val="20"/>
                <w:lang w:eastAsia="en-US"/>
              </w:rPr>
              <w:t>Evidence Base</w:t>
            </w:r>
          </w:p>
        </w:tc>
        <w:tc>
          <w:tcPr>
            <w:tcW w:w="7796" w:type="dxa"/>
            <w:gridSpan w:val="2"/>
            <w:shd w:val="clear" w:color="auto" w:fill="auto"/>
          </w:tcPr>
          <w:p w14:paraId="3E4EA396" w14:textId="77777777" w:rsidR="00F260E8" w:rsidRPr="003C7E62" w:rsidRDefault="00F260E8" w:rsidP="00874A98">
            <w:pPr>
              <w:pStyle w:val="ListParagraph"/>
              <w:numPr>
                <w:ilvl w:val="0"/>
                <w:numId w:val="93"/>
              </w:numPr>
              <w:spacing w:after="0" w:line="240" w:lineRule="auto"/>
              <w:rPr>
                <w:rFonts w:ascii="Arial" w:hAnsi="Arial" w:cs="Arial"/>
                <w:color w:val="auto"/>
                <w:sz w:val="20"/>
                <w:szCs w:val="20"/>
              </w:rPr>
            </w:pPr>
            <w:r w:rsidRPr="003C7E62">
              <w:rPr>
                <w:rFonts w:ascii="Arial" w:hAnsi="Arial" w:cs="Arial"/>
                <w:color w:val="auto"/>
                <w:sz w:val="20"/>
                <w:szCs w:val="20"/>
              </w:rPr>
              <w:t xml:space="preserve">Standard Method to calculate housing Need, August 2021. NPPF and Planning Practice Guidance. </w:t>
            </w:r>
          </w:p>
          <w:p w14:paraId="7C358DDC" w14:textId="77777777" w:rsidR="005E1157" w:rsidRPr="005E1157" w:rsidRDefault="005E1157" w:rsidP="00874A98">
            <w:pPr>
              <w:pStyle w:val="ListParagraph"/>
              <w:numPr>
                <w:ilvl w:val="0"/>
                <w:numId w:val="93"/>
              </w:numPr>
              <w:rPr>
                <w:rFonts w:ascii="Arial" w:hAnsi="Arial" w:cs="Arial"/>
                <w:sz w:val="20"/>
                <w:szCs w:val="20"/>
              </w:rPr>
            </w:pPr>
            <w:r w:rsidRPr="005E1157">
              <w:rPr>
                <w:rFonts w:ascii="Arial" w:hAnsi="Arial" w:cs="Arial"/>
                <w:sz w:val="20"/>
                <w:szCs w:val="20"/>
              </w:rPr>
              <w:t>Background Paper No 1: Spatial Strategy and Site Selection 2023 - Ashfield District Council</w:t>
            </w:r>
          </w:p>
          <w:p w14:paraId="4E92B57F" w14:textId="4E3B0F49" w:rsidR="00F260E8" w:rsidRPr="0073604D" w:rsidRDefault="00F260E8" w:rsidP="00874A98">
            <w:pPr>
              <w:pStyle w:val="ListParagraph"/>
              <w:numPr>
                <w:ilvl w:val="0"/>
                <w:numId w:val="93"/>
              </w:numPr>
              <w:spacing w:after="0" w:line="240" w:lineRule="auto"/>
              <w:rPr>
                <w:rFonts w:ascii="Arial" w:hAnsi="Arial" w:cs="Arial"/>
                <w:sz w:val="20"/>
                <w:szCs w:val="20"/>
              </w:rPr>
            </w:pPr>
            <w:r w:rsidRPr="0073604D">
              <w:rPr>
                <w:rFonts w:ascii="Arial" w:hAnsi="Arial" w:cs="Arial"/>
                <w:sz w:val="20"/>
                <w:szCs w:val="20"/>
              </w:rPr>
              <w:t xml:space="preserve">Background Paper </w:t>
            </w:r>
            <w:r w:rsidR="00A05D94" w:rsidRPr="0073604D">
              <w:rPr>
                <w:rFonts w:ascii="Arial" w:hAnsi="Arial" w:cs="Arial"/>
                <w:sz w:val="20"/>
                <w:szCs w:val="20"/>
              </w:rPr>
              <w:t xml:space="preserve">No </w:t>
            </w:r>
            <w:r w:rsidRPr="0073604D">
              <w:rPr>
                <w:rFonts w:ascii="Arial" w:hAnsi="Arial" w:cs="Arial"/>
                <w:sz w:val="20"/>
                <w:szCs w:val="20"/>
              </w:rPr>
              <w:t>2</w:t>
            </w:r>
            <w:r w:rsidR="00A05D94" w:rsidRPr="0073604D">
              <w:rPr>
                <w:rFonts w:ascii="Arial" w:hAnsi="Arial" w:cs="Arial"/>
                <w:sz w:val="20"/>
                <w:szCs w:val="20"/>
              </w:rPr>
              <w:t xml:space="preserve">: </w:t>
            </w:r>
            <w:r w:rsidRPr="0073604D">
              <w:rPr>
                <w:rFonts w:ascii="Arial" w:hAnsi="Arial" w:cs="Arial"/>
                <w:sz w:val="20"/>
                <w:szCs w:val="20"/>
              </w:rPr>
              <w:t xml:space="preserve"> Housing</w:t>
            </w:r>
            <w:r w:rsidR="00A05D94" w:rsidRPr="0073604D">
              <w:rPr>
                <w:rFonts w:ascii="Arial" w:hAnsi="Arial" w:cs="Arial"/>
                <w:sz w:val="20"/>
                <w:szCs w:val="20"/>
              </w:rPr>
              <w:t xml:space="preserve"> 202</w:t>
            </w:r>
            <w:r w:rsidR="00E30ED8" w:rsidRPr="0073604D">
              <w:rPr>
                <w:rFonts w:ascii="Arial" w:hAnsi="Arial" w:cs="Arial"/>
                <w:sz w:val="20"/>
                <w:szCs w:val="20"/>
              </w:rPr>
              <w:t>3</w:t>
            </w:r>
            <w:r w:rsidRPr="0073604D">
              <w:rPr>
                <w:rFonts w:ascii="Arial" w:hAnsi="Arial" w:cs="Arial"/>
                <w:sz w:val="20"/>
                <w:szCs w:val="20"/>
              </w:rPr>
              <w:t xml:space="preserve"> - Ashfield District Council</w:t>
            </w:r>
          </w:p>
          <w:p w14:paraId="73CA4F54" w14:textId="77777777" w:rsidR="00AE785A" w:rsidRDefault="00F260E8" w:rsidP="00874A98">
            <w:pPr>
              <w:pStyle w:val="ListParagraph"/>
              <w:numPr>
                <w:ilvl w:val="0"/>
                <w:numId w:val="93"/>
              </w:numPr>
              <w:spacing w:after="0" w:line="240" w:lineRule="auto"/>
              <w:rPr>
                <w:rFonts w:ascii="Arial" w:hAnsi="Arial" w:cs="Arial"/>
                <w:color w:val="auto"/>
                <w:sz w:val="20"/>
                <w:szCs w:val="20"/>
              </w:rPr>
            </w:pPr>
            <w:r w:rsidRPr="003C7E62">
              <w:rPr>
                <w:rFonts w:ascii="Arial" w:hAnsi="Arial" w:cs="Arial"/>
                <w:color w:val="auto"/>
                <w:sz w:val="20"/>
                <w:szCs w:val="20"/>
              </w:rPr>
              <w:t>Strategic Housing &amp; Employment Land Available Assessment</w:t>
            </w:r>
          </w:p>
          <w:p w14:paraId="6D49A346" w14:textId="0E47CE84" w:rsidR="00F260E8" w:rsidRPr="003C7E62" w:rsidRDefault="00F260E8" w:rsidP="00874A98">
            <w:pPr>
              <w:pStyle w:val="ListParagraph"/>
              <w:numPr>
                <w:ilvl w:val="0"/>
                <w:numId w:val="93"/>
              </w:numPr>
              <w:spacing w:after="0" w:line="240" w:lineRule="auto"/>
              <w:rPr>
                <w:rFonts w:ascii="Arial" w:hAnsi="Arial" w:cs="Arial"/>
                <w:color w:val="auto"/>
                <w:sz w:val="20"/>
                <w:szCs w:val="20"/>
              </w:rPr>
            </w:pPr>
            <w:r w:rsidRPr="003C7E62">
              <w:rPr>
                <w:rFonts w:ascii="Arial" w:hAnsi="Arial" w:cs="Arial"/>
                <w:color w:val="auto"/>
                <w:sz w:val="20"/>
                <w:szCs w:val="20"/>
              </w:rPr>
              <w:t xml:space="preserve"> (</w:t>
            </w:r>
            <w:r w:rsidR="00AE7D37" w:rsidRPr="003C7E62">
              <w:rPr>
                <w:rFonts w:ascii="Arial" w:hAnsi="Arial" w:cs="Arial"/>
                <w:color w:val="auto"/>
                <w:sz w:val="20"/>
                <w:szCs w:val="20"/>
              </w:rPr>
              <w:t>SHELAA)</w:t>
            </w:r>
            <w:r w:rsidR="00AE7D37">
              <w:rPr>
                <w:rFonts w:ascii="Arial" w:hAnsi="Arial" w:cs="Arial"/>
                <w:color w:val="auto"/>
                <w:sz w:val="20"/>
                <w:szCs w:val="20"/>
              </w:rPr>
              <w:t xml:space="preserve"> </w:t>
            </w:r>
            <w:r w:rsidR="00AE7D37" w:rsidRPr="003C7E62">
              <w:rPr>
                <w:rFonts w:ascii="Arial" w:hAnsi="Arial" w:cs="Arial"/>
                <w:color w:val="auto"/>
                <w:sz w:val="20"/>
                <w:szCs w:val="20"/>
              </w:rPr>
              <w:t>2021</w:t>
            </w:r>
            <w:r w:rsidR="00AE7D37">
              <w:rPr>
                <w:rFonts w:ascii="Arial" w:hAnsi="Arial" w:cs="Arial"/>
                <w:color w:val="auto"/>
                <w:sz w:val="20"/>
                <w:szCs w:val="20"/>
              </w:rPr>
              <w:t xml:space="preserve"> -2023</w:t>
            </w:r>
            <w:r w:rsidRPr="003C7E62">
              <w:rPr>
                <w:rFonts w:ascii="Arial" w:hAnsi="Arial" w:cs="Arial"/>
                <w:color w:val="auto"/>
                <w:sz w:val="20"/>
                <w:szCs w:val="20"/>
              </w:rPr>
              <w:t>. Ashfield District Council.</w:t>
            </w:r>
          </w:p>
          <w:p w14:paraId="3D09A1FA" w14:textId="77777777" w:rsidR="00F260E8" w:rsidRPr="003C7E62" w:rsidRDefault="00F260E8" w:rsidP="00874A98">
            <w:pPr>
              <w:pStyle w:val="ListParagraph"/>
              <w:numPr>
                <w:ilvl w:val="0"/>
                <w:numId w:val="93"/>
              </w:numPr>
              <w:spacing w:after="0" w:line="240" w:lineRule="auto"/>
              <w:rPr>
                <w:rFonts w:ascii="Arial" w:hAnsi="Arial" w:cs="Arial"/>
                <w:color w:val="auto"/>
                <w:sz w:val="20"/>
                <w:szCs w:val="20"/>
              </w:rPr>
            </w:pPr>
            <w:bookmarkStart w:id="68" w:name="_Hlk147303672"/>
            <w:r w:rsidRPr="005B74FD">
              <w:rPr>
                <w:rFonts w:ascii="Arial" w:hAnsi="Arial" w:cs="Arial"/>
                <w:color w:val="auto"/>
                <w:sz w:val="20"/>
                <w:szCs w:val="20"/>
              </w:rPr>
              <w:t>Greater Nottingham &amp; Ashfield Housing Needs Assessment Final Report 2020</w:t>
            </w:r>
            <w:r w:rsidRPr="003C7E62">
              <w:rPr>
                <w:rFonts w:ascii="Arial" w:hAnsi="Arial" w:cs="Arial"/>
                <w:color w:val="auto"/>
                <w:sz w:val="20"/>
                <w:szCs w:val="20"/>
              </w:rPr>
              <w:t xml:space="preserve"> - Iceni Projects Limited on behalf of the Greater Nottingham Planning Partnership</w:t>
            </w:r>
          </w:p>
          <w:bookmarkEnd w:id="68"/>
          <w:p w14:paraId="3597BCE0" w14:textId="77777777" w:rsidR="00F260E8" w:rsidRPr="003C7E62" w:rsidRDefault="00F260E8" w:rsidP="00874A98">
            <w:pPr>
              <w:pStyle w:val="ListParagraph"/>
              <w:numPr>
                <w:ilvl w:val="0"/>
                <w:numId w:val="93"/>
              </w:numPr>
              <w:spacing w:after="0" w:line="240" w:lineRule="auto"/>
              <w:rPr>
                <w:rFonts w:ascii="Arial" w:hAnsi="Arial" w:cs="Arial"/>
                <w:color w:val="auto"/>
                <w:sz w:val="20"/>
                <w:szCs w:val="20"/>
              </w:rPr>
            </w:pPr>
            <w:r w:rsidRPr="003C7E62">
              <w:rPr>
                <w:rFonts w:ascii="Arial" w:hAnsi="Arial" w:cs="Arial"/>
                <w:color w:val="auto"/>
                <w:sz w:val="20"/>
                <w:szCs w:val="20"/>
              </w:rPr>
              <w:t xml:space="preserve">Ashfield New Settlement Study Final Report, March 2021 – AECOM.  </w:t>
            </w:r>
          </w:p>
          <w:p w14:paraId="3D55240F" w14:textId="77777777" w:rsidR="00F260E8" w:rsidRPr="003C7E62" w:rsidRDefault="00F260E8" w:rsidP="00874A98">
            <w:pPr>
              <w:pStyle w:val="ListParagraph"/>
              <w:numPr>
                <w:ilvl w:val="0"/>
                <w:numId w:val="93"/>
              </w:numPr>
              <w:spacing w:after="0" w:line="240" w:lineRule="auto"/>
              <w:rPr>
                <w:rFonts w:ascii="Arial" w:hAnsi="Arial" w:cs="Arial"/>
                <w:color w:val="auto"/>
                <w:sz w:val="20"/>
                <w:szCs w:val="20"/>
              </w:rPr>
            </w:pPr>
            <w:r w:rsidRPr="003C7E62">
              <w:rPr>
                <w:rFonts w:ascii="Arial" w:hAnsi="Arial" w:cs="Arial"/>
                <w:color w:val="auto"/>
                <w:sz w:val="20"/>
                <w:szCs w:val="20"/>
              </w:rPr>
              <w:t>Greater Nottingham and Ashfield District Council Gypsy and Traveller Accommodation Assessment, 2021.  RRR Consultancy Ltd.</w:t>
            </w:r>
          </w:p>
          <w:p w14:paraId="06551A7C" w14:textId="50A03B5F" w:rsidR="00F260E8" w:rsidRPr="003C7E62" w:rsidRDefault="00F260E8" w:rsidP="000032A9">
            <w:pPr>
              <w:pStyle w:val="ListParagraph"/>
              <w:numPr>
                <w:ilvl w:val="0"/>
                <w:numId w:val="13"/>
              </w:numPr>
              <w:tabs>
                <w:tab w:val="left" w:pos="680"/>
                <w:tab w:val="left" w:pos="1133"/>
                <w:tab w:val="left" w:pos="2267"/>
              </w:tabs>
              <w:spacing w:after="0" w:line="240" w:lineRule="auto"/>
              <w:ind w:right="284"/>
              <w:rPr>
                <w:rFonts w:ascii="Arial" w:eastAsia="Arial" w:hAnsi="Arial" w:cs="Arial"/>
                <w:bCs/>
                <w:color w:val="auto"/>
                <w:sz w:val="20"/>
                <w:szCs w:val="20"/>
                <w:lang w:eastAsia="en-GB"/>
              </w:rPr>
            </w:pPr>
            <w:r w:rsidRPr="003C7E62">
              <w:rPr>
                <w:rFonts w:ascii="Arial" w:eastAsia="Arial" w:hAnsi="Arial" w:cs="Arial"/>
                <w:bCs/>
                <w:color w:val="auto"/>
                <w:sz w:val="20"/>
                <w:szCs w:val="20"/>
                <w:lang w:eastAsia="en-GB"/>
              </w:rPr>
              <w:t xml:space="preserve">Brownfield Land Register.  Ashfield District Council. </w:t>
            </w:r>
          </w:p>
          <w:p w14:paraId="09E5C205" w14:textId="1A10C2A9" w:rsidR="00F260E8" w:rsidRPr="003C7E62" w:rsidRDefault="00F260E8" w:rsidP="000032A9">
            <w:pPr>
              <w:pStyle w:val="ListParagraph"/>
              <w:numPr>
                <w:ilvl w:val="0"/>
                <w:numId w:val="13"/>
              </w:numPr>
              <w:tabs>
                <w:tab w:val="left" w:pos="680"/>
                <w:tab w:val="left" w:pos="1133"/>
                <w:tab w:val="left" w:pos="2267"/>
              </w:tabs>
              <w:spacing w:after="0" w:line="240" w:lineRule="auto"/>
              <w:ind w:right="284"/>
              <w:rPr>
                <w:rFonts w:ascii="Arial" w:eastAsia="Arial" w:hAnsi="Arial" w:cs="Arial"/>
                <w:bCs/>
                <w:color w:val="auto"/>
                <w:sz w:val="20"/>
                <w:szCs w:val="20"/>
                <w:lang w:eastAsia="en-GB"/>
              </w:rPr>
            </w:pPr>
            <w:r w:rsidRPr="003C7E62">
              <w:rPr>
                <w:rFonts w:ascii="Arial" w:eastAsia="Arial" w:hAnsi="Arial" w:cs="Arial"/>
                <w:bCs/>
                <w:color w:val="auto"/>
                <w:sz w:val="20"/>
                <w:szCs w:val="20"/>
                <w:lang w:eastAsia="en-GB"/>
              </w:rPr>
              <w:t>Housing Land Monitoring Report</w:t>
            </w:r>
            <w:r w:rsidR="00287238">
              <w:rPr>
                <w:rFonts w:ascii="Arial" w:eastAsia="Arial" w:hAnsi="Arial" w:cs="Arial"/>
                <w:bCs/>
                <w:color w:val="auto"/>
                <w:sz w:val="20"/>
                <w:szCs w:val="20"/>
                <w:lang w:eastAsia="en-GB"/>
              </w:rPr>
              <w:t>s</w:t>
            </w:r>
            <w:r w:rsidRPr="003C7E62">
              <w:rPr>
                <w:rFonts w:ascii="Arial" w:eastAsia="Arial" w:hAnsi="Arial" w:cs="Arial"/>
                <w:bCs/>
                <w:color w:val="auto"/>
                <w:sz w:val="20"/>
                <w:szCs w:val="20"/>
                <w:lang w:eastAsia="en-GB"/>
              </w:rPr>
              <w:t>. Ashfield District Council</w:t>
            </w:r>
          </w:p>
          <w:p w14:paraId="4E50EB6B" w14:textId="0733D8B9" w:rsidR="00F260E8" w:rsidRPr="003C7E62" w:rsidRDefault="00F260E8" w:rsidP="000032A9">
            <w:pPr>
              <w:pStyle w:val="ListParagraph"/>
              <w:numPr>
                <w:ilvl w:val="0"/>
                <w:numId w:val="13"/>
              </w:numPr>
              <w:tabs>
                <w:tab w:val="left" w:pos="680"/>
                <w:tab w:val="left" w:pos="1133"/>
                <w:tab w:val="left" w:pos="2267"/>
              </w:tabs>
              <w:spacing w:after="0" w:line="240" w:lineRule="auto"/>
              <w:ind w:right="284"/>
              <w:rPr>
                <w:rFonts w:ascii="Arial" w:eastAsia="Arial" w:hAnsi="Arial" w:cs="Arial"/>
                <w:bCs/>
                <w:color w:val="auto"/>
                <w:sz w:val="20"/>
                <w:szCs w:val="20"/>
                <w:lang w:eastAsia="en-GB"/>
              </w:rPr>
            </w:pPr>
            <w:r w:rsidRPr="003C7E62">
              <w:rPr>
                <w:rFonts w:ascii="Arial" w:eastAsia="Arial" w:hAnsi="Arial" w:cs="Arial"/>
                <w:bCs/>
                <w:color w:val="auto"/>
                <w:sz w:val="20"/>
                <w:szCs w:val="20"/>
                <w:lang w:eastAsia="en-GB"/>
              </w:rPr>
              <w:t>Employment Land and Monitoring Report</w:t>
            </w:r>
            <w:r w:rsidR="00287238">
              <w:rPr>
                <w:rFonts w:ascii="Arial" w:eastAsia="Arial" w:hAnsi="Arial" w:cs="Arial"/>
                <w:bCs/>
                <w:color w:val="auto"/>
                <w:sz w:val="20"/>
                <w:szCs w:val="20"/>
                <w:lang w:eastAsia="en-GB"/>
              </w:rPr>
              <w:t>s</w:t>
            </w:r>
            <w:r w:rsidRPr="003C7E62">
              <w:rPr>
                <w:rFonts w:ascii="Arial" w:eastAsia="Arial" w:hAnsi="Arial" w:cs="Arial"/>
                <w:bCs/>
                <w:color w:val="auto"/>
                <w:sz w:val="20"/>
                <w:szCs w:val="20"/>
                <w:lang w:eastAsia="en-GB"/>
              </w:rPr>
              <w:t>. Ashfield District Council</w:t>
            </w:r>
          </w:p>
          <w:p w14:paraId="2ED2E2CC" w14:textId="601B5E43" w:rsidR="00A05D94" w:rsidRDefault="00F260E8" w:rsidP="000032A9">
            <w:pPr>
              <w:pStyle w:val="ListParagraph"/>
              <w:numPr>
                <w:ilvl w:val="0"/>
                <w:numId w:val="13"/>
              </w:numPr>
              <w:tabs>
                <w:tab w:val="left" w:pos="680"/>
                <w:tab w:val="left" w:pos="1133"/>
                <w:tab w:val="left" w:pos="2267"/>
              </w:tabs>
              <w:spacing w:after="0" w:line="240" w:lineRule="auto"/>
              <w:ind w:right="284"/>
              <w:rPr>
                <w:rFonts w:ascii="Arial" w:eastAsia="Arial" w:hAnsi="Arial" w:cs="Arial"/>
                <w:bCs/>
                <w:color w:val="auto"/>
                <w:sz w:val="20"/>
                <w:szCs w:val="20"/>
                <w:lang w:eastAsia="en-GB"/>
              </w:rPr>
            </w:pPr>
            <w:r w:rsidRPr="003C7E62">
              <w:rPr>
                <w:rFonts w:ascii="Arial" w:eastAsia="Arial" w:hAnsi="Arial" w:cs="Arial"/>
                <w:bCs/>
                <w:color w:val="auto"/>
                <w:sz w:val="20"/>
                <w:szCs w:val="20"/>
                <w:lang w:eastAsia="en-GB"/>
              </w:rPr>
              <w:t>Self-build and custom build monitoring. Ashfield District Council</w:t>
            </w:r>
          </w:p>
          <w:p w14:paraId="1BAB7648" w14:textId="2F07D983" w:rsidR="00F260E8" w:rsidRPr="00287238" w:rsidRDefault="00F260E8" w:rsidP="000032A9">
            <w:pPr>
              <w:pStyle w:val="ListParagraph"/>
              <w:numPr>
                <w:ilvl w:val="0"/>
                <w:numId w:val="13"/>
              </w:numPr>
              <w:tabs>
                <w:tab w:val="left" w:pos="680"/>
                <w:tab w:val="left" w:pos="1133"/>
                <w:tab w:val="left" w:pos="2267"/>
              </w:tabs>
              <w:spacing w:after="0" w:line="240" w:lineRule="auto"/>
              <w:ind w:right="284"/>
              <w:rPr>
                <w:rFonts w:ascii="Arial" w:eastAsia="Arial" w:hAnsi="Arial" w:cs="Arial"/>
                <w:bCs/>
                <w:color w:val="auto"/>
                <w:sz w:val="20"/>
                <w:szCs w:val="20"/>
                <w:lang w:eastAsia="en-GB"/>
              </w:rPr>
            </w:pPr>
            <w:r w:rsidRPr="00287238">
              <w:rPr>
                <w:rFonts w:ascii="Arial" w:eastAsia="Arial" w:hAnsi="Arial" w:cs="Arial"/>
                <w:bCs/>
                <w:color w:val="auto"/>
                <w:sz w:val="20"/>
              </w:rPr>
              <w:t xml:space="preserve">Sustainability Appraisal, </w:t>
            </w:r>
            <w:r w:rsidR="00287238" w:rsidRPr="0073604D">
              <w:rPr>
                <w:rFonts w:ascii="Arial" w:eastAsia="Arial" w:hAnsi="Arial" w:cs="Arial"/>
                <w:bCs/>
                <w:sz w:val="20"/>
              </w:rPr>
              <w:t>2023</w:t>
            </w:r>
            <w:r w:rsidRPr="0073604D">
              <w:rPr>
                <w:rFonts w:ascii="Arial" w:eastAsia="Arial" w:hAnsi="Arial" w:cs="Arial"/>
                <w:bCs/>
                <w:sz w:val="20"/>
              </w:rPr>
              <w:t>.</w:t>
            </w:r>
            <w:r w:rsidRPr="0073604D">
              <w:rPr>
                <w:rFonts w:ascii="Arial" w:eastAsia="Arial" w:hAnsi="Arial" w:cs="Arial"/>
                <w:bCs/>
                <w:szCs w:val="24"/>
              </w:rPr>
              <w:t xml:space="preserve"> </w:t>
            </w:r>
            <w:r w:rsidR="00287238" w:rsidRPr="0073604D">
              <w:rPr>
                <w:rFonts w:ascii="Arial" w:eastAsia="Arial" w:hAnsi="Arial" w:cs="Arial"/>
                <w:bCs/>
                <w:sz w:val="20"/>
                <w:szCs w:val="20"/>
              </w:rPr>
              <w:t>WSP UK Limited</w:t>
            </w:r>
          </w:p>
        </w:tc>
      </w:tr>
      <w:tr w:rsidR="00F260E8" w:rsidRPr="003C7E62" w14:paraId="78C87977" w14:textId="77777777" w:rsidTr="009D4C91">
        <w:trPr>
          <w:trHeight w:val="416"/>
        </w:trPr>
        <w:tc>
          <w:tcPr>
            <w:tcW w:w="1980" w:type="dxa"/>
            <w:shd w:val="clear" w:color="auto" w:fill="auto"/>
          </w:tcPr>
          <w:p w14:paraId="34F4A159" w14:textId="5D81A0FF" w:rsidR="00F260E8" w:rsidRPr="00F260E8" w:rsidRDefault="00F260E8" w:rsidP="000032A9">
            <w:pPr>
              <w:keepNext w:val="0"/>
              <w:tabs>
                <w:tab w:val="left" w:pos="680"/>
                <w:tab w:val="left" w:pos="1133"/>
                <w:tab w:val="left" w:pos="2267"/>
              </w:tabs>
              <w:spacing w:before="0"/>
              <w:ind w:right="284"/>
              <w:rPr>
                <w:rFonts w:eastAsia="Arial" w:cs="Arial"/>
                <w:b/>
                <w:color w:val="auto"/>
                <w:sz w:val="22"/>
                <w:szCs w:val="22"/>
                <w:u w:val="single"/>
              </w:rPr>
            </w:pPr>
            <w:r w:rsidRPr="003C7E62">
              <w:rPr>
                <w:rFonts w:eastAsia="Arial" w:cs="Arial"/>
                <w:b/>
                <w:bCs/>
                <w:iCs/>
                <w:color w:val="auto"/>
                <w:sz w:val="20"/>
                <w:lang w:eastAsia="en-US"/>
              </w:rPr>
              <w:t xml:space="preserve">National Planning Policy and Guidance </w:t>
            </w:r>
          </w:p>
        </w:tc>
        <w:tc>
          <w:tcPr>
            <w:tcW w:w="7796" w:type="dxa"/>
            <w:gridSpan w:val="2"/>
            <w:shd w:val="clear" w:color="auto" w:fill="auto"/>
          </w:tcPr>
          <w:p w14:paraId="510A2DB4" w14:textId="48FFDBEC" w:rsidR="00F260E8" w:rsidRPr="003C7E62" w:rsidRDefault="00F260E8" w:rsidP="00874A98">
            <w:pPr>
              <w:pStyle w:val="ListParagraph"/>
              <w:numPr>
                <w:ilvl w:val="0"/>
                <w:numId w:val="94"/>
              </w:numPr>
              <w:spacing w:after="0" w:line="240" w:lineRule="auto"/>
              <w:rPr>
                <w:rFonts w:ascii="Arial" w:hAnsi="Arial" w:cs="Arial"/>
                <w:color w:val="auto"/>
                <w:sz w:val="20"/>
                <w:szCs w:val="20"/>
                <w:lang w:eastAsia="en-GB"/>
              </w:rPr>
            </w:pPr>
            <w:r w:rsidRPr="003C7E62">
              <w:rPr>
                <w:rFonts w:ascii="Arial" w:hAnsi="Arial" w:cs="Arial"/>
                <w:color w:val="auto"/>
                <w:sz w:val="20"/>
                <w:szCs w:val="20"/>
                <w:lang w:eastAsia="en-GB"/>
              </w:rPr>
              <w:t>NPPF 202</w:t>
            </w:r>
            <w:r w:rsidR="00A37A61">
              <w:rPr>
                <w:rFonts w:ascii="Arial" w:hAnsi="Arial" w:cs="Arial"/>
                <w:color w:val="auto"/>
                <w:sz w:val="20"/>
                <w:szCs w:val="20"/>
                <w:lang w:eastAsia="en-GB"/>
              </w:rPr>
              <w:t>3</w:t>
            </w:r>
            <w:r w:rsidRPr="003C7E62">
              <w:rPr>
                <w:rFonts w:ascii="Arial" w:hAnsi="Arial" w:cs="Arial"/>
                <w:color w:val="auto"/>
                <w:sz w:val="20"/>
                <w:szCs w:val="20"/>
                <w:lang w:eastAsia="en-GB"/>
              </w:rPr>
              <w:t>, Part 2: Achieving sustainable development.</w:t>
            </w:r>
          </w:p>
          <w:p w14:paraId="0E882EC8" w14:textId="3D6029B8" w:rsidR="00F260E8" w:rsidRPr="003C7E62" w:rsidRDefault="00F260E8" w:rsidP="00874A98">
            <w:pPr>
              <w:pStyle w:val="ListParagraph"/>
              <w:numPr>
                <w:ilvl w:val="0"/>
                <w:numId w:val="94"/>
              </w:numPr>
              <w:spacing w:after="160" w:line="252" w:lineRule="auto"/>
              <w:rPr>
                <w:rFonts w:ascii="Arial" w:hAnsi="Arial" w:cs="Arial"/>
                <w:color w:val="auto"/>
                <w:sz w:val="20"/>
                <w:szCs w:val="20"/>
                <w:lang w:eastAsia="en-GB"/>
              </w:rPr>
            </w:pPr>
            <w:r w:rsidRPr="003C7E62">
              <w:rPr>
                <w:rFonts w:ascii="Arial" w:hAnsi="Arial" w:cs="Arial"/>
                <w:color w:val="auto"/>
                <w:sz w:val="20"/>
                <w:szCs w:val="20"/>
                <w:lang w:eastAsia="en-GB"/>
              </w:rPr>
              <w:t>NPPF 202</w:t>
            </w:r>
            <w:r w:rsidR="00A37A61">
              <w:rPr>
                <w:rFonts w:ascii="Arial" w:hAnsi="Arial" w:cs="Arial"/>
                <w:color w:val="auto"/>
                <w:sz w:val="20"/>
                <w:szCs w:val="20"/>
                <w:lang w:eastAsia="en-GB"/>
              </w:rPr>
              <w:t>3</w:t>
            </w:r>
            <w:r w:rsidRPr="003C7E62">
              <w:rPr>
                <w:rFonts w:ascii="Arial" w:hAnsi="Arial" w:cs="Arial"/>
                <w:color w:val="auto"/>
                <w:sz w:val="20"/>
                <w:szCs w:val="20"/>
                <w:lang w:eastAsia="en-GB"/>
              </w:rPr>
              <w:t>, Part 5: Delivering a sufficient supply of homes.</w:t>
            </w:r>
          </w:p>
          <w:p w14:paraId="197760B6" w14:textId="3B4DBEA8" w:rsidR="00F260E8" w:rsidRPr="003C7E62" w:rsidRDefault="00F260E8" w:rsidP="00874A98">
            <w:pPr>
              <w:pStyle w:val="ListParagraph"/>
              <w:numPr>
                <w:ilvl w:val="0"/>
                <w:numId w:val="94"/>
              </w:numPr>
              <w:spacing w:after="0" w:line="240" w:lineRule="auto"/>
              <w:rPr>
                <w:rFonts w:ascii="Arial" w:hAnsi="Arial" w:cs="Arial"/>
                <w:color w:val="auto"/>
                <w:sz w:val="20"/>
                <w:szCs w:val="20"/>
                <w:lang w:eastAsia="en-GB"/>
              </w:rPr>
            </w:pPr>
            <w:r w:rsidRPr="003C7E62">
              <w:rPr>
                <w:rFonts w:ascii="Arial" w:eastAsia="Arial" w:hAnsi="Arial" w:cs="Arial"/>
                <w:bCs/>
                <w:color w:val="auto"/>
                <w:sz w:val="20"/>
                <w:szCs w:val="20"/>
                <w:lang w:eastAsia="en-GB"/>
              </w:rPr>
              <w:t>NPPF 202</w:t>
            </w:r>
            <w:r w:rsidR="00A37A61">
              <w:rPr>
                <w:rFonts w:ascii="Arial" w:eastAsia="Arial" w:hAnsi="Arial" w:cs="Arial"/>
                <w:bCs/>
                <w:color w:val="auto"/>
                <w:sz w:val="20"/>
                <w:szCs w:val="20"/>
                <w:lang w:eastAsia="en-GB"/>
              </w:rPr>
              <w:t>3</w:t>
            </w:r>
            <w:r w:rsidRPr="003C7E62">
              <w:rPr>
                <w:rFonts w:ascii="Arial" w:eastAsia="Arial" w:hAnsi="Arial" w:cs="Arial"/>
                <w:bCs/>
                <w:color w:val="auto"/>
                <w:sz w:val="20"/>
                <w:szCs w:val="20"/>
                <w:lang w:eastAsia="en-GB"/>
              </w:rPr>
              <w:t>,  Part 11: Making effective use of land.</w:t>
            </w:r>
          </w:p>
          <w:p w14:paraId="13C5E67C" w14:textId="31CAB5A7" w:rsidR="00F260E8" w:rsidRPr="003C7E62" w:rsidRDefault="00F260E8" w:rsidP="00874A98">
            <w:pPr>
              <w:pStyle w:val="ListParagraph"/>
              <w:numPr>
                <w:ilvl w:val="0"/>
                <w:numId w:val="94"/>
              </w:numPr>
              <w:spacing w:after="0" w:line="240" w:lineRule="auto"/>
              <w:rPr>
                <w:rFonts w:ascii="Arial" w:hAnsi="Arial" w:cs="Arial"/>
                <w:color w:val="auto"/>
                <w:sz w:val="20"/>
                <w:szCs w:val="20"/>
                <w:lang w:eastAsia="en-GB"/>
              </w:rPr>
            </w:pPr>
            <w:r w:rsidRPr="003C7E62">
              <w:rPr>
                <w:rFonts w:ascii="Arial" w:hAnsi="Arial" w:cs="Arial"/>
                <w:color w:val="auto"/>
                <w:sz w:val="20"/>
                <w:szCs w:val="20"/>
              </w:rPr>
              <w:t>Planning Practice Guidance</w:t>
            </w:r>
            <w:r w:rsidR="0073604D">
              <w:rPr>
                <w:rFonts w:ascii="Arial" w:hAnsi="Arial" w:cs="Arial"/>
                <w:color w:val="auto"/>
                <w:sz w:val="20"/>
                <w:szCs w:val="20"/>
              </w:rPr>
              <w:t xml:space="preserve"> (PPG)</w:t>
            </w:r>
            <w:r w:rsidRPr="003C7E62">
              <w:rPr>
                <w:rFonts w:ascii="Arial" w:hAnsi="Arial" w:cs="Arial"/>
                <w:color w:val="auto"/>
                <w:sz w:val="20"/>
                <w:szCs w:val="20"/>
              </w:rPr>
              <w:t xml:space="preserve">: Effective use of land as </w:t>
            </w:r>
            <w:r w:rsidR="00416653" w:rsidRPr="003C7E62">
              <w:rPr>
                <w:rFonts w:ascii="Arial" w:hAnsi="Arial" w:cs="Arial"/>
                <w:color w:val="auto"/>
                <w:sz w:val="20"/>
                <w:szCs w:val="20"/>
              </w:rPr>
              <w:t>of</w:t>
            </w:r>
            <w:r w:rsidRPr="003C7E62">
              <w:rPr>
                <w:rFonts w:ascii="Arial" w:hAnsi="Arial" w:cs="Arial"/>
                <w:color w:val="auto"/>
                <w:sz w:val="20"/>
                <w:szCs w:val="20"/>
              </w:rPr>
              <w:t xml:space="preserve"> August 2021.</w:t>
            </w:r>
          </w:p>
          <w:p w14:paraId="2A27D7A6" w14:textId="024854D9" w:rsidR="00F260E8" w:rsidRPr="003C7E62" w:rsidRDefault="00F260E8" w:rsidP="00874A98">
            <w:pPr>
              <w:pStyle w:val="ListParagraph"/>
              <w:numPr>
                <w:ilvl w:val="0"/>
                <w:numId w:val="94"/>
              </w:numPr>
              <w:spacing w:after="0" w:line="240" w:lineRule="auto"/>
              <w:rPr>
                <w:rFonts w:ascii="Arial" w:hAnsi="Arial" w:cs="Arial"/>
                <w:color w:val="auto"/>
                <w:sz w:val="20"/>
                <w:szCs w:val="20"/>
                <w:lang w:eastAsia="en-GB"/>
              </w:rPr>
            </w:pPr>
            <w:r w:rsidRPr="003C7E62">
              <w:rPr>
                <w:rFonts w:ascii="Arial" w:hAnsi="Arial" w:cs="Arial"/>
                <w:color w:val="auto"/>
                <w:sz w:val="20"/>
                <w:szCs w:val="20"/>
                <w:lang w:eastAsia="en-GB"/>
              </w:rPr>
              <w:lastRenderedPageBreak/>
              <w:t>P</w:t>
            </w:r>
            <w:r w:rsidR="0073604D">
              <w:rPr>
                <w:rFonts w:ascii="Arial" w:hAnsi="Arial" w:cs="Arial"/>
                <w:color w:val="auto"/>
                <w:sz w:val="20"/>
                <w:szCs w:val="20"/>
                <w:lang w:eastAsia="en-GB"/>
              </w:rPr>
              <w:t>P</w:t>
            </w:r>
            <w:r w:rsidRPr="003C7E62">
              <w:rPr>
                <w:rFonts w:ascii="Arial" w:hAnsi="Arial" w:cs="Arial"/>
                <w:color w:val="auto"/>
                <w:sz w:val="20"/>
                <w:szCs w:val="20"/>
                <w:lang w:eastAsia="en-GB"/>
              </w:rPr>
              <w:t xml:space="preserve">G: Housing </w:t>
            </w:r>
            <w:r w:rsidR="0073604D">
              <w:rPr>
                <w:rFonts w:ascii="Arial" w:hAnsi="Arial" w:cs="Arial"/>
                <w:color w:val="auto"/>
                <w:sz w:val="20"/>
                <w:szCs w:val="20"/>
                <w:lang w:eastAsia="en-GB"/>
              </w:rPr>
              <w:t>&amp;</w:t>
            </w:r>
            <w:r w:rsidRPr="003C7E62">
              <w:rPr>
                <w:rFonts w:ascii="Arial" w:hAnsi="Arial" w:cs="Arial"/>
                <w:color w:val="auto"/>
                <w:sz w:val="20"/>
                <w:szCs w:val="20"/>
                <w:lang w:eastAsia="en-GB"/>
              </w:rPr>
              <w:t xml:space="preserve"> economic land availability assessment as </w:t>
            </w:r>
            <w:r w:rsidR="00416653" w:rsidRPr="003C7E62">
              <w:rPr>
                <w:rFonts w:ascii="Arial" w:hAnsi="Arial" w:cs="Arial"/>
                <w:color w:val="auto"/>
                <w:sz w:val="20"/>
                <w:szCs w:val="20"/>
                <w:lang w:eastAsia="en-GB"/>
              </w:rPr>
              <w:t>of</w:t>
            </w:r>
            <w:r w:rsidRPr="003C7E62">
              <w:rPr>
                <w:rFonts w:ascii="Arial" w:hAnsi="Arial" w:cs="Arial"/>
                <w:color w:val="auto"/>
                <w:sz w:val="20"/>
                <w:szCs w:val="20"/>
                <w:lang w:eastAsia="en-GB"/>
              </w:rPr>
              <w:t xml:space="preserve"> August </w:t>
            </w:r>
            <w:r w:rsidR="0073604D">
              <w:rPr>
                <w:rFonts w:ascii="Arial" w:hAnsi="Arial" w:cs="Arial"/>
                <w:color w:val="auto"/>
                <w:sz w:val="20"/>
                <w:szCs w:val="20"/>
                <w:lang w:eastAsia="en-GB"/>
              </w:rPr>
              <w:t>2</w:t>
            </w:r>
            <w:r w:rsidRPr="003C7E62">
              <w:rPr>
                <w:rFonts w:ascii="Arial" w:hAnsi="Arial" w:cs="Arial"/>
                <w:color w:val="auto"/>
                <w:sz w:val="20"/>
                <w:szCs w:val="20"/>
                <w:lang w:eastAsia="en-GB"/>
              </w:rPr>
              <w:t>021.</w:t>
            </w:r>
          </w:p>
          <w:p w14:paraId="5588C269" w14:textId="4BABFFE6" w:rsidR="00F260E8" w:rsidRPr="0073604D" w:rsidRDefault="00F260E8" w:rsidP="00874A98">
            <w:pPr>
              <w:pStyle w:val="ListParagraph"/>
              <w:numPr>
                <w:ilvl w:val="0"/>
                <w:numId w:val="94"/>
              </w:numPr>
              <w:spacing w:after="0" w:line="240" w:lineRule="auto"/>
              <w:rPr>
                <w:rFonts w:ascii="Arial" w:hAnsi="Arial" w:cs="Arial"/>
                <w:sz w:val="20"/>
                <w:szCs w:val="20"/>
                <w:lang w:eastAsia="en-GB"/>
              </w:rPr>
            </w:pPr>
            <w:r w:rsidRPr="0073604D">
              <w:rPr>
                <w:rFonts w:ascii="Arial" w:hAnsi="Arial" w:cs="Arial"/>
                <w:sz w:val="20"/>
                <w:szCs w:val="20"/>
                <w:lang w:eastAsia="en-GB"/>
              </w:rPr>
              <w:t>P</w:t>
            </w:r>
            <w:r w:rsidR="0073604D">
              <w:rPr>
                <w:rFonts w:ascii="Arial" w:hAnsi="Arial" w:cs="Arial"/>
                <w:sz w:val="20"/>
                <w:szCs w:val="20"/>
                <w:lang w:eastAsia="en-GB"/>
              </w:rPr>
              <w:t>PG</w:t>
            </w:r>
            <w:r w:rsidRPr="0073604D">
              <w:rPr>
                <w:rFonts w:ascii="Arial" w:hAnsi="Arial" w:cs="Arial"/>
                <w:sz w:val="20"/>
                <w:szCs w:val="20"/>
                <w:lang w:eastAsia="en-GB"/>
              </w:rPr>
              <w:t xml:space="preserve">: Housing and economic needs assessment as </w:t>
            </w:r>
            <w:r w:rsidR="00416653" w:rsidRPr="0073604D">
              <w:rPr>
                <w:rFonts w:ascii="Arial" w:hAnsi="Arial" w:cs="Arial"/>
                <w:sz w:val="20"/>
                <w:szCs w:val="20"/>
                <w:lang w:eastAsia="en-GB"/>
              </w:rPr>
              <w:t>of</w:t>
            </w:r>
            <w:r w:rsidRPr="0073604D">
              <w:rPr>
                <w:rFonts w:ascii="Arial" w:hAnsi="Arial" w:cs="Arial"/>
                <w:sz w:val="20"/>
                <w:szCs w:val="20"/>
                <w:lang w:eastAsia="en-GB"/>
              </w:rPr>
              <w:t xml:space="preserve"> </w:t>
            </w:r>
            <w:r w:rsidR="00287238" w:rsidRPr="0073604D">
              <w:rPr>
                <w:rFonts w:ascii="Arial" w:hAnsi="Arial" w:cs="Arial"/>
                <w:sz w:val="20"/>
                <w:szCs w:val="20"/>
                <w:lang w:eastAsia="en-GB"/>
              </w:rPr>
              <w:t>December 2020</w:t>
            </w:r>
            <w:r w:rsidRPr="0073604D">
              <w:rPr>
                <w:rFonts w:ascii="Arial" w:hAnsi="Arial" w:cs="Arial"/>
                <w:sz w:val="20"/>
                <w:szCs w:val="20"/>
                <w:lang w:eastAsia="en-GB"/>
              </w:rPr>
              <w:t>.</w:t>
            </w:r>
          </w:p>
          <w:p w14:paraId="7A971E71" w14:textId="6E1304F2" w:rsidR="00F260E8" w:rsidRPr="0073604D" w:rsidRDefault="00F260E8" w:rsidP="00874A98">
            <w:pPr>
              <w:pStyle w:val="ListParagraph"/>
              <w:numPr>
                <w:ilvl w:val="0"/>
                <w:numId w:val="94"/>
              </w:numPr>
              <w:spacing w:after="0" w:line="240" w:lineRule="auto"/>
              <w:rPr>
                <w:rFonts w:ascii="Arial" w:hAnsi="Arial" w:cs="Arial"/>
                <w:sz w:val="20"/>
                <w:szCs w:val="20"/>
                <w:lang w:eastAsia="en-GB"/>
              </w:rPr>
            </w:pPr>
            <w:r w:rsidRPr="0073604D">
              <w:rPr>
                <w:rFonts w:ascii="Arial" w:hAnsi="Arial" w:cs="Arial"/>
                <w:sz w:val="20"/>
                <w:szCs w:val="20"/>
                <w:lang w:eastAsia="en-GB"/>
              </w:rPr>
              <w:t>P</w:t>
            </w:r>
            <w:r w:rsidR="0073604D">
              <w:rPr>
                <w:rFonts w:ascii="Arial" w:hAnsi="Arial" w:cs="Arial"/>
                <w:sz w:val="20"/>
                <w:szCs w:val="20"/>
                <w:lang w:eastAsia="en-GB"/>
              </w:rPr>
              <w:t>PG</w:t>
            </w:r>
            <w:r w:rsidRPr="0073604D">
              <w:rPr>
                <w:rFonts w:ascii="Arial" w:hAnsi="Arial" w:cs="Arial"/>
                <w:sz w:val="20"/>
                <w:szCs w:val="20"/>
                <w:lang w:eastAsia="en-GB"/>
              </w:rPr>
              <w:t xml:space="preserve">: Housing needs of different groups, as </w:t>
            </w:r>
            <w:r w:rsidR="00416653" w:rsidRPr="0073604D">
              <w:rPr>
                <w:rFonts w:ascii="Arial" w:hAnsi="Arial" w:cs="Arial"/>
                <w:sz w:val="20"/>
                <w:szCs w:val="20"/>
                <w:lang w:eastAsia="en-GB"/>
              </w:rPr>
              <w:t>of</w:t>
            </w:r>
            <w:r w:rsidRPr="0073604D">
              <w:rPr>
                <w:rFonts w:ascii="Arial" w:hAnsi="Arial" w:cs="Arial"/>
                <w:sz w:val="20"/>
                <w:szCs w:val="20"/>
                <w:lang w:eastAsia="en-GB"/>
              </w:rPr>
              <w:t xml:space="preserve"> </w:t>
            </w:r>
            <w:r w:rsidR="00287238" w:rsidRPr="0073604D">
              <w:rPr>
                <w:rFonts w:ascii="Arial" w:hAnsi="Arial" w:cs="Arial"/>
                <w:sz w:val="20"/>
                <w:szCs w:val="20"/>
                <w:lang w:eastAsia="en-GB"/>
              </w:rPr>
              <w:t>May 2021</w:t>
            </w:r>
            <w:r w:rsidRPr="0073604D">
              <w:rPr>
                <w:rFonts w:ascii="Arial" w:hAnsi="Arial" w:cs="Arial"/>
                <w:sz w:val="20"/>
                <w:szCs w:val="20"/>
                <w:lang w:eastAsia="en-GB"/>
              </w:rPr>
              <w:t>.</w:t>
            </w:r>
          </w:p>
          <w:p w14:paraId="1277CF43" w14:textId="0CC05D2C" w:rsidR="00F260E8" w:rsidRPr="0073604D" w:rsidRDefault="00F260E8" w:rsidP="00874A98">
            <w:pPr>
              <w:pStyle w:val="ListParagraph"/>
              <w:numPr>
                <w:ilvl w:val="0"/>
                <w:numId w:val="94"/>
              </w:numPr>
              <w:spacing w:after="0" w:line="240" w:lineRule="auto"/>
              <w:rPr>
                <w:rFonts w:ascii="Arial" w:hAnsi="Arial" w:cs="Arial"/>
                <w:sz w:val="20"/>
                <w:szCs w:val="20"/>
                <w:lang w:eastAsia="en-GB"/>
              </w:rPr>
            </w:pPr>
            <w:r w:rsidRPr="0073604D">
              <w:rPr>
                <w:rFonts w:ascii="Arial" w:hAnsi="Arial" w:cs="Arial"/>
                <w:sz w:val="20"/>
                <w:szCs w:val="20"/>
                <w:lang w:eastAsia="en-GB"/>
              </w:rPr>
              <w:t>P</w:t>
            </w:r>
            <w:r w:rsidR="0073604D">
              <w:rPr>
                <w:rFonts w:ascii="Arial" w:hAnsi="Arial" w:cs="Arial"/>
                <w:sz w:val="20"/>
                <w:szCs w:val="20"/>
                <w:lang w:eastAsia="en-GB"/>
              </w:rPr>
              <w:t>PG</w:t>
            </w:r>
            <w:r w:rsidRPr="0073604D">
              <w:rPr>
                <w:rFonts w:ascii="Arial" w:hAnsi="Arial" w:cs="Arial"/>
                <w:sz w:val="20"/>
                <w:szCs w:val="20"/>
                <w:lang w:eastAsia="en-GB"/>
              </w:rPr>
              <w:t xml:space="preserve">: Housing for older and disabled people as </w:t>
            </w:r>
            <w:r w:rsidR="00416653" w:rsidRPr="0073604D">
              <w:rPr>
                <w:rFonts w:ascii="Arial" w:hAnsi="Arial" w:cs="Arial"/>
                <w:sz w:val="20"/>
                <w:szCs w:val="20"/>
                <w:lang w:eastAsia="en-GB"/>
              </w:rPr>
              <w:t>of</w:t>
            </w:r>
            <w:r w:rsidRPr="0073604D">
              <w:rPr>
                <w:rFonts w:ascii="Arial" w:hAnsi="Arial" w:cs="Arial"/>
                <w:sz w:val="20"/>
                <w:szCs w:val="20"/>
                <w:lang w:eastAsia="en-GB"/>
              </w:rPr>
              <w:t xml:space="preserve"> </w:t>
            </w:r>
            <w:r w:rsidR="00287238" w:rsidRPr="0073604D">
              <w:rPr>
                <w:rFonts w:ascii="Arial" w:hAnsi="Arial" w:cs="Arial"/>
                <w:sz w:val="20"/>
                <w:szCs w:val="20"/>
                <w:lang w:eastAsia="en-GB"/>
              </w:rPr>
              <w:t>June 2019</w:t>
            </w:r>
            <w:r w:rsidRPr="0073604D">
              <w:rPr>
                <w:rFonts w:ascii="Arial" w:hAnsi="Arial" w:cs="Arial"/>
                <w:sz w:val="20"/>
                <w:szCs w:val="20"/>
                <w:lang w:eastAsia="en-GB"/>
              </w:rPr>
              <w:t>.</w:t>
            </w:r>
          </w:p>
          <w:p w14:paraId="1956FAB5" w14:textId="4FFD87D6" w:rsidR="00F260E8" w:rsidRPr="0073604D" w:rsidRDefault="00F260E8" w:rsidP="00874A98">
            <w:pPr>
              <w:pStyle w:val="ListParagraph"/>
              <w:numPr>
                <w:ilvl w:val="0"/>
                <w:numId w:val="94"/>
              </w:numPr>
              <w:spacing w:after="0" w:line="240" w:lineRule="auto"/>
              <w:rPr>
                <w:rFonts w:ascii="Arial" w:hAnsi="Arial" w:cs="Arial"/>
                <w:sz w:val="20"/>
                <w:szCs w:val="20"/>
                <w:lang w:eastAsia="en-GB"/>
              </w:rPr>
            </w:pPr>
            <w:r w:rsidRPr="0073604D">
              <w:rPr>
                <w:rFonts w:ascii="Arial" w:hAnsi="Arial" w:cs="Arial"/>
                <w:sz w:val="20"/>
                <w:szCs w:val="20"/>
                <w:lang w:eastAsia="en-GB"/>
              </w:rPr>
              <w:t>P</w:t>
            </w:r>
            <w:r w:rsidR="0073604D">
              <w:rPr>
                <w:rFonts w:ascii="Arial" w:hAnsi="Arial" w:cs="Arial"/>
                <w:sz w:val="20"/>
                <w:szCs w:val="20"/>
                <w:lang w:eastAsia="en-GB"/>
              </w:rPr>
              <w:t xml:space="preserve">PG: </w:t>
            </w:r>
            <w:r w:rsidRPr="0073604D">
              <w:rPr>
                <w:rFonts w:ascii="Arial" w:hAnsi="Arial" w:cs="Arial"/>
                <w:sz w:val="20"/>
                <w:szCs w:val="20"/>
                <w:lang w:eastAsia="en-GB"/>
              </w:rPr>
              <w:t xml:space="preserve">Housing: optional technical standards, as </w:t>
            </w:r>
            <w:r w:rsidR="00416653" w:rsidRPr="0073604D">
              <w:rPr>
                <w:rFonts w:ascii="Arial" w:hAnsi="Arial" w:cs="Arial"/>
                <w:sz w:val="20"/>
                <w:szCs w:val="20"/>
                <w:lang w:eastAsia="en-GB"/>
              </w:rPr>
              <w:t>of</w:t>
            </w:r>
            <w:r w:rsidRPr="0073604D">
              <w:rPr>
                <w:rFonts w:ascii="Arial" w:hAnsi="Arial" w:cs="Arial"/>
                <w:sz w:val="20"/>
                <w:szCs w:val="20"/>
                <w:lang w:eastAsia="en-GB"/>
              </w:rPr>
              <w:t xml:space="preserve"> </w:t>
            </w:r>
            <w:r w:rsidR="00287238" w:rsidRPr="0073604D">
              <w:rPr>
                <w:rFonts w:ascii="Arial" w:hAnsi="Arial" w:cs="Arial"/>
                <w:sz w:val="20"/>
                <w:szCs w:val="20"/>
                <w:lang w:eastAsia="en-GB"/>
              </w:rPr>
              <w:t>March 2015</w:t>
            </w:r>
            <w:r w:rsidRPr="0073604D">
              <w:rPr>
                <w:rFonts w:ascii="Arial" w:hAnsi="Arial" w:cs="Arial"/>
                <w:sz w:val="20"/>
                <w:szCs w:val="20"/>
                <w:lang w:eastAsia="en-GB"/>
              </w:rPr>
              <w:t>.</w:t>
            </w:r>
          </w:p>
          <w:p w14:paraId="7191932F" w14:textId="79E52D35" w:rsidR="00F260E8" w:rsidRPr="002F1957" w:rsidRDefault="00F260E8" w:rsidP="00874A98">
            <w:pPr>
              <w:pStyle w:val="ListParagraph"/>
              <w:numPr>
                <w:ilvl w:val="0"/>
                <w:numId w:val="94"/>
              </w:numPr>
              <w:tabs>
                <w:tab w:val="left" w:pos="680"/>
                <w:tab w:val="left" w:pos="1133"/>
                <w:tab w:val="left" w:pos="2267"/>
              </w:tabs>
              <w:ind w:right="284"/>
              <w:rPr>
                <w:rFonts w:ascii="Arial" w:eastAsia="Arial" w:hAnsi="Arial" w:cs="Arial"/>
                <w:b/>
                <w:color w:val="auto"/>
                <w:sz w:val="22"/>
                <w:u w:val="single"/>
              </w:rPr>
            </w:pPr>
            <w:r w:rsidRPr="0073604D">
              <w:rPr>
                <w:rFonts w:ascii="Arial" w:hAnsi="Arial" w:cs="Arial"/>
                <w:sz w:val="20"/>
              </w:rPr>
              <w:t>P</w:t>
            </w:r>
            <w:r w:rsidR="0073604D">
              <w:rPr>
                <w:rFonts w:ascii="Arial" w:hAnsi="Arial" w:cs="Arial"/>
                <w:sz w:val="20"/>
              </w:rPr>
              <w:t>PG</w:t>
            </w:r>
            <w:r w:rsidRPr="0073604D">
              <w:rPr>
                <w:rFonts w:ascii="Arial" w:hAnsi="Arial" w:cs="Arial"/>
                <w:sz w:val="20"/>
              </w:rPr>
              <w:t xml:space="preserve">: Housing supply and delivery as </w:t>
            </w:r>
            <w:r w:rsidR="00416653" w:rsidRPr="0073604D">
              <w:rPr>
                <w:rFonts w:ascii="Arial" w:hAnsi="Arial" w:cs="Arial"/>
                <w:sz w:val="20"/>
              </w:rPr>
              <w:t>of</w:t>
            </w:r>
            <w:r w:rsidRPr="0073604D">
              <w:rPr>
                <w:rFonts w:ascii="Arial" w:hAnsi="Arial" w:cs="Arial"/>
                <w:sz w:val="20"/>
              </w:rPr>
              <w:t xml:space="preserve"> </w:t>
            </w:r>
            <w:r w:rsidR="00287238" w:rsidRPr="0073604D">
              <w:rPr>
                <w:rFonts w:ascii="Arial" w:hAnsi="Arial" w:cs="Arial"/>
                <w:sz w:val="20"/>
              </w:rPr>
              <w:t>July 2019</w:t>
            </w:r>
            <w:r w:rsidRPr="0073604D">
              <w:rPr>
                <w:rFonts w:ascii="Arial" w:hAnsi="Arial" w:cs="Arial"/>
                <w:sz w:val="20"/>
              </w:rPr>
              <w:t>.</w:t>
            </w:r>
          </w:p>
        </w:tc>
      </w:tr>
    </w:tbl>
    <w:p w14:paraId="6CCB0384" w14:textId="042A3C2C" w:rsidR="00F260E8" w:rsidRDefault="00F260E8" w:rsidP="00E30ED8">
      <w:pPr>
        <w:rPr>
          <w:rFonts w:eastAsia="Arial"/>
        </w:rPr>
      </w:pPr>
    </w:p>
    <w:p w14:paraId="072B3BE9" w14:textId="77777777" w:rsidR="00FB4E8F" w:rsidRPr="00BB639C" w:rsidRDefault="00FB4E8F" w:rsidP="00743F63">
      <w:pPr>
        <w:autoSpaceDE w:val="0"/>
        <w:autoSpaceDN w:val="0"/>
        <w:adjustRightInd w:val="0"/>
        <w:spacing w:before="0"/>
        <w:ind w:left="851"/>
        <w:rPr>
          <w:rFonts w:eastAsia="Arial" w:cs="Arial"/>
          <w:b/>
          <w:color w:val="auto"/>
          <w:u w:val="single"/>
        </w:rPr>
      </w:pPr>
      <w:r w:rsidRPr="00BB639C">
        <w:rPr>
          <w:rFonts w:eastAsia="Arial" w:cs="Arial"/>
          <w:b/>
          <w:color w:val="auto"/>
          <w:u w:val="single"/>
        </w:rPr>
        <w:t>Strategic Approach to Housing Growth</w:t>
      </w:r>
    </w:p>
    <w:p w14:paraId="44E5BA1B" w14:textId="77777777" w:rsidR="00743F63" w:rsidRPr="003C7E62" w:rsidRDefault="00743F63" w:rsidP="00743F63">
      <w:pPr>
        <w:autoSpaceDE w:val="0"/>
        <w:autoSpaceDN w:val="0"/>
        <w:adjustRightInd w:val="0"/>
        <w:spacing w:before="0"/>
        <w:rPr>
          <w:rFonts w:eastAsia="Arial" w:cs="Arial"/>
          <w:bCs/>
          <w:color w:val="auto"/>
          <w:u w:val="single"/>
        </w:rPr>
      </w:pPr>
    </w:p>
    <w:p w14:paraId="20A61883" w14:textId="747FB47E" w:rsidR="00FB4E8F" w:rsidRDefault="00FB4E8F" w:rsidP="00743F63">
      <w:pPr>
        <w:autoSpaceDE w:val="0"/>
        <w:autoSpaceDN w:val="0"/>
        <w:adjustRightInd w:val="0"/>
        <w:spacing w:before="0"/>
        <w:ind w:left="851"/>
        <w:rPr>
          <w:rFonts w:eastAsia="Arial" w:cs="Arial"/>
          <w:b/>
          <w:color w:val="auto"/>
        </w:rPr>
      </w:pPr>
      <w:r w:rsidRPr="00BB639C">
        <w:rPr>
          <w:rFonts w:eastAsia="Arial" w:cs="Arial"/>
          <w:b/>
          <w:color w:val="auto"/>
        </w:rPr>
        <w:t xml:space="preserve">Quantum </w:t>
      </w:r>
      <w:r w:rsidR="00B61C86">
        <w:rPr>
          <w:rFonts w:eastAsia="Arial" w:cs="Arial"/>
          <w:b/>
          <w:color w:val="auto"/>
        </w:rPr>
        <w:t>of Housing Development</w:t>
      </w:r>
    </w:p>
    <w:p w14:paraId="6EA86899" w14:textId="77777777" w:rsidR="006D3A8E" w:rsidRPr="00BB639C" w:rsidRDefault="006D3A8E" w:rsidP="00743F63">
      <w:pPr>
        <w:autoSpaceDE w:val="0"/>
        <w:autoSpaceDN w:val="0"/>
        <w:adjustRightInd w:val="0"/>
        <w:spacing w:before="0"/>
        <w:ind w:left="851"/>
        <w:rPr>
          <w:rFonts w:cs="Arial"/>
          <w:b/>
          <w:color w:val="auto"/>
          <w:szCs w:val="24"/>
        </w:rPr>
      </w:pPr>
    </w:p>
    <w:p w14:paraId="558CC73F" w14:textId="5980B2C5" w:rsidR="00FB4E8F" w:rsidRPr="003C7E62" w:rsidRDefault="00677AA3" w:rsidP="00E73430">
      <w:pPr>
        <w:keepNext w:val="0"/>
        <w:numPr>
          <w:ilvl w:val="1"/>
          <w:numId w:val="344"/>
        </w:numPr>
        <w:tabs>
          <w:tab w:val="clear" w:pos="525"/>
          <w:tab w:val="num" w:pos="851"/>
        </w:tabs>
        <w:spacing w:before="0"/>
        <w:ind w:left="851" w:hanging="851"/>
        <w:rPr>
          <w:rFonts w:cs="Arial"/>
          <w:color w:val="auto"/>
          <w:szCs w:val="24"/>
        </w:rPr>
      </w:pPr>
      <w:r w:rsidRPr="003C7E62">
        <w:rPr>
          <w:rFonts w:cs="Arial"/>
          <w:color w:val="auto"/>
          <w:szCs w:val="24"/>
          <w:lang w:eastAsia="en-US"/>
        </w:rPr>
        <w:t xml:space="preserve">The </w:t>
      </w:r>
      <w:r w:rsidR="005D6672">
        <w:rPr>
          <w:rFonts w:cs="Arial"/>
          <w:color w:val="auto"/>
          <w:szCs w:val="24"/>
          <w:lang w:eastAsia="en-US"/>
        </w:rPr>
        <w:t xml:space="preserve">NPPF </w:t>
      </w:r>
      <w:r w:rsidRPr="003C7E62">
        <w:rPr>
          <w:rFonts w:cs="Arial"/>
          <w:color w:val="auto"/>
          <w:szCs w:val="24"/>
          <w:lang w:eastAsia="en-US"/>
        </w:rPr>
        <w:t>sets out a requirement for strategic policies to be informed by local housing need assessments, conducted using the standard method set out in National Planning Practice Guidance (PPG)</w:t>
      </w:r>
      <w:r w:rsidRPr="003C7E62">
        <w:rPr>
          <w:rStyle w:val="FootnoteReference"/>
          <w:rFonts w:cs="Arial"/>
          <w:color w:val="auto"/>
          <w:szCs w:val="24"/>
          <w:lang w:eastAsia="en-US"/>
        </w:rPr>
        <w:footnoteReference w:id="60"/>
      </w:r>
      <w:r w:rsidRPr="003C7E62">
        <w:rPr>
          <w:rFonts w:cs="Arial"/>
          <w:color w:val="auto"/>
          <w:szCs w:val="24"/>
          <w:lang w:eastAsia="en-US"/>
        </w:rPr>
        <w:t>. The Local Housing Need (LHN) for Ashfield District, based on this standard methodology, was 4</w:t>
      </w:r>
      <w:r w:rsidR="00060199">
        <w:rPr>
          <w:rFonts w:cs="Arial"/>
          <w:color w:val="auto"/>
          <w:szCs w:val="24"/>
          <w:lang w:eastAsia="en-US"/>
        </w:rPr>
        <w:t>46</w:t>
      </w:r>
      <w:r w:rsidRPr="003C7E62">
        <w:rPr>
          <w:rFonts w:cs="Arial"/>
          <w:color w:val="auto"/>
          <w:szCs w:val="24"/>
          <w:lang w:eastAsia="en-US"/>
        </w:rPr>
        <w:t xml:space="preserve"> dwellings per annum (dpa) as of April 202</w:t>
      </w:r>
      <w:r w:rsidR="00060199">
        <w:rPr>
          <w:rFonts w:cs="Arial"/>
          <w:color w:val="auto"/>
          <w:szCs w:val="24"/>
          <w:lang w:eastAsia="en-US"/>
        </w:rPr>
        <w:t>3</w:t>
      </w:r>
      <w:r w:rsidR="00441D75">
        <w:rPr>
          <w:rFonts w:cs="Arial"/>
          <w:color w:val="auto"/>
          <w:szCs w:val="24"/>
          <w:lang w:eastAsia="en-US"/>
        </w:rPr>
        <w:t>.</w:t>
      </w:r>
      <w:r w:rsidR="005A1A32">
        <w:rPr>
          <w:rFonts w:cs="Arial"/>
          <w:color w:val="auto"/>
          <w:szCs w:val="24"/>
          <w:lang w:eastAsia="en-US"/>
        </w:rPr>
        <w:t xml:space="preserve"> </w:t>
      </w:r>
    </w:p>
    <w:p w14:paraId="57E9CD20" w14:textId="77777777" w:rsidR="00FB4E8F" w:rsidRPr="003C7E62" w:rsidRDefault="00FB4E8F" w:rsidP="00310DB0">
      <w:pPr>
        <w:keepNext w:val="0"/>
        <w:spacing w:before="0"/>
        <w:ind w:left="851"/>
        <w:rPr>
          <w:rFonts w:cs="Arial"/>
          <w:color w:val="auto"/>
          <w:szCs w:val="24"/>
        </w:rPr>
      </w:pPr>
    </w:p>
    <w:p w14:paraId="39BA75EE" w14:textId="30D1245A" w:rsidR="00630D3C" w:rsidRDefault="00630D3C" w:rsidP="00E73430">
      <w:pPr>
        <w:keepNext w:val="0"/>
        <w:numPr>
          <w:ilvl w:val="1"/>
          <w:numId w:val="344"/>
        </w:numPr>
        <w:tabs>
          <w:tab w:val="clear" w:pos="525"/>
          <w:tab w:val="num" w:pos="851"/>
        </w:tabs>
        <w:spacing w:before="0"/>
        <w:ind w:left="851" w:hanging="851"/>
        <w:rPr>
          <w:rFonts w:cs="Arial"/>
          <w:color w:val="auto"/>
          <w:szCs w:val="24"/>
        </w:rPr>
      </w:pPr>
      <w:r w:rsidRPr="00033FDC">
        <w:rPr>
          <w:rFonts w:cs="Arial"/>
          <w:color w:val="auto"/>
          <w:szCs w:val="24"/>
          <w:lang w:eastAsia="en-US"/>
        </w:rPr>
        <w:t>It has been determined that a review of the Green Belt boundaries</w:t>
      </w:r>
      <w:r w:rsidR="005B74FD" w:rsidRPr="00033FDC">
        <w:rPr>
          <w:rFonts w:cs="Arial"/>
          <w:color w:val="auto"/>
          <w:szCs w:val="24"/>
          <w:lang w:eastAsia="en-US"/>
        </w:rPr>
        <w:t xml:space="preserve"> will be required</w:t>
      </w:r>
      <w:r w:rsidRPr="00033FDC">
        <w:rPr>
          <w:rFonts w:cs="Arial"/>
          <w:color w:val="auto"/>
          <w:szCs w:val="24"/>
          <w:lang w:eastAsia="en-US"/>
        </w:rPr>
        <w:t xml:space="preserve"> in order to address the Council’s strategy for growth, as set out in </w:t>
      </w:r>
      <w:r w:rsidR="00060199" w:rsidRPr="00033FDC">
        <w:rPr>
          <w:rFonts w:cs="Arial"/>
          <w:szCs w:val="24"/>
          <w:lang w:eastAsia="en-US"/>
        </w:rPr>
        <w:t>Policy S1</w:t>
      </w:r>
      <w:r w:rsidRPr="00033FDC">
        <w:rPr>
          <w:rFonts w:cs="Arial"/>
          <w:color w:val="auto"/>
          <w:szCs w:val="24"/>
          <w:lang w:eastAsia="en-US"/>
        </w:rPr>
        <w:t xml:space="preserve">, and in greater detail in Background Paper 1: Spatial Strategy and </w:t>
      </w:r>
      <w:r w:rsidR="005B74FD" w:rsidRPr="00033FDC">
        <w:rPr>
          <w:rFonts w:cs="Arial"/>
          <w:color w:val="auto"/>
          <w:szCs w:val="24"/>
          <w:lang w:eastAsia="en-US"/>
        </w:rPr>
        <w:t>Site Selection</w:t>
      </w:r>
      <w:r w:rsidRPr="00033FDC">
        <w:rPr>
          <w:rFonts w:cs="Arial"/>
          <w:color w:val="auto"/>
          <w:szCs w:val="24"/>
          <w:lang w:eastAsia="en-US"/>
        </w:rPr>
        <w:t xml:space="preserve">. </w:t>
      </w:r>
      <w:r w:rsidR="00677AA3" w:rsidRPr="00033FDC">
        <w:rPr>
          <w:rFonts w:cs="Arial"/>
          <w:color w:val="auto"/>
          <w:szCs w:val="24"/>
          <w:lang w:eastAsia="en-US"/>
        </w:rPr>
        <w:t>Under the duty to co-operate</w:t>
      </w:r>
      <w:r w:rsidRPr="00033FDC">
        <w:rPr>
          <w:rFonts w:cs="Arial"/>
          <w:color w:val="auto"/>
          <w:szCs w:val="24"/>
          <w:lang w:eastAsia="en-US"/>
        </w:rPr>
        <w:t>,</w:t>
      </w:r>
      <w:r w:rsidR="00677AA3" w:rsidRPr="00033FDC">
        <w:rPr>
          <w:rFonts w:cs="Arial"/>
          <w:color w:val="auto"/>
          <w:szCs w:val="24"/>
          <w:lang w:eastAsia="en-US"/>
        </w:rPr>
        <w:t xml:space="preserve"> the Council have agreed with Mansfield and Newark &amp; Sherwood Councils that each district will accommodate their own LHN. </w:t>
      </w:r>
    </w:p>
    <w:p w14:paraId="73AA622A" w14:textId="77777777" w:rsidR="00033FDC" w:rsidRPr="00033FDC" w:rsidRDefault="00033FDC" w:rsidP="00033FDC">
      <w:pPr>
        <w:keepNext w:val="0"/>
        <w:spacing w:before="0"/>
        <w:rPr>
          <w:rFonts w:cs="Arial"/>
          <w:color w:val="auto"/>
          <w:szCs w:val="24"/>
        </w:rPr>
      </w:pPr>
    </w:p>
    <w:p w14:paraId="2232C33F" w14:textId="679F39DE" w:rsidR="007B4AFC" w:rsidRPr="007B4AFC" w:rsidRDefault="007B4AFC" w:rsidP="00E73430">
      <w:pPr>
        <w:keepNext w:val="0"/>
        <w:numPr>
          <w:ilvl w:val="1"/>
          <w:numId w:val="344"/>
        </w:numPr>
        <w:tabs>
          <w:tab w:val="clear" w:pos="525"/>
          <w:tab w:val="num" w:pos="851"/>
        </w:tabs>
        <w:spacing w:before="0"/>
        <w:ind w:left="851" w:hanging="851"/>
        <w:rPr>
          <w:rFonts w:cs="Arial"/>
          <w:color w:val="auto"/>
          <w:szCs w:val="24"/>
        </w:rPr>
      </w:pPr>
      <w:r w:rsidRPr="007B4AFC">
        <w:rPr>
          <w:rFonts w:cs="Arial"/>
          <w:color w:val="auto"/>
          <w:szCs w:val="24"/>
          <w:lang w:eastAsia="en-US"/>
        </w:rPr>
        <w:t xml:space="preserve">Having assessed the land supply, policy and physical constraints, the Council is proposing to adopt a baseline minimum of 446 dwellings per year as its housing target. The NPPF (para 22) requires strategic policies to look ahead over a minimum of 15 years post adoption, as such Policy S7 sets a minimum figure of 7582 dwellings over the entire Plan period. It is acknowledged </w:t>
      </w:r>
      <w:bookmarkStart w:id="69" w:name="_Hlk151034397"/>
      <w:r w:rsidRPr="007B4AFC">
        <w:rPr>
          <w:rFonts w:cs="Arial"/>
          <w:color w:val="auto"/>
          <w:szCs w:val="24"/>
          <w:lang w:eastAsia="en-US"/>
        </w:rPr>
        <w:t xml:space="preserve">that the proposed allocations (in Policy H1) </w:t>
      </w:r>
      <w:r w:rsidR="0008340A">
        <w:rPr>
          <w:rFonts w:cs="Arial"/>
          <w:color w:val="auto"/>
          <w:szCs w:val="24"/>
          <w:lang w:eastAsia="en-US"/>
        </w:rPr>
        <w:t xml:space="preserve">together with </w:t>
      </w:r>
      <w:r w:rsidRPr="007B4AFC">
        <w:rPr>
          <w:rFonts w:cs="Arial"/>
          <w:color w:val="auto"/>
          <w:szCs w:val="24"/>
          <w:lang w:eastAsia="en-US"/>
        </w:rPr>
        <w:t>small site</w:t>
      </w:r>
      <w:r w:rsidR="0008340A">
        <w:rPr>
          <w:rFonts w:cs="Arial"/>
          <w:color w:val="auto"/>
          <w:szCs w:val="24"/>
          <w:lang w:eastAsia="en-US"/>
        </w:rPr>
        <w:t xml:space="preserve"> supply</w:t>
      </w:r>
      <w:r w:rsidRPr="007B4AFC">
        <w:rPr>
          <w:rFonts w:cs="Arial"/>
          <w:color w:val="auto"/>
          <w:szCs w:val="24"/>
          <w:lang w:eastAsia="en-US"/>
        </w:rPr>
        <w:t xml:space="preserve"> will provide for approximately 1</w:t>
      </w:r>
      <w:r w:rsidR="00452551">
        <w:rPr>
          <w:rFonts w:cs="Arial"/>
          <w:color w:val="auto"/>
          <w:szCs w:val="24"/>
          <w:lang w:eastAsia="en-US"/>
        </w:rPr>
        <w:t>3</w:t>
      </w:r>
      <w:r w:rsidRPr="007B4AFC">
        <w:rPr>
          <w:rFonts w:cs="Arial"/>
          <w:color w:val="auto"/>
          <w:szCs w:val="24"/>
          <w:lang w:eastAsia="en-US"/>
        </w:rPr>
        <w:t xml:space="preserve"> years’ worth of housing supply</w:t>
      </w:r>
      <w:r w:rsidR="006F4117">
        <w:rPr>
          <w:rFonts w:cs="Arial"/>
          <w:color w:val="auto"/>
          <w:szCs w:val="24"/>
          <w:lang w:eastAsia="en-US"/>
        </w:rPr>
        <w:t xml:space="preserve"> post adoption</w:t>
      </w:r>
      <w:r w:rsidRPr="007B4AFC">
        <w:rPr>
          <w:rFonts w:cs="Arial"/>
          <w:color w:val="auto"/>
          <w:szCs w:val="24"/>
          <w:lang w:eastAsia="en-US"/>
        </w:rPr>
        <w:t>, and this is discussed in greater detail in Background Paper 1.</w:t>
      </w:r>
      <w:bookmarkEnd w:id="69"/>
      <w:r w:rsidRPr="007B4AFC">
        <w:rPr>
          <w:rFonts w:cs="Arial"/>
          <w:color w:val="auto"/>
          <w:szCs w:val="24"/>
        </w:rPr>
        <w:t xml:space="preserve"> This is consistent with NPPF paragraph 68 which </w:t>
      </w:r>
      <w:r w:rsidRPr="007B4AFC">
        <w:rPr>
          <w:color w:val="auto"/>
        </w:rPr>
        <w:t>requires policies to identify a sufficient supply and mix of sites, (taking into account their availability, suitability and likely economic viability), with specific, deliverable sites for years one to five of the plan period, and specific, developable sites or broad locations for growth, for years 6-10 and, where possible, for years 11-15 of the plan.</w:t>
      </w:r>
    </w:p>
    <w:p w14:paraId="6DE1A2D1" w14:textId="77777777" w:rsidR="00CB6138" w:rsidRPr="00CB6138" w:rsidRDefault="00CB6138" w:rsidP="00CB6138">
      <w:pPr>
        <w:keepNext w:val="0"/>
        <w:spacing w:before="0"/>
        <w:ind w:left="851"/>
        <w:rPr>
          <w:rFonts w:cs="Arial"/>
          <w:color w:val="auto"/>
          <w:szCs w:val="24"/>
        </w:rPr>
      </w:pPr>
    </w:p>
    <w:p w14:paraId="3034AE1A" w14:textId="163E44C9" w:rsidR="00630D3C" w:rsidRPr="006D3A8E" w:rsidRDefault="007B4AFC" w:rsidP="00E73430">
      <w:pPr>
        <w:keepNext w:val="0"/>
        <w:numPr>
          <w:ilvl w:val="1"/>
          <w:numId w:val="344"/>
        </w:numPr>
        <w:tabs>
          <w:tab w:val="clear" w:pos="525"/>
          <w:tab w:val="num" w:pos="851"/>
        </w:tabs>
        <w:spacing w:before="0"/>
        <w:ind w:left="851" w:hanging="851"/>
        <w:rPr>
          <w:rFonts w:cs="Arial"/>
          <w:color w:val="auto"/>
          <w:szCs w:val="24"/>
        </w:rPr>
      </w:pPr>
      <w:r w:rsidRPr="007B4AFC">
        <w:rPr>
          <w:color w:val="auto"/>
        </w:rPr>
        <w:t>The supply of land for future housing will be kept under review as required by NPPF paragraph 33 which sets out that “</w:t>
      </w:r>
      <w:r w:rsidRPr="007B4AFC">
        <w:rPr>
          <w:i/>
          <w:iCs/>
          <w:color w:val="auto"/>
        </w:rPr>
        <w:t xml:space="preserve">Policies in local plans and spatial development strategies should be reviewed to assess whether they need updating at least once every five years, and should then be updated as necessary. Reviews should…… take into account changing circumstances affecting the area, or any relevant changes in national policy. Relevant strategic policies will need updating at least once every five years if their applicable local housing need figure has </w:t>
      </w:r>
      <w:r w:rsidRPr="007B4AFC">
        <w:rPr>
          <w:i/>
          <w:iCs/>
          <w:color w:val="auto"/>
        </w:rPr>
        <w:lastRenderedPageBreak/>
        <w:t xml:space="preserve">changed significantly; and they are likely to require earlier review if local housing </w:t>
      </w:r>
      <w:r w:rsidRPr="006D3A8E">
        <w:rPr>
          <w:i/>
          <w:iCs/>
          <w:color w:val="auto"/>
        </w:rPr>
        <w:t>need is expected to change significantly in the near future</w:t>
      </w:r>
      <w:r w:rsidRPr="006D3A8E">
        <w:rPr>
          <w:color w:val="auto"/>
        </w:rPr>
        <w:t>.”</w:t>
      </w:r>
    </w:p>
    <w:p w14:paraId="13FF6163" w14:textId="77777777" w:rsidR="007B4AFC" w:rsidRPr="006D3A8E" w:rsidRDefault="007B4AFC" w:rsidP="007B4AFC">
      <w:pPr>
        <w:keepNext w:val="0"/>
        <w:spacing w:before="0"/>
        <w:rPr>
          <w:rFonts w:cs="Arial"/>
          <w:color w:val="auto"/>
          <w:szCs w:val="24"/>
        </w:rPr>
      </w:pPr>
    </w:p>
    <w:p w14:paraId="25D52502" w14:textId="28AAD2C5" w:rsidR="00FB4E8F" w:rsidRDefault="00677AA3" w:rsidP="00452551">
      <w:pPr>
        <w:keepNext w:val="0"/>
        <w:numPr>
          <w:ilvl w:val="1"/>
          <w:numId w:val="344"/>
        </w:numPr>
        <w:tabs>
          <w:tab w:val="clear" w:pos="525"/>
          <w:tab w:val="num" w:pos="851"/>
        </w:tabs>
        <w:spacing w:before="0"/>
        <w:ind w:left="851" w:hanging="851"/>
        <w:rPr>
          <w:rFonts w:cs="Arial"/>
          <w:szCs w:val="24"/>
        </w:rPr>
      </w:pPr>
      <w:r w:rsidRPr="003C7E62">
        <w:rPr>
          <w:rFonts w:cs="Arial"/>
          <w:color w:val="auto"/>
          <w:szCs w:val="24"/>
          <w:lang w:eastAsia="en-US"/>
        </w:rPr>
        <w:t xml:space="preserve">Table </w:t>
      </w:r>
      <w:r w:rsidR="00AB4A58">
        <w:rPr>
          <w:rFonts w:cs="Arial"/>
          <w:color w:val="auto"/>
          <w:szCs w:val="24"/>
          <w:lang w:eastAsia="en-US"/>
        </w:rPr>
        <w:t>2</w:t>
      </w:r>
      <w:r w:rsidRPr="003C7E62">
        <w:rPr>
          <w:rFonts w:cs="Arial"/>
          <w:color w:val="auto"/>
          <w:szCs w:val="24"/>
          <w:lang w:eastAsia="en-US"/>
        </w:rPr>
        <w:t xml:space="preserve"> below illustrates how the Local Housing Need will be met over the Local Plan period of </w:t>
      </w:r>
      <w:r w:rsidRPr="0073604D">
        <w:rPr>
          <w:rFonts w:cs="Arial"/>
          <w:szCs w:val="24"/>
          <w:lang w:eastAsia="en-US"/>
        </w:rPr>
        <w:t>20</w:t>
      </w:r>
      <w:r w:rsidR="001B3786" w:rsidRPr="0073604D">
        <w:rPr>
          <w:rFonts w:cs="Arial"/>
          <w:szCs w:val="24"/>
          <w:lang w:eastAsia="en-US"/>
        </w:rPr>
        <w:t>23</w:t>
      </w:r>
      <w:r w:rsidRPr="0073604D">
        <w:rPr>
          <w:rFonts w:cs="Arial"/>
          <w:szCs w:val="24"/>
          <w:lang w:eastAsia="en-US"/>
        </w:rPr>
        <w:t xml:space="preserve"> to 20</w:t>
      </w:r>
      <w:r w:rsidR="001B3786" w:rsidRPr="0073604D">
        <w:rPr>
          <w:rFonts w:cs="Arial"/>
          <w:szCs w:val="24"/>
          <w:lang w:eastAsia="en-US"/>
        </w:rPr>
        <w:t>40</w:t>
      </w:r>
      <w:r w:rsidRPr="0073604D">
        <w:rPr>
          <w:rFonts w:cs="Arial"/>
          <w:szCs w:val="24"/>
          <w:lang w:eastAsia="en-US"/>
        </w:rPr>
        <w:t>. The anticipated supply applies a discount rate to planning permissions to account for potential non-delivery, alongside a windfall allowance to reflect small sites which may come forward beyond the first 5 years. These calculations are based on historic performance over a period of 10 years in order to take account of peaks and troughs in the housing market.</w:t>
      </w:r>
      <w:r w:rsidR="00441D75" w:rsidRPr="0073604D">
        <w:rPr>
          <w:rFonts w:cs="Arial"/>
          <w:szCs w:val="24"/>
          <w:lang w:eastAsia="en-US"/>
        </w:rPr>
        <w:t xml:space="preserve"> Background Paper </w:t>
      </w:r>
      <w:r w:rsidR="00874A98">
        <w:rPr>
          <w:rFonts w:cs="Arial"/>
          <w:szCs w:val="24"/>
          <w:lang w:eastAsia="en-US"/>
        </w:rPr>
        <w:t>2</w:t>
      </w:r>
      <w:r w:rsidR="00441D75" w:rsidRPr="0073604D">
        <w:rPr>
          <w:rFonts w:cs="Arial"/>
          <w:szCs w:val="24"/>
          <w:lang w:eastAsia="en-US"/>
        </w:rPr>
        <w:t>: Housing sets out more detail regarding assumptions and calculations.</w:t>
      </w:r>
    </w:p>
    <w:p w14:paraId="0CE8B600" w14:textId="77777777" w:rsidR="00441D75" w:rsidRPr="0073604D" w:rsidRDefault="00441D75" w:rsidP="00AA6B15">
      <w:pPr>
        <w:keepNext w:val="0"/>
        <w:spacing w:before="0"/>
        <w:rPr>
          <w:rFonts w:cs="Arial"/>
          <w:szCs w:val="24"/>
          <w:lang w:eastAsia="en-US"/>
        </w:rPr>
      </w:pPr>
    </w:p>
    <w:tbl>
      <w:tblPr>
        <w:tblW w:w="9498" w:type="dxa"/>
        <w:tblLook w:val="04A0" w:firstRow="1" w:lastRow="0" w:firstColumn="1" w:lastColumn="0" w:noHBand="0" w:noVBand="1"/>
      </w:tblPr>
      <w:tblGrid>
        <w:gridCol w:w="8161"/>
        <w:gridCol w:w="1337"/>
      </w:tblGrid>
      <w:tr w:rsidR="0073604D" w:rsidRPr="0073604D" w14:paraId="5BBB64A8" w14:textId="77777777" w:rsidTr="00CB0557">
        <w:trPr>
          <w:trHeight w:val="330"/>
        </w:trPr>
        <w:tc>
          <w:tcPr>
            <w:tcW w:w="8222" w:type="dxa"/>
            <w:tcBorders>
              <w:top w:val="single" w:sz="8" w:space="0" w:color="FFFFFF"/>
              <w:left w:val="nil"/>
              <w:bottom w:val="single" w:sz="8" w:space="0" w:color="FFFFFF"/>
              <w:right w:val="single" w:sz="8" w:space="0" w:color="FFFFFF"/>
            </w:tcBorders>
            <w:shd w:val="clear" w:color="000000" w:fill="D9D9D9"/>
            <w:hideMark/>
          </w:tcPr>
          <w:p w14:paraId="04BAB035" w14:textId="61986F08" w:rsidR="00441D75" w:rsidRPr="0073604D" w:rsidRDefault="00441D75" w:rsidP="00441D75">
            <w:pPr>
              <w:keepNext w:val="0"/>
              <w:spacing w:before="0"/>
              <w:rPr>
                <w:rFonts w:cs="Arial"/>
                <w:b/>
                <w:bCs/>
                <w:szCs w:val="24"/>
              </w:rPr>
            </w:pPr>
            <w:r w:rsidRPr="0073604D">
              <w:rPr>
                <w:rFonts w:cs="Arial"/>
                <w:b/>
                <w:bCs/>
                <w:szCs w:val="24"/>
              </w:rPr>
              <w:t>Housing Requirement</w:t>
            </w:r>
          </w:p>
        </w:tc>
        <w:tc>
          <w:tcPr>
            <w:tcW w:w="1276" w:type="dxa"/>
            <w:tcBorders>
              <w:top w:val="single" w:sz="8" w:space="0" w:color="FFFFFF"/>
              <w:left w:val="nil"/>
              <w:bottom w:val="single" w:sz="8" w:space="0" w:color="FFFFFF"/>
              <w:right w:val="single" w:sz="8" w:space="0" w:color="FFFFFF"/>
            </w:tcBorders>
            <w:shd w:val="clear" w:color="000000" w:fill="D9D9D9"/>
            <w:hideMark/>
          </w:tcPr>
          <w:p w14:paraId="09068F7D" w14:textId="77777777" w:rsidR="00441D75" w:rsidRPr="0073604D" w:rsidRDefault="00441D75" w:rsidP="00441D75">
            <w:pPr>
              <w:keepNext w:val="0"/>
              <w:spacing w:before="0"/>
              <w:rPr>
                <w:rFonts w:cs="Arial"/>
                <w:b/>
                <w:bCs/>
                <w:szCs w:val="24"/>
              </w:rPr>
            </w:pPr>
            <w:r w:rsidRPr="0073604D">
              <w:rPr>
                <w:rFonts w:cs="Arial"/>
                <w:b/>
                <w:bCs/>
                <w:szCs w:val="24"/>
              </w:rPr>
              <w:t>Dwellings</w:t>
            </w:r>
          </w:p>
        </w:tc>
      </w:tr>
      <w:tr w:rsidR="0073604D" w:rsidRPr="0073604D" w14:paraId="51701489" w14:textId="77777777" w:rsidTr="00CB0557">
        <w:trPr>
          <w:trHeight w:val="315"/>
        </w:trPr>
        <w:tc>
          <w:tcPr>
            <w:tcW w:w="8222" w:type="dxa"/>
            <w:tcBorders>
              <w:top w:val="nil"/>
              <w:left w:val="nil"/>
              <w:bottom w:val="single" w:sz="8" w:space="0" w:color="FFFFFF"/>
              <w:right w:val="single" w:sz="8" w:space="0" w:color="FFFFFF"/>
            </w:tcBorders>
            <w:shd w:val="clear" w:color="000000" w:fill="D9D9D9"/>
            <w:hideMark/>
          </w:tcPr>
          <w:p w14:paraId="3F116E5A" w14:textId="1190B6AB" w:rsidR="00441D75" w:rsidRPr="0073604D" w:rsidRDefault="00441D75" w:rsidP="00441D75">
            <w:pPr>
              <w:keepNext w:val="0"/>
              <w:spacing w:before="0"/>
              <w:rPr>
                <w:rFonts w:cs="Arial"/>
                <w:szCs w:val="24"/>
              </w:rPr>
            </w:pPr>
            <w:r w:rsidRPr="0073604D">
              <w:rPr>
                <w:rFonts w:cs="Arial"/>
                <w:szCs w:val="24"/>
              </w:rPr>
              <w:t>Annual Local Housing Need based on Standard Methodology April 2023</w:t>
            </w:r>
          </w:p>
        </w:tc>
        <w:tc>
          <w:tcPr>
            <w:tcW w:w="1276" w:type="dxa"/>
            <w:tcBorders>
              <w:top w:val="nil"/>
              <w:left w:val="nil"/>
              <w:bottom w:val="single" w:sz="8" w:space="0" w:color="FFFFFF"/>
              <w:right w:val="single" w:sz="8" w:space="0" w:color="FFFFFF"/>
            </w:tcBorders>
            <w:shd w:val="clear" w:color="000000" w:fill="D9D9D9"/>
            <w:hideMark/>
          </w:tcPr>
          <w:p w14:paraId="1AC34D10" w14:textId="77777777" w:rsidR="00441D75" w:rsidRPr="0073604D" w:rsidRDefault="00441D75" w:rsidP="00441D75">
            <w:pPr>
              <w:keepNext w:val="0"/>
              <w:spacing w:before="0"/>
              <w:jc w:val="right"/>
              <w:rPr>
                <w:rFonts w:cs="Arial"/>
                <w:szCs w:val="24"/>
              </w:rPr>
            </w:pPr>
            <w:r w:rsidRPr="0073604D">
              <w:rPr>
                <w:rFonts w:cs="Arial"/>
                <w:szCs w:val="24"/>
              </w:rPr>
              <w:t>446</w:t>
            </w:r>
          </w:p>
        </w:tc>
      </w:tr>
      <w:tr w:rsidR="0073604D" w:rsidRPr="0073604D" w14:paraId="6996CD20" w14:textId="77777777" w:rsidTr="00CB0557">
        <w:trPr>
          <w:trHeight w:val="367"/>
        </w:trPr>
        <w:tc>
          <w:tcPr>
            <w:tcW w:w="8222" w:type="dxa"/>
            <w:tcBorders>
              <w:top w:val="nil"/>
              <w:left w:val="nil"/>
              <w:bottom w:val="single" w:sz="8" w:space="0" w:color="FFFFFF"/>
              <w:right w:val="single" w:sz="8" w:space="0" w:color="FFFFFF"/>
            </w:tcBorders>
            <w:shd w:val="clear" w:color="000000" w:fill="D9D9D9"/>
            <w:hideMark/>
          </w:tcPr>
          <w:p w14:paraId="53D0AEAD" w14:textId="2B93E6B3" w:rsidR="00441D75" w:rsidRPr="0073604D" w:rsidRDefault="00441D75" w:rsidP="00441D75">
            <w:pPr>
              <w:keepNext w:val="0"/>
              <w:spacing w:before="0"/>
              <w:rPr>
                <w:rFonts w:cs="Arial"/>
                <w:szCs w:val="24"/>
              </w:rPr>
            </w:pPr>
            <w:r w:rsidRPr="0073604D">
              <w:rPr>
                <w:rFonts w:cs="Arial"/>
                <w:szCs w:val="24"/>
              </w:rPr>
              <w:t>Houses needed to meet requirement, 1/4/2023 to 31/4/2040</w:t>
            </w:r>
          </w:p>
        </w:tc>
        <w:tc>
          <w:tcPr>
            <w:tcW w:w="1276" w:type="dxa"/>
            <w:tcBorders>
              <w:top w:val="nil"/>
              <w:left w:val="nil"/>
              <w:bottom w:val="single" w:sz="8" w:space="0" w:color="FFFFFF"/>
              <w:right w:val="single" w:sz="8" w:space="0" w:color="FFFFFF"/>
            </w:tcBorders>
            <w:shd w:val="clear" w:color="000000" w:fill="D9D9D9"/>
            <w:hideMark/>
          </w:tcPr>
          <w:p w14:paraId="07C9F3B3" w14:textId="18A43FB2" w:rsidR="00441D75" w:rsidRPr="0073604D" w:rsidRDefault="00441D75" w:rsidP="00441D75">
            <w:pPr>
              <w:keepNext w:val="0"/>
              <w:spacing w:before="0"/>
              <w:jc w:val="right"/>
              <w:rPr>
                <w:rFonts w:cs="Arial"/>
                <w:b/>
                <w:bCs/>
                <w:szCs w:val="24"/>
              </w:rPr>
            </w:pPr>
            <w:r w:rsidRPr="0073604D">
              <w:rPr>
                <w:rFonts w:cs="Arial"/>
                <w:b/>
                <w:bCs/>
                <w:szCs w:val="24"/>
              </w:rPr>
              <w:t>7</w:t>
            </w:r>
            <w:r w:rsidR="0084256E" w:rsidRPr="0073604D">
              <w:rPr>
                <w:rFonts w:cs="Arial"/>
                <w:b/>
                <w:bCs/>
                <w:szCs w:val="24"/>
              </w:rPr>
              <w:t>,</w:t>
            </w:r>
            <w:r w:rsidRPr="0073604D">
              <w:rPr>
                <w:rFonts w:cs="Arial"/>
                <w:b/>
                <w:bCs/>
                <w:szCs w:val="24"/>
              </w:rPr>
              <w:t>582</w:t>
            </w:r>
          </w:p>
        </w:tc>
      </w:tr>
    </w:tbl>
    <w:p w14:paraId="4C3AE719" w14:textId="77777777" w:rsidR="00FB4E8F" w:rsidRPr="0073604D" w:rsidRDefault="00FB4E8F" w:rsidP="00743F63">
      <w:pPr>
        <w:keepNext w:val="0"/>
        <w:spacing w:before="0"/>
        <w:ind w:left="851"/>
        <w:jc w:val="both"/>
        <w:rPr>
          <w:rFonts w:cs="Arial"/>
          <w:szCs w:val="24"/>
        </w:rPr>
      </w:pPr>
    </w:p>
    <w:tbl>
      <w:tblPr>
        <w:tblW w:w="9547" w:type="dxa"/>
        <w:tblInd w:w="10" w:type="dxa"/>
        <w:tblLook w:val="04A0" w:firstRow="1" w:lastRow="0" w:firstColumn="1" w:lastColumn="0" w:noHBand="0" w:noVBand="1"/>
      </w:tblPr>
      <w:tblGrid>
        <w:gridCol w:w="8210"/>
        <w:gridCol w:w="1337"/>
      </w:tblGrid>
      <w:tr w:rsidR="0073604D" w:rsidRPr="0073604D" w14:paraId="5BDA22EA" w14:textId="77777777" w:rsidTr="00CB0557">
        <w:trPr>
          <w:trHeight w:val="330"/>
        </w:trPr>
        <w:tc>
          <w:tcPr>
            <w:tcW w:w="8212" w:type="dxa"/>
            <w:tcBorders>
              <w:top w:val="single" w:sz="8" w:space="0" w:color="FFFFFF"/>
              <w:left w:val="nil"/>
              <w:bottom w:val="single" w:sz="8" w:space="0" w:color="FFFFFF"/>
              <w:right w:val="single" w:sz="8" w:space="0" w:color="FFFFFF"/>
            </w:tcBorders>
            <w:shd w:val="clear" w:color="000000" w:fill="D6DCE4"/>
            <w:hideMark/>
          </w:tcPr>
          <w:p w14:paraId="0F6A71B4" w14:textId="77777777" w:rsidR="00441D75" w:rsidRPr="0073604D" w:rsidRDefault="00441D75" w:rsidP="00441D75">
            <w:pPr>
              <w:keepNext w:val="0"/>
              <w:spacing w:before="0"/>
              <w:rPr>
                <w:rFonts w:cs="Arial"/>
                <w:b/>
                <w:bCs/>
                <w:szCs w:val="24"/>
              </w:rPr>
            </w:pPr>
            <w:r w:rsidRPr="0073604D">
              <w:rPr>
                <w:rFonts w:cs="Arial"/>
                <w:b/>
                <w:bCs/>
                <w:szCs w:val="24"/>
              </w:rPr>
              <w:t>Future Supply Source</w:t>
            </w:r>
          </w:p>
        </w:tc>
        <w:tc>
          <w:tcPr>
            <w:tcW w:w="1335" w:type="dxa"/>
            <w:tcBorders>
              <w:top w:val="single" w:sz="8" w:space="0" w:color="FFFFFF"/>
              <w:left w:val="nil"/>
              <w:bottom w:val="single" w:sz="8" w:space="0" w:color="FFFFFF"/>
              <w:right w:val="single" w:sz="8" w:space="0" w:color="FFFFFF"/>
            </w:tcBorders>
            <w:shd w:val="clear" w:color="000000" w:fill="D6DCE4"/>
            <w:hideMark/>
          </w:tcPr>
          <w:p w14:paraId="0198BEBE" w14:textId="77777777" w:rsidR="00441D75" w:rsidRPr="0073604D" w:rsidRDefault="00441D75" w:rsidP="00441D75">
            <w:pPr>
              <w:keepNext w:val="0"/>
              <w:spacing w:before="0"/>
              <w:rPr>
                <w:rFonts w:cs="Arial"/>
                <w:b/>
                <w:bCs/>
                <w:szCs w:val="24"/>
              </w:rPr>
            </w:pPr>
            <w:r w:rsidRPr="0073604D">
              <w:rPr>
                <w:rFonts w:cs="Arial"/>
                <w:b/>
                <w:bCs/>
                <w:szCs w:val="24"/>
              </w:rPr>
              <w:t>Dwellings</w:t>
            </w:r>
          </w:p>
        </w:tc>
      </w:tr>
      <w:tr w:rsidR="0073604D" w:rsidRPr="0073604D" w14:paraId="7D2F55B7" w14:textId="77777777" w:rsidTr="00CB0557">
        <w:trPr>
          <w:trHeight w:val="330"/>
        </w:trPr>
        <w:tc>
          <w:tcPr>
            <w:tcW w:w="8212" w:type="dxa"/>
            <w:tcBorders>
              <w:top w:val="nil"/>
              <w:left w:val="nil"/>
              <w:bottom w:val="single" w:sz="8" w:space="0" w:color="FFFFFF"/>
              <w:right w:val="single" w:sz="8" w:space="0" w:color="FFFFFF"/>
            </w:tcBorders>
            <w:shd w:val="clear" w:color="000000" w:fill="D6DCE4"/>
            <w:hideMark/>
          </w:tcPr>
          <w:p w14:paraId="1FB8B595" w14:textId="30F9C54D" w:rsidR="00441D75" w:rsidRPr="0073604D" w:rsidRDefault="00441D75" w:rsidP="00441D75">
            <w:pPr>
              <w:keepNext w:val="0"/>
              <w:spacing w:before="0"/>
              <w:rPr>
                <w:rFonts w:cs="Arial"/>
                <w:szCs w:val="24"/>
              </w:rPr>
            </w:pPr>
            <w:r w:rsidRPr="0073604D">
              <w:rPr>
                <w:rFonts w:cs="Arial"/>
                <w:szCs w:val="24"/>
              </w:rPr>
              <w:t xml:space="preserve">Houses deliverable on </w:t>
            </w:r>
            <w:r w:rsidRPr="0073604D">
              <w:rPr>
                <w:rFonts w:cs="Arial"/>
                <w:b/>
                <w:bCs/>
                <w:szCs w:val="24"/>
              </w:rPr>
              <w:t>small sites</w:t>
            </w:r>
            <w:r w:rsidRPr="0073604D">
              <w:rPr>
                <w:rFonts w:cs="Arial"/>
                <w:szCs w:val="24"/>
              </w:rPr>
              <w:t>, 1/4/2023 to 31/3/20</w:t>
            </w:r>
            <w:r w:rsidR="0084256E" w:rsidRPr="0073604D">
              <w:rPr>
                <w:rFonts w:cs="Arial"/>
                <w:szCs w:val="24"/>
              </w:rPr>
              <w:t>40</w:t>
            </w:r>
          </w:p>
        </w:tc>
        <w:tc>
          <w:tcPr>
            <w:tcW w:w="1335" w:type="dxa"/>
            <w:tcBorders>
              <w:top w:val="nil"/>
              <w:left w:val="nil"/>
              <w:bottom w:val="single" w:sz="8" w:space="0" w:color="FFFFFF"/>
              <w:right w:val="single" w:sz="8" w:space="0" w:color="FFFFFF"/>
            </w:tcBorders>
            <w:shd w:val="clear" w:color="000000" w:fill="D6DCE4"/>
            <w:hideMark/>
          </w:tcPr>
          <w:p w14:paraId="0C1ADA24" w14:textId="77777777" w:rsidR="00441D75" w:rsidRPr="0073604D" w:rsidRDefault="00441D75" w:rsidP="00441D75">
            <w:pPr>
              <w:keepNext w:val="0"/>
              <w:spacing w:before="0"/>
              <w:rPr>
                <w:rFonts w:cs="Arial"/>
                <w:szCs w:val="24"/>
              </w:rPr>
            </w:pPr>
            <w:r w:rsidRPr="0073604D">
              <w:rPr>
                <w:rFonts w:cs="Arial"/>
                <w:szCs w:val="24"/>
              </w:rPr>
              <w:t xml:space="preserve"> </w:t>
            </w:r>
          </w:p>
        </w:tc>
      </w:tr>
      <w:tr w:rsidR="0073604D" w:rsidRPr="0073604D" w14:paraId="0D931280" w14:textId="77777777" w:rsidTr="003178CD">
        <w:trPr>
          <w:trHeight w:hRule="exact" w:val="680"/>
        </w:trPr>
        <w:tc>
          <w:tcPr>
            <w:tcW w:w="8212" w:type="dxa"/>
            <w:tcBorders>
              <w:top w:val="nil"/>
              <w:left w:val="nil"/>
              <w:bottom w:val="single" w:sz="8" w:space="0" w:color="FFFFFF"/>
              <w:right w:val="single" w:sz="8" w:space="0" w:color="FFFFFF"/>
            </w:tcBorders>
            <w:shd w:val="clear" w:color="000000" w:fill="D6DCE4"/>
            <w:hideMark/>
          </w:tcPr>
          <w:p w14:paraId="1EEE8E27" w14:textId="77777777" w:rsidR="00441D75" w:rsidRPr="0073604D" w:rsidRDefault="00441D75" w:rsidP="00874A98">
            <w:pPr>
              <w:pStyle w:val="ListParagraph"/>
              <w:numPr>
                <w:ilvl w:val="0"/>
                <w:numId w:val="336"/>
              </w:numPr>
              <w:rPr>
                <w:rFonts w:cs="Arial"/>
                <w:szCs w:val="24"/>
              </w:rPr>
            </w:pPr>
            <w:r w:rsidRPr="0073604D">
              <w:rPr>
                <w:rFonts w:cs="Arial"/>
                <w:szCs w:val="24"/>
              </w:rPr>
              <w:t>With planning permission (including new build, net conversions and change of use) at 1st April 2023</w:t>
            </w:r>
          </w:p>
        </w:tc>
        <w:tc>
          <w:tcPr>
            <w:tcW w:w="1335" w:type="dxa"/>
            <w:tcBorders>
              <w:top w:val="nil"/>
              <w:left w:val="nil"/>
              <w:bottom w:val="single" w:sz="8" w:space="0" w:color="FFFFFF"/>
              <w:right w:val="single" w:sz="8" w:space="0" w:color="FFFFFF"/>
            </w:tcBorders>
            <w:shd w:val="clear" w:color="000000" w:fill="D6DCE4"/>
            <w:hideMark/>
          </w:tcPr>
          <w:p w14:paraId="40D02E75" w14:textId="77777777" w:rsidR="00441D75" w:rsidRPr="0073604D" w:rsidRDefault="00441D75" w:rsidP="00441D75">
            <w:pPr>
              <w:keepNext w:val="0"/>
              <w:spacing w:before="0"/>
              <w:jc w:val="right"/>
              <w:rPr>
                <w:rFonts w:cs="Arial"/>
                <w:szCs w:val="24"/>
              </w:rPr>
            </w:pPr>
            <w:r w:rsidRPr="0073604D">
              <w:rPr>
                <w:rFonts w:cs="Arial"/>
                <w:szCs w:val="24"/>
              </w:rPr>
              <w:t>338</w:t>
            </w:r>
          </w:p>
        </w:tc>
      </w:tr>
      <w:tr w:rsidR="0073604D" w:rsidRPr="0073604D" w14:paraId="5634F7C2" w14:textId="77777777" w:rsidTr="003178CD">
        <w:trPr>
          <w:trHeight w:hRule="exact" w:val="680"/>
        </w:trPr>
        <w:tc>
          <w:tcPr>
            <w:tcW w:w="8212" w:type="dxa"/>
            <w:tcBorders>
              <w:top w:val="nil"/>
              <w:left w:val="nil"/>
              <w:bottom w:val="single" w:sz="8" w:space="0" w:color="FFFFFF"/>
              <w:right w:val="single" w:sz="8" w:space="0" w:color="FFFFFF"/>
            </w:tcBorders>
            <w:shd w:val="clear" w:color="000000" w:fill="D6DCE4"/>
            <w:hideMark/>
          </w:tcPr>
          <w:p w14:paraId="5F7F5E7F" w14:textId="77777777" w:rsidR="00441D75" w:rsidRPr="0073604D" w:rsidRDefault="00441D75" w:rsidP="00874A98">
            <w:pPr>
              <w:pStyle w:val="ListParagraph"/>
              <w:numPr>
                <w:ilvl w:val="0"/>
                <w:numId w:val="336"/>
              </w:numPr>
              <w:rPr>
                <w:rFonts w:cs="Arial"/>
                <w:szCs w:val="24"/>
              </w:rPr>
            </w:pPr>
            <w:r w:rsidRPr="0073604D">
              <w:rPr>
                <w:rFonts w:cs="Arial"/>
                <w:szCs w:val="24"/>
              </w:rPr>
              <w:t>Known permitted development/prior notification schemes not yet implemented at 1st April 2023</w:t>
            </w:r>
          </w:p>
        </w:tc>
        <w:tc>
          <w:tcPr>
            <w:tcW w:w="1335" w:type="dxa"/>
            <w:tcBorders>
              <w:top w:val="nil"/>
              <w:left w:val="nil"/>
              <w:bottom w:val="single" w:sz="8" w:space="0" w:color="FFFFFF"/>
              <w:right w:val="single" w:sz="8" w:space="0" w:color="FFFFFF"/>
            </w:tcBorders>
            <w:shd w:val="clear" w:color="000000" w:fill="D6DCE4"/>
            <w:hideMark/>
          </w:tcPr>
          <w:p w14:paraId="34590581" w14:textId="77777777" w:rsidR="00441D75" w:rsidRPr="0073604D" w:rsidRDefault="00441D75" w:rsidP="00441D75">
            <w:pPr>
              <w:keepNext w:val="0"/>
              <w:spacing w:before="0"/>
              <w:jc w:val="right"/>
              <w:rPr>
                <w:rFonts w:cs="Arial"/>
                <w:szCs w:val="24"/>
              </w:rPr>
            </w:pPr>
            <w:r w:rsidRPr="0073604D">
              <w:rPr>
                <w:rFonts w:cs="Arial"/>
                <w:szCs w:val="24"/>
              </w:rPr>
              <w:t>14</w:t>
            </w:r>
          </w:p>
        </w:tc>
      </w:tr>
      <w:tr w:rsidR="0073604D" w:rsidRPr="0073604D" w14:paraId="46614F8A" w14:textId="77777777" w:rsidTr="003178CD">
        <w:trPr>
          <w:trHeight w:hRule="exact" w:val="454"/>
        </w:trPr>
        <w:tc>
          <w:tcPr>
            <w:tcW w:w="8212" w:type="dxa"/>
            <w:tcBorders>
              <w:top w:val="nil"/>
              <w:left w:val="nil"/>
              <w:bottom w:val="single" w:sz="8" w:space="0" w:color="FFFFFF"/>
              <w:right w:val="single" w:sz="8" w:space="0" w:color="FFFFFF"/>
            </w:tcBorders>
            <w:shd w:val="clear" w:color="000000" w:fill="D6DCE4"/>
            <w:hideMark/>
          </w:tcPr>
          <w:p w14:paraId="485D5CCB" w14:textId="77777777" w:rsidR="00441D75" w:rsidRPr="0073604D" w:rsidRDefault="00441D75" w:rsidP="00874A98">
            <w:pPr>
              <w:pStyle w:val="ListParagraph"/>
              <w:numPr>
                <w:ilvl w:val="0"/>
                <w:numId w:val="336"/>
              </w:numPr>
              <w:rPr>
                <w:rFonts w:cs="Arial"/>
                <w:szCs w:val="24"/>
              </w:rPr>
            </w:pPr>
            <w:r w:rsidRPr="0073604D">
              <w:rPr>
                <w:rFonts w:cs="Arial"/>
                <w:szCs w:val="24"/>
              </w:rPr>
              <w:t>Demolitions and other losses with planning permission at 1/4/23</w:t>
            </w:r>
          </w:p>
        </w:tc>
        <w:tc>
          <w:tcPr>
            <w:tcW w:w="1335" w:type="dxa"/>
            <w:tcBorders>
              <w:top w:val="nil"/>
              <w:left w:val="nil"/>
              <w:bottom w:val="single" w:sz="8" w:space="0" w:color="FFFFFF"/>
              <w:right w:val="single" w:sz="8" w:space="0" w:color="FFFFFF"/>
            </w:tcBorders>
            <w:shd w:val="clear" w:color="000000" w:fill="D6DCE4"/>
            <w:hideMark/>
          </w:tcPr>
          <w:p w14:paraId="40BDA49F" w14:textId="77777777" w:rsidR="00441D75" w:rsidRPr="0073604D" w:rsidRDefault="00441D75" w:rsidP="00441D75">
            <w:pPr>
              <w:keepNext w:val="0"/>
              <w:spacing w:before="0"/>
              <w:jc w:val="right"/>
              <w:rPr>
                <w:rFonts w:cs="Arial"/>
                <w:szCs w:val="24"/>
              </w:rPr>
            </w:pPr>
            <w:r w:rsidRPr="0073604D">
              <w:rPr>
                <w:rFonts w:cs="Arial"/>
                <w:szCs w:val="24"/>
              </w:rPr>
              <w:t>-1</w:t>
            </w:r>
          </w:p>
        </w:tc>
      </w:tr>
      <w:tr w:rsidR="0073604D" w:rsidRPr="0073604D" w14:paraId="783C4E34" w14:textId="77777777" w:rsidTr="003178CD">
        <w:trPr>
          <w:trHeight w:hRule="exact" w:val="454"/>
        </w:trPr>
        <w:tc>
          <w:tcPr>
            <w:tcW w:w="8212" w:type="dxa"/>
            <w:tcBorders>
              <w:top w:val="nil"/>
              <w:left w:val="nil"/>
              <w:bottom w:val="single" w:sz="8" w:space="0" w:color="FFFFFF"/>
              <w:right w:val="single" w:sz="8" w:space="0" w:color="FFFFFF"/>
            </w:tcBorders>
            <w:shd w:val="clear" w:color="000000" w:fill="D6DCE4"/>
            <w:hideMark/>
          </w:tcPr>
          <w:p w14:paraId="78AEB073" w14:textId="77777777" w:rsidR="00441D75" w:rsidRPr="0073604D" w:rsidRDefault="00441D75" w:rsidP="00874A98">
            <w:pPr>
              <w:pStyle w:val="ListParagraph"/>
              <w:numPr>
                <w:ilvl w:val="0"/>
                <w:numId w:val="336"/>
              </w:numPr>
              <w:rPr>
                <w:rFonts w:cs="Arial"/>
                <w:szCs w:val="24"/>
              </w:rPr>
            </w:pPr>
            <w:r w:rsidRPr="0073604D">
              <w:rPr>
                <w:rFonts w:cs="Arial"/>
                <w:szCs w:val="24"/>
              </w:rPr>
              <w:t>Deduction to account for potential lapsed permissions</w:t>
            </w:r>
          </w:p>
        </w:tc>
        <w:tc>
          <w:tcPr>
            <w:tcW w:w="1335" w:type="dxa"/>
            <w:tcBorders>
              <w:top w:val="nil"/>
              <w:left w:val="nil"/>
              <w:bottom w:val="single" w:sz="8" w:space="0" w:color="FFFFFF"/>
              <w:right w:val="single" w:sz="8" w:space="0" w:color="FFFFFF"/>
            </w:tcBorders>
            <w:shd w:val="clear" w:color="000000" w:fill="D6DCE4"/>
            <w:hideMark/>
          </w:tcPr>
          <w:p w14:paraId="60B41952" w14:textId="77777777" w:rsidR="00441D75" w:rsidRPr="0073604D" w:rsidRDefault="00441D75" w:rsidP="00441D75">
            <w:pPr>
              <w:keepNext w:val="0"/>
              <w:spacing w:before="0"/>
              <w:jc w:val="right"/>
              <w:rPr>
                <w:rFonts w:cs="Arial"/>
                <w:szCs w:val="24"/>
              </w:rPr>
            </w:pPr>
            <w:r w:rsidRPr="0073604D">
              <w:rPr>
                <w:rFonts w:cs="Arial"/>
                <w:szCs w:val="24"/>
              </w:rPr>
              <w:t>-89</w:t>
            </w:r>
          </w:p>
        </w:tc>
      </w:tr>
      <w:tr w:rsidR="0073604D" w:rsidRPr="0073604D" w14:paraId="52666F31" w14:textId="77777777" w:rsidTr="003178CD">
        <w:trPr>
          <w:trHeight w:hRule="exact" w:val="454"/>
        </w:trPr>
        <w:tc>
          <w:tcPr>
            <w:tcW w:w="8212" w:type="dxa"/>
            <w:tcBorders>
              <w:top w:val="nil"/>
              <w:left w:val="nil"/>
              <w:bottom w:val="single" w:sz="8" w:space="0" w:color="FFFFFF"/>
              <w:right w:val="single" w:sz="8" w:space="0" w:color="FFFFFF"/>
            </w:tcBorders>
            <w:shd w:val="clear" w:color="000000" w:fill="D6DCE4"/>
            <w:hideMark/>
          </w:tcPr>
          <w:p w14:paraId="274200F2" w14:textId="4C600061" w:rsidR="00441D75" w:rsidRPr="0073604D" w:rsidRDefault="00441D75" w:rsidP="00874A98">
            <w:pPr>
              <w:pStyle w:val="ListParagraph"/>
              <w:numPr>
                <w:ilvl w:val="0"/>
                <w:numId w:val="336"/>
              </w:numPr>
              <w:rPr>
                <w:rFonts w:cs="Arial"/>
                <w:szCs w:val="24"/>
              </w:rPr>
            </w:pPr>
            <w:r w:rsidRPr="0073604D">
              <w:rPr>
                <w:rFonts w:cs="Arial"/>
                <w:szCs w:val="24"/>
              </w:rPr>
              <w:t>Windfall allowance beyond 5 years (60 dpa) - 1/4/2028 to 1/4/20</w:t>
            </w:r>
            <w:r w:rsidR="0084256E" w:rsidRPr="0073604D">
              <w:rPr>
                <w:rFonts w:cs="Arial"/>
                <w:szCs w:val="24"/>
              </w:rPr>
              <w:t>40</w:t>
            </w:r>
          </w:p>
        </w:tc>
        <w:tc>
          <w:tcPr>
            <w:tcW w:w="1335" w:type="dxa"/>
            <w:tcBorders>
              <w:top w:val="nil"/>
              <w:left w:val="nil"/>
              <w:bottom w:val="single" w:sz="8" w:space="0" w:color="FFFFFF"/>
              <w:right w:val="single" w:sz="8" w:space="0" w:color="FFFFFF"/>
            </w:tcBorders>
            <w:shd w:val="clear" w:color="000000" w:fill="D6DCE4"/>
            <w:hideMark/>
          </w:tcPr>
          <w:p w14:paraId="2A2B18E2" w14:textId="77777777" w:rsidR="00441D75" w:rsidRPr="0073604D" w:rsidRDefault="00441D75" w:rsidP="00441D75">
            <w:pPr>
              <w:keepNext w:val="0"/>
              <w:spacing w:before="0"/>
              <w:jc w:val="right"/>
              <w:rPr>
                <w:rFonts w:cs="Arial"/>
                <w:szCs w:val="24"/>
              </w:rPr>
            </w:pPr>
            <w:r w:rsidRPr="0073604D">
              <w:rPr>
                <w:rFonts w:cs="Arial"/>
                <w:szCs w:val="24"/>
              </w:rPr>
              <w:t>720</w:t>
            </w:r>
          </w:p>
        </w:tc>
      </w:tr>
      <w:tr w:rsidR="0073604D" w:rsidRPr="0073604D" w14:paraId="69573FC2" w14:textId="77777777" w:rsidTr="00CB0557">
        <w:trPr>
          <w:trHeight w:val="330"/>
        </w:trPr>
        <w:tc>
          <w:tcPr>
            <w:tcW w:w="8212" w:type="dxa"/>
            <w:tcBorders>
              <w:top w:val="nil"/>
              <w:left w:val="nil"/>
              <w:bottom w:val="single" w:sz="8" w:space="0" w:color="FFFFFF"/>
              <w:right w:val="single" w:sz="8" w:space="0" w:color="FFFFFF"/>
            </w:tcBorders>
            <w:shd w:val="clear" w:color="000000" w:fill="D6DCE4"/>
            <w:hideMark/>
          </w:tcPr>
          <w:p w14:paraId="13F63B31" w14:textId="5562E9D9" w:rsidR="00441D75" w:rsidRPr="0073604D" w:rsidRDefault="00441D75" w:rsidP="00441D75">
            <w:pPr>
              <w:keepNext w:val="0"/>
              <w:spacing w:before="0"/>
              <w:rPr>
                <w:rFonts w:cs="Arial"/>
                <w:szCs w:val="24"/>
              </w:rPr>
            </w:pPr>
            <w:r w:rsidRPr="0073604D">
              <w:rPr>
                <w:rFonts w:cs="Arial"/>
                <w:szCs w:val="24"/>
              </w:rPr>
              <w:t xml:space="preserve">Houses deliverable on </w:t>
            </w:r>
            <w:r w:rsidRPr="0073604D">
              <w:rPr>
                <w:rFonts w:cs="Arial"/>
                <w:b/>
                <w:bCs/>
                <w:szCs w:val="24"/>
              </w:rPr>
              <w:t>large sites</w:t>
            </w:r>
            <w:r w:rsidRPr="0073604D">
              <w:rPr>
                <w:rFonts w:cs="Arial"/>
                <w:szCs w:val="24"/>
              </w:rPr>
              <w:t xml:space="preserve"> 1/4/2023 to 31/3/20</w:t>
            </w:r>
            <w:r w:rsidR="0084256E" w:rsidRPr="0073604D">
              <w:rPr>
                <w:rFonts w:cs="Arial"/>
                <w:szCs w:val="24"/>
              </w:rPr>
              <w:t>40</w:t>
            </w:r>
          </w:p>
        </w:tc>
        <w:tc>
          <w:tcPr>
            <w:tcW w:w="1335" w:type="dxa"/>
            <w:tcBorders>
              <w:top w:val="nil"/>
              <w:left w:val="nil"/>
              <w:bottom w:val="single" w:sz="8" w:space="0" w:color="FFFFFF"/>
              <w:right w:val="single" w:sz="8" w:space="0" w:color="FFFFFF"/>
            </w:tcBorders>
            <w:shd w:val="clear" w:color="000000" w:fill="D6DCE4"/>
            <w:hideMark/>
          </w:tcPr>
          <w:p w14:paraId="68499147" w14:textId="77777777" w:rsidR="00441D75" w:rsidRPr="0073604D" w:rsidRDefault="00441D75" w:rsidP="00441D75">
            <w:pPr>
              <w:keepNext w:val="0"/>
              <w:spacing w:before="0"/>
              <w:jc w:val="right"/>
              <w:rPr>
                <w:rFonts w:cs="Arial"/>
                <w:szCs w:val="24"/>
              </w:rPr>
            </w:pPr>
            <w:r w:rsidRPr="0073604D">
              <w:rPr>
                <w:rFonts w:cs="Arial"/>
                <w:szCs w:val="24"/>
              </w:rPr>
              <w:t> </w:t>
            </w:r>
          </w:p>
        </w:tc>
      </w:tr>
      <w:tr w:rsidR="0073604D" w:rsidRPr="0073604D" w14:paraId="55128903" w14:textId="77777777" w:rsidTr="003178CD">
        <w:trPr>
          <w:trHeight w:hRule="exact" w:val="454"/>
        </w:trPr>
        <w:tc>
          <w:tcPr>
            <w:tcW w:w="8212" w:type="dxa"/>
            <w:tcBorders>
              <w:top w:val="nil"/>
              <w:left w:val="nil"/>
              <w:bottom w:val="single" w:sz="8" w:space="0" w:color="FFFFFF"/>
              <w:right w:val="single" w:sz="8" w:space="0" w:color="FFFFFF"/>
            </w:tcBorders>
            <w:shd w:val="clear" w:color="000000" w:fill="D6DCE4"/>
            <w:hideMark/>
          </w:tcPr>
          <w:p w14:paraId="582D453C" w14:textId="77777777" w:rsidR="00441D75" w:rsidRPr="0073604D" w:rsidRDefault="00441D75" w:rsidP="00874A98">
            <w:pPr>
              <w:pStyle w:val="ListParagraph"/>
              <w:numPr>
                <w:ilvl w:val="0"/>
                <w:numId w:val="336"/>
              </w:numPr>
              <w:rPr>
                <w:rFonts w:cs="Arial"/>
                <w:szCs w:val="24"/>
              </w:rPr>
            </w:pPr>
            <w:r w:rsidRPr="0073604D">
              <w:rPr>
                <w:rFonts w:cs="Arial"/>
                <w:szCs w:val="24"/>
              </w:rPr>
              <w:t>With planning permission at 1st April 2023</w:t>
            </w:r>
          </w:p>
        </w:tc>
        <w:tc>
          <w:tcPr>
            <w:tcW w:w="1335" w:type="dxa"/>
            <w:tcBorders>
              <w:top w:val="nil"/>
              <w:left w:val="nil"/>
              <w:bottom w:val="single" w:sz="8" w:space="0" w:color="FFFFFF"/>
              <w:right w:val="single" w:sz="8" w:space="0" w:color="FFFFFF"/>
            </w:tcBorders>
            <w:shd w:val="clear" w:color="000000" w:fill="D6DCE4"/>
            <w:hideMark/>
          </w:tcPr>
          <w:p w14:paraId="5BC5F9F1" w14:textId="24ED02EC" w:rsidR="00441D75" w:rsidRPr="0073604D" w:rsidRDefault="00441D75" w:rsidP="00441D75">
            <w:pPr>
              <w:keepNext w:val="0"/>
              <w:spacing w:before="0"/>
              <w:jc w:val="right"/>
              <w:rPr>
                <w:rFonts w:cs="Arial"/>
                <w:szCs w:val="24"/>
              </w:rPr>
            </w:pPr>
            <w:r w:rsidRPr="0073604D">
              <w:rPr>
                <w:rFonts w:cs="Arial"/>
                <w:szCs w:val="24"/>
              </w:rPr>
              <w:t>1</w:t>
            </w:r>
            <w:r w:rsidR="0093065B" w:rsidRPr="0073604D">
              <w:rPr>
                <w:rFonts w:cs="Arial"/>
                <w:szCs w:val="24"/>
              </w:rPr>
              <w:t>9</w:t>
            </w:r>
            <w:r w:rsidR="00E75EB6" w:rsidRPr="0073604D">
              <w:rPr>
                <w:rFonts w:cs="Arial"/>
                <w:szCs w:val="24"/>
              </w:rPr>
              <w:t>5</w:t>
            </w:r>
            <w:r w:rsidRPr="0073604D">
              <w:rPr>
                <w:rFonts w:cs="Arial"/>
                <w:szCs w:val="24"/>
              </w:rPr>
              <w:t>0</w:t>
            </w:r>
          </w:p>
        </w:tc>
      </w:tr>
      <w:tr w:rsidR="0073604D" w:rsidRPr="0073604D" w14:paraId="007C674D" w14:textId="77777777" w:rsidTr="003178CD">
        <w:trPr>
          <w:trHeight w:hRule="exact" w:val="454"/>
        </w:trPr>
        <w:tc>
          <w:tcPr>
            <w:tcW w:w="8212" w:type="dxa"/>
            <w:tcBorders>
              <w:top w:val="nil"/>
              <w:left w:val="nil"/>
              <w:bottom w:val="single" w:sz="8" w:space="0" w:color="FFFFFF"/>
              <w:right w:val="single" w:sz="8" w:space="0" w:color="FFFFFF"/>
            </w:tcBorders>
            <w:shd w:val="clear" w:color="000000" w:fill="D6DCE4"/>
            <w:hideMark/>
          </w:tcPr>
          <w:p w14:paraId="1AFF7DA0" w14:textId="77777777" w:rsidR="00441D75" w:rsidRPr="0073604D" w:rsidRDefault="00441D75" w:rsidP="00874A98">
            <w:pPr>
              <w:pStyle w:val="ListParagraph"/>
              <w:numPr>
                <w:ilvl w:val="0"/>
                <w:numId w:val="336"/>
              </w:numPr>
              <w:rPr>
                <w:rFonts w:cs="Arial"/>
                <w:szCs w:val="24"/>
              </w:rPr>
            </w:pPr>
            <w:r w:rsidRPr="0073604D">
              <w:rPr>
                <w:rFonts w:cs="Arial"/>
                <w:szCs w:val="24"/>
              </w:rPr>
              <w:t>Demolitions and other losses with planning permission at 1/4/23</w:t>
            </w:r>
          </w:p>
        </w:tc>
        <w:tc>
          <w:tcPr>
            <w:tcW w:w="1335" w:type="dxa"/>
            <w:tcBorders>
              <w:top w:val="nil"/>
              <w:left w:val="nil"/>
              <w:bottom w:val="single" w:sz="8" w:space="0" w:color="FFFFFF"/>
              <w:right w:val="single" w:sz="8" w:space="0" w:color="FFFFFF"/>
            </w:tcBorders>
            <w:shd w:val="clear" w:color="000000" w:fill="D6DCE4"/>
            <w:hideMark/>
          </w:tcPr>
          <w:p w14:paraId="56832702" w14:textId="77777777" w:rsidR="00441D75" w:rsidRPr="0073604D" w:rsidRDefault="00441D75" w:rsidP="00441D75">
            <w:pPr>
              <w:keepNext w:val="0"/>
              <w:spacing w:before="0"/>
              <w:jc w:val="right"/>
              <w:rPr>
                <w:rFonts w:cs="Arial"/>
                <w:szCs w:val="24"/>
              </w:rPr>
            </w:pPr>
            <w:r w:rsidRPr="0073604D">
              <w:rPr>
                <w:rFonts w:cs="Arial"/>
                <w:szCs w:val="24"/>
              </w:rPr>
              <w:t>0</w:t>
            </w:r>
          </w:p>
        </w:tc>
      </w:tr>
      <w:tr w:rsidR="0073604D" w:rsidRPr="0073604D" w14:paraId="2130024D" w14:textId="77777777" w:rsidTr="003178CD">
        <w:trPr>
          <w:trHeight w:hRule="exact" w:val="454"/>
        </w:trPr>
        <w:tc>
          <w:tcPr>
            <w:tcW w:w="8212" w:type="dxa"/>
            <w:tcBorders>
              <w:top w:val="nil"/>
              <w:left w:val="nil"/>
              <w:bottom w:val="single" w:sz="8" w:space="0" w:color="FFFFFF"/>
              <w:right w:val="single" w:sz="8" w:space="0" w:color="FFFFFF"/>
            </w:tcBorders>
            <w:shd w:val="clear" w:color="000000" w:fill="D6DCE4"/>
            <w:hideMark/>
          </w:tcPr>
          <w:p w14:paraId="1B9B9904" w14:textId="77777777" w:rsidR="00441D75" w:rsidRPr="0073604D" w:rsidRDefault="00441D75" w:rsidP="00874A98">
            <w:pPr>
              <w:pStyle w:val="ListParagraph"/>
              <w:numPr>
                <w:ilvl w:val="0"/>
                <w:numId w:val="336"/>
              </w:numPr>
              <w:rPr>
                <w:rFonts w:cs="Arial"/>
                <w:szCs w:val="24"/>
              </w:rPr>
            </w:pPr>
            <w:r w:rsidRPr="0073604D">
              <w:rPr>
                <w:rFonts w:cs="Arial"/>
                <w:szCs w:val="24"/>
              </w:rPr>
              <w:t>Deduction to account for potential lapsed permissions</w:t>
            </w:r>
          </w:p>
        </w:tc>
        <w:tc>
          <w:tcPr>
            <w:tcW w:w="1335" w:type="dxa"/>
            <w:tcBorders>
              <w:top w:val="nil"/>
              <w:left w:val="nil"/>
              <w:bottom w:val="single" w:sz="8" w:space="0" w:color="FFFFFF"/>
              <w:right w:val="single" w:sz="8" w:space="0" w:color="FFFFFF"/>
            </w:tcBorders>
            <w:shd w:val="clear" w:color="000000" w:fill="D6DCE4"/>
            <w:hideMark/>
          </w:tcPr>
          <w:p w14:paraId="3B4A01B3" w14:textId="77777777" w:rsidR="00441D75" w:rsidRPr="0073604D" w:rsidRDefault="00441D75" w:rsidP="00441D75">
            <w:pPr>
              <w:keepNext w:val="0"/>
              <w:spacing w:before="0"/>
              <w:jc w:val="right"/>
              <w:rPr>
                <w:rFonts w:cs="Arial"/>
                <w:szCs w:val="24"/>
              </w:rPr>
            </w:pPr>
            <w:r w:rsidRPr="0073604D">
              <w:rPr>
                <w:rFonts w:cs="Arial"/>
                <w:szCs w:val="24"/>
              </w:rPr>
              <w:t>-35</w:t>
            </w:r>
          </w:p>
        </w:tc>
      </w:tr>
      <w:tr w:rsidR="0073604D" w:rsidRPr="0073604D" w14:paraId="69CFB6AB" w14:textId="77777777" w:rsidTr="003178CD">
        <w:trPr>
          <w:trHeight w:hRule="exact" w:val="454"/>
        </w:trPr>
        <w:tc>
          <w:tcPr>
            <w:tcW w:w="8212" w:type="dxa"/>
            <w:tcBorders>
              <w:top w:val="nil"/>
              <w:left w:val="nil"/>
              <w:bottom w:val="single" w:sz="8" w:space="0" w:color="FFFFFF"/>
              <w:right w:val="single" w:sz="8" w:space="0" w:color="FFFFFF"/>
            </w:tcBorders>
            <w:shd w:val="clear" w:color="000000" w:fill="D6DCE4"/>
            <w:hideMark/>
          </w:tcPr>
          <w:p w14:paraId="0CAF6B3A" w14:textId="7C571447" w:rsidR="00441D75" w:rsidRPr="0073604D" w:rsidRDefault="0084256E" w:rsidP="00874A98">
            <w:pPr>
              <w:pStyle w:val="ListParagraph"/>
              <w:numPr>
                <w:ilvl w:val="0"/>
                <w:numId w:val="336"/>
              </w:numPr>
              <w:rPr>
                <w:rFonts w:cs="Arial"/>
                <w:szCs w:val="24"/>
              </w:rPr>
            </w:pPr>
            <w:r w:rsidRPr="0073604D">
              <w:rPr>
                <w:rFonts w:cs="Arial"/>
                <w:szCs w:val="24"/>
              </w:rPr>
              <w:t>D</w:t>
            </w:r>
            <w:r w:rsidR="00441D75" w:rsidRPr="0073604D">
              <w:rPr>
                <w:rFonts w:cs="Arial"/>
                <w:szCs w:val="24"/>
              </w:rPr>
              <w:t xml:space="preserve">elivery from </w:t>
            </w:r>
            <w:r w:rsidRPr="0073604D">
              <w:rPr>
                <w:rFonts w:cs="Arial"/>
                <w:szCs w:val="24"/>
              </w:rPr>
              <w:t xml:space="preserve">H1 </w:t>
            </w:r>
            <w:r w:rsidR="00441D75" w:rsidRPr="0073604D">
              <w:rPr>
                <w:rFonts w:cs="Arial"/>
                <w:szCs w:val="24"/>
              </w:rPr>
              <w:t>allocated sites without planning permission</w:t>
            </w:r>
          </w:p>
        </w:tc>
        <w:tc>
          <w:tcPr>
            <w:tcW w:w="1335" w:type="dxa"/>
            <w:tcBorders>
              <w:top w:val="nil"/>
              <w:left w:val="nil"/>
              <w:bottom w:val="single" w:sz="8" w:space="0" w:color="FFFFFF"/>
              <w:right w:val="single" w:sz="8" w:space="0" w:color="FFFFFF"/>
            </w:tcBorders>
            <w:shd w:val="clear" w:color="000000" w:fill="D6DCE4"/>
            <w:hideMark/>
          </w:tcPr>
          <w:p w14:paraId="40B13875" w14:textId="3A94AD76" w:rsidR="00441D75" w:rsidRPr="0073604D" w:rsidRDefault="00441D75" w:rsidP="00441D75">
            <w:pPr>
              <w:keepNext w:val="0"/>
              <w:spacing w:before="0"/>
              <w:jc w:val="right"/>
              <w:rPr>
                <w:rFonts w:cs="Arial"/>
                <w:szCs w:val="24"/>
              </w:rPr>
            </w:pPr>
            <w:r w:rsidRPr="0073604D">
              <w:rPr>
                <w:rFonts w:cs="Arial"/>
                <w:szCs w:val="24"/>
              </w:rPr>
              <w:t>3</w:t>
            </w:r>
            <w:r w:rsidR="00283434">
              <w:rPr>
                <w:rFonts w:cs="Arial"/>
                <w:szCs w:val="24"/>
              </w:rPr>
              <w:t>757</w:t>
            </w:r>
          </w:p>
        </w:tc>
      </w:tr>
      <w:tr w:rsidR="0073604D" w:rsidRPr="0073604D" w14:paraId="091B9F77" w14:textId="77777777" w:rsidTr="00CB0557">
        <w:trPr>
          <w:trHeight w:val="315"/>
        </w:trPr>
        <w:tc>
          <w:tcPr>
            <w:tcW w:w="8212" w:type="dxa"/>
            <w:tcBorders>
              <w:top w:val="nil"/>
              <w:left w:val="nil"/>
              <w:bottom w:val="single" w:sz="8" w:space="0" w:color="FFFFFF"/>
              <w:right w:val="single" w:sz="8" w:space="0" w:color="FFFFFF"/>
            </w:tcBorders>
            <w:shd w:val="clear" w:color="000000" w:fill="D6DCE4"/>
            <w:hideMark/>
          </w:tcPr>
          <w:p w14:paraId="6AAE8F53" w14:textId="77777777" w:rsidR="00441D75" w:rsidRPr="0073604D" w:rsidRDefault="00441D75" w:rsidP="00441D75">
            <w:pPr>
              <w:keepNext w:val="0"/>
              <w:spacing w:before="0"/>
              <w:rPr>
                <w:rFonts w:cs="Arial"/>
                <w:szCs w:val="24"/>
              </w:rPr>
            </w:pPr>
            <w:r w:rsidRPr="0073604D">
              <w:rPr>
                <w:rFonts w:cs="Arial"/>
                <w:szCs w:val="24"/>
              </w:rPr>
              <w:t>Provision from C2 residential institutions (dwelling equivalent)</w:t>
            </w:r>
          </w:p>
        </w:tc>
        <w:tc>
          <w:tcPr>
            <w:tcW w:w="1335" w:type="dxa"/>
            <w:tcBorders>
              <w:top w:val="nil"/>
              <w:left w:val="nil"/>
              <w:bottom w:val="single" w:sz="8" w:space="0" w:color="FFFFFF"/>
              <w:right w:val="single" w:sz="8" w:space="0" w:color="FFFFFF"/>
            </w:tcBorders>
            <w:shd w:val="clear" w:color="000000" w:fill="D6DCE4"/>
            <w:hideMark/>
          </w:tcPr>
          <w:p w14:paraId="45BD4562" w14:textId="77777777" w:rsidR="00441D75" w:rsidRPr="0073604D" w:rsidRDefault="00441D75" w:rsidP="00441D75">
            <w:pPr>
              <w:keepNext w:val="0"/>
              <w:spacing w:before="0"/>
              <w:jc w:val="right"/>
              <w:rPr>
                <w:rFonts w:cs="Arial"/>
                <w:szCs w:val="24"/>
              </w:rPr>
            </w:pPr>
            <w:r w:rsidRPr="0073604D">
              <w:rPr>
                <w:rFonts w:cs="Arial"/>
                <w:szCs w:val="24"/>
              </w:rPr>
              <w:t>46</w:t>
            </w:r>
          </w:p>
        </w:tc>
      </w:tr>
      <w:tr w:rsidR="0073604D" w:rsidRPr="0073604D" w14:paraId="05B939AE" w14:textId="77777777" w:rsidTr="00CB0557">
        <w:trPr>
          <w:trHeight w:val="475"/>
        </w:trPr>
        <w:tc>
          <w:tcPr>
            <w:tcW w:w="8212" w:type="dxa"/>
            <w:tcBorders>
              <w:top w:val="nil"/>
              <w:left w:val="nil"/>
              <w:bottom w:val="single" w:sz="8" w:space="0" w:color="FFFFFF"/>
              <w:right w:val="single" w:sz="8" w:space="0" w:color="FFFFFF"/>
            </w:tcBorders>
            <w:shd w:val="clear" w:color="000000" w:fill="D6DCE4"/>
            <w:hideMark/>
          </w:tcPr>
          <w:p w14:paraId="2942F346" w14:textId="11B730D2" w:rsidR="00441D75" w:rsidRPr="0073604D" w:rsidRDefault="00441D75" w:rsidP="00441D75">
            <w:pPr>
              <w:keepNext w:val="0"/>
              <w:spacing w:before="0"/>
              <w:rPr>
                <w:rFonts w:cs="Arial"/>
                <w:b/>
                <w:bCs/>
                <w:szCs w:val="24"/>
              </w:rPr>
            </w:pPr>
            <w:r w:rsidRPr="0073604D">
              <w:rPr>
                <w:rFonts w:cs="Arial"/>
                <w:b/>
                <w:bCs/>
                <w:szCs w:val="24"/>
              </w:rPr>
              <w:t>Total housing supply 1/4/2023 to 31/3/20</w:t>
            </w:r>
            <w:r w:rsidR="0084256E" w:rsidRPr="0073604D">
              <w:rPr>
                <w:rFonts w:cs="Arial"/>
                <w:b/>
                <w:bCs/>
                <w:szCs w:val="24"/>
              </w:rPr>
              <w:t>40</w:t>
            </w:r>
            <w:r w:rsidRPr="0073604D">
              <w:rPr>
                <w:rFonts w:cs="Arial"/>
                <w:szCs w:val="24"/>
              </w:rPr>
              <w:t xml:space="preserve"> </w:t>
            </w:r>
          </w:p>
        </w:tc>
        <w:tc>
          <w:tcPr>
            <w:tcW w:w="1335" w:type="dxa"/>
            <w:tcBorders>
              <w:top w:val="nil"/>
              <w:left w:val="nil"/>
              <w:bottom w:val="single" w:sz="8" w:space="0" w:color="FFFFFF"/>
              <w:right w:val="single" w:sz="8" w:space="0" w:color="FFFFFF"/>
            </w:tcBorders>
            <w:shd w:val="clear" w:color="000000" w:fill="D6DCE4"/>
            <w:hideMark/>
          </w:tcPr>
          <w:p w14:paraId="087B8565" w14:textId="7346EA1D" w:rsidR="00441D75" w:rsidRPr="0073604D" w:rsidRDefault="00441D75" w:rsidP="00441D75">
            <w:pPr>
              <w:keepNext w:val="0"/>
              <w:spacing w:before="0"/>
              <w:jc w:val="right"/>
              <w:rPr>
                <w:rFonts w:cs="Arial"/>
                <w:b/>
                <w:bCs/>
                <w:szCs w:val="24"/>
              </w:rPr>
            </w:pPr>
            <w:r w:rsidRPr="0073604D">
              <w:rPr>
                <w:rFonts w:cs="Arial"/>
                <w:b/>
                <w:bCs/>
                <w:szCs w:val="24"/>
              </w:rPr>
              <w:t>6,</w:t>
            </w:r>
            <w:r w:rsidR="00283434">
              <w:rPr>
                <w:rFonts w:cs="Arial"/>
                <w:b/>
                <w:bCs/>
                <w:szCs w:val="24"/>
              </w:rPr>
              <w:t>700</w:t>
            </w:r>
          </w:p>
        </w:tc>
      </w:tr>
    </w:tbl>
    <w:p w14:paraId="66AAD011" w14:textId="77777777" w:rsidR="00441D75" w:rsidRPr="0073604D" w:rsidRDefault="00441D75" w:rsidP="00743F63">
      <w:pPr>
        <w:keepNext w:val="0"/>
        <w:spacing w:before="0"/>
        <w:ind w:left="851"/>
        <w:jc w:val="both"/>
        <w:rPr>
          <w:rFonts w:cs="Arial"/>
          <w:szCs w:val="24"/>
        </w:rPr>
      </w:pPr>
    </w:p>
    <w:tbl>
      <w:tblPr>
        <w:tblW w:w="9498" w:type="dxa"/>
        <w:tblLook w:val="04A0" w:firstRow="1" w:lastRow="0" w:firstColumn="1" w:lastColumn="0" w:noHBand="0" w:noVBand="1"/>
      </w:tblPr>
      <w:tblGrid>
        <w:gridCol w:w="8161"/>
        <w:gridCol w:w="1337"/>
      </w:tblGrid>
      <w:tr w:rsidR="0073604D" w:rsidRPr="0073604D" w14:paraId="7C237901" w14:textId="77777777" w:rsidTr="00CB0557">
        <w:trPr>
          <w:trHeight w:val="330"/>
        </w:trPr>
        <w:tc>
          <w:tcPr>
            <w:tcW w:w="8161" w:type="dxa"/>
            <w:tcBorders>
              <w:top w:val="single" w:sz="8" w:space="0" w:color="FFFFFF"/>
              <w:left w:val="nil"/>
              <w:bottom w:val="single" w:sz="8" w:space="0" w:color="FFFFFF"/>
              <w:right w:val="single" w:sz="8" w:space="0" w:color="FFFFFF"/>
            </w:tcBorders>
            <w:shd w:val="clear" w:color="000000" w:fill="BFBFBF"/>
            <w:hideMark/>
          </w:tcPr>
          <w:p w14:paraId="359B1397" w14:textId="77777777" w:rsidR="001B3A11" w:rsidRPr="0073604D" w:rsidRDefault="001B3A11" w:rsidP="001B3A11">
            <w:pPr>
              <w:keepNext w:val="0"/>
              <w:spacing w:before="0"/>
              <w:rPr>
                <w:rFonts w:cs="Arial"/>
                <w:b/>
                <w:bCs/>
                <w:szCs w:val="24"/>
              </w:rPr>
            </w:pPr>
            <w:r w:rsidRPr="0073604D">
              <w:rPr>
                <w:rFonts w:cs="Arial"/>
                <w:b/>
                <w:bCs/>
                <w:szCs w:val="24"/>
              </w:rPr>
              <w:t>Net Provision</w:t>
            </w:r>
          </w:p>
        </w:tc>
        <w:tc>
          <w:tcPr>
            <w:tcW w:w="1337" w:type="dxa"/>
            <w:tcBorders>
              <w:top w:val="single" w:sz="8" w:space="0" w:color="FFFFFF"/>
              <w:left w:val="nil"/>
              <w:bottom w:val="single" w:sz="8" w:space="0" w:color="FFFFFF"/>
              <w:right w:val="single" w:sz="8" w:space="0" w:color="FFFFFF"/>
            </w:tcBorders>
            <w:shd w:val="clear" w:color="000000" w:fill="BFBFBF"/>
            <w:hideMark/>
          </w:tcPr>
          <w:p w14:paraId="194B630C" w14:textId="77777777" w:rsidR="001B3A11" w:rsidRPr="0073604D" w:rsidRDefault="001B3A11" w:rsidP="001B3A11">
            <w:pPr>
              <w:keepNext w:val="0"/>
              <w:spacing w:before="0"/>
              <w:rPr>
                <w:rFonts w:cs="Arial"/>
                <w:b/>
                <w:bCs/>
                <w:szCs w:val="24"/>
              </w:rPr>
            </w:pPr>
            <w:r w:rsidRPr="0073604D">
              <w:rPr>
                <w:rFonts w:cs="Arial"/>
                <w:b/>
                <w:bCs/>
                <w:szCs w:val="24"/>
              </w:rPr>
              <w:t>Dwellings</w:t>
            </w:r>
          </w:p>
        </w:tc>
      </w:tr>
      <w:tr w:rsidR="0073604D" w:rsidRPr="0073604D" w14:paraId="51BFB39B" w14:textId="77777777" w:rsidTr="003178CD">
        <w:trPr>
          <w:trHeight w:hRule="exact" w:val="510"/>
        </w:trPr>
        <w:tc>
          <w:tcPr>
            <w:tcW w:w="8161" w:type="dxa"/>
            <w:tcBorders>
              <w:top w:val="nil"/>
              <w:left w:val="nil"/>
              <w:bottom w:val="nil"/>
              <w:right w:val="single" w:sz="8" w:space="0" w:color="FFFFFF"/>
            </w:tcBorders>
            <w:shd w:val="clear" w:color="000000" w:fill="BFBFBF"/>
            <w:hideMark/>
          </w:tcPr>
          <w:p w14:paraId="77E61DA9" w14:textId="7F98D29E" w:rsidR="001B3A11" w:rsidRPr="0073604D" w:rsidRDefault="001B3A11" w:rsidP="001B3A11">
            <w:pPr>
              <w:keepNext w:val="0"/>
              <w:spacing w:before="0"/>
              <w:jc w:val="both"/>
              <w:rPr>
                <w:rFonts w:cs="Arial"/>
                <w:szCs w:val="24"/>
              </w:rPr>
            </w:pPr>
            <w:r w:rsidRPr="0073604D">
              <w:rPr>
                <w:rFonts w:cs="Arial"/>
                <w:szCs w:val="24"/>
              </w:rPr>
              <w:t>Provision against Local Housing Need 202</w:t>
            </w:r>
            <w:r w:rsidR="00E75EB6" w:rsidRPr="0073604D">
              <w:rPr>
                <w:rFonts w:cs="Arial"/>
                <w:szCs w:val="24"/>
              </w:rPr>
              <w:t>3</w:t>
            </w:r>
            <w:r w:rsidRPr="0073604D">
              <w:rPr>
                <w:rFonts w:cs="Arial"/>
                <w:szCs w:val="24"/>
              </w:rPr>
              <w:t xml:space="preserve"> to 20</w:t>
            </w:r>
            <w:r w:rsidR="004A528F" w:rsidRPr="0073604D">
              <w:rPr>
                <w:rFonts w:cs="Arial"/>
                <w:szCs w:val="24"/>
              </w:rPr>
              <w:t>40</w:t>
            </w:r>
          </w:p>
        </w:tc>
        <w:tc>
          <w:tcPr>
            <w:tcW w:w="1337" w:type="dxa"/>
            <w:tcBorders>
              <w:top w:val="nil"/>
              <w:left w:val="nil"/>
              <w:bottom w:val="nil"/>
              <w:right w:val="single" w:sz="8" w:space="0" w:color="FFFFFF"/>
            </w:tcBorders>
            <w:shd w:val="clear" w:color="000000" w:fill="BFBFBF"/>
            <w:hideMark/>
          </w:tcPr>
          <w:p w14:paraId="520CD7CD" w14:textId="20FA7FFD" w:rsidR="001B3A11" w:rsidRPr="0073604D" w:rsidRDefault="00651121" w:rsidP="001B3A11">
            <w:pPr>
              <w:keepNext w:val="0"/>
              <w:spacing w:before="0"/>
              <w:jc w:val="right"/>
              <w:rPr>
                <w:rFonts w:cs="Arial"/>
                <w:szCs w:val="24"/>
              </w:rPr>
            </w:pPr>
            <w:r w:rsidRPr="0073604D">
              <w:rPr>
                <w:rFonts w:cs="Arial"/>
                <w:szCs w:val="24"/>
              </w:rPr>
              <w:t>-</w:t>
            </w:r>
            <w:r w:rsidR="00E75EB6" w:rsidRPr="0073604D">
              <w:rPr>
                <w:rFonts w:cs="Arial"/>
                <w:szCs w:val="24"/>
              </w:rPr>
              <w:t>963</w:t>
            </w:r>
          </w:p>
        </w:tc>
      </w:tr>
    </w:tbl>
    <w:p w14:paraId="5EB55720" w14:textId="520FB26F" w:rsidR="006D3A8E" w:rsidRPr="00132BE8" w:rsidRDefault="00CB0557" w:rsidP="002430A6">
      <w:pPr>
        <w:pStyle w:val="Heading3"/>
        <w:ind w:firstLine="0"/>
        <w:rPr>
          <w:sz w:val="22"/>
          <w:szCs w:val="22"/>
        </w:rPr>
      </w:pPr>
      <w:r w:rsidRPr="0073604D">
        <w:t>Table 2: Dwelling Requirement and Provision 202</w:t>
      </w:r>
      <w:r>
        <w:t>3</w:t>
      </w:r>
      <w:r w:rsidRPr="0073604D">
        <w:t>-2040</w:t>
      </w:r>
      <w:r w:rsidR="006D3A8E">
        <w:t xml:space="preserve">, </w:t>
      </w:r>
      <w:r w:rsidR="006D3A8E" w:rsidRPr="00132BE8">
        <w:rPr>
          <w:sz w:val="22"/>
          <w:szCs w:val="22"/>
        </w:rPr>
        <w:t>source Ashfield District Council</w:t>
      </w:r>
    </w:p>
    <w:p w14:paraId="5E695E1F" w14:textId="77777777" w:rsidR="006D3A8E" w:rsidRPr="006D3A8E" w:rsidRDefault="006D3A8E" w:rsidP="006D3A8E">
      <w:pPr>
        <w:rPr>
          <w:sz w:val="22"/>
          <w:szCs w:val="22"/>
          <w:lang w:eastAsia="en-US"/>
        </w:rPr>
      </w:pPr>
    </w:p>
    <w:p w14:paraId="0D09C854" w14:textId="7D1C0281" w:rsidR="00FB4E8F" w:rsidRPr="003C7E62" w:rsidRDefault="0009371E" w:rsidP="00E73430">
      <w:pPr>
        <w:keepNext w:val="0"/>
        <w:numPr>
          <w:ilvl w:val="1"/>
          <w:numId w:val="344"/>
        </w:numPr>
        <w:tabs>
          <w:tab w:val="clear" w:pos="525"/>
          <w:tab w:val="num" w:pos="851"/>
        </w:tabs>
        <w:spacing w:before="0"/>
        <w:ind w:left="851" w:hanging="851"/>
        <w:rPr>
          <w:rFonts w:cs="Arial"/>
          <w:color w:val="auto"/>
          <w:szCs w:val="24"/>
        </w:rPr>
      </w:pPr>
      <w:r w:rsidRPr="0073604D">
        <w:rPr>
          <w:rFonts w:cs="Arial"/>
          <w:szCs w:val="24"/>
          <w:lang w:eastAsia="en-US"/>
        </w:rPr>
        <w:t xml:space="preserve">National </w:t>
      </w:r>
      <w:r w:rsidR="005D6672" w:rsidRPr="0073604D">
        <w:rPr>
          <w:rFonts w:cs="Arial"/>
          <w:szCs w:val="24"/>
          <w:lang w:eastAsia="en-US"/>
        </w:rPr>
        <w:t>p</w:t>
      </w:r>
      <w:r w:rsidRPr="0073604D">
        <w:rPr>
          <w:rFonts w:cs="Arial"/>
          <w:szCs w:val="24"/>
          <w:lang w:eastAsia="en-US"/>
        </w:rPr>
        <w:t xml:space="preserve">lanning </w:t>
      </w:r>
      <w:r w:rsidR="005D6672" w:rsidRPr="0073604D">
        <w:rPr>
          <w:rFonts w:cs="Arial"/>
          <w:szCs w:val="24"/>
          <w:lang w:eastAsia="en-US"/>
        </w:rPr>
        <w:t>p</w:t>
      </w:r>
      <w:r w:rsidRPr="0073604D">
        <w:rPr>
          <w:rFonts w:cs="Arial"/>
          <w:szCs w:val="24"/>
          <w:lang w:eastAsia="en-US"/>
        </w:rPr>
        <w:t xml:space="preserve">olicy guidance identifies that a potential source of housing supply may come forward from derelict land and buildings, including empty homes. </w:t>
      </w:r>
      <w:r w:rsidRPr="0073604D">
        <w:rPr>
          <w:rFonts w:cs="Arial"/>
          <w:szCs w:val="24"/>
          <w:lang w:eastAsia="en-US"/>
        </w:rPr>
        <w:lastRenderedPageBreak/>
        <w:t xml:space="preserve">Whilst the Council have and continue to work to bring forward empty homes, it should be recognised that this source deals with existing properties. Those </w:t>
      </w:r>
      <w:r w:rsidRPr="003C7E62">
        <w:rPr>
          <w:rFonts w:cs="Arial"/>
          <w:color w:val="auto"/>
          <w:szCs w:val="24"/>
          <w:lang w:eastAsia="en-US"/>
        </w:rPr>
        <w:t xml:space="preserve">brought back into use as a result therefore represent a change in tenure (from private to affordable rented) and not additional supply since they are already included within the existing housing stock. </w:t>
      </w:r>
    </w:p>
    <w:p w14:paraId="60945A32" w14:textId="77777777" w:rsidR="00FB4E8F" w:rsidRPr="003C7E62" w:rsidRDefault="00FB4E8F" w:rsidP="00310DB0">
      <w:pPr>
        <w:keepNext w:val="0"/>
        <w:spacing w:before="0"/>
        <w:ind w:left="851"/>
        <w:rPr>
          <w:rFonts w:cs="Arial"/>
          <w:color w:val="auto"/>
          <w:szCs w:val="24"/>
        </w:rPr>
      </w:pPr>
    </w:p>
    <w:p w14:paraId="3B024ADE" w14:textId="3C8F3F8A" w:rsidR="00FB4E8F" w:rsidRPr="003C7E62" w:rsidRDefault="0009371E" w:rsidP="00E73430">
      <w:pPr>
        <w:keepNext w:val="0"/>
        <w:numPr>
          <w:ilvl w:val="1"/>
          <w:numId w:val="344"/>
        </w:numPr>
        <w:tabs>
          <w:tab w:val="clear" w:pos="525"/>
          <w:tab w:val="num" w:pos="851"/>
        </w:tabs>
        <w:spacing w:before="0"/>
        <w:ind w:left="851" w:hanging="851"/>
        <w:rPr>
          <w:rFonts w:cs="Arial"/>
          <w:color w:val="auto"/>
          <w:szCs w:val="24"/>
        </w:rPr>
      </w:pPr>
      <w:r w:rsidRPr="003C7E62">
        <w:rPr>
          <w:rFonts w:cs="Arial"/>
          <w:color w:val="auto"/>
          <w:szCs w:val="24"/>
          <w:lang w:eastAsia="en-US"/>
        </w:rPr>
        <w:t>The NPPF requires local planning authorities to identify and update annually a supply of specific deliverable sites sufficient to provide for five years’ worth of housing against their requirements.  Details of the five year land supply for Ashfield are set out in the annual Housing Land Monitoring Report</w:t>
      </w:r>
      <w:r w:rsidRPr="003C7E62">
        <w:rPr>
          <w:rStyle w:val="FootnoteReference"/>
          <w:rFonts w:cs="Arial"/>
          <w:color w:val="auto"/>
          <w:szCs w:val="24"/>
          <w:lang w:eastAsia="en-US"/>
        </w:rPr>
        <w:footnoteReference w:id="61"/>
      </w:r>
      <w:r w:rsidRPr="003C7E62">
        <w:rPr>
          <w:rFonts w:cs="Arial"/>
          <w:color w:val="auto"/>
          <w:szCs w:val="24"/>
          <w:lang w:eastAsia="en-US"/>
        </w:rPr>
        <w:t xml:space="preserve">  and in Appendix 2. </w:t>
      </w:r>
    </w:p>
    <w:p w14:paraId="0CCB83B8" w14:textId="7688D526" w:rsidR="00FB4E8F" w:rsidRPr="003C7E62" w:rsidRDefault="00FB4E8F" w:rsidP="00310DB0">
      <w:pPr>
        <w:keepNext w:val="0"/>
        <w:spacing w:before="0"/>
        <w:ind w:left="851"/>
        <w:rPr>
          <w:rFonts w:cs="Arial"/>
          <w:color w:val="auto"/>
          <w:szCs w:val="24"/>
          <w:lang w:eastAsia="en-US"/>
        </w:rPr>
      </w:pPr>
    </w:p>
    <w:p w14:paraId="7A66128E" w14:textId="38E2C640" w:rsidR="00FB4E8F" w:rsidRPr="003C7E62" w:rsidRDefault="00FB4E8F" w:rsidP="00310DB0">
      <w:pPr>
        <w:keepNext w:val="0"/>
        <w:spacing w:before="0"/>
        <w:ind w:left="851"/>
        <w:rPr>
          <w:rFonts w:cs="Arial"/>
          <w:color w:val="auto"/>
          <w:szCs w:val="24"/>
          <w:lang w:eastAsia="en-US"/>
        </w:rPr>
      </w:pPr>
    </w:p>
    <w:p w14:paraId="162A9330" w14:textId="77777777" w:rsidR="00FB4E8F" w:rsidRPr="00BB639C" w:rsidRDefault="00FB4E8F" w:rsidP="00310DB0">
      <w:pPr>
        <w:keepNext w:val="0"/>
        <w:spacing w:before="0"/>
        <w:ind w:left="851"/>
        <w:rPr>
          <w:rFonts w:eastAsia="Arial" w:cs="Arial"/>
          <w:b/>
          <w:bCs/>
          <w:color w:val="auto"/>
          <w:spacing w:val="-1"/>
        </w:rPr>
      </w:pPr>
      <w:r w:rsidRPr="00BB639C">
        <w:rPr>
          <w:rFonts w:eastAsia="Arial" w:cs="Arial"/>
          <w:b/>
          <w:bCs/>
          <w:color w:val="auto"/>
          <w:spacing w:val="-1"/>
        </w:rPr>
        <w:t>Housing Mix</w:t>
      </w:r>
    </w:p>
    <w:p w14:paraId="6EDC580B" w14:textId="77777777" w:rsidR="00FB4E8F" w:rsidRPr="003C7E62" w:rsidRDefault="00FB4E8F" w:rsidP="00310DB0">
      <w:pPr>
        <w:keepNext w:val="0"/>
        <w:spacing w:before="0"/>
        <w:ind w:left="851"/>
        <w:rPr>
          <w:rFonts w:cs="Arial"/>
          <w:color w:val="auto"/>
          <w:szCs w:val="24"/>
        </w:rPr>
      </w:pPr>
    </w:p>
    <w:p w14:paraId="2A566239" w14:textId="551DF518" w:rsidR="00FB4E8F" w:rsidRPr="003C7E62" w:rsidRDefault="00BE1423" w:rsidP="00E73430">
      <w:pPr>
        <w:keepNext w:val="0"/>
        <w:numPr>
          <w:ilvl w:val="1"/>
          <w:numId w:val="344"/>
        </w:numPr>
        <w:tabs>
          <w:tab w:val="clear" w:pos="525"/>
          <w:tab w:val="num" w:pos="851"/>
        </w:tabs>
        <w:spacing w:before="0"/>
        <w:ind w:left="851" w:hanging="851"/>
        <w:rPr>
          <w:rFonts w:cs="Arial"/>
          <w:color w:val="auto"/>
          <w:szCs w:val="24"/>
        </w:rPr>
      </w:pPr>
      <w:r w:rsidRPr="003C7E62">
        <w:rPr>
          <w:rFonts w:cs="Arial"/>
          <w:color w:val="auto"/>
          <w:szCs w:val="24"/>
          <w:lang w:eastAsia="en-US"/>
        </w:rPr>
        <w:t>Paragraph 6</w:t>
      </w:r>
      <w:r w:rsidR="009F0EC8">
        <w:rPr>
          <w:rFonts w:cs="Arial"/>
          <w:color w:val="auto"/>
          <w:szCs w:val="24"/>
          <w:lang w:eastAsia="en-US"/>
        </w:rPr>
        <w:t>2</w:t>
      </w:r>
      <w:r w:rsidRPr="003C7E62">
        <w:rPr>
          <w:rFonts w:cs="Arial"/>
          <w:color w:val="auto"/>
          <w:szCs w:val="24"/>
          <w:lang w:eastAsia="en-US"/>
        </w:rPr>
        <w:t xml:space="preserve"> of the NPPF requires that the needs of different groups in the community with specific housing requirements are assessed and reflected in planning policies. This includes those who require affordable housing, families with children, older people, students, people with disabilities, service families, travellers, people who rent their homes and people wishing to commission or build their own homes</w:t>
      </w:r>
      <w:r w:rsidRPr="003C7E62">
        <w:rPr>
          <w:rStyle w:val="FootnoteReference"/>
          <w:rFonts w:cs="Arial"/>
          <w:color w:val="auto"/>
          <w:szCs w:val="24"/>
          <w:lang w:eastAsia="en-US"/>
        </w:rPr>
        <w:footnoteReference w:id="62"/>
      </w:r>
      <w:r w:rsidRPr="003C7E62">
        <w:rPr>
          <w:rFonts w:cs="Arial"/>
          <w:color w:val="auto"/>
          <w:szCs w:val="24"/>
          <w:lang w:eastAsia="en-US"/>
        </w:rPr>
        <w:t>). For Ashfield, the following categories have been identified as having particular needs in the Greater Nottingham and Ashfield Housing Needs Assessment 2020 (HNA)</w:t>
      </w:r>
      <w:r w:rsidR="007D431A" w:rsidRPr="003C7E62">
        <w:rPr>
          <w:rFonts w:cs="Arial"/>
          <w:color w:val="auto"/>
          <w:szCs w:val="24"/>
          <w:lang w:eastAsia="en-US"/>
        </w:rPr>
        <w:t>.</w:t>
      </w:r>
    </w:p>
    <w:p w14:paraId="3D73DA7E" w14:textId="2091F495" w:rsidR="00FB4E8F" w:rsidRPr="003C7E62" w:rsidRDefault="00FB4E8F" w:rsidP="00310DB0">
      <w:pPr>
        <w:keepNext w:val="0"/>
        <w:spacing w:before="0"/>
        <w:ind w:left="851"/>
        <w:rPr>
          <w:rFonts w:cs="Arial"/>
          <w:color w:val="auto"/>
          <w:szCs w:val="24"/>
          <w:lang w:eastAsia="en-US"/>
        </w:rPr>
      </w:pPr>
    </w:p>
    <w:p w14:paraId="0D8C7DFA" w14:textId="77777777" w:rsidR="00FB4E8F" w:rsidRPr="00BB639C" w:rsidRDefault="00FB4E8F" w:rsidP="00310DB0">
      <w:pPr>
        <w:keepNext w:val="0"/>
        <w:spacing w:before="0"/>
        <w:ind w:left="851"/>
        <w:rPr>
          <w:rFonts w:cs="Arial"/>
          <w:color w:val="auto"/>
          <w:szCs w:val="24"/>
          <w:u w:val="single"/>
          <w:lang w:eastAsia="en-US"/>
        </w:rPr>
      </w:pPr>
      <w:r w:rsidRPr="00BB639C">
        <w:rPr>
          <w:rFonts w:cs="Arial"/>
          <w:color w:val="auto"/>
          <w:szCs w:val="24"/>
          <w:u w:val="single"/>
          <w:lang w:eastAsia="en-US"/>
        </w:rPr>
        <w:t>Affordable Housing</w:t>
      </w:r>
    </w:p>
    <w:p w14:paraId="1A60C5AF" w14:textId="77777777" w:rsidR="00FB4E8F" w:rsidRPr="003C7E62" w:rsidRDefault="00FB4E8F" w:rsidP="00310DB0">
      <w:pPr>
        <w:keepNext w:val="0"/>
        <w:spacing w:before="0"/>
        <w:ind w:left="851"/>
        <w:rPr>
          <w:rFonts w:cs="Arial"/>
          <w:color w:val="auto"/>
          <w:szCs w:val="24"/>
        </w:rPr>
      </w:pPr>
    </w:p>
    <w:p w14:paraId="79EE0E92" w14:textId="604EC414" w:rsidR="000A144B" w:rsidRPr="003C7E62" w:rsidRDefault="00B011B7" w:rsidP="00E73430">
      <w:pPr>
        <w:keepNext w:val="0"/>
        <w:numPr>
          <w:ilvl w:val="1"/>
          <w:numId w:val="344"/>
        </w:numPr>
        <w:tabs>
          <w:tab w:val="clear" w:pos="525"/>
          <w:tab w:val="num" w:pos="851"/>
        </w:tabs>
        <w:spacing w:before="0"/>
        <w:ind w:left="851" w:hanging="851"/>
        <w:rPr>
          <w:rFonts w:cs="Arial"/>
          <w:color w:val="auto"/>
          <w:szCs w:val="24"/>
        </w:rPr>
      </w:pPr>
      <w:r w:rsidRPr="003C7E62">
        <w:rPr>
          <w:rFonts w:cs="Arial"/>
          <w:szCs w:val="24"/>
        </w:rPr>
        <w:t xml:space="preserve">The HNA identifies the level of affordable housing need for each authority based upon current and future projections and the development targets. It assesses the need for rented products and affordable home ownership separately as set out in </w:t>
      </w:r>
      <w:r w:rsidRPr="00AB4A58">
        <w:rPr>
          <w:rFonts w:cs="Arial"/>
          <w:szCs w:val="24"/>
        </w:rPr>
        <w:t xml:space="preserve">Table </w:t>
      </w:r>
      <w:r w:rsidR="00450591">
        <w:rPr>
          <w:rFonts w:cs="Arial"/>
          <w:szCs w:val="24"/>
        </w:rPr>
        <w:t>3</w:t>
      </w:r>
      <w:r w:rsidRPr="009B4089">
        <w:rPr>
          <w:rFonts w:cs="Arial"/>
          <w:szCs w:val="24"/>
        </w:rPr>
        <w:t>.</w:t>
      </w:r>
      <w:r w:rsidRPr="003C7E62">
        <w:rPr>
          <w:rFonts w:cs="Arial"/>
          <w:szCs w:val="24"/>
        </w:rPr>
        <w:t xml:space="preserve"> </w:t>
      </w:r>
      <w:r w:rsidRPr="003C7E62">
        <w:rPr>
          <w:rFonts w:eastAsia="Arial" w:cs="Arial"/>
          <w:color w:val="auto"/>
        </w:rPr>
        <w:t xml:space="preserve">(these figures form part of the overall housing target of </w:t>
      </w:r>
      <w:r w:rsidR="005A1A32" w:rsidRPr="000032B0">
        <w:rPr>
          <w:rFonts w:eastAsia="Arial" w:cs="Arial"/>
          <w:color w:val="auto"/>
        </w:rPr>
        <w:t xml:space="preserve">446 </w:t>
      </w:r>
      <w:r w:rsidRPr="000032B0">
        <w:rPr>
          <w:rFonts w:eastAsia="Arial" w:cs="Arial"/>
          <w:color w:val="auto"/>
        </w:rPr>
        <w:t>d</w:t>
      </w:r>
      <w:r w:rsidRPr="003C7E62">
        <w:rPr>
          <w:rFonts w:eastAsia="Arial" w:cs="Arial"/>
          <w:color w:val="auto"/>
        </w:rPr>
        <w:t>pa).</w:t>
      </w:r>
    </w:p>
    <w:p w14:paraId="1036506B" w14:textId="77777777" w:rsidR="000A144B" w:rsidRPr="003C7E62" w:rsidRDefault="000A144B" w:rsidP="00310DB0">
      <w:pPr>
        <w:keepNext w:val="0"/>
        <w:spacing w:before="0"/>
        <w:ind w:left="851"/>
        <w:rPr>
          <w:rFonts w:cs="Arial"/>
          <w:color w:val="auto"/>
          <w:szCs w:val="24"/>
        </w:rPr>
      </w:pPr>
    </w:p>
    <w:p w14:paraId="078E1D3F" w14:textId="0BDB2B8B" w:rsidR="000A144B" w:rsidRPr="000032B0" w:rsidRDefault="00A61B81" w:rsidP="00E73430">
      <w:pPr>
        <w:keepNext w:val="0"/>
        <w:numPr>
          <w:ilvl w:val="1"/>
          <w:numId w:val="344"/>
        </w:numPr>
        <w:tabs>
          <w:tab w:val="clear" w:pos="525"/>
          <w:tab w:val="num" w:pos="851"/>
        </w:tabs>
        <w:spacing w:before="0"/>
        <w:ind w:left="851" w:hanging="851"/>
        <w:rPr>
          <w:rFonts w:cs="Arial"/>
          <w:color w:val="auto"/>
          <w:szCs w:val="24"/>
        </w:rPr>
      </w:pPr>
      <w:r w:rsidRPr="000032B0">
        <w:rPr>
          <w:rFonts w:cs="Arial"/>
        </w:rPr>
        <w:t>The HNA report provides a starting point in developing an affordable housing target, which will also be informed by further analysis including a full Plan viability assessment.</w:t>
      </w:r>
      <w:r w:rsidRPr="000032B0">
        <w:rPr>
          <w:rFonts w:eastAsia="Arial" w:cs="Arial"/>
          <w:color w:val="00B0F0"/>
        </w:rPr>
        <w:t xml:space="preserve"> </w:t>
      </w:r>
    </w:p>
    <w:p w14:paraId="3B6F9872" w14:textId="701BC448" w:rsidR="003D6C7E" w:rsidRDefault="003D6C7E">
      <w:pPr>
        <w:keepNext w:val="0"/>
        <w:spacing w:before="0"/>
        <w:rPr>
          <w:rFonts w:cs="Arial"/>
        </w:rPr>
      </w:pPr>
      <w:r>
        <w:rPr>
          <w:rFonts w:cs="Arial"/>
        </w:rPr>
        <w:br w:type="page"/>
      </w:r>
    </w:p>
    <w:p w14:paraId="7445E0FC" w14:textId="77777777" w:rsidR="000A144B" w:rsidRPr="000032B0" w:rsidRDefault="000A144B" w:rsidP="00310DB0">
      <w:pPr>
        <w:keepNext w:val="0"/>
        <w:spacing w:before="0"/>
        <w:ind w:left="851"/>
        <w:rPr>
          <w:rFonts w:cs="Arial"/>
        </w:rPr>
      </w:pPr>
    </w:p>
    <w:tbl>
      <w:tblPr>
        <w:tblStyle w:val="TableGrid"/>
        <w:tblW w:w="8647" w:type="dxa"/>
        <w:tblInd w:w="846" w:type="dxa"/>
        <w:tblLayout w:type="fixed"/>
        <w:tblLook w:val="04A0" w:firstRow="1" w:lastRow="0" w:firstColumn="1" w:lastColumn="0" w:noHBand="0" w:noVBand="1"/>
      </w:tblPr>
      <w:tblGrid>
        <w:gridCol w:w="6804"/>
        <w:gridCol w:w="1843"/>
      </w:tblGrid>
      <w:tr w:rsidR="000A144B" w:rsidRPr="000032B0" w14:paraId="70F3F10A" w14:textId="77777777" w:rsidTr="003B0537">
        <w:trPr>
          <w:trHeight w:val="511"/>
        </w:trPr>
        <w:tc>
          <w:tcPr>
            <w:tcW w:w="8647" w:type="dxa"/>
            <w:gridSpan w:val="2"/>
            <w:shd w:val="clear" w:color="auto" w:fill="D9D9D9" w:themeFill="background1" w:themeFillShade="D9"/>
            <w:vAlign w:val="center"/>
          </w:tcPr>
          <w:p w14:paraId="201C18E6" w14:textId="43B4C7BF" w:rsidR="000A144B" w:rsidRPr="000032B0" w:rsidRDefault="000A144B" w:rsidP="00523DED">
            <w:pPr>
              <w:pStyle w:val="Heading4"/>
              <w:jc w:val="both"/>
              <w:rPr>
                <w:rFonts w:cs="Arial"/>
                <w:sz w:val="24"/>
                <w:szCs w:val="24"/>
              </w:rPr>
            </w:pPr>
            <w:r w:rsidRPr="000032B0">
              <w:rPr>
                <w:rFonts w:cs="Arial"/>
                <w:sz w:val="24"/>
                <w:szCs w:val="24"/>
              </w:rPr>
              <w:t>Ashfield Affordable Housing Net Need, 2020-38</w:t>
            </w:r>
          </w:p>
        </w:tc>
      </w:tr>
      <w:tr w:rsidR="000A144B" w:rsidRPr="000032B0" w14:paraId="7CA8608A" w14:textId="77777777" w:rsidTr="003B0537">
        <w:trPr>
          <w:trHeight w:val="562"/>
        </w:trPr>
        <w:tc>
          <w:tcPr>
            <w:tcW w:w="6804" w:type="dxa"/>
            <w:shd w:val="clear" w:color="auto" w:fill="auto"/>
            <w:vAlign w:val="center"/>
          </w:tcPr>
          <w:p w14:paraId="59730365" w14:textId="77777777" w:rsidR="000A144B" w:rsidRPr="000032B0" w:rsidRDefault="000A144B" w:rsidP="00523DED">
            <w:pPr>
              <w:rPr>
                <w:rFonts w:cs="Arial"/>
              </w:rPr>
            </w:pPr>
            <w:r w:rsidRPr="000032B0">
              <w:rPr>
                <w:rFonts w:cs="Arial"/>
              </w:rPr>
              <w:t>Net Need for Rented Affordable (per annum)</w:t>
            </w:r>
          </w:p>
        </w:tc>
        <w:tc>
          <w:tcPr>
            <w:tcW w:w="1843" w:type="dxa"/>
            <w:shd w:val="clear" w:color="auto" w:fill="auto"/>
            <w:vAlign w:val="center"/>
          </w:tcPr>
          <w:p w14:paraId="2C560FC9" w14:textId="77777777" w:rsidR="000A144B" w:rsidRPr="000032B0" w:rsidRDefault="000A144B" w:rsidP="00523DED">
            <w:pPr>
              <w:jc w:val="right"/>
              <w:rPr>
                <w:rFonts w:cs="Arial"/>
              </w:rPr>
            </w:pPr>
            <w:r w:rsidRPr="000032B0">
              <w:rPr>
                <w:rFonts w:cs="Arial"/>
              </w:rPr>
              <w:t>237</w:t>
            </w:r>
          </w:p>
        </w:tc>
      </w:tr>
      <w:tr w:rsidR="003D6C7E" w:rsidRPr="003D6C7E" w14:paraId="1E0EC827" w14:textId="77777777" w:rsidTr="003B0537">
        <w:trPr>
          <w:trHeight w:val="556"/>
        </w:trPr>
        <w:tc>
          <w:tcPr>
            <w:tcW w:w="6804" w:type="dxa"/>
            <w:shd w:val="clear" w:color="auto" w:fill="auto"/>
            <w:vAlign w:val="center"/>
          </w:tcPr>
          <w:p w14:paraId="628C9C1F" w14:textId="77777777" w:rsidR="000A144B" w:rsidRPr="003D6C7E" w:rsidRDefault="000A144B" w:rsidP="00523DED">
            <w:pPr>
              <w:rPr>
                <w:rFonts w:cs="Arial"/>
                <w:color w:val="auto"/>
              </w:rPr>
            </w:pPr>
            <w:r w:rsidRPr="003D6C7E">
              <w:rPr>
                <w:rFonts w:cs="Arial"/>
                <w:color w:val="auto"/>
              </w:rPr>
              <w:t>Net Need/Surplus for Affordable Home Ownership (per annum)</w:t>
            </w:r>
          </w:p>
        </w:tc>
        <w:tc>
          <w:tcPr>
            <w:tcW w:w="1843" w:type="dxa"/>
            <w:shd w:val="clear" w:color="auto" w:fill="auto"/>
            <w:vAlign w:val="center"/>
          </w:tcPr>
          <w:p w14:paraId="474E3331" w14:textId="77777777" w:rsidR="000A144B" w:rsidRPr="003D6C7E" w:rsidRDefault="000A144B" w:rsidP="00523DED">
            <w:pPr>
              <w:jc w:val="right"/>
              <w:rPr>
                <w:rFonts w:cs="Arial"/>
                <w:color w:val="auto"/>
              </w:rPr>
            </w:pPr>
            <w:r w:rsidRPr="003D6C7E">
              <w:rPr>
                <w:rFonts w:cs="Arial"/>
                <w:color w:val="auto"/>
              </w:rPr>
              <w:t>-195</w:t>
            </w:r>
          </w:p>
        </w:tc>
      </w:tr>
    </w:tbl>
    <w:p w14:paraId="6416E174" w14:textId="77777777" w:rsidR="00CE3097" w:rsidRPr="003D6C7E" w:rsidRDefault="00CE3097" w:rsidP="000A144B">
      <w:pPr>
        <w:keepNext w:val="0"/>
        <w:spacing w:before="0"/>
        <w:ind w:left="525"/>
        <w:rPr>
          <w:rFonts w:eastAsia="Arial" w:cs="Arial"/>
          <w:color w:val="auto"/>
        </w:rPr>
      </w:pPr>
      <w:r w:rsidRPr="003D6C7E">
        <w:rPr>
          <w:rFonts w:eastAsia="Arial" w:cs="Arial"/>
          <w:color w:val="auto"/>
        </w:rPr>
        <w:t xml:space="preserve">     </w:t>
      </w:r>
    </w:p>
    <w:p w14:paraId="3821427B" w14:textId="204FAE65" w:rsidR="000A144B" w:rsidRPr="003D6C7E" w:rsidRDefault="00CE3097" w:rsidP="00890704">
      <w:pPr>
        <w:pStyle w:val="Heading3"/>
      </w:pPr>
      <w:r w:rsidRPr="003D6C7E">
        <w:t xml:space="preserve">Table </w:t>
      </w:r>
      <w:r w:rsidR="00450591" w:rsidRPr="003D6C7E">
        <w:t>3</w:t>
      </w:r>
      <w:r w:rsidRPr="003D6C7E">
        <w:t>: Ashfield Affordable Housing Net Need, 2020-38</w:t>
      </w:r>
    </w:p>
    <w:p w14:paraId="2F7DAC76" w14:textId="41CD63D0" w:rsidR="00CE3097" w:rsidRPr="003D6C7E" w:rsidRDefault="00CE3097" w:rsidP="00CE3097">
      <w:pPr>
        <w:keepNext w:val="0"/>
        <w:spacing w:before="0"/>
        <w:ind w:left="851"/>
        <w:rPr>
          <w:rFonts w:eastAsia="Arial" w:cs="Arial"/>
          <w:color w:val="auto"/>
          <w:sz w:val="20"/>
        </w:rPr>
      </w:pPr>
      <w:r w:rsidRPr="003D6C7E">
        <w:rPr>
          <w:rFonts w:eastAsia="Arial" w:cs="Arial"/>
          <w:color w:val="auto"/>
          <w:sz w:val="20"/>
        </w:rPr>
        <w:t>Source: Greater Nottingham and Ashfield Housing Needs Assessment 2020</w:t>
      </w:r>
    </w:p>
    <w:p w14:paraId="7DF9B05C" w14:textId="77777777" w:rsidR="00CE3097" w:rsidRPr="003D6C7E" w:rsidRDefault="00CE3097" w:rsidP="000A144B">
      <w:pPr>
        <w:keepNext w:val="0"/>
        <w:spacing w:before="0"/>
        <w:ind w:left="525"/>
        <w:rPr>
          <w:rFonts w:eastAsia="Arial" w:cs="Arial"/>
          <w:color w:val="auto"/>
        </w:rPr>
      </w:pPr>
    </w:p>
    <w:p w14:paraId="31D3465A" w14:textId="51EAE0B5" w:rsidR="000A144B" w:rsidRPr="003C7E62" w:rsidRDefault="00A61B81" w:rsidP="00E73430">
      <w:pPr>
        <w:keepNext w:val="0"/>
        <w:numPr>
          <w:ilvl w:val="1"/>
          <w:numId w:val="344"/>
        </w:numPr>
        <w:tabs>
          <w:tab w:val="clear" w:pos="525"/>
          <w:tab w:val="num" w:pos="851"/>
        </w:tabs>
        <w:spacing w:before="0"/>
        <w:ind w:left="851" w:hanging="851"/>
        <w:rPr>
          <w:rFonts w:cs="Arial"/>
          <w:color w:val="auto"/>
          <w:szCs w:val="24"/>
        </w:rPr>
      </w:pPr>
      <w:r w:rsidRPr="003D6C7E">
        <w:rPr>
          <w:rFonts w:eastAsia="Arial" w:cs="Arial"/>
          <w:color w:val="auto"/>
        </w:rPr>
        <w:t xml:space="preserve">In </w:t>
      </w:r>
      <w:r w:rsidRPr="003C7E62">
        <w:rPr>
          <w:rFonts w:eastAsia="Arial" w:cs="Arial"/>
          <w:color w:val="auto"/>
        </w:rPr>
        <w:t xml:space="preserve">addition to the delivery of Affordable Housing provision as part of larger developments under </w:t>
      </w:r>
      <w:r w:rsidRPr="009B4089">
        <w:rPr>
          <w:rFonts w:eastAsia="Arial" w:cs="Arial"/>
          <w:color w:val="auto"/>
        </w:rPr>
        <w:t>Policy H</w:t>
      </w:r>
      <w:r w:rsidR="00F82D11" w:rsidRPr="009B4089">
        <w:rPr>
          <w:rFonts w:eastAsia="Arial" w:cs="Arial"/>
          <w:color w:val="auto"/>
        </w:rPr>
        <w:t>3</w:t>
      </w:r>
      <w:r w:rsidRPr="003C7E62">
        <w:rPr>
          <w:rFonts w:eastAsia="Arial" w:cs="Arial"/>
          <w:color w:val="auto"/>
        </w:rPr>
        <w:t xml:space="preserve">, the District Council will also consider </w:t>
      </w:r>
      <w:r w:rsidR="00107882">
        <w:rPr>
          <w:rFonts w:eastAsia="Arial" w:cs="Arial"/>
          <w:color w:val="auto"/>
        </w:rPr>
        <w:t>a</w:t>
      </w:r>
      <w:r w:rsidRPr="003C7E62">
        <w:rPr>
          <w:rFonts w:eastAsia="Arial" w:cs="Arial"/>
          <w:color w:val="auto"/>
        </w:rPr>
        <w:t xml:space="preserve">ffordable </w:t>
      </w:r>
      <w:r w:rsidR="00107882">
        <w:rPr>
          <w:rFonts w:eastAsia="Arial" w:cs="Arial"/>
          <w:color w:val="auto"/>
        </w:rPr>
        <w:t>h</w:t>
      </w:r>
      <w:r w:rsidRPr="003C7E62">
        <w:rPr>
          <w:rFonts w:eastAsia="Arial" w:cs="Arial"/>
          <w:color w:val="auto"/>
        </w:rPr>
        <w:t xml:space="preserve">ousing schemes on the edge of existing rural settlements as set out in </w:t>
      </w:r>
      <w:r w:rsidRPr="009B4089">
        <w:rPr>
          <w:rFonts w:eastAsia="Arial" w:cs="Arial"/>
          <w:color w:val="auto"/>
        </w:rPr>
        <w:t>Policy H</w:t>
      </w:r>
      <w:r w:rsidR="00F82D11" w:rsidRPr="009B4089">
        <w:rPr>
          <w:rFonts w:eastAsia="Arial" w:cs="Arial"/>
          <w:color w:val="auto"/>
        </w:rPr>
        <w:t>4</w:t>
      </w:r>
      <w:r w:rsidRPr="009B4089">
        <w:rPr>
          <w:rFonts w:eastAsia="Arial" w:cs="Arial"/>
          <w:color w:val="auto"/>
        </w:rPr>
        <w:t>,</w:t>
      </w:r>
      <w:r w:rsidRPr="003C7E62">
        <w:rPr>
          <w:rFonts w:eastAsia="Arial" w:cs="Arial"/>
          <w:color w:val="auto"/>
        </w:rPr>
        <w:t xml:space="preserve"> Rural Exceptions. These schemes present an exception to normal planning policy, and only </w:t>
      </w:r>
      <w:r w:rsidR="00107882">
        <w:rPr>
          <w:rFonts w:eastAsia="Arial" w:cs="Arial"/>
          <w:color w:val="auto"/>
        </w:rPr>
        <w:t>a</w:t>
      </w:r>
      <w:r w:rsidRPr="003C7E62">
        <w:rPr>
          <w:rFonts w:eastAsia="Arial" w:cs="Arial"/>
          <w:color w:val="auto"/>
        </w:rPr>
        <w:t xml:space="preserve">ffordable </w:t>
      </w:r>
      <w:r w:rsidR="00107882">
        <w:rPr>
          <w:rFonts w:eastAsia="Arial" w:cs="Arial"/>
          <w:color w:val="auto"/>
        </w:rPr>
        <w:t>h</w:t>
      </w:r>
      <w:r w:rsidRPr="003C7E62">
        <w:rPr>
          <w:rFonts w:eastAsia="Arial" w:cs="Arial"/>
          <w:color w:val="auto"/>
        </w:rPr>
        <w:t xml:space="preserve">ousing units </w:t>
      </w:r>
      <w:r w:rsidR="00E2584D" w:rsidRPr="0073604D">
        <w:rPr>
          <w:rFonts w:eastAsia="Arial" w:cs="Arial"/>
        </w:rPr>
        <w:t>(</w:t>
      </w:r>
      <w:r w:rsidR="00107882" w:rsidRPr="0073604D">
        <w:rPr>
          <w:rFonts w:eastAsia="Arial" w:cs="Arial"/>
        </w:rPr>
        <w:t>as defined in the N</w:t>
      </w:r>
      <w:r w:rsidR="00E2584D" w:rsidRPr="0073604D">
        <w:rPr>
          <w:rFonts w:eastAsia="Arial" w:cs="Arial"/>
        </w:rPr>
        <w:t xml:space="preserve">ational Planning Policy Framework) </w:t>
      </w:r>
      <w:r w:rsidRPr="0073604D">
        <w:rPr>
          <w:rFonts w:eastAsia="Arial" w:cs="Arial"/>
        </w:rPr>
        <w:t>will be permitted on th</w:t>
      </w:r>
      <w:r w:rsidRPr="003C7E62">
        <w:rPr>
          <w:rFonts w:eastAsia="Arial" w:cs="Arial"/>
          <w:color w:val="auto"/>
        </w:rPr>
        <w:t>ese sites.</w:t>
      </w:r>
    </w:p>
    <w:p w14:paraId="2BEA7CC7" w14:textId="5DC19D75" w:rsidR="000A144B" w:rsidRPr="003C7E62" w:rsidRDefault="000A144B" w:rsidP="00D02D33">
      <w:pPr>
        <w:keepNext w:val="0"/>
        <w:spacing w:before="0"/>
        <w:ind w:left="851"/>
        <w:rPr>
          <w:rFonts w:eastAsia="Arial" w:cs="Arial"/>
          <w:color w:val="auto"/>
        </w:rPr>
      </w:pPr>
    </w:p>
    <w:p w14:paraId="2A25D118" w14:textId="425DE394" w:rsidR="000A144B" w:rsidRPr="000032B0" w:rsidRDefault="000A144B" w:rsidP="00D02D33">
      <w:pPr>
        <w:pStyle w:val="ListParagraph"/>
        <w:spacing w:after="0" w:line="240" w:lineRule="auto"/>
        <w:ind w:left="1004" w:hanging="153"/>
        <w:rPr>
          <w:rFonts w:ascii="Arial" w:eastAsia="Arial" w:hAnsi="Arial" w:cs="Arial"/>
          <w:color w:val="auto"/>
          <w:u w:val="single"/>
        </w:rPr>
      </w:pPr>
      <w:r w:rsidRPr="000032B0">
        <w:rPr>
          <w:rFonts w:ascii="Arial" w:eastAsia="Arial" w:hAnsi="Arial" w:cs="Arial"/>
          <w:color w:val="auto"/>
          <w:u w:val="single"/>
        </w:rPr>
        <w:t>Older Person and those with Disabilities Housing Needs</w:t>
      </w:r>
    </w:p>
    <w:p w14:paraId="26F0788A" w14:textId="77777777" w:rsidR="00BB639C" w:rsidRPr="000032B0" w:rsidRDefault="00BB639C" w:rsidP="00D02D33">
      <w:pPr>
        <w:pStyle w:val="ListParagraph"/>
        <w:spacing w:after="0" w:line="240" w:lineRule="auto"/>
        <w:ind w:left="1004" w:hanging="153"/>
        <w:rPr>
          <w:rFonts w:ascii="Arial" w:eastAsia="Arial" w:hAnsi="Arial" w:cs="Arial"/>
          <w:color w:val="auto"/>
          <w:u w:val="single"/>
        </w:rPr>
      </w:pPr>
    </w:p>
    <w:p w14:paraId="0263A914" w14:textId="182EAAE7" w:rsidR="00BB1663" w:rsidRPr="000032B0" w:rsidRDefault="005E2443" w:rsidP="00E73430">
      <w:pPr>
        <w:keepNext w:val="0"/>
        <w:numPr>
          <w:ilvl w:val="1"/>
          <w:numId w:val="344"/>
        </w:numPr>
        <w:tabs>
          <w:tab w:val="clear" w:pos="525"/>
          <w:tab w:val="num" w:pos="851"/>
        </w:tabs>
        <w:spacing w:before="0"/>
        <w:ind w:left="851" w:hanging="851"/>
        <w:rPr>
          <w:rFonts w:cs="Arial"/>
          <w:color w:val="auto"/>
          <w:szCs w:val="24"/>
        </w:rPr>
      </w:pPr>
      <w:r w:rsidRPr="000032B0">
        <w:rPr>
          <w:rFonts w:cs="Arial"/>
          <w:szCs w:val="24"/>
        </w:rPr>
        <w:t>Greater Nottingham and Ashfield is projected to see a notable increase in the older person population, with the total number of people aged 65 and over projected to increase by 37.8% over the 18 years to 2038. This compares with overall population growth of 10.6% and a modest increase in the Under 65 population of 4.8%</w:t>
      </w:r>
      <w:r w:rsidR="000A144B" w:rsidRPr="000032B0">
        <w:rPr>
          <w:rFonts w:cs="Arial"/>
          <w:szCs w:val="24"/>
        </w:rPr>
        <w:t>.</w:t>
      </w:r>
      <w:r w:rsidR="005B03EE" w:rsidRPr="000032B0">
        <w:t xml:space="preserve"> The </w:t>
      </w:r>
      <w:r w:rsidR="005B03EE" w:rsidRPr="000032B0">
        <w:rPr>
          <w:rFonts w:cs="Arial"/>
          <w:szCs w:val="24"/>
        </w:rPr>
        <w:t>analysis also shows that there is a substantial volume of younger adults (aged 65 and under) across the study area with a range of disabilities.</w:t>
      </w:r>
    </w:p>
    <w:p w14:paraId="3D7BA6B9" w14:textId="77777777" w:rsidR="005B03EE" w:rsidRPr="000032B0" w:rsidRDefault="005B03EE" w:rsidP="009B4089">
      <w:pPr>
        <w:keepNext w:val="0"/>
        <w:spacing w:before="0"/>
        <w:ind w:left="851"/>
        <w:rPr>
          <w:rFonts w:cs="Arial"/>
          <w:color w:val="auto"/>
          <w:szCs w:val="24"/>
        </w:rPr>
      </w:pPr>
    </w:p>
    <w:p w14:paraId="568A717A" w14:textId="6E5694D2" w:rsidR="00BB1663" w:rsidRPr="000032B0" w:rsidRDefault="00BB1663" w:rsidP="00E73430">
      <w:pPr>
        <w:numPr>
          <w:ilvl w:val="1"/>
          <w:numId w:val="344"/>
        </w:numPr>
        <w:tabs>
          <w:tab w:val="clear" w:pos="525"/>
          <w:tab w:val="num" w:pos="851"/>
        </w:tabs>
        <w:spacing w:before="0"/>
        <w:ind w:left="851" w:hanging="851"/>
        <w:rPr>
          <w:rFonts w:cs="Arial"/>
          <w:color w:val="auto"/>
          <w:szCs w:val="24"/>
        </w:rPr>
      </w:pPr>
      <w:r w:rsidRPr="000032B0">
        <w:rPr>
          <w:rFonts w:cs="Arial"/>
          <w:color w:val="auto"/>
          <w:szCs w:val="24"/>
        </w:rPr>
        <w:t xml:space="preserve">In line with </w:t>
      </w:r>
      <w:r w:rsidR="005D6672" w:rsidRPr="000032B0">
        <w:rPr>
          <w:rFonts w:cs="Arial"/>
          <w:color w:val="auto"/>
          <w:szCs w:val="24"/>
        </w:rPr>
        <w:t>P</w:t>
      </w:r>
      <w:r w:rsidRPr="000032B0">
        <w:rPr>
          <w:rFonts w:cs="Arial"/>
          <w:color w:val="auto"/>
          <w:szCs w:val="24"/>
        </w:rPr>
        <w:t>lanning Policy Guidance, some older households, particularly those aged over 75, will require specialist housing provision. For Ashfield, the analysis in the HNA points to a need for 2,463 units of housing with support, and 948 units of housing with care.</w:t>
      </w:r>
      <w:r w:rsidRPr="000032B0">
        <w:t xml:space="preserve"> </w:t>
      </w:r>
      <w:r w:rsidRPr="000032B0">
        <w:rPr>
          <w:rFonts w:cs="Arial"/>
          <w:color w:val="auto"/>
          <w:szCs w:val="24"/>
        </w:rPr>
        <w:t xml:space="preserve">The analysis also identifies a need for 1,252 additional care home bedspaces in Ashfield to 2038 which will fall within a C2 use class. </w:t>
      </w:r>
    </w:p>
    <w:p w14:paraId="7756559E" w14:textId="77777777" w:rsidR="00BB1663" w:rsidRPr="000032B0" w:rsidRDefault="00BB1663" w:rsidP="009B4089">
      <w:pPr>
        <w:keepNext w:val="0"/>
        <w:spacing w:before="0"/>
        <w:ind w:left="851"/>
        <w:rPr>
          <w:rFonts w:cs="Arial"/>
          <w:color w:val="auto"/>
          <w:szCs w:val="24"/>
        </w:rPr>
      </w:pPr>
    </w:p>
    <w:p w14:paraId="5F123336" w14:textId="0E71363C" w:rsidR="00BB1663" w:rsidRPr="000032B0" w:rsidRDefault="005B03EE" w:rsidP="00E73430">
      <w:pPr>
        <w:numPr>
          <w:ilvl w:val="1"/>
          <w:numId w:val="344"/>
        </w:numPr>
        <w:tabs>
          <w:tab w:val="clear" w:pos="525"/>
        </w:tabs>
        <w:spacing w:before="0"/>
        <w:ind w:left="851" w:hanging="851"/>
        <w:rPr>
          <w:rFonts w:cs="Arial"/>
          <w:color w:val="auto"/>
          <w:szCs w:val="24"/>
        </w:rPr>
      </w:pPr>
      <w:r w:rsidRPr="000032B0">
        <w:rPr>
          <w:rFonts w:cs="Arial"/>
          <w:color w:val="auto"/>
          <w:szCs w:val="24"/>
        </w:rPr>
        <w:t>There will be a combination of those with disabilities and long-term health problems that continue to live at home with family, those who choose to live independently with the possibility of incorporating adaptations into their homes and those who choose to move into supported housing.</w:t>
      </w:r>
      <w:r w:rsidR="00565F76" w:rsidRPr="000032B0">
        <w:rPr>
          <w:rFonts w:cs="Arial"/>
          <w:color w:val="auto"/>
          <w:szCs w:val="24"/>
        </w:rPr>
        <w:t xml:space="preserve"> </w:t>
      </w:r>
      <w:r w:rsidR="00BB1663" w:rsidRPr="000032B0">
        <w:rPr>
          <w:rFonts w:cs="Arial"/>
          <w:szCs w:val="24"/>
        </w:rPr>
        <w:t>Policy H6:2 and the associated supporting text sets out the Cou</w:t>
      </w:r>
      <w:r w:rsidR="00565F76" w:rsidRPr="000032B0">
        <w:rPr>
          <w:rFonts w:cs="Arial"/>
          <w:szCs w:val="24"/>
        </w:rPr>
        <w:t>nci</w:t>
      </w:r>
      <w:r w:rsidR="00BB1663" w:rsidRPr="000032B0">
        <w:rPr>
          <w:rFonts w:cs="Arial"/>
          <w:szCs w:val="24"/>
        </w:rPr>
        <w:t>l</w:t>
      </w:r>
      <w:r w:rsidR="00565F76" w:rsidRPr="000032B0">
        <w:rPr>
          <w:rFonts w:cs="Arial"/>
          <w:szCs w:val="24"/>
        </w:rPr>
        <w:t>’</w:t>
      </w:r>
      <w:r w:rsidR="00BB1663" w:rsidRPr="000032B0">
        <w:rPr>
          <w:rFonts w:cs="Arial"/>
          <w:szCs w:val="24"/>
        </w:rPr>
        <w:t xml:space="preserve">s approach to </w:t>
      </w:r>
      <w:r w:rsidR="00565F76" w:rsidRPr="000032B0">
        <w:rPr>
          <w:rFonts w:cs="Arial"/>
          <w:szCs w:val="24"/>
        </w:rPr>
        <w:t>specialist housing.</w:t>
      </w:r>
    </w:p>
    <w:p w14:paraId="19B36E27" w14:textId="2C133773" w:rsidR="000A144B" w:rsidRPr="000032B0" w:rsidRDefault="000A144B" w:rsidP="00D02D33">
      <w:pPr>
        <w:keepNext w:val="0"/>
        <w:spacing w:before="0"/>
        <w:ind w:left="851"/>
        <w:jc w:val="both"/>
        <w:rPr>
          <w:rFonts w:cs="Arial"/>
          <w:color w:val="auto"/>
          <w:szCs w:val="24"/>
        </w:rPr>
      </w:pPr>
    </w:p>
    <w:p w14:paraId="2A90473B" w14:textId="77777777" w:rsidR="000A144B" w:rsidRPr="000032B0" w:rsidRDefault="000A144B" w:rsidP="008277E6">
      <w:pPr>
        <w:keepNext w:val="0"/>
        <w:spacing w:before="0"/>
        <w:ind w:left="851"/>
        <w:rPr>
          <w:rFonts w:cs="Arial"/>
          <w:szCs w:val="24"/>
          <w:u w:val="single"/>
        </w:rPr>
      </w:pPr>
      <w:r w:rsidRPr="000032B0">
        <w:rPr>
          <w:rFonts w:cs="Arial"/>
          <w:szCs w:val="24"/>
          <w:u w:val="single"/>
        </w:rPr>
        <w:t>Self-Build and Custom Build Homes</w:t>
      </w:r>
    </w:p>
    <w:p w14:paraId="19B49388" w14:textId="77777777" w:rsidR="000A144B" w:rsidRPr="000032B0" w:rsidRDefault="000A144B" w:rsidP="008277E6">
      <w:pPr>
        <w:keepNext w:val="0"/>
        <w:spacing w:before="0"/>
        <w:ind w:left="851"/>
        <w:rPr>
          <w:rFonts w:cs="Arial"/>
          <w:color w:val="auto"/>
          <w:szCs w:val="24"/>
        </w:rPr>
      </w:pPr>
    </w:p>
    <w:p w14:paraId="5BFD0EE7" w14:textId="16319B19" w:rsidR="000A144B" w:rsidRPr="000032B0" w:rsidRDefault="00743A52" w:rsidP="00E73430">
      <w:pPr>
        <w:keepNext w:val="0"/>
        <w:numPr>
          <w:ilvl w:val="1"/>
          <w:numId w:val="344"/>
        </w:numPr>
        <w:tabs>
          <w:tab w:val="clear" w:pos="525"/>
          <w:tab w:val="num" w:pos="851"/>
        </w:tabs>
        <w:spacing w:before="0"/>
        <w:ind w:left="851" w:hanging="851"/>
        <w:rPr>
          <w:rFonts w:cs="Arial"/>
          <w:color w:val="auto"/>
          <w:szCs w:val="24"/>
        </w:rPr>
      </w:pPr>
      <w:r w:rsidRPr="000032B0">
        <w:rPr>
          <w:rFonts w:cs="Arial"/>
          <w:szCs w:val="24"/>
        </w:rPr>
        <w:t>Self-build or custom build helps to diversify the housing market and increase consumer choice. Self-build and custom housebuilders choose the design and layout of their home</w:t>
      </w:r>
      <w:r w:rsidR="007E3072" w:rsidRPr="000032B0">
        <w:rPr>
          <w:rFonts w:cs="Arial"/>
          <w:szCs w:val="24"/>
        </w:rPr>
        <w:t xml:space="preserve"> </w:t>
      </w:r>
      <w:r w:rsidRPr="000032B0">
        <w:rPr>
          <w:rFonts w:cs="Arial"/>
          <w:szCs w:val="24"/>
        </w:rPr>
        <w:t>and can be innovative in both its design and construction.</w:t>
      </w:r>
    </w:p>
    <w:p w14:paraId="0817C622" w14:textId="77777777" w:rsidR="000A144B" w:rsidRPr="000032B0" w:rsidRDefault="000A144B" w:rsidP="008277E6">
      <w:pPr>
        <w:keepNext w:val="0"/>
        <w:spacing w:before="0"/>
        <w:ind w:left="851"/>
        <w:rPr>
          <w:rFonts w:cs="Arial"/>
          <w:color w:val="auto"/>
          <w:szCs w:val="24"/>
        </w:rPr>
      </w:pPr>
    </w:p>
    <w:p w14:paraId="3ED94158" w14:textId="2FACA90F" w:rsidR="000A144B" w:rsidRPr="000032B0" w:rsidRDefault="00743A52" w:rsidP="00E73430">
      <w:pPr>
        <w:keepNext w:val="0"/>
        <w:numPr>
          <w:ilvl w:val="1"/>
          <w:numId w:val="344"/>
        </w:numPr>
        <w:tabs>
          <w:tab w:val="clear" w:pos="525"/>
          <w:tab w:val="num" w:pos="851"/>
        </w:tabs>
        <w:spacing w:before="0"/>
        <w:ind w:left="851" w:hanging="851"/>
        <w:rPr>
          <w:rFonts w:cs="Arial"/>
          <w:color w:val="auto"/>
          <w:szCs w:val="24"/>
        </w:rPr>
      </w:pPr>
      <w:r w:rsidRPr="000032B0">
        <w:rPr>
          <w:rFonts w:cs="Arial"/>
          <w:szCs w:val="24"/>
        </w:rPr>
        <w:t xml:space="preserve">Ashfield Council has a responsibility for keeping a self-build and custom housebuilding register, which is shared with </w:t>
      </w:r>
      <w:r w:rsidRPr="000032B0">
        <w:rPr>
          <w:rFonts w:cs="Arial"/>
        </w:rPr>
        <w:t>Mansfield and Newark &amp; Sherwood District Councils. The level of demand for such sites is monitored against small sites coming forward through the planning application process in an annual monitoring report.</w:t>
      </w:r>
      <w:r w:rsidRPr="000032B0">
        <w:rPr>
          <w:rStyle w:val="FootnoteReference"/>
          <w:rFonts w:cs="Arial"/>
        </w:rPr>
        <w:footnoteReference w:id="63"/>
      </w:r>
      <w:r w:rsidRPr="000032B0">
        <w:rPr>
          <w:rFonts w:cs="Arial"/>
        </w:rPr>
        <w:t xml:space="preserve"> </w:t>
      </w:r>
    </w:p>
    <w:p w14:paraId="0DDE60FF" w14:textId="273BC11F" w:rsidR="000A144B" w:rsidRPr="00BB639C" w:rsidRDefault="000A144B" w:rsidP="008277E6">
      <w:pPr>
        <w:keepNext w:val="0"/>
        <w:spacing w:before="0"/>
        <w:ind w:left="851"/>
        <w:rPr>
          <w:rFonts w:cs="Arial"/>
          <w:u w:val="single"/>
        </w:rPr>
      </w:pPr>
    </w:p>
    <w:p w14:paraId="0038428C" w14:textId="5DED4EBB" w:rsidR="000A144B" w:rsidRPr="00BB639C" w:rsidRDefault="000A144B" w:rsidP="008277E6">
      <w:pPr>
        <w:keepNext w:val="0"/>
        <w:autoSpaceDE w:val="0"/>
        <w:autoSpaceDN w:val="0"/>
        <w:adjustRightInd w:val="0"/>
        <w:spacing w:before="0"/>
        <w:ind w:left="851"/>
        <w:rPr>
          <w:rFonts w:cs="Arial"/>
          <w:szCs w:val="24"/>
          <w:u w:val="single"/>
        </w:rPr>
      </w:pPr>
      <w:r w:rsidRPr="00BB639C">
        <w:rPr>
          <w:rFonts w:cs="Arial"/>
          <w:szCs w:val="24"/>
          <w:u w:val="single"/>
        </w:rPr>
        <w:t>The Need for Different Sizes of Homes</w:t>
      </w:r>
    </w:p>
    <w:p w14:paraId="3A6C9BBA" w14:textId="77777777" w:rsidR="000A144B" w:rsidRPr="003C7E62" w:rsidRDefault="000A144B" w:rsidP="008277E6">
      <w:pPr>
        <w:keepNext w:val="0"/>
        <w:spacing w:before="0"/>
        <w:rPr>
          <w:rFonts w:cs="Arial"/>
          <w:color w:val="auto"/>
          <w:szCs w:val="24"/>
        </w:rPr>
      </w:pPr>
    </w:p>
    <w:p w14:paraId="0317BB9C" w14:textId="77777777" w:rsidR="006D4619" w:rsidRPr="006D4619" w:rsidRDefault="00743A52" w:rsidP="00E73430">
      <w:pPr>
        <w:keepNext w:val="0"/>
        <w:numPr>
          <w:ilvl w:val="1"/>
          <w:numId w:val="344"/>
        </w:numPr>
        <w:tabs>
          <w:tab w:val="clear" w:pos="525"/>
          <w:tab w:val="num" w:pos="851"/>
        </w:tabs>
        <w:spacing w:before="0"/>
        <w:ind w:left="851" w:hanging="851"/>
        <w:rPr>
          <w:rFonts w:cs="Arial"/>
          <w:color w:val="auto"/>
          <w:szCs w:val="24"/>
        </w:rPr>
      </w:pPr>
      <w:r w:rsidRPr="003C7E62">
        <w:rPr>
          <w:rFonts w:cs="Arial"/>
          <w:szCs w:val="24"/>
        </w:rPr>
        <w:t>The existing housing mix is important in considering what future mix of housing is appropriate to deliver a mixed and balanced community. The HNA analysis indicates an emphasis on family sized housing within the market sector, with family and smaller homes being required within the affordable housing sector.</w:t>
      </w:r>
    </w:p>
    <w:p w14:paraId="7D04D7EC" w14:textId="7789F8B9" w:rsidR="000A144B" w:rsidRPr="003C7E62" w:rsidRDefault="00743A52" w:rsidP="006D4619">
      <w:pPr>
        <w:keepNext w:val="0"/>
        <w:spacing w:before="0"/>
        <w:ind w:left="851"/>
        <w:rPr>
          <w:rFonts w:cs="Arial"/>
          <w:color w:val="auto"/>
          <w:szCs w:val="24"/>
        </w:rPr>
      </w:pPr>
      <w:r w:rsidRPr="003C7E62">
        <w:rPr>
          <w:rFonts w:cs="Arial"/>
          <w:szCs w:val="24"/>
        </w:rPr>
        <w:t xml:space="preserve"> </w:t>
      </w:r>
    </w:p>
    <w:p w14:paraId="24DD4F51" w14:textId="29E37423" w:rsidR="000A144B" w:rsidRPr="003C7E62" w:rsidRDefault="00030D3A" w:rsidP="00E73430">
      <w:pPr>
        <w:keepNext w:val="0"/>
        <w:numPr>
          <w:ilvl w:val="1"/>
          <w:numId w:val="344"/>
        </w:numPr>
        <w:tabs>
          <w:tab w:val="clear" w:pos="525"/>
        </w:tabs>
        <w:spacing w:before="0"/>
        <w:ind w:left="851" w:hanging="851"/>
        <w:rPr>
          <w:rFonts w:cs="Arial"/>
          <w:color w:val="auto"/>
          <w:szCs w:val="24"/>
        </w:rPr>
      </w:pPr>
      <w:r w:rsidRPr="003C7E62">
        <w:rPr>
          <w:rFonts w:cs="Arial"/>
          <w:szCs w:val="24"/>
        </w:rPr>
        <w:t xml:space="preserve">There are instances where adjustments will need to be applied according to the local profile of housing, the character of the local area, the sustainability credentials of the site and the viability of providing a particular mix of housing dependent on submarket characteristics. </w:t>
      </w:r>
      <w:r w:rsidRPr="009B4089">
        <w:rPr>
          <w:rFonts w:cs="Arial"/>
          <w:szCs w:val="24"/>
        </w:rPr>
        <w:t xml:space="preserve">Policy </w:t>
      </w:r>
      <w:r w:rsidR="008277E6">
        <w:rPr>
          <w:rFonts w:cs="Arial"/>
          <w:szCs w:val="24"/>
        </w:rPr>
        <w:t>H7</w:t>
      </w:r>
      <w:r w:rsidRPr="003C7E62">
        <w:rPr>
          <w:rFonts w:cs="Arial"/>
          <w:szCs w:val="24"/>
        </w:rPr>
        <w:t xml:space="preserve"> sets out the approach to housing mix for development management purposes.</w:t>
      </w:r>
    </w:p>
    <w:p w14:paraId="6931B309" w14:textId="32AE54EF" w:rsidR="000A144B" w:rsidRPr="003C7E62" w:rsidRDefault="000A144B" w:rsidP="008277E6">
      <w:pPr>
        <w:keepNext w:val="0"/>
        <w:spacing w:before="0"/>
        <w:ind w:left="851"/>
        <w:rPr>
          <w:rFonts w:cs="Arial"/>
          <w:szCs w:val="24"/>
        </w:rPr>
      </w:pPr>
    </w:p>
    <w:p w14:paraId="5EE2EDB7" w14:textId="77777777" w:rsidR="000A144B" w:rsidRPr="00BB639C" w:rsidRDefault="000A144B" w:rsidP="008277E6">
      <w:pPr>
        <w:keepNext w:val="0"/>
        <w:spacing w:before="0"/>
        <w:ind w:left="851"/>
        <w:rPr>
          <w:rFonts w:cs="Arial"/>
          <w:szCs w:val="24"/>
          <w:u w:val="single"/>
        </w:rPr>
      </w:pPr>
      <w:r w:rsidRPr="00BB639C">
        <w:rPr>
          <w:rFonts w:cs="Arial"/>
          <w:szCs w:val="24"/>
          <w:u w:val="single"/>
        </w:rPr>
        <w:t>Gypsy, Travellers and Travelling Showpeople</w:t>
      </w:r>
    </w:p>
    <w:p w14:paraId="64FD278B" w14:textId="77777777" w:rsidR="000A144B" w:rsidRPr="003C7E62" w:rsidRDefault="000A144B" w:rsidP="008277E6">
      <w:pPr>
        <w:keepNext w:val="0"/>
        <w:spacing w:before="0"/>
        <w:ind w:left="851"/>
        <w:rPr>
          <w:rFonts w:cs="Arial"/>
          <w:color w:val="auto"/>
          <w:szCs w:val="24"/>
        </w:rPr>
      </w:pPr>
    </w:p>
    <w:p w14:paraId="06E4D909" w14:textId="72772ACD" w:rsidR="000A144B" w:rsidRPr="00E927BB" w:rsidRDefault="009F33D5" w:rsidP="00E73430">
      <w:pPr>
        <w:keepNext w:val="0"/>
        <w:numPr>
          <w:ilvl w:val="1"/>
          <w:numId w:val="344"/>
        </w:numPr>
        <w:tabs>
          <w:tab w:val="clear" w:pos="525"/>
          <w:tab w:val="num" w:pos="993"/>
        </w:tabs>
        <w:spacing w:before="0"/>
        <w:ind w:left="851" w:hanging="851"/>
        <w:rPr>
          <w:rFonts w:cs="Arial"/>
          <w:color w:val="auto"/>
          <w:szCs w:val="24"/>
        </w:rPr>
      </w:pPr>
      <w:r w:rsidRPr="003C7E62">
        <w:rPr>
          <w:rFonts w:eastAsia="Arial" w:cs="Arial"/>
        </w:rPr>
        <w:t xml:space="preserve">Planning Policy for Traveller sites </w:t>
      </w:r>
      <w:r w:rsidRPr="009E4444">
        <w:rPr>
          <w:rFonts w:eastAsia="Arial" w:cs="Arial"/>
        </w:rPr>
        <w:t>(August 2015)</w:t>
      </w:r>
      <w:r w:rsidRPr="009E4444">
        <w:rPr>
          <w:rFonts w:eastAsia="Arial" w:cs="Arial"/>
          <w:vertAlign w:val="superscript"/>
        </w:rPr>
        <w:footnoteReference w:id="64"/>
      </w:r>
      <w:r w:rsidRPr="003C7E62">
        <w:rPr>
          <w:rFonts w:eastAsia="Arial" w:cs="Arial"/>
        </w:rPr>
        <w:t xml:space="preserve"> requires local need for accommodation to be based on robust evidence.  Specific deliverable sites should be identified in order to meet accommodation needs for 5 years, together with a supply of developable sites or broad locations for growth for 6 to 10 years, and where possible, for years 11 to 15.</w:t>
      </w:r>
    </w:p>
    <w:p w14:paraId="60B1E2B2" w14:textId="77777777" w:rsidR="00E927BB" w:rsidRPr="00E927BB" w:rsidRDefault="00E927BB" w:rsidP="00E927BB">
      <w:pPr>
        <w:keepNext w:val="0"/>
        <w:spacing w:before="0"/>
        <w:ind w:left="851"/>
        <w:rPr>
          <w:rFonts w:cs="Arial"/>
          <w:color w:val="auto"/>
          <w:szCs w:val="24"/>
        </w:rPr>
      </w:pPr>
    </w:p>
    <w:p w14:paraId="0EA18F3E" w14:textId="5038C46B" w:rsidR="00E927BB" w:rsidRPr="003B5395" w:rsidRDefault="00E927BB" w:rsidP="00E73430">
      <w:pPr>
        <w:keepNext w:val="0"/>
        <w:numPr>
          <w:ilvl w:val="1"/>
          <w:numId w:val="344"/>
        </w:numPr>
        <w:tabs>
          <w:tab w:val="clear" w:pos="525"/>
        </w:tabs>
        <w:spacing w:before="0"/>
        <w:ind w:left="851" w:hanging="851"/>
        <w:rPr>
          <w:rFonts w:cs="Arial"/>
          <w:color w:val="auto"/>
          <w:szCs w:val="24"/>
        </w:rPr>
      </w:pPr>
      <w:r w:rsidRPr="003B5395">
        <w:rPr>
          <w:rFonts w:cs="Arial"/>
          <w:color w:val="auto"/>
          <w:szCs w:val="24"/>
        </w:rPr>
        <w:t>Under the duty to co-operate, the Council must work collaboratively with neighbouring local planning authorities to set targets for Gypsy and Traveller accommodation and</w:t>
      </w:r>
      <w:r w:rsidR="00E56AD1" w:rsidRPr="003B5395">
        <w:rPr>
          <w:rFonts w:cs="Arial"/>
          <w:color w:val="auto"/>
          <w:szCs w:val="24"/>
        </w:rPr>
        <w:t>,</w:t>
      </w:r>
      <w:r w:rsidRPr="003B5395">
        <w:rPr>
          <w:rFonts w:cs="Arial"/>
          <w:color w:val="auto"/>
          <w:szCs w:val="24"/>
        </w:rPr>
        <w:t xml:space="preserve"> where necessary</w:t>
      </w:r>
      <w:r w:rsidR="00E56AD1" w:rsidRPr="003B5395">
        <w:rPr>
          <w:rFonts w:cs="Arial"/>
          <w:color w:val="auto"/>
          <w:szCs w:val="24"/>
        </w:rPr>
        <w:t>,</w:t>
      </w:r>
      <w:r w:rsidRPr="003B5395">
        <w:rPr>
          <w:rFonts w:cs="Arial"/>
          <w:color w:val="auto"/>
          <w:szCs w:val="24"/>
        </w:rPr>
        <w:t xml:space="preserve"> to identify suitable sites. The Council jointly commissioned the</w:t>
      </w:r>
      <w:r w:rsidRPr="003B5395">
        <w:rPr>
          <w:rFonts w:cs="Arial"/>
        </w:rPr>
        <w:t xml:space="preserve"> Greater Nottingham and Ashfield District Council Gypsy and Traveller Accommodation Assessment </w:t>
      </w:r>
      <w:r w:rsidRPr="003B5395">
        <w:rPr>
          <w:rFonts w:cs="Arial"/>
          <w:bCs/>
        </w:rPr>
        <w:t>2021</w:t>
      </w:r>
      <w:r w:rsidR="00E56AD1" w:rsidRPr="003B5395">
        <w:rPr>
          <w:rFonts w:cs="Arial"/>
          <w:bCs/>
        </w:rPr>
        <w:t xml:space="preserve"> (GTAA)</w:t>
      </w:r>
      <w:r w:rsidRPr="003B5395">
        <w:rPr>
          <w:rStyle w:val="FootnoteReference"/>
          <w:rFonts w:cs="Arial"/>
          <w:bCs/>
        </w:rPr>
        <w:footnoteReference w:id="65"/>
      </w:r>
      <w:r w:rsidRPr="003B5395">
        <w:rPr>
          <w:rFonts w:cs="Arial"/>
          <w:bCs/>
        </w:rPr>
        <w:t xml:space="preserve"> </w:t>
      </w:r>
      <w:r w:rsidRPr="003B5395">
        <w:rPr>
          <w:rFonts w:cs="Arial"/>
          <w:color w:val="auto"/>
          <w:szCs w:val="24"/>
        </w:rPr>
        <w:t xml:space="preserve">with </w:t>
      </w:r>
      <w:r w:rsidR="00E56AD1" w:rsidRPr="003B5395">
        <w:rPr>
          <w:rFonts w:cs="Arial"/>
          <w:color w:val="auto"/>
          <w:szCs w:val="24"/>
        </w:rPr>
        <w:t xml:space="preserve">Broxtowe, Erewash, Gedling, Nottingham City and Rushcliffe councils and </w:t>
      </w:r>
      <w:r w:rsidRPr="003B5395">
        <w:rPr>
          <w:rFonts w:cs="Arial"/>
          <w:color w:val="auto"/>
          <w:szCs w:val="24"/>
        </w:rPr>
        <w:t>will continue to work with other neighbouring authorities in determining targets and identifying sites to meet need</w:t>
      </w:r>
      <w:r w:rsidR="00E56AD1" w:rsidRPr="003B5395">
        <w:rPr>
          <w:rFonts w:cs="Arial"/>
          <w:color w:val="auto"/>
          <w:szCs w:val="24"/>
        </w:rPr>
        <w:t>s.</w:t>
      </w:r>
    </w:p>
    <w:p w14:paraId="4BA41A67" w14:textId="77777777" w:rsidR="000A144B" w:rsidRPr="003B5395" w:rsidRDefault="000A144B" w:rsidP="008277E6">
      <w:pPr>
        <w:keepNext w:val="0"/>
        <w:spacing w:before="0"/>
        <w:ind w:left="851"/>
        <w:rPr>
          <w:rFonts w:cs="Arial"/>
          <w:color w:val="auto"/>
          <w:szCs w:val="24"/>
        </w:rPr>
      </w:pPr>
    </w:p>
    <w:p w14:paraId="32E91B04" w14:textId="6922E6BE" w:rsidR="00E56AD1" w:rsidRPr="0073604D" w:rsidRDefault="00E56AD1" w:rsidP="00E73430">
      <w:pPr>
        <w:keepNext w:val="0"/>
        <w:numPr>
          <w:ilvl w:val="1"/>
          <w:numId w:val="344"/>
        </w:numPr>
        <w:tabs>
          <w:tab w:val="clear" w:pos="525"/>
        </w:tabs>
        <w:spacing w:before="0"/>
        <w:ind w:left="851" w:hanging="851"/>
      </w:pPr>
      <w:r w:rsidRPr="00F3057E">
        <w:rPr>
          <w:rFonts w:cs="Arial"/>
        </w:rPr>
        <w:t xml:space="preserve">The GTAA </w:t>
      </w:r>
      <w:r w:rsidR="009F33D5" w:rsidRPr="00F3057E">
        <w:rPr>
          <w:rFonts w:cs="Arial"/>
        </w:rPr>
        <w:t>sets out the level of future need for the District for the period 2020 to 2038 as illustrated in</w:t>
      </w:r>
      <w:r w:rsidR="009F33D5" w:rsidRPr="00F3057E">
        <w:rPr>
          <w:rFonts w:cs="Arial"/>
          <w:color w:val="0070C0"/>
        </w:rPr>
        <w:t xml:space="preserve"> </w:t>
      </w:r>
      <w:r w:rsidR="009F33D5" w:rsidRPr="00F3057E">
        <w:rPr>
          <w:rFonts w:cs="Arial"/>
        </w:rPr>
        <w:t xml:space="preserve">Table </w:t>
      </w:r>
      <w:r w:rsidR="000032B0">
        <w:rPr>
          <w:rFonts w:cs="Arial"/>
        </w:rPr>
        <w:t>4</w:t>
      </w:r>
      <w:r w:rsidR="009F33D5" w:rsidRPr="00F3057E">
        <w:rPr>
          <w:rFonts w:cs="Arial"/>
        </w:rPr>
        <w:t xml:space="preserve"> below</w:t>
      </w:r>
      <w:r w:rsidR="009F33D5" w:rsidRPr="0073604D">
        <w:rPr>
          <w:rFonts w:cs="Arial"/>
        </w:rPr>
        <w:t xml:space="preserve">. </w:t>
      </w:r>
      <w:r w:rsidR="00F3057E" w:rsidRPr="0073604D">
        <w:rPr>
          <w:rFonts w:cs="Arial"/>
        </w:rPr>
        <w:t>In respect of Gypsy/Traveller pitches, t</w:t>
      </w:r>
      <w:r w:rsidR="00207686" w:rsidRPr="0073604D">
        <w:rPr>
          <w:rFonts w:cs="Arial"/>
        </w:rPr>
        <w:t xml:space="preserve">he Council have </w:t>
      </w:r>
      <w:r w:rsidR="00207686" w:rsidRPr="0073604D">
        <w:t>used the higher level of assessed need for this period, based on the ‘ethnic definition’, as opposed to the Traveller definition set out in national policy Planning Policy for Traveller Sites</w:t>
      </w:r>
      <w:r w:rsidR="00F3057E" w:rsidRPr="0073604D">
        <w:t xml:space="preserve">. It is acknowledged that there is a slight mismatch in the evidence base timeframe, i.e., for the period 2020-2038, rather than 2023-2040. However, since the quantum of assessed need is minimal it is considered appropriate that any additional need </w:t>
      </w:r>
      <w:r w:rsidRPr="0073604D">
        <w:t xml:space="preserve">will be </w:t>
      </w:r>
      <w:r w:rsidR="00F3057E" w:rsidRPr="0073604D">
        <w:t xml:space="preserve">addressed using </w:t>
      </w:r>
      <w:r w:rsidRPr="0073604D">
        <w:t xml:space="preserve">criteria based policy H2 </w:t>
      </w:r>
      <w:r w:rsidR="00F3057E" w:rsidRPr="0073604D">
        <w:t xml:space="preserve">alongside </w:t>
      </w:r>
      <w:r w:rsidRPr="0073604D">
        <w:t>site allocations within policy H2a.</w:t>
      </w:r>
    </w:p>
    <w:p w14:paraId="7BF6F40C" w14:textId="33BE3DF3" w:rsidR="000A144B" w:rsidRPr="0073604D" w:rsidRDefault="000A144B" w:rsidP="00E56AD1">
      <w:pPr>
        <w:keepNext w:val="0"/>
        <w:spacing w:before="0"/>
        <w:rPr>
          <w:rFonts w:cs="Arial"/>
          <w:szCs w:val="24"/>
        </w:rPr>
      </w:pPr>
    </w:p>
    <w:p w14:paraId="528F702F" w14:textId="0155265A" w:rsidR="000A144B" w:rsidRPr="003C7E62" w:rsidRDefault="000A144B" w:rsidP="008277E6">
      <w:pPr>
        <w:keepNext w:val="0"/>
        <w:spacing w:before="0"/>
        <w:ind w:left="525"/>
        <w:rPr>
          <w:rFonts w:cs="Arial"/>
        </w:rPr>
      </w:pPr>
    </w:p>
    <w:tbl>
      <w:tblPr>
        <w:tblStyle w:val="ReportTable1"/>
        <w:tblW w:w="0" w:type="auto"/>
        <w:jc w:val="center"/>
        <w:tblLook w:val="04A0" w:firstRow="1" w:lastRow="0" w:firstColumn="1" w:lastColumn="0" w:noHBand="0" w:noVBand="1"/>
      </w:tblPr>
      <w:tblGrid>
        <w:gridCol w:w="2693"/>
        <w:gridCol w:w="2977"/>
        <w:gridCol w:w="2977"/>
      </w:tblGrid>
      <w:tr w:rsidR="000A144B" w:rsidRPr="003C7E62" w14:paraId="5ED0C8D3" w14:textId="77777777" w:rsidTr="00AA6B15">
        <w:trPr>
          <w:trHeight w:val="637"/>
          <w:jc w:val="center"/>
        </w:trPr>
        <w:tc>
          <w:tcPr>
            <w:tcW w:w="8647" w:type="dxa"/>
            <w:gridSpan w:val="3"/>
            <w:shd w:val="clear" w:color="auto" w:fill="D9D9D9"/>
          </w:tcPr>
          <w:p w14:paraId="1B030B2F" w14:textId="6128D750" w:rsidR="000A144B" w:rsidRPr="003C7E62" w:rsidRDefault="000A144B" w:rsidP="00523DED">
            <w:pPr>
              <w:contextualSpacing/>
              <w:rPr>
                <w:rFonts w:cs="Arial"/>
                <w:b/>
                <w:szCs w:val="24"/>
              </w:rPr>
            </w:pPr>
            <w:r w:rsidRPr="000032B0">
              <w:rPr>
                <w:rFonts w:cs="Arial"/>
                <w:b/>
                <w:szCs w:val="24"/>
              </w:rPr>
              <w:t>Ashfield Future Pitch/Plot Requirements 2020 to 2038</w:t>
            </w:r>
          </w:p>
        </w:tc>
      </w:tr>
      <w:tr w:rsidR="000A144B" w:rsidRPr="003C7E62" w14:paraId="51D49BCA" w14:textId="77777777" w:rsidTr="00AA6B15">
        <w:trPr>
          <w:trHeight w:val="519"/>
          <w:jc w:val="center"/>
        </w:trPr>
        <w:tc>
          <w:tcPr>
            <w:tcW w:w="2693" w:type="dxa"/>
            <w:shd w:val="clear" w:color="auto" w:fill="D9D9D9"/>
          </w:tcPr>
          <w:p w14:paraId="0AB5386F" w14:textId="77777777" w:rsidR="000A144B" w:rsidRPr="003C7E62" w:rsidRDefault="000A144B" w:rsidP="00523DED">
            <w:pPr>
              <w:contextualSpacing/>
              <w:rPr>
                <w:rFonts w:cs="Arial"/>
                <w:b/>
                <w:szCs w:val="24"/>
              </w:rPr>
            </w:pPr>
            <w:r w:rsidRPr="003C7E62">
              <w:rPr>
                <w:rFonts w:cs="Arial"/>
                <w:b/>
                <w:szCs w:val="24"/>
              </w:rPr>
              <w:t>Period</w:t>
            </w:r>
          </w:p>
        </w:tc>
        <w:tc>
          <w:tcPr>
            <w:tcW w:w="2977" w:type="dxa"/>
            <w:shd w:val="clear" w:color="auto" w:fill="D9D9D9"/>
          </w:tcPr>
          <w:p w14:paraId="6542BA29" w14:textId="77777777" w:rsidR="000A144B" w:rsidRPr="003C7E62" w:rsidRDefault="000A144B" w:rsidP="00523DED">
            <w:pPr>
              <w:contextualSpacing/>
              <w:jc w:val="center"/>
              <w:rPr>
                <w:rFonts w:cs="Arial"/>
                <w:b/>
                <w:szCs w:val="24"/>
              </w:rPr>
            </w:pPr>
            <w:r w:rsidRPr="003C7E62">
              <w:rPr>
                <w:rFonts w:cs="Arial"/>
                <w:b/>
                <w:szCs w:val="24"/>
              </w:rPr>
              <w:t>Gypsy/Traveller Pitches</w:t>
            </w:r>
          </w:p>
        </w:tc>
        <w:tc>
          <w:tcPr>
            <w:tcW w:w="2977" w:type="dxa"/>
            <w:shd w:val="clear" w:color="auto" w:fill="D9D9D9"/>
          </w:tcPr>
          <w:p w14:paraId="4BECADCE" w14:textId="77777777" w:rsidR="000A144B" w:rsidRPr="003C7E62" w:rsidRDefault="000A144B" w:rsidP="00523DED">
            <w:pPr>
              <w:contextualSpacing/>
              <w:jc w:val="center"/>
              <w:rPr>
                <w:rFonts w:cs="Arial"/>
                <w:b/>
                <w:szCs w:val="24"/>
              </w:rPr>
            </w:pPr>
            <w:r w:rsidRPr="003C7E62">
              <w:rPr>
                <w:rFonts w:cs="Arial"/>
                <w:b/>
                <w:szCs w:val="24"/>
              </w:rPr>
              <w:t>Showpeople’s Plots/Yards</w:t>
            </w:r>
          </w:p>
        </w:tc>
      </w:tr>
      <w:tr w:rsidR="000A144B" w:rsidRPr="003C7E62" w14:paraId="386D6AC0" w14:textId="77777777" w:rsidTr="00AA6B15">
        <w:trPr>
          <w:trHeight w:val="526"/>
          <w:jc w:val="center"/>
        </w:trPr>
        <w:tc>
          <w:tcPr>
            <w:tcW w:w="2693" w:type="dxa"/>
          </w:tcPr>
          <w:p w14:paraId="64697A0F" w14:textId="55AF5132" w:rsidR="000A144B" w:rsidRPr="003C7E62" w:rsidRDefault="000A144B" w:rsidP="00523DED">
            <w:pPr>
              <w:contextualSpacing/>
              <w:rPr>
                <w:rFonts w:cs="Arial"/>
                <w:szCs w:val="24"/>
              </w:rPr>
            </w:pPr>
            <w:r w:rsidRPr="003C7E62">
              <w:rPr>
                <w:rFonts w:cs="Arial"/>
                <w:szCs w:val="24"/>
              </w:rPr>
              <w:t>2020 to 2025</w:t>
            </w:r>
          </w:p>
        </w:tc>
        <w:tc>
          <w:tcPr>
            <w:tcW w:w="2977" w:type="dxa"/>
          </w:tcPr>
          <w:p w14:paraId="3D7C7DF2" w14:textId="2802ED5B" w:rsidR="000A144B" w:rsidRPr="0073604D" w:rsidRDefault="00207686" w:rsidP="00523DED">
            <w:pPr>
              <w:contextualSpacing/>
              <w:jc w:val="center"/>
              <w:rPr>
                <w:rFonts w:cs="Arial"/>
                <w:strike/>
                <w:szCs w:val="24"/>
              </w:rPr>
            </w:pPr>
            <w:r w:rsidRPr="0073604D">
              <w:rPr>
                <w:rFonts w:cs="Arial"/>
                <w:szCs w:val="24"/>
              </w:rPr>
              <w:t>1</w:t>
            </w:r>
          </w:p>
        </w:tc>
        <w:tc>
          <w:tcPr>
            <w:tcW w:w="2977" w:type="dxa"/>
          </w:tcPr>
          <w:p w14:paraId="6BF8875A" w14:textId="77777777" w:rsidR="000A144B" w:rsidRPr="0073604D" w:rsidRDefault="000A144B" w:rsidP="00523DED">
            <w:pPr>
              <w:contextualSpacing/>
              <w:jc w:val="center"/>
              <w:rPr>
                <w:rFonts w:cs="Arial"/>
                <w:szCs w:val="24"/>
              </w:rPr>
            </w:pPr>
            <w:r w:rsidRPr="0073604D">
              <w:rPr>
                <w:rFonts w:cs="Arial"/>
                <w:szCs w:val="24"/>
              </w:rPr>
              <w:t>9</w:t>
            </w:r>
          </w:p>
        </w:tc>
      </w:tr>
      <w:tr w:rsidR="000A144B" w:rsidRPr="003C7E62" w14:paraId="375F2957" w14:textId="77777777" w:rsidTr="00AA6B15">
        <w:trPr>
          <w:trHeight w:val="520"/>
          <w:jc w:val="center"/>
        </w:trPr>
        <w:tc>
          <w:tcPr>
            <w:tcW w:w="2693" w:type="dxa"/>
          </w:tcPr>
          <w:p w14:paraId="58A526AF" w14:textId="77777777" w:rsidR="000A144B" w:rsidRPr="003C7E62" w:rsidRDefault="000A144B" w:rsidP="00523DED">
            <w:pPr>
              <w:contextualSpacing/>
              <w:rPr>
                <w:rFonts w:cs="Arial"/>
                <w:szCs w:val="24"/>
              </w:rPr>
            </w:pPr>
            <w:r w:rsidRPr="003C7E62">
              <w:rPr>
                <w:rFonts w:cs="Arial"/>
                <w:szCs w:val="24"/>
              </w:rPr>
              <w:t>2025 to 2030</w:t>
            </w:r>
          </w:p>
        </w:tc>
        <w:tc>
          <w:tcPr>
            <w:tcW w:w="2977" w:type="dxa"/>
          </w:tcPr>
          <w:p w14:paraId="52C9E6BB" w14:textId="77777777" w:rsidR="000A144B" w:rsidRPr="0073604D" w:rsidRDefault="000A144B" w:rsidP="00523DED">
            <w:pPr>
              <w:contextualSpacing/>
              <w:jc w:val="center"/>
              <w:rPr>
                <w:rFonts w:cs="Arial"/>
                <w:szCs w:val="24"/>
              </w:rPr>
            </w:pPr>
            <w:r w:rsidRPr="0073604D">
              <w:rPr>
                <w:rFonts w:cs="Arial"/>
                <w:szCs w:val="24"/>
              </w:rPr>
              <w:t>1</w:t>
            </w:r>
          </w:p>
        </w:tc>
        <w:tc>
          <w:tcPr>
            <w:tcW w:w="2977" w:type="dxa"/>
          </w:tcPr>
          <w:p w14:paraId="26A58800" w14:textId="77777777" w:rsidR="000A144B" w:rsidRPr="0073604D" w:rsidRDefault="000A144B" w:rsidP="00523DED">
            <w:pPr>
              <w:contextualSpacing/>
              <w:jc w:val="center"/>
              <w:rPr>
                <w:rFonts w:cs="Arial"/>
                <w:szCs w:val="24"/>
              </w:rPr>
            </w:pPr>
            <w:r w:rsidRPr="0073604D">
              <w:rPr>
                <w:rFonts w:cs="Arial"/>
                <w:szCs w:val="24"/>
              </w:rPr>
              <w:t>2</w:t>
            </w:r>
          </w:p>
        </w:tc>
      </w:tr>
      <w:tr w:rsidR="000A144B" w:rsidRPr="003C7E62" w14:paraId="7F83768F" w14:textId="77777777" w:rsidTr="00AA6B15">
        <w:trPr>
          <w:trHeight w:val="627"/>
          <w:jc w:val="center"/>
        </w:trPr>
        <w:tc>
          <w:tcPr>
            <w:tcW w:w="2693" w:type="dxa"/>
          </w:tcPr>
          <w:p w14:paraId="58C1B111" w14:textId="77777777" w:rsidR="000A144B" w:rsidRPr="003C7E62" w:rsidRDefault="000A144B" w:rsidP="00523DED">
            <w:pPr>
              <w:contextualSpacing/>
              <w:rPr>
                <w:rFonts w:cs="Arial"/>
                <w:szCs w:val="24"/>
              </w:rPr>
            </w:pPr>
            <w:r w:rsidRPr="003C7E62">
              <w:rPr>
                <w:rFonts w:cs="Arial"/>
                <w:szCs w:val="24"/>
              </w:rPr>
              <w:t>2030 to 2035</w:t>
            </w:r>
          </w:p>
        </w:tc>
        <w:tc>
          <w:tcPr>
            <w:tcW w:w="2977" w:type="dxa"/>
          </w:tcPr>
          <w:p w14:paraId="19B2B770" w14:textId="77777777" w:rsidR="000A144B" w:rsidRPr="0073604D" w:rsidRDefault="000A144B" w:rsidP="00523DED">
            <w:pPr>
              <w:contextualSpacing/>
              <w:jc w:val="center"/>
              <w:rPr>
                <w:rFonts w:cs="Arial"/>
                <w:szCs w:val="24"/>
              </w:rPr>
            </w:pPr>
            <w:r w:rsidRPr="0073604D">
              <w:rPr>
                <w:rFonts w:cs="Arial"/>
                <w:szCs w:val="24"/>
              </w:rPr>
              <w:t>1</w:t>
            </w:r>
          </w:p>
        </w:tc>
        <w:tc>
          <w:tcPr>
            <w:tcW w:w="2977" w:type="dxa"/>
          </w:tcPr>
          <w:p w14:paraId="78340A7E" w14:textId="77777777" w:rsidR="000A144B" w:rsidRPr="0073604D" w:rsidRDefault="000A144B" w:rsidP="00523DED">
            <w:pPr>
              <w:contextualSpacing/>
              <w:jc w:val="center"/>
              <w:rPr>
                <w:rFonts w:cs="Arial"/>
                <w:szCs w:val="24"/>
              </w:rPr>
            </w:pPr>
            <w:r w:rsidRPr="0073604D">
              <w:rPr>
                <w:rFonts w:cs="Arial"/>
                <w:szCs w:val="24"/>
              </w:rPr>
              <w:t>2</w:t>
            </w:r>
          </w:p>
        </w:tc>
      </w:tr>
      <w:tr w:rsidR="000A144B" w:rsidRPr="003C7E62" w14:paraId="5CDF5682" w14:textId="77777777" w:rsidTr="00AA6B15">
        <w:trPr>
          <w:trHeight w:val="627"/>
          <w:jc w:val="center"/>
        </w:trPr>
        <w:tc>
          <w:tcPr>
            <w:tcW w:w="2693" w:type="dxa"/>
          </w:tcPr>
          <w:p w14:paraId="716856A4" w14:textId="77777777" w:rsidR="000A144B" w:rsidRPr="003C7E62" w:rsidRDefault="000A144B" w:rsidP="00523DED">
            <w:pPr>
              <w:contextualSpacing/>
              <w:rPr>
                <w:rFonts w:cs="Arial"/>
                <w:szCs w:val="24"/>
              </w:rPr>
            </w:pPr>
            <w:r w:rsidRPr="003C7E62">
              <w:rPr>
                <w:rFonts w:cs="Arial"/>
                <w:szCs w:val="24"/>
              </w:rPr>
              <w:t>2035 to 2038</w:t>
            </w:r>
          </w:p>
        </w:tc>
        <w:tc>
          <w:tcPr>
            <w:tcW w:w="2977" w:type="dxa"/>
          </w:tcPr>
          <w:p w14:paraId="4AD0B3CF" w14:textId="77777777" w:rsidR="000A144B" w:rsidRPr="0073604D" w:rsidRDefault="000A144B" w:rsidP="00523DED">
            <w:pPr>
              <w:contextualSpacing/>
              <w:jc w:val="center"/>
              <w:rPr>
                <w:rFonts w:cs="Arial"/>
                <w:szCs w:val="24"/>
              </w:rPr>
            </w:pPr>
            <w:r w:rsidRPr="0073604D">
              <w:rPr>
                <w:rFonts w:cs="Arial"/>
                <w:szCs w:val="24"/>
              </w:rPr>
              <w:t>1</w:t>
            </w:r>
          </w:p>
        </w:tc>
        <w:tc>
          <w:tcPr>
            <w:tcW w:w="2977" w:type="dxa"/>
          </w:tcPr>
          <w:p w14:paraId="438EEB22" w14:textId="77777777" w:rsidR="000A144B" w:rsidRPr="0073604D" w:rsidRDefault="000A144B" w:rsidP="00523DED">
            <w:pPr>
              <w:contextualSpacing/>
              <w:jc w:val="center"/>
              <w:rPr>
                <w:rFonts w:cs="Arial"/>
                <w:szCs w:val="24"/>
              </w:rPr>
            </w:pPr>
            <w:r w:rsidRPr="0073604D">
              <w:rPr>
                <w:rFonts w:cs="Arial"/>
                <w:szCs w:val="24"/>
              </w:rPr>
              <w:t>1</w:t>
            </w:r>
          </w:p>
        </w:tc>
      </w:tr>
      <w:tr w:rsidR="000A144B" w:rsidRPr="003C7E62" w14:paraId="798C09E6" w14:textId="77777777" w:rsidTr="00AA6B15">
        <w:trPr>
          <w:trHeight w:val="627"/>
          <w:jc w:val="center"/>
        </w:trPr>
        <w:tc>
          <w:tcPr>
            <w:tcW w:w="2693" w:type="dxa"/>
          </w:tcPr>
          <w:p w14:paraId="7F06AD49" w14:textId="77777777" w:rsidR="000A144B" w:rsidRPr="003C7E62" w:rsidRDefault="000A144B" w:rsidP="00523DED">
            <w:pPr>
              <w:contextualSpacing/>
              <w:rPr>
                <w:rFonts w:cs="Arial"/>
                <w:b/>
                <w:bCs/>
                <w:color w:val="auto"/>
                <w:szCs w:val="24"/>
              </w:rPr>
            </w:pPr>
            <w:r w:rsidRPr="003C7E62">
              <w:rPr>
                <w:rFonts w:cs="Arial"/>
                <w:b/>
                <w:bCs/>
                <w:color w:val="auto"/>
                <w:szCs w:val="24"/>
              </w:rPr>
              <w:t>Total 2020 to 2038</w:t>
            </w:r>
          </w:p>
        </w:tc>
        <w:tc>
          <w:tcPr>
            <w:tcW w:w="2977" w:type="dxa"/>
          </w:tcPr>
          <w:p w14:paraId="3E32D796" w14:textId="3C02991C" w:rsidR="000A144B" w:rsidRPr="0073604D" w:rsidRDefault="00207686" w:rsidP="00523DED">
            <w:pPr>
              <w:contextualSpacing/>
              <w:jc w:val="center"/>
              <w:rPr>
                <w:rFonts w:cs="Arial"/>
                <w:b/>
                <w:bCs/>
                <w:szCs w:val="24"/>
              </w:rPr>
            </w:pPr>
            <w:r w:rsidRPr="0073604D">
              <w:rPr>
                <w:rFonts w:cs="Arial"/>
                <w:b/>
                <w:szCs w:val="24"/>
              </w:rPr>
              <w:t>4</w:t>
            </w:r>
          </w:p>
        </w:tc>
        <w:tc>
          <w:tcPr>
            <w:tcW w:w="2977" w:type="dxa"/>
          </w:tcPr>
          <w:p w14:paraId="3F8557F4" w14:textId="77777777" w:rsidR="000A144B" w:rsidRPr="0073604D" w:rsidRDefault="000A144B" w:rsidP="00523DED">
            <w:pPr>
              <w:contextualSpacing/>
              <w:jc w:val="center"/>
              <w:rPr>
                <w:rFonts w:cs="Arial"/>
                <w:b/>
                <w:bCs/>
                <w:szCs w:val="24"/>
              </w:rPr>
            </w:pPr>
            <w:r w:rsidRPr="0073604D">
              <w:rPr>
                <w:rFonts w:cs="Arial"/>
                <w:b/>
                <w:bCs/>
                <w:szCs w:val="24"/>
              </w:rPr>
              <w:t>14</w:t>
            </w:r>
          </w:p>
        </w:tc>
      </w:tr>
    </w:tbl>
    <w:p w14:paraId="4ACCE582" w14:textId="77777777" w:rsidR="0011216B" w:rsidRDefault="0011216B" w:rsidP="00F260E8">
      <w:pPr>
        <w:keepNext w:val="0"/>
        <w:spacing w:before="0"/>
        <w:ind w:left="525"/>
        <w:rPr>
          <w:rFonts w:cs="Arial"/>
          <w:b/>
          <w:szCs w:val="24"/>
        </w:rPr>
      </w:pPr>
    </w:p>
    <w:p w14:paraId="3AACF508" w14:textId="21971864" w:rsidR="000A144B" w:rsidRDefault="0011216B" w:rsidP="00890704">
      <w:pPr>
        <w:pStyle w:val="Heading3"/>
      </w:pPr>
      <w:r w:rsidRPr="009B4089">
        <w:t xml:space="preserve">Table </w:t>
      </w:r>
      <w:r w:rsidR="000032B0">
        <w:t>4</w:t>
      </w:r>
      <w:r w:rsidRPr="009B4089">
        <w:t>:</w:t>
      </w:r>
      <w:r w:rsidRPr="003C7E62">
        <w:t xml:space="preserve"> Ashfield Future Pitch/Plot Requirements 2020 to 2038</w:t>
      </w:r>
      <w:r w:rsidR="00CE3097">
        <w:t>.</w:t>
      </w:r>
    </w:p>
    <w:p w14:paraId="59E30AC7" w14:textId="5864934B" w:rsidR="0011216B" w:rsidRPr="0011216B" w:rsidRDefault="0011216B" w:rsidP="00F260E8">
      <w:pPr>
        <w:keepNext w:val="0"/>
        <w:spacing w:before="0"/>
        <w:ind w:left="525"/>
        <w:rPr>
          <w:rFonts w:cs="Arial"/>
          <w:color w:val="auto"/>
          <w:sz w:val="20"/>
        </w:rPr>
      </w:pPr>
      <w:r w:rsidRPr="0011216B">
        <w:rPr>
          <w:rFonts w:cs="Arial"/>
          <w:color w:val="auto"/>
          <w:sz w:val="20"/>
        </w:rPr>
        <w:t>Source: Greater Nottingham and Ashfield District Council Gypsy and Traveller Accommodation Assessment 2021</w:t>
      </w:r>
      <w:r w:rsidR="00CE3097">
        <w:rPr>
          <w:rFonts w:cs="Arial"/>
          <w:color w:val="auto"/>
          <w:sz w:val="20"/>
        </w:rPr>
        <w:t>.</w:t>
      </w:r>
    </w:p>
    <w:p w14:paraId="6AB16A85" w14:textId="77777777" w:rsidR="000A144B" w:rsidRPr="003C7E62" w:rsidRDefault="000A144B" w:rsidP="00F260E8">
      <w:pPr>
        <w:keepNext w:val="0"/>
        <w:spacing w:before="0"/>
        <w:ind w:left="851"/>
        <w:rPr>
          <w:rFonts w:cs="Arial"/>
          <w:color w:val="auto"/>
          <w:szCs w:val="24"/>
        </w:rPr>
      </w:pPr>
    </w:p>
    <w:p w14:paraId="289CF965" w14:textId="6B0E23D4" w:rsidR="005F229B" w:rsidRPr="003B0537" w:rsidRDefault="0095348B" w:rsidP="00E73430">
      <w:pPr>
        <w:keepNext w:val="0"/>
        <w:numPr>
          <w:ilvl w:val="1"/>
          <w:numId w:val="344"/>
        </w:numPr>
        <w:spacing w:before="0"/>
        <w:ind w:left="567" w:hanging="851"/>
        <w:rPr>
          <w:rFonts w:cs="Arial"/>
          <w:color w:val="auto"/>
          <w:szCs w:val="24"/>
          <w:lang w:eastAsia="en-US"/>
        </w:rPr>
      </w:pPr>
      <w:r w:rsidRPr="003B0537">
        <w:rPr>
          <w:rFonts w:cs="Arial"/>
          <w:szCs w:val="24"/>
        </w:rPr>
        <w:t xml:space="preserve">The provision of Traveller sites will be monitored in future Housing Land Monitoring Reports on an annual basis. </w:t>
      </w:r>
      <w:r w:rsidR="004D1D2A" w:rsidRPr="003B0537">
        <w:rPr>
          <w:rFonts w:cs="Arial"/>
          <w:color w:val="auto"/>
          <w:szCs w:val="24"/>
          <w:lang w:eastAsia="en-US"/>
        </w:rPr>
        <w:br w:type="page"/>
      </w:r>
    </w:p>
    <w:p w14:paraId="1695F32C" w14:textId="740D82CE" w:rsidR="005F229B" w:rsidRPr="009D5737" w:rsidRDefault="004D1D2A" w:rsidP="009D5737">
      <w:pPr>
        <w:pStyle w:val="Heading2"/>
        <w:jc w:val="left"/>
        <w:rPr>
          <w:sz w:val="28"/>
          <w:szCs w:val="28"/>
        </w:rPr>
      </w:pPr>
      <w:bookmarkStart w:id="70" w:name="_Toc145511560"/>
      <w:bookmarkStart w:id="71" w:name="_Hlk146273104"/>
      <w:r w:rsidRPr="009D5737">
        <w:rPr>
          <w:sz w:val="28"/>
          <w:szCs w:val="28"/>
        </w:rPr>
        <w:t xml:space="preserve">Strategic Policy </w:t>
      </w:r>
      <w:r w:rsidR="005F229B" w:rsidRPr="009D5737">
        <w:rPr>
          <w:sz w:val="28"/>
          <w:szCs w:val="28"/>
        </w:rPr>
        <w:t>S</w:t>
      </w:r>
      <w:r w:rsidR="005908AA" w:rsidRPr="009D5737">
        <w:rPr>
          <w:sz w:val="28"/>
          <w:szCs w:val="28"/>
        </w:rPr>
        <w:t>8</w:t>
      </w:r>
      <w:r w:rsidRPr="009D5737">
        <w:rPr>
          <w:sz w:val="28"/>
          <w:szCs w:val="28"/>
        </w:rPr>
        <w:t>:</w:t>
      </w:r>
      <w:r w:rsidR="005F229B" w:rsidRPr="009D5737">
        <w:rPr>
          <w:sz w:val="28"/>
          <w:szCs w:val="28"/>
        </w:rPr>
        <w:t xml:space="preserve"> </w:t>
      </w:r>
      <w:r w:rsidR="00162A7B" w:rsidRPr="009D5737">
        <w:rPr>
          <w:sz w:val="28"/>
          <w:szCs w:val="28"/>
        </w:rPr>
        <w:t>Delivering Economic Opportunities</w:t>
      </w:r>
      <w:bookmarkEnd w:id="70"/>
      <w:r w:rsidR="00162A7B" w:rsidRPr="009D5737">
        <w:rPr>
          <w:sz w:val="28"/>
          <w:szCs w:val="28"/>
        </w:rPr>
        <w:t xml:space="preserve"> </w:t>
      </w:r>
      <w:bookmarkStart w:id="72" w:name="_Hlk77936685"/>
      <w:bookmarkEnd w:id="71"/>
    </w:p>
    <w:p w14:paraId="7FDC6271" w14:textId="77777777" w:rsidR="00162A7B" w:rsidRPr="003C7E62" w:rsidRDefault="00162A7B" w:rsidP="005F229B">
      <w:pPr>
        <w:keepNext w:val="0"/>
        <w:spacing w:before="0"/>
        <w:rPr>
          <w:rFonts w:cs="Arial"/>
          <w:b/>
          <w:bCs/>
          <w:color w:val="auto"/>
          <w:sz w:val="28"/>
          <w:szCs w:val="28"/>
          <w:lang w:eastAsia="en-US"/>
        </w:rPr>
      </w:pPr>
    </w:p>
    <w:tbl>
      <w:tblPr>
        <w:tblStyle w:val="ReportTable1"/>
        <w:tblW w:w="9634" w:type="dxa"/>
        <w:tblLook w:val="04A0" w:firstRow="1" w:lastRow="0" w:firstColumn="1" w:lastColumn="0" w:noHBand="0" w:noVBand="1"/>
      </w:tblPr>
      <w:tblGrid>
        <w:gridCol w:w="1413"/>
        <w:gridCol w:w="8221"/>
      </w:tblGrid>
      <w:tr w:rsidR="000A144B" w:rsidRPr="003C7E62" w14:paraId="2AE4DEE4" w14:textId="77777777" w:rsidTr="00CB0557">
        <w:tc>
          <w:tcPr>
            <w:tcW w:w="9634" w:type="dxa"/>
            <w:gridSpan w:val="2"/>
          </w:tcPr>
          <w:p w14:paraId="0E05D98B" w14:textId="77777777" w:rsidR="009B4089" w:rsidRDefault="009B4089" w:rsidP="000A144B">
            <w:pPr>
              <w:keepNext w:val="0"/>
              <w:spacing w:before="0"/>
              <w:rPr>
                <w:rFonts w:cs="Arial"/>
                <w:b/>
                <w:bCs/>
                <w:color w:val="auto"/>
                <w:szCs w:val="24"/>
                <w:lang w:eastAsia="en-US"/>
              </w:rPr>
            </w:pPr>
          </w:p>
          <w:p w14:paraId="1BA8D19A" w14:textId="622BC042" w:rsidR="009B4089" w:rsidRDefault="000A144B" w:rsidP="00162A7B">
            <w:pPr>
              <w:keepNext w:val="0"/>
              <w:spacing w:before="0"/>
              <w:rPr>
                <w:rFonts w:cs="Arial"/>
                <w:b/>
                <w:bCs/>
                <w:color w:val="auto"/>
                <w:szCs w:val="24"/>
                <w:lang w:eastAsia="en-US"/>
              </w:rPr>
            </w:pPr>
            <w:bookmarkStart w:id="73" w:name="_Hlk82269071"/>
            <w:r w:rsidRPr="003C7E62">
              <w:rPr>
                <w:rFonts w:cs="Arial"/>
                <w:b/>
                <w:bCs/>
                <w:color w:val="auto"/>
                <w:szCs w:val="24"/>
                <w:lang w:eastAsia="en-US"/>
              </w:rPr>
              <w:t>Strategic Policy S</w:t>
            </w:r>
            <w:r w:rsidR="005908AA" w:rsidRPr="001B720A">
              <w:rPr>
                <w:rFonts w:cs="Arial"/>
                <w:b/>
                <w:bCs/>
                <w:color w:val="auto"/>
                <w:szCs w:val="24"/>
                <w:lang w:eastAsia="en-US"/>
              </w:rPr>
              <w:t>8</w:t>
            </w:r>
            <w:r w:rsidRPr="003C7E62">
              <w:rPr>
                <w:rFonts w:cs="Arial"/>
                <w:b/>
                <w:bCs/>
                <w:color w:val="auto"/>
                <w:szCs w:val="24"/>
                <w:lang w:eastAsia="en-US"/>
              </w:rPr>
              <w:t xml:space="preserve">: </w:t>
            </w:r>
            <w:r w:rsidR="00162A7B" w:rsidRPr="00162A7B">
              <w:rPr>
                <w:rFonts w:cs="Arial"/>
                <w:b/>
                <w:bCs/>
                <w:color w:val="auto"/>
                <w:szCs w:val="24"/>
                <w:lang w:eastAsia="en-US"/>
              </w:rPr>
              <w:t xml:space="preserve">Delivering Economic Opportunities </w:t>
            </w:r>
          </w:p>
          <w:bookmarkEnd w:id="73"/>
          <w:p w14:paraId="27A61E4B" w14:textId="6DDB9325" w:rsidR="00162A7B" w:rsidRPr="003C7E62" w:rsidRDefault="00162A7B" w:rsidP="00162A7B">
            <w:pPr>
              <w:keepNext w:val="0"/>
              <w:spacing w:before="0"/>
              <w:rPr>
                <w:rFonts w:cs="Arial"/>
                <w:b/>
                <w:bCs/>
                <w:color w:val="auto"/>
                <w:szCs w:val="24"/>
                <w:lang w:eastAsia="en-US"/>
              </w:rPr>
            </w:pPr>
          </w:p>
        </w:tc>
      </w:tr>
      <w:tr w:rsidR="00253929" w:rsidRPr="003C7E62" w14:paraId="7359E34F" w14:textId="77777777" w:rsidTr="00CB0557">
        <w:tc>
          <w:tcPr>
            <w:tcW w:w="1413" w:type="dxa"/>
          </w:tcPr>
          <w:p w14:paraId="49950668" w14:textId="77777777" w:rsidR="00253929" w:rsidRPr="00F11936" w:rsidRDefault="00253929" w:rsidP="00253929">
            <w:pPr>
              <w:keepNext w:val="0"/>
              <w:tabs>
                <w:tab w:val="left" w:pos="680"/>
              </w:tabs>
              <w:spacing w:before="40" w:after="40"/>
              <w:rPr>
                <w:rFonts w:eastAsia="Arial" w:cs="Arial"/>
                <w:bCs/>
                <w:color w:val="auto"/>
              </w:rPr>
            </w:pPr>
            <w:r w:rsidRPr="00F11936">
              <w:rPr>
                <w:rFonts w:eastAsia="Arial" w:cs="Arial"/>
                <w:bCs/>
                <w:color w:val="auto"/>
              </w:rPr>
              <w:t>Strategic Objectives</w:t>
            </w:r>
          </w:p>
        </w:tc>
        <w:tc>
          <w:tcPr>
            <w:tcW w:w="8221" w:type="dxa"/>
          </w:tcPr>
          <w:p w14:paraId="7523A410" w14:textId="77777777" w:rsidR="00253929" w:rsidRPr="00F11936" w:rsidRDefault="00253929" w:rsidP="00253929">
            <w:pPr>
              <w:keepNext w:val="0"/>
              <w:tabs>
                <w:tab w:val="left" w:pos="680"/>
              </w:tabs>
              <w:spacing w:before="40" w:after="40"/>
              <w:rPr>
                <w:rFonts w:eastAsia="Arial" w:cs="Arial"/>
                <w:bCs/>
                <w:color w:val="auto"/>
              </w:rPr>
            </w:pPr>
            <w:r w:rsidRPr="00F11936">
              <w:rPr>
                <w:rFonts w:eastAsia="Arial" w:cs="Arial"/>
                <w:bCs/>
                <w:color w:val="auto"/>
              </w:rPr>
              <w:t>SO1, SO4, SO5, SO6, SO7, SO8, SO9, SO10, SO12.</w:t>
            </w:r>
          </w:p>
        </w:tc>
      </w:tr>
      <w:tr w:rsidR="00253929" w:rsidRPr="003C7E62" w14:paraId="2E195FC3" w14:textId="77777777" w:rsidTr="00CB0557">
        <w:tc>
          <w:tcPr>
            <w:tcW w:w="9634" w:type="dxa"/>
            <w:gridSpan w:val="2"/>
            <w:shd w:val="clear" w:color="auto" w:fill="DBDBDB"/>
          </w:tcPr>
          <w:p w14:paraId="5A72444F" w14:textId="77777777" w:rsidR="00253929" w:rsidRPr="0073604D" w:rsidRDefault="00253929" w:rsidP="00F260E8">
            <w:pPr>
              <w:keepNext w:val="0"/>
              <w:tabs>
                <w:tab w:val="left" w:pos="680"/>
                <w:tab w:val="left" w:pos="1133"/>
                <w:tab w:val="left" w:pos="2267"/>
              </w:tabs>
              <w:spacing w:before="0"/>
              <w:ind w:right="284"/>
              <w:rPr>
                <w:rFonts w:eastAsia="Arial" w:cs="Arial"/>
              </w:rPr>
            </w:pPr>
          </w:p>
          <w:p w14:paraId="6CB37937" w14:textId="5827839D" w:rsidR="00253929" w:rsidRPr="0073604D" w:rsidRDefault="00253929" w:rsidP="00D01157">
            <w:pPr>
              <w:keepNext w:val="0"/>
              <w:numPr>
                <w:ilvl w:val="0"/>
                <w:numId w:val="23"/>
              </w:numPr>
              <w:spacing w:before="0"/>
              <w:ind w:right="284"/>
              <w:rPr>
                <w:rFonts w:eastAsia="Arial" w:cs="Arial"/>
                <w:szCs w:val="24"/>
              </w:rPr>
            </w:pPr>
            <w:bookmarkStart w:id="74" w:name="_Hlk146273377"/>
            <w:r w:rsidRPr="0073604D">
              <w:rPr>
                <w:rFonts w:eastAsia="Arial" w:cs="Arial"/>
              </w:rPr>
              <w:t xml:space="preserve">The Council is committed to developing a sustainable, diverse and resilient economy, </w:t>
            </w:r>
            <w:r w:rsidRPr="0073604D">
              <w:rPr>
                <w:rFonts w:eastAsia="Arial" w:cs="Arial"/>
                <w:szCs w:val="24"/>
              </w:rPr>
              <w:t>reducing low wages and improving skill levels in order to narrow the difference between District and national figures by:</w:t>
            </w:r>
          </w:p>
          <w:p w14:paraId="3C3E301C" w14:textId="77777777" w:rsidR="00253929" w:rsidRPr="0073604D" w:rsidRDefault="00253929" w:rsidP="00F260E8">
            <w:pPr>
              <w:keepNext w:val="0"/>
              <w:tabs>
                <w:tab w:val="left" w:pos="680"/>
                <w:tab w:val="left" w:pos="1133"/>
                <w:tab w:val="left" w:pos="2267"/>
              </w:tabs>
              <w:spacing w:before="0"/>
              <w:ind w:left="360" w:right="284"/>
              <w:rPr>
                <w:rFonts w:eastAsia="Arial" w:cs="Arial"/>
                <w:szCs w:val="24"/>
              </w:rPr>
            </w:pPr>
          </w:p>
          <w:p w14:paraId="522E2F40" w14:textId="6F408E59" w:rsidR="007529CE" w:rsidRPr="007529CE" w:rsidRDefault="007529CE" w:rsidP="007529CE">
            <w:pPr>
              <w:pStyle w:val="ListParagraph"/>
              <w:numPr>
                <w:ilvl w:val="0"/>
                <w:numId w:val="20"/>
              </w:numPr>
              <w:rPr>
                <w:rFonts w:ascii="Arial" w:eastAsia="Arial" w:hAnsi="Arial" w:cs="Arial"/>
                <w:szCs w:val="24"/>
                <w:lang w:eastAsia="en-GB"/>
              </w:rPr>
            </w:pPr>
            <w:r w:rsidRPr="007529CE">
              <w:rPr>
                <w:rFonts w:ascii="Arial" w:eastAsia="Arial" w:hAnsi="Arial" w:cs="Arial"/>
                <w:szCs w:val="24"/>
                <w:lang w:eastAsia="en-GB"/>
              </w:rPr>
              <w:t>Providing for the growth of the local and regional economy by ensuring sufficient and appropriate employment land is available within the District</w:t>
            </w:r>
            <w:r>
              <w:rPr>
                <w:rFonts w:ascii="Arial" w:eastAsia="Arial" w:hAnsi="Arial" w:cs="Arial"/>
                <w:szCs w:val="24"/>
                <w:lang w:eastAsia="en-GB"/>
              </w:rPr>
              <w:t xml:space="preserve"> to meet local n</w:t>
            </w:r>
            <w:r w:rsidRPr="007529CE">
              <w:rPr>
                <w:rFonts w:ascii="Arial" w:eastAsia="Arial" w:hAnsi="Arial" w:cs="Arial"/>
                <w:szCs w:val="24"/>
                <w:lang w:eastAsia="en-GB"/>
              </w:rPr>
              <w:t xml:space="preserve">eeds and to contribute towards future regional needs of businesses. The employment land demand requires 81 ha of employment land from 2023 to 2040, which is met through Strategic Policy S6: Strategic Employment Allocation at Junction 27 M1 Motorway and Policy EM2: Employment land Allocations.   </w:t>
            </w:r>
          </w:p>
          <w:p w14:paraId="1448700D" w14:textId="01480C81" w:rsidR="00945E91" w:rsidRPr="0073604D" w:rsidRDefault="00945E91" w:rsidP="00D01157">
            <w:pPr>
              <w:keepNext w:val="0"/>
              <w:numPr>
                <w:ilvl w:val="0"/>
                <w:numId w:val="20"/>
              </w:numPr>
              <w:spacing w:before="0" w:after="160"/>
              <w:ind w:right="284"/>
              <w:contextualSpacing/>
              <w:rPr>
                <w:rFonts w:eastAsia="Arial" w:cs="Arial"/>
                <w:szCs w:val="24"/>
              </w:rPr>
            </w:pPr>
            <w:bookmarkStart w:id="75" w:name="_Hlk82269108"/>
            <w:bookmarkEnd w:id="74"/>
            <w:r w:rsidRPr="0073604D">
              <w:rPr>
                <w:rFonts w:eastAsia="Arial" w:cs="Arial"/>
                <w:szCs w:val="24"/>
              </w:rPr>
              <w:t>Providing a framework to protect the District’s employment allocations, Key Employment Areas identified below, and other employment sites /buildings:</w:t>
            </w:r>
          </w:p>
          <w:p w14:paraId="1B160757" w14:textId="1784BCFE" w:rsidR="00B462C9" w:rsidRPr="0073604D" w:rsidRDefault="00B462C9" w:rsidP="00874A98">
            <w:pPr>
              <w:pStyle w:val="ListParagraph"/>
              <w:numPr>
                <w:ilvl w:val="0"/>
                <w:numId w:val="99"/>
              </w:numPr>
              <w:spacing w:line="240" w:lineRule="auto"/>
              <w:rPr>
                <w:rFonts w:ascii="Arial" w:eastAsia="Arial" w:hAnsi="Arial" w:cs="Arial"/>
                <w:szCs w:val="24"/>
              </w:rPr>
            </w:pPr>
            <w:r w:rsidRPr="0073604D">
              <w:rPr>
                <w:rFonts w:ascii="Arial" w:eastAsia="Arial" w:hAnsi="Arial" w:cs="Arial"/>
                <w:szCs w:val="24"/>
              </w:rPr>
              <w:t>Calladine Business Park, Sutton in Ashfield</w:t>
            </w:r>
            <w:r w:rsidR="00AB1A98" w:rsidRPr="0073604D">
              <w:rPr>
                <w:rFonts w:ascii="Arial" w:eastAsia="Arial" w:hAnsi="Arial" w:cs="Arial"/>
                <w:szCs w:val="24"/>
              </w:rPr>
              <w:t>;</w:t>
            </w:r>
          </w:p>
          <w:p w14:paraId="372446F5" w14:textId="41677536" w:rsidR="00B462C9" w:rsidRPr="0073604D" w:rsidRDefault="00B462C9" w:rsidP="00874A98">
            <w:pPr>
              <w:pStyle w:val="ListParagraph"/>
              <w:numPr>
                <w:ilvl w:val="0"/>
                <w:numId w:val="99"/>
              </w:numPr>
              <w:spacing w:line="240" w:lineRule="auto"/>
              <w:rPr>
                <w:rFonts w:ascii="Arial" w:eastAsia="Arial" w:hAnsi="Arial" w:cs="Arial"/>
                <w:szCs w:val="24"/>
              </w:rPr>
            </w:pPr>
            <w:r w:rsidRPr="0073604D">
              <w:rPr>
                <w:rFonts w:ascii="Arial" w:eastAsia="Arial" w:hAnsi="Arial" w:cs="Arial"/>
                <w:szCs w:val="24"/>
              </w:rPr>
              <w:t>Castlewood Grange Business Park, Sutton in Ashfield</w:t>
            </w:r>
            <w:r w:rsidR="00AB1A98" w:rsidRPr="0073604D">
              <w:rPr>
                <w:rFonts w:ascii="Arial" w:eastAsia="Arial" w:hAnsi="Arial" w:cs="Arial"/>
                <w:szCs w:val="24"/>
              </w:rPr>
              <w:t>;</w:t>
            </w:r>
          </w:p>
          <w:p w14:paraId="05C3013F" w14:textId="163DEB9B" w:rsidR="00B462C9" w:rsidRPr="0073604D" w:rsidRDefault="00B462C9" w:rsidP="00874A98">
            <w:pPr>
              <w:pStyle w:val="ListParagraph"/>
              <w:numPr>
                <w:ilvl w:val="0"/>
                <w:numId w:val="99"/>
              </w:numPr>
              <w:spacing w:line="240" w:lineRule="auto"/>
              <w:rPr>
                <w:rFonts w:ascii="Arial" w:eastAsia="Arial" w:hAnsi="Arial" w:cs="Arial"/>
                <w:szCs w:val="24"/>
              </w:rPr>
            </w:pPr>
            <w:r w:rsidRPr="0073604D">
              <w:rPr>
                <w:rFonts w:ascii="Arial" w:eastAsia="Arial" w:hAnsi="Arial" w:cs="Arial"/>
                <w:szCs w:val="24"/>
              </w:rPr>
              <w:t>County Estate Nunn Brook Road/Brookside Way, Sutton in Ashfield</w:t>
            </w:r>
            <w:r w:rsidR="00AB1A98" w:rsidRPr="0073604D">
              <w:rPr>
                <w:rFonts w:ascii="Arial" w:eastAsia="Arial" w:hAnsi="Arial" w:cs="Arial"/>
                <w:szCs w:val="24"/>
              </w:rPr>
              <w:t>;</w:t>
            </w:r>
          </w:p>
          <w:p w14:paraId="25137201" w14:textId="51D56669" w:rsidR="00B462C9" w:rsidRPr="0073604D" w:rsidRDefault="00B462C9" w:rsidP="00874A98">
            <w:pPr>
              <w:pStyle w:val="ListParagraph"/>
              <w:numPr>
                <w:ilvl w:val="0"/>
                <w:numId w:val="99"/>
              </w:numPr>
              <w:spacing w:line="240" w:lineRule="auto"/>
              <w:rPr>
                <w:rFonts w:ascii="Arial" w:eastAsia="Arial" w:hAnsi="Arial" w:cs="Arial"/>
                <w:szCs w:val="24"/>
              </w:rPr>
            </w:pPr>
            <w:r w:rsidRPr="0073604D">
              <w:rPr>
                <w:rFonts w:ascii="Arial" w:eastAsia="Arial" w:hAnsi="Arial" w:cs="Arial"/>
                <w:szCs w:val="24"/>
              </w:rPr>
              <w:t>Common Road, Industrial Estate, Export Drive, Sutton in Ashfield</w:t>
            </w:r>
            <w:r w:rsidR="00AB1A98" w:rsidRPr="0073604D">
              <w:rPr>
                <w:rFonts w:ascii="Arial" w:eastAsia="Arial" w:hAnsi="Arial" w:cs="Arial"/>
                <w:szCs w:val="24"/>
              </w:rPr>
              <w:t>;</w:t>
            </w:r>
          </w:p>
          <w:p w14:paraId="760958F7" w14:textId="1AA77F8C" w:rsidR="00B462C9" w:rsidRPr="0073604D" w:rsidRDefault="00B462C9" w:rsidP="00874A98">
            <w:pPr>
              <w:pStyle w:val="ListParagraph"/>
              <w:numPr>
                <w:ilvl w:val="0"/>
                <w:numId w:val="99"/>
              </w:numPr>
              <w:spacing w:line="240" w:lineRule="auto"/>
              <w:rPr>
                <w:rFonts w:ascii="Arial" w:eastAsia="Arial" w:hAnsi="Arial" w:cs="Arial"/>
                <w:szCs w:val="24"/>
              </w:rPr>
            </w:pPr>
            <w:r w:rsidRPr="0073604D">
              <w:rPr>
                <w:rFonts w:ascii="Arial" w:eastAsia="Arial" w:hAnsi="Arial" w:cs="Arial"/>
                <w:szCs w:val="24"/>
              </w:rPr>
              <w:t>Fulwood Industrial Estate, Fulwood Road, Sutton in Ashfield</w:t>
            </w:r>
            <w:r w:rsidR="00AB1A98" w:rsidRPr="0073604D">
              <w:rPr>
                <w:rFonts w:ascii="Arial" w:eastAsia="Arial" w:hAnsi="Arial" w:cs="Arial"/>
                <w:szCs w:val="24"/>
              </w:rPr>
              <w:t>;</w:t>
            </w:r>
          </w:p>
          <w:p w14:paraId="5FA6FC4E" w14:textId="50161A65" w:rsidR="00B462C9" w:rsidRPr="0073604D" w:rsidRDefault="00B462C9" w:rsidP="00874A98">
            <w:pPr>
              <w:pStyle w:val="ListParagraph"/>
              <w:numPr>
                <w:ilvl w:val="0"/>
                <w:numId w:val="99"/>
              </w:numPr>
              <w:spacing w:line="240" w:lineRule="auto"/>
              <w:rPr>
                <w:rFonts w:ascii="Arial" w:eastAsia="Arial" w:hAnsi="Arial" w:cs="Arial"/>
                <w:szCs w:val="24"/>
              </w:rPr>
            </w:pPr>
            <w:r w:rsidRPr="0073604D">
              <w:rPr>
                <w:rFonts w:ascii="Arial" w:eastAsia="Arial" w:hAnsi="Arial" w:cs="Arial"/>
                <w:szCs w:val="24"/>
              </w:rPr>
              <w:t>Hamilton Road, Sutton in Ashfield</w:t>
            </w:r>
            <w:r w:rsidR="00AB1A98" w:rsidRPr="0073604D">
              <w:rPr>
                <w:rFonts w:ascii="Arial" w:eastAsia="Arial" w:hAnsi="Arial" w:cs="Arial"/>
                <w:szCs w:val="24"/>
              </w:rPr>
              <w:t>;</w:t>
            </w:r>
          </w:p>
          <w:p w14:paraId="242A30DA" w14:textId="368D6E91" w:rsidR="00B462C9" w:rsidRPr="0073604D" w:rsidRDefault="00B462C9" w:rsidP="00874A98">
            <w:pPr>
              <w:pStyle w:val="ListParagraph"/>
              <w:numPr>
                <w:ilvl w:val="0"/>
                <w:numId w:val="99"/>
              </w:numPr>
              <w:spacing w:line="240" w:lineRule="auto"/>
              <w:rPr>
                <w:rFonts w:ascii="Arial" w:eastAsia="Arial" w:hAnsi="Arial" w:cs="Arial"/>
                <w:szCs w:val="24"/>
              </w:rPr>
            </w:pPr>
            <w:r w:rsidRPr="0073604D">
              <w:rPr>
                <w:rFonts w:ascii="Arial" w:eastAsia="Arial" w:hAnsi="Arial" w:cs="Arial"/>
                <w:szCs w:val="24"/>
              </w:rPr>
              <w:t>Summit Park, Sherwood Way South, Sutton in Ashfield</w:t>
            </w:r>
            <w:r w:rsidR="00AB1A98" w:rsidRPr="0073604D">
              <w:rPr>
                <w:rFonts w:ascii="Arial" w:eastAsia="Arial" w:hAnsi="Arial" w:cs="Arial"/>
                <w:szCs w:val="24"/>
              </w:rPr>
              <w:t>;</w:t>
            </w:r>
          </w:p>
          <w:p w14:paraId="01A0DFFC" w14:textId="69BBBDB1" w:rsidR="00B462C9" w:rsidRPr="0073604D" w:rsidRDefault="00B462C9" w:rsidP="00874A98">
            <w:pPr>
              <w:pStyle w:val="ListParagraph"/>
              <w:numPr>
                <w:ilvl w:val="0"/>
                <w:numId w:val="99"/>
              </w:numPr>
              <w:spacing w:line="240" w:lineRule="auto"/>
              <w:rPr>
                <w:rFonts w:ascii="Arial" w:eastAsia="Arial" w:hAnsi="Arial" w:cs="Arial"/>
                <w:szCs w:val="24"/>
              </w:rPr>
            </w:pPr>
            <w:r w:rsidRPr="0073604D">
              <w:rPr>
                <w:rFonts w:ascii="Arial" w:eastAsia="Arial" w:hAnsi="Arial" w:cs="Arial"/>
                <w:szCs w:val="24"/>
              </w:rPr>
              <w:t>Lowmoor Business Park, Kirkby-in-Ashfield</w:t>
            </w:r>
            <w:r w:rsidR="00AB1A98" w:rsidRPr="0073604D">
              <w:rPr>
                <w:rFonts w:ascii="Arial" w:eastAsia="Arial" w:hAnsi="Arial" w:cs="Arial"/>
                <w:szCs w:val="24"/>
              </w:rPr>
              <w:t>;</w:t>
            </w:r>
          </w:p>
          <w:p w14:paraId="13BD7049" w14:textId="76A6CCAC" w:rsidR="00B462C9" w:rsidRPr="0073604D" w:rsidRDefault="00B462C9" w:rsidP="00874A98">
            <w:pPr>
              <w:pStyle w:val="ListParagraph"/>
              <w:numPr>
                <w:ilvl w:val="0"/>
                <w:numId w:val="99"/>
              </w:numPr>
              <w:spacing w:line="240" w:lineRule="auto"/>
              <w:rPr>
                <w:rFonts w:ascii="Arial" w:eastAsia="Arial" w:hAnsi="Arial" w:cs="Arial"/>
                <w:szCs w:val="24"/>
              </w:rPr>
            </w:pPr>
            <w:r w:rsidRPr="0073604D">
              <w:rPr>
                <w:rFonts w:ascii="Arial" w:eastAsia="Arial" w:hAnsi="Arial" w:cs="Arial"/>
                <w:szCs w:val="24"/>
              </w:rPr>
              <w:t>Park Lane Business Park, Kirkby-in-Ashfield</w:t>
            </w:r>
            <w:r w:rsidR="00AB1A98" w:rsidRPr="0073604D">
              <w:rPr>
                <w:rFonts w:ascii="Arial" w:eastAsia="Arial" w:hAnsi="Arial" w:cs="Arial"/>
                <w:szCs w:val="24"/>
              </w:rPr>
              <w:t>;</w:t>
            </w:r>
          </w:p>
          <w:p w14:paraId="65895AAA" w14:textId="709710F0" w:rsidR="00B462C9" w:rsidRPr="0073604D" w:rsidRDefault="00B462C9" w:rsidP="00874A98">
            <w:pPr>
              <w:pStyle w:val="ListParagraph"/>
              <w:numPr>
                <w:ilvl w:val="0"/>
                <w:numId w:val="99"/>
              </w:numPr>
              <w:spacing w:line="240" w:lineRule="auto"/>
              <w:rPr>
                <w:rFonts w:ascii="Arial" w:eastAsia="Arial" w:hAnsi="Arial" w:cs="Arial"/>
                <w:szCs w:val="24"/>
              </w:rPr>
            </w:pPr>
            <w:r w:rsidRPr="0073604D">
              <w:rPr>
                <w:rFonts w:ascii="Arial" w:eastAsia="Arial" w:hAnsi="Arial" w:cs="Arial"/>
                <w:szCs w:val="24"/>
              </w:rPr>
              <w:t>Oddicroft Lane, Kirkby-in-Ashfield</w:t>
            </w:r>
            <w:r w:rsidR="00AB1A98" w:rsidRPr="0073604D">
              <w:rPr>
                <w:rFonts w:ascii="Arial" w:eastAsia="Arial" w:hAnsi="Arial" w:cs="Arial"/>
                <w:szCs w:val="24"/>
              </w:rPr>
              <w:t>;</w:t>
            </w:r>
          </w:p>
          <w:p w14:paraId="61680F4C" w14:textId="18D9F67F" w:rsidR="00B462C9" w:rsidRPr="0073604D" w:rsidRDefault="00AB1A98" w:rsidP="00874A98">
            <w:pPr>
              <w:pStyle w:val="ListParagraph"/>
              <w:numPr>
                <w:ilvl w:val="0"/>
                <w:numId w:val="99"/>
              </w:numPr>
              <w:spacing w:line="240" w:lineRule="auto"/>
              <w:rPr>
                <w:rFonts w:ascii="Arial" w:eastAsia="Arial" w:hAnsi="Arial" w:cs="Arial"/>
                <w:szCs w:val="24"/>
              </w:rPr>
            </w:pPr>
            <w:r w:rsidRPr="0073604D">
              <w:rPr>
                <w:rFonts w:ascii="Arial" w:eastAsia="Arial" w:hAnsi="Arial" w:cs="Arial"/>
                <w:szCs w:val="24"/>
              </w:rPr>
              <w:t xml:space="preserve">The Strategic Employment Area of Sherwood Business Park/M1 Motorway Junction </w:t>
            </w:r>
            <w:r w:rsidR="003D6694" w:rsidRPr="0073604D">
              <w:rPr>
                <w:rFonts w:ascii="Arial" w:eastAsia="Arial" w:hAnsi="Arial" w:cs="Arial"/>
                <w:szCs w:val="24"/>
              </w:rPr>
              <w:t>27</w:t>
            </w:r>
            <w:r w:rsidR="00B462C9" w:rsidRPr="0073604D">
              <w:rPr>
                <w:rFonts w:ascii="Arial" w:eastAsia="Arial" w:hAnsi="Arial" w:cs="Arial"/>
                <w:szCs w:val="24"/>
              </w:rPr>
              <w:t>, Annesley</w:t>
            </w:r>
            <w:r w:rsidRPr="0073604D">
              <w:rPr>
                <w:rFonts w:ascii="Arial" w:eastAsia="Arial" w:hAnsi="Arial" w:cs="Arial"/>
                <w:szCs w:val="24"/>
              </w:rPr>
              <w:t>;</w:t>
            </w:r>
            <w:r w:rsidR="003506D6" w:rsidRPr="0073604D">
              <w:rPr>
                <w:rFonts w:ascii="Arial" w:eastAsia="Arial" w:hAnsi="Arial" w:cs="Arial"/>
                <w:szCs w:val="24"/>
              </w:rPr>
              <w:t xml:space="preserve"> and </w:t>
            </w:r>
          </w:p>
          <w:p w14:paraId="7F88DE7B" w14:textId="1D5EAA4A" w:rsidR="00253929" w:rsidRPr="0073604D" w:rsidRDefault="009D6E8C" w:rsidP="00874A98">
            <w:pPr>
              <w:pStyle w:val="ListParagraph"/>
              <w:numPr>
                <w:ilvl w:val="0"/>
                <w:numId w:val="99"/>
              </w:numPr>
              <w:spacing w:line="240" w:lineRule="auto"/>
              <w:rPr>
                <w:rFonts w:ascii="Arial" w:eastAsia="Arial" w:hAnsi="Arial" w:cs="Arial"/>
                <w:szCs w:val="24"/>
              </w:rPr>
            </w:pPr>
            <w:r w:rsidRPr="0073604D">
              <w:rPr>
                <w:rFonts w:ascii="Arial" w:eastAsia="Arial" w:hAnsi="Arial" w:cs="Arial"/>
                <w:szCs w:val="24"/>
              </w:rPr>
              <w:t xml:space="preserve">Land to the south of Watnall Road, including Rolls Royce and </w:t>
            </w:r>
            <w:r w:rsidR="00B462C9" w:rsidRPr="0073604D">
              <w:rPr>
                <w:rFonts w:ascii="Arial" w:eastAsia="Arial" w:hAnsi="Arial" w:cs="Arial"/>
                <w:szCs w:val="24"/>
              </w:rPr>
              <w:t>Harrier Park, Hucknall</w:t>
            </w:r>
            <w:r w:rsidR="00AB1A98" w:rsidRPr="0073604D">
              <w:rPr>
                <w:rFonts w:ascii="Arial" w:eastAsia="Arial" w:hAnsi="Arial" w:cs="Arial"/>
                <w:szCs w:val="24"/>
              </w:rPr>
              <w:t>.</w:t>
            </w:r>
          </w:p>
          <w:bookmarkEnd w:id="75"/>
          <w:p w14:paraId="71300FDD" w14:textId="6DA5F6F8" w:rsidR="00253929" w:rsidRPr="0073604D" w:rsidRDefault="00253929" w:rsidP="00D01157">
            <w:pPr>
              <w:keepNext w:val="0"/>
              <w:numPr>
                <w:ilvl w:val="0"/>
                <w:numId w:val="20"/>
              </w:numPr>
              <w:spacing w:before="0" w:after="160"/>
              <w:ind w:right="284"/>
              <w:contextualSpacing/>
              <w:rPr>
                <w:rFonts w:eastAsia="Arial" w:cs="Arial"/>
                <w:szCs w:val="24"/>
              </w:rPr>
            </w:pPr>
            <w:r w:rsidRPr="0073604D">
              <w:rPr>
                <w:rFonts w:eastAsia="Arial" w:cs="Arial"/>
                <w:szCs w:val="24"/>
              </w:rPr>
              <w:t>Supporting business start</w:t>
            </w:r>
            <w:r w:rsidR="006725CC" w:rsidRPr="0073604D">
              <w:rPr>
                <w:rFonts w:eastAsia="Arial" w:cs="Arial"/>
                <w:szCs w:val="24"/>
              </w:rPr>
              <w:t>-</w:t>
            </w:r>
            <w:r w:rsidRPr="0073604D">
              <w:rPr>
                <w:rFonts w:eastAsia="Arial" w:cs="Arial"/>
                <w:szCs w:val="24"/>
              </w:rPr>
              <w:t>up and growth within the Main Urban Areas</w:t>
            </w:r>
            <w:r w:rsidR="00031087" w:rsidRPr="0073604D">
              <w:rPr>
                <w:rFonts w:eastAsia="Arial" w:cs="Arial"/>
                <w:szCs w:val="24"/>
              </w:rPr>
              <w:t>,</w:t>
            </w:r>
            <w:r w:rsidRPr="0073604D">
              <w:rPr>
                <w:rFonts w:eastAsia="Arial" w:cs="Arial"/>
                <w:szCs w:val="24"/>
              </w:rPr>
              <w:t xml:space="preserve"> </w:t>
            </w:r>
            <w:r w:rsidR="004E3F70" w:rsidRPr="0073604D">
              <w:rPr>
                <w:rFonts w:eastAsia="Arial" w:cs="Arial"/>
                <w:szCs w:val="24"/>
              </w:rPr>
              <w:t xml:space="preserve">and </w:t>
            </w:r>
            <w:r w:rsidR="00AB1A98" w:rsidRPr="0073604D">
              <w:rPr>
                <w:rFonts w:eastAsia="Arial" w:cs="Arial"/>
                <w:szCs w:val="24"/>
              </w:rPr>
              <w:t xml:space="preserve">Named </w:t>
            </w:r>
            <w:r w:rsidRPr="0073604D">
              <w:rPr>
                <w:rFonts w:eastAsia="Arial" w:cs="Arial"/>
                <w:szCs w:val="24"/>
              </w:rPr>
              <w:t xml:space="preserve">Settlements as defined by the </w:t>
            </w:r>
            <w:r w:rsidR="000C1B98" w:rsidRPr="0073604D">
              <w:rPr>
                <w:rFonts w:eastAsia="Arial" w:cs="Arial"/>
                <w:szCs w:val="24"/>
              </w:rPr>
              <w:t xml:space="preserve">Spatial Strategy and </w:t>
            </w:r>
            <w:r w:rsidRPr="0073604D">
              <w:rPr>
                <w:rFonts w:eastAsia="Arial" w:cs="Arial"/>
                <w:szCs w:val="24"/>
              </w:rPr>
              <w:t>Location of Development Policy.</w:t>
            </w:r>
            <w:r w:rsidR="00CF5436" w:rsidRPr="0073604D">
              <w:rPr>
                <w:rFonts w:eastAsia="Arial" w:cs="Arial"/>
                <w:szCs w:val="24"/>
              </w:rPr>
              <w:t xml:space="preserve"> </w:t>
            </w:r>
          </w:p>
          <w:p w14:paraId="50C6B67C" w14:textId="77777777" w:rsidR="00E64DE0" w:rsidRPr="0073604D" w:rsidRDefault="00E64DE0" w:rsidP="00F260E8">
            <w:pPr>
              <w:ind w:left="360"/>
              <w:rPr>
                <w:rFonts w:eastAsia="Arial" w:cs="Arial"/>
                <w:szCs w:val="24"/>
              </w:rPr>
            </w:pPr>
          </w:p>
          <w:p w14:paraId="5BB3764B" w14:textId="1C8677A5" w:rsidR="00253929" w:rsidRPr="0073604D" w:rsidRDefault="00253929" w:rsidP="00D01157">
            <w:pPr>
              <w:keepNext w:val="0"/>
              <w:numPr>
                <w:ilvl w:val="0"/>
                <w:numId w:val="20"/>
              </w:numPr>
              <w:spacing w:before="0" w:after="160"/>
              <w:contextualSpacing/>
              <w:rPr>
                <w:rFonts w:eastAsia="Arial" w:cs="Arial"/>
                <w:strike/>
                <w:szCs w:val="24"/>
              </w:rPr>
            </w:pPr>
            <w:r w:rsidRPr="0073604D">
              <w:rPr>
                <w:rFonts w:eastAsia="Arial" w:cs="Arial"/>
                <w:szCs w:val="24"/>
              </w:rPr>
              <w:t>Supporting and encouraging rural businesses to provide local employment opportunities, increase local economic prosperity and minimise the need to travel for employment.</w:t>
            </w:r>
          </w:p>
          <w:p w14:paraId="6DA8A63E" w14:textId="77777777" w:rsidR="00BD1220" w:rsidRPr="0073604D" w:rsidRDefault="00BD1220" w:rsidP="00F260E8">
            <w:pPr>
              <w:keepNext w:val="0"/>
              <w:spacing w:before="0" w:after="160"/>
              <w:contextualSpacing/>
              <w:rPr>
                <w:rFonts w:eastAsia="Arial" w:cs="Arial"/>
                <w:strike/>
                <w:szCs w:val="24"/>
              </w:rPr>
            </w:pPr>
          </w:p>
          <w:p w14:paraId="0ECE0E7D" w14:textId="77777777" w:rsidR="00253929" w:rsidRPr="0073604D" w:rsidRDefault="00253929" w:rsidP="00D01157">
            <w:pPr>
              <w:keepNext w:val="0"/>
              <w:numPr>
                <w:ilvl w:val="0"/>
                <w:numId w:val="20"/>
              </w:numPr>
              <w:spacing w:before="0" w:after="160"/>
              <w:ind w:right="284"/>
              <w:contextualSpacing/>
              <w:rPr>
                <w:rFonts w:eastAsia="Arial" w:cs="Arial"/>
                <w:szCs w:val="24"/>
              </w:rPr>
            </w:pPr>
            <w:r w:rsidRPr="0073604D">
              <w:rPr>
                <w:rFonts w:eastAsia="Arial" w:cs="Arial"/>
                <w:szCs w:val="24"/>
              </w:rPr>
              <w:t>Taking advantage of the economic and regeneration opportunities arising from:</w:t>
            </w:r>
          </w:p>
          <w:p w14:paraId="120E92D3" w14:textId="247ADEB5" w:rsidR="00253929" w:rsidRPr="0073604D" w:rsidRDefault="00253929" w:rsidP="00D01157">
            <w:pPr>
              <w:keepNext w:val="0"/>
              <w:numPr>
                <w:ilvl w:val="0"/>
                <w:numId w:val="22"/>
              </w:numPr>
              <w:spacing w:before="0" w:after="160"/>
              <w:ind w:right="284"/>
              <w:contextualSpacing/>
              <w:rPr>
                <w:rFonts w:eastAsia="Arial" w:cs="Arial"/>
                <w:szCs w:val="24"/>
              </w:rPr>
            </w:pPr>
            <w:bookmarkStart w:id="76" w:name="_Hlk118871794"/>
            <w:r w:rsidRPr="0073604D">
              <w:rPr>
                <w:rFonts w:eastAsia="Arial" w:cs="Arial"/>
                <w:szCs w:val="24"/>
              </w:rPr>
              <w:t>The Maid Marian Line and the Robin Hood Line Stations, having regard to the Ashfield Stations Masterplan</w:t>
            </w:r>
            <w:r w:rsidR="003D6694" w:rsidRPr="0073604D">
              <w:rPr>
                <w:rFonts w:eastAsia="Arial" w:cs="Arial"/>
                <w:szCs w:val="24"/>
              </w:rPr>
              <w:t>;</w:t>
            </w:r>
            <w:r w:rsidR="00CF5436" w:rsidRPr="0073604D">
              <w:rPr>
                <w:rFonts w:eastAsia="Arial" w:cs="Arial"/>
                <w:szCs w:val="24"/>
              </w:rPr>
              <w:t xml:space="preserve"> </w:t>
            </w:r>
          </w:p>
          <w:bookmarkEnd w:id="76"/>
          <w:p w14:paraId="43E3EF38" w14:textId="77777777" w:rsidR="00862BB0" w:rsidRDefault="00253929" w:rsidP="00D01157">
            <w:pPr>
              <w:keepNext w:val="0"/>
              <w:numPr>
                <w:ilvl w:val="0"/>
                <w:numId w:val="22"/>
              </w:numPr>
              <w:spacing w:before="0" w:after="160"/>
              <w:ind w:right="284"/>
              <w:contextualSpacing/>
              <w:rPr>
                <w:rFonts w:eastAsia="Arial" w:cs="Arial"/>
                <w:szCs w:val="24"/>
              </w:rPr>
            </w:pPr>
            <w:r w:rsidRPr="0073604D">
              <w:rPr>
                <w:rFonts w:eastAsia="Arial" w:cs="Arial"/>
                <w:szCs w:val="24"/>
              </w:rPr>
              <w:t>The light railway system, Nottingham Express Transit</w:t>
            </w:r>
            <w:r w:rsidR="003D6694" w:rsidRPr="0073604D">
              <w:rPr>
                <w:rFonts w:eastAsia="Arial" w:cs="Arial"/>
                <w:szCs w:val="24"/>
              </w:rPr>
              <w:t>;</w:t>
            </w:r>
            <w:r w:rsidR="00276532" w:rsidRPr="0073604D">
              <w:rPr>
                <w:rFonts w:eastAsia="Arial" w:cs="Arial"/>
                <w:szCs w:val="24"/>
              </w:rPr>
              <w:t xml:space="preserve"> </w:t>
            </w:r>
          </w:p>
          <w:p w14:paraId="12746DAD" w14:textId="48E6C046" w:rsidR="000C1B98" w:rsidRPr="0073604D" w:rsidRDefault="000C1B98" w:rsidP="00D01157">
            <w:pPr>
              <w:keepNext w:val="0"/>
              <w:numPr>
                <w:ilvl w:val="0"/>
                <w:numId w:val="22"/>
              </w:numPr>
              <w:spacing w:before="0" w:after="160"/>
              <w:ind w:right="284"/>
              <w:contextualSpacing/>
              <w:rPr>
                <w:rFonts w:eastAsia="Arial" w:cs="Arial"/>
                <w:szCs w:val="24"/>
              </w:rPr>
            </w:pPr>
            <w:r w:rsidRPr="00CB6138">
              <w:rPr>
                <w:rFonts w:eastAsia="Arial" w:cs="Arial"/>
                <w:szCs w:val="24"/>
              </w:rPr>
              <w:t xml:space="preserve">The provision of </w:t>
            </w:r>
            <w:r w:rsidR="006A267A">
              <w:rPr>
                <w:rFonts w:eastAsia="Arial" w:cs="Arial"/>
                <w:szCs w:val="24"/>
              </w:rPr>
              <w:t xml:space="preserve">an </w:t>
            </w:r>
            <w:r w:rsidRPr="00CB6138">
              <w:rPr>
                <w:rFonts w:eastAsia="Arial" w:cs="Arial"/>
                <w:szCs w:val="24"/>
              </w:rPr>
              <w:t>A</w:t>
            </w:r>
            <w:r w:rsidR="006A267A">
              <w:rPr>
                <w:rFonts w:eastAsia="Arial" w:cs="Arial"/>
                <w:szCs w:val="24"/>
              </w:rPr>
              <w:t>utomated</w:t>
            </w:r>
            <w:r w:rsidR="0007484B" w:rsidRPr="00CB6138">
              <w:rPr>
                <w:rFonts w:eastAsia="Arial" w:cs="Arial"/>
                <w:szCs w:val="24"/>
              </w:rPr>
              <w:t xml:space="preserve"> Distribution and</w:t>
            </w:r>
            <w:r w:rsidRPr="0073604D">
              <w:rPr>
                <w:rFonts w:eastAsia="Arial" w:cs="Arial"/>
                <w:szCs w:val="24"/>
              </w:rPr>
              <w:t xml:space="preserve"> Manufacturing Centre within the District</w:t>
            </w:r>
            <w:r w:rsidR="0040622F" w:rsidRPr="0073604D">
              <w:rPr>
                <w:rFonts w:eastAsia="Arial" w:cs="Arial"/>
                <w:szCs w:val="24"/>
              </w:rPr>
              <w:t>.</w:t>
            </w:r>
            <w:r w:rsidRPr="0073604D">
              <w:rPr>
                <w:rFonts w:eastAsia="Arial" w:cs="Arial"/>
                <w:szCs w:val="24"/>
              </w:rPr>
              <w:t xml:space="preserve"> </w:t>
            </w:r>
          </w:p>
          <w:p w14:paraId="6EDC69C4" w14:textId="77777777" w:rsidR="00253929" w:rsidRPr="0073604D" w:rsidRDefault="00253929" w:rsidP="00F260E8">
            <w:pPr>
              <w:keepNext w:val="0"/>
              <w:tabs>
                <w:tab w:val="left" w:pos="680"/>
                <w:tab w:val="left" w:pos="1133"/>
                <w:tab w:val="left" w:pos="2267"/>
              </w:tabs>
              <w:spacing w:before="0"/>
              <w:ind w:right="284"/>
              <w:rPr>
                <w:rFonts w:eastAsia="Arial" w:cs="Arial"/>
                <w:szCs w:val="24"/>
              </w:rPr>
            </w:pPr>
          </w:p>
          <w:p w14:paraId="18D271C0" w14:textId="1B28B61F" w:rsidR="00253929" w:rsidRPr="0073604D" w:rsidRDefault="00253929" w:rsidP="00D01157">
            <w:pPr>
              <w:keepNext w:val="0"/>
              <w:numPr>
                <w:ilvl w:val="0"/>
                <w:numId w:val="20"/>
              </w:numPr>
              <w:spacing w:before="0" w:after="160"/>
              <w:ind w:right="284"/>
              <w:contextualSpacing/>
              <w:rPr>
                <w:rFonts w:eastAsia="Arial" w:cs="Arial"/>
                <w:szCs w:val="24"/>
              </w:rPr>
            </w:pPr>
            <w:r w:rsidRPr="0073604D">
              <w:rPr>
                <w:rFonts w:eastAsia="Arial" w:cs="Arial"/>
                <w:szCs w:val="24"/>
              </w:rPr>
              <w:t>Working with educational providers, learning and training bodies, job centres and higher education providers to raise workforce skill levels, and improve employability</w:t>
            </w:r>
            <w:r w:rsidR="00CF5436" w:rsidRPr="0073604D">
              <w:rPr>
                <w:rFonts w:eastAsia="Arial" w:cs="Arial"/>
                <w:szCs w:val="24"/>
              </w:rPr>
              <w:t>.</w:t>
            </w:r>
          </w:p>
          <w:p w14:paraId="5C629BCE" w14:textId="77777777" w:rsidR="00253929" w:rsidRPr="0073604D" w:rsidRDefault="00253929" w:rsidP="00F260E8">
            <w:pPr>
              <w:keepNext w:val="0"/>
              <w:tabs>
                <w:tab w:val="left" w:pos="680"/>
                <w:tab w:val="left" w:pos="1133"/>
                <w:tab w:val="left" w:pos="2267"/>
              </w:tabs>
              <w:spacing w:before="0"/>
              <w:ind w:left="720" w:right="284"/>
              <w:contextualSpacing/>
              <w:rPr>
                <w:rFonts w:eastAsia="Arial" w:cs="Arial"/>
                <w:szCs w:val="24"/>
              </w:rPr>
            </w:pPr>
          </w:p>
          <w:p w14:paraId="4E000B7F" w14:textId="31508603" w:rsidR="00253929" w:rsidRPr="0073604D" w:rsidRDefault="00253929" w:rsidP="00D01157">
            <w:pPr>
              <w:keepNext w:val="0"/>
              <w:numPr>
                <w:ilvl w:val="0"/>
                <w:numId w:val="20"/>
              </w:numPr>
              <w:spacing w:before="0" w:after="160"/>
              <w:ind w:right="284"/>
              <w:contextualSpacing/>
              <w:rPr>
                <w:rFonts w:eastAsia="Arial" w:cs="Arial"/>
                <w:szCs w:val="24"/>
              </w:rPr>
            </w:pPr>
            <w:r w:rsidRPr="0073604D">
              <w:rPr>
                <w:rFonts w:eastAsia="Arial" w:cs="Arial"/>
                <w:szCs w:val="24"/>
              </w:rPr>
              <w:t>Working with key stakeholders and providers to improve access to high speed information technology infrastructure across the District by supporting, enabling and where practical assisting in its provision</w:t>
            </w:r>
            <w:r w:rsidR="00CF5436" w:rsidRPr="0073604D">
              <w:rPr>
                <w:rFonts w:eastAsia="Arial" w:cs="Arial"/>
                <w:szCs w:val="24"/>
              </w:rPr>
              <w:t>.</w:t>
            </w:r>
          </w:p>
          <w:p w14:paraId="72C5E2EC" w14:textId="77777777" w:rsidR="00253929" w:rsidRPr="0073604D" w:rsidRDefault="00253929" w:rsidP="00F260E8">
            <w:pPr>
              <w:keepNext w:val="0"/>
              <w:tabs>
                <w:tab w:val="left" w:pos="680"/>
                <w:tab w:val="left" w:pos="1133"/>
                <w:tab w:val="left" w:pos="2267"/>
              </w:tabs>
              <w:spacing w:before="0"/>
              <w:ind w:right="284"/>
              <w:rPr>
                <w:rFonts w:eastAsia="Arial" w:cs="Arial"/>
                <w:szCs w:val="24"/>
              </w:rPr>
            </w:pPr>
          </w:p>
          <w:p w14:paraId="2C9F6522" w14:textId="77777777" w:rsidR="00253929" w:rsidRPr="0073604D" w:rsidRDefault="00253929" w:rsidP="00D01157">
            <w:pPr>
              <w:keepNext w:val="0"/>
              <w:numPr>
                <w:ilvl w:val="0"/>
                <w:numId w:val="20"/>
              </w:numPr>
              <w:spacing w:before="0" w:after="160"/>
              <w:ind w:right="284"/>
              <w:contextualSpacing/>
              <w:rPr>
                <w:rFonts w:eastAsia="Arial" w:cs="Arial"/>
                <w:szCs w:val="24"/>
              </w:rPr>
            </w:pPr>
            <w:r w:rsidRPr="0073604D">
              <w:rPr>
                <w:rFonts w:eastAsia="Arial" w:cs="Arial"/>
                <w:szCs w:val="24"/>
              </w:rPr>
              <w:t>Developing a distinct image and civic pride for the area to promote economic progress and increasing awareness of what Ashfield has to offer.</w:t>
            </w:r>
          </w:p>
          <w:p w14:paraId="79F78451" w14:textId="77777777" w:rsidR="00253929" w:rsidRPr="0073604D" w:rsidRDefault="00253929" w:rsidP="00F260E8">
            <w:pPr>
              <w:keepNext w:val="0"/>
              <w:tabs>
                <w:tab w:val="left" w:pos="1133"/>
                <w:tab w:val="left" w:pos="2267"/>
              </w:tabs>
              <w:spacing w:before="0"/>
              <w:ind w:right="284"/>
              <w:rPr>
                <w:rFonts w:eastAsia="Arial" w:cs="Arial"/>
                <w:b/>
                <w:szCs w:val="24"/>
              </w:rPr>
            </w:pPr>
          </w:p>
          <w:p w14:paraId="6D0E39D3" w14:textId="77777777" w:rsidR="00C374DB" w:rsidRPr="0073604D" w:rsidRDefault="00253929" w:rsidP="00D01157">
            <w:pPr>
              <w:keepNext w:val="0"/>
              <w:numPr>
                <w:ilvl w:val="0"/>
                <w:numId w:val="21"/>
              </w:numPr>
              <w:spacing w:before="0" w:after="160"/>
              <w:ind w:right="284"/>
              <w:rPr>
                <w:rFonts w:eastAsia="Arial" w:cs="Arial"/>
              </w:rPr>
            </w:pPr>
            <w:r w:rsidRPr="0073604D">
              <w:rPr>
                <w:rFonts w:eastAsia="Arial" w:cs="Arial"/>
                <w:szCs w:val="22"/>
              </w:rPr>
              <w:t>The Council will support and enhance opportunities for</w:t>
            </w:r>
            <w:r w:rsidR="00C374DB" w:rsidRPr="0073604D">
              <w:rPr>
                <w:rFonts w:eastAsia="Arial" w:cs="Arial"/>
                <w:szCs w:val="22"/>
              </w:rPr>
              <w:t>:</w:t>
            </w:r>
          </w:p>
          <w:p w14:paraId="279C15C2" w14:textId="7B10575C" w:rsidR="00253929" w:rsidRPr="0073604D" w:rsidRDefault="00C374DB" w:rsidP="00C374DB">
            <w:pPr>
              <w:pStyle w:val="ListParagraph"/>
              <w:numPr>
                <w:ilvl w:val="1"/>
                <w:numId w:val="11"/>
              </w:numPr>
              <w:spacing w:after="160"/>
              <w:ind w:right="284"/>
              <w:rPr>
                <w:rFonts w:ascii="Arial" w:eastAsia="Arial" w:hAnsi="Arial" w:cs="Arial"/>
              </w:rPr>
            </w:pPr>
            <w:r w:rsidRPr="0073604D">
              <w:rPr>
                <w:rFonts w:ascii="Arial" w:eastAsia="Arial" w:hAnsi="Arial" w:cs="Arial"/>
              </w:rPr>
              <w:t>T</w:t>
            </w:r>
            <w:r w:rsidR="00253929" w:rsidRPr="0073604D">
              <w:rPr>
                <w:rFonts w:ascii="Arial" w:eastAsia="Arial" w:hAnsi="Arial" w:cs="Arial"/>
              </w:rPr>
              <w:t>ourism which reflect</w:t>
            </w:r>
            <w:r w:rsidRPr="0073604D">
              <w:rPr>
                <w:rFonts w:ascii="Arial" w:eastAsia="Arial" w:hAnsi="Arial" w:cs="Arial"/>
              </w:rPr>
              <w:t>s</w:t>
            </w:r>
            <w:r w:rsidR="00253929" w:rsidRPr="0073604D">
              <w:rPr>
                <w:rFonts w:ascii="Arial" w:eastAsia="Arial" w:hAnsi="Arial" w:cs="Arial"/>
              </w:rPr>
              <w:t xml:space="preserve"> the local distinctiveness and heritage of the area.</w:t>
            </w:r>
          </w:p>
          <w:p w14:paraId="29FB708B" w14:textId="20035DBA" w:rsidR="00253929" w:rsidRPr="0073604D" w:rsidRDefault="00C374DB" w:rsidP="00450591">
            <w:pPr>
              <w:pStyle w:val="ListParagraph"/>
              <w:numPr>
                <w:ilvl w:val="1"/>
                <w:numId w:val="11"/>
              </w:numPr>
              <w:spacing w:after="160"/>
              <w:ind w:right="284"/>
              <w:rPr>
                <w:rFonts w:ascii="Arial" w:eastAsia="Arial" w:hAnsi="Arial" w:cs="Arial"/>
              </w:rPr>
            </w:pPr>
            <w:r w:rsidRPr="0073604D">
              <w:rPr>
                <w:rFonts w:ascii="Arial" w:eastAsia="Arial" w:hAnsi="Arial" w:cs="Arial"/>
              </w:rPr>
              <w:t>Heritage led regeneration to conserve and enhance the historic environment.</w:t>
            </w:r>
          </w:p>
        </w:tc>
      </w:tr>
      <w:tr w:rsidR="00253929" w:rsidRPr="003C7E62" w14:paraId="5859AEC1" w14:textId="77777777" w:rsidTr="00CB0557">
        <w:tc>
          <w:tcPr>
            <w:tcW w:w="1413" w:type="dxa"/>
            <w:shd w:val="clear" w:color="auto" w:fill="FFFFFF" w:themeFill="background1"/>
          </w:tcPr>
          <w:p w14:paraId="15EB3723" w14:textId="77777777" w:rsidR="00253929" w:rsidRPr="003C7E62" w:rsidRDefault="00253929" w:rsidP="000032A9">
            <w:pPr>
              <w:keepNext w:val="0"/>
              <w:tabs>
                <w:tab w:val="left" w:pos="680"/>
                <w:tab w:val="left" w:pos="1133"/>
                <w:tab w:val="left" w:pos="2267"/>
              </w:tabs>
              <w:spacing w:before="0"/>
              <w:ind w:left="22" w:right="284"/>
              <w:jc w:val="both"/>
              <w:rPr>
                <w:rFonts w:eastAsia="Arial" w:cs="Arial"/>
                <w:b/>
                <w:color w:val="C00000"/>
                <w:sz w:val="20"/>
              </w:rPr>
            </w:pPr>
            <w:r w:rsidRPr="003C7E62">
              <w:rPr>
                <w:rFonts w:eastAsia="Arial" w:cs="Arial"/>
                <w:bCs/>
                <w:color w:val="auto"/>
                <w:sz w:val="20"/>
              </w:rPr>
              <w:t>Evidence base</w:t>
            </w:r>
          </w:p>
        </w:tc>
        <w:tc>
          <w:tcPr>
            <w:tcW w:w="8221" w:type="dxa"/>
            <w:shd w:val="clear" w:color="auto" w:fill="FFFFFF" w:themeFill="background1"/>
          </w:tcPr>
          <w:p w14:paraId="7BAEE8EB" w14:textId="1F409B89" w:rsidR="00253929" w:rsidRPr="0073604D" w:rsidRDefault="00253929" w:rsidP="00A05D94">
            <w:pPr>
              <w:keepNext w:val="0"/>
              <w:numPr>
                <w:ilvl w:val="0"/>
                <w:numId w:val="24"/>
              </w:numPr>
              <w:tabs>
                <w:tab w:val="left" w:pos="680"/>
                <w:tab w:val="left" w:pos="1133"/>
                <w:tab w:val="left" w:pos="2267"/>
              </w:tabs>
              <w:spacing w:before="0" w:after="160" w:line="252" w:lineRule="auto"/>
              <w:ind w:right="284"/>
              <w:contextualSpacing/>
              <w:rPr>
                <w:rFonts w:eastAsia="Arial" w:cs="Arial"/>
                <w:bCs/>
                <w:sz w:val="20"/>
              </w:rPr>
            </w:pPr>
            <w:bookmarkStart w:id="77" w:name="_Hlk82270909"/>
            <w:r w:rsidRPr="0073604D">
              <w:rPr>
                <w:rFonts w:eastAsia="Arial" w:cs="Arial"/>
                <w:bCs/>
                <w:sz w:val="20"/>
              </w:rPr>
              <w:t>Background Paper</w:t>
            </w:r>
            <w:r w:rsidR="00A05D94" w:rsidRPr="0073604D">
              <w:rPr>
                <w:rFonts w:eastAsia="Arial" w:cs="Arial"/>
                <w:bCs/>
                <w:sz w:val="20"/>
              </w:rPr>
              <w:t xml:space="preserve"> No 1: </w:t>
            </w:r>
            <w:r w:rsidRPr="0073604D">
              <w:rPr>
                <w:rFonts w:eastAsia="Arial" w:cs="Arial"/>
                <w:bCs/>
                <w:sz w:val="20"/>
              </w:rPr>
              <w:t xml:space="preserve">Spatial Strategy and </w:t>
            </w:r>
            <w:r w:rsidR="006A2145">
              <w:rPr>
                <w:rFonts w:eastAsia="Arial" w:cs="Arial"/>
                <w:bCs/>
                <w:sz w:val="20"/>
              </w:rPr>
              <w:t>Site Selection,</w:t>
            </w:r>
            <w:r w:rsidR="00031087" w:rsidRPr="0073604D">
              <w:rPr>
                <w:rFonts w:eastAsia="Arial" w:cs="Arial"/>
                <w:bCs/>
                <w:sz w:val="20"/>
              </w:rPr>
              <w:t xml:space="preserve"> 202</w:t>
            </w:r>
            <w:r w:rsidR="006A2145">
              <w:rPr>
                <w:rFonts w:eastAsia="Arial" w:cs="Arial"/>
                <w:bCs/>
                <w:sz w:val="20"/>
              </w:rPr>
              <w:t>3</w:t>
            </w:r>
            <w:r w:rsidR="00031087" w:rsidRPr="0073604D">
              <w:rPr>
                <w:rFonts w:eastAsia="Arial" w:cs="Arial"/>
                <w:bCs/>
                <w:sz w:val="20"/>
              </w:rPr>
              <w:t xml:space="preserve">. </w:t>
            </w:r>
            <w:r w:rsidRPr="0073604D">
              <w:rPr>
                <w:rFonts w:eastAsia="Arial" w:cs="Arial"/>
                <w:bCs/>
                <w:sz w:val="20"/>
              </w:rPr>
              <w:t>Ashfield District Council</w:t>
            </w:r>
          </w:p>
          <w:bookmarkEnd w:id="77"/>
          <w:p w14:paraId="002A80DA" w14:textId="07465255" w:rsidR="00253929" w:rsidRPr="0073604D" w:rsidRDefault="00253929" w:rsidP="00A05D94">
            <w:pPr>
              <w:keepNext w:val="0"/>
              <w:numPr>
                <w:ilvl w:val="0"/>
                <w:numId w:val="24"/>
              </w:numPr>
              <w:tabs>
                <w:tab w:val="left" w:pos="680"/>
                <w:tab w:val="left" w:pos="1133"/>
                <w:tab w:val="left" w:pos="2267"/>
              </w:tabs>
              <w:spacing w:before="0" w:after="160" w:line="252" w:lineRule="auto"/>
              <w:ind w:right="284"/>
              <w:contextualSpacing/>
              <w:rPr>
                <w:rFonts w:eastAsia="Arial" w:cs="Arial"/>
                <w:bCs/>
                <w:sz w:val="20"/>
              </w:rPr>
            </w:pPr>
            <w:r w:rsidRPr="0073604D">
              <w:rPr>
                <w:rFonts w:eastAsia="Arial" w:cs="Arial"/>
                <w:bCs/>
                <w:sz w:val="20"/>
              </w:rPr>
              <w:t xml:space="preserve">Background Paper </w:t>
            </w:r>
            <w:r w:rsidR="00A05D94" w:rsidRPr="0073604D">
              <w:rPr>
                <w:rFonts w:eastAsia="Arial" w:cs="Arial"/>
                <w:bCs/>
                <w:sz w:val="20"/>
              </w:rPr>
              <w:t xml:space="preserve">No </w:t>
            </w:r>
            <w:r w:rsidRPr="0073604D">
              <w:rPr>
                <w:rFonts w:eastAsia="Arial" w:cs="Arial"/>
                <w:bCs/>
                <w:sz w:val="20"/>
              </w:rPr>
              <w:t>3</w:t>
            </w:r>
            <w:r w:rsidR="00A05D94" w:rsidRPr="0073604D">
              <w:rPr>
                <w:rFonts w:eastAsia="Arial" w:cs="Arial"/>
                <w:bCs/>
                <w:sz w:val="20"/>
              </w:rPr>
              <w:t>:</w:t>
            </w:r>
            <w:r w:rsidRPr="0073604D">
              <w:rPr>
                <w:rFonts w:eastAsia="Arial" w:cs="Arial"/>
                <w:bCs/>
                <w:sz w:val="20"/>
              </w:rPr>
              <w:t xml:space="preserve"> </w:t>
            </w:r>
            <w:r w:rsidR="000032A9" w:rsidRPr="0073604D">
              <w:rPr>
                <w:rFonts w:eastAsia="Arial" w:cs="Arial"/>
                <w:bCs/>
                <w:sz w:val="20"/>
              </w:rPr>
              <w:t xml:space="preserve">Economy &amp; </w:t>
            </w:r>
            <w:r w:rsidRPr="0073604D">
              <w:rPr>
                <w:rFonts w:eastAsia="Arial" w:cs="Arial"/>
                <w:bCs/>
                <w:sz w:val="20"/>
              </w:rPr>
              <w:t xml:space="preserve">Employment Land </w:t>
            </w:r>
            <w:r w:rsidR="00031087" w:rsidRPr="0073604D">
              <w:rPr>
                <w:rFonts w:eastAsia="Arial" w:cs="Arial"/>
                <w:bCs/>
                <w:sz w:val="20"/>
              </w:rPr>
              <w:t>202</w:t>
            </w:r>
            <w:r w:rsidR="00287238" w:rsidRPr="0073604D">
              <w:rPr>
                <w:rFonts w:eastAsia="Arial" w:cs="Arial"/>
                <w:bCs/>
                <w:sz w:val="20"/>
              </w:rPr>
              <w:t>3</w:t>
            </w:r>
            <w:r w:rsidR="00031087" w:rsidRPr="0073604D">
              <w:rPr>
                <w:rFonts w:eastAsia="Arial" w:cs="Arial"/>
                <w:bCs/>
                <w:sz w:val="20"/>
              </w:rPr>
              <w:t xml:space="preserve">. </w:t>
            </w:r>
            <w:r w:rsidRPr="0073604D">
              <w:rPr>
                <w:rFonts w:eastAsia="Arial" w:cs="Arial"/>
                <w:bCs/>
                <w:sz w:val="20"/>
              </w:rPr>
              <w:t xml:space="preserve"> Ashfield District Council</w:t>
            </w:r>
            <w:r w:rsidR="00E876F5" w:rsidRPr="0073604D">
              <w:rPr>
                <w:rFonts w:eastAsia="Arial" w:cs="Arial"/>
                <w:bCs/>
                <w:sz w:val="20"/>
              </w:rPr>
              <w:t>.</w:t>
            </w:r>
          </w:p>
          <w:p w14:paraId="799DD9DF" w14:textId="3C649AEF" w:rsidR="00253929" w:rsidRPr="0073604D" w:rsidRDefault="00253929" w:rsidP="00A05D94">
            <w:pPr>
              <w:keepNext w:val="0"/>
              <w:numPr>
                <w:ilvl w:val="0"/>
                <w:numId w:val="24"/>
              </w:numPr>
              <w:tabs>
                <w:tab w:val="left" w:pos="680"/>
                <w:tab w:val="left" w:pos="1133"/>
                <w:tab w:val="left" w:pos="2267"/>
              </w:tabs>
              <w:spacing w:before="0" w:after="160" w:line="252" w:lineRule="auto"/>
              <w:ind w:right="284"/>
              <w:contextualSpacing/>
              <w:rPr>
                <w:rFonts w:eastAsia="Arial" w:cs="Arial"/>
                <w:bCs/>
                <w:sz w:val="20"/>
              </w:rPr>
            </w:pPr>
            <w:r w:rsidRPr="0073604D">
              <w:rPr>
                <w:rFonts w:eastAsia="Arial" w:cs="Arial"/>
                <w:bCs/>
                <w:sz w:val="20"/>
              </w:rPr>
              <w:t>The Nottingham Core HMA and Nottingham Outer HMA Employment Land Needs Study, 202</w:t>
            </w:r>
            <w:r w:rsidR="00031087" w:rsidRPr="0073604D">
              <w:rPr>
                <w:rFonts w:eastAsia="Arial" w:cs="Arial"/>
                <w:bCs/>
                <w:sz w:val="20"/>
              </w:rPr>
              <w:t xml:space="preserve">1. </w:t>
            </w:r>
            <w:r w:rsidRPr="0073604D">
              <w:rPr>
                <w:rFonts w:eastAsia="Arial" w:cs="Arial"/>
                <w:bCs/>
                <w:sz w:val="20"/>
              </w:rPr>
              <w:t xml:space="preserve"> Lichfield</w:t>
            </w:r>
            <w:r w:rsidR="00E876F5" w:rsidRPr="0073604D">
              <w:rPr>
                <w:rFonts w:eastAsia="Arial" w:cs="Arial"/>
                <w:bCs/>
                <w:sz w:val="20"/>
              </w:rPr>
              <w:t>.</w:t>
            </w:r>
          </w:p>
          <w:p w14:paraId="37BC466F" w14:textId="3C4BA0CD" w:rsidR="00253929" w:rsidRPr="0073604D" w:rsidRDefault="00253929" w:rsidP="00A05D94">
            <w:pPr>
              <w:keepNext w:val="0"/>
              <w:numPr>
                <w:ilvl w:val="0"/>
                <w:numId w:val="24"/>
              </w:numPr>
              <w:tabs>
                <w:tab w:val="left" w:pos="680"/>
                <w:tab w:val="left" w:pos="1133"/>
                <w:tab w:val="left" w:pos="2267"/>
              </w:tabs>
              <w:spacing w:before="0" w:after="160" w:line="252" w:lineRule="auto"/>
              <w:ind w:right="284"/>
              <w:contextualSpacing/>
              <w:rPr>
                <w:rFonts w:eastAsia="Arial" w:cs="Arial"/>
                <w:bCs/>
                <w:sz w:val="20"/>
              </w:rPr>
            </w:pPr>
            <w:r w:rsidRPr="0073604D">
              <w:rPr>
                <w:rFonts w:eastAsia="Arial" w:cs="Arial"/>
                <w:bCs/>
                <w:sz w:val="20"/>
              </w:rPr>
              <w:t>Employment Land Forecasting Study, Nottingham Core HMA &amp; Nottingham Outer HMA</w:t>
            </w:r>
            <w:r w:rsidR="00250155" w:rsidRPr="0073604D">
              <w:rPr>
                <w:rFonts w:eastAsia="Arial" w:cs="Arial"/>
                <w:bCs/>
                <w:sz w:val="20"/>
              </w:rPr>
              <w:t xml:space="preserve"> 2015 - </w:t>
            </w:r>
            <w:r w:rsidRPr="0073604D">
              <w:rPr>
                <w:rFonts w:eastAsia="Arial" w:cs="Arial"/>
                <w:bCs/>
                <w:sz w:val="20"/>
              </w:rPr>
              <w:t>Nathaniel Litchfield &amp; Partners</w:t>
            </w:r>
            <w:r w:rsidR="00E876F5" w:rsidRPr="0073604D">
              <w:rPr>
                <w:rFonts w:eastAsia="Arial" w:cs="Arial"/>
                <w:bCs/>
                <w:sz w:val="20"/>
              </w:rPr>
              <w:t>.</w:t>
            </w:r>
          </w:p>
          <w:p w14:paraId="4CE6F34E" w14:textId="32F1C991" w:rsidR="00253929" w:rsidRPr="0073604D" w:rsidRDefault="00253929" w:rsidP="00A05D94">
            <w:pPr>
              <w:keepNext w:val="0"/>
              <w:numPr>
                <w:ilvl w:val="0"/>
                <w:numId w:val="24"/>
              </w:numPr>
              <w:tabs>
                <w:tab w:val="left" w:pos="680"/>
                <w:tab w:val="left" w:pos="1133"/>
                <w:tab w:val="left" w:pos="2267"/>
              </w:tabs>
              <w:spacing w:before="0" w:after="160" w:line="252" w:lineRule="auto"/>
              <w:ind w:right="284"/>
              <w:contextualSpacing/>
              <w:rPr>
                <w:rFonts w:eastAsia="Arial" w:cs="Arial"/>
                <w:bCs/>
                <w:sz w:val="20"/>
              </w:rPr>
            </w:pPr>
            <w:r w:rsidRPr="0073604D">
              <w:rPr>
                <w:rFonts w:eastAsia="Arial" w:cs="Arial"/>
                <w:bCs/>
                <w:sz w:val="20"/>
              </w:rPr>
              <w:t xml:space="preserve">Strategic Housing and Employment Land Availability Assessment </w:t>
            </w:r>
            <w:r w:rsidR="00031087" w:rsidRPr="0073604D">
              <w:rPr>
                <w:rFonts w:eastAsia="Arial" w:cs="Arial"/>
                <w:bCs/>
                <w:sz w:val="20"/>
              </w:rPr>
              <w:t>2021</w:t>
            </w:r>
            <w:r w:rsidR="00AE785A">
              <w:rPr>
                <w:rFonts w:eastAsia="Arial" w:cs="Arial"/>
                <w:bCs/>
                <w:sz w:val="20"/>
              </w:rPr>
              <w:t xml:space="preserve"> -2023</w:t>
            </w:r>
            <w:r w:rsidR="00031087" w:rsidRPr="0073604D">
              <w:rPr>
                <w:rFonts w:eastAsia="Arial" w:cs="Arial"/>
                <w:bCs/>
                <w:sz w:val="20"/>
              </w:rPr>
              <w:t xml:space="preserve">. </w:t>
            </w:r>
            <w:r w:rsidRPr="0073604D">
              <w:rPr>
                <w:rFonts w:eastAsia="Arial" w:cs="Arial"/>
                <w:bCs/>
                <w:sz w:val="20"/>
              </w:rPr>
              <w:t>Ashfield District Council</w:t>
            </w:r>
            <w:r w:rsidR="00E876F5" w:rsidRPr="0073604D">
              <w:rPr>
                <w:rFonts w:eastAsia="Arial" w:cs="Arial"/>
                <w:bCs/>
                <w:sz w:val="20"/>
              </w:rPr>
              <w:t>.</w:t>
            </w:r>
          </w:p>
          <w:p w14:paraId="0E1465F1" w14:textId="77777777" w:rsidR="00287238" w:rsidRPr="0073604D" w:rsidRDefault="00287238" w:rsidP="00287238">
            <w:pPr>
              <w:keepNext w:val="0"/>
              <w:numPr>
                <w:ilvl w:val="0"/>
                <w:numId w:val="24"/>
              </w:numPr>
              <w:tabs>
                <w:tab w:val="left" w:pos="680"/>
                <w:tab w:val="left" w:pos="1133"/>
                <w:tab w:val="left" w:pos="2267"/>
              </w:tabs>
              <w:spacing w:before="0" w:after="160" w:line="252" w:lineRule="auto"/>
              <w:ind w:right="284"/>
              <w:contextualSpacing/>
              <w:rPr>
                <w:rFonts w:eastAsia="Arial" w:cs="Arial"/>
                <w:bCs/>
                <w:sz w:val="20"/>
              </w:rPr>
            </w:pPr>
            <w:r w:rsidRPr="0073604D">
              <w:rPr>
                <w:rFonts w:eastAsia="Arial" w:cs="Arial"/>
                <w:bCs/>
                <w:sz w:val="20"/>
              </w:rPr>
              <w:t>The Nottingham Core HMA and Nottingham Outer HMA Logistics Study 2022, Iceni.</w:t>
            </w:r>
          </w:p>
          <w:p w14:paraId="3F977FEE" w14:textId="77777777" w:rsidR="00287238" w:rsidRPr="0073604D" w:rsidRDefault="00287238" w:rsidP="00287238">
            <w:pPr>
              <w:keepNext w:val="0"/>
              <w:numPr>
                <w:ilvl w:val="0"/>
                <w:numId w:val="24"/>
              </w:numPr>
              <w:tabs>
                <w:tab w:val="left" w:pos="680"/>
                <w:tab w:val="left" w:pos="1133"/>
                <w:tab w:val="left" w:pos="2267"/>
              </w:tabs>
              <w:spacing w:before="0" w:after="160" w:line="252" w:lineRule="auto"/>
              <w:ind w:right="284"/>
              <w:contextualSpacing/>
              <w:rPr>
                <w:rFonts w:eastAsia="Arial" w:cs="Arial"/>
                <w:bCs/>
                <w:sz w:val="20"/>
              </w:rPr>
            </w:pPr>
            <w:r w:rsidRPr="0073604D">
              <w:rPr>
                <w:rFonts w:eastAsia="Arial" w:cs="Arial"/>
                <w:bCs/>
                <w:sz w:val="20"/>
              </w:rPr>
              <w:t>Greater Nottingham Logistics Background paper 2023.  Ashfield DC, Broxtowe BC, Erewash BC, Gedling BC, Nottingham City, &amp; Rushcliffe BC.</w:t>
            </w:r>
          </w:p>
          <w:p w14:paraId="46E7E083" w14:textId="4FE40A95" w:rsidR="00253929" w:rsidRPr="0073604D" w:rsidRDefault="00253929" w:rsidP="00A05D94">
            <w:pPr>
              <w:keepNext w:val="0"/>
              <w:numPr>
                <w:ilvl w:val="0"/>
                <w:numId w:val="24"/>
              </w:numPr>
              <w:tabs>
                <w:tab w:val="left" w:pos="680"/>
                <w:tab w:val="left" w:pos="1133"/>
                <w:tab w:val="left" w:pos="2267"/>
              </w:tabs>
              <w:spacing w:before="0" w:after="160" w:line="252" w:lineRule="auto"/>
              <w:ind w:right="284"/>
              <w:contextualSpacing/>
              <w:rPr>
                <w:rFonts w:eastAsia="Arial" w:cs="Arial"/>
                <w:bCs/>
                <w:sz w:val="20"/>
              </w:rPr>
            </w:pPr>
            <w:r w:rsidRPr="0073604D">
              <w:rPr>
                <w:rFonts w:eastAsia="Arial" w:cs="Arial"/>
                <w:bCs/>
                <w:sz w:val="20"/>
              </w:rPr>
              <w:t>Ashfield and Mansfield - A Plan for Growth 2016 (Joint Economic Masterplan Update)</w:t>
            </w:r>
            <w:r w:rsidR="00031087" w:rsidRPr="0073604D">
              <w:rPr>
                <w:rFonts w:eastAsia="Arial" w:cs="Arial"/>
                <w:bCs/>
                <w:sz w:val="20"/>
              </w:rPr>
              <w:t>.</w:t>
            </w:r>
            <w:r w:rsidRPr="0073604D">
              <w:rPr>
                <w:rFonts w:eastAsia="Arial" w:cs="Arial"/>
                <w:bCs/>
                <w:sz w:val="20"/>
              </w:rPr>
              <w:t xml:space="preserve"> Ashfield District Council &amp; Mansfield District Council</w:t>
            </w:r>
            <w:r w:rsidR="00E876F5" w:rsidRPr="0073604D">
              <w:rPr>
                <w:rFonts w:eastAsia="Arial" w:cs="Arial"/>
                <w:bCs/>
                <w:sz w:val="20"/>
              </w:rPr>
              <w:t>.</w:t>
            </w:r>
          </w:p>
          <w:p w14:paraId="489CD728" w14:textId="1690E669" w:rsidR="00253929" w:rsidRPr="0073604D" w:rsidRDefault="00253929" w:rsidP="00A05D94">
            <w:pPr>
              <w:keepNext w:val="0"/>
              <w:numPr>
                <w:ilvl w:val="0"/>
                <w:numId w:val="24"/>
              </w:numPr>
              <w:tabs>
                <w:tab w:val="left" w:pos="680"/>
                <w:tab w:val="left" w:pos="1133"/>
                <w:tab w:val="left" w:pos="2267"/>
              </w:tabs>
              <w:spacing w:before="0" w:after="160" w:line="252" w:lineRule="auto"/>
              <w:ind w:right="284"/>
              <w:contextualSpacing/>
              <w:rPr>
                <w:rFonts w:eastAsia="Arial" w:cs="Arial"/>
                <w:bCs/>
                <w:sz w:val="20"/>
              </w:rPr>
            </w:pPr>
            <w:r w:rsidRPr="0073604D">
              <w:rPr>
                <w:rFonts w:eastAsia="Arial" w:cs="Arial"/>
                <w:bCs/>
                <w:sz w:val="20"/>
              </w:rPr>
              <w:t>Maid Marian Rail Extension Economic Impact Analysis 2020</w:t>
            </w:r>
            <w:r w:rsidR="00031087" w:rsidRPr="0073604D">
              <w:rPr>
                <w:rFonts w:eastAsia="Arial" w:cs="Arial"/>
                <w:bCs/>
                <w:sz w:val="20"/>
              </w:rPr>
              <w:t>.</w:t>
            </w:r>
            <w:r w:rsidRPr="0073604D">
              <w:rPr>
                <w:rFonts w:eastAsia="Arial" w:cs="Arial"/>
                <w:bCs/>
                <w:sz w:val="20"/>
              </w:rPr>
              <w:t xml:space="preserve"> Lichfields</w:t>
            </w:r>
            <w:r w:rsidR="00E876F5" w:rsidRPr="0073604D">
              <w:rPr>
                <w:rFonts w:eastAsia="Arial" w:cs="Arial"/>
                <w:bCs/>
                <w:sz w:val="20"/>
              </w:rPr>
              <w:t>.</w:t>
            </w:r>
          </w:p>
          <w:p w14:paraId="43F70401" w14:textId="06CC8C49" w:rsidR="00253929" w:rsidRPr="0073604D" w:rsidRDefault="00253929" w:rsidP="00A05D94">
            <w:pPr>
              <w:keepNext w:val="0"/>
              <w:numPr>
                <w:ilvl w:val="0"/>
                <w:numId w:val="24"/>
              </w:numPr>
              <w:tabs>
                <w:tab w:val="left" w:pos="680"/>
                <w:tab w:val="left" w:pos="1133"/>
                <w:tab w:val="left" w:pos="2267"/>
              </w:tabs>
              <w:spacing w:before="0" w:after="160" w:line="252" w:lineRule="auto"/>
              <w:ind w:right="284"/>
              <w:contextualSpacing/>
              <w:rPr>
                <w:rFonts w:eastAsia="Arial" w:cs="Arial"/>
                <w:bCs/>
                <w:sz w:val="20"/>
              </w:rPr>
            </w:pPr>
            <w:r w:rsidRPr="0073604D">
              <w:rPr>
                <w:rFonts w:eastAsia="Arial" w:cs="Arial"/>
                <w:bCs/>
                <w:sz w:val="20"/>
              </w:rPr>
              <w:t xml:space="preserve">Maid Marian Rail Extension - Ashfield Masterplan Report </w:t>
            </w:r>
            <w:r w:rsidR="00031087" w:rsidRPr="0073604D">
              <w:rPr>
                <w:rFonts w:eastAsia="Arial" w:cs="Arial"/>
                <w:bCs/>
                <w:sz w:val="20"/>
              </w:rPr>
              <w:t>2020</w:t>
            </w:r>
            <w:r w:rsidR="00FF79A8" w:rsidRPr="0073604D">
              <w:rPr>
                <w:rFonts w:eastAsia="Arial" w:cs="Arial"/>
                <w:bCs/>
                <w:sz w:val="20"/>
              </w:rPr>
              <w:t>. Ryders.</w:t>
            </w:r>
            <w:r w:rsidR="00031087" w:rsidRPr="0073604D">
              <w:rPr>
                <w:rFonts w:eastAsia="Arial" w:cs="Arial"/>
                <w:bCs/>
                <w:sz w:val="20"/>
              </w:rPr>
              <w:t xml:space="preserve"> </w:t>
            </w:r>
            <w:r w:rsidRPr="0073604D">
              <w:rPr>
                <w:rFonts w:eastAsia="Arial" w:cs="Arial"/>
                <w:bCs/>
                <w:sz w:val="20"/>
              </w:rPr>
              <w:t xml:space="preserve"> Ashfield District Council and Mansfield District Council</w:t>
            </w:r>
            <w:r w:rsidR="00E876F5" w:rsidRPr="0073604D">
              <w:rPr>
                <w:rFonts w:eastAsia="Arial" w:cs="Arial"/>
                <w:bCs/>
                <w:sz w:val="20"/>
              </w:rPr>
              <w:t>.</w:t>
            </w:r>
          </w:p>
          <w:p w14:paraId="76617878" w14:textId="5A619F13" w:rsidR="00253929" w:rsidRPr="0073604D" w:rsidRDefault="00253929" w:rsidP="00A05D94">
            <w:pPr>
              <w:keepNext w:val="0"/>
              <w:numPr>
                <w:ilvl w:val="0"/>
                <w:numId w:val="24"/>
              </w:numPr>
              <w:tabs>
                <w:tab w:val="left" w:pos="680"/>
                <w:tab w:val="left" w:pos="1133"/>
                <w:tab w:val="left" w:pos="2267"/>
              </w:tabs>
              <w:spacing w:before="0" w:after="160" w:line="252" w:lineRule="auto"/>
              <w:ind w:right="284"/>
              <w:contextualSpacing/>
              <w:rPr>
                <w:rFonts w:eastAsia="Arial" w:cs="Arial"/>
                <w:bCs/>
                <w:sz w:val="20"/>
              </w:rPr>
            </w:pPr>
            <w:r w:rsidRPr="0073604D">
              <w:rPr>
                <w:rFonts w:eastAsia="Arial" w:cs="Arial"/>
                <w:bCs/>
                <w:sz w:val="20"/>
              </w:rPr>
              <w:t>D2N2 – the Spark in the UK’s Growth Engine Strategic Economic Plan 2019-2030</w:t>
            </w:r>
            <w:r w:rsidR="00031087" w:rsidRPr="0073604D">
              <w:rPr>
                <w:rFonts w:eastAsia="Arial" w:cs="Arial"/>
                <w:bCs/>
                <w:sz w:val="20"/>
              </w:rPr>
              <w:t xml:space="preserve">. </w:t>
            </w:r>
            <w:r w:rsidRPr="0073604D">
              <w:rPr>
                <w:rFonts w:eastAsia="Arial" w:cs="Arial"/>
                <w:bCs/>
                <w:sz w:val="20"/>
              </w:rPr>
              <w:t>D2N2 Local Enterprise Partnership</w:t>
            </w:r>
            <w:r w:rsidR="00031087" w:rsidRPr="0073604D">
              <w:rPr>
                <w:rFonts w:eastAsia="Arial" w:cs="Arial"/>
                <w:bCs/>
                <w:sz w:val="20"/>
              </w:rPr>
              <w:t>.</w:t>
            </w:r>
          </w:p>
          <w:p w14:paraId="14579932" w14:textId="0042D819" w:rsidR="00253929" w:rsidRPr="0073604D" w:rsidRDefault="00253929" w:rsidP="00A05D94">
            <w:pPr>
              <w:keepNext w:val="0"/>
              <w:numPr>
                <w:ilvl w:val="0"/>
                <w:numId w:val="24"/>
              </w:numPr>
              <w:tabs>
                <w:tab w:val="left" w:pos="680"/>
                <w:tab w:val="left" w:pos="1133"/>
                <w:tab w:val="left" w:pos="2267"/>
              </w:tabs>
              <w:spacing w:before="0" w:after="160" w:line="252" w:lineRule="auto"/>
              <w:ind w:right="284"/>
              <w:contextualSpacing/>
              <w:rPr>
                <w:rFonts w:eastAsia="Arial" w:cs="Arial"/>
                <w:bCs/>
                <w:sz w:val="20"/>
              </w:rPr>
            </w:pPr>
            <w:r w:rsidRPr="0073604D">
              <w:rPr>
                <w:rFonts w:eastAsia="Arial" w:cs="Arial"/>
                <w:bCs/>
                <w:sz w:val="20"/>
              </w:rPr>
              <w:t>The D2N2 draft Local Industrial Strategy</w:t>
            </w:r>
            <w:r w:rsidR="00675185" w:rsidRPr="0073604D">
              <w:rPr>
                <w:rFonts w:eastAsia="Arial" w:cs="Arial"/>
                <w:bCs/>
                <w:sz w:val="20"/>
              </w:rPr>
              <w:t>,</w:t>
            </w:r>
            <w:r w:rsidRPr="0073604D">
              <w:rPr>
                <w:rFonts w:eastAsia="Arial" w:cs="Arial"/>
                <w:bCs/>
                <w:sz w:val="20"/>
              </w:rPr>
              <w:t xml:space="preserve"> </w:t>
            </w:r>
            <w:r w:rsidR="00675185" w:rsidRPr="0073604D">
              <w:rPr>
                <w:rFonts w:eastAsia="Arial" w:cs="Arial"/>
                <w:bCs/>
                <w:sz w:val="20"/>
              </w:rPr>
              <w:t xml:space="preserve">March </w:t>
            </w:r>
            <w:r w:rsidR="00031087" w:rsidRPr="0073604D">
              <w:rPr>
                <w:rFonts w:eastAsia="Arial" w:cs="Arial"/>
                <w:bCs/>
                <w:sz w:val="20"/>
              </w:rPr>
              <w:t xml:space="preserve">2020. </w:t>
            </w:r>
            <w:r w:rsidRPr="0073604D">
              <w:rPr>
                <w:rFonts w:eastAsia="Arial" w:cs="Arial"/>
                <w:bCs/>
                <w:sz w:val="20"/>
              </w:rPr>
              <w:t>D2N2 Local Enterprise Partnership</w:t>
            </w:r>
            <w:r w:rsidR="00E876F5" w:rsidRPr="0073604D">
              <w:rPr>
                <w:rFonts w:eastAsia="Arial" w:cs="Arial"/>
                <w:bCs/>
                <w:sz w:val="20"/>
              </w:rPr>
              <w:t>.</w:t>
            </w:r>
          </w:p>
          <w:p w14:paraId="7F9CC18B" w14:textId="6717346B" w:rsidR="00253929" w:rsidRPr="0073604D" w:rsidRDefault="00253929" w:rsidP="00A05D94">
            <w:pPr>
              <w:keepNext w:val="0"/>
              <w:numPr>
                <w:ilvl w:val="0"/>
                <w:numId w:val="24"/>
              </w:numPr>
              <w:tabs>
                <w:tab w:val="left" w:pos="680"/>
                <w:tab w:val="left" w:pos="1133"/>
                <w:tab w:val="left" w:pos="2267"/>
              </w:tabs>
              <w:spacing w:before="0" w:after="160" w:line="252" w:lineRule="auto"/>
              <w:ind w:right="284"/>
              <w:contextualSpacing/>
              <w:rPr>
                <w:rFonts w:eastAsia="Arial" w:cs="Arial"/>
                <w:bCs/>
                <w:sz w:val="20"/>
              </w:rPr>
            </w:pPr>
            <w:r w:rsidRPr="0073604D">
              <w:rPr>
                <w:rFonts w:eastAsia="Arial" w:cs="Arial"/>
                <w:bCs/>
                <w:sz w:val="20"/>
              </w:rPr>
              <w:t>D2N2 Local Industrial Strategy Evidence Base - D2N2 Local Enterprise Partnership</w:t>
            </w:r>
            <w:r w:rsidR="00E876F5" w:rsidRPr="0073604D">
              <w:rPr>
                <w:rFonts w:eastAsia="Arial" w:cs="Arial"/>
                <w:bCs/>
                <w:sz w:val="20"/>
              </w:rPr>
              <w:t>.</w:t>
            </w:r>
          </w:p>
          <w:p w14:paraId="3BB9DC0B" w14:textId="26A2669B" w:rsidR="00253929" w:rsidRPr="0073604D" w:rsidRDefault="00253929" w:rsidP="00A05D94">
            <w:pPr>
              <w:keepNext w:val="0"/>
              <w:numPr>
                <w:ilvl w:val="0"/>
                <w:numId w:val="24"/>
              </w:numPr>
              <w:tabs>
                <w:tab w:val="left" w:pos="680"/>
                <w:tab w:val="left" w:pos="1133"/>
                <w:tab w:val="left" w:pos="2267"/>
              </w:tabs>
              <w:spacing w:before="0" w:after="160" w:line="252" w:lineRule="auto"/>
              <w:ind w:right="284"/>
              <w:contextualSpacing/>
              <w:rPr>
                <w:rFonts w:eastAsia="Arial" w:cs="Arial"/>
                <w:bCs/>
                <w:sz w:val="20"/>
              </w:rPr>
            </w:pPr>
            <w:r w:rsidRPr="0073604D">
              <w:rPr>
                <w:rFonts w:eastAsia="Arial" w:cs="Arial"/>
                <w:bCs/>
                <w:sz w:val="20"/>
              </w:rPr>
              <w:t>Employment Land and Monitoring Report</w:t>
            </w:r>
            <w:r w:rsidR="00287238" w:rsidRPr="0073604D">
              <w:rPr>
                <w:rFonts w:eastAsia="Arial" w:cs="Arial"/>
                <w:bCs/>
                <w:sz w:val="20"/>
              </w:rPr>
              <w:t>s</w:t>
            </w:r>
            <w:r w:rsidR="00031087" w:rsidRPr="0073604D">
              <w:rPr>
                <w:rFonts w:eastAsia="Arial" w:cs="Arial"/>
                <w:bCs/>
                <w:sz w:val="20"/>
              </w:rPr>
              <w:t>.</w:t>
            </w:r>
            <w:r w:rsidRPr="0073604D">
              <w:rPr>
                <w:rFonts w:eastAsia="Arial" w:cs="Arial"/>
                <w:bCs/>
                <w:sz w:val="20"/>
              </w:rPr>
              <w:t xml:space="preserve"> Ashfield District Counci</w:t>
            </w:r>
            <w:r w:rsidR="00E876F5" w:rsidRPr="0073604D">
              <w:rPr>
                <w:rFonts w:eastAsia="Arial" w:cs="Arial"/>
                <w:bCs/>
                <w:sz w:val="20"/>
              </w:rPr>
              <w:t>l.</w:t>
            </w:r>
          </w:p>
          <w:p w14:paraId="0188CE8F" w14:textId="1682739D" w:rsidR="00287238" w:rsidRPr="0073604D" w:rsidRDefault="00253929" w:rsidP="00287238">
            <w:pPr>
              <w:keepNext w:val="0"/>
              <w:numPr>
                <w:ilvl w:val="0"/>
                <w:numId w:val="24"/>
              </w:numPr>
              <w:tabs>
                <w:tab w:val="left" w:pos="680"/>
                <w:tab w:val="left" w:pos="1133"/>
                <w:tab w:val="left" w:pos="2267"/>
              </w:tabs>
              <w:spacing w:before="0" w:after="160" w:line="252" w:lineRule="auto"/>
              <w:ind w:right="284"/>
              <w:contextualSpacing/>
              <w:rPr>
                <w:rFonts w:eastAsia="Arial" w:cs="Arial"/>
                <w:bCs/>
                <w:sz w:val="20"/>
              </w:rPr>
            </w:pPr>
            <w:r w:rsidRPr="0073604D">
              <w:rPr>
                <w:rFonts w:eastAsia="Arial" w:cs="Arial"/>
                <w:bCs/>
                <w:sz w:val="20"/>
              </w:rPr>
              <w:t>Sustainability Appraisal</w:t>
            </w:r>
            <w:r w:rsidR="00031087" w:rsidRPr="0073604D">
              <w:rPr>
                <w:rFonts w:eastAsia="Arial" w:cs="Arial"/>
                <w:bCs/>
                <w:sz w:val="20"/>
              </w:rPr>
              <w:t xml:space="preserve"> 202</w:t>
            </w:r>
            <w:r w:rsidR="00287238" w:rsidRPr="0073604D">
              <w:rPr>
                <w:rFonts w:eastAsia="Arial" w:cs="Arial"/>
                <w:bCs/>
                <w:sz w:val="20"/>
              </w:rPr>
              <w:t>3. WSP UK Limited.</w:t>
            </w:r>
          </w:p>
          <w:p w14:paraId="643B7739" w14:textId="2DBE888A" w:rsidR="006E3758" w:rsidRPr="0073604D" w:rsidRDefault="006E3758" w:rsidP="00287238">
            <w:pPr>
              <w:keepNext w:val="0"/>
              <w:numPr>
                <w:ilvl w:val="0"/>
                <w:numId w:val="24"/>
              </w:numPr>
              <w:tabs>
                <w:tab w:val="left" w:pos="680"/>
                <w:tab w:val="left" w:pos="1133"/>
                <w:tab w:val="left" w:pos="2267"/>
              </w:tabs>
              <w:spacing w:before="0" w:after="160" w:line="252" w:lineRule="auto"/>
              <w:ind w:right="284"/>
              <w:contextualSpacing/>
              <w:rPr>
                <w:rFonts w:eastAsia="Arial" w:cs="Arial"/>
                <w:bCs/>
                <w:sz w:val="20"/>
              </w:rPr>
            </w:pPr>
            <w:r w:rsidRPr="0073604D">
              <w:rPr>
                <w:rFonts w:eastAsia="Arial" w:cs="Arial"/>
                <w:bCs/>
                <w:sz w:val="20"/>
              </w:rPr>
              <w:t>Securing developer contributions for education, April 2019. Department for Education.</w:t>
            </w:r>
          </w:p>
        </w:tc>
      </w:tr>
      <w:tr w:rsidR="00253929" w:rsidRPr="003C7E62" w14:paraId="08E495C7" w14:textId="77777777" w:rsidTr="00CB0557">
        <w:trPr>
          <w:trHeight w:val="623"/>
        </w:trPr>
        <w:tc>
          <w:tcPr>
            <w:tcW w:w="1413" w:type="dxa"/>
            <w:shd w:val="clear" w:color="auto" w:fill="FFFFFF" w:themeFill="background1"/>
          </w:tcPr>
          <w:p w14:paraId="03921548" w14:textId="6CDE19E1" w:rsidR="00253929" w:rsidRPr="003C7E62" w:rsidRDefault="00253929" w:rsidP="002430A6">
            <w:pPr>
              <w:keepNext w:val="0"/>
              <w:spacing w:before="0"/>
              <w:contextualSpacing/>
              <w:rPr>
                <w:rFonts w:cs="Arial"/>
                <w:bCs/>
                <w:color w:val="auto"/>
                <w:sz w:val="20"/>
                <w:lang w:eastAsia="en-US"/>
              </w:rPr>
            </w:pPr>
            <w:r w:rsidRPr="003C7E62">
              <w:rPr>
                <w:rFonts w:eastAsia="Arial" w:cs="Arial"/>
                <w:bCs/>
                <w:color w:val="auto"/>
                <w:sz w:val="20"/>
              </w:rPr>
              <w:t xml:space="preserve">National Planning Policy </w:t>
            </w:r>
            <w:r w:rsidR="00B8736C" w:rsidRPr="003C7E62">
              <w:rPr>
                <w:rFonts w:eastAsia="Arial" w:cs="Arial"/>
                <w:bCs/>
                <w:color w:val="auto"/>
                <w:sz w:val="20"/>
              </w:rPr>
              <w:t>and</w:t>
            </w:r>
            <w:r w:rsidRPr="003C7E62">
              <w:rPr>
                <w:rFonts w:eastAsia="Arial" w:cs="Arial"/>
                <w:bCs/>
                <w:color w:val="auto"/>
                <w:sz w:val="20"/>
              </w:rPr>
              <w:t xml:space="preserve"> Guidance</w:t>
            </w:r>
          </w:p>
        </w:tc>
        <w:tc>
          <w:tcPr>
            <w:tcW w:w="8221" w:type="dxa"/>
            <w:shd w:val="clear" w:color="auto" w:fill="FFFFFF" w:themeFill="background1"/>
          </w:tcPr>
          <w:p w14:paraId="427A527F" w14:textId="53947FCC" w:rsidR="00253929" w:rsidRPr="003C7E62" w:rsidRDefault="00E51D51" w:rsidP="002430A6">
            <w:pPr>
              <w:keepNext w:val="0"/>
              <w:numPr>
                <w:ilvl w:val="0"/>
                <w:numId w:val="25"/>
              </w:numPr>
              <w:spacing w:before="0" w:after="160" w:line="252" w:lineRule="auto"/>
              <w:contextualSpacing/>
              <w:rPr>
                <w:rFonts w:cs="Arial"/>
                <w:bCs/>
                <w:color w:val="auto"/>
                <w:sz w:val="20"/>
                <w:u w:val="single"/>
              </w:rPr>
            </w:pPr>
            <w:r w:rsidRPr="003C7E62">
              <w:rPr>
                <w:rFonts w:eastAsia="Arial" w:cs="Arial"/>
                <w:bCs/>
                <w:color w:val="auto"/>
                <w:sz w:val="20"/>
              </w:rPr>
              <w:t xml:space="preserve">NPPF </w:t>
            </w:r>
            <w:r w:rsidR="00031087" w:rsidRPr="003C7E62">
              <w:rPr>
                <w:rFonts w:eastAsia="Arial" w:cs="Arial"/>
                <w:bCs/>
                <w:color w:val="auto"/>
                <w:sz w:val="20"/>
              </w:rPr>
              <w:t>20</w:t>
            </w:r>
            <w:r w:rsidR="00AE71BE" w:rsidRPr="003C7E62">
              <w:rPr>
                <w:rFonts w:eastAsia="Arial" w:cs="Arial"/>
                <w:bCs/>
                <w:color w:val="auto"/>
                <w:sz w:val="20"/>
              </w:rPr>
              <w:t>2</w:t>
            </w:r>
            <w:r w:rsidR="00A37A61">
              <w:rPr>
                <w:rFonts w:eastAsia="Arial" w:cs="Arial"/>
                <w:bCs/>
                <w:color w:val="auto"/>
                <w:sz w:val="20"/>
              </w:rPr>
              <w:t>3</w:t>
            </w:r>
            <w:r w:rsidR="00031087" w:rsidRPr="003C7E62">
              <w:rPr>
                <w:rFonts w:eastAsia="Arial" w:cs="Arial"/>
                <w:bCs/>
                <w:color w:val="auto"/>
                <w:sz w:val="20"/>
              </w:rPr>
              <w:t xml:space="preserve">, </w:t>
            </w:r>
            <w:r w:rsidR="00253929" w:rsidRPr="003C7E62">
              <w:rPr>
                <w:rFonts w:eastAsia="Arial" w:cs="Arial"/>
                <w:bCs/>
                <w:color w:val="auto"/>
                <w:sz w:val="20"/>
              </w:rPr>
              <w:t>Part 2</w:t>
            </w:r>
            <w:r w:rsidR="00031087" w:rsidRPr="003C7E62">
              <w:rPr>
                <w:rFonts w:eastAsia="Arial" w:cs="Arial"/>
                <w:bCs/>
                <w:color w:val="auto"/>
                <w:sz w:val="20"/>
              </w:rPr>
              <w:t>:</w:t>
            </w:r>
            <w:r w:rsidR="00253929" w:rsidRPr="003C7E62">
              <w:rPr>
                <w:rFonts w:eastAsia="Arial" w:cs="Arial"/>
                <w:bCs/>
                <w:color w:val="auto"/>
                <w:sz w:val="20"/>
              </w:rPr>
              <w:t xml:space="preserve"> Achieving sustainable development</w:t>
            </w:r>
            <w:r w:rsidR="00E876F5" w:rsidRPr="003C7E62">
              <w:rPr>
                <w:rFonts w:eastAsia="Arial" w:cs="Arial"/>
                <w:bCs/>
                <w:color w:val="auto"/>
                <w:sz w:val="20"/>
              </w:rPr>
              <w:t>.</w:t>
            </w:r>
          </w:p>
          <w:p w14:paraId="69BBABE6" w14:textId="6D9B78CD" w:rsidR="00253929" w:rsidRPr="003C7E62" w:rsidRDefault="00E51D51" w:rsidP="002430A6">
            <w:pPr>
              <w:keepNext w:val="0"/>
              <w:numPr>
                <w:ilvl w:val="0"/>
                <w:numId w:val="25"/>
              </w:numPr>
              <w:tabs>
                <w:tab w:val="left" w:pos="680"/>
                <w:tab w:val="left" w:pos="1133"/>
                <w:tab w:val="left" w:pos="2267"/>
              </w:tabs>
              <w:spacing w:before="0" w:after="160" w:line="252" w:lineRule="auto"/>
              <w:ind w:right="284"/>
              <w:contextualSpacing/>
              <w:rPr>
                <w:rFonts w:eastAsia="Arial" w:cs="Arial"/>
                <w:bCs/>
                <w:color w:val="auto"/>
                <w:sz w:val="20"/>
              </w:rPr>
            </w:pPr>
            <w:r w:rsidRPr="003C7E62">
              <w:rPr>
                <w:rFonts w:eastAsia="Arial" w:cs="Arial"/>
                <w:bCs/>
                <w:color w:val="auto"/>
                <w:sz w:val="20"/>
              </w:rPr>
              <w:t xml:space="preserve">NPPF </w:t>
            </w:r>
            <w:r w:rsidR="00031087" w:rsidRPr="003C7E62">
              <w:rPr>
                <w:rFonts w:eastAsia="Arial" w:cs="Arial"/>
                <w:bCs/>
                <w:color w:val="auto"/>
                <w:sz w:val="20"/>
              </w:rPr>
              <w:t>20</w:t>
            </w:r>
            <w:r w:rsidR="00AE71BE" w:rsidRPr="003C7E62">
              <w:rPr>
                <w:rFonts w:eastAsia="Arial" w:cs="Arial"/>
                <w:bCs/>
                <w:color w:val="auto"/>
                <w:sz w:val="20"/>
              </w:rPr>
              <w:t>2</w:t>
            </w:r>
            <w:r w:rsidR="00A37A61">
              <w:rPr>
                <w:rFonts w:eastAsia="Arial" w:cs="Arial"/>
                <w:bCs/>
                <w:color w:val="auto"/>
                <w:sz w:val="20"/>
              </w:rPr>
              <w:t>3</w:t>
            </w:r>
            <w:r w:rsidR="00031087" w:rsidRPr="003C7E62">
              <w:rPr>
                <w:rFonts w:eastAsia="Arial" w:cs="Arial"/>
                <w:bCs/>
                <w:color w:val="auto"/>
                <w:sz w:val="20"/>
              </w:rPr>
              <w:t xml:space="preserve">, </w:t>
            </w:r>
            <w:r w:rsidR="00253929" w:rsidRPr="003C7E62">
              <w:rPr>
                <w:rFonts w:eastAsia="Arial" w:cs="Arial"/>
                <w:bCs/>
                <w:color w:val="auto"/>
                <w:sz w:val="20"/>
              </w:rPr>
              <w:t>Part 6</w:t>
            </w:r>
            <w:r w:rsidR="00031087" w:rsidRPr="003C7E62">
              <w:rPr>
                <w:rFonts w:eastAsia="Arial" w:cs="Arial"/>
                <w:bCs/>
                <w:color w:val="auto"/>
                <w:sz w:val="20"/>
              </w:rPr>
              <w:t>:</w:t>
            </w:r>
            <w:r w:rsidR="00253929" w:rsidRPr="003C7E62">
              <w:rPr>
                <w:rFonts w:eastAsia="Arial" w:cs="Arial"/>
                <w:bCs/>
                <w:color w:val="auto"/>
                <w:sz w:val="20"/>
              </w:rPr>
              <w:t xml:space="preserve"> </w:t>
            </w:r>
            <w:r w:rsidR="00253929" w:rsidRPr="003C7E62">
              <w:rPr>
                <w:rFonts w:eastAsia="Calibri" w:cs="Arial"/>
                <w:bCs/>
                <w:color w:val="auto"/>
                <w:sz w:val="20"/>
                <w:lang w:eastAsia="en-US"/>
              </w:rPr>
              <w:t>Building a strong, competitive economy</w:t>
            </w:r>
            <w:r w:rsidR="00E876F5" w:rsidRPr="003C7E62">
              <w:rPr>
                <w:rFonts w:eastAsia="Calibri" w:cs="Arial"/>
                <w:bCs/>
                <w:color w:val="auto"/>
                <w:sz w:val="20"/>
                <w:lang w:eastAsia="en-US"/>
              </w:rPr>
              <w:t>.</w:t>
            </w:r>
          </w:p>
          <w:p w14:paraId="5FBE879F" w14:textId="542D5AAD" w:rsidR="00253929" w:rsidRPr="003C7E62" w:rsidRDefault="00E51D51" w:rsidP="002430A6">
            <w:pPr>
              <w:keepNext w:val="0"/>
              <w:numPr>
                <w:ilvl w:val="0"/>
                <w:numId w:val="25"/>
              </w:numPr>
              <w:spacing w:before="0" w:after="160" w:line="252" w:lineRule="auto"/>
              <w:contextualSpacing/>
              <w:rPr>
                <w:rFonts w:cs="Arial"/>
                <w:bCs/>
                <w:color w:val="auto"/>
                <w:sz w:val="20"/>
                <w:u w:val="single"/>
              </w:rPr>
            </w:pPr>
            <w:r w:rsidRPr="003C7E62">
              <w:rPr>
                <w:rFonts w:eastAsia="Arial" w:cs="Arial"/>
                <w:bCs/>
                <w:color w:val="auto"/>
                <w:sz w:val="20"/>
              </w:rPr>
              <w:t xml:space="preserve">NPPF </w:t>
            </w:r>
            <w:r w:rsidR="00031087" w:rsidRPr="003C7E62">
              <w:rPr>
                <w:rFonts w:eastAsia="Arial" w:cs="Arial"/>
                <w:bCs/>
                <w:color w:val="auto"/>
                <w:sz w:val="20"/>
              </w:rPr>
              <w:t>20</w:t>
            </w:r>
            <w:r w:rsidR="00AE71BE" w:rsidRPr="003C7E62">
              <w:rPr>
                <w:rFonts w:eastAsia="Arial" w:cs="Arial"/>
                <w:bCs/>
                <w:color w:val="auto"/>
                <w:sz w:val="20"/>
              </w:rPr>
              <w:t>2</w:t>
            </w:r>
            <w:r w:rsidR="00A37A61">
              <w:rPr>
                <w:rFonts w:eastAsia="Arial" w:cs="Arial"/>
                <w:bCs/>
                <w:color w:val="auto"/>
                <w:sz w:val="20"/>
              </w:rPr>
              <w:t>3</w:t>
            </w:r>
            <w:r w:rsidR="00031087" w:rsidRPr="003C7E62">
              <w:rPr>
                <w:rFonts w:eastAsia="Arial" w:cs="Arial"/>
                <w:bCs/>
                <w:color w:val="auto"/>
                <w:sz w:val="20"/>
              </w:rPr>
              <w:t xml:space="preserve"> </w:t>
            </w:r>
            <w:r w:rsidR="00253929" w:rsidRPr="003C7E62">
              <w:rPr>
                <w:rFonts w:eastAsia="Arial" w:cs="Arial"/>
                <w:bCs/>
                <w:color w:val="auto"/>
                <w:sz w:val="20"/>
              </w:rPr>
              <w:t>Part 11</w:t>
            </w:r>
            <w:r w:rsidR="00031087" w:rsidRPr="003C7E62">
              <w:rPr>
                <w:rFonts w:eastAsia="Arial" w:cs="Arial"/>
                <w:bCs/>
                <w:color w:val="auto"/>
                <w:sz w:val="20"/>
              </w:rPr>
              <w:t>:</w:t>
            </w:r>
            <w:r w:rsidR="00253929" w:rsidRPr="003C7E62">
              <w:rPr>
                <w:rFonts w:eastAsia="Arial" w:cs="Arial"/>
                <w:bCs/>
                <w:color w:val="auto"/>
                <w:sz w:val="20"/>
              </w:rPr>
              <w:t xml:space="preserve"> Making effective use of land</w:t>
            </w:r>
            <w:r w:rsidR="00E876F5" w:rsidRPr="003C7E62">
              <w:rPr>
                <w:rFonts w:eastAsia="Arial" w:cs="Arial"/>
                <w:bCs/>
                <w:color w:val="auto"/>
                <w:sz w:val="20"/>
              </w:rPr>
              <w:t>.</w:t>
            </w:r>
          </w:p>
          <w:p w14:paraId="4AB536CB" w14:textId="77777777" w:rsidR="00287238" w:rsidRPr="00A32846" w:rsidRDefault="00287238" w:rsidP="002430A6">
            <w:pPr>
              <w:keepNext w:val="0"/>
              <w:numPr>
                <w:ilvl w:val="0"/>
                <w:numId w:val="25"/>
              </w:numPr>
              <w:spacing w:before="0" w:after="160" w:line="252" w:lineRule="auto"/>
              <w:contextualSpacing/>
              <w:rPr>
                <w:rFonts w:eastAsia="Calibri" w:cs="Arial"/>
                <w:bCs/>
                <w:sz w:val="20"/>
                <w:lang w:eastAsia="en-US"/>
              </w:rPr>
            </w:pPr>
            <w:r w:rsidRPr="00287238">
              <w:rPr>
                <w:rFonts w:eastAsia="Calibri" w:cs="Arial"/>
                <w:bCs/>
                <w:color w:val="auto"/>
                <w:sz w:val="20"/>
                <w:lang w:eastAsia="en-US"/>
              </w:rPr>
              <w:t xml:space="preserve">Planning Practice Guidance: Housing and economic land availability assessment </w:t>
            </w:r>
            <w:r w:rsidRPr="00A32846">
              <w:rPr>
                <w:rFonts w:eastAsia="Calibri" w:cs="Arial"/>
                <w:bCs/>
                <w:sz w:val="20"/>
                <w:lang w:eastAsia="en-US"/>
              </w:rPr>
              <w:t>as of July 2019.</w:t>
            </w:r>
          </w:p>
          <w:p w14:paraId="10B4F340" w14:textId="779E3E52" w:rsidR="00253929" w:rsidRPr="00287238" w:rsidRDefault="00287238" w:rsidP="002430A6">
            <w:pPr>
              <w:keepNext w:val="0"/>
              <w:numPr>
                <w:ilvl w:val="0"/>
                <w:numId w:val="25"/>
              </w:numPr>
              <w:spacing w:before="0" w:after="160" w:line="252" w:lineRule="auto"/>
              <w:contextualSpacing/>
              <w:rPr>
                <w:rFonts w:eastAsia="Calibri" w:cs="Arial"/>
                <w:bCs/>
                <w:color w:val="auto"/>
                <w:sz w:val="20"/>
                <w:lang w:eastAsia="en-US"/>
              </w:rPr>
            </w:pPr>
            <w:r w:rsidRPr="00A32846">
              <w:rPr>
                <w:rFonts w:eastAsia="Calibri" w:cs="Arial"/>
                <w:bCs/>
                <w:sz w:val="20"/>
                <w:lang w:eastAsia="en-US"/>
              </w:rPr>
              <w:t>Planning Practice Guidance: Housing and economic needs assessment as of December 2020.</w:t>
            </w:r>
          </w:p>
        </w:tc>
      </w:tr>
    </w:tbl>
    <w:p w14:paraId="501783C9" w14:textId="77777777" w:rsidR="00B15934" w:rsidRPr="003C7E62" w:rsidRDefault="00B15934" w:rsidP="00F11936">
      <w:pPr>
        <w:pStyle w:val="ListParagraph"/>
        <w:autoSpaceDE w:val="0"/>
        <w:autoSpaceDN w:val="0"/>
        <w:adjustRightInd w:val="0"/>
        <w:spacing w:after="160" w:line="252" w:lineRule="auto"/>
        <w:ind w:left="851"/>
        <w:rPr>
          <w:rFonts w:ascii="Arial" w:eastAsia="Arial" w:hAnsi="Arial" w:cs="Arial"/>
          <w:color w:val="auto"/>
        </w:rPr>
      </w:pPr>
    </w:p>
    <w:bookmarkEnd w:id="72"/>
    <w:p w14:paraId="08D24C1F" w14:textId="18F3B75E" w:rsidR="003E6203" w:rsidRPr="003C7E62" w:rsidRDefault="00253929" w:rsidP="00874A98">
      <w:pPr>
        <w:pStyle w:val="ListParagraph"/>
        <w:numPr>
          <w:ilvl w:val="1"/>
          <w:numId w:val="103"/>
        </w:numPr>
        <w:autoSpaceDE w:val="0"/>
        <w:autoSpaceDN w:val="0"/>
        <w:adjustRightInd w:val="0"/>
        <w:spacing w:after="0" w:line="240" w:lineRule="auto"/>
        <w:ind w:left="851" w:hanging="851"/>
        <w:rPr>
          <w:rFonts w:ascii="Arial" w:eastAsia="Arial" w:hAnsi="Arial" w:cs="Arial"/>
          <w:color w:val="auto"/>
        </w:rPr>
      </w:pPr>
      <w:r w:rsidRPr="003C7E62">
        <w:rPr>
          <w:rFonts w:ascii="Arial" w:eastAsia="Arial" w:hAnsi="Arial" w:cs="Arial"/>
          <w:color w:val="auto"/>
        </w:rPr>
        <w:t xml:space="preserve">To maintain and improve the economic performance of the District, it is important to make provision for future employment and economic development alongside housing growth and protection of the environment. </w:t>
      </w:r>
      <w:r w:rsidR="00675185" w:rsidRPr="003C7E62">
        <w:rPr>
          <w:rFonts w:ascii="Arial" w:eastAsia="Arial" w:hAnsi="Arial" w:cs="Arial"/>
          <w:color w:val="auto"/>
        </w:rPr>
        <w:t xml:space="preserve">Through the policies in the Local Plan the </w:t>
      </w:r>
      <w:r w:rsidRPr="003C7E62">
        <w:rPr>
          <w:rFonts w:ascii="Arial" w:eastAsia="Arial" w:hAnsi="Arial" w:cs="Arial"/>
          <w:color w:val="auto"/>
        </w:rPr>
        <w:t xml:space="preserve">Council is committed to </w:t>
      </w:r>
      <w:r w:rsidR="00675185" w:rsidRPr="003C7E62">
        <w:rPr>
          <w:rFonts w:ascii="Arial" w:eastAsia="Arial" w:hAnsi="Arial" w:cs="Arial"/>
          <w:color w:val="auto"/>
        </w:rPr>
        <w:t xml:space="preserve">supporting and developing the local economy by </w:t>
      </w:r>
      <w:r w:rsidR="00E876F5" w:rsidRPr="003C7E62">
        <w:rPr>
          <w:rFonts w:ascii="Arial" w:eastAsia="Arial" w:hAnsi="Arial" w:cs="Arial"/>
          <w:color w:val="auto"/>
        </w:rPr>
        <w:t>a variety of means including</w:t>
      </w:r>
      <w:r w:rsidR="003E6203" w:rsidRPr="003C7E62">
        <w:rPr>
          <w:rFonts w:ascii="Arial" w:eastAsia="Arial" w:hAnsi="Arial" w:cs="Arial"/>
          <w:color w:val="auto"/>
        </w:rPr>
        <w:t>:</w:t>
      </w:r>
    </w:p>
    <w:p w14:paraId="58CE4F30" w14:textId="77777777" w:rsidR="00743F63" w:rsidRPr="003C7E62" w:rsidRDefault="00743F63" w:rsidP="00F11936">
      <w:pPr>
        <w:pStyle w:val="ListParagraph"/>
        <w:autoSpaceDE w:val="0"/>
        <w:autoSpaceDN w:val="0"/>
        <w:adjustRightInd w:val="0"/>
        <w:spacing w:after="0" w:line="240" w:lineRule="auto"/>
        <w:ind w:left="851"/>
        <w:rPr>
          <w:rFonts w:ascii="Arial" w:eastAsia="Arial" w:hAnsi="Arial" w:cs="Arial"/>
          <w:color w:val="auto"/>
        </w:rPr>
      </w:pPr>
    </w:p>
    <w:p w14:paraId="432BFF4A" w14:textId="77777777" w:rsidR="003E6203" w:rsidRPr="003C7E62" w:rsidRDefault="006725CC" w:rsidP="00874A98">
      <w:pPr>
        <w:keepNext w:val="0"/>
        <w:numPr>
          <w:ilvl w:val="0"/>
          <w:numId w:val="96"/>
        </w:numPr>
        <w:autoSpaceDE w:val="0"/>
        <w:autoSpaceDN w:val="0"/>
        <w:adjustRightInd w:val="0"/>
        <w:spacing w:before="0"/>
        <w:ind w:left="1276" w:hanging="425"/>
        <w:contextualSpacing/>
        <w:rPr>
          <w:rFonts w:eastAsia="Arial" w:cs="Arial"/>
          <w:color w:val="auto"/>
        </w:rPr>
      </w:pPr>
      <w:r w:rsidRPr="003C7E62">
        <w:rPr>
          <w:rFonts w:eastAsia="Arial" w:cs="Arial"/>
          <w:color w:val="auto"/>
        </w:rPr>
        <w:t>encouraging and facilitating private sector involvement in the development of the employment infrastructure of the District (land, premises, communications and transport);</w:t>
      </w:r>
    </w:p>
    <w:p w14:paraId="51B2CE47" w14:textId="707F753E" w:rsidR="003E6203" w:rsidRPr="003C7E62" w:rsidRDefault="006725CC" w:rsidP="00874A98">
      <w:pPr>
        <w:keepNext w:val="0"/>
        <w:numPr>
          <w:ilvl w:val="0"/>
          <w:numId w:val="96"/>
        </w:numPr>
        <w:autoSpaceDE w:val="0"/>
        <w:autoSpaceDN w:val="0"/>
        <w:adjustRightInd w:val="0"/>
        <w:spacing w:before="0"/>
        <w:ind w:left="1276" w:hanging="425"/>
        <w:contextualSpacing/>
        <w:rPr>
          <w:rFonts w:eastAsia="Arial" w:cs="Arial"/>
          <w:color w:val="auto"/>
        </w:rPr>
      </w:pPr>
      <w:r w:rsidRPr="003C7E62">
        <w:rPr>
          <w:rFonts w:eastAsia="Arial" w:cs="Arial"/>
          <w:color w:val="auto"/>
        </w:rPr>
        <w:t xml:space="preserve">maintaining a supply of quality land and premises for new </w:t>
      </w:r>
      <w:r w:rsidR="00675185" w:rsidRPr="003C7E62">
        <w:rPr>
          <w:rFonts w:eastAsia="Arial" w:cs="Arial"/>
          <w:color w:val="auto"/>
        </w:rPr>
        <w:t xml:space="preserve">and existing </w:t>
      </w:r>
      <w:r w:rsidRPr="003C7E62">
        <w:rPr>
          <w:rFonts w:eastAsia="Arial" w:cs="Arial"/>
          <w:color w:val="auto"/>
        </w:rPr>
        <w:t>business</w:t>
      </w:r>
      <w:r w:rsidR="00675185" w:rsidRPr="003C7E62">
        <w:rPr>
          <w:rFonts w:eastAsia="Arial" w:cs="Arial"/>
          <w:color w:val="auto"/>
        </w:rPr>
        <w:t>es</w:t>
      </w:r>
      <w:r w:rsidR="00DA6CAF">
        <w:rPr>
          <w:rFonts w:eastAsia="Arial" w:cs="Arial"/>
          <w:color w:val="auto"/>
        </w:rPr>
        <w:t>;</w:t>
      </w:r>
    </w:p>
    <w:p w14:paraId="06887852" w14:textId="77777777" w:rsidR="003E6203" w:rsidRPr="003C7E62" w:rsidRDefault="006725CC" w:rsidP="00874A98">
      <w:pPr>
        <w:keepNext w:val="0"/>
        <w:numPr>
          <w:ilvl w:val="0"/>
          <w:numId w:val="96"/>
        </w:numPr>
        <w:autoSpaceDE w:val="0"/>
        <w:autoSpaceDN w:val="0"/>
        <w:adjustRightInd w:val="0"/>
        <w:spacing w:before="0"/>
        <w:ind w:left="1276" w:hanging="425"/>
        <w:contextualSpacing/>
        <w:rPr>
          <w:rFonts w:eastAsia="Arial" w:cs="Arial"/>
          <w:color w:val="auto"/>
        </w:rPr>
      </w:pPr>
      <w:r w:rsidRPr="003C7E62">
        <w:rPr>
          <w:rFonts w:eastAsia="Arial" w:cs="Arial"/>
          <w:color w:val="auto"/>
        </w:rPr>
        <w:t>supporting diversification of rural area</w:t>
      </w:r>
      <w:r w:rsidR="00E64DE0" w:rsidRPr="003C7E62">
        <w:rPr>
          <w:rFonts w:eastAsia="Arial" w:cs="Arial"/>
          <w:color w:val="auto"/>
        </w:rPr>
        <w:t>s</w:t>
      </w:r>
      <w:r w:rsidRPr="003C7E62">
        <w:rPr>
          <w:rFonts w:eastAsia="Arial" w:cs="Arial"/>
          <w:color w:val="auto"/>
        </w:rPr>
        <w:t>;</w:t>
      </w:r>
    </w:p>
    <w:p w14:paraId="2F690EDF" w14:textId="77777777" w:rsidR="003E6203" w:rsidRPr="003C7E62" w:rsidRDefault="006725CC" w:rsidP="00874A98">
      <w:pPr>
        <w:keepNext w:val="0"/>
        <w:numPr>
          <w:ilvl w:val="0"/>
          <w:numId w:val="96"/>
        </w:numPr>
        <w:autoSpaceDE w:val="0"/>
        <w:autoSpaceDN w:val="0"/>
        <w:adjustRightInd w:val="0"/>
        <w:spacing w:before="0"/>
        <w:ind w:left="1276" w:hanging="425"/>
        <w:contextualSpacing/>
        <w:rPr>
          <w:rFonts w:eastAsia="Arial" w:cs="Arial"/>
          <w:color w:val="auto"/>
        </w:rPr>
      </w:pPr>
      <w:r w:rsidRPr="003C7E62">
        <w:rPr>
          <w:rFonts w:eastAsia="Arial" w:cs="Arial"/>
          <w:color w:val="auto"/>
        </w:rPr>
        <w:t>improving the built environment through high standards of design;</w:t>
      </w:r>
      <w:r w:rsidR="00675185" w:rsidRPr="003C7E62">
        <w:rPr>
          <w:rFonts w:eastAsia="Arial" w:cs="Arial"/>
          <w:color w:val="auto"/>
        </w:rPr>
        <w:t xml:space="preserve"> and</w:t>
      </w:r>
    </w:p>
    <w:p w14:paraId="18C5E08C" w14:textId="693EF5D0" w:rsidR="006725CC" w:rsidRPr="003C7E62" w:rsidRDefault="006725CC" w:rsidP="00874A98">
      <w:pPr>
        <w:keepNext w:val="0"/>
        <w:numPr>
          <w:ilvl w:val="0"/>
          <w:numId w:val="96"/>
        </w:numPr>
        <w:autoSpaceDE w:val="0"/>
        <w:autoSpaceDN w:val="0"/>
        <w:adjustRightInd w:val="0"/>
        <w:spacing w:before="0"/>
        <w:ind w:left="1276" w:hanging="425"/>
        <w:contextualSpacing/>
        <w:rPr>
          <w:rFonts w:eastAsia="Arial" w:cs="Arial"/>
          <w:color w:val="auto"/>
        </w:rPr>
      </w:pPr>
      <w:r w:rsidRPr="003C7E62">
        <w:rPr>
          <w:rFonts w:eastAsia="Arial" w:cs="Arial"/>
          <w:color w:val="auto"/>
        </w:rPr>
        <w:t>supporting and increasing social cohesion and community benefits.</w:t>
      </w:r>
    </w:p>
    <w:p w14:paraId="42C0B7BA" w14:textId="77777777" w:rsidR="006725CC" w:rsidRPr="003C7E62" w:rsidRDefault="006725CC" w:rsidP="00F11936">
      <w:pPr>
        <w:keepNext w:val="0"/>
        <w:spacing w:before="0"/>
        <w:ind w:left="525"/>
        <w:rPr>
          <w:rFonts w:cs="Arial"/>
          <w:color w:val="auto"/>
          <w:szCs w:val="24"/>
          <w:lang w:eastAsia="en-US"/>
        </w:rPr>
      </w:pPr>
    </w:p>
    <w:p w14:paraId="14275E8C" w14:textId="3DA967D7" w:rsidR="003E6203" w:rsidRPr="00A32846" w:rsidRDefault="00253929" w:rsidP="00874A98">
      <w:pPr>
        <w:pStyle w:val="ListParagraph"/>
        <w:numPr>
          <w:ilvl w:val="1"/>
          <w:numId w:val="103"/>
        </w:numPr>
        <w:spacing w:after="0" w:line="240" w:lineRule="auto"/>
        <w:ind w:left="851" w:hanging="851"/>
        <w:rPr>
          <w:rFonts w:ascii="Arial" w:hAnsi="Arial" w:cs="Arial"/>
          <w:szCs w:val="24"/>
        </w:rPr>
      </w:pPr>
      <w:r w:rsidRPr="003C7E62">
        <w:rPr>
          <w:rFonts w:ascii="Arial" w:eastAsia="Arial" w:hAnsi="Arial" w:cs="Arial"/>
          <w:color w:val="auto"/>
        </w:rPr>
        <w:t xml:space="preserve">The employment land requirements </w:t>
      </w:r>
      <w:r w:rsidR="000B025E" w:rsidRPr="003C7E62">
        <w:rPr>
          <w:rFonts w:ascii="Arial" w:eastAsia="Arial" w:hAnsi="Arial" w:cs="Arial"/>
          <w:color w:val="auto"/>
        </w:rPr>
        <w:t xml:space="preserve">set out in the policy </w:t>
      </w:r>
      <w:r w:rsidRPr="003C7E62">
        <w:rPr>
          <w:rFonts w:ascii="Arial" w:eastAsia="Arial" w:hAnsi="Arial" w:cs="Arial"/>
          <w:color w:val="auto"/>
        </w:rPr>
        <w:t>reflects the evidence from the Nottingham Core HMA and Nottingham Outer HMA, Employment Land Needs Study</w:t>
      </w:r>
      <w:r w:rsidR="000B025E" w:rsidRPr="003C7E62">
        <w:rPr>
          <w:rFonts w:ascii="Arial" w:eastAsia="Arial" w:hAnsi="Arial" w:cs="Arial"/>
          <w:color w:val="auto"/>
        </w:rPr>
        <w:t xml:space="preserve"> (ELNS)</w:t>
      </w:r>
      <w:r w:rsidR="00B462C9" w:rsidRPr="003C7E62">
        <w:rPr>
          <w:rFonts w:ascii="Arial" w:eastAsia="Arial" w:hAnsi="Arial" w:cs="Arial"/>
          <w:color w:val="auto"/>
        </w:rPr>
        <w:t xml:space="preserve"> </w:t>
      </w:r>
      <w:r w:rsidR="003E6203" w:rsidRPr="003C7E62">
        <w:rPr>
          <w:rFonts w:ascii="Arial" w:eastAsia="Arial" w:hAnsi="Arial" w:cs="Arial"/>
          <w:color w:val="auto"/>
        </w:rPr>
        <w:t>(</w:t>
      </w:r>
      <w:r w:rsidR="00B462C9" w:rsidRPr="003C7E62">
        <w:rPr>
          <w:rFonts w:ascii="Arial" w:eastAsia="Arial" w:hAnsi="Arial" w:cs="Arial"/>
          <w:color w:val="auto"/>
        </w:rPr>
        <w:t>May 2021</w:t>
      </w:r>
      <w:r w:rsidR="00250155" w:rsidRPr="003C7E62">
        <w:rPr>
          <w:rFonts w:ascii="Arial" w:eastAsia="Arial" w:hAnsi="Arial" w:cs="Arial"/>
          <w:color w:val="auto"/>
        </w:rPr>
        <w:t xml:space="preserve">, </w:t>
      </w:r>
      <w:r w:rsidRPr="003C7E62">
        <w:rPr>
          <w:rFonts w:ascii="Arial" w:eastAsia="Arial" w:hAnsi="Arial" w:cs="Arial"/>
          <w:color w:val="auto"/>
        </w:rPr>
        <w:t>Lichfields</w:t>
      </w:r>
      <w:r w:rsidR="003E6203" w:rsidRPr="00A32846">
        <w:rPr>
          <w:rFonts w:ascii="Arial" w:eastAsia="Arial" w:hAnsi="Arial" w:cs="Arial"/>
        </w:rPr>
        <w:t>)</w:t>
      </w:r>
      <w:r w:rsidR="00AF6C1D" w:rsidRPr="00A32846">
        <w:rPr>
          <w:rFonts w:ascii="Arial" w:eastAsia="Arial" w:hAnsi="Arial" w:cs="Arial"/>
        </w:rPr>
        <w:t>,</w:t>
      </w:r>
      <w:r w:rsidR="003E6203" w:rsidRPr="00A32846">
        <w:rPr>
          <w:rFonts w:ascii="Arial" w:eastAsia="Arial" w:hAnsi="Arial" w:cs="Arial"/>
        </w:rPr>
        <w:t xml:space="preserve"> </w:t>
      </w:r>
      <w:r w:rsidR="00AF6C1D" w:rsidRPr="00A32846">
        <w:rPr>
          <w:rFonts w:ascii="Arial" w:eastAsia="Arial" w:hAnsi="Arial" w:cs="Arial"/>
        </w:rPr>
        <w:t xml:space="preserve">Nottingham Core HMA and Nottingham Outer HMA Logistics Study 2022 </w:t>
      </w:r>
      <w:r w:rsidRPr="00A32846">
        <w:rPr>
          <w:rFonts w:ascii="Arial" w:eastAsia="Arial" w:hAnsi="Arial" w:cs="Arial"/>
        </w:rPr>
        <w:t>and the analysis set out in Background Paper No 3</w:t>
      </w:r>
      <w:r w:rsidR="00B33C3A">
        <w:rPr>
          <w:rFonts w:ascii="Arial" w:eastAsia="Arial" w:hAnsi="Arial" w:cs="Arial"/>
        </w:rPr>
        <w:t>:</w:t>
      </w:r>
      <w:r w:rsidRPr="00A32846">
        <w:rPr>
          <w:rFonts w:ascii="Arial" w:eastAsia="Arial" w:hAnsi="Arial" w:cs="Arial"/>
        </w:rPr>
        <w:t xml:space="preserve"> </w:t>
      </w:r>
      <w:r w:rsidR="000032A9" w:rsidRPr="00A32846">
        <w:rPr>
          <w:rFonts w:ascii="Arial" w:eastAsia="Arial" w:hAnsi="Arial" w:cs="Arial"/>
        </w:rPr>
        <w:t xml:space="preserve">Economy &amp; </w:t>
      </w:r>
      <w:r w:rsidRPr="00A32846">
        <w:rPr>
          <w:rFonts w:ascii="Arial" w:eastAsia="Arial" w:hAnsi="Arial" w:cs="Arial"/>
        </w:rPr>
        <w:t>Employment Land</w:t>
      </w:r>
      <w:r w:rsidR="00007D90" w:rsidRPr="00A32846">
        <w:rPr>
          <w:rFonts w:ascii="Arial" w:eastAsia="Arial" w:hAnsi="Arial" w:cs="Arial"/>
        </w:rPr>
        <w:t xml:space="preserve">, </w:t>
      </w:r>
      <w:r w:rsidR="00AF6C1D" w:rsidRPr="00A32846">
        <w:rPr>
          <w:rFonts w:ascii="Arial" w:eastAsia="Arial" w:hAnsi="Arial" w:cs="Arial"/>
        </w:rPr>
        <w:t xml:space="preserve">2023 </w:t>
      </w:r>
      <w:r w:rsidR="003D6694" w:rsidRPr="00A32846">
        <w:rPr>
          <w:rFonts w:ascii="Arial" w:eastAsia="Arial" w:hAnsi="Arial" w:cs="Arial"/>
        </w:rPr>
        <w:t>and the Greater Nottingham Strategic Distribution and Logistics Sites Background Paper 2023</w:t>
      </w:r>
      <w:r w:rsidRPr="00A32846">
        <w:rPr>
          <w:rFonts w:ascii="Arial" w:eastAsia="Arial" w:hAnsi="Arial" w:cs="Arial"/>
        </w:rPr>
        <w:t xml:space="preserve">.  This </w:t>
      </w:r>
      <w:r w:rsidR="00576FFE" w:rsidRPr="00A32846">
        <w:rPr>
          <w:rFonts w:ascii="Arial" w:eastAsia="Arial" w:hAnsi="Arial" w:cs="Arial"/>
        </w:rPr>
        <w:t>includes evidence in relation to</w:t>
      </w:r>
      <w:r w:rsidRPr="00A32846">
        <w:rPr>
          <w:rFonts w:ascii="Arial" w:eastAsia="Arial" w:hAnsi="Arial" w:cs="Arial"/>
        </w:rPr>
        <w:t>:</w:t>
      </w:r>
    </w:p>
    <w:p w14:paraId="616A039A" w14:textId="77777777" w:rsidR="00743F63" w:rsidRPr="003C7E62" w:rsidRDefault="00743F63" w:rsidP="00F11936">
      <w:pPr>
        <w:pStyle w:val="ListParagraph"/>
        <w:spacing w:after="0" w:line="240" w:lineRule="auto"/>
        <w:ind w:left="851"/>
        <w:rPr>
          <w:rFonts w:ascii="Arial" w:hAnsi="Arial" w:cs="Arial"/>
          <w:color w:val="auto"/>
          <w:szCs w:val="24"/>
        </w:rPr>
      </w:pPr>
    </w:p>
    <w:p w14:paraId="098CF6C8" w14:textId="77777777" w:rsidR="003E6203" w:rsidRPr="003C7E62" w:rsidRDefault="006725CC" w:rsidP="00D01157">
      <w:pPr>
        <w:keepNext w:val="0"/>
        <w:numPr>
          <w:ilvl w:val="0"/>
          <w:numId w:val="26"/>
        </w:numPr>
        <w:autoSpaceDE w:val="0"/>
        <w:autoSpaceDN w:val="0"/>
        <w:adjustRightInd w:val="0"/>
        <w:spacing w:before="0"/>
        <w:ind w:left="1276" w:hanging="425"/>
        <w:contextualSpacing/>
        <w:rPr>
          <w:rFonts w:eastAsia="Arial" w:cs="Arial"/>
          <w:color w:val="auto"/>
        </w:rPr>
      </w:pPr>
      <w:r w:rsidRPr="003C7E62">
        <w:rPr>
          <w:rFonts w:eastAsia="Arial" w:cs="Arial"/>
          <w:color w:val="auto"/>
        </w:rPr>
        <w:t>the functional economic market area</w:t>
      </w:r>
      <w:r w:rsidR="00576FFE" w:rsidRPr="003C7E62">
        <w:rPr>
          <w:rFonts w:eastAsia="Arial" w:cs="Arial"/>
          <w:color w:val="auto"/>
        </w:rPr>
        <w:t>s (FEMA)</w:t>
      </w:r>
      <w:r w:rsidR="000B025E" w:rsidRPr="003C7E62">
        <w:rPr>
          <w:rFonts w:eastAsia="Arial" w:cs="Arial"/>
          <w:color w:val="auto"/>
        </w:rPr>
        <w:t>;</w:t>
      </w:r>
    </w:p>
    <w:p w14:paraId="4D69D9DC" w14:textId="77777777" w:rsidR="003E6203" w:rsidRPr="003C7E62" w:rsidRDefault="006725CC" w:rsidP="00D01157">
      <w:pPr>
        <w:keepNext w:val="0"/>
        <w:numPr>
          <w:ilvl w:val="0"/>
          <w:numId w:val="26"/>
        </w:numPr>
        <w:autoSpaceDE w:val="0"/>
        <w:autoSpaceDN w:val="0"/>
        <w:adjustRightInd w:val="0"/>
        <w:spacing w:before="0"/>
        <w:ind w:left="1276" w:hanging="425"/>
        <w:contextualSpacing/>
        <w:rPr>
          <w:rFonts w:eastAsia="Arial" w:cs="Arial"/>
          <w:color w:val="auto"/>
        </w:rPr>
      </w:pPr>
      <w:r w:rsidRPr="003C7E62">
        <w:rPr>
          <w:rFonts w:eastAsia="Arial" w:cs="Arial"/>
          <w:color w:val="auto"/>
        </w:rPr>
        <w:t xml:space="preserve">the existing stock of land for employment uses within the </w:t>
      </w:r>
      <w:r w:rsidR="000B025E" w:rsidRPr="003C7E62">
        <w:rPr>
          <w:rFonts w:eastAsia="Arial" w:cs="Arial"/>
          <w:color w:val="auto"/>
        </w:rPr>
        <w:t>District</w:t>
      </w:r>
      <w:r w:rsidR="00B462C9" w:rsidRPr="003C7E62">
        <w:rPr>
          <w:rFonts w:eastAsia="Arial" w:cs="Arial"/>
          <w:color w:val="auto"/>
        </w:rPr>
        <w:t>.</w:t>
      </w:r>
    </w:p>
    <w:p w14:paraId="3B57D24D" w14:textId="77777777" w:rsidR="003E6203" w:rsidRPr="003C7E62" w:rsidRDefault="006725CC" w:rsidP="00D01157">
      <w:pPr>
        <w:keepNext w:val="0"/>
        <w:numPr>
          <w:ilvl w:val="0"/>
          <w:numId w:val="26"/>
        </w:numPr>
        <w:autoSpaceDE w:val="0"/>
        <w:autoSpaceDN w:val="0"/>
        <w:adjustRightInd w:val="0"/>
        <w:spacing w:before="0"/>
        <w:ind w:left="1276" w:hanging="425"/>
        <w:contextualSpacing/>
        <w:rPr>
          <w:rFonts w:eastAsia="Arial" w:cs="Arial"/>
          <w:color w:val="auto"/>
        </w:rPr>
      </w:pPr>
      <w:r w:rsidRPr="003C7E62">
        <w:rPr>
          <w:rFonts w:eastAsia="Arial" w:cs="Arial"/>
          <w:color w:val="auto"/>
        </w:rPr>
        <w:t>the recent pattern of employment land supply and loss</w:t>
      </w:r>
      <w:r w:rsidR="000B025E" w:rsidRPr="003C7E62">
        <w:rPr>
          <w:rFonts w:eastAsia="Arial" w:cs="Arial"/>
          <w:color w:val="auto"/>
        </w:rPr>
        <w:t xml:space="preserve"> in the District;</w:t>
      </w:r>
      <w:bookmarkStart w:id="78" w:name="_Hlk75884293"/>
    </w:p>
    <w:p w14:paraId="32AAA0B1" w14:textId="77777777" w:rsidR="003E6203" w:rsidRPr="003C7E62" w:rsidRDefault="006E7518" w:rsidP="00D01157">
      <w:pPr>
        <w:keepNext w:val="0"/>
        <w:numPr>
          <w:ilvl w:val="0"/>
          <w:numId w:val="26"/>
        </w:numPr>
        <w:autoSpaceDE w:val="0"/>
        <w:autoSpaceDN w:val="0"/>
        <w:adjustRightInd w:val="0"/>
        <w:spacing w:before="0"/>
        <w:ind w:left="1276" w:hanging="425"/>
        <w:contextualSpacing/>
        <w:rPr>
          <w:rFonts w:eastAsia="Arial" w:cs="Arial"/>
          <w:color w:val="auto"/>
        </w:rPr>
      </w:pPr>
      <w:r w:rsidRPr="003C7E62">
        <w:rPr>
          <w:rFonts w:eastAsia="Arial" w:cs="Arial"/>
          <w:color w:val="auto"/>
        </w:rPr>
        <w:t xml:space="preserve">D2N2 Local Enterprise Partnership Strategic Economic Plan </w:t>
      </w:r>
      <w:r w:rsidR="00675185" w:rsidRPr="003C7E62">
        <w:rPr>
          <w:rFonts w:eastAsia="Arial" w:cs="Arial"/>
          <w:color w:val="auto"/>
        </w:rPr>
        <w:t xml:space="preserve">2019 -2030 </w:t>
      </w:r>
      <w:r w:rsidRPr="003C7E62">
        <w:rPr>
          <w:rFonts w:eastAsia="Arial" w:cs="Arial"/>
          <w:color w:val="auto"/>
        </w:rPr>
        <w:t xml:space="preserve">(SEP) with its emphasis on priority sectors and the draft Local Industrial Strategy </w:t>
      </w:r>
      <w:r w:rsidR="00E876F5" w:rsidRPr="003C7E62">
        <w:rPr>
          <w:rFonts w:eastAsia="Arial" w:cs="Arial"/>
          <w:color w:val="auto"/>
        </w:rPr>
        <w:t>2020</w:t>
      </w:r>
      <w:r w:rsidR="00E64DE0" w:rsidRPr="003C7E62">
        <w:rPr>
          <w:rFonts w:eastAsia="Arial" w:cs="Arial"/>
          <w:color w:val="auto"/>
        </w:rPr>
        <w:t xml:space="preserve"> </w:t>
      </w:r>
      <w:r w:rsidR="000B025E" w:rsidRPr="003C7E62">
        <w:rPr>
          <w:rFonts w:eastAsia="Arial" w:cs="Arial"/>
          <w:color w:val="auto"/>
        </w:rPr>
        <w:t>requirements;</w:t>
      </w:r>
      <w:bookmarkEnd w:id="78"/>
    </w:p>
    <w:p w14:paraId="0B418FA5" w14:textId="77777777" w:rsidR="003E6203" w:rsidRPr="003C7E62" w:rsidRDefault="006725CC" w:rsidP="00D01157">
      <w:pPr>
        <w:keepNext w:val="0"/>
        <w:numPr>
          <w:ilvl w:val="0"/>
          <w:numId w:val="26"/>
        </w:numPr>
        <w:autoSpaceDE w:val="0"/>
        <w:autoSpaceDN w:val="0"/>
        <w:adjustRightInd w:val="0"/>
        <w:spacing w:before="0"/>
        <w:ind w:left="1276" w:hanging="425"/>
        <w:contextualSpacing/>
        <w:rPr>
          <w:rFonts w:eastAsia="Arial" w:cs="Arial"/>
          <w:color w:val="auto"/>
        </w:rPr>
      </w:pPr>
      <w:r w:rsidRPr="003C7E62">
        <w:rPr>
          <w:rFonts w:eastAsia="Arial" w:cs="Arial"/>
          <w:color w:val="auto"/>
        </w:rPr>
        <w:t>evidence of market demand (including the locational and premises requirements of particular types of business);</w:t>
      </w:r>
      <w:r w:rsidR="000B025E" w:rsidRPr="003C7E62">
        <w:rPr>
          <w:rFonts w:eastAsia="Arial" w:cs="Arial"/>
          <w:color w:val="auto"/>
        </w:rPr>
        <w:t xml:space="preserve"> and</w:t>
      </w:r>
    </w:p>
    <w:p w14:paraId="23785F7E" w14:textId="45488C77" w:rsidR="006725CC" w:rsidRPr="003C7E62" w:rsidRDefault="006725CC" w:rsidP="00D01157">
      <w:pPr>
        <w:keepNext w:val="0"/>
        <w:numPr>
          <w:ilvl w:val="0"/>
          <w:numId w:val="26"/>
        </w:numPr>
        <w:autoSpaceDE w:val="0"/>
        <w:autoSpaceDN w:val="0"/>
        <w:adjustRightInd w:val="0"/>
        <w:spacing w:before="0"/>
        <w:ind w:left="1276" w:hanging="425"/>
        <w:contextualSpacing/>
        <w:rPr>
          <w:rFonts w:eastAsia="Arial" w:cs="Arial"/>
          <w:color w:val="auto"/>
        </w:rPr>
      </w:pPr>
      <w:r w:rsidRPr="003C7E62">
        <w:rPr>
          <w:rFonts w:eastAsia="Arial" w:cs="Arial"/>
          <w:color w:val="auto"/>
        </w:rPr>
        <w:t>wider market signals relating to economic growth, diversification and innovation</w:t>
      </w:r>
      <w:r w:rsidR="000B025E" w:rsidRPr="003C7E62">
        <w:rPr>
          <w:rFonts w:eastAsia="Arial" w:cs="Arial"/>
          <w:color w:val="auto"/>
        </w:rPr>
        <w:t>.</w:t>
      </w:r>
    </w:p>
    <w:p w14:paraId="5745AC32" w14:textId="77777777" w:rsidR="006725CC" w:rsidRPr="003C7E62" w:rsidRDefault="006725CC" w:rsidP="00F11936">
      <w:pPr>
        <w:keepNext w:val="0"/>
        <w:spacing w:before="0"/>
        <w:ind w:left="525"/>
        <w:rPr>
          <w:rFonts w:cs="Arial"/>
          <w:color w:val="auto"/>
          <w:szCs w:val="24"/>
          <w:lang w:eastAsia="en-US"/>
        </w:rPr>
      </w:pPr>
      <w:bookmarkStart w:id="79" w:name="_Hlk140659109"/>
    </w:p>
    <w:p w14:paraId="4E2CDC05" w14:textId="60A50903" w:rsidR="00B37017" w:rsidRDefault="00BD1220" w:rsidP="00874A98">
      <w:pPr>
        <w:keepNext w:val="0"/>
        <w:numPr>
          <w:ilvl w:val="1"/>
          <w:numId w:val="103"/>
        </w:numPr>
        <w:autoSpaceDE w:val="0"/>
        <w:autoSpaceDN w:val="0"/>
        <w:adjustRightInd w:val="0"/>
        <w:spacing w:before="0"/>
        <w:ind w:left="851" w:hanging="851"/>
        <w:rPr>
          <w:rFonts w:cs="Arial"/>
          <w:color w:val="auto"/>
          <w:szCs w:val="24"/>
        </w:rPr>
      </w:pPr>
      <w:bookmarkStart w:id="80" w:name="_Hlk149208046"/>
      <w:r w:rsidRPr="003C7E62">
        <w:rPr>
          <w:rFonts w:eastAsia="Arial" w:cs="Arial"/>
          <w:color w:val="auto"/>
        </w:rPr>
        <w:t xml:space="preserve">The </w:t>
      </w:r>
      <w:r w:rsidR="003D6694">
        <w:rPr>
          <w:rFonts w:eastAsia="Arial" w:cs="Arial"/>
          <w:color w:val="auto"/>
        </w:rPr>
        <w:t>P</w:t>
      </w:r>
      <w:r w:rsidRPr="003C7E62">
        <w:rPr>
          <w:rFonts w:eastAsia="Arial" w:cs="Arial"/>
          <w:color w:val="auto"/>
        </w:rPr>
        <w:t xml:space="preserve">olicy identifies </w:t>
      </w:r>
      <w:r w:rsidR="005759AB">
        <w:rPr>
          <w:rFonts w:eastAsia="Arial" w:cs="Arial"/>
          <w:color w:val="auto"/>
        </w:rPr>
        <w:t xml:space="preserve">approximately </w:t>
      </w:r>
      <w:r w:rsidR="002F3399">
        <w:rPr>
          <w:rFonts w:eastAsia="Arial" w:cs="Arial"/>
          <w:color w:val="auto"/>
        </w:rPr>
        <w:t>81</w:t>
      </w:r>
      <w:r w:rsidR="005759AB" w:rsidRPr="00CB6138">
        <w:rPr>
          <w:rFonts w:eastAsia="Arial" w:cs="Arial"/>
        </w:rPr>
        <w:t xml:space="preserve"> </w:t>
      </w:r>
      <w:r w:rsidRPr="00CB6138">
        <w:rPr>
          <w:rFonts w:eastAsia="Arial" w:cs="Arial"/>
        </w:rPr>
        <w:t>ha of</w:t>
      </w:r>
      <w:r w:rsidRPr="00A32846">
        <w:rPr>
          <w:rFonts w:eastAsia="Arial" w:cs="Arial"/>
        </w:rPr>
        <w:t xml:space="preserve"> land for employment purposes over the </w:t>
      </w:r>
      <w:r w:rsidR="003D6694" w:rsidRPr="00A32846">
        <w:rPr>
          <w:rFonts w:eastAsia="Arial" w:cs="Arial"/>
        </w:rPr>
        <w:t>P</w:t>
      </w:r>
      <w:r w:rsidRPr="00A32846">
        <w:rPr>
          <w:rFonts w:eastAsia="Arial" w:cs="Arial"/>
        </w:rPr>
        <w:t xml:space="preserve">lan period. The ELNS sets out a number of scenarios for future demand for employment land based on a number of data sources reflecting labour demand, labour supply and past take up rate scenarios. </w:t>
      </w:r>
      <w:bookmarkStart w:id="81" w:name="_Hlk148621908"/>
      <w:r w:rsidRPr="00A32846">
        <w:rPr>
          <w:rFonts w:eastAsia="Arial" w:cs="Arial"/>
        </w:rPr>
        <w:t xml:space="preserve">The figure in the </w:t>
      </w:r>
      <w:r w:rsidR="003D6694" w:rsidRPr="00A32846">
        <w:rPr>
          <w:rFonts w:eastAsia="Arial" w:cs="Arial"/>
        </w:rPr>
        <w:t>P</w:t>
      </w:r>
      <w:r w:rsidRPr="00A32846">
        <w:rPr>
          <w:rFonts w:eastAsia="Arial" w:cs="Arial"/>
        </w:rPr>
        <w:t>olicy is based on the adjusted past take up rate scenario, which reflects the logistics development already taking place in Ashfield</w:t>
      </w:r>
      <w:r w:rsidR="00743227" w:rsidRPr="00A32846">
        <w:rPr>
          <w:rFonts w:eastAsia="Arial" w:cs="Arial"/>
        </w:rPr>
        <w:t xml:space="preserve">, </w:t>
      </w:r>
      <w:r w:rsidR="003D6694" w:rsidRPr="00A32846">
        <w:rPr>
          <w:rFonts w:eastAsia="Arial" w:cs="Arial"/>
        </w:rPr>
        <w:t xml:space="preserve">takes into account the </w:t>
      </w:r>
      <w:r w:rsidR="002F3399">
        <w:rPr>
          <w:rFonts w:eastAsia="Arial" w:cs="Arial"/>
        </w:rPr>
        <w:t xml:space="preserve">wider </w:t>
      </w:r>
      <w:r w:rsidR="003D6694" w:rsidRPr="00A32846">
        <w:rPr>
          <w:rFonts w:eastAsia="Arial" w:cs="Arial"/>
        </w:rPr>
        <w:t>demand for space from the logistics</w:t>
      </w:r>
      <w:r w:rsidR="002F3399">
        <w:rPr>
          <w:rFonts w:eastAsia="Arial" w:cs="Arial"/>
        </w:rPr>
        <w:t xml:space="preserve">. </w:t>
      </w:r>
      <w:r w:rsidR="00B37017" w:rsidRPr="00A32846">
        <w:rPr>
          <w:rFonts w:eastAsia="Arial" w:cs="Arial"/>
        </w:rPr>
        <w:t>This approach will facilitate the priority sectors identified in D2N2’s</w:t>
      </w:r>
      <w:r w:rsidR="00B37017" w:rsidRPr="00A32846">
        <w:rPr>
          <w:rFonts w:cs="Arial"/>
        </w:rPr>
        <w:t xml:space="preserve"> </w:t>
      </w:r>
      <w:r w:rsidR="00B37017" w:rsidRPr="00A32846">
        <w:rPr>
          <w:rFonts w:eastAsia="Arial" w:cs="Arial"/>
        </w:rPr>
        <w:t>Strategic Economic Plan</w:t>
      </w:r>
      <w:r w:rsidR="00B37017" w:rsidRPr="00A32846">
        <w:rPr>
          <w:rStyle w:val="FootnoteReference"/>
          <w:rFonts w:eastAsia="Arial" w:cs="Arial"/>
        </w:rPr>
        <w:footnoteReference w:id="66"/>
      </w:r>
      <w:r w:rsidR="00B37017" w:rsidRPr="00A32846">
        <w:rPr>
          <w:rFonts w:eastAsia="Arial" w:cs="Arial"/>
        </w:rPr>
        <w:t xml:space="preserve">, which aims </w:t>
      </w:r>
      <w:r w:rsidR="00B37017" w:rsidRPr="003C7E62">
        <w:rPr>
          <w:rFonts w:eastAsia="Arial" w:cs="Arial"/>
          <w:color w:val="auto"/>
        </w:rPr>
        <w:t xml:space="preserve">to </w:t>
      </w:r>
      <w:r w:rsidR="00B37017" w:rsidRPr="003C7E62">
        <w:rPr>
          <w:rFonts w:cs="Arial"/>
          <w:color w:val="auto"/>
          <w:szCs w:val="24"/>
        </w:rPr>
        <w:t>tackle the productivity gap in order for the D2N2 area to remain a competitive business location and to deliver long term prosperity</w:t>
      </w:r>
      <w:r w:rsidR="00743227">
        <w:rPr>
          <w:rFonts w:cs="Arial"/>
          <w:color w:val="auto"/>
          <w:szCs w:val="24"/>
        </w:rPr>
        <w:t>.</w:t>
      </w:r>
    </w:p>
    <w:bookmarkEnd w:id="80"/>
    <w:bookmarkEnd w:id="81"/>
    <w:p w14:paraId="285B0B26" w14:textId="77777777" w:rsidR="00743227" w:rsidRDefault="00743227" w:rsidP="00743227">
      <w:pPr>
        <w:keepNext w:val="0"/>
        <w:autoSpaceDE w:val="0"/>
        <w:autoSpaceDN w:val="0"/>
        <w:adjustRightInd w:val="0"/>
        <w:spacing w:before="0"/>
        <w:rPr>
          <w:rFonts w:cs="Arial"/>
          <w:color w:val="auto"/>
          <w:szCs w:val="24"/>
        </w:rPr>
      </w:pPr>
    </w:p>
    <w:p w14:paraId="2F91351B" w14:textId="77777777" w:rsidR="00F55758" w:rsidRDefault="00F55758" w:rsidP="00743227">
      <w:pPr>
        <w:keepNext w:val="0"/>
        <w:autoSpaceDE w:val="0"/>
        <w:autoSpaceDN w:val="0"/>
        <w:adjustRightInd w:val="0"/>
        <w:spacing w:before="0"/>
        <w:rPr>
          <w:rFonts w:cs="Arial"/>
          <w:color w:val="auto"/>
          <w:szCs w:val="24"/>
        </w:rPr>
      </w:pPr>
    </w:p>
    <w:tbl>
      <w:tblPr>
        <w:tblpPr w:leftFromText="181" w:rightFromText="181" w:vertAnchor="text" w:horzAnchor="margin" w:tblpXSpec="center" w:tblpY="-50"/>
        <w:tblOverlap w:val="never"/>
        <w:tblW w:w="7112" w:type="dxa"/>
        <w:tblLook w:val="04A0" w:firstRow="1" w:lastRow="0" w:firstColumn="1" w:lastColumn="0" w:noHBand="0" w:noVBand="1"/>
      </w:tblPr>
      <w:tblGrid>
        <w:gridCol w:w="3828"/>
        <w:gridCol w:w="992"/>
        <w:gridCol w:w="1575"/>
        <w:gridCol w:w="717"/>
      </w:tblGrid>
      <w:tr w:rsidR="00BD4547" w:rsidRPr="00BD4547" w14:paraId="73BF8E5D" w14:textId="77777777" w:rsidTr="003D6C7E">
        <w:trPr>
          <w:trHeight w:val="300"/>
        </w:trPr>
        <w:tc>
          <w:tcPr>
            <w:tcW w:w="7112" w:type="dxa"/>
            <w:gridSpan w:val="4"/>
            <w:tcBorders>
              <w:top w:val="nil"/>
              <w:left w:val="nil"/>
              <w:bottom w:val="nil"/>
              <w:right w:val="nil"/>
            </w:tcBorders>
            <w:shd w:val="clear" w:color="auto" w:fill="auto"/>
            <w:noWrap/>
            <w:vAlign w:val="center"/>
            <w:hideMark/>
          </w:tcPr>
          <w:p w14:paraId="5C2432D9" w14:textId="77777777" w:rsidR="00BD4547" w:rsidRPr="00BD4547" w:rsidRDefault="00BD4547" w:rsidP="003D6C7E">
            <w:pPr>
              <w:keepNext w:val="0"/>
              <w:spacing w:before="0"/>
              <w:rPr>
                <w:rFonts w:cs="Arial"/>
                <w:b/>
                <w:bCs/>
                <w:color w:val="auto"/>
                <w:sz w:val="20"/>
              </w:rPr>
            </w:pPr>
            <w:r w:rsidRPr="00BD4547">
              <w:rPr>
                <w:rFonts w:cs="Arial"/>
                <w:b/>
                <w:bCs/>
                <w:color w:val="auto"/>
                <w:sz w:val="20"/>
              </w:rPr>
              <w:t xml:space="preserve">Ashfield Employment Land Requirements 2018-2040 </w:t>
            </w:r>
          </w:p>
        </w:tc>
      </w:tr>
      <w:tr w:rsidR="00BD4547" w:rsidRPr="00BD4547" w14:paraId="43E8499C" w14:textId="77777777" w:rsidTr="003D6C7E">
        <w:trPr>
          <w:trHeight w:val="300"/>
        </w:trPr>
        <w:tc>
          <w:tcPr>
            <w:tcW w:w="3828" w:type="dxa"/>
            <w:tcBorders>
              <w:top w:val="nil"/>
              <w:left w:val="nil"/>
              <w:bottom w:val="nil"/>
              <w:right w:val="nil"/>
            </w:tcBorders>
            <w:shd w:val="clear" w:color="auto" w:fill="auto"/>
            <w:noWrap/>
            <w:vAlign w:val="center"/>
            <w:hideMark/>
          </w:tcPr>
          <w:p w14:paraId="16C57655" w14:textId="77777777" w:rsidR="00BD4547" w:rsidRPr="00BD4547" w:rsidRDefault="00BD4547" w:rsidP="003D6C7E">
            <w:pPr>
              <w:keepNext w:val="0"/>
              <w:spacing w:before="0"/>
              <w:rPr>
                <w:rFonts w:ascii="Times New Roman" w:hAnsi="Times New Roman"/>
                <w:color w:val="auto"/>
                <w:sz w:val="20"/>
              </w:rPr>
            </w:pPr>
          </w:p>
        </w:tc>
        <w:tc>
          <w:tcPr>
            <w:tcW w:w="992" w:type="dxa"/>
            <w:tcBorders>
              <w:top w:val="nil"/>
              <w:left w:val="nil"/>
              <w:bottom w:val="nil"/>
              <w:right w:val="nil"/>
            </w:tcBorders>
            <w:shd w:val="clear" w:color="auto" w:fill="auto"/>
            <w:noWrap/>
            <w:vAlign w:val="center"/>
            <w:hideMark/>
          </w:tcPr>
          <w:p w14:paraId="305947C3" w14:textId="77777777" w:rsidR="00BD4547" w:rsidRPr="00BD4547" w:rsidRDefault="00BD4547" w:rsidP="003D6C7E">
            <w:pPr>
              <w:keepNext w:val="0"/>
              <w:spacing w:before="0"/>
              <w:rPr>
                <w:rFonts w:ascii="Times New Roman" w:hAnsi="Times New Roman"/>
                <w:color w:val="auto"/>
                <w:sz w:val="20"/>
              </w:rPr>
            </w:pPr>
          </w:p>
        </w:tc>
        <w:tc>
          <w:tcPr>
            <w:tcW w:w="1575" w:type="dxa"/>
            <w:tcBorders>
              <w:top w:val="nil"/>
              <w:left w:val="nil"/>
              <w:bottom w:val="nil"/>
              <w:right w:val="nil"/>
            </w:tcBorders>
            <w:shd w:val="clear" w:color="auto" w:fill="auto"/>
            <w:noWrap/>
            <w:vAlign w:val="center"/>
            <w:hideMark/>
          </w:tcPr>
          <w:p w14:paraId="6C22D61C" w14:textId="77777777" w:rsidR="00BD4547" w:rsidRPr="00BD4547" w:rsidRDefault="00BD4547" w:rsidP="003D6C7E">
            <w:pPr>
              <w:keepNext w:val="0"/>
              <w:spacing w:before="0"/>
              <w:rPr>
                <w:rFonts w:ascii="Times New Roman" w:hAnsi="Times New Roman"/>
                <w:color w:val="auto"/>
                <w:sz w:val="20"/>
              </w:rPr>
            </w:pPr>
          </w:p>
        </w:tc>
        <w:tc>
          <w:tcPr>
            <w:tcW w:w="717" w:type="dxa"/>
            <w:tcBorders>
              <w:top w:val="nil"/>
              <w:left w:val="nil"/>
              <w:bottom w:val="nil"/>
              <w:right w:val="nil"/>
            </w:tcBorders>
            <w:shd w:val="clear" w:color="auto" w:fill="auto"/>
            <w:noWrap/>
            <w:vAlign w:val="center"/>
            <w:hideMark/>
          </w:tcPr>
          <w:p w14:paraId="0F7CDAF3" w14:textId="77777777" w:rsidR="00BD4547" w:rsidRPr="00BD4547" w:rsidRDefault="00BD4547" w:rsidP="003D6C7E">
            <w:pPr>
              <w:keepNext w:val="0"/>
              <w:spacing w:before="0"/>
              <w:rPr>
                <w:rFonts w:ascii="Times New Roman" w:hAnsi="Times New Roman"/>
                <w:color w:val="auto"/>
                <w:sz w:val="20"/>
              </w:rPr>
            </w:pPr>
          </w:p>
        </w:tc>
      </w:tr>
      <w:tr w:rsidR="00BD4547" w:rsidRPr="00BD4547" w14:paraId="5B6C185A" w14:textId="77777777" w:rsidTr="003D6C7E">
        <w:trPr>
          <w:trHeight w:val="300"/>
        </w:trPr>
        <w:tc>
          <w:tcPr>
            <w:tcW w:w="3828" w:type="dxa"/>
            <w:tcBorders>
              <w:top w:val="nil"/>
              <w:left w:val="nil"/>
              <w:bottom w:val="nil"/>
              <w:right w:val="nil"/>
            </w:tcBorders>
            <w:shd w:val="clear" w:color="auto" w:fill="auto"/>
            <w:noWrap/>
            <w:vAlign w:val="bottom"/>
            <w:hideMark/>
          </w:tcPr>
          <w:p w14:paraId="415CBB64" w14:textId="77777777" w:rsidR="00BD4547" w:rsidRPr="00BD4547" w:rsidRDefault="00BD4547" w:rsidP="003D6C7E">
            <w:pPr>
              <w:keepNext w:val="0"/>
              <w:spacing w:before="0"/>
              <w:rPr>
                <w:rFonts w:ascii="Times New Roman" w:hAnsi="Times New Roman"/>
                <w:color w:val="auto"/>
                <w:sz w:val="20"/>
              </w:rPr>
            </w:pPr>
          </w:p>
        </w:tc>
        <w:tc>
          <w:tcPr>
            <w:tcW w:w="992" w:type="dxa"/>
            <w:tcBorders>
              <w:top w:val="nil"/>
              <w:left w:val="nil"/>
              <w:bottom w:val="nil"/>
              <w:right w:val="nil"/>
            </w:tcBorders>
            <w:shd w:val="clear" w:color="auto" w:fill="auto"/>
            <w:noWrap/>
            <w:vAlign w:val="center"/>
            <w:hideMark/>
          </w:tcPr>
          <w:p w14:paraId="1D8DBD61" w14:textId="77777777" w:rsidR="00BD4547" w:rsidRPr="00BD4547" w:rsidRDefault="00BD4547" w:rsidP="003D6C7E">
            <w:pPr>
              <w:keepNext w:val="0"/>
              <w:spacing w:before="0"/>
              <w:jc w:val="center"/>
              <w:rPr>
                <w:rFonts w:cs="Arial"/>
                <w:color w:val="auto"/>
                <w:sz w:val="20"/>
              </w:rPr>
            </w:pPr>
            <w:r w:rsidRPr="00BD4547">
              <w:rPr>
                <w:rFonts w:cs="Arial"/>
                <w:color w:val="auto"/>
                <w:sz w:val="20"/>
              </w:rPr>
              <w:t>E(g)(</w:t>
            </w:r>
            <w:proofErr w:type="spellStart"/>
            <w:r w:rsidRPr="00BD4547">
              <w:rPr>
                <w:rFonts w:cs="Arial"/>
                <w:color w:val="auto"/>
                <w:sz w:val="20"/>
              </w:rPr>
              <w:t>i</w:t>
            </w:r>
            <w:proofErr w:type="spellEnd"/>
            <w:r w:rsidRPr="00BD4547">
              <w:rPr>
                <w:rFonts w:cs="Arial"/>
                <w:color w:val="auto"/>
                <w:sz w:val="20"/>
              </w:rPr>
              <w:t>)</w:t>
            </w:r>
          </w:p>
        </w:tc>
        <w:tc>
          <w:tcPr>
            <w:tcW w:w="1575" w:type="dxa"/>
            <w:tcBorders>
              <w:top w:val="nil"/>
              <w:left w:val="nil"/>
              <w:bottom w:val="nil"/>
              <w:right w:val="nil"/>
            </w:tcBorders>
            <w:shd w:val="clear" w:color="auto" w:fill="auto"/>
            <w:noWrap/>
            <w:vAlign w:val="center"/>
            <w:hideMark/>
          </w:tcPr>
          <w:p w14:paraId="61A6E1BE" w14:textId="77777777" w:rsidR="00BD4547" w:rsidRPr="00BD4547" w:rsidRDefault="00BD4547" w:rsidP="003D6C7E">
            <w:pPr>
              <w:keepNext w:val="0"/>
              <w:spacing w:before="0"/>
              <w:jc w:val="center"/>
              <w:rPr>
                <w:rFonts w:cs="Arial"/>
                <w:color w:val="auto"/>
                <w:sz w:val="20"/>
              </w:rPr>
            </w:pPr>
            <w:r w:rsidRPr="00BD4547">
              <w:rPr>
                <w:rFonts w:cs="Arial"/>
                <w:color w:val="auto"/>
                <w:sz w:val="20"/>
              </w:rPr>
              <w:t xml:space="preserve">E(g </w:t>
            </w:r>
            <w:proofErr w:type="spellStart"/>
            <w:r w:rsidRPr="00BD4547">
              <w:rPr>
                <w:rFonts w:cs="Arial"/>
                <w:color w:val="auto"/>
                <w:sz w:val="20"/>
              </w:rPr>
              <w:t>i&amp;ii</w:t>
            </w:r>
            <w:proofErr w:type="spellEnd"/>
            <w:r w:rsidRPr="00BD4547">
              <w:rPr>
                <w:rFonts w:cs="Arial"/>
                <w:color w:val="auto"/>
                <w:sz w:val="20"/>
              </w:rPr>
              <w:t>)/B2/B8</w:t>
            </w:r>
          </w:p>
        </w:tc>
        <w:tc>
          <w:tcPr>
            <w:tcW w:w="717" w:type="dxa"/>
            <w:tcBorders>
              <w:top w:val="nil"/>
              <w:left w:val="nil"/>
              <w:bottom w:val="nil"/>
              <w:right w:val="nil"/>
            </w:tcBorders>
            <w:shd w:val="clear" w:color="auto" w:fill="auto"/>
            <w:noWrap/>
            <w:vAlign w:val="center"/>
            <w:hideMark/>
          </w:tcPr>
          <w:p w14:paraId="5A2F1601" w14:textId="77777777" w:rsidR="00BD4547" w:rsidRPr="00BD4547" w:rsidRDefault="00BD4547" w:rsidP="003D6C7E">
            <w:pPr>
              <w:keepNext w:val="0"/>
              <w:spacing w:before="0"/>
              <w:jc w:val="center"/>
              <w:rPr>
                <w:rFonts w:cs="Arial"/>
                <w:color w:val="auto"/>
                <w:sz w:val="20"/>
              </w:rPr>
            </w:pPr>
            <w:r w:rsidRPr="00BD4547">
              <w:rPr>
                <w:rFonts w:cs="Arial"/>
                <w:color w:val="auto"/>
                <w:sz w:val="20"/>
              </w:rPr>
              <w:t>Total</w:t>
            </w:r>
          </w:p>
        </w:tc>
      </w:tr>
      <w:tr w:rsidR="00BD4547" w:rsidRPr="00BD4547" w14:paraId="7DC5B17D" w14:textId="77777777" w:rsidTr="003D6C7E">
        <w:trPr>
          <w:trHeight w:val="192"/>
        </w:trPr>
        <w:tc>
          <w:tcPr>
            <w:tcW w:w="3828" w:type="dxa"/>
            <w:tcBorders>
              <w:top w:val="nil"/>
              <w:left w:val="nil"/>
              <w:bottom w:val="nil"/>
              <w:right w:val="nil"/>
            </w:tcBorders>
            <w:shd w:val="clear" w:color="auto" w:fill="auto"/>
            <w:noWrap/>
            <w:vAlign w:val="bottom"/>
            <w:hideMark/>
          </w:tcPr>
          <w:p w14:paraId="5CEF156D" w14:textId="77777777" w:rsidR="00BD4547" w:rsidRPr="00BD4547" w:rsidRDefault="00BD4547" w:rsidP="003D6C7E">
            <w:pPr>
              <w:keepNext w:val="0"/>
              <w:spacing w:before="0"/>
              <w:rPr>
                <w:rFonts w:ascii="Times New Roman" w:hAnsi="Times New Roman"/>
                <w:color w:val="auto"/>
                <w:sz w:val="20"/>
              </w:rPr>
            </w:pPr>
          </w:p>
        </w:tc>
        <w:tc>
          <w:tcPr>
            <w:tcW w:w="992" w:type="dxa"/>
            <w:tcBorders>
              <w:top w:val="nil"/>
              <w:left w:val="nil"/>
              <w:bottom w:val="nil"/>
              <w:right w:val="nil"/>
            </w:tcBorders>
            <w:shd w:val="clear" w:color="auto" w:fill="auto"/>
            <w:noWrap/>
            <w:vAlign w:val="bottom"/>
            <w:hideMark/>
          </w:tcPr>
          <w:p w14:paraId="5B15E38B" w14:textId="77777777" w:rsidR="00BD4547" w:rsidRPr="00BD4547" w:rsidRDefault="00BD4547" w:rsidP="003D6C7E">
            <w:pPr>
              <w:keepNext w:val="0"/>
              <w:spacing w:before="0"/>
              <w:rPr>
                <w:rFonts w:ascii="Times New Roman" w:hAnsi="Times New Roman"/>
                <w:color w:val="auto"/>
                <w:sz w:val="20"/>
              </w:rPr>
            </w:pPr>
          </w:p>
        </w:tc>
        <w:tc>
          <w:tcPr>
            <w:tcW w:w="1575" w:type="dxa"/>
            <w:tcBorders>
              <w:top w:val="nil"/>
              <w:left w:val="nil"/>
              <w:bottom w:val="nil"/>
              <w:right w:val="nil"/>
            </w:tcBorders>
            <w:shd w:val="clear" w:color="auto" w:fill="auto"/>
            <w:noWrap/>
            <w:vAlign w:val="bottom"/>
            <w:hideMark/>
          </w:tcPr>
          <w:p w14:paraId="71C72961" w14:textId="77777777" w:rsidR="00BD4547" w:rsidRPr="00BD4547" w:rsidRDefault="00BD4547" w:rsidP="003D6C7E">
            <w:pPr>
              <w:keepNext w:val="0"/>
              <w:spacing w:before="0"/>
              <w:rPr>
                <w:rFonts w:ascii="Times New Roman" w:hAnsi="Times New Roman"/>
                <w:color w:val="auto"/>
                <w:sz w:val="20"/>
              </w:rPr>
            </w:pPr>
          </w:p>
        </w:tc>
        <w:tc>
          <w:tcPr>
            <w:tcW w:w="717" w:type="dxa"/>
            <w:tcBorders>
              <w:top w:val="nil"/>
              <w:left w:val="nil"/>
              <w:bottom w:val="nil"/>
              <w:right w:val="nil"/>
            </w:tcBorders>
            <w:shd w:val="clear" w:color="auto" w:fill="auto"/>
            <w:noWrap/>
            <w:vAlign w:val="bottom"/>
            <w:hideMark/>
          </w:tcPr>
          <w:p w14:paraId="008B5EEF" w14:textId="77777777" w:rsidR="00BD4547" w:rsidRPr="00BD4547" w:rsidRDefault="00BD4547" w:rsidP="003D6C7E">
            <w:pPr>
              <w:keepNext w:val="0"/>
              <w:spacing w:before="0"/>
              <w:rPr>
                <w:rFonts w:ascii="Times New Roman" w:hAnsi="Times New Roman"/>
                <w:color w:val="auto"/>
                <w:sz w:val="20"/>
              </w:rPr>
            </w:pPr>
          </w:p>
        </w:tc>
      </w:tr>
      <w:tr w:rsidR="00BD4547" w:rsidRPr="00BD4547" w14:paraId="66084059" w14:textId="77777777" w:rsidTr="003D6C7E">
        <w:trPr>
          <w:trHeight w:val="420"/>
        </w:trPr>
        <w:tc>
          <w:tcPr>
            <w:tcW w:w="3828" w:type="dxa"/>
            <w:tcBorders>
              <w:top w:val="single" w:sz="8" w:space="0" w:color="auto"/>
              <w:left w:val="nil"/>
              <w:bottom w:val="single" w:sz="8" w:space="0" w:color="auto"/>
              <w:right w:val="nil"/>
            </w:tcBorders>
            <w:shd w:val="clear" w:color="auto" w:fill="auto"/>
            <w:noWrap/>
            <w:vAlign w:val="bottom"/>
            <w:hideMark/>
          </w:tcPr>
          <w:p w14:paraId="2437113B" w14:textId="77777777" w:rsidR="00BD4547" w:rsidRPr="00BD4547" w:rsidRDefault="00BD4547" w:rsidP="003D6C7E">
            <w:pPr>
              <w:keepNext w:val="0"/>
              <w:spacing w:before="0"/>
              <w:rPr>
                <w:rFonts w:cs="Arial"/>
                <w:color w:val="auto"/>
                <w:sz w:val="20"/>
              </w:rPr>
            </w:pPr>
            <w:r w:rsidRPr="00BD4547">
              <w:rPr>
                <w:rFonts w:cs="Arial"/>
                <w:color w:val="auto"/>
                <w:sz w:val="20"/>
              </w:rPr>
              <w:t xml:space="preserve">Demand - Draft Local Plan 2018 to 2040 </w:t>
            </w:r>
          </w:p>
        </w:tc>
        <w:tc>
          <w:tcPr>
            <w:tcW w:w="992" w:type="dxa"/>
            <w:tcBorders>
              <w:top w:val="single" w:sz="8" w:space="0" w:color="auto"/>
              <w:left w:val="nil"/>
              <w:bottom w:val="single" w:sz="8" w:space="0" w:color="auto"/>
              <w:right w:val="nil"/>
            </w:tcBorders>
            <w:shd w:val="clear" w:color="auto" w:fill="auto"/>
            <w:noWrap/>
            <w:vAlign w:val="bottom"/>
            <w:hideMark/>
          </w:tcPr>
          <w:p w14:paraId="6F9CDD5F" w14:textId="77777777" w:rsidR="00BD4547" w:rsidRPr="00BD4547" w:rsidRDefault="00BD4547" w:rsidP="003D6C7E">
            <w:pPr>
              <w:keepNext w:val="0"/>
              <w:spacing w:before="0"/>
              <w:jc w:val="center"/>
              <w:rPr>
                <w:rFonts w:cs="Arial"/>
                <w:color w:val="auto"/>
                <w:sz w:val="20"/>
              </w:rPr>
            </w:pPr>
            <w:r w:rsidRPr="00BD4547">
              <w:rPr>
                <w:rFonts w:cs="Arial"/>
                <w:color w:val="auto"/>
                <w:sz w:val="20"/>
              </w:rPr>
              <w:t>1.00</w:t>
            </w:r>
          </w:p>
        </w:tc>
        <w:tc>
          <w:tcPr>
            <w:tcW w:w="1575" w:type="dxa"/>
            <w:tcBorders>
              <w:top w:val="single" w:sz="8" w:space="0" w:color="auto"/>
              <w:left w:val="nil"/>
              <w:bottom w:val="single" w:sz="8" w:space="0" w:color="auto"/>
              <w:right w:val="nil"/>
            </w:tcBorders>
            <w:shd w:val="clear" w:color="auto" w:fill="auto"/>
            <w:noWrap/>
            <w:vAlign w:val="bottom"/>
            <w:hideMark/>
          </w:tcPr>
          <w:p w14:paraId="6FE576A7" w14:textId="77777777" w:rsidR="00BD4547" w:rsidRPr="00BD4547" w:rsidRDefault="00BD4547" w:rsidP="003D6C7E">
            <w:pPr>
              <w:keepNext w:val="0"/>
              <w:spacing w:before="0"/>
              <w:jc w:val="center"/>
              <w:rPr>
                <w:rFonts w:cs="Arial"/>
                <w:color w:val="auto"/>
                <w:sz w:val="20"/>
              </w:rPr>
            </w:pPr>
            <w:r w:rsidRPr="00BD4547">
              <w:rPr>
                <w:rFonts w:cs="Arial"/>
                <w:color w:val="auto"/>
                <w:sz w:val="20"/>
              </w:rPr>
              <w:t>92.00</w:t>
            </w:r>
          </w:p>
        </w:tc>
        <w:tc>
          <w:tcPr>
            <w:tcW w:w="717" w:type="dxa"/>
            <w:tcBorders>
              <w:top w:val="single" w:sz="8" w:space="0" w:color="auto"/>
              <w:left w:val="nil"/>
              <w:bottom w:val="single" w:sz="8" w:space="0" w:color="auto"/>
              <w:right w:val="nil"/>
            </w:tcBorders>
            <w:shd w:val="clear" w:color="auto" w:fill="auto"/>
            <w:noWrap/>
            <w:vAlign w:val="bottom"/>
            <w:hideMark/>
          </w:tcPr>
          <w:p w14:paraId="5105C94C" w14:textId="77777777" w:rsidR="00BD4547" w:rsidRPr="00BD4547" w:rsidRDefault="00BD4547" w:rsidP="003D6C7E">
            <w:pPr>
              <w:keepNext w:val="0"/>
              <w:spacing w:before="0"/>
              <w:jc w:val="center"/>
              <w:rPr>
                <w:rFonts w:cs="Arial"/>
                <w:color w:val="auto"/>
                <w:sz w:val="20"/>
              </w:rPr>
            </w:pPr>
            <w:r w:rsidRPr="00BD4547">
              <w:rPr>
                <w:rFonts w:cs="Arial"/>
                <w:color w:val="auto"/>
                <w:sz w:val="20"/>
              </w:rPr>
              <w:t>93.00</w:t>
            </w:r>
          </w:p>
        </w:tc>
      </w:tr>
      <w:tr w:rsidR="00BD4547" w:rsidRPr="00BD4547" w14:paraId="55C89C17" w14:textId="77777777" w:rsidTr="003D6C7E">
        <w:trPr>
          <w:trHeight w:val="300"/>
        </w:trPr>
        <w:tc>
          <w:tcPr>
            <w:tcW w:w="3828" w:type="dxa"/>
            <w:tcBorders>
              <w:top w:val="nil"/>
              <w:left w:val="nil"/>
              <w:bottom w:val="nil"/>
              <w:right w:val="nil"/>
            </w:tcBorders>
            <w:shd w:val="clear" w:color="auto" w:fill="auto"/>
            <w:noWrap/>
            <w:vAlign w:val="bottom"/>
            <w:hideMark/>
          </w:tcPr>
          <w:p w14:paraId="65998B11" w14:textId="77777777" w:rsidR="00BD4547" w:rsidRPr="00BD4547" w:rsidRDefault="00BD4547" w:rsidP="003D6C7E">
            <w:pPr>
              <w:keepNext w:val="0"/>
              <w:spacing w:before="0"/>
              <w:rPr>
                <w:rFonts w:cs="Arial"/>
                <w:color w:val="auto"/>
                <w:sz w:val="20"/>
              </w:rPr>
            </w:pPr>
          </w:p>
        </w:tc>
        <w:tc>
          <w:tcPr>
            <w:tcW w:w="992" w:type="dxa"/>
            <w:tcBorders>
              <w:top w:val="nil"/>
              <w:left w:val="nil"/>
              <w:bottom w:val="nil"/>
              <w:right w:val="nil"/>
            </w:tcBorders>
            <w:shd w:val="clear" w:color="auto" w:fill="auto"/>
            <w:noWrap/>
            <w:vAlign w:val="bottom"/>
            <w:hideMark/>
          </w:tcPr>
          <w:p w14:paraId="4E790B3A" w14:textId="77777777" w:rsidR="00BD4547" w:rsidRPr="00BD4547" w:rsidRDefault="00BD4547" w:rsidP="003D6C7E">
            <w:pPr>
              <w:keepNext w:val="0"/>
              <w:spacing w:before="0"/>
              <w:jc w:val="center"/>
              <w:rPr>
                <w:rFonts w:ascii="Times New Roman" w:hAnsi="Times New Roman"/>
                <w:color w:val="auto"/>
                <w:sz w:val="20"/>
              </w:rPr>
            </w:pPr>
          </w:p>
        </w:tc>
        <w:tc>
          <w:tcPr>
            <w:tcW w:w="1575" w:type="dxa"/>
            <w:tcBorders>
              <w:top w:val="nil"/>
              <w:left w:val="nil"/>
              <w:bottom w:val="nil"/>
              <w:right w:val="nil"/>
            </w:tcBorders>
            <w:shd w:val="clear" w:color="auto" w:fill="auto"/>
            <w:noWrap/>
            <w:vAlign w:val="bottom"/>
            <w:hideMark/>
          </w:tcPr>
          <w:p w14:paraId="14B09A2C" w14:textId="77777777" w:rsidR="00BD4547" w:rsidRPr="00BD4547" w:rsidRDefault="00BD4547" w:rsidP="003D6C7E">
            <w:pPr>
              <w:keepNext w:val="0"/>
              <w:spacing w:before="0"/>
              <w:jc w:val="center"/>
              <w:rPr>
                <w:rFonts w:ascii="Times New Roman" w:hAnsi="Times New Roman"/>
                <w:color w:val="auto"/>
                <w:sz w:val="20"/>
              </w:rPr>
            </w:pPr>
          </w:p>
        </w:tc>
        <w:tc>
          <w:tcPr>
            <w:tcW w:w="717" w:type="dxa"/>
            <w:tcBorders>
              <w:top w:val="nil"/>
              <w:left w:val="nil"/>
              <w:bottom w:val="nil"/>
              <w:right w:val="nil"/>
            </w:tcBorders>
            <w:shd w:val="clear" w:color="auto" w:fill="auto"/>
            <w:noWrap/>
            <w:vAlign w:val="bottom"/>
            <w:hideMark/>
          </w:tcPr>
          <w:p w14:paraId="56174540" w14:textId="77777777" w:rsidR="00BD4547" w:rsidRPr="00BD4547" w:rsidRDefault="00BD4547" w:rsidP="003D6C7E">
            <w:pPr>
              <w:keepNext w:val="0"/>
              <w:spacing w:before="0"/>
              <w:jc w:val="center"/>
              <w:rPr>
                <w:rFonts w:ascii="Times New Roman" w:hAnsi="Times New Roman"/>
                <w:color w:val="auto"/>
                <w:sz w:val="20"/>
              </w:rPr>
            </w:pPr>
          </w:p>
        </w:tc>
      </w:tr>
      <w:tr w:rsidR="00BD4547" w:rsidRPr="00BD4547" w14:paraId="6CC3F8FB" w14:textId="77777777" w:rsidTr="003D6C7E">
        <w:trPr>
          <w:trHeight w:val="300"/>
        </w:trPr>
        <w:tc>
          <w:tcPr>
            <w:tcW w:w="3828" w:type="dxa"/>
            <w:tcBorders>
              <w:top w:val="nil"/>
              <w:left w:val="nil"/>
              <w:bottom w:val="nil"/>
              <w:right w:val="nil"/>
            </w:tcBorders>
            <w:shd w:val="clear" w:color="auto" w:fill="auto"/>
            <w:noWrap/>
            <w:vAlign w:val="center"/>
            <w:hideMark/>
          </w:tcPr>
          <w:p w14:paraId="0C18F128" w14:textId="77777777" w:rsidR="00BD4547" w:rsidRPr="00BD4547" w:rsidRDefault="00BD4547" w:rsidP="003D6C7E">
            <w:pPr>
              <w:keepNext w:val="0"/>
              <w:spacing w:before="0"/>
              <w:rPr>
                <w:rFonts w:cs="Arial"/>
                <w:color w:val="auto"/>
                <w:sz w:val="20"/>
              </w:rPr>
            </w:pPr>
            <w:r w:rsidRPr="00BD4547">
              <w:rPr>
                <w:rFonts w:cs="Arial"/>
                <w:color w:val="auto"/>
                <w:sz w:val="20"/>
              </w:rPr>
              <w:t xml:space="preserve">Less land developed on allocations  </w:t>
            </w:r>
          </w:p>
        </w:tc>
        <w:tc>
          <w:tcPr>
            <w:tcW w:w="992" w:type="dxa"/>
            <w:tcBorders>
              <w:top w:val="nil"/>
              <w:left w:val="nil"/>
              <w:bottom w:val="nil"/>
              <w:right w:val="nil"/>
            </w:tcBorders>
            <w:shd w:val="clear" w:color="auto" w:fill="auto"/>
            <w:noWrap/>
            <w:vAlign w:val="bottom"/>
            <w:hideMark/>
          </w:tcPr>
          <w:p w14:paraId="33E833FE" w14:textId="77777777" w:rsidR="00BD4547" w:rsidRPr="00BD4547" w:rsidRDefault="00BD4547" w:rsidP="003D6C7E">
            <w:pPr>
              <w:keepNext w:val="0"/>
              <w:spacing w:before="0"/>
              <w:jc w:val="center"/>
              <w:rPr>
                <w:rFonts w:cs="Arial"/>
                <w:color w:val="auto"/>
                <w:sz w:val="20"/>
              </w:rPr>
            </w:pPr>
          </w:p>
        </w:tc>
        <w:tc>
          <w:tcPr>
            <w:tcW w:w="1575" w:type="dxa"/>
            <w:tcBorders>
              <w:top w:val="nil"/>
              <w:left w:val="nil"/>
              <w:bottom w:val="nil"/>
              <w:right w:val="nil"/>
            </w:tcBorders>
            <w:shd w:val="clear" w:color="auto" w:fill="auto"/>
            <w:noWrap/>
            <w:vAlign w:val="bottom"/>
            <w:hideMark/>
          </w:tcPr>
          <w:p w14:paraId="6E1F7468" w14:textId="77777777" w:rsidR="00BD4547" w:rsidRPr="00BD4547" w:rsidRDefault="00BD4547" w:rsidP="003D6C7E">
            <w:pPr>
              <w:keepNext w:val="0"/>
              <w:spacing w:before="0"/>
              <w:jc w:val="center"/>
              <w:rPr>
                <w:rFonts w:ascii="Times New Roman" w:hAnsi="Times New Roman"/>
                <w:color w:val="auto"/>
                <w:sz w:val="20"/>
              </w:rPr>
            </w:pPr>
          </w:p>
        </w:tc>
        <w:tc>
          <w:tcPr>
            <w:tcW w:w="717" w:type="dxa"/>
            <w:tcBorders>
              <w:top w:val="nil"/>
              <w:left w:val="nil"/>
              <w:bottom w:val="nil"/>
              <w:right w:val="nil"/>
            </w:tcBorders>
            <w:shd w:val="clear" w:color="auto" w:fill="auto"/>
            <w:noWrap/>
            <w:vAlign w:val="bottom"/>
            <w:hideMark/>
          </w:tcPr>
          <w:p w14:paraId="47C1B184" w14:textId="77777777" w:rsidR="00BD4547" w:rsidRPr="00BD4547" w:rsidRDefault="00BD4547" w:rsidP="003D6C7E">
            <w:pPr>
              <w:keepNext w:val="0"/>
              <w:spacing w:before="0"/>
              <w:jc w:val="center"/>
              <w:rPr>
                <w:rFonts w:ascii="Times New Roman" w:hAnsi="Times New Roman"/>
                <w:color w:val="auto"/>
                <w:sz w:val="20"/>
              </w:rPr>
            </w:pPr>
          </w:p>
        </w:tc>
      </w:tr>
      <w:tr w:rsidR="00BD4547" w:rsidRPr="00BD4547" w14:paraId="4803469F" w14:textId="77777777" w:rsidTr="003D6C7E">
        <w:trPr>
          <w:trHeight w:val="300"/>
        </w:trPr>
        <w:tc>
          <w:tcPr>
            <w:tcW w:w="3828" w:type="dxa"/>
            <w:tcBorders>
              <w:top w:val="nil"/>
              <w:left w:val="nil"/>
              <w:bottom w:val="nil"/>
              <w:right w:val="nil"/>
            </w:tcBorders>
            <w:shd w:val="clear" w:color="auto" w:fill="auto"/>
            <w:noWrap/>
            <w:vAlign w:val="center"/>
            <w:hideMark/>
          </w:tcPr>
          <w:p w14:paraId="3533A1D5" w14:textId="77777777" w:rsidR="00BD4547" w:rsidRPr="00BD4547" w:rsidRDefault="00BD4547" w:rsidP="003D6C7E">
            <w:pPr>
              <w:keepNext w:val="0"/>
              <w:spacing w:before="0"/>
              <w:rPr>
                <w:rFonts w:cs="Arial"/>
                <w:color w:val="auto"/>
                <w:sz w:val="20"/>
              </w:rPr>
            </w:pPr>
            <w:r w:rsidRPr="00BD4547">
              <w:rPr>
                <w:rFonts w:cs="Arial"/>
                <w:color w:val="auto"/>
                <w:sz w:val="20"/>
              </w:rPr>
              <w:t>2018/19</w:t>
            </w:r>
          </w:p>
        </w:tc>
        <w:tc>
          <w:tcPr>
            <w:tcW w:w="992" w:type="dxa"/>
            <w:tcBorders>
              <w:top w:val="nil"/>
              <w:left w:val="nil"/>
              <w:bottom w:val="nil"/>
              <w:right w:val="nil"/>
            </w:tcBorders>
            <w:shd w:val="clear" w:color="auto" w:fill="auto"/>
            <w:noWrap/>
            <w:vAlign w:val="center"/>
            <w:hideMark/>
          </w:tcPr>
          <w:p w14:paraId="18D42A8B" w14:textId="77777777" w:rsidR="00BD4547" w:rsidRPr="00BD4547" w:rsidRDefault="00BD4547" w:rsidP="003D6C7E">
            <w:pPr>
              <w:keepNext w:val="0"/>
              <w:spacing w:before="0"/>
              <w:jc w:val="center"/>
              <w:rPr>
                <w:rFonts w:cs="Arial"/>
                <w:color w:val="auto"/>
                <w:sz w:val="20"/>
              </w:rPr>
            </w:pPr>
            <w:r w:rsidRPr="00BD4547">
              <w:rPr>
                <w:rFonts w:cs="Arial"/>
                <w:color w:val="auto"/>
                <w:sz w:val="20"/>
              </w:rPr>
              <w:t>0.00</w:t>
            </w:r>
          </w:p>
        </w:tc>
        <w:tc>
          <w:tcPr>
            <w:tcW w:w="1575" w:type="dxa"/>
            <w:tcBorders>
              <w:top w:val="nil"/>
              <w:left w:val="nil"/>
              <w:bottom w:val="nil"/>
              <w:right w:val="nil"/>
            </w:tcBorders>
            <w:shd w:val="clear" w:color="auto" w:fill="auto"/>
            <w:noWrap/>
            <w:vAlign w:val="center"/>
            <w:hideMark/>
          </w:tcPr>
          <w:p w14:paraId="1E70D8E3" w14:textId="77777777" w:rsidR="00BD4547" w:rsidRPr="00BD4547" w:rsidRDefault="00BD4547" w:rsidP="003D6C7E">
            <w:pPr>
              <w:keepNext w:val="0"/>
              <w:spacing w:before="0"/>
              <w:jc w:val="center"/>
              <w:rPr>
                <w:rFonts w:cs="Arial"/>
                <w:color w:val="auto"/>
                <w:sz w:val="20"/>
              </w:rPr>
            </w:pPr>
            <w:r w:rsidRPr="00BD4547">
              <w:rPr>
                <w:rFonts w:cs="Arial"/>
                <w:color w:val="auto"/>
                <w:sz w:val="20"/>
              </w:rPr>
              <w:t>6.95</w:t>
            </w:r>
          </w:p>
        </w:tc>
        <w:tc>
          <w:tcPr>
            <w:tcW w:w="717" w:type="dxa"/>
            <w:tcBorders>
              <w:top w:val="nil"/>
              <w:left w:val="nil"/>
              <w:bottom w:val="nil"/>
              <w:right w:val="nil"/>
            </w:tcBorders>
            <w:shd w:val="clear" w:color="auto" w:fill="auto"/>
            <w:noWrap/>
            <w:vAlign w:val="center"/>
            <w:hideMark/>
          </w:tcPr>
          <w:p w14:paraId="6A3D2D64" w14:textId="77777777" w:rsidR="00BD4547" w:rsidRPr="00BD4547" w:rsidRDefault="00BD4547" w:rsidP="003D6C7E">
            <w:pPr>
              <w:keepNext w:val="0"/>
              <w:spacing w:before="0"/>
              <w:jc w:val="center"/>
              <w:rPr>
                <w:rFonts w:cs="Arial"/>
                <w:color w:val="auto"/>
                <w:sz w:val="20"/>
              </w:rPr>
            </w:pPr>
            <w:r w:rsidRPr="00BD4547">
              <w:rPr>
                <w:rFonts w:cs="Arial"/>
                <w:color w:val="auto"/>
                <w:sz w:val="20"/>
              </w:rPr>
              <w:t>6.95</w:t>
            </w:r>
          </w:p>
        </w:tc>
      </w:tr>
      <w:tr w:rsidR="00BD4547" w:rsidRPr="00BD4547" w14:paraId="5E340187" w14:textId="77777777" w:rsidTr="003D6C7E">
        <w:trPr>
          <w:trHeight w:val="300"/>
        </w:trPr>
        <w:tc>
          <w:tcPr>
            <w:tcW w:w="3828" w:type="dxa"/>
            <w:tcBorders>
              <w:top w:val="nil"/>
              <w:left w:val="nil"/>
              <w:bottom w:val="nil"/>
              <w:right w:val="nil"/>
            </w:tcBorders>
            <w:shd w:val="clear" w:color="auto" w:fill="auto"/>
            <w:noWrap/>
            <w:vAlign w:val="center"/>
            <w:hideMark/>
          </w:tcPr>
          <w:p w14:paraId="40B90DD0" w14:textId="77777777" w:rsidR="00BD4547" w:rsidRPr="00BD4547" w:rsidRDefault="00BD4547" w:rsidP="003D6C7E">
            <w:pPr>
              <w:keepNext w:val="0"/>
              <w:spacing w:before="0"/>
              <w:jc w:val="both"/>
              <w:rPr>
                <w:rFonts w:cs="Arial"/>
                <w:color w:val="auto"/>
                <w:sz w:val="20"/>
              </w:rPr>
            </w:pPr>
            <w:r w:rsidRPr="00BD4547">
              <w:rPr>
                <w:rFonts w:cs="Arial"/>
                <w:color w:val="auto"/>
                <w:sz w:val="20"/>
              </w:rPr>
              <w:t>2019/20</w:t>
            </w:r>
          </w:p>
        </w:tc>
        <w:tc>
          <w:tcPr>
            <w:tcW w:w="992" w:type="dxa"/>
            <w:tcBorders>
              <w:top w:val="nil"/>
              <w:left w:val="nil"/>
              <w:bottom w:val="nil"/>
              <w:right w:val="nil"/>
            </w:tcBorders>
            <w:shd w:val="clear" w:color="auto" w:fill="auto"/>
            <w:noWrap/>
            <w:vAlign w:val="center"/>
            <w:hideMark/>
          </w:tcPr>
          <w:p w14:paraId="1653CC6A" w14:textId="77777777" w:rsidR="00BD4547" w:rsidRPr="00BD4547" w:rsidRDefault="00BD4547" w:rsidP="003D6C7E">
            <w:pPr>
              <w:keepNext w:val="0"/>
              <w:spacing w:before="0"/>
              <w:jc w:val="center"/>
              <w:rPr>
                <w:rFonts w:cs="Arial"/>
                <w:color w:val="auto"/>
                <w:sz w:val="20"/>
              </w:rPr>
            </w:pPr>
            <w:r w:rsidRPr="00BD4547">
              <w:rPr>
                <w:rFonts w:cs="Arial"/>
                <w:color w:val="auto"/>
                <w:sz w:val="20"/>
              </w:rPr>
              <w:t>0.00</w:t>
            </w:r>
          </w:p>
        </w:tc>
        <w:tc>
          <w:tcPr>
            <w:tcW w:w="1575" w:type="dxa"/>
            <w:tcBorders>
              <w:top w:val="nil"/>
              <w:left w:val="nil"/>
              <w:bottom w:val="nil"/>
              <w:right w:val="nil"/>
            </w:tcBorders>
            <w:shd w:val="clear" w:color="auto" w:fill="auto"/>
            <w:noWrap/>
            <w:vAlign w:val="center"/>
            <w:hideMark/>
          </w:tcPr>
          <w:p w14:paraId="27D5CEE8" w14:textId="77777777" w:rsidR="00BD4547" w:rsidRPr="00BD4547" w:rsidRDefault="00BD4547" w:rsidP="003D6C7E">
            <w:pPr>
              <w:keepNext w:val="0"/>
              <w:spacing w:before="0"/>
              <w:jc w:val="center"/>
              <w:rPr>
                <w:rFonts w:cs="Arial"/>
                <w:color w:val="auto"/>
                <w:sz w:val="20"/>
              </w:rPr>
            </w:pPr>
            <w:r w:rsidRPr="00BD4547">
              <w:rPr>
                <w:rFonts w:cs="Arial"/>
                <w:color w:val="auto"/>
                <w:sz w:val="20"/>
              </w:rPr>
              <w:t>19.45</w:t>
            </w:r>
          </w:p>
        </w:tc>
        <w:tc>
          <w:tcPr>
            <w:tcW w:w="717" w:type="dxa"/>
            <w:tcBorders>
              <w:top w:val="nil"/>
              <w:left w:val="nil"/>
              <w:bottom w:val="nil"/>
              <w:right w:val="nil"/>
            </w:tcBorders>
            <w:shd w:val="clear" w:color="auto" w:fill="auto"/>
            <w:noWrap/>
            <w:vAlign w:val="center"/>
            <w:hideMark/>
          </w:tcPr>
          <w:p w14:paraId="506F704C" w14:textId="77777777" w:rsidR="00BD4547" w:rsidRPr="00BD4547" w:rsidRDefault="00BD4547" w:rsidP="003D6C7E">
            <w:pPr>
              <w:keepNext w:val="0"/>
              <w:spacing w:before="0"/>
              <w:jc w:val="center"/>
              <w:rPr>
                <w:rFonts w:cs="Arial"/>
                <w:color w:val="auto"/>
                <w:sz w:val="20"/>
              </w:rPr>
            </w:pPr>
            <w:r w:rsidRPr="00BD4547">
              <w:rPr>
                <w:rFonts w:cs="Arial"/>
                <w:color w:val="auto"/>
                <w:sz w:val="20"/>
              </w:rPr>
              <w:t>19.45</w:t>
            </w:r>
          </w:p>
        </w:tc>
      </w:tr>
      <w:tr w:rsidR="00BD4547" w:rsidRPr="00BD4547" w14:paraId="18074766" w14:textId="77777777" w:rsidTr="003D6C7E">
        <w:trPr>
          <w:trHeight w:val="300"/>
        </w:trPr>
        <w:tc>
          <w:tcPr>
            <w:tcW w:w="3828" w:type="dxa"/>
            <w:tcBorders>
              <w:top w:val="nil"/>
              <w:left w:val="nil"/>
              <w:bottom w:val="nil"/>
              <w:right w:val="nil"/>
            </w:tcBorders>
            <w:shd w:val="clear" w:color="auto" w:fill="auto"/>
            <w:noWrap/>
            <w:vAlign w:val="center"/>
            <w:hideMark/>
          </w:tcPr>
          <w:p w14:paraId="0C2B83CB" w14:textId="77777777" w:rsidR="00BD4547" w:rsidRPr="00BD4547" w:rsidRDefault="00BD4547" w:rsidP="003D6C7E">
            <w:pPr>
              <w:keepNext w:val="0"/>
              <w:spacing w:before="0"/>
              <w:jc w:val="both"/>
              <w:rPr>
                <w:rFonts w:cs="Arial"/>
                <w:color w:val="auto"/>
                <w:sz w:val="20"/>
              </w:rPr>
            </w:pPr>
            <w:r w:rsidRPr="00BD4547">
              <w:rPr>
                <w:rFonts w:cs="Arial"/>
                <w:color w:val="auto"/>
                <w:sz w:val="20"/>
              </w:rPr>
              <w:t>2020/21</w:t>
            </w:r>
          </w:p>
        </w:tc>
        <w:tc>
          <w:tcPr>
            <w:tcW w:w="992" w:type="dxa"/>
            <w:tcBorders>
              <w:top w:val="nil"/>
              <w:left w:val="nil"/>
              <w:bottom w:val="nil"/>
              <w:right w:val="nil"/>
            </w:tcBorders>
            <w:shd w:val="clear" w:color="auto" w:fill="auto"/>
            <w:noWrap/>
            <w:vAlign w:val="center"/>
            <w:hideMark/>
          </w:tcPr>
          <w:p w14:paraId="7C6BBDDC" w14:textId="77777777" w:rsidR="00BD4547" w:rsidRPr="00BD4547" w:rsidRDefault="00BD4547" w:rsidP="003D6C7E">
            <w:pPr>
              <w:keepNext w:val="0"/>
              <w:spacing w:before="0"/>
              <w:jc w:val="center"/>
              <w:rPr>
                <w:rFonts w:cs="Arial"/>
                <w:color w:val="auto"/>
                <w:sz w:val="20"/>
              </w:rPr>
            </w:pPr>
            <w:r w:rsidRPr="00BD4547">
              <w:rPr>
                <w:rFonts w:cs="Arial"/>
                <w:color w:val="auto"/>
                <w:sz w:val="20"/>
              </w:rPr>
              <w:t>0.00</w:t>
            </w:r>
          </w:p>
        </w:tc>
        <w:tc>
          <w:tcPr>
            <w:tcW w:w="1575" w:type="dxa"/>
            <w:tcBorders>
              <w:top w:val="nil"/>
              <w:left w:val="nil"/>
              <w:bottom w:val="nil"/>
              <w:right w:val="nil"/>
            </w:tcBorders>
            <w:shd w:val="clear" w:color="auto" w:fill="auto"/>
            <w:noWrap/>
            <w:vAlign w:val="center"/>
            <w:hideMark/>
          </w:tcPr>
          <w:p w14:paraId="4C5FAD30" w14:textId="77777777" w:rsidR="00BD4547" w:rsidRPr="00BD4547" w:rsidRDefault="00BD4547" w:rsidP="003D6C7E">
            <w:pPr>
              <w:keepNext w:val="0"/>
              <w:spacing w:before="0"/>
              <w:jc w:val="center"/>
              <w:rPr>
                <w:rFonts w:cs="Arial"/>
                <w:color w:val="auto"/>
                <w:sz w:val="20"/>
              </w:rPr>
            </w:pPr>
            <w:r w:rsidRPr="00BD4547">
              <w:rPr>
                <w:rFonts w:cs="Arial"/>
                <w:color w:val="auto"/>
                <w:sz w:val="20"/>
              </w:rPr>
              <w:t>6.69</w:t>
            </w:r>
          </w:p>
        </w:tc>
        <w:tc>
          <w:tcPr>
            <w:tcW w:w="717" w:type="dxa"/>
            <w:tcBorders>
              <w:top w:val="nil"/>
              <w:left w:val="nil"/>
              <w:bottom w:val="nil"/>
              <w:right w:val="nil"/>
            </w:tcBorders>
            <w:shd w:val="clear" w:color="auto" w:fill="auto"/>
            <w:noWrap/>
            <w:vAlign w:val="center"/>
            <w:hideMark/>
          </w:tcPr>
          <w:p w14:paraId="0D83E57B" w14:textId="77777777" w:rsidR="00BD4547" w:rsidRPr="00BD4547" w:rsidRDefault="00BD4547" w:rsidP="003D6C7E">
            <w:pPr>
              <w:keepNext w:val="0"/>
              <w:spacing w:before="0"/>
              <w:jc w:val="center"/>
              <w:rPr>
                <w:rFonts w:cs="Arial"/>
                <w:color w:val="auto"/>
                <w:sz w:val="20"/>
              </w:rPr>
            </w:pPr>
            <w:r w:rsidRPr="00BD4547">
              <w:rPr>
                <w:rFonts w:cs="Arial"/>
                <w:color w:val="auto"/>
                <w:sz w:val="20"/>
              </w:rPr>
              <w:t>6.69</w:t>
            </w:r>
          </w:p>
        </w:tc>
      </w:tr>
      <w:tr w:rsidR="00BD4547" w:rsidRPr="00BD4547" w14:paraId="055D05CE" w14:textId="77777777" w:rsidTr="003D6C7E">
        <w:trPr>
          <w:trHeight w:val="300"/>
        </w:trPr>
        <w:tc>
          <w:tcPr>
            <w:tcW w:w="3828" w:type="dxa"/>
            <w:tcBorders>
              <w:top w:val="nil"/>
              <w:left w:val="nil"/>
              <w:bottom w:val="nil"/>
              <w:right w:val="nil"/>
            </w:tcBorders>
            <w:shd w:val="clear" w:color="auto" w:fill="auto"/>
            <w:noWrap/>
            <w:vAlign w:val="center"/>
            <w:hideMark/>
          </w:tcPr>
          <w:p w14:paraId="6A4AD1DE" w14:textId="77777777" w:rsidR="00BD4547" w:rsidRPr="00BD4547" w:rsidRDefault="00BD4547" w:rsidP="003D6C7E">
            <w:pPr>
              <w:keepNext w:val="0"/>
              <w:spacing w:before="0"/>
              <w:jc w:val="both"/>
              <w:rPr>
                <w:rFonts w:cs="Arial"/>
                <w:color w:val="auto"/>
                <w:sz w:val="20"/>
              </w:rPr>
            </w:pPr>
            <w:r w:rsidRPr="00BD4547">
              <w:rPr>
                <w:rFonts w:cs="Arial"/>
                <w:color w:val="auto"/>
                <w:sz w:val="20"/>
              </w:rPr>
              <w:t>2021/22</w:t>
            </w:r>
          </w:p>
        </w:tc>
        <w:tc>
          <w:tcPr>
            <w:tcW w:w="992" w:type="dxa"/>
            <w:tcBorders>
              <w:top w:val="nil"/>
              <w:left w:val="nil"/>
              <w:bottom w:val="nil"/>
              <w:right w:val="nil"/>
            </w:tcBorders>
            <w:shd w:val="clear" w:color="auto" w:fill="auto"/>
            <w:noWrap/>
            <w:vAlign w:val="center"/>
            <w:hideMark/>
          </w:tcPr>
          <w:p w14:paraId="53622C3B" w14:textId="77777777" w:rsidR="00BD4547" w:rsidRPr="00BD4547" w:rsidRDefault="00BD4547" w:rsidP="003D6C7E">
            <w:pPr>
              <w:keepNext w:val="0"/>
              <w:spacing w:before="0"/>
              <w:jc w:val="center"/>
              <w:rPr>
                <w:rFonts w:cs="Arial"/>
                <w:color w:val="auto"/>
                <w:sz w:val="20"/>
              </w:rPr>
            </w:pPr>
            <w:r w:rsidRPr="00BD4547">
              <w:rPr>
                <w:rFonts w:cs="Arial"/>
                <w:color w:val="auto"/>
                <w:sz w:val="20"/>
              </w:rPr>
              <w:t>0.00</w:t>
            </w:r>
          </w:p>
        </w:tc>
        <w:tc>
          <w:tcPr>
            <w:tcW w:w="1575" w:type="dxa"/>
            <w:tcBorders>
              <w:top w:val="nil"/>
              <w:left w:val="nil"/>
              <w:bottom w:val="nil"/>
              <w:right w:val="nil"/>
            </w:tcBorders>
            <w:shd w:val="clear" w:color="auto" w:fill="auto"/>
            <w:noWrap/>
            <w:vAlign w:val="center"/>
            <w:hideMark/>
          </w:tcPr>
          <w:p w14:paraId="7847B390" w14:textId="77777777" w:rsidR="00BD4547" w:rsidRPr="00BD4547" w:rsidRDefault="00BD4547" w:rsidP="003D6C7E">
            <w:pPr>
              <w:keepNext w:val="0"/>
              <w:spacing w:before="0"/>
              <w:jc w:val="center"/>
              <w:rPr>
                <w:rFonts w:cs="Arial"/>
                <w:color w:val="auto"/>
                <w:sz w:val="20"/>
              </w:rPr>
            </w:pPr>
            <w:r w:rsidRPr="00BD4547">
              <w:rPr>
                <w:rFonts w:cs="Arial"/>
                <w:color w:val="auto"/>
                <w:sz w:val="20"/>
              </w:rPr>
              <w:t>5.31</w:t>
            </w:r>
          </w:p>
        </w:tc>
        <w:tc>
          <w:tcPr>
            <w:tcW w:w="717" w:type="dxa"/>
            <w:tcBorders>
              <w:top w:val="nil"/>
              <w:left w:val="nil"/>
              <w:bottom w:val="nil"/>
              <w:right w:val="nil"/>
            </w:tcBorders>
            <w:shd w:val="clear" w:color="auto" w:fill="auto"/>
            <w:noWrap/>
            <w:vAlign w:val="center"/>
            <w:hideMark/>
          </w:tcPr>
          <w:p w14:paraId="71C09D3C" w14:textId="77777777" w:rsidR="00BD4547" w:rsidRPr="00BD4547" w:rsidRDefault="00BD4547" w:rsidP="003D6C7E">
            <w:pPr>
              <w:keepNext w:val="0"/>
              <w:spacing w:before="0"/>
              <w:jc w:val="center"/>
              <w:rPr>
                <w:rFonts w:cs="Arial"/>
                <w:color w:val="auto"/>
                <w:sz w:val="20"/>
              </w:rPr>
            </w:pPr>
            <w:r w:rsidRPr="00BD4547">
              <w:rPr>
                <w:rFonts w:cs="Arial"/>
                <w:color w:val="auto"/>
                <w:sz w:val="20"/>
              </w:rPr>
              <w:t>5.31</w:t>
            </w:r>
          </w:p>
        </w:tc>
      </w:tr>
      <w:tr w:rsidR="00BD4547" w:rsidRPr="00BD4547" w14:paraId="67DC18DE" w14:textId="77777777" w:rsidTr="003D6C7E">
        <w:trPr>
          <w:trHeight w:val="300"/>
        </w:trPr>
        <w:tc>
          <w:tcPr>
            <w:tcW w:w="3828" w:type="dxa"/>
            <w:tcBorders>
              <w:top w:val="nil"/>
              <w:left w:val="nil"/>
              <w:bottom w:val="nil"/>
              <w:right w:val="nil"/>
            </w:tcBorders>
            <w:shd w:val="clear" w:color="auto" w:fill="auto"/>
            <w:noWrap/>
            <w:vAlign w:val="center"/>
            <w:hideMark/>
          </w:tcPr>
          <w:p w14:paraId="5CB45ED1" w14:textId="77777777" w:rsidR="00BD4547" w:rsidRPr="00BD4547" w:rsidRDefault="00BD4547" w:rsidP="003D6C7E">
            <w:pPr>
              <w:keepNext w:val="0"/>
              <w:spacing w:before="0"/>
              <w:jc w:val="both"/>
              <w:rPr>
                <w:rFonts w:cs="Arial"/>
                <w:color w:val="auto"/>
                <w:sz w:val="20"/>
              </w:rPr>
            </w:pPr>
            <w:r w:rsidRPr="00BD4547">
              <w:rPr>
                <w:rFonts w:cs="Arial"/>
                <w:color w:val="auto"/>
                <w:sz w:val="20"/>
              </w:rPr>
              <w:t>2022/23</w:t>
            </w:r>
          </w:p>
        </w:tc>
        <w:tc>
          <w:tcPr>
            <w:tcW w:w="992" w:type="dxa"/>
            <w:tcBorders>
              <w:top w:val="nil"/>
              <w:left w:val="nil"/>
              <w:bottom w:val="nil"/>
              <w:right w:val="nil"/>
            </w:tcBorders>
            <w:shd w:val="clear" w:color="auto" w:fill="auto"/>
            <w:noWrap/>
            <w:vAlign w:val="center"/>
            <w:hideMark/>
          </w:tcPr>
          <w:p w14:paraId="0EA64D7F" w14:textId="77777777" w:rsidR="00BD4547" w:rsidRPr="00BD4547" w:rsidRDefault="00BD4547" w:rsidP="003D6C7E">
            <w:pPr>
              <w:keepNext w:val="0"/>
              <w:spacing w:before="0"/>
              <w:jc w:val="center"/>
              <w:rPr>
                <w:rFonts w:cs="Arial"/>
                <w:color w:val="auto"/>
                <w:sz w:val="20"/>
              </w:rPr>
            </w:pPr>
            <w:r w:rsidRPr="00BD4547">
              <w:rPr>
                <w:rFonts w:cs="Arial"/>
                <w:color w:val="auto"/>
                <w:sz w:val="20"/>
              </w:rPr>
              <w:t>0.00</w:t>
            </w:r>
          </w:p>
        </w:tc>
        <w:tc>
          <w:tcPr>
            <w:tcW w:w="1575" w:type="dxa"/>
            <w:tcBorders>
              <w:top w:val="nil"/>
              <w:left w:val="nil"/>
              <w:bottom w:val="nil"/>
              <w:right w:val="nil"/>
            </w:tcBorders>
            <w:shd w:val="clear" w:color="auto" w:fill="auto"/>
            <w:noWrap/>
            <w:vAlign w:val="center"/>
            <w:hideMark/>
          </w:tcPr>
          <w:p w14:paraId="1CF7C540" w14:textId="77777777" w:rsidR="00BD4547" w:rsidRPr="00BD4547" w:rsidRDefault="00BD4547" w:rsidP="003D6C7E">
            <w:pPr>
              <w:keepNext w:val="0"/>
              <w:spacing w:before="0"/>
              <w:jc w:val="center"/>
              <w:rPr>
                <w:rFonts w:cs="Arial"/>
                <w:color w:val="auto"/>
                <w:sz w:val="20"/>
              </w:rPr>
            </w:pPr>
            <w:r w:rsidRPr="00BD4547">
              <w:rPr>
                <w:rFonts w:cs="Arial"/>
                <w:color w:val="auto"/>
                <w:sz w:val="20"/>
              </w:rPr>
              <w:t>8.66</w:t>
            </w:r>
          </w:p>
        </w:tc>
        <w:tc>
          <w:tcPr>
            <w:tcW w:w="717" w:type="dxa"/>
            <w:tcBorders>
              <w:top w:val="nil"/>
              <w:left w:val="nil"/>
              <w:bottom w:val="nil"/>
              <w:right w:val="nil"/>
            </w:tcBorders>
            <w:shd w:val="clear" w:color="auto" w:fill="auto"/>
            <w:noWrap/>
            <w:vAlign w:val="center"/>
            <w:hideMark/>
          </w:tcPr>
          <w:p w14:paraId="6856DFFF" w14:textId="77777777" w:rsidR="00BD4547" w:rsidRPr="00BD4547" w:rsidRDefault="00BD4547" w:rsidP="003D6C7E">
            <w:pPr>
              <w:keepNext w:val="0"/>
              <w:spacing w:before="0"/>
              <w:jc w:val="center"/>
              <w:rPr>
                <w:rFonts w:cs="Arial"/>
                <w:color w:val="auto"/>
                <w:sz w:val="20"/>
              </w:rPr>
            </w:pPr>
            <w:r w:rsidRPr="00BD4547">
              <w:rPr>
                <w:rFonts w:cs="Arial"/>
                <w:color w:val="auto"/>
                <w:sz w:val="20"/>
              </w:rPr>
              <w:t>8.66</w:t>
            </w:r>
          </w:p>
        </w:tc>
      </w:tr>
      <w:tr w:rsidR="00BD4547" w:rsidRPr="00BD4547" w14:paraId="3988DEA9" w14:textId="77777777" w:rsidTr="003D6C7E">
        <w:trPr>
          <w:trHeight w:val="315"/>
        </w:trPr>
        <w:tc>
          <w:tcPr>
            <w:tcW w:w="3828" w:type="dxa"/>
            <w:tcBorders>
              <w:top w:val="nil"/>
              <w:left w:val="nil"/>
              <w:bottom w:val="nil"/>
              <w:right w:val="nil"/>
            </w:tcBorders>
            <w:shd w:val="clear" w:color="auto" w:fill="auto"/>
            <w:noWrap/>
            <w:vAlign w:val="bottom"/>
            <w:hideMark/>
          </w:tcPr>
          <w:p w14:paraId="01B2F7AF" w14:textId="77777777" w:rsidR="00BD4547" w:rsidRPr="00BD4547" w:rsidRDefault="00BD4547" w:rsidP="003D6C7E">
            <w:pPr>
              <w:keepNext w:val="0"/>
              <w:spacing w:before="0"/>
              <w:jc w:val="both"/>
              <w:rPr>
                <w:rFonts w:ascii="Times New Roman" w:hAnsi="Times New Roman"/>
                <w:color w:val="auto"/>
                <w:sz w:val="20"/>
              </w:rPr>
            </w:pPr>
          </w:p>
        </w:tc>
        <w:tc>
          <w:tcPr>
            <w:tcW w:w="992" w:type="dxa"/>
            <w:tcBorders>
              <w:top w:val="nil"/>
              <w:left w:val="nil"/>
              <w:bottom w:val="nil"/>
              <w:right w:val="nil"/>
            </w:tcBorders>
            <w:shd w:val="clear" w:color="auto" w:fill="auto"/>
            <w:noWrap/>
            <w:vAlign w:val="bottom"/>
            <w:hideMark/>
          </w:tcPr>
          <w:p w14:paraId="49D4B1CA" w14:textId="77777777" w:rsidR="00BD4547" w:rsidRPr="00BD4547" w:rsidRDefault="00BD4547" w:rsidP="003D6C7E">
            <w:pPr>
              <w:keepNext w:val="0"/>
              <w:spacing w:before="0"/>
              <w:jc w:val="center"/>
              <w:rPr>
                <w:rFonts w:ascii="Times New Roman" w:hAnsi="Times New Roman"/>
                <w:color w:val="auto"/>
                <w:sz w:val="20"/>
              </w:rPr>
            </w:pPr>
          </w:p>
        </w:tc>
        <w:tc>
          <w:tcPr>
            <w:tcW w:w="1575" w:type="dxa"/>
            <w:tcBorders>
              <w:top w:val="nil"/>
              <w:left w:val="nil"/>
              <w:bottom w:val="nil"/>
              <w:right w:val="nil"/>
            </w:tcBorders>
            <w:shd w:val="clear" w:color="auto" w:fill="auto"/>
            <w:noWrap/>
            <w:vAlign w:val="bottom"/>
            <w:hideMark/>
          </w:tcPr>
          <w:p w14:paraId="7FB57B95" w14:textId="77777777" w:rsidR="00BD4547" w:rsidRPr="00BD4547" w:rsidRDefault="00BD4547" w:rsidP="003D6C7E">
            <w:pPr>
              <w:keepNext w:val="0"/>
              <w:spacing w:before="0"/>
              <w:jc w:val="center"/>
              <w:rPr>
                <w:rFonts w:ascii="Times New Roman" w:hAnsi="Times New Roman"/>
                <w:color w:val="auto"/>
                <w:sz w:val="20"/>
              </w:rPr>
            </w:pPr>
          </w:p>
        </w:tc>
        <w:tc>
          <w:tcPr>
            <w:tcW w:w="717" w:type="dxa"/>
            <w:tcBorders>
              <w:top w:val="nil"/>
              <w:left w:val="nil"/>
              <w:bottom w:val="nil"/>
              <w:right w:val="nil"/>
            </w:tcBorders>
            <w:shd w:val="clear" w:color="auto" w:fill="auto"/>
            <w:noWrap/>
            <w:vAlign w:val="bottom"/>
            <w:hideMark/>
          </w:tcPr>
          <w:p w14:paraId="7052F4DE" w14:textId="77777777" w:rsidR="00BD4547" w:rsidRPr="00BD4547" w:rsidRDefault="00BD4547" w:rsidP="003D6C7E">
            <w:pPr>
              <w:keepNext w:val="0"/>
              <w:spacing w:before="0"/>
              <w:jc w:val="center"/>
              <w:rPr>
                <w:rFonts w:ascii="Times New Roman" w:hAnsi="Times New Roman"/>
                <w:color w:val="auto"/>
                <w:sz w:val="20"/>
              </w:rPr>
            </w:pPr>
          </w:p>
        </w:tc>
      </w:tr>
      <w:tr w:rsidR="00BD4547" w:rsidRPr="00BD4547" w14:paraId="5A97CACA" w14:textId="77777777" w:rsidTr="003D6C7E">
        <w:trPr>
          <w:trHeight w:val="315"/>
        </w:trPr>
        <w:tc>
          <w:tcPr>
            <w:tcW w:w="3828" w:type="dxa"/>
            <w:tcBorders>
              <w:top w:val="nil"/>
              <w:left w:val="nil"/>
              <w:bottom w:val="nil"/>
              <w:right w:val="nil"/>
            </w:tcBorders>
            <w:shd w:val="clear" w:color="auto" w:fill="auto"/>
            <w:noWrap/>
            <w:vAlign w:val="center"/>
            <w:hideMark/>
          </w:tcPr>
          <w:p w14:paraId="52D2D688" w14:textId="77777777" w:rsidR="00BD4547" w:rsidRPr="00BD4547" w:rsidRDefault="00BD4547" w:rsidP="003D6C7E">
            <w:pPr>
              <w:keepNext w:val="0"/>
              <w:spacing w:before="0"/>
              <w:rPr>
                <w:rFonts w:cs="Arial"/>
                <w:color w:val="auto"/>
                <w:sz w:val="20"/>
              </w:rPr>
            </w:pPr>
            <w:r w:rsidRPr="00BD4547">
              <w:rPr>
                <w:rFonts w:cs="Arial"/>
                <w:color w:val="auto"/>
                <w:sz w:val="20"/>
              </w:rPr>
              <w:t>Total developed 2018 to 31</w:t>
            </w:r>
            <w:r w:rsidRPr="00BD4547">
              <w:rPr>
                <w:rFonts w:cs="Arial"/>
                <w:color w:val="auto"/>
                <w:sz w:val="20"/>
                <w:vertAlign w:val="superscript"/>
              </w:rPr>
              <w:t>st</w:t>
            </w:r>
            <w:r w:rsidRPr="00BD4547">
              <w:rPr>
                <w:rFonts w:cs="Arial"/>
                <w:color w:val="auto"/>
                <w:sz w:val="20"/>
              </w:rPr>
              <w:t xml:space="preserve"> March 2023</w:t>
            </w:r>
          </w:p>
        </w:tc>
        <w:tc>
          <w:tcPr>
            <w:tcW w:w="992" w:type="dxa"/>
            <w:tcBorders>
              <w:top w:val="single" w:sz="8" w:space="0" w:color="auto"/>
              <w:left w:val="nil"/>
              <w:bottom w:val="single" w:sz="8" w:space="0" w:color="auto"/>
              <w:right w:val="nil"/>
            </w:tcBorders>
            <w:shd w:val="clear" w:color="auto" w:fill="auto"/>
            <w:noWrap/>
            <w:vAlign w:val="center"/>
            <w:hideMark/>
          </w:tcPr>
          <w:p w14:paraId="7D7CF0C6" w14:textId="77777777" w:rsidR="00BD4547" w:rsidRPr="00BD4547" w:rsidRDefault="00BD4547" w:rsidP="003D6C7E">
            <w:pPr>
              <w:keepNext w:val="0"/>
              <w:spacing w:before="0"/>
              <w:jc w:val="center"/>
              <w:rPr>
                <w:rFonts w:cs="Arial"/>
                <w:color w:val="auto"/>
                <w:sz w:val="20"/>
              </w:rPr>
            </w:pPr>
            <w:r w:rsidRPr="00BD4547">
              <w:rPr>
                <w:rFonts w:cs="Arial"/>
                <w:color w:val="auto"/>
                <w:sz w:val="20"/>
              </w:rPr>
              <w:t>0.00</w:t>
            </w:r>
          </w:p>
        </w:tc>
        <w:tc>
          <w:tcPr>
            <w:tcW w:w="1575" w:type="dxa"/>
            <w:tcBorders>
              <w:top w:val="single" w:sz="8" w:space="0" w:color="auto"/>
              <w:left w:val="nil"/>
              <w:bottom w:val="single" w:sz="8" w:space="0" w:color="auto"/>
              <w:right w:val="nil"/>
            </w:tcBorders>
            <w:shd w:val="clear" w:color="auto" w:fill="auto"/>
            <w:noWrap/>
            <w:vAlign w:val="center"/>
            <w:hideMark/>
          </w:tcPr>
          <w:p w14:paraId="3D2DE62C" w14:textId="77777777" w:rsidR="00BD4547" w:rsidRPr="00BD4547" w:rsidRDefault="00BD4547" w:rsidP="003D6C7E">
            <w:pPr>
              <w:keepNext w:val="0"/>
              <w:spacing w:before="0"/>
              <w:jc w:val="center"/>
              <w:rPr>
                <w:rFonts w:cs="Arial"/>
                <w:color w:val="auto"/>
                <w:sz w:val="20"/>
              </w:rPr>
            </w:pPr>
            <w:r w:rsidRPr="00BD4547">
              <w:rPr>
                <w:rFonts w:cs="Arial"/>
                <w:color w:val="auto"/>
                <w:sz w:val="20"/>
              </w:rPr>
              <w:t>47.06</w:t>
            </w:r>
          </w:p>
        </w:tc>
        <w:tc>
          <w:tcPr>
            <w:tcW w:w="717" w:type="dxa"/>
            <w:tcBorders>
              <w:top w:val="single" w:sz="8" w:space="0" w:color="auto"/>
              <w:left w:val="nil"/>
              <w:bottom w:val="single" w:sz="8" w:space="0" w:color="auto"/>
              <w:right w:val="nil"/>
            </w:tcBorders>
            <w:shd w:val="clear" w:color="auto" w:fill="auto"/>
            <w:noWrap/>
            <w:vAlign w:val="center"/>
            <w:hideMark/>
          </w:tcPr>
          <w:p w14:paraId="24E404C5" w14:textId="77777777" w:rsidR="00BD4547" w:rsidRPr="00BD4547" w:rsidRDefault="00BD4547" w:rsidP="003D6C7E">
            <w:pPr>
              <w:keepNext w:val="0"/>
              <w:spacing w:before="0"/>
              <w:jc w:val="center"/>
              <w:rPr>
                <w:rFonts w:cs="Arial"/>
                <w:color w:val="auto"/>
                <w:sz w:val="20"/>
              </w:rPr>
            </w:pPr>
            <w:r w:rsidRPr="00BD4547">
              <w:rPr>
                <w:rFonts w:cs="Arial"/>
                <w:color w:val="auto"/>
                <w:sz w:val="20"/>
              </w:rPr>
              <w:t>47.06</w:t>
            </w:r>
          </w:p>
        </w:tc>
      </w:tr>
      <w:tr w:rsidR="00BD4547" w:rsidRPr="00BD4547" w14:paraId="4DEAFE0B" w14:textId="77777777" w:rsidTr="003D6C7E">
        <w:trPr>
          <w:trHeight w:val="315"/>
        </w:trPr>
        <w:tc>
          <w:tcPr>
            <w:tcW w:w="3828" w:type="dxa"/>
            <w:tcBorders>
              <w:top w:val="nil"/>
              <w:left w:val="nil"/>
              <w:bottom w:val="nil"/>
              <w:right w:val="nil"/>
            </w:tcBorders>
            <w:shd w:val="clear" w:color="auto" w:fill="auto"/>
            <w:noWrap/>
            <w:vAlign w:val="bottom"/>
            <w:hideMark/>
          </w:tcPr>
          <w:p w14:paraId="0C4B7D54" w14:textId="77777777" w:rsidR="00BD4547" w:rsidRPr="00BD4547" w:rsidRDefault="00BD4547" w:rsidP="003D6C7E">
            <w:pPr>
              <w:keepNext w:val="0"/>
              <w:spacing w:before="0"/>
              <w:rPr>
                <w:rFonts w:cs="Arial"/>
                <w:color w:val="auto"/>
                <w:sz w:val="20"/>
              </w:rPr>
            </w:pPr>
          </w:p>
        </w:tc>
        <w:tc>
          <w:tcPr>
            <w:tcW w:w="992" w:type="dxa"/>
            <w:tcBorders>
              <w:top w:val="nil"/>
              <w:left w:val="nil"/>
              <w:bottom w:val="nil"/>
              <w:right w:val="nil"/>
            </w:tcBorders>
            <w:shd w:val="clear" w:color="auto" w:fill="auto"/>
            <w:noWrap/>
            <w:vAlign w:val="bottom"/>
            <w:hideMark/>
          </w:tcPr>
          <w:p w14:paraId="4713C01B" w14:textId="77777777" w:rsidR="00BD4547" w:rsidRPr="00BD4547" w:rsidRDefault="00BD4547" w:rsidP="003D6C7E">
            <w:pPr>
              <w:keepNext w:val="0"/>
              <w:spacing w:before="0"/>
              <w:jc w:val="center"/>
              <w:rPr>
                <w:rFonts w:ascii="Times New Roman" w:hAnsi="Times New Roman"/>
                <w:color w:val="auto"/>
                <w:sz w:val="20"/>
              </w:rPr>
            </w:pPr>
          </w:p>
        </w:tc>
        <w:tc>
          <w:tcPr>
            <w:tcW w:w="1575" w:type="dxa"/>
            <w:tcBorders>
              <w:top w:val="nil"/>
              <w:left w:val="nil"/>
              <w:bottom w:val="nil"/>
              <w:right w:val="nil"/>
            </w:tcBorders>
            <w:shd w:val="clear" w:color="auto" w:fill="auto"/>
            <w:noWrap/>
            <w:vAlign w:val="bottom"/>
            <w:hideMark/>
          </w:tcPr>
          <w:p w14:paraId="5BBD9550" w14:textId="77777777" w:rsidR="00BD4547" w:rsidRPr="00BD4547" w:rsidRDefault="00BD4547" w:rsidP="003D6C7E">
            <w:pPr>
              <w:keepNext w:val="0"/>
              <w:spacing w:before="0"/>
              <w:jc w:val="center"/>
              <w:rPr>
                <w:rFonts w:ascii="Times New Roman" w:hAnsi="Times New Roman"/>
                <w:color w:val="auto"/>
                <w:sz w:val="20"/>
              </w:rPr>
            </w:pPr>
          </w:p>
        </w:tc>
        <w:tc>
          <w:tcPr>
            <w:tcW w:w="717" w:type="dxa"/>
            <w:tcBorders>
              <w:top w:val="nil"/>
              <w:left w:val="nil"/>
              <w:bottom w:val="nil"/>
              <w:right w:val="nil"/>
            </w:tcBorders>
            <w:shd w:val="clear" w:color="auto" w:fill="auto"/>
            <w:noWrap/>
            <w:vAlign w:val="bottom"/>
            <w:hideMark/>
          </w:tcPr>
          <w:p w14:paraId="1315FF2C" w14:textId="77777777" w:rsidR="00BD4547" w:rsidRPr="00BD4547" w:rsidRDefault="00BD4547" w:rsidP="003D6C7E">
            <w:pPr>
              <w:keepNext w:val="0"/>
              <w:spacing w:before="0"/>
              <w:jc w:val="center"/>
              <w:rPr>
                <w:rFonts w:ascii="Times New Roman" w:hAnsi="Times New Roman"/>
                <w:color w:val="auto"/>
                <w:sz w:val="20"/>
              </w:rPr>
            </w:pPr>
          </w:p>
        </w:tc>
      </w:tr>
      <w:tr w:rsidR="00BD4547" w:rsidRPr="00BD4547" w14:paraId="6443BCC9" w14:textId="77777777" w:rsidTr="003D6C7E">
        <w:trPr>
          <w:trHeight w:val="840"/>
        </w:trPr>
        <w:tc>
          <w:tcPr>
            <w:tcW w:w="3828" w:type="dxa"/>
            <w:tcBorders>
              <w:top w:val="single" w:sz="12" w:space="0" w:color="auto"/>
              <w:left w:val="nil"/>
              <w:bottom w:val="single" w:sz="12" w:space="0" w:color="auto"/>
              <w:right w:val="nil"/>
            </w:tcBorders>
            <w:shd w:val="clear" w:color="auto" w:fill="auto"/>
            <w:vAlign w:val="center"/>
            <w:hideMark/>
          </w:tcPr>
          <w:p w14:paraId="4B20DBA4" w14:textId="77777777" w:rsidR="00BD4547" w:rsidRPr="00BD4547" w:rsidRDefault="00BD4547" w:rsidP="003D6C7E">
            <w:pPr>
              <w:keepNext w:val="0"/>
              <w:spacing w:before="0"/>
              <w:rPr>
                <w:rFonts w:cs="Arial"/>
                <w:b/>
                <w:bCs/>
                <w:color w:val="auto"/>
                <w:sz w:val="18"/>
                <w:szCs w:val="18"/>
              </w:rPr>
            </w:pPr>
            <w:r w:rsidRPr="00BD4547">
              <w:rPr>
                <w:rFonts w:cs="Arial"/>
                <w:b/>
                <w:bCs/>
                <w:color w:val="auto"/>
                <w:sz w:val="18"/>
                <w:szCs w:val="18"/>
              </w:rPr>
              <w:t>Demand 1st April 2023 after development undertaken from 2018/19 to 2022/23</w:t>
            </w:r>
          </w:p>
        </w:tc>
        <w:tc>
          <w:tcPr>
            <w:tcW w:w="992" w:type="dxa"/>
            <w:tcBorders>
              <w:top w:val="single" w:sz="12" w:space="0" w:color="auto"/>
              <w:left w:val="nil"/>
              <w:bottom w:val="single" w:sz="12" w:space="0" w:color="auto"/>
              <w:right w:val="nil"/>
            </w:tcBorders>
            <w:shd w:val="clear" w:color="auto" w:fill="auto"/>
            <w:noWrap/>
            <w:vAlign w:val="center"/>
            <w:hideMark/>
          </w:tcPr>
          <w:p w14:paraId="4696EEC8" w14:textId="77777777" w:rsidR="00BD4547" w:rsidRPr="00BD4547" w:rsidRDefault="00BD4547" w:rsidP="003D6C7E">
            <w:pPr>
              <w:keepNext w:val="0"/>
              <w:spacing w:before="0"/>
              <w:jc w:val="center"/>
              <w:rPr>
                <w:rFonts w:cs="Arial"/>
                <w:b/>
                <w:bCs/>
                <w:color w:val="auto"/>
                <w:sz w:val="20"/>
              </w:rPr>
            </w:pPr>
            <w:r w:rsidRPr="00BD4547">
              <w:rPr>
                <w:rFonts w:cs="Arial"/>
                <w:b/>
                <w:bCs/>
                <w:color w:val="auto"/>
                <w:sz w:val="20"/>
              </w:rPr>
              <w:t>1.00</w:t>
            </w:r>
          </w:p>
        </w:tc>
        <w:tc>
          <w:tcPr>
            <w:tcW w:w="1575" w:type="dxa"/>
            <w:tcBorders>
              <w:top w:val="single" w:sz="12" w:space="0" w:color="auto"/>
              <w:left w:val="nil"/>
              <w:bottom w:val="single" w:sz="12" w:space="0" w:color="auto"/>
              <w:right w:val="nil"/>
            </w:tcBorders>
            <w:shd w:val="clear" w:color="auto" w:fill="auto"/>
            <w:noWrap/>
            <w:vAlign w:val="center"/>
            <w:hideMark/>
          </w:tcPr>
          <w:p w14:paraId="27533E15" w14:textId="77777777" w:rsidR="00BD4547" w:rsidRPr="00BD4547" w:rsidRDefault="00BD4547" w:rsidP="003D6C7E">
            <w:pPr>
              <w:keepNext w:val="0"/>
              <w:spacing w:before="0"/>
              <w:jc w:val="center"/>
              <w:rPr>
                <w:rFonts w:cs="Arial"/>
                <w:b/>
                <w:bCs/>
                <w:color w:val="auto"/>
                <w:sz w:val="20"/>
              </w:rPr>
            </w:pPr>
            <w:r w:rsidRPr="00BD4547">
              <w:rPr>
                <w:rFonts w:cs="Arial"/>
                <w:b/>
                <w:bCs/>
                <w:color w:val="auto"/>
                <w:sz w:val="20"/>
              </w:rPr>
              <w:t>44.94</w:t>
            </w:r>
          </w:p>
        </w:tc>
        <w:tc>
          <w:tcPr>
            <w:tcW w:w="717" w:type="dxa"/>
            <w:tcBorders>
              <w:top w:val="single" w:sz="12" w:space="0" w:color="auto"/>
              <w:left w:val="nil"/>
              <w:bottom w:val="single" w:sz="12" w:space="0" w:color="auto"/>
              <w:right w:val="nil"/>
            </w:tcBorders>
            <w:shd w:val="clear" w:color="auto" w:fill="auto"/>
            <w:noWrap/>
            <w:vAlign w:val="center"/>
            <w:hideMark/>
          </w:tcPr>
          <w:p w14:paraId="3F8173C9" w14:textId="77777777" w:rsidR="00BD4547" w:rsidRPr="00BD4547" w:rsidRDefault="00BD4547" w:rsidP="003D6C7E">
            <w:pPr>
              <w:keepNext w:val="0"/>
              <w:spacing w:before="0"/>
              <w:jc w:val="center"/>
              <w:rPr>
                <w:rFonts w:cs="Arial"/>
                <w:b/>
                <w:bCs/>
                <w:color w:val="auto"/>
                <w:sz w:val="20"/>
              </w:rPr>
            </w:pPr>
            <w:r w:rsidRPr="00BD4547">
              <w:rPr>
                <w:rFonts w:cs="Arial"/>
                <w:b/>
                <w:bCs/>
                <w:color w:val="auto"/>
                <w:sz w:val="20"/>
              </w:rPr>
              <w:t>45.94</w:t>
            </w:r>
          </w:p>
        </w:tc>
      </w:tr>
    </w:tbl>
    <w:p w14:paraId="07E69CF3" w14:textId="77777777" w:rsidR="00F55758" w:rsidRPr="00A32846" w:rsidRDefault="00F55758" w:rsidP="00743227">
      <w:pPr>
        <w:keepNext w:val="0"/>
        <w:autoSpaceDE w:val="0"/>
        <w:autoSpaceDN w:val="0"/>
        <w:adjustRightInd w:val="0"/>
        <w:spacing w:before="0"/>
        <w:rPr>
          <w:rFonts w:cs="Arial"/>
          <w:szCs w:val="24"/>
        </w:rPr>
      </w:pPr>
    </w:p>
    <w:p w14:paraId="1FDC3F2B" w14:textId="77777777" w:rsidR="00F55758" w:rsidRPr="00A32846" w:rsidRDefault="00F55758" w:rsidP="00743227">
      <w:pPr>
        <w:keepNext w:val="0"/>
        <w:autoSpaceDE w:val="0"/>
        <w:autoSpaceDN w:val="0"/>
        <w:adjustRightInd w:val="0"/>
        <w:spacing w:before="0"/>
        <w:rPr>
          <w:rFonts w:cs="Arial"/>
          <w:szCs w:val="24"/>
        </w:rPr>
      </w:pPr>
    </w:p>
    <w:p w14:paraId="67D6BA0C" w14:textId="77777777" w:rsidR="00F55758" w:rsidRPr="00A32846" w:rsidRDefault="00F55758" w:rsidP="00743227">
      <w:pPr>
        <w:keepNext w:val="0"/>
        <w:autoSpaceDE w:val="0"/>
        <w:autoSpaceDN w:val="0"/>
        <w:adjustRightInd w:val="0"/>
        <w:spacing w:before="0"/>
        <w:rPr>
          <w:rFonts w:cs="Arial"/>
          <w:szCs w:val="24"/>
        </w:rPr>
      </w:pPr>
    </w:p>
    <w:p w14:paraId="7150CA0F" w14:textId="77777777" w:rsidR="00F55758" w:rsidRPr="00A32846" w:rsidRDefault="00F55758" w:rsidP="00743227">
      <w:pPr>
        <w:keepNext w:val="0"/>
        <w:autoSpaceDE w:val="0"/>
        <w:autoSpaceDN w:val="0"/>
        <w:adjustRightInd w:val="0"/>
        <w:spacing w:before="0"/>
        <w:rPr>
          <w:rFonts w:cs="Arial"/>
          <w:szCs w:val="24"/>
        </w:rPr>
      </w:pPr>
    </w:p>
    <w:p w14:paraId="0405332A" w14:textId="77777777" w:rsidR="00F55758" w:rsidRPr="00A32846" w:rsidRDefault="00F55758" w:rsidP="00743227">
      <w:pPr>
        <w:keepNext w:val="0"/>
        <w:autoSpaceDE w:val="0"/>
        <w:autoSpaceDN w:val="0"/>
        <w:adjustRightInd w:val="0"/>
        <w:spacing w:before="0"/>
        <w:rPr>
          <w:rFonts w:cs="Arial"/>
          <w:szCs w:val="24"/>
        </w:rPr>
      </w:pPr>
    </w:p>
    <w:p w14:paraId="4DCA371E" w14:textId="77777777" w:rsidR="00F55758" w:rsidRPr="00A32846" w:rsidRDefault="00F55758" w:rsidP="00743227">
      <w:pPr>
        <w:keepNext w:val="0"/>
        <w:autoSpaceDE w:val="0"/>
        <w:autoSpaceDN w:val="0"/>
        <w:adjustRightInd w:val="0"/>
        <w:spacing w:before="0"/>
        <w:rPr>
          <w:rFonts w:cs="Arial"/>
          <w:szCs w:val="24"/>
        </w:rPr>
      </w:pPr>
    </w:p>
    <w:p w14:paraId="697EFB7F" w14:textId="77777777" w:rsidR="00F55758" w:rsidRPr="00A32846" w:rsidRDefault="00F55758" w:rsidP="00743227">
      <w:pPr>
        <w:keepNext w:val="0"/>
        <w:autoSpaceDE w:val="0"/>
        <w:autoSpaceDN w:val="0"/>
        <w:adjustRightInd w:val="0"/>
        <w:spacing w:before="0"/>
        <w:rPr>
          <w:rFonts w:cs="Arial"/>
          <w:szCs w:val="24"/>
        </w:rPr>
      </w:pPr>
    </w:p>
    <w:p w14:paraId="0C935CF3" w14:textId="77777777" w:rsidR="00F55758" w:rsidRPr="00A32846" w:rsidRDefault="00F55758" w:rsidP="00743227">
      <w:pPr>
        <w:keepNext w:val="0"/>
        <w:autoSpaceDE w:val="0"/>
        <w:autoSpaceDN w:val="0"/>
        <w:adjustRightInd w:val="0"/>
        <w:spacing w:before="0"/>
        <w:rPr>
          <w:rFonts w:cs="Arial"/>
          <w:szCs w:val="24"/>
        </w:rPr>
      </w:pPr>
    </w:p>
    <w:p w14:paraId="158C9BAD" w14:textId="77777777" w:rsidR="00F55758" w:rsidRPr="00A32846" w:rsidRDefault="00F55758" w:rsidP="00743227">
      <w:pPr>
        <w:keepNext w:val="0"/>
        <w:autoSpaceDE w:val="0"/>
        <w:autoSpaceDN w:val="0"/>
        <w:adjustRightInd w:val="0"/>
        <w:spacing w:before="0"/>
        <w:rPr>
          <w:rFonts w:cs="Arial"/>
          <w:szCs w:val="24"/>
        </w:rPr>
      </w:pPr>
    </w:p>
    <w:p w14:paraId="132BEF86" w14:textId="77777777" w:rsidR="00F55758" w:rsidRPr="00A32846" w:rsidRDefault="00F55758" w:rsidP="00743227">
      <w:pPr>
        <w:keepNext w:val="0"/>
        <w:autoSpaceDE w:val="0"/>
        <w:autoSpaceDN w:val="0"/>
        <w:adjustRightInd w:val="0"/>
        <w:spacing w:before="0"/>
        <w:rPr>
          <w:rFonts w:cs="Arial"/>
          <w:szCs w:val="24"/>
        </w:rPr>
      </w:pPr>
    </w:p>
    <w:p w14:paraId="24F89889" w14:textId="77777777" w:rsidR="00F55758" w:rsidRPr="00A32846" w:rsidRDefault="00F55758" w:rsidP="00743227">
      <w:pPr>
        <w:keepNext w:val="0"/>
        <w:autoSpaceDE w:val="0"/>
        <w:autoSpaceDN w:val="0"/>
        <w:adjustRightInd w:val="0"/>
        <w:spacing w:before="0"/>
        <w:rPr>
          <w:rFonts w:cs="Arial"/>
          <w:szCs w:val="24"/>
        </w:rPr>
      </w:pPr>
    </w:p>
    <w:p w14:paraId="61513002" w14:textId="77777777" w:rsidR="00F55758" w:rsidRPr="00A32846" w:rsidRDefault="00F55758" w:rsidP="00743227">
      <w:pPr>
        <w:keepNext w:val="0"/>
        <w:autoSpaceDE w:val="0"/>
        <w:autoSpaceDN w:val="0"/>
        <w:adjustRightInd w:val="0"/>
        <w:spacing w:before="0"/>
        <w:rPr>
          <w:rFonts w:cs="Arial"/>
          <w:szCs w:val="24"/>
        </w:rPr>
      </w:pPr>
    </w:p>
    <w:p w14:paraId="0CCFFDF0" w14:textId="77777777" w:rsidR="00F55758" w:rsidRPr="00A32846" w:rsidRDefault="00F55758" w:rsidP="00743227">
      <w:pPr>
        <w:keepNext w:val="0"/>
        <w:autoSpaceDE w:val="0"/>
        <w:autoSpaceDN w:val="0"/>
        <w:adjustRightInd w:val="0"/>
        <w:spacing w:before="0"/>
        <w:rPr>
          <w:rFonts w:cs="Arial"/>
          <w:szCs w:val="24"/>
        </w:rPr>
      </w:pPr>
    </w:p>
    <w:p w14:paraId="13499EE5" w14:textId="77777777" w:rsidR="00F55758" w:rsidRPr="00A32846" w:rsidRDefault="00F55758" w:rsidP="00743227">
      <w:pPr>
        <w:keepNext w:val="0"/>
        <w:autoSpaceDE w:val="0"/>
        <w:autoSpaceDN w:val="0"/>
        <w:adjustRightInd w:val="0"/>
        <w:spacing w:before="0"/>
        <w:rPr>
          <w:rFonts w:cs="Arial"/>
          <w:szCs w:val="24"/>
        </w:rPr>
      </w:pPr>
    </w:p>
    <w:p w14:paraId="57587771" w14:textId="77777777" w:rsidR="00F55758" w:rsidRPr="00A32846" w:rsidRDefault="00F55758" w:rsidP="00743227">
      <w:pPr>
        <w:keepNext w:val="0"/>
        <w:autoSpaceDE w:val="0"/>
        <w:autoSpaceDN w:val="0"/>
        <w:adjustRightInd w:val="0"/>
        <w:spacing w:before="0"/>
        <w:rPr>
          <w:rFonts w:cs="Arial"/>
          <w:szCs w:val="24"/>
        </w:rPr>
      </w:pPr>
    </w:p>
    <w:p w14:paraId="5DBA7E2B" w14:textId="7AF02F4A" w:rsidR="00F55758" w:rsidRPr="00A32846" w:rsidRDefault="00F55758" w:rsidP="00743227">
      <w:pPr>
        <w:keepNext w:val="0"/>
        <w:autoSpaceDE w:val="0"/>
        <w:autoSpaceDN w:val="0"/>
        <w:adjustRightInd w:val="0"/>
        <w:spacing w:before="0"/>
        <w:rPr>
          <w:rFonts w:cs="Arial"/>
          <w:szCs w:val="24"/>
        </w:rPr>
      </w:pPr>
    </w:p>
    <w:p w14:paraId="29814892" w14:textId="77777777" w:rsidR="00F55758" w:rsidRPr="00A32846" w:rsidRDefault="00F55758" w:rsidP="00F55758">
      <w:pPr>
        <w:keepNext w:val="0"/>
        <w:spacing w:before="0" w:after="160" w:line="252" w:lineRule="auto"/>
        <w:jc w:val="both"/>
        <w:rPr>
          <w:rFonts w:eastAsia="Calibri"/>
          <w:szCs w:val="22"/>
          <w:lang w:eastAsia="en-US"/>
        </w:rPr>
      </w:pPr>
    </w:p>
    <w:p w14:paraId="4A69ECC8" w14:textId="4F82887A" w:rsidR="00743227" w:rsidRPr="00A32846" w:rsidRDefault="00743227" w:rsidP="00743227">
      <w:pPr>
        <w:keepNext w:val="0"/>
        <w:autoSpaceDE w:val="0"/>
        <w:autoSpaceDN w:val="0"/>
        <w:adjustRightInd w:val="0"/>
        <w:spacing w:before="0"/>
        <w:rPr>
          <w:rFonts w:cs="Arial"/>
          <w:szCs w:val="24"/>
        </w:rPr>
      </w:pPr>
    </w:p>
    <w:p w14:paraId="20CD608B" w14:textId="77777777" w:rsidR="00743227" w:rsidRPr="00A32846" w:rsidRDefault="00743227" w:rsidP="00743227">
      <w:pPr>
        <w:keepNext w:val="0"/>
        <w:autoSpaceDE w:val="0"/>
        <w:autoSpaceDN w:val="0"/>
        <w:adjustRightInd w:val="0"/>
        <w:spacing w:before="0"/>
        <w:rPr>
          <w:rFonts w:cs="Arial"/>
          <w:szCs w:val="24"/>
        </w:rPr>
      </w:pPr>
    </w:p>
    <w:p w14:paraId="71624EF0" w14:textId="77777777" w:rsidR="00743227" w:rsidRPr="00A32846" w:rsidRDefault="00743227" w:rsidP="00743227">
      <w:pPr>
        <w:keepNext w:val="0"/>
        <w:autoSpaceDE w:val="0"/>
        <w:autoSpaceDN w:val="0"/>
        <w:adjustRightInd w:val="0"/>
        <w:spacing w:before="0"/>
        <w:rPr>
          <w:rFonts w:cs="Arial"/>
          <w:szCs w:val="24"/>
        </w:rPr>
      </w:pPr>
    </w:p>
    <w:p w14:paraId="4DED36AE" w14:textId="77777777" w:rsidR="00E3260E" w:rsidRDefault="00E3260E" w:rsidP="00BD4547">
      <w:pPr>
        <w:keepNext w:val="0"/>
        <w:autoSpaceDE w:val="0"/>
        <w:autoSpaceDN w:val="0"/>
        <w:adjustRightInd w:val="0"/>
        <w:spacing w:before="0"/>
        <w:ind w:left="1440" w:hanging="589"/>
        <w:rPr>
          <w:rFonts w:cs="Arial"/>
          <w:b/>
          <w:bCs/>
          <w:szCs w:val="24"/>
        </w:rPr>
      </w:pPr>
    </w:p>
    <w:p w14:paraId="09FB858E" w14:textId="317418EE" w:rsidR="00BD4547" w:rsidRPr="00BD4547" w:rsidRDefault="00F55758" w:rsidP="002430A6">
      <w:pPr>
        <w:pStyle w:val="Heading3"/>
        <w:ind w:firstLine="720"/>
      </w:pPr>
      <w:r w:rsidRPr="00A32846">
        <w:t xml:space="preserve">Table </w:t>
      </w:r>
      <w:r w:rsidR="00B33C3A">
        <w:t>5</w:t>
      </w:r>
      <w:r w:rsidRPr="00BD4547">
        <w:t xml:space="preserve">: </w:t>
      </w:r>
      <w:r w:rsidR="00BD4547" w:rsidRPr="00BD4547">
        <w:t>Employment Land Demand Adjustment from 2018 to 2023</w:t>
      </w:r>
    </w:p>
    <w:p w14:paraId="113F544F" w14:textId="0F064AB2" w:rsidR="00BD4547" w:rsidRPr="00BD4547" w:rsidRDefault="00BD4547" w:rsidP="00BD4547">
      <w:pPr>
        <w:keepNext w:val="0"/>
        <w:autoSpaceDE w:val="0"/>
        <w:autoSpaceDN w:val="0"/>
        <w:adjustRightInd w:val="0"/>
        <w:spacing w:before="0"/>
        <w:ind w:left="851" w:hanging="22"/>
        <w:rPr>
          <w:rFonts w:cs="Arial"/>
          <w:color w:val="auto"/>
          <w:sz w:val="20"/>
        </w:rPr>
      </w:pPr>
      <w:r w:rsidRPr="00BD4547">
        <w:rPr>
          <w:rFonts w:cs="Arial"/>
          <w:color w:val="auto"/>
          <w:sz w:val="20"/>
        </w:rPr>
        <w:t>Source: Employment Land Needs Study 2021, Logistic Study 2022, Background Paper No 3, Economy &amp; Employment Land, 2023.</w:t>
      </w:r>
    </w:p>
    <w:p w14:paraId="786F6F03" w14:textId="77777777" w:rsidR="001B720A" w:rsidRPr="00A32846" w:rsidRDefault="001B720A" w:rsidP="00743227">
      <w:pPr>
        <w:keepNext w:val="0"/>
        <w:autoSpaceDE w:val="0"/>
        <w:autoSpaceDN w:val="0"/>
        <w:adjustRightInd w:val="0"/>
        <w:spacing w:before="0"/>
        <w:rPr>
          <w:rFonts w:cs="Arial"/>
          <w:szCs w:val="24"/>
        </w:rPr>
      </w:pPr>
    </w:p>
    <w:p w14:paraId="50EB17CC" w14:textId="3695E829" w:rsidR="00BD1220" w:rsidRPr="00A32846" w:rsidRDefault="00BD1220" w:rsidP="00874A98">
      <w:pPr>
        <w:keepNext w:val="0"/>
        <w:numPr>
          <w:ilvl w:val="1"/>
          <w:numId w:val="103"/>
        </w:numPr>
        <w:spacing w:before="0"/>
        <w:ind w:left="851" w:hanging="851"/>
        <w:rPr>
          <w:rFonts w:cs="Arial"/>
          <w:strike/>
          <w:szCs w:val="24"/>
          <w:lang w:eastAsia="en-US"/>
        </w:rPr>
      </w:pPr>
      <w:bookmarkStart w:id="82" w:name="_Hlk148622045"/>
      <w:r w:rsidRPr="00A32846">
        <w:rPr>
          <w:rFonts w:eastAsia="Arial" w:cs="Arial"/>
        </w:rPr>
        <w:t xml:space="preserve">The ELNS also highlights, from wider market signals, that there is significant </w:t>
      </w:r>
      <w:r w:rsidRPr="00A32846">
        <w:rPr>
          <w:rFonts w:eastAsia="Arial" w:cs="Arial"/>
          <w:color w:val="auto"/>
        </w:rPr>
        <w:t xml:space="preserve">demand for land for logistics along the M1 corridor. </w:t>
      </w:r>
      <w:r w:rsidR="00AF6C1D" w:rsidRPr="00A32846">
        <w:rPr>
          <w:rFonts w:eastAsia="Arial" w:cs="Arial"/>
        </w:rPr>
        <w:t>This was confirmed in the Logistics Study 2022</w:t>
      </w:r>
      <w:r w:rsidR="003D6694" w:rsidRPr="00A32846">
        <w:rPr>
          <w:rFonts w:eastAsia="Arial" w:cs="Arial"/>
        </w:rPr>
        <w:t>.</w:t>
      </w:r>
      <w:r w:rsidR="00AF6C1D" w:rsidRPr="00A32846">
        <w:rPr>
          <w:rFonts w:eastAsia="Arial" w:cs="Arial"/>
        </w:rPr>
        <w:t xml:space="preserve"> </w:t>
      </w:r>
      <w:bookmarkEnd w:id="82"/>
      <w:r w:rsidR="00E357C3" w:rsidRPr="00A32846">
        <w:rPr>
          <w:rFonts w:eastAsia="Arial" w:cs="Arial"/>
        </w:rPr>
        <w:t>T</w:t>
      </w:r>
      <w:r w:rsidRPr="00A32846">
        <w:rPr>
          <w:rFonts w:eastAsia="Arial" w:cs="Arial"/>
        </w:rPr>
        <w:t xml:space="preserve">he </w:t>
      </w:r>
      <w:r w:rsidR="00E357C3" w:rsidRPr="00A32846">
        <w:rPr>
          <w:rFonts w:eastAsia="Arial" w:cs="Arial"/>
        </w:rPr>
        <w:t>P</w:t>
      </w:r>
      <w:r w:rsidRPr="00A32846">
        <w:rPr>
          <w:rFonts w:eastAsia="Arial" w:cs="Arial"/>
        </w:rPr>
        <w:t xml:space="preserve">lan responds to the need identified </w:t>
      </w:r>
      <w:r w:rsidR="003D6694" w:rsidRPr="00A32846">
        <w:rPr>
          <w:rFonts w:eastAsia="Arial" w:cs="Arial"/>
        </w:rPr>
        <w:t xml:space="preserve">for logistics </w:t>
      </w:r>
      <w:r w:rsidRPr="00A32846">
        <w:rPr>
          <w:rFonts w:eastAsia="Arial" w:cs="Arial"/>
        </w:rPr>
        <w:t xml:space="preserve">by allocating </w:t>
      </w:r>
      <w:r w:rsidR="00265BB0" w:rsidRPr="00A32846">
        <w:rPr>
          <w:rFonts w:eastAsia="Arial" w:cs="Arial"/>
        </w:rPr>
        <w:t xml:space="preserve">38.42 </w:t>
      </w:r>
      <w:r w:rsidRPr="00A32846">
        <w:rPr>
          <w:rFonts w:eastAsia="Arial" w:cs="Arial"/>
        </w:rPr>
        <w:t>ha of land at the District’s Strategic Em</w:t>
      </w:r>
      <w:r w:rsidRPr="00A32846">
        <w:rPr>
          <w:rFonts w:eastAsia="Arial" w:cs="Arial"/>
          <w:color w:val="auto"/>
        </w:rPr>
        <w:t xml:space="preserve">ployment Area of </w:t>
      </w:r>
      <w:r w:rsidRPr="00A32846">
        <w:rPr>
          <w:rFonts w:eastAsia="Arial" w:cs="Arial"/>
          <w:color w:val="auto"/>
          <w:szCs w:val="24"/>
        </w:rPr>
        <w:t xml:space="preserve">Sherwood Business </w:t>
      </w:r>
      <w:r w:rsidR="00A32846">
        <w:rPr>
          <w:rFonts w:eastAsia="Arial" w:cs="Arial"/>
          <w:color w:val="auto"/>
          <w:szCs w:val="24"/>
        </w:rPr>
        <w:t>P</w:t>
      </w:r>
      <w:r w:rsidRPr="00A32846">
        <w:rPr>
          <w:rFonts w:eastAsia="Arial" w:cs="Arial"/>
          <w:color w:val="auto"/>
          <w:szCs w:val="24"/>
        </w:rPr>
        <w:t>ark / M1 Motorway junction 27.</w:t>
      </w:r>
      <w:r w:rsidR="006D57FE" w:rsidRPr="00A32846">
        <w:rPr>
          <w:rFonts w:eastAsia="Arial" w:cs="Arial"/>
          <w:color w:val="auto"/>
          <w:szCs w:val="24"/>
        </w:rPr>
        <w:t xml:space="preserve"> Part of t</w:t>
      </w:r>
      <w:r w:rsidR="005759AB" w:rsidRPr="00A32846">
        <w:rPr>
          <w:rFonts w:eastAsia="Arial" w:cs="Arial"/>
          <w:color w:val="auto"/>
          <w:szCs w:val="24"/>
        </w:rPr>
        <w:t>h</w:t>
      </w:r>
      <w:r w:rsidR="006D57FE" w:rsidRPr="00A32846">
        <w:rPr>
          <w:rFonts w:eastAsia="Arial" w:cs="Arial"/>
          <w:color w:val="auto"/>
          <w:szCs w:val="24"/>
        </w:rPr>
        <w:t xml:space="preserve">e land allocated to the south east of </w:t>
      </w:r>
      <w:r w:rsidR="00E357C3" w:rsidRPr="00A32846">
        <w:rPr>
          <w:rFonts w:eastAsia="Arial" w:cs="Arial"/>
          <w:color w:val="auto"/>
          <w:szCs w:val="24"/>
        </w:rPr>
        <w:t>J</w:t>
      </w:r>
      <w:r w:rsidR="006D57FE" w:rsidRPr="00A32846">
        <w:rPr>
          <w:rFonts w:eastAsia="Arial" w:cs="Arial"/>
          <w:color w:val="auto"/>
          <w:szCs w:val="24"/>
        </w:rPr>
        <w:t xml:space="preserve">unction 27 </w:t>
      </w:r>
      <w:r w:rsidR="005759AB" w:rsidRPr="00A32846">
        <w:rPr>
          <w:rFonts w:eastAsia="Arial" w:cs="Arial"/>
          <w:color w:val="auto"/>
          <w:szCs w:val="24"/>
        </w:rPr>
        <w:t xml:space="preserve">comprising approximately 20 ha net developable </w:t>
      </w:r>
      <w:r w:rsidR="005759AB" w:rsidRPr="00A32846">
        <w:rPr>
          <w:rFonts w:eastAsia="Arial" w:cs="Arial"/>
          <w:szCs w:val="24"/>
        </w:rPr>
        <w:t xml:space="preserve">area </w:t>
      </w:r>
      <w:r w:rsidR="006D57FE" w:rsidRPr="00A32846">
        <w:rPr>
          <w:rFonts w:eastAsia="Arial" w:cs="Arial"/>
          <w:szCs w:val="24"/>
        </w:rPr>
        <w:t xml:space="preserve">is subject to safeguarding directions for HS2 from the </w:t>
      </w:r>
      <w:r w:rsidR="005759AB" w:rsidRPr="00A32846">
        <w:rPr>
          <w:rFonts w:eastAsia="Arial" w:cs="Arial"/>
          <w:szCs w:val="24"/>
        </w:rPr>
        <w:t>S</w:t>
      </w:r>
      <w:r w:rsidR="006D57FE" w:rsidRPr="00A32846">
        <w:rPr>
          <w:rFonts w:eastAsia="Arial" w:cs="Arial"/>
          <w:szCs w:val="24"/>
        </w:rPr>
        <w:t xml:space="preserve">ecretary of </w:t>
      </w:r>
      <w:r w:rsidR="005759AB" w:rsidRPr="00A32846">
        <w:rPr>
          <w:rFonts w:eastAsia="Arial" w:cs="Arial"/>
          <w:szCs w:val="24"/>
        </w:rPr>
        <w:t>S</w:t>
      </w:r>
      <w:r w:rsidR="006D57FE" w:rsidRPr="00A32846">
        <w:rPr>
          <w:rFonts w:eastAsia="Arial" w:cs="Arial"/>
          <w:szCs w:val="24"/>
        </w:rPr>
        <w:t xml:space="preserve">tate. </w:t>
      </w:r>
      <w:r w:rsidR="003D6694" w:rsidRPr="00A32846">
        <w:rPr>
          <w:rFonts w:eastAsia="Arial" w:cs="Arial"/>
          <w:szCs w:val="24"/>
        </w:rPr>
        <w:t xml:space="preserve">When it comes forward will be dependent on the Government’s decision regarding the HS 2b route. </w:t>
      </w:r>
    </w:p>
    <w:p w14:paraId="44F4BBBF" w14:textId="77777777" w:rsidR="00A32846" w:rsidRPr="00A32846" w:rsidRDefault="00A32846" w:rsidP="00A32846">
      <w:pPr>
        <w:keepNext w:val="0"/>
        <w:spacing w:before="0"/>
        <w:ind w:left="851"/>
        <w:rPr>
          <w:rFonts w:cs="Arial"/>
          <w:strike/>
          <w:szCs w:val="24"/>
          <w:lang w:eastAsia="en-US"/>
        </w:rPr>
      </w:pPr>
    </w:p>
    <w:p w14:paraId="164428D2" w14:textId="63657E56" w:rsidR="009831A5" w:rsidRPr="00A32846" w:rsidRDefault="00BD1220" w:rsidP="00874A98">
      <w:pPr>
        <w:keepNext w:val="0"/>
        <w:numPr>
          <w:ilvl w:val="1"/>
          <w:numId w:val="103"/>
        </w:numPr>
        <w:spacing w:before="0"/>
        <w:ind w:left="851" w:hanging="851"/>
        <w:rPr>
          <w:rFonts w:cs="Arial"/>
          <w:szCs w:val="24"/>
          <w:lang w:eastAsia="en-US"/>
        </w:rPr>
      </w:pPr>
      <w:r w:rsidRPr="00A32846">
        <w:rPr>
          <w:rFonts w:cs="Arial"/>
          <w:szCs w:val="24"/>
          <w:lang w:eastAsia="en-US"/>
        </w:rPr>
        <w:t>T</w:t>
      </w:r>
      <w:r w:rsidRPr="00A32846">
        <w:rPr>
          <w:rFonts w:eastAsia="Arial" w:cs="Arial"/>
        </w:rPr>
        <w:t xml:space="preserve">he ELNS identifies that the Nottingham Outer Housing Market Area can be regarded as a FEMA.  However, Hucknall </w:t>
      </w:r>
      <w:r w:rsidRPr="00A32846">
        <w:rPr>
          <w:rFonts w:cs="Arial"/>
          <w:szCs w:val="24"/>
          <w:lang w:eastAsia="en-US"/>
        </w:rPr>
        <w:t>has strong linkages with the Core HMA districts, and particularly Nottingham City with significant commuter flows into Nottingham, Gedling and Broxtowe from Hucknall.</w:t>
      </w:r>
      <w:bookmarkStart w:id="83" w:name="_Hlk75884348"/>
      <w:r w:rsidR="00007D90" w:rsidRPr="00A32846">
        <w:rPr>
          <w:rStyle w:val="FootnoteReference"/>
          <w:rFonts w:cs="Arial"/>
          <w:szCs w:val="24"/>
          <w:lang w:eastAsia="en-US"/>
        </w:rPr>
        <w:footnoteReference w:id="67"/>
      </w:r>
      <w:r w:rsidR="00007D90" w:rsidRPr="00A32846">
        <w:rPr>
          <w:rFonts w:cs="Arial"/>
          <w:szCs w:val="24"/>
          <w:lang w:eastAsia="en-US"/>
        </w:rPr>
        <w:t>.</w:t>
      </w:r>
    </w:p>
    <w:p w14:paraId="47AC8DDF" w14:textId="77777777" w:rsidR="006D57FE" w:rsidRPr="00A32846" w:rsidRDefault="006D57FE" w:rsidP="00F11936">
      <w:pPr>
        <w:keepNext w:val="0"/>
        <w:spacing w:before="0"/>
        <w:rPr>
          <w:rFonts w:cs="Arial"/>
          <w:szCs w:val="24"/>
          <w:lang w:eastAsia="en-US"/>
        </w:rPr>
      </w:pPr>
    </w:p>
    <w:bookmarkEnd w:id="79"/>
    <w:bookmarkEnd w:id="83"/>
    <w:p w14:paraId="29A2FEC3" w14:textId="67D26F83" w:rsidR="00DA3799" w:rsidRPr="00A32846" w:rsidRDefault="00DA3799" w:rsidP="00874A98">
      <w:pPr>
        <w:keepNext w:val="0"/>
        <w:numPr>
          <w:ilvl w:val="1"/>
          <w:numId w:val="103"/>
        </w:numPr>
        <w:spacing w:before="0"/>
        <w:ind w:left="851" w:hanging="851"/>
        <w:rPr>
          <w:rFonts w:cs="Arial"/>
          <w:szCs w:val="24"/>
          <w:lang w:eastAsia="en-US"/>
        </w:rPr>
      </w:pPr>
      <w:r w:rsidRPr="00A32846">
        <w:rPr>
          <w:rFonts w:cs="Arial"/>
          <w:szCs w:val="24"/>
          <w:lang w:eastAsia="en-US"/>
        </w:rPr>
        <w:t>Employment land plays an important role in ensuring that there is sufficient land to meet future economic needs of the district</w:t>
      </w:r>
      <w:r w:rsidR="002F3399">
        <w:rPr>
          <w:rFonts w:cs="Arial"/>
          <w:szCs w:val="24"/>
          <w:lang w:eastAsia="en-US"/>
        </w:rPr>
        <w:t xml:space="preserve"> and some wider regional need</w:t>
      </w:r>
      <w:r w:rsidRPr="00A32846">
        <w:rPr>
          <w:rFonts w:cs="Arial"/>
          <w:szCs w:val="24"/>
          <w:lang w:eastAsia="en-US"/>
        </w:rPr>
        <w:t>.</w:t>
      </w:r>
      <w:r w:rsidR="003D7F3B" w:rsidRPr="00A32846">
        <w:rPr>
          <w:rFonts w:cs="Arial"/>
          <w:szCs w:val="24"/>
          <w:lang w:eastAsia="en-US"/>
        </w:rPr>
        <w:t xml:space="preserve">  A framework for protecting employment land is important for a number of reasons including:</w:t>
      </w:r>
    </w:p>
    <w:p w14:paraId="31FFF753" w14:textId="71AADDFA" w:rsidR="00DA3799" w:rsidRPr="00A32846" w:rsidRDefault="00DA3799" w:rsidP="00F11936">
      <w:pPr>
        <w:keepNext w:val="0"/>
        <w:spacing w:before="0"/>
        <w:ind w:left="460"/>
        <w:rPr>
          <w:rFonts w:cs="Arial"/>
          <w:szCs w:val="24"/>
          <w:lang w:eastAsia="en-US"/>
        </w:rPr>
      </w:pPr>
    </w:p>
    <w:p w14:paraId="0A457AA0" w14:textId="01F46269" w:rsidR="003D7F3B" w:rsidRPr="003C7E62" w:rsidRDefault="00DA3799" w:rsidP="00874A98">
      <w:pPr>
        <w:pStyle w:val="ListParagraph"/>
        <w:numPr>
          <w:ilvl w:val="0"/>
          <w:numId w:val="100"/>
        </w:numPr>
        <w:spacing w:after="0" w:line="240" w:lineRule="auto"/>
        <w:rPr>
          <w:rFonts w:ascii="Arial" w:hAnsi="Arial" w:cs="Arial"/>
          <w:color w:val="auto"/>
          <w:szCs w:val="24"/>
        </w:rPr>
      </w:pPr>
      <w:r w:rsidRPr="00A32846">
        <w:rPr>
          <w:rFonts w:ascii="Arial" w:hAnsi="Arial" w:cs="Arial"/>
          <w:szCs w:val="24"/>
        </w:rPr>
        <w:t xml:space="preserve">Viability – </w:t>
      </w:r>
      <w:r w:rsidR="005D25F5" w:rsidRPr="00A32846">
        <w:rPr>
          <w:rFonts w:ascii="Arial" w:hAnsi="Arial" w:cs="Arial"/>
          <w:szCs w:val="24"/>
        </w:rPr>
        <w:t xml:space="preserve">There </w:t>
      </w:r>
      <w:r w:rsidR="003D6694" w:rsidRPr="00A32846">
        <w:rPr>
          <w:rFonts w:ascii="Arial" w:hAnsi="Arial" w:cs="Arial"/>
          <w:szCs w:val="24"/>
        </w:rPr>
        <w:t xml:space="preserve">has traditionally been </w:t>
      </w:r>
      <w:r w:rsidR="005D25F5" w:rsidRPr="00A32846">
        <w:rPr>
          <w:rFonts w:ascii="Arial" w:hAnsi="Arial" w:cs="Arial"/>
          <w:szCs w:val="24"/>
        </w:rPr>
        <w:t xml:space="preserve">the potential for employment land to be lost to the </w:t>
      </w:r>
      <w:r w:rsidRPr="00A32846">
        <w:rPr>
          <w:rFonts w:ascii="Arial" w:hAnsi="Arial" w:cs="Arial"/>
          <w:szCs w:val="24"/>
        </w:rPr>
        <w:t xml:space="preserve">higher values of residential or retail </w:t>
      </w:r>
      <w:r w:rsidRPr="003C7E62">
        <w:rPr>
          <w:rFonts w:ascii="Arial" w:hAnsi="Arial" w:cs="Arial"/>
          <w:color w:val="auto"/>
          <w:szCs w:val="24"/>
        </w:rPr>
        <w:t xml:space="preserve">uses.  </w:t>
      </w:r>
    </w:p>
    <w:p w14:paraId="29A1348E" w14:textId="4286AF68" w:rsidR="003D7F3B" w:rsidRPr="003C7E62" w:rsidRDefault="003D7F3B" w:rsidP="00874A98">
      <w:pPr>
        <w:pStyle w:val="ListParagraph"/>
        <w:numPr>
          <w:ilvl w:val="0"/>
          <w:numId w:val="100"/>
        </w:numPr>
        <w:spacing w:after="0" w:line="240" w:lineRule="auto"/>
        <w:rPr>
          <w:rFonts w:ascii="Arial" w:hAnsi="Arial" w:cs="Arial"/>
          <w:color w:val="auto"/>
          <w:szCs w:val="24"/>
        </w:rPr>
      </w:pPr>
      <w:r w:rsidRPr="003C7E62">
        <w:rPr>
          <w:rFonts w:ascii="Arial" w:hAnsi="Arial" w:cs="Arial"/>
          <w:color w:val="auto"/>
          <w:szCs w:val="24"/>
        </w:rPr>
        <w:t xml:space="preserve">Aging stock - </w:t>
      </w:r>
      <w:r w:rsidR="00DA3799" w:rsidRPr="003C7E62">
        <w:rPr>
          <w:rFonts w:ascii="Arial" w:hAnsi="Arial" w:cs="Arial"/>
          <w:color w:val="auto"/>
          <w:szCs w:val="24"/>
        </w:rPr>
        <w:t xml:space="preserve">It is important that </w:t>
      </w:r>
      <w:r w:rsidR="0095363C" w:rsidRPr="003C7E62">
        <w:rPr>
          <w:rFonts w:ascii="Arial" w:hAnsi="Arial" w:cs="Arial"/>
          <w:color w:val="auto"/>
          <w:szCs w:val="24"/>
        </w:rPr>
        <w:t xml:space="preserve">any </w:t>
      </w:r>
      <w:r w:rsidR="005D25F5" w:rsidRPr="003C7E62">
        <w:rPr>
          <w:rFonts w:ascii="Arial" w:hAnsi="Arial" w:cs="Arial"/>
          <w:color w:val="auto"/>
          <w:szCs w:val="24"/>
        </w:rPr>
        <w:t xml:space="preserve">substantial areas of </w:t>
      </w:r>
      <w:r w:rsidRPr="003C7E62">
        <w:rPr>
          <w:rFonts w:ascii="Arial" w:hAnsi="Arial" w:cs="Arial"/>
          <w:color w:val="auto"/>
          <w:szCs w:val="24"/>
        </w:rPr>
        <w:t>older stock is not lost to non</w:t>
      </w:r>
      <w:r w:rsidR="00A32846">
        <w:rPr>
          <w:rFonts w:ascii="Arial" w:hAnsi="Arial" w:cs="Arial"/>
          <w:color w:val="auto"/>
          <w:szCs w:val="24"/>
        </w:rPr>
        <w:t>-</w:t>
      </w:r>
      <w:r w:rsidRPr="003C7E62">
        <w:rPr>
          <w:rFonts w:ascii="Arial" w:hAnsi="Arial" w:cs="Arial"/>
          <w:color w:val="auto"/>
          <w:szCs w:val="24"/>
        </w:rPr>
        <w:t xml:space="preserve">employment uses rather than being redeveloped for employment purposes. </w:t>
      </w:r>
    </w:p>
    <w:p w14:paraId="16696C61" w14:textId="621D4D42" w:rsidR="003D7F3B" w:rsidRPr="003C7E62" w:rsidRDefault="00DA3799" w:rsidP="00874A98">
      <w:pPr>
        <w:pStyle w:val="ListParagraph"/>
        <w:numPr>
          <w:ilvl w:val="0"/>
          <w:numId w:val="100"/>
        </w:numPr>
        <w:spacing w:after="0" w:line="240" w:lineRule="auto"/>
        <w:rPr>
          <w:rFonts w:ascii="Arial" w:hAnsi="Arial" w:cs="Arial"/>
          <w:color w:val="auto"/>
          <w:szCs w:val="24"/>
        </w:rPr>
      </w:pPr>
      <w:r w:rsidRPr="003C7E62">
        <w:rPr>
          <w:rFonts w:ascii="Arial" w:hAnsi="Arial" w:cs="Arial"/>
          <w:color w:val="auto"/>
          <w:szCs w:val="24"/>
        </w:rPr>
        <w:t xml:space="preserve">Permitted Development Rights (PDRs) – </w:t>
      </w:r>
      <w:r w:rsidR="003D7F3B" w:rsidRPr="003C7E62">
        <w:rPr>
          <w:rFonts w:ascii="Arial" w:hAnsi="Arial" w:cs="Arial"/>
          <w:color w:val="auto"/>
          <w:szCs w:val="24"/>
        </w:rPr>
        <w:t>There are potential implication</w:t>
      </w:r>
      <w:r w:rsidR="009831A5" w:rsidRPr="003C7E62">
        <w:rPr>
          <w:rFonts w:ascii="Arial" w:hAnsi="Arial" w:cs="Arial"/>
          <w:color w:val="auto"/>
          <w:szCs w:val="24"/>
        </w:rPr>
        <w:t>s</w:t>
      </w:r>
      <w:r w:rsidR="003D7F3B" w:rsidRPr="003C7E62">
        <w:rPr>
          <w:rFonts w:ascii="Arial" w:hAnsi="Arial" w:cs="Arial"/>
          <w:color w:val="auto"/>
          <w:szCs w:val="24"/>
        </w:rPr>
        <w:t xml:space="preserve"> regarding employment premises </w:t>
      </w:r>
      <w:r w:rsidR="009831A5" w:rsidRPr="003C7E62">
        <w:rPr>
          <w:rFonts w:ascii="Arial" w:hAnsi="Arial" w:cs="Arial"/>
          <w:color w:val="auto"/>
          <w:szCs w:val="24"/>
        </w:rPr>
        <w:t>being permitted</w:t>
      </w:r>
      <w:r w:rsidR="003D7F3B" w:rsidRPr="003C7E62">
        <w:rPr>
          <w:rFonts w:ascii="Arial" w:hAnsi="Arial" w:cs="Arial"/>
          <w:color w:val="auto"/>
          <w:szCs w:val="24"/>
        </w:rPr>
        <w:t xml:space="preserve"> to residential use.  </w:t>
      </w:r>
    </w:p>
    <w:p w14:paraId="6F8302D9" w14:textId="1929CA73" w:rsidR="00DA3799" w:rsidRPr="00E3260E" w:rsidRDefault="003D7F3B" w:rsidP="00874A98">
      <w:pPr>
        <w:pStyle w:val="ListParagraph"/>
        <w:numPr>
          <w:ilvl w:val="0"/>
          <w:numId w:val="100"/>
        </w:numPr>
        <w:spacing w:after="0" w:line="240" w:lineRule="auto"/>
        <w:rPr>
          <w:rFonts w:ascii="Arial" w:hAnsi="Arial" w:cs="Arial"/>
          <w:color w:val="auto"/>
          <w:szCs w:val="24"/>
        </w:rPr>
      </w:pPr>
      <w:r w:rsidRPr="003C7E62">
        <w:rPr>
          <w:rFonts w:ascii="Arial" w:hAnsi="Arial" w:cs="Arial"/>
          <w:color w:val="auto"/>
          <w:szCs w:val="24"/>
        </w:rPr>
        <w:t>Conflict between uses - R</w:t>
      </w:r>
      <w:r w:rsidR="00DA3799" w:rsidRPr="003C7E62">
        <w:rPr>
          <w:rFonts w:ascii="Arial" w:hAnsi="Arial" w:cs="Arial"/>
          <w:color w:val="auto"/>
          <w:szCs w:val="24"/>
        </w:rPr>
        <w:t xml:space="preserve">esidential development in inappropriate areas </w:t>
      </w:r>
      <w:r w:rsidRPr="003C7E62">
        <w:rPr>
          <w:rFonts w:ascii="Arial" w:hAnsi="Arial" w:cs="Arial"/>
          <w:color w:val="auto"/>
          <w:szCs w:val="24"/>
        </w:rPr>
        <w:t xml:space="preserve">may </w:t>
      </w:r>
      <w:r w:rsidR="00DA3799" w:rsidRPr="00E3260E">
        <w:rPr>
          <w:rFonts w:ascii="Arial" w:hAnsi="Arial" w:cs="Arial"/>
          <w:color w:val="auto"/>
          <w:szCs w:val="24"/>
        </w:rPr>
        <w:t>threaten the ongoing use of surrounding areas for employment uses.</w:t>
      </w:r>
    </w:p>
    <w:p w14:paraId="14712DF0" w14:textId="77777777" w:rsidR="003D7F3B" w:rsidRPr="00E3260E" w:rsidRDefault="003D7F3B" w:rsidP="00F11936">
      <w:pPr>
        <w:keepNext w:val="0"/>
        <w:spacing w:before="0"/>
        <w:ind w:left="460"/>
        <w:rPr>
          <w:rFonts w:cs="Arial"/>
          <w:color w:val="auto"/>
          <w:szCs w:val="24"/>
          <w:lang w:eastAsia="en-US"/>
        </w:rPr>
      </w:pPr>
    </w:p>
    <w:p w14:paraId="213498A4" w14:textId="79D08FD6" w:rsidR="009831A5" w:rsidRPr="00E3260E" w:rsidRDefault="003D7F3B" w:rsidP="00E357C3">
      <w:pPr>
        <w:pStyle w:val="ListParagraph"/>
        <w:spacing w:after="0" w:line="240" w:lineRule="auto"/>
        <w:ind w:left="851"/>
        <w:rPr>
          <w:rFonts w:ascii="Arial" w:hAnsi="Arial" w:cs="Arial"/>
          <w:color w:val="auto"/>
          <w:szCs w:val="24"/>
        </w:rPr>
      </w:pPr>
      <w:r w:rsidRPr="00E3260E">
        <w:rPr>
          <w:rFonts w:ascii="Arial" w:eastAsia="Arial" w:hAnsi="Arial" w:cs="Arial"/>
          <w:color w:val="auto"/>
        </w:rPr>
        <w:t xml:space="preserve">The </w:t>
      </w:r>
      <w:r w:rsidR="009831A5" w:rsidRPr="00E3260E">
        <w:rPr>
          <w:rFonts w:ascii="Arial" w:eastAsia="Arial" w:hAnsi="Arial" w:cs="Arial"/>
          <w:color w:val="auto"/>
        </w:rPr>
        <w:t>Key Employment Areas</w:t>
      </w:r>
      <w:r w:rsidRPr="00E3260E">
        <w:rPr>
          <w:rFonts w:ascii="Arial" w:eastAsia="Arial" w:hAnsi="Arial" w:cs="Arial"/>
          <w:color w:val="auto"/>
        </w:rPr>
        <w:t xml:space="preserve"> </w:t>
      </w:r>
      <w:r w:rsidR="005D25F5" w:rsidRPr="00E3260E">
        <w:rPr>
          <w:rFonts w:ascii="Arial" w:eastAsia="Arial" w:hAnsi="Arial" w:cs="Arial"/>
          <w:color w:val="auto"/>
        </w:rPr>
        <w:t xml:space="preserve">in the policy reflect that the </w:t>
      </w:r>
      <w:r w:rsidRPr="00E3260E">
        <w:rPr>
          <w:rFonts w:ascii="Arial" w:eastAsia="Arial" w:hAnsi="Arial" w:cs="Arial"/>
          <w:color w:val="auto"/>
        </w:rPr>
        <w:t>ELNS identifie</w:t>
      </w:r>
      <w:r w:rsidR="00175900" w:rsidRPr="00E3260E">
        <w:rPr>
          <w:rFonts w:ascii="Arial" w:eastAsia="Arial" w:hAnsi="Arial" w:cs="Arial"/>
          <w:color w:val="auto"/>
        </w:rPr>
        <w:t>s</w:t>
      </w:r>
      <w:r w:rsidR="005D25F5" w:rsidRPr="00E3260E">
        <w:rPr>
          <w:rFonts w:ascii="Arial" w:eastAsia="Arial" w:hAnsi="Arial" w:cs="Arial"/>
          <w:color w:val="auto"/>
        </w:rPr>
        <w:t xml:space="preserve"> </w:t>
      </w:r>
      <w:r w:rsidRPr="00E3260E">
        <w:rPr>
          <w:rFonts w:ascii="Arial" w:eastAsia="Arial" w:hAnsi="Arial" w:cs="Arial"/>
          <w:color w:val="auto"/>
        </w:rPr>
        <w:t xml:space="preserve">a number of employment </w:t>
      </w:r>
      <w:r w:rsidR="005D25F5" w:rsidRPr="00E3260E">
        <w:rPr>
          <w:rFonts w:ascii="Arial" w:eastAsia="Arial" w:hAnsi="Arial" w:cs="Arial"/>
          <w:color w:val="auto"/>
        </w:rPr>
        <w:t xml:space="preserve">areas that </w:t>
      </w:r>
      <w:r w:rsidRPr="00E3260E">
        <w:rPr>
          <w:rFonts w:ascii="Arial" w:eastAsia="Arial" w:hAnsi="Arial" w:cs="Arial"/>
          <w:color w:val="auto"/>
        </w:rPr>
        <w:t>continue</w:t>
      </w:r>
      <w:r w:rsidR="009831A5" w:rsidRPr="00E3260E">
        <w:rPr>
          <w:rFonts w:ascii="Arial" w:eastAsia="Arial" w:hAnsi="Arial" w:cs="Arial"/>
          <w:color w:val="auto"/>
        </w:rPr>
        <w:t xml:space="preserve"> </w:t>
      </w:r>
      <w:r w:rsidRPr="00E3260E">
        <w:rPr>
          <w:rFonts w:ascii="Arial" w:eastAsia="Arial" w:hAnsi="Arial" w:cs="Arial"/>
          <w:color w:val="auto"/>
        </w:rPr>
        <w:t>to play an important role in the local economy</w:t>
      </w:r>
      <w:r w:rsidR="009831A5" w:rsidRPr="00E3260E">
        <w:rPr>
          <w:rFonts w:ascii="Arial" w:eastAsia="Arial" w:hAnsi="Arial" w:cs="Arial"/>
          <w:color w:val="auto"/>
        </w:rPr>
        <w:t xml:space="preserve"> and it is </w:t>
      </w:r>
      <w:r w:rsidRPr="00E3260E">
        <w:rPr>
          <w:rFonts w:ascii="Arial" w:eastAsia="Arial" w:hAnsi="Arial" w:cs="Arial"/>
          <w:color w:val="auto"/>
        </w:rPr>
        <w:t xml:space="preserve">recommended that they should </w:t>
      </w:r>
      <w:r w:rsidR="009831A5" w:rsidRPr="00E3260E">
        <w:rPr>
          <w:rFonts w:ascii="Arial" w:eastAsia="Arial" w:hAnsi="Arial" w:cs="Arial"/>
          <w:color w:val="auto"/>
        </w:rPr>
        <w:t>be</w:t>
      </w:r>
      <w:r w:rsidRPr="00E3260E">
        <w:rPr>
          <w:rFonts w:ascii="Arial" w:eastAsia="Arial" w:hAnsi="Arial" w:cs="Arial"/>
          <w:color w:val="auto"/>
        </w:rPr>
        <w:t xml:space="preserve"> protect</w:t>
      </w:r>
      <w:r w:rsidR="009831A5" w:rsidRPr="00E3260E">
        <w:rPr>
          <w:rFonts w:ascii="Arial" w:eastAsia="Arial" w:hAnsi="Arial" w:cs="Arial"/>
          <w:color w:val="auto"/>
        </w:rPr>
        <w:t>ed</w:t>
      </w:r>
      <w:r w:rsidRPr="00E3260E">
        <w:rPr>
          <w:rFonts w:ascii="Arial" w:eastAsia="Arial" w:hAnsi="Arial" w:cs="Arial"/>
          <w:color w:val="auto"/>
        </w:rPr>
        <w:t xml:space="preserve"> to retain their use for employment purposes.</w:t>
      </w:r>
      <w:r w:rsidR="009831A5" w:rsidRPr="00E3260E">
        <w:rPr>
          <w:rFonts w:ascii="Arial" w:eastAsia="Arial" w:hAnsi="Arial" w:cs="Arial"/>
          <w:color w:val="auto"/>
        </w:rPr>
        <w:t xml:space="preserve"> </w:t>
      </w:r>
    </w:p>
    <w:p w14:paraId="512AF0CA" w14:textId="77777777" w:rsidR="009831A5" w:rsidRPr="00E3260E" w:rsidRDefault="009831A5" w:rsidP="00F11936">
      <w:pPr>
        <w:pStyle w:val="ListParagraph"/>
        <w:spacing w:after="0" w:line="240" w:lineRule="auto"/>
        <w:ind w:left="460"/>
        <w:rPr>
          <w:rFonts w:ascii="Arial" w:hAnsi="Arial" w:cs="Arial"/>
          <w:color w:val="auto"/>
          <w:szCs w:val="24"/>
        </w:rPr>
      </w:pPr>
    </w:p>
    <w:p w14:paraId="0AB72089" w14:textId="1E8EBE59" w:rsidR="00743F63" w:rsidRPr="003C7E62" w:rsidRDefault="00316569" w:rsidP="00874A98">
      <w:pPr>
        <w:pStyle w:val="ListParagraph"/>
        <w:numPr>
          <w:ilvl w:val="1"/>
          <w:numId w:val="103"/>
        </w:numPr>
        <w:spacing w:after="0" w:line="240" w:lineRule="auto"/>
        <w:ind w:left="851" w:hanging="851"/>
        <w:rPr>
          <w:rFonts w:ascii="Arial" w:hAnsi="Arial" w:cs="Arial"/>
          <w:color w:val="auto"/>
          <w:szCs w:val="24"/>
        </w:rPr>
      </w:pPr>
      <w:r w:rsidRPr="003C7E62">
        <w:rPr>
          <w:rFonts w:ascii="Arial" w:eastAsia="Calibri" w:hAnsi="Arial" w:cs="Arial"/>
          <w:color w:val="auto"/>
          <w:szCs w:val="24"/>
        </w:rPr>
        <w:t xml:space="preserve">The local economy of the District is faced with a number of issues related to low paid and lower quality employment opportunities, a shortage of skills and qualifications, and a need to create economic diversity to minimise the reliance on the manufacturing sector. </w:t>
      </w:r>
      <w:r w:rsidR="00E876F5" w:rsidRPr="003C7E62">
        <w:rPr>
          <w:rFonts w:ascii="Arial" w:hAnsi="Arial" w:cs="Arial"/>
          <w:color w:val="auto"/>
          <w:szCs w:val="24"/>
        </w:rPr>
        <w:t xml:space="preserve">High levels of deprivation remain within Ashfield; with areas ranked in the top 10% and top 20% of most deprived areas in the country.  </w:t>
      </w:r>
      <w:r w:rsidR="00E876F5" w:rsidRPr="00A32846">
        <w:rPr>
          <w:rFonts w:ascii="Arial" w:hAnsi="Arial" w:cs="Arial"/>
          <w:szCs w:val="24"/>
        </w:rPr>
        <w:t xml:space="preserve">The 2019 </w:t>
      </w:r>
      <w:r w:rsidR="002D7365" w:rsidRPr="00A32846">
        <w:rPr>
          <w:rFonts w:ascii="Arial" w:hAnsi="Arial" w:cs="Arial"/>
          <w:szCs w:val="24"/>
        </w:rPr>
        <w:t>ONS Indices of Multiple Deprivation (</w:t>
      </w:r>
      <w:r w:rsidR="00E876F5" w:rsidRPr="00A32846">
        <w:rPr>
          <w:rFonts w:ascii="Arial" w:hAnsi="Arial" w:cs="Arial"/>
          <w:szCs w:val="24"/>
        </w:rPr>
        <w:t>IMD</w:t>
      </w:r>
      <w:r w:rsidR="002D7365" w:rsidRPr="00A32846">
        <w:rPr>
          <w:rFonts w:ascii="Arial" w:hAnsi="Arial" w:cs="Arial"/>
          <w:szCs w:val="24"/>
        </w:rPr>
        <w:t>)</w:t>
      </w:r>
      <w:r w:rsidR="00E876F5" w:rsidRPr="00A32846">
        <w:rPr>
          <w:rFonts w:ascii="Arial" w:hAnsi="Arial" w:cs="Arial"/>
          <w:szCs w:val="24"/>
        </w:rPr>
        <w:t xml:space="preserve"> </w:t>
      </w:r>
      <w:r w:rsidR="00175900" w:rsidRPr="00A32846">
        <w:rPr>
          <w:rFonts w:ascii="Arial" w:hAnsi="Arial" w:cs="Arial"/>
          <w:szCs w:val="24"/>
        </w:rPr>
        <w:t>ranks Ashfield as the 63</w:t>
      </w:r>
      <w:r w:rsidR="00175900" w:rsidRPr="00A32846">
        <w:rPr>
          <w:rFonts w:ascii="Arial" w:hAnsi="Arial" w:cs="Arial"/>
          <w:szCs w:val="24"/>
          <w:vertAlign w:val="superscript"/>
        </w:rPr>
        <w:t>rd</w:t>
      </w:r>
      <w:r w:rsidR="00175900" w:rsidRPr="00A32846">
        <w:rPr>
          <w:rFonts w:ascii="Arial" w:hAnsi="Arial" w:cs="Arial"/>
          <w:szCs w:val="24"/>
        </w:rPr>
        <w:t xml:space="preserve"> most deprived local authority in England</w:t>
      </w:r>
      <w:r w:rsidR="00175900" w:rsidRPr="00A32846">
        <w:rPr>
          <w:rStyle w:val="FootnoteReference"/>
          <w:rFonts w:ascii="Arial" w:hAnsi="Arial" w:cs="Arial"/>
          <w:szCs w:val="24"/>
        </w:rPr>
        <w:footnoteReference w:id="68"/>
      </w:r>
      <w:r w:rsidR="00175900" w:rsidRPr="00A32846">
        <w:rPr>
          <w:rFonts w:ascii="Arial" w:hAnsi="Arial" w:cs="Arial"/>
          <w:szCs w:val="24"/>
        </w:rPr>
        <w:t xml:space="preserve">.  </w:t>
      </w:r>
      <w:r w:rsidRPr="00A32846">
        <w:rPr>
          <w:rFonts w:ascii="Arial" w:eastAsia="Calibri" w:hAnsi="Arial" w:cs="Arial"/>
          <w:szCs w:val="24"/>
        </w:rPr>
        <w:t xml:space="preserve">A key message from the </w:t>
      </w:r>
      <w:r w:rsidR="005D25F5" w:rsidRPr="00A32846">
        <w:rPr>
          <w:rFonts w:ascii="Arial" w:eastAsia="Calibri" w:hAnsi="Arial" w:cs="Arial"/>
          <w:szCs w:val="24"/>
        </w:rPr>
        <w:t xml:space="preserve">Ashfield and Mansfield - A Plan for Growth 2016 (Joint Economic Masterplan Update) is </w:t>
      </w:r>
      <w:r w:rsidRPr="00A32846">
        <w:rPr>
          <w:rFonts w:ascii="Arial" w:eastAsia="Calibri" w:hAnsi="Arial" w:cs="Arial"/>
          <w:szCs w:val="24"/>
        </w:rPr>
        <w:t>that to maximise the ability of the labour supply to drive growth, it is vital that opportunities are open to all to be economically active, through access to education, training and employment</w:t>
      </w:r>
      <w:r w:rsidRPr="003C7E62">
        <w:rPr>
          <w:rFonts w:ascii="Arial" w:eastAsia="Calibri" w:hAnsi="Arial" w:cs="Arial"/>
          <w:color w:val="auto"/>
          <w:szCs w:val="24"/>
        </w:rPr>
        <w:t xml:space="preserve">.  The Council is committed to supporting opportunities which assist with the </w:t>
      </w:r>
      <w:r w:rsidR="00BC0E0A" w:rsidRPr="003C7E62">
        <w:rPr>
          <w:rFonts w:ascii="Arial" w:eastAsia="Calibri" w:hAnsi="Arial" w:cs="Arial"/>
          <w:color w:val="auto"/>
          <w:szCs w:val="24"/>
        </w:rPr>
        <w:t>long-term</w:t>
      </w:r>
      <w:r w:rsidRPr="003C7E62">
        <w:rPr>
          <w:rFonts w:ascii="Arial" w:eastAsia="Calibri" w:hAnsi="Arial" w:cs="Arial"/>
          <w:color w:val="auto"/>
          <w:szCs w:val="24"/>
        </w:rPr>
        <w:t xml:space="preserve"> re-skilling of the Ashfield workforce which is necessary to ensure the presence of a highly-skilled labour pool to take advantage of new jobs across the District.</w:t>
      </w:r>
    </w:p>
    <w:p w14:paraId="182D0A4B" w14:textId="77777777" w:rsidR="00AC4BA4" w:rsidRDefault="00AC4BA4" w:rsidP="00AC4BA4">
      <w:pPr>
        <w:pStyle w:val="ListParagraph"/>
        <w:spacing w:after="0" w:line="240" w:lineRule="auto"/>
        <w:rPr>
          <w:rFonts w:cs="Arial"/>
          <w:color w:val="auto"/>
          <w:szCs w:val="24"/>
        </w:rPr>
      </w:pPr>
    </w:p>
    <w:p w14:paraId="1EC8503A" w14:textId="65291C65" w:rsidR="00614042" w:rsidRPr="00C23246" w:rsidRDefault="00614042" w:rsidP="00874A98">
      <w:pPr>
        <w:keepNext w:val="0"/>
        <w:numPr>
          <w:ilvl w:val="1"/>
          <w:numId w:val="103"/>
        </w:numPr>
        <w:spacing w:before="0"/>
        <w:ind w:left="851" w:hanging="851"/>
        <w:rPr>
          <w:rFonts w:cs="Arial"/>
          <w:color w:val="auto"/>
          <w:szCs w:val="24"/>
          <w:lang w:eastAsia="en-US"/>
        </w:rPr>
      </w:pPr>
      <w:r w:rsidRPr="00C23246">
        <w:rPr>
          <w:rFonts w:cs="Arial"/>
          <w:color w:val="auto"/>
          <w:szCs w:val="24"/>
          <w:lang w:eastAsia="en-US"/>
        </w:rPr>
        <w:t>The reopening of the Maid Marian Line and an additional station platform on the Robin Hood Line provides opportunities to facilitate economic development.  There are a significant number of small to medium sized businesses registered in the rural areas, particularly Selston.</w:t>
      </w:r>
      <w:r w:rsidR="00E357C3">
        <w:rPr>
          <w:rFonts w:cs="Arial"/>
          <w:color w:val="auto"/>
          <w:szCs w:val="24"/>
          <w:lang w:eastAsia="en-US"/>
        </w:rPr>
        <w:t xml:space="preserve"> </w:t>
      </w:r>
      <w:r w:rsidRPr="00C23246">
        <w:rPr>
          <w:rFonts w:cs="Arial"/>
          <w:color w:val="auto"/>
          <w:szCs w:val="24"/>
          <w:lang w:eastAsia="en-US"/>
        </w:rPr>
        <w:t xml:space="preserve">The reopening of the Maid Marian Line with a station platform in the rural area would provide significantly improved access to wider business markets. </w:t>
      </w:r>
    </w:p>
    <w:p w14:paraId="7143B350" w14:textId="4D43029E" w:rsidR="00614042" w:rsidRPr="00C23246" w:rsidRDefault="00614042" w:rsidP="00614042">
      <w:pPr>
        <w:keepNext w:val="0"/>
        <w:spacing w:before="0"/>
        <w:ind w:left="851"/>
        <w:rPr>
          <w:rFonts w:cs="Arial"/>
          <w:color w:val="auto"/>
          <w:szCs w:val="24"/>
          <w:lang w:eastAsia="en-US"/>
        </w:rPr>
      </w:pPr>
      <w:r w:rsidRPr="00C23246">
        <w:rPr>
          <w:rFonts w:cs="Arial"/>
          <w:color w:val="auto"/>
          <w:szCs w:val="24"/>
          <w:lang w:eastAsia="en-US"/>
        </w:rPr>
        <w:t xml:space="preserve">  </w:t>
      </w:r>
    </w:p>
    <w:p w14:paraId="0C4E3902" w14:textId="48644708" w:rsidR="00614042" w:rsidRPr="00E357C3" w:rsidRDefault="00614042" w:rsidP="00874A98">
      <w:pPr>
        <w:keepNext w:val="0"/>
        <w:numPr>
          <w:ilvl w:val="1"/>
          <w:numId w:val="103"/>
        </w:numPr>
        <w:spacing w:before="0"/>
        <w:ind w:left="851" w:hanging="851"/>
        <w:rPr>
          <w:rFonts w:cs="Arial"/>
          <w:strike/>
          <w:color w:val="auto"/>
          <w:szCs w:val="24"/>
          <w:lang w:eastAsia="en-US"/>
        </w:rPr>
      </w:pPr>
      <w:r w:rsidRPr="00C23246">
        <w:rPr>
          <w:rFonts w:cs="Arial"/>
          <w:color w:val="auto"/>
          <w:szCs w:val="24"/>
          <w:lang w:eastAsia="en-US"/>
        </w:rPr>
        <w:t>The new journey opportunities provided by a Maid Marian Line service would enable residents of Ashfield, Mansfield and Bolsover much improved access to leisure and tourism opportunities by interchanging with longer distance services.  The potential opening of a new station platform at Kings Mill would provide opportunities to access the amenities around the reservoir which are currently being enhanced by a £1.45 million Heritage Lottery funded project. It would also facilitate access to Summit Park</w:t>
      </w:r>
      <w:r w:rsidR="00556C94">
        <w:rPr>
          <w:rFonts w:cs="Arial"/>
          <w:color w:val="auto"/>
          <w:szCs w:val="24"/>
          <w:lang w:eastAsia="en-US"/>
        </w:rPr>
        <w:t>,</w:t>
      </w:r>
      <w:r w:rsidRPr="00C23246">
        <w:rPr>
          <w:rFonts w:cs="Arial"/>
          <w:color w:val="auto"/>
          <w:szCs w:val="24"/>
          <w:lang w:eastAsia="en-US"/>
        </w:rPr>
        <w:t xml:space="preserve"> occupied by a major warehousing development providing up to </w:t>
      </w:r>
      <w:r w:rsidR="00556C94">
        <w:rPr>
          <w:rFonts w:cs="Arial"/>
          <w:color w:val="auto"/>
          <w:szCs w:val="24"/>
          <w:lang w:eastAsia="en-US"/>
        </w:rPr>
        <w:t>2</w:t>
      </w:r>
      <w:r w:rsidRPr="00C23246">
        <w:rPr>
          <w:rFonts w:cs="Arial"/>
          <w:color w:val="auto"/>
          <w:szCs w:val="24"/>
          <w:lang w:eastAsia="en-US"/>
        </w:rPr>
        <w:t>,</w:t>
      </w:r>
      <w:r w:rsidR="00556C94">
        <w:rPr>
          <w:rFonts w:cs="Arial"/>
          <w:color w:val="auto"/>
          <w:szCs w:val="24"/>
          <w:lang w:eastAsia="en-US"/>
        </w:rPr>
        <w:t>0</w:t>
      </w:r>
      <w:r w:rsidRPr="00C23246">
        <w:rPr>
          <w:rFonts w:cs="Arial"/>
          <w:color w:val="auto"/>
          <w:szCs w:val="24"/>
          <w:lang w:eastAsia="en-US"/>
        </w:rPr>
        <w:t xml:space="preserve">00 jobs, to Oakham Business Park and Kings Mill Hospital, the largest employer in Ashfield. </w:t>
      </w:r>
      <w:bookmarkStart w:id="85" w:name="_Hlk79739095"/>
      <w:r w:rsidRPr="00E357C3">
        <w:rPr>
          <w:rFonts w:cs="Arial"/>
          <w:color w:val="auto"/>
          <w:szCs w:val="24"/>
          <w:lang w:eastAsia="en-US"/>
        </w:rPr>
        <w:t xml:space="preserve">New journey opportunities would be available to improve access to education and training opportunities in Ashfield, Bolsover and Mansfield which are due to be enhanced by Ashfield’s Towns Fund award, which including plans for a new </w:t>
      </w:r>
      <w:r w:rsidRPr="00CB6138">
        <w:rPr>
          <w:rFonts w:cs="Arial"/>
          <w:color w:val="auto"/>
          <w:szCs w:val="24"/>
          <w:lang w:eastAsia="en-US"/>
        </w:rPr>
        <w:t>regional Automated</w:t>
      </w:r>
      <w:r w:rsidRPr="00E357C3">
        <w:rPr>
          <w:rFonts w:cs="Arial"/>
          <w:color w:val="auto"/>
          <w:szCs w:val="24"/>
          <w:lang w:eastAsia="en-US"/>
        </w:rPr>
        <w:t xml:space="preserve"> Distribution and Manufacturing Centre (ADMC) creating a regional centre of excellence</w:t>
      </w:r>
      <w:r w:rsidR="00C23246" w:rsidRPr="00E357C3">
        <w:rPr>
          <w:rFonts w:cs="Arial"/>
          <w:color w:val="auto"/>
          <w:szCs w:val="24"/>
          <w:lang w:eastAsia="en-US"/>
        </w:rPr>
        <w:t>.  With the support of the County Council this is anticipated to be located close to one of the Stations.</w:t>
      </w:r>
      <w:r w:rsidR="00987F2E" w:rsidRPr="00E357C3">
        <w:rPr>
          <w:rFonts w:cs="Arial"/>
          <w:color w:val="auto"/>
          <w:szCs w:val="24"/>
          <w:lang w:eastAsia="en-US"/>
        </w:rPr>
        <w:t xml:space="preserve"> </w:t>
      </w:r>
      <w:r w:rsidRPr="00E357C3">
        <w:rPr>
          <w:rFonts w:cs="Arial"/>
          <w:color w:val="auto"/>
          <w:szCs w:val="24"/>
          <w:lang w:eastAsia="en-US"/>
        </w:rPr>
        <w:t xml:space="preserve"> </w:t>
      </w:r>
      <w:r w:rsidR="00C23246" w:rsidRPr="00E357C3">
        <w:rPr>
          <w:rFonts w:cs="Arial"/>
          <w:color w:val="auto"/>
          <w:szCs w:val="24"/>
          <w:lang w:eastAsia="en-US"/>
        </w:rPr>
        <w:t xml:space="preserve">Through </w:t>
      </w:r>
      <w:r w:rsidRPr="00E357C3">
        <w:rPr>
          <w:rFonts w:cs="Arial"/>
          <w:color w:val="auto"/>
          <w:szCs w:val="24"/>
          <w:lang w:eastAsia="en-US"/>
        </w:rPr>
        <w:t>Vison West Nottinghamshire Collage and Nottingham Trent University</w:t>
      </w:r>
      <w:r w:rsidR="0080138B" w:rsidRPr="00E357C3">
        <w:rPr>
          <w:rFonts w:cs="Arial"/>
          <w:color w:val="auto"/>
          <w:szCs w:val="24"/>
          <w:lang w:eastAsia="en-US"/>
        </w:rPr>
        <w:t>,</w:t>
      </w:r>
      <w:r w:rsidRPr="00E357C3">
        <w:rPr>
          <w:rFonts w:cs="Arial"/>
          <w:color w:val="auto"/>
          <w:szCs w:val="24"/>
          <w:lang w:eastAsia="en-US"/>
        </w:rPr>
        <w:t xml:space="preserve"> who ha</w:t>
      </w:r>
      <w:r w:rsidR="0080138B" w:rsidRPr="00E357C3">
        <w:rPr>
          <w:rFonts w:cs="Arial"/>
          <w:color w:val="auto"/>
          <w:szCs w:val="24"/>
          <w:lang w:eastAsia="en-US"/>
        </w:rPr>
        <w:t>s</w:t>
      </w:r>
      <w:r w:rsidRPr="00E357C3">
        <w:rPr>
          <w:rFonts w:cs="Arial"/>
          <w:color w:val="auto"/>
          <w:szCs w:val="24"/>
          <w:lang w:eastAsia="en-US"/>
        </w:rPr>
        <w:t xml:space="preserve"> recently opened a campus in Mansfield, a Research &amp; Innovation, and Teaching &amp; Learning “platform” is already under development on which to base the ADMC. This enables the development of a proposition unlikely to have been imagined in the area previously. </w:t>
      </w:r>
    </w:p>
    <w:bookmarkEnd w:id="85"/>
    <w:p w14:paraId="2A82DDD3" w14:textId="77777777" w:rsidR="00C23246" w:rsidRPr="00C23246" w:rsidRDefault="00C23246" w:rsidP="00C23246">
      <w:pPr>
        <w:keepNext w:val="0"/>
        <w:spacing w:before="0"/>
        <w:rPr>
          <w:rFonts w:cs="Arial"/>
          <w:color w:val="auto"/>
          <w:szCs w:val="24"/>
          <w:lang w:eastAsia="en-US"/>
        </w:rPr>
      </w:pPr>
    </w:p>
    <w:p w14:paraId="40DB5863" w14:textId="39DAA6D5" w:rsidR="00614042" w:rsidRPr="00C23246" w:rsidRDefault="00614042" w:rsidP="00874A98">
      <w:pPr>
        <w:keepNext w:val="0"/>
        <w:numPr>
          <w:ilvl w:val="1"/>
          <w:numId w:val="103"/>
        </w:numPr>
        <w:spacing w:before="0"/>
        <w:ind w:left="851" w:hanging="851"/>
        <w:rPr>
          <w:rFonts w:cs="Arial"/>
          <w:color w:val="auto"/>
          <w:szCs w:val="24"/>
          <w:lang w:eastAsia="en-US"/>
        </w:rPr>
      </w:pPr>
      <w:r w:rsidRPr="00C23246">
        <w:rPr>
          <w:rFonts w:cs="Arial"/>
          <w:color w:val="auto"/>
          <w:szCs w:val="24"/>
          <w:lang w:eastAsia="en-US"/>
        </w:rPr>
        <w:t>The Lichfield Maid Marian Rail Extension: Economic Impact Analysis concluded that increased capacity, connectivity and accessibility brought by the Maid Marian Rail Extension would support the delivery of residential and commercial development within the catchments of the four enhanced stations at Mansfield Woodhouse, Mansfield Town, Sutton Parkway and Kirkby-in-Ashfield. It would also benefit employees by allowing them to access a wider range of job opportunities and housing choices; employers by giving them access to a wider labour pool and more accessible locations; and will make the two Districts more attractive to operators through improved services and facilities, and improved retail and leisure offers.  The Station Masterplans build on this economic analysis by identify several development opportunities near Sutton Parkway and Kirkby-in-Ashfield stations on the Robin Hood Line.</w:t>
      </w:r>
    </w:p>
    <w:p w14:paraId="143EFD31" w14:textId="77777777" w:rsidR="00614042" w:rsidRPr="00C23246" w:rsidRDefault="00614042" w:rsidP="00614042">
      <w:pPr>
        <w:keepNext w:val="0"/>
        <w:spacing w:before="0"/>
        <w:ind w:left="851"/>
        <w:rPr>
          <w:rFonts w:cs="Arial"/>
          <w:color w:val="auto"/>
          <w:szCs w:val="24"/>
          <w:lang w:eastAsia="en-US"/>
        </w:rPr>
      </w:pPr>
    </w:p>
    <w:p w14:paraId="37DE5DFA" w14:textId="3E5F0453" w:rsidR="00614042" w:rsidRPr="00C23246" w:rsidRDefault="002F3399" w:rsidP="00874A98">
      <w:pPr>
        <w:keepNext w:val="0"/>
        <w:numPr>
          <w:ilvl w:val="1"/>
          <w:numId w:val="103"/>
        </w:numPr>
        <w:spacing w:before="0"/>
        <w:ind w:left="851" w:hanging="851"/>
        <w:rPr>
          <w:rFonts w:cs="Arial"/>
          <w:color w:val="auto"/>
          <w:szCs w:val="24"/>
          <w:lang w:eastAsia="en-US"/>
        </w:rPr>
      </w:pPr>
      <w:r>
        <w:rPr>
          <w:rFonts w:cs="Arial"/>
          <w:color w:val="auto"/>
          <w:szCs w:val="24"/>
          <w:lang w:eastAsia="en-US"/>
        </w:rPr>
        <w:t>T</w:t>
      </w:r>
      <w:r w:rsidR="00614042" w:rsidRPr="00C23246">
        <w:rPr>
          <w:rFonts w:cs="Arial"/>
          <w:color w:val="auto"/>
          <w:szCs w:val="24"/>
          <w:lang w:eastAsia="en-US"/>
        </w:rPr>
        <w:t>he Maid Marian Line is being developed a</w:t>
      </w:r>
      <w:r w:rsidR="000A5EE8">
        <w:rPr>
          <w:rFonts w:cs="Arial"/>
          <w:color w:val="auto"/>
          <w:szCs w:val="24"/>
          <w:lang w:eastAsia="en-US"/>
        </w:rPr>
        <w:t xml:space="preserve"> </w:t>
      </w:r>
      <w:r w:rsidR="00614042" w:rsidRPr="00C23246">
        <w:rPr>
          <w:rFonts w:cs="Arial"/>
          <w:color w:val="auto"/>
          <w:szCs w:val="24"/>
          <w:lang w:eastAsia="en-US"/>
        </w:rPr>
        <w:t>scheme which will provide greater local connectivity with cross county connections, an alternative route into Nottingham and to Derby and beyond.</w:t>
      </w:r>
      <w:r w:rsidR="000A5EE8" w:rsidRPr="000A5EE8">
        <w:t xml:space="preserve"> </w:t>
      </w:r>
      <w:r w:rsidR="000A5EE8" w:rsidRPr="000A5EE8">
        <w:rPr>
          <w:rFonts w:cs="Arial"/>
          <w:color w:val="auto"/>
          <w:szCs w:val="24"/>
          <w:lang w:eastAsia="en-US"/>
        </w:rPr>
        <w:t xml:space="preserve">There is an opportunity through the Maid Marian Line to improve capacity in the wider strategic rail network.  </w:t>
      </w:r>
      <w:r w:rsidR="00614042" w:rsidRPr="00C23246">
        <w:rPr>
          <w:rFonts w:cs="Arial"/>
          <w:color w:val="auto"/>
          <w:szCs w:val="24"/>
          <w:lang w:eastAsia="en-US"/>
        </w:rPr>
        <w:t xml:space="preserve"> This will support Ashfield’s ambition to be a destination for employment, education, and tourism.</w:t>
      </w:r>
    </w:p>
    <w:p w14:paraId="79189EF5" w14:textId="77777777" w:rsidR="00614042" w:rsidRPr="00614042" w:rsidRDefault="00614042" w:rsidP="00614042">
      <w:pPr>
        <w:keepNext w:val="0"/>
        <w:spacing w:before="0"/>
        <w:ind w:left="851"/>
        <w:rPr>
          <w:rFonts w:cs="Arial"/>
          <w:color w:val="0070C0"/>
          <w:szCs w:val="24"/>
          <w:lang w:eastAsia="en-US"/>
        </w:rPr>
      </w:pPr>
    </w:p>
    <w:p w14:paraId="0F79232B" w14:textId="6AFC5575" w:rsidR="001839AE" w:rsidRPr="00A32846" w:rsidRDefault="001839AE" w:rsidP="00874A98">
      <w:pPr>
        <w:keepNext w:val="0"/>
        <w:numPr>
          <w:ilvl w:val="1"/>
          <w:numId w:val="103"/>
        </w:numPr>
        <w:spacing w:before="0"/>
        <w:ind w:left="851" w:hanging="851"/>
        <w:rPr>
          <w:rFonts w:cs="Arial"/>
          <w:szCs w:val="24"/>
          <w:lang w:eastAsia="en-US"/>
        </w:rPr>
      </w:pPr>
      <w:r w:rsidRPr="00A32846">
        <w:rPr>
          <w:rFonts w:cs="Arial"/>
          <w:szCs w:val="24"/>
          <w:lang w:eastAsia="en-US"/>
        </w:rPr>
        <w:t xml:space="preserve">A key aspect of the Towns Funding received by the Council is the </w:t>
      </w:r>
      <w:r w:rsidRPr="00A32846">
        <w:rPr>
          <w:rFonts w:eastAsia="Arial" w:cs="Arial"/>
        </w:rPr>
        <w:t>Automated Distribution and Manufacturing Centre.  The will create a centre of excellence focused on promoting and providing access to the latest technologies and best practice in automated distribution and improve skills of the local workforce.  It is anticipated to bring other employment opportunities in adjacent land employment allocations.</w:t>
      </w:r>
    </w:p>
    <w:p w14:paraId="0F35DA59" w14:textId="77777777" w:rsidR="001839AE" w:rsidRPr="001839AE" w:rsidRDefault="001839AE" w:rsidP="001839AE">
      <w:pPr>
        <w:keepNext w:val="0"/>
        <w:spacing w:before="0"/>
        <w:rPr>
          <w:rFonts w:cs="Arial"/>
          <w:color w:val="0070C0"/>
          <w:szCs w:val="24"/>
          <w:lang w:eastAsia="en-US"/>
        </w:rPr>
      </w:pPr>
    </w:p>
    <w:p w14:paraId="0DCA8166" w14:textId="1592D6BC" w:rsidR="00BC0E0A" w:rsidRPr="00614042" w:rsidRDefault="00253929" w:rsidP="00874A98">
      <w:pPr>
        <w:keepNext w:val="0"/>
        <w:numPr>
          <w:ilvl w:val="1"/>
          <w:numId w:val="103"/>
        </w:numPr>
        <w:spacing w:before="0"/>
        <w:ind w:left="851" w:hanging="851"/>
        <w:rPr>
          <w:rFonts w:cs="Arial"/>
          <w:color w:val="0070C0"/>
          <w:szCs w:val="24"/>
          <w:lang w:eastAsia="en-US"/>
        </w:rPr>
      </w:pPr>
      <w:r w:rsidRPr="00614042">
        <w:rPr>
          <w:rFonts w:eastAsia="Arial" w:cs="Arial"/>
          <w:color w:val="auto"/>
        </w:rPr>
        <w:t>Working in residential areas and businesses operated from within built-up areas, including residential areas and people’s homes, will be supported, subject to highways, access and amenity considerations.</w:t>
      </w:r>
    </w:p>
    <w:p w14:paraId="2CD2D257" w14:textId="77777777" w:rsidR="00BC0E0A" w:rsidRPr="003C7E62" w:rsidRDefault="00BC0E0A" w:rsidP="00F11936">
      <w:pPr>
        <w:spacing w:before="0"/>
        <w:rPr>
          <w:rFonts w:eastAsia="Calibri" w:cs="Arial"/>
          <w:color w:val="auto"/>
        </w:rPr>
      </w:pPr>
    </w:p>
    <w:p w14:paraId="3A30D529" w14:textId="13AA603E" w:rsidR="0080115E" w:rsidRPr="001012CC" w:rsidRDefault="0095363C" w:rsidP="00874A98">
      <w:pPr>
        <w:keepNext w:val="0"/>
        <w:numPr>
          <w:ilvl w:val="1"/>
          <w:numId w:val="103"/>
        </w:numPr>
        <w:spacing w:before="0"/>
        <w:ind w:left="851" w:hanging="851"/>
        <w:rPr>
          <w:rFonts w:cs="Arial"/>
          <w:szCs w:val="24"/>
          <w:lang w:eastAsia="en-US"/>
        </w:rPr>
      </w:pPr>
      <w:r w:rsidRPr="003C7E62">
        <w:rPr>
          <w:rFonts w:eastAsia="Calibri" w:cs="Arial"/>
          <w:color w:val="auto"/>
          <w:szCs w:val="22"/>
          <w:lang w:eastAsia="en-US"/>
        </w:rPr>
        <w:t>Past evidence has identified that the</w:t>
      </w:r>
      <w:r w:rsidR="004A6EB6" w:rsidRPr="003C7E62">
        <w:rPr>
          <w:rFonts w:eastAsia="Calibri" w:cs="Arial"/>
          <w:color w:val="auto"/>
          <w:szCs w:val="22"/>
          <w:lang w:eastAsia="en-US"/>
        </w:rPr>
        <w:t xml:space="preserve">re </w:t>
      </w:r>
      <w:r w:rsidR="00253929" w:rsidRPr="003C7E62">
        <w:rPr>
          <w:rFonts w:eastAsia="Calibri" w:cs="Arial"/>
          <w:color w:val="auto"/>
          <w:szCs w:val="22"/>
          <w:lang w:eastAsia="en-US"/>
        </w:rPr>
        <w:t xml:space="preserve">have been negative perceptions of Ashfield characterised by the history of coal mining, textiles and heavy industry. </w:t>
      </w:r>
      <w:r w:rsidRPr="003C7E62">
        <w:rPr>
          <w:rFonts w:eastAsia="Calibri" w:cs="Arial"/>
          <w:color w:val="auto"/>
        </w:rPr>
        <w:t>Shaping the image of the district away from historical stereotypes would help attract investment from home and abroad</w:t>
      </w:r>
      <w:r w:rsidRPr="003C7E62">
        <w:rPr>
          <w:rFonts w:cs="Arial"/>
          <w:color w:val="auto"/>
          <w:szCs w:val="24"/>
          <w:lang w:eastAsia="en-US"/>
        </w:rPr>
        <w:t xml:space="preserve">. Therefore, emphasising the district’s ‘unique selling points’ is imperative in seeking to build a stronger, more extensive ‘brand’ and facilitate economic opportunities.  </w:t>
      </w:r>
      <w:r w:rsidR="00253929" w:rsidRPr="003C7E62">
        <w:rPr>
          <w:rFonts w:eastAsia="Calibri" w:cs="Arial"/>
          <w:color w:val="auto"/>
          <w:szCs w:val="22"/>
          <w:lang w:eastAsia="en-US"/>
        </w:rPr>
        <w:t>Discover Ashfield</w:t>
      </w:r>
      <w:r w:rsidR="0069385A">
        <w:rPr>
          <w:rStyle w:val="FootnoteReference"/>
          <w:rFonts w:eastAsia="Calibri" w:cs="Arial"/>
          <w:color w:val="auto"/>
          <w:szCs w:val="22"/>
          <w:lang w:eastAsia="en-US"/>
        </w:rPr>
        <w:footnoteReference w:id="69"/>
      </w:r>
      <w:r w:rsidR="00253929" w:rsidRPr="003C7E62">
        <w:rPr>
          <w:rFonts w:eastAsia="Calibri" w:cs="Arial"/>
          <w:color w:val="auto"/>
          <w:szCs w:val="22"/>
          <w:lang w:eastAsia="en-US"/>
        </w:rPr>
        <w:t xml:space="preserve"> celebrates all that is </w:t>
      </w:r>
      <w:r w:rsidR="00253929" w:rsidRPr="00A32846">
        <w:rPr>
          <w:rFonts w:eastAsia="Calibri" w:cs="Arial"/>
          <w:szCs w:val="22"/>
          <w:lang w:eastAsia="en-US"/>
        </w:rPr>
        <w:t>best about living, visiting, working and doing business in Ashfield through four themes</w:t>
      </w:r>
      <w:r w:rsidR="004A6EB6" w:rsidRPr="00A32846">
        <w:rPr>
          <w:rFonts w:eastAsia="Calibri" w:cs="Arial"/>
          <w:szCs w:val="22"/>
          <w:lang w:eastAsia="en-US"/>
        </w:rPr>
        <w:t xml:space="preserve"> to</w:t>
      </w:r>
      <w:r w:rsidR="00253929" w:rsidRPr="00A32846">
        <w:rPr>
          <w:rFonts w:eastAsia="Calibri" w:cs="Arial"/>
          <w:szCs w:val="22"/>
          <w:lang w:eastAsia="en-US"/>
        </w:rPr>
        <w:t>:</w:t>
      </w:r>
      <w:bookmarkStart w:id="86" w:name="_Hlk75876888"/>
    </w:p>
    <w:p w14:paraId="3FD921D3" w14:textId="11758846" w:rsidR="0080115E" w:rsidRDefault="0080115E" w:rsidP="002430A6">
      <w:pPr>
        <w:keepNext w:val="0"/>
        <w:numPr>
          <w:ilvl w:val="0"/>
          <w:numId w:val="27"/>
        </w:numPr>
        <w:spacing w:before="0"/>
        <w:ind w:left="1559"/>
        <w:contextualSpacing/>
        <w:rPr>
          <w:rFonts w:eastAsia="Calibri" w:cs="Arial"/>
          <w:szCs w:val="22"/>
          <w:lang w:eastAsia="en-US"/>
        </w:rPr>
      </w:pPr>
      <w:r w:rsidRPr="00A32846">
        <w:rPr>
          <w:rFonts w:eastAsia="Calibri" w:cs="Arial"/>
          <w:szCs w:val="22"/>
          <w:lang w:eastAsia="en-US"/>
        </w:rPr>
        <w:t>Promote Ashfield in a positive manner</w:t>
      </w:r>
      <w:r w:rsidR="001B720A">
        <w:rPr>
          <w:rFonts w:eastAsia="Calibri" w:cs="Arial"/>
          <w:szCs w:val="22"/>
          <w:lang w:eastAsia="en-US"/>
        </w:rPr>
        <w:t>.</w:t>
      </w:r>
      <w:r w:rsidRPr="00A32846">
        <w:rPr>
          <w:rFonts w:eastAsia="Calibri" w:cs="Arial"/>
          <w:szCs w:val="22"/>
          <w:lang w:eastAsia="en-US"/>
        </w:rPr>
        <w:t xml:space="preserve"> </w:t>
      </w:r>
    </w:p>
    <w:p w14:paraId="1369DDD4" w14:textId="77777777" w:rsidR="001B720A" w:rsidRPr="00A32846" w:rsidRDefault="001B720A" w:rsidP="002430A6">
      <w:pPr>
        <w:keepNext w:val="0"/>
        <w:spacing w:before="0"/>
        <w:ind w:left="1559"/>
        <w:contextualSpacing/>
        <w:rPr>
          <w:rFonts w:eastAsia="Calibri" w:cs="Arial"/>
          <w:szCs w:val="22"/>
          <w:lang w:eastAsia="en-US"/>
        </w:rPr>
      </w:pPr>
    </w:p>
    <w:p w14:paraId="7554BE1C" w14:textId="64F993A9" w:rsidR="001839AE" w:rsidRDefault="001839AE" w:rsidP="002430A6">
      <w:pPr>
        <w:keepNext w:val="0"/>
        <w:numPr>
          <w:ilvl w:val="0"/>
          <w:numId w:val="27"/>
        </w:numPr>
        <w:spacing w:before="0"/>
        <w:ind w:left="1559"/>
        <w:contextualSpacing/>
        <w:rPr>
          <w:rFonts w:eastAsia="Calibri" w:cs="Arial"/>
          <w:szCs w:val="22"/>
          <w:lang w:eastAsia="en-US"/>
        </w:rPr>
      </w:pPr>
      <w:r w:rsidRPr="00A32846">
        <w:rPr>
          <w:rFonts w:eastAsia="Calibri" w:cs="Arial"/>
          <w:szCs w:val="22"/>
          <w:lang w:eastAsia="en-US"/>
        </w:rPr>
        <w:t>Develop pride and aspiration in our communities</w:t>
      </w:r>
      <w:r w:rsidR="001B720A">
        <w:rPr>
          <w:rFonts w:eastAsia="Calibri" w:cs="Arial"/>
          <w:szCs w:val="22"/>
          <w:lang w:eastAsia="en-US"/>
        </w:rPr>
        <w:t>.</w:t>
      </w:r>
    </w:p>
    <w:p w14:paraId="301F2CB3" w14:textId="77777777" w:rsidR="001B720A" w:rsidRPr="00A32846" w:rsidRDefault="001B720A" w:rsidP="002430A6">
      <w:pPr>
        <w:keepNext w:val="0"/>
        <w:spacing w:before="0"/>
        <w:ind w:left="1559"/>
        <w:contextualSpacing/>
        <w:rPr>
          <w:rFonts w:eastAsia="Calibri" w:cs="Arial"/>
          <w:szCs w:val="22"/>
          <w:lang w:eastAsia="en-US"/>
        </w:rPr>
      </w:pPr>
    </w:p>
    <w:p w14:paraId="1CD4A1BE" w14:textId="2559575D" w:rsidR="001839AE" w:rsidRDefault="001839AE" w:rsidP="002430A6">
      <w:pPr>
        <w:keepNext w:val="0"/>
        <w:numPr>
          <w:ilvl w:val="0"/>
          <w:numId w:val="27"/>
        </w:numPr>
        <w:spacing w:before="0"/>
        <w:ind w:left="1559"/>
        <w:contextualSpacing/>
        <w:rPr>
          <w:rFonts w:eastAsia="Calibri" w:cs="Arial"/>
          <w:szCs w:val="22"/>
          <w:lang w:eastAsia="en-US"/>
        </w:rPr>
      </w:pPr>
      <w:r w:rsidRPr="00A32846">
        <w:rPr>
          <w:rFonts w:eastAsia="Calibri" w:cs="Arial"/>
          <w:szCs w:val="22"/>
          <w:lang w:eastAsia="en-US"/>
        </w:rPr>
        <w:t>Encourage and promote inward investment with the support of business and educators.</w:t>
      </w:r>
    </w:p>
    <w:p w14:paraId="6536DAAC" w14:textId="77777777" w:rsidR="001B720A" w:rsidRPr="00A32846" w:rsidRDefault="001B720A" w:rsidP="002430A6">
      <w:pPr>
        <w:keepNext w:val="0"/>
        <w:spacing w:before="0"/>
        <w:ind w:left="1559"/>
        <w:contextualSpacing/>
        <w:rPr>
          <w:rFonts w:eastAsia="Calibri" w:cs="Arial"/>
          <w:szCs w:val="22"/>
          <w:lang w:eastAsia="en-US"/>
        </w:rPr>
      </w:pPr>
    </w:p>
    <w:p w14:paraId="1F1AD50A" w14:textId="6654B55A" w:rsidR="0080115E" w:rsidRPr="001B720A" w:rsidRDefault="0080115E" w:rsidP="002430A6">
      <w:pPr>
        <w:keepNext w:val="0"/>
        <w:numPr>
          <w:ilvl w:val="0"/>
          <w:numId w:val="27"/>
        </w:numPr>
        <w:spacing w:before="0"/>
        <w:ind w:left="1559"/>
        <w:contextualSpacing/>
        <w:rPr>
          <w:rFonts w:eastAsia="Calibri" w:cs="Arial"/>
          <w:strike/>
          <w:szCs w:val="22"/>
          <w:lang w:eastAsia="en-US"/>
        </w:rPr>
      </w:pPr>
      <w:r w:rsidRPr="00A32846">
        <w:rPr>
          <w:rFonts w:eastAsia="Calibri" w:cs="Arial"/>
          <w:szCs w:val="22"/>
          <w:lang w:eastAsia="en-US"/>
        </w:rPr>
        <w:t>Help people improve their health and wellbeing</w:t>
      </w:r>
      <w:r w:rsidR="001839AE" w:rsidRPr="00A32846">
        <w:rPr>
          <w:rFonts w:eastAsia="Calibri" w:cs="Arial"/>
          <w:szCs w:val="22"/>
          <w:lang w:eastAsia="en-US"/>
        </w:rPr>
        <w:t>.</w:t>
      </w:r>
    </w:p>
    <w:p w14:paraId="1215EB64" w14:textId="77777777" w:rsidR="001B720A" w:rsidRPr="00A32846" w:rsidRDefault="001B720A" w:rsidP="002430A6">
      <w:pPr>
        <w:keepNext w:val="0"/>
        <w:spacing w:before="0"/>
        <w:ind w:left="1559"/>
        <w:contextualSpacing/>
        <w:rPr>
          <w:rFonts w:eastAsia="Calibri" w:cs="Arial"/>
          <w:strike/>
          <w:szCs w:val="22"/>
          <w:lang w:eastAsia="en-US"/>
        </w:rPr>
      </w:pPr>
    </w:p>
    <w:p w14:paraId="636B965B" w14:textId="3800A20E" w:rsidR="0080115E" w:rsidRPr="00A32846" w:rsidRDefault="0080115E" w:rsidP="002430A6">
      <w:pPr>
        <w:keepNext w:val="0"/>
        <w:numPr>
          <w:ilvl w:val="0"/>
          <w:numId w:val="27"/>
        </w:numPr>
        <w:spacing w:before="0"/>
        <w:ind w:left="1559"/>
        <w:contextualSpacing/>
        <w:rPr>
          <w:rFonts w:eastAsia="Calibri" w:cs="Arial"/>
          <w:strike/>
          <w:szCs w:val="22"/>
          <w:lang w:eastAsia="en-US"/>
        </w:rPr>
      </w:pPr>
      <w:r w:rsidRPr="00A32846">
        <w:rPr>
          <w:rFonts w:eastAsia="Calibri" w:cs="Arial"/>
          <w:szCs w:val="22"/>
          <w:lang w:eastAsia="en-US"/>
        </w:rPr>
        <w:t>Support tourism and the visitor economy</w:t>
      </w:r>
      <w:r w:rsidR="0069385A" w:rsidRPr="00A32846">
        <w:rPr>
          <w:rFonts w:eastAsia="Calibri" w:cs="Arial"/>
          <w:szCs w:val="22"/>
          <w:lang w:eastAsia="en-US"/>
        </w:rPr>
        <w:t>.</w:t>
      </w:r>
      <w:r w:rsidRPr="00A32846">
        <w:rPr>
          <w:rFonts w:eastAsia="Calibri" w:cs="Arial"/>
          <w:szCs w:val="22"/>
          <w:lang w:eastAsia="en-US"/>
        </w:rPr>
        <w:t xml:space="preserve"> </w:t>
      </w:r>
    </w:p>
    <w:p w14:paraId="317403F7" w14:textId="77777777" w:rsidR="0080115E" w:rsidRPr="00A32846" w:rsidRDefault="0080115E" w:rsidP="002430A6">
      <w:pPr>
        <w:keepNext w:val="0"/>
        <w:autoSpaceDE w:val="0"/>
        <w:autoSpaceDN w:val="0"/>
        <w:adjustRightInd w:val="0"/>
        <w:spacing w:before="0"/>
        <w:rPr>
          <w:rFonts w:eastAsia="Arial" w:cs="Arial"/>
        </w:rPr>
      </w:pPr>
    </w:p>
    <w:p w14:paraId="4AC8EB94" w14:textId="77777777" w:rsidR="0080115E" w:rsidRPr="00E3260E" w:rsidRDefault="0080115E" w:rsidP="00F11936">
      <w:pPr>
        <w:keepNext w:val="0"/>
        <w:spacing w:before="0"/>
        <w:ind w:left="851"/>
        <w:rPr>
          <w:rFonts w:cs="Arial"/>
          <w:color w:val="auto"/>
          <w:szCs w:val="24"/>
          <w:lang w:eastAsia="en-US"/>
        </w:rPr>
      </w:pPr>
      <w:r w:rsidRPr="003C7E62">
        <w:rPr>
          <w:rFonts w:cs="Arial"/>
          <w:color w:val="auto"/>
          <w:szCs w:val="24"/>
          <w:lang w:eastAsia="en-US"/>
        </w:rPr>
        <w:t xml:space="preserve">Supporting Discover </w:t>
      </w:r>
      <w:r w:rsidRPr="00E3260E">
        <w:rPr>
          <w:rFonts w:cs="Arial"/>
          <w:color w:val="auto"/>
          <w:szCs w:val="24"/>
          <w:lang w:eastAsia="en-US"/>
        </w:rPr>
        <w:t>Ashfield remains an important aspect of promoting the economic opportunities of the District.</w:t>
      </w:r>
    </w:p>
    <w:p w14:paraId="65B3DAAE" w14:textId="77777777" w:rsidR="0080115E" w:rsidRPr="00E3260E" w:rsidRDefault="0080115E" w:rsidP="00F11936">
      <w:pPr>
        <w:pStyle w:val="ListParagraph"/>
        <w:spacing w:after="0" w:line="240" w:lineRule="auto"/>
        <w:rPr>
          <w:rFonts w:ascii="Arial" w:hAnsi="Arial" w:cs="Arial"/>
          <w:b/>
          <w:bCs/>
          <w:color w:val="auto"/>
          <w:szCs w:val="24"/>
        </w:rPr>
      </w:pPr>
    </w:p>
    <w:p w14:paraId="0880C24E" w14:textId="36109DAC" w:rsidR="0080115E" w:rsidRDefault="0080115E" w:rsidP="00874A98">
      <w:pPr>
        <w:keepNext w:val="0"/>
        <w:numPr>
          <w:ilvl w:val="1"/>
          <w:numId w:val="103"/>
        </w:numPr>
        <w:spacing w:before="0"/>
        <w:ind w:left="851" w:hanging="851"/>
        <w:rPr>
          <w:rFonts w:cs="Arial"/>
          <w:color w:val="auto"/>
          <w:szCs w:val="24"/>
          <w:lang w:eastAsia="en-US"/>
        </w:rPr>
      </w:pPr>
      <w:r w:rsidRPr="00E3260E">
        <w:rPr>
          <w:rFonts w:cs="Arial"/>
          <w:color w:val="auto"/>
          <w:szCs w:val="24"/>
          <w:lang w:eastAsia="en-US"/>
        </w:rPr>
        <w:t xml:space="preserve">To promote and development </w:t>
      </w:r>
      <w:r w:rsidRPr="003C7E62">
        <w:rPr>
          <w:rFonts w:cs="Arial"/>
          <w:color w:val="auto"/>
          <w:szCs w:val="24"/>
          <w:lang w:eastAsia="en-US"/>
        </w:rPr>
        <w:t>opportunities for tourism the Council will undertake a number of measures including:</w:t>
      </w:r>
    </w:p>
    <w:p w14:paraId="43670069" w14:textId="77777777" w:rsidR="00364726" w:rsidRDefault="0080115E" w:rsidP="002430A6">
      <w:pPr>
        <w:pStyle w:val="ListParagraph"/>
        <w:numPr>
          <w:ilvl w:val="0"/>
          <w:numId w:val="335"/>
        </w:numPr>
        <w:tabs>
          <w:tab w:val="clear" w:pos="1211"/>
          <w:tab w:val="num" w:pos="1560"/>
        </w:tabs>
        <w:spacing w:after="0" w:line="240" w:lineRule="auto"/>
        <w:ind w:left="1418"/>
        <w:rPr>
          <w:rFonts w:ascii="Arial" w:hAnsi="Arial" w:cs="Arial"/>
          <w:color w:val="auto"/>
          <w:szCs w:val="24"/>
        </w:rPr>
      </w:pPr>
      <w:r w:rsidRPr="00364726">
        <w:rPr>
          <w:rFonts w:ascii="Arial" w:hAnsi="Arial" w:cs="Arial"/>
          <w:color w:val="auto"/>
          <w:szCs w:val="24"/>
        </w:rPr>
        <w:t>Safeguarding key landscape, ecological sensitive area and heritages asset including Old Teversal Village, Brierley Forest Park, Teversal Trails, Silverhill Woods, Thieves Wood, Kings Mill Reservoir and Portland Park;</w:t>
      </w:r>
    </w:p>
    <w:p w14:paraId="5987EEAF" w14:textId="77777777" w:rsidR="001B720A" w:rsidRPr="000E3EB6" w:rsidRDefault="001B720A" w:rsidP="002430A6">
      <w:pPr>
        <w:pStyle w:val="ListParagraph"/>
        <w:tabs>
          <w:tab w:val="num" w:pos="1560"/>
        </w:tabs>
        <w:spacing w:after="0" w:line="240" w:lineRule="auto"/>
        <w:ind w:left="1418"/>
        <w:rPr>
          <w:rFonts w:ascii="Arial" w:hAnsi="Arial" w:cs="Arial"/>
          <w:color w:val="auto"/>
          <w:sz w:val="16"/>
          <w:szCs w:val="16"/>
        </w:rPr>
      </w:pPr>
    </w:p>
    <w:p w14:paraId="219F75E7" w14:textId="1F9425FE" w:rsidR="001B720A" w:rsidRPr="001B720A" w:rsidRDefault="0080115E" w:rsidP="002430A6">
      <w:pPr>
        <w:pStyle w:val="ListParagraph"/>
        <w:numPr>
          <w:ilvl w:val="0"/>
          <w:numId w:val="335"/>
        </w:numPr>
        <w:tabs>
          <w:tab w:val="clear" w:pos="1211"/>
          <w:tab w:val="num" w:pos="1560"/>
        </w:tabs>
        <w:spacing w:after="0" w:line="240" w:lineRule="auto"/>
        <w:ind w:left="1418"/>
        <w:rPr>
          <w:rFonts w:ascii="Arial" w:hAnsi="Arial" w:cs="Arial"/>
          <w:color w:val="auto"/>
          <w:szCs w:val="24"/>
        </w:rPr>
      </w:pPr>
      <w:r w:rsidRPr="00364726">
        <w:rPr>
          <w:rFonts w:ascii="Arial" w:hAnsi="Arial" w:cs="Arial"/>
        </w:rPr>
        <w:t xml:space="preserve">Protecting </w:t>
      </w:r>
      <w:r w:rsidR="0069385A" w:rsidRPr="00364726">
        <w:rPr>
          <w:rFonts w:ascii="Arial" w:hAnsi="Arial" w:cs="Arial"/>
        </w:rPr>
        <w:t xml:space="preserve">and enhancing the historic environment; </w:t>
      </w:r>
      <w:r w:rsidRPr="00364726">
        <w:rPr>
          <w:rFonts w:ascii="Arial" w:hAnsi="Arial" w:cs="Arial"/>
        </w:rPr>
        <w:t>the historic parks and gardens of Hardwick Hall (those areas within Ashfield), Annesley Hall, and Skegby Hal</w:t>
      </w:r>
      <w:r w:rsidR="008D51C2" w:rsidRPr="00364726">
        <w:rPr>
          <w:rFonts w:ascii="Arial" w:hAnsi="Arial" w:cs="Arial"/>
        </w:rPr>
        <w:t>l;</w:t>
      </w:r>
    </w:p>
    <w:p w14:paraId="61A0E748" w14:textId="77777777" w:rsidR="00CB6138" w:rsidRPr="000E3EB6" w:rsidRDefault="00CB6138" w:rsidP="002430A6">
      <w:pPr>
        <w:pStyle w:val="ListParagraph"/>
        <w:tabs>
          <w:tab w:val="num" w:pos="1560"/>
        </w:tabs>
        <w:spacing w:after="0" w:line="240" w:lineRule="auto"/>
        <w:ind w:left="1418"/>
        <w:rPr>
          <w:rFonts w:ascii="Arial" w:hAnsi="Arial" w:cs="Arial"/>
          <w:color w:val="auto"/>
          <w:sz w:val="16"/>
          <w:szCs w:val="16"/>
        </w:rPr>
      </w:pPr>
    </w:p>
    <w:p w14:paraId="30E26ABE" w14:textId="4E850F18" w:rsidR="00364726" w:rsidRPr="001B720A" w:rsidRDefault="0080115E" w:rsidP="002430A6">
      <w:pPr>
        <w:pStyle w:val="ListParagraph"/>
        <w:numPr>
          <w:ilvl w:val="0"/>
          <w:numId w:val="335"/>
        </w:numPr>
        <w:tabs>
          <w:tab w:val="clear" w:pos="1211"/>
          <w:tab w:val="num" w:pos="1560"/>
        </w:tabs>
        <w:spacing w:after="0" w:line="240" w:lineRule="auto"/>
        <w:ind w:left="1418"/>
        <w:rPr>
          <w:rFonts w:ascii="Arial" w:hAnsi="Arial" w:cs="Arial"/>
          <w:color w:val="auto"/>
          <w:szCs w:val="24"/>
        </w:rPr>
      </w:pPr>
      <w:r w:rsidRPr="00364726">
        <w:rPr>
          <w:rFonts w:ascii="Arial" w:hAnsi="Arial" w:cs="Arial"/>
        </w:rPr>
        <w:t>Supporting the development of appropriate visitor-related attractions and facilities where opportunities arise</w:t>
      </w:r>
      <w:r w:rsidR="001B720A">
        <w:rPr>
          <w:rFonts w:ascii="Arial" w:hAnsi="Arial" w:cs="Arial"/>
        </w:rPr>
        <w:t>;</w:t>
      </w:r>
    </w:p>
    <w:p w14:paraId="0ADF9AEF" w14:textId="77777777" w:rsidR="00CB6138" w:rsidRPr="000E3EB6" w:rsidRDefault="00CB6138" w:rsidP="002430A6">
      <w:pPr>
        <w:pStyle w:val="ListParagraph"/>
        <w:tabs>
          <w:tab w:val="num" w:pos="1560"/>
        </w:tabs>
        <w:spacing w:after="0" w:line="240" w:lineRule="auto"/>
        <w:ind w:left="1418"/>
        <w:rPr>
          <w:rFonts w:ascii="Arial" w:hAnsi="Arial" w:cs="Arial"/>
          <w:color w:val="auto"/>
          <w:sz w:val="16"/>
          <w:szCs w:val="16"/>
        </w:rPr>
      </w:pPr>
    </w:p>
    <w:p w14:paraId="7DC692CE" w14:textId="2661A40F" w:rsidR="00364726" w:rsidRPr="001B720A" w:rsidRDefault="0080115E" w:rsidP="002430A6">
      <w:pPr>
        <w:pStyle w:val="ListParagraph"/>
        <w:numPr>
          <w:ilvl w:val="0"/>
          <w:numId w:val="335"/>
        </w:numPr>
        <w:tabs>
          <w:tab w:val="clear" w:pos="1211"/>
          <w:tab w:val="num" w:pos="1560"/>
        </w:tabs>
        <w:spacing w:after="0" w:line="240" w:lineRule="auto"/>
        <w:ind w:left="1418"/>
        <w:rPr>
          <w:rFonts w:ascii="Arial" w:hAnsi="Arial" w:cs="Arial"/>
          <w:color w:val="auto"/>
          <w:szCs w:val="24"/>
        </w:rPr>
      </w:pPr>
      <w:r w:rsidRPr="00364726">
        <w:rPr>
          <w:rFonts w:ascii="Arial" w:hAnsi="Arial" w:cs="Arial"/>
        </w:rPr>
        <w:t xml:space="preserve">Supporting the development and improvement of rural trails and cycle routes; </w:t>
      </w:r>
    </w:p>
    <w:p w14:paraId="1822C72E" w14:textId="77777777" w:rsidR="001B720A" w:rsidRPr="000E3EB6" w:rsidRDefault="001B720A" w:rsidP="002430A6">
      <w:pPr>
        <w:pStyle w:val="ListParagraph"/>
        <w:tabs>
          <w:tab w:val="num" w:pos="1560"/>
        </w:tabs>
        <w:spacing w:after="0" w:line="240" w:lineRule="auto"/>
        <w:ind w:left="1418"/>
        <w:rPr>
          <w:rFonts w:ascii="Arial" w:hAnsi="Arial" w:cs="Arial"/>
          <w:color w:val="auto"/>
          <w:sz w:val="16"/>
          <w:szCs w:val="16"/>
        </w:rPr>
      </w:pPr>
    </w:p>
    <w:p w14:paraId="32213351" w14:textId="49B81B12" w:rsidR="000E3EB6" w:rsidRPr="00E3260E" w:rsidRDefault="0080115E" w:rsidP="002430A6">
      <w:pPr>
        <w:pStyle w:val="ListParagraph"/>
        <w:numPr>
          <w:ilvl w:val="0"/>
          <w:numId w:val="335"/>
        </w:numPr>
        <w:tabs>
          <w:tab w:val="clear" w:pos="1211"/>
          <w:tab w:val="num" w:pos="1560"/>
        </w:tabs>
        <w:spacing w:after="0" w:line="240" w:lineRule="auto"/>
        <w:ind w:left="1418"/>
        <w:rPr>
          <w:rFonts w:cs="Arial"/>
          <w:color w:val="auto"/>
          <w:szCs w:val="24"/>
        </w:rPr>
      </w:pPr>
      <w:r w:rsidRPr="000E3EB6">
        <w:rPr>
          <w:rFonts w:ascii="Arial" w:hAnsi="Arial" w:cs="Arial"/>
        </w:rPr>
        <w:t>Developing and supporting the evening economy in the town centres of Hucknall,</w:t>
      </w:r>
      <w:r w:rsidRPr="000E3EB6">
        <w:rPr>
          <w:rFonts w:ascii="Arial" w:hAnsi="Arial" w:cs="Arial"/>
          <w:color w:val="auto"/>
          <w:szCs w:val="24"/>
        </w:rPr>
        <w:t xml:space="preserve"> Sutton in Ashfield and Kirkby-in-Ashfield; and</w:t>
      </w:r>
    </w:p>
    <w:p w14:paraId="748139A8" w14:textId="77777777" w:rsidR="00E3260E" w:rsidRPr="00E3260E" w:rsidRDefault="00E3260E" w:rsidP="002430A6">
      <w:pPr>
        <w:pStyle w:val="ListParagraph"/>
        <w:spacing w:after="0" w:line="240" w:lineRule="auto"/>
        <w:rPr>
          <w:rFonts w:cs="Arial"/>
          <w:color w:val="auto"/>
          <w:szCs w:val="24"/>
        </w:rPr>
      </w:pPr>
    </w:p>
    <w:p w14:paraId="768689AB" w14:textId="35B973C2" w:rsidR="00743F63" w:rsidRPr="00E3260E" w:rsidRDefault="001012CC" w:rsidP="002430A6">
      <w:pPr>
        <w:pStyle w:val="ListParagraph"/>
        <w:numPr>
          <w:ilvl w:val="0"/>
          <w:numId w:val="335"/>
        </w:numPr>
        <w:tabs>
          <w:tab w:val="clear" w:pos="1211"/>
          <w:tab w:val="num" w:pos="1418"/>
        </w:tabs>
        <w:spacing w:after="0" w:line="240" w:lineRule="auto"/>
        <w:ind w:left="1418"/>
        <w:rPr>
          <w:rFonts w:ascii="Arial" w:hAnsi="Arial" w:cs="Arial"/>
          <w:color w:val="auto"/>
          <w:szCs w:val="24"/>
        </w:rPr>
      </w:pPr>
      <w:r>
        <w:rPr>
          <w:rFonts w:ascii="Arial" w:hAnsi="Arial" w:cs="Arial"/>
          <w:color w:val="auto"/>
          <w:szCs w:val="24"/>
        </w:rPr>
        <w:t>S</w:t>
      </w:r>
      <w:r w:rsidR="0080115E" w:rsidRPr="00364726">
        <w:rPr>
          <w:rFonts w:ascii="Arial" w:hAnsi="Arial" w:cs="Arial"/>
          <w:color w:val="auto"/>
          <w:szCs w:val="24"/>
        </w:rPr>
        <w:t xml:space="preserve">upporting tourism related initiatives in Hucknall, Sutton in Ashfield and Kirkby-in-Ashfield including schemes, which improve the accessibility of </w:t>
      </w:r>
      <w:r w:rsidR="008D51C2" w:rsidRPr="00364726">
        <w:rPr>
          <w:rFonts w:ascii="Arial" w:hAnsi="Arial" w:cs="Arial"/>
          <w:color w:val="auto"/>
          <w:szCs w:val="24"/>
        </w:rPr>
        <w:t xml:space="preserve">areas potentially attractive to </w:t>
      </w:r>
      <w:r w:rsidR="0080115E" w:rsidRPr="00364726">
        <w:rPr>
          <w:rFonts w:ascii="Arial" w:hAnsi="Arial" w:cs="Arial"/>
          <w:color w:val="auto"/>
          <w:szCs w:val="24"/>
        </w:rPr>
        <w:t>tourist.</w:t>
      </w:r>
      <w:r w:rsidR="0080115E" w:rsidRPr="00364726">
        <w:rPr>
          <w:rFonts w:cs="Arial"/>
          <w:color w:val="auto"/>
          <w:szCs w:val="24"/>
        </w:rPr>
        <w:t xml:space="preserve"> </w:t>
      </w:r>
    </w:p>
    <w:p w14:paraId="0E93FB10" w14:textId="77777777" w:rsidR="00E3260E" w:rsidRPr="00E3260E" w:rsidRDefault="00E3260E" w:rsidP="00E3260E">
      <w:pPr>
        <w:pStyle w:val="ListParagraph"/>
        <w:rPr>
          <w:rFonts w:ascii="Arial" w:hAnsi="Arial" w:cs="Arial"/>
          <w:color w:val="auto"/>
          <w:szCs w:val="24"/>
        </w:rPr>
      </w:pPr>
    </w:p>
    <w:p w14:paraId="2829EB2E" w14:textId="75B4DD73" w:rsidR="005F229B" w:rsidRPr="009D5737" w:rsidRDefault="009B0877" w:rsidP="009D5737">
      <w:pPr>
        <w:pStyle w:val="Heading2"/>
        <w:jc w:val="left"/>
        <w:rPr>
          <w:sz w:val="28"/>
          <w:szCs w:val="28"/>
        </w:rPr>
      </w:pPr>
      <w:bookmarkStart w:id="87" w:name="_Toc145511561"/>
      <w:r w:rsidRPr="009D5737">
        <w:rPr>
          <w:sz w:val="28"/>
          <w:szCs w:val="28"/>
        </w:rPr>
        <w:t xml:space="preserve">Strategic Policy </w:t>
      </w:r>
      <w:r w:rsidR="005F229B" w:rsidRPr="009D5737">
        <w:rPr>
          <w:sz w:val="28"/>
          <w:szCs w:val="28"/>
        </w:rPr>
        <w:t>S</w:t>
      </w:r>
      <w:r w:rsidR="005908AA" w:rsidRPr="009D5737">
        <w:rPr>
          <w:sz w:val="28"/>
          <w:szCs w:val="28"/>
        </w:rPr>
        <w:t>9</w:t>
      </w:r>
      <w:r w:rsidR="005F229B" w:rsidRPr="009D5737">
        <w:rPr>
          <w:sz w:val="28"/>
          <w:szCs w:val="28"/>
        </w:rPr>
        <w:t xml:space="preserve">: </w:t>
      </w:r>
      <w:r w:rsidR="00162A7B" w:rsidRPr="009D5737">
        <w:rPr>
          <w:sz w:val="28"/>
          <w:szCs w:val="28"/>
        </w:rPr>
        <w:t>Aligning Growth and Infrastructure</w:t>
      </w:r>
      <w:bookmarkEnd w:id="87"/>
      <w:r w:rsidR="00162A7B" w:rsidRPr="009D5737">
        <w:rPr>
          <w:sz w:val="28"/>
          <w:szCs w:val="28"/>
        </w:rPr>
        <w:t xml:space="preserve"> </w:t>
      </w:r>
    </w:p>
    <w:p w14:paraId="34A4A740" w14:textId="77777777" w:rsidR="00CF4EF1" w:rsidRPr="003C7E62" w:rsidRDefault="00CF4EF1" w:rsidP="00CF4EF1">
      <w:pPr>
        <w:keepNext w:val="0"/>
        <w:tabs>
          <w:tab w:val="left" w:pos="680"/>
          <w:tab w:val="left" w:pos="1133"/>
          <w:tab w:val="left" w:pos="2267"/>
        </w:tabs>
        <w:spacing w:before="0"/>
        <w:ind w:right="284"/>
        <w:rPr>
          <w:rFonts w:eastAsia="Arial" w:cs="Arial"/>
          <w:b/>
          <w:color w:val="auto"/>
          <w:szCs w:val="24"/>
        </w:rPr>
      </w:pPr>
    </w:p>
    <w:tbl>
      <w:tblPr>
        <w:tblStyle w:val="ReportTable1"/>
        <w:tblW w:w="0" w:type="auto"/>
        <w:tblLook w:val="04A0" w:firstRow="1" w:lastRow="0" w:firstColumn="1" w:lastColumn="0" w:noHBand="0" w:noVBand="1"/>
      </w:tblPr>
      <w:tblGrid>
        <w:gridCol w:w="1838"/>
        <w:gridCol w:w="783"/>
        <w:gridCol w:w="6872"/>
      </w:tblGrid>
      <w:tr w:rsidR="000A144B" w:rsidRPr="003C7E62" w14:paraId="506EE76D" w14:textId="77777777" w:rsidTr="003C413D">
        <w:trPr>
          <w:trHeight w:val="249"/>
        </w:trPr>
        <w:tc>
          <w:tcPr>
            <w:tcW w:w="9493" w:type="dxa"/>
            <w:gridSpan w:val="3"/>
          </w:tcPr>
          <w:p w14:paraId="4E417FBF" w14:textId="77777777" w:rsidR="009B4089" w:rsidRDefault="009B4089" w:rsidP="000A144B">
            <w:pPr>
              <w:spacing w:before="0"/>
              <w:outlineLvl w:val="1"/>
              <w:rPr>
                <w:rFonts w:cs="Arial"/>
                <w:b/>
                <w:bCs/>
                <w:color w:val="auto"/>
                <w:szCs w:val="24"/>
                <w:lang w:eastAsia="en-US"/>
              </w:rPr>
            </w:pPr>
            <w:bookmarkStart w:id="88" w:name="_Hlk78262645"/>
          </w:p>
          <w:p w14:paraId="505E5A02" w14:textId="36BA52AE" w:rsidR="000A144B" w:rsidRDefault="000A144B" w:rsidP="009E6F00">
            <w:pPr>
              <w:rPr>
                <w:rFonts w:cs="Arial"/>
                <w:b/>
                <w:bCs/>
                <w:iCs/>
                <w:color w:val="auto"/>
                <w:szCs w:val="24"/>
                <w:lang w:eastAsia="en-US"/>
              </w:rPr>
            </w:pPr>
            <w:r w:rsidRPr="003C7E62">
              <w:rPr>
                <w:rFonts w:cs="Arial"/>
                <w:b/>
                <w:bCs/>
                <w:color w:val="auto"/>
                <w:szCs w:val="24"/>
                <w:lang w:eastAsia="en-US"/>
              </w:rPr>
              <w:t xml:space="preserve">Strategic Policy </w:t>
            </w:r>
            <w:r w:rsidRPr="00A32846">
              <w:rPr>
                <w:rFonts w:cs="Arial"/>
                <w:b/>
                <w:bCs/>
                <w:iCs/>
                <w:szCs w:val="24"/>
                <w:lang w:eastAsia="en-US"/>
              </w:rPr>
              <w:t>S</w:t>
            </w:r>
            <w:r w:rsidR="005908AA" w:rsidRPr="00A32846">
              <w:rPr>
                <w:rFonts w:cs="Arial"/>
                <w:b/>
                <w:bCs/>
                <w:iCs/>
                <w:szCs w:val="24"/>
                <w:lang w:eastAsia="en-US"/>
              </w:rPr>
              <w:t>9</w:t>
            </w:r>
            <w:r w:rsidRPr="00A32846">
              <w:rPr>
                <w:rFonts w:cs="Arial"/>
                <w:b/>
                <w:bCs/>
                <w:iCs/>
                <w:szCs w:val="24"/>
                <w:lang w:eastAsia="en-US"/>
              </w:rPr>
              <w:t>:</w:t>
            </w:r>
            <w:r w:rsidR="00162A7B" w:rsidRPr="00A32846">
              <w:t xml:space="preserve"> </w:t>
            </w:r>
            <w:r w:rsidR="00162A7B" w:rsidRPr="00162A7B">
              <w:rPr>
                <w:rFonts w:cs="Arial"/>
                <w:b/>
                <w:bCs/>
                <w:iCs/>
                <w:color w:val="auto"/>
                <w:szCs w:val="24"/>
                <w:lang w:eastAsia="en-US"/>
              </w:rPr>
              <w:t>Aligning Growth and Infrastructure</w:t>
            </w:r>
          </w:p>
          <w:p w14:paraId="2EF38CD7" w14:textId="51A8B616" w:rsidR="009B4089" w:rsidRPr="003C7E62" w:rsidRDefault="009B4089" w:rsidP="000A144B">
            <w:pPr>
              <w:spacing w:before="0"/>
              <w:outlineLvl w:val="1"/>
              <w:rPr>
                <w:rFonts w:cs="Arial"/>
                <w:b/>
                <w:bCs/>
                <w:iCs/>
                <w:color w:val="auto"/>
                <w:szCs w:val="24"/>
                <w:lang w:eastAsia="en-US"/>
              </w:rPr>
            </w:pPr>
          </w:p>
        </w:tc>
      </w:tr>
      <w:tr w:rsidR="00CF4EF1" w:rsidRPr="003C7E62" w14:paraId="17D2D37B" w14:textId="77777777" w:rsidTr="003C413D">
        <w:tc>
          <w:tcPr>
            <w:tcW w:w="2621" w:type="dxa"/>
            <w:gridSpan w:val="2"/>
          </w:tcPr>
          <w:p w14:paraId="1EAED71E" w14:textId="77777777" w:rsidR="00CF4EF1" w:rsidRPr="00F11936" w:rsidRDefault="00CF4EF1" w:rsidP="00CF4EF1">
            <w:pPr>
              <w:keepNext w:val="0"/>
              <w:tabs>
                <w:tab w:val="left" w:pos="680"/>
              </w:tabs>
              <w:spacing w:before="40" w:after="40"/>
              <w:rPr>
                <w:rFonts w:eastAsia="Arial" w:cs="Arial"/>
                <w:bCs/>
                <w:color w:val="auto"/>
              </w:rPr>
            </w:pPr>
            <w:r w:rsidRPr="00F11936">
              <w:rPr>
                <w:rFonts w:eastAsia="Arial" w:cs="Arial"/>
                <w:bCs/>
                <w:color w:val="auto"/>
              </w:rPr>
              <w:t>Strategic Objectives</w:t>
            </w:r>
          </w:p>
        </w:tc>
        <w:tc>
          <w:tcPr>
            <w:tcW w:w="6872" w:type="dxa"/>
          </w:tcPr>
          <w:p w14:paraId="347F6F05" w14:textId="6CBB6F86" w:rsidR="00CF4EF1" w:rsidRPr="008634A8" w:rsidRDefault="00CF4EF1" w:rsidP="00CF4EF1">
            <w:pPr>
              <w:keepNext w:val="0"/>
              <w:tabs>
                <w:tab w:val="left" w:pos="680"/>
              </w:tabs>
              <w:spacing w:before="40" w:after="40"/>
              <w:rPr>
                <w:rFonts w:eastAsia="Arial" w:cs="Arial"/>
                <w:bCs/>
                <w:color w:val="auto"/>
                <w:highlight w:val="yellow"/>
              </w:rPr>
            </w:pPr>
            <w:r w:rsidRPr="008634A8">
              <w:rPr>
                <w:rFonts w:eastAsia="Arial" w:cs="Arial"/>
                <w:bCs/>
                <w:color w:val="auto"/>
              </w:rPr>
              <w:t>SO1, SO2, SO3, SO4, SO5, SO6, SO7, SO8, SO9, SO10, SO11, SO12, SO13, SO14</w:t>
            </w:r>
          </w:p>
        </w:tc>
      </w:tr>
      <w:tr w:rsidR="00CF4EF1" w:rsidRPr="003C7E62" w14:paraId="029B7B53" w14:textId="77777777" w:rsidTr="003C413D">
        <w:tc>
          <w:tcPr>
            <w:tcW w:w="9493" w:type="dxa"/>
            <w:gridSpan w:val="3"/>
            <w:shd w:val="clear" w:color="auto" w:fill="D9D9D9"/>
          </w:tcPr>
          <w:p w14:paraId="0E07E629" w14:textId="77777777" w:rsidR="00CF4EF1" w:rsidRPr="00A32846" w:rsidRDefault="00CF4EF1" w:rsidP="0069385A">
            <w:pPr>
              <w:keepNext w:val="0"/>
              <w:tabs>
                <w:tab w:val="left" w:pos="680"/>
                <w:tab w:val="left" w:pos="1133"/>
                <w:tab w:val="left" w:pos="2267"/>
              </w:tabs>
              <w:spacing w:before="0"/>
              <w:ind w:left="283" w:right="284"/>
              <w:rPr>
                <w:rFonts w:eastAsia="Arial" w:cs="Arial"/>
                <w:b/>
                <w:szCs w:val="24"/>
              </w:rPr>
            </w:pPr>
          </w:p>
          <w:p w14:paraId="1C24CF5E" w14:textId="5401278F" w:rsidR="00A825A2" w:rsidRPr="00A32846" w:rsidRDefault="00CF4EF1" w:rsidP="0069385A">
            <w:pPr>
              <w:keepNext w:val="0"/>
              <w:numPr>
                <w:ilvl w:val="0"/>
                <w:numId w:val="38"/>
              </w:numPr>
              <w:tabs>
                <w:tab w:val="left" w:pos="680"/>
                <w:tab w:val="left" w:pos="1133"/>
                <w:tab w:val="left" w:pos="2267"/>
              </w:tabs>
              <w:spacing w:before="0"/>
              <w:ind w:left="357" w:right="284"/>
              <w:rPr>
                <w:rFonts w:eastAsia="Arial" w:cs="Arial"/>
                <w:bCs/>
                <w:szCs w:val="24"/>
              </w:rPr>
            </w:pPr>
            <w:r w:rsidRPr="00A32846">
              <w:rPr>
                <w:rFonts w:eastAsia="Arial" w:cs="Arial"/>
                <w:bCs/>
              </w:rPr>
              <w:t xml:space="preserve">The Council will work with partners, neighbouring councils, infrastructure providers, developers and stakeholders to facilitate the requirements for economic, social and environmental infrastructure to support development.  </w:t>
            </w:r>
            <w:r w:rsidR="00A825A2" w:rsidRPr="00A32846">
              <w:rPr>
                <w:rFonts w:eastAsia="Calibri" w:cs="Arial"/>
                <w:szCs w:val="24"/>
              </w:rPr>
              <w:t>Priorities for infrastructure provision in the District include:</w:t>
            </w:r>
          </w:p>
          <w:p w14:paraId="4B340E02" w14:textId="77777777" w:rsidR="00A825A2" w:rsidRPr="00A32846" w:rsidRDefault="00A825A2" w:rsidP="0069385A">
            <w:pPr>
              <w:keepNext w:val="0"/>
              <w:tabs>
                <w:tab w:val="left" w:pos="680"/>
                <w:tab w:val="left" w:pos="1133"/>
                <w:tab w:val="left" w:pos="2267"/>
              </w:tabs>
              <w:spacing w:before="0"/>
              <w:ind w:right="284"/>
              <w:rPr>
                <w:rFonts w:eastAsia="Arial" w:cs="Arial"/>
                <w:szCs w:val="24"/>
              </w:rPr>
            </w:pPr>
          </w:p>
          <w:p w14:paraId="6B161DC2" w14:textId="14346691" w:rsidR="00902FA5" w:rsidRPr="00A32846" w:rsidRDefault="00902FA5" w:rsidP="0069385A">
            <w:pPr>
              <w:keepNext w:val="0"/>
              <w:numPr>
                <w:ilvl w:val="0"/>
                <w:numId w:val="43"/>
              </w:numPr>
              <w:spacing w:before="0"/>
              <w:ind w:left="720" w:right="284"/>
              <w:contextualSpacing/>
              <w:rPr>
                <w:rFonts w:eastAsia="Arial" w:cs="Arial"/>
                <w:szCs w:val="24"/>
              </w:rPr>
            </w:pPr>
            <w:r w:rsidRPr="00A32846">
              <w:rPr>
                <w:rFonts w:eastAsia="Arial" w:cs="Arial"/>
                <w:szCs w:val="24"/>
              </w:rPr>
              <w:t xml:space="preserve">Working with utility providers to enable physical infrastructure to be  coordinated with the requirements arising from new development. </w:t>
            </w:r>
          </w:p>
          <w:p w14:paraId="618D43C0" w14:textId="77777777" w:rsidR="00902FA5" w:rsidRPr="00A32846" w:rsidRDefault="00902FA5" w:rsidP="0069385A">
            <w:pPr>
              <w:keepNext w:val="0"/>
              <w:spacing w:before="0"/>
              <w:ind w:left="720" w:right="284"/>
              <w:contextualSpacing/>
              <w:rPr>
                <w:rFonts w:eastAsia="Arial" w:cs="Arial"/>
                <w:szCs w:val="24"/>
              </w:rPr>
            </w:pPr>
          </w:p>
          <w:p w14:paraId="270A39CC" w14:textId="159BC061" w:rsidR="00A825A2" w:rsidRPr="00A32846" w:rsidRDefault="00A825A2" w:rsidP="0069385A">
            <w:pPr>
              <w:keepNext w:val="0"/>
              <w:numPr>
                <w:ilvl w:val="0"/>
                <w:numId w:val="43"/>
              </w:numPr>
              <w:spacing w:before="0"/>
              <w:ind w:left="720" w:right="284"/>
              <w:contextualSpacing/>
              <w:rPr>
                <w:rFonts w:eastAsia="Arial" w:cs="Arial"/>
                <w:szCs w:val="24"/>
              </w:rPr>
            </w:pPr>
            <w:r w:rsidRPr="00A32846">
              <w:rPr>
                <w:rFonts w:eastAsia="Arial" w:cs="Arial"/>
                <w:szCs w:val="24"/>
              </w:rPr>
              <w:t>Provi</w:t>
            </w:r>
            <w:r w:rsidR="00231A34" w:rsidRPr="00A32846">
              <w:rPr>
                <w:rFonts w:eastAsia="Arial" w:cs="Arial"/>
                <w:szCs w:val="24"/>
              </w:rPr>
              <w:t xml:space="preserve">sion of </w:t>
            </w:r>
            <w:r w:rsidRPr="00A32846">
              <w:rPr>
                <w:rFonts w:eastAsia="Arial" w:cs="Arial"/>
                <w:szCs w:val="24"/>
              </w:rPr>
              <w:t>sufficient school places in the form of expanded or new primary and secondary schools with larger developments setting aside land and/or contributing to the cost of delivering land for new schools where required</w:t>
            </w:r>
            <w:r w:rsidR="00627321" w:rsidRPr="00A32846">
              <w:rPr>
                <w:rFonts w:eastAsia="Arial" w:cs="Arial"/>
                <w:szCs w:val="24"/>
              </w:rPr>
              <w:t>.</w:t>
            </w:r>
          </w:p>
          <w:p w14:paraId="4E57FD22" w14:textId="77777777" w:rsidR="00A825A2" w:rsidRPr="00A32846" w:rsidRDefault="00A825A2" w:rsidP="0069385A">
            <w:pPr>
              <w:keepNext w:val="0"/>
              <w:tabs>
                <w:tab w:val="left" w:pos="680"/>
                <w:tab w:val="left" w:pos="1133"/>
                <w:tab w:val="left" w:pos="2267"/>
              </w:tabs>
              <w:spacing w:before="0"/>
              <w:ind w:right="284"/>
              <w:contextualSpacing/>
              <w:rPr>
                <w:rFonts w:eastAsia="Arial" w:cs="Arial"/>
                <w:szCs w:val="24"/>
              </w:rPr>
            </w:pPr>
            <w:r w:rsidRPr="00A32846">
              <w:rPr>
                <w:rFonts w:eastAsia="Arial" w:cs="Arial"/>
                <w:szCs w:val="24"/>
              </w:rPr>
              <w:t xml:space="preserve"> </w:t>
            </w:r>
          </w:p>
          <w:p w14:paraId="2096D9C5" w14:textId="31CE17DD" w:rsidR="00A825A2" w:rsidRPr="00A32846" w:rsidRDefault="00A825A2" w:rsidP="0069385A">
            <w:pPr>
              <w:keepNext w:val="0"/>
              <w:numPr>
                <w:ilvl w:val="0"/>
                <w:numId w:val="43"/>
              </w:numPr>
              <w:spacing w:before="0"/>
              <w:ind w:left="720" w:right="284"/>
              <w:contextualSpacing/>
              <w:rPr>
                <w:rFonts w:eastAsia="Arial" w:cs="Arial"/>
                <w:szCs w:val="24"/>
              </w:rPr>
            </w:pPr>
            <w:r w:rsidRPr="00A32846">
              <w:rPr>
                <w:rFonts w:eastAsia="Arial" w:cs="Arial"/>
                <w:szCs w:val="24"/>
              </w:rPr>
              <w:t>Facilitat</w:t>
            </w:r>
            <w:r w:rsidR="00864294" w:rsidRPr="00A32846">
              <w:rPr>
                <w:rFonts w:eastAsia="Arial" w:cs="Arial"/>
                <w:szCs w:val="24"/>
              </w:rPr>
              <w:t>ing</w:t>
            </w:r>
            <w:r w:rsidRPr="00A32846">
              <w:rPr>
                <w:rFonts w:eastAsia="Arial" w:cs="Arial"/>
                <w:szCs w:val="24"/>
              </w:rPr>
              <w:t xml:space="preserve"> and support</w:t>
            </w:r>
            <w:r w:rsidR="00864294" w:rsidRPr="00A32846">
              <w:rPr>
                <w:rFonts w:eastAsia="Arial" w:cs="Arial"/>
                <w:szCs w:val="24"/>
              </w:rPr>
              <w:t>ing</w:t>
            </w:r>
            <w:r w:rsidRPr="00A32846">
              <w:rPr>
                <w:rFonts w:eastAsia="Arial" w:cs="Arial"/>
                <w:szCs w:val="24"/>
              </w:rPr>
              <w:t xml:space="preserve"> provision of practical vocational training, apprenticeships, and further and higher education</w:t>
            </w:r>
            <w:r w:rsidR="00627321" w:rsidRPr="00A32846">
              <w:rPr>
                <w:rFonts w:eastAsia="Arial" w:cs="Arial"/>
                <w:szCs w:val="24"/>
              </w:rPr>
              <w:t>.</w:t>
            </w:r>
          </w:p>
          <w:p w14:paraId="562D1AEE" w14:textId="77777777" w:rsidR="00A825A2" w:rsidRPr="00A32846" w:rsidRDefault="00A825A2" w:rsidP="0069385A">
            <w:pPr>
              <w:keepNext w:val="0"/>
              <w:tabs>
                <w:tab w:val="left" w:pos="680"/>
                <w:tab w:val="left" w:pos="1133"/>
                <w:tab w:val="left" w:pos="2267"/>
              </w:tabs>
              <w:spacing w:before="0"/>
              <w:ind w:right="284"/>
              <w:contextualSpacing/>
              <w:rPr>
                <w:rFonts w:eastAsia="Arial" w:cs="Arial"/>
                <w:szCs w:val="24"/>
              </w:rPr>
            </w:pPr>
          </w:p>
          <w:p w14:paraId="1B6EF76D" w14:textId="34C7EDAF" w:rsidR="00A825A2" w:rsidRPr="00A32846" w:rsidRDefault="00A825A2" w:rsidP="0069385A">
            <w:pPr>
              <w:keepNext w:val="0"/>
              <w:numPr>
                <w:ilvl w:val="0"/>
                <w:numId w:val="43"/>
              </w:numPr>
              <w:spacing w:before="0"/>
              <w:ind w:left="720" w:right="284"/>
              <w:contextualSpacing/>
              <w:rPr>
                <w:rFonts w:eastAsia="Arial" w:cs="Arial"/>
                <w:szCs w:val="24"/>
              </w:rPr>
            </w:pPr>
            <w:r w:rsidRPr="00A32846">
              <w:rPr>
                <w:rFonts w:eastAsia="Arial" w:cs="Arial"/>
                <w:szCs w:val="24"/>
              </w:rPr>
              <w:t>Ensur</w:t>
            </w:r>
            <w:r w:rsidR="00864294" w:rsidRPr="00A32846">
              <w:rPr>
                <w:rFonts w:eastAsia="Arial" w:cs="Arial"/>
                <w:szCs w:val="24"/>
              </w:rPr>
              <w:t>ing</w:t>
            </w:r>
            <w:r w:rsidRPr="00A32846">
              <w:rPr>
                <w:rFonts w:eastAsia="Arial" w:cs="Arial"/>
                <w:szCs w:val="24"/>
              </w:rPr>
              <w:t xml:space="preserve"> that development positively contributes to creating healthy communities, where appropriate providing for or contribut</w:t>
            </w:r>
            <w:r w:rsidR="00864294" w:rsidRPr="00A32846">
              <w:rPr>
                <w:rFonts w:eastAsia="Arial" w:cs="Arial"/>
                <w:szCs w:val="24"/>
              </w:rPr>
              <w:t>ing</w:t>
            </w:r>
            <w:r w:rsidRPr="00A32846">
              <w:rPr>
                <w:rFonts w:eastAsia="Arial" w:cs="Arial"/>
                <w:szCs w:val="24"/>
              </w:rPr>
              <w:t xml:space="preserve"> towards essential health care and community infrastructure</w:t>
            </w:r>
            <w:r w:rsidR="00627321" w:rsidRPr="00A32846">
              <w:rPr>
                <w:rFonts w:eastAsia="Arial" w:cs="Arial"/>
                <w:szCs w:val="24"/>
              </w:rPr>
              <w:t>.</w:t>
            </w:r>
          </w:p>
          <w:p w14:paraId="0B16D7B5" w14:textId="77777777" w:rsidR="00A825A2" w:rsidRPr="00A32846" w:rsidRDefault="00A825A2" w:rsidP="0069385A">
            <w:pPr>
              <w:keepNext w:val="0"/>
              <w:spacing w:before="0"/>
              <w:ind w:right="284"/>
              <w:contextualSpacing/>
              <w:rPr>
                <w:rFonts w:eastAsia="Arial" w:cs="Arial"/>
                <w:szCs w:val="24"/>
              </w:rPr>
            </w:pPr>
          </w:p>
          <w:p w14:paraId="065DFCB2" w14:textId="1F699A58" w:rsidR="00A825A2" w:rsidRPr="00A32846" w:rsidRDefault="00A825A2" w:rsidP="0069385A">
            <w:pPr>
              <w:keepNext w:val="0"/>
              <w:numPr>
                <w:ilvl w:val="0"/>
                <w:numId w:val="43"/>
              </w:numPr>
              <w:spacing w:before="0"/>
              <w:ind w:left="720" w:right="284"/>
              <w:contextualSpacing/>
              <w:rPr>
                <w:rFonts w:eastAsia="Arial" w:cs="Arial"/>
                <w:szCs w:val="24"/>
              </w:rPr>
            </w:pPr>
            <w:r w:rsidRPr="00A32846">
              <w:rPr>
                <w:rFonts w:eastAsia="Arial" w:cs="Arial"/>
                <w:szCs w:val="24"/>
              </w:rPr>
              <w:t>Roll-out of full-fibre broadband to secure the earliest availability for universal broadband coverage and fastest connection speeds for all existing and new developments</w:t>
            </w:r>
            <w:r w:rsidR="00627321" w:rsidRPr="00A32846">
              <w:rPr>
                <w:rFonts w:eastAsia="Arial" w:cs="Arial"/>
                <w:szCs w:val="24"/>
              </w:rPr>
              <w:t>.</w:t>
            </w:r>
          </w:p>
          <w:p w14:paraId="5EB3E625" w14:textId="77777777" w:rsidR="00A825A2" w:rsidRPr="00A32846" w:rsidRDefault="00A825A2" w:rsidP="0069385A">
            <w:pPr>
              <w:keepNext w:val="0"/>
              <w:spacing w:before="0"/>
              <w:ind w:right="284"/>
              <w:contextualSpacing/>
              <w:rPr>
                <w:rFonts w:eastAsia="Arial" w:cs="Arial"/>
                <w:szCs w:val="24"/>
              </w:rPr>
            </w:pPr>
          </w:p>
          <w:p w14:paraId="734A71E2" w14:textId="51DEC791" w:rsidR="00A825A2" w:rsidRPr="00A32846" w:rsidRDefault="00A825A2" w:rsidP="0069385A">
            <w:pPr>
              <w:keepNext w:val="0"/>
              <w:numPr>
                <w:ilvl w:val="0"/>
                <w:numId w:val="43"/>
              </w:numPr>
              <w:spacing w:before="0"/>
              <w:ind w:left="720" w:right="284"/>
              <w:contextualSpacing/>
              <w:rPr>
                <w:rFonts w:eastAsia="Arial" w:cs="Arial"/>
                <w:szCs w:val="24"/>
              </w:rPr>
            </w:pPr>
            <w:r w:rsidRPr="00A32846">
              <w:rPr>
                <w:rFonts w:eastAsia="Calibri" w:cs="Arial"/>
                <w:szCs w:val="24"/>
              </w:rPr>
              <w:t xml:space="preserve">Improved connectivity by promoting more sustainable travel patterns, increase transport choice, providing better public transport infrastructure and services. </w:t>
            </w:r>
            <w:r w:rsidRPr="00A32846">
              <w:rPr>
                <w:rFonts w:eastAsia="Arial" w:cs="Arial"/>
                <w:szCs w:val="24"/>
              </w:rPr>
              <w:t>The delivery of sustainable transport networks should seek to provide</w:t>
            </w:r>
            <w:r w:rsidR="00864294" w:rsidRPr="00A32846">
              <w:rPr>
                <w:rFonts w:eastAsia="Arial" w:cs="Arial"/>
                <w:szCs w:val="24"/>
              </w:rPr>
              <w:t>:</w:t>
            </w:r>
          </w:p>
          <w:p w14:paraId="30EAC837" w14:textId="77777777" w:rsidR="00864294" w:rsidRPr="00A32846" w:rsidRDefault="00864294" w:rsidP="0069385A">
            <w:pPr>
              <w:keepNext w:val="0"/>
              <w:spacing w:before="0"/>
              <w:ind w:right="284"/>
              <w:contextualSpacing/>
              <w:rPr>
                <w:rFonts w:eastAsia="Arial" w:cs="Arial"/>
                <w:szCs w:val="24"/>
              </w:rPr>
            </w:pPr>
          </w:p>
          <w:p w14:paraId="09FFE816" w14:textId="77777777" w:rsidR="00A825A2" w:rsidRPr="00A32846" w:rsidRDefault="00A825A2" w:rsidP="0069385A">
            <w:pPr>
              <w:keepNext w:val="0"/>
              <w:numPr>
                <w:ilvl w:val="0"/>
                <w:numId w:val="37"/>
              </w:numPr>
              <w:spacing w:before="0"/>
              <w:ind w:right="284"/>
              <w:contextualSpacing/>
              <w:rPr>
                <w:rFonts w:eastAsia="Arial" w:cs="Arial"/>
                <w:szCs w:val="24"/>
              </w:rPr>
            </w:pPr>
            <w:r w:rsidRPr="00A32846">
              <w:rPr>
                <w:rFonts w:eastAsia="Arial" w:cs="Arial"/>
                <w:szCs w:val="24"/>
              </w:rPr>
              <w:t>Area wide travel demand management (policies to reduce travel by private car and incentives to use public transport, walking and cycling for appropriate journeys including travel planning);</w:t>
            </w:r>
          </w:p>
          <w:p w14:paraId="39774692" w14:textId="3E9B0ABB" w:rsidR="00A825A2" w:rsidRPr="00A32846" w:rsidRDefault="00A825A2" w:rsidP="0069385A">
            <w:pPr>
              <w:keepNext w:val="0"/>
              <w:numPr>
                <w:ilvl w:val="0"/>
                <w:numId w:val="37"/>
              </w:numPr>
              <w:spacing w:before="0"/>
              <w:ind w:right="284"/>
              <w:contextualSpacing/>
              <w:rPr>
                <w:rFonts w:eastAsia="Arial" w:cs="Arial"/>
                <w:szCs w:val="24"/>
              </w:rPr>
            </w:pPr>
            <w:r w:rsidRPr="00A32846">
              <w:rPr>
                <w:rFonts w:eastAsia="Arial" w:cs="Arial"/>
                <w:szCs w:val="24"/>
              </w:rPr>
              <w:t>Improvements to public transport services, and walking and cycling facilities</w:t>
            </w:r>
            <w:r w:rsidR="00A42FCF" w:rsidRPr="00A32846">
              <w:rPr>
                <w:rFonts w:eastAsia="Arial" w:cs="Arial"/>
                <w:szCs w:val="24"/>
              </w:rPr>
              <w:t>, including secure cycle parking</w:t>
            </w:r>
            <w:r w:rsidRPr="00A32846">
              <w:rPr>
                <w:rFonts w:eastAsia="Arial" w:cs="Arial"/>
                <w:szCs w:val="24"/>
              </w:rPr>
              <w:t>;</w:t>
            </w:r>
          </w:p>
          <w:p w14:paraId="2FDB19D2" w14:textId="0189270C" w:rsidR="00A825A2" w:rsidRPr="00A32846" w:rsidRDefault="00A825A2" w:rsidP="0069385A">
            <w:pPr>
              <w:keepNext w:val="0"/>
              <w:numPr>
                <w:ilvl w:val="0"/>
                <w:numId w:val="37"/>
              </w:numPr>
              <w:spacing w:before="0"/>
              <w:ind w:right="284"/>
              <w:contextualSpacing/>
              <w:rPr>
                <w:rFonts w:eastAsia="Arial" w:cs="Arial"/>
                <w:szCs w:val="24"/>
              </w:rPr>
            </w:pPr>
            <w:r w:rsidRPr="00A32846">
              <w:rPr>
                <w:rFonts w:eastAsia="Arial" w:cs="Arial"/>
                <w:szCs w:val="24"/>
              </w:rPr>
              <w:t>Optimisation of existing highway network to prioritise public transport and encourage walking and cycling;</w:t>
            </w:r>
            <w:r w:rsidR="0069385A" w:rsidRPr="00A32846">
              <w:rPr>
                <w:rFonts w:eastAsia="Arial" w:cs="Arial"/>
                <w:szCs w:val="24"/>
              </w:rPr>
              <w:t xml:space="preserve"> and</w:t>
            </w:r>
          </w:p>
          <w:p w14:paraId="037A4B69" w14:textId="77777777" w:rsidR="00A825A2" w:rsidRPr="00A32846" w:rsidRDefault="00A825A2" w:rsidP="0069385A">
            <w:pPr>
              <w:keepNext w:val="0"/>
              <w:numPr>
                <w:ilvl w:val="0"/>
                <w:numId w:val="37"/>
              </w:numPr>
              <w:spacing w:before="0"/>
              <w:ind w:right="284"/>
              <w:contextualSpacing/>
              <w:rPr>
                <w:rFonts w:eastAsia="Arial" w:cs="Arial"/>
                <w:szCs w:val="24"/>
              </w:rPr>
            </w:pPr>
            <w:r w:rsidRPr="00A32846">
              <w:rPr>
                <w:rFonts w:eastAsia="Arial" w:cs="Arial"/>
                <w:szCs w:val="24"/>
              </w:rPr>
              <w:t>Major highway capacity enhancements to deal with residual car demand.</w:t>
            </w:r>
          </w:p>
          <w:p w14:paraId="05AB9E84" w14:textId="77777777" w:rsidR="00A825A2" w:rsidRPr="00A32846" w:rsidRDefault="00A825A2" w:rsidP="0069385A">
            <w:pPr>
              <w:keepNext w:val="0"/>
              <w:spacing w:before="0"/>
              <w:ind w:left="1080" w:right="284"/>
              <w:contextualSpacing/>
              <w:rPr>
                <w:rFonts w:eastAsia="Arial" w:cs="Arial"/>
                <w:szCs w:val="24"/>
              </w:rPr>
            </w:pPr>
          </w:p>
          <w:p w14:paraId="23ECD73E" w14:textId="55B3B7A3" w:rsidR="00A825A2" w:rsidRPr="00A32846" w:rsidRDefault="00A825A2" w:rsidP="0069385A">
            <w:pPr>
              <w:keepNext w:val="0"/>
              <w:numPr>
                <w:ilvl w:val="0"/>
                <w:numId w:val="43"/>
              </w:numPr>
              <w:spacing w:before="0"/>
              <w:ind w:left="720" w:right="284"/>
              <w:contextualSpacing/>
              <w:rPr>
                <w:rFonts w:eastAsia="Arial" w:cs="Arial"/>
                <w:szCs w:val="24"/>
              </w:rPr>
            </w:pPr>
            <w:r w:rsidRPr="00A32846">
              <w:rPr>
                <w:rFonts w:eastAsia="Calibri" w:cs="Arial"/>
                <w:szCs w:val="24"/>
              </w:rPr>
              <w:t>Develop innovative strategies for the management of private car use and parking including support for electric car charging points</w:t>
            </w:r>
            <w:r w:rsidR="00627321" w:rsidRPr="00A32846">
              <w:rPr>
                <w:rFonts w:eastAsia="Calibri" w:cs="Arial"/>
                <w:szCs w:val="24"/>
              </w:rPr>
              <w:t>.</w:t>
            </w:r>
            <w:r w:rsidRPr="00A32846">
              <w:rPr>
                <w:rFonts w:eastAsia="Calibri" w:cs="Arial"/>
                <w:szCs w:val="24"/>
              </w:rPr>
              <w:t xml:space="preserve"> </w:t>
            </w:r>
          </w:p>
          <w:p w14:paraId="752B6E30" w14:textId="77777777" w:rsidR="00864294" w:rsidRPr="00A32846" w:rsidRDefault="00864294" w:rsidP="0069385A">
            <w:pPr>
              <w:keepNext w:val="0"/>
              <w:spacing w:before="0"/>
              <w:ind w:left="720" w:right="284"/>
              <w:contextualSpacing/>
              <w:rPr>
                <w:rFonts w:eastAsia="Arial" w:cs="Arial"/>
                <w:szCs w:val="24"/>
              </w:rPr>
            </w:pPr>
          </w:p>
          <w:p w14:paraId="2EE9811D" w14:textId="08AC138F" w:rsidR="00A825A2" w:rsidRPr="00A32846" w:rsidRDefault="00A825A2" w:rsidP="0069385A">
            <w:pPr>
              <w:keepNext w:val="0"/>
              <w:numPr>
                <w:ilvl w:val="0"/>
                <w:numId w:val="43"/>
              </w:numPr>
              <w:spacing w:before="0"/>
              <w:ind w:left="720" w:right="284"/>
              <w:contextualSpacing/>
              <w:rPr>
                <w:rFonts w:eastAsia="Arial" w:cs="Arial"/>
                <w:szCs w:val="24"/>
              </w:rPr>
            </w:pPr>
            <w:r w:rsidRPr="00A32846">
              <w:rPr>
                <w:rFonts w:eastAsia="Arial" w:cs="Arial"/>
                <w:szCs w:val="24"/>
              </w:rPr>
              <w:t>Improving railway connections and facilities, on the Robin Hood Line, the Maid Marian Line and the light rail system Nottingham Express Transit.</w:t>
            </w:r>
          </w:p>
          <w:p w14:paraId="307DD6C1" w14:textId="77777777" w:rsidR="00CF4EF1" w:rsidRPr="00A32846" w:rsidRDefault="00CF4EF1" w:rsidP="0069385A">
            <w:pPr>
              <w:keepNext w:val="0"/>
              <w:tabs>
                <w:tab w:val="left" w:pos="680"/>
                <w:tab w:val="left" w:pos="1133"/>
                <w:tab w:val="left" w:pos="2267"/>
              </w:tabs>
              <w:spacing w:before="0"/>
              <w:ind w:left="357" w:right="284"/>
              <w:rPr>
                <w:rFonts w:eastAsia="Arial" w:cs="Arial"/>
                <w:bCs/>
                <w:szCs w:val="24"/>
              </w:rPr>
            </w:pPr>
            <w:r w:rsidRPr="00A32846">
              <w:rPr>
                <w:rFonts w:eastAsia="Arial" w:cs="Arial"/>
                <w:bCs/>
              </w:rPr>
              <w:t xml:space="preserve">  </w:t>
            </w:r>
          </w:p>
          <w:p w14:paraId="66A46FDF" w14:textId="7B8B33CA" w:rsidR="00CF4EF1" w:rsidRPr="00A32846" w:rsidRDefault="00CF4EF1" w:rsidP="0069385A">
            <w:pPr>
              <w:keepNext w:val="0"/>
              <w:numPr>
                <w:ilvl w:val="0"/>
                <w:numId w:val="38"/>
              </w:numPr>
              <w:tabs>
                <w:tab w:val="left" w:pos="680"/>
                <w:tab w:val="left" w:pos="1133"/>
                <w:tab w:val="left" w:pos="2267"/>
              </w:tabs>
              <w:spacing w:before="0"/>
              <w:ind w:right="284"/>
              <w:rPr>
                <w:rFonts w:eastAsia="Arial" w:cs="Arial"/>
                <w:bCs/>
                <w:szCs w:val="24"/>
              </w:rPr>
            </w:pPr>
            <w:r w:rsidRPr="00A32846">
              <w:rPr>
                <w:rFonts w:eastAsia="Arial" w:cs="Arial"/>
                <w:bCs/>
              </w:rPr>
              <w:t>To make a positive contribution to the sustainable growth of Ashfield, proposed development, including development adjacent to, but outside the District boundary, shall contribute towards the economic, social and environmental infrastructure requirements of the area.</w:t>
            </w:r>
            <w:r w:rsidR="0069385A" w:rsidRPr="00A32846">
              <w:rPr>
                <w:rFonts w:eastAsia="Arial" w:cs="Arial"/>
                <w:bCs/>
              </w:rPr>
              <w:t xml:space="preserve"> </w:t>
            </w:r>
            <w:r w:rsidRPr="00A32846">
              <w:rPr>
                <w:rFonts w:eastAsia="Arial" w:cs="Arial"/>
                <w:bCs/>
              </w:rPr>
              <w:t xml:space="preserve">The nature and scale of the requirements will be commensurate with the form of the development together with its potential impact upon the surrounding area and will include:  </w:t>
            </w:r>
          </w:p>
          <w:p w14:paraId="4D649BF9" w14:textId="77777777" w:rsidR="00CF4EF1" w:rsidRPr="00A32846" w:rsidRDefault="00CF4EF1" w:rsidP="0069385A">
            <w:pPr>
              <w:keepNext w:val="0"/>
              <w:tabs>
                <w:tab w:val="left" w:pos="680"/>
                <w:tab w:val="left" w:pos="1133"/>
                <w:tab w:val="left" w:pos="2267"/>
              </w:tabs>
              <w:spacing w:before="0"/>
              <w:ind w:right="284"/>
              <w:rPr>
                <w:rFonts w:eastAsia="Arial" w:cs="Arial"/>
                <w:bCs/>
                <w:szCs w:val="24"/>
              </w:rPr>
            </w:pPr>
          </w:p>
          <w:p w14:paraId="32ADDC8F" w14:textId="2B4C4CD3" w:rsidR="00386A0E" w:rsidRPr="00A32846" w:rsidRDefault="00CF4EF1" w:rsidP="0069385A">
            <w:pPr>
              <w:pStyle w:val="ListParagraph"/>
              <w:numPr>
                <w:ilvl w:val="0"/>
                <w:numId w:val="40"/>
              </w:numPr>
              <w:spacing w:after="0" w:line="240" w:lineRule="auto"/>
              <w:rPr>
                <w:rFonts w:ascii="Arial" w:eastAsia="Arial" w:hAnsi="Arial" w:cs="Arial"/>
                <w:bCs/>
              </w:rPr>
            </w:pPr>
            <w:r w:rsidRPr="00A32846">
              <w:rPr>
                <w:rFonts w:ascii="Arial" w:eastAsia="Arial" w:hAnsi="Arial" w:cs="Arial"/>
                <w:bCs/>
              </w:rPr>
              <w:t>Meeting the reasonable cost of new infrastructure, facilities or services, on or off site, required as a consequence of the proposal</w:t>
            </w:r>
            <w:r w:rsidR="00C61685" w:rsidRPr="00A32846">
              <w:rPr>
                <w:rFonts w:ascii="Arial" w:eastAsia="Arial" w:hAnsi="Arial" w:cs="Arial"/>
                <w:bCs/>
              </w:rPr>
              <w:t xml:space="preserve"> enabling the cumulative impacts of development to be managed</w:t>
            </w:r>
            <w:r w:rsidR="0069385A" w:rsidRPr="00A32846">
              <w:rPr>
                <w:rFonts w:ascii="Arial" w:eastAsia="Arial" w:hAnsi="Arial" w:cs="Arial"/>
                <w:bCs/>
              </w:rPr>
              <w:t>;</w:t>
            </w:r>
          </w:p>
          <w:p w14:paraId="1A829E4D" w14:textId="77777777" w:rsidR="0069385A" w:rsidRPr="00A32846" w:rsidRDefault="0069385A" w:rsidP="0069385A">
            <w:pPr>
              <w:pStyle w:val="ListParagraph"/>
              <w:spacing w:after="0" w:line="240" w:lineRule="auto"/>
              <w:rPr>
                <w:rFonts w:ascii="Arial" w:eastAsia="Arial" w:hAnsi="Arial" w:cs="Arial"/>
                <w:bCs/>
              </w:rPr>
            </w:pPr>
          </w:p>
          <w:p w14:paraId="752BD46B" w14:textId="31197751" w:rsidR="00A02441" w:rsidRPr="00A32846" w:rsidRDefault="00A02441" w:rsidP="0069385A">
            <w:pPr>
              <w:pStyle w:val="ListParagraph"/>
              <w:numPr>
                <w:ilvl w:val="0"/>
                <w:numId w:val="40"/>
              </w:numPr>
              <w:spacing w:after="0" w:line="240" w:lineRule="auto"/>
              <w:rPr>
                <w:rFonts w:ascii="Arial" w:eastAsia="Arial" w:hAnsi="Arial" w:cs="Arial"/>
                <w:bCs/>
              </w:rPr>
            </w:pPr>
            <w:bookmarkStart w:id="89" w:name="_Hlk109713861"/>
            <w:r w:rsidRPr="00A32846">
              <w:rPr>
                <w:rFonts w:ascii="Arial" w:eastAsia="Arial" w:hAnsi="Arial" w:cs="Arial"/>
                <w:bCs/>
              </w:rPr>
              <w:t>Contributing retrospectively when it has been necessary to forward fund infrastructure projects in advance of anticipated housing growth</w:t>
            </w:r>
            <w:r w:rsidR="0069385A" w:rsidRPr="00A32846">
              <w:rPr>
                <w:rFonts w:ascii="Arial" w:eastAsia="Arial" w:hAnsi="Arial" w:cs="Arial"/>
                <w:bCs/>
              </w:rPr>
              <w:t>;</w:t>
            </w:r>
          </w:p>
          <w:bookmarkEnd w:id="89"/>
          <w:p w14:paraId="2D80FFBD" w14:textId="77777777" w:rsidR="00A02441" w:rsidRPr="00A32846" w:rsidRDefault="00A02441" w:rsidP="0069385A">
            <w:pPr>
              <w:pStyle w:val="ListParagraph"/>
              <w:spacing w:after="0" w:line="240" w:lineRule="auto"/>
              <w:rPr>
                <w:rFonts w:ascii="Arial" w:eastAsia="Arial" w:hAnsi="Arial" w:cs="Arial"/>
                <w:bCs/>
              </w:rPr>
            </w:pPr>
          </w:p>
          <w:p w14:paraId="2418DE13" w14:textId="48AF9B9D" w:rsidR="00CF4EF1" w:rsidRPr="00A32846" w:rsidRDefault="00CF4EF1" w:rsidP="0069385A">
            <w:pPr>
              <w:pStyle w:val="ListParagraph"/>
              <w:numPr>
                <w:ilvl w:val="0"/>
                <w:numId w:val="40"/>
              </w:numPr>
              <w:spacing w:after="0" w:line="240" w:lineRule="auto"/>
              <w:rPr>
                <w:rFonts w:ascii="Arial" w:eastAsia="Arial" w:hAnsi="Arial" w:cs="Arial"/>
                <w:bCs/>
              </w:rPr>
            </w:pPr>
            <w:r w:rsidRPr="00A32846">
              <w:rPr>
                <w:rFonts w:ascii="Arial" w:eastAsia="Arial" w:hAnsi="Arial" w:cs="Arial"/>
                <w:bCs/>
              </w:rPr>
              <w:t>Making the most effective use of existing infrastructure, facilities and services including the opportunities for co-location and multifunctional use of facilities</w:t>
            </w:r>
            <w:r w:rsidR="0069385A" w:rsidRPr="00A32846">
              <w:rPr>
                <w:rFonts w:ascii="Arial" w:eastAsia="Arial" w:hAnsi="Arial" w:cs="Arial"/>
                <w:bCs/>
              </w:rPr>
              <w:t>;</w:t>
            </w:r>
          </w:p>
          <w:p w14:paraId="5359691F" w14:textId="77777777" w:rsidR="00386A0E" w:rsidRPr="00A32846" w:rsidRDefault="00386A0E" w:rsidP="0069385A">
            <w:pPr>
              <w:spacing w:before="0"/>
              <w:rPr>
                <w:rFonts w:eastAsia="Arial" w:cs="Arial"/>
                <w:bCs/>
              </w:rPr>
            </w:pPr>
          </w:p>
          <w:p w14:paraId="180E742E" w14:textId="30D42DBF" w:rsidR="00CF4EF1" w:rsidRPr="00A32846" w:rsidRDefault="00CF4EF1" w:rsidP="0069385A">
            <w:pPr>
              <w:pStyle w:val="ListParagraph"/>
              <w:numPr>
                <w:ilvl w:val="0"/>
                <w:numId w:val="40"/>
              </w:numPr>
              <w:spacing w:after="0" w:line="240" w:lineRule="auto"/>
              <w:rPr>
                <w:rFonts w:ascii="Arial" w:eastAsia="Arial" w:hAnsi="Arial" w:cs="Arial"/>
                <w:bCs/>
              </w:rPr>
            </w:pPr>
            <w:r w:rsidRPr="00A32846">
              <w:rPr>
                <w:rFonts w:ascii="Arial" w:eastAsia="Arial" w:hAnsi="Arial" w:cs="Arial"/>
                <w:bCs/>
              </w:rPr>
              <w:t>Safeguarding the requirements of infrastructure providers, including but not limited to telecommunications equipment (particularly high speed broadband), electricity power lines, high pressure gas mains, educational facilities, health facilities and aquifer protection areas</w:t>
            </w:r>
            <w:r w:rsidR="0069385A" w:rsidRPr="00A32846">
              <w:rPr>
                <w:rFonts w:ascii="Arial" w:eastAsia="Arial" w:hAnsi="Arial" w:cs="Arial"/>
                <w:bCs/>
              </w:rPr>
              <w:t>; and</w:t>
            </w:r>
          </w:p>
          <w:p w14:paraId="2B04A286" w14:textId="77777777" w:rsidR="00386A0E" w:rsidRPr="00A32846" w:rsidRDefault="00386A0E" w:rsidP="0069385A">
            <w:pPr>
              <w:spacing w:before="0"/>
              <w:rPr>
                <w:rFonts w:eastAsia="Arial" w:cs="Arial"/>
                <w:bCs/>
              </w:rPr>
            </w:pPr>
          </w:p>
          <w:p w14:paraId="305CE7B3" w14:textId="77777777" w:rsidR="00627321" w:rsidRPr="00A32846" w:rsidRDefault="00CF4EF1" w:rsidP="0069385A">
            <w:pPr>
              <w:pStyle w:val="ListParagraph"/>
              <w:numPr>
                <w:ilvl w:val="0"/>
                <w:numId w:val="40"/>
              </w:numPr>
              <w:spacing w:after="0" w:line="240" w:lineRule="auto"/>
              <w:rPr>
                <w:rFonts w:ascii="Arial" w:eastAsia="Arial" w:hAnsi="Arial" w:cs="Arial"/>
                <w:bCs/>
              </w:rPr>
            </w:pPr>
            <w:r w:rsidRPr="00A32846">
              <w:rPr>
                <w:rFonts w:ascii="Arial" w:eastAsia="Arial" w:hAnsi="Arial" w:cs="Arial"/>
                <w:bCs/>
              </w:rPr>
              <w:t>Facilitating accessibility to facilities and services by a range of transport modes</w:t>
            </w:r>
            <w:r w:rsidR="00864294" w:rsidRPr="00A32846">
              <w:rPr>
                <w:rFonts w:ascii="Arial" w:eastAsia="Arial" w:hAnsi="Arial" w:cs="Arial"/>
                <w:bCs/>
              </w:rPr>
              <w:t>.</w:t>
            </w:r>
          </w:p>
          <w:p w14:paraId="2891F61D" w14:textId="4802D111" w:rsidR="0069385A" w:rsidRPr="00A32846" w:rsidRDefault="0069385A" w:rsidP="0069385A">
            <w:pPr>
              <w:spacing w:before="0"/>
              <w:rPr>
                <w:rFonts w:eastAsia="Arial" w:cs="Arial"/>
                <w:bCs/>
              </w:rPr>
            </w:pPr>
          </w:p>
        </w:tc>
      </w:tr>
      <w:tr w:rsidR="00CF4EF1" w:rsidRPr="003C7E62" w14:paraId="4CD8A99A" w14:textId="77777777" w:rsidTr="003C413D">
        <w:tc>
          <w:tcPr>
            <w:tcW w:w="1838" w:type="dxa"/>
            <w:shd w:val="clear" w:color="auto" w:fill="FFFFFF" w:themeFill="background1"/>
          </w:tcPr>
          <w:p w14:paraId="21D6C8E4" w14:textId="77777777" w:rsidR="00CF4EF1" w:rsidRPr="003C7E62" w:rsidRDefault="00CF4EF1" w:rsidP="000032A9">
            <w:pPr>
              <w:keepNext w:val="0"/>
              <w:tabs>
                <w:tab w:val="left" w:pos="680"/>
                <w:tab w:val="left" w:pos="1133"/>
                <w:tab w:val="left" w:pos="2267"/>
              </w:tabs>
              <w:spacing w:before="0"/>
              <w:ind w:right="284"/>
              <w:rPr>
                <w:rFonts w:eastAsia="Arial" w:cs="Arial"/>
                <w:bCs/>
                <w:color w:val="C00000"/>
                <w:szCs w:val="24"/>
              </w:rPr>
            </w:pPr>
            <w:r w:rsidRPr="003C7E62">
              <w:rPr>
                <w:rFonts w:eastAsia="Arial" w:cs="Arial"/>
                <w:bCs/>
                <w:color w:val="auto"/>
                <w:sz w:val="20"/>
              </w:rPr>
              <w:t>Evidence base</w:t>
            </w:r>
          </w:p>
        </w:tc>
        <w:tc>
          <w:tcPr>
            <w:tcW w:w="7655" w:type="dxa"/>
            <w:gridSpan w:val="2"/>
            <w:shd w:val="clear" w:color="auto" w:fill="FFFFFF" w:themeFill="background1"/>
          </w:tcPr>
          <w:p w14:paraId="059F6D58" w14:textId="48B458A5" w:rsidR="00E51D51" w:rsidRPr="00A32846" w:rsidRDefault="00E51D51" w:rsidP="000032A9">
            <w:pPr>
              <w:keepNext w:val="0"/>
              <w:numPr>
                <w:ilvl w:val="0"/>
                <w:numId w:val="39"/>
              </w:numPr>
              <w:tabs>
                <w:tab w:val="left" w:pos="680"/>
                <w:tab w:val="left" w:pos="1133"/>
                <w:tab w:val="left" w:pos="2267"/>
              </w:tabs>
              <w:spacing w:before="0" w:after="160" w:line="252" w:lineRule="auto"/>
              <w:ind w:right="284"/>
              <w:contextualSpacing/>
              <w:rPr>
                <w:rFonts w:eastAsia="Arial" w:cs="Arial"/>
                <w:bCs/>
                <w:sz w:val="20"/>
              </w:rPr>
            </w:pPr>
            <w:r w:rsidRPr="00A32846">
              <w:rPr>
                <w:rFonts w:eastAsia="Arial" w:cs="Arial"/>
                <w:bCs/>
                <w:sz w:val="20"/>
              </w:rPr>
              <w:t xml:space="preserve">Sustainability Appraisal </w:t>
            </w:r>
            <w:r w:rsidR="002D7365" w:rsidRPr="00A32846">
              <w:rPr>
                <w:rFonts w:eastAsia="Arial" w:cs="Arial"/>
                <w:bCs/>
                <w:sz w:val="20"/>
              </w:rPr>
              <w:t>202</w:t>
            </w:r>
            <w:r w:rsidR="00D022BB" w:rsidRPr="00A32846">
              <w:rPr>
                <w:rFonts w:eastAsia="Arial" w:cs="Arial"/>
                <w:bCs/>
                <w:sz w:val="20"/>
              </w:rPr>
              <w:t>3</w:t>
            </w:r>
            <w:r w:rsidR="002D7365" w:rsidRPr="00A32846">
              <w:rPr>
                <w:rFonts w:eastAsia="Arial" w:cs="Arial"/>
                <w:bCs/>
                <w:sz w:val="20"/>
              </w:rPr>
              <w:t xml:space="preserve">. </w:t>
            </w:r>
            <w:r w:rsidR="00D022BB" w:rsidRPr="00A32846">
              <w:rPr>
                <w:rFonts w:eastAsia="Arial" w:cs="Arial"/>
                <w:bCs/>
                <w:sz w:val="20"/>
              </w:rPr>
              <w:t>WSP UK Limited</w:t>
            </w:r>
            <w:r w:rsidR="002D7365" w:rsidRPr="00A32846">
              <w:rPr>
                <w:rFonts w:eastAsia="Arial" w:cs="Arial"/>
                <w:bCs/>
                <w:sz w:val="20"/>
              </w:rPr>
              <w:t>.</w:t>
            </w:r>
          </w:p>
          <w:p w14:paraId="47E58CFA" w14:textId="32D15080" w:rsidR="00CF4EF1" w:rsidRPr="000E778B" w:rsidRDefault="00CF4EF1" w:rsidP="000032A9">
            <w:pPr>
              <w:keepNext w:val="0"/>
              <w:numPr>
                <w:ilvl w:val="0"/>
                <w:numId w:val="39"/>
              </w:numPr>
              <w:tabs>
                <w:tab w:val="left" w:pos="680"/>
                <w:tab w:val="left" w:pos="1133"/>
                <w:tab w:val="left" w:pos="2267"/>
              </w:tabs>
              <w:spacing w:before="0" w:after="160" w:line="252" w:lineRule="auto"/>
              <w:ind w:right="284"/>
              <w:contextualSpacing/>
              <w:rPr>
                <w:rFonts w:eastAsia="Arial" w:cs="Arial"/>
                <w:bCs/>
                <w:color w:val="auto"/>
                <w:sz w:val="20"/>
              </w:rPr>
            </w:pPr>
            <w:r w:rsidRPr="000E778B">
              <w:rPr>
                <w:rFonts w:eastAsia="Arial" w:cs="Arial"/>
                <w:bCs/>
                <w:color w:val="auto"/>
                <w:sz w:val="20"/>
              </w:rPr>
              <w:t xml:space="preserve">Background Paper </w:t>
            </w:r>
            <w:r w:rsidR="007075B1" w:rsidRPr="000E778B">
              <w:rPr>
                <w:rFonts w:eastAsia="Arial" w:cs="Arial"/>
                <w:bCs/>
                <w:color w:val="auto"/>
                <w:sz w:val="20"/>
              </w:rPr>
              <w:t xml:space="preserve">No </w:t>
            </w:r>
            <w:r w:rsidRPr="000E778B">
              <w:rPr>
                <w:rFonts w:eastAsia="Arial" w:cs="Arial"/>
                <w:bCs/>
                <w:color w:val="auto"/>
                <w:sz w:val="20"/>
              </w:rPr>
              <w:t>5</w:t>
            </w:r>
            <w:r w:rsidR="007075B1" w:rsidRPr="000E778B">
              <w:rPr>
                <w:rFonts w:eastAsia="Arial" w:cs="Arial"/>
                <w:bCs/>
                <w:color w:val="auto"/>
                <w:sz w:val="20"/>
              </w:rPr>
              <w:t>:</w:t>
            </w:r>
            <w:r w:rsidRPr="000E778B">
              <w:rPr>
                <w:rFonts w:eastAsia="Arial" w:cs="Arial"/>
                <w:bCs/>
                <w:color w:val="auto"/>
                <w:sz w:val="20"/>
              </w:rPr>
              <w:t xml:space="preserve"> Infrastructure Delivery</w:t>
            </w:r>
            <w:r w:rsidR="007075B1" w:rsidRPr="000E778B">
              <w:rPr>
                <w:rFonts w:eastAsia="Arial" w:cs="Arial"/>
                <w:bCs/>
                <w:color w:val="auto"/>
                <w:sz w:val="20"/>
              </w:rPr>
              <w:t>, 202</w:t>
            </w:r>
            <w:r w:rsidR="000E778B" w:rsidRPr="000E778B">
              <w:rPr>
                <w:rFonts w:eastAsia="Arial" w:cs="Arial"/>
                <w:bCs/>
                <w:color w:val="auto"/>
                <w:sz w:val="20"/>
              </w:rPr>
              <w:t>3</w:t>
            </w:r>
            <w:r w:rsidR="002D7365" w:rsidRPr="000E778B">
              <w:rPr>
                <w:rFonts w:eastAsia="Arial" w:cs="Arial"/>
                <w:bCs/>
                <w:color w:val="auto"/>
                <w:sz w:val="20"/>
              </w:rPr>
              <w:t xml:space="preserve">. </w:t>
            </w:r>
            <w:r w:rsidRPr="000E778B">
              <w:rPr>
                <w:rFonts w:eastAsia="Arial" w:cs="Arial"/>
                <w:bCs/>
                <w:color w:val="auto"/>
                <w:sz w:val="20"/>
              </w:rPr>
              <w:t>Ashfield District Council</w:t>
            </w:r>
            <w:r w:rsidR="002D7365" w:rsidRPr="000E778B">
              <w:rPr>
                <w:rFonts w:eastAsia="Arial" w:cs="Arial"/>
                <w:bCs/>
                <w:color w:val="auto"/>
                <w:sz w:val="20"/>
              </w:rPr>
              <w:t>.</w:t>
            </w:r>
          </w:p>
          <w:p w14:paraId="6EB23DEE" w14:textId="5F390D60" w:rsidR="00CF4EF1" w:rsidRPr="00A32846" w:rsidRDefault="00CF4EF1" w:rsidP="000032A9">
            <w:pPr>
              <w:keepNext w:val="0"/>
              <w:numPr>
                <w:ilvl w:val="0"/>
                <w:numId w:val="39"/>
              </w:numPr>
              <w:tabs>
                <w:tab w:val="left" w:pos="680"/>
                <w:tab w:val="left" w:pos="1133"/>
                <w:tab w:val="left" w:pos="2267"/>
              </w:tabs>
              <w:spacing w:before="0" w:after="160" w:line="252" w:lineRule="auto"/>
              <w:ind w:right="284"/>
              <w:contextualSpacing/>
              <w:rPr>
                <w:rFonts w:eastAsia="Arial" w:cs="Arial"/>
                <w:bCs/>
                <w:sz w:val="20"/>
              </w:rPr>
            </w:pPr>
            <w:r w:rsidRPr="00A32846">
              <w:rPr>
                <w:rFonts w:eastAsia="Calibri" w:cs="Arial"/>
                <w:sz w:val="20"/>
                <w:lang w:eastAsia="en-US"/>
              </w:rPr>
              <w:t xml:space="preserve">Ashfield Transport Study </w:t>
            </w:r>
            <w:r w:rsidR="002D7365" w:rsidRPr="00A32846">
              <w:rPr>
                <w:rFonts w:eastAsia="Calibri" w:cs="Arial"/>
                <w:sz w:val="20"/>
                <w:lang w:eastAsia="en-US"/>
              </w:rPr>
              <w:t>20</w:t>
            </w:r>
            <w:r w:rsidR="00A32846">
              <w:rPr>
                <w:rFonts w:eastAsia="Calibri" w:cs="Arial"/>
                <w:sz w:val="20"/>
                <w:lang w:eastAsia="en-US"/>
              </w:rPr>
              <w:t>23</w:t>
            </w:r>
            <w:r w:rsidR="002D7365" w:rsidRPr="00A32846">
              <w:rPr>
                <w:rFonts w:eastAsia="Calibri" w:cs="Arial"/>
                <w:sz w:val="20"/>
                <w:lang w:eastAsia="en-US"/>
              </w:rPr>
              <w:t xml:space="preserve">. </w:t>
            </w:r>
            <w:r w:rsidRPr="00A32846">
              <w:rPr>
                <w:rFonts w:eastAsia="Calibri" w:cs="Arial"/>
                <w:sz w:val="20"/>
                <w:lang w:eastAsia="en-US"/>
              </w:rPr>
              <w:t>Systra</w:t>
            </w:r>
            <w:r w:rsidR="002D7365" w:rsidRPr="00A32846">
              <w:rPr>
                <w:rFonts w:eastAsia="Calibri" w:cs="Arial"/>
                <w:sz w:val="20"/>
                <w:lang w:eastAsia="en-US"/>
              </w:rPr>
              <w:t>.</w:t>
            </w:r>
            <w:r w:rsidRPr="00A32846">
              <w:rPr>
                <w:rFonts w:eastAsia="Calibri" w:cs="Arial"/>
                <w:sz w:val="20"/>
                <w:lang w:eastAsia="en-US"/>
              </w:rPr>
              <w:t xml:space="preserve"> </w:t>
            </w:r>
          </w:p>
          <w:p w14:paraId="52DB5C9D" w14:textId="77777777" w:rsidR="00E963E4" w:rsidRPr="00A32846" w:rsidRDefault="00E963E4" w:rsidP="000032A9">
            <w:pPr>
              <w:keepNext w:val="0"/>
              <w:numPr>
                <w:ilvl w:val="0"/>
                <w:numId w:val="39"/>
              </w:numPr>
              <w:tabs>
                <w:tab w:val="left" w:pos="680"/>
                <w:tab w:val="left" w:pos="1133"/>
                <w:tab w:val="left" w:pos="2267"/>
              </w:tabs>
              <w:spacing w:before="0" w:after="160" w:line="252" w:lineRule="auto"/>
              <w:ind w:right="284"/>
              <w:contextualSpacing/>
              <w:rPr>
                <w:rFonts w:eastAsia="Arial" w:cs="Arial"/>
                <w:bCs/>
                <w:sz w:val="20"/>
              </w:rPr>
            </w:pPr>
            <w:r w:rsidRPr="00A32846">
              <w:rPr>
                <w:rFonts w:eastAsia="Arial" w:cs="Arial"/>
                <w:bCs/>
                <w:sz w:val="20"/>
              </w:rPr>
              <w:t>Maid Marian Rail Extension Economic Impact Analysis 2020. Lichfields.</w:t>
            </w:r>
          </w:p>
          <w:p w14:paraId="4B3DC3A2" w14:textId="77777777" w:rsidR="00E963E4" w:rsidRPr="00A32846" w:rsidRDefault="00E963E4" w:rsidP="000032A9">
            <w:pPr>
              <w:keepNext w:val="0"/>
              <w:numPr>
                <w:ilvl w:val="0"/>
                <w:numId w:val="39"/>
              </w:numPr>
              <w:tabs>
                <w:tab w:val="left" w:pos="680"/>
                <w:tab w:val="left" w:pos="1133"/>
                <w:tab w:val="left" w:pos="2267"/>
              </w:tabs>
              <w:spacing w:before="0" w:after="160" w:line="252" w:lineRule="auto"/>
              <w:ind w:right="284"/>
              <w:contextualSpacing/>
              <w:rPr>
                <w:rFonts w:eastAsia="Arial" w:cs="Arial"/>
                <w:bCs/>
                <w:sz w:val="20"/>
              </w:rPr>
            </w:pPr>
            <w:r w:rsidRPr="00A32846">
              <w:rPr>
                <w:rFonts w:eastAsia="Arial" w:cs="Arial"/>
                <w:bCs/>
                <w:sz w:val="20"/>
              </w:rPr>
              <w:t>Maid Marian Rail Extension - Ashfield Masterplan Report 2020.  Ashfield District Council and Mansfield District Council.</w:t>
            </w:r>
          </w:p>
          <w:p w14:paraId="4407581E" w14:textId="77777777" w:rsidR="006E3758" w:rsidRPr="00A32846" w:rsidRDefault="006E3758" w:rsidP="006E3758">
            <w:pPr>
              <w:keepNext w:val="0"/>
              <w:numPr>
                <w:ilvl w:val="0"/>
                <w:numId w:val="39"/>
              </w:numPr>
              <w:tabs>
                <w:tab w:val="left" w:pos="680"/>
                <w:tab w:val="left" w:pos="1133"/>
                <w:tab w:val="left" w:pos="2267"/>
              </w:tabs>
              <w:spacing w:before="0" w:after="160" w:line="252" w:lineRule="auto"/>
              <w:ind w:right="284"/>
              <w:contextualSpacing/>
              <w:rPr>
                <w:rFonts w:eastAsia="Arial" w:cs="Arial"/>
                <w:bCs/>
                <w:sz w:val="20"/>
              </w:rPr>
            </w:pPr>
            <w:r w:rsidRPr="00A32846">
              <w:rPr>
                <w:rFonts w:eastAsia="Arial" w:cs="Arial"/>
                <w:bCs/>
                <w:sz w:val="20"/>
              </w:rPr>
              <w:t>Gear change: a bold vision for cycling and walking (2020) Department for Transport</w:t>
            </w:r>
          </w:p>
          <w:p w14:paraId="5151DEAE" w14:textId="5351BBC4" w:rsidR="006E3758" w:rsidRPr="00A32846" w:rsidRDefault="006E3758" w:rsidP="006E3758">
            <w:pPr>
              <w:keepNext w:val="0"/>
              <w:numPr>
                <w:ilvl w:val="0"/>
                <w:numId w:val="39"/>
              </w:numPr>
              <w:tabs>
                <w:tab w:val="left" w:pos="680"/>
                <w:tab w:val="left" w:pos="1133"/>
                <w:tab w:val="left" w:pos="2267"/>
              </w:tabs>
              <w:spacing w:before="0" w:after="160" w:line="252" w:lineRule="auto"/>
              <w:ind w:right="284"/>
              <w:contextualSpacing/>
              <w:rPr>
                <w:rFonts w:eastAsia="Arial" w:cs="Arial"/>
                <w:bCs/>
                <w:sz w:val="20"/>
              </w:rPr>
            </w:pPr>
            <w:r w:rsidRPr="00A32846">
              <w:rPr>
                <w:rFonts w:eastAsia="Arial" w:cs="Arial"/>
                <w:bCs/>
                <w:sz w:val="20"/>
              </w:rPr>
              <w:t>Securing developer contributions for education, April 2019. Department for Education.</w:t>
            </w:r>
          </w:p>
        </w:tc>
      </w:tr>
      <w:tr w:rsidR="00CF4EF1" w:rsidRPr="003C7E62" w14:paraId="4399198E" w14:textId="77777777" w:rsidTr="003C413D">
        <w:trPr>
          <w:trHeight w:val="1699"/>
        </w:trPr>
        <w:tc>
          <w:tcPr>
            <w:tcW w:w="1838" w:type="dxa"/>
            <w:shd w:val="clear" w:color="auto" w:fill="FFFFFF" w:themeFill="background1"/>
          </w:tcPr>
          <w:p w14:paraId="2EEF6478" w14:textId="77777777" w:rsidR="00CF4EF1" w:rsidRPr="003C7E62" w:rsidRDefault="00CF4EF1" w:rsidP="000032A9">
            <w:pPr>
              <w:keepNext w:val="0"/>
              <w:tabs>
                <w:tab w:val="left" w:pos="680"/>
                <w:tab w:val="left" w:pos="1133"/>
                <w:tab w:val="left" w:pos="2267"/>
              </w:tabs>
              <w:spacing w:before="0"/>
              <w:ind w:right="284"/>
              <w:contextualSpacing/>
              <w:rPr>
                <w:rFonts w:eastAsia="Arial" w:cs="Arial"/>
                <w:bCs/>
                <w:color w:val="auto"/>
                <w:szCs w:val="24"/>
              </w:rPr>
            </w:pPr>
            <w:r w:rsidRPr="003C7E62">
              <w:rPr>
                <w:rFonts w:eastAsia="Arial" w:cs="Arial"/>
                <w:bCs/>
                <w:color w:val="auto"/>
                <w:sz w:val="20"/>
              </w:rPr>
              <w:t>National Planning Policy &amp; Guidance</w:t>
            </w:r>
          </w:p>
        </w:tc>
        <w:tc>
          <w:tcPr>
            <w:tcW w:w="7655" w:type="dxa"/>
            <w:gridSpan w:val="2"/>
            <w:shd w:val="clear" w:color="auto" w:fill="FFFFFF" w:themeFill="background1"/>
          </w:tcPr>
          <w:p w14:paraId="52B1C89B" w14:textId="753B57B7" w:rsidR="00CF4EF1" w:rsidRPr="003C7E62" w:rsidRDefault="00E51D51" w:rsidP="000032A9">
            <w:pPr>
              <w:keepNext w:val="0"/>
              <w:numPr>
                <w:ilvl w:val="0"/>
                <w:numId w:val="39"/>
              </w:numPr>
              <w:spacing w:before="0"/>
              <w:rPr>
                <w:rFonts w:cs="Arial"/>
                <w:color w:val="auto"/>
                <w:sz w:val="22"/>
                <w:szCs w:val="22"/>
                <w:lang w:eastAsia="en-US"/>
              </w:rPr>
            </w:pPr>
            <w:r w:rsidRPr="003C7E62">
              <w:rPr>
                <w:rFonts w:eastAsia="Arial" w:cs="Arial"/>
                <w:bCs/>
                <w:color w:val="auto"/>
                <w:sz w:val="20"/>
              </w:rPr>
              <w:t xml:space="preserve">NPPF </w:t>
            </w:r>
            <w:r w:rsidR="002D7365" w:rsidRPr="003C7E62">
              <w:rPr>
                <w:rFonts w:eastAsia="Arial" w:cs="Arial"/>
                <w:bCs/>
                <w:color w:val="auto"/>
                <w:sz w:val="20"/>
              </w:rPr>
              <w:t>20</w:t>
            </w:r>
            <w:r w:rsidR="00AE71BE" w:rsidRPr="003C7E62">
              <w:rPr>
                <w:rFonts w:eastAsia="Arial" w:cs="Arial"/>
                <w:bCs/>
                <w:color w:val="auto"/>
                <w:sz w:val="20"/>
              </w:rPr>
              <w:t>2</w:t>
            </w:r>
            <w:r w:rsidR="00A37A61">
              <w:rPr>
                <w:rFonts w:eastAsia="Arial" w:cs="Arial"/>
                <w:bCs/>
                <w:color w:val="auto"/>
                <w:sz w:val="20"/>
              </w:rPr>
              <w:t>3</w:t>
            </w:r>
            <w:r w:rsidR="002D7365" w:rsidRPr="003C7E62">
              <w:rPr>
                <w:rFonts w:eastAsia="Arial" w:cs="Arial"/>
                <w:bCs/>
                <w:color w:val="auto"/>
                <w:sz w:val="20"/>
              </w:rPr>
              <w:t xml:space="preserve">, </w:t>
            </w:r>
            <w:r w:rsidR="00CF4EF1" w:rsidRPr="003C7E62">
              <w:rPr>
                <w:rFonts w:eastAsia="Arial" w:cs="Arial"/>
                <w:bCs/>
                <w:color w:val="auto"/>
                <w:sz w:val="20"/>
              </w:rPr>
              <w:t>Part 2</w:t>
            </w:r>
            <w:r w:rsidR="002D7365" w:rsidRPr="003C7E62">
              <w:rPr>
                <w:rFonts w:eastAsia="Arial" w:cs="Arial"/>
                <w:bCs/>
                <w:color w:val="auto"/>
                <w:sz w:val="20"/>
              </w:rPr>
              <w:t>:</w:t>
            </w:r>
            <w:r w:rsidR="00CF4EF1" w:rsidRPr="003C7E62">
              <w:rPr>
                <w:rFonts w:eastAsia="Arial" w:cs="Arial"/>
                <w:bCs/>
                <w:color w:val="auto"/>
                <w:sz w:val="20"/>
              </w:rPr>
              <w:t xml:space="preserve"> Achieving sustainable development</w:t>
            </w:r>
            <w:r w:rsidR="002D7365" w:rsidRPr="003C7E62">
              <w:rPr>
                <w:rFonts w:eastAsia="Arial" w:cs="Arial"/>
                <w:bCs/>
                <w:color w:val="auto"/>
                <w:sz w:val="20"/>
              </w:rPr>
              <w:t>.</w:t>
            </w:r>
          </w:p>
          <w:p w14:paraId="6E2DD4D7" w14:textId="393B3E27" w:rsidR="00CF4EF1" w:rsidRPr="003C7E62" w:rsidRDefault="00E51D51" w:rsidP="000032A9">
            <w:pPr>
              <w:keepNext w:val="0"/>
              <w:numPr>
                <w:ilvl w:val="0"/>
                <w:numId w:val="39"/>
              </w:numPr>
              <w:spacing w:before="0"/>
              <w:rPr>
                <w:rFonts w:cs="Arial"/>
                <w:color w:val="auto"/>
                <w:sz w:val="22"/>
                <w:szCs w:val="22"/>
                <w:lang w:eastAsia="en-US"/>
              </w:rPr>
            </w:pPr>
            <w:r w:rsidRPr="003C7E62">
              <w:rPr>
                <w:rFonts w:eastAsia="Calibri" w:cs="Arial"/>
                <w:color w:val="auto"/>
                <w:sz w:val="20"/>
                <w:lang w:eastAsia="en-US"/>
              </w:rPr>
              <w:t xml:space="preserve">NPPF </w:t>
            </w:r>
            <w:r w:rsidR="002D7365" w:rsidRPr="003C7E62">
              <w:rPr>
                <w:rFonts w:eastAsia="Calibri" w:cs="Arial"/>
                <w:color w:val="auto"/>
                <w:sz w:val="20"/>
                <w:lang w:eastAsia="en-US"/>
              </w:rPr>
              <w:t>20</w:t>
            </w:r>
            <w:r w:rsidR="00AE71BE" w:rsidRPr="003C7E62">
              <w:rPr>
                <w:rFonts w:eastAsia="Calibri" w:cs="Arial"/>
                <w:color w:val="auto"/>
                <w:sz w:val="20"/>
                <w:lang w:eastAsia="en-US"/>
              </w:rPr>
              <w:t>2</w:t>
            </w:r>
            <w:r w:rsidR="00A37A61">
              <w:rPr>
                <w:rFonts w:eastAsia="Calibri" w:cs="Arial"/>
                <w:color w:val="auto"/>
                <w:sz w:val="20"/>
                <w:lang w:eastAsia="en-US"/>
              </w:rPr>
              <w:t>3</w:t>
            </w:r>
            <w:r w:rsidR="002D7365" w:rsidRPr="003C7E62">
              <w:rPr>
                <w:rFonts w:eastAsia="Calibri" w:cs="Arial"/>
                <w:color w:val="auto"/>
                <w:sz w:val="20"/>
                <w:lang w:eastAsia="en-US"/>
              </w:rPr>
              <w:t xml:space="preserve">, </w:t>
            </w:r>
            <w:r w:rsidR="00CF4EF1" w:rsidRPr="003C7E62">
              <w:rPr>
                <w:rFonts w:eastAsia="Calibri" w:cs="Arial"/>
                <w:color w:val="auto"/>
                <w:sz w:val="20"/>
                <w:lang w:eastAsia="en-US"/>
              </w:rPr>
              <w:t>Part 3</w:t>
            </w:r>
            <w:r w:rsidR="002D7365" w:rsidRPr="003C7E62">
              <w:rPr>
                <w:rFonts w:eastAsia="Calibri" w:cs="Arial"/>
                <w:color w:val="auto"/>
                <w:sz w:val="20"/>
                <w:lang w:eastAsia="en-US"/>
              </w:rPr>
              <w:t>:</w:t>
            </w:r>
            <w:r w:rsidR="00CF4EF1" w:rsidRPr="003C7E62">
              <w:rPr>
                <w:rFonts w:eastAsia="Calibri" w:cs="Arial"/>
                <w:color w:val="auto"/>
                <w:sz w:val="20"/>
                <w:lang w:eastAsia="en-US"/>
              </w:rPr>
              <w:t xml:space="preserve"> Plan making</w:t>
            </w:r>
            <w:r w:rsidR="002D7365" w:rsidRPr="003C7E62">
              <w:rPr>
                <w:rFonts w:eastAsia="Calibri" w:cs="Arial"/>
                <w:color w:val="auto"/>
                <w:sz w:val="20"/>
                <w:lang w:eastAsia="en-US"/>
              </w:rPr>
              <w:t>.</w:t>
            </w:r>
          </w:p>
          <w:p w14:paraId="7D727D1E" w14:textId="270610EC" w:rsidR="00CF4EF1" w:rsidRPr="003C7E62" w:rsidRDefault="00E51D51" w:rsidP="000032A9">
            <w:pPr>
              <w:keepNext w:val="0"/>
              <w:numPr>
                <w:ilvl w:val="0"/>
                <w:numId w:val="39"/>
              </w:numPr>
              <w:spacing w:before="0"/>
              <w:rPr>
                <w:rFonts w:cs="Arial"/>
                <w:color w:val="auto"/>
                <w:sz w:val="22"/>
                <w:szCs w:val="22"/>
                <w:lang w:eastAsia="en-US"/>
              </w:rPr>
            </w:pPr>
            <w:r w:rsidRPr="003C7E62">
              <w:rPr>
                <w:rFonts w:eastAsia="Arial" w:cs="Arial"/>
                <w:bCs/>
                <w:color w:val="auto"/>
                <w:sz w:val="20"/>
              </w:rPr>
              <w:t>NPPF</w:t>
            </w:r>
            <w:r w:rsidR="002D7365" w:rsidRPr="003C7E62">
              <w:rPr>
                <w:rFonts w:eastAsia="Arial" w:cs="Arial"/>
                <w:bCs/>
                <w:color w:val="auto"/>
                <w:sz w:val="20"/>
              </w:rPr>
              <w:t xml:space="preserve"> 20</w:t>
            </w:r>
            <w:r w:rsidR="00AE71BE" w:rsidRPr="003C7E62">
              <w:rPr>
                <w:rFonts w:eastAsia="Arial" w:cs="Arial"/>
                <w:bCs/>
                <w:color w:val="auto"/>
                <w:sz w:val="20"/>
              </w:rPr>
              <w:t>2</w:t>
            </w:r>
            <w:r w:rsidR="00A37A61">
              <w:rPr>
                <w:rFonts w:eastAsia="Arial" w:cs="Arial"/>
                <w:bCs/>
                <w:color w:val="auto"/>
                <w:sz w:val="20"/>
              </w:rPr>
              <w:t>3</w:t>
            </w:r>
            <w:r w:rsidR="002D7365" w:rsidRPr="003C7E62">
              <w:rPr>
                <w:rFonts w:eastAsia="Arial" w:cs="Arial"/>
                <w:bCs/>
                <w:color w:val="auto"/>
                <w:sz w:val="20"/>
              </w:rPr>
              <w:t xml:space="preserve">, </w:t>
            </w:r>
            <w:r w:rsidRPr="003C7E62">
              <w:rPr>
                <w:rFonts w:eastAsia="Calibri" w:cs="Arial"/>
                <w:color w:val="auto"/>
                <w:sz w:val="20"/>
                <w:lang w:eastAsia="en-US"/>
              </w:rPr>
              <w:t>P</w:t>
            </w:r>
            <w:r w:rsidR="00CF4EF1" w:rsidRPr="003C7E62">
              <w:rPr>
                <w:rFonts w:eastAsia="Calibri" w:cs="Arial"/>
                <w:color w:val="auto"/>
                <w:sz w:val="20"/>
                <w:lang w:eastAsia="en-US"/>
              </w:rPr>
              <w:t>art 4</w:t>
            </w:r>
            <w:r w:rsidR="002D7365" w:rsidRPr="003C7E62">
              <w:rPr>
                <w:rFonts w:eastAsia="Calibri" w:cs="Arial"/>
                <w:color w:val="auto"/>
                <w:sz w:val="20"/>
                <w:lang w:eastAsia="en-US"/>
              </w:rPr>
              <w:t>:</w:t>
            </w:r>
            <w:r w:rsidR="00CF4EF1" w:rsidRPr="003C7E62">
              <w:rPr>
                <w:rFonts w:eastAsia="Calibri" w:cs="Arial"/>
                <w:color w:val="auto"/>
                <w:sz w:val="20"/>
                <w:lang w:eastAsia="en-US"/>
              </w:rPr>
              <w:t xml:space="preserve"> Decision Making</w:t>
            </w:r>
            <w:r w:rsidR="002D7365" w:rsidRPr="003C7E62">
              <w:rPr>
                <w:rFonts w:eastAsia="Calibri" w:cs="Arial"/>
                <w:color w:val="auto"/>
                <w:sz w:val="20"/>
                <w:lang w:eastAsia="en-US"/>
              </w:rPr>
              <w:t>.</w:t>
            </w:r>
          </w:p>
          <w:p w14:paraId="1D9AE316" w14:textId="2FB43779" w:rsidR="00CF4EF1" w:rsidRPr="003C7E62" w:rsidRDefault="00E51D51" w:rsidP="000032A9">
            <w:pPr>
              <w:keepNext w:val="0"/>
              <w:numPr>
                <w:ilvl w:val="0"/>
                <w:numId w:val="39"/>
              </w:numPr>
              <w:spacing w:before="0"/>
              <w:rPr>
                <w:rFonts w:cs="Arial"/>
                <w:color w:val="auto"/>
                <w:sz w:val="22"/>
                <w:szCs w:val="22"/>
                <w:lang w:eastAsia="en-US"/>
              </w:rPr>
            </w:pPr>
            <w:r w:rsidRPr="003C7E62">
              <w:rPr>
                <w:rFonts w:eastAsia="Arial" w:cs="Arial"/>
                <w:bCs/>
                <w:color w:val="auto"/>
                <w:sz w:val="20"/>
              </w:rPr>
              <w:t>NPPF</w:t>
            </w:r>
            <w:r w:rsidRPr="003C7E62">
              <w:rPr>
                <w:rFonts w:cs="Arial"/>
                <w:color w:val="auto"/>
                <w:sz w:val="20"/>
                <w:lang w:eastAsia="en-US"/>
              </w:rPr>
              <w:t xml:space="preserve"> </w:t>
            </w:r>
            <w:r w:rsidR="002D7365" w:rsidRPr="003C7E62">
              <w:rPr>
                <w:rFonts w:cs="Arial"/>
                <w:color w:val="auto"/>
                <w:sz w:val="20"/>
                <w:lang w:eastAsia="en-US"/>
              </w:rPr>
              <w:t>20</w:t>
            </w:r>
            <w:r w:rsidR="00AE71BE" w:rsidRPr="003C7E62">
              <w:rPr>
                <w:rFonts w:cs="Arial"/>
                <w:color w:val="auto"/>
                <w:sz w:val="20"/>
                <w:lang w:eastAsia="en-US"/>
              </w:rPr>
              <w:t>2</w:t>
            </w:r>
            <w:r w:rsidR="00A37A61">
              <w:rPr>
                <w:rFonts w:cs="Arial"/>
                <w:color w:val="auto"/>
                <w:sz w:val="20"/>
                <w:lang w:eastAsia="en-US"/>
              </w:rPr>
              <w:t>3</w:t>
            </w:r>
            <w:r w:rsidR="002D7365" w:rsidRPr="003C7E62">
              <w:rPr>
                <w:rFonts w:cs="Arial"/>
                <w:color w:val="auto"/>
                <w:sz w:val="20"/>
                <w:lang w:eastAsia="en-US"/>
              </w:rPr>
              <w:t xml:space="preserve">, </w:t>
            </w:r>
            <w:r w:rsidR="00CF4EF1" w:rsidRPr="003C7E62">
              <w:rPr>
                <w:rFonts w:cs="Arial"/>
                <w:color w:val="auto"/>
                <w:sz w:val="20"/>
                <w:lang w:eastAsia="en-US"/>
              </w:rPr>
              <w:t xml:space="preserve">Part 5. </w:t>
            </w:r>
            <w:r w:rsidR="00CF4EF1" w:rsidRPr="003C7E62">
              <w:rPr>
                <w:rFonts w:eastAsia="Calibri" w:cs="Arial"/>
                <w:bCs/>
                <w:color w:val="auto"/>
                <w:sz w:val="20"/>
                <w:lang w:eastAsia="en-US"/>
              </w:rPr>
              <w:t>Delivering a sufficient supply of homes</w:t>
            </w:r>
            <w:r w:rsidR="002D7365" w:rsidRPr="003C7E62">
              <w:rPr>
                <w:rFonts w:eastAsia="Calibri" w:cs="Arial"/>
                <w:bCs/>
                <w:color w:val="auto"/>
                <w:sz w:val="20"/>
                <w:lang w:eastAsia="en-US"/>
              </w:rPr>
              <w:t>.</w:t>
            </w:r>
            <w:r w:rsidR="00CF4EF1" w:rsidRPr="003C7E62">
              <w:rPr>
                <w:rFonts w:cs="Arial"/>
                <w:color w:val="auto"/>
                <w:sz w:val="20"/>
                <w:lang w:eastAsia="en-US"/>
              </w:rPr>
              <w:t xml:space="preserve"> </w:t>
            </w:r>
          </w:p>
          <w:p w14:paraId="5A067245" w14:textId="195E3B0F" w:rsidR="00CF4EF1" w:rsidRPr="003C7E62" w:rsidRDefault="00E51D51" w:rsidP="000032A9">
            <w:pPr>
              <w:keepNext w:val="0"/>
              <w:numPr>
                <w:ilvl w:val="0"/>
                <w:numId w:val="35"/>
              </w:numPr>
              <w:tabs>
                <w:tab w:val="left" w:pos="680"/>
                <w:tab w:val="left" w:pos="1133"/>
                <w:tab w:val="left" w:pos="2267"/>
              </w:tabs>
              <w:spacing w:before="0" w:after="160" w:line="252" w:lineRule="auto"/>
              <w:ind w:right="284"/>
              <w:contextualSpacing/>
              <w:rPr>
                <w:rFonts w:eastAsia="Arial" w:cs="Arial"/>
                <w:bCs/>
                <w:color w:val="auto"/>
                <w:sz w:val="20"/>
              </w:rPr>
            </w:pPr>
            <w:r w:rsidRPr="003C7E62">
              <w:rPr>
                <w:rFonts w:eastAsia="Arial" w:cs="Arial"/>
                <w:bCs/>
                <w:color w:val="auto"/>
                <w:sz w:val="20"/>
              </w:rPr>
              <w:t xml:space="preserve">NPPF </w:t>
            </w:r>
            <w:r w:rsidR="002D7365" w:rsidRPr="003C7E62">
              <w:rPr>
                <w:rFonts w:eastAsia="Arial" w:cs="Arial"/>
                <w:bCs/>
                <w:color w:val="auto"/>
                <w:sz w:val="20"/>
              </w:rPr>
              <w:t>20</w:t>
            </w:r>
            <w:r w:rsidR="00AE71BE" w:rsidRPr="003C7E62">
              <w:rPr>
                <w:rFonts w:eastAsia="Arial" w:cs="Arial"/>
                <w:bCs/>
                <w:color w:val="auto"/>
                <w:sz w:val="20"/>
              </w:rPr>
              <w:t>2</w:t>
            </w:r>
            <w:r w:rsidR="00A37A61">
              <w:rPr>
                <w:rFonts w:eastAsia="Arial" w:cs="Arial"/>
                <w:bCs/>
                <w:color w:val="auto"/>
                <w:sz w:val="20"/>
              </w:rPr>
              <w:t>3</w:t>
            </w:r>
            <w:r w:rsidR="002D7365" w:rsidRPr="003C7E62">
              <w:rPr>
                <w:rFonts w:eastAsia="Arial" w:cs="Arial"/>
                <w:bCs/>
                <w:color w:val="auto"/>
                <w:sz w:val="20"/>
              </w:rPr>
              <w:t xml:space="preserve">, </w:t>
            </w:r>
            <w:r w:rsidR="00CF4EF1" w:rsidRPr="003C7E62">
              <w:rPr>
                <w:rFonts w:eastAsia="Arial" w:cs="Arial"/>
                <w:bCs/>
                <w:color w:val="auto"/>
                <w:sz w:val="20"/>
              </w:rPr>
              <w:t>Part 6</w:t>
            </w:r>
            <w:r w:rsidR="002D7365" w:rsidRPr="003C7E62">
              <w:rPr>
                <w:rFonts w:eastAsia="Arial" w:cs="Arial"/>
                <w:bCs/>
                <w:color w:val="auto"/>
                <w:sz w:val="20"/>
              </w:rPr>
              <w:t>:</w:t>
            </w:r>
            <w:r w:rsidR="00CF4EF1" w:rsidRPr="003C7E62">
              <w:rPr>
                <w:rFonts w:eastAsia="Arial" w:cs="Arial"/>
                <w:bCs/>
                <w:color w:val="auto"/>
                <w:sz w:val="20"/>
              </w:rPr>
              <w:t xml:space="preserve"> </w:t>
            </w:r>
            <w:r w:rsidR="00CF4EF1" w:rsidRPr="003C7E62">
              <w:rPr>
                <w:rFonts w:eastAsia="Calibri" w:cs="Arial"/>
                <w:bCs/>
                <w:color w:val="auto"/>
                <w:sz w:val="20"/>
                <w:lang w:eastAsia="en-US"/>
              </w:rPr>
              <w:t>Building a strong, competitive economy</w:t>
            </w:r>
            <w:r w:rsidR="002D7365" w:rsidRPr="003C7E62">
              <w:rPr>
                <w:rFonts w:eastAsia="Calibri" w:cs="Arial"/>
                <w:bCs/>
                <w:color w:val="auto"/>
                <w:sz w:val="20"/>
                <w:lang w:eastAsia="en-US"/>
              </w:rPr>
              <w:t>.</w:t>
            </w:r>
          </w:p>
          <w:p w14:paraId="76841150" w14:textId="729C2B1D" w:rsidR="00CF4EF1" w:rsidRPr="003C7E62" w:rsidRDefault="007844C8" w:rsidP="000032A9">
            <w:pPr>
              <w:keepNext w:val="0"/>
              <w:numPr>
                <w:ilvl w:val="0"/>
                <w:numId w:val="35"/>
              </w:numPr>
              <w:tabs>
                <w:tab w:val="left" w:pos="680"/>
                <w:tab w:val="left" w:pos="1133"/>
                <w:tab w:val="left" w:pos="2267"/>
              </w:tabs>
              <w:spacing w:before="0" w:after="160" w:line="252" w:lineRule="auto"/>
              <w:ind w:right="284"/>
              <w:contextualSpacing/>
              <w:rPr>
                <w:rFonts w:eastAsia="Arial" w:cs="Arial"/>
                <w:bCs/>
                <w:color w:val="auto"/>
                <w:sz w:val="20"/>
              </w:rPr>
            </w:pPr>
            <w:r>
              <w:rPr>
                <w:rFonts w:eastAsia="Arial" w:cs="Arial"/>
                <w:bCs/>
                <w:color w:val="auto"/>
                <w:sz w:val="20"/>
              </w:rPr>
              <w:t>Planning Practice Guidance: Viability as of August 2021.</w:t>
            </w:r>
          </w:p>
        </w:tc>
      </w:tr>
      <w:bookmarkEnd w:id="88"/>
    </w:tbl>
    <w:p w14:paraId="4C65733C" w14:textId="77777777" w:rsidR="003C413D" w:rsidRPr="00E3260E" w:rsidRDefault="003C413D" w:rsidP="003C413D">
      <w:pPr>
        <w:keepNext w:val="0"/>
        <w:spacing w:before="0"/>
        <w:ind w:left="851"/>
        <w:rPr>
          <w:rFonts w:eastAsia="Arial" w:cs="Arial"/>
          <w:color w:val="auto"/>
        </w:rPr>
      </w:pPr>
    </w:p>
    <w:p w14:paraId="695B33E4" w14:textId="265956D8" w:rsidR="00CF4EF1" w:rsidRPr="00E3260E" w:rsidRDefault="00CF4EF1" w:rsidP="00874A98">
      <w:pPr>
        <w:keepNext w:val="0"/>
        <w:numPr>
          <w:ilvl w:val="1"/>
          <w:numId w:val="103"/>
        </w:numPr>
        <w:spacing w:before="0"/>
        <w:ind w:left="851" w:hanging="851"/>
        <w:rPr>
          <w:rFonts w:eastAsia="Arial" w:cs="Arial"/>
          <w:color w:val="auto"/>
        </w:rPr>
      </w:pPr>
      <w:r w:rsidRPr="00E3260E">
        <w:rPr>
          <w:rFonts w:eastAsia="Arial" w:cs="Arial"/>
          <w:color w:val="auto"/>
        </w:rPr>
        <w:t xml:space="preserve">Infrastructure has a broad definition including physical, social and green infrastructure needed to facilitate the amount of development proposed for the area. </w:t>
      </w:r>
      <w:r w:rsidR="002D7365" w:rsidRPr="00E3260E">
        <w:rPr>
          <w:rFonts w:eastAsia="Arial" w:cs="Arial"/>
          <w:color w:val="auto"/>
        </w:rPr>
        <w:t>I</w:t>
      </w:r>
      <w:r w:rsidRPr="00E3260E">
        <w:rPr>
          <w:rFonts w:eastAsia="Arial" w:cs="Arial"/>
          <w:color w:val="auto"/>
        </w:rPr>
        <w:t>nfrastructure provision</w:t>
      </w:r>
      <w:r w:rsidR="002D7365" w:rsidRPr="00E3260E">
        <w:rPr>
          <w:rFonts w:eastAsia="Arial" w:cs="Arial"/>
          <w:color w:val="auto"/>
        </w:rPr>
        <w:t xml:space="preserve"> can be:</w:t>
      </w:r>
    </w:p>
    <w:p w14:paraId="43570836" w14:textId="787A0BA4" w:rsidR="00743F63" w:rsidRDefault="00CF4EF1" w:rsidP="002430A6">
      <w:pPr>
        <w:pStyle w:val="ListParagraph"/>
        <w:keepLines/>
        <w:numPr>
          <w:ilvl w:val="0"/>
          <w:numId w:val="124"/>
        </w:numPr>
        <w:suppressAutoHyphens/>
        <w:spacing w:after="0" w:line="240" w:lineRule="auto"/>
        <w:ind w:left="1208" w:right="57" w:hanging="357"/>
        <w:textAlignment w:val="baseline"/>
        <w:rPr>
          <w:rFonts w:ascii="Arial" w:eastAsia="Arial" w:hAnsi="Arial" w:cs="Arial"/>
          <w:color w:val="auto"/>
        </w:rPr>
      </w:pPr>
      <w:r w:rsidRPr="00E3260E">
        <w:rPr>
          <w:rFonts w:ascii="Arial" w:eastAsia="Arial" w:hAnsi="Arial" w:cs="Arial"/>
          <w:color w:val="auto"/>
        </w:rPr>
        <w:t>Strategic</w:t>
      </w:r>
      <w:r w:rsidR="00C61685" w:rsidRPr="00E3260E">
        <w:rPr>
          <w:rFonts w:ascii="Arial" w:eastAsia="Arial" w:hAnsi="Arial" w:cs="Arial"/>
          <w:color w:val="auto"/>
        </w:rPr>
        <w:t xml:space="preserve"> - </w:t>
      </w:r>
      <w:r w:rsidRPr="00E3260E">
        <w:rPr>
          <w:rFonts w:ascii="Arial" w:eastAsia="Arial" w:hAnsi="Arial" w:cs="Arial"/>
          <w:color w:val="auto"/>
        </w:rPr>
        <w:t xml:space="preserve">usually be delivered off-site </w:t>
      </w:r>
      <w:r w:rsidRPr="003C7E62">
        <w:rPr>
          <w:rFonts w:ascii="Arial" w:eastAsia="Arial" w:hAnsi="Arial" w:cs="Arial"/>
          <w:color w:val="auto"/>
        </w:rPr>
        <w:t>and outlined in the Infrastructure Delivery Plan (some infrastructure needs may cross District boundaries)</w:t>
      </w:r>
      <w:r w:rsidR="0061668F">
        <w:rPr>
          <w:rFonts w:ascii="Arial" w:eastAsia="Arial" w:hAnsi="Arial" w:cs="Arial"/>
          <w:color w:val="auto"/>
        </w:rPr>
        <w:t>.</w:t>
      </w:r>
    </w:p>
    <w:p w14:paraId="4B5E77C2" w14:textId="77777777" w:rsidR="0061668F" w:rsidRPr="003C7E62" w:rsidRDefault="0061668F" w:rsidP="002430A6">
      <w:pPr>
        <w:pStyle w:val="ListParagraph"/>
        <w:keepLines/>
        <w:suppressAutoHyphens/>
        <w:spacing w:after="0" w:line="240" w:lineRule="auto"/>
        <w:ind w:left="1208" w:right="57"/>
        <w:textAlignment w:val="baseline"/>
        <w:rPr>
          <w:rFonts w:ascii="Arial" w:eastAsia="Arial" w:hAnsi="Arial" w:cs="Arial"/>
          <w:color w:val="auto"/>
        </w:rPr>
      </w:pPr>
    </w:p>
    <w:p w14:paraId="3D83CBDA" w14:textId="3E1C7F77" w:rsidR="0061668F" w:rsidRDefault="00CF4EF1" w:rsidP="002430A6">
      <w:pPr>
        <w:pStyle w:val="ListParagraph"/>
        <w:keepLines/>
        <w:numPr>
          <w:ilvl w:val="0"/>
          <w:numId w:val="124"/>
        </w:numPr>
        <w:suppressAutoHyphens/>
        <w:spacing w:after="0" w:line="240" w:lineRule="auto"/>
        <w:ind w:left="1208" w:right="57" w:hanging="357"/>
        <w:textAlignment w:val="baseline"/>
        <w:rPr>
          <w:rFonts w:ascii="Arial" w:eastAsia="Arial" w:hAnsi="Arial" w:cs="Arial"/>
          <w:color w:val="auto"/>
        </w:rPr>
      </w:pPr>
      <w:r w:rsidRPr="003C7E62">
        <w:rPr>
          <w:rFonts w:ascii="Arial" w:eastAsia="Arial" w:hAnsi="Arial" w:cs="Arial"/>
          <w:color w:val="auto"/>
        </w:rPr>
        <w:t>Local</w:t>
      </w:r>
      <w:r w:rsidR="00C61685" w:rsidRPr="003C7E62">
        <w:rPr>
          <w:rFonts w:ascii="Arial" w:eastAsia="Arial" w:hAnsi="Arial" w:cs="Arial"/>
          <w:color w:val="auto"/>
        </w:rPr>
        <w:t xml:space="preserve"> -</w:t>
      </w:r>
      <w:r w:rsidRPr="003C7E62">
        <w:rPr>
          <w:rFonts w:ascii="Arial" w:eastAsia="Arial" w:hAnsi="Arial" w:cs="Arial"/>
          <w:color w:val="auto"/>
        </w:rPr>
        <w:t xml:space="preserve"> may be delivered on larger developments through on-site delivery; or through off-site investment in existing infrastructure within the area of the development, necessary to mitigate the cumulative impact of development</w:t>
      </w:r>
      <w:r w:rsidR="0061668F">
        <w:rPr>
          <w:rFonts w:ascii="Arial" w:eastAsia="Arial" w:hAnsi="Arial" w:cs="Arial"/>
          <w:color w:val="auto"/>
        </w:rPr>
        <w:t>.</w:t>
      </w:r>
    </w:p>
    <w:p w14:paraId="09FC2E77" w14:textId="0F5B52CA" w:rsidR="00743F63" w:rsidRPr="0061668F" w:rsidRDefault="00CF4EF1" w:rsidP="002430A6">
      <w:pPr>
        <w:keepLines/>
        <w:suppressAutoHyphens/>
        <w:spacing w:before="0"/>
        <w:ind w:right="57"/>
        <w:textAlignment w:val="baseline"/>
        <w:rPr>
          <w:rFonts w:eastAsia="Arial" w:cs="Arial"/>
          <w:color w:val="auto"/>
        </w:rPr>
      </w:pPr>
      <w:r w:rsidRPr="0061668F">
        <w:rPr>
          <w:rFonts w:eastAsia="Arial" w:cs="Arial"/>
          <w:color w:val="auto"/>
        </w:rPr>
        <w:t xml:space="preserve"> </w:t>
      </w:r>
    </w:p>
    <w:p w14:paraId="0701E54D" w14:textId="489175BD" w:rsidR="00CF4EF1" w:rsidRPr="003C7E62" w:rsidRDefault="00C61685" w:rsidP="002430A6">
      <w:pPr>
        <w:pStyle w:val="ListParagraph"/>
        <w:keepLines/>
        <w:numPr>
          <w:ilvl w:val="0"/>
          <w:numId w:val="124"/>
        </w:numPr>
        <w:suppressAutoHyphens/>
        <w:spacing w:after="0" w:line="240" w:lineRule="auto"/>
        <w:ind w:left="1208" w:right="57" w:hanging="357"/>
        <w:textAlignment w:val="baseline"/>
        <w:rPr>
          <w:rFonts w:ascii="Arial" w:eastAsia="Arial" w:hAnsi="Arial" w:cs="Arial"/>
          <w:color w:val="auto"/>
        </w:rPr>
      </w:pPr>
      <w:r w:rsidRPr="003C7E62">
        <w:rPr>
          <w:rFonts w:ascii="Arial" w:eastAsia="Arial" w:hAnsi="Arial" w:cs="Arial"/>
          <w:color w:val="auto"/>
        </w:rPr>
        <w:t>O</w:t>
      </w:r>
      <w:r w:rsidR="00CF4EF1" w:rsidRPr="003C7E62">
        <w:rPr>
          <w:rFonts w:ascii="Arial" w:eastAsia="Arial" w:hAnsi="Arial" w:cs="Arial"/>
          <w:color w:val="auto"/>
        </w:rPr>
        <w:t>n-site</w:t>
      </w:r>
      <w:r w:rsidRPr="003C7E62">
        <w:rPr>
          <w:rFonts w:ascii="Arial" w:eastAsia="Arial" w:hAnsi="Arial" w:cs="Arial"/>
          <w:color w:val="auto"/>
        </w:rPr>
        <w:t xml:space="preserve"> - </w:t>
      </w:r>
      <w:r w:rsidR="00CF4EF1" w:rsidRPr="003C7E62">
        <w:rPr>
          <w:rFonts w:ascii="Arial" w:eastAsia="Arial" w:hAnsi="Arial" w:cs="Arial"/>
          <w:color w:val="auto"/>
        </w:rPr>
        <w:t>arising from a direct link between the development and the provision or improvements to infrastructure.</w:t>
      </w:r>
    </w:p>
    <w:p w14:paraId="3DC2DB1F" w14:textId="77777777" w:rsidR="00743F63" w:rsidRPr="003C7E62" w:rsidRDefault="00743F63" w:rsidP="002430A6">
      <w:pPr>
        <w:keepNext w:val="0"/>
        <w:keepLines/>
        <w:suppressAutoHyphens/>
        <w:spacing w:before="0"/>
        <w:ind w:left="1418" w:right="56"/>
        <w:textAlignment w:val="baseline"/>
        <w:rPr>
          <w:rFonts w:eastAsia="Arial" w:cs="Arial"/>
          <w:color w:val="auto"/>
        </w:rPr>
      </w:pPr>
    </w:p>
    <w:p w14:paraId="00422529" w14:textId="04985969" w:rsidR="00CF19CA" w:rsidRPr="003C7E62" w:rsidRDefault="00CF4EF1" w:rsidP="00874A98">
      <w:pPr>
        <w:keepNext w:val="0"/>
        <w:numPr>
          <w:ilvl w:val="1"/>
          <w:numId w:val="103"/>
        </w:numPr>
        <w:spacing w:before="0"/>
        <w:ind w:left="851" w:hanging="851"/>
        <w:rPr>
          <w:rFonts w:eastAsia="Arial" w:cs="Arial"/>
          <w:color w:val="auto"/>
        </w:rPr>
      </w:pPr>
      <w:r w:rsidRPr="003C7E62">
        <w:rPr>
          <w:rFonts w:eastAsia="Arial" w:cs="Arial"/>
          <w:color w:val="auto"/>
        </w:rPr>
        <w:t>All development must take into account the need to provide necessary infrastructure to enable and/ or support development, including (but not limited to) transport, education, health, green Infrastructure, utilities, waste facilities, wastewater, leisure, cultural and community facilities. Additionally, sustainable development requires facilities and services to support communities and facilitate economic development. The coordinated delivery of adequately funded infrastructure at the right time and in the right place is key to ensuring that local services, facilities and the transport network can cope with any added demand that arises from housing growth and other new development</w:t>
      </w:r>
      <w:r w:rsidR="00CF19CA" w:rsidRPr="003C7E62">
        <w:rPr>
          <w:rFonts w:eastAsia="Arial" w:cs="Arial"/>
          <w:color w:val="auto"/>
        </w:rPr>
        <w:t>.</w:t>
      </w:r>
    </w:p>
    <w:p w14:paraId="63AAB782" w14:textId="77777777" w:rsidR="00CF19CA" w:rsidRPr="003C7E62" w:rsidRDefault="00CF19CA" w:rsidP="00F11936">
      <w:pPr>
        <w:keepNext w:val="0"/>
        <w:spacing w:before="0"/>
        <w:ind w:left="851"/>
        <w:rPr>
          <w:rFonts w:eastAsia="Arial" w:cs="Arial"/>
          <w:color w:val="auto"/>
        </w:rPr>
      </w:pPr>
    </w:p>
    <w:p w14:paraId="52A452AE" w14:textId="77777777" w:rsidR="00CF19CA" w:rsidRPr="003C7E62" w:rsidRDefault="00CF4EF1" w:rsidP="00874A98">
      <w:pPr>
        <w:keepNext w:val="0"/>
        <w:numPr>
          <w:ilvl w:val="1"/>
          <w:numId w:val="103"/>
        </w:numPr>
        <w:spacing w:before="0"/>
        <w:ind w:left="851" w:hanging="851"/>
        <w:rPr>
          <w:rFonts w:eastAsia="Arial" w:cs="Arial"/>
          <w:color w:val="auto"/>
        </w:rPr>
      </w:pPr>
      <w:r w:rsidRPr="003C7E62">
        <w:rPr>
          <w:rFonts w:eastAsia="Arial" w:cs="Arial"/>
          <w:color w:val="000000"/>
        </w:rPr>
        <w:t>As such, infrastructure</w:t>
      </w:r>
      <w:r w:rsidRPr="003C7E62">
        <w:rPr>
          <w:rFonts w:eastAsia="Arial" w:cs="Arial"/>
          <w:color w:val="auto"/>
        </w:rPr>
        <w:t xml:space="preserve"> planning and delivery fulfil a key role in the plan making process by identifying where or when deficits or surpluses of capacity exist and predict future capacity issues brought about by development.  </w:t>
      </w:r>
    </w:p>
    <w:p w14:paraId="0504CC55" w14:textId="77777777" w:rsidR="00CF19CA" w:rsidRPr="003C7E62" w:rsidRDefault="00CF19CA" w:rsidP="00F11936">
      <w:pPr>
        <w:spacing w:before="0"/>
        <w:rPr>
          <w:rFonts w:eastAsia="Arial" w:cs="Arial"/>
          <w:color w:val="auto"/>
        </w:rPr>
      </w:pPr>
    </w:p>
    <w:p w14:paraId="7EE66E34" w14:textId="076F5545" w:rsidR="00F85FC9" w:rsidRPr="003C7E62" w:rsidRDefault="00CF4EF1" w:rsidP="00874A98">
      <w:pPr>
        <w:keepNext w:val="0"/>
        <w:numPr>
          <w:ilvl w:val="1"/>
          <w:numId w:val="103"/>
        </w:numPr>
        <w:spacing w:before="0"/>
        <w:ind w:left="851" w:hanging="851"/>
        <w:rPr>
          <w:rFonts w:eastAsia="Arial" w:cs="Arial"/>
          <w:color w:val="auto"/>
        </w:rPr>
      </w:pPr>
      <w:r w:rsidRPr="003C7E62">
        <w:rPr>
          <w:rFonts w:eastAsia="Arial" w:cs="Arial"/>
          <w:color w:val="auto"/>
        </w:rPr>
        <w:t>Without appropriate measures to mitigate impact and investment to enable the provision of infrastructure improvements, development will be neither sustainable nor acceptable. New development will therefore be required to</w:t>
      </w:r>
      <w:r w:rsidRPr="003C7E62">
        <w:rPr>
          <w:rFonts w:eastAsia="Arial" w:cs="Arial"/>
          <w:color w:val="0070C0"/>
        </w:rPr>
        <w:t xml:space="preserve"> </w:t>
      </w:r>
      <w:r w:rsidRPr="003C7E62">
        <w:rPr>
          <w:rFonts w:eastAsia="Arial" w:cs="Arial"/>
          <w:color w:val="auto"/>
        </w:rPr>
        <w:t>provide or contribute towards the provision of the necessary infrastructure, facilities and services in a timely manner so as to support the growth of the District.</w:t>
      </w:r>
    </w:p>
    <w:p w14:paraId="5526D9A2" w14:textId="77777777" w:rsidR="004E3862" w:rsidRPr="003C7E62" w:rsidRDefault="004E3862" w:rsidP="00F11936">
      <w:pPr>
        <w:keepNext w:val="0"/>
        <w:spacing w:before="0"/>
        <w:ind w:left="851"/>
        <w:rPr>
          <w:rFonts w:eastAsia="Arial" w:cs="Arial"/>
          <w:color w:val="auto"/>
        </w:rPr>
      </w:pPr>
    </w:p>
    <w:p w14:paraId="15546593" w14:textId="77777777" w:rsidR="00606E15" w:rsidRPr="00A32846" w:rsidRDefault="00A02441" w:rsidP="00874A98">
      <w:pPr>
        <w:keepNext w:val="0"/>
        <w:numPr>
          <w:ilvl w:val="1"/>
          <w:numId w:val="103"/>
        </w:numPr>
        <w:spacing w:before="0"/>
        <w:ind w:left="851" w:hanging="851"/>
        <w:rPr>
          <w:rFonts w:eastAsia="Arial" w:cs="Arial"/>
        </w:rPr>
      </w:pPr>
      <w:r w:rsidRPr="00A32846">
        <w:rPr>
          <w:rFonts w:eastAsia="Arial" w:cs="Arial"/>
        </w:rPr>
        <w:t xml:space="preserve">Where </w:t>
      </w:r>
      <w:r w:rsidR="00606E15" w:rsidRPr="00A32846">
        <w:rPr>
          <w:rFonts w:eastAsia="Arial" w:cs="Arial"/>
        </w:rPr>
        <w:t>infrastructure has been forward funded in advance of developer contributions being received, those contributions remain necessary as mitigation for the development.  For example, the local authority’s expansion of a secondary school to ensure that places are available in time to support development coming forward.</w:t>
      </w:r>
    </w:p>
    <w:p w14:paraId="61C986DA" w14:textId="77777777" w:rsidR="00606E15" w:rsidRPr="00A32846" w:rsidRDefault="00606E15" w:rsidP="00606E15">
      <w:pPr>
        <w:pStyle w:val="ListParagraph"/>
        <w:spacing w:after="0" w:line="240" w:lineRule="auto"/>
        <w:rPr>
          <w:rFonts w:eastAsia="Arial" w:cs="Arial"/>
        </w:rPr>
      </w:pPr>
    </w:p>
    <w:p w14:paraId="462B186E" w14:textId="4ADB2C8B" w:rsidR="008555C0" w:rsidRPr="00A32846" w:rsidRDefault="008555C0" w:rsidP="00874A98">
      <w:pPr>
        <w:keepNext w:val="0"/>
        <w:numPr>
          <w:ilvl w:val="1"/>
          <w:numId w:val="103"/>
        </w:numPr>
        <w:spacing w:before="0"/>
        <w:ind w:left="851" w:hanging="851"/>
        <w:rPr>
          <w:rFonts w:eastAsia="Arial" w:cs="Arial"/>
        </w:rPr>
      </w:pPr>
      <w:bookmarkStart w:id="90" w:name="_Hlk148434380"/>
      <w:r w:rsidRPr="00A32846">
        <w:rPr>
          <w:rFonts w:eastAsia="Arial" w:cs="Arial"/>
        </w:rPr>
        <w:t xml:space="preserve">The </w:t>
      </w:r>
      <w:r w:rsidR="000E778B">
        <w:rPr>
          <w:rFonts w:eastAsia="Arial" w:cs="Arial"/>
        </w:rPr>
        <w:t>2023</w:t>
      </w:r>
      <w:r w:rsidRPr="00A32846">
        <w:rPr>
          <w:rFonts w:eastAsia="Arial" w:cs="Arial"/>
        </w:rPr>
        <w:t xml:space="preserve"> Ashfield Transport Study </w:t>
      </w:r>
      <w:bookmarkEnd w:id="90"/>
      <w:r w:rsidR="00862BB0">
        <w:rPr>
          <w:rFonts w:eastAsia="Arial" w:cs="Arial"/>
        </w:rPr>
        <w:t>has made</w:t>
      </w:r>
      <w:r w:rsidRPr="00A32846">
        <w:rPr>
          <w:rFonts w:eastAsia="Arial" w:cs="Arial"/>
        </w:rPr>
        <w:t xml:space="preserve"> an </w:t>
      </w:r>
      <w:r w:rsidRPr="00A32846">
        <w:rPr>
          <w:rFonts w:cs="Arial"/>
          <w:szCs w:val="24"/>
        </w:rPr>
        <w:t xml:space="preserve">assessment of the transport impact of the </w:t>
      </w:r>
      <w:r w:rsidR="000E778B">
        <w:rPr>
          <w:rFonts w:cs="Arial"/>
          <w:szCs w:val="24"/>
        </w:rPr>
        <w:t xml:space="preserve">Draft </w:t>
      </w:r>
      <w:r w:rsidRPr="00A32846">
        <w:rPr>
          <w:rFonts w:cs="Arial"/>
          <w:szCs w:val="24"/>
        </w:rPr>
        <w:t xml:space="preserve">Local Plan to provide an indication of whether the development proposals are feasible in transport terms and, if so, what mitigation is required to accommodate the Local Plan developments.  </w:t>
      </w:r>
    </w:p>
    <w:p w14:paraId="24B1BA26" w14:textId="77777777" w:rsidR="00E963E4" w:rsidRPr="00E963E4" w:rsidRDefault="00E963E4" w:rsidP="00E963E4">
      <w:pPr>
        <w:keepNext w:val="0"/>
        <w:spacing w:before="0"/>
        <w:ind w:left="851"/>
        <w:rPr>
          <w:rFonts w:eastAsia="Arial" w:cs="Arial"/>
          <w:color w:val="auto"/>
        </w:rPr>
      </w:pPr>
    </w:p>
    <w:p w14:paraId="53B53649" w14:textId="390DC606" w:rsidR="00743F63" w:rsidRPr="00862BB0" w:rsidRDefault="00E963E4" w:rsidP="00874A98">
      <w:pPr>
        <w:keepNext w:val="0"/>
        <w:numPr>
          <w:ilvl w:val="1"/>
          <w:numId w:val="103"/>
        </w:numPr>
        <w:spacing w:before="0"/>
        <w:ind w:left="851" w:hanging="851"/>
        <w:rPr>
          <w:rFonts w:cs="Arial"/>
          <w:b/>
          <w:bCs/>
          <w:color w:val="auto"/>
          <w:szCs w:val="24"/>
        </w:rPr>
      </w:pPr>
      <w:r w:rsidRPr="00862BB0">
        <w:rPr>
          <w:rFonts w:eastAsia="Arial" w:cs="Arial"/>
          <w:color w:val="auto"/>
        </w:rPr>
        <w:t xml:space="preserve">The upgrading of the existing freight-only line (Maid Marian Line) between the Robin Hood Line in Nottinghamshire and the Pye Bridge junction of the Erewash Valley Line in Derbyshire (between Kirkby Lane End and Ironville Junctions), to convert it to carry passenger trains on a regular basis has the potential for positive economic impacts by enhancing the viability and attractiveness of key locations and sites along the route.  (See supporting information to Policy </w:t>
      </w:r>
      <w:r w:rsidRPr="00862BB0">
        <w:rPr>
          <w:rFonts w:eastAsia="Arial" w:cs="Arial"/>
        </w:rPr>
        <w:t>S</w:t>
      </w:r>
      <w:r w:rsidR="00627321" w:rsidRPr="00862BB0">
        <w:rPr>
          <w:rFonts w:eastAsia="Arial" w:cs="Arial"/>
        </w:rPr>
        <w:t>8</w:t>
      </w:r>
      <w:r w:rsidRPr="00862BB0">
        <w:rPr>
          <w:rFonts w:eastAsia="Arial" w:cs="Arial"/>
          <w:color w:val="auto"/>
        </w:rPr>
        <w:t xml:space="preserve"> </w:t>
      </w:r>
      <w:r w:rsidR="000E3EB6">
        <w:rPr>
          <w:rFonts w:eastAsia="Arial" w:cs="Arial"/>
          <w:color w:val="auto"/>
        </w:rPr>
        <w:t xml:space="preserve">Delivering </w:t>
      </w:r>
      <w:r w:rsidRPr="00862BB0">
        <w:rPr>
          <w:rFonts w:eastAsia="Arial" w:cs="Arial"/>
          <w:color w:val="auto"/>
        </w:rPr>
        <w:t>Economy</w:t>
      </w:r>
      <w:r w:rsidR="000E3EB6">
        <w:rPr>
          <w:rFonts w:eastAsia="Arial" w:cs="Arial"/>
          <w:color w:val="auto"/>
        </w:rPr>
        <w:t xml:space="preserve"> Opportunities</w:t>
      </w:r>
      <w:r w:rsidRPr="00862BB0">
        <w:rPr>
          <w:rFonts w:eastAsia="Arial" w:cs="Arial"/>
          <w:color w:val="auto"/>
        </w:rPr>
        <w:t xml:space="preserve">).  </w:t>
      </w:r>
    </w:p>
    <w:p w14:paraId="6C3C2C65" w14:textId="6F28DE5F" w:rsidR="002866EF" w:rsidRPr="009D5737" w:rsidRDefault="002866EF" w:rsidP="009D5737">
      <w:pPr>
        <w:pStyle w:val="Heading2"/>
        <w:jc w:val="left"/>
        <w:rPr>
          <w:sz w:val="28"/>
          <w:szCs w:val="28"/>
        </w:rPr>
      </w:pPr>
      <w:bookmarkStart w:id="91" w:name="_Toc145511562"/>
      <w:r w:rsidRPr="009D5737">
        <w:rPr>
          <w:sz w:val="28"/>
          <w:szCs w:val="28"/>
        </w:rPr>
        <w:t>Strategic Policy S1</w:t>
      </w:r>
      <w:r w:rsidR="005908AA" w:rsidRPr="009D5737">
        <w:rPr>
          <w:sz w:val="28"/>
          <w:szCs w:val="28"/>
        </w:rPr>
        <w:t>0</w:t>
      </w:r>
      <w:r w:rsidRPr="009D5737">
        <w:rPr>
          <w:sz w:val="28"/>
          <w:szCs w:val="28"/>
        </w:rPr>
        <w:t xml:space="preserve">: </w:t>
      </w:r>
      <w:r w:rsidR="00162A7B" w:rsidRPr="009D5737">
        <w:rPr>
          <w:sz w:val="28"/>
          <w:szCs w:val="28"/>
        </w:rPr>
        <w:t>Improving Transport Infrastructure.</w:t>
      </w:r>
      <w:bookmarkEnd w:id="91"/>
    </w:p>
    <w:p w14:paraId="744EE967" w14:textId="77777777" w:rsidR="00F26A22" w:rsidRPr="003C7E62" w:rsidRDefault="00F26A22" w:rsidP="002866EF">
      <w:pPr>
        <w:rPr>
          <w:rFonts w:cs="Arial"/>
          <w:b/>
          <w:bCs/>
          <w:color w:val="auto"/>
          <w:szCs w:val="24"/>
        </w:rPr>
      </w:pPr>
    </w:p>
    <w:tbl>
      <w:tblPr>
        <w:tblStyle w:val="ReportTable1"/>
        <w:tblW w:w="9634" w:type="dxa"/>
        <w:tblLook w:val="04A0" w:firstRow="1" w:lastRow="0" w:firstColumn="1" w:lastColumn="0" w:noHBand="0" w:noVBand="1"/>
      </w:tblPr>
      <w:tblGrid>
        <w:gridCol w:w="1838"/>
        <w:gridCol w:w="779"/>
        <w:gridCol w:w="7017"/>
      </w:tblGrid>
      <w:tr w:rsidR="000A144B" w:rsidRPr="003C7E62" w14:paraId="4AF85A9E" w14:textId="77777777" w:rsidTr="003C413D">
        <w:tc>
          <w:tcPr>
            <w:tcW w:w="9634" w:type="dxa"/>
            <w:gridSpan w:val="3"/>
          </w:tcPr>
          <w:p w14:paraId="5B03F261" w14:textId="77777777" w:rsidR="009B4089" w:rsidRDefault="009B4089" w:rsidP="009B4089">
            <w:pPr>
              <w:spacing w:before="0"/>
              <w:rPr>
                <w:rFonts w:cs="Arial"/>
                <w:b/>
                <w:bCs/>
                <w:color w:val="auto"/>
                <w:szCs w:val="24"/>
              </w:rPr>
            </w:pPr>
            <w:bookmarkStart w:id="92" w:name="_Hlk78262865"/>
          </w:p>
          <w:p w14:paraId="72307818" w14:textId="4932D0A1" w:rsidR="000A144B" w:rsidRDefault="000A144B" w:rsidP="009B4089">
            <w:pPr>
              <w:spacing w:before="0"/>
              <w:rPr>
                <w:rFonts w:cs="Arial"/>
                <w:b/>
                <w:bCs/>
                <w:color w:val="auto"/>
                <w:szCs w:val="24"/>
              </w:rPr>
            </w:pPr>
            <w:bookmarkStart w:id="93" w:name="_Hlk146187786"/>
            <w:r w:rsidRPr="003C7E62">
              <w:rPr>
                <w:rFonts w:cs="Arial"/>
                <w:b/>
                <w:bCs/>
                <w:color w:val="auto"/>
                <w:szCs w:val="24"/>
              </w:rPr>
              <w:t xml:space="preserve">Strategic Policy </w:t>
            </w:r>
            <w:bookmarkStart w:id="94" w:name="_Hlk140046668"/>
            <w:r w:rsidRPr="003C7E62">
              <w:rPr>
                <w:rFonts w:cs="Arial"/>
                <w:b/>
                <w:bCs/>
                <w:color w:val="auto"/>
                <w:szCs w:val="24"/>
              </w:rPr>
              <w:t>S</w:t>
            </w:r>
            <w:r w:rsidR="005908AA" w:rsidRPr="00A32846">
              <w:rPr>
                <w:rFonts w:cs="Arial"/>
                <w:b/>
                <w:bCs/>
                <w:szCs w:val="24"/>
              </w:rPr>
              <w:t>10</w:t>
            </w:r>
            <w:r w:rsidRPr="003C7E62">
              <w:rPr>
                <w:rFonts w:cs="Arial"/>
                <w:b/>
                <w:bCs/>
                <w:color w:val="auto"/>
                <w:szCs w:val="24"/>
              </w:rPr>
              <w:t xml:space="preserve">: </w:t>
            </w:r>
            <w:r w:rsidR="00162A7B" w:rsidRPr="00162A7B">
              <w:rPr>
                <w:rFonts w:cs="Arial"/>
                <w:b/>
                <w:bCs/>
                <w:color w:val="auto"/>
                <w:szCs w:val="24"/>
              </w:rPr>
              <w:t xml:space="preserve">Improving Transport </w:t>
            </w:r>
            <w:bookmarkEnd w:id="94"/>
            <w:r w:rsidR="00162A7B" w:rsidRPr="00162A7B">
              <w:rPr>
                <w:rFonts w:cs="Arial"/>
                <w:b/>
                <w:bCs/>
                <w:color w:val="auto"/>
                <w:szCs w:val="24"/>
              </w:rPr>
              <w:t>Infrastructure</w:t>
            </w:r>
            <w:bookmarkEnd w:id="93"/>
            <w:r w:rsidR="00162A7B" w:rsidRPr="00162A7B">
              <w:rPr>
                <w:rFonts w:cs="Arial"/>
                <w:b/>
                <w:bCs/>
                <w:color w:val="auto"/>
                <w:szCs w:val="24"/>
              </w:rPr>
              <w:t>.</w:t>
            </w:r>
          </w:p>
          <w:p w14:paraId="3B05075D" w14:textId="2030260D" w:rsidR="009B4089" w:rsidRPr="003C7E62" w:rsidRDefault="009B4089" w:rsidP="009B4089">
            <w:pPr>
              <w:spacing w:before="0"/>
              <w:rPr>
                <w:rFonts w:cs="Arial"/>
                <w:b/>
                <w:bCs/>
                <w:color w:val="auto"/>
                <w:szCs w:val="24"/>
              </w:rPr>
            </w:pPr>
          </w:p>
        </w:tc>
      </w:tr>
      <w:tr w:rsidR="00F26A22" w:rsidRPr="003C7E62" w14:paraId="6DD9AB7C" w14:textId="77777777" w:rsidTr="003C413D">
        <w:tc>
          <w:tcPr>
            <w:tcW w:w="2617" w:type="dxa"/>
            <w:gridSpan w:val="2"/>
          </w:tcPr>
          <w:p w14:paraId="27EB4E3C" w14:textId="77777777" w:rsidR="00F26A22" w:rsidRPr="00F11936" w:rsidRDefault="00F26A22" w:rsidP="00883D51">
            <w:pPr>
              <w:tabs>
                <w:tab w:val="left" w:pos="680"/>
              </w:tabs>
              <w:spacing w:before="40" w:after="40"/>
              <w:rPr>
                <w:rFonts w:eastAsia="Arial" w:cs="Arial"/>
                <w:bCs/>
              </w:rPr>
            </w:pPr>
            <w:r w:rsidRPr="00F11936">
              <w:rPr>
                <w:rFonts w:eastAsia="Arial" w:cs="Arial"/>
                <w:bCs/>
              </w:rPr>
              <w:t>Strategic Objectives</w:t>
            </w:r>
          </w:p>
        </w:tc>
        <w:tc>
          <w:tcPr>
            <w:tcW w:w="7017" w:type="dxa"/>
          </w:tcPr>
          <w:p w14:paraId="09250FBE" w14:textId="6DB25080" w:rsidR="00F26A22" w:rsidRPr="00F11936" w:rsidRDefault="00886620" w:rsidP="009B4089">
            <w:pPr>
              <w:tabs>
                <w:tab w:val="left" w:pos="680"/>
              </w:tabs>
              <w:spacing w:before="0"/>
              <w:rPr>
                <w:rFonts w:eastAsia="Arial" w:cs="Arial"/>
                <w:bCs/>
              </w:rPr>
            </w:pPr>
            <w:r w:rsidRPr="00F11936">
              <w:rPr>
                <w:rFonts w:eastAsia="Arial" w:cs="Arial"/>
                <w:bCs/>
              </w:rPr>
              <w:t xml:space="preserve">SO1, SO2, SO3, SO4, SO5, SO6, SO11, </w:t>
            </w:r>
            <w:r w:rsidR="00E67961" w:rsidRPr="00F11936">
              <w:rPr>
                <w:rFonts w:eastAsia="Arial" w:cs="Arial"/>
                <w:bCs/>
              </w:rPr>
              <w:t>SO12, SO13</w:t>
            </w:r>
          </w:p>
        </w:tc>
      </w:tr>
      <w:tr w:rsidR="00F26A22" w:rsidRPr="003C7E62" w14:paraId="0B99BFE8" w14:textId="77777777" w:rsidTr="003C413D">
        <w:tc>
          <w:tcPr>
            <w:tcW w:w="9634" w:type="dxa"/>
            <w:gridSpan w:val="3"/>
            <w:shd w:val="clear" w:color="auto" w:fill="D9D9D9"/>
          </w:tcPr>
          <w:p w14:paraId="19D63F74" w14:textId="77777777" w:rsidR="00F11936" w:rsidRDefault="00F11936" w:rsidP="00F11936">
            <w:pPr>
              <w:pStyle w:val="ListParagraph"/>
              <w:autoSpaceDE w:val="0"/>
              <w:autoSpaceDN w:val="0"/>
              <w:adjustRightInd w:val="0"/>
              <w:spacing w:after="0" w:line="240" w:lineRule="auto"/>
              <w:ind w:left="360"/>
              <w:rPr>
                <w:rFonts w:ascii="Arial" w:hAnsi="Arial" w:cs="Arial"/>
                <w:color w:val="auto"/>
                <w:szCs w:val="24"/>
              </w:rPr>
            </w:pPr>
            <w:bookmarkStart w:id="95" w:name="_Hlk75784131"/>
          </w:p>
          <w:p w14:paraId="2CF67708" w14:textId="7AB8AD1E" w:rsidR="00F26A22" w:rsidRPr="003C7E62" w:rsidRDefault="00F26A22" w:rsidP="00874A98">
            <w:pPr>
              <w:pStyle w:val="ListParagraph"/>
              <w:numPr>
                <w:ilvl w:val="0"/>
                <w:numId w:val="101"/>
              </w:numPr>
              <w:autoSpaceDE w:val="0"/>
              <w:autoSpaceDN w:val="0"/>
              <w:adjustRightInd w:val="0"/>
              <w:spacing w:after="0" w:line="240" w:lineRule="auto"/>
              <w:ind w:left="360"/>
              <w:rPr>
                <w:rFonts w:ascii="Arial" w:hAnsi="Arial" w:cs="Arial"/>
                <w:color w:val="auto"/>
                <w:szCs w:val="24"/>
              </w:rPr>
            </w:pPr>
            <w:r w:rsidRPr="003C7E62">
              <w:rPr>
                <w:rFonts w:ascii="Arial" w:hAnsi="Arial" w:cs="Arial"/>
                <w:color w:val="auto"/>
                <w:szCs w:val="24"/>
              </w:rPr>
              <w:t xml:space="preserve">The Council will work with other parties to improve transport infrastructure with the objective of promoting travel choice and reducing the reliance on the private car. </w:t>
            </w:r>
          </w:p>
          <w:p w14:paraId="0641394A" w14:textId="77777777" w:rsidR="00F26A22" w:rsidRPr="003C7E62" w:rsidRDefault="00F26A22" w:rsidP="00F11936">
            <w:pPr>
              <w:pStyle w:val="ListParagraph"/>
              <w:autoSpaceDE w:val="0"/>
              <w:autoSpaceDN w:val="0"/>
              <w:adjustRightInd w:val="0"/>
              <w:spacing w:after="0" w:line="240" w:lineRule="auto"/>
              <w:ind w:left="360"/>
              <w:rPr>
                <w:rFonts w:ascii="Arial" w:hAnsi="Arial" w:cs="Arial"/>
                <w:color w:val="auto"/>
                <w:szCs w:val="24"/>
              </w:rPr>
            </w:pPr>
          </w:p>
          <w:p w14:paraId="0F3F7506" w14:textId="1C879275" w:rsidR="00F26A22" w:rsidRPr="00A32846" w:rsidRDefault="00F26A22" w:rsidP="00874A98">
            <w:pPr>
              <w:pStyle w:val="ListParagraph"/>
              <w:numPr>
                <w:ilvl w:val="0"/>
                <w:numId w:val="101"/>
              </w:numPr>
              <w:autoSpaceDE w:val="0"/>
              <w:autoSpaceDN w:val="0"/>
              <w:adjustRightInd w:val="0"/>
              <w:spacing w:after="0" w:line="240" w:lineRule="auto"/>
              <w:ind w:left="360"/>
              <w:rPr>
                <w:rFonts w:ascii="Arial" w:hAnsi="Arial" w:cs="Arial"/>
                <w:strike/>
                <w:szCs w:val="24"/>
              </w:rPr>
            </w:pPr>
            <w:bookmarkStart w:id="96" w:name="_Hlk133929364"/>
            <w:r w:rsidRPr="00BD4F81">
              <w:rPr>
                <w:rFonts w:ascii="Arial" w:hAnsi="Arial" w:cs="Arial"/>
                <w:color w:val="auto"/>
                <w:szCs w:val="24"/>
              </w:rPr>
              <w:t xml:space="preserve">Development </w:t>
            </w:r>
            <w:r w:rsidR="00BD4F81" w:rsidRPr="00A32846">
              <w:rPr>
                <w:rFonts w:ascii="Arial" w:hAnsi="Arial" w:cs="Arial"/>
                <w:szCs w:val="24"/>
              </w:rPr>
              <w:t>which enhance</w:t>
            </w:r>
            <w:r w:rsidR="001000DC" w:rsidRPr="00A32846">
              <w:rPr>
                <w:rFonts w:ascii="Arial" w:hAnsi="Arial" w:cs="Arial"/>
                <w:szCs w:val="24"/>
              </w:rPr>
              <w:t>s</w:t>
            </w:r>
            <w:r w:rsidR="00BD4F81" w:rsidRPr="00A32846">
              <w:rPr>
                <w:rFonts w:ascii="Arial" w:hAnsi="Arial" w:cs="Arial"/>
                <w:szCs w:val="24"/>
              </w:rPr>
              <w:t xml:space="preserve"> the existing sustainable transport network </w:t>
            </w:r>
            <w:r w:rsidR="001000DC" w:rsidRPr="00A32846">
              <w:rPr>
                <w:rFonts w:ascii="Arial" w:hAnsi="Arial" w:cs="Arial"/>
                <w:szCs w:val="24"/>
              </w:rPr>
              <w:t xml:space="preserve">and do not conflict with other policies in the Plan </w:t>
            </w:r>
            <w:r w:rsidR="00BD4F81" w:rsidRPr="00A32846">
              <w:rPr>
                <w:rFonts w:ascii="Arial" w:hAnsi="Arial" w:cs="Arial"/>
                <w:szCs w:val="24"/>
              </w:rPr>
              <w:t xml:space="preserve">will be supported </w:t>
            </w:r>
            <w:r w:rsidR="001000DC" w:rsidRPr="00A32846">
              <w:rPr>
                <w:rFonts w:ascii="Arial" w:hAnsi="Arial" w:cs="Arial"/>
                <w:szCs w:val="24"/>
              </w:rPr>
              <w:t xml:space="preserve">where </w:t>
            </w:r>
            <w:r w:rsidR="00416190" w:rsidRPr="00A32846">
              <w:rPr>
                <w:rFonts w:ascii="Arial" w:hAnsi="Arial" w:cs="Arial"/>
                <w:szCs w:val="24"/>
              </w:rPr>
              <w:t>it</w:t>
            </w:r>
            <w:r w:rsidR="001000DC" w:rsidRPr="00A32846">
              <w:rPr>
                <w:rFonts w:ascii="Arial" w:hAnsi="Arial" w:cs="Arial"/>
                <w:szCs w:val="24"/>
              </w:rPr>
              <w:t xml:space="preserve">: </w:t>
            </w:r>
            <w:r w:rsidRPr="00A32846">
              <w:rPr>
                <w:rFonts w:ascii="Arial" w:hAnsi="Arial" w:cs="Arial"/>
                <w:strike/>
                <w:szCs w:val="24"/>
              </w:rPr>
              <w:t xml:space="preserve"> </w:t>
            </w:r>
          </w:p>
          <w:bookmarkEnd w:id="96"/>
          <w:p w14:paraId="10790FF2" w14:textId="77777777" w:rsidR="00F26A22" w:rsidRPr="00A32846" w:rsidRDefault="00F26A22" w:rsidP="009933FB">
            <w:pPr>
              <w:pStyle w:val="ListParagraph"/>
              <w:autoSpaceDE w:val="0"/>
              <w:autoSpaceDN w:val="0"/>
              <w:adjustRightInd w:val="0"/>
              <w:spacing w:after="0" w:line="240" w:lineRule="auto"/>
              <w:ind w:left="360"/>
              <w:rPr>
                <w:rFonts w:ascii="Arial" w:hAnsi="Arial" w:cs="Arial"/>
                <w:szCs w:val="24"/>
              </w:rPr>
            </w:pPr>
          </w:p>
          <w:p w14:paraId="7949547F" w14:textId="330BEAC6" w:rsidR="001000DC" w:rsidRPr="00A32846" w:rsidRDefault="001000DC" w:rsidP="00874A98">
            <w:pPr>
              <w:pStyle w:val="ListParagraph"/>
              <w:numPr>
                <w:ilvl w:val="0"/>
                <w:numId w:val="163"/>
              </w:numPr>
              <w:autoSpaceDE w:val="0"/>
              <w:autoSpaceDN w:val="0"/>
              <w:adjustRightInd w:val="0"/>
              <w:spacing w:after="0" w:line="240" w:lineRule="auto"/>
              <w:rPr>
                <w:rFonts w:ascii="Arial" w:hAnsi="Arial" w:cs="Arial"/>
                <w:szCs w:val="24"/>
              </w:rPr>
            </w:pPr>
            <w:r w:rsidRPr="00A32846">
              <w:rPr>
                <w:rFonts w:ascii="Arial" w:hAnsi="Arial" w:cs="Arial"/>
                <w:szCs w:val="24"/>
              </w:rPr>
              <w:t>Improve connectivity to heavy and light railways including:</w:t>
            </w:r>
          </w:p>
          <w:p w14:paraId="3CC2A168" w14:textId="77777777" w:rsidR="001000DC" w:rsidRPr="00A32846" w:rsidRDefault="001000DC" w:rsidP="001000DC">
            <w:pPr>
              <w:pStyle w:val="ListParagraph"/>
              <w:autoSpaceDE w:val="0"/>
              <w:autoSpaceDN w:val="0"/>
              <w:adjustRightInd w:val="0"/>
              <w:spacing w:after="0" w:line="240" w:lineRule="auto"/>
              <w:rPr>
                <w:rFonts w:ascii="Arial" w:hAnsi="Arial" w:cs="Arial"/>
                <w:szCs w:val="24"/>
              </w:rPr>
            </w:pPr>
          </w:p>
          <w:p w14:paraId="2A65B103" w14:textId="22C9ECB2" w:rsidR="001000DC" w:rsidRPr="00A32846" w:rsidRDefault="00F26A22" w:rsidP="00874A98">
            <w:pPr>
              <w:pStyle w:val="ListParagraph"/>
              <w:numPr>
                <w:ilvl w:val="0"/>
                <w:numId w:val="324"/>
              </w:numPr>
              <w:autoSpaceDE w:val="0"/>
              <w:autoSpaceDN w:val="0"/>
              <w:adjustRightInd w:val="0"/>
              <w:rPr>
                <w:rFonts w:ascii="Arial" w:hAnsi="Arial" w:cs="Arial"/>
                <w:strike/>
                <w:szCs w:val="24"/>
              </w:rPr>
            </w:pPr>
            <w:r w:rsidRPr="00A32846">
              <w:rPr>
                <w:rFonts w:ascii="Arial" w:hAnsi="Arial" w:cs="Arial"/>
                <w:szCs w:val="24"/>
              </w:rPr>
              <w:t xml:space="preserve">The Nottingham Express Transit System, </w:t>
            </w:r>
          </w:p>
          <w:p w14:paraId="769570BA" w14:textId="281119A2" w:rsidR="001000DC" w:rsidRPr="00A32846" w:rsidRDefault="00F26A22" w:rsidP="00874A98">
            <w:pPr>
              <w:pStyle w:val="ListParagraph"/>
              <w:numPr>
                <w:ilvl w:val="0"/>
                <w:numId w:val="324"/>
              </w:numPr>
              <w:autoSpaceDE w:val="0"/>
              <w:autoSpaceDN w:val="0"/>
              <w:adjustRightInd w:val="0"/>
              <w:rPr>
                <w:rFonts w:ascii="Arial" w:hAnsi="Arial" w:cs="Arial"/>
                <w:szCs w:val="24"/>
              </w:rPr>
            </w:pPr>
            <w:r w:rsidRPr="00A32846">
              <w:rPr>
                <w:rFonts w:ascii="Arial" w:hAnsi="Arial" w:cs="Arial"/>
                <w:szCs w:val="24"/>
              </w:rPr>
              <w:t>The Robin Hood railway line and the railway stations at Hucknall, Kirkby-in-Ashfield and Sutton Parkway</w:t>
            </w:r>
            <w:r w:rsidR="00416190" w:rsidRPr="00A32846">
              <w:rPr>
                <w:rFonts w:ascii="Arial" w:hAnsi="Arial" w:cs="Arial"/>
                <w:szCs w:val="24"/>
              </w:rPr>
              <w:t>,</w:t>
            </w:r>
          </w:p>
          <w:p w14:paraId="77F0A565" w14:textId="2B7C3CA0" w:rsidR="001000DC" w:rsidRPr="00A32846" w:rsidRDefault="003601D8" w:rsidP="00874A98">
            <w:pPr>
              <w:pStyle w:val="ListParagraph"/>
              <w:numPr>
                <w:ilvl w:val="0"/>
                <w:numId w:val="324"/>
              </w:numPr>
              <w:autoSpaceDE w:val="0"/>
              <w:autoSpaceDN w:val="0"/>
              <w:adjustRightInd w:val="0"/>
              <w:rPr>
                <w:rFonts w:ascii="Arial" w:hAnsi="Arial" w:cs="Arial"/>
                <w:szCs w:val="24"/>
              </w:rPr>
            </w:pPr>
            <w:r w:rsidRPr="00A32846">
              <w:rPr>
                <w:rFonts w:ascii="Arial" w:hAnsi="Arial" w:cs="Arial"/>
                <w:szCs w:val="24"/>
              </w:rPr>
              <w:t>The r</w:t>
            </w:r>
            <w:r w:rsidR="00F26A22" w:rsidRPr="00A32846">
              <w:rPr>
                <w:rFonts w:ascii="Arial" w:hAnsi="Arial" w:cs="Arial"/>
                <w:szCs w:val="24"/>
              </w:rPr>
              <w:t>e-opening of the freight only Maid Marian Line between the Robin Hood Line and the Erewash Valley Line to carry passenger trains on a regular basis</w:t>
            </w:r>
            <w:r w:rsidR="000E3EB6">
              <w:rPr>
                <w:rFonts w:ascii="Arial" w:hAnsi="Arial" w:cs="Arial"/>
                <w:szCs w:val="24"/>
              </w:rPr>
              <w:t>.</w:t>
            </w:r>
          </w:p>
          <w:p w14:paraId="1C584FE5" w14:textId="77777777" w:rsidR="009933FB" w:rsidRPr="00A32846" w:rsidRDefault="009933FB" w:rsidP="009933FB">
            <w:pPr>
              <w:pStyle w:val="ListParagraph"/>
              <w:autoSpaceDE w:val="0"/>
              <w:autoSpaceDN w:val="0"/>
              <w:adjustRightInd w:val="0"/>
              <w:spacing w:after="0" w:line="240" w:lineRule="auto"/>
              <w:rPr>
                <w:rFonts w:ascii="Arial" w:hAnsi="Arial" w:cs="Arial"/>
                <w:szCs w:val="24"/>
              </w:rPr>
            </w:pPr>
          </w:p>
          <w:p w14:paraId="31D8CD8F" w14:textId="2D8F89FB" w:rsidR="001000DC" w:rsidRDefault="001000DC" w:rsidP="00874A98">
            <w:pPr>
              <w:pStyle w:val="ListParagraph"/>
              <w:numPr>
                <w:ilvl w:val="0"/>
                <w:numId w:val="163"/>
              </w:numPr>
              <w:autoSpaceDE w:val="0"/>
              <w:autoSpaceDN w:val="0"/>
              <w:adjustRightInd w:val="0"/>
              <w:spacing w:after="0" w:line="240" w:lineRule="auto"/>
              <w:rPr>
                <w:rFonts w:ascii="Arial" w:hAnsi="Arial" w:cs="Arial"/>
                <w:szCs w:val="24"/>
              </w:rPr>
            </w:pPr>
            <w:r w:rsidRPr="00A32846">
              <w:rPr>
                <w:rFonts w:ascii="Arial" w:hAnsi="Arial" w:cs="Arial"/>
                <w:szCs w:val="24"/>
              </w:rPr>
              <w:t>Facilitate the delivery of highway improvement schemes/sustainable transport solutions along the district’s main arterial routes and public transport corridors, including:</w:t>
            </w:r>
          </w:p>
          <w:p w14:paraId="2BCC42F2" w14:textId="77777777" w:rsidR="002430A6" w:rsidRDefault="002430A6" w:rsidP="002430A6">
            <w:pPr>
              <w:pStyle w:val="ListParagraph"/>
              <w:autoSpaceDE w:val="0"/>
              <w:autoSpaceDN w:val="0"/>
              <w:adjustRightInd w:val="0"/>
              <w:spacing w:after="0" w:line="240" w:lineRule="auto"/>
              <w:rPr>
                <w:rFonts w:ascii="Arial" w:hAnsi="Arial" w:cs="Arial"/>
                <w:szCs w:val="24"/>
              </w:rPr>
            </w:pPr>
          </w:p>
          <w:p w14:paraId="04B3FF7B" w14:textId="76F1E1EA" w:rsidR="001000DC" w:rsidRPr="00A32846" w:rsidRDefault="001000DC" w:rsidP="002430A6">
            <w:pPr>
              <w:pStyle w:val="ListParagraph"/>
              <w:numPr>
                <w:ilvl w:val="0"/>
                <w:numId w:val="325"/>
              </w:numPr>
              <w:autoSpaceDE w:val="0"/>
              <w:autoSpaceDN w:val="0"/>
              <w:adjustRightInd w:val="0"/>
              <w:ind w:left="1156"/>
              <w:rPr>
                <w:rFonts w:ascii="Arial" w:hAnsi="Arial" w:cs="Arial"/>
                <w:szCs w:val="24"/>
              </w:rPr>
            </w:pPr>
            <w:r w:rsidRPr="00A32846">
              <w:rPr>
                <w:rFonts w:ascii="Arial" w:hAnsi="Arial" w:cs="Arial"/>
                <w:szCs w:val="24"/>
              </w:rPr>
              <w:t>A38;</w:t>
            </w:r>
          </w:p>
          <w:p w14:paraId="2FD2588D" w14:textId="0CC677BF" w:rsidR="001000DC" w:rsidRPr="00A32846" w:rsidRDefault="001000DC" w:rsidP="002430A6">
            <w:pPr>
              <w:pStyle w:val="ListParagraph"/>
              <w:numPr>
                <w:ilvl w:val="0"/>
                <w:numId w:val="325"/>
              </w:numPr>
              <w:autoSpaceDE w:val="0"/>
              <w:autoSpaceDN w:val="0"/>
              <w:adjustRightInd w:val="0"/>
              <w:ind w:left="1156"/>
              <w:rPr>
                <w:rFonts w:ascii="Arial" w:hAnsi="Arial" w:cs="Arial"/>
                <w:szCs w:val="24"/>
              </w:rPr>
            </w:pPr>
            <w:r w:rsidRPr="00A32846">
              <w:rPr>
                <w:rFonts w:ascii="Arial" w:hAnsi="Arial" w:cs="Arial"/>
                <w:szCs w:val="24"/>
              </w:rPr>
              <w:t>A611;</w:t>
            </w:r>
          </w:p>
          <w:p w14:paraId="51578D3B" w14:textId="4EB8C63E" w:rsidR="001000DC" w:rsidRPr="00A32846" w:rsidRDefault="004A3578" w:rsidP="002430A6">
            <w:pPr>
              <w:pStyle w:val="ListParagraph"/>
              <w:numPr>
                <w:ilvl w:val="0"/>
                <w:numId w:val="325"/>
              </w:numPr>
              <w:autoSpaceDE w:val="0"/>
              <w:autoSpaceDN w:val="0"/>
              <w:adjustRightInd w:val="0"/>
              <w:ind w:left="1156"/>
              <w:rPr>
                <w:rFonts w:ascii="Arial" w:hAnsi="Arial" w:cs="Arial"/>
                <w:szCs w:val="24"/>
              </w:rPr>
            </w:pPr>
            <w:r w:rsidRPr="00A32846">
              <w:rPr>
                <w:rFonts w:ascii="Arial" w:hAnsi="Arial" w:cs="Arial"/>
                <w:szCs w:val="24"/>
              </w:rPr>
              <w:t>A608.</w:t>
            </w:r>
          </w:p>
          <w:p w14:paraId="5DBC351C" w14:textId="77777777" w:rsidR="001000DC" w:rsidRPr="00A32846" w:rsidRDefault="001000DC" w:rsidP="001000DC">
            <w:pPr>
              <w:pStyle w:val="ListParagraph"/>
              <w:autoSpaceDE w:val="0"/>
              <w:autoSpaceDN w:val="0"/>
              <w:adjustRightInd w:val="0"/>
              <w:spacing w:after="0" w:line="240" w:lineRule="auto"/>
              <w:rPr>
                <w:rFonts w:ascii="Arial" w:hAnsi="Arial" w:cs="Arial"/>
                <w:szCs w:val="24"/>
              </w:rPr>
            </w:pPr>
          </w:p>
          <w:p w14:paraId="56A563CA" w14:textId="70892AD6" w:rsidR="009933FB" w:rsidRPr="00A32846" w:rsidRDefault="001000DC" w:rsidP="00874A98">
            <w:pPr>
              <w:pStyle w:val="ListParagraph"/>
              <w:numPr>
                <w:ilvl w:val="0"/>
                <w:numId w:val="163"/>
              </w:numPr>
              <w:autoSpaceDE w:val="0"/>
              <w:autoSpaceDN w:val="0"/>
              <w:adjustRightInd w:val="0"/>
              <w:spacing w:after="0" w:line="240" w:lineRule="auto"/>
              <w:rPr>
                <w:rFonts w:ascii="Arial" w:hAnsi="Arial" w:cs="Arial"/>
                <w:szCs w:val="24"/>
              </w:rPr>
            </w:pPr>
            <w:r w:rsidRPr="00A32846">
              <w:rPr>
                <w:rFonts w:ascii="Arial" w:hAnsi="Arial" w:cs="Arial"/>
                <w:szCs w:val="24"/>
              </w:rPr>
              <w:t>Facilitate the delivery of b</w:t>
            </w:r>
            <w:r w:rsidR="00F26A22" w:rsidRPr="00A32846">
              <w:rPr>
                <w:rFonts w:ascii="Arial" w:hAnsi="Arial" w:cs="Arial"/>
                <w:szCs w:val="24"/>
              </w:rPr>
              <w:t>us and coach services</w:t>
            </w:r>
            <w:r w:rsidR="00EC4D30" w:rsidRPr="00A32846">
              <w:rPr>
                <w:rFonts w:ascii="Arial" w:hAnsi="Arial" w:cs="Arial"/>
                <w:szCs w:val="24"/>
              </w:rPr>
              <w:t xml:space="preserve">, including community transport, </w:t>
            </w:r>
            <w:r w:rsidR="00E06316" w:rsidRPr="00A32846">
              <w:rPr>
                <w:rFonts w:ascii="Arial" w:hAnsi="Arial" w:cs="Arial"/>
                <w:szCs w:val="24"/>
              </w:rPr>
              <w:t>in the District</w:t>
            </w:r>
            <w:r w:rsidR="00416190" w:rsidRPr="00A32846">
              <w:rPr>
                <w:rFonts w:ascii="Arial" w:hAnsi="Arial" w:cs="Arial"/>
                <w:szCs w:val="24"/>
              </w:rPr>
              <w:t>; and</w:t>
            </w:r>
          </w:p>
          <w:p w14:paraId="5E198326" w14:textId="77777777" w:rsidR="009933FB" w:rsidRPr="00A32846" w:rsidRDefault="009933FB" w:rsidP="009933FB">
            <w:pPr>
              <w:pStyle w:val="ListParagraph"/>
              <w:autoSpaceDE w:val="0"/>
              <w:autoSpaceDN w:val="0"/>
              <w:adjustRightInd w:val="0"/>
              <w:spacing w:after="0" w:line="240" w:lineRule="auto"/>
              <w:rPr>
                <w:rFonts w:ascii="Arial" w:hAnsi="Arial" w:cs="Arial"/>
                <w:szCs w:val="24"/>
              </w:rPr>
            </w:pPr>
          </w:p>
          <w:p w14:paraId="583F7F49" w14:textId="56F399C7" w:rsidR="00F26A22" w:rsidRPr="00A32846" w:rsidRDefault="001000DC" w:rsidP="00874A98">
            <w:pPr>
              <w:pStyle w:val="ListParagraph"/>
              <w:numPr>
                <w:ilvl w:val="0"/>
                <w:numId w:val="163"/>
              </w:numPr>
              <w:autoSpaceDE w:val="0"/>
              <w:autoSpaceDN w:val="0"/>
              <w:adjustRightInd w:val="0"/>
              <w:spacing w:after="0" w:line="240" w:lineRule="auto"/>
              <w:rPr>
                <w:rFonts w:ascii="Arial" w:hAnsi="Arial" w:cs="Arial"/>
                <w:szCs w:val="24"/>
              </w:rPr>
            </w:pPr>
            <w:bookmarkStart w:id="97" w:name="_Hlk83107060"/>
            <w:r w:rsidRPr="00A32846">
              <w:rPr>
                <w:rFonts w:ascii="Arial" w:eastAsia="Arial" w:hAnsi="Arial" w:cs="Arial"/>
                <w:szCs w:val="24"/>
              </w:rPr>
              <w:t xml:space="preserve">Improve connectivity to </w:t>
            </w:r>
            <w:bookmarkStart w:id="98" w:name="_Hlk142391326"/>
            <w:r w:rsidRPr="00A32846">
              <w:rPr>
                <w:rFonts w:ascii="Arial" w:eastAsia="Arial" w:hAnsi="Arial" w:cs="Arial"/>
                <w:szCs w:val="24"/>
              </w:rPr>
              <w:t>a c</w:t>
            </w:r>
            <w:r w:rsidR="00F26A22" w:rsidRPr="00A32846">
              <w:rPr>
                <w:rFonts w:ascii="Arial" w:eastAsia="Arial" w:hAnsi="Arial" w:cs="Arial"/>
                <w:szCs w:val="24"/>
              </w:rPr>
              <w:t xml:space="preserve">omprehensive network of high-quality </w:t>
            </w:r>
            <w:r w:rsidR="00901882" w:rsidRPr="00A32846">
              <w:rPr>
                <w:rFonts w:ascii="Arial" w:eastAsia="Arial" w:hAnsi="Arial" w:cs="Arial"/>
                <w:szCs w:val="24"/>
              </w:rPr>
              <w:t xml:space="preserve">pedestrian and </w:t>
            </w:r>
            <w:r w:rsidR="00F26A22" w:rsidRPr="00A32846">
              <w:rPr>
                <w:rFonts w:ascii="Arial" w:eastAsia="Arial" w:hAnsi="Arial" w:cs="Arial"/>
                <w:szCs w:val="24"/>
              </w:rPr>
              <w:t>cycle networks</w:t>
            </w:r>
            <w:r w:rsidR="003601D8" w:rsidRPr="00A32846">
              <w:rPr>
                <w:rFonts w:ascii="Arial" w:eastAsia="Arial" w:hAnsi="Arial" w:cs="Arial"/>
                <w:szCs w:val="24"/>
              </w:rPr>
              <w:t xml:space="preserve">.  </w:t>
            </w:r>
            <w:r w:rsidR="00F26A22" w:rsidRPr="00A32846">
              <w:rPr>
                <w:rFonts w:ascii="Arial" w:eastAsia="Arial" w:hAnsi="Arial" w:cs="Arial"/>
                <w:szCs w:val="24"/>
              </w:rPr>
              <w:t>The main routes</w:t>
            </w:r>
            <w:r w:rsidR="00095F11" w:rsidRPr="00A32846">
              <w:rPr>
                <w:rFonts w:ascii="Arial" w:eastAsia="Arial" w:hAnsi="Arial" w:cs="Arial"/>
                <w:szCs w:val="24"/>
              </w:rPr>
              <w:t xml:space="preserve"> </w:t>
            </w:r>
            <w:r w:rsidR="00F26A22" w:rsidRPr="00A32846">
              <w:rPr>
                <w:rFonts w:ascii="Arial" w:eastAsia="Arial" w:hAnsi="Arial" w:cs="Arial"/>
                <w:szCs w:val="24"/>
              </w:rPr>
              <w:t>to be upgraded and/or created</w:t>
            </w:r>
            <w:bookmarkEnd w:id="98"/>
            <w:r w:rsidR="00F26A22" w:rsidRPr="00A32846">
              <w:rPr>
                <w:rFonts w:ascii="Arial" w:eastAsia="Arial" w:hAnsi="Arial" w:cs="Arial"/>
                <w:szCs w:val="24"/>
              </w:rPr>
              <w:t xml:space="preserve"> </w:t>
            </w:r>
            <w:r w:rsidR="00095F11" w:rsidRPr="00A32846">
              <w:rPr>
                <w:rFonts w:ascii="Arial" w:eastAsia="Arial" w:hAnsi="Arial" w:cs="Arial"/>
                <w:szCs w:val="24"/>
              </w:rPr>
              <w:t xml:space="preserve">are shown on the Policies Map and </w:t>
            </w:r>
            <w:r w:rsidR="00F26A22" w:rsidRPr="00A32846">
              <w:rPr>
                <w:rFonts w:ascii="Arial" w:eastAsia="Arial" w:hAnsi="Arial" w:cs="Arial"/>
                <w:szCs w:val="24"/>
              </w:rPr>
              <w:t>include:</w:t>
            </w:r>
          </w:p>
          <w:p w14:paraId="1702F168" w14:textId="77777777" w:rsidR="00F26A22" w:rsidRPr="00A32846" w:rsidRDefault="00F26A22" w:rsidP="009933FB">
            <w:pPr>
              <w:pStyle w:val="ListParagraph"/>
              <w:spacing w:after="0" w:line="240" w:lineRule="auto"/>
              <w:ind w:left="622"/>
              <w:rPr>
                <w:rFonts w:ascii="Arial" w:eastAsia="Arial" w:hAnsi="Arial" w:cs="Arial"/>
                <w:szCs w:val="24"/>
                <w:lang w:eastAsia="en-GB"/>
              </w:rPr>
            </w:pPr>
          </w:p>
          <w:p w14:paraId="66F3ED1C" w14:textId="0B3E760C" w:rsidR="00F26A22" w:rsidRPr="009933FB" w:rsidRDefault="00F26A22" w:rsidP="002430A6">
            <w:pPr>
              <w:pStyle w:val="ListParagraph"/>
              <w:numPr>
                <w:ilvl w:val="0"/>
                <w:numId w:val="102"/>
              </w:numPr>
              <w:autoSpaceDE w:val="0"/>
              <w:autoSpaceDN w:val="0"/>
              <w:adjustRightInd w:val="0"/>
              <w:spacing w:after="0" w:line="240" w:lineRule="auto"/>
              <w:ind w:left="1156" w:hanging="142"/>
              <w:rPr>
                <w:rFonts w:ascii="Arial" w:eastAsia="Arial" w:hAnsi="Arial" w:cs="Arial"/>
                <w:color w:val="auto"/>
                <w:szCs w:val="24"/>
                <w:lang w:eastAsia="en-GB"/>
              </w:rPr>
            </w:pPr>
            <w:r w:rsidRPr="009933FB">
              <w:rPr>
                <w:rFonts w:ascii="Arial" w:eastAsia="Arial" w:hAnsi="Arial" w:cs="Arial"/>
                <w:color w:val="auto"/>
                <w:szCs w:val="24"/>
                <w:lang w:eastAsia="en-GB"/>
              </w:rPr>
              <w:t>Hucknall</w:t>
            </w:r>
            <w:r w:rsidR="00FC41C7" w:rsidRPr="009933FB">
              <w:rPr>
                <w:rFonts w:ascii="Arial" w:eastAsia="Arial" w:hAnsi="Arial" w:cs="Arial"/>
                <w:color w:val="auto"/>
                <w:szCs w:val="24"/>
                <w:lang w:eastAsia="en-GB"/>
              </w:rPr>
              <w:t xml:space="preserve"> </w:t>
            </w:r>
            <w:r w:rsidR="00A3627D" w:rsidRPr="009933FB">
              <w:rPr>
                <w:rFonts w:ascii="Arial" w:eastAsia="Arial" w:hAnsi="Arial" w:cs="Arial"/>
                <w:color w:val="auto"/>
                <w:szCs w:val="24"/>
                <w:lang w:eastAsia="en-GB"/>
              </w:rPr>
              <w:t>-</w:t>
            </w:r>
            <w:r w:rsidR="00FC41C7" w:rsidRPr="009933FB">
              <w:rPr>
                <w:rFonts w:ascii="Arial" w:eastAsia="Arial" w:hAnsi="Arial" w:cs="Arial"/>
                <w:color w:val="auto"/>
                <w:szCs w:val="24"/>
                <w:lang w:eastAsia="en-GB"/>
              </w:rPr>
              <w:t xml:space="preserve"> </w:t>
            </w:r>
            <w:r w:rsidRPr="009933FB">
              <w:rPr>
                <w:rFonts w:ascii="Arial" w:eastAsia="Arial" w:hAnsi="Arial" w:cs="Arial"/>
                <w:color w:val="auto"/>
                <w:szCs w:val="24"/>
                <w:lang w:eastAsia="en-GB"/>
              </w:rPr>
              <w:t>Kirkby</w:t>
            </w:r>
            <w:r w:rsidR="00FC41C7" w:rsidRPr="009933FB">
              <w:rPr>
                <w:rFonts w:ascii="Arial" w:eastAsia="Arial" w:hAnsi="Arial" w:cs="Arial"/>
                <w:color w:val="auto"/>
                <w:szCs w:val="24"/>
                <w:lang w:eastAsia="en-GB"/>
              </w:rPr>
              <w:t xml:space="preserve"> </w:t>
            </w:r>
            <w:r w:rsidR="00A3627D" w:rsidRPr="009933FB">
              <w:rPr>
                <w:rFonts w:ascii="Arial" w:eastAsia="Arial" w:hAnsi="Arial" w:cs="Arial"/>
                <w:color w:val="auto"/>
                <w:szCs w:val="24"/>
                <w:lang w:eastAsia="en-GB"/>
              </w:rPr>
              <w:t xml:space="preserve">– </w:t>
            </w:r>
            <w:r w:rsidRPr="009933FB">
              <w:rPr>
                <w:rFonts w:ascii="Arial" w:eastAsia="Arial" w:hAnsi="Arial" w:cs="Arial"/>
                <w:color w:val="auto"/>
                <w:szCs w:val="24"/>
                <w:lang w:eastAsia="en-GB"/>
              </w:rPr>
              <w:t>Sutton</w:t>
            </w:r>
            <w:r w:rsidR="00A3627D" w:rsidRPr="009933FB">
              <w:rPr>
                <w:rFonts w:ascii="Arial" w:eastAsia="Arial" w:hAnsi="Arial" w:cs="Arial"/>
                <w:color w:val="auto"/>
                <w:szCs w:val="24"/>
                <w:lang w:eastAsia="en-GB"/>
              </w:rPr>
              <w:t xml:space="preserve"> </w:t>
            </w:r>
            <w:r w:rsidR="003B30FD">
              <w:rPr>
                <w:rFonts w:ascii="Arial" w:eastAsia="Arial" w:hAnsi="Arial" w:cs="Arial"/>
                <w:color w:val="auto"/>
                <w:szCs w:val="24"/>
                <w:lang w:eastAsia="en-GB"/>
              </w:rPr>
              <w:t>–</w:t>
            </w:r>
            <w:r w:rsidR="00A3627D" w:rsidRPr="009933FB">
              <w:rPr>
                <w:rFonts w:ascii="Arial" w:eastAsia="Arial" w:hAnsi="Arial" w:cs="Arial"/>
                <w:color w:val="auto"/>
                <w:szCs w:val="24"/>
                <w:lang w:eastAsia="en-GB"/>
              </w:rPr>
              <w:t xml:space="preserve"> </w:t>
            </w:r>
            <w:r w:rsidRPr="009933FB">
              <w:rPr>
                <w:rFonts w:ascii="Arial" w:eastAsia="Arial" w:hAnsi="Arial" w:cs="Arial"/>
                <w:color w:val="auto"/>
                <w:szCs w:val="24"/>
                <w:lang w:eastAsia="en-GB"/>
              </w:rPr>
              <w:t>Mansfield</w:t>
            </w:r>
            <w:r w:rsidR="003B30FD">
              <w:rPr>
                <w:rFonts w:ascii="Arial" w:eastAsia="Arial" w:hAnsi="Arial" w:cs="Arial"/>
                <w:color w:val="auto"/>
                <w:szCs w:val="24"/>
                <w:lang w:eastAsia="en-GB"/>
              </w:rPr>
              <w:t>,</w:t>
            </w:r>
          </w:p>
          <w:p w14:paraId="36DC2C34" w14:textId="747DA2E8" w:rsidR="00F26A22" w:rsidRPr="009933FB" w:rsidRDefault="00F26A22" w:rsidP="002430A6">
            <w:pPr>
              <w:pStyle w:val="ListParagraph"/>
              <w:numPr>
                <w:ilvl w:val="0"/>
                <w:numId w:val="102"/>
              </w:numPr>
              <w:autoSpaceDE w:val="0"/>
              <w:autoSpaceDN w:val="0"/>
              <w:adjustRightInd w:val="0"/>
              <w:spacing w:after="0" w:line="240" w:lineRule="auto"/>
              <w:ind w:left="1156" w:hanging="142"/>
              <w:jc w:val="both"/>
              <w:rPr>
                <w:rFonts w:ascii="Arial" w:eastAsia="Arial" w:hAnsi="Arial" w:cs="Arial"/>
                <w:color w:val="auto"/>
                <w:szCs w:val="24"/>
                <w:lang w:eastAsia="en-GB"/>
              </w:rPr>
            </w:pPr>
            <w:r w:rsidRPr="009933FB">
              <w:rPr>
                <w:rFonts w:ascii="Arial" w:eastAsia="Arial" w:hAnsi="Arial" w:cs="Arial"/>
                <w:color w:val="auto"/>
                <w:szCs w:val="24"/>
                <w:lang w:eastAsia="en-GB"/>
              </w:rPr>
              <w:t>Sutton – Derbyshire</w:t>
            </w:r>
            <w:r w:rsidR="003B30FD">
              <w:rPr>
                <w:rFonts w:ascii="Arial" w:eastAsia="Arial" w:hAnsi="Arial" w:cs="Arial"/>
                <w:color w:val="auto"/>
                <w:szCs w:val="24"/>
                <w:lang w:eastAsia="en-GB"/>
              </w:rPr>
              <w:t>,</w:t>
            </w:r>
          </w:p>
          <w:p w14:paraId="3798A959" w14:textId="214523DD" w:rsidR="00F26A22" w:rsidRPr="009933FB" w:rsidRDefault="00F26A22" w:rsidP="002430A6">
            <w:pPr>
              <w:pStyle w:val="ListParagraph"/>
              <w:numPr>
                <w:ilvl w:val="0"/>
                <w:numId w:val="102"/>
              </w:numPr>
              <w:autoSpaceDE w:val="0"/>
              <w:autoSpaceDN w:val="0"/>
              <w:adjustRightInd w:val="0"/>
              <w:spacing w:after="0" w:line="240" w:lineRule="auto"/>
              <w:ind w:left="1156" w:hanging="142"/>
              <w:jc w:val="both"/>
              <w:rPr>
                <w:rFonts w:ascii="Arial" w:eastAsia="Arial" w:hAnsi="Arial" w:cs="Arial"/>
                <w:color w:val="auto"/>
                <w:szCs w:val="24"/>
                <w:lang w:eastAsia="en-GB"/>
              </w:rPr>
            </w:pPr>
            <w:r w:rsidRPr="009933FB">
              <w:rPr>
                <w:rFonts w:ascii="Arial" w:eastAsia="Arial" w:hAnsi="Arial" w:cs="Arial"/>
                <w:color w:val="auto"/>
                <w:szCs w:val="24"/>
                <w:lang w:eastAsia="en-GB"/>
              </w:rPr>
              <w:t>Huthwaite – Sutton</w:t>
            </w:r>
            <w:r w:rsidR="003B30FD">
              <w:rPr>
                <w:rFonts w:ascii="Arial" w:eastAsia="Arial" w:hAnsi="Arial" w:cs="Arial"/>
                <w:color w:val="auto"/>
                <w:szCs w:val="24"/>
                <w:lang w:eastAsia="en-GB"/>
              </w:rPr>
              <w:t>,</w:t>
            </w:r>
          </w:p>
          <w:p w14:paraId="5565634D" w14:textId="22333356" w:rsidR="00F26A22" w:rsidRPr="009933FB" w:rsidRDefault="00F26A22" w:rsidP="002430A6">
            <w:pPr>
              <w:pStyle w:val="ListParagraph"/>
              <w:numPr>
                <w:ilvl w:val="0"/>
                <w:numId w:val="102"/>
              </w:numPr>
              <w:autoSpaceDE w:val="0"/>
              <w:autoSpaceDN w:val="0"/>
              <w:adjustRightInd w:val="0"/>
              <w:spacing w:after="0" w:line="240" w:lineRule="auto"/>
              <w:ind w:left="1156" w:hanging="142"/>
              <w:jc w:val="both"/>
              <w:rPr>
                <w:rFonts w:ascii="Arial" w:eastAsia="Arial" w:hAnsi="Arial" w:cs="Arial"/>
                <w:color w:val="auto"/>
                <w:szCs w:val="24"/>
                <w:lang w:eastAsia="en-GB"/>
              </w:rPr>
            </w:pPr>
            <w:r w:rsidRPr="009933FB">
              <w:rPr>
                <w:rFonts w:ascii="Arial" w:eastAsia="Arial" w:hAnsi="Arial" w:cs="Arial"/>
                <w:color w:val="auto"/>
                <w:szCs w:val="24"/>
                <w:lang w:eastAsia="en-GB"/>
              </w:rPr>
              <w:t>Sutton</w:t>
            </w:r>
            <w:r w:rsidR="00A3627D" w:rsidRPr="009933FB">
              <w:rPr>
                <w:rFonts w:ascii="Arial" w:eastAsia="Arial" w:hAnsi="Arial" w:cs="Arial"/>
                <w:color w:val="auto"/>
                <w:szCs w:val="24"/>
                <w:lang w:eastAsia="en-GB"/>
              </w:rPr>
              <w:t xml:space="preserve"> </w:t>
            </w:r>
            <w:r w:rsidRPr="009933FB">
              <w:rPr>
                <w:rFonts w:ascii="Arial" w:eastAsia="Arial" w:hAnsi="Arial" w:cs="Arial"/>
                <w:color w:val="auto"/>
                <w:szCs w:val="24"/>
                <w:lang w:eastAsia="en-GB"/>
              </w:rPr>
              <w:t>- Sherwood Observatory</w:t>
            </w:r>
            <w:bookmarkEnd w:id="95"/>
            <w:r w:rsidR="003B30FD">
              <w:rPr>
                <w:rFonts w:ascii="Arial" w:eastAsia="Arial" w:hAnsi="Arial" w:cs="Arial"/>
                <w:color w:val="auto"/>
                <w:szCs w:val="24"/>
                <w:lang w:eastAsia="en-GB"/>
              </w:rPr>
              <w:t>.</w:t>
            </w:r>
          </w:p>
          <w:bookmarkEnd w:id="97"/>
          <w:p w14:paraId="505B4019" w14:textId="77777777" w:rsidR="00416190" w:rsidRPr="00416190" w:rsidRDefault="00416190" w:rsidP="002430A6">
            <w:pPr>
              <w:pStyle w:val="ListParagraph"/>
              <w:autoSpaceDE w:val="0"/>
              <w:autoSpaceDN w:val="0"/>
              <w:adjustRightInd w:val="0"/>
              <w:spacing w:after="0" w:line="240" w:lineRule="auto"/>
              <w:ind w:left="1156"/>
              <w:rPr>
                <w:rFonts w:ascii="Arial" w:hAnsi="Arial" w:cs="Arial"/>
                <w:color w:val="0070C0"/>
                <w:szCs w:val="24"/>
              </w:rPr>
            </w:pPr>
          </w:p>
          <w:p w14:paraId="77AAD8F9" w14:textId="333B1282" w:rsidR="001000DC" w:rsidRPr="00C474FF" w:rsidRDefault="00416190" w:rsidP="00874A98">
            <w:pPr>
              <w:pStyle w:val="ListParagraph"/>
              <w:numPr>
                <w:ilvl w:val="0"/>
                <w:numId w:val="101"/>
              </w:numPr>
              <w:autoSpaceDE w:val="0"/>
              <w:autoSpaceDN w:val="0"/>
              <w:adjustRightInd w:val="0"/>
              <w:spacing w:after="0" w:line="240" w:lineRule="auto"/>
              <w:rPr>
                <w:rFonts w:ascii="Arial" w:hAnsi="Arial" w:cs="Arial"/>
                <w:szCs w:val="24"/>
              </w:rPr>
            </w:pPr>
            <w:r w:rsidRPr="00A32846">
              <w:rPr>
                <w:rFonts w:ascii="Arial" w:hAnsi="Arial" w:cs="Arial"/>
                <w:szCs w:val="24"/>
              </w:rPr>
              <w:t>Safeguard land for the Nottingham Express Transit System, from Hucknall Station to the boundary with Gedling Borough as identified on the Policies Map.</w:t>
            </w:r>
          </w:p>
          <w:p w14:paraId="6BCBFC44" w14:textId="14387822" w:rsidR="001000DC" w:rsidRPr="001000DC" w:rsidRDefault="001000DC" w:rsidP="001000DC">
            <w:pPr>
              <w:autoSpaceDE w:val="0"/>
              <w:autoSpaceDN w:val="0"/>
              <w:adjustRightInd w:val="0"/>
              <w:rPr>
                <w:rFonts w:eastAsia="Arial" w:cs="Arial"/>
                <w:color w:val="0070C0"/>
                <w:szCs w:val="24"/>
                <w:highlight w:val="yellow"/>
              </w:rPr>
            </w:pPr>
          </w:p>
        </w:tc>
      </w:tr>
      <w:tr w:rsidR="00F11936" w:rsidRPr="003C7E62" w14:paraId="02FFB8E3" w14:textId="77777777" w:rsidTr="002430A6">
        <w:tc>
          <w:tcPr>
            <w:tcW w:w="1838" w:type="dxa"/>
            <w:shd w:val="clear" w:color="auto" w:fill="FFFFFF" w:themeFill="background1"/>
          </w:tcPr>
          <w:p w14:paraId="4D37D163" w14:textId="1FFFA532" w:rsidR="00F11936" w:rsidRPr="004A5D83" w:rsidRDefault="00F11936" w:rsidP="004A5D83">
            <w:pPr>
              <w:autoSpaceDE w:val="0"/>
              <w:autoSpaceDN w:val="0"/>
              <w:adjustRightInd w:val="0"/>
              <w:rPr>
                <w:rFonts w:cs="Arial"/>
                <w:color w:val="auto"/>
                <w:szCs w:val="24"/>
              </w:rPr>
            </w:pPr>
            <w:r w:rsidRPr="004A5D83">
              <w:rPr>
                <w:rFonts w:eastAsia="Arial" w:cs="Arial"/>
                <w:bCs/>
                <w:color w:val="auto"/>
                <w:sz w:val="20"/>
              </w:rPr>
              <w:t>Evidence Base</w:t>
            </w:r>
          </w:p>
        </w:tc>
        <w:tc>
          <w:tcPr>
            <w:tcW w:w="7796" w:type="dxa"/>
            <w:gridSpan w:val="2"/>
            <w:shd w:val="clear" w:color="auto" w:fill="FFFFFF" w:themeFill="background1"/>
          </w:tcPr>
          <w:p w14:paraId="6C5E304D" w14:textId="085039CF" w:rsidR="00F11936" w:rsidRPr="00A32846" w:rsidRDefault="00F11936" w:rsidP="004A5D83">
            <w:pPr>
              <w:keepNext w:val="0"/>
              <w:numPr>
                <w:ilvl w:val="0"/>
                <w:numId w:val="32"/>
              </w:numPr>
              <w:tabs>
                <w:tab w:val="left" w:pos="680"/>
                <w:tab w:val="left" w:pos="1133"/>
                <w:tab w:val="left" w:pos="2267"/>
              </w:tabs>
              <w:spacing w:before="0" w:after="160" w:line="252" w:lineRule="auto"/>
              <w:ind w:right="284"/>
              <w:contextualSpacing/>
              <w:rPr>
                <w:rFonts w:eastAsia="Arial" w:cs="Arial"/>
                <w:bCs/>
                <w:sz w:val="20"/>
              </w:rPr>
            </w:pPr>
            <w:r w:rsidRPr="003C7E62">
              <w:rPr>
                <w:rFonts w:eastAsia="Arial" w:cs="Arial"/>
                <w:bCs/>
                <w:color w:val="auto"/>
                <w:sz w:val="20"/>
              </w:rPr>
              <w:t xml:space="preserve">Sustainability Appraisal </w:t>
            </w:r>
            <w:r w:rsidRPr="00A32846">
              <w:rPr>
                <w:rFonts w:eastAsia="Arial" w:cs="Arial"/>
                <w:bCs/>
                <w:sz w:val="20"/>
              </w:rPr>
              <w:t>202</w:t>
            </w:r>
            <w:r w:rsidR="00D022BB" w:rsidRPr="00A32846">
              <w:rPr>
                <w:rFonts w:eastAsia="Arial" w:cs="Arial"/>
                <w:bCs/>
                <w:sz w:val="20"/>
              </w:rPr>
              <w:t>3</w:t>
            </w:r>
            <w:r w:rsidRPr="00A32846">
              <w:rPr>
                <w:rFonts w:eastAsia="Arial" w:cs="Arial"/>
                <w:bCs/>
                <w:sz w:val="20"/>
              </w:rPr>
              <w:t xml:space="preserve">.  </w:t>
            </w:r>
            <w:r w:rsidR="00D022BB" w:rsidRPr="00A32846">
              <w:rPr>
                <w:rFonts w:eastAsia="Arial" w:cs="Arial"/>
                <w:bCs/>
                <w:sz w:val="20"/>
              </w:rPr>
              <w:t>WSP UK Limited</w:t>
            </w:r>
            <w:r w:rsidRPr="00A32846">
              <w:rPr>
                <w:rFonts w:eastAsia="Arial" w:cs="Arial"/>
                <w:bCs/>
                <w:sz w:val="20"/>
              </w:rPr>
              <w:t>.</w:t>
            </w:r>
          </w:p>
          <w:p w14:paraId="746FF9F3" w14:textId="5A876803" w:rsidR="00F11936" w:rsidRPr="000E778B" w:rsidRDefault="00F11936" w:rsidP="004A5D83">
            <w:pPr>
              <w:keepNext w:val="0"/>
              <w:numPr>
                <w:ilvl w:val="0"/>
                <w:numId w:val="32"/>
              </w:numPr>
              <w:tabs>
                <w:tab w:val="left" w:pos="680"/>
                <w:tab w:val="left" w:pos="1133"/>
                <w:tab w:val="left" w:pos="2267"/>
              </w:tabs>
              <w:spacing w:before="0" w:after="160" w:line="252" w:lineRule="auto"/>
              <w:ind w:right="284"/>
              <w:contextualSpacing/>
              <w:rPr>
                <w:rFonts w:eastAsia="Arial" w:cs="Arial"/>
                <w:bCs/>
                <w:color w:val="auto"/>
                <w:sz w:val="20"/>
              </w:rPr>
            </w:pPr>
            <w:r w:rsidRPr="000E778B">
              <w:rPr>
                <w:rFonts w:eastAsia="Arial" w:cs="Arial"/>
                <w:bCs/>
                <w:color w:val="auto"/>
                <w:sz w:val="20"/>
              </w:rPr>
              <w:t xml:space="preserve">Background Paper </w:t>
            </w:r>
            <w:r w:rsidR="007075B1" w:rsidRPr="000E778B">
              <w:rPr>
                <w:rFonts w:eastAsia="Arial" w:cs="Arial"/>
                <w:bCs/>
                <w:color w:val="auto"/>
                <w:sz w:val="20"/>
              </w:rPr>
              <w:t xml:space="preserve">No </w:t>
            </w:r>
            <w:r w:rsidRPr="000E778B">
              <w:rPr>
                <w:rFonts w:eastAsia="Arial" w:cs="Arial"/>
                <w:bCs/>
                <w:color w:val="auto"/>
                <w:sz w:val="20"/>
              </w:rPr>
              <w:t>5</w:t>
            </w:r>
            <w:r w:rsidR="007075B1" w:rsidRPr="000E778B">
              <w:rPr>
                <w:rFonts w:eastAsia="Arial" w:cs="Arial"/>
                <w:bCs/>
                <w:color w:val="auto"/>
                <w:sz w:val="20"/>
              </w:rPr>
              <w:t>:</w:t>
            </w:r>
            <w:r w:rsidRPr="000E778B">
              <w:rPr>
                <w:rFonts w:eastAsia="Arial" w:cs="Arial"/>
                <w:bCs/>
                <w:color w:val="auto"/>
                <w:sz w:val="20"/>
              </w:rPr>
              <w:t xml:space="preserve"> Infrastructure Delivery</w:t>
            </w:r>
            <w:r w:rsidR="007075B1" w:rsidRPr="000E778B">
              <w:rPr>
                <w:rFonts w:eastAsia="Arial" w:cs="Arial"/>
                <w:bCs/>
                <w:color w:val="auto"/>
                <w:sz w:val="20"/>
              </w:rPr>
              <w:t xml:space="preserve"> 202</w:t>
            </w:r>
            <w:r w:rsidR="000E778B" w:rsidRPr="000E778B">
              <w:rPr>
                <w:rFonts w:eastAsia="Arial" w:cs="Arial"/>
                <w:bCs/>
                <w:color w:val="auto"/>
                <w:sz w:val="20"/>
              </w:rPr>
              <w:t>3</w:t>
            </w:r>
            <w:r w:rsidRPr="000E778B">
              <w:rPr>
                <w:rFonts w:eastAsia="Arial" w:cs="Arial"/>
                <w:bCs/>
                <w:color w:val="auto"/>
                <w:sz w:val="20"/>
              </w:rPr>
              <w:t xml:space="preserve"> Ashfield District Council.</w:t>
            </w:r>
          </w:p>
          <w:p w14:paraId="06D4C269" w14:textId="27F63DCF" w:rsidR="00F11936" w:rsidRPr="00A32846" w:rsidRDefault="00F11936" w:rsidP="004A5D83">
            <w:pPr>
              <w:keepNext w:val="0"/>
              <w:numPr>
                <w:ilvl w:val="0"/>
                <w:numId w:val="32"/>
              </w:numPr>
              <w:tabs>
                <w:tab w:val="left" w:pos="680"/>
                <w:tab w:val="left" w:pos="1133"/>
                <w:tab w:val="left" w:pos="2267"/>
              </w:tabs>
              <w:spacing w:before="0" w:after="160" w:line="252" w:lineRule="auto"/>
              <w:ind w:right="284"/>
              <w:contextualSpacing/>
              <w:rPr>
                <w:rFonts w:eastAsia="Arial" w:cs="Arial"/>
                <w:bCs/>
                <w:sz w:val="20"/>
              </w:rPr>
            </w:pPr>
            <w:r w:rsidRPr="00A32846">
              <w:rPr>
                <w:rFonts w:eastAsia="Calibri" w:cs="Arial"/>
                <w:sz w:val="20"/>
              </w:rPr>
              <w:t>Ashfield Transport Study</w:t>
            </w:r>
            <w:r w:rsidR="00A32846" w:rsidRPr="00A32846">
              <w:rPr>
                <w:rFonts w:eastAsia="Calibri" w:cs="Arial"/>
                <w:sz w:val="20"/>
              </w:rPr>
              <w:t xml:space="preserve"> </w:t>
            </w:r>
            <w:r w:rsidRPr="00A32846">
              <w:rPr>
                <w:rFonts w:eastAsia="Calibri" w:cs="Arial"/>
                <w:sz w:val="20"/>
              </w:rPr>
              <w:t>20</w:t>
            </w:r>
            <w:r w:rsidR="00A32846" w:rsidRPr="00A32846">
              <w:rPr>
                <w:rFonts w:eastAsia="Calibri" w:cs="Arial"/>
                <w:sz w:val="20"/>
              </w:rPr>
              <w:t>23</w:t>
            </w:r>
            <w:r w:rsidRPr="00A32846">
              <w:rPr>
                <w:rFonts w:eastAsia="Calibri" w:cs="Arial"/>
                <w:sz w:val="20"/>
              </w:rPr>
              <w:t>. Systra</w:t>
            </w:r>
            <w:r w:rsidR="00024CB3" w:rsidRPr="00A32846">
              <w:rPr>
                <w:rFonts w:eastAsia="Calibri" w:cs="Arial"/>
                <w:sz w:val="20"/>
              </w:rPr>
              <w:t>.</w:t>
            </w:r>
          </w:p>
          <w:p w14:paraId="0E6A04CA" w14:textId="5F0B44EC" w:rsidR="00F11936" w:rsidRPr="0061668F" w:rsidRDefault="00F11936" w:rsidP="004A5D83">
            <w:pPr>
              <w:keepNext w:val="0"/>
              <w:numPr>
                <w:ilvl w:val="0"/>
                <w:numId w:val="32"/>
              </w:numPr>
              <w:tabs>
                <w:tab w:val="left" w:pos="680"/>
                <w:tab w:val="left" w:pos="1133"/>
                <w:tab w:val="left" w:pos="2267"/>
              </w:tabs>
              <w:spacing w:before="0" w:after="160" w:line="252" w:lineRule="auto"/>
              <w:ind w:right="284"/>
              <w:contextualSpacing/>
              <w:rPr>
                <w:rFonts w:eastAsia="Arial" w:cs="Arial"/>
                <w:bCs/>
                <w:color w:val="auto"/>
                <w:sz w:val="20"/>
              </w:rPr>
            </w:pPr>
            <w:r w:rsidRPr="0061668F">
              <w:rPr>
                <w:rFonts w:eastAsia="Arial" w:cs="Arial"/>
                <w:bCs/>
                <w:color w:val="auto"/>
                <w:sz w:val="20"/>
              </w:rPr>
              <w:t>Local Transport Plan (LTP) 2011</w:t>
            </w:r>
            <w:r w:rsidR="0061668F" w:rsidRPr="0061668F">
              <w:rPr>
                <w:rFonts w:eastAsia="Arial" w:cs="Arial"/>
                <w:bCs/>
                <w:color w:val="auto"/>
                <w:sz w:val="20"/>
              </w:rPr>
              <w:t xml:space="preserve"> </w:t>
            </w:r>
            <w:r w:rsidRPr="0061668F">
              <w:rPr>
                <w:rFonts w:eastAsia="Arial" w:cs="Arial"/>
                <w:bCs/>
                <w:color w:val="auto"/>
                <w:sz w:val="20"/>
              </w:rPr>
              <w:t xml:space="preserve">– </w:t>
            </w:r>
            <w:r w:rsidR="0061668F" w:rsidRPr="0061668F">
              <w:rPr>
                <w:rFonts w:eastAsia="Arial" w:cs="Arial"/>
                <w:bCs/>
                <w:color w:val="auto"/>
                <w:sz w:val="20"/>
              </w:rPr>
              <w:t>20</w:t>
            </w:r>
            <w:r w:rsidRPr="0061668F">
              <w:rPr>
                <w:rFonts w:eastAsia="Arial" w:cs="Arial"/>
                <w:bCs/>
                <w:color w:val="auto"/>
                <w:sz w:val="20"/>
              </w:rPr>
              <w:t>26. Nottinghamshire County Council</w:t>
            </w:r>
            <w:r w:rsidR="00024CB3" w:rsidRPr="0061668F">
              <w:rPr>
                <w:rFonts w:eastAsia="Arial" w:cs="Arial"/>
                <w:bCs/>
                <w:color w:val="auto"/>
                <w:sz w:val="20"/>
              </w:rPr>
              <w:t>.</w:t>
            </w:r>
          </w:p>
          <w:p w14:paraId="0658F711" w14:textId="77777777" w:rsidR="00F11936" w:rsidRPr="006E3758" w:rsidRDefault="00F11936" w:rsidP="004A5D83">
            <w:pPr>
              <w:keepNext w:val="0"/>
              <w:numPr>
                <w:ilvl w:val="0"/>
                <w:numId w:val="32"/>
              </w:numPr>
              <w:tabs>
                <w:tab w:val="left" w:pos="680"/>
                <w:tab w:val="left" w:pos="1133"/>
                <w:tab w:val="left" w:pos="2267"/>
              </w:tabs>
              <w:spacing w:before="0" w:after="160" w:line="252" w:lineRule="auto"/>
              <w:ind w:right="284"/>
              <w:contextualSpacing/>
              <w:rPr>
                <w:rFonts w:eastAsia="Arial" w:cs="Arial"/>
                <w:bCs/>
                <w:color w:val="auto"/>
                <w:sz w:val="20"/>
              </w:rPr>
            </w:pPr>
            <w:r w:rsidRPr="00F11936">
              <w:rPr>
                <w:rFonts w:cs="Arial"/>
                <w:sz w:val="20"/>
              </w:rPr>
              <w:t>Discover Ashfield</w:t>
            </w:r>
            <w:r w:rsidR="00024CB3">
              <w:rPr>
                <w:rFonts w:cs="Arial"/>
                <w:sz w:val="20"/>
              </w:rPr>
              <w:t>.</w:t>
            </w:r>
          </w:p>
          <w:p w14:paraId="5A8031B4" w14:textId="18350240" w:rsidR="006E3758" w:rsidRPr="006E3758" w:rsidRDefault="006E3758" w:rsidP="004A5D83">
            <w:pPr>
              <w:keepNext w:val="0"/>
              <w:numPr>
                <w:ilvl w:val="0"/>
                <w:numId w:val="32"/>
              </w:numPr>
              <w:tabs>
                <w:tab w:val="left" w:pos="680"/>
                <w:tab w:val="left" w:pos="1133"/>
                <w:tab w:val="left" w:pos="2267"/>
              </w:tabs>
              <w:spacing w:before="0" w:after="160" w:line="252" w:lineRule="auto"/>
              <w:ind w:right="284"/>
              <w:contextualSpacing/>
              <w:rPr>
                <w:rFonts w:eastAsia="Arial" w:cs="Arial"/>
                <w:bCs/>
                <w:color w:val="auto"/>
                <w:sz w:val="20"/>
              </w:rPr>
            </w:pPr>
            <w:r w:rsidRPr="006E3758">
              <w:rPr>
                <w:rFonts w:eastAsia="Arial" w:cs="Arial"/>
                <w:bCs/>
                <w:color w:val="auto"/>
                <w:sz w:val="20"/>
              </w:rPr>
              <w:t xml:space="preserve">Gear change: a bold vision for cycling </w:t>
            </w:r>
            <w:r w:rsidR="002430A6">
              <w:rPr>
                <w:rFonts w:eastAsia="Arial" w:cs="Arial"/>
                <w:bCs/>
                <w:color w:val="auto"/>
                <w:sz w:val="20"/>
              </w:rPr>
              <w:t>&amp;</w:t>
            </w:r>
            <w:r w:rsidRPr="006E3758">
              <w:rPr>
                <w:rFonts w:eastAsia="Arial" w:cs="Arial"/>
                <w:bCs/>
                <w:color w:val="auto"/>
                <w:sz w:val="20"/>
              </w:rPr>
              <w:t xml:space="preserve"> walking</w:t>
            </w:r>
            <w:r w:rsidR="002430A6">
              <w:rPr>
                <w:rFonts w:eastAsia="Arial" w:cs="Arial"/>
                <w:bCs/>
                <w:color w:val="auto"/>
                <w:sz w:val="20"/>
              </w:rPr>
              <w:t xml:space="preserve">, </w:t>
            </w:r>
            <w:r w:rsidRPr="006E3758">
              <w:rPr>
                <w:rFonts w:eastAsia="Arial" w:cs="Arial"/>
                <w:bCs/>
                <w:color w:val="auto"/>
                <w:sz w:val="20"/>
              </w:rPr>
              <w:t>2020</w:t>
            </w:r>
            <w:r w:rsidR="002430A6">
              <w:rPr>
                <w:rFonts w:eastAsia="Arial" w:cs="Arial"/>
                <w:bCs/>
                <w:color w:val="auto"/>
                <w:sz w:val="20"/>
              </w:rPr>
              <w:t xml:space="preserve">. </w:t>
            </w:r>
            <w:r w:rsidRPr="006E3758">
              <w:rPr>
                <w:rFonts w:eastAsia="Arial" w:cs="Arial"/>
                <w:bCs/>
                <w:color w:val="auto"/>
                <w:sz w:val="20"/>
              </w:rPr>
              <w:t>Department for Transport</w:t>
            </w:r>
          </w:p>
        </w:tc>
      </w:tr>
      <w:tr w:rsidR="00F11936" w:rsidRPr="003C7E62" w14:paraId="2C0D9E78" w14:textId="77777777" w:rsidTr="002430A6">
        <w:tc>
          <w:tcPr>
            <w:tcW w:w="1838" w:type="dxa"/>
            <w:shd w:val="clear" w:color="auto" w:fill="FFFFFF" w:themeFill="background1"/>
          </w:tcPr>
          <w:p w14:paraId="4A1A7C25" w14:textId="70CA9D8B" w:rsidR="00F11936" w:rsidRPr="004A5D83" w:rsidRDefault="00F11936" w:rsidP="004A5D83">
            <w:pPr>
              <w:autoSpaceDE w:val="0"/>
              <w:autoSpaceDN w:val="0"/>
              <w:adjustRightInd w:val="0"/>
              <w:rPr>
                <w:rFonts w:cs="Arial"/>
                <w:color w:val="auto"/>
                <w:szCs w:val="24"/>
              </w:rPr>
            </w:pPr>
            <w:r w:rsidRPr="004A5D83">
              <w:rPr>
                <w:rFonts w:eastAsia="Arial" w:cs="Arial"/>
                <w:bCs/>
                <w:color w:val="auto"/>
                <w:sz w:val="20"/>
              </w:rPr>
              <w:t>National Planning Policy and Guidance</w:t>
            </w:r>
          </w:p>
        </w:tc>
        <w:tc>
          <w:tcPr>
            <w:tcW w:w="7796" w:type="dxa"/>
            <w:gridSpan w:val="2"/>
            <w:shd w:val="clear" w:color="auto" w:fill="FFFFFF" w:themeFill="background1"/>
          </w:tcPr>
          <w:p w14:paraId="280AD23C" w14:textId="7EEF3115" w:rsidR="00F11936" w:rsidRPr="003C7E62" w:rsidRDefault="00F11936" w:rsidP="004A5D83">
            <w:pPr>
              <w:keepNext w:val="0"/>
              <w:numPr>
                <w:ilvl w:val="0"/>
                <w:numId w:val="32"/>
              </w:numPr>
              <w:spacing w:before="0" w:after="160" w:line="252" w:lineRule="auto"/>
              <w:ind w:right="284"/>
              <w:contextualSpacing/>
              <w:rPr>
                <w:rFonts w:eastAsia="Arial" w:cs="Arial"/>
                <w:bCs/>
                <w:color w:val="auto"/>
                <w:sz w:val="20"/>
              </w:rPr>
            </w:pPr>
            <w:r w:rsidRPr="003C7E62">
              <w:rPr>
                <w:rFonts w:eastAsia="Arial" w:cs="Arial"/>
                <w:bCs/>
                <w:color w:val="auto"/>
                <w:sz w:val="20"/>
              </w:rPr>
              <w:t>NPPF 202</w:t>
            </w:r>
            <w:r w:rsidR="00812066">
              <w:rPr>
                <w:rFonts w:eastAsia="Arial" w:cs="Arial"/>
                <w:bCs/>
                <w:color w:val="auto"/>
                <w:sz w:val="20"/>
              </w:rPr>
              <w:t>3</w:t>
            </w:r>
            <w:r w:rsidRPr="003C7E62">
              <w:rPr>
                <w:rFonts w:eastAsia="Arial" w:cs="Arial"/>
                <w:bCs/>
                <w:color w:val="auto"/>
                <w:sz w:val="20"/>
              </w:rPr>
              <w:t>, Part 2: Achieving sustainable development.</w:t>
            </w:r>
          </w:p>
          <w:p w14:paraId="423021A3" w14:textId="26A7D9F0" w:rsidR="00F11936" w:rsidRPr="003C7E62" w:rsidRDefault="00F11936" w:rsidP="004A5D83">
            <w:pPr>
              <w:keepNext w:val="0"/>
              <w:numPr>
                <w:ilvl w:val="0"/>
                <w:numId w:val="32"/>
              </w:numPr>
              <w:tabs>
                <w:tab w:val="left" w:pos="680"/>
                <w:tab w:val="left" w:pos="1133"/>
                <w:tab w:val="left" w:pos="2267"/>
              </w:tabs>
              <w:spacing w:before="0" w:after="160" w:line="252" w:lineRule="auto"/>
              <w:ind w:right="284"/>
              <w:contextualSpacing/>
              <w:rPr>
                <w:rFonts w:eastAsia="Arial" w:cs="Arial"/>
                <w:bCs/>
                <w:color w:val="auto"/>
                <w:sz w:val="20"/>
              </w:rPr>
            </w:pPr>
            <w:r w:rsidRPr="003C7E62">
              <w:rPr>
                <w:rFonts w:eastAsia="Arial" w:cs="Arial"/>
                <w:bCs/>
                <w:color w:val="auto"/>
                <w:sz w:val="20"/>
              </w:rPr>
              <w:t>NPPF 202</w:t>
            </w:r>
            <w:r w:rsidR="00812066">
              <w:rPr>
                <w:rFonts w:eastAsia="Arial" w:cs="Arial"/>
                <w:bCs/>
                <w:color w:val="auto"/>
                <w:sz w:val="20"/>
              </w:rPr>
              <w:t>3</w:t>
            </w:r>
            <w:r w:rsidRPr="003C7E62">
              <w:rPr>
                <w:rFonts w:eastAsia="Arial" w:cs="Arial"/>
                <w:bCs/>
                <w:color w:val="auto"/>
                <w:sz w:val="20"/>
              </w:rPr>
              <w:t xml:space="preserve">, Part 8. </w:t>
            </w:r>
            <w:r w:rsidRPr="003C7E62">
              <w:rPr>
                <w:rFonts w:eastAsia="Calibri" w:cs="Arial"/>
                <w:bCs/>
                <w:color w:val="auto"/>
                <w:sz w:val="20"/>
                <w:lang w:eastAsia="en-US"/>
              </w:rPr>
              <w:t>Promoting healthy and safe communities.</w:t>
            </w:r>
          </w:p>
          <w:p w14:paraId="7A3C85E5" w14:textId="6247C055" w:rsidR="00F11936" w:rsidRDefault="00F11936" w:rsidP="004A5D83">
            <w:pPr>
              <w:keepNext w:val="0"/>
              <w:numPr>
                <w:ilvl w:val="0"/>
                <w:numId w:val="32"/>
              </w:numPr>
              <w:tabs>
                <w:tab w:val="left" w:pos="680"/>
                <w:tab w:val="left" w:pos="1133"/>
                <w:tab w:val="left" w:pos="2267"/>
              </w:tabs>
              <w:spacing w:before="0" w:after="160" w:line="252" w:lineRule="auto"/>
              <w:ind w:right="284"/>
              <w:contextualSpacing/>
              <w:rPr>
                <w:rFonts w:cs="Arial"/>
                <w:color w:val="auto"/>
                <w:sz w:val="20"/>
              </w:rPr>
            </w:pPr>
            <w:r w:rsidRPr="00F11936">
              <w:rPr>
                <w:rFonts w:eastAsia="Arial" w:cs="Arial"/>
                <w:bCs/>
                <w:color w:val="auto"/>
                <w:sz w:val="20"/>
              </w:rPr>
              <w:t>NPPF</w:t>
            </w:r>
            <w:r w:rsidRPr="00F11936">
              <w:rPr>
                <w:rFonts w:cs="Arial"/>
                <w:color w:val="auto"/>
                <w:sz w:val="20"/>
                <w:lang w:eastAsia="en-US"/>
              </w:rPr>
              <w:t xml:space="preserve"> 202</w:t>
            </w:r>
            <w:r w:rsidR="00812066">
              <w:rPr>
                <w:rFonts w:cs="Arial"/>
                <w:color w:val="auto"/>
                <w:sz w:val="20"/>
                <w:lang w:eastAsia="en-US"/>
              </w:rPr>
              <w:t>3</w:t>
            </w:r>
            <w:r w:rsidRPr="00F11936">
              <w:rPr>
                <w:rFonts w:cs="Arial"/>
                <w:color w:val="auto"/>
                <w:sz w:val="20"/>
                <w:lang w:eastAsia="en-US"/>
              </w:rPr>
              <w:t>, Part 9: Promoting sustainable transport.</w:t>
            </w:r>
          </w:p>
          <w:p w14:paraId="5558003A" w14:textId="2468B006" w:rsidR="00F11936" w:rsidRPr="00F11936" w:rsidRDefault="00F11936" w:rsidP="004A5D83">
            <w:pPr>
              <w:keepNext w:val="0"/>
              <w:numPr>
                <w:ilvl w:val="0"/>
                <w:numId w:val="32"/>
              </w:numPr>
              <w:tabs>
                <w:tab w:val="left" w:pos="680"/>
                <w:tab w:val="left" w:pos="1133"/>
                <w:tab w:val="left" w:pos="2267"/>
              </w:tabs>
              <w:spacing w:before="0" w:after="160" w:line="252" w:lineRule="auto"/>
              <w:ind w:right="284"/>
              <w:contextualSpacing/>
              <w:rPr>
                <w:rFonts w:cs="Arial"/>
                <w:color w:val="auto"/>
                <w:sz w:val="20"/>
              </w:rPr>
            </w:pPr>
            <w:r w:rsidRPr="00F11936">
              <w:rPr>
                <w:rFonts w:eastAsia="Arial" w:cs="Arial"/>
                <w:bCs/>
                <w:color w:val="auto"/>
                <w:sz w:val="20"/>
              </w:rPr>
              <w:t>NPPF 202</w:t>
            </w:r>
            <w:r w:rsidR="00812066">
              <w:rPr>
                <w:rFonts w:eastAsia="Arial" w:cs="Arial"/>
                <w:bCs/>
                <w:color w:val="auto"/>
                <w:sz w:val="20"/>
              </w:rPr>
              <w:t>3</w:t>
            </w:r>
            <w:r w:rsidRPr="00F11936">
              <w:rPr>
                <w:rFonts w:eastAsia="Arial" w:cs="Arial"/>
                <w:bCs/>
                <w:color w:val="auto"/>
                <w:sz w:val="20"/>
              </w:rPr>
              <w:t xml:space="preserve">, Part 14: </w:t>
            </w:r>
            <w:r w:rsidRPr="00F11936">
              <w:rPr>
                <w:rFonts w:eastAsia="Calibri" w:cs="Arial"/>
                <w:color w:val="auto"/>
                <w:sz w:val="20"/>
              </w:rPr>
              <w:t>Meeting the challenge of climate change, flooding and coastal change.</w:t>
            </w:r>
          </w:p>
        </w:tc>
      </w:tr>
      <w:bookmarkEnd w:id="92"/>
    </w:tbl>
    <w:p w14:paraId="131C6BD9" w14:textId="77777777" w:rsidR="00F26A22" w:rsidRPr="003C7E62" w:rsidRDefault="00F26A22" w:rsidP="00F11936">
      <w:pPr>
        <w:spacing w:before="0"/>
        <w:rPr>
          <w:rFonts w:cs="Arial"/>
          <w:b/>
          <w:bCs/>
          <w:color w:val="auto"/>
          <w:szCs w:val="24"/>
        </w:rPr>
      </w:pPr>
    </w:p>
    <w:p w14:paraId="55808E85" w14:textId="77777777" w:rsidR="002866EF" w:rsidRPr="00C624AA" w:rsidRDefault="002866EF" w:rsidP="00874A98">
      <w:pPr>
        <w:keepNext w:val="0"/>
        <w:numPr>
          <w:ilvl w:val="1"/>
          <w:numId w:val="103"/>
        </w:numPr>
        <w:spacing w:before="0"/>
        <w:ind w:left="851" w:hanging="851"/>
        <w:rPr>
          <w:rFonts w:eastAsia="Arial" w:cs="Arial"/>
          <w:strike/>
        </w:rPr>
      </w:pPr>
      <w:r w:rsidRPr="003C7E62">
        <w:rPr>
          <w:rFonts w:cs="Arial"/>
          <w:szCs w:val="24"/>
        </w:rPr>
        <w:t>In order to create more sustainable communities and enable transport choice,</w:t>
      </w:r>
    </w:p>
    <w:p w14:paraId="3FE86D4B" w14:textId="77777777" w:rsidR="002866EF" w:rsidRPr="003C7E62" w:rsidRDefault="002866EF" w:rsidP="00F11936">
      <w:pPr>
        <w:autoSpaceDE w:val="0"/>
        <w:autoSpaceDN w:val="0"/>
        <w:adjustRightInd w:val="0"/>
        <w:spacing w:before="0"/>
        <w:ind w:left="851"/>
        <w:rPr>
          <w:rFonts w:cs="Arial"/>
          <w:szCs w:val="24"/>
        </w:rPr>
      </w:pPr>
      <w:r w:rsidRPr="003C7E62">
        <w:rPr>
          <w:rFonts w:cs="Arial"/>
          <w:szCs w:val="24"/>
        </w:rPr>
        <w:t>it is important that people living in Ashfield have good access to a range of</w:t>
      </w:r>
    </w:p>
    <w:p w14:paraId="52B59C14" w14:textId="77777777" w:rsidR="002866EF" w:rsidRPr="003C7E62" w:rsidRDefault="002866EF" w:rsidP="00F11936">
      <w:pPr>
        <w:autoSpaceDE w:val="0"/>
        <w:autoSpaceDN w:val="0"/>
        <w:adjustRightInd w:val="0"/>
        <w:spacing w:before="0"/>
        <w:ind w:firstLine="851"/>
        <w:rPr>
          <w:rFonts w:cs="Arial"/>
          <w:szCs w:val="24"/>
        </w:rPr>
      </w:pPr>
      <w:r w:rsidRPr="003C7E62">
        <w:rPr>
          <w:rFonts w:cs="Arial"/>
          <w:szCs w:val="24"/>
        </w:rPr>
        <w:t>transport modes to enable them to access services, facilities and employment</w:t>
      </w:r>
    </w:p>
    <w:p w14:paraId="7BD9C91F" w14:textId="1E9EAA73" w:rsidR="001B203E" w:rsidRPr="003C7E62" w:rsidRDefault="002866EF" w:rsidP="00F11936">
      <w:pPr>
        <w:autoSpaceDE w:val="0"/>
        <w:autoSpaceDN w:val="0"/>
        <w:adjustRightInd w:val="0"/>
        <w:spacing w:before="0"/>
        <w:ind w:firstLine="851"/>
        <w:rPr>
          <w:rFonts w:cs="Arial"/>
          <w:szCs w:val="24"/>
        </w:rPr>
      </w:pPr>
      <w:r w:rsidRPr="003C7E62">
        <w:rPr>
          <w:rFonts w:cs="Arial"/>
          <w:szCs w:val="24"/>
        </w:rPr>
        <w:t>opportunities within and beyond the District.</w:t>
      </w:r>
    </w:p>
    <w:p w14:paraId="5E5782A5" w14:textId="77777777" w:rsidR="00380B39" w:rsidRPr="003C7E62" w:rsidRDefault="00380B39" w:rsidP="00F11936">
      <w:pPr>
        <w:autoSpaceDE w:val="0"/>
        <w:autoSpaceDN w:val="0"/>
        <w:adjustRightInd w:val="0"/>
        <w:spacing w:before="0"/>
        <w:rPr>
          <w:rFonts w:cs="Arial"/>
          <w:b/>
          <w:bCs/>
          <w:color w:val="7030A1"/>
          <w:szCs w:val="24"/>
        </w:rPr>
      </w:pPr>
    </w:p>
    <w:p w14:paraId="4291CE94" w14:textId="3FE04660" w:rsidR="002866EF" w:rsidRPr="003C7E62" w:rsidRDefault="002866EF" w:rsidP="00874A98">
      <w:pPr>
        <w:pStyle w:val="ListParagraph"/>
        <w:numPr>
          <w:ilvl w:val="1"/>
          <w:numId w:val="103"/>
        </w:numPr>
        <w:autoSpaceDE w:val="0"/>
        <w:autoSpaceDN w:val="0"/>
        <w:adjustRightInd w:val="0"/>
        <w:spacing w:after="0" w:line="240" w:lineRule="auto"/>
        <w:ind w:left="851" w:hanging="851"/>
        <w:rPr>
          <w:rFonts w:ascii="Arial" w:hAnsi="Arial" w:cs="Arial"/>
          <w:color w:val="auto"/>
          <w:szCs w:val="24"/>
        </w:rPr>
      </w:pPr>
      <w:r w:rsidRPr="003C7E62">
        <w:rPr>
          <w:rFonts w:ascii="Arial" w:hAnsi="Arial" w:cs="Arial"/>
          <w:color w:val="auto"/>
          <w:szCs w:val="24"/>
        </w:rPr>
        <w:t>The Nottingham Express Transit System was developed as a light rail system</w:t>
      </w:r>
      <w:r w:rsidR="00F26A22" w:rsidRPr="003C7E62">
        <w:rPr>
          <w:rFonts w:ascii="Arial" w:hAnsi="Arial" w:cs="Arial"/>
          <w:color w:val="auto"/>
          <w:szCs w:val="24"/>
        </w:rPr>
        <w:t xml:space="preserve"> </w:t>
      </w:r>
      <w:r w:rsidRPr="003C7E62">
        <w:rPr>
          <w:rFonts w:ascii="Arial" w:hAnsi="Arial" w:cs="Arial"/>
          <w:color w:val="auto"/>
          <w:szCs w:val="24"/>
        </w:rPr>
        <w:t>to serve the public transport needs of Greater Nottingham.</w:t>
      </w:r>
      <w:r w:rsidR="00380B39" w:rsidRPr="003C7E62">
        <w:rPr>
          <w:rFonts w:ascii="Arial" w:hAnsi="Arial" w:cs="Arial"/>
          <w:color w:val="auto"/>
          <w:szCs w:val="24"/>
        </w:rPr>
        <w:t xml:space="preserve"> </w:t>
      </w:r>
      <w:r w:rsidRPr="003C7E62">
        <w:rPr>
          <w:rFonts w:ascii="Arial" w:hAnsi="Arial" w:cs="Arial"/>
          <w:color w:val="auto"/>
          <w:szCs w:val="24"/>
        </w:rPr>
        <w:t xml:space="preserve"> Hucknall Station</w:t>
      </w:r>
      <w:r w:rsidR="00F26A22" w:rsidRPr="003C7E62">
        <w:rPr>
          <w:rFonts w:ascii="Arial" w:hAnsi="Arial" w:cs="Arial"/>
          <w:color w:val="auto"/>
          <w:szCs w:val="24"/>
        </w:rPr>
        <w:t xml:space="preserve"> </w:t>
      </w:r>
      <w:r w:rsidRPr="003C7E62">
        <w:rPr>
          <w:rFonts w:ascii="Arial" w:hAnsi="Arial" w:cs="Arial"/>
          <w:color w:val="auto"/>
          <w:szCs w:val="24"/>
        </w:rPr>
        <w:t>currently provides an interchange facility with heavy rail and park and ride.</w:t>
      </w:r>
      <w:r w:rsidR="00F26A22" w:rsidRPr="003C7E62">
        <w:rPr>
          <w:rFonts w:ascii="Arial" w:hAnsi="Arial" w:cs="Arial"/>
          <w:color w:val="auto"/>
          <w:szCs w:val="24"/>
        </w:rPr>
        <w:t xml:space="preserve"> </w:t>
      </w:r>
      <w:r w:rsidRPr="003C7E62">
        <w:rPr>
          <w:rFonts w:ascii="Arial" w:hAnsi="Arial" w:cs="Arial"/>
          <w:color w:val="auto"/>
          <w:szCs w:val="24"/>
        </w:rPr>
        <w:t>Allocations for new housing and employment development are set out in the</w:t>
      </w:r>
      <w:r w:rsidR="00F26A22" w:rsidRPr="003C7E62">
        <w:rPr>
          <w:rFonts w:ascii="Arial" w:hAnsi="Arial" w:cs="Arial"/>
          <w:color w:val="auto"/>
          <w:szCs w:val="24"/>
        </w:rPr>
        <w:t xml:space="preserve"> </w:t>
      </w:r>
      <w:r w:rsidRPr="003C7E62">
        <w:rPr>
          <w:rFonts w:ascii="Arial" w:hAnsi="Arial" w:cs="Arial"/>
          <w:color w:val="auto"/>
          <w:szCs w:val="24"/>
        </w:rPr>
        <w:t>Gedling Borough Aligned Core Strategy, Part 1 Local Plan</w:t>
      </w:r>
      <w:r w:rsidR="00C42C6B" w:rsidRPr="003C7E62">
        <w:rPr>
          <w:rStyle w:val="FootnoteReference"/>
          <w:rFonts w:ascii="Arial" w:hAnsi="Arial" w:cs="Arial"/>
          <w:color w:val="auto"/>
          <w:szCs w:val="24"/>
        </w:rPr>
        <w:footnoteReference w:id="70"/>
      </w:r>
      <w:r w:rsidRPr="003C7E62">
        <w:rPr>
          <w:rFonts w:ascii="Arial" w:hAnsi="Arial" w:cs="Arial"/>
          <w:color w:val="auto"/>
          <w:szCs w:val="24"/>
        </w:rPr>
        <w:t xml:space="preserve">. </w:t>
      </w:r>
      <w:r w:rsidR="00380B39" w:rsidRPr="003C7E62">
        <w:rPr>
          <w:rFonts w:ascii="Arial" w:hAnsi="Arial" w:cs="Arial"/>
          <w:color w:val="auto"/>
          <w:szCs w:val="24"/>
        </w:rPr>
        <w:t xml:space="preserve"> </w:t>
      </w:r>
      <w:r w:rsidRPr="003C7E62">
        <w:rPr>
          <w:rFonts w:ascii="Arial" w:hAnsi="Arial" w:cs="Arial"/>
          <w:color w:val="auto"/>
          <w:szCs w:val="24"/>
        </w:rPr>
        <w:t>While current</w:t>
      </w:r>
      <w:r w:rsidR="00F26A22" w:rsidRPr="003C7E62">
        <w:rPr>
          <w:rFonts w:ascii="Arial" w:hAnsi="Arial" w:cs="Arial"/>
          <w:color w:val="auto"/>
          <w:szCs w:val="24"/>
        </w:rPr>
        <w:t xml:space="preserve"> </w:t>
      </w:r>
      <w:r w:rsidRPr="003C7E62">
        <w:rPr>
          <w:rFonts w:ascii="Arial" w:hAnsi="Arial" w:cs="Arial"/>
          <w:color w:val="auto"/>
          <w:szCs w:val="24"/>
        </w:rPr>
        <w:t>proposals do not include the development of a NET station, the Council has</w:t>
      </w:r>
      <w:r w:rsidR="00F26A22" w:rsidRPr="003C7E62">
        <w:rPr>
          <w:rFonts w:ascii="Arial" w:hAnsi="Arial" w:cs="Arial"/>
          <w:color w:val="auto"/>
          <w:szCs w:val="24"/>
        </w:rPr>
        <w:t xml:space="preserve"> </w:t>
      </w:r>
      <w:r w:rsidRPr="003C7E62">
        <w:rPr>
          <w:rFonts w:ascii="Arial" w:hAnsi="Arial" w:cs="Arial"/>
          <w:color w:val="auto"/>
          <w:szCs w:val="24"/>
        </w:rPr>
        <w:t>been requested to safeguard land should this be required in the future to</w:t>
      </w:r>
      <w:r w:rsidR="00F26A22" w:rsidRPr="003C7E62">
        <w:rPr>
          <w:rFonts w:ascii="Arial" w:hAnsi="Arial" w:cs="Arial"/>
          <w:color w:val="auto"/>
          <w:szCs w:val="24"/>
        </w:rPr>
        <w:t xml:space="preserve"> </w:t>
      </w:r>
      <w:r w:rsidRPr="003C7E62">
        <w:rPr>
          <w:rFonts w:ascii="Arial" w:hAnsi="Arial" w:cs="Arial"/>
          <w:color w:val="auto"/>
          <w:szCs w:val="24"/>
        </w:rPr>
        <w:t>widen transport choices in the area.</w:t>
      </w:r>
    </w:p>
    <w:p w14:paraId="39BF2765" w14:textId="77777777" w:rsidR="00380B39" w:rsidRPr="003C7E62" w:rsidRDefault="00380B39" w:rsidP="00F11936">
      <w:pPr>
        <w:pStyle w:val="ListParagraph"/>
        <w:autoSpaceDE w:val="0"/>
        <w:autoSpaceDN w:val="0"/>
        <w:adjustRightInd w:val="0"/>
        <w:spacing w:after="0" w:line="240" w:lineRule="auto"/>
        <w:ind w:left="460"/>
        <w:rPr>
          <w:rFonts w:ascii="Arial" w:hAnsi="Arial" w:cs="Arial"/>
          <w:color w:val="auto"/>
          <w:szCs w:val="24"/>
        </w:rPr>
      </w:pPr>
    </w:p>
    <w:p w14:paraId="10660F48" w14:textId="77777777" w:rsidR="00380B39" w:rsidRPr="003C7E62" w:rsidRDefault="002866EF" w:rsidP="00874A98">
      <w:pPr>
        <w:pStyle w:val="ListParagraph"/>
        <w:numPr>
          <w:ilvl w:val="1"/>
          <w:numId w:val="103"/>
        </w:numPr>
        <w:autoSpaceDE w:val="0"/>
        <w:autoSpaceDN w:val="0"/>
        <w:adjustRightInd w:val="0"/>
        <w:spacing w:after="0" w:line="240" w:lineRule="auto"/>
        <w:ind w:left="851" w:hanging="851"/>
        <w:rPr>
          <w:rFonts w:ascii="Arial" w:hAnsi="Arial" w:cs="Arial"/>
          <w:b/>
          <w:bCs/>
          <w:color w:val="7030A1"/>
          <w:szCs w:val="24"/>
        </w:rPr>
      </w:pPr>
      <w:r w:rsidRPr="003C7E62">
        <w:rPr>
          <w:rFonts w:ascii="Arial" w:hAnsi="Arial" w:cs="Arial"/>
          <w:color w:val="auto"/>
          <w:szCs w:val="24"/>
        </w:rPr>
        <w:t>The Robin Hood Line from Workshop to Nottingham was reopened in 1993 by a partnership of local authorities led by Nottinghamshire County Council as</w:t>
      </w:r>
      <w:r w:rsidR="00F26A22" w:rsidRPr="003C7E62">
        <w:rPr>
          <w:rFonts w:ascii="Arial" w:hAnsi="Arial" w:cs="Arial"/>
          <w:color w:val="auto"/>
          <w:szCs w:val="24"/>
        </w:rPr>
        <w:t xml:space="preserve"> </w:t>
      </w:r>
      <w:r w:rsidRPr="003C7E62">
        <w:rPr>
          <w:rFonts w:ascii="Arial" w:hAnsi="Arial" w:cs="Arial"/>
          <w:color w:val="auto"/>
          <w:szCs w:val="24"/>
        </w:rPr>
        <w:t>part of a multi-million pound investment. Ashfield District Council was actively</w:t>
      </w:r>
      <w:r w:rsidR="00F26A22" w:rsidRPr="003C7E62">
        <w:rPr>
          <w:rFonts w:ascii="Arial" w:hAnsi="Arial" w:cs="Arial"/>
          <w:color w:val="auto"/>
          <w:szCs w:val="24"/>
        </w:rPr>
        <w:t xml:space="preserve"> </w:t>
      </w:r>
      <w:r w:rsidRPr="003C7E62">
        <w:rPr>
          <w:rFonts w:ascii="Arial" w:hAnsi="Arial" w:cs="Arial"/>
          <w:color w:val="auto"/>
          <w:szCs w:val="24"/>
        </w:rPr>
        <w:t>involved with supporting the re-opening of the line and the provision of</w:t>
      </w:r>
      <w:r w:rsidR="00F26A22" w:rsidRPr="003C7E62">
        <w:rPr>
          <w:rFonts w:ascii="Arial" w:hAnsi="Arial" w:cs="Arial"/>
          <w:color w:val="auto"/>
          <w:szCs w:val="24"/>
        </w:rPr>
        <w:t xml:space="preserve"> </w:t>
      </w:r>
      <w:r w:rsidRPr="003C7E62">
        <w:rPr>
          <w:rFonts w:ascii="Arial" w:hAnsi="Arial" w:cs="Arial"/>
          <w:color w:val="auto"/>
          <w:szCs w:val="24"/>
        </w:rPr>
        <w:t>stations at Hucknall, Kirkby-in-Ashfield and Sutton Parkway.</w:t>
      </w:r>
    </w:p>
    <w:p w14:paraId="366505C3" w14:textId="77777777" w:rsidR="00380B39" w:rsidRPr="003C7E62" w:rsidRDefault="00380B39" w:rsidP="00F11936">
      <w:pPr>
        <w:pStyle w:val="ListParagraph"/>
        <w:spacing w:after="0" w:line="240" w:lineRule="auto"/>
        <w:rPr>
          <w:rFonts w:ascii="Arial" w:hAnsi="Arial" w:cs="Arial"/>
          <w:color w:val="auto"/>
          <w:szCs w:val="24"/>
        </w:rPr>
      </w:pPr>
    </w:p>
    <w:p w14:paraId="6CCBD56C" w14:textId="5A966533" w:rsidR="00322F44" w:rsidRPr="00862BB0" w:rsidRDefault="00322F44" w:rsidP="00874A98">
      <w:pPr>
        <w:pStyle w:val="ListParagraph"/>
        <w:numPr>
          <w:ilvl w:val="1"/>
          <w:numId w:val="103"/>
        </w:numPr>
        <w:autoSpaceDE w:val="0"/>
        <w:autoSpaceDN w:val="0"/>
        <w:adjustRightInd w:val="0"/>
        <w:spacing w:after="0" w:line="240" w:lineRule="auto"/>
        <w:ind w:left="851" w:hanging="851"/>
        <w:rPr>
          <w:rFonts w:ascii="Arial" w:hAnsi="Arial" w:cs="Arial"/>
          <w:b/>
          <w:bCs/>
          <w:szCs w:val="24"/>
        </w:rPr>
      </w:pPr>
      <w:bookmarkStart w:id="99" w:name="_Hlk79739989"/>
      <w:r w:rsidRPr="00862BB0">
        <w:rPr>
          <w:rFonts w:ascii="Arial" w:hAnsi="Arial" w:cs="Arial"/>
          <w:color w:val="auto"/>
          <w:szCs w:val="24"/>
        </w:rPr>
        <w:t xml:space="preserve">The reopening of the Maid Marian Line for passenger traffic has a number of economic, environmental and social benefits.  Information on the potential economic and other benefits from reopening the line to passengers is set out under the supporting information to Policy </w:t>
      </w:r>
      <w:r w:rsidRPr="00862BB0">
        <w:rPr>
          <w:rFonts w:ascii="Arial" w:hAnsi="Arial" w:cs="Arial"/>
          <w:szCs w:val="24"/>
        </w:rPr>
        <w:t>S</w:t>
      </w:r>
      <w:r w:rsidR="00416190" w:rsidRPr="00862BB0">
        <w:rPr>
          <w:rFonts w:ascii="Arial" w:hAnsi="Arial" w:cs="Arial"/>
          <w:szCs w:val="24"/>
        </w:rPr>
        <w:t>8</w:t>
      </w:r>
      <w:r w:rsidRPr="00862BB0">
        <w:rPr>
          <w:rFonts w:ascii="Arial" w:hAnsi="Arial" w:cs="Arial"/>
          <w:szCs w:val="24"/>
        </w:rPr>
        <w:t>.</w:t>
      </w:r>
    </w:p>
    <w:p w14:paraId="4C581832" w14:textId="77777777" w:rsidR="00322F44" w:rsidRPr="00862BB0" w:rsidRDefault="00322F44" w:rsidP="00322F44">
      <w:pPr>
        <w:pStyle w:val="ListParagraph"/>
        <w:rPr>
          <w:rFonts w:ascii="Arial" w:hAnsi="Arial" w:cs="Arial"/>
          <w:szCs w:val="24"/>
        </w:rPr>
      </w:pPr>
    </w:p>
    <w:bookmarkEnd w:id="99"/>
    <w:p w14:paraId="00282E60" w14:textId="4799EC26" w:rsidR="008A4495" w:rsidRPr="003C7E62" w:rsidRDefault="002866EF" w:rsidP="00874A98">
      <w:pPr>
        <w:pStyle w:val="ListParagraph"/>
        <w:numPr>
          <w:ilvl w:val="1"/>
          <w:numId w:val="103"/>
        </w:numPr>
        <w:autoSpaceDE w:val="0"/>
        <w:autoSpaceDN w:val="0"/>
        <w:adjustRightInd w:val="0"/>
        <w:spacing w:after="0" w:line="240" w:lineRule="auto"/>
        <w:ind w:left="851" w:hanging="851"/>
        <w:rPr>
          <w:rFonts w:ascii="Arial" w:hAnsi="Arial" w:cs="Arial"/>
          <w:b/>
          <w:bCs/>
          <w:color w:val="7030A1"/>
          <w:szCs w:val="24"/>
        </w:rPr>
      </w:pPr>
      <w:r w:rsidRPr="003C7E62">
        <w:rPr>
          <w:rFonts w:ascii="Arial" w:hAnsi="Arial" w:cs="Arial"/>
          <w:color w:val="auto"/>
          <w:szCs w:val="24"/>
        </w:rPr>
        <w:t>Analysis undertaken by Nottinghamshire County Council during 2020 shows that walking and cycling ha</w:t>
      </w:r>
      <w:r w:rsidR="008A4495" w:rsidRPr="003C7E62">
        <w:rPr>
          <w:rFonts w:ascii="Arial" w:hAnsi="Arial" w:cs="Arial"/>
          <w:color w:val="auto"/>
          <w:szCs w:val="24"/>
        </w:rPr>
        <w:t>s</w:t>
      </w:r>
      <w:r w:rsidRPr="003C7E62">
        <w:rPr>
          <w:rFonts w:ascii="Arial" w:hAnsi="Arial" w:cs="Arial"/>
          <w:color w:val="auto"/>
          <w:szCs w:val="24"/>
        </w:rPr>
        <w:t xml:space="preserve"> increased in popularity during the pandemic, reflecting the national picture. As a former mining area there are miles of former railway corridors in the area, providing an opportunity to further develop the off-road cycling and walking network.</w:t>
      </w:r>
      <w:r w:rsidRPr="003C7E62">
        <w:rPr>
          <w:rFonts w:ascii="Arial" w:hAnsi="Arial" w:cs="Arial"/>
          <w:color w:val="auto"/>
        </w:rPr>
        <w:t xml:space="preserve"> </w:t>
      </w:r>
      <w:r w:rsidRPr="003C7E62">
        <w:rPr>
          <w:rFonts w:ascii="Arial" w:hAnsi="Arial" w:cs="Arial"/>
          <w:color w:val="auto"/>
          <w:szCs w:val="24"/>
        </w:rPr>
        <w:t>Through the Towns Fund</w:t>
      </w:r>
      <w:r w:rsidR="00F26A22" w:rsidRPr="003C7E62">
        <w:rPr>
          <w:rStyle w:val="FootnoteReference"/>
          <w:rFonts w:ascii="Arial" w:hAnsi="Arial" w:cs="Arial"/>
          <w:color w:val="auto"/>
          <w:szCs w:val="24"/>
        </w:rPr>
        <w:footnoteReference w:id="71"/>
      </w:r>
      <w:r w:rsidRPr="003C7E62">
        <w:rPr>
          <w:rFonts w:ascii="Arial" w:hAnsi="Arial" w:cs="Arial"/>
          <w:color w:val="auto"/>
          <w:szCs w:val="24"/>
        </w:rPr>
        <w:t xml:space="preserve"> award, a comprehensive network of high-quality walking and cycling routes will be provided, with a first phase being delivered through the accelerated funding. Upgrading sections of existing routes, and the creation of new sections will support the development of the visitor economy and provide improved connections to key employment areas and public transport links.</w:t>
      </w:r>
    </w:p>
    <w:p w14:paraId="13E873AF" w14:textId="77777777" w:rsidR="008A4495" w:rsidRPr="003C7E62" w:rsidRDefault="008A4495" w:rsidP="00F11936">
      <w:pPr>
        <w:pStyle w:val="ListParagraph"/>
        <w:autoSpaceDE w:val="0"/>
        <w:autoSpaceDN w:val="0"/>
        <w:adjustRightInd w:val="0"/>
        <w:spacing w:after="0" w:line="240" w:lineRule="auto"/>
        <w:ind w:left="851"/>
        <w:rPr>
          <w:rFonts w:ascii="Arial" w:hAnsi="Arial" w:cs="Arial"/>
          <w:b/>
          <w:bCs/>
          <w:color w:val="7030A1"/>
          <w:szCs w:val="24"/>
        </w:rPr>
      </w:pPr>
    </w:p>
    <w:p w14:paraId="0C467860" w14:textId="77777777" w:rsidR="00D06046" w:rsidRPr="00D06046" w:rsidRDefault="002866EF" w:rsidP="00877C1A">
      <w:pPr>
        <w:pStyle w:val="ListParagraph"/>
        <w:numPr>
          <w:ilvl w:val="1"/>
          <w:numId w:val="103"/>
        </w:numPr>
        <w:autoSpaceDE w:val="0"/>
        <w:autoSpaceDN w:val="0"/>
        <w:adjustRightInd w:val="0"/>
        <w:spacing w:after="0" w:line="240" w:lineRule="auto"/>
        <w:ind w:left="851" w:hanging="851"/>
        <w:rPr>
          <w:rFonts w:cs="Arial"/>
          <w:b/>
          <w:bCs/>
          <w:color w:val="auto"/>
          <w:sz w:val="28"/>
          <w:szCs w:val="28"/>
        </w:rPr>
      </w:pPr>
      <w:bookmarkStart w:id="100" w:name="_Hlk133929280"/>
      <w:r w:rsidRPr="00D06046">
        <w:rPr>
          <w:rFonts w:ascii="Arial" w:hAnsi="Arial" w:cs="Arial"/>
          <w:color w:val="auto"/>
          <w:szCs w:val="24"/>
        </w:rPr>
        <w:t xml:space="preserve">The main </w:t>
      </w:r>
      <w:r w:rsidR="00901882" w:rsidRPr="00D06046">
        <w:rPr>
          <w:rFonts w:ascii="Arial" w:hAnsi="Arial" w:cs="Arial"/>
          <w:szCs w:val="24"/>
        </w:rPr>
        <w:t xml:space="preserve">pedestrian and cycle </w:t>
      </w:r>
      <w:r w:rsidRPr="00D06046">
        <w:rPr>
          <w:rFonts w:ascii="Arial" w:hAnsi="Arial" w:cs="Arial"/>
          <w:szCs w:val="24"/>
        </w:rPr>
        <w:t>routes</w:t>
      </w:r>
      <w:r w:rsidR="00901882" w:rsidRPr="00D06046">
        <w:rPr>
          <w:rFonts w:ascii="Arial" w:hAnsi="Arial" w:cs="Arial"/>
          <w:szCs w:val="24"/>
        </w:rPr>
        <w:t xml:space="preserve"> identified in </w:t>
      </w:r>
      <w:r w:rsidR="00416190" w:rsidRPr="00D06046">
        <w:rPr>
          <w:rFonts w:ascii="Arial" w:hAnsi="Arial" w:cs="Arial"/>
          <w:szCs w:val="24"/>
        </w:rPr>
        <w:t>the</w:t>
      </w:r>
      <w:r w:rsidR="00901882" w:rsidRPr="00D06046">
        <w:rPr>
          <w:rFonts w:ascii="Arial" w:hAnsi="Arial" w:cs="Arial"/>
          <w:szCs w:val="24"/>
        </w:rPr>
        <w:t xml:space="preserve"> Policy, navigate </w:t>
      </w:r>
      <w:r w:rsidRPr="00D06046">
        <w:rPr>
          <w:rFonts w:ascii="Arial" w:hAnsi="Arial" w:cs="Arial"/>
          <w:szCs w:val="24"/>
        </w:rPr>
        <w:t xml:space="preserve">through the </w:t>
      </w:r>
      <w:r w:rsidR="00AF5A25" w:rsidRPr="00D06046">
        <w:rPr>
          <w:rFonts w:ascii="Arial" w:hAnsi="Arial" w:cs="Arial"/>
          <w:szCs w:val="24"/>
        </w:rPr>
        <w:t xml:space="preserve">District’s </w:t>
      </w:r>
      <w:r w:rsidRPr="00D06046">
        <w:rPr>
          <w:rFonts w:ascii="Arial" w:hAnsi="Arial" w:cs="Arial"/>
          <w:szCs w:val="24"/>
        </w:rPr>
        <w:t xml:space="preserve">town centres linking to Sherwood and Castlewood Business </w:t>
      </w:r>
      <w:r w:rsidR="0034106E" w:rsidRPr="00D06046">
        <w:rPr>
          <w:rFonts w:ascii="Arial" w:hAnsi="Arial" w:cs="Arial"/>
          <w:szCs w:val="24"/>
        </w:rPr>
        <w:t>P</w:t>
      </w:r>
      <w:r w:rsidRPr="00D06046">
        <w:rPr>
          <w:rFonts w:ascii="Arial" w:hAnsi="Arial" w:cs="Arial"/>
          <w:szCs w:val="24"/>
        </w:rPr>
        <w:t>arks to the south and west</w:t>
      </w:r>
      <w:r w:rsidR="0034106E" w:rsidRPr="00D06046">
        <w:rPr>
          <w:rFonts w:ascii="Arial" w:hAnsi="Arial" w:cs="Arial"/>
          <w:szCs w:val="24"/>
        </w:rPr>
        <w:t xml:space="preserve">, </w:t>
      </w:r>
      <w:r w:rsidRPr="00D06046">
        <w:rPr>
          <w:rFonts w:ascii="Arial" w:hAnsi="Arial" w:cs="Arial"/>
          <w:szCs w:val="24"/>
        </w:rPr>
        <w:t xml:space="preserve">visitor attractions including Mill Waters at Kings Mill Reservoir, the </w:t>
      </w:r>
      <w:r w:rsidR="00AF5A25" w:rsidRPr="00D06046">
        <w:rPr>
          <w:rFonts w:ascii="Arial" w:eastAsia="Arial" w:hAnsi="Arial" w:cs="Arial"/>
          <w:szCs w:val="24"/>
          <w:lang w:eastAsia="en-GB"/>
        </w:rPr>
        <w:t>Sherwood Observatory</w:t>
      </w:r>
      <w:r w:rsidRPr="00D06046">
        <w:rPr>
          <w:rFonts w:ascii="Arial" w:hAnsi="Arial" w:cs="Arial"/>
          <w:szCs w:val="24"/>
        </w:rPr>
        <w:t>, and Hardwick Hall to the east and north respectively</w:t>
      </w:r>
      <w:r w:rsidR="0034106E" w:rsidRPr="00D06046">
        <w:rPr>
          <w:rFonts w:ascii="Arial" w:hAnsi="Arial" w:cs="Arial"/>
          <w:szCs w:val="24"/>
        </w:rPr>
        <w:t>,</w:t>
      </w:r>
      <w:r w:rsidRPr="00D06046">
        <w:rPr>
          <w:rFonts w:ascii="Arial" w:hAnsi="Arial" w:cs="Arial"/>
          <w:szCs w:val="24"/>
        </w:rPr>
        <w:t xml:space="preserve"> picking up links to residential areas thro</w:t>
      </w:r>
      <w:r w:rsidRPr="00D06046">
        <w:rPr>
          <w:rFonts w:ascii="Arial" w:hAnsi="Arial" w:cs="Arial"/>
          <w:color w:val="auto"/>
          <w:szCs w:val="24"/>
        </w:rPr>
        <w:t>ughout.</w:t>
      </w:r>
      <w:r w:rsidR="008555C0" w:rsidRPr="00D06046">
        <w:rPr>
          <w:rFonts w:ascii="Arial" w:hAnsi="Arial" w:cs="Arial"/>
          <w:color w:val="FF0000"/>
          <w:szCs w:val="24"/>
        </w:rPr>
        <w:t xml:space="preserve"> </w:t>
      </w:r>
      <w:r w:rsidR="003A325B" w:rsidRPr="00D06046">
        <w:rPr>
          <w:rFonts w:ascii="Arial" w:hAnsi="Arial" w:cs="Arial"/>
          <w:color w:val="FF0000"/>
          <w:szCs w:val="24"/>
        </w:rPr>
        <w:t xml:space="preserve">  </w:t>
      </w:r>
      <w:bookmarkEnd w:id="86"/>
      <w:bookmarkEnd w:id="100"/>
    </w:p>
    <w:p w14:paraId="0684B074" w14:textId="77777777" w:rsidR="00D06046" w:rsidRPr="00D06046" w:rsidRDefault="00D06046" w:rsidP="00D06046">
      <w:pPr>
        <w:pStyle w:val="ListParagraph"/>
        <w:rPr>
          <w:rFonts w:cs="Arial"/>
          <w:b/>
          <w:bCs/>
          <w:color w:val="auto"/>
          <w:sz w:val="28"/>
          <w:szCs w:val="28"/>
        </w:rPr>
      </w:pPr>
    </w:p>
    <w:p w14:paraId="743F2C2E" w14:textId="6FDF11AD" w:rsidR="006E2655" w:rsidRPr="00D06046" w:rsidRDefault="006E2655" w:rsidP="00D06046">
      <w:pPr>
        <w:autoSpaceDE w:val="0"/>
        <w:autoSpaceDN w:val="0"/>
        <w:adjustRightInd w:val="0"/>
        <w:rPr>
          <w:rFonts w:cs="Arial"/>
          <w:b/>
          <w:bCs/>
          <w:color w:val="auto"/>
          <w:sz w:val="28"/>
          <w:szCs w:val="28"/>
        </w:rPr>
      </w:pPr>
    </w:p>
    <w:p w14:paraId="6B6468D8" w14:textId="3FE4EDA3" w:rsidR="003178B5" w:rsidRPr="009D5737" w:rsidRDefault="0060632E" w:rsidP="009D5737">
      <w:pPr>
        <w:pStyle w:val="Heading2"/>
        <w:jc w:val="left"/>
        <w:rPr>
          <w:sz w:val="28"/>
          <w:szCs w:val="28"/>
        </w:rPr>
      </w:pPr>
      <w:bookmarkStart w:id="101" w:name="_Toc145511563"/>
      <w:bookmarkStart w:id="102" w:name="_Hlk146188371"/>
      <w:bookmarkStart w:id="103" w:name="_Hlk147928968"/>
      <w:r w:rsidRPr="009D5737">
        <w:rPr>
          <w:sz w:val="28"/>
          <w:szCs w:val="28"/>
        </w:rPr>
        <w:t xml:space="preserve">Strategic Policy </w:t>
      </w:r>
      <w:r w:rsidR="005F229B" w:rsidRPr="009D5737">
        <w:rPr>
          <w:sz w:val="28"/>
          <w:szCs w:val="28"/>
        </w:rPr>
        <w:t>S</w:t>
      </w:r>
      <w:r w:rsidR="005908AA" w:rsidRPr="009D5737">
        <w:rPr>
          <w:sz w:val="28"/>
          <w:szCs w:val="28"/>
        </w:rPr>
        <w:t>11</w:t>
      </w:r>
      <w:r w:rsidR="007E1CA9" w:rsidRPr="009D5737">
        <w:rPr>
          <w:sz w:val="28"/>
          <w:szCs w:val="28"/>
        </w:rPr>
        <w:t>:</w:t>
      </w:r>
      <w:r w:rsidR="005F229B" w:rsidRPr="009D5737">
        <w:rPr>
          <w:sz w:val="28"/>
          <w:szCs w:val="28"/>
        </w:rPr>
        <w:t xml:space="preserve"> </w:t>
      </w:r>
      <w:r w:rsidR="00162A7B" w:rsidRPr="009D5737">
        <w:rPr>
          <w:sz w:val="28"/>
          <w:szCs w:val="28"/>
        </w:rPr>
        <w:t xml:space="preserve">Vibrant </w:t>
      </w:r>
      <w:r w:rsidR="005F229B" w:rsidRPr="009D5737">
        <w:rPr>
          <w:sz w:val="28"/>
          <w:szCs w:val="28"/>
        </w:rPr>
        <w:t>Town Centres</w:t>
      </w:r>
      <w:bookmarkEnd w:id="101"/>
      <w:r w:rsidR="005F229B" w:rsidRPr="009D5737">
        <w:rPr>
          <w:sz w:val="28"/>
          <w:szCs w:val="28"/>
        </w:rPr>
        <w:t xml:space="preserve"> </w:t>
      </w:r>
    </w:p>
    <w:bookmarkEnd w:id="102"/>
    <w:p w14:paraId="4DAC7A8F" w14:textId="77777777" w:rsidR="005F1B0D" w:rsidRPr="003C7E62" w:rsidRDefault="005F1B0D" w:rsidP="003178B5">
      <w:pPr>
        <w:keepNext w:val="0"/>
        <w:spacing w:before="0"/>
        <w:rPr>
          <w:rFonts w:cs="Arial"/>
          <w:color w:val="auto"/>
          <w:lang w:eastAsia="en-US"/>
        </w:rPr>
      </w:pPr>
    </w:p>
    <w:tbl>
      <w:tblPr>
        <w:tblStyle w:val="ReportTable1"/>
        <w:tblW w:w="9634" w:type="dxa"/>
        <w:tblLook w:val="04A0" w:firstRow="1" w:lastRow="0" w:firstColumn="1" w:lastColumn="0" w:noHBand="0" w:noVBand="1"/>
      </w:tblPr>
      <w:tblGrid>
        <w:gridCol w:w="1696"/>
        <w:gridCol w:w="962"/>
        <w:gridCol w:w="6976"/>
      </w:tblGrid>
      <w:tr w:rsidR="000A144B" w:rsidRPr="003C7E62" w14:paraId="056956E3" w14:textId="77777777" w:rsidTr="003C413D">
        <w:tc>
          <w:tcPr>
            <w:tcW w:w="9634" w:type="dxa"/>
            <w:gridSpan w:val="3"/>
          </w:tcPr>
          <w:p w14:paraId="400224CF" w14:textId="77777777" w:rsidR="00433E30" w:rsidRDefault="00433E30" w:rsidP="000A144B">
            <w:pPr>
              <w:keepNext w:val="0"/>
              <w:spacing w:before="0"/>
              <w:rPr>
                <w:rFonts w:cs="Arial"/>
                <w:b/>
                <w:bCs/>
                <w:color w:val="auto"/>
                <w:szCs w:val="24"/>
                <w:lang w:eastAsia="en-US"/>
              </w:rPr>
            </w:pPr>
            <w:bookmarkStart w:id="104" w:name="_Hlk78264655"/>
          </w:p>
          <w:p w14:paraId="61C70A63" w14:textId="7C26D439" w:rsidR="000A144B" w:rsidRDefault="000A144B" w:rsidP="000A144B">
            <w:pPr>
              <w:keepNext w:val="0"/>
              <w:spacing w:before="0"/>
              <w:rPr>
                <w:rFonts w:cs="Arial"/>
                <w:b/>
                <w:bCs/>
                <w:color w:val="auto"/>
                <w:szCs w:val="24"/>
                <w:lang w:eastAsia="en-US"/>
              </w:rPr>
            </w:pPr>
            <w:r w:rsidRPr="003C7E62">
              <w:rPr>
                <w:rFonts w:cs="Arial"/>
                <w:b/>
                <w:bCs/>
                <w:color w:val="auto"/>
                <w:szCs w:val="24"/>
                <w:lang w:eastAsia="en-US"/>
              </w:rPr>
              <w:t>Strategic Policy S</w:t>
            </w:r>
            <w:r w:rsidR="005908AA" w:rsidRPr="00C474FF">
              <w:rPr>
                <w:rFonts w:cs="Arial"/>
                <w:b/>
                <w:bCs/>
                <w:szCs w:val="24"/>
                <w:lang w:eastAsia="en-US"/>
              </w:rPr>
              <w:t>11</w:t>
            </w:r>
            <w:r w:rsidRPr="00C474FF">
              <w:rPr>
                <w:rFonts w:cs="Arial"/>
                <w:b/>
                <w:bCs/>
                <w:szCs w:val="24"/>
                <w:lang w:eastAsia="en-US"/>
              </w:rPr>
              <w:t xml:space="preserve"> </w:t>
            </w:r>
            <w:r w:rsidR="00162A7B" w:rsidRPr="00162A7B">
              <w:rPr>
                <w:rFonts w:cs="Arial"/>
                <w:b/>
                <w:bCs/>
                <w:color w:val="auto"/>
                <w:szCs w:val="24"/>
                <w:lang w:eastAsia="en-US"/>
              </w:rPr>
              <w:t xml:space="preserve">Vibrant </w:t>
            </w:r>
            <w:r w:rsidRPr="003C7E62">
              <w:rPr>
                <w:rFonts w:cs="Arial"/>
                <w:b/>
                <w:bCs/>
                <w:color w:val="auto"/>
                <w:szCs w:val="24"/>
                <w:lang w:eastAsia="en-US"/>
              </w:rPr>
              <w:t xml:space="preserve">Town Centres </w:t>
            </w:r>
          </w:p>
          <w:p w14:paraId="5ADA57DB" w14:textId="304BAA0A" w:rsidR="00433E30" w:rsidRPr="003C7E62" w:rsidRDefault="00433E30" w:rsidP="000A144B">
            <w:pPr>
              <w:keepNext w:val="0"/>
              <w:spacing w:before="0"/>
              <w:rPr>
                <w:rFonts w:cs="Arial"/>
                <w:b/>
                <w:bCs/>
                <w:color w:val="auto"/>
                <w:szCs w:val="24"/>
                <w:lang w:eastAsia="en-US"/>
              </w:rPr>
            </w:pPr>
          </w:p>
        </w:tc>
      </w:tr>
      <w:tr w:rsidR="003178B5" w:rsidRPr="003C7E62" w14:paraId="0327262D" w14:textId="77777777" w:rsidTr="003C413D">
        <w:tc>
          <w:tcPr>
            <w:tcW w:w="2658" w:type="dxa"/>
            <w:gridSpan w:val="2"/>
          </w:tcPr>
          <w:p w14:paraId="21056D40" w14:textId="77777777" w:rsidR="003178B5" w:rsidRPr="00433E30" w:rsidRDefault="003178B5" w:rsidP="003178B5">
            <w:pPr>
              <w:keepNext w:val="0"/>
              <w:tabs>
                <w:tab w:val="left" w:pos="680"/>
              </w:tabs>
              <w:spacing w:before="40" w:after="40"/>
              <w:rPr>
                <w:rFonts w:eastAsia="Arial" w:cs="Arial"/>
                <w:bCs/>
                <w:color w:val="auto"/>
              </w:rPr>
            </w:pPr>
            <w:r w:rsidRPr="00433E30">
              <w:rPr>
                <w:rFonts w:eastAsia="Arial" w:cs="Arial"/>
                <w:bCs/>
                <w:color w:val="auto"/>
              </w:rPr>
              <w:t>Strategic Objectives</w:t>
            </w:r>
          </w:p>
        </w:tc>
        <w:tc>
          <w:tcPr>
            <w:tcW w:w="6976" w:type="dxa"/>
          </w:tcPr>
          <w:p w14:paraId="683CE4EC" w14:textId="77777777" w:rsidR="003178B5" w:rsidRPr="00433E30" w:rsidRDefault="003178B5" w:rsidP="003178B5">
            <w:pPr>
              <w:keepNext w:val="0"/>
              <w:tabs>
                <w:tab w:val="left" w:pos="680"/>
              </w:tabs>
              <w:spacing w:before="40" w:after="40"/>
              <w:rPr>
                <w:rFonts w:eastAsia="Arial" w:cs="Arial"/>
                <w:bCs/>
                <w:color w:val="auto"/>
              </w:rPr>
            </w:pPr>
            <w:r w:rsidRPr="00433E30">
              <w:rPr>
                <w:rFonts w:eastAsia="Arial" w:cs="Arial"/>
                <w:bCs/>
                <w:color w:val="auto"/>
              </w:rPr>
              <w:t>SO5, SO6, SO7, SO8, SO9, SO10.</w:t>
            </w:r>
          </w:p>
        </w:tc>
      </w:tr>
      <w:tr w:rsidR="003178B5" w:rsidRPr="003C7E62" w14:paraId="5DD76012" w14:textId="77777777" w:rsidTr="003C413D">
        <w:tc>
          <w:tcPr>
            <w:tcW w:w="9634" w:type="dxa"/>
            <w:gridSpan w:val="3"/>
            <w:shd w:val="clear" w:color="auto" w:fill="D9D9D9"/>
          </w:tcPr>
          <w:p w14:paraId="2700A189" w14:textId="77777777" w:rsidR="00D14538" w:rsidRDefault="00D14538" w:rsidP="00D14538">
            <w:pPr>
              <w:keepNext w:val="0"/>
              <w:tabs>
                <w:tab w:val="left" w:pos="680"/>
                <w:tab w:val="left" w:pos="1133"/>
                <w:tab w:val="left" w:pos="2267"/>
              </w:tabs>
              <w:spacing w:before="0"/>
              <w:ind w:right="284"/>
              <w:rPr>
                <w:rFonts w:eastAsia="Arial" w:cs="Arial"/>
                <w:bCs/>
                <w:color w:val="auto"/>
                <w:szCs w:val="24"/>
              </w:rPr>
            </w:pPr>
          </w:p>
          <w:p w14:paraId="4225D180" w14:textId="2AB2864C" w:rsidR="00812066" w:rsidRPr="00C474FF" w:rsidRDefault="00812066" w:rsidP="00D01157">
            <w:pPr>
              <w:keepNext w:val="0"/>
              <w:numPr>
                <w:ilvl w:val="0"/>
                <w:numId w:val="34"/>
              </w:numPr>
              <w:tabs>
                <w:tab w:val="left" w:pos="680"/>
                <w:tab w:val="left" w:pos="1133"/>
                <w:tab w:val="left" w:pos="2267"/>
              </w:tabs>
              <w:spacing w:before="0"/>
              <w:ind w:left="357" w:right="284"/>
              <w:rPr>
                <w:rFonts w:eastAsia="Arial" w:cs="Arial"/>
                <w:bCs/>
                <w:szCs w:val="24"/>
              </w:rPr>
            </w:pPr>
            <w:r w:rsidRPr="00C474FF">
              <w:rPr>
                <w:rFonts w:eastAsia="Arial" w:cs="Arial"/>
                <w:bCs/>
                <w:szCs w:val="24"/>
              </w:rPr>
              <w:t xml:space="preserve">Development should promote the </w:t>
            </w:r>
            <w:bookmarkStart w:id="105" w:name="_Hlk146188502"/>
            <w:r w:rsidRPr="00C474FF">
              <w:rPr>
                <w:rFonts w:eastAsia="Arial" w:cs="Arial"/>
                <w:bCs/>
                <w:szCs w:val="24"/>
              </w:rPr>
              <w:t>vitality and viability of the centres</w:t>
            </w:r>
            <w:bookmarkEnd w:id="105"/>
            <w:r w:rsidRPr="00C474FF">
              <w:rPr>
                <w:rFonts w:eastAsia="Arial" w:cs="Arial"/>
                <w:bCs/>
                <w:szCs w:val="24"/>
              </w:rPr>
              <w:t>.</w:t>
            </w:r>
          </w:p>
          <w:p w14:paraId="475204E9" w14:textId="77777777" w:rsidR="00812066" w:rsidRPr="00C474FF" w:rsidRDefault="00812066" w:rsidP="00812066">
            <w:pPr>
              <w:keepNext w:val="0"/>
              <w:tabs>
                <w:tab w:val="left" w:pos="680"/>
                <w:tab w:val="left" w:pos="1133"/>
                <w:tab w:val="left" w:pos="2267"/>
              </w:tabs>
              <w:spacing w:before="0"/>
              <w:ind w:left="357" w:right="284"/>
              <w:rPr>
                <w:rFonts w:eastAsia="Arial" w:cs="Arial"/>
                <w:bCs/>
                <w:szCs w:val="24"/>
              </w:rPr>
            </w:pPr>
          </w:p>
          <w:p w14:paraId="163FA320" w14:textId="144E4B6E" w:rsidR="00D14538" w:rsidRPr="00C474FF" w:rsidRDefault="003178B5" w:rsidP="00DA7DE6">
            <w:pPr>
              <w:keepNext w:val="0"/>
              <w:numPr>
                <w:ilvl w:val="0"/>
                <w:numId w:val="34"/>
              </w:numPr>
              <w:tabs>
                <w:tab w:val="left" w:pos="680"/>
                <w:tab w:val="left" w:pos="1133"/>
                <w:tab w:val="left" w:pos="2267"/>
              </w:tabs>
              <w:spacing w:before="0"/>
              <w:ind w:left="357" w:right="284"/>
              <w:rPr>
                <w:rFonts w:eastAsia="Arial" w:cs="Arial"/>
                <w:bCs/>
                <w:strike/>
                <w:szCs w:val="24"/>
              </w:rPr>
            </w:pPr>
            <w:r w:rsidRPr="00C474FF">
              <w:rPr>
                <w:rFonts w:eastAsia="Arial" w:cs="Arial"/>
                <w:bCs/>
                <w:szCs w:val="24"/>
              </w:rPr>
              <w:t>Main town centre uses</w:t>
            </w:r>
            <w:r w:rsidRPr="00C474FF">
              <w:rPr>
                <w:rFonts w:eastAsia="Arial" w:cs="Arial"/>
                <w:bCs/>
                <w:szCs w:val="24"/>
                <w:vertAlign w:val="superscript"/>
              </w:rPr>
              <w:t>1</w:t>
            </w:r>
            <w:r w:rsidRPr="00C474FF">
              <w:rPr>
                <w:rFonts w:eastAsia="Arial" w:cs="Arial"/>
                <w:bCs/>
                <w:szCs w:val="24"/>
              </w:rPr>
              <w:t xml:space="preserve"> will be located in the Town Centres of Sutton in Ashfield, Kirkby-in-Ashfield</w:t>
            </w:r>
            <w:r w:rsidR="00425B8E">
              <w:rPr>
                <w:rFonts w:eastAsia="Arial" w:cs="Arial"/>
                <w:bCs/>
                <w:szCs w:val="24"/>
              </w:rPr>
              <w:t xml:space="preserve"> and Hucknall</w:t>
            </w:r>
            <w:r w:rsidRPr="00C474FF">
              <w:rPr>
                <w:rFonts w:eastAsia="Arial" w:cs="Arial"/>
                <w:bCs/>
                <w:szCs w:val="24"/>
              </w:rPr>
              <w:t xml:space="preserve"> and in local centres having regard to the </w:t>
            </w:r>
            <w:r w:rsidRPr="003A519C">
              <w:rPr>
                <w:rFonts w:eastAsia="Arial" w:cs="Arial"/>
                <w:bCs/>
                <w:szCs w:val="24"/>
              </w:rPr>
              <w:t>retail</w:t>
            </w:r>
            <w:r w:rsidRPr="00C474FF">
              <w:rPr>
                <w:rFonts w:eastAsia="Arial" w:cs="Arial"/>
                <w:bCs/>
                <w:szCs w:val="24"/>
              </w:rPr>
              <w:t xml:space="preserve"> hierarch</w:t>
            </w:r>
            <w:r w:rsidR="00A619C9" w:rsidRPr="00C474FF">
              <w:rPr>
                <w:rFonts w:eastAsia="Arial" w:cs="Arial"/>
                <w:bCs/>
                <w:szCs w:val="24"/>
              </w:rPr>
              <w:t>y</w:t>
            </w:r>
            <w:r w:rsidRPr="00C474FF">
              <w:rPr>
                <w:rFonts w:eastAsia="Arial" w:cs="Arial"/>
                <w:bCs/>
                <w:szCs w:val="24"/>
              </w:rPr>
              <w:t xml:space="preserve">, </w:t>
            </w:r>
            <w:r w:rsidR="00D9460E" w:rsidRPr="00C474FF">
              <w:rPr>
                <w:rFonts w:eastAsia="Arial" w:cs="Arial"/>
                <w:bCs/>
                <w:szCs w:val="24"/>
              </w:rPr>
              <w:t xml:space="preserve">the </w:t>
            </w:r>
            <w:r w:rsidRPr="00C474FF">
              <w:rPr>
                <w:rFonts w:eastAsia="Arial" w:cs="Arial"/>
                <w:bCs/>
                <w:szCs w:val="24"/>
              </w:rPr>
              <w:t xml:space="preserve">Ashfield </w:t>
            </w:r>
            <w:r w:rsidR="00E10A27" w:rsidRPr="00C474FF">
              <w:rPr>
                <w:rFonts w:eastAsia="Arial" w:cs="Arial"/>
                <w:bCs/>
                <w:szCs w:val="24"/>
              </w:rPr>
              <w:t>Town Centre</w:t>
            </w:r>
            <w:r w:rsidR="002F0813">
              <w:rPr>
                <w:rFonts w:eastAsia="Arial" w:cs="Arial"/>
                <w:bCs/>
                <w:szCs w:val="24"/>
              </w:rPr>
              <w:t xml:space="preserve">/Local Centre </w:t>
            </w:r>
            <w:r w:rsidR="00E10A27" w:rsidRPr="00C474FF">
              <w:rPr>
                <w:rFonts w:eastAsia="Arial" w:cs="Arial"/>
                <w:bCs/>
                <w:szCs w:val="24"/>
              </w:rPr>
              <w:t xml:space="preserve">Study </w:t>
            </w:r>
            <w:r w:rsidRPr="00C474FF">
              <w:rPr>
                <w:rFonts w:eastAsia="Arial" w:cs="Arial"/>
                <w:bCs/>
                <w:szCs w:val="24"/>
              </w:rPr>
              <w:t>and the delivery of the objectives and schemes set out in the Town Centre Masterplans</w:t>
            </w:r>
            <w:r w:rsidR="00D14538" w:rsidRPr="00C474FF">
              <w:rPr>
                <w:rFonts w:eastAsia="Arial" w:cs="Arial"/>
                <w:bCs/>
                <w:szCs w:val="24"/>
              </w:rPr>
              <w:t>.</w:t>
            </w:r>
            <w:r w:rsidRPr="00C474FF">
              <w:rPr>
                <w:rFonts w:eastAsia="Arial" w:cs="Arial"/>
                <w:bCs/>
                <w:szCs w:val="24"/>
              </w:rPr>
              <w:t xml:space="preserve">  </w:t>
            </w:r>
          </w:p>
          <w:p w14:paraId="32955BFB" w14:textId="77777777" w:rsidR="00C474FF" w:rsidRPr="00C474FF" w:rsidRDefault="00C474FF" w:rsidP="00C474FF">
            <w:pPr>
              <w:keepNext w:val="0"/>
              <w:tabs>
                <w:tab w:val="left" w:pos="680"/>
                <w:tab w:val="left" w:pos="1133"/>
                <w:tab w:val="left" w:pos="2267"/>
              </w:tabs>
              <w:spacing w:before="0"/>
              <w:ind w:right="284"/>
              <w:rPr>
                <w:rFonts w:eastAsia="Arial" w:cs="Arial"/>
                <w:bCs/>
                <w:strike/>
                <w:szCs w:val="24"/>
              </w:rPr>
            </w:pPr>
          </w:p>
          <w:p w14:paraId="64DB58D8" w14:textId="3F67B33B" w:rsidR="00D61B49" w:rsidRPr="00295D3F" w:rsidRDefault="00D14538" w:rsidP="00295D3F">
            <w:pPr>
              <w:keepNext w:val="0"/>
              <w:numPr>
                <w:ilvl w:val="0"/>
                <w:numId w:val="34"/>
              </w:numPr>
              <w:tabs>
                <w:tab w:val="left" w:pos="680"/>
                <w:tab w:val="left" w:pos="1133"/>
                <w:tab w:val="left" w:pos="2267"/>
              </w:tabs>
              <w:spacing w:before="0"/>
              <w:ind w:left="357" w:right="284"/>
              <w:rPr>
                <w:rFonts w:eastAsia="Arial" w:cs="Arial"/>
                <w:bCs/>
                <w:color w:val="auto"/>
                <w:szCs w:val="24"/>
              </w:rPr>
            </w:pPr>
            <w:r w:rsidRPr="00295D3F">
              <w:rPr>
                <w:rFonts w:eastAsia="Arial" w:cs="Arial"/>
                <w:bCs/>
                <w:color w:val="auto"/>
                <w:szCs w:val="24"/>
              </w:rPr>
              <w:t xml:space="preserve">The </w:t>
            </w:r>
            <w:r w:rsidR="00295D3F" w:rsidRPr="00295D3F">
              <w:rPr>
                <w:rFonts w:eastAsia="Arial" w:cs="Arial"/>
                <w:bCs/>
                <w:color w:val="auto"/>
                <w:szCs w:val="24"/>
              </w:rPr>
              <w:t>Town Centre Masterplans identify development opportunity sites and gateways within and around the designated town centre boundaries. Key locations are identified on the Policies Map.</w:t>
            </w:r>
            <w:r w:rsidR="00CC7721" w:rsidRPr="00295D3F">
              <w:rPr>
                <w:rFonts w:eastAsia="Arial" w:cs="Arial"/>
                <w:bCs/>
                <w:color w:val="auto"/>
                <w:szCs w:val="24"/>
              </w:rPr>
              <w:t xml:space="preserve"> </w:t>
            </w:r>
          </w:p>
          <w:p w14:paraId="60ACE915" w14:textId="77777777" w:rsidR="00B94708" w:rsidRDefault="00B94708" w:rsidP="00B94708">
            <w:pPr>
              <w:keepNext w:val="0"/>
              <w:tabs>
                <w:tab w:val="left" w:pos="680"/>
                <w:tab w:val="left" w:pos="1133"/>
                <w:tab w:val="left" w:pos="2267"/>
              </w:tabs>
              <w:spacing w:before="0"/>
              <w:ind w:right="284"/>
              <w:rPr>
                <w:rFonts w:eastAsia="Arial" w:cs="Arial"/>
                <w:bCs/>
                <w:color w:val="auto"/>
                <w:szCs w:val="24"/>
              </w:rPr>
            </w:pPr>
          </w:p>
          <w:p w14:paraId="48979D5D" w14:textId="704B00D6" w:rsidR="00D61B49" w:rsidRPr="003C7E62" w:rsidRDefault="00D61B49" w:rsidP="00D01157">
            <w:pPr>
              <w:keepNext w:val="0"/>
              <w:numPr>
                <w:ilvl w:val="0"/>
                <w:numId w:val="34"/>
              </w:numPr>
              <w:tabs>
                <w:tab w:val="left" w:pos="680"/>
                <w:tab w:val="left" w:pos="1133"/>
                <w:tab w:val="left" w:pos="2267"/>
              </w:tabs>
              <w:spacing w:before="0"/>
              <w:ind w:left="357" w:right="284"/>
              <w:rPr>
                <w:rFonts w:eastAsia="Arial" w:cs="Arial"/>
                <w:bCs/>
                <w:color w:val="auto"/>
                <w:szCs w:val="24"/>
              </w:rPr>
            </w:pPr>
            <w:r w:rsidRPr="00D61B49">
              <w:rPr>
                <w:rFonts w:eastAsia="Arial" w:cs="Arial"/>
                <w:bCs/>
                <w:color w:val="auto"/>
                <w:szCs w:val="24"/>
              </w:rPr>
              <w:t xml:space="preserve">The extent of the Town Centres and Primary Shopping Areas are identified on the </w:t>
            </w:r>
            <w:r w:rsidR="005C01D3">
              <w:rPr>
                <w:rFonts w:eastAsia="Arial" w:cs="Arial"/>
                <w:bCs/>
                <w:color w:val="auto"/>
                <w:szCs w:val="24"/>
              </w:rPr>
              <w:t>Policies</w:t>
            </w:r>
            <w:r w:rsidRPr="00D61B49">
              <w:rPr>
                <w:rFonts w:eastAsia="Arial" w:cs="Arial"/>
                <w:bCs/>
                <w:color w:val="auto"/>
                <w:szCs w:val="24"/>
              </w:rPr>
              <w:t xml:space="preserve"> Map.</w:t>
            </w:r>
          </w:p>
          <w:p w14:paraId="67F79C74" w14:textId="77777777" w:rsidR="003178B5" w:rsidRPr="003C7E62" w:rsidRDefault="003178B5" w:rsidP="00F11936">
            <w:pPr>
              <w:keepNext w:val="0"/>
              <w:tabs>
                <w:tab w:val="left" w:pos="680"/>
                <w:tab w:val="left" w:pos="1133"/>
                <w:tab w:val="left" w:pos="2267"/>
              </w:tabs>
              <w:spacing w:before="0"/>
              <w:ind w:left="357" w:right="284"/>
              <w:rPr>
                <w:rFonts w:eastAsia="Arial" w:cs="Arial"/>
                <w:bCs/>
                <w:color w:val="auto"/>
                <w:szCs w:val="24"/>
              </w:rPr>
            </w:pPr>
          </w:p>
          <w:p w14:paraId="33656A09" w14:textId="725BE8C7" w:rsidR="00B15934" w:rsidRPr="003C7E62" w:rsidRDefault="003178B5" w:rsidP="00D01157">
            <w:pPr>
              <w:keepNext w:val="0"/>
              <w:numPr>
                <w:ilvl w:val="0"/>
                <w:numId w:val="34"/>
              </w:numPr>
              <w:tabs>
                <w:tab w:val="left" w:pos="680"/>
                <w:tab w:val="left" w:pos="1133"/>
                <w:tab w:val="left" w:pos="2267"/>
              </w:tabs>
              <w:spacing w:before="0"/>
              <w:ind w:left="357" w:right="284"/>
              <w:rPr>
                <w:rFonts w:eastAsia="Arial" w:cs="Arial"/>
                <w:bCs/>
                <w:color w:val="auto"/>
                <w:szCs w:val="24"/>
              </w:rPr>
            </w:pPr>
            <w:r w:rsidRPr="003C7E62">
              <w:rPr>
                <w:rFonts w:eastAsia="Arial" w:cs="Arial"/>
                <w:bCs/>
                <w:color w:val="auto"/>
                <w:szCs w:val="24"/>
              </w:rPr>
              <w:t xml:space="preserve">The Council will require a sequential test and, where appropriate, an impact assessment for proposed development for main town centre uses which are outside the town centres.   </w:t>
            </w:r>
          </w:p>
          <w:p w14:paraId="660102B8" w14:textId="77777777" w:rsidR="00B15934" w:rsidRPr="003C7E62" w:rsidRDefault="00B15934" w:rsidP="00F11936">
            <w:pPr>
              <w:keepNext w:val="0"/>
              <w:tabs>
                <w:tab w:val="left" w:pos="680"/>
                <w:tab w:val="left" w:pos="1133"/>
                <w:tab w:val="left" w:pos="2267"/>
              </w:tabs>
              <w:spacing w:before="0"/>
              <w:ind w:right="284"/>
              <w:rPr>
                <w:rFonts w:eastAsia="Arial" w:cs="Arial"/>
                <w:bCs/>
                <w:color w:val="auto"/>
                <w:szCs w:val="24"/>
              </w:rPr>
            </w:pPr>
          </w:p>
          <w:p w14:paraId="2A0683E7" w14:textId="3D400782" w:rsidR="00B15934" w:rsidRPr="00D14538" w:rsidRDefault="00B15934" w:rsidP="00D14538">
            <w:pPr>
              <w:keepNext w:val="0"/>
              <w:tabs>
                <w:tab w:val="left" w:pos="680"/>
                <w:tab w:val="left" w:pos="1133"/>
                <w:tab w:val="left" w:pos="2267"/>
              </w:tabs>
              <w:spacing w:before="0"/>
              <w:ind w:right="284" w:firstLine="316"/>
              <w:rPr>
                <w:rFonts w:eastAsia="Arial" w:cs="Arial"/>
                <w:b/>
                <w:color w:val="auto"/>
                <w:szCs w:val="24"/>
              </w:rPr>
            </w:pPr>
            <w:r w:rsidRPr="00D14538">
              <w:rPr>
                <w:rFonts w:eastAsia="Arial" w:cs="Arial"/>
                <w:b/>
                <w:color w:val="auto"/>
                <w:szCs w:val="24"/>
              </w:rPr>
              <w:t>Retail Hierarchy</w:t>
            </w:r>
          </w:p>
          <w:p w14:paraId="06D58F74" w14:textId="33715647" w:rsidR="003178B5" w:rsidRPr="003C7E62" w:rsidRDefault="003178B5" w:rsidP="00D01157">
            <w:pPr>
              <w:keepNext w:val="0"/>
              <w:numPr>
                <w:ilvl w:val="0"/>
                <w:numId w:val="34"/>
              </w:numPr>
              <w:tabs>
                <w:tab w:val="left" w:pos="680"/>
                <w:tab w:val="left" w:pos="1133"/>
                <w:tab w:val="left" w:pos="2267"/>
              </w:tabs>
              <w:spacing w:before="0"/>
              <w:ind w:right="284"/>
              <w:rPr>
                <w:rFonts w:eastAsia="Arial" w:cs="Arial"/>
                <w:bCs/>
                <w:color w:val="auto"/>
                <w:szCs w:val="24"/>
              </w:rPr>
            </w:pPr>
            <w:r w:rsidRPr="003C7E62">
              <w:rPr>
                <w:rFonts w:eastAsia="Arial" w:cs="Arial"/>
                <w:bCs/>
                <w:color w:val="auto"/>
                <w:szCs w:val="24"/>
              </w:rPr>
              <w:t>Proposals for development within the town centres, local centres and shopping parades, identified on the Policies Map, will be supported where the scale and nature of the proposed development will maintain and enhance the individual role of the centre in accordance with the following retail hierarchy.</w:t>
            </w:r>
          </w:p>
          <w:p w14:paraId="49ECFA88" w14:textId="77777777" w:rsidR="003178B5" w:rsidRPr="003C7E62" w:rsidRDefault="003178B5" w:rsidP="006E2655">
            <w:pPr>
              <w:keepNext w:val="0"/>
              <w:tabs>
                <w:tab w:val="left" w:pos="680"/>
                <w:tab w:val="left" w:pos="1133"/>
                <w:tab w:val="left" w:pos="2267"/>
              </w:tabs>
              <w:spacing w:before="0"/>
              <w:ind w:left="283" w:right="283"/>
              <w:rPr>
                <w:rFonts w:eastAsia="Arial" w:cs="Arial"/>
                <w:bCs/>
                <w:color w:val="auto"/>
                <w:szCs w:val="24"/>
              </w:rPr>
            </w:pPr>
          </w:p>
          <w:tbl>
            <w:tblPr>
              <w:tblStyle w:val="ReportTable1"/>
              <w:tblW w:w="0" w:type="auto"/>
              <w:jc w:val="center"/>
              <w:tblLook w:val="01E0" w:firstRow="1" w:lastRow="1" w:firstColumn="1" w:lastColumn="1" w:noHBand="0" w:noVBand="0"/>
            </w:tblPr>
            <w:tblGrid>
              <w:gridCol w:w="3289"/>
              <w:gridCol w:w="4820"/>
            </w:tblGrid>
            <w:tr w:rsidR="003178B5" w:rsidRPr="003C7E62" w14:paraId="0CB8F092" w14:textId="77777777" w:rsidTr="001347BB">
              <w:trPr>
                <w:trHeight w:val="444"/>
                <w:jc w:val="center"/>
              </w:trPr>
              <w:tc>
                <w:tcPr>
                  <w:tcW w:w="3289" w:type="dxa"/>
                  <w:shd w:val="clear" w:color="auto" w:fill="A6A6A6"/>
                </w:tcPr>
                <w:p w14:paraId="2353FF63" w14:textId="77777777" w:rsidR="003178B5" w:rsidRPr="003C7E62" w:rsidRDefault="003178B5" w:rsidP="006E2655">
                  <w:pPr>
                    <w:keepNext w:val="0"/>
                    <w:autoSpaceDE w:val="0"/>
                    <w:autoSpaceDN w:val="0"/>
                    <w:adjustRightInd w:val="0"/>
                    <w:spacing w:before="0"/>
                    <w:rPr>
                      <w:rFonts w:eastAsia="Arial" w:cs="Arial"/>
                      <w:b/>
                      <w:color w:val="auto"/>
                      <w:szCs w:val="24"/>
                    </w:rPr>
                  </w:pPr>
                  <w:r w:rsidRPr="003C7E62">
                    <w:rPr>
                      <w:rFonts w:cs="Arial"/>
                      <w:b/>
                      <w:color w:val="auto"/>
                      <w:szCs w:val="24"/>
                    </w:rPr>
                    <w:t xml:space="preserve">Hierarchy </w:t>
                  </w:r>
                </w:p>
              </w:tc>
              <w:tc>
                <w:tcPr>
                  <w:tcW w:w="4820" w:type="dxa"/>
                  <w:shd w:val="clear" w:color="auto" w:fill="A6A6A6"/>
                </w:tcPr>
                <w:p w14:paraId="6879337B" w14:textId="77777777" w:rsidR="003178B5" w:rsidRPr="003C7E62" w:rsidRDefault="003178B5" w:rsidP="006E2655">
                  <w:pPr>
                    <w:keepNext w:val="0"/>
                    <w:tabs>
                      <w:tab w:val="left" w:pos="680"/>
                      <w:tab w:val="left" w:pos="1133"/>
                      <w:tab w:val="left" w:pos="2267"/>
                    </w:tabs>
                    <w:spacing w:before="0"/>
                    <w:ind w:right="283"/>
                    <w:rPr>
                      <w:rFonts w:eastAsia="Arial" w:cs="Arial"/>
                      <w:b/>
                      <w:color w:val="auto"/>
                      <w:szCs w:val="24"/>
                    </w:rPr>
                  </w:pPr>
                  <w:r w:rsidRPr="003C7E62">
                    <w:rPr>
                      <w:rFonts w:eastAsia="Arial" w:cs="Arial"/>
                      <w:b/>
                      <w:color w:val="auto"/>
                      <w:szCs w:val="24"/>
                    </w:rPr>
                    <w:t>Town/Settlement</w:t>
                  </w:r>
                </w:p>
              </w:tc>
            </w:tr>
            <w:tr w:rsidR="002579BF" w:rsidRPr="003C7E62" w14:paraId="79D222A2" w14:textId="77777777" w:rsidTr="001347BB">
              <w:trPr>
                <w:trHeight w:val="848"/>
                <w:jc w:val="center"/>
              </w:trPr>
              <w:tc>
                <w:tcPr>
                  <w:tcW w:w="3289" w:type="dxa"/>
                </w:tcPr>
                <w:p w14:paraId="2DF1C052" w14:textId="1E7BBEB0" w:rsidR="002579BF" w:rsidRPr="003C7E62" w:rsidRDefault="002579BF" w:rsidP="006E2655">
                  <w:pPr>
                    <w:keepNext w:val="0"/>
                    <w:autoSpaceDE w:val="0"/>
                    <w:autoSpaceDN w:val="0"/>
                    <w:adjustRightInd w:val="0"/>
                    <w:spacing w:before="0"/>
                    <w:rPr>
                      <w:rFonts w:cs="Arial"/>
                      <w:bCs/>
                      <w:color w:val="auto"/>
                      <w:szCs w:val="24"/>
                    </w:rPr>
                  </w:pPr>
                  <w:r w:rsidRPr="003C7E62">
                    <w:rPr>
                      <w:rFonts w:cs="Arial"/>
                      <w:bCs/>
                      <w:color w:val="auto"/>
                      <w:szCs w:val="24"/>
                    </w:rPr>
                    <w:t xml:space="preserve">Town Centres </w:t>
                  </w:r>
                </w:p>
              </w:tc>
              <w:tc>
                <w:tcPr>
                  <w:tcW w:w="4820" w:type="dxa"/>
                </w:tcPr>
                <w:p w14:paraId="025CDD29" w14:textId="77777777" w:rsidR="002579BF" w:rsidRPr="003C7E62" w:rsidRDefault="002579BF" w:rsidP="006E2655">
                  <w:pPr>
                    <w:keepNext w:val="0"/>
                    <w:tabs>
                      <w:tab w:val="left" w:pos="680"/>
                      <w:tab w:val="left" w:pos="1133"/>
                      <w:tab w:val="left" w:pos="2267"/>
                    </w:tabs>
                    <w:spacing w:before="0"/>
                    <w:ind w:right="283"/>
                    <w:rPr>
                      <w:rFonts w:eastAsia="Arial" w:cs="Arial"/>
                      <w:bCs/>
                      <w:color w:val="auto"/>
                      <w:szCs w:val="24"/>
                    </w:rPr>
                  </w:pPr>
                  <w:r w:rsidRPr="003C7E62">
                    <w:rPr>
                      <w:rFonts w:eastAsia="Arial" w:cs="Arial"/>
                      <w:bCs/>
                      <w:color w:val="auto"/>
                      <w:szCs w:val="24"/>
                    </w:rPr>
                    <w:t>Sutton in Ashfield</w:t>
                  </w:r>
                </w:p>
                <w:p w14:paraId="3B973B14" w14:textId="77777777" w:rsidR="002579BF" w:rsidRDefault="002579BF" w:rsidP="006E2655">
                  <w:pPr>
                    <w:tabs>
                      <w:tab w:val="left" w:pos="680"/>
                      <w:tab w:val="left" w:pos="1133"/>
                      <w:tab w:val="left" w:pos="2267"/>
                    </w:tabs>
                    <w:spacing w:before="0"/>
                    <w:ind w:right="283"/>
                    <w:rPr>
                      <w:rFonts w:eastAsia="Arial" w:cs="Arial"/>
                      <w:bCs/>
                      <w:color w:val="auto"/>
                      <w:szCs w:val="24"/>
                    </w:rPr>
                  </w:pPr>
                  <w:r w:rsidRPr="003C7E62">
                    <w:rPr>
                      <w:rFonts w:eastAsia="Arial" w:cs="Arial"/>
                      <w:bCs/>
                      <w:color w:val="auto"/>
                      <w:szCs w:val="24"/>
                    </w:rPr>
                    <w:t>Kirkby in Ashfield</w:t>
                  </w:r>
                </w:p>
                <w:p w14:paraId="2E6BD4DE" w14:textId="47BF9401" w:rsidR="00425B8E" w:rsidRPr="003C7E62" w:rsidRDefault="00425B8E" w:rsidP="006E2655">
                  <w:pPr>
                    <w:tabs>
                      <w:tab w:val="left" w:pos="680"/>
                      <w:tab w:val="left" w:pos="1133"/>
                      <w:tab w:val="left" w:pos="2267"/>
                    </w:tabs>
                    <w:spacing w:before="0"/>
                    <w:ind w:right="283"/>
                    <w:rPr>
                      <w:rFonts w:eastAsia="Arial" w:cs="Arial"/>
                      <w:bCs/>
                      <w:color w:val="auto"/>
                      <w:szCs w:val="24"/>
                    </w:rPr>
                  </w:pPr>
                  <w:r>
                    <w:rPr>
                      <w:rFonts w:eastAsia="Arial" w:cs="Arial"/>
                      <w:bCs/>
                      <w:color w:val="auto"/>
                      <w:szCs w:val="24"/>
                    </w:rPr>
                    <w:t>Hucknall</w:t>
                  </w:r>
                </w:p>
              </w:tc>
            </w:tr>
            <w:tr w:rsidR="003178B5" w:rsidRPr="003C7E62" w14:paraId="42B69CD7" w14:textId="77777777" w:rsidTr="001347BB">
              <w:trPr>
                <w:jc w:val="center"/>
              </w:trPr>
              <w:tc>
                <w:tcPr>
                  <w:tcW w:w="3289" w:type="dxa"/>
                </w:tcPr>
                <w:p w14:paraId="0A70EE82" w14:textId="77777777" w:rsidR="003178B5" w:rsidRPr="003C7E62" w:rsidRDefault="003178B5" w:rsidP="006E2655">
                  <w:pPr>
                    <w:keepNext w:val="0"/>
                    <w:autoSpaceDE w:val="0"/>
                    <w:autoSpaceDN w:val="0"/>
                    <w:adjustRightInd w:val="0"/>
                    <w:spacing w:before="0"/>
                    <w:rPr>
                      <w:rFonts w:cs="Arial"/>
                      <w:bCs/>
                      <w:color w:val="auto"/>
                      <w:szCs w:val="24"/>
                    </w:rPr>
                  </w:pPr>
                  <w:r w:rsidRPr="003C7E62">
                    <w:rPr>
                      <w:rFonts w:cs="Arial"/>
                      <w:bCs/>
                      <w:color w:val="auto"/>
                      <w:szCs w:val="24"/>
                    </w:rPr>
                    <w:t>Local Shopping</w:t>
                  </w:r>
                </w:p>
                <w:p w14:paraId="297AB8A3" w14:textId="77777777" w:rsidR="003178B5" w:rsidRPr="003C7E62" w:rsidRDefault="003178B5" w:rsidP="006E2655">
                  <w:pPr>
                    <w:keepNext w:val="0"/>
                    <w:autoSpaceDE w:val="0"/>
                    <w:autoSpaceDN w:val="0"/>
                    <w:adjustRightInd w:val="0"/>
                    <w:spacing w:before="0"/>
                    <w:rPr>
                      <w:rFonts w:cs="Arial"/>
                      <w:bCs/>
                      <w:color w:val="auto"/>
                      <w:szCs w:val="24"/>
                    </w:rPr>
                  </w:pPr>
                  <w:r w:rsidRPr="003C7E62">
                    <w:rPr>
                      <w:rFonts w:cs="Arial"/>
                      <w:bCs/>
                      <w:color w:val="auto"/>
                      <w:szCs w:val="24"/>
                    </w:rPr>
                    <w:t>Centres</w:t>
                  </w:r>
                </w:p>
                <w:p w14:paraId="6409FCA9" w14:textId="77777777" w:rsidR="003178B5" w:rsidRPr="003C7E62" w:rsidRDefault="003178B5" w:rsidP="006E2655">
                  <w:pPr>
                    <w:keepNext w:val="0"/>
                    <w:autoSpaceDE w:val="0"/>
                    <w:autoSpaceDN w:val="0"/>
                    <w:adjustRightInd w:val="0"/>
                    <w:spacing w:before="0"/>
                    <w:rPr>
                      <w:rFonts w:cs="Arial"/>
                      <w:bCs/>
                      <w:color w:val="auto"/>
                      <w:szCs w:val="24"/>
                    </w:rPr>
                  </w:pPr>
                </w:p>
              </w:tc>
              <w:tc>
                <w:tcPr>
                  <w:tcW w:w="4820" w:type="dxa"/>
                </w:tcPr>
                <w:p w14:paraId="6E2EC91E" w14:textId="77777777" w:rsidR="003178B5" w:rsidRPr="003C7E62" w:rsidRDefault="003178B5" w:rsidP="006E2655">
                  <w:pPr>
                    <w:keepNext w:val="0"/>
                    <w:autoSpaceDE w:val="0"/>
                    <w:autoSpaceDN w:val="0"/>
                    <w:adjustRightInd w:val="0"/>
                    <w:spacing w:before="0"/>
                    <w:rPr>
                      <w:rFonts w:cs="Arial"/>
                      <w:bCs/>
                      <w:color w:val="auto"/>
                      <w:szCs w:val="24"/>
                    </w:rPr>
                  </w:pPr>
                  <w:r w:rsidRPr="003C7E62">
                    <w:rPr>
                      <w:rFonts w:cs="Arial"/>
                      <w:bCs/>
                      <w:color w:val="auto"/>
                      <w:szCs w:val="24"/>
                    </w:rPr>
                    <w:t>Outram Street, Sutton</w:t>
                  </w:r>
                </w:p>
                <w:p w14:paraId="13E6690E" w14:textId="77777777" w:rsidR="003178B5" w:rsidRPr="003C7E62" w:rsidRDefault="003178B5" w:rsidP="006E2655">
                  <w:pPr>
                    <w:keepNext w:val="0"/>
                    <w:autoSpaceDE w:val="0"/>
                    <w:autoSpaceDN w:val="0"/>
                    <w:adjustRightInd w:val="0"/>
                    <w:spacing w:before="0"/>
                    <w:rPr>
                      <w:rFonts w:cs="Arial"/>
                      <w:bCs/>
                      <w:color w:val="auto"/>
                      <w:szCs w:val="24"/>
                    </w:rPr>
                  </w:pPr>
                  <w:r w:rsidRPr="003C7E62">
                    <w:rPr>
                      <w:rFonts w:cs="Arial"/>
                      <w:bCs/>
                      <w:color w:val="auto"/>
                      <w:szCs w:val="24"/>
                    </w:rPr>
                    <w:t>Stanton Hill</w:t>
                  </w:r>
                </w:p>
                <w:p w14:paraId="0958F9F5" w14:textId="77777777" w:rsidR="003178B5" w:rsidRPr="003C7E62" w:rsidRDefault="003178B5" w:rsidP="006E2655">
                  <w:pPr>
                    <w:keepNext w:val="0"/>
                    <w:autoSpaceDE w:val="0"/>
                    <w:autoSpaceDN w:val="0"/>
                    <w:adjustRightInd w:val="0"/>
                    <w:spacing w:before="0"/>
                    <w:rPr>
                      <w:rFonts w:cs="Arial"/>
                      <w:bCs/>
                      <w:color w:val="auto"/>
                      <w:szCs w:val="24"/>
                    </w:rPr>
                  </w:pPr>
                  <w:r w:rsidRPr="003C7E62">
                    <w:rPr>
                      <w:rFonts w:cs="Arial"/>
                      <w:bCs/>
                      <w:color w:val="auto"/>
                      <w:szCs w:val="24"/>
                    </w:rPr>
                    <w:t>Huthwaite</w:t>
                  </w:r>
                </w:p>
                <w:p w14:paraId="3579E480" w14:textId="77777777" w:rsidR="003178B5" w:rsidRPr="003C7E62" w:rsidRDefault="003178B5" w:rsidP="006E2655">
                  <w:pPr>
                    <w:keepNext w:val="0"/>
                    <w:autoSpaceDE w:val="0"/>
                    <w:autoSpaceDN w:val="0"/>
                    <w:adjustRightInd w:val="0"/>
                    <w:spacing w:before="0"/>
                    <w:rPr>
                      <w:rFonts w:cs="Arial"/>
                      <w:bCs/>
                      <w:color w:val="auto"/>
                      <w:szCs w:val="24"/>
                    </w:rPr>
                  </w:pPr>
                  <w:r w:rsidRPr="003C7E62">
                    <w:rPr>
                      <w:rFonts w:cs="Arial"/>
                      <w:bCs/>
                      <w:color w:val="auto"/>
                      <w:szCs w:val="24"/>
                    </w:rPr>
                    <w:t>Forest Road, Annesley</w:t>
                  </w:r>
                </w:p>
                <w:p w14:paraId="203FDAB1" w14:textId="77777777" w:rsidR="003178B5" w:rsidRPr="003C7E62" w:rsidRDefault="003178B5" w:rsidP="006E2655">
                  <w:pPr>
                    <w:keepNext w:val="0"/>
                    <w:autoSpaceDE w:val="0"/>
                    <w:autoSpaceDN w:val="0"/>
                    <w:adjustRightInd w:val="0"/>
                    <w:spacing w:before="0"/>
                    <w:rPr>
                      <w:rFonts w:cs="Arial"/>
                      <w:bCs/>
                      <w:color w:val="auto"/>
                      <w:szCs w:val="24"/>
                    </w:rPr>
                  </w:pPr>
                  <w:r w:rsidRPr="003C7E62">
                    <w:rPr>
                      <w:rFonts w:cs="Arial"/>
                      <w:bCs/>
                      <w:color w:val="auto"/>
                      <w:szCs w:val="24"/>
                    </w:rPr>
                    <w:t>Annesley Road, Hucknall</w:t>
                  </w:r>
                </w:p>
                <w:p w14:paraId="4CB58A1F" w14:textId="77777777" w:rsidR="003178B5" w:rsidRPr="003C7E62" w:rsidRDefault="003178B5" w:rsidP="006E2655">
                  <w:pPr>
                    <w:keepNext w:val="0"/>
                    <w:autoSpaceDE w:val="0"/>
                    <w:autoSpaceDN w:val="0"/>
                    <w:adjustRightInd w:val="0"/>
                    <w:spacing w:before="0"/>
                    <w:rPr>
                      <w:rFonts w:cs="Arial"/>
                      <w:bCs/>
                      <w:color w:val="auto"/>
                      <w:szCs w:val="24"/>
                    </w:rPr>
                  </w:pPr>
                  <w:r w:rsidRPr="003C7E62">
                    <w:rPr>
                      <w:rFonts w:cs="Arial"/>
                      <w:bCs/>
                      <w:color w:val="auto"/>
                      <w:szCs w:val="24"/>
                    </w:rPr>
                    <w:t>Watnall Road, Hucknall</w:t>
                  </w:r>
                </w:p>
                <w:p w14:paraId="6B80AE96" w14:textId="77777777" w:rsidR="003178B5" w:rsidRPr="003C7E62" w:rsidRDefault="003178B5" w:rsidP="006E2655">
                  <w:pPr>
                    <w:keepNext w:val="0"/>
                    <w:autoSpaceDE w:val="0"/>
                    <w:autoSpaceDN w:val="0"/>
                    <w:adjustRightInd w:val="0"/>
                    <w:spacing w:before="0"/>
                    <w:rPr>
                      <w:rFonts w:cs="Arial"/>
                      <w:bCs/>
                      <w:color w:val="auto"/>
                      <w:szCs w:val="24"/>
                    </w:rPr>
                  </w:pPr>
                  <w:r w:rsidRPr="003C7E62">
                    <w:rPr>
                      <w:rFonts w:cs="Arial"/>
                      <w:bCs/>
                      <w:color w:val="auto"/>
                      <w:szCs w:val="24"/>
                    </w:rPr>
                    <w:t>Jacksdale</w:t>
                  </w:r>
                </w:p>
              </w:tc>
            </w:tr>
            <w:tr w:rsidR="003178B5" w:rsidRPr="003C7E62" w14:paraId="729F26EA" w14:textId="77777777" w:rsidTr="001347BB">
              <w:trPr>
                <w:jc w:val="center"/>
              </w:trPr>
              <w:tc>
                <w:tcPr>
                  <w:tcW w:w="3289" w:type="dxa"/>
                </w:tcPr>
                <w:p w14:paraId="72ABB0C1" w14:textId="77777777" w:rsidR="003178B5" w:rsidRPr="003C7E62" w:rsidRDefault="003178B5" w:rsidP="006E2655">
                  <w:pPr>
                    <w:keepNext w:val="0"/>
                    <w:tabs>
                      <w:tab w:val="left" w:pos="680"/>
                      <w:tab w:val="left" w:pos="1133"/>
                      <w:tab w:val="left" w:pos="2267"/>
                    </w:tabs>
                    <w:spacing w:before="0"/>
                    <w:ind w:right="283"/>
                    <w:rPr>
                      <w:rFonts w:eastAsia="Arial" w:cs="Arial"/>
                      <w:bCs/>
                      <w:color w:val="auto"/>
                      <w:szCs w:val="24"/>
                    </w:rPr>
                  </w:pPr>
                  <w:r w:rsidRPr="003C7E62">
                    <w:rPr>
                      <w:rFonts w:eastAsia="Arial" w:cs="Arial"/>
                      <w:bCs/>
                      <w:color w:val="auto"/>
                      <w:szCs w:val="24"/>
                    </w:rPr>
                    <w:t xml:space="preserve">Shopping Parades </w:t>
                  </w:r>
                </w:p>
              </w:tc>
              <w:tc>
                <w:tcPr>
                  <w:tcW w:w="4820" w:type="dxa"/>
                </w:tcPr>
                <w:p w14:paraId="3FA8D559" w14:textId="77777777" w:rsidR="003178B5" w:rsidRPr="003C7E62" w:rsidRDefault="003178B5" w:rsidP="006E2655">
                  <w:pPr>
                    <w:keepNext w:val="0"/>
                    <w:tabs>
                      <w:tab w:val="left" w:pos="680"/>
                      <w:tab w:val="left" w:pos="1133"/>
                      <w:tab w:val="left" w:pos="2267"/>
                    </w:tabs>
                    <w:spacing w:before="0"/>
                    <w:ind w:right="283"/>
                    <w:rPr>
                      <w:rFonts w:eastAsia="Arial" w:cs="Arial"/>
                      <w:bCs/>
                      <w:color w:val="auto"/>
                      <w:szCs w:val="24"/>
                    </w:rPr>
                  </w:pPr>
                  <w:r w:rsidRPr="003C7E62">
                    <w:rPr>
                      <w:rFonts w:eastAsia="Arial" w:cs="Arial"/>
                      <w:bCs/>
                      <w:color w:val="auto"/>
                      <w:szCs w:val="24"/>
                    </w:rPr>
                    <w:t>Skegby</w:t>
                  </w:r>
                </w:p>
                <w:p w14:paraId="4B0D8D46" w14:textId="77777777" w:rsidR="003178B5" w:rsidRPr="003C7E62" w:rsidRDefault="003178B5" w:rsidP="006E2655">
                  <w:pPr>
                    <w:keepNext w:val="0"/>
                    <w:autoSpaceDE w:val="0"/>
                    <w:autoSpaceDN w:val="0"/>
                    <w:adjustRightInd w:val="0"/>
                    <w:spacing w:before="0"/>
                    <w:rPr>
                      <w:rFonts w:cs="Arial"/>
                      <w:bCs/>
                      <w:color w:val="auto"/>
                      <w:szCs w:val="24"/>
                    </w:rPr>
                  </w:pPr>
                  <w:r w:rsidRPr="003C7E62">
                    <w:rPr>
                      <w:rFonts w:cs="Arial"/>
                      <w:bCs/>
                      <w:color w:val="auto"/>
                      <w:szCs w:val="24"/>
                    </w:rPr>
                    <w:t>Nuncargate</w:t>
                  </w:r>
                </w:p>
                <w:p w14:paraId="61F19D61" w14:textId="77777777" w:rsidR="003178B5" w:rsidRPr="003C7E62" w:rsidRDefault="003178B5" w:rsidP="006E2655">
                  <w:pPr>
                    <w:keepNext w:val="0"/>
                    <w:autoSpaceDE w:val="0"/>
                    <w:autoSpaceDN w:val="0"/>
                    <w:adjustRightInd w:val="0"/>
                    <w:spacing w:before="0"/>
                    <w:rPr>
                      <w:rFonts w:cs="Arial"/>
                      <w:bCs/>
                      <w:color w:val="auto"/>
                      <w:szCs w:val="24"/>
                    </w:rPr>
                  </w:pPr>
                  <w:r w:rsidRPr="003C7E62">
                    <w:rPr>
                      <w:rFonts w:cs="Arial"/>
                      <w:bCs/>
                      <w:color w:val="auto"/>
                      <w:szCs w:val="24"/>
                    </w:rPr>
                    <w:t>Selston</w:t>
                  </w:r>
                </w:p>
                <w:p w14:paraId="0D2F821C" w14:textId="77777777" w:rsidR="003178B5" w:rsidRPr="003C7E62" w:rsidRDefault="003178B5" w:rsidP="006E2655">
                  <w:pPr>
                    <w:keepNext w:val="0"/>
                    <w:tabs>
                      <w:tab w:val="left" w:pos="680"/>
                      <w:tab w:val="left" w:pos="1133"/>
                      <w:tab w:val="left" w:pos="2267"/>
                    </w:tabs>
                    <w:spacing w:before="0"/>
                    <w:ind w:right="283"/>
                    <w:rPr>
                      <w:rFonts w:eastAsia="Arial" w:cs="Arial"/>
                      <w:bCs/>
                      <w:color w:val="auto"/>
                      <w:szCs w:val="24"/>
                    </w:rPr>
                  </w:pPr>
                  <w:r w:rsidRPr="003C7E62">
                    <w:rPr>
                      <w:rFonts w:eastAsia="Arial" w:cs="Arial"/>
                      <w:bCs/>
                      <w:color w:val="auto"/>
                      <w:szCs w:val="24"/>
                    </w:rPr>
                    <w:t>Underwood</w:t>
                  </w:r>
                </w:p>
              </w:tc>
            </w:tr>
            <w:tr w:rsidR="00C474FF" w:rsidRPr="00C474FF" w14:paraId="0E49A836" w14:textId="77777777" w:rsidTr="001347BB">
              <w:trPr>
                <w:jc w:val="center"/>
              </w:trPr>
              <w:tc>
                <w:tcPr>
                  <w:tcW w:w="3289" w:type="dxa"/>
                </w:tcPr>
                <w:p w14:paraId="36D8447B" w14:textId="7493630C" w:rsidR="00D14538" w:rsidRPr="00C474FF" w:rsidRDefault="00D14538" w:rsidP="006E2655">
                  <w:pPr>
                    <w:keepNext w:val="0"/>
                    <w:tabs>
                      <w:tab w:val="left" w:pos="680"/>
                      <w:tab w:val="left" w:pos="1133"/>
                      <w:tab w:val="left" w:pos="2267"/>
                    </w:tabs>
                    <w:spacing w:before="0"/>
                    <w:ind w:right="283"/>
                    <w:rPr>
                      <w:rFonts w:eastAsia="Arial" w:cs="Arial"/>
                      <w:bCs/>
                      <w:szCs w:val="24"/>
                    </w:rPr>
                  </w:pPr>
                  <w:r w:rsidRPr="00C474FF">
                    <w:rPr>
                      <w:rFonts w:eastAsia="Arial" w:cs="Arial"/>
                      <w:bCs/>
                      <w:szCs w:val="24"/>
                    </w:rPr>
                    <w:t>Other Areas</w:t>
                  </w:r>
                </w:p>
              </w:tc>
              <w:tc>
                <w:tcPr>
                  <w:tcW w:w="4820" w:type="dxa"/>
                </w:tcPr>
                <w:p w14:paraId="21C7EFDD" w14:textId="45C71AE1" w:rsidR="00D14538" w:rsidRPr="00C474FF" w:rsidRDefault="00D14538" w:rsidP="006E2655">
                  <w:pPr>
                    <w:keepNext w:val="0"/>
                    <w:tabs>
                      <w:tab w:val="left" w:pos="680"/>
                      <w:tab w:val="left" w:pos="1133"/>
                      <w:tab w:val="left" w:pos="2267"/>
                    </w:tabs>
                    <w:spacing w:before="0"/>
                    <w:ind w:right="283"/>
                    <w:rPr>
                      <w:rFonts w:eastAsia="Arial" w:cs="Arial"/>
                      <w:bCs/>
                      <w:szCs w:val="24"/>
                    </w:rPr>
                  </w:pPr>
                  <w:r w:rsidRPr="00C474FF">
                    <w:rPr>
                      <w:rFonts w:eastAsia="Arial" w:cs="Arial"/>
                      <w:bCs/>
                      <w:szCs w:val="24"/>
                    </w:rPr>
                    <w:t xml:space="preserve">Other Areas within the District </w:t>
                  </w:r>
                </w:p>
              </w:tc>
            </w:tr>
          </w:tbl>
          <w:p w14:paraId="5EA4C86E" w14:textId="77777777" w:rsidR="003178B5" w:rsidRPr="00C474FF" w:rsidRDefault="003178B5" w:rsidP="00F11936">
            <w:pPr>
              <w:keepNext w:val="0"/>
              <w:tabs>
                <w:tab w:val="left" w:pos="680"/>
                <w:tab w:val="left" w:pos="1133"/>
                <w:tab w:val="left" w:pos="2267"/>
              </w:tabs>
              <w:spacing w:before="0"/>
              <w:ind w:left="283" w:right="283"/>
              <w:rPr>
                <w:rFonts w:eastAsia="Arial" w:cs="Arial"/>
                <w:bCs/>
                <w:szCs w:val="24"/>
              </w:rPr>
            </w:pPr>
          </w:p>
          <w:p w14:paraId="0AAC3961" w14:textId="5C8E27ED" w:rsidR="004B3014" w:rsidRPr="00C474FF" w:rsidRDefault="004B3014" w:rsidP="0094447E">
            <w:pPr>
              <w:keepNext w:val="0"/>
              <w:numPr>
                <w:ilvl w:val="0"/>
                <w:numId w:val="33"/>
              </w:numPr>
              <w:tabs>
                <w:tab w:val="left" w:pos="680"/>
                <w:tab w:val="left" w:pos="1133"/>
                <w:tab w:val="left" w:pos="2267"/>
              </w:tabs>
              <w:spacing w:before="0"/>
              <w:ind w:right="284"/>
              <w:rPr>
                <w:rFonts w:eastAsia="Arial" w:cs="Arial"/>
                <w:bCs/>
                <w:szCs w:val="24"/>
                <w:u w:val="single"/>
              </w:rPr>
            </w:pPr>
            <w:r w:rsidRPr="00C474FF">
              <w:rPr>
                <w:rFonts w:eastAsia="Arial" w:cs="Arial"/>
                <w:bCs/>
                <w:szCs w:val="24"/>
                <w:u w:val="single"/>
              </w:rPr>
              <w:t>Town Centres</w:t>
            </w:r>
          </w:p>
          <w:p w14:paraId="377F58A1" w14:textId="5C5D8A90" w:rsidR="004B3014" w:rsidRPr="0061668F" w:rsidRDefault="003178B5" w:rsidP="0061668F">
            <w:pPr>
              <w:tabs>
                <w:tab w:val="left" w:pos="680"/>
                <w:tab w:val="left" w:pos="1024"/>
                <w:tab w:val="left" w:pos="2267"/>
              </w:tabs>
              <w:ind w:left="743" w:right="284"/>
              <w:rPr>
                <w:rFonts w:eastAsia="Arial" w:cs="Arial"/>
                <w:bCs/>
                <w:szCs w:val="24"/>
              </w:rPr>
            </w:pPr>
            <w:r w:rsidRPr="0061668F">
              <w:rPr>
                <w:rFonts w:eastAsia="Arial" w:cs="Arial"/>
                <w:b/>
                <w:szCs w:val="24"/>
              </w:rPr>
              <w:t>Sutton in Ashfield</w:t>
            </w:r>
            <w:r w:rsidRPr="0061668F">
              <w:rPr>
                <w:rFonts w:eastAsia="Arial" w:cs="Arial"/>
                <w:bCs/>
                <w:szCs w:val="24"/>
              </w:rPr>
              <w:t xml:space="preserve"> - Development should sustain and enhance the centre’s role by maintaining and extending the range and quality of facilities and services offered. Development should have regard to objectives and schemes set out in the Sutton Town Centre Spatial Masterplan. </w:t>
            </w:r>
            <w:r w:rsidR="00071C70" w:rsidRPr="0061668F">
              <w:rPr>
                <w:rFonts w:eastAsia="Arial" w:cs="Arial"/>
                <w:bCs/>
                <w:szCs w:val="24"/>
              </w:rPr>
              <w:t xml:space="preserve"> </w:t>
            </w:r>
            <w:r w:rsidR="005A1A0E" w:rsidRPr="0061668F">
              <w:rPr>
                <w:rFonts w:eastAsia="Arial" w:cs="Arial"/>
                <w:bCs/>
                <w:szCs w:val="24"/>
              </w:rPr>
              <w:t>The Sutton in Ashfield Church and Market Place Conservation Area extends into the Town Centre.</w:t>
            </w:r>
            <w:r w:rsidR="00EC4D30" w:rsidRPr="0061668F">
              <w:rPr>
                <w:rFonts w:eastAsia="Arial" w:cs="Arial"/>
                <w:bCs/>
                <w:szCs w:val="24"/>
              </w:rPr>
              <w:t xml:space="preserve"> </w:t>
            </w:r>
            <w:r w:rsidR="00071C70" w:rsidRPr="0061668F">
              <w:rPr>
                <w:rFonts w:eastAsia="Arial" w:cs="Arial"/>
                <w:bCs/>
                <w:szCs w:val="24"/>
              </w:rPr>
              <w:t xml:space="preserve">Opportunities to conserve and enhance the historic environment through heritage led regeneration </w:t>
            </w:r>
            <w:r w:rsidR="005A1A0E" w:rsidRPr="0061668F">
              <w:rPr>
                <w:rFonts w:eastAsia="Arial" w:cs="Arial"/>
                <w:bCs/>
                <w:szCs w:val="24"/>
              </w:rPr>
              <w:t>will be supported.</w:t>
            </w:r>
          </w:p>
          <w:p w14:paraId="75910EBE" w14:textId="7915A95E" w:rsidR="003178B5" w:rsidRDefault="003178B5" w:rsidP="0061668F">
            <w:pPr>
              <w:tabs>
                <w:tab w:val="left" w:pos="680"/>
                <w:tab w:val="left" w:pos="1024"/>
                <w:tab w:val="left" w:pos="2267"/>
              </w:tabs>
              <w:ind w:left="743" w:right="284"/>
              <w:rPr>
                <w:rFonts w:eastAsia="Arial" w:cs="Arial"/>
                <w:bCs/>
                <w:color w:val="auto"/>
                <w:szCs w:val="24"/>
              </w:rPr>
            </w:pPr>
            <w:r w:rsidRPr="0061668F">
              <w:rPr>
                <w:rFonts w:eastAsia="Arial" w:cs="Arial"/>
                <w:b/>
                <w:szCs w:val="24"/>
              </w:rPr>
              <w:t>Kirkby-in-Ashfield</w:t>
            </w:r>
            <w:r w:rsidRPr="0061668F">
              <w:rPr>
                <w:rFonts w:eastAsia="Arial" w:cs="Arial"/>
                <w:bCs/>
                <w:szCs w:val="24"/>
              </w:rPr>
              <w:t xml:space="preserve"> - Development that supports the </w:t>
            </w:r>
            <w:r w:rsidRPr="0061668F">
              <w:rPr>
                <w:rFonts w:eastAsia="Arial" w:cs="Arial"/>
                <w:bCs/>
                <w:color w:val="auto"/>
                <w:szCs w:val="24"/>
              </w:rPr>
              <w:t xml:space="preserve">consolidation and facilitates </w:t>
            </w:r>
            <w:r w:rsidR="00B84C2F" w:rsidRPr="0061668F">
              <w:rPr>
                <w:rFonts w:eastAsia="Arial" w:cs="Arial"/>
                <w:bCs/>
                <w:color w:val="auto"/>
                <w:szCs w:val="24"/>
              </w:rPr>
              <w:t xml:space="preserve">in </w:t>
            </w:r>
            <w:r w:rsidRPr="0061668F">
              <w:rPr>
                <w:rFonts w:eastAsia="Arial" w:cs="Arial"/>
                <w:bCs/>
                <w:color w:val="auto"/>
                <w:szCs w:val="24"/>
              </w:rPr>
              <w:t xml:space="preserve">the </w:t>
            </w:r>
            <w:r w:rsidR="00B84C2F" w:rsidRPr="0061668F">
              <w:rPr>
                <w:rFonts w:eastAsia="Arial" w:cs="Arial"/>
                <w:bCs/>
                <w:color w:val="auto"/>
                <w:szCs w:val="24"/>
              </w:rPr>
              <w:t>Town Centre</w:t>
            </w:r>
            <w:r w:rsidRPr="0061668F">
              <w:rPr>
                <w:rFonts w:eastAsia="Arial" w:cs="Arial"/>
                <w:bCs/>
                <w:color w:val="auto"/>
                <w:szCs w:val="24"/>
              </w:rPr>
              <w:t xml:space="preserve"> will be encouraged, particularly where this broadens the range, and quality of facilities, services and cultural activities. Development should have regard to objectives and schemes set out in the Kirkby Town Centre Spatial Masterplan.</w:t>
            </w:r>
          </w:p>
          <w:p w14:paraId="47B441A1" w14:textId="77777777" w:rsidR="00425B8E" w:rsidRPr="0061668F" w:rsidRDefault="00425B8E" w:rsidP="00425B8E">
            <w:pPr>
              <w:tabs>
                <w:tab w:val="left" w:pos="680"/>
                <w:tab w:val="left" w:pos="1024"/>
                <w:tab w:val="left" w:pos="2267"/>
              </w:tabs>
              <w:ind w:left="743" w:right="284"/>
              <w:rPr>
                <w:rFonts w:eastAsia="Arial" w:cs="Arial"/>
                <w:bCs/>
                <w:szCs w:val="24"/>
              </w:rPr>
            </w:pPr>
            <w:r w:rsidRPr="0061668F">
              <w:rPr>
                <w:rFonts w:eastAsia="Arial" w:cs="Arial"/>
                <w:b/>
                <w:szCs w:val="24"/>
              </w:rPr>
              <w:t xml:space="preserve">Hucknall </w:t>
            </w:r>
            <w:r w:rsidRPr="0061668F">
              <w:rPr>
                <w:rFonts w:eastAsia="Arial" w:cs="Arial"/>
                <w:bCs/>
                <w:szCs w:val="24"/>
              </w:rPr>
              <w:t>- Development should sustain and enhance the role of Hucknall, strengthening the retail offer and provide a mix of suitable uses at an appropriate scale with the aim of broadening the town centre's appeal. Development should have regard to objectives and schemes set out in the Hucknall Town Centre Spatial Masterplan.  The Hucknall Town Centre Conservation Area forms a substantial part of the Town Centre.  Opportunities to conserve and enhance the historic environment through heritage led regeneration will be supported.</w:t>
            </w:r>
          </w:p>
          <w:p w14:paraId="58EF81D0" w14:textId="77777777" w:rsidR="003178B5" w:rsidRPr="003C7E62" w:rsidRDefault="003178B5" w:rsidP="00F11936">
            <w:pPr>
              <w:keepNext w:val="0"/>
              <w:tabs>
                <w:tab w:val="left" w:pos="680"/>
                <w:tab w:val="left" w:pos="1133"/>
                <w:tab w:val="left" w:pos="2267"/>
              </w:tabs>
              <w:spacing w:before="0"/>
              <w:ind w:left="720" w:right="284"/>
              <w:rPr>
                <w:rFonts w:eastAsia="Arial" w:cs="Arial"/>
                <w:bCs/>
                <w:color w:val="auto"/>
                <w:szCs w:val="24"/>
              </w:rPr>
            </w:pPr>
          </w:p>
          <w:p w14:paraId="4D81593F" w14:textId="77777777" w:rsidR="004B3014" w:rsidRDefault="004B3014" w:rsidP="00D01157">
            <w:pPr>
              <w:keepNext w:val="0"/>
              <w:numPr>
                <w:ilvl w:val="0"/>
                <w:numId w:val="33"/>
              </w:numPr>
              <w:tabs>
                <w:tab w:val="left" w:pos="680"/>
                <w:tab w:val="left" w:pos="1133"/>
                <w:tab w:val="left" w:pos="2267"/>
              </w:tabs>
              <w:spacing w:before="0"/>
              <w:ind w:right="284"/>
              <w:rPr>
                <w:rFonts w:eastAsia="Arial" w:cs="Arial"/>
                <w:bCs/>
                <w:color w:val="auto"/>
                <w:szCs w:val="24"/>
                <w:u w:val="single"/>
              </w:rPr>
            </w:pPr>
            <w:r w:rsidRPr="004B3014">
              <w:rPr>
                <w:rFonts w:eastAsia="Arial" w:cs="Arial"/>
                <w:bCs/>
                <w:color w:val="auto"/>
                <w:szCs w:val="24"/>
                <w:u w:val="single"/>
              </w:rPr>
              <w:t>Local Shopping Centres</w:t>
            </w:r>
          </w:p>
          <w:p w14:paraId="7753ECE3" w14:textId="0DCB5B7C" w:rsidR="003178B5" w:rsidRPr="0061668F" w:rsidRDefault="003178B5" w:rsidP="0061668F">
            <w:pPr>
              <w:tabs>
                <w:tab w:val="left" w:pos="680"/>
                <w:tab w:val="left" w:pos="1024"/>
                <w:tab w:val="left" w:pos="2267"/>
              </w:tabs>
              <w:ind w:left="743" w:right="284"/>
              <w:rPr>
                <w:rFonts w:eastAsia="Arial" w:cs="Arial"/>
                <w:bCs/>
                <w:color w:val="auto"/>
                <w:szCs w:val="24"/>
              </w:rPr>
            </w:pPr>
            <w:r w:rsidRPr="0061668F">
              <w:rPr>
                <w:rFonts w:eastAsia="Arial" w:cs="Arial"/>
                <w:bCs/>
                <w:color w:val="auto"/>
                <w:szCs w:val="24"/>
              </w:rPr>
              <w:t xml:space="preserve">Development that respects the individual local scale and character of the local centre will be supported.  </w:t>
            </w:r>
          </w:p>
          <w:p w14:paraId="69B3C8FB" w14:textId="77777777" w:rsidR="003178B5" w:rsidRPr="003C7E62" w:rsidRDefault="003178B5" w:rsidP="00F11936">
            <w:pPr>
              <w:keepNext w:val="0"/>
              <w:tabs>
                <w:tab w:val="left" w:pos="680"/>
                <w:tab w:val="left" w:pos="1133"/>
                <w:tab w:val="left" w:pos="2267"/>
              </w:tabs>
              <w:spacing w:before="0"/>
              <w:ind w:left="720" w:right="284"/>
              <w:rPr>
                <w:rFonts w:eastAsia="Arial" w:cs="Arial"/>
                <w:bCs/>
                <w:color w:val="auto"/>
                <w:szCs w:val="24"/>
              </w:rPr>
            </w:pPr>
          </w:p>
          <w:p w14:paraId="01355F35" w14:textId="77777777" w:rsidR="00CC7721" w:rsidRPr="00CC7721" w:rsidRDefault="00CC7721" w:rsidP="00D01157">
            <w:pPr>
              <w:keepNext w:val="0"/>
              <w:numPr>
                <w:ilvl w:val="0"/>
                <w:numId w:val="33"/>
              </w:numPr>
              <w:tabs>
                <w:tab w:val="left" w:pos="680"/>
                <w:tab w:val="left" w:pos="1133"/>
                <w:tab w:val="left" w:pos="2267"/>
              </w:tabs>
              <w:spacing w:before="0"/>
              <w:ind w:right="284"/>
              <w:rPr>
                <w:rFonts w:eastAsia="Arial" w:cs="Arial"/>
                <w:bCs/>
                <w:color w:val="auto"/>
                <w:szCs w:val="24"/>
                <w:u w:val="single"/>
              </w:rPr>
            </w:pPr>
            <w:r w:rsidRPr="00CC7721">
              <w:rPr>
                <w:rFonts w:eastAsia="Arial" w:cs="Arial"/>
                <w:bCs/>
                <w:color w:val="auto"/>
                <w:szCs w:val="24"/>
                <w:u w:val="single"/>
              </w:rPr>
              <w:t>Shopping Parades</w:t>
            </w:r>
          </w:p>
          <w:p w14:paraId="31324397" w14:textId="77922C39" w:rsidR="003178B5" w:rsidRPr="0061668F" w:rsidRDefault="003178B5" w:rsidP="0061668F">
            <w:pPr>
              <w:tabs>
                <w:tab w:val="left" w:pos="680"/>
                <w:tab w:val="left" w:pos="1024"/>
                <w:tab w:val="left" w:pos="2267"/>
              </w:tabs>
              <w:ind w:left="743" w:right="284"/>
              <w:rPr>
                <w:rFonts w:eastAsia="Arial" w:cs="Arial"/>
                <w:bCs/>
                <w:color w:val="auto"/>
                <w:szCs w:val="24"/>
              </w:rPr>
            </w:pPr>
            <w:r w:rsidRPr="0061668F">
              <w:rPr>
                <w:rFonts w:eastAsia="Arial" w:cs="Arial"/>
                <w:bCs/>
                <w:color w:val="auto"/>
                <w:szCs w:val="24"/>
              </w:rPr>
              <w:t>Development of an appropriate scale should enhance Shopping Parades.</w:t>
            </w:r>
          </w:p>
          <w:p w14:paraId="7057BBBD" w14:textId="77777777" w:rsidR="003178B5" w:rsidRPr="003C7E62" w:rsidRDefault="003178B5" w:rsidP="00F11936">
            <w:pPr>
              <w:keepNext w:val="0"/>
              <w:tabs>
                <w:tab w:val="left" w:pos="680"/>
                <w:tab w:val="left" w:pos="1133"/>
                <w:tab w:val="left" w:pos="2267"/>
              </w:tabs>
              <w:spacing w:before="0"/>
              <w:ind w:right="284"/>
              <w:rPr>
                <w:rFonts w:eastAsia="Arial" w:cs="Arial"/>
                <w:bCs/>
                <w:color w:val="auto"/>
                <w:szCs w:val="24"/>
              </w:rPr>
            </w:pPr>
          </w:p>
          <w:p w14:paraId="746DFBFC" w14:textId="77777777" w:rsidR="00CC7721" w:rsidRPr="00CC7721" w:rsidRDefault="00CC7721" w:rsidP="00D01157">
            <w:pPr>
              <w:keepNext w:val="0"/>
              <w:numPr>
                <w:ilvl w:val="0"/>
                <w:numId w:val="33"/>
              </w:numPr>
              <w:tabs>
                <w:tab w:val="left" w:pos="680"/>
                <w:tab w:val="left" w:pos="1133"/>
                <w:tab w:val="left" w:pos="2267"/>
              </w:tabs>
              <w:spacing w:before="0"/>
              <w:ind w:right="284"/>
              <w:rPr>
                <w:rFonts w:eastAsia="Arial" w:cs="Arial"/>
                <w:bCs/>
                <w:color w:val="auto"/>
                <w:szCs w:val="24"/>
                <w:u w:val="single"/>
              </w:rPr>
            </w:pPr>
            <w:r w:rsidRPr="00CC7721">
              <w:rPr>
                <w:rFonts w:eastAsia="Arial" w:cs="Arial"/>
                <w:bCs/>
                <w:color w:val="auto"/>
                <w:szCs w:val="24"/>
                <w:u w:val="single"/>
              </w:rPr>
              <w:t>Other Areas</w:t>
            </w:r>
          </w:p>
          <w:p w14:paraId="17CF69BF" w14:textId="32E0C839" w:rsidR="003178B5" w:rsidRDefault="003178B5" w:rsidP="0061668F">
            <w:pPr>
              <w:tabs>
                <w:tab w:val="left" w:pos="680"/>
                <w:tab w:val="left" w:pos="1024"/>
                <w:tab w:val="left" w:pos="2267"/>
              </w:tabs>
              <w:ind w:left="743" w:right="284"/>
              <w:rPr>
                <w:rFonts w:eastAsia="Arial" w:cs="Arial"/>
                <w:bCs/>
                <w:color w:val="auto"/>
                <w:szCs w:val="24"/>
              </w:rPr>
            </w:pPr>
            <w:r w:rsidRPr="0061668F">
              <w:rPr>
                <w:rFonts w:eastAsia="Arial" w:cs="Arial"/>
                <w:bCs/>
                <w:color w:val="auto"/>
                <w:szCs w:val="24"/>
              </w:rPr>
              <w:t xml:space="preserve">Development of an appropriate design, type and scale will be supported in other areas where it meets local needs but does not undermine existing centres. </w:t>
            </w:r>
          </w:p>
          <w:p w14:paraId="0CB66A84" w14:textId="77777777" w:rsidR="003A519C" w:rsidRDefault="003A519C" w:rsidP="00F11936">
            <w:pPr>
              <w:keepNext w:val="0"/>
              <w:tabs>
                <w:tab w:val="left" w:pos="680"/>
                <w:tab w:val="left" w:pos="1133"/>
                <w:tab w:val="left" w:pos="2267"/>
              </w:tabs>
              <w:spacing w:before="0"/>
              <w:ind w:right="283"/>
              <w:jc w:val="both"/>
              <w:rPr>
                <w:rFonts w:eastAsia="Arial" w:cs="Arial"/>
                <w:bCs/>
                <w:color w:val="auto"/>
                <w:sz w:val="20"/>
              </w:rPr>
            </w:pPr>
          </w:p>
          <w:p w14:paraId="43374440" w14:textId="77777777" w:rsidR="003A519C" w:rsidRDefault="003A519C" w:rsidP="00F11936">
            <w:pPr>
              <w:keepNext w:val="0"/>
              <w:tabs>
                <w:tab w:val="left" w:pos="680"/>
                <w:tab w:val="left" w:pos="1133"/>
                <w:tab w:val="left" w:pos="2267"/>
              </w:tabs>
              <w:spacing w:before="0"/>
              <w:ind w:right="283"/>
              <w:jc w:val="both"/>
              <w:rPr>
                <w:rFonts w:eastAsia="Arial" w:cs="Arial"/>
                <w:bCs/>
                <w:color w:val="auto"/>
                <w:sz w:val="20"/>
              </w:rPr>
            </w:pPr>
          </w:p>
          <w:p w14:paraId="209ABBDC" w14:textId="1B1EEEA8" w:rsidR="003178B5" w:rsidRPr="003C7E62" w:rsidRDefault="003178B5" w:rsidP="00F11936">
            <w:pPr>
              <w:keepNext w:val="0"/>
              <w:tabs>
                <w:tab w:val="left" w:pos="680"/>
                <w:tab w:val="left" w:pos="1133"/>
                <w:tab w:val="left" w:pos="2267"/>
              </w:tabs>
              <w:spacing w:before="0"/>
              <w:ind w:right="283"/>
              <w:jc w:val="both"/>
              <w:rPr>
                <w:rFonts w:eastAsia="Arial" w:cs="Arial"/>
                <w:bCs/>
                <w:color w:val="auto"/>
                <w:sz w:val="20"/>
              </w:rPr>
            </w:pPr>
            <w:r w:rsidRPr="003C7E62">
              <w:rPr>
                <w:rFonts w:eastAsia="Arial" w:cs="Arial"/>
                <w:bCs/>
                <w:color w:val="auto"/>
                <w:sz w:val="20"/>
              </w:rPr>
              <w:t xml:space="preserve">1 – Main Town Centre uses reflect the definition of main town centre uses set out in the NPPF </w:t>
            </w:r>
            <w:r w:rsidR="00601192" w:rsidRPr="00C474FF">
              <w:rPr>
                <w:rFonts w:eastAsia="Arial" w:cs="Arial"/>
                <w:bCs/>
                <w:sz w:val="20"/>
              </w:rPr>
              <w:t>202</w:t>
            </w:r>
            <w:r w:rsidR="00C474FF" w:rsidRPr="00C474FF">
              <w:rPr>
                <w:rFonts w:eastAsia="Arial" w:cs="Arial"/>
                <w:bCs/>
                <w:sz w:val="20"/>
              </w:rPr>
              <w:t>3</w:t>
            </w:r>
            <w:r w:rsidR="00601192">
              <w:rPr>
                <w:rFonts w:eastAsia="Arial" w:cs="Arial"/>
                <w:bCs/>
                <w:color w:val="auto"/>
                <w:sz w:val="20"/>
              </w:rPr>
              <w:t xml:space="preserve"> </w:t>
            </w:r>
            <w:r w:rsidRPr="003C7E62">
              <w:rPr>
                <w:rFonts w:eastAsia="Arial" w:cs="Arial"/>
                <w:bCs/>
                <w:color w:val="auto"/>
                <w:sz w:val="20"/>
              </w:rPr>
              <w:t>or any subsequent replacement.</w:t>
            </w:r>
          </w:p>
          <w:p w14:paraId="6B25BD89" w14:textId="77777777" w:rsidR="003178B5" w:rsidRPr="003C7E62" w:rsidRDefault="003178B5" w:rsidP="00F11936">
            <w:pPr>
              <w:keepNext w:val="0"/>
              <w:tabs>
                <w:tab w:val="left" w:pos="680"/>
                <w:tab w:val="left" w:pos="1133"/>
                <w:tab w:val="left" w:pos="2267"/>
              </w:tabs>
              <w:spacing w:before="0"/>
              <w:ind w:right="283"/>
              <w:jc w:val="both"/>
              <w:rPr>
                <w:rFonts w:eastAsia="Arial" w:cs="Arial"/>
                <w:bCs/>
                <w:color w:val="auto"/>
                <w:szCs w:val="24"/>
              </w:rPr>
            </w:pPr>
          </w:p>
          <w:p w14:paraId="7AE7BE14" w14:textId="30A104BA" w:rsidR="003178B5" w:rsidRPr="003C7E62" w:rsidRDefault="003178B5" w:rsidP="00F11936">
            <w:pPr>
              <w:keepNext w:val="0"/>
              <w:tabs>
                <w:tab w:val="left" w:pos="680"/>
                <w:tab w:val="left" w:pos="1133"/>
                <w:tab w:val="left" w:pos="2267"/>
              </w:tabs>
              <w:spacing w:before="0"/>
              <w:ind w:right="284"/>
              <w:jc w:val="both"/>
              <w:rPr>
                <w:rFonts w:eastAsia="Arial" w:cs="Arial"/>
                <w:bCs/>
                <w:color w:val="auto"/>
                <w:szCs w:val="18"/>
              </w:rPr>
            </w:pPr>
            <w:r w:rsidRPr="003C7E62">
              <w:rPr>
                <w:rFonts w:eastAsia="Arial" w:cs="Arial"/>
                <w:bCs/>
                <w:color w:val="auto"/>
                <w:sz w:val="18"/>
                <w:szCs w:val="18"/>
              </w:rPr>
              <w:t>Note: Hucknall is defined as a Town Centre in the Nottingham Core Aligned Core Strategy.</w:t>
            </w:r>
          </w:p>
          <w:p w14:paraId="636CBE8F" w14:textId="654DF61E" w:rsidR="003178B5" w:rsidRPr="003C7E62" w:rsidRDefault="003178B5" w:rsidP="006E2655">
            <w:pPr>
              <w:keepNext w:val="0"/>
              <w:tabs>
                <w:tab w:val="left" w:pos="680"/>
                <w:tab w:val="left" w:pos="1133"/>
                <w:tab w:val="left" w:pos="2267"/>
              </w:tabs>
              <w:spacing w:before="0"/>
              <w:ind w:right="284"/>
              <w:rPr>
                <w:rFonts w:eastAsia="Arial" w:cs="Arial"/>
                <w:bCs/>
                <w:color w:val="0070C0"/>
              </w:rPr>
            </w:pPr>
          </w:p>
        </w:tc>
      </w:tr>
      <w:bookmarkEnd w:id="104"/>
      <w:tr w:rsidR="003178B5" w:rsidRPr="003C7E62" w14:paraId="2D1C244F" w14:textId="77777777" w:rsidTr="003C413D">
        <w:tc>
          <w:tcPr>
            <w:tcW w:w="1696" w:type="dxa"/>
            <w:shd w:val="clear" w:color="auto" w:fill="FFFFFF" w:themeFill="background1"/>
          </w:tcPr>
          <w:p w14:paraId="2A8D7080" w14:textId="77777777" w:rsidR="003178B5" w:rsidRPr="003C7E62" w:rsidRDefault="003178B5" w:rsidP="00433E30">
            <w:pPr>
              <w:keepNext w:val="0"/>
              <w:tabs>
                <w:tab w:val="left" w:pos="680"/>
                <w:tab w:val="left" w:pos="1133"/>
                <w:tab w:val="left" w:pos="2267"/>
              </w:tabs>
              <w:spacing w:before="0"/>
              <w:ind w:right="284"/>
              <w:rPr>
                <w:rFonts w:eastAsia="Arial" w:cs="Arial"/>
                <w:bCs/>
                <w:color w:val="C00000"/>
                <w:szCs w:val="24"/>
              </w:rPr>
            </w:pPr>
            <w:r w:rsidRPr="003C7E62">
              <w:rPr>
                <w:rFonts w:eastAsia="Arial" w:cs="Arial"/>
                <w:bCs/>
                <w:color w:val="auto"/>
                <w:sz w:val="20"/>
              </w:rPr>
              <w:t>Evidence base</w:t>
            </w:r>
          </w:p>
        </w:tc>
        <w:tc>
          <w:tcPr>
            <w:tcW w:w="7938" w:type="dxa"/>
            <w:gridSpan w:val="2"/>
            <w:shd w:val="clear" w:color="auto" w:fill="FFFFFF" w:themeFill="background1"/>
          </w:tcPr>
          <w:p w14:paraId="07048ACC" w14:textId="77777777" w:rsidR="005E1157" w:rsidRPr="00885752" w:rsidRDefault="005E1157" w:rsidP="0042651B">
            <w:pPr>
              <w:pStyle w:val="ListParagraph"/>
              <w:numPr>
                <w:ilvl w:val="0"/>
                <w:numId w:val="36"/>
              </w:numPr>
              <w:spacing w:after="160" w:line="252" w:lineRule="auto"/>
              <w:rPr>
                <w:rFonts w:ascii="Arial" w:eastAsia="Calibri" w:hAnsi="Arial" w:cs="Arial"/>
                <w:sz w:val="20"/>
              </w:rPr>
            </w:pPr>
            <w:r w:rsidRPr="00885752">
              <w:rPr>
                <w:rFonts w:ascii="Arial" w:eastAsia="Calibri" w:hAnsi="Arial" w:cs="Arial"/>
                <w:sz w:val="20"/>
                <w:szCs w:val="20"/>
              </w:rPr>
              <w:t>Background Paper No 1: Spatial Strategy and Site Selection 2023 - Ashfield District Council</w:t>
            </w:r>
          </w:p>
          <w:p w14:paraId="5E8BE9F8" w14:textId="19418BCE" w:rsidR="00885752" w:rsidRPr="00885752" w:rsidRDefault="003178B5" w:rsidP="00885752">
            <w:pPr>
              <w:pStyle w:val="ListParagraph"/>
              <w:numPr>
                <w:ilvl w:val="0"/>
                <w:numId w:val="36"/>
              </w:numPr>
              <w:spacing w:after="160" w:line="252" w:lineRule="auto"/>
              <w:rPr>
                <w:rFonts w:ascii="Arial" w:eastAsia="Calibri" w:hAnsi="Arial" w:cs="Arial"/>
                <w:color w:val="auto"/>
                <w:sz w:val="20"/>
              </w:rPr>
            </w:pPr>
            <w:r w:rsidRPr="00885752">
              <w:rPr>
                <w:rFonts w:ascii="Arial" w:eastAsia="Calibri" w:hAnsi="Arial" w:cs="Arial"/>
                <w:color w:val="auto"/>
                <w:sz w:val="20"/>
              </w:rPr>
              <w:t>Sutton Town Centre Spatial Masterplan</w:t>
            </w:r>
            <w:r w:rsidR="00E0659F" w:rsidRPr="00885752">
              <w:rPr>
                <w:rFonts w:ascii="Arial" w:eastAsia="Calibri" w:hAnsi="Arial" w:cs="Arial"/>
                <w:color w:val="auto"/>
                <w:sz w:val="20"/>
              </w:rPr>
              <w:t>, 20</w:t>
            </w:r>
            <w:r w:rsidR="00461D79">
              <w:rPr>
                <w:rFonts w:ascii="Arial" w:eastAsia="Calibri" w:hAnsi="Arial" w:cs="Arial"/>
                <w:color w:val="auto"/>
                <w:sz w:val="20"/>
              </w:rPr>
              <w:t>19</w:t>
            </w:r>
            <w:r w:rsidR="00E0659F" w:rsidRPr="00885752">
              <w:rPr>
                <w:rFonts w:ascii="Arial" w:eastAsia="Calibri" w:hAnsi="Arial" w:cs="Arial"/>
                <w:color w:val="auto"/>
                <w:sz w:val="20"/>
              </w:rPr>
              <w:t xml:space="preserve">.  </w:t>
            </w:r>
            <w:r w:rsidRPr="00885752">
              <w:rPr>
                <w:rFonts w:ascii="Arial" w:eastAsia="Calibri" w:hAnsi="Arial" w:cs="Arial"/>
                <w:color w:val="auto"/>
                <w:sz w:val="20"/>
              </w:rPr>
              <w:t>Ashfield District Council</w:t>
            </w:r>
            <w:r w:rsidR="00E0659F" w:rsidRPr="00885752">
              <w:rPr>
                <w:rFonts w:ascii="Arial" w:eastAsia="Calibri" w:hAnsi="Arial" w:cs="Arial"/>
                <w:color w:val="auto"/>
                <w:sz w:val="20"/>
              </w:rPr>
              <w:t>.</w:t>
            </w:r>
          </w:p>
          <w:p w14:paraId="3276A205" w14:textId="77777777" w:rsidR="00885752" w:rsidRPr="00885752" w:rsidRDefault="003178B5" w:rsidP="00885752">
            <w:pPr>
              <w:pStyle w:val="ListParagraph"/>
              <w:numPr>
                <w:ilvl w:val="0"/>
                <w:numId w:val="36"/>
              </w:numPr>
              <w:spacing w:after="160" w:line="252" w:lineRule="auto"/>
              <w:rPr>
                <w:rFonts w:ascii="Arial" w:eastAsia="Calibri" w:hAnsi="Arial" w:cs="Arial"/>
                <w:color w:val="auto"/>
                <w:sz w:val="20"/>
              </w:rPr>
            </w:pPr>
            <w:r w:rsidRPr="00885752">
              <w:rPr>
                <w:rFonts w:ascii="Arial" w:eastAsia="Calibri" w:hAnsi="Arial" w:cs="Arial"/>
                <w:color w:val="auto"/>
                <w:sz w:val="20"/>
              </w:rPr>
              <w:t>Kirkby Town Centre Spatial Masterplan</w:t>
            </w:r>
            <w:r w:rsidR="00E0659F" w:rsidRPr="00885752">
              <w:rPr>
                <w:rFonts w:ascii="Arial" w:eastAsia="Calibri" w:hAnsi="Arial" w:cs="Arial"/>
                <w:color w:val="auto"/>
                <w:sz w:val="20"/>
              </w:rPr>
              <w:t xml:space="preserve">, 2021. </w:t>
            </w:r>
            <w:r w:rsidRPr="00885752">
              <w:rPr>
                <w:rFonts w:ascii="Arial" w:eastAsia="Calibri" w:hAnsi="Arial" w:cs="Arial"/>
                <w:color w:val="auto"/>
                <w:sz w:val="20"/>
              </w:rPr>
              <w:t>Ashfield District Council</w:t>
            </w:r>
            <w:r w:rsidR="00E0659F" w:rsidRPr="00885752">
              <w:rPr>
                <w:rFonts w:ascii="Arial" w:eastAsia="Calibri" w:hAnsi="Arial" w:cs="Arial"/>
                <w:color w:val="auto"/>
                <w:sz w:val="20"/>
              </w:rPr>
              <w:t>.</w:t>
            </w:r>
          </w:p>
          <w:p w14:paraId="148E36EF" w14:textId="77777777" w:rsidR="005D5B24" w:rsidRDefault="003178B5" w:rsidP="005D5B24">
            <w:pPr>
              <w:pStyle w:val="ListParagraph"/>
              <w:numPr>
                <w:ilvl w:val="0"/>
                <w:numId w:val="36"/>
              </w:numPr>
              <w:spacing w:after="160" w:line="252" w:lineRule="auto"/>
              <w:rPr>
                <w:rFonts w:ascii="Arial" w:eastAsia="Calibri" w:hAnsi="Arial" w:cs="Arial"/>
                <w:color w:val="auto"/>
                <w:sz w:val="20"/>
              </w:rPr>
            </w:pPr>
            <w:r w:rsidRPr="00885752">
              <w:rPr>
                <w:rFonts w:ascii="Arial" w:eastAsia="Calibri" w:hAnsi="Arial" w:cs="Arial"/>
                <w:color w:val="auto"/>
                <w:sz w:val="20"/>
              </w:rPr>
              <w:t>Hucknall Town Centre Spatial Masterplan</w:t>
            </w:r>
            <w:r w:rsidR="00D022BB" w:rsidRPr="00885752">
              <w:rPr>
                <w:rFonts w:ascii="Arial" w:eastAsia="Calibri" w:hAnsi="Arial" w:cs="Arial"/>
                <w:color w:val="auto"/>
                <w:sz w:val="20"/>
              </w:rPr>
              <w:t xml:space="preserve"> </w:t>
            </w:r>
            <w:r w:rsidR="00D022BB" w:rsidRPr="00885752">
              <w:rPr>
                <w:rFonts w:ascii="Arial" w:eastAsia="Calibri" w:hAnsi="Arial" w:cs="Arial"/>
                <w:sz w:val="20"/>
              </w:rPr>
              <w:t>2022</w:t>
            </w:r>
            <w:r w:rsidRPr="00885752">
              <w:rPr>
                <w:rFonts w:ascii="Arial" w:eastAsia="Calibri" w:hAnsi="Arial" w:cs="Arial"/>
                <w:sz w:val="20"/>
              </w:rPr>
              <w:t xml:space="preserve"> </w:t>
            </w:r>
            <w:r w:rsidRPr="00885752">
              <w:rPr>
                <w:rFonts w:ascii="Arial" w:eastAsia="Calibri" w:hAnsi="Arial" w:cs="Arial"/>
                <w:color w:val="auto"/>
                <w:sz w:val="20"/>
              </w:rPr>
              <w:t>– Ashfield District Council</w:t>
            </w:r>
            <w:r w:rsidR="00E0659F" w:rsidRPr="00885752">
              <w:rPr>
                <w:rFonts w:ascii="Arial" w:eastAsia="Calibri" w:hAnsi="Arial" w:cs="Arial"/>
                <w:color w:val="auto"/>
                <w:sz w:val="20"/>
              </w:rPr>
              <w:t>.</w:t>
            </w:r>
          </w:p>
          <w:p w14:paraId="5BCF328F" w14:textId="2EDE25D3" w:rsidR="005D5B24" w:rsidRPr="005D5B24" w:rsidRDefault="005D5B24" w:rsidP="005D5B24">
            <w:pPr>
              <w:pStyle w:val="ListParagraph"/>
              <w:numPr>
                <w:ilvl w:val="0"/>
                <w:numId w:val="36"/>
              </w:numPr>
              <w:spacing w:after="160" w:line="252" w:lineRule="auto"/>
              <w:rPr>
                <w:rFonts w:ascii="Arial" w:eastAsia="Calibri" w:hAnsi="Arial" w:cs="Arial"/>
                <w:color w:val="auto"/>
                <w:sz w:val="20"/>
              </w:rPr>
            </w:pPr>
            <w:r w:rsidRPr="005D5B24">
              <w:rPr>
                <w:rFonts w:ascii="Arial" w:hAnsi="Arial" w:cs="Arial"/>
                <w:sz w:val="20"/>
              </w:rPr>
              <w:t xml:space="preserve">Ashfield Town Centre / Local Centre Study, 2023. </w:t>
            </w:r>
            <w:r w:rsidRPr="005D5B24">
              <w:rPr>
                <w:rFonts w:ascii="Arial" w:hAnsi="Arial" w:cs="Arial"/>
                <w:color w:val="auto"/>
                <w:sz w:val="20"/>
              </w:rPr>
              <w:t>Nexus Planning.</w:t>
            </w:r>
          </w:p>
          <w:p w14:paraId="619E7A17" w14:textId="77777777" w:rsidR="00885752" w:rsidRPr="00885752" w:rsidRDefault="003178B5" w:rsidP="00885752">
            <w:pPr>
              <w:pStyle w:val="ListParagraph"/>
              <w:numPr>
                <w:ilvl w:val="0"/>
                <w:numId w:val="36"/>
              </w:numPr>
              <w:spacing w:after="160" w:line="252" w:lineRule="auto"/>
              <w:rPr>
                <w:rFonts w:ascii="Arial" w:eastAsia="Calibri" w:hAnsi="Arial" w:cs="Arial"/>
                <w:color w:val="auto"/>
                <w:sz w:val="20"/>
              </w:rPr>
            </w:pPr>
            <w:r w:rsidRPr="00885752">
              <w:rPr>
                <w:rFonts w:ascii="Arial" w:eastAsia="Calibri" w:hAnsi="Arial" w:cs="Arial"/>
                <w:color w:val="auto"/>
                <w:sz w:val="20"/>
              </w:rPr>
              <w:t>Retail Floorspace Survey 2020</w:t>
            </w:r>
            <w:r w:rsidR="00E0659F" w:rsidRPr="00885752">
              <w:rPr>
                <w:rFonts w:ascii="Arial" w:eastAsia="Calibri" w:hAnsi="Arial" w:cs="Arial"/>
                <w:color w:val="auto"/>
                <w:sz w:val="20"/>
              </w:rPr>
              <w:t xml:space="preserve">. </w:t>
            </w:r>
            <w:r w:rsidRPr="00885752">
              <w:rPr>
                <w:rFonts w:ascii="Arial" w:eastAsia="Calibri" w:hAnsi="Arial" w:cs="Arial"/>
                <w:color w:val="auto"/>
                <w:sz w:val="20"/>
              </w:rPr>
              <w:t>Ashfield District Council</w:t>
            </w:r>
            <w:r w:rsidR="00E0659F" w:rsidRPr="00885752">
              <w:rPr>
                <w:rFonts w:ascii="Arial" w:eastAsia="Calibri" w:hAnsi="Arial" w:cs="Arial"/>
                <w:color w:val="auto"/>
                <w:sz w:val="20"/>
              </w:rPr>
              <w:t>.</w:t>
            </w:r>
          </w:p>
          <w:p w14:paraId="769EBF0F" w14:textId="77777777" w:rsidR="00885752" w:rsidRPr="00885752" w:rsidRDefault="00F777E4" w:rsidP="00885752">
            <w:pPr>
              <w:pStyle w:val="ListParagraph"/>
              <w:numPr>
                <w:ilvl w:val="0"/>
                <w:numId w:val="36"/>
              </w:numPr>
              <w:spacing w:after="160" w:line="252" w:lineRule="auto"/>
              <w:rPr>
                <w:rFonts w:ascii="Arial" w:eastAsia="Calibri" w:hAnsi="Arial" w:cs="Arial"/>
                <w:color w:val="auto"/>
                <w:sz w:val="20"/>
              </w:rPr>
            </w:pPr>
            <w:r w:rsidRPr="00885752">
              <w:rPr>
                <w:rFonts w:ascii="Arial" w:eastAsia="Calibri" w:hAnsi="Arial" w:cs="Arial"/>
                <w:color w:val="auto"/>
                <w:sz w:val="20"/>
              </w:rPr>
              <w:t>Kirkby-in-Ashfield &amp; Sutton in Ashfield Town Investment Plan</w:t>
            </w:r>
            <w:r w:rsidR="00885752" w:rsidRPr="00885752">
              <w:rPr>
                <w:rFonts w:ascii="Arial" w:eastAsia="Calibri" w:hAnsi="Arial" w:cs="Arial"/>
                <w:color w:val="auto"/>
                <w:sz w:val="20"/>
              </w:rPr>
              <w:t xml:space="preserve"> </w:t>
            </w:r>
            <w:r w:rsidRPr="00885752">
              <w:rPr>
                <w:rFonts w:ascii="Arial" w:eastAsia="Calibri" w:hAnsi="Arial" w:cs="Arial"/>
                <w:color w:val="auto"/>
                <w:sz w:val="20"/>
              </w:rPr>
              <w:t>2021-2030</w:t>
            </w:r>
            <w:r w:rsidR="00E0659F" w:rsidRPr="00885752">
              <w:rPr>
                <w:rFonts w:ascii="Arial" w:eastAsia="Calibri" w:hAnsi="Arial" w:cs="Arial"/>
                <w:color w:val="auto"/>
                <w:sz w:val="20"/>
              </w:rPr>
              <w:t>.  Ashfield District Council.</w:t>
            </w:r>
          </w:p>
          <w:p w14:paraId="55DA2722" w14:textId="6727A2D5" w:rsidR="003178B5" w:rsidRPr="00885752" w:rsidRDefault="003178B5" w:rsidP="00885752">
            <w:pPr>
              <w:pStyle w:val="ListParagraph"/>
              <w:numPr>
                <w:ilvl w:val="0"/>
                <w:numId w:val="36"/>
              </w:numPr>
              <w:spacing w:after="160" w:line="252" w:lineRule="auto"/>
              <w:rPr>
                <w:rFonts w:ascii="Arial" w:eastAsia="Calibri" w:hAnsi="Arial" w:cs="Arial"/>
                <w:color w:val="auto"/>
                <w:sz w:val="20"/>
              </w:rPr>
            </w:pPr>
            <w:r w:rsidRPr="00885752">
              <w:rPr>
                <w:rFonts w:ascii="Arial" w:eastAsia="Calibri" w:hAnsi="Arial" w:cs="Arial"/>
                <w:color w:val="auto"/>
                <w:sz w:val="20"/>
              </w:rPr>
              <w:t>Sustainability Appraisa</w:t>
            </w:r>
            <w:r w:rsidR="00E0659F" w:rsidRPr="00885752">
              <w:rPr>
                <w:rFonts w:ascii="Arial" w:eastAsia="Calibri" w:hAnsi="Arial" w:cs="Arial"/>
                <w:color w:val="auto"/>
                <w:sz w:val="20"/>
              </w:rPr>
              <w:t>l</w:t>
            </w:r>
            <w:r w:rsidR="00E0659F" w:rsidRPr="00885752">
              <w:rPr>
                <w:rFonts w:ascii="Arial" w:eastAsia="Calibri" w:hAnsi="Arial" w:cs="Arial"/>
                <w:sz w:val="20"/>
              </w:rPr>
              <w:t>, 202</w:t>
            </w:r>
            <w:r w:rsidR="00D022BB" w:rsidRPr="00885752">
              <w:rPr>
                <w:rFonts w:ascii="Arial" w:eastAsia="Calibri" w:hAnsi="Arial" w:cs="Arial"/>
                <w:sz w:val="20"/>
              </w:rPr>
              <w:t>3.</w:t>
            </w:r>
            <w:r w:rsidR="00E0659F" w:rsidRPr="00885752">
              <w:rPr>
                <w:rFonts w:ascii="Arial" w:eastAsia="Calibri" w:hAnsi="Arial" w:cs="Arial"/>
                <w:sz w:val="20"/>
              </w:rPr>
              <w:t xml:space="preserve"> </w:t>
            </w:r>
            <w:r w:rsidR="00D022BB" w:rsidRPr="00885752">
              <w:rPr>
                <w:rFonts w:ascii="Arial" w:eastAsia="Calibri" w:hAnsi="Arial" w:cs="Arial"/>
                <w:sz w:val="20"/>
              </w:rPr>
              <w:t>WSP UK Limited</w:t>
            </w:r>
            <w:r w:rsidR="00E0659F" w:rsidRPr="00885752">
              <w:rPr>
                <w:rFonts w:ascii="Arial" w:eastAsia="Calibri" w:hAnsi="Arial" w:cs="Arial"/>
                <w:sz w:val="20"/>
              </w:rPr>
              <w:t>.</w:t>
            </w:r>
          </w:p>
        </w:tc>
      </w:tr>
      <w:tr w:rsidR="00C474FF" w:rsidRPr="00C474FF" w14:paraId="7506CE84" w14:textId="77777777" w:rsidTr="003C413D">
        <w:tc>
          <w:tcPr>
            <w:tcW w:w="1696" w:type="dxa"/>
            <w:shd w:val="clear" w:color="auto" w:fill="FFFFFF" w:themeFill="background1"/>
          </w:tcPr>
          <w:p w14:paraId="2BA9C630" w14:textId="37637E81" w:rsidR="003178B5" w:rsidRPr="00C474FF" w:rsidRDefault="003178B5" w:rsidP="00433E30">
            <w:pPr>
              <w:keepNext w:val="0"/>
              <w:tabs>
                <w:tab w:val="left" w:pos="680"/>
                <w:tab w:val="left" w:pos="1133"/>
                <w:tab w:val="left" w:pos="2267"/>
              </w:tabs>
              <w:spacing w:before="0"/>
              <w:ind w:right="284"/>
              <w:contextualSpacing/>
              <w:rPr>
                <w:rFonts w:eastAsia="Arial" w:cs="Arial"/>
                <w:bCs/>
                <w:szCs w:val="24"/>
              </w:rPr>
            </w:pPr>
            <w:r w:rsidRPr="00C474FF">
              <w:rPr>
                <w:rFonts w:eastAsia="Arial" w:cs="Arial"/>
                <w:bCs/>
                <w:sz w:val="20"/>
              </w:rPr>
              <w:t xml:space="preserve">National Planning Policy </w:t>
            </w:r>
            <w:r w:rsidR="00B8736C" w:rsidRPr="00C474FF">
              <w:rPr>
                <w:rFonts w:eastAsia="Arial" w:cs="Arial"/>
                <w:bCs/>
                <w:sz w:val="20"/>
              </w:rPr>
              <w:t>and</w:t>
            </w:r>
            <w:r w:rsidRPr="00C474FF">
              <w:rPr>
                <w:rFonts w:eastAsia="Arial" w:cs="Arial"/>
                <w:bCs/>
                <w:sz w:val="20"/>
              </w:rPr>
              <w:t xml:space="preserve"> Guidance</w:t>
            </w:r>
          </w:p>
        </w:tc>
        <w:tc>
          <w:tcPr>
            <w:tcW w:w="7938" w:type="dxa"/>
            <w:gridSpan w:val="2"/>
            <w:shd w:val="clear" w:color="auto" w:fill="FFFFFF" w:themeFill="background1"/>
          </w:tcPr>
          <w:p w14:paraId="433CD8D2" w14:textId="198BA4B5" w:rsidR="003178B5" w:rsidRPr="00C474FF" w:rsidRDefault="00C716F6" w:rsidP="00D01157">
            <w:pPr>
              <w:keepNext w:val="0"/>
              <w:numPr>
                <w:ilvl w:val="0"/>
                <w:numId w:val="35"/>
              </w:numPr>
              <w:tabs>
                <w:tab w:val="left" w:pos="680"/>
                <w:tab w:val="left" w:pos="1133"/>
                <w:tab w:val="left" w:pos="2267"/>
              </w:tabs>
              <w:spacing w:before="0" w:after="160" w:line="252" w:lineRule="auto"/>
              <w:ind w:right="284"/>
              <w:contextualSpacing/>
              <w:rPr>
                <w:rFonts w:eastAsia="Arial" w:cs="Arial"/>
                <w:bCs/>
                <w:sz w:val="20"/>
              </w:rPr>
            </w:pPr>
            <w:r w:rsidRPr="00C474FF">
              <w:rPr>
                <w:rFonts w:eastAsia="Calibri" w:cs="Arial"/>
                <w:bCs/>
                <w:sz w:val="20"/>
                <w:lang w:eastAsia="en-US"/>
              </w:rPr>
              <w:t xml:space="preserve">NPPF </w:t>
            </w:r>
            <w:r w:rsidR="00E0659F" w:rsidRPr="00C474FF">
              <w:rPr>
                <w:rFonts w:eastAsia="Calibri" w:cs="Arial"/>
                <w:bCs/>
                <w:sz w:val="20"/>
                <w:lang w:eastAsia="en-US"/>
              </w:rPr>
              <w:t>20</w:t>
            </w:r>
            <w:r w:rsidR="00AE71BE" w:rsidRPr="00C474FF">
              <w:rPr>
                <w:rFonts w:eastAsia="Calibri" w:cs="Arial"/>
                <w:bCs/>
                <w:sz w:val="20"/>
                <w:lang w:eastAsia="en-US"/>
              </w:rPr>
              <w:t>2</w:t>
            </w:r>
            <w:r w:rsidR="00616B41" w:rsidRPr="00C474FF">
              <w:rPr>
                <w:rFonts w:eastAsia="Calibri" w:cs="Arial"/>
                <w:bCs/>
                <w:sz w:val="20"/>
                <w:lang w:eastAsia="en-US"/>
              </w:rPr>
              <w:t>3</w:t>
            </w:r>
            <w:r w:rsidR="00E0659F" w:rsidRPr="00C474FF">
              <w:rPr>
                <w:rFonts w:eastAsia="Calibri" w:cs="Arial"/>
                <w:bCs/>
                <w:sz w:val="20"/>
                <w:lang w:eastAsia="en-US"/>
              </w:rPr>
              <w:t xml:space="preserve">, </w:t>
            </w:r>
            <w:r w:rsidR="003178B5" w:rsidRPr="00C474FF">
              <w:rPr>
                <w:rFonts w:eastAsia="Calibri" w:cs="Arial"/>
                <w:bCs/>
                <w:sz w:val="20"/>
                <w:lang w:eastAsia="en-US"/>
              </w:rPr>
              <w:t>Part 2</w:t>
            </w:r>
            <w:r w:rsidR="00E0659F" w:rsidRPr="00C474FF">
              <w:rPr>
                <w:rFonts w:eastAsia="Calibri" w:cs="Arial"/>
                <w:bCs/>
                <w:sz w:val="20"/>
                <w:lang w:eastAsia="en-US"/>
              </w:rPr>
              <w:t>:</w:t>
            </w:r>
            <w:r w:rsidR="003178B5" w:rsidRPr="00C474FF">
              <w:rPr>
                <w:rFonts w:eastAsia="Calibri" w:cs="Arial"/>
                <w:bCs/>
                <w:sz w:val="20"/>
                <w:lang w:eastAsia="en-US"/>
              </w:rPr>
              <w:t xml:space="preserve"> Achieving Sustainable Development</w:t>
            </w:r>
            <w:r w:rsidR="00E0659F" w:rsidRPr="00C474FF">
              <w:rPr>
                <w:rFonts w:eastAsia="Calibri" w:cs="Arial"/>
                <w:bCs/>
                <w:sz w:val="20"/>
                <w:lang w:eastAsia="en-US"/>
              </w:rPr>
              <w:t>.</w:t>
            </w:r>
          </w:p>
          <w:p w14:paraId="1056C6C2" w14:textId="685CE8A6" w:rsidR="003178B5" w:rsidRPr="00C474FF" w:rsidRDefault="00C716F6" w:rsidP="00D01157">
            <w:pPr>
              <w:keepNext w:val="0"/>
              <w:numPr>
                <w:ilvl w:val="0"/>
                <w:numId w:val="35"/>
              </w:numPr>
              <w:tabs>
                <w:tab w:val="left" w:pos="680"/>
                <w:tab w:val="left" w:pos="1133"/>
                <w:tab w:val="left" w:pos="2267"/>
              </w:tabs>
              <w:spacing w:before="0" w:after="160" w:line="252" w:lineRule="auto"/>
              <w:ind w:right="284"/>
              <w:contextualSpacing/>
              <w:rPr>
                <w:rFonts w:eastAsia="Arial" w:cs="Arial"/>
                <w:bCs/>
                <w:sz w:val="20"/>
              </w:rPr>
            </w:pPr>
            <w:r w:rsidRPr="00C474FF">
              <w:rPr>
                <w:rFonts w:eastAsia="Calibri" w:cs="Arial"/>
                <w:bCs/>
                <w:sz w:val="20"/>
                <w:lang w:eastAsia="en-US"/>
              </w:rPr>
              <w:t>NPPF</w:t>
            </w:r>
            <w:r w:rsidR="00E0659F" w:rsidRPr="00C474FF">
              <w:rPr>
                <w:rFonts w:eastAsia="Calibri" w:cs="Arial"/>
                <w:bCs/>
                <w:sz w:val="20"/>
                <w:lang w:eastAsia="en-US"/>
              </w:rPr>
              <w:t xml:space="preserve"> 2</w:t>
            </w:r>
            <w:r w:rsidR="00AE71BE" w:rsidRPr="00C474FF">
              <w:rPr>
                <w:rFonts w:eastAsia="Calibri" w:cs="Arial"/>
                <w:bCs/>
                <w:sz w:val="20"/>
                <w:lang w:eastAsia="en-US"/>
              </w:rPr>
              <w:t>02</w:t>
            </w:r>
            <w:r w:rsidR="00616B41" w:rsidRPr="00C474FF">
              <w:rPr>
                <w:rFonts w:eastAsia="Calibri" w:cs="Arial"/>
                <w:bCs/>
                <w:sz w:val="20"/>
                <w:lang w:eastAsia="en-US"/>
              </w:rPr>
              <w:t>3</w:t>
            </w:r>
            <w:r w:rsidR="00E0659F" w:rsidRPr="00C474FF">
              <w:rPr>
                <w:rFonts w:eastAsia="Calibri" w:cs="Arial"/>
                <w:bCs/>
                <w:sz w:val="20"/>
                <w:lang w:eastAsia="en-US"/>
              </w:rPr>
              <w:t xml:space="preserve">, </w:t>
            </w:r>
            <w:r w:rsidRPr="00C474FF">
              <w:rPr>
                <w:rFonts w:eastAsia="Calibri" w:cs="Arial"/>
                <w:bCs/>
                <w:sz w:val="20"/>
                <w:lang w:eastAsia="en-US"/>
              </w:rPr>
              <w:t xml:space="preserve"> </w:t>
            </w:r>
            <w:r w:rsidR="003178B5" w:rsidRPr="00C474FF">
              <w:rPr>
                <w:rFonts w:eastAsia="Calibri" w:cs="Arial"/>
                <w:bCs/>
                <w:sz w:val="20"/>
                <w:lang w:eastAsia="en-US"/>
              </w:rPr>
              <w:t>Part 7</w:t>
            </w:r>
            <w:r w:rsidR="00E0659F" w:rsidRPr="00C474FF">
              <w:rPr>
                <w:rFonts w:eastAsia="Calibri" w:cs="Arial"/>
                <w:bCs/>
                <w:sz w:val="20"/>
                <w:lang w:eastAsia="en-US"/>
              </w:rPr>
              <w:t>:</w:t>
            </w:r>
            <w:r w:rsidR="003178B5" w:rsidRPr="00C474FF">
              <w:rPr>
                <w:rFonts w:eastAsia="Calibri" w:cs="Arial"/>
                <w:bCs/>
                <w:sz w:val="20"/>
                <w:lang w:eastAsia="en-US"/>
              </w:rPr>
              <w:t xml:space="preserve"> Ensuring the vitality of town centres</w:t>
            </w:r>
            <w:r w:rsidR="00E0659F" w:rsidRPr="00C474FF">
              <w:rPr>
                <w:rFonts w:eastAsia="Calibri" w:cs="Arial"/>
                <w:bCs/>
                <w:sz w:val="20"/>
                <w:lang w:eastAsia="en-US"/>
              </w:rPr>
              <w:t>.</w:t>
            </w:r>
          </w:p>
          <w:p w14:paraId="43998EC4" w14:textId="2BA90C65" w:rsidR="000275CC" w:rsidRPr="00C474FF" w:rsidRDefault="003178B5" w:rsidP="001012CC">
            <w:pPr>
              <w:keepNext w:val="0"/>
              <w:numPr>
                <w:ilvl w:val="0"/>
                <w:numId w:val="35"/>
              </w:numPr>
              <w:tabs>
                <w:tab w:val="left" w:pos="680"/>
                <w:tab w:val="left" w:pos="1133"/>
                <w:tab w:val="left" w:pos="2267"/>
              </w:tabs>
              <w:spacing w:before="0" w:after="160" w:line="252" w:lineRule="auto"/>
              <w:ind w:right="284"/>
              <w:contextualSpacing/>
              <w:rPr>
                <w:rFonts w:eastAsia="Arial" w:cs="Arial"/>
                <w:bCs/>
                <w:sz w:val="20"/>
              </w:rPr>
            </w:pPr>
            <w:r w:rsidRPr="00C474FF">
              <w:rPr>
                <w:rFonts w:eastAsia="Arial" w:cs="Arial"/>
                <w:bCs/>
                <w:sz w:val="20"/>
              </w:rPr>
              <w:t>Planning Practice Guidance</w:t>
            </w:r>
            <w:r w:rsidR="00E0659F" w:rsidRPr="00C474FF">
              <w:rPr>
                <w:rFonts w:eastAsia="Arial" w:cs="Arial"/>
                <w:bCs/>
                <w:sz w:val="20"/>
              </w:rPr>
              <w:t>:</w:t>
            </w:r>
            <w:r w:rsidR="00DF3FCE" w:rsidRPr="00C474FF">
              <w:rPr>
                <w:rFonts w:eastAsia="Arial" w:cs="Arial"/>
                <w:bCs/>
                <w:sz w:val="20"/>
              </w:rPr>
              <w:t xml:space="preserve"> </w:t>
            </w:r>
            <w:r w:rsidRPr="00C474FF">
              <w:rPr>
                <w:rFonts w:eastAsia="Arial" w:cs="Arial"/>
                <w:bCs/>
                <w:sz w:val="20"/>
              </w:rPr>
              <w:t>Town centres and retail</w:t>
            </w:r>
            <w:r w:rsidR="00E0659F" w:rsidRPr="00C474FF">
              <w:rPr>
                <w:rFonts w:eastAsia="Arial" w:cs="Arial"/>
                <w:bCs/>
                <w:sz w:val="20"/>
              </w:rPr>
              <w:t xml:space="preserve"> as </w:t>
            </w:r>
            <w:r w:rsidR="009D1815" w:rsidRPr="00C474FF">
              <w:rPr>
                <w:rFonts w:eastAsia="Arial" w:cs="Arial"/>
                <w:bCs/>
                <w:sz w:val="20"/>
              </w:rPr>
              <w:t>of</w:t>
            </w:r>
            <w:r w:rsidR="00E0659F" w:rsidRPr="00C474FF">
              <w:rPr>
                <w:rFonts w:eastAsia="Arial" w:cs="Arial"/>
                <w:bCs/>
                <w:sz w:val="20"/>
              </w:rPr>
              <w:t xml:space="preserve"> </w:t>
            </w:r>
            <w:r w:rsidR="00D022BB" w:rsidRPr="00C474FF">
              <w:rPr>
                <w:rFonts w:eastAsia="Arial" w:cs="Arial"/>
                <w:bCs/>
                <w:sz w:val="20"/>
              </w:rPr>
              <w:t>September 2020</w:t>
            </w:r>
            <w:r w:rsidR="00E0659F" w:rsidRPr="00C474FF">
              <w:rPr>
                <w:rFonts w:eastAsia="Arial" w:cs="Arial"/>
                <w:bCs/>
                <w:sz w:val="20"/>
              </w:rPr>
              <w:t>.</w:t>
            </w:r>
          </w:p>
        </w:tc>
      </w:tr>
    </w:tbl>
    <w:p w14:paraId="752E2C4B" w14:textId="77777777" w:rsidR="005F229B" w:rsidRPr="00C474FF" w:rsidRDefault="005F229B" w:rsidP="00F11936">
      <w:pPr>
        <w:keepNext w:val="0"/>
        <w:spacing w:before="0"/>
        <w:rPr>
          <w:rFonts w:cs="Arial"/>
          <w:b/>
          <w:bCs/>
          <w:sz w:val="28"/>
          <w:szCs w:val="28"/>
          <w:lang w:eastAsia="en-US"/>
        </w:rPr>
      </w:pPr>
    </w:p>
    <w:p w14:paraId="4AE9E560" w14:textId="57F8321E" w:rsidR="005B2834" w:rsidRPr="003C7E62" w:rsidRDefault="003178B5" w:rsidP="00874A98">
      <w:pPr>
        <w:keepNext w:val="0"/>
        <w:numPr>
          <w:ilvl w:val="1"/>
          <w:numId w:val="103"/>
        </w:numPr>
        <w:spacing w:before="0"/>
        <w:ind w:left="851" w:hanging="851"/>
        <w:rPr>
          <w:rFonts w:cs="Arial"/>
          <w:color w:val="auto"/>
          <w:szCs w:val="24"/>
          <w:lang w:eastAsia="en-US"/>
        </w:rPr>
      </w:pPr>
      <w:r w:rsidRPr="003C7E62">
        <w:rPr>
          <w:rFonts w:eastAsia="Arial" w:cs="Arial"/>
          <w:color w:val="auto"/>
          <w:szCs w:val="24"/>
        </w:rPr>
        <w:t>Vibrant and viable town centres play an important role in supporting the District’s communities, providing jobs, services and facilities. They play a key role in delivering sustainable development and the Local Plan will seek to ensure all the District’s centres are enhanced during the Plan period, through the development and growth of appropriate town centre uses. To further guide development across the three town centres, the Council has undertaken revisions to existing masterplans</w:t>
      </w:r>
      <w:r w:rsidR="004E3862" w:rsidRPr="003C7E62">
        <w:rPr>
          <w:rFonts w:eastAsia="Arial" w:cs="Arial"/>
          <w:color w:val="auto"/>
          <w:szCs w:val="24"/>
        </w:rPr>
        <w:t xml:space="preserve"> (2010).  </w:t>
      </w:r>
      <w:r w:rsidRPr="003C7E62">
        <w:rPr>
          <w:rFonts w:eastAsia="Arial" w:cs="Arial"/>
          <w:color w:val="auto"/>
          <w:szCs w:val="24"/>
        </w:rPr>
        <w:t xml:space="preserve">The local plan reflects the NPPF which places an emphasis on a strong town centre first approach to the development of town centre uses. </w:t>
      </w:r>
    </w:p>
    <w:p w14:paraId="6B4EF8AA" w14:textId="3B77C5B0" w:rsidR="00B313DE" w:rsidRPr="003C7E62" w:rsidRDefault="00B313DE" w:rsidP="00F11936">
      <w:pPr>
        <w:keepNext w:val="0"/>
        <w:spacing w:before="0"/>
        <w:ind w:left="851"/>
        <w:rPr>
          <w:rFonts w:cs="Arial"/>
          <w:color w:val="auto"/>
          <w:sz w:val="23"/>
          <w:szCs w:val="23"/>
        </w:rPr>
      </w:pPr>
    </w:p>
    <w:p w14:paraId="2C155137" w14:textId="2EBA591F" w:rsidR="00DD5921" w:rsidRPr="003C7E62" w:rsidRDefault="003178B5" w:rsidP="00874A98">
      <w:pPr>
        <w:keepNext w:val="0"/>
        <w:numPr>
          <w:ilvl w:val="1"/>
          <w:numId w:val="103"/>
        </w:numPr>
        <w:spacing w:before="0"/>
        <w:ind w:left="851" w:hanging="851"/>
        <w:rPr>
          <w:rFonts w:cs="Arial"/>
          <w:color w:val="auto"/>
          <w:szCs w:val="24"/>
        </w:rPr>
      </w:pPr>
      <w:r w:rsidRPr="003C7E62">
        <w:rPr>
          <w:rFonts w:cs="Arial"/>
          <w:color w:val="auto"/>
          <w:szCs w:val="24"/>
        </w:rPr>
        <w:t xml:space="preserve">Sutton in Ashfield is a traditional town centre with a good mix of national and independent retailers, along with an indoor shopping centre, leisure centre and a market. It is the largest </w:t>
      </w:r>
      <w:r w:rsidR="005B2834" w:rsidRPr="003C7E62">
        <w:rPr>
          <w:rFonts w:cs="Arial"/>
          <w:color w:val="auto"/>
          <w:szCs w:val="24"/>
        </w:rPr>
        <w:t xml:space="preserve">retail </w:t>
      </w:r>
      <w:r w:rsidRPr="003C7E62">
        <w:rPr>
          <w:rFonts w:cs="Arial"/>
          <w:color w:val="auto"/>
          <w:szCs w:val="24"/>
        </w:rPr>
        <w:t>centre within Ashfield District and is generally well used by the resident population. The historic core of the centre is designated as a conservation area. The Sutton in Ashfield Spatial Masterplan sets out the framework for future investment and development</w:t>
      </w:r>
      <w:r w:rsidR="005B2834" w:rsidRPr="003C7E62">
        <w:rPr>
          <w:rFonts w:cs="Arial"/>
          <w:color w:val="auto"/>
          <w:szCs w:val="24"/>
        </w:rPr>
        <w:t xml:space="preserve"> </w:t>
      </w:r>
      <w:r w:rsidR="005B2834" w:rsidRPr="00433E30">
        <w:rPr>
          <w:rFonts w:cs="Arial"/>
          <w:color w:val="auto"/>
          <w:szCs w:val="24"/>
        </w:rPr>
        <w:t>(</w:t>
      </w:r>
      <w:r w:rsidR="00433E30" w:rsidRPr="00433E30">
        <w:rPr>
          <w:rFonts w:cs="Arial"/>
          <w:color w:val="auto"/>
          <w:szCs w:val="24"/>
        </w:rPr>
        <w:t>F</w:t>
      </w:r>
      <w:r w:rsidR="005B2834" w:rsidRPr="00433E30">
        <w:rPr>
          <w:rFonts w:cs="Arial"/>
          <w:color w:val="auto"/>
          <w:szCs w:val="24"/>
        </w:rPr>
        <w:t xml:space="preserve">igure </w:t>
      </w:r>
      <w:r w:rsidR="00E3260E">
        <w:rPr>
          <w:rFonts w:cs="Arial"/>
          <w:color w:val="auto"/>
          <w:szCs w:val="24"/>
        </w:rPr>
        <w:t>6</w:t>
      </w:r>
      <w:r w:rsidR="00433E30" w:rsidRPr="00433E30">
        <w:rPr>
          <w:rFonts w:cs="Arial"/>
          <w:color w:val="auto"/>
          <w:szCs w:val="24"/>
        </w:rPr>
        <w:t xml:space="preserve"> </w:t>
      </w:r>
      <w:r w:rsidR="005B2834" w:rsidRPr="00433E30">
        <w:rPr>
          <w:rFonts w:cs="Arial"/>
          <w:color w:val="auto"/>
          <w:szCs w:val="24"/>
        </w:rPr>
        <w:t>below)</w:t>
      </w:r>
      <w:r w:rsidR="00DD5921" w:rsidRPr="00433E30">
        <w:rPr>
          <w:rFonts w:cs="Arial"/>
          <w:color w:val="auto"/>
          <w:szCs w:val="24"/>
        </w:rPr>
        <w:t>.</w:t>
      </w:r>
    </w:p>
    <w:p w14:paraId="12CF887D" w14:textId="77777777" w:rsidR="00B313DE" w:rsidRDefault="00B313DE" w:rsidP="00F11936">
      <w:pPr>
        <w:spacing w:before="0"/>
        <w:rPr>
          <w:rFonts w:cs="Arial"/>
          <w:color w:val="auto"/>
          <w:szCs w:val="24"/>
        </w:rPr>
      </w:pPr>
    </w:p>
    <w:p w14:paraId="20AFC8E9" w14:textId="77777777" w:rsidR="00EC4D30" w:rsidRPr="003C7E62" w:rsidRDefault="00EC4D30" w:rsidP="00EC4D30">
      <w:pPr>
        <w:keepNext w:val="0"/>
        <w:spacing w:before="0"/>
        <w:jc w:val="center"/>
        <w:rPr>
          <w:rFonts w:cs="Arial"/>
          <w:color w:val="auto"/>
          <w:sz w:val="23"/>
          <w:szCs w:val="23"/>
        </w:rPr>
      </w:pPr>
      <w:r w:rsidRPr="003C7E62">
        <w:rPr>
          <w:rFonts w:eastAsia="Arial" w:cs="Arial"/>
          <w:noProof/>
          <w:color w:val="auto"/>
          <w:sz w:val="28"/>
          <w:szCs w:val="22"/>
        </w:rPr>
        <w:drawing>
          <wp:inline distT="0" distB="0" distL="0" distR="0" wp14:anchorId="2C24E6C0" wp14:editId="1EB52F04">
            <wp:extent cx="4396960" cy="6277211"/>
            <wp:effectExtent l="12382" t="25718" r="16193" b="16192"/>
            <wp:docPr id="8" name="Picture 8" descr="Figure 11: Sutton in Ashfield Town Centre Concept Plan &#10;Source Sutton in Ashfield Masterplan, 201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Figure 11: Sutton in Ashfield Town Centre Concept Plan &#10;Source Sutton in Ashfield Masterplan, 2019&#10;"/>
                    <pic:cNvPicPr>
                      <a:picLocks noChangeAspect="1" noChangeArrowheads="1"/>
                    </pic:cNvPicPr>
                  </pic:nvPicPr>
                  <pic:blipFill rotWithShape="1">
                    <a:blip r:embed="rId24">
                      <a:extLst>
                        <a:ext uri="{28A0092B-C50C-407E-A947-70E740481C1C}">
                          <a14:useLocalDpi xmlns:a14="http://schemas.microsoft.com/office/drawing/2010/main" val="0"/>
                        </a:ext>
                      </a:extLst>
                    </a:blip>
                    <a:srcRect l="959"/>
                    <a:stretch/>
                  </pic:blipFill>
                  <pic:spPr bwMode="auto">
                    <a:xfrm rot="5400000">
                      <a:off x="0" y="0"/>
                      <a:ext cx="4428376" cy="6322061"/>
                    </a:xfrm>
                    <a:prstGeom prst="rect">
                      <a:avLst/>
                    </a:prstGeom>
                    <a:noFill/>
                    <a:ln w="317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5C8A192" w14:textId="2B0224B8" w:rsidR="00EC4D30" w:rsidRPr="00433E30" w:rsidRDefault="00EC4D30" w:rsidP="002430A6">
      <w:pPr>
        <w:pStyle w:val="Heading3"/>
        <w:ind w:firstLine="0"/>
      </w:pPr>
      <w:r w:rsidRPr="00433E30">
        <w:t xml:space="preserve">Figure </w:t>
      </w:r>
      <w:r w:rsidR="00E3260E">
        <w:t>6</w:t>
      </w:r>
      <w:r w:rsidRPr="00433E30">
        <w:t xml:space="preserve">: Sutton in Ashfield Town Centre Concept Plan </w:t>
      </w:r>
    </w:p>
    <w:p w14:paraId="6CEB3F5E" w14:textId="77777777" w:rsidR="00EC4D30" w:rsidRPr="00433E30" w:rsidRDefault="00EC4D30" w:rsidP="00EC4D30">
      <w:pPr>
        <w:keepNext w:val="0"/>
        <w:spacing w:before="0"/>
        <w:rPr>
          <w:rFonts w:cs="Arial"/>
          <w:color w:val="auto"/>
          <w:sz w:val="20"/>
        </w:rPr>
      </w:pPr>
      <w:r w:rsidRPr="00433E30">
        <w:rPr>
          <w:rFonts w:cs="Arial"/>
          <w:color w:val="auto"/>
          <w:sz w:val="20"/>
        </w:rPr>
        <w:t>Source Sutton in Ashfield Masterplan, 2019</w:t>
      </w:r>
    </w:p>
    <w:p w14:paraId="555E8B04" w14:textId="77777777" w:rsidR="00EC4D30" w:rsidRDefault="00EC4D30" w:rsidP="00F11936">
      <w:pPr>
        <w:spacing w:before="0"/>
        <w:rPr>
          <w:rFonts w:cs="Arial"/>
          <w:color w:val="auto"/>
          <w:szCs w:val="24"/>
        </w:rPr>
      </w:pPr>
    </w:p>
    <w:p w14:paraId="65E1633A" w14:textId="77777777" w:rsidR="002430A6" w:rsidRPr="003C7E62" w:rsidRDefault="002430A6" w:rsidP="00F11936">
      <w:pPr>
        <w:spacing w:before="0"/>
        <w:rPr>
          <w:rFonts w:cs="Arial"/>
          <w:color w:val="auto"/>
          <w:szCs w:val="24"/>
        </w:rPr>
      </w:pPr>
    </w:p>
    <w:p w14:paraId="12DA8490" w14:textId="24553A3B" w:rsidR="00B313DE" w:rsidRPr="003C7E62" w:rsidRDefault="00B313DE" w:rsidP="00874A98">
      <w:pPr>
        <w:keepNext w:val="0"/>
        <w:numPr>
          <w:ilvl w:val="1"/>
          <w:numId w:val="103"/>
        </w:numPr>
        <w:autoSpaceDE w:val="0"/>
        <w:autoSpaceDN w:val="0"/>
        <w:adjustRightInd w:val="0"/>
        <w:spacing w:before="0"/>
        <w:ind w:left="851" w:hanging="851"/>
        <w:rPr>
          <w:rFonts w:eastAsia="Arial" w:cs="Arial"/>
          <w:color w:val="auto"/>
          <w:szCs w:val="24"/>
        </w:rPr>
      </w:pPr>
      <w:r w:rsidRPr="003C7E62">
        <w:rPr>
          <w:rFonts w:eastAsia="Arial" w:cs="Arial"/>
          <w:color w:val="auto"/>
          <w:szCs w:val="24"/>
        </w:rPr>
        <w:t>Kirkby-in-Ashfield is a traditional small, town centre dominated by independent retailers, with a small number of</w:t>
      </w:r>
      <w:r w:rsidRPr="003C7E62">
        <w:rPr>
          <w:rFonts w:cs="Arial"/>
          <w:color w:val="auto"/>
          <w:szCs w:val="24"/>
        </w:rPr>
        <w:t xml:space="preserve"> </w:t>
      </w:r>
      <w:r w:rsidRPr="003C7E62">
        <w:rPr>
          <w:rFonts w:eastAsia="Arial" w:cs="Arial"/>
          <w:color w:val="auto"/>
          <w:szCs w:val="24"/>
        </w:rPr>
        <w:t xml:space="preserve">national operators and a small market operating on a number of days. It is generally used by the local resident population and workers. Substantial funding has already been invested in Kirkby Town Centre in improving the public realm through the civic square and the construction of a new leisure </w:t>
      </w:r>
      <w:r w:rsidRPr="00433E30">
        <w:rPr>
          <w:rFonts w:eastAsia="Arial" w:cs="Arial"/>
          <w:color w:val="auto"/>
          <w:szCs w:val="24"/>
        </w:rPr>
        <w:t>centre (</w:t>
      </w:r>
      <w:r w:rsidR="00433E30" w:rsidRPr="00433E30">
        <w:rPr>
          <w:rFonts w:eastAsia="Arial" w:cs="Arial"/>
          <w:color w:val="auto"/>
          <w:szCs w:val="24"/>
        </w:rPr>
        <w:t>F</w:t>
      </w:r>
      <w:r w:rsidRPr="00433E30">
        <w:rPr>
          <w:rFonts w:eastAsia="Arial" w:cs="Arial"/>
          <w:color w:val="auto"/>
          <w:szCs w:val="24"/>
        </w:rPr>
        <w:t xml:space="preserve">igure </w:t>
      </w:r>
      <w:r w:rsidR="00E3260E">
        <w:rPr>
          <w:rFonts w:eastAsia="Arial" w:cs="Arial"/>
          <w:color w:val="auto"/>
          <w:szCs w:val="24"/>
        </w:rPr>
        <w:t>7</w:t>
      </w:r>
      <w:r w:rsidRPr="00433E30">
        <w:rPr>
          <w:rFonts w:eastAsia="Arial" w:cs="Arial"/>
          <w:color w:val="auto"/>
          <w:szCs w:val="24"/>
        </w:rPr>
        <w:t xml:space="preserve"> below</w:t>
      </w:r>
      <w:r w:rsidRPr="003C7E62">
        <w:rPr>
          <w:rFonts w:eastAsia="Arial" w:cs="Arial"/>
          <w:color w:val="auto"/>
          <w:szCs w:val="24"/>
        </w:rPr>
        <w:t xml:space="preserve">) </w:t>
      </w:r>
    </w:p>
    <w:p w14:paraId="41FC9B09" w14:textId="77777777" w:rsidR="00052A69" w:rsidRPr="003C7E62" w:rsidRDefault="00052A69" w:rsidP="00F11936">
      <w:pPr>
        <w:pStyle w:val="ListParagraph"/>
        <w:spacing w:after="0" w:line="240" w:lineRule="auto"/>
        <w:rPr>
          <w:rFonts w:ascii="Arial" w:eastAsia="Arial" w:hAnsi="Arial" w:cs="Arial"/>
          <w:color w:val="auto"/>
          <w:szCs w:val="24"/>
        </w:rPr>
      </w:pPr>
    </w:p>
    <w:p w14:paraId="7C768A84" w14:textId="77777777" w:rsidR="00052A69" w:rsidRPr="00E3260E" w:rsidRDefault="00052A69" w:rsidP="00874A98">
      <w:pPr>
        <w:keepNext w:val="0"/>
        <w:numPr>
          <w:ilvl w:val="1"/>
          <w:numId w:val="103"/>
        </w:numPr>
        <w:autoSpaceDE w:val="0"/>
        <w:autoSpaceDN w:val="0"/>
        <w:adjustRightInd w:val="0"/>
        <w:spacing w:before="0"/>
        <w:ind w:left="851" w:hanging="851"/>
        <w:rPr>
          <w:rFonts w:eastAsia="Arial" w:cs="Arial"/>
          <w:color w:val="auto"/>
          <w:szCs w:val="24"/>
        </w:rPr>
      </w:pPr>
      <w:r w:rsidRPr="003C7E62">
        <w:rPr>
          <w:rFonts w:cs="Arial"/>
          <w:color w:val="282828"/>
          <w:shd w:val="clear" w:color="auto" w:fill="FFFFFF"/>
        </w:rPr>
        <w:t>The successful bid for £62.6m from the Towns Fund for Sutton in Ashfield and Kirkby-in-Ashfield provides substantial opportunities to create sustainable change across the Kirkby and Sutton area and their respective town centres</w:t>
      </w:r>
      <w:r w:rsidRPr="00E3260E">
        <w:rPr>
          <w:rFonts w:cs="Arial"/>
          <w:color w:val="auto"/>
          <w:shd w:val="clear" w:color="auto" w:fill="FFFFFF"/>
        </w:rPr>
        <w:t>.</w:t>
      </w:r>
    </w:p>
    <w:p w14:paraId="42FB691F" w14:textId="77777777" w:rsidR="00052A69" w:rsidRPr="003C7E62" w:rsidRDefault="00052A69" w:rsidP="00F11936">
      <w:pPr>
        <w:keepNext w:val="0"/>
        <w:autoSpaceDE w:val="0"/>
        <w:autoSpaceDN w:val="0"/>
        <w:adjustRightInd w:val="0"/>
        <w:spacing w:before="0"/>
        <w:ind w:left="851"/>
        <w:rPr>
          <w:rFonts w:eastAsia="Arial" w:cs="Arial"/>
          <w:color w:val="auto"/>
          <w:szCs w:val="24"/>
        </w:rPr>
      </w:pPr>
    </w:p>
    <w:p w14:paraId="6F4D0E94" w14:textId="3935621F" w:rsidR="006971C4" w:rsidRPr="003C7E62" w:rsidRDefault="00B313DE" w:rsidP="006971C4">
      <w:pPr>
        <w:keepNext w:val="0"/>
        <w:autoSpaceDE w:val="0"/>
        <w:autoSpaceDN w:val="0"/>
        <w:adjustRightInd w:val="0"/>
        <w:spacing w:before="0"/>
        <w:rPr>
          <w:rFonts w:eastAsia="Arial" w:cs="Arial"/>
          <w:color w:val="FF0000"/>
          <w:szCs w:val="24"/>
        </w:rPr>
      </w:pPr>
      <w:r w:rsidRPr="003C7E62">
        <w:rPr>
          <w:rFonts w:eastAsia="Calibri" w:cs="Arial"/>
          <w:noProof/>
          <w:color w:val="auto"/>
          <w:sz w:val="22"/>
        </w:rPr>
        <w:drawing>
          <wp:inline distT="0" distB="0" distL="0" distR="0" wp14:anchorId="113E666D" wp14:editId="112E61CA">
            <wp:extent cx="6260506" cy="3403600"/>
            <wp:effectExtent l="19050" t="19050" r="26035" b="25400"/>
            <wp:docPr id="53" name="Picture 53" descr="Figure 12: Kirkby-in-Ashfield Concept Plan &#10;Source: Kirkby-in-Ashfield Masterplan, 202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Figure 12: Kirkby-in-Ashfield Concept Plan &#10;Source: Kirkby-in-Ashfield Masterplan, 2021&#10;"/>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6298" t="15700" r="4278" b="15531"/>
                    <a:stretch/>
                  </pic:blipFill>
                  <pic:spPr bwMode="auto">
                    <a:xfrm>
                      <a:off x="0" y="0"/>
                      <a:ext cx="6270163" cy="3408850"/>
                    </a:xfrm>
                    <a:prstGeom prst="rect">
                      <a:avLst/>
                    </a:prstGeom>
                    <a:noFill/>
                    <a:ln w="3175">
                      <a:solidFill>
                        <a:schemeClr val="tx1"/>
                      </a:solidFill>
                    </a:ln>
                    <a:extLst>
                      <a:ext uri="{53640926-AAD7-44D8-BBD7-CCE9431645EC}">
                        <a14:shadowObscured xmlns:a14="http://schemas.microsoft.com/office/drawing/2010/main"/>
                      </a:ext>
                    </a:extLst>
                  </pic:spPr>
                </pic:pic>
              </a:graphicData>
            </a:graphic>
          </wp:inline>
        </w:drawing>
      </w:r>
    </w:p>
    <w:p w14:paraId="61A56672" w14:textId="534DC22D" w:rsidR="00433E30" w:rsidRPr="00433E30" w:rsidRDefault="00052A69" w:rsidP="002430A6">
      <w:pPr>
        <w:pStyle w:val="Heading3"/>
        <w:ind w:firstLine="0"/>
      </w:pPr>
      <w:r w:rsidRPr="00433E30">
        <w:t xml:space="preserve">Figure </w:t>
      </w:r>
      <w:r w:rsidR="00E3260E">
        <w:t>7</w:t>
      </w:r>
      <w:r w:rsidRPr="00433E30">
        <w:t>: Kirkby</w:t>
      </w:r>
      <w:r w:rsidR="00433E30" w:rsidRPr="00433E30">
        <w:t>-</w:t>
      </w:r>
      <w:r w:rsidRPr="00433E30">
        <w:t>in</w:t>
      </w:r>
      <w:r w:rsidR="00433E30" w:rsidRPr="00433E30">
        <w:t>-</w:t>
      </w:r>
      <w:r w:rsidRPr="00433E30">
        <w:t xml:space="preserve">Ashfield Concept Plan </w:t>
      </w:r>
    </w:p>
    <w:p w14:paraId="2E29FCED" w14:textId="4D2D0801" w:rsidR="006971C4" w:rsidRDefault="00433E30" w:rsidP="00AB6F9F">
      <w:pPr>
        <w:keepNext w:val="0"/>
        <w:autoSpaceDE w:val="0"/>
        <w:autoSpaceDN w:val="0"/>
        <w:adjustRightInd w:val="0"/>
        <w:spacing w:before="0"/>
        <w:rPr>
          <w:rFonts w:eastAsia="Arial" w:cs="Arial"/>
          <w:color w:val="auto"/>
          <w:szCs w:val="24"/>
        </w:rPr>
      </w:pPr>
      <w:r w:rsidRPr="00433E30">
        <w:rPr>
          <w:rFonts w:eastAsia="Arial" w:cs="Arial"/>
          <w:color w:val="auto"/>
          <w:szCs w:val="24"/>
        </w:rPr>
        <w:t>S</w:t>
      </w:r>
      <w:r w:rsidR="00052A69" w:rsidRPr="00433E30">
        <w:rPr>
          <w:rFonts w:eastAsia="Arial" w:cs="Arial"/>
          <w:color w:val="auto"/>
          <w:szCs w:val="24"/>
        </w:rPr>
        <w:t>ource</w:t>
      </w:r>
      <w:r w:rsidR="00EE6AB2">
        <w:rPr>
          <w:rFonts w:eastAsia="Arial" w:cs="Arial"/>
          <w:color w:val="auto"/>
          <w:szCs w:val="24"/>
        </w:rPr>
        <w:t>:</w:t>
      </w:r>
      <w:r w:rsidR="00052A69" w:rsidRPr="00433E30">
        <w:rPr>
          <w:rFonts w:eastAsia="Arial" w:cs="Arial"/>
          <w:color w:val="auto"/>
          <w:szCs w:val="24"/>
        </w:rPr>
        <w:t xml:space="preserve"> Kirkby</w:t>
      </w:r>
      <w:r w:rsidRPr="00433E30">
        <w:rPr>
          <w:rFonts w:eastAsia="Arial" w:cs="Arial"/>
          <w:color w:val="auto"/>
          <w:szCs w:val="24"/>
        </w:rPr>
        <w:t>-</w:t>
      </w:r>
      <w:r w:rsidR="00052A69" w:rsidRPr="00433E30">
        <w:rPr>
          <w:rFonts w:eastAsia="Arial" w:cs="Arial"/>
          <w:color w:val="auto"/>
          <w:szCs w:val="24"/>
        </w:rPr>
        <w:t>in</w:t>
      </w:r>
      <w:r w:rsidRPr="00433E30">
        <w:rPr>
          <w:rFonts w:eastAsia="Arial" w:cs="Arial"/>
          <w:color w:val="auto"/>
          <w:szCs w:val="24"/>
        </w:rPr>
        <w:t>-</w:t>
      </w:r>
      <w:r w:rsidR="00052A69" w:rsidRPr="00433E30">
        <w:rPr>
          <w:rFonts w:eastAsia="Arial" w:cs="Arial"/>
          <w:color w:val="auto"/>
          <w:szCs w:val="24"/>
        </w:rPr>
        <w:t xml:space="preserve">Ashfield Masterplan, </w:t>
      </w:r>
      <w:r w:rsidRPr="00433E30">
        <w:rPr>
          <w:rFonts w:eastAsia="Arial" w:cs="Arial"/>
          <w:color w:val="auto"/>
          <w:szCs w:val="24"/>
        </w:rPr>
        <w:t>2021</w:t>
      </w:r>
    </w:p>
    <w:p w14:paraId="06A08553" w14:textId="572764E4" w:rsidR="00433E30" w:rsidRDefault="00433E30" w:rsidP="00AB6F9F">
      <w:pPr>
        <w:keepNext w:val="0"/>
        <w:autoSpaceDE w:val="0"/>
        <w:autoSpaceDN w:val="0"/>
        <w:adjustRightInd w:val="0"/>
        <w:spacing w:before="0"/>
        <w:rPr>
          <w:rFonts w:eastAsia="Arial" w:cs="Arial"/>
          <w:color w:val="auto"/>
          <w:szCs w:val="24"/>
        </w:rPr>
      </w:pPr>
    </w:p>
    <w:p w14:paraId="5529802A" w14:textId="77777777" w:rsidR="00433E30" w:rsidRPr="003C7E62" w:rsidRDefault="00433E30" w:rsidP="00AB6F9F">
      <w:pPr>
        <w:keepNext w:val="0"/>
        <w:autoSpaceDE w:val="0"/>
        <w:autoSpaceDN w:val="0"/>
        <w:adjustRightInd w:val="0"/>
        <w:spacing w:before="0"/>
        <w:rPr>
          <w:rFonts w:eastAsia="Arial" w:cs="Arial"/>
          <w:color w:val="auto"/>
          <w:szCs w:val="24"/>
        </w:rPr>
      </w:pPr>
    </w:p>
    <w:p w14:paraId="452F5FD8" w14:textId="373F1081" w:rsidR="00AB6F9F" w:rsidRPr="000275CC" w:rsidRDefault="003178B5" w:rsidP="00874A98">
      <w:pPr>
        <w:keepNext w:val="0"/>
        <w:numPr>
          <w:ilvl w:val="1"/>
          <w:numId w:val="103"/>
        </w:numPr>
        <w:autoSpaceDE w:val="0"/>
        <w:autoSpaceDN w:val="0"/>
        <w:adjustRightInd w:val="0"/>
        <w:spacing w:before="0"/>
        <w:ind w:left="851" w:hanging="851"/>
        <w:rPr>
          <w:rFonts w:eastAsia="Arial" w:cs="Arial"/>
          <w:color w:val="auto"/>
          <w:szCs w:val="24"/>
        </w:rPr>
      </w:pPr>
      <w:r w:rsidRPr="003C7E62">
        <w:rPr>
          <w:rFonts w:eastAsia="Calibri" w:cs="Arial"/>
          <w:szCs w:val="24"/>
        </w:rPr>
        <w:t>Hucknall is a traditional town centre with a good mix of national and independent retailers, along with a weekly outdoor market. It is the second largest retail centre in the Ashfield District and is generally well used by local residents. The relocation of the market and pedestrianisation of the High Street has facilitate</w:t>
      </w:r>
      <w:r w:rsidR="00AB6F9F" w:rsidRPr="003C7E62">
        <w:rPr>
          <w:rFonts w:eastAsia="Calibri" w:cs="Arial"/>
          <w:szCs w:val="24"/>
        </w:rPr>
        <w:t>d</w:t>
      </w:r>
      <w:r w:rsidRPr="003C7E62">
        <w:rPr>
          <w:rFonts w:eastAsia="Calibri" w:cs="Arial"/>
          <w:szCs w:val="24"/>
        </w:rPr>
        <w:t xml:space="preserve"> pedestrian access to help support Hucknall’s primary shopping area.  A substantial part of the Town Centre is designated as a Conservation Area.  </w:t>
      </w:r>
      <w:r w:rsidRPr="003C7E62">
        <w:rPr>
          <w:rFonts w:cs="Arial"/>
          <w:color w:val="auto"/>
          <w:szCs w:val="24"/>
        </w:rPr>
        <w:t>The Hucknall Town Centre Spatial Masterplan sets out the framework for future investment and development</w:t>
      </w:r>
      <w:r w:rsidR="006971C4" w:rsidRPr="003C7E62">
        <w:rPr>
          <w:rFonts w:cs="Arial"/>
          <w:color w:val="auto"/>
          <w:szCs w:val="24"/>
        </w:rPr>
        <w:t xml:space="preserve"> </w:t>
      </w:r>
      <w:r w:rsidRPr="003C7E62">
        <w:rPr>
          <w:rFonts w:cs="Arial"/>
          <w:color w:val="auto"/>
          <w:szCs w:val="24"/>
        </w:rPr>
        <w:t>of the Town Centre</w:t>
      </w:r>
      <w:r w:rsidR="000275CC">
        <w:rPr>
          <w:rFonts w:cs="Arial"/>
          <w:color w:val="auto"/>
          <w:szCs w:val="24"/>
        </w:rPr>
        <w:t xml:space="preserve"> (Figure </w:t>
      </w:r>
      <w:r w:rsidR="00E3260E">
        <w:rPr>
          <w:rFonts w:cs="Arial"/>
          <w:color w:val="auto"/>
          <w:szCs w:val="24"/>
        </w:rPr>
        <w:t>8</w:t>
      </w:r>
      <w:r w:rsidR="000275CC">
        <w:rPr>
          <w:rFonts w:cs="Arial"/>
          <w:color w:val="auto"/>
          <w:szCs w:val="24"/>
        </w:rPr>
        <w:t xml:space="preserve"> below)</w:t>
      </w:r>
      <w:r w:rsidRPr="003C7E62">
        <w:rPr>
          <w:rFonts w:cs="Arial"/>
          <w:color w:val="auto"/>
          <w:szCs w:val="24"/>
        </w:rPr>
        <w:t>.</w:t>
      </w:r>
    </w:p>
    <w:p w14:paraId="08E23B1C" w14:textId="77777777" w:rsidR="000275CC" w:rsidRDefault="000275CC" w:rsidP="000275CC">
      <w:pPr>
        <w:keepNext w:val="0"/>
        <w:autoSpaceDE w:val="0"/>
        <w:autoSpaceDN w:val="0"/>
        <w:adjustRightInd w:val="0"/>
        <w:spacing w:before="0"/>
        <w:rPr>
          <w:rFonts w:eastAsia="Arial" w:cs="Arial"/>
          <w:color w:val="auto"/>
          <w:szCs w:val="24"/>
        </w:rPr>
      </w:pPr>
    </w:p>
    <w:p w14:paraId="78FFD8BF" w14:textId="2C3189D8" w:rsidR="000275CC" w:rsidRDefault="000275CC" w:rsidP="000275CC">
      <w:pPr>
        <w:keepNext w:val="0"/>
        <w:autoSpaceDE w:val="0"/>
        <w:autoSpaceDN w:val="0"/>
        <w:adjustRightInd w:val="0"/>
        <w:spacing w:before="0"/>
        <w:rPr>
          <w:rFonts w:eastAsia="Arial" w:cs="Arial"/>
          <w:color w:val="auto"/>
          <w:szCs w:val="24"/>
        </w:rPr>
      </w:pPr>
      <w:r w:rsidRPr="000275CC">
        <w:rPr>
          <w:rFonts w:eastAsia="Arial" w:cs="Arial"/>
          <w:noProof/>
          <w:color w:val="auto"/>
          <w:szCs w:val="24"/>
        </w:rPr>
        <w:drawing>
          <wp:inline distT="0" distB="0" distL="0" distR="0" wp14:anchorId="0381E077" wp14:editId="703143C8">
            <wp:extent cx="6120765" cy="4311015"/>
            <wp:effectExtent l="0" t="0" r="0" b="0"/>
            <wp:docPr id="99034953" name="Picture 1" descr="  Figure 8: Hucknall Priority Areas and Areas of public realm improvements &#10;Source: Hucknall Masterplan, 202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034953" name="Picture 1" descr="  Figure 8: Hucknall Priority Areas and Areas of public realm improvements &#10;Source: Hucknall Masterplan, 2022&#10;"/>
                    <pic:cNvPicPr/>
                  </pic:nvPicPr>
                  <pic:blipFill>
                    <a:blip r:embed="rId26"/>
                    <a:stretch>
                      <a:fillRect/>
                    </a:stretch>
                  </pic:blipFill>
                  <pic:spPr>
                    <a:xfrm>
                      <a:off x="0" y="0"/>
                      <a:ext cx="6120765" cy="4311015"/>
                    </a:xfrm>
                    <a:prstGeom prst="rect">
                      <a:avLst/>
                    </a:prstGeom>
                  </pic:spPr>
                </pic:pic>
              </a:graphicData>
            </a:graphic>
          </wp:inline>
        </w:drawing>
      </w:r>
    </w:p>
    <w:p w14:paraId="54E58317" w14:textId="683E7A47" w:rsidR="000275CC" w:rsidRPr="00433E30" w:rsidRDefault="002430A6" w:rsidP="002430A6">
      <w:pPr>
        <w:pStyle w:val="Heading3"/>
        <w:ind w:firstLine="0"/>
      </w:pPr>
      <w:bookmarkStart w:id="106" w:name="_Hlk148436291"/>
      <w:r>
        <w:t xml:space="preserve">  </w:t>
      </w:r>
      <w:r w:rsidR="000275CC" w:rsidRPr="00433E30">
        <w:t xml:space="preserve">Figure </w:t>
      </w:r>
      <w:r w:rsidR="00E3260E">
        <w:t>8</w:t>
      </w:r>
      <w:r w:rsidR="000275CC" w:rsidRPr="00433E30">
        <w:t xml:space="preserve">: </w:t>
      </w:r>
      <w:r w:rsidR="000275CC">
        <w:t>Hucknall Priority Areas and Areas of public realm improvements</w:t>
      </w:r>
      <w:r w:rsidR="000275CC" w:rsidRPr="00433E30">
        <w:t xml:space="preserve"> </w:t>
      </w:r>
    </w:p>
    <w:p w14:paraId="03E2EBBE" w14:textId="4B68A9D4" w:rsidR="000275CC" w:rsidRDefault="000275CC" w:rsidP="00E3260E">
      <w:pPr>
        <w:keepNext w:val="0"/>
        <w:autoSpaceDE w:val="0"/>
        <w:autoSpaceDN w:val="0"/>
        <w:adjustRightInd w:val="0"/>
        <w:spacing w:before="0"/>
        <w:ind w:firstLine="142"/>
        <w:rPr>
          <w:rFonts w:eastAsia="Arial" w:cs="Arial"/>
          <w:color w:val="auto"/>
          <w:szCs w:val="24"/>
        </w:rPr>
      </w:pPr>
      <w:r w:rsidRPr="00433E30">
        <w:rPr>
          <w:rFonts w:eastAsia="Arial" w:cs="Arial"/>
          <w:color w:val="auto"/>
          <w:szCs w:val="24"/>
        </w:rPr>
        <w:t>Source</w:t>
      </w:r>
      <w:r>
        <w:rPr>
          <w:rFonts w:eastAsia="Arial" w:cs="Arial"/>
          <w:color w:val="auto"/>
          <w:szCs w:val="24"/>
        </w:rPr>
        <w:t>:</w:t>
      </w:r>
      <w:r w:rsidRPr="00433E30">
        <w:rPr>
          <w:rFonts w:eastAsia="Arial" w:cs="Arial"/>
          <w:color w:val="auto"/>
          <w:szCs w:val="24"/>
        </w:rPr>
        <w:t xml:space="preserve"> </w:t>
      </w:r>
      <w:r>
        <w:rPr>
          <w:rFonts w:eastAsia="Arial" w:cs="Arial"/>
          <w:color w:val="auto"/>
          <w:szCs w:val="24"/>
        </w:rPr>
        <w:t>Hucknall</w:t>
      </w:r>
      <w:r w:rsidRPr="00433E30">
        <w:rPr>
          <w:rFonts w:eastAsia="Arial" w:cs="Arial"/>
          <w:color w:val="auto"/>
          <w:szCs w:val="24"/>
        </w:rPr>
        <w:t xml:space="preserve"> Masterplan, 202</w:t>
      </w:r>
      <w:r>
        <w:rPr>
          <w:rFonts w:eastAsia="Arial" w:cs="Arial"/>
          <w:color w:val="auto"/>
          <w:szCs w:val="24"/>
        </w:rPr>
        <w:t>2</w:t>
      </w:r>
    </w:p>
    <w:bookmarkEnd w:id="106"/>
    <w:p w14:paraId="308B60BE" w14:textId="77777777" w:rsidR="000275CC" w:rsidRPr="003C7E62" w:rsidRDefault="000275CC" w:rsidP="000275CC">
      <w:pPr>
        <w:keepNext w:val="0"/>
        <w:autoSpaceDE w:val="0"/>
        <w:autoSpaceDN w:val="0"/>
        <w:adjustRightInd w:val="0"/>
        <w:spacing w:before="0"/>
        <w:rPr>
          <w:rFonts w:eastAsia="Arial" w:cs="Arial"/>
          <w:color w:val="auto"/>
          <w:szCs w:val="24"/>
        </w:rPr>
      </w:pPr>
    </w:p>
    <w:p w14:paraId="5AEBB13C" w14:textId="77777777" w:rsidR="00AB6F9F" w:rsidRPr="003C7E62" w:rsidRDefault="00AB6F9F" w:rsidP="00F11936">
      <w:pPr>
        <w:keepNext w:val="0"/>
        <w:autoSpaceDE w:val="0"/>
        <w:autoSpaceDN w:val="0"/>
        <w:adjustRightInd w:val="0"/>
        <w:spacing w:before="0"/>
        <w:ind w:left="851"/>
        <w:rPr>
          <w:rFonts w:eastAsia="Arial" w:cs="Arial"/>
          <w:color w:val="auto"/>
          <w:szCs w:val="24"/>
        </w:rPr>
      </w:pPr>
    </w:p>
    <w:p w14:paraId="49BE2E2E" w14:textId="77777777" w:rsidR="00AB6F9F" w:rsidRPr="003C7E62" w:rsidRDefault="003178B5" w:rsidP="00874A98">
      <w:pPr>
        <w:keepNext w:val="0"/>
        <w:numPr>
          <w:ilvl w:val="1"/>
          <w:numId w:val="103"/>
        </w:numPr>
        <w:autoSpaceDE w:val="0"/>
        <w:autoSpaceDN w:val="0"/>
        <w:adjustRightInd w:val="0"/>
        <w:spacing w:before="0"/>
        <w:ind w:left="851" w:hanging="851"/>
        <w:rPr>
          <w:rFonts w:eastAsia="Arial" w:cs="Arial"/>
          <w:color w:val="auto"/>
          <w:szCs w:val="24"/>
        </w:rPr>
      </w:pPr>
      <w:r w:rsidRPr="003C7E62">
        <w:rPr>
          <w:rFonts w:eastAsia="Arial" w:cs="Arial"/>
          <w:color w:val="auto"/>
          <w:szCs w:val="24"/>
        </w:rPr>
        <w:t>Growth around Hucknall, provides opportunities to enhance the town centre to meet the needs of the growing population and to ensuring access to a mix of facilities based on local need.</w:t>
      </w:r>
    </w:p>
    <w:p w14:paraId="1FFE66B1" w14:textId="77777777" w:rsidR="00AB6F9F" w:rsidRPr="003C7E62" w:rsidRDefault="00AB6F9F" w:rsidP="00F11936">
      <w:pPr>
        <w:spacing w:before="0"/>
        <w:rPr>
          <w:rFonts w:eastAsia="Arial" w:cs="Arial"/>
          <w:color w:val="auto"/>
        </w:rPr>
      </w:pPr>
    </w:p>
    <w:p w14:paraId="05304592" w14:textId="77777777" w:rsidR="00AB6F9F" w:rsidRPr="003C7E62" w:rsidRDefault="003178B5" w:rsidP="00874A98">
      <w:pPr>
        <w:keepNext w:val="0"/>
        <w:numPr>
          <w:ilvl w:val="1"/>
          <w:numId w:val="103"/>
        </w:numPr>
        <w:autoSpaceDE w:val="0"/>
        <w:autoSpaceDN w:val="0"/>
        <w:adjustRightInd w:val="0"/>
        <w:spacing w:before="0"/>
        <w:ind w:left="851" w:hanging="851"/>
        <w:rPr>
          <w:rFonts w:eastAsia="Arial" w:cs="Arial"/>
          <w:color w:val="auto"/>
          <w:szCs w:val="24"/>
        </w:rPr>
      </w:pPr>
      <w:r w:rsidRPr="003C7E62">
        <w:rPr>
          <w:rFonts w:eastAsia="Arial" w:cs="Arial"/>
          <w:color w:val="auto"/>
        </w:rPr>
        <w:t xml:space="preserve">Local Shopping Centres and Shopping Parades should accommodate small scale development which provides for the day to day needs of the community without threatening the vitality and viability of Town Centres. At a national level, the NPPF promotes strong neighbourhood centres because they provide consumer choice and reduce the need to travel further distances. </w:t>
      </w:r>
    </w:p>
    <w:p w14:paraId="27E99F86" w14:textId="77777777" w:rsidR="00AB6F9F" w:rsidRPr="003C7E62" w:rsidRDefault="00AB6F9F" w:rsidP="00F11936">
      <w:pPr>
        <w:spacing w:before="0"/>
        <w:rPr>
          <w:rFonts w:eastAsia="Arial" w:cs="Arial"/>
          <w:color w:val="auto"/>
          <w:szCs w:val="24"/>
        </w:rPr>
      </w:pPr>
    </w:p>
    <w:p w14:paraId="1A3F44AA" w14:textId="7CF60525" w:rsidR="006971C4" w:rsidRPr="003C7E62" w:rsidRDefault="003178B5" w:rsidP="00874A98">
      <w:pPr>
        <w:keepNext w:val="0"/>
        <w:numPr>
          <w:ilvl w:val="1"/>
          <w:numId w:val="103"/>
        </w:numPr>
        <w:autoSpaceDE w:val="0"/>
        <w:autoSpaceDN w:val="0"/>
        <w:adjustRightInd w:val="0"/>
        <w:spacing w:before="0"/>
        <w:ind w:left="851" w:hanging="851"/>
        <w:rPr>
          <w:rFonts w:eastAsia="Arial" w:cs="Arial"/>
          <w:color w:val="auto"/>
          <w:szCs w:val="24"/>
        </w:rPr>
      </w:pPr>
      <w:r w:rsidRPr="003C7E62">
        <w:rPr>
          <w:rFonts w:eastAsia="Arial" w:cs="Arial"/>
          <w:color w:val="auto"/>
          <w:szCs w:val="24"/>
        </w:rPr>
        <w:t>Sutton, Hucknall and Kirkby provide good public transport links to other major conurbations via the Robin Hood rail line. Sutton has a central bus station and there are frequent, regular bus services in operation to Kirkby, which also has a railway station on the edge of the Town Centre.  In the south, Hucknall has excellent links to Nottingham via the Robin Hood Line and the NET tram service, with tram stops within the town centre and to the south and east of the centre. As a focus for public transport, concentrating new development in these areas will have a significant role in reducing the carbon footprint of the community and a positive impact in relation to climate change.   The growth of the three towns will also serve to attract inward investment into these areas, thereby improving the opportunities and the lives of people living there.</w:t>
      </w:r>
    </w:p>
    <w:p w14:paraId="0839E4FC" w14:textId="77777777" w:rsidR="006971C4" w:rsidRPr="003C7E62" w:rsidRDefault="006971C4" w:rsidP="00F11936">
      <w:pPr>
        <w:pStyle w:val="ListParagraph"/>
        <w:spacing w:after="0" w:line="240" w:lineRule="auto"/>
        <w:rPr>
          <w:rFonts w:ascii="Arial" w:eastAsia="Arial" w:hAnsi="Arial" w:cs="Arial"/>
        </w:rPr>
      </w:pPr>
    </w:p>
    <w:p w14:paraId="09D0A614" w14:textId="07307383" w:rsidR="006971C4" w:rsidRPr="003C7E62" w:rsidRDefault="003178B5" w:rsidP="00874A98">
      <w:pPr>
        <w:keepNext w:val="0"/>
        <w:numPr>
          <w:ilvl w:val="1"/>
          <w:numId w:val="103"/>
        </w:numPr>
        <w:autoSpaceDE w:val="0"/>
        <w:autoSpaceDN w:val="0"/>
        <w:adjustRightInd w:val="0"/>
        <w:spacing w:before="0"/>
        <w:ind w:left="851" w:hanging="851"/>
        <w:rPr>
          <w:rFonts w:eastAsia="Arial" w:cs="Arial"/>
          <w:color w:val="auto"/>
          <w:szCs w:val="24"/>
        </w:rPr>
      </w:pPr>
      <w:r w:rsidRPr="003C7E62">
        <w:rPr>
          <w:rFonts w:eastAsia="Arial" w:cs="Arial"/>
          <w:color w:val="auto"/>
        </w:rPr>
        <w:t xml:space="preserve">Proposals for out-of-centre retail development and town centre uses will be required to </w:t>
      </w:r>
      <w:r w:rsidR="009D1815" w:rsidRPr="003C7E62">
        <w:rPr>
          <w:rFonts w:eastAsia="Arial" w:cs="Arial"/>
          <w:color w:val="auto"/>
        </w:rPr>
        <w:t>strongly demonstrate</w:t>
      </w:r>
      <w:r w:rsidRPr="003C7E62">
        <w:rPr>
          <w:rFonts w:eastAsia="Arial" w:cs="Arial"/>
          <w:color w:val="auto"/>
        </w:rPr>
        <w:t xml:space="preserve"> the need for such development, and how they will mitigate their impact on nearby centres, and any regeneration activities. </w:t>
      </w:r>
      <w:r w:rsidRPr="003C7E62">
        <w:rPr>
          <w:rFonts w:eastAsia="Arial" w:cs="Arial"/>
          <w:color w:val="auto"/>
          <w:szCs w:val="24"/>
        </w:rPr>
        <w:t>The requirement for a sequential test and, where appropriate, an impact assessment to town centre uses outside the town centres and local centres is elaborated in the development management policies within the Local Plan.</w:t>
      </w:r>
    </w:p>
    <w:p w14:paraId="247FF8E0" w14:textId="77777777" w:rsidR="006971C4" w:rsidRPr="003C7E62" w:rsidRDefault="006971C4" w:rsidP="00F11936">
      <w:pPr>
        <w:pStyle w:val="ListParagraph"/>
        <w:spacing w:after="0" w:line="240" w:lineRule="auto"/>
        <w:rPr>
          <w:rFonts w:ascii="Arial" w:eastAsia="Arial" w:hAnsi="Arial" w:cs="Arial"/>
          <w:color w:val="auto"/>
        </w:rPr>
      </w:pPr>
    </w:p>
    <w:p w14:paraId="3B074675" w14:textId="7FBC3AAA" w:rsidR="006971C4" w:rsidRPr="006B5FCB" w:rsidRDefault="003178B5" w:rsidP="00874A98">
      <w:pPr>
        <w:keepNext w:val="0"/>
        <w:numPr>
          <w:ilvl w:val="1"/>
          <w:numId w:val="103"/>
        </w:numPr>
        <w:autoSpaceDE w:val="0"/>
        <w:autoSpaceDN w:val="0"/>
        <w:adjustRightInd w:val="0"/>
        <w:spacing w:before="0"/>
        <w:ind w:left="851" w:hanging="851"/>
        <w:rPr>
          <w:rFonts w:eastAsia="Arial" w:cs="Arial"/>
          <w:color w:val="auto"/>
          <w:szCs w:val="24"/>
        </w:rPr>
      </w:pPr>
      <w:r w:rsidRPr="006B5FCB">
        <w:rPr>
          <w:rFonts w:eastAsia="Arial" w:cs="Arial"/>
          <w:color w:val="auto"/>
        </w:rPr>
        <w:t xml:space="preserve">The town centre hierarchy has been developed using evidence taken from the </w:t>
      </w:r>
      <w:r w:rsidR="00106B8C" w:rsidRPr="006B5FCB">
        <w:rPr>
          <w:rFonts w:cs="Arial"/>
          <w:color w:val="auto"/>
          <w:szCs w:val="24"/>
        </w:rPr>
        <w:t xml:space="preserve">Ashfield </w:t>
      </w:r>
      <w:bookmarkStart w:id="107" w:name="_Hlk148436525"/>
      <w:r w:rsidR="00106B8C" w:rsidRPr="006B5FCB">
        <w:rPr>
          <w:rFonts w:cs="Arial"/>
          <w:color w:val="auto"/>
          <w:szCs w:val="24"/>
        </w:rPr>
        <w:t xml:space="preserve">Town Centre / Local Centre Study, 2023 </w:t>
      </w:r>
      <w:bookmarkEnd w:id="107"/>
      <w:r w:rsidRPr="006B5FCB">
        <w:rPr>
          <w:rFonts w:eastAsia="Arial" w:cs="Arial"/>
          <w:color w:val="auto"/>
        </w:rPr>
        <w:t>and the Greater Nottingham and Ashfield District Accessible Settlements Study</w:t>
      </w:r>
      <w:r w:rsidR="00AB6F9F" w:rsidRPr="006B5FCB">
        <w:rPr>
          <w:rFonts w:eastAsia="Arial" w:cs="Arial"/>
          <w:color w:val="auto"/>
        </w:rPr>
        <w:t xml:space="preserve"> (</w:t>
      </w:r>
      <w:r w:rsidR="00E73FF6" w:rsidRPr="006B5FCB">
        <w:rPr>
          <w:rFonts w:eastAsia="Arial" w:cs="Arial"/>
          <w:color w:val="auto"/>
        </w:rPr>
        <w:t>2010</w:t>
      </w:r>
      <w:r w:rsidR="000A58C8" w:rsidRPr="006B5FCB">
        <w:rPr>
          <w:rFonts w:eastAsia="Arial" w:cs="Arial"/>
          <w:color w:val="auto"/>
        </w:rPr>
        <w:t>).</w:t>
      </w:r>
      <w:r w:rsidRPr="006B5FCB">
        <w:rPr>
          <w:rFonts w:eastAsia="Arial" w:cs="Arial"/>
          <w:color w:val="auto"/>
        </w:rPr>
        <w:t xml:space="preserve"> The existence of the hierarchy will help to guide new development to appropriately sized centres across the District and ensure that future growth is adequately balanced across Ashfield.</w:t>
      </w:r>
    </w:p>
    <w:p w14:paraId="2126BC6A" w14:textId="77777777" w:rsidR="006971C4" w:rsidRPr="003C7E62" w:rsidRDefault="006971C4" w:rsidP="00F11936">
      <w:pPr>
        <w:pStyle w:val="ListParagraph"/>
        <w:spacing w:after="0" w:line="240" w:lineRule="auto"/>
        <w:rPr>
          <w:rFonts w:ascii="Arial" w:eastAsia="Arial" w:hAnsi="Arial" w:cs="Arial"/>
          <w:color w:val="auto"/>
        </w:rPr>
      </w:pPr>
    </w:p>
    <w:p w14:paraId="3A8AB645" w14:textId="77777777" w:rsidR="003A519C" w:rsidRPr="00BF07B5" w:rsidRDefault="003A519C" w:rsidP="00BF07B5">
      <w:bookmarkStart w:id="108" w:name="_Toc145511564"/>
      <w:bookmarkStart w:id="109" w:name="_Hlk146191380"/>
    </w:p>
    <w:p w14:paraId="054909C8" w14:textId="0764A140" w:rsidR="005F229B" w:rsidRPr="009D5737" w:rsidRDefault="000A144B" w:rsidP="009D5737">
      <w:pPr>
        <w:pStyle w:val="Heading2"/>
        <w:jc w:val="left"/>
        <w:rPr>
          <w:sz w:val="28"/>
          <w:szCs w:val="28"/>
        </w:rPr>
      </w:pPr>
      <w:r w:rsidRPr="009D5737">
        <w:rPr>
          <w:sz w:val="28"/>
          <w:szCs w:val="28"/>
        </w:rPr>
        <w:t xml:space="preserve">Strategic Policy </w:t>
      </w:r>
      <w:r w:rsidR="005F229B" w:rsidRPr="009D5737">
        <w:rPr>
          <w:sz w:val="28"/>
          <w:szCs w:val="28"/>
        </w:rPr>
        <w:t>S1</w:t>
      </w:r>
      <w:r w:rsidR="005908AA" w:rsidRPr="009D5737">
        <w:rPr>
          <w:sz w:val="28"/>
          <w:szCs w:val="28"/>
        </w:rPr>
        <w:t>2</w:t>
      </w:r>
      <w:r w:rsidR="007E1CA9" w:rsidRPr="009D5737">
        <w:rPr>
          <w:sz w:val="28"/>
          <w:szCs w:val="28"/>
        </w:rPr>
        <w:t>:</w:t>
      </w:r>
      <w:r w:rsidR="005F229B" w:rsidRPr="009D5737">
        <w:rPr>
          <w:sz w:val="28"/>
          <w:szCs w:val="28"/>
        </w:rPr>
        <w:t xml:space="preserve"> </w:t>
      </w:r>
      <w:r w:rsidR="005F1B0D" w:rsidRPr="009D5737">
        <w:rPr>
          <w:sz w:val="28"/>
          <w:szCs w:val="28"/>
        </w:rPr>
        <w:t xml:space="preserve">Tackling Health Inequalities and Facilitating </w:t>
      </w:r>
      <w:bookmarkEnd w:id="103"/>
      <w:r w:rsidR="005F1B0D" w:rsidRPr="009D5737">
        <w:rPr>
          <w:sz w:val="28"/>
          <w:szCs w:val="28"/>
        </w:rPr>
        <w:t>Healthier Lifestyles</w:t>
      </w:r>
      <w:bookmarkEnd w:id="108"/>
      <w:r w:rsidR="005F1B0D" w:rsidRPr="009D5737">
        <w:rPr>
          <w:sz w:val="28"/>
          <w:szCs w:val="28"/>
        </w:rPr>
        <w:t xml:space="preserve"> </w:t>
      </w:r>
    </w:p>
    <w:bookmarkEnd w:id="109"/>
    <w:p w14:paraId="2C4E5B34" w14:textId="39FA2EE2" w:rsidR="005F229B" w:rsidRPr="003C7E62" w:rsidRDefault="005F229B" w:rsidP="005F229B">
      <w:pPr>
        <w:keepNext w:val="0"/>
        <w:spacing w:before="0"/>
        <w:rPr>
          <w:rFonts w:cs="Arial"/>
          <w:b/>
          <w:bCs/>
          <w:color w:val="auto"/>
          <w:sz w:val="28"/>
          <w:szCs w:val="28"/>
          <w:lang w:eastAsia="en-US"/>
        </w:rPr>
      </w:pPr>
    </w:p>
    <w:tbl>
      <w:tblPr>
        <w:tblStyle w:val="ReportTable1"/>
        <w:tblW w:w="9634" w:type="dxa"/>
        <w:tblLook w:val="04A0" w:firstRow="1" w:lastRow="0" w:firstColumn="1" w:lastColumn="0" w:noHBand="0" w:noVBand="1"/>
      </w:tblPr>
      <w:tblGrid>
        <w:gridCol w:w="1555"/>
        <w:gridCol w:w="1066"/>
        <w:gridCol w:w="7013"/>
      </w:tblGrid>
      <w:tr w:rsidR="000A144B" w:rsidRPr="003C7E62" w14:paraId="6DC6CC09" w14:textId="77777777" w:rsidTr="005334C0">
        <w:tc>
          <w:tcPr>
            <w:tcW w:w="9634" w:type="dxa"/>
            <w:gridSpan w:val="3"/>
          </w:tcPr>
          <w:p w14:paraId="14E509B6" w14:textId="77777777" w:rsidR="00433E30" w:rsidRDefault="00433E30" w:rsidP="00FF3EAD">
            <w:pPr>
              <w:keepNext w:val="0"/>
              <w:spacing w:before="0"/>
              <w:rPr>
                <w:rFonts w:cs="Arial"/>
                <w:b/>
                <w:bCs/>
                <w:color w:val="auto"/>
                <w:szCs w:val="24"/>
                <w:lang w:eastAsia="en-US"/>
              </w:rPr>
            </w:pPr>
            <w:bookmarkStart w:id="110" w:name="_Hlk78264695"/>
          </w:p>
          <w:p w14:paraId="21D53BEA" w14:textId="7A36B23F" w:rsidR="000A144B" w:rsidRDefault="000A144B" w:rsidP="00FF3EAD">
            <w:pPr>
              <w:keepNext w:val="0"/>
              <w:spacing w:before="0"/>
              <w:rPr>
                <w:rFonts w:cs="Arial"/>
                <w:b/>
                <w:bCs/>
                <w:color w:val="auto"/>
                <w:szCs w:val="24"/>
                <w:lang w:eastAsia="en-US"/>
              </w:rPr>
            </w:pPr>
            <w:r w:rsidRPr="003C7E62">
              <w:rPr>
                <w:rFonts w:cs="Arial"/>
                <w:b/>
                <w:bCs/>
                <w:color w:val="auto"/>
                <w:szCs w:val="24"/>
                <w:lang w:eastAsia="en-US"/>
              </w:rPr>
              <w:t>Strategic Policy S</w:t>
            </w:r>
            <w:r w:rsidR="005908AA" w:rsidRPr="00C474FF">
              <w:rPr>
                <w:rFonts w:cs="Arial"/>
                <w:b/>
                <w:bCs/>
                <w:szCs w:val="24"/>
                <w:lang w:eastAsia="en-US"/>
              </w:rPr>
              <w:t>12</w:t>
            </w:r>
            <w:r w:rsidRPr="00C474FF">
              <w:rPr>
                <w:rFonts w:cs="Arial"/>
                <w:b/>
                <w:bCs/>
                <w:szCs w:val="24"/>
                <w:lang w:eastAsia="en-US"/>
              </w:rPr>
              <w:t xml:space="preserve"> </w:t>
            </w:r>
            <w:r w:rsidR="005F1B0D" w:rsidRPr="005F1B0D">
              <w:rPr>
                <w:rFonts w:cs="Arial"/>
                <w:b/>
                <w:bCs/>
                <w:color w:val="auto"/>
                <w:szCs w:val="24"/>
                <w:lang w:eastAsia="en-US"/>
              </w:rPr>
              <w:t xml:space="preserve">Tackling Health Inequalities and Facilitating Healthier Lifestyles </w:t>
            </w:r>
          </w:p>
          <w:p w14:paraId="68DFD3A2" w14:textId="3D3127EB" w:rsidR="00433E30" w:rsidRPr="003C7E62" w:rsidRDefault="00433E30" w:rsidP="00FF3EAD">
            <w:pPr>
              <w:keepNext w:val="0"/>
              <w:spacing w:before="0"/>
              <w:rPr>
                <w:rFonts w:cs="Arial"/>
                <w:b/>
                <w:bCs/>
                <w:color w:val="auto"/>
                <w:szCs w:val="24"/>
                <w:lang w:eastAsia="en-US"/>
              </w:rPr>
            </w:pPr>
          </w:p>
        </w:tc>
      </w:tr>
      <w:tr w:rsidR="008E6B40" w:rsidRPr="003C7E62" w14:paraId="70240A04" w14:textId="77777777" w:rsidTr="005334C0">
        <w:tc>
          <w:tcPr>
            <w:tcW w:w="2621" w:type="dxa"/>
            <w:gridSpan w:val="2"/>
          </w:tcPr>
          <w:p w14:paraId="40B2BDAB" w14:textId="77777777" w:rsidR="008E6B40" w:rsidRPr="003C7E62" w:rsidRDefault="008E6B40" w:rsidP="00FF3EAD">
            <w:pPr>
              <w:keepNext w:val="0"/>
              <w:tabs>
                <w:tab w:val="left" w:pos="680"/>
              </w:tabs>
              <w:spacing w:before="40" w:after="40"/>
              <w:rPr>
                <w:rFonts w:eastAsia="Arial" w:cs="Arial"/>
                <w:b/>
                <w:color w:val="auto"/>
              </w:rPr>
            </w:pPr>
            <w:r w:rsidRPr="003C7E62">
              <w:rPr>
                <w:rFonts w:eastAsia="Arial" w:cs="Arial"/>
                <w:b/>
                <w:color w:val="auto"/>
              </w:rPr>
              <w:t>Strategic Objectives</w:t>
            </w:r>
          </w:p>
        </w:tc>
        <w:tc>
          <w:tcPr>
            <w:tcW w:w="7013" w:type="dxa"/>
          </w:tcPr>
          <w:p w14:paraId="24230FDB" w14:textId="77777777" w:rsidR="008E6B40" w:rsidRPr="003C7E62" w:rsidRDefault="008E6B40" w:rsidP="00FF3EAD">
            <w:pPr>
              <w:keepNext w:val="0"/>
              <w:tabs>
                <w:tab w:val="left" w:pos="680"/>
              </w:tabs>
              <w:spacing w:before="40" w:after="40"/>
              <w:rPr>
                <w:rFonts w:eastAsia="Arial" w:cs="Arial"/>
                <w:b/>
                <w:color w:val="auto"/>
              </w:rPr>
            </w:pPr>
            <w:r w:rsidRPr="003C7E62">
              <w:rPr>
                <w:rFonts w:eastAsia="Arial" w:cs="Arial"/>
                <w:b/>
                <w:color w:val="auto"/>
              </w:rPr>
              <w:t>SO1, SO2, SO4, SO5, SO6, SO7, SO8, SO9, SO10, SO12, SO13, SO14.</w:t>
            </w:r>
          </w:p>
        </w:tc>
      </w:tr>
      <w:tr w:rsidR="008E6B40" w:rsidRPr="003C7E62" w14:paraId="7F2FD12A" w14:textId="77777777" w:rsidTr="005334C0">
        <w:tc>
          <w:tcPr>
            <w:tcW w:w="9634" w:type="dxa"/>
            <w:gridSpan w:val="3"/>
            <w:shd w:val="clear" w:color="auto" w:fill="DBDBDB"/>
          </w:tcPr>
          <w:p w14:paraId="31A123E8" w14:textId="77777777" w:rsidR="008E6B40" w:rsidRPr="003C7E62" w:rsidRDefault="008E6B40" w:rsidP="00FF3EAD">
            <w:pPr>
              <w:keepNext w:val="0"/>
              <w:tabs>
                <w:tab w:val="left" w:pos="680"/>
                <w:tab w:val="left" w:pos="1133"/>
                <w:tab w:val="left" w:pos="2267"/>
              </w:tabs>
              <w:spacing w:before="0"/>
              <w:ind w:left="360" w:right="284"/>
              <w:rPr>
                <w:rFonts w:eastAsia="Arial" w:cs="Arial"/>
                <w:bCs/>
                <w:color w:val="auto"/>
                <w:szCs w:val="24"/>
              </w:rPr>
            </w:pPr>
          </w:p>
          <w:p w14:paraId="0DEB36DA" w14:textId="367946BE" w:rsidR="008E6B40" w:rsidRPr="003C7E62" w:rsidRDefault="008E6B40" w:rsidP="00FF3EAD">
            <w:pPr>
              <w:keepNext w:val="0"/>
              <w:numPr>
                <w:ilvl w:val="0"/>
                <w:numId w:val="30"/>
              </w:numPr>
              <w:spacing w:before="0"/>
              <w:ind w:left="357"/>
              <w:rPr>
                <w:rFonts w:eastAsia="Arial" w:cs="Arial"/>
                <w:bCs/>
                <w:color w:val="auto"/>
                <w:szCs w:val="24"/>
              </w:rPr>
            </w:pPr>
            <w:r w:rsidRPr="003C7E62">
              <w:rPr>
                <w:rFonts w:eastAsia="Arial" w:cs="Arial"/>
                <w:bCs/>
                <w:color w:val="auto"/>
              </w:rPr>
              <w:t xml:space="preserve">The Council will be supportive of programmes and strategies, which aim to promote sustainable communities, reduce health inequalities and facilitate healthier lifestyles in Ashfield. </w:t>
            </w:r>
          </w:p>
          <w:p w14:paraId="13A40C2F" w14:textId="77777777" w:rsidR="008E6B40" w:rsidRPr="003C7E62" w:rsidRDefault="008E6B40" w:rsidP="00FF3EAD">
            <w:pPr>
              <w:keepNext w:val="0"/>
              <w:spacing w:before="0"/>
              <w:ind w:left="357"/>
              <w:rPr>
                <w:rFonts w:eastAsia="Arial" w:cs="Arial"/>
                <w:bCs/>
                <w:color w:val="auto"/>
              </w:rPr>
            </w:pPr>
          </w:p>
          <w:p w14:paraId="17742963" w14:textId="453B795D" w:rsidR="008E6B40" w:rsidRPr="00C474FF" w:rsidRDefault="008E6B40" w:rsidP="00FF3EAD">
            <w:pPr>
              <w:keepNext w:val="0"/>
              <w:numPr>
                <w:ilvl w:val="0"/>
                <w:numId w:val="30"/>
              </w:numPr>
              <w:spacing w:before="0"/>
              <w:rPr>
                <w:rFonts w:eastAsia="Arial" w:cs="Arial"/>
                <w:bCs/>
                <w:szCs w:val="24"/>
              </w:rPr>
            </w:pPr>
            <w:r w:rsidRPr="003C7E62">
              <w:rPr>
                <w:rFonts w:eastAsia="Arial" w:cs="Arial"/>
                <w:bCs/>
                <w:color w:val="auto"/>
              </w:rPr>
              <w:t xml:space="preserve">Development proposals should be designed to contribute to and improve healthy communities and wellbeing in Ashfield, thereby reducing health </w:t>
            </w:r>
            <w:r w:rsidRPr="00C474FF">
              <w:rPr>
                <w:rFonts w:eastAsia="Arial" w:cs="Arial"/>
                <w:bCs/>
              </w:rPr>
              <w:t>inequalities. This can be achieved in a number of ways dependent on the nature of development including:</w:t>
            </w:r>
            <w:r w:rsidR="00D96988" w:rsidRPr="00C474FF">
              <w:rPr>
                <w:rFonts w:eastAsia="Arial" w:cs="Arial"/>
                <w:bCs/>
              </w:rPr>
              <w:t xml:space="preserve"> </w:t>
            </w:r>
          </w:p>
          <w:p w14:paraId="5E648B49" w14:textId="77777777" w:rsidR="008E6B40" w:rsidRPr="00C474FF" w:rsidRDefault="008E6B40" w:rsidP="00FF3EAD">
            <w:pPr>
              <w:keepNext w:val="0"/>
              <w:spacing w:before="0"/>
              <w:ind w:left="720"/>
              <w:contextualSpacing/>
              <w:rPr>
                <w:rFonts w:eastAsia="Arial" w:cs="Arial"/>
                <w:bCs/>
                <w:szCs w:val="24"/>
              </w:rPr>
            </w:pPr>
          </w:p>
          <w:p w14:paraId="524064EE" w14:textId="7A635356" w:rsidR="008E6B40" w:rsidRPr="00C474FF" w:rsidRDefault="008E6B40" w:rsidP="00FF3EAD">
            <w:pPr>
              <w:keepNext w:val="0"/>
              <w:numPr>
                <w:ilvl w:val="0"/>
                <w:numId w:val="29"/>
              </w:numPr>
              <w:tabs>
                <w:tab w:val="left" w:pos="851"/>
                <w:tab w:val="left" w:pos="1133"/>
                <w:tab w:val="left" w:pos="2267"/>
              </w:tabs>
              <w:spacing w:before="0"/>
              <w:ind w:right="284"/>
              <w:rPr>
                <w:rFonts w:eastAsia="Arial" w:cs="Arial"/>
                <w:bCs/>
              </w:rPr>
            </w:pPr>
            <w:r w:rsidRPr="00C474FF">
              <w:rPr>
                <w:rFonts w:eastAsia="Arial" w:cs="Arial"/>
                <w:bCs/>
              </w:rPr>
              <w:t>Ensuring sufficient and a suitable mix of housing</w:t>
            </w:r>
            <w:r w:rsidR="00D93F11" w:rsidRPr="00C474FF">
              <w:rPr>
                <w:rFonts w:eastAsia="Arial" w:cs="Arial"/>
                <w:bCs/>
              </w:rPr>
              <w:t>, including meeting the needs of older and disabled people.</w:t>
            </w:r>
          </w:p>
          <w:p w14:paraId="0EF598DA" w14:textId="77777777" w:rsidR="00C716F6" w:rsidRPr="00C474FF" w:rsidRDefault="00C716F6" w:rsidP="00FF3EAD">
            <w:pPr>
              <w:keepNext w:val="0"/>
              <w:tabs>
                <w:tab w:val="left" w:pos="851"/>
                <w:tab w:val="left" w:pos="1133"/>
                <w:tab w:val="left" w:pos="2267"/>
              </w:tabs>
              <w:spacing w:before="0"/>
              <w:ind w:left="720" w:right="284"/>
              <w:rPr>
                <w:rFonts w:eastAsia="Arial" w:cs="Arial"/>
                <w:bCs/>
              </w:rPr>
            </w:pPr>
          </w:p>
          <w:p w14:paraId="0B6CF081" w14:textId="5AA0AF5B" w:rsidR="008E6B40" w:rsidRPr="00C474FF" w:rsidRDefault="008E6B40" w:rsidP="00FF3EAD">
            <w:pPr>
              <w:keepNext w:val="0"/>
              <w:numPr>
                <w:ilvl w:val="0"/>
                <w:numId w:val="29"/>
              </w:numPr>
              <w:tabs>
                <w:tab w:val="left" w:pos="851"/>
                <w:tab w:val="left" w:pos="1133"/>
                <w:tab w:val="left" w:pos="2267"/>
              </w:tabs>
              <w:spacing w:before="0"/>
              <w:ind w:left="714" w:right="284" w:hanging="357"/>
              <w:rPr>
                <w:rFonts w:eastAsia="Arial" w:cs="Arial"/>
                <w:bCs/>
              </w:rPr>
            </w:pPr>
            <w:r w:rsidRPr="00C474FF">
              <w:rPr>
                <w:rFonts w:eastAsia="Arial" w:cs="Arial"/>
                <w:bCs/>
              </w:rPr>
              <w:t>Promoting job opportunities</w:t>
            </w:r>
            <w:r w:rsidR="00EC4D30" w:rsidRPr="00C474FF">
              <w:rPr>
                <w:rFonts w:eastAsia="Arial" w:cs="Arial"/>
                <w:bCs/>
              </w:rPr>
              <w:t>.</w:t>
            </w:r>
          </w:p>
          <w:p w14:paraId="26540CED" w14:textId="77777777" w:rsidR="00C716F6" w:rsidRPr="00C474FF" w:rsidRDefault="00C716F6" w:rsidP="00FF3EAD">
            <w:pPr>
              <w:keepNext w:val="0"/>
              <w:tabs>
                <w:tab w:val="left" w:pos="851"/>
                <w:tab w:val="left" w:pos="1133"/>
                <w:tab w:val="left" w:pos="2267"/>
              </w:tabs>
              <w:spacing w:before="0"/>
              <w:ind w:right="284"/>
              <w:rPr>
                <w:rFonts w:eastAsia="Arial" w:cs="Arial"/>
                <w:bCs/>
              </w:rPr>
            </w:pPr>
          </w:p>
          <w:p w14:paraId="6D5349DF" w14:textId="3BE643FD" w:rsidR="008E6B40" w:rsidRPr="00C474FF" w:rsidRDefault="008E6B40" w:rsidP="00FF3EAD">
            <w:pPr>
              <w:keepNext w:val="0"/>
              <w:numPr>
                <w:ilvl w:val="0"/>
                <w:numId w:val="29"/>
              </w:numPr>
              <w:tabs>
                <w:tab w:val="left" w:pos="851"/>
                <w:tab w:val="left" w:pos="1133"/>
                <w:tab w:val="left" w:pos="2267"/>
              </w:tabs>
              <w:spacing w:before="0"/>
              <w:ind w:left="714" w:right="284" w:hanging="357"/>
              <w:rPr>
                <w:rFonts w:eastAsia="Arial" w:cs="Arial"/>
                <w:bCs/>
              </w:rPr>
            </w:pPr>
            <w:r w:rsidRPr="00C474FF">
              <w:rPr>
                <w:rFonts w:eastAsia="Arial" w:cs="Arial"/>
                <w:bCs/>
              </w:rPr>
              <w:t>Promoting healthy neighbourhoods and facilitating active and healthy lifestyles</w:t>
            </w:r>
            <w:r w:rsidR="00EC4D30" w:rsidRPr="00C474FF">
              <w:rPr>
                <w:rFonts w:eastAsia="Arial" w:cs="Arial"/>
                <w:bCs/>
              </w:rPr>
              <w:t>.</w:t>
            </w:r>
          </w:p>
          <w:p w14:paraId="6C4B5E5D" w14:textId="77777777" w:rsidR="00C716F6" w:rsidRPr="00C474FF" w:rsidRDefault="00C716F6" w:rsidP="00FF3EAD">
            <w:pPr>
              <w:keepNext w:val="0"/>
              <w:tabs>
                <w:tab w:val="left" w:pos="851"/>
                <w:tab w:val="left" w:pos="1133"/>
                <w:tab w:val="left" w:pos="2267"/>
              </w:tabs>
              <w:spacing w:before="0"/>
              <w:ind w:right="284"/>
              <w:rPr>
                <w:rFonts w:eastAsia="Arial" w:cs="Arial"/>
                <w:bCs/>
              </w:rPr>
            </w:pPr>
          </w:p>
          <w:p w14:paraId="441E2EA5" w14:textId="068C6EEE" w:rsidR="00C716F6" w:rsidRPr="00C474FF" w:rsidRDefault="008E6B40" w:rsidP="00FF3EAD">
            <w:pPr>
              <w:keepNext w:val="0"/>
              <w:numPr>
                <w:ilvl w:val="0"/>
                <w:numId w:val="29"/>
              </w:numPr>
              <w:tabs>
                <w:tab w:val="left" w:pos="851"/>
                <w:tab w:val="left" w:pos="1133"/>
                <w:tab w:val="left" w:pos="2267"/>
              </w:tabs>
              <w:spacing w:before="0"/>
              <w:ind w:left="714" w:right="284" w:hanging="357"/>
              <w:contextualSpacing/>
              <w:rPr>
                <w:rFonts w:eastAsia="Arial" w:cs="Arial"/>
                <w:bCs/>
              </w:rPr>
            </w:pPr>
            <w:bookmarkStart w:id="111" w:name="_Hlk75775065"/>
            <w:r w:rsidRPr="00C474FF">
              <w:rPr>
                <w:rFonts w:eastAsia="Arial" w:cs="Arial"/>
                <w:bCs/>
              </w:rPr>
              <w:t>Protect the amenity of residents with regard to noise, smell, light pollution, ground instability, ground and water contamination, vibration and air quality</w:t>
            </w:r>
            <w:r w:rsidR="00EC4D30" w:rsidRPr="00C474FF">
              <w:rPr>
                <w:rFonts w:eastAsia="Arial" w:cs="Arial"/>
                <w:bCs/>
              </w:rPr>
              <w:t>.</w:t>
            </w:r>
          </w:p>
          <w:p w14:paraId="35BEDA15" w14:textId="77777777" w:rsidR="00C716F6" w:rsidRPr="00C474FF" w:rsidRDefault="00C716F6" w:rsidP="00FF3EAD">
            <w:pPr>
              <w:keepNext w:val="0"/>
              <w:tabs>
                <w:tab w:val="left" w:pos="851"/>
                <w:tab w:val="left" w:pos="1133"/>
                <w:tab w:val="left" w:pos="2267"/>
              </w:tabs>
              <w:spacing w:before="0"/>
              <w:ind w:right="284"/>
              <w:contextualSpacing/>
              <w:rPr>
                <w:rFonts w:eastAsia="Arial" w:cs="Arial"/>
                <w:bCs/>
              </w:rPr>
            </w:pPr>
          </w:p>
          <w:bookmarkEnd w:id="111"/>
          <w:p w14:paraId="2509CE99" w14:textId="0DD7E68D" w:rsidR="008E6B40" w:rsidRPr="00C474FF" w:rsidRDefault="008E6B40" w:rsidP="00FF3EAD">
            <w:pPr>
              <w:keepNext w:val="0"/>
              <w:numPr>
                <w:ilvl w:val="0"/>
                <w:numId w:val="29"/>
              </w:numPr>
              <w:tabs>
                <w:tab w:val="left" w:pos="851"/>
                <w:tab w:val="left" w:pos="1133"/>
                <w:tab w:val="left" w:pos="2267"/>
              </w:tabs>
              <w:spacing w:before="0"/>
              <w:ind w:left="714" w:right="284" w:hanging="357"/>
              <w:contextualSpacing/>
              <w:rPr>
                <w:rFonts w:eastAsia="Arial" w:cs="Arial"/>
                <w:bCs/>
              </w:rPr>
            </w:pPr>
            <w:r w:rsidRPr="00C474FF">
              <w:rPr>
                <w:rFonts w:eastAsia="Arial" w:cs="Arial"/>
                <w:bCs/>
              </w:rPr>
              <w:t>Providing good access for all to health and social care facilities</w:t>
            </w:r>
            <w:r w:rsidR="00EC4D30" w:rsidRPr="00C474FF">
              <w:rPr>
                <w:rFonts w:eastAsia="Arial" w:cs="Arial"/>
                <w:bCs/>
              </w:rPr>
              <w:t>.</w:t>
            </w:r>
            <w:r w:rsidRPr="00C474FF">
              <w:rPr>
                <w:rFonts w:eastAsia="Arial" w:cs="Arial"/>
                <w:bCs/>
              </w:rPr>
              <w:t xml:space="preserve"> </w:t>
            </w:r>
          </w:p>
          <w:p w14:paraId="1A322B0B" w14:textId="77777777" w:rsidR="00C716F6" w:rsidRPr="00C474FF" w:rsidRDefault="00C716F6" w:rsidP="00FF3EAD">
            <w:pPr>
              <w:keepNext w:val="0"/>
              <w:tabs>
                <w:tab w:val="left" w:pos="851"/>
                <w:tab w:val="left" w:pos="1133"/>
                <w:tab w:val="left" w:pos="2267"/>
              </w:tabs>
              <w:spacing w:before="0"/>
              <w:ind w:right="284"/>
              <w:contextualSpacing/>
              <w:rPr>
                <w:rFonts w:eastAsia="Arial" w:cs="Arial"/>
                <w:bCs/>
              </w:rPr>
            </w:pPr>
          </w:p>
          <w:p w14:paraId="04479CC0" w14:textId="5AB0EDE3" w:rsidR="008E6B40" w:rsidRPr="00C474FF" w:rsidRDefault="008E6B40" w:rsidP="00FF3EAD">
            <w:pPr>
              <w:keepNext w:val="0"/>
              <w:numPr>
                <w:ilvl w:val="0"/>
                <w:numId w:val="29"/>
              </w:numPr>
              <w:tabs>
                <w:tab w:val="left" w:pos="851"/>
                <w:tab w:val="left" w:pos="1133"/>
                <w:tab w:val="left" w:pos="2267"/>
              </w:tabs>
              <w:spacing w:before="0"/>
              <w:ind w:left="714" w:right="284" w:hanging="357"/>
              <w:rPr>
                <w:rFonts w:eastAsia="Arial" w:cs="Arial"/>
                <w:bCs/>
              </w:rPr>
            </w:pPr>
            <w:r w:rsidRPr="00C474FF">
              <w:rPr>
                <w:rFonts w:eastAsia="Arial" w:cs="Arial"/>
                <w:bCs/>
              </w:rPr>
              <w:t xml:space="preserve">Promoting access to green spaces, </w:t>
            </w:r>
            <w:r w:rsidR="00DE7EAF" w:rsidRPr="00C474FF">
              <w:rPr>
                <w:rFonts w:eastAsia="Arial" w:cs="Arial"/>
                <w:bCs/>
              </w:rPr>
              <w:t xml:space="preserve">the countryside, </w:t>
            </w:r>
            <w:r w:rsidRPr="00C474FF">
              <w:rPr>
                <w:rFonts w:eastAsia="Arial" w:cs="Arial"/>
                <w:bCs/>
              </w:rPr>
              <w:t>sports facilities, play and recreation opportunities</w:t>
            </w:r>
            <w:r w:rsidR="00EC4D30" w:rsidRPr="00C474FF">
              <w:rPr>
                <w:rFonts w:eastAsia="Arial" w:cs="Arial"/>
                <w:bCs/>
              </w:rPr>
              <w:t>.</w:t>
            </w:r>
          </w:p>
          <w:p w14:paraId="2DB22EC9" w14:textId="77777777" w:rsidR="00C716F6" w:rsidRPr="003C7E62" w:rsidRDefault="00C716F6" w:rsidP="00FF3EAD">
            <w:pPr>
              <w:keepNext w:val="0"/>
              <w:tabs>
                <w:tab w:val="left" w:pos="851"/>
                <w:tab w:val="left" w:pos="1133"/>
                <w:tab w:val="left" w:pos="2267"/>
              </w:tabs>
              <w:spacing w:before="0"/>
              <w:ind w:left="357" w:right="284"/>
              <w:rPr>
                <w:rFonts w:eastAsia="Arial" w:cs="Arial"/>
                <w:bCs/>
                <w:color w:val="auto"/>
              </w:rPr>
            </w:pPr>
          </w:p>
          <w:p w14:paraId="4A552B12" w14:textId="1718BB75" w:rsidR="008E6B40" w:rsidRPr="003C7E62" w:rsidRDefault="008E6B40" w:rsidP="00FF3EAD">
            <w:pPr>
              <w:keepNext w:val="0"/>
              <w:numPr>
                <w:ilvl w:val="0"/>
                <w:numId w:val="29"/>
              </w:numPr>
              <w:tabs>
                <w:tab w:val="left" w:pos="851"/>
                <w:tab w:val="left" w:pos="1133"/>
                <w:tab w:val="left" w:pos="2267"/>
              </w:tabs>
              <w:spacing w:before="0"/>
              <w:ind w:left="714" w:right="284" w:hanging="357"/>
              <w:rPr>
                <w:rFonts w:eastAsia="Arial" w:cs="Arial"/>
                <w:bCs/>
                <w:color w:val="auto"/>
              </w:rPr>
            </w:pPr>
            <w:r w:rsidRPr="003C7E62">
              <w:rPr>
                <w:rFonts w:eastAsia="Arial" w:cs="Arial"/>
                <w:bCs/>
                <w:color w:val="auto"/>
              </w:rPr>
              <w:t>Promoting allotments and gardens for exercise, recreation and for healthy locally produced food</w:t>
            </w:r>
            <w:r w:rsidR="00EC4D30">
              <w:rPr>
                <w:rFonts w:eastAsia="Arial" w:cs="Arial"/>
                <w:bCs/>
                <w:color w:val="auto"/>
              </w:rPr>
              <w:t>.</w:t>
            </w:r>
          </w:p>
          <w:p w14:paraId="5F1EB4C7" w14:textId="77777777" w:rsidR="00C716F6" w:rsidRPr="003C7E62" w:rsidRDefault="00C716F6" w:rsidP="00FF3EAD">
            <w:pPr>
              <w:keepNext w:val="0"/>
              <w:tabs>
                <w:tab w:val="left" w:pos="851"/>
                <w:tab w:val="left" w:pos="1133"/>
                <w:tab w:val="left" w:pos="2267"/>
              </w:tabs>
              <w:spacing w:before="0"/>
              <w:ind w:right="284"/>
              <w:rPr>
                <w:rFonts w:eastAsia="Arial" w:cs="Arial"/>
                <w:bCs/>
                <w:color w:val="auto"/>
              </w:rPr>
            </w:pPr>
          </w:p>
          <w:p w14:paraId="406229A8" w14:textId="5F6EC28E" w:rsidR="008E6B40" w:rsidRPr="003C7E62" w:rsidRDefault="008E6B40" w:rsidP="00FF3EAD">
            <w:pPr>
              <w:keepNext w:val="0"/>
              <w:numPr>
                <w:ilvl w:val="0"/>
                <w:numId w:val="29"/>
              </w:numPr>
              <w:tabs>
                <w:tab w:val="left" w:pos="851"/>
                <w:tab w:val="left" w:pos="1133"/>
                <w:tab w:val="left" w:pos="2267"/>
              </w:tabs>
              <w:spacing w:before="0"/>
              <w:ind w:right="284"/>
              <w:rPr>
                <w:rFonts w:eastAsia="Arial" w:cs="Arial"/>
                <w:bCs/>
                <w:color w:val="auto"/>
              </w:rPr>
            </w:pPr>
            <w:r w:rsidRPr="003C7E62">
              <w:rPr>
                <w:rFonts w:eastAsia="Arial" w:cs="Arial"/>
                <w:bCs/>
                <w:color w:val="auto"/>
              </w:rPr>
              <w:t>Supporting the provision of community facilities</w:t>
            </w:r>
            <w:r w:rsidR="00EC4D30">
              <w:rPr>
                <w:rFonts w:eastAsia="Arial" w:cs="Arial"/>
                <w:bCs/>
                <w:color w:val="auto"/>
              </w:rPr>
              <w:t>.</w:t>
            </w:r>
          </w:p>
          <w:p w14:paraId="393F6264" w14:textId="77777777" w:rsidR="00C716F6" w:rsidRPr="003C7E62" w:rsidRDefault="00C716F6" w:rsidP="00FF3EAD">
            <w:pPr>
              <w:keepNext w:val="0"/>
              <w:tabs>
                <w:tab w:val="left" w:pos="851"/>
                <w:tab w:val="left" w:pos="1133"/>
                <w:tab w:val="left" w:pos="2267"/>
              </w:tabs>
              <w:spacing w:before="0"/>
              <w:ind w:right="284"/>
              <w:rPr>
                <w:rFonts w:eastAsia="Arial" w:cs="Arial"/>
                <w:bCs/>
                <w:color w:val="auto"/>
              </w:rPr>
            </w:pPr>
          </w:p>
          <w:p w14:paraId="10E4DCE3" w14:textId="7BA75317" w:rsidR="008E6B40" w:rsidRPr="003C7E62" w:rsidRDefault="008E6B40" w:rsidP="00FF3EAD">
            <w:pPr>
              <w:keepNext w:val="0"/>
              <w:numPr>
                <w:ilvl w:val="0"/>
                <w:numId w:val="29"/>
              </w:numPr>
              <w:tabs>
                <w:tab w:val="left" w:pos="851"/>
                <w:tab w:val="left" w:pos="1133"/>
                <w:tab w:val="left" w:pos="2267"/>
              </w:tabs>
              <w:spacing w:before="0"/>
              <w:ind w:right="284"/>
              <w:rPr>
                <w:rFonts w:eastAsia="Arial" w:cs="Arial"/>
                <w:bCs/>
                <w:color w:val="auto"/>
              </w:rPr>
            </w:pPr>
            <w:r w:rsidRPr="003C7E62">
              <w:rPr>
                <w:rFonts w:eastAsia="Arial" w:cs="Arial"/>
                <w:bCs/>
                <w:color w:val="auto"/>
              </w:rPr>
              <w:t>Measures to close the gap in educational attainment in Ashfield</w:t>
            </w:r>
            <w:r w:rsidR="00EC4D30">
              <w:rPr>
                <w:rFonts w:eastAsia="Arial" w:cs="Arial"/>
                <w:bCs/>
                <w:color w:val="auto"/>
              </w:rPr>
              <w:t>.</w:t>
            </w:r>
          </w:p>
          <w:p w14:paraId="29EB9E44" w14:textId="77777777" w:rsidR="00C716F6" w:rsidRPr="003C7E62" w:rsidRDefault="00C716F6" w:rsidP="00FF3EAD">
            <w:pPr>
              <w:keepNext w:val="0"/>
              <w:tabs>
                <w:tab w:val="left" w:pos="851"/>
                <w:tab w:val="left" w:pos="1133"/>
                <w:tab w:val="left" w:pos="2267"/>
              </w:tabs>
              <w:spacing w:before="0"/>
              <w:ind w:right="284"/>
              <w:rPr>
                <w:rFonts w:eastAsia="Arial" w:cs="Arial"/>
                <w:bCs/>
                <w:color w:val="auto"/>
              </w:rPr>
            </w:pPr>
          </w:p>
          <w:p w14:paraId="36FAB58D" w14:textId="6B5BA3F4" w:rsidR="008E6B40" w:rsidRPr="003C7E62" w:rsidRDefault="008E6B40" w:rsidP="00FF3EAD">
            <w:pPr>
              <w:keepNext w:val="0"/>
              <w:numPr>
                <w:ilvl w:val="0"/>
                <w:numId w:val="29"/>
              </w:numPr>
              <w:tabs>
                <w:tab w:val="left" w:pos="851"/>
                <w:tab w:val="left" w:pos="1133"/>
                <w:tab w:val="left" w:pos="2267"/>
              </w:tabs>
              <w:spacing w:before="0"/>
              <w:ind w:right="284"/>
              <w:rPr>
                <w:rFonts w:eastAsia="Arial" w:cs="Arial"/>
                <w:bCs/>
                <w:color w:val="auto"/>
              </w:rPr>
            </w:pPr>
            <w:r w:rsidRPr="003C7E62">
              <w:rPr>
                <w:rFonts w:eastAsia="Arial" w:cs="Arial"/>
                <w:bCs/>
                <w:color w:val="auto"/>
              </w:rPr>
              <w:t>Improved community safety</w:t>
            </w:r>
            <w:r w:rsidR="00EC4D30">
              <w:rPr>
                <w:rFonts w:eastAsia="Arial" w:cs="Arial"/>
                <w:bCs/>
                <w:color w:val="auto"/>
              </w:rPr>
              <w:t>.</w:t>
            </w:r>
            <w:r w:rsidRPr="003C7E62">
              <w:rPr>
                <w:rFonts w:eastAsia="Arial" w:cs="Arial"/>
                <w:bCs/>
                <w:color w:val="auto"/>
              </w:rPr>
              <w:t xml:space="preserve"> </w:t>
            </w:r>
          </w:p>
          <w:p w14:paraId="7A79672B" w14:textId="77777777" w:rsidR="00C716F6" w:rsidRPr="003C7E62" w:rsidRDefault="00C716F6" w:rsidP="00FF3EAD">
            <w:pPr>
              <w:keepNext w:val="0"/>
              <w:tabs>
                <w:tab w:val="left" w:pos="851"/>
                <w:tab w:val="left" w:pos="1133"/>
                <w:tab w:val="left" w:pos="2267"/>
              </w:tabs>
              <w:spacing w:before="0"/>
              <w:ind w:right="284"/>
              <w:rPr>
                <w:rFonts w:eastAsia="Arial" w:cs="Arial"/>
                <w:bCs/>
                <w:color w:val="auto"/>
              </w:rPr>
            </w:pPr>
          </w:p>
          <w:p w14:paraId="1D0C8109" w14:textId="77777777" w:rsidR="008E6B40" w:rsidRPr="001012CC" w:rsidRDefault="008E6B40" w:rsidP="00FF3EAD">
            <w:pPr>
              <w:keepNext w:val="0"/>
              <w:numPr>
                <w:ilvl w:val="0"/>
                <w:numId w:val="29"/>
              </w:numPr>
              <w:tabs>
                <w:tab w:val="left" w:pos="680"/>
                <w:tab w:val="left" w:pos="851"/>
                <w:tab w:val="left" w:pos="1133"/>
                <w:tab w:val="left" w:pos="2267"/>
              </w:tabs>
              <w:spacing w:before="0"/>
              <w:ind w:right="284"/>
              <w:rPr>
                <w:rFonts w:eastAsia="Arial" w:cs="Arial"/>
                <w:bCs/>
                <w:color w:val="0070C0"/>
              </w:rPr>
            </w:pPr>
            <w:r w:rsidRPr="003C7E62">
              <w:rPr>
                <w:rFonts w:eastAsia="Arial" w:cs="Arial"/>
                <w:bCs/>
                <w:color w:val="auto"/>
              </w:rPr>
              <w:t>Supporting the provision of infrastructure to meet health and wellbeing needs.</w:t>
            </w:r>
          </w:p>
          <w:p w14:paraId="2BD756F5" w14:textId="730EBEE3" w:rsidR="001012CC" w:rsidRPr="003C7E62" w:rsidRDefault="001012CC" w:rsidP="001012CC">
            <w:pPr>
              <w:keepNext w:val="0"/>
              <w:tabs>
                <w:tab w:val="left" w:pos="680"/>
                <w:tab w:val="left" w:pos="851"/>
                <w:tab w:val="left" w:pos="1133"/>
                <w:tab w:val="left" w:pos="2267"/>
              </w:tabs>
              <w:spacing w:before="0"/>
              <w:ind w:right="284"/>
              <w:rPr>
                <w:rFonts w:eastAsia="Arial" w:cs="Arial"/>
                <w:bCs/>
                <w:color w:val="0070C0"/>
              </w:rPr>
            </w:pPr>
          </w:p>
        </w:tc>
      </w:tr>
      <w:bookmarkEnd w:id="110"/>
      <w:tr w:rsidR="00C474FF" w:rsidRPr="00C474FF" w14:paraId="73E9D7A5" w14:textId="77777777" w:rsidTr="005334C0">
        <w:tc>
          <w:tcPr>
            <w:tcW w:w="1555" w:type="dxa"/>
            <w:shd w:val="clear" w:color="auto" w:fill="FFFFFF" w:themeFill="background1"/>
          </w:tcPr>
          <w:p w14:paraId="68782221" w14:textId="77777777" w:rsidR="008E6B40" w:rsidRPr="00C474FF" w:rsidRDefault="008E6B40" w:rsidP="00386A0E">
            <w:pPr>
              <w:keepNext w:val="0"/>
              <w:tabs>
                <w:tab w:val="left" w:pos="680"/>
                <w:tab w:val="left" w:pos="1133"/>
                <w:tab w:val="left" w:pos="2267"/>
              </w:tabs>
              <w:spacing w:before="0"/>
              <w:ind w:right="284"/>
              <w:rPr>
                <w:rFonts w:eastAsia="Arial" w:cs="Arial"/>
                <w:bCs/>
                <w:szCs w:val="24"/>
              </w:rPr>
            </w:pPr>
            <w:r w:rsidRPr="00C474FF">
              <w:rPr>
                <w:rFonts w:eastAsia="Arial" w:cs="Arial"/>
                <w:bCs/>
                <w:sz w:val="20"/>
              </w:rPr>
              <w:t>Evidence base</w:t>
            </w:r>
          </w:p>
        </w:tc>
        <w:tc>
          <w:tcPr>
            <w:tcW w:w="8079" w:type="dxa"/>
            <w:gridSpan w:val="2"/>
            <w:shd w:val="clear" w:color="auto" w:fill="FFFFFF" w:themeFill="background1"/>
          </w:tcPr>
          <w:p w14:paraId="40D09BA2" w14:textId="7B453A74" w:rsidR="00C716F6" w:rsidRPr="00C474FF" w:rsidRDefault="00C716F6" w:rsidP="00FF3EAD">
            <w:pPr>
              <w:keepNext w:val="0"/>
              <w:numPr>
                <w:ilvl w:val="0"/>
                <w:numId w:val="31"/>
              </w:numPr>
              <w:spacing w:before="0" w:after="160" w:line="252" w:lineRule="auto"/>
              <w:contextualSpacing/>
              <w:rPr>
                <w:rFonts w:eastAsia="Calibri" w:cs="Arial"/>
                <w:bCs/>
                <w:sz w:val="20"/>
                <w:lang w:eastAsia="en-US"/>
              </w:rPr>
            </w:pPr>
            <w:r w:rsidRPr="00C474FF">
              <w:rPr>
                <w:rFonts w:eastAsia="Arial" w:cs="Arial"/>
                <w:bCs/>
                <w:sz w:val="20"/>
              </w:rPr>
              <w:t>Sustainability Appraisal</w:t>
            </w:r>
            <w:r w:rsidR="00E0659F" w:rsidRPr="00C474FF">
              <w:rPr>
                <w:rFonts w:eastAsia="Arial" w:cs="Arial"/>
                <w:bCs/>
                <w:sz w:val="20"/>
              </w:rPr>
              <w:t>, 202</w:t>
            </w:r>
            <w:r w:rsidR="00B80DEC" w:rsidRPr="00C474FF">
              <w:rPr>
                <w:rFonts w:eastAsia="Arial" w:cs="Arial"/>
                <w:bCs/>
                <w:sz w:val="20"/>
              </w:rPr>
              <w:t>3</w:t>
            </w:r>
            <w:r w:rsidR="00E0659F" w:rsidRPr="00C474FF">
              <w:rPr>
                <w:rFonts w:eastAsia="Arial" w:cs="Arial"/>
                <w:bCs/>
                <w:sz w:val="20"/>
              </w:rPr>
              <w:t>.</w:t>
            </w:r>
            <w:r w:rsidR="00B80DEC" w:rsidRPr="00C474FF">
              <w:t xml:space="preserve"> </w:t>
            </w:r>
            <w:r w:rsidR="00B80DEC" w:rsidRPr="00C474FF">
              <w:rPr>
                <w:rFonts w:eastAsia="Arial" w:cs="Arial"/>
                <w:bCs/>
                <w:sz w:val="20"/>
              </w:rPr>
              <w:t>WSP UK Limited</w:t>
            </w:r>
            <w:r w:rsidR="00E0659F" w:rsidRPr="00C474FF">
              <w:rPr>
                <w:rFonts w:eastAsia="Arial" w:cs="Arial"/>
                <w:bCs/>
                <w:sz w:val="20"/>
              </w:rPr>
              <w:t>.</w:t>
            </w:r>
          </w:p>
          <w:p w14:paraId="63C23F27" w14:textId="0342E3E4" w:rsidR="008E6B40" w:rsidRPr="00C474FF" w:rsidRDefault="008E6B40" w:rsidP="00FF3EAD">
            <w:pPr>
              <w:keepNext w:val="0"/>
              <w:numPr>
                <w:ilvl w:val="0"/>
                <w:numId w:val="31"/>
              </w:numPr>
              <w:spacing w:before="0" w:after="160" w:line="252" w:lineRule="auto"/>
              <w:contextualSpacing/>
              <w:rPr>
                <w:rFonts w:eastAsia="Calibri" w:cs="Arial"/>
                <w:bCs/>
                <w:sz w:val="20"/>
                <w:lang w:eastAsia="en-US"/>
              </w:rPr>
            </w:pPr>
            <w:r w:rsidRPr="00C474FF">
              <w:rPr>
                <w:rFonts w:eastAsia="Calibri" w:cs="Arial"/>
                <w:bCs/>
                <w:sz w:val="20"/>
                <w:lang w:eastAsia="en-US"/>
              </w:rPr>
              <w:t>Ashfield Local Authority Health Profile 2019 - Public Health England</w:t>
            </w:r>
            <w:r w:rsidR="00E0659F" w:rsidRPr="00C474FF">
              <w:rPr>
                <w:rFonts w:eastAsia="Calibri" w:cs="Arial"/>
                <w:bCs/>
                <w:sz w:val="20"/>
                <w:lang w:eastAsia="en-US"/>
              </w:rPr>
              <w:t>.</w:t>
            </w:r>
          </w:p>
          <w:p w14:paraId="382D5D9F" w14:textId="5D241072" w:rsidR="00ED500C" w:rsidRPr="00C474FF" w:rsidRDefault="00ED500C" w:rsidP="00FF3EAD">
            <w:pPr>
              <w:keepNext w:val="0"/>
              <w:numPr>
                <w:ilvl w:val="0"/>
                <w:numId w:val="31"/>
              </w:numPr>
              <w:spacing w:before="0" w:after="160" w:line="252" w:lineRule="auto"/>
              <w:contextualSpacing/>
              <w:rPr>
                <w:rFonts w:eastAsia="Calibri" w:cs="Arial"/>
                <w:bCs/>
                <w:sz w:val="20"/>
                <w:lang w:eastAsia="en-US"/>
              </w:rPr>
            </w:pPr>
            <w:bookmarkStart w:id="112" w:name="_Hlk79163247"/>
            <w:r w:rsidRPr="00C474FF">
              <w:rPr>
                <w:rFonts w:eastAsia="Calibri" w:cs="Arial"/>
                <w:bCs/>
                <w:sz w:val="20"/>
                <w:lang w:eastAsia="en-US"/>
              </w:rPr>
              <w:t>Ashfield Health and Wellbeing Partnership Strategy Be Healthy, Be Happy, 2021 – 2025 Ashfield Health and Wellbeing Partnership.</w:t>
            </w:r>
          </w:p>
          <w:p w14:paraId="2DFD9BFA" w14:textId="5B50F72F" w:rsidR="008E6B40" w:rsidRPr="00C474FF" w:rsidRDefault="008E6B40" w:rsidP="00FF3EAD">
            <w:pPr>
              <w:keepNext w:val="0"/>
              <w:numPr>
                <w:ilvl w:val="0"/>
                <w:numId w:val="31"/>
              </w:numPr>
              <w:spacing w:before="0" w:after="160" w:line="252" w:lineRule="auto"/>
              <w:contextualSpacing/>
              <w:rPr>
                <w:rFonts w:eastAsia="Calibri" w:cs="Arial"/>
                <w:bCs/>
                <w:sz w:val="20"/>
                <w:lang w:eastAsia="en-US"/>
              </w:rPr>
            </w:pPr>
            <w:bookmarkStart w:id="113" w:name="_Hlk75842560"/>
            <w:bookmarkEnd w:id="112"/>
            <w:r w:rsidRPr="00C474FF">
              <w:rPr>
                <w:rFonts w:eastAsia="Calibri" w:cs="Arial"/>
                <w:bCs/>
                <w:sz w:val="20"/>
                <w:lang w:eastAsia="en-US"/>
              </w:rPr>
              <w:t>Nottinghamshire Health and Wellbeing Board Joint Health and Wellbeing Strategy 20</w:t>
            </w:r>
            <w:r w:rsidR="00B80DEC" w:rsidRPr="00C474FF">
              <w:rPr>
                <w:rFonts w:eastAsia="Calibri" w:cs="Arial"/>
                <w:bCs/>
                <w:sz w:val="20"/>
                <w:lang w:eastAsia="en-US"/>
              </w:rPr>
              <w:t>22</w:t>
            </w:r>
            <w:r w:rsidRPr="00C474FF">
              <w:rPr>
                <w:rFonts w:eastAsia="Calibri" w:cs="Arial"/>
                <w:bCs/>
                <w:sz w:val="20"/>
                <w:lang w:eastAsia="en-US"/>
              </w:rPr>
              <w:t xml:space="preserve"> – 202</w:t>
            </w:r>
            <w:r w:rsidR="00B80DEC" w:rsidRPr="00C474FF">
              <w:rPr>
                <w:rFonts w:eastAsia="Calibri" w:cs="Arial"/>
                <w:bCs/>
                <w:sz w:val="20"/>
                <w:lang w:eastAsia="en-US"/>
              </w:rPr>
              <w:t>6</w:t>
            </w:r>
            <w:r w:rsidR="00E0659F" w:rsidRPr="00C474FF">
              <w:rPr>
                <w:rFonts w:eastAsia="Calibri" w:cs="Arial"/>
                <w:bCs/>
                <w:sz w:val="20"/>
                <w:lang w:eastAsia="en-US"/>
              </w:rPr>
              <w:t xml:space="preserve">.  </w:t>
            </w:r>
            <w:r w:rsidRPr="00C474FF">
              <w:rPr>
                <w:rFonts w:eastAsia="Calibri" w:cs="Arial"/>
                <w:bCs/>
                <w:sz w:val="20"/>
                <w:lang w:eastAsia="en-US"/>
              </w:rPr>
              <w:t>Nottinghamshire County Council/ Nottinghamshire Health &amp; Wellbeing Board</w:t>
            </w:r>
            <w:r w:rsidR="00E0659F" w:rsidRPr="00C474FF">
              <w:rPr>
                <w:rFonts w:eastAsia="Calibri" w:cs="Arial"/>
                <w:bCs/>
                <w:sz w:val="20"/>
                <w:lang w:eastAsia="en-US"/>
              </w:rPr>
              <w:t>.</w:t>
            </w:r>
            <w:r w:rsidRPr="00C474FF">
              <w:rPr>
                <w:rFonts w:eastAsia="Calibri" w:cs="Arial"/>
                <w:bCs/>
                <w:sz w:val="20"/>
                <w:lang w:eastAsia="en-US"/>
              </w:rPr>
              <w:t xml:space="preserve"> </w:t>
            </w:r>
          </w:p>
          <w:bookmarkEnd w:id="113"/>
          <w:p w14:paraId="231A9BBC" w14:textId="2056A0DD" w:rsidR="008E6B40" w:rsidRPr="00C474FF" w:rsidRDefault="008E6B40" w:rsidP="00FF3EAD">
            <w:pPr>
              <w:keepNext w:val="0"/>
              <w:numPr>
                <w:ilvl w:val="0"/>
                <w:numId w:val="31"/>
              </w:numPr>
              <w:spacing w:before="0" w:after="160" w:line="252" w:lineRule="auto"/>
              <w:contextualSpacing/>
              <w:rPr>
                <w:rFonts w:eastAsia="Arial" w:cs="Arial"/>
                <w:bCs/>
                <w:sz w:val="20"/>
              </w:rPr>
            </w:pPr>
            <w:r w:rsidRPr="00C474FF">
              <w:rPr>
                <w:rFonts w:eastAsia="Calibri" w:cs="Arial"/>
                <w:bCs/>
                <w:sz w:val="20"/>
                <w:lang w:eastAsia="en-US"/>
              </w:rPr>
              <w:t xml:space="preserve">Marmot Review 'Fair society healthy lives' </w:t>
            </w:r>
            <w:r w:rsidR="00E0659F" w:rsidRPr="00C474FF">
              <w:rPr>
                <w:rFonts w:eastAsia="Calibri" w:cs="Arial"/>
                <w:bCs/>
                <w:sz w:val="20"/>
                <w:lang w:eastAsia="en-US"/>
              </w:rPr>
              <w:t xml:space="preserve">2010.  </w:t>
            </w:r>
            <w:r w:rsidRPr="00C474FF">
              <w:rPr>
                <w:rFonts w:eastAsia="Calibri" w:cs="Arial"/>
                <w:bCs/>
                <w:sz w:val="20"/>
                <w:lang w:eastAsia="en-US"/>
              </w:rPr>
              <w:t>UCL/Marmot</w:t>
            </w:r>
            <w:r w:rsidR="00E0659F" w:rsidRPr="00C474FF">
              <w:rPr>
                <w:rFonts w:eastAsia="Calibri" w:cs="Arial"/>
                <w:bCs/>
                <w:sz w:val="20"/>
                <w:lang w:eastAsia="en-US"/>
              </w:rPr>
              <w:t>.</w:t>
            </w:r>
          </w:p>
          <w:p w14:paraId="1ECE3275" w14:textId="1188EA0A" w:rsidR="0000339F" w:rsidRPr="00C474FF" w:rsidRDefault="0000339F" w:rsidP="00FF3EAD">
            <w:pPr>
              <w:keepNext w:val="0"/>
              <w:numPr>
                <w:ilvl w:val="0"/>
                <w:numId w:val="31"/>
              </w:numPr>
              <w:spacing w:before="0" w:after="160" w:line="252" w:lineRule="auto"/>
              <w:contextualSpacing/>
              <w:rPr>
                <w:rFonts w:eastAsia="Arial" w:cs="Arial"/>
                <w:bCs/>
                <w:sz w:val="20"/>
              </w:rPr>
            </w:pPr>
            <w:r w:rsidRPr="00C474FF">
              <w:rPr>
                <w:rFonts w:eastAsia="Arial" w:cs="Arial"/>
                <w:bCs/>
                <w:sz w:val="20"/>
              </w:rPr>
              <w:t>Active Design 2015 Sport England.</w:t>
            </w:r>
          </w:p>
          <w:p w14:paraId="1590A3F4" w14:textId="5E9B1733" w:rsidR="0000339F" w:rsidRPr="00C474FF" w:rsidRDefault="0000339F" w:rsidP="00FF3EAD">
            <w:pPr>
              <w:keepNext w:val="0"/>
              <w:numPr>
                <w:ilvl w:val="0"/>
                <w:numId w:val="31"/>
              </w:numPr>
              <w:spacing w:before="0" w:after="160" w:line="252" w:lineRule="auto"/>
              <w:contextualSpacing/>
              <w:rPr>
                <w:rFonts w:eastAsia="Arial" w:cs="Arial"/>
                <w:bCs/>
                <w:sz w:val="20"/>
              </w:rPr>
            </w:pPr>
            <w:r w:rsidRPr="00C474FF">
              <w:rPr>
                <w:rFonts w:eastAsia="Arial" w:cs="Arial"/>
                <w:bCs/>
                <w:sz w:val="20"/>
              </w:rPr>
              <w:t>Handbook Designing for physical activity 2021, Sports England.</w:t>
            </w:r>
          </w:p>
          <w:p w14:paraId="7ED5EE58" w14:textId="79BDEA00" w:rsidR="00EF2146" w:rsidRPr="00C474FF" w:rsidRDefault="00EF2146" w:rsidP="00FF3EAD">
            <w:pPr>
              <w:keepNext w:val="0"/>
              <w:numPr>
                <w:ilvl w:val="0"/>
                <w:numId w:val="31"/>
              </w:numPr>
              <w:spacing w:before="0" w:after="160" w:line="252" w:lineRule="auto"/>
              <w:contextualSpacing/>
              <w:rPr>
                <w:rFonts w:eastAsia="Arial" w:cs="Arial"/>
                <w:bCs/>
                <w:sz w:val="20"/>
              </w:rPr>
            </w:pPr>
            <w:r w:rsidRPr="00C474FF">
              <w:rPr>
                <w:rFonts w:eastAsia="Arial" w:cs="Arial"/>
                <w:bCs/>
                <w:sz w:val="20"/>
              </w:rPr>
              <w:t>Wellbeing benefits from natural environments rich in wildlife, 2015. A literature review for The Wildlife Trusts: By the University of Essex.</w:t>
            </w:r>
          </w:p>
          <w:p w14:paraId="6F037D46" w14:textId="6EBE4CAE" w:rsidR="00B84C2F" w:rsidRPr="00C474FF" w:rsidRDefault="00B84C2F" w:rsidP="00FF3EAD">
            <w:pPr>
              <w:keepNext w:val="0"/>
              <w:numPr>
                <w:ilvl w:val="0"/>
                <w:numId w:val="31"/>
              </w:numPr>
              <w:spacing w:before="0" w:after="160" w:line="252" w:lineRule="auto"/>
              <w:contextualSpacing/>
              <w:rPr>
                <w:rFonts w:eastAsia="Arial" w:cs="Arial"/>
                <w:bCs/>
                <w:sz w:val="20"/>
              </w:rPr>
            </w:pPr>
            <w:r w:rsidRPr="00C474FF">
              <w:rPr>
                <w:rFonts w:eastAsia="Arial" w:cs="Arial"/>
                <w:bCs/>
                <w:sz w:val="20"/>
              </w:rPr>
              <w:t>Build Back Fairness in Greater Manchester: Health Equality and Dignified Lives, June 2021.  Institute of Health Equity</w:t>
            </w:r>
            <w:r w:rsidR="00E0659F" w:rsidRPr="00C474FF">
              <w:rPr>
                <w:rFonts w:eastAsia="Arial" w:cs="Arial"/>
                <w:bCs/>
                <w:sz w:val="20"/>
              </w:rPr>
              <w:t>.</w:t>
            </w:r>
          </w:p>
        </w:tc>
      </w:tr>
      <w:tr w:rsidR="00C474FF" w:rsidRPr="00C474FF" w14:paraId="197D3691" w14:textId="77777777" w:rsidTr="005334C0">
        <w:tc>
          <w:tcPr>
            <w:tcW w:w="1555" w:type="dxa"/>
            <w:shd w:val="clear" w:color="auto" w:fill="FFFFFF" w:themeFill="background1"/>
          </w:tcPr>
          <w:p w14:paraId="6D02C076" w14:textId="72B4EE43" w:rsidR="008E6B40" w:rsidRPr="00C474FF" w:rsidRDefault="008E6B40" w:rsidP="00386A0E">
            <w:pPr>
              <w:keepNext w:val="0"/>
              <w:tabs>
                <w:tab w:val="left" w:pos="680"/>
                <w:tab w:val="left" w:pos="1133"/>
                <w:tab w:val="left" w:pos="2267"/>
              </w:tabs>
              <w:spacing w:before="0"/>
              <w:ind w:right="284"/>
              <w:contextualSpacing/>
              <w:rPr>
                <w:rFonts w:eastAsia="Arial" w:cs="Arial"/>
                <w:bCs/>
                <w:szCs w:val="24"/>
              </w:rPr>
            </w:pPr>
            <w:r w:rsidRPr="00C474FF">
              <w:rPr>
                <w:rFonts w:eastAsia="Arial" w:cs="Arial"/>
                <w:bCs/>
                <w:sz w:val="20"/>
              </w:rPr>
              <w:t>National Planning Policy</w:t>
            </w:r>
            <w:r w:rsidR="00B8736C" w:rsidRPr="00C474FF">
              <w:rPr>
                <w:rFonts w:eastAsia="Arial" w:cs="Arial"/>
                <w:bCs/>
                <w:sz w:val="20"/>
              </w:rPr>
              <w:t xml:space="preserve"> and</w:t>
            </w:r>
            <w:r w:rsidRPr="00C474FF">
              <w:rPr>
                <w:rFonts w:eastAsia="Arial" w:cs="Arial"/>
                <w:bCs/>
                <w:sz w:val="20"/>
              </w:rPr>
              <w:t xml:space="preserve"> Guidance</w:t>
            </w:r>
          </w:p>
        </w:tc>
        <w:tc>
          <w:tcPr>
            <w:tcW w:w="8079" w:type="dxa"/>
            <w:gridSpan w:val="2"/>
            <w:shd w:val="clear" w:color="auto" w:fill="FFFFFF" w:themeFill="background1"/>
          </w:tcPr>
          <w:p w14:paraId="601DEE0C" w14:textId="2B612A87" w:rsidR="008E6B40" w:rsidRPr="00C474FF" w:rsidRDefault="00C716F6" w:rsidP="00FF3EAD">
            <w:pPr>
              <w:keepNext w:val="0"/>
              <w:numPr>
                <w:ilvl w:val="0"/>
                <w:numId w:val="13"/>
              </w:numPr>
              <w:spacing w:before="0" w:after="160" w:line="252" w:lineRule="auto"/>
              <w:contextualSpacing/>
              <w:rPr>
                <w:rFonts w:cs="Arial"/>
                <w:bCs/>
                <w:sz w:val="20"/>
                <w:lang w:eastAsia="en-US"/>
              </w:rPr>
            </w:pPr>
            <w:r w:rsidRPr="00C474FF">
              <w:rPr>
                <w:rFonts w:eastAsia="Arial" w:cs="Arial"/>
                <w:bCs/>
                <w:sz w:val="20"/>
              </w:rPr>
              <w:t xml:space="preserve">NPPF </w:t>
            </w:r>
            <w:r w:rsidR="00E0659F" w:rsidRPr="00C474FF">
              <w:rPr>
                <w:rFonts w:eastAsia="Arial" w:cs="Arial"/>
                <w:bCs/>
                <w:sz w:val="20"/>
              </w:rPr>
              <w:t>20</w:t>
            </w:r>
            <w:r w:rsidR="00AE71BE" w:rsidRPr="00C474FF">
              <w:rPr>
                <w:rFonts w:eastAsia="Arial" w:cs="Arial"/>
                <w:bCs/>
                <w:sz w:val="20"/>
              </w:rPr>
              <w:t>2</w:t>
            </w:r>
            <w:r w:rsidR="00616B41" w:rsidRPr="00C474FF">
              <w:rPr>
                <w:rFonts w:eastAsia="Arial" w:cs="Arial"/>
                <w:bCs/>
                <w:sz w:val="20"/>
              </w:rPr>
              <w:t>3</w:t>
            </w:r>
            <w:r w:rsidR="00E0659F" w:rsidRPr="00C474FF">
              <w:rPr>
                <w:rFonts w:eastAsia="Arial" w:cs="Arial"/>
                <w:bCs/>
                <w:sz w:val="20"/>
              </w:rPr>
              <w:t xml:space="preserve">, </w:t>
            </w:r>
            <w:r w:rsidR="008E6B40" w:rsidRPr="00C474FF">
              <w:rPr>
                <w:rFonts w:eastAsia="Arial" w:cs="Arial"/>
                <w:bCs/>
                <w:sz w:val="20"/>
              </w:rPr>
              <w:t>Part 2</w:t>
            </w:r>
            <w:r w:rsidR="00E0659F" w:rsidRPr="00C474FF">
              <w:rPr>
                <w:rFonts w:eastAsia="Arial" w:cs="Arial"/>
                <w:bCs/>
                <w:sz w:val="20"/>
              </w:rPr>
              <w:t>:</w:t>
            </w:r>
            <w:r w:rsidR="008E6B40" w:rsidRPr="00C474FF">
              <w:rPr>
                <w:rFonts w:eastAsia="Arial" w:cs="Arial"/>
                <w:bCs/>
                <w:sz w:val="20"/>
              </w:rPr>
              <w:t xml:space="preserve"> Achieving sustainable development</w:t>
            </w:r>
            <w:r w:rsidR="00E0659F" w:rsidRPr="00C474FF">
              <w:rPr>
                <w:rFonts w:eastAsia="Arial" w:cs="Arial"/>
                <w:bCs/>
                <w:sz w:val="20"/>
              </w:rPr>
              <w:t>.</w:t>
            </w:r>
          </w:p>
          <w:p w14:paraId="77421F1E" w14:textId="7E4C26BB" w:rsidR="008E6B40" w:rsidRPr="00C474FF" w:rsidRDefault="00C716F6" w:rsidP="00FF3EAD">
            <w:pPr>
              <w:keepNext w:val="0"/>
              <w:numPr>
                <w:ilvl w:val="0"/>
                <w:numId w:val="13"/>
              </w:numPr>
              <w:spacing w:before="0" w:after="160" w:line="252" w:lineRule="auto"/>
              <w:contextualSpacing/>
              <w:rPr>
                <w:rFonts w:cs="Arial"/>
                <w:bCs/>
                <w:sz w:val="20"/>
                <w:lang w:eastAsia="en-US"/>
              </w:rPr>
            </w:pPr>
            <w:r w:rsidRPr="00C474FF">
              <w:rPr>
                <w:rFonts w:cs="Arial"/>
                <w:bCs/>
                <w:sz w:val="20"/>
                <w:lang w:eastAsia="en-US"/>
              </w:rPr>
              <w:t>NPPF</w:t>
            </w:r>
            <w:r w:rsidR="00E0659F" w:rsidRPr="00C474FF">
              <w:rPr>
                <w:rFonts w:cs="Arial"/>
                <w:bCs/>
                <w:sz w:val="20"/>
                <w:lang w:eastAsia="en-US"/>
              </w:rPr>
              <w:t xml:space="preserve"> 20</w:t>
            </w:r>
            <w:r w:rsidR="00AE71BE" w:rsidRPr="00C474FF">
              <w:rPr>
                <w:rFonts w:cs="Arial"/>
                <w:bCs/>
                <w:sz w:val="20"/>
                <w:lang w:eastAsia="en-US"/>
              </w:rPr>
              <w:t>2</w:t>
            </w:r>
            <w:r w:rsidR="00616B41" w:rsidRPr="00C474FF">
              <w:rPr>
                <w:rFonts w:cs="Arial"/>
                <w:bCs/>
                <w:sz w:val="20"/>
                <w:lang w:eastAsia="en-US"/>
              </w:rPr>
              <w:t>3</w:t>
            </w:r>
            <w:r w:rsidR="00E0659F" w:rsidRPr="00C474FF">
              <w:rPr>
                <w:rFonts w:cs="Arial"/>
                <w:bCs/>
                <w:sz w:val="20"/>
                <w:lang w:eastAsia="en-US"/>
              </w:rPr>
              <w:t xml:space="preserve">, </w:t>
            </w:r>
            <w:r w:rsidR="008E6B40" w:rsidRPr="00C474FF">
              <w:rPr>
                <w:rFonts w:cs="Arial"/>
                <w:bCs/>
                <w:sz w:val="20"/>
                <w:lang w:eastAsia="en-US"/>
              </w:rPr>
              <w:t>Part 8</w:t>
            </w:r>
            <w:r w:rsidR="00E0659F" w:rsidRPr="00C474FF">
              <w:rPr>
                <w:rFonts w:cs="Arial"/>
                <w:bCs/>
                <w:sz w:val="20"/>
                <w:lang w:eastAsia="en-US"/>
              </w:rPr>
              <w:t>:</w:t>
            </w:r>
            <w:r w:rsidR="008E6B40" w:rsidRPr="00C474FF">
              <w:rPr>
                <w:rFonts w:cs="Arial"/>
                <w:bCs/>
                <w:sz w:val="20"/>
                <w:lang w:eastAsia="en-US"/>
              </w:rPr>
              <w:t xml:space="preserve"> Promoting healthy and safe communities</w:t>
            </w:r>
            <w:r w:rsidR="00E0659F" w:rsidRPr="00C474FF">
              <w:rPr>
                <w:rFonts w:cs="Arial"/>
                <w:bCs/>
                <w:sz w:val="20"/>
                <w:lang w:eastAsia="en-US"/>
              </w:rPr>
              <w:t>.</w:t>
            </w:r>
          </w:p>
          <w:p w14:paraId="3EB0BD28" w14:textId="4A1A06E1" w:rsidR="008E6B40" w:rsidRPr="00C474FF" w:rsidRDefault="00C716F6" w:rsidP="00FF3EAD">
            <w:pPr>
              <w:keepNext w:val="0"/>
              <w:numPr>
                <w:ilvl w:val="0"/>
                <w:numId w:val="13"/>
              </w:numPr>
              <w:spacing w:before="0" w:after="160" w:line="252" w:lineRule="auto"/>
              <w:contextualSpacing/>
              <w:rPr>
                <w:rFonts w:cs="Arial"/>
                <w:bCs/>
                <w:sz w:val="20"/>
                <w:lang w:eastAsia="en-US"/>
              </w:rPr>
            </w:pPr>
            <w:r w:rsidRPr="00C474FF">
              <w:rPr>
                <w:rFonts w:cs="Arial"/>
                <w:bCs/>
                <w:sz w:val="20"/>
                <w:lang w:eastAsia="en-US"/>
              </w:rPr>
              <w:t xml:space="preserve">NPPF </w:t>
            </w:r>
            <w:r w:rsidR="00E0659F" w:rsidRPr="00C474FF">
              <w:rPr>
                <w:rFonts w:cs="Arial"/>
                <w:bCs/>
                <w:sz w:val="20"/>
                <w:lang w:eastAsia="en-US"/>
              </w:rPr>
              <w:t>20</w:t>
            </w:r>
            <w:r w:rsidR="00AE71BE" w:rsidRPr="00C474FF">
              <w:rPr>
                <w:rFonts w:cs="Arial"/>
                <w:bCs/>
                <w:sz w:val="20"/>
                <w:lang w:eastAsia="en-US"/>
              </w:rPr>
              <w:t>2</w:t>
            </w:r>
            <w:r w:rsidR="00616B41" w:rsidRPr="00C474FF">
              <w:rPr>
                <w:rFonts w:cs="Arial"/>
                <w:bCs/>
                <w:sz w:val="20"/>
                <w:lang w:eastAsia="en-US"/>
              </w:rPr>
              <w:t>3</w:t>
            </w:r>
            <w:r w:rsidR="00AE71BE" w:rsidRPr="00C474FF">
              <w:rPr>
                <w:rFonts w:cs="Arial"/>
                <w:bCs/>
                <w:sz w:val="20"/>
                <w:lang w:eastAsia="en-US"/>
              </w:rPr>
              <w:t>,</w:t>
            </w:r>
            <w:r w:rsidR="00E0659F" w:rsidRPr="00C474FF">
              <w:rPr>
                <w:rFonts w:cs="Arial"/>
                <w:bCs/>
                <w:sz w:val="20"/>
                <w:lang w:eastAsia="en-US"/>
              </w:rPr>
              <w:t xml:space="preserve"> </w:t>
            </w:r>
            <w:r w:rsidR="008E6B40" w:rsidRPr="00C474FF">
              <w:rPr>
                <w:rFonts w:cs="Arial"/>
                <w:bCs/>
                <w:sz w:val="20"/>
                <w:lang w:eastAsia="en-US"/>
              </w:rPr>
              <w:t>Part 12</w:t>
            </w:r>
            <w:r w:rsidR="00E0659F" w:rsidRPr="00C474FF">
              <w:rPr>
                <w:rFonts w:cs="Arial"/>
                <w:bCs/>
                <w:sz w:val="20"/>
                <w:lang w:eastAsia="en-US"/>
              </w:rPr>
              <w:t>:</w:t>
            </w:r>
            <w:r w:rsidR="008E6B40" w:rsidRPr="00C474FF">
              <w:rPr>
                <w:rFonts w:cs="Arial"/>
                <w:bCs/>
                <w:sz w:val="20"/>
                <w:lang w:eastAsia="en-US"/>
              </w:rPr>
              <w:t xml:space="preserve"> Achieving well designed places</w:t>
            </w:r>
            <w:r w:rsidR="00E0659F" w:rsidRPr="00C474FF">
              <w:rPr>
                <w:rFonts w:cs="Arial"/>
                <w:bCs/>
                <w:sz w:val="20"/>
                <w:lang w:eastAsia="en-US"/>
              </w:rPr>
              <w:t>.</w:t>
            </w:r>
          </w:p>
          <w:p w14:paraId="732BB85F" w14:textId="799FD8A0" w:rsidR="008E6B40" w:rsidRPr="00C474FF" w:rsidRDefault="008E6B40" w:rsidP="00FF3EAD">
            <w:pPr>
              <w:keepNext w:val="0"/>
              <w:numPr>
                <w:ilvl w:val="0"/>
                <w:numId w:val="13"/>
              </w:numPr>
              <w:spacing w:before="0" w:after="160" w:line="252" w:lineRule="auto"/>
              <w:contextualSpacing/>
              <w:rPr>
                <w:rFonts w:cs="Arial"/>
                <w:bCs/>
                <w:sz w:val="20"/>
                <w:lang w:eastAsia="en-US"/>
              </w:rPr>
            </w:pPr>
            <w:bookmarkStart w:id="114" w:name="_Hlk139635283"/>
            <w:r w:rsidRPr="00C474FF">
              <w:rPr>
                <w:rFonts w:eastAsia="Calibri" w:cs="Arial"/>
                <w:bCs/>
                <w:sz w:val="20"/>
                <w:lang w:eastAsia="en-US"/>
              </w:rPr>
              <w:t>Planning Practice Guidance</w:t>
            </w:r>
            <w:r w:rsidR="00E0659F" w:rsidRPr="00C474FF">
              <w:rPr>
                <w:rFonts w:eastAsia="Calibri" w:cs="Arial"/>
                <w:bCs/>
                <w:sz w:val="20"/>
                <w:lang w:eastAsia="en-US"/>
              </w:rPr>
              <w:t>:</w:t>
            </w:r>
            <w:r w:rsidRPr="00C474FF">
              <w:rPr>
                <w:rFonts w:eastAsia="Calibri" w:cs="Arial"/>
                <w:bCs/>
                <w:sz w:val="20"/>
                <w:lang w:eastAsia="en-US"/>
              </w:rPr>
              <w:t xml:space="preserve"> Healthy and safe communities</w:t>
            </w:r>
            <w:r w:rsidR="00E0659F" w:rsidRPr="00C474FF">
              <w:rPr>
                <w:rFonts w:eastAsia="Calibri" w:cs="Arial"/>
                <w:bCs/>
                <w:sz w:val="20"/>
                <w:lang w:eastAsia="en-US"/>
              </w:rPr>
              <w:t xml:space="preserve"> as </w:t>
            </w:r>
            <w:r w:rsidR="009D1815" w:rsidRPr="00C474FF">
              <w:rPr>
                <w:rFonts w:eastAsia="Calibri" w:cs="Arial"/>
                <w:bCs/>
                <w:sz w:val="20"/>
                <w:lang w:eastAsia="en-US"/>
              </w:rPr>
              <w:t>of</w:t>
            </w:r>
            <w:r w:rsidR="00E0659F" w:rsidRPr="00C474FF">
              <w:rPr>
                <w:rFonts w:eastAsia="Calibri" w:cs="Arial"/>
                <w:bCs/>
                <w:sz w:val="20"/>
                <w:lang w:eastAsia="en-US"/>
              </w:rPr>
              <w:t xml:space="preserve"> August 202</w:t>
            </w:r>
            <w:r w:rsidR="00B80DEC" w:rsidRPr="00C474FF">
              <w:rPr>
                <w:rFonts w:eastAsia="Calibri" w:cs="Arial"/>
                <w:bCs/>
                <w:sz w:val="20"/>
                <w:lang w:eastAsia="en-US"/>
              </w:rPr>
              <w:t>2.</w:t>
            </w:r>
          </w:p>
          <w:p w14:paraId="7AD005D8" w14:textId="495C4D02" w:rsidR="008E6B40" w:rsidRPr="00C474FF" w:rsidRDefault="008E6B40" w:rsidP="00FF3EAD">
            <w:pPr>
              <w:keepNext w:val="0"/>
              <w:numPr>
                <w:ilvl w:val="0"/>
                <w:numId w:val="13"/>
              </w:numPr>
              <w:spacing w:before="0" w:after="160" w:line="252" w:lineRule="auto"/>
              <w:contextualSpacing/>
              <w:rPr>
                <w:rFonts w:cs="Arial"/>
                <w:bCs/>
                <w:sz w:val="20"/>
                <w:lang w:eastAsia="en-US"/>
              </w:rPr>
            </w:pPr>
            <w:r w:rsidRPr="00C474FF">
              <w:rPr>
                <w:rFonts w:cs="Arial"/>
                <w:bCs/>
                <w:sz w:val="20"/>
                <w:lang w:eastAsia="en-US"/>
              </w:rPr>
              <w:t>Planning Practice Guidance</w:t>
            </w:r>
            <w:r w:rsidR="00E0659F" w:rsidRPr="00C474FF">
              <w:rPr>
                <w:rFonts w:cs="Arial"/>
                <w:bCs/>
                <w:sz w:val="20"/>
                <w:lang w:eastAsia="en-US"/>
              </w:rPr>
              <w:t>:</w:t>
            </w:r>
            <w:r w:rsidRPr="00C474FF">
              <w:rPr>
                <w:rFonts w:cs="Arial"/>
                <w:bCs/>
                <w:sz w:val="20"/>
                <w:lang w:eastAsia="en-US"/>
              </w:rPr>
              <w:t xml:space="preserve"> Open space, sports and recreation facilities, public rights of way and local green space</w:t>
            </w:r>
            <w:r w:rsidR="00E0659F" w:rsidRPr="00C474FF">
              <w:rPr>
                <w:rFonts w:cs="Arial"/>
                <w:bCs/>
                <w:sz w:val="20"/>
                <w:lang w:eastAsia="en-US"/>
              </w:rPr>
              <w:t xml:space="preserve"> as at </w:t>
            </w:r>
            <w:r w:rsidR="00B80DEC" w:rsidRPr="00C474FF">
              <w:rPr>
                <w:rFonts w:cs="Arial"/>
                <w:bCs/>
                <w:sz w:val="20"/>
                <w:lang w:eastAsia="en-US"/>
              </w:rPr>
              <w:t>March 2014.</w:t>
            </w:r>
            <w:bookmarkEnd w:id="114"/>
          </w:p>
        </w:tc>
      </w:tr>
    </w:tbl>
    <w:p w14:paraId="73A31F55" w14:textId="77777777" w:rsidR="008E6B40" w:rsidRPr="00C474FF" w:rsidRDefault="008E6B40" w:rsidP="006E2655">
      <w:pPr>
        <w:keepNext w:val="0"/>
        <w:tabs>
          <w:tab w:val="left" w:pos="680"/>
          <w:tab w:val="left" w:pos="1133"/>
          <w:tab w:val="left" w:pos="2267"/>
        </w:tabs>
        <w:spacing w:before="0"/>
        <w:ind w:left="283" w:right="284"/>
        <w:rPr>
          <w:rFonts w:eastAsia="Arial" w:cs="Arial"/>
          <w:b/>
          <w:szCs w:val="24"/>
        </w:rPr>
      </w:pPr>
    </w:p>
    <w:p w14:paraId="2838BA7A" w14:textId="5DEAE1D4" w:rsidR="006A10D4" w:rsidRPr="003C7E62" w:rsidRDefault="008E6B40" w:rsidP="00874A98">
      <w:pPr>
        <w:keepNext w:val="0"/>
        <w:numPr>
          <w:ilvl w:val="1"/>
          <w:numId w:val="103"/>
        </w:numPr>
        <w:spacing w:before="0"/>
        <w:ind w:left="851" w:hanging="851"/>
        <w:rPr>
          <w:rFonts w:cs="Arial"/>
          <w:color w:val="auto"/>
          <w:szCs w:val="24"/>
          <w:lang w:eastAsia="en-US"/>
        </w:rPr>
      </w:pPr>
      <w:bookmarkStart w:id="115" w:name="_Hlk75361377"/>
      <w:r w:rsidRPr="003C7E62">
        <w:rPr>
          <w:rFonts w:eastAsia="Calibri" w:cs="Arial"/>
          <w:color w:val="auto"/>
          <w:szCs w:val="22"/>
          <w:lang w:eastAsia="en-US"/>
        </w:rPr>
        <w:t xml:space="preserve">Health and wellbeing issues are complex and are cross cutting throughout the Local Plan and Planning is just one of many influencing factors on health and wellbeing.  The </w:t>
      </w:r>
      <w:r w:rsidR="00215F98">
        <w:rPr>
          <w:rFonts w:eastAsia="Calibri" w:cs="Arial"/>
          <w:color w:val="auto"/>
          <w:szCs w:val="22"/>
          <w:lang w:eastAsia="en-US"/>
        </w:rPr>
        <w:t>P</w:t>
      </w:r>
      <w:r w:rsidRPr="003C7E62">
        <w:rPr>
          <w:rFonts w:eastAsia="Calibri" w:cs="Arial"/>
          <w:color w:val="auto"/>
          <w:szCs w:val="22"/>
          <w:lang w:eastAsia="en-US"/>
        </w:rPr>
        <w:t xml:space="preserve">olicy looks to reduce health inequalities, which can be defined as differences in health status or in the distribution of health determinants between different population groups. For example, differences in mobility between elderly people and younger populations or differences in mortality rates between people from different social classes. </w:t>
      </w:r>
      <w:bookmarkEnd w:id="115"/>
      <w:r w:rsidR="00544C2E" w:rsidRPr="003C7E62">
        <w:rPr>
          <w:rFonts w:eastAsia="Calibri" w:cs="Arial"/>
          <w:color w:val="auto"/>
          <w:szCs w:val="22"/>
          <w:lang w:eastAsia="en-US"/>
        </w:rPr>
        <w:t>Health inequality relate</w:t>
      </w:r>
      <w:r w:rsidR="006A10D4" w:rsidRPr="003C7E62">
        <w:rPr>
          <w:rFonts w:eastAsia="Calibri" w:cs="Arial"/>
          <w:color w:val="auto"/>
          <w:szCs w:val="22"/>
          <w:lang w:eastAsia="en-US"/>
        </w:rPr>
        <w:t>s</w:t>
      </w:r>
      <w:r w:rsidR="00544C2E" w:rsidRPr="003C7E62">
        <w:rPr>
          <w:rFonts w:eastAsia="Calibri" w:cs="Arial"/>
          <w:color w:val="auto"/>
          <w:szCs w:val="22"/>
          <w:lang w:eastAsia="en-US"/>
        </w:rPr>
        <w:t xml:space="preserve"> to a number of factors such as poor housing, poor education and/or unemployment.  </w:t>
      </w:r>
      <w:bookmarkStart w:id="116" w:name="_Hlk75967089"/>
      <w:r w:rsidR="00544C2E" w:rsidRPr="003C7E62">
        <w:rPr>
          <w:rFonts w:eastAsia="Calibri" w:cs="Arial"/>
          <w:color w:val="auto"/>
          <w:szCs w:val="22"/>
          <w:lang w:eastAsia="en-US"/>
        </w:rPr>
        <w:t xml:space="preserve">The Build back Fairer in Greater Manchester Health Equality and Dignified Lives Report 2021 sets out a number of measures to tackle health inequalities which would be equally applicable to other areas.  This includes that a strong economy can mean high average incomes and good living standards, conditions which contribute to people’s health and wellbeing.  </w:t>
      </w:r>
      <w:bookmarkEnd w:id="116"/>
    </w:p>
    <w:p w14:paraId="7905DB41" w14:textId="5C55641F" w:rsidR="008E6B40" w:rsidRPr="005D0346" w:rsidRDefault="005334C0" w:rsidP="00874A98">
      <w:pPr>
        <w:keepNext w:val="0"/>
        <w:numPr>
          <w:ilvl w:val="1"/>
          <w:numId w:val="103"/>
        </w:numPr>
        <w:spacing w:before="0"/>
        <w:ind w:left="851" w:hanging="851"/>
        <w:rPr>
          <w:rFonts w:cs="Arial"/>
          <w:color w:val="auto"/>
          <w:szCs w:val="24"/>
          <w:lang w:eastAsia="en-US"/>
        </w:rPr>
      </w:pPr>
      <w:r>
        <w:rPr>
          <w:rFonts w:eastAsia="Arial" w:cs="Arial"/>
          <w:color w:val="auto"/>
        </w:rPr>
        <w:t>N</w:t>
      </w:r>
      <w:r w:rsidR="008E6B40" w:rsidRPr="003C7E62">
        <w:rPr>
          <w:rFonts w:eastAsia="Arial" w:cs="Arial"/>
          <w:color w:val="auto"/>
        </w:rPr>
        <w:t>ational Planning Practice Guidance</w:t>
      </w:r>
      <w:r w:rsidR="008E6B40" w:rsidRPr="003C7E62">
        <w:rPr>
          <w:rFonts w:eastAsia="Arial" w:cs="Arial"/>
          <w:color w:val="auto"/>
          <w:vertAlign w:val="superscript"/>
        </w:rPr>
        <w:footnoteReference w:id="72"/>
      </w:r>
      <w:r w:rsidR="008E6B40" w:rsidRPr="003C7E62">
        <w:rPr>
          <w:rFonts w:eastAsia="Arial" w:cs="Arial"/>
          <w:color w:val="auto"/>
        </w:rPr>
        <w:t xml:space="preserve"> highlights the importance of planning in relation to health and wellbeing and working with Health and Wellbeing Boards, </w:t>
      </w:r>
      <w:r w:rsidR="00EC4D30" w:rsidRPr="00C474FF">
        <w:rPr>
          <w:rFonts w:eastAsia="Arial" w:cs="Arial"/>
        </w:rPr>
        <w:t>The Integrated Care Board</w:t>
      </w:r>
      <w:r w:rsidR="008E6B40" w:rsidRPr="00C474FF">
        <w:rPr>
          <w:rFonts w:eastAsia="Arial" w:cs="Arial"/>
          <w:vertAlign w:val="superscript"/>
        </w:rPr>
        <w:footnoteReference w:id="73"/>
      </w:r>
      <w:r w:rsidR="008E6B40" w:rsidRPr="00C474FF">
        <w:rPr>
          <w:rFonts w:eastAsia="Arial" w:cs="Arial"/>
        </w:rPr>
        <w:t xml:space="preserve"> </w:t>
      </w:r>
      <w:r w:rsidR="008E6B40" w:rsidRPr="003C7E62">
        <w:rPr>
          <w:rFonts w:eastAsia="Arial" w:cs="Arial"/>
          <w:color w:val="auto"/>
        </w:rPr>
        <w:t>and other bodies within the NHS.  Nottinghamshire Health and Wellbeing Strategy</w:t>
      </w:r>
      <w:r w:rsidR="008E6B40" w:rsidRPr="003C7E62">
        <w:rPr>
          <w:rFonts w:eastAsia="Arial" w:cs="Arial"/>
          <w:color w:val="auto"/>
          <w:vertAlign w:val="superscript"/>
        </w:rPr>
        <w:footnoteReference w:id="74"/>
      </w:r>
      <w:r w:rsidR="008E6B40" w:rsidRPr="003C7E62">
        <w:rPr>
          <w:rFonts w:eastAsia="Arial" w:cs="Arial"/>
          <w:color w:val="auto"/>
        </w:rPr>
        <w:t xml:space="preserve"> and its delivery plans sets out actions to tackle a number of priorities in relation to health and wellbeing in Nottinghamshire. The policies within the Local Plan will make an important contribution to improving health and wellbeing for the communities of Ashfield.</w:t>
      </w:r>
    </w:p>
    <w:p w14:paraId="0EBB9882" w14:textId="77777777" w:rsidR="005D0346" w:rsidRPr="003C7E62" w:rsidRDefault="005D0346" w:rsidP="005D0346">
      <w:pPr>
        <w:keepNext w:val="0"/>
        <w:spacing w:before="0"/>
        <w:rPr>
          <w:rFonts w:cs="Arial"/>
          <w:color w:val="auto"/>
          <w:szCs w:val="24"/>
          <w:lang w:eastAsia="en-US"/>
        </w:rPr>
      </w:pPr>
    </w:p>
    <w:p w14:paraId="1691ABE0" w14:textId="77777777" w:rsidR="008E6B40" w:rsidRPr="003C7E62" w:rsidRDefault="008E6B40" w:rsidP="00874A98">
      <w:pPr>
        <w:keepNext w:val="0"/>
        <w:numPr>
          <w:ilvl w:val="1"/>
          <w:numId w:val="103"/>
        </w:numPr>
        <w:spacing w:before="0"/>
        <w:ind w:left="851" w:hanging="851"/>
        <w:rPr>
          <w:rFonts w:cs="Arial"/>
          <w:color w:val="auto"/>
          <w:szCs w:val="24"/>
          <w:lang w:eastAsia="en-US"/>
        </w:rPr>
      </w:pPr>
      <w:r w:rsidRPr="003C7E62">
        <w:rPr>
          <w:rFonts w:eastAsia="Arial" w:cs="Arial"/>
          <w:color w:val="auto"/>
        </w:rPr>
        <w:t xml:space="preserve">Working with its partners, the Council will seek to meet the health and wellbeing needs of our residents by addressing the key determinants of health including deprivation, physical environment and encouraging active lifestyles. In land use terms the way that places are planned and designed has a significant influence over whether communities are able to live healthy lives. Local plan policies support health and wellbeing by utilising public health evidence to inform policies and to ensure that new development proposals support improvements to the health/wellbeing of the population. </w:t>
      </w:r>
    </w:p>
    <w:p w14:paraId="6D7B7109" w14:textId="77777777" w:rsidR="008E6B40" w:rsidRPr="003C7E62" w:rsidRDefault="008E6B40" w:rsidP="00F11936">
      <w:pPr>
        <w:pStyle w:val="ListParagraph"/>
        <w:spacing w:after="0" w:line="240" w:lineRule="auto"/>
        <w:rPr>
          <w:rFonts w:ascii="Arial" w:eastAsia="Arial" w:hAnsi="Arial" w:cs="Arial"/>
          <w:bCs/>
          <w:color w:val="auto"/>
        </w:rPr>
      </w:pPr>
      <w:bookmarkStart w:id="117" w:name="_Hlk96080456"/>
    </w:p>
    <w:p w14:paraId="4C80478E" w14:textId="4A94CF73" w:rsidR="000A144B" w:rsidRPr="003C7E62" w:rsidRDefault="008E6B40" w:rsidP="00874A98">
      <w:pPr>
        <w:keepNext w:val="0"/>
        <w:numPr>
          <w:ilvl w:val="1"/>
          <w:numId w:val="103"/>
        </w:numPr>
        <w:spacing w:before="0"/>
        <w:ind w:left="709" w:hanging="709"/>
        <w:rPr>
          <w:rFonts w:cs="Arial"/>
          <w:color w:val="auto"/>
          <w:szCs w:val="24"/>
          <w:lang w:eastAsia="en-US"/>
        </w:rPr>
      </w:pPr>
      <w:r w:rsidRPr="003C7E62">
        <w:rPr>
          <w:rFonts w:eastAsia="Arial" w:cs="Arial"/>
          <w:bCs/>
          <w:color w:val="auto"/>
        </w:rPr>
        <w:t>Development has an important role in providing the necessary infrastructure to encourage physical exercise and health, including accessible open space</w:t>
      </w:r>
      <w:r w:rsidRPr="00C474FF">
        <w:rPr>
          <w:rFonts w:eastAsia="Arial" w:cs="Arial"/>
          <w:bCs/>
        </w:rPr>
        <w:t xml:space="preserve">, </w:t>
      </w:r>
      <w:r w:rsidR="00EF2146" w:rsidRPr="00C474FF">
        <w:rPr>
          <w:rFonts w:eastAsia="Arial" w:cs="Arial"/>
          <w:bCs/>
        </w:rPr>
        <w:t xml:space="preserve">access to nature, </w:t>
      </w:r>
      <w:r w:rsidRPr="00C474FF">
        <w:rPr>
          <w:rFonts w:eastAsia="Arial" w:cs="Arial"/>
          <w:bCs/>
        </w:rPr>
        <w:t xml:space="preserve">vegetation and landscaping, sport and recreation facilities, cultural </w:t>
      </w:r>
      <w:r w:rsidRPr="003C7E62">
        <w:rPr>
          <w:rFonts w:eastAsia="Arial" w:cs="Arial"/>
          <w:bCs/>
          <w:color w:val="auto"/>
        </w:rPr>
        <w:t>facilities and safe, well promoted, walking and cycling routes.</w:t>
      </w:r>
      <w:bookmarkStart w:id="118" w:name="_Hlk76640834"/>
    </w:p>
    <w:bookmarkEnd w:id="117"/>
    <w:p w14:paraId="45FBFE3A" w14:textId="1067DFDB" w:rsidR="000A144B" w:rsidRPr="003C7E62" w:rsidRDefault="000A144B" w:rsidP="00F11936">
      <w:pPr>
        <w:keepNext w:val="0"/>
        <w:spacing w:before="0"/>
        <w:ind w:left="709"/>
        <w:rPr>
          <w:rFonts w:eastAsia="Arial" w:cs="Arial"/>
          <w:bCs/>
          <w:color w:val="auto"/>
        </w:rPr>
      </w:pPr>
    </w:p>
    <w:p w14:paraId="6E32C953" w14:textId="77777777" w:rsidR="000A144B" w:rsidRPr="003C7E62" w:rsidRDefault="000A144B" w:rsidP="00F11936">
      <w:pPr>
        <w:keepNext w:val="0"/>
        <w:spacing w:before="0"/>
        <w:rPr>
          <w:rFonts w:cs="Arial"/>
          <w:b/>
          <w:bCs/>
          <w:color w:val="auto"/>
          <w:sz w:val="28"/>
          <w:szCs w:val="28"/>
          <w:lang w:eastAsia="en-US"/>
        </w:rPr>
      </w:pPr>
    </w:p>
    <w:p w14:paraId="2D625D3B" w14:textId="77777777" w:rsidR="000A144B" w:rsidRPr="003C7E62" w:rsidRDefault="000A144B" w:rsidP="00F11936">
      <w:pPr>
        <w:keepNext w:val="0"/>
        <w:spacing w:before="0"/>
        <w:rPr>
          <w:rFonts w:cs="Arial"/>
          <w:b/>
          <w:bCs/>
          <w:color w:val="auto"/>
          <w:szCs w:val="24"/>
          <w:lang w:eastAsia="en-US"/>
        </w:rPr>
      </w:pPr>
      <w:r w:rsidRPr="003C7E62">
        <w:rPr>
          <w:rFonts w:cs="Arial"/>
          <w:b/>
          <w:bCs/>
          <w:color w:val="auto"/>
          <w:szCs w:val="24"/>
          <w:lang w:eastAsia="en-US"/>
        </w:rPr>
        <w:br w:type="page"/>
      </w:r>
    </w:p>
    <w:p w14:paraId="319F5F73" w14:textId="01B540EF" w:rsidR="000A144B" w:rsidRPr="009D5737" w:rsidRDefault="000A144B" w:rsidP="009D5737">
      <w:pPr>
        <w:pStyle w:val="Heading2"/>
        <w:jc w:val="left"/>
        <w:rPr>
          <w:sz w:val="28"/>
          <w:szCs w:val="28"/>
        </w:rPr>
      </w:pPr>
      <w:bookmarkStart w:id="119" w:name="_Toc145511565"/>
      <w:bookmarkStart w:id="120" w:name="_Hlk146191447"/>
      <w:r w:rsidRPr="009D5737">
        <w:rPr>
          <w:sz w:val="28"/>
          <w:szCs w:val="28"/>
        </w:rPr>
        <w:t>Strategic Policy S1</w:t>
      </w:r>
      <w:r w:rsidR="005908AA" w:rsidRPr="009D5737">
        <w:rPr>
          <w:sz w:val="28"/>
          <w:szCs w:val="28"/>
        </w:rPr>
        <w:t>3</w:t>
      </w:r>
      <w:r w:rsidR="007E1CA9" w:rsidRPr="009D5737">
        <w:rPr>
          <w:sz w:val="28"/>
          <w:szCs w:val="28"/>
        </w:rPr>
        <w:t>:</w:t>
      </w:r>
      <w:r w:rsidRPr="009D5737">
        <w:rPr>
          <w:sz w:val="28"/>
          <w:szCs w:val="28"/>
        </w:rPr>
        <w:t xml:space="preserve"> </w:t>
      </w:r>
      <w:r w:rsidR="005F1B0D" w:rsidRPr="009D5737">
        <w:rPr>
          <w:sz w:val="28"/>
          <w:szCs w:val="28"/>
        </w:rPr>
        <w:t>Protecting and Enhancing Our</w:t>
      </w:r>
      <w:r w:rsidR="00C333F6" w:rsidRPr="009D5737">
        <w:rPr>
          <w:color w:val="2F5496" w:themeColor="accent1" w:themeShade="BF"/>
          <w:sz w:val="28"/>
          <w:szCs w:val="28"/>
        </w:rPr>
        <w:t xml:space="preserve"> </w:t>
      </w:r>
      <w:r w:rsidRPr="009D5737">
        <w:rPr>
          <w:sz w:val="28"/>
          <w:szCs w:val="28"/>
        </w:rPr>
        <w:t>Green Infrastructure and the Natural Environment</w:t>
      </w:r>
      <w:bookmarkEnd w:id="119"/>
      <w:r w:rsidRPr="009D5737">
        <w:rPr>
          <w:sz w:val="28"/>
          <w:szCs w:val="28"/>
        </w:rPr>
        <w:t xml:space="preserve"> </w:t>
      </w:r>
    </w:p>
    <w:p w14:paraId="4A1D8F66" w14:textId="77777777" w:rsidR="000A144B" w:rsidRPr="003C7E62" w:rsidRDefault="000A144B" w:rsidP="000A144B">
      <w:pPr>
        <w:jc w:val="both"/>
        <w:rPr>
          <w:rFonts w:cs="Arial"/>
        </w:rPr>
      </w:pPr>
      <w:bookmarkStart w:id="121" w:name="_Hlk125032024"/>
      <w:bookmarkEnd w:id="120"/>
    </w:p>
    <w:tbl>
      <w:tblPr>
        <w:tblStyle w:val="ReportTable1"/>
        <w:tblW w:w="9634" w:type="dxa"/>
        <w:tblLook w:val="04A0" w:firstRow="1" w:lastRow="0" w:firstColumn="1" w:lastColumn="0" w:noHBand="0" w:noVBand="1"/>
      </w:tblPr>
      <w:tblGrid>
        <w:gridCol w:w="1555"/>
        <w:gridCol w:w="1059"/>
        <w:gridCol w:w="7020"/>
      </w:tblGrid>
      <w:tr w:rsidR="000A144B" w:rsidRPr="003C7E62" w14:paraId="58CB2660" w14:textId="77777777" w:rsidTr="005334C0">
        <w:tc>
          <w:tcPr>
            <w:tcW w:w="9634" w:type="dxa"/>
            <w:gridSpan w:val="3"/>
          </w:tcPr>
          <w:p w14:paraId="66BA29D8" w14:textId="77777777" w:rsidR="00F20A31" w:rsidRPr="00D810CA" w:rsidRDefault="00F20A31" w:rsidP="00523DED">
            <w:pPr>
              <w:keepNext w:val="0"/>
              <w:spacing w:before="0"/>
              <w:jc w:val="both"/>
              <w:rPr>
                <w:rFonts w:cs="Arial"/>
                <w:b/>
                <w:bCs/>
                <w:szCs w:val="24"/>
                <w:lang w:eastAsia="en-US"/>
              </w:rPr>
            </w:pPr>
            <w:bookmarkStart w:id="122" w:name="_Hlk78264731"/>
          </w:p>
          <w:p w14:paraId="025D0BAB" w14:textId="5B18A604" w:rsidR="000A144B" w:rsidRPr="00D810CA" w:rsidRDefault="000A144B" w:rsidP="00523DED">
            <w:pPr>
              <w:keepNext w:val="0"/>
              <w:spacing w:before="0"/>
              <w:jc w:val="both"/>
              <w:rPr>
                <w:rFonts w:cs="Arial"/>
                <w:b/>
                <w:bCs/>
                <w:szCs w:val="24"/>
                <w:lang w:eastAsia="en-US"/>
              </w:rPr>
            </w:pPr>
            <w:r w:rsidRPr="00D810CA">
              <w:rPr>
                <w:rFonts w:cs="Arial"/>
                <w:b/>
                <w:bCs/>
                <w:szCs w:val="24"/>
                <w:lang w:eastAsia="en-US"/>
              </w:rPr>
              <w:t>Strategic Policy S</w:t>
            </w:r>
            <w:r w:rsidR="005908AA" w:rsidRPr="00D810CA">
              <w:rPr>
                <w:rFonts w:cs="Arial"/>
                <w:b/>
                <w:bCs/>
                <w:szCs w:val="24"/>
                <w:lang w:eastAsia="en-US"/>
              </w:rPr>
              <w:t xml:space="preserve">13 </w:t>
            </w:r>
            <w:r w:rsidR="005F1B0D" w:rsidRPr="00D810CA">
              <w:rPr>
                <w:rFonts w:cs="Arial"/>
                <w:b/>
                <w:bCs/>
                <w:szCs w:val="24"/>
                <w:lang w:eastAsia="en-US"/>
              </w:rPr>
              <w:t>Protecting and Enhancing Our</w:t>
            </w:r>
            <w:r w:rsidR="00C333F6" w:rsidRPr="00D810CA">
              <w:rPr>
                <w:rFonts w:cs="Arial"/>
                <w:b/>
                <w:bCs/>
                <w:szCs w:val="24"/>
                <w:lang w:eastAsia="en-US"/>
              </w:rPr>
              <w:t xml:space="preserve"> </w:t>
            </w:r>
            <w:r w:rsidRPr="00D810CA">
              <w:rPr>
                <w:rFonts w:cs="Arial"/>
                <w:b/>
                <w:bCs/>
                <w:szCs w:val="24"/>
                <w:lang w:eastAsia="en-US"/>
              </w:rPr>
              <w:t xml:space="preserve">Green Infrastructure and the Natural Environment </w:t>
            </w:r>
          </w:p>
          <w:p w14:paraId="6B1326FA" w14:textId="29C84072" w:rsidR="00F20A31" w:rsidRPr="00D810CA" w:rsidRDefault="00F20A31" w:rsidP="00523DED">
            <w:pPr>
              <w:keepNext w:val="0"/>
              <w:spacing w:before="0"/>
              <w:jc w:val="both"/>
              <w:rPr>
                <w:rFonts w:cs="Arial"/>
                <w:b/>
                <w:bCs/>
                <w:szCs w:val="24"/>
                <w:lang w:eastAsia="en-US"/>
              </w:rPr>
            </w:pPr>
          </w:p>
        </w:tc>
      </w:tr>
      <w:tr w:rsidR="000A144B" w:rsidRPr="003C7E62" w14:paraId="23A4F592" w14:textId="77777777" w:rsidTr="005334C0">
        <w:tc>
          <w:tcPr>
            <w:tcW w:w="2614" w:type="dxa"/>
            <w:gridSpan w:val="2"/>
          </w:tcPr>
          <w:p w14:paraId="048C1DE6" w14:textId="77777777" w:rsidR="000A144B" w:rsidRPr="003C7E62" w:rsidRDefault="000A144B" w:rsidP="00523DED">
            <w:pPr>
              <w:tabs>
                <w:tab w:val="left" w:pos="680"/>
              </w:tabs>
              <w:spacing w:before="40" w:after="40"/>
              <w:jc w:val="both"/>
              <w:rPr>
                <w:rFonts w:eastAsia="Arial" w:cs="Arial"/>
                <w:b/>
              </w:rPr>
            </w:pPr>
            <w:r w:rsidRPr="003C7E62">
              <w:rPr>
                <w:rFonts w:eastAsia="Arial" w:cs="Arial"/>
                <w:b/>
              </w:rPr>
              <w:t>Strategic Objectives</w:t>
            </w:r>
          </w:p>
        </w:tc>
        <w:tc>
          <w:tcPr>
            <w:tcW w:w="7020" w:type="dxa"/>
          </w:tcPr>
          <w:p w14:paraId="0E63BF0C" w14:textId="77777777" w:rsidR="000A144B" w:rsidRPr="00D810CA" w:rsidRDefault="000A144B" w:rsidP="00523DED">
            <w:pPr>
              <w:tabs>
                <w:tab w:val="left" w:pos="680"/>
              </w:tabs>
              <w:spacing w:before="40" w:after="40"/>
              <w:jc w:val="both"/>
              <w:rPr>
                <w:rFonts w:eastAsia="Arial" w:cs="Arial"/>
                <w:b/>
              </w:rPr>
            </w:pPr>
            <w:r w:rsidRPr="00D810CA">
              <w:rPr>
                <w:rFonts w:eastAsia="Arial" w:cs="Arial"/>
                <w:b/>
              </w:rPr>
              <w:t>SO1, SO2, SO11, SO13, SO14.</w:t>
            </w:r>
          </w:p>
        </w:tc>
      </w:tr>
      <w:tr w:rsidR="000A144B" w:rsidRPr="003C7E62" w14:paraId="6FCA6225" w14:textId="77777777" w:rsidTr="005334C0">
        <w:tc>
          <w:tcPr>
            <w:tcW w:w="9634" w:type="dxa"/>
            <w:gridSpan w:val="3"/>
            <w:shd w:val="clear" w:color="auto" w:fill="DBDBDB"/>
          </w:tcPr>
          <w:p w14:paraId="0A6D9D16" w14:textId="77777777" w:rsidR="000A144B" w:rsidRPr="00D810CA" w:rsidRDefault="000A144B" w:rsidP="006E2655">
            <w:pPr>
              <w:tabs>
                <w:tab w:val="left" w:pos="680"/>
                <w:tab w:val="left" w:pos="1133"/>
                <w:tab w:val="left" w:pos="2267"/>
              </w:tabs>
              <w:spacing w:before="0"/>
              <w:ind w:left="240" w:right="284"/>
              <w:rPr>
                <w:rFonts w:eastAsia="Arial" w:cs="Arial"/>
                <w:b/>
                <w:szCs w:val="24"/>
              </w:rPr>
            </w:pPr>
          </w:p>
          <w:p w14:paraId="2A300D91" w14:textId="68AC558F" w:rsidR="000A144B" w:rsidRPr="00D810CA" w:rsidRDefault="000A144B" w:rsidP="00874A98">
            <w:pPr>
              <w:keepNext w:val="0"/>
              <w:numPr>
                <w:ilvl w:val="0"/>
                <w:numId w:val="63"/>
              </w:numPr>
              <w:spacing w:before="0"/>
              <w:ind w:left="480"/>
              <w:contextualSpacing/>
              <w:rPr>
                <w:rFonts w:eastAsia="Arial" w:cs="Arial"/>
              </w:rPr>
            </w:pPr>
            <w:bookmarkStart w:id="123" w:name="_Hlk140046542"/>
            <w:r w:rsidRPr="00D810CA">
              <w:rPr>
                <w:rFonts w:eastAsia="Arial" w:cs="Arial"/>
              </w:rPr>
              <w:t>The natural environment, including green and blue infrastructure corridors and assets</w:t>
            </w:r>
            <w:r w:rsidR="00C333F6" w:rsidRPr="00D810CA">
              <w:rPr>
                <w:rFonts w:eastAsia="Arial" w:cs="Arial"/>
              </w:rPr>
              <w:t xml:space="preserve"> </w:t>
            </w:r>
            <w:r w:rsidRPr="00D810CA">
              <w:rPr>
                <w:rFonts w:eastAsia="Arial" w:cs="Arial"/>
              </w:rPr>
              <w:t xml:space="preserve">will be protected, conserved and enhanced, in order to maintain the integrity of the District’s overall Green Infrastructure network, and help preserve the </w:t>
            </w:r>
            <w:r w:rsidR="00C333F6" w:rsidRPr="00D810CA">
              <w:rPr>
                <w:rFonts w:eastAsia="Arial" w:cs="Arial"/>
              </w:rPr>
              <w:t xml:space="preserve">landscape </w:t>
            </w:r>
            <w:r w:rsidRPr="00D810CA">
              <w:rPr>
                <w:rFonts w:eastAsia="Arial" w:cs="Arial"/>
              </w:rPr>
              <w:t xml:space="preserve">character of the District and </w:t>
            </w:r>
            <w:r w:rsidR="00484CD2" w:rsidRPr="00D810CA">
              <w:rPr>
                <w:rFonts w:eastAsia="Arial" w:cs="Arial"/>
              </w:rPr>
              <w:t xml:space="preserve">its </w:t>
            </w:r>
            <w:r w:rsidRPr="00D810CA">
              <w:rPr>
                <w:rFonts w:eastAsia="Arial" w:cs="Arial"/>
              </w:rPr>
              <w:t>biodiversity</w:t>
            </w:r>
            <w:r w:rsidR="00484CD2" w:rsidRPr="00D810CA">
              <w:rPr>
                <w:rFonts w:eastAsia="Arial" w:cs="Arial"/>
              </w:rPr>
              <w:t>.</w:t>
            </w:r>
            <w:r w:rsidRPr="00D810CA">
              <w:rPr>
                <w:rFonts w:eastAsia="Arial" w:cs="Arial"/>
              </w:rPr>
              <w:t xml:space="preserve"> </w:t>
            </w:r>
          </w:p>
          <w:bookmarkEnd w:id="123"/>
          <w:p w14:paraId="10852C7A" w14:textId="77777777" w:rsidR="000A144B" w:rsidRPr="00D810CA" w:rsidRDefault="000A144B" w:rsidP="006E2655">
            <w:pPr>
              <w:tabs>
                <w:tab w:val="left" w:pos="680"/>
                <w:tab w:val="left" w:pos="1133"/>
                <w:tab w:val="left" w:pos="2267"/>
              </w:tabs>
              <w:spacing w:before="0"/>
              <w:ind w:left="480" w:right="284"/>
              <w:rPr>
                <w:rFonts w:eastAsia="Arial" w:cs="Arial"/>
                <w:szCs w:val="24"/>
              </w:rPr>
            </w:pPr>
          </w:p>
          <w:p w14:paraId="6007EBA8" w14:textId="77777777" w:rsidR="000A144B" w:rsidRPr="00D810CA" w:rsidRDefault="000A144B" w:rsidP="00874A98">
            <w:pPr>
              <w:keepNext w:val="0"/>
              <w:numPr>
                <w:ilvl w:val="0"/>
                <w:numId w:val="63"/>
              </w:numPr>
              <w:tabs>
                <w:tab w:val="left" w:pos="680"/>
                <w:tab w:val="left" w:pos="1133"/>
                <w:tab w:val="left" w:pos="2267"/>
              </w:tabs>
              <w:spacing w:before="0"/>
              <w:ind w:left="480" w:right="284"/>
              <w:contextualSpacing/>
              <w:rPr>
                <w:rFonts w:eastAsia="Arial" w:cs="Arial"/>
                <w:szCs w:val="24"/>
              </w:rPr>
            </w:pPr>
            <w:r w:rsidRPr="00D810CA">
              <w:rPr>
                <w:rFonts w:eastAsia="Arial" w:cs="Arial"/>
                <w:szCs w:val="24"/>
              </w:rPr>
              <w:t>The biodiversity of Ashfield will be maintained and enhanced by:</w:t>
            </w:r>
          </w:p>
          <w:p w14:paraId="2AE873BC" w14:textId="77777777" w:rsidR="000A144B" w:rsidRPr="00D810CA" w:rsidRDefault="000A144B" w:rsidP="006E2655">
            <w:pPr>
              <w:tabs>
                <w:tab w:val="left" w:pos="680"/>
                <w:tab w:val="left" w:pos="1133"/>
                <w:tab w:val="left" w:pos="2267"/>
              </w:tabs>
              <w:spacing w:before="0"/>
              <w:ind w:left="480" w:right="284"/>
              <w:rPr>
                <w:rFonts w:eastAsia="Arial" w:cs="Arial"/>
                <w:szCs w:val="24"/>
              </w:rPr>
            </w:pPr>
          </w:p>
          <w:p w14:paraId="32ACB5C2" w14:textId="4FDA22A3" w:rsidR="000A144B" w:rsidRPr="00D810CA" w:rsidRDefault="000A144B" w:rsidP="00874A98">
            <w:pPr>
              <w:keepNext w:val="0"/>
              <w:numPr>
                <w:ilvl w:val="0"/>
                <w:numId w:val="64"/>
              </w:numPr>
              <w:tabs>
                <w:tab w:val="left" w:pos="680"/>
                <w:tab w:val="left" w:pos="1133"/>
                <w:tab w:val="left" w:pos="2267"/>
              </w:tabs>
              <w:spacing w:before="0"/>
              <w:ind w:left="905" w:right="313"/>
              <w:contextualSpacing/>
              <w:rPr>
                <w:rFonts w:eastAsia="Arial" w:cs="Arial"/>
                <w:szCs w:val="24"/>
              </w:rPr>
            </w:pPr>
            <w:r w:rsidRPr="00D810CA">
              <w:rPr>
                <w:rFonts w:eastAsia="Arial" w:cs="Arial"/>
                <w:szCs w:val="24"/>
              </w:rPr>
              <w:t xml:space="preserve">protecting, connecting and enhancing important habitats, </w:t>
            </w:r>
            <w:r w:rsidR="00BC77F4" w:rsidRPr="00D810CA">
              <w:rPr>
                <w:rFonts w:eastAsia="Arial" w:cs="Arial"/>
                <w:szCs w:val="24"/>
              </w:rPr>
              <w:t xml:space="preserve">informed by </w:t>
            </w:r>
            <w:r w:rsidRPr="00D810CA">
              <w:rPr>
                <w:rFonts w:eastAsia="Arial" w:cs="Arial"/>
                <w:szCs w:val="24"/>
              </w:rPr>
              <w:t>the District’s Biodiversity Opportunity Maps; and</w:t>
            </w:r>
          </w:p>
          <w:p w14:paraId="26C5B1BD" w14:textId="77777777" w:rsidR="000A144B" w:rsidRPr="00D810CA" w:rsidRDefault="000A144B" w:rsidP="006E2655">
            <w:pPr>
              <w:tabs>
                <w:tab w:val="left" w:pos="2267"/>
              </w:tabs>
              <w:spacing w:before="0"/>
              <w:ind w:left="905" w:right="284"/>
              <w:contextualSpacing/>
              <w:rPr>
                <w:rFonts w:eastAsia="Arial" w:cs="Arial"/>
                <w:szCs w:val="24"/>
              </w:rPr>
            </w:pPr>
          </w:p>
          <w:p w14:paraId="09406679" w14:textId="74555420" w:rsidR="000A144B" w:rsidRPr="00D810CA" w:rsidRDefault="000A144B" w:rsidP="00874A98">
            <w:pPr>
              <w:keepNext w:val="0"/>
              <w:numPr>
                <w:ilvl w:val="0"/>
                <w:numId w:val="64"/>
              </w:numPr>
              <w:spacing w:before="0"/>
              <w:ind w:left="905" w:right="284"/>
              <w:contextualSpacing/>
              <w:rPr>
                <w:rFonts w:eastAsia="Arial" w:cs="Arial"/>
                <w:szCs w:val="24"/>
              </w:rPr>
            </w:pPr>
            <w:r w:rsidRPr="00D810CA">
              <w:rPr>
                <w:rFonts w:eastAsia="Arial" w:cs="Arial"/>
                <w:szCs w:val="24"/>
              </w:rPr>
              <w:t xml:space="preserve">promoting native tree planting, </w:t>
            </w:r>
            <w:r w:rsidR="00BC77F4" w:rsidRPr="00D810CA">
              <w:rPr>
                <w:rFonts w:eastAsia="Arial" w:cs="Arial"/>
                <w:szCs w:val="24"/>
              </w:rPr>
              <w:t xml:space="preserve">street trees and </w:t>
            </w:r>
            <w:r w:rsidRPr="00D810CA">
              <w:rPr>
                <w:rFonts w:eastAsia="Arial" w:cs="Arial"/>
                <w:szCs w:val="24"/>
              </w:rPr>
              <w:t xml:space="preserve">well targeted woodland creation </w:t>
            </w:r>
            <w:r w:rsidR="00BC77F4" w:rsidRPr="00D810CA">
              <w:rPr>
                <w:rFonts w:eastAsia="Arial" w:cs="Arial"/>
                <w:szCs w:val="24"/>
              </w:rPr>
              <w:t xml:space="preserve">on appropriate sites, </w:t>
            </w:r>
            <w:r w:rsidRPr="00D810CA">
              <w:rPr>
                <w:rFonts w:eastAsia="Arial" w:cs="Arial"/>
                <w:szCs w:val="24"/>
              </w:rPr>
              <w:t xml:space="preserve">and encouraging retention </w:t>
            </w:r>
            <w:r w:rsidR="00BC77F4" w:rsidRPr="00D810CA">
              <w:rPr>
                <w:rFonts w:eastAsia="Arial" w:cs="Arial"/>
                <w:szCs w:val="24"/>
              </w:rPr>
              <w:t xml:space="preserve">and sensitive management </w:t>
            </w:r>
            <w:r w:rsidRPr="00D810CA">
              <w:rPr>
                <w:rFonts w:eastAsia="Arial" w:cs="Arial"/>
                <w:szCs w:val="24"/>
              </w:rPr>
              <w:t>of trees, with a view to enhancing biodiversity.</w:t>
            </w:r>
          </w:p>
          <w:p w14:paraId="06A7D606" w14:textId="77777777" w:rsidR="000A144B" w:rsidRPr="00D810CA" w:rsidRDefault="000A144B" w:rsidP="00523DED">
            <w:pPr>
              <w:tabs>
                <w:tab w:val="left" w:pos="680"/>
                <w:tab w:val="left" w:pos="1133"/>
                <w:tab w:val="left" w:pos="2267"/>
              </w:tabs>
              <w:ind w:right="284"/>
              <w:jc w:val="both"/>
              <w:rPr>
                <w:rFonts w:eastAsia="Arial" w:cs="Arial"/>
                <w:b/>
                <w:szCs w:val="24"/>
              </w:rPr>
            </w:pPr>
          </w:p>
        </w:tc>
      </w:tr>
      <w:bookmarkEnd w:id="122"/>
      <w:tr w:rsidR="000A144B" w:rsidRPr="003C7E62" w14:paraId="213DAFCC" w14:textId="77777777" w:rsidTr="005334C0">
        <w:tc>
          <w:tcPr>
            <w:tcW w:w="1555" w:type="dxa"/>
            <w:shd w:val="clear" w:color="auto" w:fill="FFFFFF" w:themeFill="background1"/>
          </w:tcPr>
          <w:p w14:paraId="42240799" w14:textId="77777777" w:rsidR="000A144B" w:rsidRPr="001347BB" w:rsidRDefault="000A144B" w:rsidP="00F20A31">
            <w:pPr>
              <w:tabs>
                <w:tab w:val="left" w:pos="680"/>
                <w:tab w:val="left" w:pos="1133"/>
                <w:tab w:val="left" w:pos="2267"/>
              </w:tabs>
              <w:ind w:right="284"/>
              <w:rPr>
                <w:rFonts w:eastAsia="Arial" w:cs="Arial"/>
                <w:bCs/>
                <w:szCs w:val="24"/>
              </w:rPr>
            </w:pPr>
            <w:r w:rsidRPr="003C7E62">
              <w:rPr>
                <w:rFonts w:eastAsia="Arial" w:cs="Arial"/>
                <w:bCs/>
                <w:sz w:val="20"/>
              </w:rPr>
              <w:t>Evidence base</w:t>
            </w:r>
          </w:p>
        </w:tc>
        <w:tc>
          <w:tcPr>
            <w:tcW w:w="8079" w:type="dxa"/>
            <w:gridSpan w:val="2"/>
            <w:shd w:val="clear" w:color="auto" w:fill="FFFFFF" w:themeFill="background1"/>
          </w:tcPr>
          <w:p w14:paraId="06D5CE04" w14:textId="4FEB5E6E" w:rsidR="000A144B" w:rsidRPr="00D810CA" w:rsidRDefault="000A144B" w:rsidP="00874A98">
            <w:pPr>
              <w:keepNext w:val="0"/>
              <w:numPr>
                <w:ilvl w:val="0"/>
                <w:numId w:val="61"/>
              </w:numPr>
              <w:spacing w:before="0"/>
              <w:contextualSpacing/>
              <w:rPr>
                <w:rFonts w:cs="Arial"/>
                <w:sz w:val="20"/>
              </w:rPr>
            </w:pPr>
            <w:r w:rsidRPr="00D810CA">
              <w:rPr>
                <w:rFonts w:cs="Arial"/>
                <w:sz w:val="20"/>
              </w:rPr>
              <w:t>Sustainability Appraisal, 202</w:t>
            </w:r>
            <w:r w:rsidR="00B80DEC" w:rsidRPr="00D810CA">
              <w:rPr>
                <w:rFonts w:cs="Arial"/>
                <w:sz w:val="20"/>
              </w:rPr>
              <w:t>3</w:t>
            </w:r>
            <w:r w:rsidRPr="00D810CA">
              <w:rPr>
                <w:rFonts w:cs="Arial"/>
                <w:sz w:val="20"/>
              </w:rPr>
              <w:t xml:space="preserve">. </w:t>
            </w:r>
            <w:r w:rsidR="00B80DEC" w:rsidRPr="00D810CA">
              <w:rPr>
                <w:rFonts w:cs="Arial"/>
                <w:sz w:val="20"/>
              </w:rPr>
              <w:t>WSP UK Limited.</w:t>
            </w:r>
          </w:p>
          <w:p w14:paraId="534D1272" w14:textId="77777777" w:rsidR="000A144B" w:rsidRPr="00D810CA" w:rsidRDefault="000A144B" w:rsidP="00874A98">
            <w:pPr>
              <w:keepNext w:val="0"/>
              <w:numPr>
                <w:ilvl w:val="0"/>
                <w:numId w:val="61"/>
              </w:numPr>
              <w:spacing w:before="0"/>
              <w:contextualSpacing/>
              <w:rPr>
                <w:rFonts w:cs="Arial"/>
                <w:sz w:val="20"/>
              </w:rPr>
            </w:pPr>
            <w:r w:rsidRPr="00D810CA">
              <w:rPr>
                <w:rFonts w:cs="Arial"/>
                <w:sz w:val="20"/>
              </w:rPr>
              <w:t>Ashfield Biodiversity Opportunity Mapping Project 2016.</w:t>
            </w:r>
            <w:r w:rsidRPr="00D810CA">
              <w:rPr>
                <w:rFonts w:cs="Arial"/>
              </w:rPr>
              <w:t xml:space="preserve"> </w:t>
            </w:r>
            <w:r w:rsidRPr="00D810CA">
              <w:rPr>
                <w:rFonts w:cs="Arial"/>
                <w:sz w:val="20"/>
              </w:rPr>
              <w:t>Notts BAG.</w:t>
            </w:r>
          </w:p>
          <w:p w14:paraId="4EC97295" w14:textId="751F8DC0" w:rsidR="000A144B" w:rsidRPr="00D810CA" w:rsidRDefault="000A144B" w:rsidP="00874A98">
            <w:pPr>
              <w:keepNext w:val="0"/>
              <w:numPr>
                <w:ilvl w:val="0"/>
                <w:numId w:val="61"/>
              </w:numPr>
              <w:spacing w:before="0"/>
              <w:contextualSpacing/>
              <w:rPr>
                <w:rFonts w:cs="Arial"/>
                <w:sz w:val="20"/>
              </w:rPr>
            </w:pPr>
            <w:r w:rsidRPr="00D810CA">
              <w:rPr>
                <w:rFonts w:cs="Arial"/>
                <w:sz w:val="20"/>
              </w:rPr>
              <w:t xml:space="preserve">Ashfield Green </w:t>
            </w:r>
            <w:r w:rsidR="00BF7431" w:rsidRPr="00D810CA">
              <w:rPr>
                <w:rFonts w:cs="Arial"/>
                <w:sz w:val="20"/>
              </w:rPr>
              <w:t xml:space="preserve">&amp; Blue </w:t>
            </w:r>
            <w:r w:rsidRPr="00D810CA">
              <w:rPr>
                <w:rFonts w:cs="Arial"/>
                <w:sz w:val="20"/>
              </w:rPr>
              <w:t xml:space="preserve">Infrastructure and Biodiversity </w:t>
            </w:r>
            <w:r w:rsidR="00BF7431" w:rsidRPr="00D810CA">
              <w:rPr>
                <w:rFonts w:cs="Arial"/>
                <w:sz w:val="20"/>
              </w:rPr>
              <w:t>Strategy</w:t>
            </w:r>
            <w:r w:rsidR="00D810CA" w:rsidRPr="00D810CA">
              <w:rPr>
                <w:rFonts w:cs="Arial"/>
                <w:sz w:val="20"/>
              </w:rPr>
              <w:t>.</w:t>
            </w:r>
            <w:r w:rsidRPr="00D810CA">
              <w:rPr>
                <w:rFonts w:cs="Arial"/>
                <w:sz w:val="20"/>
              </w:rPr>
              <w:t xml:space="preserve"> Ashfield District Council</w:t>
            </w:r>
            <w:r w:rsidR="00BF7431" w:rsidRPr="00D810CA">
              <w:rPr>
                <w:rFonts w:cs="Arial"/>
                <w:sz w:val="20"/>
              </w:rPr>
              <w:t>, 2022-2032</w:t>
            </w:r>
            <w:r w:rsidRPr="00D810CA">
              <w:rPr>
                <w:rFonts w:cs="Arial"/>
                <w:sz w:val="20"/>
              </w:rPr>
              <w:t>.</w:t>
            </w:r>
          </w:p>
        </w:tc>
      </w:tr>
      <w:tr w:rsidR="000A144B" w:rsidRPr="003C7E62" w14:paraId="1092E1DA" w14:textId="77777777" w:rsidTr="005334C0">
        <w:tc>
          <w:tcPr>
            <w:tcW w:w="1555" w:type="dxa"/>
            <w:shd w:val="clear" w:color="auto" w:fill="FFFFFF" w:themeFill="background1"/>
          </w:tcPr>
          <w:p w14:paraId="568DEDA4" w14:textId="77777777" w:rsidR="000A144B" w:rsidRPr="003C7E62" w:rsidRDefault="000A144B" w:rsidP="00F20A31">
            <w:pPr>
              <w:contextualSpacing/>
              <w:rPr>
                <w:rFonts w:eastAsia="Arial" w:cs="Arial"/>
                <w:bCs/>
                <w:szCs w:val="24"/>
              </w:rPr>
            </w:pPr>
            <w:r w:rsidRPr="003C7E62">
              <w:rPr>
                <w:rFonts w:eastAsia="Arial" w:cs="Arial"/>
                <w:bCs/>
                <w:sz w:val="20"/>
              </w:rPr>
              <w:t>National Planning Policy and Guidance</w:t>
            </w:r>
          </w:p>
        </w:tc>
        <w:tc>
          <w:tcPr>
            <w:tcW w:w="8079" w:type="dxa"/>
            <w:gridSpan w:val="2"/>
            <w:shd w:val="clear" w:color="auto" w:fill="FFFFFF" w:themeFill="background1"/>
          </w:tcPr>
          <w:p w14:paraId="1DE27FD3" w14:textId="1972659F" w:rsidR="000A144B" w:rsidRPr="00D810CA" w:rsidRDefault="000A144B" w:rsidP="00874A98">
            <w:pPr>
              <w:keepNext w:val="0"/>
              <w:numPr>
                <w:ilvl w:val="0"/>
                <w:numId w:val="62"/>
              </w:numPr>
              <w:spacing w:before="0"/>
              <w:ind w:left="328"/>
              <w:contextualSpacing/>
              <w:rPr>
                <w:rFonts w:cs="Arial"/>
                <w:sz w:val="20"/>
              </w:rPr>
            </w:pPr>
            <w:r w:rsidRPr="00D810CA">
              <w:rPr>
                <w:rFonts w:cs="Arial"/>
                <w:sz w:val="20"/>
              </w:rPr>
              <w:t>NPPF 202</w:t>
            </w:r>
            <w:r w:rsidR="00616B41" w:rsidRPr="00D810CA">
              <w:rPr>
                <w:rFonts w:cs="Arial"/>
                <w:sz w:val="20"/>
              </w:rPr>
              <w:t>3</w:t>
            </w:r>
            <w:r w:rsidRPr="00D810CA">
              <w:rPr>
                <w:rFonts w:cs="Arial"/>
                <w:sz w:val="20"/>
              </w:rPr>
              <w:t>, Part 2: Achieving sustainable development</w:t>
            </w:r>
          </w:p>
          <w:p w14:paraId="154E93ED" w14:textId="2EB3033B" w:rsidR="000A144B" w:rsidRPr="00D810CA" w:rsidRDefault="000A144B" w:rsidP="00874A98">
            <w:pPr>
              <w:keepNext w:val="0"/>
              <w:numPr>
                <w:ilvl w:val="0"/>
                <w:numId w:val="62"/>
              </w:numPr>
              <w:spacing w:before="0"/>
              <w:ind w:left="328"/>
              <w:contextualSpacing/>
              <w:rPr>
                <w:rFonts w:cs="Arial"/>
                <w:sz w:val="20"/>
              </w:rPr>
            </w:pPr>
            <w:r w:rsidRPr="00D810CA">
              <w:rPr>
                <w:rFonts w:cs="Arial"/>
                <w:sz w:val="20"/>
              </w:rPr>
              <w:t>NPPF 202</w:t>
            </w:r>
            <w:r w:rsidR="00616B41" w:rsidRPr="00D810CA">
              <w:rPr>
                <w:rFonts w:cs="Arial"/>
                <w:sz w:val="20"/>
              </w:rPr>
              <w:t>3</w:t>
            </w:r>
            <w:r w:rsidRPr="00D810CA">
              <w:rPr>
                <w:rFonts w:cs="Arial"/>
                <w:sz w:val="20"/>
              </w:rPr>
              <w:t>, Part 15: Conserving and enhancing the natural environment</w:t>
            </w:r>
          </w:p>
          <w:p w14:paraId="7B089DAC" w14:textId="595846A2" w:rsidR="000A144B" w:rsidRPr="00D810CA" w:rsidRDefault="000A144B" w:rsidP="00874A98">
            <w:pPr>
              <w:keepNext w:val="0"/>
              <w:numPr>
                <w:ilvl w:val="0"/>
                <w:numId w:val="62"/>
              </w:numPr>
              <w:spacing w:before="0"/>
              <w:ind w:left="328"/>
              <w:contextualSpacing/>
              <w:rPr>
                <w:rFonts w:cs="Arial"/>
                <w:sz w:val="22"/>
              </w:rPr>
            </w:pPr>
            <w:r w:rsidRPr="00D810CA">
              <w:rPr>
                <w:rFonts w:cs="Arial"/>
                <w:sz w:val="20"/>
              </w:rPr>
              <w:t xml:space="preserve">Planning Practice Guidance: Open space, sports and recreational facilities, public rights of ways and local green space as </w:t>
            </w:r>
            <w:r w:rsidR="009D1815" w:rsidRPr="00D810CA">
              <w:rPr>
                <w:rFonts w:cs="Arial"/>
                <w:sz w:val="20"/>
              </w:rPr>
              <w:t>of</w:t>
            </w:r>
            <w:r w:rsidRPr="00D810CA">
              <w:rPr>
                <w:rFonts w:cs="Arial"/>
                <w:sz w:val="20"/>
              </w:rPr>
              <w:t xml:space="preserve"> </w:t>
            </w:r>
            <w:r w:rsidR="00B80DEC" w:rsidRPr="00D810CA">
              <w:rPr>
                <w:rFonts w:cs="Arial"/>
                <w:sz w:val="20"/>
              </w:rPr>
              <w:t>March 2014</w:t>
            </w:r>
            <w:r w:rsidRPr="00D810CA">
              <w:rPr>
                <w:rFonts w:cs="Arial"/>
                <w:sz w:val="20"/>
              </w:rPr>
              <w:t>.</w:t>
            </w:r>
          </w:p>
          <w:p w14:paraId="028DAF83" w14:textId="1BAF700F" w:rsidR="00F93C25" w:rsidRPr="00D810CA" w:rsidRDefault="00F93C25" w:rsidP="00874A98">
            <w:pPr>
              <w:keepNext w:val="0"/>
              <w:numPr>
                <w:ilvl w:val="0"/>
                <w:numId w:val="62"/>
              </w:numPr>
              <w:spacing w:before="0"/>
              <w:ind w:left="328"/>
              <w:contextualSpacing/>
              <w:rPr>
                <w:rFonts w:cs="Arial"/>
                <w:sz w:val="20"/>
              </w:rPr>
            </w:pPr>
            <w:r w:rsidRPr="00D810CA">
              <w:rPr>
                <w:rFonts w:cs="Arial"/>
                <w:sz w:val="20"/>
              </w:rPr>
              <w:t>Natural England’s Green Infrastructure Framework – Principles and Standards for England 2022</w:t>
            </w:r>
          </w:p>
        </w:tc>
      </w:tr>
    </w:tbl>
    <w:p w14:paraId="6DEF1095" w14:textId="77777777" w:rsidR="000A144B" w:rsidRPr="003C7E62" w:rsidRDefault="000A144B" w:rsidP="00F11936">
      <w:pPr>
        <w:keepNext w:val="0"/>
        <w:spacing w:before="0"/>
        <w:rPr>
          <w:rFonts w:cs="Arial"/>
          <w:b/>
          <w:bCs/>
          <w:color w:val="auto"/>
          <w:sz w:val="28"/>
          <w:szCs w:val="28"/>
          <w:lang w:eastAsia="en-US"/>
        </w:rPr>
      </w:pPr>
    </w:p>
    <w:bookmarkEnd w:id="121"/>
    <w:p w14:paraId="73DDE7B7" w14:textId="230F4D58" w:rsidR="000A144B" w:rsidRPr="003C7E62" w:rsidRDefault="00386A0E" w:rsidP="00874A98">
      <w:pPr>
        <w:keepNext w:val="0"/>
        <w:numPr>
          <w:ilvl w:val="1"/>
          <w:numId w:val="103"/>
        </w:numPr>
        <w:spacing w:before="0"/>
        <w:ind w:left="709" w:hanging="709"/>
        <w:rPr>
          <w:rFonts w:cs="Arial"/>
          <w:color w:val="auto"/>
          <w:szCs w:val="24"/>
          <w:lang w:eastAsia="en-US"/>
        </w:rPr>
      </w:pPr>
      <w:r w:rsidRPr="003C7E62">
        <w:rPr>
          <w:rFonts w:eastAsia="Arial" w:cs="Arial"/>
          <w:color w:val="auto"/>
        </w:rPr>
        <w:t xml:space="preserve">It is acknowledged that green infrastructure and the natural environment is a key element of delivering sustainable development and it is of great importance for </w:t>
      </w:r>
      <w:r w:rsidRPr="003C7E62">
        <w:rPr>
          <w:rFonts w:cs="Arial"/>
          <w:color w:val="auto"/>
          <w:szCs w:val="24"/>
        </w:rPr>
        <w:t xml:space="preserve">biodiversity, geo-diversity, </w:t>
      </w:r>
      <w:r w:rsidRPr="003C7E62">
        <w:rPr>
          <w:rFonts w:eastAsia="Arial" w:cs="Arial"/>
          <w:color w:val="auto"/>
        </w:rPr>
        <w:t>education, culture, leisure, tourism and the wider economy.</w:t>
      </w:r>
    </w:p>
    <w:p w14:paraId="1D16F82C" w14:textId="77777777" w:rsidR="000A144B" w:rsidRPr="003C7E62" w:rsidRDefault="000A144B" w:rsidP="00F11936">
      <w:pPr>
        <w:keepNext w:val="0"/>
        <w:spacing w:before="0"/>
        <w:ind w:left="709"/>
        <w:rPr>
          <w:rFonts w:cs="Arial"/>
          <w:color w:val="auto"/>
          <w:szCs w:val="24"/>
          <w:lang w:eastAsia="en-US"/>
        </w:rPr>
      </w:pPr>
    </w:p>
    <w:p w14:paraId="59B71CCD" w14:textId="59313F9C" w:rsidR="000A144B" w:rsidRPr="00D810CA" w:rsidRDefault="00386A0E" w:rsidP="00874A98">
      <w:pPr>
        <w:keepNext w:val="0"/>
        <w:numPr>
          <w:ilvl w:val="1"/>
          <w:numId w:val="103"/>
        </w:numPr>
        <w:spacing w:before="0"/>
        <w:ind w:left="709" w:hanging="709"/>
        <w:rPr>
          <w:rFonts w:cs="Arial"/>
          <w:szCs w:val="24"/>
          <w:lang w:eastAsia="en-US"/>
        </w:rPr>
      </w:pPr>
      <w:r w:rsidRPr="003C7E62">
        <w:rPr>
          <w:rFonts w:eastAsia="Arial" w:cs="Arial"/>
          <w:color w:val="auto"/>
        </w:rPr>
        <w:t>The District contains a range of green</w:t>
      </w:r>
      <w:r w:rsidR="001B4DEF">
        <w:rPr>
          <w:rFonts w:eastAsia="Arial" w:cs="Arial"/>
          <w:color w:val="auto"/>
        </w:rPr>
        <w:t xml:space="preserve"> </w:t>
      </w:r>
      <w:r w:rsidR="001B4DEF" w:rsidRPr="00D810CA">
        <w:rPr>
          <w:rFonts w:eastAsia="Arial" w:cs="Arial"/>
        </w:rPr>
        <w:t xml:space="preserve">and blue </w:t>
      </w:r>
      <w:r w:rsidRPr="00D810CA">
        <w:rPr>
          <w:rFonts w:eastAsia="Arial" w:cs="Arial"/>
        </w:rPr>
        <w:t xml:space="preserve">infrastructure, natural and wildlife assets of national, regional and local significance, this includes but is not limited </w:t>
      </w:r>
      <w:r w:rsidR="009D1815" w:rsidRPr="00D810CA">
        <w:rPr>
          <w:rFonts w:eastAsia="Arial" w:cs="Arial"/>
        </w:rPr>
        <w:t>to</w:t>
      </w:r>
      <w:r w:rsidRPr="00D810CA">
        <w:rPr>
          <w:rFonts w:eastAsia="Arial" w:cs="Arial"/>
        </w:rPr>
        <w:t xml:space="preserve"> parks, open spaces, playing fields, woodlands, allotments, cemeteries, private gardens, green roofs and walls, agricultural land, country parks, wasteland and river/canal corridors</w:t>
      </w:r>
      <w:r w:rsidR="001B4DEF" w:rsidRPr="00D810CA">
        <w:rPr>
          <w:rFonts w:eastAsia="Arial" w:cs="Arial"/>
        </w:rPr>
        <w:t>.</w:t>
      </w:r>
      <w:r w:rsidRPr="00D810CA">
        <w:rPr>
          <w:rFonts w:eastAsia="Arial" w:cs="Arial"/>
        </w:rPr>
        <w:t xml:space="preserve">  The Council will seek to protect, conserve and enhance these assets in order to help preserve the </w:t>
      </w:r>
      <w:r w:rsidR="001B4DEF" w:rsidRPr="00D810CA">
        <w:rPr>
          <w:rFonts w:eastAsia="Arial" w:cs="Arial"/>
        </w:rPr>
        <w:t xml:space="preserve">landscape </w:t>
      </w:r>
      <w:r w:rsidRPr="00D810CA">
        <w:rPr>
          <w:rFonts w:eastAsia="Arial" w:cs="Arial"/>
        </w:rPr>
        <w:t xml:space="preserve">character of the District and </w:t>
      </w:r>
      <w:r w:rsidR="001B4DEF" w:rsidRPr="00D810CA">
        <w:rPr>
          <w:rFonts w:eastAsia="Arial" w:cs="Arial"/>
        </w:rPr>
        <w:t xml:space="preserve">it's </w:t>
      </w:r>
      <w:r w:rsidRPr="00D810CA">
        <w:rPr>
          <w:rFonts w:eastAsia="Arial" w:cs="Arial"/>
        </w:rPr>
        <w:t>biodiversity</w:t>
      </w:r>
      <w:r w:rsidR="000A144B" w:rsidRPr="00D810CA">
        <w:rPr>
          <w:rFonts w:eastAsia="Arial" w:cs="Arial"/>
        </w:rPr>
        <w:t>.</w:t>
      </w:r>
    </w:p>
    <w:p w14:paraId="28D05A1D" w14:textId="77777777" w:rsidR="000A144B" w:rsidRPr="003C7E62" w:rsidRDefault="000A144B" w:rsidP="00F11936">
      <w:pPr>
        <w:keepNext w:val="0"/>
        <w:spacing w:before="0"/>
        <w:ind w:left="709"/>
        <w:rPr>
          <w:rFonts w:cs="Arial"/>
          <w:color w:val="auto"/>
          <w:szCs w:val="24"/>
          <w:lang w:eastAsia="en-US"/>
        </w:rPr>
      </w:pPr>
    </w:p>
    <w:p w14:paraId="081F8F1D" w14:textId="74F26F58" w:rsidR="000A144B" w:rsidRPr="00D810CA" w:rsidRDefault="00386A0E" w:rsidP="00874A98">
      <w:pPr>
        <w:keepNext w:val="0"/>
        <w:numPr>
          <w:ilvl w:val="1"/>
          <w:numId w:val="103"/>
        </w:numPr>
        <w:spacing w:before="0"/>
        <w:ind w:left="709" w:hanging="709"/>
        <w:rPr>
          <w:rFonts w:cs="Arial"/>
          <w:szCs w:val="24"/>
          <w:lang w:eastAsia="en-US"/>
        </w:rPr>
      </w:pPr>
      <w:r w:rsidRPr="003C7E62">
        <w:rPr>
          <w:rFonts w:eastAsia="Arial" w:cs="Arial"/>
        </w:rPr>
        <w:t xml:space="preserve">The Council has produced a Green Infrastructure and Biodiversity Technical Paper for the District. The document examines the connectivity of </w:t>
      </w:r>
      <w:r w:rsidRPr="00D810CA">
        <w:rPr>
          <w:rFonts w:eastAsia="Arial" w:cs="Arial"/>
        </w:rPr>
        <w:t>green</w:t>
      </w:r>
      <w:r w:rsidR="001B4DEF" w:rsidRPr="00D810CA">
        <w:rPr>
          <w:rFonts w:eastAsia="Arial" w:cs="Arial"/>
        </w:rPr>
        <w:t xml:space="preserve"> and blue</w:t>
      </w:r>
      <w:r w:rsidRPr="00D810CA">
        <w:rPr>
          <w:rFonts w:eastAsia="Arial" w:cs="Arial"/>
        </w:rPr>
        <w:t xml:space="preserve"> infrastructure and identifies key strategic and local corridors and assets. Strategic corridors connect key green infrastructure resources and/or run between settlements and across district boundaries. Local corridors connect smaller green spaces and/or link neighbourhoods to the strategic network.</w:t>
      </w:r>
    </w:p>
    <w:p w14:paraId="58FBC9C2" w14:textId="551E5B5B" w:rsidR="000A144B" w:rsidRPr="00D810CA" w:rsidRDefault="000A144B" w:rsidP="00F11936">
      <w:pPr>
        <w:keepNext w:val="0"/>
        <w:spacing w:before="0"/>
        <w:ind w:left="709"/>
        <w:rPr>
          <w:rFonts w:cs="Arial"/>
          <w:szCs w:val="24"/>
          <w:lang w:eastAsia="en-US"/>
        </w:rPr>
      </w:pPr>
    </w:p>
    <w:p w14:paraId="6E66B1A9" w14:textId="74BAA072" w:rsidR="000A144B" w:rsidRPr="00D810CA" w:rsidRDefault="00386A0E" w:rsidP="00874A98">
      <w:pPr>
        <w:keepNext w:val="0"/>
        <w:numPr>
          <w:ilvl w:val="1"/>
          <w:numId w:val="103"/>
        </w:numPr>
        <w:spacing w:before="0"/>
        <w:ind w:left="709" w:hanging="709"/>
        <w:rPr>
          <w:rFonts w:cs="Arial"/>
          <w:szCs w:val="24"/>
          <w:lang w:eastAsia="en-US"/>
        </w:rPr>
      </w:pPr>
      <w:r w:rsidRPr="00D810CA">
        <w:rPr>
          <w:rFonts w:eastAsia="Arial" w:cs="Arial"/>
        </w:rPr>
        <w:t>The Council has also supported the production of the Ashfield Biodiversity Opportunity Mapping Project</w:t>
      </w:r>
      <w:r w:rsidR="001B3418" w:rsidRPr="00D810CA">
        <w:rPr>
          <w:rStyle w:val="FootnoteReference"/>
          <w:rFonts w:eastAsia="Arial" w:cs="Arial"/>
        </w:rPr>
        <w:footnoteReference w:id="75"/>
      </w:r>
      <w:r w:rsidRPr="00D810CA">
        <w:rPr>
          <w:rFonts w:eastAsia="Arial" w:cs="Arial"/>
        </w:rPr>
        <w:t xml:space="preserve"> (BOM).  The project has created a GIS-map showing broad proposals for biodiversity opportunity areas across Ashfield, representing areas in which resources should be targeted to maintain, restore, buffer, link and expand wildlife habitats at a landscape scale.  </w:t>
      </w:r>
    </w:p>
    <w:p w14:paraId="36AA1F97" w14:textId="77777777" w:rsidR="000A144B" w:rsidRPr="00D810CA" w:rsidRDefault="000A144B" w:rsidP="00F11936">
      <w:pPr>
        <w:keepNext w:val="0"/>
        <w:spacing w:before="0"/>
        <w:ind w:left="709"/>
        <w:rPr>
          <w:rFonts w:cs="Arial"/>
          <w:szCs w:val="24"/>
          <w:lang w:eastAsia="en-US"/>
        </w:rPr>
      </w:pPr>
    </w:p>
    <w:p w14:paraId="397AB036" w14:textId="31AD2F4F" w:rsidR="000A144B" w:rsidRPr="003C7E62" w:rsidRDefault="00386A0E" w:rsidP="00874A98">
      <w:pPr>
        <w:keepNext w:val="0"/>
        <w:numPr>
          <w:ilvl w:val="1"/>
          <w:numId w:val="103"/>
        </w:numPr>
        <w:spacing w:before="0"/>
        <w:ind w:left="709" w:hanging="709"/>
        <w:rPr>
          <w:rFonts w:cs="Arial"/>
          <w:color w:val="auto"/>
          <w:szCs w:val="24"/>
          <w:lang w:eastAsia="en-US"/>
        </w:rPr>
      </w:pPr>
      <w:r w:rsidRPr="00D810CA">
        <w:rPr>
          <w:rFonts w:eastAsia="Arial" w:cs="Arial"/>
        </w:rPr>
        <w:t>New development can place additional demands on a range of green</w:t>
      </w:r>
      <w:r w:rsidR="001B4DEF" w:rsidRPr="00D810CA">
        <w:rPr>
          <w:rFonts w:eastAsia="Arial" w:cs="Arial"/>
        </w:rPr>
        <w:t xml:space="preserve"> and blue </w:t>
      </w:r>
      <w:r w:rsidRPr="00D810CA">
        <w:rPr>
          <w:rFonts w:eastAsia="Arial" w:cs="Arial"/>
        </w:rPr>
        <w:t xml:space="preserve">infrastructure and natural assets. As such, development will be required to </w:t>
      </w:r>
      <w:r w:rsidR="001B4DEF" w:rsidRPr="00D810CA">
        <w:rPr>
          <w:rFonts w:eastAsia="Arial" w:cs="Arial"/>
        </w:rPr>
        <w:t xml:space="preserve">protect and enhance </w:t>
      </w:r>
      <w:r w:rsidRPr="00D810CA">
        <w:rPr>
          <w:rFonts w:eastAsia="Arial" w:cs="Arial"/>
        </w:rPr>
        <w:t xml:space="preserve">the overall green infrastructure network, meet the Council’s adopted standards for green space provision, and provide further green infrastructure assets, where possible and appropriate, suitable for the </w:t>
      </w:r>
      <w:r w:rsidRPr="003C7E62">
        <w:rPr>
          <w:rFonts w:eastAsia="Arial" w:cs="Arial"/>
          <w:color w:val="auto"/>
        </w:rPr>
        <w:t xml:space="preserve">site as detailed by </w:t>
      </w:r>
      <w:r w:rsidRPr="003B0537">
        <w:rPr>
          <w:rFonts w:eastAsia="Arial" w:cs="Arial"/>
          <w:color w:val="auto"/>
        </w:rPr>
        <w:t>Policy EV4</w:t>
      </w:r>
      <w:r w:rsidRPr="003C7E62">
        <w:rPr>
          <w:rFonts w:eastAsia="Arial" w:cs="Arial"/>
          <w:color w:val="auto"/>
        </w:rPr>
        <w:t xml:space="preserve">.  </w:t>
      </w:r>
    </w:p>
    <w:p w14:paraId="10995024" w14:textId="77777777" w:rsidR="000A144B" w:rsidRPr="003C7E62" w:rsidRDefault="000A144B" w:rsidP="00F11936">
      <w:pPr>
        <w:keepNext w:val="0"/>
        <w:spacing w:before="0"/>
        <w:ind w:left="709"/>
        <w:rPr>
          <w:rFonts w:cs="Arial"/>
          <w:color w:val="auto"/>
          <w:szCs w:val="24"/>
          <w:lang w:eastAsia="en-US"/>
        </w:rPr>
      </w:pPr>
    </w:p>
    <w:p w14:paraId="5C41A820" w14:textId="65E327FC" w:rsidR="00557459" w:rsidRPr="003C7E62" w:rsidRDefault="00386A0E" w:rsidP="00874A98">
      <w:pPr>
        <w:keepNext w:val="0"/>
        <w:numPr>
          <w:ilvl w:val="1"/>
          <w:numId w:val="103"/>
        </w:numPr>
        <w:spacing w:before="0"/>
        <w:ind w:left="709" w:hanging="709"/>
        <w:rPr>
          <w:rFonts w:cs="Arial"/>
          <w:color w:val="auto"/>
          <w:szCs w:val="24"/>
          <w:lang w:eastAsia="en-US"/>
        </w:rPr>
      </w:pPr>
      <w:r w:rsidRPr="003C7E62">
        <w:rPr>
          <w:rFonts w:eastAsia="Arial" w:cs="Arial"/>
        </w:rPr>
        <w:t xml:space="preserve">Development proposals should particularly seek to contribute towards the </w:t>
      </w:r>
      <w:r w:rsidRPr="003C7E62">
        <w:rPr>
          <w:rFonts w:cs="Arial"/>
          <w:szCs w:val="24"/>
        </w:rPr>
        <w:t xml:space="preserve">protection and preservation of </w:t>
      </w:r>
      <w:r w:rsidR="001B4DEF">
        <w:rPr>
          <w:rFonts w:cs="Arial"/>
          <w:szCs w:val="24"/>
        </w:rPr>
        <w:t>P</w:t>
      </w:r>
      <w:r w:rsidRPr="003C7E62">
        <w:rPr>
          <w:rFonts w:cs="Arial"/>
          <w:szCs w:val="24"/>
        </w:rPr>
        <w:t xml:space="preserve">riority </w:t>
      </w:r>
      <w:r w:rsidR="001B4DEF">
        <w:rPr>
          <w:rFonts w:cs="Arial"/>
          <w:szCs w:val="24"/>
        </w:rPr>
        <w:t>H</w:t>
      </w:r>
      <w:r w:rsidRPr="003C7E62">
        <w:rPr>
          <w:rFonts w:cs="Arial"/>
          <w:szCs w:val="24"/>
        </w:rPr>
        <w:t xml:space="preserve">abitats and </w:t>
      </w:r>
      <w:r w:rsidR="001B4DEF">
        <w:rPr>
          <w:rFonts w:cs="Arial"/>
          <w:szCs w:val="24"/>
        </w:rPr>
        <w:t>S</w:t>
      </w:r>
      <w:r w:rsidRPr="003C7E62">
        <w:rPr>
          <w:rFonts w:cs="Arial"/>
          <w:szCs w:val="24"/>
        </w:rPr>
        <w:t>pecies listed in Section 41 of the Natural Environment and Rural Communities Act 2006, and the</w:t>
      </w:r>
      <w:r w:rsidRPr="003C7E62">
        <w:rPr>
          <w:rFonts w:eastAsia="Arial" w:cs="Arial"/>
        </w:rPr>
        <w:t xml:space="preserve"> objectives for priority habitats and species identified in the Nottinghamshire Biodiversity Action Plan (BAP)</w:t>
      </w:r>
      <w:r w:rsidRPr="003C7E62">
        <w:rPr>
          <w:rFonts w:eastAsia="Arial" w:cs="Arial"/>
          <w:vertAlign w:val="superscript"/>
        </w:rPr>
        <w:footnoteReference w:id="76"/>
      </w:r>
      <w:r w:rsidRPr="003C7E62">
        <w:rPr>
          <w:rFonts w:eastAsia="Arial" w:cs="Arial"/>
        </w:rPr>
        <w:t xml:space="preserve">.  Proposals should also seek the protection, enhancement and linking of areas identified in the Ashfield Green Infrastructure and Biodiversity Technical Paper and the Ashfield Biodiversity Opportunity Mapping Project (BOM). </w:t>
      </w:r>
      <w:bookmarkStart w:id="124" w:name="_Hlk76641951"/>
      <w:bookmarkEnd w:id="118"/>
    </w:p>
    <w:p w14:paraId="5074F613" w14:textId="50D9DAF6" w:rsidR="00557459" w:rsidRPr="003C7E62" w:rsidRDefault="00557459" w:rsidP="00F11936">
      <w:pPr>
        <w:keepNext w:val="0"/>
        <w:spacing w:before="0"/>
        <w:ind w:left="709"/>
        <w:rPr>
          <w:rFonts w:eastAsia="Arial" w:cs="Arial"/>
        </w:rPr>
      </w:pPr>
    </w:p>
    <w:p w14:paraId="59FC0E4C" w14:textId="77777777" w:rsidR="00557459" w:rsidRPr="003C7E62" w:rsidRDefault="00557459" w:rsidP="006E2655">
      <w:pPr>
        <w:keepNext w:val="0"/>
        <w:spacing w:before="0"/>
        <w:rPr>
          <w:rFonts w:cs="Arial"/>
          <w:color w:val="auto"/>
          <w:szCs w:val="24"/>
          <w:lang w:eastAsia="en-US"/>
        </w:rPr>
      </w:pPr>
      <w:r w:rsidRPr="003C7E62">
        <w:rPr>
          <w:rFonts w:cs="Arial"/>
          <w:color w:val="auto"/>
          <w:szCs w:val="24"/>
          <w:lang w:eastAsia="en-US"/>
        </w:rPr>
        <w:br w:type="page"/>
      </w:r>
    </w:p>
    <w:p w14:paraId="35BD57DF" w14:textId="2188BD8F" w:rsidR="00557459" w:rsidRPr="009D5737" w:rsidRDefault="00557459" w:rsidP="009D5737">
      <w:pPr>
        <w:pStyle w:val="Heading2"/>
        <w:jc w:val="left"/>
        <w:rPr>
          <w:sz w:val="28"/>
          <w:szCs w:val="28"/>
        </w:rPr>
      </w:pPr>
      <w:bookmarkStart w:id="125" w:name="_Toc145511566"/>
      <w:bookmarkStart w:id="126" w:name="_Hlk146191488"/>
      <w:r w:rsidRPr="009D5737">
        <w:rPr>
          <w:sz w:val="28"/>
          <w:szCs w:val="28"/>
        </w:rPr>
        <w:t>Strategic Policy S1</w:t>
      </w:r>
      <w:r w:rsidR="005908AA" w:rsidRPr="009D5737">
        <w:rPr>
          <w:sz w:val="28"/>
          <w:szCs w:val="28"/>
        </w:rPr>
        <w:t>4</w:t>
      </w:r>
      <w:r w:rsidR="007E1CA9" w:rsidRPr="009D5737">
        <w:rPr>
          <w:sz w:val="28"/>
          <w:szCs w:val="28"/>
        </w:rPr>
        <w:t>:</w:t>
      </w:r>
      <w:r w:rsidRPr="009D5737">
        <w:rPr>
          <w:sz w:val="28"/>
          <w:szCs w:val="28"/>
        </w:rPr>
        <w:t xml:space="preserve"> </w:t>
      </w:r>
      <w:r w:rsidR="005F1B0D" w:rsidRPr="009D5737">
        <w:rPr>
          <w:sz w:val="28"/>
          <w:szCs w:val="28"/>
        </w:rPr>
        <w:t xml:space="preserve">Conserving and Enhancing Our </w:t>
      </w:r>
      <w:r w:rsidRPr="009D5737">
        <w:rPr>
          <w:sz w:val="28"/>
          <w:szCs w:val="28"/>
        </w:rPr>
        <w:t>Historic Environment</w:t>
      </w:r>
      <w:bookmarkEnd w:id="125"/>
    </w:p>
    <w:bookmarkEnd w:id="126"/>
    <w:p w14:paraId="7E72A9D6" w14:textId="77777777" w:rsidR="00FA27F7" w:rsidRPr="00F20A31" w:rsidRDefault="00FA27F7" w:rsidP="00557459">
      <w:pPr>
        <w:keepNext w:val="0"/>
        <w:spacing w:before="0"/>
        <w:rPr>
          <w:rFonts w:cs="Arial"/>
          <w:b/>
          <w:bCs/>
          <w:color w:val="auto"/>
          <w:sz w:val="28"/>
          <w:szCs w:val="28"/>
          <w:lang w:eastAsia="en-US"/>
        </w:rPr>
      </w:pPr>
    </w:p>
    <w:tbl>
      <w:tblPr>
        <w:tblStyle w:val="TableGrid16"/>
        <w:tblW w:w="0" w:type="auto"/>
        <w:tblLook w:val="04A0" w:firstRow="1" w:lastRow="0" w:firstColumn="1" w:lastColumn="0" w:noHBand="0" w:noVBand="1"/>
      </w:tblPr>
      <w:tblGrid>
        <w:gridCol w:w="2245"/>
        <w:gridCol w:w="7374"/>
      </w:tblGrid>
      <w:tr w:rsidR="00FA27F7" w:rsidRPr="00FA27F7" w14:paraId="10567E0E" w14:textId="77777777" w:rsidTr="007C6CA4">
        <w:tc>
          <w:tcPr>
            <w:tcW w:w="9742" w:type="dxa"/>
            <w:gridSpan w:val="2"/>
            <w:tcBorders>
              <w:top w:val="single" w:sz="8" w:space="0" w:color="auto"/>
              <w:left w:val="single" w:sz="8" w:space="0" w:color="auto"/>
              <w:bottom w:val="single" w:sz="8" w:space="0" w:color="auto"/>
              <w:right w:val="single" w:sz="8" w:space="0" w:color="auto"/>
            </w:tcBorders>
          </w:tcPr>
          <w:p w14:paraId="62F5A3CB" w14:textId="77777777" w:rsidR="00FA27F7" w:rsidRPr="00D810CA" w:rsidRDefault="00FA27F7" w:rsidP="00FF3EAD">
            <w:pPr>
              <w:keepNext w:val="0"/>
              <w:spacing w:before="0"/>
              <w:jc w:val="left"/>
              <w:rPr>
                <w:b/>
                <w:bCs/>
              </w:rPr>
            </w:pPr>
            <w:bookmarkStart w:id="127" w:name="_Hlk143163328"/>
          </w:p>
          <w:p w14:paraId="3268E213" w14:textId="30027D39" w:rsidR="00FA27F7" w:rsidRPr="00D810CA" w:rsidRDefault="00FA27F7" w:rsidP="00FF3EAD">
            <w:pPr>
              <w:keepNext w:val="0"/>
              <w:spacing w:before="0"/>
              <w:jc w:val="left"/>
              <w:rPr>
                <w:b/>
                <w:bCs/>
              </w:rPr>
            </w:pPr>
            <w:r w:rsidRPr="00D810CA">
              <w:rPr>
                <w:b/>
                <w:bCs/>
              </w:rPr>
              <w:t>Strategic Policy S</w:t>
            </w:r>
            <w:r w:rsidR="005908AA" w:rsidRPr="00D810CA">
              <w:rPr>
                <w:b/>
                <w:bCs/>
              </w:rPr>
              <w:t xml:space="preserve">14 </w:t>
            </w:r>
            <w:r w:rsidR="005F1B0D" w:rsidRPr="00D810CA">
              <w:rPr>
                <w:b/>
                <w:bCs/>
              </w:rPr>
              <w:t xml:space="preserve">Conserving and Enhancing Our </w:t>
            </w:r>
            <w:r w:rsidRPr="00D810CA">
              <w:rPr>
                <w:b/>
                <w:bCs/>
              </w:rPr>
              <w:t>Historic Environment</w:t>
            </w:r>
          </w:p>
          <w:p w14:paraId="09F4D330" w14:textId="0FEA8123" w:rsidR="00FA27F7" w:rsidRPr="00D810CA" w:rsidRDefault="00FA27F7" w:rsidP="00FF3EAD">
            <w:pPr>
              <w:keepNext w:val="0"/>
              <w:spacing w:before="0"/>
              <w:jc w:val="left"/>
              <w:rPr>
                <w:b/>
                <w:bCs/>
              </w:rPr>
            </w:pPr>
          </w:p>
        </w:tc>
      </w:tr>
      <w:tr w:rsidR="00FA27F7" w:rsidRPr="00FA27F7" w14:paraId="2CE4D1A9" w14:textId="77777777" w:rsidTr="007C6CA4">
        <w:tc>
          <w:tcPr>
            <w:tcW w:w="2263" w:type="dxa"/>
            <w:tcBorders>
              <w:top w:val="single" w:sz="8" w:space="0" w:color="auto"/>
              <w:left w:val="single" w:sz="8" w:space="0" w:color="auto"/>
              <w:bottom w:val="single" w:sz="8" w:space="0" w:color="auto"/>
              <w:right w:val="single" w:sz="8" w:space="0" w:color="auto"/>
            </w:tcBorders>
          </w:tcPr>
          <w:p w14:paraId="612E999A" w14:textId="77777777" w:rsidR="00FA27F7" w:rsidRPr="00FA27F7" w:rsidRDefault="00FA27F7" w:rsidP="00FF3EAD">
            <w:pPr>
              <w:keepNext w:val="0"/>
              <w:spacing w:before="0"/>
              <w:jc w:val="left"/>
              <w:rPr>
                <w:color w:val="auto"/>
              </w:rPr>
            </w:pPr>
            <w:r w:rsidRPr="00FA27F7">
              <w:rPr>
                <w:color w:val="auto"/>
              </w:rPr>
              <w:t>Strategic Objectives</w:t>
            </w:r>
          </w:p>
        </w:tc>
        <w:tc>
          <w:tcPr>
            <w:tcW w:w="7479" w:type="dxa"/>
            <w:tcBorders>
              <w:top w:val="single" w:sz="8" w:space="0" w:color="auto"/>
              <w:left w:val="single" w:sz="8" w:space="0" w:color="auto"/>
              <w:bottom w:val="single" w:sz="8" w:space="0" w:color="auto"/>
              <w:right w:val="single" w:sz="8" w:space="0" w:color="auto"/>
            </w:tcBorders>
          </w:tcPr>
          <w:p w14:paraId="53C7A3D4" w14:textId="77777777" w:rsidR="00FA27F7" w:rsidRPr="00D810CA" w:rsidRDefault="00FA27F7" w:rsidP="00FF3EAD">
            <w:pPr>
              <w:keepNext w:val="0"/>
              <w:spacing w:before="0"/>
              <w:jc w:val="left"/>
            </w:pPr>
            <w:r w:rsidRPr="00D810CA">
              <w:t>SO1, SO7, SO8, SO14.</w:t>
            </w:r>
          </w:p>
        </w:tc>
      </w:tr>
      <w:tr w:rsidR="00FA27F7" w:rsidRPr="00FA27F7" w14:paraId="16E2E6D4" w14:textId="77777777" w:rsidTr="00FA27F7">
        <w:tc>
          <w:tcPr>
            <w:tcW w:w="9742" w:type="dxa"/>
            <w:gridSpan w:val="2"/>
            <w:tcBorders>
              <w:top w:val="single" w:sz="8" w:space="0" w:color="auto"/>
              <w:left w:val="single" w:sz="8" w:space="0" w:color="auto"/>
              <w:bottom w:val="single" w:sz="8" w:space="0" w:color="auto"/>
              <w:right w:val="single" w:sz="8" w:space="0" w:color="auto"/>
            </w:tcBorders>
            <w:shd w:val="clear" w:color="auto" w:fill="D9D9D9"/>
          </w:tcPr>
          <w:p w14:paraId="614C0B79" w14:textId="77777777" w:rsidR="00FA27F7" w:rsidRPr="00D810CA" w:rsidRDefault="00FA27F7" w:rsidP="00FF3EAD">
            <w:pPr>
              <w:keepNext w:val="0"/>
              <w:spacing w:before="0"/>
              <w:jc w:val="left"/>
            </w:pPr>
          </w:p>
          <w:p w14:paraId="3D60FAF2" w14:textId="32926DFE" w:rsidR="00FA27F7" w:rsidRPr="00D810CA" w:rsidRDefault="00FA27F7" w:rsidP="00FF3EAD">
            <w:pPr>
              <w:keepNext w:val="0"/>
              <w:spacing w:before="0"/>
              <w:jc w:val="left"/>
            </w:pPr>
            <w:r w:rsidRPr="00D810CA">
              <w:t xml:space="preserve">The Council will ensure that </w:t>
            </w:r>
            <w:r w:rsidR="00381691" w:rsidRPr="00D810CA">
              <w:t xml:space="preserve">all </w:t>
            </w:r>
            <w:r w:rsidRPr="00D810CA">
              <w:t xml:space="preserve">heritage assets within the District are </w:t>
            </w:r>
            <w:bookmarkStart w:id="128" w:name="_Hlk143163546"/>
            <w:r w:rsidRPr="00D810CA">
              <w:t>conserved and enhanced</w:t>
            </w:r>
            <w:r w:rsidR="000E688D" w:rsidRPr="00D810CA">
              <w:t>,</w:t>
            </w:r>
            <w:r w:rsidRPr="00D810CA">
              <w:t xml:space="preserve"> </w:t>
            </w:r>
            <w:r w:rsidR="000E688D" w:rsidRPr="00D810CA">
              <w:t xml:space="preserve">in a manner appropriate to their significance, </w:t>
            </w:r>
            <w:r w:rsidRPr="00D810CA">
              <w:t xml:space="preserve">to ensure the continued protection and enjoyment of the historic environment.  </w:t>
            </w:r>
            <w:bookmarkEnd w:id="128"/>
            <w:r w:rsidRPr="00D810CA">
              <w:t xml:space="preserve">This includes </w:t>
            </w:r>
            <w:r w:rsidR="000E688D" w:rsidRPr="00D810CA">
              <w:t xml:space="preserve">designated and non-designated </w:t>
            </w:r>
            <w:r w:rsidRPr="00D810CA">
              <w:t>heritage assets, archaeological sites and historic landscapes, and their setting in accordance with legislation and national policy.</w:t>
            </w:r>
          </w:p>
          <w:p w14:paraId="4C87F586" w14:textId="77777777" w:rsidR="00FA27F7" w:rsidRPr="00D810CA" w:rsidRDefault="00FA27F7" w:rsidP="00FF3EAD">
            <w:pPr>
              <w:keepNext w:val="0"/>
              <w:spacing w:before="0"/>
              <w:jc w:val="left"/>
            </w:pPr>
          </w:p>
        </w:tc>
      </w:tr>
      <w:bookmarkEnd w:id="127"/>
      <w:tr w:rsidR="00FA27F7" w:rsidRPr="00FA27F7" w14:paraId="63F68135" w14:textId="77777777" w:rsidTr="00FA27F7">
        <w:tc>
          <w:tcPr>
            <w:tcW w:w="2263" w:type="dxa"/>
            <w:tcBorders>
              <w:top w:val="single" w:sz="8" w:space="0" w:color="auto"/>
              <w:left w:val="single" w:sz="8" w:space="0" w:color="auto"/>
              <w:bottom w:val="single" w:sz="8" w:space="0" w:color="auto"/>
              <w:right w:val="single" w:sz="8" w:space="0" w:color="auto"/>
            </w:tcBorders>
            <w:shd w:val="clear" w:color="auto" w:fill="D9D9D9"/>
          </w:tcPr>
          <w:p w14:paraId="19BE21FE" w14:textId="77777777" w:rsidR="00FA27F7" w:rsidRPr="00FA27F7" w:rsidRDefault="00FA27F7" w:rsidP="000032A9">
            <w:pPr>
              <w:keepNext w:val="0"/>
              <w:spacing w:before="0"/>
              <w:jc w:val="left"/>
              <w:rPr>
                <w:color w:val="auto"/>
                <w:sz w:val="20"/>
                <w:szCs w:val="20"/>
              </w:rPr>
            </w:pPr>
            <w:r w:rsidRPr="00FA27F7">
              <w:rPr>
                <w:color w:val="auto"/>
                <w:sz w:val="20"/>
                <w:szCs w:val="20"/>
              </w:rPr>
              <w:t>Evidence Base</w:t>
            </w:r>
          </w:p>
        </w:tc>
        <w:tc>
          <w:tcPr>
            <w:tcW w:w="7479" w:type="dxa"/>
            <w:tcBorders>
              <w:top w:val="single" w:sz="8" w:space="0" w:color="auto"/>
              <w:left w:val="single" w:sz="8" w:space="0" w:color="auto"/>
              <w:bottom w:val="single" w:sz="8" w:space="0" w:color="auto"/>
              <w:right w:val="single" w:sz="8" w:space="0" w:color="auto"/>
            </w:tcBorders>
            <w:shd w:val="clear" w:color="auto" w:fill="D9D9D9"/>
          </w:tcPr>
          <w:p w14:paraId="2E2AD1FC" w14:textId="00CF7882" w:rsidR="00FA27F7" w:rsidRPr="00D810CA" w:rsidRDefault="00FA27F7" w:rsidP="00874A98">
            <w:pPr>
              <w:keepNext w:val="0"/>
              <w:numPr>
                <w:ilvl w:val="0"/>
                <w:numId w:val="282"/>
              </w:numPr>
              <w:spacing w:before="0"/>
              <w:contextualSpacing/>
              <w:jc w:val="left"/>
              <w:rPr>
                <w:sz w:val="20"/>
                <w:szCs w:val="20"/>
              </w:rPr>
            </w:pPr>
            <w:r w:rsidRPr="00D810CA">
              <w:rPr>
                <w:sz w:val="20"/>
                <w:szCs w:val="20"/>
              </w:rPr>
              <w:t>Sustainability Appraisal, 202</w:t>
            </w:r>
            <w:r w:rsidR="00B80DEC" w:rsidRPr="00D810CA">
              <w:rPr>
                <w:sz w:val="20"/>
                <w:szCs w:val="20"/>
              </w:rPr>
              <w:t>3</w:t>
            </w:r>
            <w:r w:rsidRPr="00D810CA">
              <w:rPr>
                <w:sz w:val="20"/>
                <w:szCs w:val="20"/>
              </w:rPr>
              <w:t xml:space="preserve">. </w:t>
            </w:r>
            <w:r w:rsidR="00B80DEC" w:rsidRPr="00D810CA">
              <w:rPr>
                <w:sz w:val="20"/>
                <w:szCs w:val="20"/>
              </w:rPr>
              <w:t>WSP UK Limited</w:t>
            </w:r>
            <w:r w:rsidRPr="00D810CA">
              <w:rPr>
                <w:sz w:val="20"/>
                <w:szCs w:val="20"/>
              </w:rPr>
              <w:t>.</w:t>
            </w:r>
          </w:p>
          <w:p w14:paraId="3BC679AD" w14:textId="77777777" w:rsidR="00FA27F7" w:rsidRPr="00D810CA" w:rsidRDefault="00FA27F7" w:rsidP="00874A98">
            <w:pPr>
              <w:keepNext w:val="0"/>
              <w:numPr>
                <w:ilvl w:val="0"/>
                <w:numId w:val="282"/>
              </w:numPr>
              <w:spacing w:before="0"/>
              <w:contextualSpacing/>
              <w:jc w:val="left"/>
              <w:rPr>
                <w:sz w:val="20"/>
                <w:szCs w:val="20"/>
              </w:rPr>
            </w:pPr>
            <w:r w:rsidRPr="00D810CA">
              <w:rPr>
                <w:sz w:val="20"/>
                <w:szCs w:val="20"/>
              </w:rPr>
              <w:t>Ashfield Criteria for Local Heritage Asset Designation 2013.  Ashfield District Council.</w:t>
            </w:r>
          </w:p>
          <w:p w14:paraId="4836C67A" w14:textId="77777777" w:rsidR="00FA27F7" w:rsidRPr="00D810CA" w:rsidRDefault="00FA27F7" w:rsidP="00874A98">
            <w:pPr>
              <w:keepNext w:val="0"/>
              <w:numPr>
                <w:ilvl w:val="0"/>
                <w:numId w:val="282"/>
              </w:numPr>
              <w:spacing w:before="0"/>
              <w:contextualSpacing/>
              <w:jc w:val="left"/>
              <w:rPr>
                <w:sz w:val="20"/>
                <w:szCs w:val="20"/>
              </w:rPr>
            </w:pPr>
            <w:r w:rsidRPr="00D810CA">
              <w:rPr>
                <w:sz w:val="20"/>
                <w:szCs w:val="20"/>
              </w:rPr>
              <w:t>Listed Buildings at Risk Register, Historic England.</w:t>
            </w:r>
          </w:p>
          <w:p w14:paraId="78690DFC" w14:textId="77777777" w:rsidR="00FA27F7" w:rsidRPr="00D810CA" w:rsidRDefault="00FA27F7" w:rsidP="00874A98">
            <w:pPr>
              <w:keepNext w:val="0"/>
              <w:numPr>
                <w:ilvl w:val="0"/>
                <w:numId w:val="282"/>
              </w:numPr>
              <w:spacing w:before="0"/>
              <w:contextualSpacing/>
              <w:jc w:val="left"/>
              <w:rPr>
                <w:sz w:val="20"/>
                <w:szCs w:val="20"/>
              </w:rPr>
            </w:pPr>
            <w:r w:rsidRPr="00D810CA">
              <w:rPr>
                <w:sz w:val="20"/>
                <w:szCs w:val="20"/>
              </w:rPr>
              <w:t>Hardwick Hall Setting Study. 2016, ATKINS (for National Trust).</w:t>
            </w:r>
          </w:p>
          <w:p w14:paraId="714A6A50" w14:textId="77777777" w:rsidR="00FA27F7" w:rsidRPr="00D810CA" w:rsidRDefault="00FA27F7" w:rsidP="00874A98">
            <w:pPr>
              <w:keepNext w:val="0"/>
              <w:numPr>
                <w:ilvl w:val="0"/>
                <w:numId w:val="282"/>
              </w:numPr>
              <w:spacing w:before="0"/>
              <w:contextualSpacing/>
              <w:jc w:val="left"/>
              <w:rPr>
                <w:sz w:val="20"/>
                <w:szCs w:val="20"/>
              </w:rPr>
            </w:pPr>
            <w:r w:rsidRPr="00D810CA">
              <w:rPr>
                <w:sz w:val="20"/>
                <w:szCs w:val="20"/>
              </w:rPr>
              <w:t>Greater Nottinghamshire Landscape Character Assessment 2009. TEP (for Nottinghamshire County Council &amp; Greater Nottingham Authorities).</w:t>
            </w:r>
          </w:p>
          <w:p w14:paraId="4EDD834F" w14:textId="77777777" w:rsidR="00FA27F7" w:rsidRPr="00D810CA" w:rsidRDefault="00FA27F7" w:rsidP="00874A98">
            <w:pPr>
              <w:keepNext w:val="0"/>
              <w:numPr>
                <w:ilvl w:val="0"/>
                <w:numId w:val="282"/>
              </w:numPr>
              <w:spacing w:before="0"/>
              <w:contextualSpacing/>
              <w:jc w:val="left"/>
              <w:rPr>
                <w:sz w:val="20"/>
                <w:szCs w:val="20"/>
              </w:rPr>
            </w:pPr>
            <w:r w:rsidRPr="00D810CA">
              <w:rPr>
                <w:sz w:val="20"/>
                <w:szCs w:val="20"/>
              </w:rPr>
              <w:t>Annesley Conservation Area. Adopted 1999, Ashfield District Council.</w:t>
            </w:r>
          </w:p>
          <w:p w14:paraId="23035E78" w14:textId="77777777" w:rsidR="00FA27F7" w:rsidRPr="00D810CA" w:rsidRDefault="00FA27F7" w:rsidP="00874A98">
            <w:pPr>
              <w:keepNext w:val="0"/>
              <w:numPr>
                <w:ilvl w:val="0"/>
                <w:numId w:val="282"/>
              </w:numPr>
              <w:spacing w:before="0"/>
              <w:contextualSpacing/>
              <w:jc w:val="left"/>
              <w:rPr>
                <w:sz w:val="20"/>
                <w:szCs w:val="20"/>
              </w:rPr>
            </w:pPr>
            <w:r w:rsidRPr="00D810CA">
              <w:rPr>
                <w:sz w:val="20"/>
                <w:szCs w:val="20"/>
              </w:rPr>
              <w:t>Lower Bagthorpe Conservation Area. Adopted 1975, amended 2007, Ashfield District Council.</w:t>
            </w:r>
          </w:p>
          <w:p w14:paraId="534BE33B" w14:textId="77777777" w:rsidR="00FA27F7" w:rsidRPr="00D810CA" w:rsidRDefault="00FA27F7" w:rsidP="00874A98">
            <w:pPr>
              <w:keepNext w:val="0"/>
              <w:numPr>
                <w:ilvl w:val="0"/>
                <w:numId w:val="282"/>
              </w:numPr>
              <w:spacing w:before="0"/>
              <w:contextualSpacing/>
              <w:jc w:val="left"/>
              <w:rPr>
                <w:sz w:val="20"/>
                <w:szCs w:val="20"/>
              </w:rPr>
            </w:pPr>
            <w:r w:rsidRPr="00D810CA">
              <w:rPr>
                <w:sz w:val="20"/>
                <w:szCs w:val="20"/>
              </w:rPr>
              <w:t>Kirkby Cross Conservation Area. Adopted 1975, amended 2004, Ashfield District Council.</w:t>
            </w:r>
          </w:p>
          <w:p w14:paraId="21592CC5" w14:textId="77777777" w:rsidR="00FA27F7" w:rsidRPr="00D810CA" w:rsidRDefault="00FA27F7" w:rsidP="00874A98">
            <w:pPr>
              <w:keepNext w:val="0"/>
              <w:numPr>
                <w:ilvl w:val="0"/>
                <w:numId w:val="282"/>
              </w:numPr>
              <w:spacing w:before="0"/>
              <w:contextualSpacing/>
              <w:jc w:val="left"/>
              <w:rPr>
                <w:sz w:val="20"/>
                <w:szCs w:val="20"/>
              </w:rPr>
            </w:pPr>
            <w:r w:rsidRPr="00D810CA">
              <w:rPr>
                <w:sz w:val="20"/>
                <w:szCs w:val="20"/>
              </w:rPr>
              <w:t>Sutton in Ashfield Church and Market Place Conservation Area. Adopted 2015, Ashfield District Council.</w:t>
            </w:r>
          </w:p>
          <w:p w14:paraId="75174F57" w14:textId="77777777" w:rsidR="00FA27F7" w:rsidRPr="00D810CA" w:rsidRDefault="00FA27F7" w:rsidP="00874A98">
            <w:pPr>
              <w:keepNext w:val="0"/>
              <w:numPr>
                <w:ilvl w:val="0"/>
                <w:numId w:val="282"/>
              </w:numPr>
              <w:spacing w:before="0"/>
              <w:contextualSpacing/>
              <w:jc w:val="left"/>
              <w:rPr>
                <w:sz w:val="20"/>
                <w:szCs w:val="20"/>
              </w:rPr>
            </w:pPr>
            <w:r w:rsidRPr="00D810CA">
              <w:rPr>
                <w:sz w:val="20"/>
                <w:szCs w:val="20"/>
              </w:rPr>
              <w:t>Teversal Conservation Area. Adopted 1970, amended 2012, Ashfield District Council.</w:t>
            </w:r>
          </w:p>
          <w:p w14:paraId="1A4BAB47" w14:textId="77777777" w:rsidR="00FA27F7" w:rsidRPr="00D810CA" w:rsidRDefault="00FA27F7" w:rsidP="00874A98">
            <w:pPr>
              <w:keepNext w:val="0"/>
              <w:numPr>
                <w:ilvl w:val="0"/>
                <w:numId w:val="282"/>
              </w:numPr>
              <w:spacing w:before="0"/>
              <w:contextualSpacing/>
              <w:jc w:val="left"/>
              <w:rPr>
                <w:sz w:val="20"/>
                <w:szCs w:val="20"/>
              </w:rPr>
            </w:pPr>
            <w:r w:rsidRPr="00D810CA">
              <w:rPr>
                <w:sz w:val="20"/>
                <w:szCs w:val="20"/>
              </w:rPr>
              <w:t>Hucknall Town Centre Conservation Area. Adopted 2019, Ashfield District Council.</w:t>
            </w:r>
          </w:p>
        </w:tc>
      </w:tr>
      <w:tr w:rsidR="00FA27F7" w:rsidRPr="00FA27F7" w14:paraId="1D0CBF86" w14:textId="77777777" w:rsidTr="00FA27F7">
        <w:tc>
          <w:tcPr>
            <w:tcW w:w="2263" w:type="dxa"/>
            <w:tcBorders>
              <w:top w:val="single" w:sz="8" w:space="0" w:color="auto"/>
              <w:left w:val="single" w:sz="8" w:space="0" w:color="auto"/>
              <w:bottom w:val="single" w:sz="8" w:space="0" w:color="auto"/>
              <w:right w:val="single" w:sz="8" w:space="0" w:color="auto"/>
            </w:tcBorders>
            <w:shd w:val="clear" w:color="auto" w:fill="D9D9D9"/>
          </w:tcPr>
          <w:p w14:paraId="02C7B3DC" w14:textId="77777777" w:rsidR="00FA27F7" w:rsidRPr="00FA27F7" w:rsidRDefault="00FA27F7" w:rsidP="000032A9">
            <w:pPr>
              <w:keepNext w:val="0"/>
              <w:spacing w:before="0"/>
              <w:jc w:val="left"/>
              <w:rPr>
                <w:color w:val="auto"/>
                <w:sz w:val="20"/>
                <w:szCs w:val="20"/>
              </w:rPr>
            </w:pPr>
            <w:r w:rsidRPr="00FA27F7">
              <w:rPr>
                <w:color w:val="auto"/>
                <w:sz w:val="20"/>
                <w:szCs w:val="20"/>
              </w:rPr>
              <w:t>National Planning Policy and Guidance</w:t>
            </w:r>
          </w:p>
        </w:tc>
        <w:tc>
          <w:tcPr>
            <w:tcW w:w="7479" w:type="dxa"/>
            <w:tcBorders>
              <w:top w:val="single" w:sz="8" w:space="0" w:color="auto"/>
              <w:left w:val="single" w:sz="8" w:space="0" w:color="auto"/>
              <w:bottom w:val="single" w:sz="8" w:space="0" w:color="auto"/>
              <w:right w:val="single" w:sz="8" w:space="0" w:color="auto"/>
            </w:tcBorders>
            <w:shd w:val="clear" w:color="auto" w:fill="D9D9D9"/>
          </w:tcPr>
          <w:p w14:paraId="424BBE16" w14:textId="57182EF7" w:rsidR="00FA27F7" w:rsidRPr="00FA27F7" w:rsidRDefault="00FA27F7" w:rsidP="00874A98">
            <w:pPr>
              <w:keepNext w:val="0"/>
              <w:numPr>
                <w:ilvl w:val="0"/>
                <w:numId w:val="283"/>
              </w:numPr>
              <w:spacing w:before="0"/>
              <w:contextualSpacing/>
              <w:jc w:val="left"/>
              <w:rPr>
                <w:color w:val="auto"/>
                <w:sz w:val="20"/>
                <w:szCs w:val="20"/>
              </w:rPr>
            </w:pPr>
            <w:r w:rsidRPr="00FA27F7">
              <w:rPr>
                <w:color w:val="auto"/>
                <w:sz w:val="20"/>
                <w:szCs w:val="20"/>
              </w:rPr>
              <w:t>NPPF 202</w:t>
            </w:r>
            <w:r w:rsidR="00616B41">
              <w:rPr>
                <w:color w:val="auto"/>
                <w:sz w:val="20"/>
                <w:szCs w:val="20"/>
              </w:rPr>
              <w:t>3</w:t>
            </w:r>
            <w:r w:rsidRPr="00FA27F7">
              <w:rPr>
                <w:color w:val="auto"/>
                <w:sz w:val="20"/>
                <w:szCs w:val="20"/>
              </w:rPr>
              <w:t>, Part 2: Achieving sustainable development.</w:t>
            </w:r>
          </w:p>
          <w:p w14:paraId="6EC8308D" w14:textId="6FBE2831" w:rsidR="00FA27F7" w:rsidRPr="00FA27F7" w:rsidRDefault="00FA27F7" w:rsidP="00874A98">
            <w:pPr>
              <w:keepNext w:val="0"/>
              <w:numPr>
                <w:ilvl w:val="0"/>
                <w:numId w:val="283"/>
              </w:numPr>
              <w:spacing w:before="0"/>
              <w:contextualSpacing/>
              <w:jc w:val="left"/>
              <w:rPr>
                <w:color w:val="auto"/>
                <w:sz w:val="20"/>
                <w:szCs w:val="20"/>
              </w:rPr>
            </w:pPr>
            <w:r w:rsidRPr="00FA27F7">
              <w:rPr>
                <w:color w:val="auto"/>
                <w:sz w:val="20"/>
                <w:szCs w:val="20"/>
              </w:rPr>
              <w:t>NPPF 202</w:t>
            </w:r>
            <w:r w:rsidR="00616B41">
              <w:rPr>
                <w:color w:val="auto"/>
                <w:sz w:val="20"/>
                <w:szCs w:val="20"/>
              </w:rPr>
              <w:t>3</w:t>
            </w:r>
            <w:r w:rsidRPr="00FA27F7">
              <w:rPr>
                <w:color w:val="auto"/>
                <w:sz w:val="20"/>
                <w:szCs w:val="20"/>
              </w:rPr>
              <w:t>, Part 16: Conserving and enhancing the historic environment.</w:t>
            </w:r>
          </w:p>
          <w:p w14:paraId="10FB8AE9" w14:textId="757E46DE" w:rsidR="00FA27F7" w:rsidRPr="00FA27F7" w:rsidRDefault="00FA27F7" w:rsidP="00874A98">
            <w:pPr>
              <w:keepNext w:val="0"/>
              <w:numPr>
                <w:ilvl w:val="0"/>
                <w:numId w:val="283"/>
              </w:numPr>
              <w:spacing w:before="0"/>
              <w:contextualSpacing/>
              <w:jc w:val="left"/>
              <w:rPr>
                <w:color w:val="auto"/>
                <w:sz w:val="20"/>
                <w:szCs w:val="20"/>
              </w:rPr>
            </w:pPr>
            <w:bookmarkStart w:id="129" w:name="_Hlk139635471"/>
            <w:r w:rsidRPr="00FA27F7">
              <w:rPr>
                <w:color w:val="auto"/>
                <w:sz w:val="20"/>
                <w:szCs w:val="20"/>
              </w:rPr>
              <w:t xml:space="preserve">Planning Practice Guidance: Historic Environment as of </w:t>
            </w:r>
            <w:r w:rsidR="00B80DEC" w:rsidRPr="00D810CA">
              <w:rPr>
                <w:sz w:val="20"/>
                <w:szCs w:val="20"/>
              </w:rPr>
              <w:t>July 2019</w:t>
            </w:r>
            <w:r w:rsidRPr="00D810CA">
              <w:rPr>
                <w:sz w:val="20"/>
                <w:szCs w:val="20"/>
              </w:rPr>
              <w:t>.</w:t>
            </w:r>
            <w:bookmarkEnd w:id="129"/>
          </w:p>
        </w:tc>
      </w:tr>
    </w:tbl>
    <w:p w14:paraId="589151CD" w14:textId="77777777" w:rsidR="00557459" w:rsidRPr="003C7E62" w:rsidRDefault="00557459" w:rsidP="00FA27F7">
      <w:pPr>
        <w:keepNext w:val="0"/>
        <w:spacing w:before="0"/>
        <w:rPr>
          <w:rFonts w:cs="Arial"/>
          <w:color w:val="auto"/>
          <w:szCs w:val="24"/>
          <w:lang w:eastAsia="en-US"/>
        </w:rPr>
      </w:pPr>
    </w:p>
    <w:p w14:paraId="6C9D44DE" w14:textId="77777777" w:rsidR="00557459" w:rsidRPr="003C7E62" w:rsidRDefault="00557459" w:rsidP="006E2655">
      <w:pPr>
        <w:keepNext w:val="0"/>
        <w:spacing w:before="0"/>
        <w:ind w:left="709"/>
        <w:rPr>
          <w:rFonts w:cs="Arial"/>
          <w:color w:val="auto"/>
          <w:szCs w:val="24"/>
          <w:lang w:eastAsia="en-US"/>
        </w:rPr>
      </w:pPr>
    </w:p>
    <w:p w14:paraId="6E12457A" w14:textId="631351BA" w:rsidR="00557459" w:rsidRPr="0065452C" w:rsidRDefault="00386A0E" w:rsidP="00874A98">
      <w:pPr>
        <w:keepNext w:val="0"/>
        <w:numPr>
          <w:ilvl w:val="1"/>
          <w:numId w:val="338"/>
        </w:numPr>
        <w:spacing w:before="0"/>
        <w:ind w:left="709" w:hanging="709"/>
        <w:rPr>
          <w:rFonts w:cs="Arial"/>
          <w:color w:val="auto"/>
          <w:szCs w:val="24"/>
          <w:lang w:eastAsia="en-US"/>
        </w:rPr>
      </w:pPr>
      <w:r w:rsidRPr="0065452C">
        <w:rPr>
          <w:rFonts w:cs="Arial"/>
          <w:color w:val="auto"/>
          <w:szCs w:val="24"/>
        </w:rPr>
        <w:t xml:space="preserve">The historic environment </w:t>
      </w:r>
      <w:r w:rsidR="0065452C" w:rsidRPr="00D810CA">
        <w:rPr>
          <w:rFonts w:eastAsia="Arial" w:cs="Arial"/>
        </w:rPr>
        <w:t xml:space="preserve">is of great importance for education, culture, leisure, tourism and the wider economy.  It </w:t>
      </w:r>
      <w:r w:rsidRPr="0065452C">
        <w:rPr>
          <w:rFonts w:cs="Arial"/>
          <w:color w:val="auto"/>
          <w:szCs w:val="24"/>
        </w:rPr>
        <w:t xml:space="preserve">has tremendous visual appeal, provides inspiration and enjoyment and helps reinforce a sense of local identity. However, this environment can be fragile and once gone it cannot be replaced. Careful management is necessary to ensure its importance is recognised and that it can contribute to the success and growth of the District. </w:t>
      </w:r>
    </w:p>
    <w:p w14:paraId="6E9D4CB1" w14:textId="77777777" w:rsidR="008C72B3" w:rsidRPr="003C7E62" w:rsidRDefault="008C72B3" w:rsidP="008C72B3">
      <w:pPr>
        <w:keepNext w:val="0"/>
        <w:spacing w:before="0"/>
        <w:rPr>
          <w:rFonts w:cs="Arial"/>
          <w:color w:val="auto"/>
          <w:szCs w:val="24"/>
          <w:lang w:eastAsia="en-US"/>
        </w:rPr>
      </w:pPr>
    </w:p>
    <w:p w14:paraId="5891AD14" w14:textId="0C157491" w:rsidR="00557459" w:rsidRPr="003C7E62" w:rsidRDefault="00386A0E" w:rsidP="00874A98">
      <w:pPr>
        <w:keepNext w:val="0"/>
        <w:numPr>
          <w:ilvl w:val="1"/>
          <w:numId w:val="338"/>
        </w:numPr>
        <w:spacing w:before="0"/>
        <w:ind w:left="709" w:hanging="709"/>
        <w:rPr>
          <w:rFonts w:cs="Arial"/>
          <w:color w:val="auto"/>
          <w:szCs w:val="24"/>
          <w:lang w:eastAsia="en-US"/>
        </w:rPr>
      </w:pPr>
      <w:r w:rsidRPr="003C7E62">
        <w:rPr>
          <w:rFonts w:cs="Arial"/>
          <w:color w:val="auto"/>
        </w:rPr>
        <w:t xml:space="preserve">Heritage assets are buildings, monuments, sites, places, areas or landscapes of historic, archaeological, architectural or artistic interest, whether designated or not, that have a degree of significance. </w:t>
      </w:r>
      <w:bookmarkStart w:id="130" w:name="_Hlk122514279"/>
      <w:r w:rsidRPr="003C7E62">
        <w:rPr>
          <w:rFonts w:cs="Arial"/>
          <w:color w:val="auto"/>
        </w:rPr>
        <w:t>The term ‘significance’ can be defined as “the value of a heritage asset to this and future generations because of its heritage interest”</w:t>
      </w:r>
      <w:r w:rsidRPr="003C7E62">
        <w:rPr>
          <w:rFonts w:cs="Arial"/>
          <w:color w:val="auto"/>
          <w:vertAlign w:val="superscript"/>
        </w:rPr>
        <w:footnoteReference w:id="77"/>
      </w:r>
      <w:r w:rsidRPr="003C7E62">
        <w:rPr>
          <w:rFonts w:cs="Arial"/>
          <w:color w:val="auto"/>
        </w:rPr>
        <w:t>.</w:t>
      </w:r>
      <w:bookmarkEnd w:id="130"/>
      <w:r w:rsidRPr="003C7E62">
        <w:rPr>
          <w:rFonts w:cs="Arial"/>
          <w:color w:val="auto"/>
        </w:rPr>
        <w:t xml:space="preserve"> In measuring the significance of an </w:t>
      </w:r>
      <w:r w:rsidR="009D1815" w:rsidRPr="003C7E62">
        <w:rPr>
          <w:rFonts w:cs="Arial"/>
          <w:color w:val="auto"/>
        </w:rPr>
        <w:t>asset,</w:t>
      </w:r>
      <w:r w:rsidRPr="003C7E62">
        <w:rPr>
          <w:rFonts w:cs="Arial"/>
          <w:color w:val="auto"/>
        </w:rPr>
        <w:t xml:space="preserve"> a number of factors are assessed, including, but not restricted to, an asset’s rarity, representativeness, association, integrity, evidential value, historical value, aesthetic value, and communal value. </w:t>
      </w:r>
    </w:p>
    <w:p w14:paraId="770B05FB" w14:textId="77777777" w:rsidR="00557459" w:rsidRPr="003C7E62" w:rsidRDefault="00557459" w:rsidP="006E2655">
      <w:pPr>
        <w:keepNext w:val="0"/>
        <w:spacing w:before="0"/>
        <w:ind w:left="709"/>
        <w:rPr>
          <w:rFonts w:cs="Arial"/>
          <w:color w:val="auto"/>
          <w:szCs w:val="24"/>
          <w:lang w:eastAsia="en-US"/>
        </w:rPr>
      </w:pPr>
    </w:p>
    <w:p w14:paraId="59DC99C5" w14:textId="7F03FB98" w:rsidR="00557459" w:rsidRPr="003C7E62" w:rsidRDefault="00386A0E" w:rsidP="00874A98">
      <w:pPr>
        <w:keepNext w:val="0"/>
        <w:numPr>
          <w:ilvl w:val="1"/>
          <w:numId w:val="338"/>
        </w:numPr>
        <w:spacing w:before="0"/>
        <w:ind w:left="709" w:hanging="709"/>
        <w:rPr>
          <w:rFonts w:cs="Arial"/>
          <w:color w:val="auto"/>
          <w:szCs w:val="24"/>
          <w:lang w:eastAsia="en-US"/>
        </w:rPr>
      </w:pPr>
      <w:r w:rsidRPr="003C7E62">
        <w:rPr>
          <w:rFonts w:eastAsia="Arial" w:cs="Arial"/>
          <w:color w:val="auto"/>
        </w:rPr>
        <w:t xml:space="preserve">Heritage assets include listed buildings, conservation areas, world heritage sites, historic parks and gardens and scheduled monuments. The definition also covers non-designated assets including buildings of local interest, areas of archaeological interest, unregistered parks and gardens and landscape features as defined in the Nottinghamshire Landscape Character Assessment. </w:t>
      </w:r>
    </w:p>
    <w:p w14:paraId="56D7FF09" w14:textId="77777777" w:rsidR="00557459" w:rsidRPr="003C7E62" w:rsidRDefault="00557459" w:rsidP="006E2655">
      <w:pPr>
        <w:keepNext w:val="0"/>
        <w:spacing w:before="0"/>
        <w:ind w:left="709"/>
        <w:rPr>
          <w:rFonts w:cs="Arial"/>
          <w:color w:val="auto"/>
          <w:szCs w:val="24"/>
          <w:lang w:eastAsia="en-US"/>
        </w:rPr>
      </w:pPr>
    </w:p>
    <w:p w14:paraId="6F6AC372" w14:textId="6489BEBB" w:rsidR="00557459" w:rsidRPr="003C7E62" w:rsidRDefault="00386A0E" w:rsidP="00874A98">
      <w:pPr>
        <w:keepNext w:val="0"/>
        <w:numPr>
          <w:ilvl w:val="1"/>
          <w:numId w:val="338"/>
        </w:numPr>
        <w:spacing w:before="0"/>
        <w:ind w:left="709" w:hanging="709"/>
        <w:rPr>
          <w:rFonts w:cs="Arial"/>
          <w:color w:val="auto"/>
          <w:szCs w:val="24"/>
          <w:lang w:eastAsia="en-US"/>
        </w:rPr>
      </w:pPr>
      <w:r w:rsidRPr="003C7E62">
        <w:rPr>
          <w:rFonts w:cs="Arial"/>
          <w:bCs/>
          <w:color w:val="auto"/>
          <w:szCs w:val="24"/>
        </w:rPr>
        <w:t xml:space="preserve">The Council will work with partners, stakeholders and developers through a variety of approaches to sustain and enhance the significance of heritage assets </w:t>
      </w:r>
      <w:r w:rsidR="00557459" w:rsidRPr="003C7E62">
        <w:rPr>
          <w:rFonts w:cs="Arial"/>
          <w:bCs/>
          <w:color w:val="auto"/>
          <w:szCs w:val="24"/>
        </w:rPr>
        <w:t>includ</w:t>
      </w:r>
      <w:r w:rsidR="00FE4057">
        <w:rPr>
          <w:rFonts w:cs="Arial"/>
          <w:bCs/>
          <w:color w:val="auto"/>
          <w:szCs w:val="24"/>
        </w:rPr>
        <w:t>ing:</w:t>
      </w:r>
      <w:bookmarkEnd w:id="124"/>
    </w:p>
    <w:p w14:paraId="75DFE1F7" w14:textId="757C952B" w:rsidR="00557459" w:rsidRPr="003C7E62" w:rsidRDefault="00557459" w:rsidP="006E2655">
      <w:pPr>
        <w:keepNext w:val="0"/>
        <w:spacing w:before="0"/>
        <w:ind w:left="709"/>
        <w:rPr>
          <w:rFonts w:cs="Arial"/>
          <w:bCs/>
          <w:color w:val="auto"/>
          <w:szCs w:val="24"/>
        </w:rPr>
      </w:pPr>
    </w:p>
    <w:p w14:paraId="2DD3FC89" w14:textId="77777777" w:rsidR="00557459" w:rsidRPr="003C7E62" w:rsidRDefault="00557459" w:rsidP="0079686C">
      <w:pPr>
        <w:keepNext w:val="0"/>
        <w:numPr>
          <w:ilvl w:val="0"/>
          <w:numId w:val="65"/>
        </w:numPr>
        <w:spacing w:before="0"/>
        <w:ind w:left="1080" w:hanging="371"/>
        <w:contextualSpacing/>
        <w:jc w:val="both"/>
        <w:rPr>
          <w:rFonts w:cs="Arial"/>
          <w:bCs/>
          <w:color w:val="auto"/>
          <w:szCs w:val="24"/>
        </w:rPr>
      </w:pPr>
      <w:r w:rsidRPr="003C7E62">
        <w:rPr>
          <w:rFonts w:cs="Arial"/>
          <w:bCs/>
          <w:color w:val="auto"/>
          <w:szCs w:val="24"/>
        </w:rPr>
        <w:t>Designating new and reviewing existing conservation area appraisals and producing and implementing related management plans;</w:t>
      </w:r>
    </w:p>
    <w:p w14:paraId="388BDFD3" w14:textId="77777777" w:rsidR="00557459" w:rsidRPr="003C7E62" w:rsidRDefault="00557459" w:rsidP="006E2655">
      <w:pPr>
        <w:tabs>
          <w:tab w:val="left" w:pos="851"/>
        </w:tabs>
        <w:spacing w:before="0"/>
        <w:ind w:left="1080"/>
        <w:contextualSpacing/>
        <w:jc w:val="both"/>
        <w:rPr>
          <w:rFonts w:cs="Arial"/>
          <w:bCs/>
          <w:color w:val="auto"/>
          <w:szCs w:val="24"/>
        </w:rPr>
      </w:pPr>
    </w:p>
    <w:p w14:paraId="69166323" w14:textId="58E79C8D" w:rsidR="00557459" w:rsidRPr="00D810CA" w:rsidRDefault="00557459" w:rsidP="00874A98">
      <w:pPr>
        <w:keepNext w:val="0"/>
        <w:numPr>
          <w:ilvl w:val="0"/>
          <w:numId w:val="65"/>
        </w:numPr>
        <w:spacing w:before="0"/>
        <w:ind w:left="1080"/>
        <w:contextualSpacing/>
        <w:jc w:val="both"/>
        <w:textAlignment w:val="baseline"/>
        <w:rPr>
          <w:rFonts w:cs="Arial"/>
          <w:bCs/>
          <w:szCs w:val="24"/>
        </w:rPr>
      </w:pPr>
      <w:r w:rsidRPr="003C7E62">
        <w:rPr>
          <w:rFonts w:cs="Arial"/>
          <w:bCs/>
          <w:color w:val="auto"/>
          <w:szCs w:val="24"/>
        </w:rPr>
        <w:t>W</w:t>
      </w:r>
      <w:r w:rsidRPr="003C7E62">
        <w:rPr>
          <w:rFonts w:cs="Arial"/>
          <w:color w:val="auto"/>
          <w:szCs w:val="24"/>
        </w:rPr>
        <w:t>orking with owners, Historic England and Nottinghamshire County Council to bring heritage</w:t>
      </w:r>
      <w:r w:rsidR="0065452C">
        <w:rPr>
          <w:rFonts w:cs="Arial"/>
          <w:color w:val="auto"/>
          <w:szCs w:val="24"/>
        </w:rPr>
        <w:t xml:space="preserve"> </w:t>
      </w:r>
      <w:r w:rsidR="0065452C" w:rsidRPr="00D810CA">
        <w:rPr>
          <w:rFonts w:cs="Arial"/>
          <w:szCs w:val="24"/>
        </w:rPr>
        <w:t>assets</w:t>
      </w:r>
      <w:r w:rsidRPr="00D810CA">
        <w:rPr>
          <w:rFonts w:cs="Arial"/>
          <w:szCs w:val="24"/>
        </w:rPr>
        <w:t xml:space="preserve"> identified at risk or vulnerable to risk, back into use;</w:t>
      </w:r>
    </w:p>
    <w:p w14:paraId="1AE62C7B" w14:textId="77777777" w:rsidR="00557459" w:rsidRPr="00D810CA" w:rsidRDefault="00557459" w:rsidP="006E2655">
      <w:pPr>
        <w:spacing w:before="0"/>
        <w:contextualSpacing/>
        <w:jc w:val="both"/>
        <w:rPr>
          <w:rFonts w:cs="Arial"/>
          <w:bCs/>
          <w:szCs w:val="24"/>
        </w:rPr>
      </w:pPr>
    </w:p>
    <w:p w14:paraId="0B451A57" w14:textId="050A977F" w:rsidR="00557459" w:rsidRPr="003C7E62" w:rsidRDefault="00557459" w:rsidP="00874A98">
      <w:pPr>
        <w:keepNext w:val="0"/>
        <w:numPr>
          <w:ilvl w:val="0"/>
          <w:numId w:val="65"/>
        </w:numPr>
        <w:spacing w:before="0"/>
        <w:ind w:left="1080"/>
        <w:jc w:val="both"/>
        <w:textAlignment w:val="baseline"/>
        <w:rPr>
          <w:rFonts w:cs="Arial"/>
          <w:b/>
          <w:color w:val="auto"/>
          <w:szCs w:val="24"/>
        </w:rPr>
      </w:pPr>
      <w:r w:rsidRPr="00D810CA">
        <w:rPr>
          <w:rFonts w:cs="Arial"/>
          <w:bCs/>
          <w:szCs w:val="24"/>
          <w:bdr w:val="none" w:sz="0" w:space="0" w:color="auto" w:frame="1"/>
        </w:rPr>
        <w:t>Facilitating and supporting the identification and review of heritage assets of local historic, architectural and</w:t>
      </w:r>
      <w:r w:rsidR="0065452C" w:rsidRPr="00D810CA">
        <w:rPr>
          <w:rFonts w:cs="Arial"/>
          <w:bCs/>
          <w:szCs w:val="24"/>
          <w:bdr w:val="none" w:sz="0" w:space="0" w:color="auto" w:frame="1"/>
        </w:rPr>
        <w:t>/or</w:t>
      </w:r>
      <w:r w:rsidRPr="00D810CA">
        <w:rPr>
          <w:rFonts w:cs="Arial"/>
          <w:bCs/>
          <w:szCs w:val="24"/>
          <w:bdr w:val="none" w:sz="0" w:space="0" w:color="auto" w:frame="1"/>
        </w:rPr>
        <w:t xml:space="preserve"> </w:t>
      </w:r>
      <w:r w:rsidRPr="003C7E62">
        <w:rPr>
          <w:rFonts w:cs="Arial"/>
          <w:bCs/>
          <w:color w:val="auto"/>
          <w:szCs w:val="24"/>
          <w:bdr w:val="none" w:sz="0" w:space="0" w:color="auto" w:frame="1"/>
        </w:rPr>
        <w:t>archaeological significance in accordance with the Council's agreed procedures</w:t>
      </w:r>
      <w:r w:rsidRPr="003C7E62">
        <w:rPr>
          <w:rFonts w:cs="Arial"/>
          <w:bCs/>
          <w:color w:val="auto"/>
          <w:szCs w:val="24"/>
          <w:bdr w:val="none" w:sz="0" w:space="0" w:color="auto" w:frame="1"/>
          <w:vertAlign w:val="superscript"/>
        </w:rPr>
        <w:footnoteReference w:id="78"/>
      </w:r>
      <w:r w:rsidRPr="003C7E62">
        <w:rPr>
          <w:rFonts w:cs="Arial"/>
          <w:bCs/>
          <w:color w:val="auto"/>
          <w:szCs w:val="24"/>
          <w:bdr w:val="none" w:sz="0" w:space="0" w:color="auto" w:frame="1"/>
        </w:rPr>
        <w:t>;</w:t>
      </w:r>
    </w:p>
    <w:p w14:paraId="75104329" w14:textId="77777777" w:rsidR="00557459" w:rsidRPr="003C7E62" w:rsidRDefault="00557459" w:rsidP="006E2655">
      <w:pPr>
        <w:spacing w:before="0"/>
        <w:ind w:left="360"/>
        <w:contextualSpacing/>
        <w:jc w:val="both"/>
        <w:rPr>
          <w:rFonts w:cs="Arial"/>
          <w:bCs/>
          <w:color w:val="auto"/>
          <w:szCs w:val="24"/>
          <w:bdr w:val="none" w:sz="0" w:space="0" w:color="auto" w:frame="1"/>
        </w:rPr>
      </w:pPr>
    </w:p>
    <w:p w14:paraId="0BED67A5" w14:textId="77777777" w:rsidR="00557459" w:rsidRPr="003C7E62" w:rsidRDefault="00557459" w:rsidP="00874A98">
      <w:pPr>
        <w:keepNext w:val="0"/>
        <w:numPr>
          <w:ilvl w:val="0"/>
          <w:numId w:val="65"/>
        </w:numPr>
        <w:spacing w:before="0"/>
        <w:ind w:left="1080"/>
        <w:jc w:val="both"/>
        <w:textAlignment w:val="baseline"/>
        <w:rPr>
          <w:rFonts w:cs="Arial"/>
          <w:bCs/>
          <w:color w:val="auto"/>
          <w:szCs w:val="24"/>
        </w:rPr>
      </w:pPr>
      <w:r w:rsidRPr="003C7E62">
        <w:rPr>
          <w:rFonts w:cs="Arial"/>
          <w:bCs/>
          <w:color w:val="auto"/>
          <w:szCs w:val="24"/>
          <w:bdr w:val="none" w:sz="0" w:space="0" w:color="auto" w:frame="1"/>
        </w:rPr>
        <w:t xml:space="preserve">Supporting appropriate interpretation and promotion of the heritage assets throughout the District. </w:t>
      </w:r>
    </w:p>
    <w:p w14:paraId="2DADE036" w14:textId="77777777" w:rsidR="00557459" w:rsidRPr="003C7E62" w:rsidRDefault="00557459" w:rsidP="006E2655">
      <w:pPr>
        <w:keepNext w:val="0"/>
        <w:spacing w:before="0"/>
        <w:rPr>
          <w:rFonts w:cs="Arial"/>
          <w:color w:val="auto"/>
          <w:szCs w:val="24"/>
          <w:lang w:eastAsia="en-US"/>
        </w:rPr>
      </w:pPr>
      <w:r w:rsidRPr="003C7E62">
        <w:rPr>
          <w:rFonts w:cs="Arial"/>
          <w:color w:val="auto"/>
          <w:szCs w:val="24"/>
          <w:lang w:eastAsia="en-US"/>
        </w:rPr>
        <w:br w:type="page"/>
      </w:r>
    </w:p>
    <w:p w14:paraId="520BE555" w14:textId="15DCDB4A" w:rsidR="000E507A" w:rsidRPr="009D5737" w:rsidRDefault="000E507A" w:rsidP="009D5737">
      <w:pPr>
        <w:pStyle w:val="Heading2"/>
        <w:jc w:val="left"/>
        <w:rPr>
          <w:sz w:val="28"/>
          <w:szCs w:val="28"/>
        </w:rPr>
      </w:pPr>
      <w:bookmarkStart w:id="131" w:name="_Toc145511567"/>
      <w:bookmarkStart w:id="132" w:name="_Hlk146191571"/>
      <w:r w:rsidRPr="009D5737">
        <w:rPr>
          <w:sz w:val="28"/>
          <w:szCs w:val="28"/>
        </w:rPr>
        <w:t>Strategic Policy S1</w:t>
      </w:r>
      <w:r w:rsidR="005908AA" w:rsidRPr="009D5737">
        <w:rPr>
          <w:sz w:val="28"/>
          <w:szCs w:val="28"/>
        </w:rPr>
        <w:t>5</w:t>
      </w:r>
      <w:r w:rsidR="007E1CA9" w:rsidRPr="009D5737">
        <w:rPr>
          <w:sz w:val="28"/>
          <w:szCs w:val="28"/>
        </w:rPr>
        <w:t>:</w:t>
      </w:r>
      <w:r w:rsidRPr="009D5737">
        <w:rPr>
          <w:sz w:val="28"/>
          <w:szCs w:val="28"/>
        </w:rPr>
        <w:t xml:space="preserve"> </w:t>
      </w:r>
      <w:r w:rsidR="005F1B0D" w:rsidRPr="009D5737">
        <w:rPr>
          <w:sz w:val="28"/>
          <w:szCs w:val="28"/>
        </w:rPr>
        <w:t>Safeguarding Mineral Resources</w:t>
      </w:r>
      <w:bookmarkEnd w:id="131"/>
    </w:p>
    <w:bookmarkEnd w:id="132"/>
    <w:p w14:paraId="41DA5606" w14:textId="77777777" w:rsidR="000E507A" w:rsidRPr="003C7E62" w:rsidRDefault="000E507A" w:rsidP="00557459">
      <w:pPr>
        <w:keepNext w:val="0"/>
        <w:spacing w:before="0"/>
        <w:rPr>
          <w:rFonts w:cs="Arial"/>
          <w:color w:val="auto"/>
          <w:szCs w:val="24"/>
          <w:lang w:eastAsia="en-US"/>
        </w:rPr>
      </w:pPr>
    </w:p>
    <w:tbl>
      <w:tblPr>
        <w:tblStyle w:val="ReportTable1"/>
        <w:tblW w:w="9634" w:type="dxa"/>
        <w:tblLook w:val="04A0" w:firstRow="1" w:lastRow="0" w:firstColumn="1" w:lastColumn="0" w:noHBand="0" w:noVBand="1"/>
      </w:tblPr>
      <w:tblGrid>
        <w:gridCol w:w="1555"/>
        <w:gridCol w:w="1062"/>
        <w:gridCol w:w="7017"/>
      </w:tblGrid>
      <w:tr w:rsidR="00557459" w:rsidRPr="003C7E62" w14:paraId="46D7A2C8" w14:textId="77777777" w:rsidTr="005334C0">
        <w:tc>
          <w:tcPr>
            <w:tcW w:w="9634" w:type="dxa"/>
            <w:gridSpan w:val="3"/>
          </w:tcPr>
          <w:p w14:paraId="74F0759F" w14:textId="77777777" w:rsidR="00FA27F7" w:rsidRPr="00D810CA" w:rsidRDefault="00FA27F7" w:rsidP="00523DED">
            <w:pPr>
              <w:keepNext w:val="0"/>
              <w:spacing w:before="0"/>
              <w:rPr>
                <w:rFonts w:cs="Arial"/>
                <w:b/>
                <w:bCs/>
                <w:szCs w:val="24"/>
                <w:lang w:eastAsia="en-US"/>
              </w:rPr>
            </w:pPr>
            <w:bookmarkStart w:id="133" w:name="_Hlk78264780"/>
          </w:p>
          <w:p w14:paraId="272BD2D4" w14:textId="08E2B5E7" w:rsidR="00FA27F7" w:rsidRPr="00D810CA" w:rsidRDefault="00557459" w:rsidP="005F1B0D">
            <w:pPr>
              <w:keepNext w:val="0"/>
              <w:spacing w:before="0"/>
              <w:rPr>
                <w:rFonts w:cs="Arial"/>
                <w:b/>
                <w:bCs/>
                <w:szCs w:val="24"/>
                <w:lang w:eastAsia="en-US"/>
              </w:rPr>
            </w:pPr>
            <w:r w:rsidRPr="00D810CA">
              <w:rPr>
                <w:rFonts w:cs="Arial"/>
                <w:b/>
                <w:bCs/>
                <w:szCs w:val="24"/>
                <w:lang w:eastAsia="en-US"/>
              </w:rPr>
              <w:t>Strategic Policy S</w:t>
            </w:r>
            <w:r w:rsidR="005908AA" w:rsidRPr="00D810CA">
              <w:rPr>
                <w:rFonts w:cs="Arial"/>
                <w:b/>
                <w:bCs/>
                <w:szCs w:val="24"/>
                <w:lang w:eastAsia="en-US"/>
              </w:rPr>
              <w:t>1</w:t>
            </w:r>
            <w:r w:rsidR="00EF0E94" w:rsidRPr="00D810CA">
              <w:rPr>
                <w:rFonts w:cs="Arial"/>
                <w:b/>
                <w:bCs/>
                <w:szCs w:val="24"/>
                <w:lang w:eastAsia="en-US"/>
              </w:rPr>
              <w:t>5</w:t>
            </w:r>
            <w:r w:rsidR="00D810CA">
              <w:rPr>
                <w:rFonts w:cs="Arial"/>
                <w:b/>
                <w:bCs/>
                <w:szCs w:val="24"/>
                <w:lang w:eastAsia="en-US"/>
              </w:rPr>
              <w:t>:</w:t>
            </w:r>
            <w:r w:rsidRPr="00D810CA">
              <w:rPr>
                <w:rFonts w:cs="Arial"/>
                <w:b/>
                <w:bCs/>
                <w:szCs w:val="24"/>
                <w:lang w:eastAsia="en-US"/>
              </w:rPr>
              <w:t xml:space="preserve"> </w:t>
            </w:r>
            <w:r w:rsidR="005F1B0D" w:rsidRPr="00D810CA">
              <w:rPr>
                <w:rFonts w:cs="Arial"/>
                <w:b/>
                <w:bCs/>
                <w:szCs w:val="24"/>
                <w:lang w:eastAsia="en-US"/>
              </w:rPr>
              <w:t xml:space="preserve">Safeguarding Mineral Resources </w:t>
            </w:r>
          </w:p>
          <w:p w14:paraId="678A7C83" w14:textId="40841BD0" w:rsidR="005F1B0D" w:rsidRPr="00D810CA" w:rsidRDefault="005F1B0D" w:rsidP="005F1B0D">
            <w:pPr>
              <w:keepNext w:val="0"/>
              <w:spacing w:before="0"/>
              <w:rPr>
                <w:rFonts w:cs="Arial"/>
                <w:b/>
                <w:bCs/>
                <w:szCs w:val="24"/>
                <w:lang w:eastAsia="en-US"/>
              </w:rPr>
            </w:pPr>
          </w:p>
        </w:tc>
      </w:tr>
      <w:tr w:rsidR="00557459" w:rsidRPr="003C7E62" w14:paraId="541A2731" w14:textId="77777777" w:rsidTr="005334C0">
        <w:tc>
          <w:tcPr>
            <w:tcW w:w="2617" w:type="dxa"/>
            <w:gridSpan w:val="2"/>
          </w:tcPr>
          <w:p w14:paraId="598CA06E" w14:textId="77777777" w:rsidR="00557459" w:rsidRPr="00FA27F7" w:rsidRDefault="00557459" w:rsidP="00523DED">
            <w:pPr>
              <w:keepNext w:val="0"/>
              <w:tabs>
                <w:tab w:val="left" w:pos="680"/>
              </w:tabs>
              <w:spacing w:before="40" w:after="40"/>
              <w:rPr>
                <w:rFonts w:eastAsia="Arial" w:cs="Arial"/>
                <w:bCs/>
                <w:color w:val="auto"/>
              </w:rPr>
            </w:pPr>
            <w:r w:rsidRPr="00FA27F7">
              <w:rPr>
                <w:rFonts w:eastAsia="Arial" w:cs="Arial"/>
                <w:bCs/>
                <w:color w:val="auto"/>
              </w:rPr>
              <w:t>Strategic Objectives</w:t>
            </w:r>
          </w:p>
        </w:tc>
        <w:tc>
          <w:tcPr>
            <w:tcW w:w="7017" w:type="dxa"/>
          </w:tcPr>
          <w:p w14:paraId="02F38AA2" w14:textId="77777777" w:rsidR="00557459" w:rsidRPr="00D810CA" w:rsidRDefault="00557459" w:rsidP="00523DED">
            <w:pPr>
              <w:keepNext w:val="0"/>
              <w:tabs>
                <w:tab w:val="left" w:pos="680"/>
              </w:tabs>
              <w:spacing w:before="40" w:after="40"/>
              <w:rPr>
                <w:rFonts w:eastAsia="Arial" w:cs="Arial"/>
                <w:bCs/>
              </w:rPr>
            </w:pPr>
            <w:r w:rsidRPr="00D810CA">
              <w:rPr>
                <w:rFonts w:eastAsia="Arial" w:cs="Arial"/>
                <w:bCs/>
              </w:rPr>
              <w:t>SO13, SO14.</w:t>
            </w:r>
          </w:p>
        </w:tc>
      </w:tr>
      <w:tr w:rsidR="00557459" w:rsidRPr="003C7E62" w14:paraId="5F163436" w14:textId="77777777" w:rsidTr="005334C0">
        <w:tc>
          <w:tcPr>
            <w:tcW w:w="9634" w:type="dxa"/>
            <w:gridSpan w:val="3"/>
            <w:shd w:val="clear" w:color="auto" w:fill="DBDBDB"/>
          </w:tcPr>
          <w:p w14:paraId="0A5E6171" w14:textId="77777777" w:rsidR="00557459" w:rsidRPr="00D810CA" w:rsidRDefault="00557459" w:rsidP="006E2655">
            <w:pPr>
              <w:keepNext w:val="0"/>
              <w:spacing w:before="0"/>
              <w:rPr>
                <w:rFonts w:cs="Arial"/>
                <w:b/>
                <w:szCs w:val="24"/>
              </w:rPr>
            </w:pPr>
          </w:p>
          <w:p w14:paraId="61CCDFF9" w14:textId="7DF9E707" w:rsidR="00557459" w:rsidRPr="00D810CA" w:rsidRDefault="00557459" w:rsidP="006E2655">
            <w:pPr>
              <w:keepNext w:val="0"/>
              <w:spacing w:before="0"/>
              <w:rPr>
                <w:rFonts w:cs="Arial"/>
                <w:bCs/>
                <w:szCs w:val="24"/>
              </w:rPr>
            </w:pPr>
            <w:r w:rsidRPr="00D810CA">
              <w:rPr>
                <w:rFonts w:cs="Arial"/>
                <w:bCs/>
                <w:szCs w:val="24"/>
              </w:rPr>
              <w:t>In Minerals Safeguarded Areas, the Minerals Planning Authority will be consulted on non-exempt development proposal. Planning permission in Minerals Safeguarded Areas will not be granted for non-exempt development unless the requirements set out in the minerals safeguarding policies of the Minerals Local Plan have been met.</w:t>
            </w:r>
          </w:p>
          <w:p w14:paraId="0BB94EF1" w14:textId="77777777" w:rsidR="00557459" w:rsidRPr="00D810CA" w:rsidRDefault="00557459" w:rsidP="00523DED">
            <w:pPr>
              <w:keepNext w:val="0"/>
              <w:tabs>
                <w:tab w:val="left" w:pos="680"/>
                <w:tab w:val="left" w:pos="1133"/>
                <w:tab w:val="left" w:pos="2267"/>
              </w:tabs>
              <w:spacing w:before="0"/>
              <w:ind w:right="284"/>
              <w:rPr>
                <w:rFonts w:eastAsia="Arial" w:cs="Arial"/>
                <w:b/>
              </w:rPr>
            </w:pPr>
          </w:p>
        </w:tc>
      </w:tr>
      <w:bookmarkEnd w:id="133"/>
      <w:tr w:rsidR="00557459" w:rsidRPr="003C7E62" w14:paraId="43559A80" w14:textId="77777777" w:rsidTr="005334C0">
        <w:tc>
          <w:tcPr>
            <w:tcW w:w="1555" w:type="dxa"/>
            <w:shd w:val="clear" w:color="auto" w:fill="FFFFFF" w:themeFill="background1"/>
          </w:tcPr>
          <w:p w14:paraId="71DDF273" w14:textId="77777777" w:rsidR="00557459" w:rsidRPr="001347BB" w:rsidRDefault="00557459" w:rsidP="000032A9">
            <w:pPr>
              <w:keepNext w:val="0"/>
              <w:tabs>
                <w:tab w:val="left" w:pos="680"/>
                <w:tab w:val="left" w:pos="1133"/>
                <w:tab w:val="left" w:pos="2267"/>
              </w:tabs>
              <w:spacing w:before="0"/>
              <w:ind w:right="284"/>
              <w:rPr>
                <w:rFonts w:eastAsia="Arial" w:cs="Arial"/>
                <w:bCs/>
                <w:szCs w:val="24"/>
              </w:rPr>
            </w:pPr>
            <w:r w:rsidRPr="001347BB">
              <w:rPr>
                <w:rFonts w:eastAsia="Arial" w:cs="Arial"/>
                <w:bCs/>
                <w:sz w:val="20"/>
              </w:rPr>
              <w:t>Evidence base</w:t>
            </w:r>
          </w:p>
        </w:tc>
        <w:tc>
          <w:tcPr>
            <w:tcW w:w="8079" w:type="dxa"/>
            <w:gridSpan w:val="2"/>
            <w:shd w:val="clear" w:color="auto" w:fill="FFFFFF" w:themeFill="background1"/>
          </w:tcPr>
          <w:p w14:paraId="6AAB2920" w14:textId="77777777" w:rsidR="00557459" w:rsidRPr="00D810CA" w:rsidRDefault="00557459" w:rsidP="000032A9">
            <w:pPr>
              <w:keepNext w:val="0"/>
              <w:numPr>
                <w:ilvl w:val="0"/>
                <w:numId w:val="32"/>
              </w:numPr>
              <w:tabs>
                <w:tab w:val="left" w:pos="680"/>
                <w:tab w:val="left" w:pos="1133"/>
                <w:tab w:val="left" w:pos="2267"/>
              </w:tabs>
              <w:spacing w:before="0" w:after="160" w:line="252" w:lineRule="auto"/>
              <w:ind w:right="284"/>
              <w:contextualSpacing/>
              <w:rPr>
                <w:rFonts w:eastAsia="Arial" w:cs="Arial"/>
                <w:bCs/>
                <w:sz w:val="20"/>
              </w:rPr>
            </w:pPr>
            <w:r w:rsidRPr="00D810CA">
              <w:rPr>
                <w:rFonts w:eastAsia="Arial" w:cs="Arial"/>
                <w:bCs/>
                <w:sz w:val="20"/>
              </w:rPr>
              <w:t>The Nottinghamshire Minerals Local Plan</w:t>
            </w:r>
            <w:r w:rsidRPr="00D810CA" w:rsidDel="00FC4A70">
              <w:rPr>
                <w:rFonts w:eastAsia="Arial" w:cs="Arial"/>
                <w:bCs/>
                <w:sz w:val="20"/>
              </w:rPr>
              <w:t xml:space="preserve"> </w:t>
            </w:r>
            <w:r w:rsidRPr="00D810CA">
              <w:rPr>
                <w:rFonts w:eastAsia="Arial" w:cs="Arial"/>
                <w:bCs/>
                <w:sz w:val="20"/>
              </w:rPr>
              <w:t>2021.  Nottinghamshire County Council.</w:t>
            </w:r>
          </w:p>
        </w:tc>
      </w:tr>
      <w:tr w:rsidR="00557459" w:rsidRPr="003C7E62" w14:paraId="40B443D1" w14:textId="77777777" w:rsidTr="005334C0">
        <w:tc>
          <w:tcPr>
            <w:tcW w:w="1555" w:type="dxa"/>
            <w:shd w:val="clear" w:color="auto" w:fill="FFFFFF" w:themeFill="background1"/>
          </w:tcPr>
          <w:p w14:paraId="4614ED3A" w14:textId="77777777" w:rsidR="00557459" w:rsidRPr="001347BB" w:rsidRDefault="00557459" w:rsidP="000032A9">
            <w:pPr>
              <w:keepNext w:val="0"/>
              <w:spacing w:before="0"/>
              <w:contextualSpacing/>
              <w:rPr>
                <w:rFonts w:eastAsia="Arial" w:cs="Arial"/>
                <w:bCs/>
                <w:szCs w:val="24"/>
              </w:rPr>
            </w:pPr>
            <w:r w:rsidRPr="001347BB">
              <w:rPr>
                <w:rFonts w:eastAsia="Arial" w:cs="Arial"/>
                <w:bCs/>
                <w:sz w:val="20"/>
              </w:rPr>
              <w:t>National Planning Policy and Guidance</w:t>
            </w:r>
          </w:p>
        </w:tc>
        <w:tc>
          <w:tcPr>
            <w:tcW w:w="8079" w:type="dxa"/>
            <w:gridSpan w:val="2"/>
            <w:shd w:val="clear" w:color="auto" w:fill="FFFFFF" w:themeFill="background1"/>
          </w:tcPr>
          <w:p w14:paraId="2BDDA3E9" w14:textId="77777777" w:rsidR="00557459" w:rsidRPr="00D810CA" w:rsidRDefault="00557459" w:rsidP="000032A9">
            <w:pPr>
              <w:keepNext w:val="0"/>
              <w:numPr>
                <w:ilvl w:val="0"/>
                <w:numId w:val="32"/>
              </w:numPr>
              <w:spacing w:before="0" w:after="160" w:line="252" w:lineRule="auto"/>
              <w:contextualSpacing/>
              <w:rPr>
                <w:rFonts w:cs="Arial"/>
                <w:sz w:val="20"/>
                <w:lang w:eastAsia="en-US"/>
              </w:rPr>
            </w:pPr>
            <w:r w:rsidRPr="00D810CA">
              <w:rPr>
                <w:rFonts w:eastAsia="Calibri" w:cs="Arial"/>
                <w:sz w:val="20"/>
                <w:lang w:eastAsia="en-US"/>
              </w:rPr>
              <w:t>NPPF 2021, Part 17: Facilitating the sustainable use of minerals</w:t>
            </w:r>
          </w:p>
          <w:p w14:paraId="70E5F350" w14:textId="3AD9CC15" w:rsidR="00557459" w:rsidRPr="00D810CA" w:rsidRDefault="00557459" w:rsidP="000032A9">
            <w:pPr>
              <w:keepNext w:val="0"/>
              <w:numPr>
                <w:ilvl w:val="0"/>
                <w:numId w:val="32"/>
              </w:numPr>
              <w:spacing w:before="0" w:after="160" w:line="252" w:lineRule="auto"/>
              <w:contextualSpacing/>
              <w:rPr>
                <w:rFonts w:cs="Arial"/>
                <w:sz w:val="20"/>
                <w:lang w:eastAsia="en-US"/>
              </w:rPr>
            </w:pPr>
            <w:r w:rsidRPr="00D810CA">
              <w:rPr>
                <w:rFonts w:cs="Arial"/>
                <w:sz w:val="20"/>
                <w:lang w:eastAsia="en-US"/>
              </w:rPr>
              <w:t xml:space="preserve">Planning Practice Guidance: Minerals as </w:t>
            </w:r>
            <w:r w:rsidR="009D1815" w:rsidRPr="00D810CA">
              <w:rPr>
                <w:rFonts w:cs="Arial"/>
                <w:sz w:val="20"/>
                <w:lang w:eastAsia="en-US"/>
              </w:rPr>
              <w:t>of</w:t>
            </w:r>
            <w:r w:rsidRPr="00D810CA">
              <w:rPr>
                <w:rFonts w:cs="Arial"/>
                <w:sz w:val="20"/>
                <w:lang w:eastAsia="en-US"/>
              </w:rPr>
              <w:t xml:space="preserve"> </w:t>
            </w:r>
            <w:r w:rsidR="00B80DEC" w:rsidRPr="00D810CA">
              <w:rPr>
                <w:rFonts w:cs="Arial"/>
                <w:sz w:val="20"/>
                <w:lang w:eastAsia="en-US"/>
              </w:rPr>
              <w:t>October 2014</w:t>
            </w:r>
            <w:r w:rsidRPr="00D810CA">
              <w:rPr>
                <w:rFonts w:cs="Arial"/>
                <w:sz w:val="20"/>
                <w:lang w:eastAsia="en-US"/>
              </w:rPr>
              <w:t>.</w:t>
            </w:r>
          </w:p>
        </w:tc>
      </w:tr>
    </w:tbl>
    <w:p w14:paraId="5E9A7739" w14:textId="77777777" w:rsidR="00557459" w:rsidRPr="003C7E62" w:rsidRDefault="00557459" w:rsidP="00557459">
      <w:pPr>
        <w:keepNext w:val="0"/>
        <w:tabs>
          <w:tab w:val="left" w:pos="680"/>
          <w:tab w:val="left" w:pos="1133"/>
          <w:tab w:val="left" w:pos="2267"/>
        </w:tabs>
        <w:spacing w:before="0"/>
        <w:ind w:left="283" w:right="284"/>
        <w:rPr>
          <w:rFonts w:eastAsia="Arial" w:cs="Arial"/>
          <w:b/>
          <w:color w:val="auto"/>
          <w:szCs w:val="24"/>
        </w:rPr>
      </w:pPr>
    </w:p>
    <w:p w14:paraId="2E5D5E6A" w14:textId="4F290A20" w:rsidR="00557459" w:rsidRPr="003C7E62" w:rsidRDefault="00557459" w:rsidP="00F11936">
      <w:pPr>
        <w:spacing w:before="0"/>
        <w:rPr>
          <w:rFonts w:cs="Arial"/>
          <w:color w:val="auto"/>
          <w:szCs w:val="24"/>
        </w:rPr>
      </w:pPr>
    </w:p>
    <w:p w14:paraId="35C20794" w14:textId="4FD23ADD" w:rsidR="00557459" w:rsidRPr="003C7E62" w:rsidRDefault="00557459" w:rsidP="00874A98">
      <w:pPr>
        <w:pStyle w:val="ListParagraph"/>
        <w:numPr>
          <w:ilvl w:val="1"/>
          <w:numId w:val="338"/>
        </w:numPr>
        <w:spacing w:after="0" w:line="240" w:lineRule="auto"/>
        <w:ind w:left="851" w:hanging="851"/>
        <w:rPr>
          <w:rFonts w:ascii="Arial" w:hAnsi="Arial" w:cs="Arial"/>
          <w:color w:val="auto"/>
          <w:szCs w:val="24"/>
        </w:rPr>
      </w:pPr>
      <w:r w:rsidRPr="003C7E62">
        <w:rPr>
          <w:rFonts w:ascii="Arial" w:eastAsia="Arial" w:hAnsi="Arial" w:cs="Arial"/>
          <w:color w:val="auto"/>
        </w:rPr>
        <w:t xml:space="preserve">Nottinghamshire is a two-tier area for local government and under the Town and Country Planning legislation Nottinghamshire County Council is the Minerals Planning Authority.  The </w:t>
      </w:r>
      <w:r w:rsidRPr="003C7E62">
        <w:rPr>
          <w:rFonts w:ascii="Arial" w:eastAsia="Calibri" w:hAnsi="Arial" w:cs="Arial"/>
          <w:color w:val="auto"/>
          <w:szCs w:val="24"/>
        </w:rPr>
        <w:t xml:space="preserve">County Council adopted The Nottinghamshire Minerals Local Plan in March 2021 and the Minerals Local Plan forms the land use planning strategy for mineral development within the County up to 2036.   </w:t>
      </w:r>
    </w:p>
    <w:p w14:paraId="672AF792" w14:textId="77777777" w:rsidR="00557459" w:rsidRPr="003C7E62" w:rsidRDefault="00557459" w:rsidP="00F11936">
      <w:pPr>
        <w:pStyle w:val="ListParagraph"/>
        <w:spacing w:after="0" w:line="240" w:lineRule="auto"/>
        <w:ind w:left="460"/>
        <w:rPr>
          <w:rFonts w:ascii="Arial" w:hAnsi="Arial" w:cs="Arial"/>
          <w:color w:val="auto"/>
          <w:szCs w:val="24"/>
        </w:rPr>
      </w:pPr>
    </w:p>
    <w:p w14:paraId="1B32A683" w14:textId="4EFBCE7E" w:rsidR="003052A9" w:rsidRPr="003C7E62" w:rsidRDefault="003178B5" w:rsidP="00874A98">
      <w:pPr>
        <w:pStyle w:val="ListParagraph"/>
        <w:numPr>
          <w:ilvl w:val="1"/>
          <w:numId w:val="338"/>
        </w:numPr>
        <w:spacing w:after="0" w:line="240" w:lineRule="auto"/>
        <w:ind w:left="851" w:hanging="851"/>
        <w:rPr>
          <w:rFonts w:ascii="Arial" w:hAnsi="Arial" w:cs="Arial"/>
          <w:color w:val="auto"/>
          <w:szCs w:val="24"/>
        </w:rPr>
      </w:pPr>
      <w:r w:rsidRPr="003C7E62">
        <w:rPr>
          <w:rFonts w:ascii="Arial" w:eastAsia="Calibri" w:hAnsi="Arial" w:cs="Arial"/>
          <w:color w:val="auto"/>
          <w:szCs w:val="24"/>
        </w:rPr>
        <w:t>The Minerals Local Plan recognises important mineral resources with Mineral Safeguarding Areas identify the mineral resources which are worthy of safeguarding and the Minerals Consultation Area identify the areas within Nottinghamshire where the District and Borough authorities are required to consult the Mineral Planning Authority over non-minerals development.</w:t>
      </w:r>
    </w:p>
    <w:p w14:paraId="5E1479F2" w14:textId="77777777" w:rsidR="003052A9" w:rsidRPr="003C7E62" w:rsidRDefault="003052A9" w:rsidP="00F11936">
      <w:pPr>
        <w:pStyle w:val="ListParagraph"/>
        <w:spacing w:after="0" w:line="240" w:lineRule="auto"/>
        <w:ind w:left="851"/>
        <w:rPr>
          <w:rFonts w:ascii="Arial" w:hAnsi="Arial" w:cs="Arial"/>
          <w:color w:val="auto"/>
          <w:szCs w:val="24"/>
        </w:rPr>
      </w:pPr>
    </w:p>
    <w:p w14:paraId="5A3A067E" w14:textId="565E30F5" w:rsidR="003052A9" w:rsidRPr="003C7E62" w:rsidRDefault="003178B5" w:rsidP="00874A98">
      <w:pPr>
        <w:pStyle w:val="ListParagraph"/>
        <w:numPr>
          <w:ilvl w:val="1"/>
          <w:numId w:val="338"/>
        </w:numPr>
        <w:spacing w:after="0" w:line="240" w:lineRule="auto"/>
        <w:ind w:left="851" w:hanging="851"/>
        <w:rPr>
          <w:rFonts w:ascii="Arial" w:hAnsi="Arial" w:cs="Arial"/>
          <w:color w:val="auto"/>
          <w:szCs w:val="24"/>
        </w:rPr>
      </w:pPr>
      <w:r w:rsidRPr="003C7E62">
        <w:rPr>
          <w:rFonts w:ascii="Arial" w:eastAsia="Calibri" w:hAnsi="Arial" w:cs="Arial"/>
          <w:color w:val="auto"/>
          <w:szCs w:val="24"/>
        </w:rPr>
        <w:t>Whilst the responsibility for dealing with minerals in Ashfield lies with Nottinghamshire County Council, Strategic Policy 1</w:t>
      </w:r>
      <w:r w:rsidR="00775B82">
        <w:rPr>
          <w:rFonts w:ascii="Arial" w:eastAsia="Calibri" w:hAnsi="Arial" w:cs="Arial"/>
          <w:color w:val="auto"/>
          <w:szCs w:val="24"/>
        </w:rPr>
        <w:t>5</w:t>
      </w:r>
      <w:r w:rsidRPr="003C7E62">
        <w:rPr>
          <w:rFonts w:ascii="Arial" w:eastAsia="Calibri" w:hAnsi="Arial" w:cs="Arial"/>
          <w:color w:val="auto"/>
          <w:szCs w:val="24"/>
        </w:rPr>
        <w:t xml:space="preserve"> looks to ensure minerals resources of local and national importance are not sterilised by non-mineral development and it ensure that the presence of an important mineral resource is taken into consideration during the decision-making process.</w:t>
      </w:r>
    </w:p>
    <w:p w14:paraId="7F17FA65" w14:textId="77777777" w:rsidR="003052A9" w:rsidRPr="003C7E62" w:rsidRDefault="003052A9" w:rsidP="00F11936">
      <w:pPr>
        <w:pStyle w:val="ListParagraph"/>
        <w:spacing w:after="0" w:line="240" w:lineRule="auto"/>
        <w:rPr>
          <w:rFonts w:ascii="Arial" w:eastAsia="Calibri" w:hAnsi="Arial" w:cs="Arial"/>
          <w:color w:val="auto"/>
          <w:szCs w:val="24"/>
        </w:rPr>
      </w:pPr>
    </w:p>
    <w:p w14:paraId="756C9288" w14:textId="3CF339EA" w:rsidR="003178B5" w:rsidRPr="003C7E62" w:rsidRDefault="003178B5" w:rsidP="00874A98">
      <w:pPr>
        <w:pStyle w:val="ListParagraph"/>
        <w:numPr>
          <w:ilvl w:val="1"/>
          <w:numId w:val="338"/>
        </w:numPr>
        <w:spacing w:after="0" w:line="240" w:lineRule="auto"/>
        <w:ind w:left="851" w:hanging="851"/>
        <w:rPr>
          <w:rFonts w:ascii="Arial" w:hAnsi="Arial" w:cs="Arial"/>
          <w:color w:val="auto"/>
          <w:szCs w:val="24"/>
        </w:rPr>
      </w:pPr>
      <w:r w:rsidRPr="003C7E62">
        <w:rPr>
          <w:rFonts w:ascii="Arial" w:eastAsia="Calibri" w:hAnsi="Arial" w:cs="Arial"/>
          <w:color w:val="auto"/>
          <w:szCs w:val="24"/>
        </w:rPr>
        <w:t xml:space="preserve">Further information is available from Nottinghamshire County Council as the authority responsible for the Minerals Local Plan. </w:t>
      </w:r>
    </w:p>
    <w:p w14:paraId="0B38BB30" w14:textId="77777777" w:rsidR="003052A9" w:rsidRPr="003C7E62" w:rsidRDefault="003052A9" w:rsidP="00F11936">
      <w:pPr>
        <w:pStyle w:val="ListParagraph"/>
        <w:spacing w:after="0" w:line="240" w:lineRule="auto"/>
        <w:rPr>
          <w:rFonts w:ascii="Arial" w:hAnsi="Arial" w:cs="Arial"/>
          <w:color w:val="auto"/>
          <w:szCs w:val="24"/>
        </w:rPr>
      </w:pPr>
    </w:p>
    <w:p w14:paraId="72447A5D" w14:textId="77777777" w:rsidR="00145805" w:rsidRDefault="00145805" w:rsidP="00D210FC">
      <w:pPr>
        <w:keepNext w:val="0"/>
        <w:autoSpaceDE w:val="0"/>
        <w:autoSpaceDN w:val="0"/>
        <w:adjustRightInd w:val="0"/>
        <w:spacing w:before="0"/>
        <w:rPr>
          <w:rFonts w:cs="Arial"/>
          <w:b/>
          <w:bCs/>
          <w:sz w:val="36"/>
          <w:szCs w:val="36"/>
        </w:rPr>
        <w:sectPr w:rsidR="00145805" w:rsidSect="00A73757">
          <w:headerReference w:type="default" r:id="rId27"/>
          <w:pgSz w:w="11906" w:h="16838" w:code="9"/>
          <w:pgMar w:top="1258" w:right="1133" w:bottom="1079" w:left="1134" w:header="709" w:footer="709" w:gutter="0"/>
          <w:cols w:space="708"/>
          <w:docGrid w:linePitch="360"/>
        </w:sectPr>
      </w:pPr>
    </w:p>
    <w:p w14:paraId="211A57A5" w14:textId="015394B1" w:rsidR="008D78DC" w:rsidRPr="003C7E62" w:rsidRDefault="00DA4833" w:rsidP="00165C32">
      <w:pPr>
        <w:pStyle w:val="Heading1"/>
      </w:pPr>
      <w:bookmarkStart w:id="134" w:name="_Toc145511568"/>
      <w:r w:rsidRPr="003C7E62">
        <w:t>Chapter</w:t>
      </w:r>
      <w:r w:rsidR="008D78DC" w:rsidRPr="003C7E62">
        <w:t xml:space="preserve"> </w:t>
      </w:r>
      <w:r w:rsidRPr="003C7E62">
        <w:t>4</w:t>
      </w:r>
      <w:bookmarkEnd w:id="134"/>
      <w:r w:rsidRPr="003C7E62">
        <w:t xml:space="preserve"> </w:t>
      </w:r>
    </w:p>
    <w:p w14:paraId="62CC1480" w14:textId="77777777" w:rsidR="008D78DC" w:rsidRPr="003C7E62" w:rsidRDefault="008D78DC" w:rsidP="00D210FC">
      <w:pPr>
        <w:keepNext w:val="0"/>
        <w:autoSpaceDE w:val="0"/>
        <w:autoSpaceDN w:val="0"/>
        <w:adjustRightInd w:val="0"/>
        <w:spacing w:before="0"/>
        <w:rPr>
          <w:rFonts w:cs="Arial"/>
          <w:b/>
          <w:bCs/>
          <w:sz w:val="36"/>
          <w:szCs w:val="36"/>
        </w:rPr>
      </w:pPr>
    </w:p>
    <w:p w14:paraId="7ACF898F" w14:textId="23C7160C" w:rsidR="00084ABA" w:rsidRPr="006977E7" w:rsidRDefault="005F1B0D" w:rsidP="00364726">
      <w:pPr>
        <w:pStyle w:val="Heading1"/>
      </w:pPr>
      <w:bookmarkStart w:id="135" w:name="_Toc145511569"/>
      <w:bookmarkStart w:id="136" w:name="_Hlk146194270"/>
      <w:r w:rsidRPr="005F1B0D">
        <w:t>Meeting the challenge of climate change and adapt</w:t>
      </w:r>
      <w:r w:rsidR="009D694C">
        <w:t>ing</w:t>
      </w:r>
      <w:r w:rsidRPr="005F1B0D">
        <w:t xml:space="preserve"> to its effects</w:t>
      </w:r>
      <w:bookmarkEnd w:id="135"/>
    </w:p>
    <w:p w14:paraId="2056CE4F" w14:textId="77777777" w:rsidR="008526EA" w:rsidRPr="003C7E62" w:rsidRDefault="008526EA" w:rsidP="008526EA">
      <w:pPr>
        <w:keepNext w:val="0"/>
        <w:spacing w:before="0"/>
        <w:ind w:left="527"/>
        <w:rPr>
          <w:rFonts w:cs="Arial"/>
          <w:b/>
          <w:bCs/>
          <w:color w:val="auto"/>
          <w:szCs w:val="24"/>
          <w:lang w:eastAsia="en-US"/>
        </w:rPr>
      </w:pPr>
      <w:bookmarkStart w:id="137" w:name="_Hlk75501329"/>
      <w:bookmarkEnd w:id="136"/>
    </w:p>
    <w:p w14:paraId="711B0A6E" w14:textId="36A4B7E9" w:rsidR="00EA0392" w:rsidRPr="00995322" w:rsidRDefault="00E54C76" w:rsidP="00995322">
      <w:pPr>
        <w:pStyle w:val="Heading2"/>
        <w:jc w:val="left"/>
        <w:rPr>
          <w:rFonts w:eastAsia="Arial"/>
          <w:sz w:val="28"/>
          <w:szCs w:val="28"/>
        </w:rPr>
      </w:pPr>
      <w:bookmarkStart w:id="138" w:name="_Toc145511570"/>
      <w:bookmarkStart w:id="139" w:name="_Hlk140503041"/>
      <w:bookmarkStart w:id="140" w:name="_Hlk77759903"/>
      <w:r w:rsidRPr="00995322">
        <w:rPr>
          <w:rFonts w:eastAsia="Arial"/>
          <w:sz w:val="28"/>
          <w:szCs w:val="28"/>
        </w:rPr>
        <w:t>Policy CC1:  Zero</w:t>
      </w:r>
      <w:r w:rsidR="009E6F00" w:rsidRPr="00995322">
        <w:rPr>
          <w:rFonts w:eastAsia="Arial"/>
          <w:sz w:val="28"/>
          <w:szCs w:val="28"/>
        </w:rPr>
        <w:t>/</w:t>
      </w:r>
      <w:r w:rsidRPr="00995322">
        <w:rPr>
          <w:rFonts w:eastAsia="Arial"/>
          <w:sz w:val="28"/>
          <w:szCs w:val="28"/>
        </w:rPr>
        <w:t>Low Carbon Developments and Decentralised, Renewable</w:t>
      </w:r>
      <w:r w:rsidR="009E6F00" w:rsidRPr="00995322">
        <w:rPr>
          <w:rFonts w:eastAsia="Arial"/>
          <w:sz w:val="28"/>
          <w:szCs w:val="28"/>
        </w:rPr>
        <w:t>,</w:t>
      </w:r>
      <w:r w:rsidRPr="00995322">
        <w:rPr>
          <w:rFonts w:eastAsia="Arial"/>
          <w:sz w:val="28"/>
          <w:szCs w:val="28"/>
        </w:rPr>
        <w:t xml:space="preserve"> Low Carbon Energy Generation</w:t>
      </w:r>
      <w:bookmarkEnd w:id="138"/>
    </w:p>
    <w:p w14:paraId="21B02B96" w14:textId="77777777" w:rsidR="00E54C76" w:rsidRPr="003C7E62" w:rsidRDefault="00E54C76" w:rsidP="00EA0392">
      <w:pPr>
        <w:keepNext w:val="0"/>
        <w:spacing w:before="0"/>
        <w:rPr>
          <w:rFonts w:eastAsia="Arial" w:cs="Arial"/>
          <w:color w:val="auto"/>
        </w:rPr>
      </w:pPr>
    </w:p>
    <w:tbl>
      <w:tblPr>
        <w:tblStyle w:val="ReportTable1"/>
        <w:tblW w:w="9634" w:type="dxa"/>
        <w:tblLook w:val="04A0" w:firstRow="1" w:lastRow="0" w:firstColumn="1" w:lastColumn="0" w:noHBand="0" w:noVBand="1"/>
      </w:tblPr>
      <w:tblGrid>
        <w:gridCol w:w="2405"/>
        <w:gridCol w:w="255"/>
        <w:gridCol w:w="6974"/>
      </w:tblGrid>
      <w:tr w:rsidR="00EA0392" w:rsidRPr="003C7E62" w14:paraId="0B83F469" w14:textId="77777777" w:rsidTr="005334C0">
        <w:tc>
          <w:tcPr>
            <w:tcW w:w="9634" w:type="dxa"/>
            <w:gridSpan w:val="3"/>
          </w:tcPr>
          <w:p w14:paraId="356C018B" w14:textId="77777777" w:rsidR="00EA0392" w:rsidRPr="003C7E62" w:rsidRDefault="00EA0392" w:rsidP="004575AD">
            <w:pPr>
              <w:keepNext w:val="0"/>
              <w:tabs>
                <w:tab w:val="left" w:pos="680"/>
              </w:tabs>
              <w:spacing w:after="120"/>
              <w:rPr>
                <w:rFonts w:eastAsia="Arial" w:cs="Arial"/>
                <w:color w:val="auto"/>
              </w:rPr>
            </w:pPr>
            <w:r w:rsidRPr="003C7E62">
              <w:rPr>
                <w:rFonts w:eastAsia="Arial" w:cs="Arial"/>
                <w:b/>
                <w:color w:val="auto"/>
              </w:rPr>
              <w:t>Policy CC1:  Zero and Low Carbon Developments and Decentralised, Renewable and Low Carbon Energy Generation</w:t>
            </w:r>
          </w:p>
        </w:tc>
      </w:tr>
      <w:tr w:rsidR="00EA0392" w:rsidRPr="003C7E62" w14:paraId="2746C63C" w14:textId="77777777" w:rsidTr="005334C0">
        <w:tc>
          <w:tcPr>
            <w:tcW w:w="2660" w:type="dxa"/>
            <w:gridSpan w:val="2"/>
          </w:tcPr>
          <w:p w14:paraId="60441B7C" w14:textId="77777777" w:rsidR="00EA0392" w:rsidRPr="00FC2A72" w:rsidRDefault="00EA0392" w:rsidP="004575AD">
            <w:pPr>
              <w:keepNext w:val="0"/>
              <w:tabs>
                <w:tab w:val="left" w:pos="680"/>
              </w:tabs>
              <w:spacing w:before="40" w:after="40"/>
              <w:rPr>
                <w:rFonts w:eastAsia="Arial" w:cs="Arial"/>
                <w:bCs/>
                <w:color w:val="auto"/>
              </w:rPr>
            </w:pPr>
            <w:r w:rsidRPr="00FC2A72">
              <w:rPr>
                <w:rFonts w:eastAsia="Arial" w:cs="Arial"/>
                <w:bCs/>
                <w:color w:val="auto"/>
              </w:rPr>
              <w:t>Strategic Objectives</w:t>
            </w:r>
          </w:p>
        </w:tc>
        <w:tc>
          <w:tcPr>
            <w:tcW w:w="6974" w:type="dxa"/>
          </w:tcPr>
          <w:p w14:paraId="2FDF5EDB" w14:textId="77777777" w:rsidR="00EA0392" w:rsidRPr="00FC2A72" w:rsidRDefault="00EA0392" w:rsidP="004575AD">
            <w:pPr>
              <w:keepNext w:val="0"/>
              <w:tabs>
                <w:tab w:val="left" w:pos="680"/>
              </w:tabs>
              <w:spacing w:before="40" w:after="40"/>
              <w:rPr>
                <w:rFonts w:eastAsia="Arial" w:cs="Arial"/>
                <w:bCs/>
                <w:color w:val="auto"/>
              </w:rPr>
            </w:pPr>
            <w:r w:rsidRPr="00FC2A72">
              <w:rPr>
                <w:rFonts w:eastAsia="Arial" w:cs="Arial"/>
                <w:bCs/>
                <w:color w:val="auto"/>
              </w:rPr>
              <w:t>SO1, SO2, SO3, SO4, SO11, SO12, SO13, SO14.</w:t>
            </w:r>
          </w:p>
        </w:tc>
      </w:tr>
      <w:tr w:rsidR="00EA0392" w:rsidRPr="003C7E62" w14:paraId="01F51BFA" w14:textId="77777777" w:rsidTr="005334C0">
        <w:tc>
          <w:tcPr>
            <w:tcW w:w="9634" w:type="dxa"/>
            <w:gridSpan w:val="3"/>
            <w:shd w:val="clear" w:color="auto" w:fill="DEEAF6"/>
          </w:tcPr>
          <w:p w14:paraId="2AF40D84" w14:textId="77777777" w:rsidR="005334C0" w:rsidRDefault="005334C0" w:rsidP="004575AD">
            <w:pPr>
              <w:keepNext w:val="0"/>
              <w:tabs>
                <w:tab w:val="left" w:pos="680"/>
                <w:tab w:val="left" w:pos="1133"/>
                <w:tab w:val="left" w:pos="2267"/>
              </w:tabs>
              <w:spacing w:before="0" w:after="120"/>
              <w:ind w:right="284"/>
              <w:rPr>
                <w:rFonts w:eastAsia="Arial" w:cs="Arial"/>
                <w:bCs/>
              </w:rPr>
            </w:pPr>
          </w:p>
          <w:p w14:paraId="612FBAFF" w14:textId="01A82730" w:rsidR="00EA0392" w:rsidRPr="000339D2" w:rsidRDefault="00EA0392" w:rsidP="004575AD">
            <w:pPr>
              <w:keepNext w:val="0"/>
              <w:tabs>
                <w:tab w:val="left" w:pos="680"/>
                <w:tab w:val="left" w:pos="1133"/>
                <w:tab w:val="left" w:pos="2267"/>
              </w:tabs>
              <w:spacing w:before="0" w:after="120"/>
              <w:ind w:right="284"/>
              <w:rPr>
                <w:rFonts w:eastAsia="Arial" w:cs="Arial"/>
                <w:bCs/>
              </w:rPr>
            </w:pPr>
            <w:r w:rsidRPr="000339D2">
              <w:rPr>
                <w:rFonts w:eastAsia="Arial" w:cs="Arial"/>
                <w:bCs/>
              </w:rPr>
              <w:t>Zero and Low Carbon Development</w:t>
            </w:r>
          </w:p>
          <w:p w14:paraId="7F25A23F" w14:textId="292F53E9" w:rsidR="00EA0392" w:rsidRPr="000339D2" w:rsidRDefault="00EA0392" w:rsidP="00874A98">
            <w:pPr>
              <w:keepNext w:val="0"/>
              <w:numPr>
                <w:ilvl w:val="0"/>
                <w:numId w:val="106"/>
              </w:numPr>
              <w:spacing w:before="0" w:after="160" w:line="252" w:lineRule="auto"/>
              <w:contextualSpacing/>
              <w:rPr>
                <w:rFonts w:eastAsia="Arial" w:cs="Arial"/>
                <w:bCs/>
              </w:rPr>
            </w:pPr>
            <w:r w:rsidRPr="000339D2">
              <w:rPr>
                <w:rFonts w:eastAsia="Arial" w:cs="Arial"/>
                <w:bCs/>
              </w:rPr>
              <w:t>Proposals for carbon neutral development are strongly supported.  All development proposals will be expected to mitigate against and adapt to climate change, to comply with the national target to bring greenhouse gas emissions to net zero by 2050 and contribute to any local targets for reducing carbon emissions and energy use unless it can be demonstrated that compliance with the policy is not viable or feasible</w:t>
            </w:r>
            <w:r w:rsidR="008A6027">
              <w:rPr>
                <w:rFonts w:eastAsia="Arial" w:cs="Arial"/>
                <w:bCs/>
              </w:rPr>
              <w:t xml:space="preserve"> </w:t>
            </w:r>
            <w:r w:rsidR="008A6027" w:rsidRPr="00D810CA">
              <w:rPr>
                <w:rFonts w:eastAsia="Arial" w:cs="Arial"/>
                <w:bCs/>
              </w:rPr>
              <w:t>or there are significant adverse effects in relation to other policy requirements</w:t>
            </w:r>
            <w:r w:rsidRPr="00D810CA">
              <w:rPr>
                <w:rFonts w:eastAsia="Arial" w:cs="Arial"/>
                <w:bCs/>
              </w:rPr>
              <w:t xml:space="preserve">.  Development </w:t>
            </w:r>
            <w:r w:rsidRPr="000339D2">
              <w:rPr>
                <w:rFonts w:eastAsia="Arial" w:cs="Arial"/>
                <w:bCs/>
              </w:rPr>
              <w:t>proposals should:</w:t>
            </w:r>
          </w:p>
          <w:p w14:paraId="61CE5461" w14:textId="77777777" w:rsidR="00EA0392" w:rsidRPr="000339D2" w:rsidRDefault="00EA0392" w:rsidP="00725FBA">
            <w:pPr>
              <w:keepNext w:val="0"/>
              <w:tabs>
                <w:tab w:val="left" w:pos="680"/>
                <w:tab w:val="left" w:pos="1133"/>
                <w:tab w:val="left" w:pos="2267"/>
              </w:tabs>
              <w:spacing w:before="0"/>
              <w:ind w:left="360" w:right="284"/>
              <w:rPr>
                <w:rFonts w:eastAsia="Arial" w:cs="Arial"/>
                <w:bCs/>
              </w:rPr>
            </w:pPr>
          </w:p>
          <w:p w14:paraId="4387F311" w14:textId="77777777" w:rsidR="00EA0392" w:rsidRPr="000339D2" w:rsidRDefault="00EA0392" w:rsidP="00874A98">
            <w:pPr>
              <w:keepNext w:val="0"/>
              <w:numPr>
                <w:ilvl w:val="0"/>
                <w:numId w:val="117"/>
              </w:numPr>
              <w:spacing w:before="0" w:after="160" w:line="252" w:lineRule="auto"/>
              <w:ind w:right="284"/>
              <w:contextualSpacing/>
              <w:rPr>
                <w:rFonts w:eastAsia="Arial" w:cs="Arial"/>
                <w:bCs/>
                <w:lang w:eastAsia="en-US"/>
              </w:rPr>
            </w:pPr>
            <w:r w:rsidRPr="000339D2">
              <w:rPr>
                <w:rFonts w:eastAsia="Arial" w:cs="Arial"/>
                <w:bCs/>
                <w:lang w:eastAsia="en-US"/>
              </w:rPr>
              <w:t>Maximise opportunities to reducing demand by taking account of landform, location, layout, building orientation, design, massing and landscaping.  This includes:</w:t>
            </w:r>
          </w:p>
          <w:p w14:paraId="5184A73F" w14:textId="77777777" w:rsidR="00EA0392" w:rsidRPr="000339D2" w:rsidRDefault="00EA0392" w:rsidP="00725FBA">
            <w:pPr>
              <w:keepNext w:val="0"/>
              <w:spacing w:before="0"/>
              <w:ind w:left="720" w:right="284"/>
              <w:contextualSpacing/>
              <w:rPr>
                <w:rFonts w:eastAsia="Arial" w:cs="Arial"/>
                <w:bCs/>
                <w:lang w:eastAsia="en-US"/>
              </w:rPr>
            </w:pPr>
          </w:p>
          <w:p w14:paraId="6910EE15" w14:textId="77777777" w:rsidR="00EA0392" w:rsidRPr="000339D2" w:rsidRDefault="00EA0392" w:rsidP="00874A98">
            <w:pPr>
              <w:keepNext w:val="0"/>
              <w:numPr>
                <w:ilvl w:val="0"/>
                <w:numId w:val="116"/>
              </w:numPr>
              <w:spacing w:before="0" w:after="160" w:line="252" w:lineRule="auto"/>
              <w:ind w:right="284"/>
              <w:contextualSpacing/>
              <w:rPr>
                <w:rFonts w:eastAsia="Arial" w:cs="Arial"/>
                <w:bCs/>
                <w:lang w:eastAsia="en-US"/>
              </w:rPr>
            </w:pPr>
            <w:r w:rsidRPr="000339D2">
              <w:rPr>
                <w:rFonts w:eastAsia="Arial" w:cs="Arial"/>
                <w:bCs/>
                <w:lang w:eastAsia="en-US"/>
              </w:rPr>
              <w:t>Opportunities for both natural heating and ventilation through the orientation and location of buildings;</w:t>
            </w:r>
          </w:p>
          <w:p w14:paraId="498A7F6F" w14:textId="28E28631" w:rsidR="00EA0392" w:rsidRPr="000339D2" w:rsidRDefault="00EA0392" w:rsidP="00874A98">
            <w:pPr>
              <w:keepNext w:val="0"/>
              <w:numPr>
                <w:ilvl w:val="0"/>
                <w:numId w:val="116"/>
              </w:numPr>
              <w:spacing w:before="0" w:after="160" w:line="252" w:lineRule="auto"/>
              <w:ind w:right="284"/>
              <w:contextualSpacing/>
              <w:rPr>
                <w:rFonts w:eastAsia="Arial" w:cs="Arial"/>
                <w:bCs/>
                <w:lang w:eastAsia="en-US"/>
              </w:rPr>
            </w:pPr>
            <w:r w:rsidRPr="000339D2">
              <w:rPr>
                <w:rFonts w:eastAsia="Arial" w:cs="Arial"/>
                <w:bCs/>
                <w:lang w:eastAsia="en-US"/>
              </w:rPr>
              <w:t>Incorporating blue and green infrastructure, trees and other planting, to provide opportunities for cooling, shading of amenity areas, connect habitats, using native plants that are carefully selected so they can be managed and sustained to meet the predicted changed climatic conditions;</w:t>
            </w:r>
          </w:p>
          <w:p w14:paraId="61479D10" w14:textId="77777777" w:rsidR="00EA0392" w:rsidRPr="000339D2" w:rsidRDefault="00EA0392" w:rsidP="00874A98">
            <w:pPr>
              <w:keepNext w:val="0"/>
              <w:numPr>
                <w:ilvl w:val="0"/>
                <w:numId w:val="116"/>
              </w:numPr>
              <w:spacing w:before="0" w:after="160" w:line="252" w:lineRule="auto"/>
              <w:ind w:right="284"/>
              <w:contextualSpacing/>
              <w:rPr>
                <w:rFonts w:eastAsia="Arial" w:cs="Arial"/>
                <w:bCs/>
                <w:lang w:eastAsia="en-US"/>
              </w:rPr>
            </w:pPr>
            <w:r w:rsidRPr="000339D2">
              <w:rPr>
                <w:rFonts w:eastAsia="Arial" w:cs="Arial"/>
                <w:bCs/>
                <w:lang w:eastAsia="en-US"/>
              </w:rPr>
              <w:t xml:space="preserve">Incorporating water efficiency measures and include appropriate sustainable drainage systems (SuDS) to minimise and manage surface water runoff and its impacts; </w:t>
            </w:r>
          </w:p>
          <w:p w14:paraId="1361638E" w14:textId="21294C3C" w:rsidR="00EA0392" w:rsidRPr="000339D2" w:rsidRDefault="00EA0392" w:rsidP="00874A98">
            <w:pPr>
              <w:keepNext w:val="0"/>
              <w:numPr>
                <w:ilvl w:val="0"/>
                <w:numId w:val="116"/>
              </w:numPr>
              <w:spacing w:before="0" w:after="160" w:line="252" w:lineRule="auto"/>
              <w:ind w:right="284"/>
              <w:contextualSpacing/>
              <w:rPr>
                <w:rFonts w:eastAsia="Arial" w:cs="Arial"/>
                <w:bCs/>
                <w:szCs w:val="24"/>
                <w:lang w:eastAsia="en-US"/>
              </w:rPr>
            </w:pPr>
            <w:r w:rsidRPr="000339D2">
              <w:rPr>
                <w:rFonts w:eastAsia="Calibri" w:cs="Arial"/>
                <w:bCs/>
                <w:szCs w:val="24"/>
                <w:lang w:eastAsia="en-US"/>
              </w:rPr>
              <w:t>Optimise energy efficiency measures including, where feasible,  the use of decentralised renewable and low carbon energy;</w:t>
            </w:r>
            <w:r w:rsidR="00D30208">
              <w:rPr>
                <w:rFonts w:eastAsia="Calibri" w:cs="Arial"/>
                <w:bCs/>
                <w:szCs w:val="24"/>
                <w:lang w:eastAsia="en-US"/>
              </w:rPr>
              <w:t xml:space="preserve"> and</w:t>
            </w:r>
          </w:p>
          <w:p w14:paraId="1A34F1EA" w14:textId="77777777" w:rsidR="00EA0392" w:rsidRPr="000339D2" w:rsidRDefault="00EA0392" w:rsidP="00874A98">
            <w:pPr>
              <w:keepNext w:val="0"/>
              <w:numPr>
                <w:ilvl w:val="0"/>
                <w:numId w:val="116"/>
              </w:numPr>
              <w:spacing w:before="0" w:after="160" w:line="259" w:lineRule="auto"/>
              <w:contextualSpacing/>
              <w:rPr>
                <w:rFonts w:eastAsia="Arial" w:cs="Arial"/>
                <w:bCs/>
                <w:szCs w:val="24"/>
                <w:lang w:eastAsia="en-US"/>
              </w:rPr>
            </w:pPr>
            <w:r w:rsidRPr="000339D2">
              <w:rPr>
                <w:rFonts w:eastAsia="Arial" w:cs="Arial"/>
                <w:bCs/>
                <w:szCs w:val="24"/>
                <w:lang w:eastAsia="en-US"/>
              </w:rPr>
              <w:t xml:space="preserve">Include other measures including incorporating vehicle charging facilities, and the potential for communal heating systems. </w:t>
            </w:r>
          </w:p>
          <w:p w14:paraId="7C3161BD" w14:textId="77777777" w:rsidR="00EA0392" w:rsidRPr="000339D2" w:rsidRDefault="00EA0392" w:rsidP="00725FBA">
            <w:pPr>
              <w:keepNext w:val="0"/>
              <w:spacing w:before="0"/>
              <w:ind w:left="720" w:right="284"/>
              <w:contextualSpacing/>
              <w:rPr>
                <w:rFonts w:eastAsia="Arial" w:cs="Arial"/>
                <w:bCs/>
                <w:lang w:eastAsia="en-US"/>
              </w:rPr>
            </w:pPr>
          </w:p>
          <w:p w14:paraId="0D7F97A9" w14:textId="32D7589D" w:rsidR="00EA0392" w:rsidRDefault="00D810CA" w:rsidP="00874A98">
            <w:pPr>
              <w:keepNext w:val="0"/>
              <w:numPr>
                <w:ilvl w:val="0"/>
                <w:numId w:val="117"/>
              </w:numPr>
              <w:spacing w:before="0" w:after="160" w:line="252" w:lineRule="auto"/>
              <w:ind w:right="284"/>
              <w:contextualSpacing/>
              <w:rPr>
                <w:rFonts w:eastAsia="Arial" w:cs="Arial"/>
                <w:bCs/>
                <w:lang w:eastAsia="en-US"/>
              </w:rPr>
            </w:pPr>
            <w:r>
              <w:rPr>
                <w:rFonts w:eastAsia="Arial" w:cs="Arial"/>
                <w:bCs/>
                <w:lang w:eastAsia="en-US"/>
              </w:rPr>
              <w:t>B</w:t>
            </w:r>
            <w:r w:rsidR="00EA0392" w:rsidRPr="000339D2">
              <w:rPr>
                <w:rFonts w:eastAsia="Arial" w:cs="Arial"/>
                <w:bCs/>
                <w:lang w:eastAsia="en-US"/>
              </w:rPr>
              <w:t>e designed to minimise the generation of waste and energy consumption in the design, construction, use and life of buildings and promote sustainable approaches to waste management, including the reuse and recycling of construction waste.</w:t>
            </w:r>
          </w:p>
          <w:p w14:paraId="50E85D8D" w14:textId="77777777" w:rsidR="00F82198" w:rsidRPr="000339D2" w:rsidRDefault="00F82198" w:rsidP="00F82198">
            <w:pPr>
              <w:keepNext w:val="0"/>
              <w:spacing w:before="0" w:after="160" w:line="252" w:lineRule="auto"/>
              <w:ind w:left="720" w:right="284"/>
              <w:contextualSpacing/>
              <w:rPr>
                <w:rFonts w:eastAsia="Arial" w:cs="Arial"/>
                <w:bCs/>
                <w:lang w:eastAsia="en-US"/>
              </w:rPr>
            </w:pPr>
          </w:p>
          <w:p w14:paraId="0FB38EE5" w14:textId="403DC4DF" w:rsidR="00EA0392" w:rsidRPr="00D810CA" w:rsidRDefault="00D30208" w:rsidP="00874A98">
            <w:pPr>
              <w:keepNext w:val="0"/>
              <w:numPr>
                <w:ilvl w:val="0"/>
                <w:numId w:val="117"/>
              </w:numPr>
              <w:spacing w:before="0" w:after="160" w:line="252" w:lineRule="auto"/>
              <w:contextualSpacing/>
              <w:rPr>
                <w:rFonts w:eastAsia="Arial" w:cs="Arial"/>
                <w:bCs/>
                <w:lang w:eastAsia="en-US"/>
              </w:rPr>
            </w:pPr>
            <w:r>
              <w:rPr>
                <w:rFonts w:eastAsia="Arial" w:cs="Arial"/>
                <w:bCs/>
                <w:lang w:eastAsia="en-US"/>
              </w:rPr>
              <w:t>E</w:t>
            </w:r>
            <w:r w:rsidR="00EA0392" w:rsidRPr="00F82198">
              <w:rPr>
                <w:rFonts w:eastAsia="Arial" w:cs="Arial"/>
                <w:bCs/>
                <w:lang w:eastAsia="en-US"/>
              </w:rPr>
              <w:t xml:space="preserve">nable occupants to minimise their need to travel and, where travel is </w:t>
            </w:r>
            <w:r w:rsidR="00EA0392" w:rsidRPr="00D810CA">
              <w:rPr>
                <w:rFonts w:eastAsia="Arial" w:cs="Arial"/>
                <w:bCs/>
                <w:lang w:eastAsia="en-US"/>
              </w:rPr>
              <w:t>necessary, to maximise opportunities for sustainable modes of travel.</w:t>
            </w:r>
          </w:p>
          <w:p w14:paraId="767DB20B" w14:textId="77777777" w:rsidR="00EA0392" w:rsidRPr="00D810CA" w:rsidRDefault="00EA0392" w:rsidP="00725FBA">
            <w:pPr>
              <w:keepNext w:val="0"/>
              <w:spacing w:before="0"/>
              <w:rPr>
                <w:rFonts w:eastAsia="Arial" w:cs="Arial"/>
                <w:bCs/>
              </w:rPr>
            </w:pPr>
          </w:p>
          <w:p w14:paraId="7711D982" w14:textId="4F9F7B01" w:rsidR="00D30208" w:rsidRPr="00D810CA" w:rsidRDefault="00D30208" w:rsidP="00874A98">
            <w:pPr>
              <w:keepNext w:val="0"/>
              <w:numPr>
                <w:ilvl w:val="0"/>
                <w:numId w:val="117"/>
              </w:numPr>
              <w:tabs>
                <w:tab w:val="left" w:pos="680"/>
                <w:tab w:val="left" w:pos="1133"/>
                <w:tab w:val="left" w:pos="2267"/>
              </w:tabs>
              <w:spacing w:before="0"/>
              <w:ind w:right="284"/>
              <w:contextualSpacing/>
              <w:rPr>
                <w:rFonts w:eastAsia="Arial" w:cs="Arial"/>
                <w:bCs/>
                <w:lang w:eastAsia="en-US"/>
              </w:rPr>
            </w:pPr>
            <w:r w:rsidRPr="00D810CA">
              <w:rPr>
                <w:rFonts w:eastAsia="Arial" w:cs="Arial"/>
                <w:bCs/>
                <w:lang w:eastAsia="en-US"/>
              </w:rPr>
              <w:t>Minimising greenhouse gas emissions.</w:t>
            </w:r>
          </w:p>
          <w:p w14:paraId="25C3FA2D" w14:textId="77777777" w:rsidR="00D30208" w:rsidRPr="00D810CA" w:rsidRDefault="00D30208" w:rsidP="00D30208">
            <w:pPr>
              <w:keepNext w:val="0"/>
              <w:tabs>
                <w:tab w:val="left" w:pos="680"/>
                <w:tab w:val="left" w:pos="1133"/>
                <w:tab w:val="left" w:pos="2267"/>
              </w:tabs>
              <w:spacing w:before="0"/>
              <w:ind w:right="284"/>
              <w:contextualSpacing/>
              <w:rPr>
                <w:rFonts w:eastAsia="Arial" w:cs="Arial"/>
                <w:bCs/>
                <w:lang w:eastAsia="en-US"/>
              </w:rPr>
            </w:pPr>
          </w:p>
          <w:p w14:paraId="4F243B71" w14:textId="40D2EE6E" w:rsidR="00EA0392" w:rsidRPr="00D810CA" w:rsidRDefault="00EA0392" w:rsidP="00874A98">
            <w:pPr>
              <w:keepNext w:val="0"/>
              <w:numPr>
                <w:ilvl w:val="0"/>
                <w:numId w:val="117"/>
              </w:numPr>
              <w:tabs>
                <w:tab w:val="left" w:pos="680"/>
                <w:tab w:val="left" w:pos="1133"/>
                <w:tab w:val="left" w:pos="2267"/>
              </w:tabs>
              <w:spacing w:before="0"/>
              <w:ind w:right="284"/>
              <w:contextualSpacing/>
              <w:rPr>
                <w:rFonts w:eastAsia="Arial" w:cs="Arial"/>
                <w:bCs/>
                <w:lang w:eastAsia="en-US"/>
              </w:rPr>
            </w:pPr>
            <w:r w:rsidRPr="00D810CA">
              <w:rPr>
                <w:rFonts w:eastAsia="Arial" w:cs="Arial"/>
                <w:bCs/>
                <w:lang w:eastAsia="en-US"/>
              </w:rPr>
              <w:t xml:space="preserve">Provide for carbon offsetting, incorporating multi-functional green infrastructure and habitats, which can provide carbon storage including multi-functional woodland or grassland. </w:t>
            </w:r>
          </w:p>
          <w:p w14:paraId="0C9FD60F" w14:textId="77777777" w:rsidR="00A20D05" w:rsidRPr="00D810CA" w:rsidRDefault="00A20D05" w:rsidP="00A20D05">
            <w:pPr>
              <w:pStyle w:val="ListParagraph"/>
              <w:spacing w:after="0" w:line="240" w:lineRule="auto"/>
              <w:rPr>
                <w:rFonts w:eastAsia="Arial" w:cs="Arial"/>
                <w:bCs/>
              </w:rPr>
            </w:pPr>
          </w:p>
          <w:p w14:paraId="580B2D0C" w14:textId="52E59BA9" w:rsidR="00A20D05" w:rsidRPr="00D810CA" w:rsidRDefault="00A20D05" w:rsidP="00874A98">
            <w:pPr>
              <w:keepNext w:val="0"/>
              <w:numPr>
                <w:ilvl w:val="0"/>
                <w:numId w:val="117"/>
              </w:numPr>
              <w:tabs>
                <w:tab w:val="left" w:pos="680"/>
                <w:tab w:val="left" w:pos="1133"/>
                <w:tab w:val="left" w:pos="2267"/>
              </w:tabs>
              <w:spacing w:before="0"/>
              <w:ind w:right="284"/>
              <w:contextualSpacing/>
              <w:rPr>
                <w:rFonts w:eastAsia="Arial" w:cs="Arial"/>
                <w:bCs/>
                <w:lang w:eastAsia="en-US"/>
              </w:rPr>
            </w:pPr>
            <w:bookmarkStart w:id="141" w:name="_Hlk79772737"/>
            <w:r w:rsidRPr="00D810CA">
              <w:rPr>
                <w:rFonts w:eastAsia="Arial" w:cs="Arial"/>
                <w:bCs/>
                <w:lang w:eastAsia="en-US"/>
              </w:rPr>
              <w:t>Maximise the opportunities that potentially arise from the use of renewable heat from mine water</w:t>
            </w:r>
            <w:r w:rsidR="00404E8A" w:rsidRPr="00D810CA">
              <w:rPr>
                <w:rFonts w:eastAsia="Arial" w:cs="Arial"/>
                <w:bCs/>
                <w:lang w:eastAsia="en-US"/>
              </w:rPr>
              <w:t>.</w:t>
            </w:r>
            <w:r w:rsidRPr="00D810CA">
              <w:rPr>
                <w:rFonts w:eastAsia="Arial" w:cs="Arial"/>
                <w:bCs/>
                <w:lang w:eastAsia="en-US"/>
              </w:rPr>
              <w:cr/>
            </w:r>
          </w:p>
          <w:bookmarkEnd w:id="141"/>
          <w:p w14:paraId="4B6F57F2" w14:textId="3925A52C" w:rsidR="00EA0392" w:rsidRPr="00D810CA" w:rsidRDefault="00EA0392" w:rsidP="00874A98">
            <w:pPr>
              <w:keepNext w:val="0"/>
              <w:numPr>
                <w:ilvl w:val="0"/>
                <w:numId w:val="106"/>
              </w:numPr>
              <w:tabs>
                <w:tab w:val="left" w:pos="680"/>
                <w:tab w:val="left" w:pos="1133"/>
                <w:tab w:val="left" w:pos="2267"/>
              </w:tabs>
              <w:spacing w:before="0" w:after="160" w:line="252" w:lineRule="auto"/>
              <w:ind w:right="284"/>
              <w:jc w:val="both"/>
              <w:rPr>
                <w:rFonts w:eastAsia="Arial" w:cs="Arial"/>
                <w:bCs/>
              </w:rPr>
            </w:pPr>
            <w:r w:rsidRPr="00D810CA">
              <w:rPr>
                <w:rFonts w:eastAsia="Arial" w:cs="Arial"/>
                <w:bCs/>
                <w:lang w:eastAsia="en-US"/>
              </w:rPr>
              <w:t xml:space="preserve">The Council will support non-residential development of 1,000 </w:t>
            </w:r>
            <w:r w:rsidR="009D1815" w:rsidRPr="00D810CA">
              <w:rPr>
                <w:rFonts w:eastAsia="Arial" w:cs="Arial"/>
                <w:bCs/>
                <w:lang w:eastAsia="en-US"/>
              </w:rPr>
              <w:t>sq.</w:t>
            </w:r>
            <w:r w:rsidRPr="00D810CA">
              <w:rPr>
                <w:rFonts w:eastAsia="Arial" w:cs="Arial"/>
                <w:bCs/>
                <w:lang w:eastAsia="en-US"/>
              </w:rPr>
              <w:t xml:space="preserve"> m or more that incorporates sustainable construction design, materials and methods to achieve BREEAM standard ‘excellent’</w:t>
            </w:r>
            <w:r w:rsidR="008A6027" w:rsidRPr="00D810CA">
              <w:rPr>
                <w:rFonts w:eastAsia="Arial" w:cs="Arial"/>
                <w:bCs/>
                <w:lang w:eastAsia="en-US"/>
              </w:rPr>
              <w:t xml:space="preserve"> or equivalent, provided this is both feasible and viable and there are not</w:t>
            </w:r>
            <w:r w:rsidR="008A6027" w:rsidRPr="00D810CA">
              <w:t xml:space="preserve"> </w:t>
            </w:r>
            <w:r w:rsidR="008A6027" w:rsidRPr="00D810CA">
              <w:rPr>
                <w:rFonts w:eastAsia="Arial" w:cs="Arial"/>
                <w:bCs/>
                <w:lang w:eastAsia="en-US"/>
              </w:rPr>
              <w:t xml:space="preserve">significant adverse effects in relation to other policy requirements. </w:t>
            </w:r>
          </w:p>
          <w:p w14:paraId="098DB037" w14:textId="77777777" w:rsidR="00EA0392" w:rsidRPr="000339D2" w:rsidRDefault="00EA0392" w:rsidP="004575AD">
            <w:pPr>
              <w:keepNext w:val="0"/>
              <w:spacing w:before="0"/>
              <w:rPr>
                <w:rFonts w:eastAsia="Arial" w:cs="Arial"/>
                <w:bCs/>
              </w:rPr>
            </w:pPr>
          </w:p>
          <w:p w14:paraId="1BADE488" w14:textId="77777777" w:rsidR="00EA0392" w:rsidRPr="000339D2" w:rsidRDefault="00EA0392" w:rsidP="004575AD">
            <w:pPr>
              <w:keepNext w:val="0"/>
              <w:spacing w:before="0"/>
              <w:rPr>
                <w:rFonts w:eastAsia="Arial" w:cs="Arial"/>
                <w:bCs/>
              </w:rPr>
            </w:pPr>
            <w:r w:rsidRPr="000339D2">
              <w:rPr>
                <w:rFonts w:eastAsia="Calibri" w:cs="Arial"/>
                <w:bCs/>
                <w:szCs w:val="24"/>
                <w:lang w:eastAsia="en-US"/>
              </w:rPr>
              <w:t xml:space="preserve">Proposals for non-wind </w:t>
            </w:r>
            <w:r w:rsidRPr="000339D2">
              <w:rPr>
                <w:rFonts w:eastAsia="Arial" w:cs="Arial"/>
                <w:bCs/>
              </w:rPr>
              <w:t>Decentralised, Renewable and Low Carbon Energy Generation</w:t>
            </w:r>
          </w:p>
          <w:p w14:paraId="7924F1DF" w14:textId="77777777" w:rsidR="00EA0392" w:rsidRPr="000339D2" w:rsidRDefault="00EA0392" w:rsidP="004575AD">
            <w:pPr>
              <w:keepNext w:val="0"/>
              <w:spacing w:before="0"/>
              <w:rPr>
                <w:rFonts w:eastAsia="Arial" w:cs="Arial"/>
                <w:bCs/>
              </w:rPr>
            </w:pPr>
          </w:p>
          <w:p w14:paraId="7AD0D9DC" w14:textId="090D8825" w:rsidR="00EA0392" w:rsidRPr="000339D2" w:rsidRDefault="00EA0392" w:rsidP="00874A98">
            <w:pPr>
              <w:keepNext w:val="0"/>
              <w:numPr>
                <w:ilvl w:val="0"/>
                <w:numId w:val="106"/>
              </w:numPr>
              <w:tabs>
                <w:tab w:val="left" w:pos="680"/>
                <w:tab w:val="left" w:pos="1133"/>
                <w:tab w:val="left" w:pos="2267"/>
              </w:tabs>
              <w:spacing w:before="0" w:after="160" w:line="252" w:lineRule="auto"/>
              <w:ind w:right="284"/>
              <w:jc w:val="both"/>
              <w:rPr>
                <w:rFonts w:eastAsia="Arial" w:cs="Arial"/>
                <w:bCs/>
              </w:rPr>
            </w:pPr>
            <w:bookmarkStart w:id="142" w:name="_Hlk78466635"/>
            <w:r w:rsidRPr="000339D2">
              <w:rPr>
                <w:rFonts w:eastAsia="Arial" w:cs="Arial"/>
                <w:bCs/>
              </w:rPr>
              <w:t>The development of stand-alone renewable energy schemes</w:t>
            </w:r>
            <w:r w:rsidR="00725FBA" w:rsidRPr="000339D2">
              <w:rPr>
                <w:rFonts w:eastAsia="Arial" w:cs="Arial"/>
                <w:bCs/>
                <w:vertAlign w:val="superscript"/>
              </w:rPr>
              <w:t>1</w:t>
            </w:r>
            <w:r w:rsidRPr="000339D2">
              <w:rPr>
                <w:rFonts w:eastAsia="Arial" w:cs="Arial"/>
                <w:bCs/>
              </w:rPr>
              <w:t xml:space="preserve"> will be supported in appropriate locations, including biomass power generation, combined heat and power, and micro generation systems and where individually, or cumulatively, there are no significant adverse effects in relation to other policy requirements.  Proposals should demonstrate how they:</w:t>
            </w:r>
          </w:p>
          <w:p w14:paraId="3942D90A" w14:textId="710D71CC" w:rsidR="00EA0392" w:rsidRPr="000339D2" w:rsidRDefault="00EA0392" w:rsidP="00874A98">
            <w:pPr>
              <w:keepNext w:val="0"/>
              <w:numPr>
                <w:ilvl w:val="0"/>
                <w:numId w:val="118"/>
              </w:numPr>
              <w:spacing w:before="0" w:after="160" w:line="252" w:lineRule="auto"/>
              <w:contextualSpacing/>
              <w:rPr>
                <w:rFonts w:eastAsia="Arial" w:cs="Arial"/>
                <w:bCs/>
                <w:lang w:eastAsia="en-US"/>
              </w:rPr>
            </w:pPr>
            <w:r w:rsidRPr="000339D2">
              <w:rPr>
                <w:rFonts w:eastAsia="Arial" w:cs="Arial"/>
                <w:bCs/>
                <w:lang w:eastAsia="en-US"/>
              </w:rPr>
              <w:t>Connect to the existing national grid infrastructure, unless it can be demonstrated that energy generation would be used on-site to meet the needs of a specific end user;</w:t>
            </w:r>
            <w:r w:rsidR="00A0047B" w:rsidRPr="000339D2">
              <w:rPr>
                <w:rFonts w:eastAsia="Arial" w:cs="Arial"/>
                <w:bCs/>
                <w:lang w:eastAsia="en-US"/>
              </w:rPr>
              <w:t xml:space="preserve"> and </w:t>
            </w:r>
          </w:p>
          <w:p w14:paraId="548D21E2" w14:textId="77777777" w:rsidR="00EA0392" w:rsidRPr="000339D2" w:rsidRDefault="00EA0392" w:rsidP="00725FBA">
            <w:pPr>
              <w:keepNext w:val="0"/>
              <w:spacing w:before="0"/>
              <w:ind w:left="720"/>
              <w:contextualSpacing/>
              <w:rPr>
                <w:rFonts w:eastAsia="Arial" w:cs="Arial"/>
                <w:bCs/>
                <w:lang w:eastAsia="en-US"/>
              </w:rPr>
            </w:pPr>
          </w:p>
          <w:p w14:paraId="4559BF5B" w14:textId="77777777" w:rsidR="00EA0392" w:rsidRPr="000339D2" w:rsidRDefault="00EA0392" w:rsidP="00874A98">
            <w:pPr>
              <w:keepNext w:val="0"/>
              <w:numPr>
                <w:ilvl w:val="0"/>
                <w:numId w:val="118"/>
              </w:numPr>
              <w:spacing w:before="0" w:after="160" w:line="252" w:lineRule="auto"/>
              <w:contextualSpacing/>
              <w:rPr>
                <w:rFonts w:eastAsia="Arial" w:cs="Arial"/>
                <w:bCs/>
                <w:lang w:eastAsia="en-US"/>
              </w:rPr>
            </w:pPr>
            <w:r w:rsidRPr="000339D2">
              <w:rPr>
                <w:rFonts w:eastAsia="Arial" w:cs="Arial"/>
                <w:bCs/>
                <w:lang w:eastAsia="en-US"/>
              </w:rPr>
              <w:t>Provide for the removal of the infrastructure and reinstatement of the site, should the facilities cease to be operational;</w:t>
            </w:r>
          </w:p>
          <w:bookmarkEnd w:id="142"/>
          <w:p w14:paraId="1F0EE140" w14:textId="7C764FFF" w:rsidR="00EA0392" w:rsidRPr="000339D2" w:rsidRDefault="00EA0392" w:rsidP="004575AD">
            <w:pPr>
              <w:keepNext w:val="0"/>
              <w:spacing w:before="0"/>
              <w:rPr>
                <w:rFonts w:eastAsia="Arial" w:cs="Arial"/>
                <w:b/>
              </w:rPr>
            </w:pPr>
          </w:p>
          <w:p w14:paraId="1E52EEBF" w14:textId="77777777" w:rsidR="00EA0392" w:rsidRPr="000339D2" w:rsidRDefault="00EA0392" w:rsidP="004575AD">
            <w:pPr>
              <w:keepNext w:val="0"/>
              <w:spacing w:before="0"/>
              <w:rPr>
                <w:rFonts w:eastAsia="Arial" w:cs="Arial"/>
              </w:rPr>
            </w:pPr>
            <w:r w:rsidRPr="000339D2">
              <w:rPr>
                <w:rFonts w:eastAsia="Arial" w:cs="Arial"/>
              </w:rPr>
              <w:t xml:space="preserve">Energy Storage </w:t>
            </w:r>
          </w:p>
          <w:p w14:paraId="6E9DC843" w14:textId="77777777" w:rsidR="00EA0392" w:rsidRPr="000339D2" w:rsidRDefault="00EA0392" w:rsidP="004575AD">
            <w:pPr>
              <w:keepNext w:val="0"/>
              <w:spacing w:before="0"/>
              <w:rPr>
                <w:rFonts w:eastAsia="Arial" w:cs="Arial"/>
                <w:bCs/>
              </w:rPr>
            </w:pPr>
          </w:p>
          <w:p w14:paraId="53EC96A1" w14:textId="227C5E02" w:rsidR="00EA0392" w:rsidRPr="000339D2" w:rsidRDefault="00EA0392" w:rsidP="00874A98">
            <w:pPr>
              <w:keepNext w:val="0"/>
              <w:numPr>
                <w:ilvl w:val="0"/>
                <w:numId w:val="106"/>
              </w:numPr>
              <w:spacing w:before="0" w:after="160" w:line="252" w:lineRule="auto"/>
              <w:contextualSpacing/>
              <w:jc w:val="both"/>
              <w:rPr>
                <w:rFonts w:eastAsia="Arial" w:cs="Arial"/>
                <w:bCs/>
              </w:rPr>
            </w:pPr>
            <w:r w:rsidRPr="000339D2">
              <w:rPr>
                <w:rFonts w:eastAsia="Arial" w:cs="Arial"/>
                <w:bCs/>
              </w:rPr>
              <w:t>Proposals for energy storage units will be supported where they assist with balancing of the electricity grid, support renewable and low carbon energy and where:</w:t>
            </w:r>
          </w:p>
          <w:p w14:paraId="365B7807" w14:textId="77777777" w:rsidR="00EA0392" w:rsidRPr="000339D2" w:rsidRDefault="00EA0392" w:rsidP="00874A98">
            <w:pPr>
              <w:keepNext w:val="0"/>
              <w:numPr>
                <w:ilvl w:val="0"/>
                <w:numId w:val="120"/>
              </w:numPr>
              <w:spacing w:before="0" w:after="160" w:line="252" w:lineRule="auto"/>
              <w:contextualSpacing/>
              <w:jc w:val="both"/>
              <w:rPr>
                <w:rFonts w:eastAsia="Arial" w:cs="Arial"/>
                <w:bCs/>
              </w:rPr>
            </w:pPr>
            <w:r w:rsidRPr="000339D2">
              <w:rPr>
                <w:rFonts w:eastAsia="Arial" w:cs="Arial"/>
                <w:bCs/>
              </w:rPr>
              <w:t>they are located on previously developed areas and/or in industrial areas, and</w:t>
            </w:r>
          </w:p>
          <w:p w14:paraId="6E1880B4" w14:textId="4759EC70" w:rsidR="00EA0392" w:rsidRPr="000339D2" w:rsidRDefault="00EA0392" w:rsidP="00874A98">
            <w:pPr>
              <w:keepNext w:val="0"/>
              <w:numPr>
                <w:ilvl w:val="0"/>
                <w:numId w:val="120"/>
              </w:numPr>
              <w:spacing w:before="0" w:after="160" w:line="252" w:lineRule="auto"/>
              <w:contextualSpacing/>
              <w:jc w:val="both"/>
              <w:rPr>
                <w:rFonts w:eastAsia="Arial" w:cs="Arial"/>
                <w:bCs/>
              </w:rPr>
            </w:pPr>
            <w:r w:rsidRPr="000339D2">
              <w:rPr>
                <w:rFonts w:eastAsia="Arial" w:cs="Arial"/>
                <w:bCs/>
              </w:rPr>
              <w:t>individually, or cumulatively, there are no significant adverse effects in relation to other polic</w:t>
            </w:r>
            <w:r w:rsidR="00A0047B" w:rsidRPr="000339D2">
              <w:rPr>
                <w:rFonts w:eastAsia="Arial" w:cs="Arial"/>
                <w:bCs/>
              </w:rPr>
              <w:t>y</w:t>
            </w:r>
            <w:r w:rsidRPr="000339D2">
              <w:rPr>
                <w:rFonts w:eastAsia="Arial" w:cs="Arial"/>
                <w:bCs/>
              </w:rPr>
              <w:t xml:space="preserve"> requirements.</w:t>
            </w:r>
          </w:p>
          <w:p w14:paraId="3D0E6344" w14:textId="77777777" w:rsidR="00EA0392" w:rsidRPr="000339D2" w:rsidRDefault="00EA0392" w:rsidP="004575AD">
            <w:pPr>
              <w:keepNext w:val="0"/>
              <w:tabs>
                <w:tab w:val="left" w:pos="680"/>
                <w:tab w:val="left" w:pos="1133"/>
                <w:tab w:val="left" w:pos="2267"/>
              </w:tabs>
              <w:spacing w:before="0"/>
              <w:ind w:right="284"/>
              <w:rPr>
                <w:rFonts w:eastAsia="Arial" w:cs="Arial"/>
                <w:b/>
              </w:rPr>
            </w:pPr>
          </w:p>
          <w:p w14:paraId="5C16A095" w14:textId="77777777" w:rsidR="00EA0392" w:rsidRPr="000339D2" w:rsidRDefault="00725FBA" w:rsidP="00725FBA">
            <w:pPr>
              <w:keepNext w:val="0"/>
              <w:tabs>
                <w:tab w:val="left" w:pos="680"/>
                <w:tab w:val="left" w:pos="1133"/>
                <w:tab w:val="left" w:pos="2267"/>
              </w:tabs>
              <w:spacing w:before="0"/>
              <w:ind w:right="284"/>
              <w:rPr>
                <w:rFonts w:eastAsia="Arial" w:cs="Arial"/>
                <w:sz w:val="20"/>
              </w:rPr>
            </w:pPr>
            <w:r w:rsidRPr="000339D2">
              <w:rPr>
                <w:rFonts w:eastAsia="Arial" w:cs="Arial"/>
                <w:sz w:val="20"/>
              </w:rPr>
              <w:t>Note</w:t>
            </w:r>
          </w:p>
          <w:p w14:paraId="66231F5A" w14:textId="710F35CD" w:rsidR="00725FBA" w:rsidRPr="000339D2" w:rsidRDefault="00725FBA" w:rsidP="00725FBA">
            <w:pPr>
              <w:keepNext w:val="0"/>
              <w:tabs>
                <w:tab w:val="left" w:pos="680"/>
                <w:tab w:val="left" w:pos="1133"/>
                <w:tab w:val="left" w:pos="2267"/>
              </w:tabs>
              <w:spacing w:before="0"/>
              <w:ind w:right="284"/>
              <w:rPr>
                <w:rFonts w:eastAsia="Arial" w:cs="Arial"/>
                <w:sz w:val="20"/>
              </w:rPr>
            </w:pPr>
            <w:r w:rsidRPr="000339D2">
              <w:rPr>
                <w:rFonts w:eastAsia="Arial" w:cs="Arial"/>
                <w:sz w:val="20"/>
              </w:rPr>
              <w:t>1 –</w:t>
            </w:r>
            <w:r w:rsidR="004575AD" w:rsidRPr="000339D2">
              <w:rPr>
                <w:rFonts w:eastAsia="Arial" w:cs="Arial"/>
                <w:sz w:val="20"/>
              </w:rPr>
              <w:t xml:space="preserve">  </w:t>
            </w:r>
            <w:r w:rsidRPr="000339D2">
              <w:rPr>
                <w:rFonts w:eastAsia="Arial" w:cs="Arial"/>
                <w:sz w:val="20"/>
              </w:rPr>
              <w:t>Under national planning policy, the Council cannot include provision for wind energy unless:</w:t>
            </w:r>
          </w:p>
          <w:p w14:paraId="1E0AAECD" w14:textId="77777777" w:rsidR="000339D2" w:rsidRPr="005D0346" w:rsidRDefault="00725FBA" w:rsidP="00874A98">
            <w:pPr>
              <w:pStyle w:val="ListParagraph"/>
              <w:numPr>
                <w:ilvl w:val="0"/>
                <w:numId w:val="122"/>
              </w:numPr>
              <w:tabs>
                <w:tab w:val="left" w:pos="680"/>
                <w:tab w:val="left" w:pos="1133"/>
                <w:tab w:val="left" w:pos="2267"/>
              </w:tabs>
              <w:spacing w:after="0" w:line="240" w:lineRule="auto"/>
              <w:ind w:right="284"/>
              <w:rPr>
                <w:rFonts w:ascii="Arial" w:eastAsia="Arial" w:hAnsi="Arial" w:cs="Arial"/>
                <w:sz w:val="20"/>
                <w:szCs w:val="20"/>
              </w:rPr>
            </w:pPr>
            <w:r w:rsidRPr="000339D2">
              <w:rPr>
                <w:rFonts w:ascii="Arial" w:eastAsia="Arial" w:hAnsi="Arial" w:cs="Arial"/>
                <w:sz w:val="20"/>
                <w:szCs w:val="20"/>
              </w:rPr>
              <w:t>the proposal is in an area that has been identified as suitable for wind energy development in an adopted development plan (</w:t>
            </w:r>
            <w:proofErr w:type="spellStart"/>
            <w:r w:rsidRPr="000339D2">
              <w:rPr>
                <w:rFonts w:ascii="Arial" w:eastAsia="Arial" w:hAnsi="Arial" w:cs="Arial"/>
                <w:sz w:val="20"/>
                <w:szCs w:val="20"/>
              </w:rPr>
              <w:t>i.e</w:t>
            </w:r>
            <w:proofErr w:type="spellEnd"/>
            <w:r w:rsidRPr="000339D2">
              <w:rPr>
                <w:rFonts w:ascii="Arial" w:eastAsia="Arial" w:hAnsi="Arial" w:cs="Arial"/>
                <w:sz w:val="20"/>
                <w:szCs w:val="20"/>
              </w:rPr>
              <w:t xml:space="preserve"> the local plan or a neighbourhood plan), </w:t>
            </w:r>
            <w:r w:rsidRPr="00D1744B">
              <w:rPr>
                <w:rFonts w:ascii="Arial" w:eastAsia="Arial" w:hAnsi="Arial" w:cs="Arial"/>
                <w:sz w:val="20"/>
                <w:szCs w:val="20"/>
              </w:rPr>
              <w:t xml:space="preserve">and </w:t>
            </w:r>
            <w:r w:rsidRPr="00D1744B">
              <w:rPr>
                <w:rFonts w:ascii="Arial" w:eastAsia="Arial" w:hAnsi="Arial" w:cs="Arial"/>
                <w:sz w:val="20"/>
              </w:rPr>
              <w:t>following consultation, it can be demonstrated that the planning impacts identified by affected local communities have been fully addressed and therefore the proposal has their backing.</w:t>
            </w:r>
          </w:p>
          <w:p w14:paraId="57235808" w14:textId="0098D854" w:rsidR="005D0346" w:rsidRPr="00D1744B" w:rsidRDefault="005D0346" w:rsidP="005D0346">
            <w:pPr>
              <w:pStyle w:val="ListParagraph"/>
              <w:tabs>
                <w:tab w:val="left" w:pos="680"/>
                <w:tab w:val="left" w:pos="1133"/>
                <w:tab w:val="left" w:pos="2267"/>
              </w:tabs>
              <w:spacing w:after="0" w:line="240" w:lineRule="auto"/>
              <w:ind w:left="360" w:right="284"/>
              <w:rPr>
                <w:rFonts w:ascii="Arial" w:eastAsia="Arial" w:hAnsi="Arial" w:cs="Arial"/>
                <w:sz w:val="20"/>
                <w:szCs w:val="20"/>
              </w:rPr>
            </w:pPr>
          </w:p>
        </w:tc>
      </w:tr>
      <w:bookmarkEnd w:id="139"/>
      <w:tr w:rsidR="00EA0392" w:rsidRPr="003C7E62" w14:paraId="6DDE2E84" w14:textId="77777777" w:rsidTr="005334C0">
        <w:tc>
          <w:tcPr>
            <w:tcW w:w="2405" w:type="dxa"/>
          </w:tcPr>
          <w:p w14:paraId="333EFCF8" w14:textId="77777777" w:rsidR="00EA0392" w:rsidRPr="003C7E62" w:rsidRDefault="00EA0392" w:rsidP="000032A9">
            <w:pPr>
              <w:keepNext w:val="0"/>
              <w:tabs>
                <w:tab w:val="left" w:pos="680"/>
                <w:tab w:val="left" w:pos="1133"/>
                <w:tab w:val="left" w:pos="2267"/>
              </w:tabs>
              <w:spacing w:before="0"/>
              <w:ind w:right="284"/>
              <w:rPr>
                <w:rFonts w:eastAsia="Arial" w:cs="Arial"/>
                <w:b/>
                <w:color w:val="0070C0"/>
                <w:szCs w:val="24"/>
              </w:rPr>
            </w:pPr>
            <w:r w:rsidRPr="003C7E62">
              <w:rPr>
                <w:rFonts w:eastAsia="Arial" w:cs="Arial"/>
                <w:bCs/>
                <w:color w:val="auto"/>
                <w:sz w:val="22"/>
                <w:szCs w:val="22"/>
                <w:lang w:eastAsia="en-US"/>
              </w:rPr>
              <w:t>Evidence base</w:t>
            </w:r>
          </w:p>
        </w:tc>
        <w:tc>
          <w:tcPr>
            <w:tcW w:w="7229" w:type="dxa"/>
            <w:gridSpan w:val="2"/>
          </w:tcPr>
          <w:p w14:paraId="127B83F3" w14:textId="635BBC8B" w:rsidR="00EA0392" w:rsidRPr="00D810CA" w:rsidRDefault="00EA0392" w:rsidP="000032A9">
            <w:pPr>
              <w:keepNext w:val="0"/>
              <w:numPr>
                <w:ilvl w:val="0"/>
                <w:numId w:val="13"/>
              </w:numPr>
              <w:tabs>
                <w:tab w:val="left" w:pos="680"/>
                <w:tab w:val="left" w:pos="1133"/>
                <w:tab w:val="left" w:pos="2267"/>
              </w:tabs>
              <w:spacing w:before="0" w:after="160" w:line="252" w:lineRule="auto"/>
              <w:ind w:right="284"/>
              <w:contextualSpacing/>
              <w:rPr>
                <w:rFonts w:eastAsia="Arial" w:cs="Arial"/>
                <w:bCs/>
                <w:sz w:val="20"/>
                <w:szCs w:val="22"/>
                <w:lang w:eastAsia="en-US"/>
              </w:rPr>
            </w:pPr>
            <w:r w:rsidRPr="003C7E62">
              <w:rPr>
                <w:rFonts w:eastAsia="Arial" w:cs="Arial"/>
                <w:bCs/>
                <w:color w:val="auto"/>
                <w:sz w:val="20"/>
                <w:szCs w:val="22"/>
                <w:lang w:eastAsia="en-US"/>
              </w:rPr>
              <w:t xml:space="preserve">Sustainability Appraisal, </w:t>
            </w:r>
            <w:r w:rsidRPr="00D810CA">
              <w:rPr>
                <w:rFonts w:eastAsia="Arial" w:cs="Arial"/>
                <w:bCs/>
                <w:sz w:val="20"/>
                <w:szCs w:val="22"/>
                <w:lang w:eastAsia="en-US"/>
              </w:rPr>
              <w:t>202</w:t>
            </w:r>
            <w:r w:rsidR="00D022BB" w:rsidRPr="00D810CA">
              <w:rPr>
                <w:rFonts w:eastAsia="Arial" w:cs="Arial"/>
                <w:bCs/>
                <w:sz w:val="20"/>
                <w:szCs w:val="22"/>
                <w:lang w:eastAsia="en-US"/>
              </w:rPr>
              <w:t>3</w:t>
            </w:r>
            <w:r w:rsidRPr="00D810CA">
              <w:rPr>
                <w:rFonts w:eastAsia="Arial" w:cs="Arial"/>
                <w:bCs/>
                <w:sz w:val="20"/>
                <w:szCs w:val="22"/>
                <w:lang w:eastAsia="en-US"/>
              </w:rPr>
              <w:t>.</w:t>
            </w:r>
            <w:r w:rsidR="00D022BB" w:rsidRPr="00D810CA">
              <w:t xml:space="preserve"> </w:t>
            </w:r>
            <w:r w:rsidR="00D022BB" w:rsidRPr="00D810CA">
              <w:rPr>
                <w:rFonts w:eastAsia="Arial" w:cs="Arial"/>
                <w:bCs/>
                <w:sz w:val="20"/>
                <w:szCs w:val="22"/>
                <w:lang w:eastAsia="en-US"/>
              </w:rPr>
              <w:t>WSP UK Limited</w:t>
            </w:r>
            <w:r w:rsidRPr="00D810CA">
              <w:rPr>
                <w:rFonts w:eastAsia="Arial" w:cs="Arial"/>
                <w:bCs/>
                <w:sz w:val="20"/>
                <w:szCs w:val="22"/>
                <w:lang w:eastAsia="en-US"/>
              </w:rPr>
              <w:t xml:space="preserve">. </w:t>
            </w:r>
          </w:p>
          <w:p w14:paraId="2781C131" w14:textId="77777777" w:rsidR="00EA0392" w:rsidRPr="00D810CA" w:rsidRDefault="00EA0392" w:rsidP="000032A9">
            <w:pPr>
              <w:keepNext w:val="0"/>
              <w:numPr>
                <w:ilvl w:val="0"/>
                <w:numId w:val="13"/>
              </w:numPr>
              <w:tabs>
                <w:tab w:val="left" w:pos="680"/>
                <w:tab w:val="left" w:pos="1133"/>
                <w:tab w:val="left" w:pos="2267"/>
              </w:tabs>
              <w:spacing w:before="0" w:after="160" w:line="252" w:lineRule="auto"/>
              <w:ind w:right="284"/>
              <w:contextualSpacing/>
              <w:rPr>
                <w:rFonts w:eastAsia="Arial" w:cs="Arial"/>
                <w:bCs/>
                <w:sz w:val="20"/>
                <w:szCs w:val="22"/>
                <w:lang w:eastAsia="en-US"/>
              </w:rPr>
            </w:pPr>
            <w:r w:rsidRPr="00D810CA">
              <w:rPr>
                <w:rFonts w:eastAsia="Calibri" w:cs="Arial"/>
                <w:sz w:val="20"/>
                <w:lang w:eastAsia="en-US"/>
              </w:rPr>
              <w:t xml:space="preserve">Towards a Sustainable Energy Policy for Nottinghamshire 2009 - Nottinghamshire Sustainable Energy Planning Partnership (NSEPP) Nottinghamshire: Operational Renewal and Low Carbon Energy Schemes 2009 - Nottinghamshire Sustainable Energy Planning Partnership (NSEPP). </w:t>
            </w:r>
          </w:p>
          <w:p w14:paraId="37DD4C51" w14:textId="17AE2471" w:rsidR="00EA0392" w:rsidRPr="00D810CA" w:rsidRDefault="00EA0392" w:rsidP="000032A9">
            <w:pPr>
              <w:keepNext w:val="0"/>
              <w:numPr>
                <w:ilvl w:val="0"/>
                <w:numId w:val="13"/>
              </w:numPr>
              <w:tabs>
                <w:tab w:val="left" w:pos="680"/>
                <w:tab w:val="left" w:pos="1133"/>
                <w:tab w:val="left" w:pos="2267"/>
              </w:tabs>
              <w:spacing w:before="0" w:after="160" w:line="252" w:lineRule="auto"/>
              <w:ind w:right="284"/>
              <w:contextualSpacing/>
              <w:rPr>
                <w:rFonts w:eastAsia="Arial" w:cs="Arial"/>
                <w:bCs/>
                <w:sz w:val="20"/>
                <w:szCs w:val="22"/>
                <w:lang w:eastAsia="en-US"/>
              </w:rPr>
            </w:pPr>
            <w:r w:rsidRPr="00D810CA">
              <w:rPr>
                <w:rFonts w:eastAsia="Calibri" w:cs="Arial"/>
                <w:sz w:val="20"/>
                <w:lang w:eastAsia="en-US"/>
              </w:rPr>
              <w:t>Towards a Sustainable Energy Policy for Nottinghamshire, Report of Consultation2009 - Nottinghamshire Sustainable Energy Planning Partnership (NSEPP).</w:t>
            </w:r>
          </w:p>
          <w:p w14:paraId="3FC59F42" w14:textId="77777777" w:rsidR="00EA0392" w:rsidRPr="00D810CA" w:rsidRDefault="00EA0392" w:rsidP="000032A9">
            <w:pPr>
              <w:keepNext w:val="0"/>
              <w:numPr>
                <w:ilvl w:val="0"/>
                <w:numId w:val="13"/>
              </w:numPr>
              <w:tabs>
                <w:tab w:val="left" w:pos="680"/>
                <w:tab w:val="left" w:pos="1133"/>
                <w:tab w:val="left" w:pos="2267"/>
              </w:tabs>
              <w:spacing w:before="0" w:after="160" w:line="252" w:lineRule="auto"/>
              <w:ind w:right="284"/>
              <w:contextualSpacing/>
              <w:rPr>
                <w:rFonts w:eastAsia="Arial" w:cs="Arial"/>
                <w:bCs/>
                <w:sz w:val="20"/>
                <w:szCs w:val="22"/>
                <w:lang w:eastAsia="en-US"/>
              </w:rPr>
            </w:pPr>
            <w:r w:rsidRPr="00D810CA">
              <w:rPr>
                <w:rFonts w:eastAsia="Calibri" w:cs="Arial"/>
                <w:sz w:val="20"/>
                <w:lang w:eastAsia="en-US"/>
              </w:rPr>
              <w:t>Low Carbon Energy Opportunities and Heat Mapping for Local Planning Areas Across the East Midlands 2011 - Final Report - Land Use Consultants, Centre for Sustainable Energy and SQW.</w:t>
            </w:r>
          </w:p>
          <w:p w14:paraId="11B71C93" w14:textId="6D33DE1B" w:rsidR="00D022BB" w:rsidRPr="00D810CA" w:rsidRDefault="00D022BB" w:rsidP="000032A9">
            <w:pPr>
              <w:keepNext w:val="0"/>
              <w:numPr>
                <w:ilvl w:val="0"/>
                <w:numId w:val="13"/>
              </w:numPr>
              <w:tabs>
                <w:tab w:val="left" w:pos="680"/>
                <w:tab w:val="left" w:pos="1133"/>
                <w:tab w:val="left" w:pos="2267"/>
              </w:tabs>
              <w:spacing w:before="0" w:after="160" w:line="252" w:lineRule="auto"/>
              <w:ind w:right="284"/>
              <w:contextualSpacing/>
              <w:rPr>
                <w:rFonts w:eastAsia="Arial" w:cs="Arial"/>
                <w:bCs/>
                <w:sz w:val="20"/>
                <w:szCs w:val="22"/>
                <w:lang w:eastAsia="en-US"/>
              </w:rPr>
            </w:pPr>
            <w:r w:rsidRPr="00D810CA">
              <w:rPr>
                <w:rFonts w:eastAsia="Arial" w:cs="Arial"/>
                <w:bCs/>
                <w:sz w:val="20"/>
                <w:szCs w:val="22"/>
                <w:lang w:eastAsia="en-US"/>
              </w:rPr>
              <w:t>Planning Guidance Climate Change, 2022. Ashfield District Council.</w:t>
            </w:r>
          </w:p>
          <w:p w14:paraId="1B7B8D08" w14:textId="0879EC1B" w:rsidR="00EA0392" w:rsidRPr="00D022BB" w:rsidRDefault="00D022BB" w:rsidP="000032A9">
            <w:pPr>
              <w:keepNext w:val="0"/>
              <w:numPr>
                <w:ilvl w:val="0"/>
                <w:numId w:val="13"/>
              </w:numPr>
              <w:tabs>
                <w:tab w:val="left" w:pos="680"/>
                <w:tab w:val="left" w:pos="1133"/>
                <w:tab w:val="left" w:pos="2267"/>
              </w:tabs>
              <w:spacing w:before="0" w:after="160" w:line="252" w:lineRule="auto"/>
              <w:ind w:right="284"/>
              <w:contextualSpacing/>
              <w:rPr>
                <w:rFonts w:eastAsia="Arial" w:cs="Arial"/>
                <w:bCs/>
                <w:color w:val="0070C0"/>
                <w:sz w:val="20"/>
                <w:szCs w:val="22"/>
                <w:lang w:eastAsia="en-US"/>
              </w:rPr>
            </w:pPr>
            <w:r w:rsidRPr="00D810CA">
              <w:rPr>
                <w:rFonts w:eastAsia="Arial" w:cs="Arial"/>
                <w:bCs/>
                <w:sz w:val="20"/>
              </w:rPr>
              <w:t>Ashfield Climate Change Strategy 2021 to 2026. Ashfield District Council.</w:t>
            </w:r>
          </w:p>
        </w:tc>
      </w:tr>
      <w:tr w:rsidR="00EA0392" w:rsidRPr="003C7E62" w14:paraId="55E0121C" w14:textId="77777777" w:rsidTr="005334C0">
        <w:tc>
          <w:tcPr>
            <w:tcW w:w="2405" w:type="dxa"/>
          </w:tcPr>
          <w:p w14:paraId="7FAB6A25" w14:textId="77777777" w:rsidR="00EA0392" w:rsidRPr="003C7E62" w:rsidRDefault="00EA0392" w:rsidP="000032A9">
            <w:pPr>
              <w:keepNext w:val="0"/>
              <w:tabs>
                <w:tab w:val="left" w:pos="680"/>
                <w:tab w:val="left" w:pos="1133"/>
                <w:tab w:val="left" w:pos="2267"/>
              </w:tabs>
              <w:spacing w:before="0"/>
              <w:ind w:right="284"/>
              <w:rPr>
                <w:rFonts w:eastAsia="Arial" w:cs="Arial"/>
                <w:b/>
                <w:color w:val="auto"/>
                <w:szCs w:val="24"/>
              </w:rPr>
            </w:pPr>
            <w:r w:rsidRPr="003C7E62">
              <w:rPr>
                <w:rFonts w:eastAsia="Arial" w:cs="Arial"/>
                <w:bCs/>
                <w:color w:val="auto"/>
                <w:sz w:val="22"/>
                <w:szCs w:val="22"/>
                <w:lang w:eastAsia="en-US"/>
              </w:rPr>
              <w:t>National Planning Policy and Guidance</w:t>
            </w:r>
          </w:p>
        </w:tc>
        <w:tc>
          <w:tcPr>
            <w:tcW w:w="7229" w:type="dxa"/>
            <w:gridSpan w:val="2"/>
          </w:tcPr>
          <w:p w14:paraId="6E1418BB" w14:textId="4AAD60A5" w:rsidR="00EA0392" w:rsidRPr="003C7E62" w:rsidRDefault="00EA0392" w:rsidP="00874A98">
            <w:pPr>
              <w:keepNext w:val="0"/>
              <w:numPr>
                <w:ilvl w:val="0"/>
                <w:numId w:val="119"/>
              </w:numPr>
              <w:tabs>
                <w:tab w:val="left" w:pos="680"/>
                <w:tab w:val="left" w:pos="1133"/>
                <w:tab w:val="left" w:pos="2267"/>
              </w:tabs>
              <w:spacing w:before="0" w:after="160" w:line="252" w:lineRule="auto"/>
              <w:ind w:right="284"/>
              <w:contextualSpacing/>
              <w:rPr>
                <w:rFonts w:eastAsia="Arial" w:cs="Arial"/>
                <w:bCs/>
                <w:color w:val="auto"/>
                <w:sz w:val="20"/>
                <w:lang w:eastAsia="en-US"/>
              </w:rPr>
            </w:pPr>
            <w:r w:rsidRPr="003C7E62">
              <w:rPr>
                <w:rFonts w:eastAsia="Arial" w:cs="Arial"/>
                <w:bCs/>
                <w:color w:val="auto"/>
                <w:sz w:val="20"/>
                <w:lang w:eastAsia="en-US"/>
              </w:rPr>
              <w:t>NPPF 202</w:t>
            </w:r>
            <w:r w:rsidR="005E6FE4">
              <w:rPr>
                <w:rFonts w:eastAsia="Arial" w:cs="Arial"/>
                <w:bCs/>
                <w:color w:val="auto"/>
                <w:sz w:val="20"/>
                <w:lang w:eastAsia="en-US"/>
              </w:rPr>
              <w:t>3</w:t>
            </w:r>
            <w:r w:rsidRPr="003C7E62">
              <w:rPr>
                <w:rFonts w:eastAsia="Arial" w:cs="Arial"/>
                <w:bCs/>
                <w:color w:val="auto"/>
                <w:sz w:val="20"/>
                <w:lang w:eastAsia="en-US"/>
              </w:rPr>
              <w:t>, Part 2: Achieving sustainable development.</w:t>
            </w:r>
          </w:p>
          <w:p w14:paraId="1405B18D" w14:textId="4C590033" w:rsidR="00EA0392" w:rsidRPr="003C7E62" w:rsidRDefault="00EA0392" w:rsidP="00874A98">
            <w:pPr>
              <w:keepNext w:val="0"/>
              <w:numPr>
                <w:ilvl w:val="0"/>
                <w:numId w:val="119"/>
              </w:numPr>
              <w:spacing w:before="0" w:after="160" w:line="252" w:lineRule="auto"/>
              <w:contextualSpacing/>
              <w:rPr>
                <w:rFonts w:eastAsia="Arial" w:cs="Arial"/>
                <w:bCs/>
                <w:color w:val="auto"/>
                <w:sz w:val="20"/>
              </w:rPr>
            </w:pPr>
            <w:r w:rsidRPr="003C7E62">
              <w:rPr>
                <w:rFonts w:eastAsia="Arial" w:cs="Arial"/>
                <w:bCs/>
                <w:color w:val="auto"/>
                <w:sz w:val="20"/>
              </w:rPr>
              <w:t>NPPF 202</w:t>
            </w:r>
            <w:r w:rsidR="005E6FE4">
              <w:rPr>
                <w:rFonts w:eastAsia="Arial" w:cs="Arial"/>
                <w:bCs/>
                <w:color w:val="auto"/>
                <w:sz w:val="20"/>
              </w:rPr>
              <w:t>3</w:t>
            </w:r>
            <w:r w:rsidRPr="003C7E62">
              <w:rPr>
                <w:rFonts w:eastAsia="Arial" w:cs="Arial"/>
                <w:bCs/>
                <w:color w:val="auto"/>
                <w:sz w:val="20"/>
              </w:rPr>
              <w:t>,</w:t>
            </w:r>
            <w:r w:rsidRPr="003C7E62">
              <w:rPr>
                <w:rFonts w:eastAsia="Calibri" w:cs="Arial"/>
                <w:color w:val="auto"/>
                <w:szCs w:val="22"/>
                <w:lang w:eastAsia="en-US"/>
              </w:rPr>
              <w:t xml:space="preserve"> </w:t>
            </w:r>
            <w:r w:rsidRPr="003C7E62">
              <w:rPr>
                <w:rFonts w:eastAsia="Arial" w:cs="Arial"/>
                <w:bCs/>
                <w:color w:val="auto"/>
                <w:sz w:val="20"/>
              </w:rPr>
              <w:t>Part 14: Meeting the challenge of climate change, flooding and coastal change.</w:t>
            </w:r>
          </w:p>
          <w:p w14:paraId="39792C30" w14:textId="5866EF9C" w:rsidR="00EA0392" w:rsidRPr="00D810CA" w:rsidRDefault="00EA0392" w:rsidP="00874A98">
            <w:pPr>
              <w:keepNext w:val="0"/>
              <w:numPr>
                <w:ilvl w:val="0"/>
                <w:numId w:val="119"/>
              </w:numPr>
              <w:tabs>
                <w:tab w:val="left" w:pos="680"/>
                <w:tab w:val="left" w:pos="1133"/>
                <w:tab w:val="left" w:pos="2267"/>
              </w:tabs>
              <w:spacing w:before="0" w:after="160" w:line="252" w:lineRule="auto"/>
              <w:ind w:right="284"/>
              <w:contextualSpacing/>
              <w:rPr>
                <w:rFonts w:eastAsia="Arial" w:cs="Arial"/>
                <w:bCs/>
                <w:sz w:val="20"/>
                <w:lang w:eastAsia="en-US"/>
              </w:rPr>
            </w:pPr>
            <w:r w:rsidRPr="003C7E62">
              <w:rPr>
                <w:rFonts w:eastAsia="Arial" w:cs="Arial"/>
                <w:bCs/>
                <w:color w:val="auto"/>
                <w:sz w:val="20"/>
              </w:rPr>
              <w:t xml:space="preserve">Planning Practice Guidance: Climate change as </w:t>
            </w:r>
            <w:r w:rsidR="009D1815" w:rsidRPr="003C7E62">
              <w:rPr>
                <w:rFonts w:eastAsia="Arial" w:cs="Arial"/>
                <w:bCs/>
                <w:color w:val="auto"/>
                <w:sz w:val="20"/>
              </w:rPr>
              <w:t>of</w:t>
            </w:r>
            <w:r w:rsidR="00D022BB">
              <w:rPr>
                <w:rFonts w:eastAsia="Arial" w:cs="Arial"/>
                <w:bCs/>
                <w:color w:val="auto"/>
                <w:sz w:val="20"/>
              </w:rPr>
              <w:t xml:space="preserve"> </w:t>
            </w:r>
            <w:r w:rsidR="00D022BB" w:rsidRPr="00D810CA">
              <w:rPr>
                <w:rFonts w:eastAsia="Arial" w:cs="Arial"/>
                <w:bCs/>
                <w:sz w:val="20"/>
              </w:rPr>
              <w:t>March 2019</w:t>
            </w:r>
            <w:r w:rsidRPr="00D810CA">
              <w:rPr>
                <w:rFonts w:eastAsia="Arial" w:cs="Arial"/>
                <w:bCs/>
                <w:sz w:val="20"/>
              </w:rPr>
              <w:t>.</w:t>
            </w:r>
          </w:p>
          <w:p w14:paraId="73495813" w14:textId="0DD25E62" w:rsidR="00EA0392" w:rsidRPr="00D810CA" w:rsidRDefault="00EA0392" w:rsidP="00874A98">
            <w:pPr>
              <w:keepNext w:val="0"/>
              <w:numPr>
                <w:ilvl w:val="0"/>
                <w:numId w:val="119"/>
              </w:numPr>
              <w:tabs>
                <w:tab w:val="left" w:pos="680"/>
                <w:tab w:val="left" w:pos="1133"/>
                <w:tab w:val="left" w:pos="2267"/>
              </w:tabs>
              <w:spacing w:before="0" w:after="160" w:line="252" w:lineRule="auto"/>
              <w:ind w:right="284"/>
              <w:contextualSpacing/>
              <w:rPr>
                <w:rFonts w:eastAsia="Arial" w:cs="Arial"/>
                <w:bCs/>
                <w:sz w:val="20"/>
                <w:lang w:eastAsia="en-US"/>
              </w:rPr>
            </w:pPr>
            <w:r w:rsidRPr="00D810CA">
              <w:rPr>
                <w:rFonts w:eastAsia="Arial" w:cs="Arial"/>
                <w:bCs/>
                <w:sz w:val="20"/>
                <w:lang w:eastAsia="en-US"/>
              </w:rPr>
              <w:t xml:space="preserve">Planning Practice Guidance: Renewable and low carbon energy as </w:t>
            </w:r>
            <w:r w:rsidR="009D1815" w:rsidRPr="00D810CA">
              <w:rPr>
                <w:rFonts w:eastAsia="Arial" w:cs="Arial"/>
                <w:bCs/>
                <w:sz w:val="20"/>
                <w:lang w:eastAsia="en-US"/>
              </w:rPr>
              <w:t>of</w:t>
            </w:r>
            <w:r w:rsidRPr="00D810CA">
              <w:rPr>
                <w:rFonts w:eastAsia="Arial" w:cs="Arial"/>
                <w:bCs/>
                <w:sz w:val="20"/>
                <w:lang w:eastAsia="en-US"/>
              </w:rPr>
              <w:t xml:space="preserve"> </w:t>
            </w:r>
            <w:r w:rsidR="00D022BB" w:rsidRPr="00D810CA">
              <w:rPr>
                <w:rFonts w:eastAsia="Arial" w:cs="Arial"/>
                <w:bCs/>
                <w:sz w:val="20"/>
                <w:lang w:eastAsia="en-US"/>
              </w:rPr>
              <w:t>June 2015</w:t>
            </w:r>
            <w:r w:rsidRPr="00D810CA">
              <w:rPr>
                <w:rFonts w:eastAsia="Arial" w:cs="Arial"/>
                <w:bCs/>
                <w:sz w:val="20"/>
                <w:lang w:eastAsia="en-US"/>
              </w:rPr>
              <w:t>.</w:t>
            </w:r>
          </w:p>
          <w:p w14:paraId="78A10F97" w14:textId="50770D3B" w:rsidR="00442F74" w:rsidRPr="003C7E62" w:rsidRDefault="00442F74" w:rsidP="00874A98">
            <w:pPr>
              <w:keepNext w:val="0"/>
              <w:numPr>
                <w:ilvl w:val="0"/>
                <w:numId w:val="119"/>
              </w:numPr>
              <w:tabs>
                <w:tab w:val="left" w:pos="680"/>
                <w:tab w:val="left" w:pos="1133"/>
                <w:tab w:val="left" w:pos="2267"/>
              </w:tabs>
              <w:spacing w:before="0" w:after="160" w:line="252" w:lineRule="auto"/>
              <w:ind w:right="284"/>
              <w:contextualSpacing/>
              <w:rPr>
                <w:rFonts w:eastAsia="Arial" w:cs="Arial"/>
                <w:bCs/>
                <w:color w:val="auto"/>
                <w:sz w:val="20"/>
                <w:lang w:eastAsia="en-US"/>
              </w:rPr>
            </w:pPr>
            <w:r w:rsidRPr="00D810CA">
              <w:rPr>
                <w:rFonts w:cs="Arial"/>
                <w:sz w:val="20"/>
              </w:rPr>
              <w:t>Natural England’s Green Infrastructure Framework – Principles and Standards for England 2022</w:t>
            </w:r>
            <w:r w:rsidR="00B80DEC" w:rsidRPr="00D810CA">
              <w:rPr>
                <w:rFonts w:cs="Arial"/>
                <w:sz w:val="20"/>
              </w:rPr>
              <w:t>.</w:t>
            </w:r>
          </w:p>
        </w:tc>
      </w:tr>
    </w:tbl>
    <w:p w14:paraId="10239890" w14:textId="77777777" w:rsidR="00EA0392" w:rsidRPr="000339D2" w:rsidRDefault="00EA0392" w:rsidP="00EA0392">
      <w:pPr>
        <w:keepNext w:val="0"/>
        <w:autoSpaceDE w:val="0"/>
        <w:autoSpaceDN w:val="0"/>
        <w:adjustRightInd w:val="0"/>
        <w:spacing w:before="0"/>
        <w:rPr>
          <w:rFonts w:eastAsia="Arial" w:cs="Arial"/>
          <w:b/>
        </w:rPr>
      </w:pPr>
    </w:p>
    <w:p w14:paraId="40A07E5D" w14:textId="77777777" w:rsidR="00EA0392" w:rsidRPr="000339D2" w:rsidRDefault="00EA0392" w:rsidP="00EA0392">
      <w:pPr>
        <w:keepNext w:val="0"/>
        <w:autoSpaceDE w:val="0"/>
        <w:autoSpaceDN w:val="0"/>
        <w:adjustRightInd w:val="0"/>
        <w:spacing w:before="0" w:after="120"/>
        <w:rPr>
          <w:rFonts w:eastAsia="Arial" w:cs="Arial"/>
          <w:b/>
          <w:szCs w:val="24"/>
        </w:rPr>
      </w:pPr>
    </w:p>
    <w:p w14:paraId="681C9C82" w14:textId="77777777" w:rsidR="00EA0392" w:rsidRPr="003C7E62" w:rsidRDefault="00EA0392" w:rsidP="004575AD">
      <w:pPr>
        <w:keepNext w:val="0"/>
        <w:autoSpaceDE w:val="0"/>
        <w:autoSpaceDN w:val="0"/>
        <w:adjustRightInd w:val="0"/>
        <w:spacing w:before="0" w:after="120"/>
        <w:ind w:left="709"/>
        <w:rPr>
          <w:rFonts w:eastAsia="Arial" w:cs="Arial"/>
          <w:color w:val="auto"/>
          <w:szCs w:val="24"/>
        </w:rPr>
      </w:pPr>
      <w:r w:rsidRPr="003C7E62">
        <w:rPr>
          <w:rFonts w:eastAsia="Arial" w:cs="Arial"/>
          <w:b/>
          <w:color w:val="auto"/>
          <w:szCs w:val="24"/>
        </w:rPr>
        <w:t>Zero and Low Carbon Developments</w:t>
      </w:r>
    </w:p>
    <w:bookmarkEnd w:id="140"/>
    <w:p w14:paraId="7F31C7FC" w14:textId="2695BFEC" w:rsidR="00916E25" w:rsidRPr="003C7E62" w:rsidRDefault="00916E25" w:rsidP="00916E25">
      <w:pPr>
        <w:keepNext w:val="0"/>
        <w:numPr>
          <w:ilvl w:val="1"/>
          <w:numId w:val="3"/>
        </w:numPr>
        <w:tabs>
          <w:tab w:val="clear" w:pos="525"/>
        </w:tabs>
        <w:spacing w:before="0"/>
        <w:ind w:left="709" w:hanging="709"/>
        <w:rPr>
          <w:rFonts w:cs="Arial"/>
          <w:color w:val="auto"/>
          <w:szCs w:val="24"/>
          <w:lang w:eastAsia="en-US"/>
        </w:rPr>
      </w:pPr>
      <w:r w:rsidRPr="003C7E62">
        <w:rPr>
          <w:rFonts w:cs="Arial"/>
          <w:color w:val="auto"/>
          <w:szCs w:val="24"/>
          <w:lang w:eastAsia="en-US"/>
        </w:rPr>
        <w:t>There are six main greenhouse gases (GHGs) as set out in the Kyoto protocol:</w:t>
      </w:r>
    </w:p>
    <w:p w14:paraId="395B6AC0" w14:textId="7A66B94A" w:rsidR="00916E25" w:rsidRPr="003C7E62" w:rsidRDefault="00916E25" w:rsidP="00916E25">
      <w:pPr>
        <w:keepNext w:val="0"/>
        <w:spacing w:before="0"/>
        <w:ind w:left="709"/>
        <w:rPr>
          <w:rFonts w:cs="Arial"/>
          <w:color w:val="auto"/>
          <w:szCs w:val="24"/>
          <w:lang w:eastAsia="en-US"/>
        </w:rPr>
      </w:pPr>
      <w:r w:rsidRPr="003C7E62">
        <w:rPr>
          <w:rFonts w:cs="Arial"/>
          <w:color w:val="auto"/>
          <w:szCs w:val="24"/>
          <w:lang w:eastAsia="en-US"/>
        </w:rPr>
        <w:t>Carbon Dioxide, Methane, Nitrous Oxide, Hydrofluorocarbons, Perfluorocarbons, and Sulphur Hexafluoride.  GHGs emissions are converted into CO</w:t>
      </w:r>
      <w:r w:rsidRPr="003C7E62">
        <w:rPr>
          <w:rFonts w:cs="Arial"/>
          <w:color w:val="auto"/>
          <w:szCs w:val="24"/>
          <w:vertAlign w:val="subscript"/>
          <w:lang w:eastAsia="en-US"/>
        </w:rPr>
        <w:t>2</w:t>
      </w:r>
      <w:r w:rsidRPr="003C7E62">
        <w:rPr>
          <w:rFonts w:cs="Arial"/>
          <w:color w:val="auto"/>
          <w:szCs w:val="24"/>
          <w:lang w:eastAsia="en-US"/>
        </w:rPr>
        <w:t xml:space="preserve"> and referred to as ‘Carbon Emissions’.</w:t>
      </w:r>
    </w:p>
    <w:p w14:paraId="404F4D46" w14:textId="77777777" w:rsidR="00916E25" w:rsidRPr="003C7E62" w:rsidRDefault="00916E25" w:rsidP="00916E25">
      <w:pPr>
        <w:keepNext w:val="0"/>
        <w:spacing w:before="0"/>
        <w:ind w:left="709"/>
        <w:rPr>
          <w:rFonts w:cs="Arial"/>
          <w:color w:val="auto"/>
          <w:szCs w:val="24"/>
          <w:lang w:eastAsia="en-US"/>
        </w:rPr>
      </w:pPr>
    </w:p>
    <w:p w14:paraId="69637707" w14:textId="1718C24A" w:rsidR="009645A1" w:rsidRPr="003C7E62" w:rsidRDefault="00DE2722" w:rsidP="009645A1">
      <w:pPr>
        <w:keepNext w:val="0"/>
        <w:numPr>
          <w:ilvl w:val="1"/>
          <w:numId w:val="3"/>
        </w:numPr>
        <w:tabs>
          <w:tab w:val="clear" w:pos="525"/>
        </w:tabs>
        <w:spacing w:before="0"/>
        <w:ind w:left="709" w:hanging="709"/>
        <w:rPr>
          <w:rFonts w:cs="Arial"/>
          <w:color w:val="auto"/>
          <w:szCs w:val="24"/>
          <w:lang w:eastAsia="en-US"/>
        </w:rPr>
      </w:pPr>
      <w:r w:rsidRPr="003C7E62">
        <w:rPr>
          <w:rFonts w:eastAsia="Calibri" w:cs="Arial"/>
          <w:color w:val="auto"/>
          <w:szCs w:val="24"/>
          <w:lang w:eastAsia="en-US"/>
        </w:rPr>
        <w:t xml:space="preserve">It is widely acknowledged that climate change is occurring across the planet, and one of the primary causes of this relates to the amount of carbon dioxide being released into the atmosphere. </w:t>
      </w:r>
      <w:bookmarkStart w:id="143" w:name="_Hlk77760830"/>
      <w:r w:rsidRPr="003C7E62">
        <w:rPr>
          <w:rFonts w:eastAsia="Calibri" w:cs="Arial"/>
          <w:color w:val="auto"/>
          <w:szCs w:val="24"/>
          <w:lang w:eastAsia="en-US"/>
        </w:rPr>
        <w:t xml:space="preserve">As a result, the Government has committed to reducing the country’s carbon dioxide emissions by 100% of 1990 levels by 2050, as set out in the Climate Change Act 2008. On the 4th December 2020 the Government’s stated target was to achieve a reduction of 68% in greenhouse gas emissions from the 1990 baseline by 2030.  </w:t>
      </w:r>
      <w:bookmarkEnd w:id="143"/>
    </w:p>
    <w:p w14:paraId="79A0B758" w14:textId="77777777" w:rsidR="009645A1" w:rsidRPr="003C7E62" w:rsidRDefault="009645A1" w:rsidP="009645A1">
      <w:pPr>
        <w:keepNext w:val="0"/>
        <w:spacing w:before="0"/>
        <w:ind w:left="709"/>
        <w:rPr>
          <w:rFonts w:cs="Arial"/>
          <w:color w:val="auto"/>
          <w:szCs w:val="24"/>
          <w:lang w:eastAsia="en-US"/>
        </w:rPr>
      </w:pPr>
    </w:p>
    <w:p w14:paraId="38B39908" w14:textId="115E54F4" w:rsidR="009645A1" w:rsidRPr="003C7E62" w:rsidRDefault="00DE2722" w:rsidP="009645A1">
      <w:pPr>
        <w:keepNext w:val="0"/>
        <w:numPr>
          <w:ilvl w:val="1"/>
          <w:numId w:val="3"/>
        </w:numPr>
        <w:tabs>
          <w:tab w:val="clear" w:pos="525"/>
        </w:tabs>
        <w:spacing w:before="0"/>
        <w:ind w:left="709" w:hanging="709"/>
        <w:rPr>
          <w:rFonts w:cs="Arial"/>
          <w:color w:val="auto"/>
          <w:szCs w:val="24"/>
          <w:lang w:eastAsia="en-US"/>
        </w:rPr>
      </w:pPr>
      <w:r w:rsidRPr="003C7E62">
        <w:rPr>
          <w:rFonts w:eastAsia="Calibri" w:cs="Arial"/>
          <w:color w:val="auto"/>
          <w:szCs w:val="24"/>
          <w:lang w:eastAsia="en-US"/>
        </w:rPr>
        <w:t xml:space="preserve">In order to help achieve this target, the Government has implemented a number of initiatives and regulations aimed at the development industry and property owners to enhance the energy efficiency / carbon emissions of new and existing properties. </w:t>
      </w:r>
      <w:bookmarkStart w:id="144" w:name="_Hlk77760870"/>
      <w:r w:rsidRPr="003C7E62">
        <w:rPr>
          <w:rFonts w:eastAsia="Calibri" w:cs="Arial"/>
          <w:color w:val="auto"/>
          <w:szCs w:val="24"/>
          <w:lang w:eastAsia="en-US"/>
        </w:rPr>
        <w:t>The Government has announced that by 2025, the Future Homes Standard will deliver homes that are zero-carbon ready to be delivered through the Building Regulations.</w:t>
      </w:r>
      <w:bookmarkEnd w:id="144"/>
    </w:p>
    <w:p w14:paraId="5D0289D7" w14:textId="77777777" w:rsidR="009645A1" w:rsidRPr="003C7E62" w:rsidRDefault="009645A1" w:rsidP="009645A1">
      <w:pPr>
        <w:pStyle w:val="ListParagraph"/>
        <w:spacing w:after="0" w:line="240" w:lineRule="auto"/>
        <w:rPr>
          <w:rFonts w:ascii="Arial" w:eastAsia="Calibri" w:hAnsi="Arial" w:cs="Arial"/>
          <w:color w:val="auto"/>
          <w:szCs w:val="24"/>
        </w:rPr>
      </w:pPr>
    </w:p>
    <w:p w14:paraId="51775CBF" w14:textId="514E315F" w:rsidR="009645A1" w:rsidRPr="003C7E62" w:rsidRDefault="00DE2722" w:rsidP="009645A1">
      <w:pPr>
        <w:keepNext w:val="0"/>
        <w:numPr>
          <w:ilvl w:val="1"/>
          <w:numId w:val="3"/>
        </w:numPr>
        <w:tabs>
          <w:tab w:val="clear" w:pos="525"/>
        </w:tabs>
        <w:spacing w:before="0"/>
        <w:ind w:left="709" w:hanging="709"/>
        <w:rPr>
          <w:rFonts w:cs="Arial"/>
          <w:color w:val="auto"/>
          <w:szCs w:val="24"/>
          <w:lang w:eastAsia="en-US"/>
        </w:rPr>
      </w:pPr>
      <w:r w:rsidRPr="003C7E62">
        <w:rPr>
          <w:rFonts w:eastAsia="Calibri" w:cs="Arial"/>
          <w:color w:val="auto"/>
          <w:szCs w:val="24"/>
          <w:lang w:eastAsia="en-US"/>
        </w:rPr>
        <w:t xml:space="preserve">Creating low and zero carbon developments </w:t>
      </w:r>
      <w:r w:rsidR="00725FBA" w:rsidRPr="003C7E62">
        <w:rPr>
          <w:rFonts w:eastAsia="Calibri" w:cs="Arial"/>
          <w:color w:val="auto"/>
          <w:szCs w:val="24"/>
          <w:lang w:eastAsia="en-US"/>
        </w:rPr>
        <w:t>has</w:t>
      </w:r>
      <w:r w:rsidRPr="003C7E62">
        <w:rPr>
          <w:rFonts w:eastAsia="Calibri" w:cs="Arial"/>
          <w:color w:val="auto"/>
          <w:szCs w:val="24"/>
          <w:lang w:eastAsia="en-US"/>
        </w:rPr>
        <w:t xml:space="preserve"> a key role in helping to achieve these carbon reduction commitments and the Council is committed to ensuring all new developments are as low carbon as possible. The Council acknowledges that Building Regulations should be the primary means of introducing and enforcing carbon reductions, but considers development </w:t>
      </w:r>
      <w:r w:rsidRPr="003C7E62">
        <w:rPr>
          <w:rFonts w:cs="Arial"/>
          <w:color w:val="auto"/>
        </w:rPr>
        <w:t>should</w:t>
      </w:r>
      <w:r w:rsidR="00725FBA" w:rsidRPr="003C7E62">
        <w:rPr>
          <w:rFonts w:cs="Arial"/>
          <w:color w:val="auto"/>
        </w:rPr>
        <w:t>,</w:t>
      </w:r>
      <w:r w:rsidRPr="003C7E62">
        <w:rPr>
          <w:rFonts w:cs="Arial"/>
          <w:color w:val="auto"/>
        </w:rPr>
        <w:t xml:space="preserve"> </w:t>
      </w:r>
      <w:r w:rsidR="00725FBA" w:rsidRPr="003C7E62">
        <w:rPr>
          <w:rFonts w:cs="Arial"/>
          <w:color w:val="auto"/>
        </w:rPr>
        <w:t xml:space="preserve">wherever possible, </w:t>
      </w:r>
      <w:r w:rsidRPr="003C7E62">
        <w:rPr>
          <w:rFonts w:cs="Arial"/>
          <w:color w:val="auto"/>
        </w:rPr>
        <w:t>apply carbon and energy reduction</w:t>
      </w:r>
      <w:r w:rsidRPr="003C7E62">
        <w:rPr>
          <w:rFonts w:eastAsia="Calibri" w:cs="Arial"/>
          <w:color w:val="auto"/>
          <w:szCs w:val="24"/>
          <w:lang w:eastAsia="en-US"/>
        </w:rPr>
        <w:t xml:space="preserve"> measure</w:t>
      </w:r>
      <w:r w:rsidR="007A3B9F">
        <w:rPr>
          <w:rFonts w:eastAsia="Calibri" w:cs="Arial"/>
          <w:color w:val="auto"/>
          <w:szCs w:val="24"/>
          <w:lang w:eastAsia="en-US"/>
        </w:rPr>
        <w:t>s</w:t>
      </w:r>
      <w:r w:rsidRPr="003C7E62">
        <w:rPr>
          <w:rFonts w:eastAsia="Calibri" w:cs="Arial"/>
          <w:color w:val="auto"/>
          <w:szCs w:val="24"/>
          <w:lang w:eastAsia="en-US"/>
        </w:rPr>
        <w:t xml:space="preserve"> beyond the Building Regulations. </w:t>
      </w:r>
      <w:r w:rsidR="00725FBA" w:rsidRPr="003C7E62">
        <w:rPr>
          <w:rFonts w:eastAsia="Calibri" w:cs="Arial"/>
          <w:color w:val="auto"/>
          <w:szCs w:val="24"/>
          <w:lang w:eastAsia="en-US"/>
        </w:rPr>
        <w:t>L</w:t>
      </w:r>
      <w:r w:rsidRPr="003C7E62">
        <w:rPr>
          <w:rFonts w:eastAsia="Calibri" w:cs="Arial"/>
          <w:color w:val="auto"/>
          <w:szCs w:val="24"/>
          <w:lang w:eastAsia="en-US"/>
        </w:rPr>
        <w:t xml:space="preserve">ow carbon developments will not only have environmental benefits but will lead </w:t>
      </w:r>
      <w:r w:rsidR="007A3B9F">
        <w:rPr>
          <w:rFonts w:eastAsia="Calibri" w:cs="Arial"/>
          <w:color w:val="auto"/>
          <w:szCs w:val="24"/>
          <w:lang w:eastAsia="en-US"/>
        </w:rPr>
        <w:t xml:space="preserve">to </w:t>
      </w:r>
      <w:r w:rsidRPr="003C7E62">
        <w:rPr>
          <w:rFonts w:eastAsia="Calibri" w:cs="Arial"/>
          <w:color w:val="auto"/>
          <w:szCs w:val="24"/>
          <w:lang w:eastAsia="en-US"/>
        </w:rPr>
        <w:t xml:space="preserve">longer term financial savings for the owners/occupants via lower energy requirements. </w:t>
      </w:r>
    </w:p>
    <w:p w14:paraId="6B2DF363" w14:textId="77777777" w:rsidR="009645A1" w:rsidRPr="003C7E62" w:rsidRDefault="009645A1" w:rsidP="009645A1">
      <w:pPr>
        <w:pStyle w:val="ListParagraph"/>
        <w:spacing w:after="0" w:line="240" w:lineRule="auto"/>
        <w:rPr>
          <w:rFonts w:ascii="Arial" w:eastAsia="Calibri" w:hAnsi="Arial" w:cs="Arial"/>
          <w:color w:val="auto"/>
          <w:szCs w:val="24"/>
        </w:rPr>
      </w:pPr>
    </w:p>
    <w:p w14:paraId="6D2DD77A" w14:textId="00C7090E" w:rsidR="003F182E" w:rsidRPr="008A6027" w:rsidRDefault="00DE2722" w:rsidP="008A6027">
      <w:pPr>
        <w:keepNext w:val="0"/>
        <w:numPr>
          <w:ilvl w:val="1"/>
          <w:numId w:val="3"/>
        </w:numPr>
        <w:tabs>
          <w:tab w:val="clear" w:pos="525"/>
        </w:tabs>
        <w:spacing w:before="0"/>
        <w:ind w:left="709" w:hanging="709"/>
        <w:rPr>
          <w:rFonts w:cs="Arial"/>
          <w:color w:val="0070C0"/>
          <w:szCs w:val="24"/>
          <w:lang w:eastAsia="en-US"/>
        </w:rPr>
      </w:pPr>
      <w:r w:rsidRPr="003C7E62">
        <w:rPr>
          <w:rFonts w:eastAsia="Calibri" w:cs="Arial"/>
          <w:color w:val="auto"/>
          <w:szCs w:val="24"/>
          <w:lang w:eastAsia="en-US"/>
        </w:rPr>
        <w:t xml:space="preserve">In designing their schemes, the Council will expect designers to appropriately utilise the assets of a particular site such as landform, orientation and landscape features, coupled with a development layout that utilises building orientation, massing and landscaping to help </w:t>
      </w:r>
      <w:r w:rsidRPr="00D810CA">
        <w:rPr>
          <w:rFonts w:eastAsia="Calibri" w:cs="Arial"/>
          <w:szCs w:val="24"/>
          <w:lang w:eastAsia="en-US"/>
        </w:rPr>
        <w:t xml:space="preserve">reduce energy consumption, utilise solar gain and resilience to temperature increases. </w:t>
      </w:r>
      <w:r w:rsidR="008A6027" w:rsidRPr="00D810CA">
        <w:rPr>
          <w:rFonts w:eastAsia="Calibri" w:cs="Arial"/>
          <w:szCs w:val="24"/>
          <w:lang w:eastAsia="en-US"/>
        </w:rPr>
        <w:t>Designers will be expected to address sites in a holistic way, without reference to notional factors such as land ownerships within the site, to ensure that climate factors are considered across the site and development is configured accordingly.</w:t>
      </w:r>
      <w:r w:rsidR="008A6027" w:rsidRPr="00D810CA">
        <w:rPr>
          <w:rFonts w:cs="Arial"/>
          <w:szCs w:val="24"/>
          <w:lang w:eastAsia="en-US"/>
        </w:rPr>
        <w:t xml:space="preserve"> </w:t>
      </w:r>
      <w:r w:rsidRPr="00D810CA">
        <w:rPr>
          <w:rFonts w:eastAsia="Calibri" w:cs="Arial"/>
          <w:szCs w:val="24"/>
          <w:lang w:eastAsia="en-US"/>
        </w:rPr>
        <w:t xml:space="preserve">Consideration </w:t>
      </w:r>
      <w:r w:rsidRPr="008A6027">
        <w:rPr>
          <w:rFonts w:eastAsia="Calibri" w:cs="Arial"/>
          <w:color w:val="auto"/>
          <w:szCs w:val="24"/>
          <w:lang w:eastAsia="en-US"/>
        </w:rPr>
        <w:t xml:space="preserve">should also be given to a development’s ability to retrofit renewable and decentralised energy technologies. It is important that buildings are designed and laid out in a way that enables occupants to install such technologies in the future. In seeking to achieve low and zero carbon buildings, the Council will support the use of innovative materials and building designs where it can demonstrate that they actively contribute to achieving the desired carbon reductions. </w:t>
      </w:r>
      <w:bookmarkStart w:id="145" w:name="_Hlk77760933"/>
    </w:p>
    <w:p w14:paraId="12B05CC8" w14:textId="77777777" w:rsidR="003F182E" w:rsidRDefault="003F182E" w:rsidP="003F182E">
      <w:pPr>
        <w:pStyle w:val="ListParagraph"/>
        <w:spacing w:after="0" w:line="240" w:lineRule="auto"/>
        <w:rPr>
          <w:rFonts w:cs="Arial"/>
          <w:color w:val="auto"/>
          <w:szCs w:val="24"/>
        </w:rPr>
      </w:pPr>
    </w:p>
    <w:p w14:paraId="3AEA0502" w14:textId="6D38CCCA" w:rsidR="00A20D05" w:rsidRPr="003F182E" w:rsidRDefault="003F182E" w:rsidP="003F182E">
      <w:pPr>
        <w:keepNext w:val="0"/>
        <w:numPr>
          <w:ilvl w:val="1"/>
          <w:numId w:val="3"/>
        </w:numPr>
        <w:tabs>
          <w:tab w:val="clear" w:pos="525"/>
        </w:tabs>
        <w:spacing w:before="0"/>
        <w:ind w:left="709" w:hanging="709"/>
        <w:rPr>
          <w:rFonts w:cs="Arial"/>
          <w:color w:val="auto"/>
          <w:szCs w:val="24"/>
          <w:lang w:eastAsia="en-US"/>
        </w:rPr>
      </w:pPr>
      <w:bookmarkStart w:id="146" w:name="_Hlk79774822"/>
      <w:r w:rsidRPr="003F182E">
        <w:rPr>
          <w:rFonts w:cs="Arial"/>
          <w:color w:val="auto"/>
          <w:szCs w:val="24"/>
          <w:lang w:eastAsia="en-US"/>
        </w:rPr>
        <w:t>Ashfield mining heritage provides opportunities for the utilisation of mine water as a heat source.  Mine water is typically at a temperature around 12 and 20°C, with little to no seasonal variation. Therefore, it is a potential source of low carbon heating or cooling for heat networks using wate</w:t>
      </w:r>
      <w:r w:rsidR="009904E0">
        <w:rPr>
          <w:rFonts w:cs="Arial"/>
          <w:color w:val="auto"/>
          <w:szCs w:val="24"/>
          <w:lang w:eastAsia="en-US"/>
        </w:rPr>
        <w:t>r</w:t>
      </w:r>
      <w:r w:rsidRPr="003F182E">
        <w:rPr>
          <w:rFonts w:cs="Arial"/>
          <w:color w:val="auto"/>
          <w:szCs w:val="24"/>
          <w:lang w:eastAsia="en-US"/>
        </w:rPr>
        <w:t xml:space="preserve"> source heat pumps. The Council will work with the Coal Authority and developers to maximise the potential for renewable heat from mine water. </w:t>
      </w:r>
    </w:p>
    <w:p w14:paraId="3A19CCB7" w14:textId="77777777" w:rsidR="009645A1" w:rsidRPr="003C7E62" w:rsidRDefault="009645A1" w:rsidP="009645A1">
      <w:pPr>
        <w:pStyle w:val="ListParagraph"/>
        <w:spacing w:after="0" w:line="240" w:lineRule="auto"/>
        <w:rPr>
          <w:rFonts w:ascii="Arial" w:eastAsia="Calibri" w:hAnsi="Arial" w:cs="Arial"/>
          <w:color w:val="auto"/>
          <w:szCs w:val="24"/>
        </w:rPr>
      </w:pPr>
    </w:p>
    <w:bookmarkEnd w:id="146"/>
    <w:p w14:paraId="570B18FA" w14:textId="7079B400" w:rsidR="009645A1" w:rsidRPr="003C7E62" w:rsidRDefault="00DE2722" w:rsidP="009645A1">
      <w:pPr>
        <w:keepNext w:val="0"/>
        <w:numPr>
          <w:ilvl w:val="1"/>
          <w:numId w:val="3"/>
        </w:numPr>
        <w:tabs>
          <w:tab w:val="clear" w:pos="525"/>
        </w:tabs>
        <w:spacing w:before="0"/>
        <w:ind w:left="709" w:hanging="709"/>
        <w:rPr>
          <w:rFonts w:cs="Arial"/>
          <w:color w:val="auto"/>
          <w:szCs w:val="24"/>
          <w:lang w:eastAsia="en-US"/>
        </w:rPr>
      </w:pPr>
      <w:r w:rsidRPr="003C7E62">
        <w:rPr>
          <w:rFonts w:eastAsia="Calibri" w:cs="Arial"/>
          <w:color w:val="auto"/>
          <w:szCs w:val="24"/>
          <w:lang w:eastAsia="en-US"/>
        </w:rPr>
        <w:t xml:space="preserve">Adaption for climate change will require lifestyle and behavioural change.  The Policy requires development to encourage sustainable lifestyles.  For example, layout should minimise the use of the private car and prioritise safe and attractive routes that benefits pedestrians and cyclists.  Street design, which, is pedestrian, and cycle friendly as opposed to just routes for vehicles to pass through. The Government has announced the phasing out of petrol and diesel cars by 2030 with the likelihood that electric vehicles would become the norm over the </w:t>
      </w:r>
      <w:r w:rsidR="00EA4F09">
        <w:rPr>
          <w:rFonts w:eastAsia="Calibri" w:cs="Arial"/>
          <w:color w:val="auto"/>
          <w:szCs w:val="24"/>
          <w:lang w:eastAsia="en-US"/>
        </w:rPr>
        <w:t>P</w:t>
      </w:r>
      <w:r w:rsidRPr="003C7E62">
        <w:rPr>
          <w:rFonts w:eastAsia="Calibri" w:cs="Arial"/>
          <w:color w:val="auto"/>
          <w:szCs w:val="24"/>
          <w:lang w:eastAsia="en-US"/>
        </w:rPr>
        <w:t xml:space="preserve">lan period.  This places an emphasis on electric vehicle charging points in new homes.     </w:t>
      </w:r>
      <w:bookmarkEnd w:id="145"/>
    </w:p>
    <w:p w14:paraId="5FCA0D27" w14:textId="77777777" w:rsidR="009645A1" w:rsidRPr="003C7E62" w:rsidRDefault="009645A1" w:rsidP="009645A1">
      <w:pPr>
        <w:pStyle w:val="ListParagraph"/>
        <w:spacing w:after="0" w:line="240" w:lineRule="auto"/>
        <w:rPr>
          <w:rFonts w:ascii="Arial" w:eastAsia="Calibri" w:hAnsi="Arial" w:cs="Arial"/>
          <w:color w:val="auto"/>
          <w:szCs w:val="24"/>
        </w:rPr>
      </w:pPr>
    </w:p>
    <w:p w14:paraId="5914C6C2" w14:textId="77777777" w:rsidR="009645A1" w:rsidRPr="003C7E62" w:rsidRDefault="00DE2722" w:rsidP="009645A1">
      <w:pPr>
        <w:keepNext w:val="0"/>
        <w:numPr>
          <w:ilvl w:val="1"/>
          <w:numId w:val="3"/>
        </w:numPr>
        <w:tabs>
          <w:tab w:val="clear" w:pos="525"/>
        </w:tabs>
        <w:spacing w:before="0"/>
        <w:ind w:left="709" w:hanging="709"/>
        <w:rPr>
          <w:rFonts w:cs="Arial"/>
          <w:color w:val="auto"/>
          <w:szCs w:val="24"/>
          <w:lang w:eastAsia="en-US"/>
        </w:rPr>
      </w:pPr>
      <w:r w:rsidRPr="003C7E62">
        <w:rPr>
          <w:rFonts w:eastAsia="Calibri" w:cs="Arial"/>
          <w:color w:val="auto"/>
          <w:szCs w:val="24"/>
          <w:lang w:eastAsia="en-US"/>
        </w:rPr>
        <w:t>The Council fully supports developments that actively pursue the creation of highly efficient, zero carbon developments via recognised standards such PassivHaus and BREEAM Excellent or Outstanding. Developments that strive to achieve such sustainable design excellence will be acknowledged by the Council, with a presumption in favour of development.</w:t>
      </w:r>
    </w:p>
    <w:p w14:paraId="7E0A56CA" w14:textId="77777777" w:rsidR="009645A1" w:rsidRPr="0079686C" w:rsidRDefault="009645A1" w:rsidP="009645A1">
      <w:pPr>
        <w:keepNext w:val="0"/>
        <w:tabs>
          <w:tab w:val="left" w:pos="680"/>
        </w:tabs>
        <w:spacing w:before="0"/>
        <w:ind w:left="680"/>
        <w:rPr>
          <w:rFonts w:eastAsia="Arial" w:cs="Arial"/>
          <w:b/>
          <w:color w:val="auto"/>
          <w:szCs w:val="24"/>
        </w:rPr>
      </w:pPr>
    </w:p>
    <w:p w14:paraId="42F44C9A" w14:textId="77777777" w:rsidR="005334C0" w:rsidRDefault="005334C0">
      <w:pPr>
        <w:keepNext w:val="0"/>
        <w:spacing w:before="0"/>
        <w:rPr>
          <w:rFonts w:eastAsia="Arial" w:cs="Arial"/>
          <w:b/>
          <w:color w:val="auto"/>
          <w:szCs w:val="24"/>
        </w:rPr>
      </w:pPr>
      <w:r>
        <w:rPr>
          <w:rFonts w:eastAsia="Arial" w:cs="Arial"/>
          <w:b/>
          <w:color w:val="auto"/>
          <w:szCs w:val="24"/>
        </w:rPr>
        <w:br w:type="page"/>
      </w:r>
    </w:p>
    <w:p w14:paraId="022CE35B" w14:textId="6AEDE197" w:rsidR="009645A1" w:rsidRDefault="009645A1" w:rsidP="005D0346">
      <w:pPr>
        <w:keepNext w:val="0"/>
        <w:tabs>
          <w:tab w:val="left" w:pos="680"/>
        </w:tabs>
        <w:spacing w:before="0"/>
        <w:ind w:left="680"/>
        <w:rPr>
          <w:rFonts w:eastAsia="Arial" w:cs="Arial"/>
          <w:b/>
          <w:color w:val="auto"/>
          <w:szCs w:val="24"/>
        </w:rPr>
      </w:pPr>
      <w:r w:rsidRPr="003C7E62">
        <w:rPr>
          <w:rFonts w:eastAsia="Arial" w:cs="Arial"/>
          <w:b/>
          <w:color w:val="auto"/>
          <w:szCs w:val="24"/>
        </w:rPr>
        <w:t>Decentralised, Renewable and Low Carbon Energy Generation</w:t>
      </w:r>
    </w:p>
    <w:p w14:paraId="5B680441" w14:textId="77777777" w:rsidR="005334C0" w:rsidRDefault="005334C0" w:rsidP="005D0346">
      <w:pPr>
        <w:keepNext w:val="0"/>
        <w:tabs>
          <w:tab w:val="left" w:pos="680"/>
        </w:tabs>
        <w:spacing w:before="0"/>
        <w:ind w:left="680"/>
        <w:rPr>
          <w:rFonts w:eastAsia="Arial" w:cs="Arial"/>
          <w:b/>
          <w:color w:val="auto"/>
          <w:szCs w:val="24"/>
        </w:rPr>
      </w:pPr>
    </w:p>
    <w:p w14:paraId="04C0F11D" w14:textId="07FB5FB6" w:rsidR="009645A1" w:rsidRPr="003C7E62" w:rsidRDefault="00DE2722" w:rsidP="005D0346">
      <w:pPr>
        <w:keepNext w:val="0"/>
        <w:numPr>
          <w:ilvl w:val="1"/>
          <w:numId w:val="3"/>
        </w:numPr>
        <w:tabs>
          <w:tab w:val="clear" w:pos="525"/>
        </w:tabs>
        <w:spacing w:before="0"/>
        <w:ind w:left="709" w:hanging="709"/>
        <w:rPr>
          <w:rFonts w:cs="Arial"/>
          <w:color w:val="auto"/>
          <w:szCs w:val="24"/>
          <w:lang w:eastAsia="en-US"/>
        </w:rPr>
      </w:pPr>
      <w:r w:rsidRPr="003C7E62">
        <w:rPr>
          <w:rFonts w:eastAsia="Arial" w:cs="Arial"/>
          <w:color w:val="auto"/>
          <w:szCs w:val="24"/>
        </w:rPr>
        <w:t xml:space="preserve">It is widely acknowledged that tackling the challenges posed by climate change will necessitate a radical increase in the proportion of energy generated from renewable sources. </w:t>
      </w:r>
      <w:r w:rsidRPr="003C7E62">
        <w:rPr>
          <w:rFonts w:eastAsia="Calibri" w:cs="Arial"/>
          <w:color w:val="auto"/>
          <w:szCs w:val="24"/>
          <w:lang w:eastAsia="en-US"/>
        </w:rPr>
        <w:t>Whilst the country’s carbon reduction commitments are one driver of this change, the increasing cost of centralised and fossil fuel derived energy is also influencing the growth in decentralised, renewable and low carbon energy sourcing for commercial and domestic users.</w:t>
      </w:r>
      <w:r w:rsidR="009645A1" w:rsidRPr="003C7E62">
        <w:rPr>
          <w:rFonts w:eastAsia="Calibri" w:cs="Arial"/>
          <w:color w:val="auto"/>
          <w:szCs w:val="24"/>
          <w:lang w:eastAsia="en-US"/>
        </w:rPr>
        <w:t xml:space="preserve">  </w:t>
      </w:r>
    </w:p>
    <w:p w14:paraId="78EE9410" w14:textId="77777777" w:rsidR="009645A1" w:rsidRPr="003C7E62" w:rsidRDefault="009645A1" w:rsidP="009645A1">
      <w:pPr>
        <w:pStyle w:val="ListParagraph"/>
        <w:spacing w:after="0" w:line="240" w:lineRule="auto"/>
        <w:rPr>
          <w:rFonts w:ascii="Arial" w:eastAsia="Calibri" w:hAnsi="Arial" w:cs="Arial"/>
          <w:color w:val="auto"/>
          <w:szCs w:val="24"/>
        </w:rPr>
      </w:pPr>
    </w:p>
    <w:p w14:paraId="2214B700" w14:textId="0DD0BC82" w:rsidR="009645A1" w:rsidRPr="003C7E62" w:rsidRDefault="00DE2722" w:rsidP="009645A1">
      <w:pPr>
        <w:keepNext w:val="0"/>
        <w:numPr>
          <w:ilvl w:val="1"/>
          <w:numId w:val="3"/>
        </w:numPr>
        <w:tabs>
          <w:tab w:val="clear" w:pos="525"/>
        </w:tabs>
        <w:spacing w:before="0"/>
        <w:ind w:left="709" w:hanging="709"/>
        <w:rPr>
          <w:rFonts w:cs="Arial"/>
          <w:color w:val="auto"/>
          <w:szCs w:val="24"/>
          <w:lang w:eastAsia="en-US"/>
        </w:rPr>
      </w:pPr>
      <w:r w:rsidRPr="003C7E62">
        <w:rPr>
          <w:rFonts w:eastAsia="Calibri" w:cs="Arial"/>
          <w:color w:val="auto"/>
          <w:szCs w:val="24"/>
          <w:lang w:eastAsia="en-US"/>
        </w:rPr>
        <w:t xml:space="preserve">The Council actively encourages the development of viable technologies and infrastructure across the District. However, this has to be seen in the context of the potential impact on the following: </w:t>
      </w:r>
    </w:p>
    <w:p w14:paraId="1BDC8FFC" w14:textId="62F14126" w:rsidR="009645A1" w:rsidRPr="003C7E62" w:rsidRDefault="009645A1" w:rsidP="009645A1">
      <w:pPr>
        <w:keepNext w:val="0"/>
        <w:spacing w:before="0"/>
        <w:rPr>
          <w:rFonts w:cs="Arial"/>
          <w:color w:val="auto"/>
          <w:szCs w:val="24"/>
          <w:lang w:eastAsia="en-US"/>
        </w:rPr>
      </w:pPr>
    </w:p>
    <w:p w14:paraId="7FA4B450" w14:textId="77777777" w:rsidR="009645A1" w:rsidRPr="003C7E62" w:rsidRDefault="009645A1" w:rsidP="00874A98">
      <w:pPr>
        <w:keepNext w:val="0"/>
        <w:numPr>
          <w:ilvl w:val="0"/>
          <w:numId w:val="110"/>
        </w:numPr>
        <w:autoSpaceDE w:val="0"/>
        <w:autoSpaceDN w:val="0"/>
        <w:adjustRightInd w:val="0"/>
        <w:spacing w:before="0" w:after="160" w:line="252" w:lineRule="auto"/>
        <w:ind w:left="1069"/>
        <w:contextualSpacing/>
        <w:jc w:val="both"/>
        <w:rPr>
          <w:rFonts w:eastAsia="Calibri" w:cs="Arial"/>
          <w:color w:val="auto"/>
          <w:szCs w:val="24"/>
          <w:lang w:eastAsia="en-US"/>
        </w:rPr>
      </w:pPr>
      <w:r w:rsidRPr="003C7E62">
        <w:rPr>
          <w:rFonts w:eastAsia="Calibri" w:cs="Arial"/>
          <w:color w:val="auto"/>
          <w:szCs w:val="24"/>
          <w:lang w:eastAsia="en-US"/>
        </w:rPr>
        <w:t xml:space="preserve">Residential amenity (including noise, </w:t>
      </w:r>
      <w:r w:rsidRPr="003C7E62">
        <w:rPr>
          <w:rFonts w:cs="Arial"/>
          <w:color w:val="auto"/>
          <w:szCs w:val="24"/>
          <w:lang w:eastAsia="en-US"/>
        </w:rPr>
        <w:t>low-frequency noise,</w:t>
      </w:r>
      <w:r w:rsidRPr="003C7E62">
        <w:rPr>
          <w:rFonts w:eastAsia="Calibri" w:cs="Arial"/>
          <w:color w:val="auto"/>
          <w:szCs w:val="24"/>
          <w:lang w:eastAsia="en-US"/>
        </w:rPr>
        <w:t xml:space="preserve"> fumes, odour, shadow flicker, reflected light, traffic and broadcast interference);</w:t>
      </w:r>
    </w:p>
    <w:p w14:paraId="6CA660F6" w14:textId="77777777" w:rsidR="009645A1" w:rsidRPr="003C7E62" w:rsidRDefault="009645A1" w:rsidP="00874A98">
      <w:pPr>
        <w:keepNext w:val="0"/>
        <w:numPr>
          <w:ilvl w:val="0"/>
          <w:numId w:val="110"/>
        </w:numPr>
        <w:autoSpaceDE w:val="0"/>
        <w:autoSpaceDN w:val="0"/>
        <w:adjustRightInd w:val="0"/>
        <w:spacing w:before="0" w:after="160" w:line="252" w:lineRule="auto"/>
        <w:ind w:left="1069"/>
        <w:contextualSpacing/>
        <w:jc w:val="both"/>
        <w:rPr>
          <w:rFonts w:eastAsia="Calibri" w:cs="Arial"/>
          <w:color w:val="auto"/>
          <w:szCs w:val="24"/>
          <w:lang w:eastAsia="en-US"/>
        </w:rPr>
      </w:pPr>
      <w:r w:rsidRPr="003C7E62">
        <w:rPr>
          <w:rFonts w:eastAsia="Calibri" w:cs="Arial"/>
          <w:color w:val="auto"/>
          <w:szCs w:val="24"/>
          <w:lang w:eastAsia="en-US"/>
        </w:rPr>
        <w:t>Highway, Aviation, Defence, radar or power line safety;</w:t>
      </w:r>
    </w:p>
    <w:p w14:paraId="45E2BFF8" w14:textId="046702E8" w:rsidR="009645A1" w:rsidRPr="003C7E62" w:rsidRDefault="009645A1" w:rsidP="00874A98">
      <w:pPr>
        <w:keepNext w:val="0"/>
        <w:numPr>
          <w:ilvl w:val="0"/>
          <w:numId w:val="110"/>
        </w:numPr>
        <w:autoSpaceDE w:val="0"/>
        <w:autoSpaceDN w:val="0"/>
        <w:adjustRightInd w:val="0"/>
        <w:spacing w:before="0" w:after="160" w:line="252" w:lineRule="auto"/>
        <w:ind w:left="1069"/>
        <w:contextualSpacing/>
        <w:jc w:val="both"/>
        <w:rPr>
          <w:rFonts w:eastAsia="Calibri" w:cs="Arial"/>
          <w:color w:val="auto"/>
          <w:szCs w:val="24"/>
          <w:lang w:eastAsia="en-US"/>
        </w:rPr>
      </w:pPr>
      <w:r w:rsidRPr="003C7E62">
        <w:rPr>
          <w:rFonts w:eastAsia="Calibri" w:cs="Arial"/>
          <w:color w:val="auto"/>
          <w:szCs w:val="24"/>
          <w:lang w:eastAsia="en-US"/>
        </w:rPr>
        <w:t>Existing building</w:t>
      </w:r>
      <w:r w:rsidR="0070040B">
        <w:rPr>
          <w:rFonts w:eastAsia="Calibri" w:cs="Arial"/>
          <w:color w:val="auto"/>
          <w:szCs w:val="24"/>
          <w:lang w:eastAsia="en-US"/>
        </w:rPr>
        <w:t>s</w:t>
      </w:r>
      <w:r w:rsidRPr="003C7E62">
        <w:rPr>
          <w:rFonts w:eastAsia="Calibri" w:cs="Arial"/>
          <w:color w:val="auto"/>
          <w:szCs w:val="24"/>
          <w:lang w:eastAsia="en-US"/>
        </w:rPr>
        <w:t xml:space="preserve"> in relation to fall over distance of wind turbines;</w:t>
      </w:r>
    </w:p>
    <w:p w14:paraId="26EB57A6" w14:textId="77777777" w:rsidR="009645A1" w:rsidRPr="003C7E62" w:rsidRDefault="009645A1" w:rsidP="00874A98">
      <w:pPr>
        <w:keepNext w:val="0"/>
        <w:numPr>
          <w:ilvl w:val="0"/>
          <w:numId w:val="110"/>
        </w:numPr>
        <w:autoSpaceDE w:val="0"/>
        <w:autoSpaceDN w:val="0"/>
        <w:adjustRightInd w:val="0"/>
        <w:spacing w:before="0" w:after="160" w:line="252" w:lineRule="auto"/>
        <w:ind w:left="1069"/>
        <w:contextualSpacing/>
        <w:jc w:val="both"/>
        <w:rPr>
          <w:rFonts w:eastAsia="Calibri" w:cs="Arial"/>
          <w:color w:val="auto"/>
          <w:szCs w:val="24"/>
          <w:lang w:eastAsia="en-US"/>
        </w:rPr>
      </w:pPr>
      <w:r w:rsidRPr="003C7E62">
        <w:rPr>
          <w:rFonts w:eastAsia="Calibri" w:cs="Arial"/>
          <w:color w:val="auto"/>
          <w:szCs w:val="24"/>
          <w:lang w:eastAsia="en-US"/>
        </w:rPr>
        <w:t>The surrounding landscape, townscape and heritage assets;</w:t>
      </w:r>
    </w:p>
    <w:p w14:paraId="2D8E4AE1" w14:textId="77777777" w:rsidR="009645A1" w:rsidRPr="003C7E62" w:rsidRDefault="009645A1" w:rsidP="00874A98">
      <w:pPr>
        <w:keepNext w:val="0"/>
        <w:numPr>
          <w:ilvl w:val="0"/>
          <w:numId w:val="110"/>
        </w:numPr>
        <w:autoSpaceDE w:val="0"/>
        <w:autoSpaceDN w:val="0"/>
        <w:adjustRightInd w:val="0"/>
        <w:spacing w:before="0" w:after="160" w:line="252" w:lineRule="auto"/>
        <w:ind w:left="1069"/>
        <w:contextualSpacing/>
        <w:jc w:val="both"/>
        <w:rPr>
          <w:rFonts w:eastAsia="Calibri" w:cs="Arial"/>
          <w:color w:val="auto"/>
          <w:szCs w:val="24"/>
          <w:lang w:eastAsia="en-US"/>
        </w:rPr>
      </w:pPr>
      <w:r w:rsidRPr="003C7E62">
        <w:rPr>
          <w:rFonts w:eastAsia="Calibri" w:cs="Arial"/>
          <w:color w:val="auto"/>
          <w:szCs w:val="24"/>
          <w:lang w:eastAsia="en-US"/>
        </w:rPr>
        <w:t>Designated nature conservation or biodiversity considerations;</w:t>
      </w:r>
    </w:p>
    <w:p w14:paraId="46DB6FD5" w14:textId="77777777" w:rsidR="009645A1" w:rsidRPr="0079686C" w:rsidRDefault="009645A1" w:rsidP="00874A98">
      <w:pPr>
        <w:keepNext w:val="0"/>
        <w:numPr>
          <w:ilvl w:val="0"/>
          <w:numId w:val="110"/>
        </w:numPr>
        <w:autoSpaceDE w:val="0"/>
        <w:autoSpaceDN w:val="0"/>
        <w:adjustRightInd w:val="0"/>
        <w:spacing w:before="0" w:after="160" w:line="252" w:lineRule="auto"/>
        <w:ind w:left="1069"/>
        <w:contextualSpacing/>
        <w:jc w:val="both"/>
        <w:rPr>
          <w:rFonts w:eastAsia="Calibri" w:cs="Arial"/>
          <w:color w:val="auto"/>
          <w:szCs w:val="24"/>
          <w:lang w:eastAsia="en-US"/>
        </w:rPr>
      </w:pPr>
      <w:r w:rsidRPr="003C7E62">
        <w:rPr>
          <w:rFonts w:eastAsia="Calibri" w:cs="Arial"/>
          <w:color w:val="auto"/>
          <w:szCs w:val="24"/>
          <w:lang w:eastAsia="en-US"/>
        </w:rPr>
        <w:t xml:space="preserve">Species protected under national and international law, including those that occur </w:t>
      </w:r>
      <w:r w:rsidRPr="0079686C">
        <w:rPr>
          <w:rFonts w:eastAsia="Calibri" w:cs="Arial"/>
          <w:color w:val="auto"/>
          <w:szCs w:val="24"/>
          <w:lang w:eastAsia="en-US"/>
        </w:rPr>
        <w:t>outside protected areas.</w:t>
      </w:r>
    </w:p>
    <w:p w14:paraId="6B5E0CE7" w14:textId="77777777" w:rsidR="009645A1" w:rsidRPr="0079686C" w:rsidRDefault="009645A1" w:rsidP="009645A1">
      <w:pPr>
        <w:keepNext w:val="0"/>
        <w:autoSpaceDE w:val="0"/>
        <w:autoSpaceDN w:val="0"/>
        <w:adjustRightInd w:val="0"/>
        <w:spacing w:before="0"/>
        <w:ind w:left="513"/>
        <w:contextualSpacing/>
        <w:rPr>
          <w:rFonts w:eastAsia="Calibri" w:cs="Arial"/>
          <w:color w:val="auto"/>
          <w:szCs w:val="24"/>
          <w:lang w:eastAsia="en-US"/>
        </w:rPr>
      </w:pPr>
    </w:p>
    <w:p w14:paraId="1221E18C" w14:textId="170416B9" w:rsidR="009645A1" w:rsidRPr="003C7E62" w:rsidRDefault="009645A1" w:rsidP="00B212D3">
      <w:pPr>
        <w:keepNext w:val="0"/>
        <w:numPr>
          <w:ilvl w:val="1"/>
          <w:numId w:val="3"/>
        </w:numPr>
        <w:tabs>
          <w:tab w:val="clear" w:pos="525"/>
        </w:tabs>
        <w:spacing w:before="0"/>
        <w:ind w:left="709" w:hanging="709"/>
        <w:rPr>
          <w:rFonts w:eastAsia="Calibri" w:cs="Arial"/>
          <w:color w:val="auto"/>
          <w:szCs w:val="24"/>
          <w:lang w:eastAsia="en-US"/>
        </w:rPr>
      </w:pPr>
      <w:r w:rsidRPr="0079686C">
        <w:rPr>
          <w:rFonts w:eastAsia="Calibri" w:cs="Arial"/>
          <w:color w:val="auto"/>
          <w:szCs w:val="24"/>
          <w:lang w:eastAsia="en-US"/>
        </w:rPr>
        <w:t xml:space="preserve">The </w:t>
      </w:r>
      <w:r w:rsidRPr="003C7E62">
        <w:rPr>
          <w:rFonts w:eastAsia="Calibri" w:cs="Arial"/>
          <w:color w:val="auto"/>
          <w:szCs w:val="24"/>
          <w:lang w:eastAsia="en-US"/>
        </w:rPr>
        <w:t>Council will seek to ensure such issues are satisfactorily assessed and where appropriate, addressed via effective mitigation measures. As part of this process the Council will require development proposals to undertake appropriate pre-application consultation with relevant bodies and agencies. They should also submit appropriate assessments and studies to support the assessment of the proposal. This should include an Environmental Statement that details the environmental impacts of the proposal and the total amount of energy that is expected to be generated. The statement must also provide details of site restoration following infrastructure installation and/or the end of its lifecycle, addressing issues such as the removal of redundant buildings, plant and access roads, where appropriate. Details of the post-use restoration are likely to be conditioned as part of the application.</w:t>
      </w:r>
    </w:p>
    <w:p w14:paraId="0FBD3CA4" w14:textId="77777777" w:rsidR="009645A1" w:rsidRPr="003C7E62" w:rsidRDefault="009645A1" w:rsidP="009645A1">
      <w:pPr>
        <w:pStyle w:val="ListParagraph"/>
        <w:spacing w:after="0" w:line="240" w:lineRule="auto"/>
        <w:rPr>
          <w:rFonts w:ascii="Arial" w:eastAsia="Calibri" w:hAnsi="Arial" w:cs="Arial"/>
          <w:color w:val="auto"/>
          <w:szCs w:val="24"/>
        </w:rPr>
      </w:pPr>
    </w:p>
    <w:p w14:paraId="601E688F" w14:textId="77777777" w:rsidR="009645A1" w:rsidRPr="003C7E62" w:rsidRDefault="00DE2722" w:rsidP="009645A1">
      <w:pPr>
        <w:keepNext w:val="0"/>
        <w:numPr>
          <w:ilvl w:val="1"/>
          <w:numId w:val="3"/>
        </w:numPr>
        <w:tabs>
          <w:tab w:val="clear" w:pos="525"/>
        </w:tabs>
        <w:spacing w:before="0"/>
        <w:ind w:left="709" w:hanging="709"/>
        <w:rPr>
          <w:rFonts w:cs="Arial"/>
          <w:color w:val="auto"/>
          <w:szCs w:val="24"/>
          <w:lang w:eastAsia="en-US"/>
        </w:rPr>
      </w:pPr>
      <w:r w:rsidRPr="003C7E62">
        <w:rPr>
          <w:rFonts w:eastAsia="Calibri" w:cs="Arial"/>
          <w:color w:val="auto"/>
          <w:szCs w:val="24"/>
          <w:lang w:eastAsia="en-US"/>
        </w:rPr>
        <w:t xml:space="preserve">Design must be a key consideration when creating development proposals. Whilst the Council acknowledges there may be design limitations on certain technologies and infrastructure, the Council will encourage developers to utilise new technologies and innovative solutions to achieve the highest quality design achievable. In helping to address potential impacts on landscape, residential amenity, heritage and townscape the design of the proposal will be an important consideration. </w:t>
      </w:r>
    </w:p>
    <w:p w14:paraId="1177170C" w14:textId="77777777" w:rsidR="009645A1" w:rsidRDefault="009645A1" w:rsidP="009645A1">
      <w:pPr>
        <w:keepNext w:val="0"/>
        <w:spacing w:before="0"/>
        <w:ind w:left="709"/>
        <w:rPr>
          <w:rFonts w:eastAsia="Calibri" w:cs="Arial"/>
          <w:color w:val="auto"/>
          <w:szCs w:val="24"/>
          <w:lang w:eastAsia="en-US"/>
        </w:rPr>
      </w:pPr>
    </w:p>
    <w:p w14:paraId="74379484" w14:textId="77777777" w:rsidR="005D0346" w:rsidRDefault="005D0346" w:rsidP="005D0346">
      <w:pPr>
        <w:keepNext w:val="0"/>
        <w:autoSpaceDE w:val="0"/>
        <w:autoSpaceDN w:val="0"/>
        <w:adjustRightInd w:val="0"/>
        <w:spacing w:before="0"/>
        <w:ind w:left="709"/>
        <w:rPr>
          <w:rFonts w:eastAsia="Arial" w:cs="Arial"/>
          <w:b/>
          <w:color w:val="auto"/>
        </w:rPr>
      </w:pPr>
    </w:p>
    <w:p w14:paraId="585631CC" w14:textId="77777777" w:rsidR="005334C0" w:rsidRDefault="005334C0">
      <w:pPr>
        <w:keepNext w:val="0"/>
        <w:spacing w:before="0"/>
        <w:rPr>
          <w:rFonts w:eastAsia="Arial" w:cs="Arial"/>
          <w:b/>
          <w:color w:val="auto"/>
        </w:rPr>
      </w:pPr>
      <w:r>
        <w:rPr>
          <w:rFonts w:eastAsia="Arial" w:cs="Arial"/>
          <w:b/>
          <w:color w:val="auto"/>
        </w:rPr>
        <w:br w:type="page"/>
      </w:r>
    </w:p>
    <w:p w14:paraId="79DBC766" w14:textId="2FC29EE3" w:rsidR="005334C0" w:rsidRDefault="009645A1" w:rsidP="005334C0">
      <w:pPr>
        <w:keepNext w:val="0"/>
        <w:autoSpaceDE w:val="0"/>
        <w:autoSpaceDN w:val="0"/>
        <w:adjustRightInd w:val="0"/>
        <w:spacing w:before="0"/>
        <w:ind w:firstLine="709"/>
        <w:rPr>
          <w:rFonts w:eastAsia="Arial" w:cs="Arial"/>
          <w:b/>
          <w:color w:val="auto"/>
        </w:rPr>
      </w:pPr>
      <w:r w:rsidRPr="003C7E62">
        <w:rPr>
          <w:rFonts w:eastAsia="Arial" w:cs="Arial"/>
          <w:b/>
          <w:color w:val="auto"/>
        </w:rPr>
        <w:t>Low Carbon Energy Opportunities in Ashfield</w:t>
      </w:r>
    </w:p>
    <w:p w14:paraId="783F991E" w14:textId="77777777" w:rsidR="005334C0" w:rsidRDefault="005334C0" w:rsidP="005334C0">
      <w:pPr>
        <w:keepNext w:val="0"/>
        <w:autoSpaceDE w:val="0"/>
        <w:autoSpaceDN w:val="0"/>
        <w:adjustRightInd w:val="0"/>
        <w:spacing w:before="0"/>
        <w:rPr>
          <w:rFonts w:eastAsia="Arial" w:cs="Arial"/>
          <w:b/>
          <w:color w:val="auto"/>
        </w:rPr>
      </w:pPr>
    </w:p>
    <w:p w14:paraId="210E7C87" w14:textId="57B29A71" w:rsidR="009645A1" w:rsidRPr="003C7E62" w:rsidRDefault="00DE2722" w:rsidP="005334C0">
      <w:pPr>
        <w:keepNext w:val="0"/>
        <w:numPr>
          <w:ilvl w:val="1"/>
          <w:numId w:val="3"/>
        </w:numPr>
        <w:tabs>
          <w:tab w:val="clear" w:pos="525"/>
        </w:tabs>
        <w:spacing w:before="0"/>
        <w:ind w:left="709" w:hanging="709"/>
        <w:rPr>
          <w:rFonts w:cs="Arial"/>
          <w:color w:val="auto"/>
          <w:szCs w:val="24"/>
          <w:lang w:eastAsia="en-US"/>
        </w:rPr>
      </w:pPr>
      <w:r w:rsidRPr="003C7E62">
        <w:rPr>
          <w:rFonts w:eastAsia="Arial" w:cs="Arial"/>
          <w:color w:val="auto"/>
        </w:rPr>
        <w:t>A ‘Low Carbon Energy Opportunities and Heat Mapping for Local Planning Areas Across the East Midlands’ Study</w:t>
      </w:r>
      <w:r w:rsidRPr="003C7E62">
        <w:rPr>
          <w:rFonts w:eastAsia="Arial" w:cs="Arial"/>
          <w:color w:val="auto"/>
          <w:vertAlign w:val="superscript"/>
        </w:rPr>
        <w:footnoteReference w:id="79"/>
      </w:r>
      <w:r w:rsidRPr="003C7E62">
        <w:rPr>
          <w:rFonts w:eastAsia="Arial" w:cs="Arial"/>
          <w:color w:val="auto"/>
        </w:rPr>
        <w:t xml:space="preserve"> was undertaken by Land Use Consultants, Centre for Sustainable Energy and SQW on behalf of East Midlands Councils in 2011. The study sets out an evidence base of the technical potential for renewable and low carbon energy technologies within the East Midlands. </w:t>
      </w:r>
    </w:p>
    <w:p w14:paraId="04988382" w14:textId="77777777" w:rsidR="009645A1" w:rsidRPr="003C7E62" w:rsidRDefault="009645A1" w:rsidP="009645A1">
      <w:pPr>
        <w:keepNext w:val="0"/>
        <w:spacing w:before="0"/>
        <w:ind w:left="709"/>
        <w:rPr>
          <w:rFonts w:cs="Arial"/>
          <w:color w:val="auto"/>
          <w:szCs w:val="24"/>
          <w:lang w:eastAsia="en-US"/>
        </w:rPr>
      </w:pPr>
    </w:p>
    <w:p w14:paraId="1661ECFD" w14:textId="20932BF3" w:rsidR="0070040B" w:rsidRPr="00D810CA" w:rsidRDefault="00DE2722" w:rsidP="00404E8A">
      <w:pPr>
        <w:keepNext w:val="0"/>
        <w:numPr>
          <w:ilvl w:val="1"/>
          <w:numId w:val="3"/>
        </w:numPr>
        <w:tabs>
          <w:tab w:val="clear" w:pos="525"/>
        </w:tabs>
        <w:spacing w:before="0"/>
        <w:ind w:left="709" w:hanging="709"/>
        <w:rPr>
          <w:rFonts w:cs="Arial"/>
          <w:szCs w:val="24"/>
          <w:lang w:eastAsia="en-US"/>
        </w:rPr>
      </w:pPr>
      <w:r w:rsidRPr="003F182E">
        <w:rPr>
          <w:rFonts w:cs="Arial"/>
          <w:color w:val="auto"/>
          <w:szCs w:val="24"/>
        </w:rPr>
        <w:t>The</w:t>
      </w:r>
      <w:r w:rsidRPr="003F182E">
        <w:rPr>
          <w:rFonts w:eastAsia="Arial" w:cs="Arial"/>
          <w:color w:val="auto"/>
        </w:rPr>
        <w:t xml:space="preserve"> results of the study indicate that Ashfield has potential for microgeneration; heat pumps, solar thermal and solar photo voltaics and these uses are particularly encouraged. The study also highlighted that, whilst Ashfield District has good average wind speeds, the potential for commercial scale wind energy developments is limited by constraints relating to the presence of existing infrastructure, properties and bird sensitivity issues.</w:t>
      </w:r>
      <w:r w:rsidR="00F91FB8">
        <w:rPr>
          <w:rFonts w:eastAsia="Arial" w:cs="Arial"/>
          <w:color w:val="auto"/>
        </w:rPr>
        <w:t xml:space="preserve"> </w:t>
      </w:r>
      <w:r w:rsidR="00F91FB8" w:rsidRPr="00D810CA">
        <w:rPr>
          <w:rFonts w:eastAsia="Arial" w:cs="Arial"/>
        </w:rPr>
        <w:t>Appendix 4 identifies wind energy opportunities within Ashfield.</w:t>
      </w:r>
    </w:p>
    <w:p w14:paraId="024DF96C" w14:textId="77777777" w:rsidR="003F182E" w:rsidRDefault="003F182E" w:rsidP="003F182E">
      <w:pPr>
        <w:pStyle w:val="ListParagraph"/>
        <w:rPr>
          <w:rFonts w:cs="Arial"/>
          <w:color w:val="auto"/>
          <w:szCs w:val="24"/>
        </w:rPr>
      </w:pPr>
    </w:p>
    <w:p w14:paraId="62F5947A" w14:textId="77777777" w:rsidR="003F182E" w:rsidRPr="003F182E" w:rsidRDefault="003F182E" w:rsidP="003F182E">
      <w:pPr>
        <w:keepNext w:val="0"/>
        <w:spacing w:before="0"/>
        <w:ind w:left="525"/>
        <w:rPr>
          <w:rFonts w:cs="Arial"/>
          <w:color w:val="auto"/>
          <w:szCs w:val="24"/>
          <w:lang w:eastAsia="en-US"/>
        </w:rPr>
      </w:pPr>
    </w:p>
    <w:p w14:paraId="5D1F499C" w14:textId="79ED755D" w:rsidR="00364693" w:rsidRPr="00995322" w:rsidRDefault="006977E7" w:rsidP="00995322">
      <w:pPr>
        <w:pStyle w:val="Heading2"/>
        <w:jc w:val="left"/>
        <w:rPr>
          <w:rFonts w:eastAsia="Arial"/>
          <w:sz w:val="28"/>
          <w:szCs w:val="28"/>
        </w:rPr>
      </w:pPr>
      <w:bookmarkStart w:id="147" w:name="_Toc145511571"/>
      <w:r w:rsidRPr="00995322">
        <w:rPr>
          <w:rFonts w:eastAsia="Arial"/>
          <w:sz w:val="28"/>
          <w:szCs w:val="28"/>
        </w:rPr>
        <w:t xml:space="preserve">Policy </w:t>
      </w:r>
      <w:r w:rsidR="00364693" w:rsidRPr="00995322">
        <w:rPr>
          <w:rFonts w:eastAsia="Arial"/>
          <w:sz w:val="28"/>
          <w:szCs w:val="28"/>
        </w:rPr>
        <w:t>CC2: Water Resource Management</w:t>
      </w:r>
      <w:bookmarkEnd w:id="147"/>
    </w:p>
    <w:p w14:paraId="07CD7A13" w14:textId="77777777" w:rsidR="00364693" w:rsidRPr="003C7E62" w:rsidRDefault="00364693" w:rsidP="004575AD">
      <w:pPr>
        <w:keepNext w:val="0"/>
        <w:spacing w:before="0"/>
        <w:rPr>
          <w:rFonts w:eastAsia="Arial" w:cs="Arial"/>
          <w:color w:val="auto"/>
        </w:rPr>
      </w:pPr>
    </w:p>
    <w:tbl>
      <w:tblPr>
        <w:tblStyle w:val="ReportTable1"/>
        <w:tblW w:w="9634" w:type="dxa"/>
        <w:tblLook w:val="04A0" w:firstRow="1" w:lastRow="0" w:firstColumn="1" w:lastColumn="0" w:noHBand="0" w:noVBand="1"/>
      </w:tblPr>
      <w:tblGrid>
        <w:gridCol w:w="1766"/>
        <w:gridCol w:w="894"/>
        <w:gridCol w:w="6974"/>
      </w:tblGrid>
      <w:tr w:rsidR="00364693" w:rsidRPr="003C7E62" w14:paraId="28DCC43D" w14:textId="77777777" w:rsidTr="005334C0">
        <w:trPr>
          <w:trHeight w:val="421"/>
        </w:trPr>
        <w:tc>
          <w:tcPr>
            <w:tcW w:w="9634" w:type="dxa"/>
            <w:gridSpan w:val="3"/>
          </w:tcPr>
          <w:p w14:paraId="15779D5D" w14:textId="77777777" w:rsidR="00364693" w:rsidRPr="003C7E62" w:rsidRDefault="00364693" w:rsidP="004575AD">
            <w:pPr>
              <w:keepNext w:val="0"/>
              <w:spacing w:after="120"/>
              <w:rPr>
                <w:rFonts w:eastAsia="Arial" w:cs="Arial"/>
                <w:b/>
                <w:color w:val="0070C0"/>
              </w:rPr>
            </w:pPr>
            <w:r w:rsidRPr="003C7E62">
              <w:rPr>
                <w:rFonts w:eastAsia="Arial" w:cs="Arial"/>
                <w:b/>
                <w:color w:val="auto"/>
              </w:rPr>
              <w:t xml:space="preserve">Policy CC2:  </w:t>
            </w:r>
            <w:r w:rsidRPr="0070040B">
              <w:rPr>
                <w:rFonts w:eastAsia="Arial" w:cs="Arial"/>
                <w:b/>
                <w:color w:val="auto"/>
              </w:rPr>
              <w:t>Water Resource Management</w:t>
            </w:r>
          </w:p>
        </w:tc>
      </w:tr>
      <w:tr w:rsidR="00364693" w:rsidRPr="003C7E62" w14:paraId="47AE31CB" w14:textId="77777777" w:rsidTr="005334C0">
        <w:tc>
          <w:tcPr>
            <w:tcW w:w="2660" w:type="dxa"/>
            <w:gridSpan w:val="2"/>
          </w:tcPr>
          <w:p w14:paraId="38612EA1" w14:textId="77777777" w:rsidR="00364693" w:rsidRPr="00FC2A72" w:rsidRDefault="00364693" w:rsidP="004575AD">
            <w:pPr>
              <w:keepNext w:val="0"/>
              <w:tabs>
                <w:tab w:val="left" w:pos="680"/>
              </w:tabs>
              <w:spacing w:before="40" w:after="40"/>
              <w:rPr>
                <w:rFonts w:eastAsia="Arial" w:cs="Arial"/>
                <w:bCs/>
                <w:color w:val="auto"/>
              </w:rPr>
            </w:pPr>
            <w:r w:rsidRPr="00FC2A72">
              <w:rPr>
                <w:rFonts w:eastAsia="Arial" w:cs="Arial"/>
                <w:bCs/>
                <w:color w:val="auto"/>
              </w:rPr>
              <w:t>Strategic Objectives</w:t>
            </w:r>
          </w:p>
        </w:tc>
        <w:tc>
          <w:tcPr>
            <w:tcW w:w="6974" w:type="dxa"/>
          </w:tcPr>
          <w:p w14:paraId="0346A17F" w14:textId="77777777" w:rsidR="00364693" w:rsidRPr="00FC2A72" w:rsidRDefault="00364693" w:rsidP="004575AD">
            <w:pPr>
              <w:keepNext w:val="0"/>
              <w:tabs>
                <w:tab w:val="left" w:pos="680"/>
              </w:tabs>
              <w:spacing w:before="40" w:after="40"/>
              <w:rPr>
                <w:rFonts w:eastAsia="Arial" w:cs="Arial"/>
                <w:bCs/>
                <w:color w:val="auto"/>
              </w:rPr>
            </w:pPr>
            <w:r w:rsidRPr="00FC2A72">
              <w:rPr>
                <w:rFonts w:eastAsia="Arial" w:cs="Arial"/>
                <w:bCs/>
                <w:color w:val="auto"/>
              </w:rPr>
              <w:t>SO1, SO4, SO11, SO13, SO14.</w:t>
            </w:r>
          </w:p>
        </w:tc>
      </w:tr>
      <w:tr w:rsidR="00364693" w:rsidRPr="003C7E62" w14:paraId="7FE418A5" w14:textId="77777777" w:rsidTr="005334C0">
        <w:tc>
          <w:tcPr>
            <w:tcW w:w="9634" w:type="dxa"/>
            <w:gridSpan w:val="3"/>
            <w:shd w:val="clear" w:color="auto" w:fill="DEEAF6"/>
          </w:tcPr>
          <w:p w14:paraId="00B91C7B" w14:textId="77777777" w:rsidR="00364693" w:rsidRPr="003C7E62" w:rsidRDefault="00364693" w:rsidP="004575AD">
            <w:pPr>
              <w:keepNext w:val="0"/>
              <w:tabs>
                <w:tab w:val="left" w:pos="680"/>
                <w:tab w:val="left" w:pos="1133"/>
                <w:tab w:val="left" w:pos="2267"/>
              </w:tabs>
              <w:spacing w:before="0"/>
              <w:ind w:right="284"/>
              <w:rPr>
                <w:rFonts w:eastAsia="Arial" w:cs="Arial"/>
                <w:b/>
                <w:color w:val="auto"/>
                <w:szCs w:val="24"/>
              </w:rPr>
            </w:pPr>
          </w:p>
          <w:p w14:paraId="58865C18" w14:textId="59483C74" w:rsidR="00364693" w:rsidRPr="00D810CA" w:rsidRDefault="00364693" w:rsidP="00874A98">
            <w:pPr>
              <w:keepNext w:val="0"/>
              <w:numPr>
                <w:ilvl w:val="0"/>
                <w:numId w:val="107"/>
              </w:numPr>
              <w:tabs>
                <w:tab w:val="left" w:pos="680"/>
                <w:tab w:val="left" w:pos="1133"/>
                <w:tab w:val="left" w:pos="2267"/>
              </w:tabs>
              <w:spacing w:before="0"/>
              <w:ind w:right="284"/>
              <w:rPr>
                <w:rFonts w:eastAsia="Arial" w:cs="Arial"/>
                <w:bCs/>
                <w:szCs w:val="24"/>
              </w:rPr>
            </w:pPr>
            <w:r w:rsidRPr="003C7E62">
              <w:rPr>
                <w:rFonts w:cs="Arial"/>
                <w:bCs/>
                <w:color w:val="auto"/>
                <w:szCs w:val="24"/>
              </w:rPr>
              <w:t xml:space="preserve">Development proposals </w:t>
            </w:r>
            <w:r w:rsidRPr="00D810CA">
              <w:rPr>
                <w:rFonts w:cs="Arial"/>
                <w:bCs/>
                <w:szCs w:val="24"/>
              </w:rPr>
              <w:t>must demonstrate that there is an adequate supply of water, appropriate sewerage and surface water infrastructure and</w:t>
            </w:r>
            <w:r w:rsidR="00400B3D" w:rsidRPr="00D810CA">
              <w:rPr>
                <w:rFonts w:eastAsia="Arial" w:cs="Arial"/>
                <w:bCs/>
                <w:szCs w:val="24"/>
              </w:rPr>
              <w:t xml:space="preserve"> sewage treatment capacity to ensure that the development does not contribute to a deterioration in water quality to the receiving catchment for the lifetime of the development.</w:t>
            </w:r>
          </w:p>
          <w:p w14:paraId="1F2A9DB1" w14:textId="77777777" w:rsidR="004575AD" w:rsidRPr="003C7E62" w:rsidRDefault="004575AD" w:rsidP="004575AD">
            <w:pPr>
              <w:keepNext w:val="0"/>
              <w:tabs>
                <w:tab w:val="left" w:pos="680"/>
                <w:tab w:val="left" w:pos="1133"/>
                <w:tab w:val="left" w:pos="2267"/>
              </w:tabs>
              <w:spacing w:before="0"/>
              <w:ind w:left="360" w:right="284"/>
              <w:rPr>
                <w:rFonts w:eastAsia="Arial" w:cs="Arial"/>
                <w:bCs/>
                <w:color w:val="auto"/>
                <w:szCs w:val="24"/>
              </w:rPr>
            </w:pPr>
          </w:p>
          <w:p w14:paraId="3BBC2B31" w14:textId="2DE527F9" w:rsidR="00364693" w:rsidRPr="003C7E62" w:rsidRDefault="00364693" w:rsidP="00874A98">
            <w:pPr>
              <w:keepNext w:val="0"/>
              <w:numPr>
                <w:ilvl w:val="0"/>
                <w:numId w:val="107"/>
              </w:numPr>
              <w:tabs>
                <w:tab w:val="left" w:pos="680"/>
                <w:tab w:val="left" w:pos="1133"/>
                <w:tab w:val="left" w:pos="2267"/>
              </w:tabs>
              <w:spacing w:before="0"/>
              <w:ind w:right="284"/>
              <w:contextualSpacing/>
              <w:rPr>
                <w:rFonts w:eastAsia="Arial" w:cs="Arial"/>
                <w:bCs/>
                <w:color w:val="auto"/>
                <w:szCs w:val="24"/>
              </w:rPr>
            </w:pPr>
            <w:r w:rsidRPr="003C7E62">
              <w:rPr>
                <w:rFonts w:eastAsia="Arial" w:cs="Arial"/>
                <w:bCs/>
                <w:color w:val="auto"/>
                <w:szCs w:val="24"/>
              </w:rPr>
              <w:t>In relation to water quality:</w:t>
            </w:r>
          </w:p>
          <w:p w14:paraId="3CD1DC54" w14:textId="77777777" w:rsidR="00DE2722" w:rsidRPr="003C7E62" w:rsidRDefault="00DE2722" w:rsidP="004575AD">
            <w:pPr>
              <w:keepNext w:val="0"/>
              <w:tabs>
                <w:tab w:val="left" w:pos="680"/>
                <w:tab w:val="left" w:pos="1133"/>
                <w:tab w:val="left" w:pos="2267"/>
              </w:tabs>
              <w:spacing w:before="0"/>
              <w:ind w:right="284"/>
              <w:rPr>
                <w:rFonts w:eastAsia="Arial" w:cs="Arial"/>
                <w:bCs/>
                <w:color w:val="auto"/>
                <w:szCs w:val="24"/>
              </w:rPr>
            </w:pPr>
          </w:p>
          <w:p w14:paraId="2452BD7D" w14:textId="4B85FAF0" w:rsidR="007C37BE" w:rsidRPr="00D810CA" w:rsidRDefault="00364693" w:rsidP="00874A98">
            <w:pPr>
              <w:keepNext w:val="0"/>
              <w:numPr>
                <w:ilvl w:val="0"/>
                <w:numId w:val="112"/>
              </w:numPr>
              <w:spacing w:before="0"/>
              <w:contextualSpacing/>
              <w:rPr>
                <w:rFonts w:eastAsia="Arial" w:cs="Arial"/>
                <w:bCs/>
                <w:szCs w:val="24"/>
                <w:lang w:eastAsia="en-US"/>
              </w:rPr>
            </w:pPr>
            <w:r w:rsidRPr="003C7E62">
              <w:rPr>
                <w:rFonts w:eastAsia="Arial" w:cs="Arial"/>
                <w:bCs/>
                <w:color w:val="auto"/>
                <w:szCs w:val="24"/>
                <w:lang w:eastAsia="en-US"/>
              </w:rPr>
              <w:t xml:space="preserve">Development should have regard to the actions and objectives of the Humber River Basin Management Plans and the Water Framework Directive in protecting and improving </w:t>
            </w:r>
            <w:r w:rsidRPr="00D810CA">
              <w:rPr>
                <w:rFonts w:eastAsia="Arial" w:cs="Arial"/>
                <w:bCs/>
                <w:szCs w:val="24"/>
                <w:lang w:eastAsia="en-US"/>
              </w:rPr>
              <w:t>the quality of water bodies and ecological systems in and adjacent to the District.</w:t>
            </w:r>
            <w:r w:rsidR="00EA4F09" w:rsidRPr="00D810CA">
              <w:rPr>
                <w:rFonts w:eastAsia="Arial" w:cs="Arial"/>
                <w:bCs/>
                <w:szCs w:val="24"/>
                <w:lang w:eastAsia="en-US"/>
              </w:rPr>
              <w:t xml:space="preserve"> </w:t>
            </w:r>
            <w:r w:rsidR="00ED58B9" w:rsidRPr="00D810CA">
              <w:rPr>
                <w:rFonts w:eastAsia="Arial" w:cs="Arial"/>
                <w:bCs/>
                <w:szCs w:val="24"/>
                <w:lang w:eastAsia="en-US"/>
              </w:rPr>
              <w:t>Where feasible</w:t>
            </w:r>
            <w:r w:rsidR="00830B51" w:rsidRPr="00D810CA">
              <w:rPr>
                <w:rFonts w:eastAsia="Arial" w:cs="Arial"/>
                <w:bCs/>
                <w:szCs w:val="24"/>
                <w:lang w:eastAsia="en-US"/>
              </w:rPr>
              <w:t>,</w:t>
            </w:r>
            <w:r w:rsidR="00ED58B9" w:rsidRPr="00D810CA">
              <w:rPr>
                <w:rFonts w:eastAsia="Arial" w:cs="Arial"/>
                <w:bCs/>
                <w:szCs w:val="24"/>
                <w:lang w:eastAsia="en-US"/>
              </w:rPr>
              <w:t xml:space="preserve"> </w:t>
            </w:r>
            <w:r w:rsidR="007C37BE" w:rsidRPr="00D810CA">
              <w:rPr>
                <w:rFonts w:eastAsia="Arial" w:cs="Arial"/>
                <w:bCs/>
                <w:szCs w:val="24"/>
                <w:lang w:eastAsia="en-US"/>
              </w:rPr>
              <w:t>nature based solutions</w:t>
            </w:r>
            <w:r w:rsidR="00ED58B9" w:rsidRPr="00D810CA">
              <w:rPr>
                <w:rFonts w:eastAsia="Arial" w:cs="Arial"/>
                <w:bCs/>
                <w:szCs w:val="24"/>
                <w:lang w:eastAsia="en-US"/>
              </w:rPr>
              <w:t xml:space="preserve"> should be utilised</w:t>
            </w:r>
            <w:r w:rsidR="007C37BE" w:rsidRPr="00D810CA">
              <w:rPr>
                <w:rFonts w:eastAsia="Arial" w:cs="Arial"/>
                <w:bCs/>
                <w:szCs w:val="24"/>
                <w:lang w:eastAsia="en-US"/>
              </w:rPr>
              <w:t>.</w:t>
            </w:r>
          </w:p>
          <w:p w14:paraId="0EDEF896" w14:textId="77777777" w:rsidR="00364693" w:rsidRPr="003C7E62" w:rsidRDefault="00364693" w:rsidP="004575AD">
            <w:pPr>
              <w:keepNext w:val="0"/>
              <w:spacing w:before="0"/>
              <w:ind w:left="720"/>
              <w:contextualSpacing/>
              <w:rPr>
                <w:rFonts w:eastAsia="Arial" w:cs="Arial"/>
                <w:bCs/>
                <w:color w:val="auto"/>
                <w:szCs w:val="24"/>
                <w:lang w:eastAsia="en-US"/>
              </w:rPr>
            </w:pPr>
          </w:p>
          <w:p w14:paraId="1AF34E70" w14:textId="2880FF8F" w:rsidR="00364693" w:rsidRPr="003C7E62" w:rsidRDefault="00364693" w:rsidP="00874A98">
            <w:pPr>
              <w:keepNext w:val="0"/>
              <w:numPr>
                <w:ilvl w:val="0"/>
                <w:numId w:val="112"/>
              </w:numPr>
              <w:spacing w:before="0" w:after="160"/>
              <w:contextualSpacing/>
              <w:rPr>
                <w:rFonts w:eastAsia="Arial" w:cs="Arial"/>
                <w:bCs/>
                <w:color w:val="auto"/>
                <w:szCs w:val="24"/>
                <w:lang w:eastAsia="en-US"/>
              </w:rPr>
            </w:pPr>
            <w:r w:rsidRPr="003C7E62">
              <w:rPr>
                <w:rFonts w:eastAsia="Arial" w:cs="Arial"/>
                <w:bCs/>
                <w:color w:val="auto"/>
                <w:szCs w:val="24"/>
                <w:lang w:eastAsia="en-US"/>
              </w:rPr>
              <w:t>Development will be not be permitted where it:</w:t>
            </w:r>
          </w:p>
          <w:p w14:paraId="0314DE28" w14:textId="77777777" w:rsidR="00364693" w:rsidRPr="003C7E62" w:rsidRDefault="00364693" w:rsidP="004575AD">
            <w:pPr>
              <w:keepNext w:val="0"/>
              <w:spacing w:before="0"/>
              <w:ind w:left="720"/>
              <w:contextualSpacing/>
              <w:rPr>
                <w:rFonts w:eastAsia="Arial" w:cs="Arial"/>
                <w:bCs/>
                <w:color w:val="auto"/>
                <w:szCs w:val="24"/>
                <w:lang w:eastAsia="en-US"/>
              </w:rPr>
            </w:pPr>
          </w:p>
          <w:p w14:paraId="529B523D" w14:textId="00A6D7EF" w:rsidR="00364693" w:rsidRPr="003C7E62" w:rsidRDefault="00364693" w:rsidP="00874A98">
            <w:pPr>
              <w:keepNext w:val="0"/>
              <w:numPr>
                <w:ilvl w:val="0"/>
                <w:numId w:val="114"/>
              </w:numPr>
              <w:spacing w:before="0" w:after="160"/>
              <w:contextualSpacing/>
              <w:rPr>
                <w:rFonts w:eastAsia="Arial" w:cs="Arial"/>
                <w:bCs/>
                <w:color w:val="auto"/>
                <w:szCs w:val="24"/>
                <w:lang w:eastAsia="en-US"/>
              </w:rPr>
            </w:pPr>
            <w:r w:rsidRPr="003C7E62">
              <w:rPr>
                <w:rFonts w:eastAsia="Arial" w:cs="Arial"/>
                <w:bCs/>
                <w:color w:val="auto"/>
                <w:szCs w:val="24"/>
                <w:lang w:eastAsia="en-US"/>
              </w:rPr>
              <w:t>Ha</w:t>
            </w:r>
            <w:r w:rsidR="004575AD" w:rsidRPr="003C7E62">
              <w:rPr>
                <w:rFonts w:eastAsia="Arial" w:cs="Arial"/>
                <w:bCs/>
                <w:color w:val="auto"/>
                <w:szCs w:val="24"/>
                <w:lang w:eastAsia="en-US"/>
              </w:rPr>
              <w:t>s</w:t>
            </w:r>
            <w:r w:rsidRPr="003C7E62">
              <w:rPr>
                <w:rFonts w:eastAsia="Arial" w:cs="Arial"/>
                <w:bCs/>
                <w:color w:val="auto"/>
                <w:szCs w:val="24"/>
                <w:lang w:eastAsia="en-US"/>
              </w:rPr>
              <w:t xml:space="preserve"> a negative impact on water quality, either directly through pollution of surface or groundwater or indirectly through overloading of the sewerage system and Wastewater Treatment Works.</w:t>
            </w:r>
            <w:r w:rsidRPr="003C7E62">
              <w:rPr>
                <w:rFonts w:cs="Arial"/>
                <w:bCs/>
                <w:color w:val="auto"/>
                <w:szCs w:val="24"/>
                <w:lang w:eastAsia="en-US"/>
              </w:rPr>
              <w:t xml:space="preserve">  </w:t>
            </w:r>
          </w:p>
          <w:p w14:paraId="2BAEC05C" w14:textId="77777777" w:rsidR="00364693" w:rsidRPr="003C7E62" w:rsidRDefault="00364693" w:rsidP="004575AD">
            <w:pPr>
              <w:keepNext w:val="0"/>
              <w:spacing w:before="0"/>
              <w:ind w:left="1080"/>
              <w:contextualSpacing/>
              <w:rPr>
                <w:rFonts w:eastAsia="Arial" w:cs="Arial"/>
                <w:bCs/>
                <w:color w:val="auto"/>
                <w:szCs w:val="24"/>
                <w:lang w:eastAsia="en-US"/>
              </w:rPr>
            </w:pPr>
          </w:p>
          <w:p w14:paraId="6A165DDD" w14:textId="2C0071F5" w:rsidR="00364693" w:rsidRPr="003C7E62" w:rsidRDefault="00364693" w:rsidP="00874A98">
            <w:pPr>
              <w:keepNext w:val="0"/>
              <w:numPr>
                <w:ilvl w:val="0"/>
                <w:numId w:val="114"/>
              </w:numPr>
              <w:spacing w:before="0" w:after="160"/>
              <w:contextualSpacing/>
              <w:rPr>
                <w:rFonts w:eastAsia="Arial" w:cs="Arial"/>
                <w:bCs/>
                <w:color w:val="auto"/>
                <w:szCs w:val="24"/>
                <w:lang w:eastAsia="en-US"/>
              </w:rPr>
            </w:pPr>
            <w:r w:rsidRPr="003C7E62">
              <w:rPr>
                <w:rFonts w:cs="Arial"/>
                <w:bCs/>
                <w:color w:val="auto"/>
                <w:szCs w:val="24"/>
                <w:lang w:eastAsia="en-US"/>
              </w:rPr>
              <w:t>P</w:t>
            </w:r>
            <w:r w:rsidRPr="003C7E62">
              <w:rPr>
                <w:rFonts w:eastAsia="Arial" w:cs="Arial"/>
                <w:bCs/>
                <w:color w:val="auto"/>
                <w:szCs w:val="24"/>
                <w:lang w:eastAsia="en-US"/>
              </w:rPr>
              <w:t>oses a significant risk to the quality of the groundwater in the principal aquifers or in groundwater source protection zones.</w:t>
            </w:r>
          </w:p>
          <w:p w14:paraId="771BDC52" w14:textId="77777777" w:rsidR="00364693" w:rsidRPr="003C7E62" w:rsidRDefault="00364693" w:rsidP="004575AD">
            <w:pPr>
              <w:keepNext w:val="0"/>
              <w:spacing w:before="0"/>
              <w:ind w:left="720"/>
              <w:contextualSpacing/>
              <w:rPr>
                <w:rFonts w:eastAsia="Arial" w:cs="Arial"/>
                <w:bCs/>
                <w:color w:val="auto"/>
                <w:szCs w:val="24"/>
                <w:lang w:eastAsia="en-US"/>
              </w:rPr>
            </w:pPr>
          </w:p>
          <w:p w14:paraId="02E02B5B" w14:textId="16F5AE0B" w:rsidR="00364693" w:rsidRPr="003C7E62" w:rsidRDefault="00364693" w:rsidP="00874A98">
            <w:pPr>
              <w:keepNext w:val="0"/>
              <w:numPr>
                <w:ilvl w:val="0"/>
                <w:numId w:val="114"/>
              </w:numPr>
              <w:spacing w:before="0" w:after="160"/>
              <w:contextualSpacing/>
              <w:rPr>
                <w:rFonts w:eastAsia="Arial" w:cs="Arial"/>
                <w:bCs/>
                <w:color w:val="auto"/>
                <w:szCs w:val="24"/>
                <w:lang w:eastAsia="en-US"/>
              </w:rPr>
            </w:pPr>
            <w:r w:rsidRPr="003C7E62">
              <w:rPr>
                <w:rFonts w:eastAsia="Arial" w:cs="Arial"/>
                <w:bCs/>
                <w:color w:val="auto"/>
                <w:szCs w:val="24"/>
                <w:lang w:eastAsia="en-US"/>
              </w:rPr>
              <w:t>Fail</w:t>
            </w:r>
            <w:r w:rsidR="004575AD" w:rsidRPr="003C7E62">
              <w:rPr>
                <w:rFonts w:eastAsia="Arial" w:cs="Arial"/>
                <w:bCs/>
                <w:color w:val="auto"/>
                <w:szCs w:val="24"/>
                <w:lang w:eastAsia="en-US"/>
              </w:rPr>
              <w:t>s</w:t>
            </w:r>
            <w:r w:rsidRPr="003C7E62">
              <w:rPr>
                <w:rFonts w:eastAsia="Arial" w:cs="Arial"/>
                <w:bCs/>
                <w:color w:val="auto"/>
                <w:szCs w:val="24"/>
                <w:lang w:eastAsia="en-US"/>
              </w:rPr>
              <w:t xml:space="preserve"> to minimise the impact on the natural water environment. The Council will seek opportunities to restore and enhance all watercourses, to improve water quality and to extend the connectivity and biological complexity of watercourses and their wider environment.</w:t>
            </w:r>
          </w:p>
          <w:p w14:paraId="6CEBF562" w14:textId="77777777" w:rsidR="00364693" w:rsidRPr="003C7E62" w:rsidRDefault="00364693" w:rsidP="004575AD">
            <w:pPr>
              <w:keepNext w:val="0"/>
              <w:spacing w:before="0"/>
              <w:ind w:left="720" w:right="284"/>
              <w:contextualSpacing/>
              <w:rPr>
                <w:rFonts w:eastAsia="Arial" w:cs="Arial"/>
                <w:bCs/>
                <w:color w:val="auto"/>
                <w:szCs w:val="24"/>
                <w:lang w:eastAsia="en-US"/>
              </w:rPr>
            </w:pPr>
          </w:p>
          <w:p w14:paraId="33319AB4" w14:textId="589EB33D" w:rsidR="00364693" w:rsidRPr="003C7E62" w:rsidRDefault="00364693" w:rsidP="00874A98">
            <w:pPr>
              <w:keepNext w:val="0"/>
              <w:numPr>
                <w:ilvl w:val="0"/>
                <w:numId w:val="113"/>
              </w:numPr>
              <w:spacing w:before="0" w:after="160"/>
              <w:ind w:right="284"/>
              <w:contextualSpacing/>
              <w:rPr>
                <w:rFonts w:eastAsia="Arial" w:cs="Arial"/>
                <w:bCs/>
                <w:color w:val="auto"/>
                <w:szCs w:val="24"/>
                <w:lang w:eastAsia="en-US"/>
              </w:rPr>
            </w:pPr>
            <w:r w:rsidRPr="003C7E62">
              <w:rPr>
                <w:rFonts w:eastAsia="Arial" w:cs="Arial"/>
                <w:bCs/>
                <w:color w:val="auto"/>
                <w:szCs w:val="24"/>
                <w:lang w:eastAsia="en-US"/>
              </w:rPr>
              <w:t>Ha</w:t>
            </w:r>
            <w:r w:rsidR="004575AD" w:rsidRPr="003C7E62">
              <w:rPr>
                <w:rFonts w:eastAsia="Arial" w:cs="Arial"/>
                <w:bCs/>
                <w:color w:val="auto"/>
                <w:szCs w:val="24"/>
                <w:lang w:eastAsia="en-US"/>
              </w:rPr>
              <w:t>s</w:t>
            </w:r>
            <w:r w:rsidRPr="003C7E62">
              <w:rPr>
                <w:rFonts w:eastAsia="Arial" w:cs="Arial"/>
                <w:bCs/>
                <w:color w:val="auto"/>
                <w:szCs w:val="24"/>
                <w:lang w:eastAsia="en-US"/>
              </w:rPr>
              <w:t xml:space="preserve"> an adverse effect on the natural watercourse profile.</w:t>
            </w:r>
          </w:p>
          <w:p w14:paraId="1108BDBD" w14:textId="77777777" w:rsidR="00364693" w:rsidRPr="003C7E62" w:rsidRDefault="00364693" w:rsidP="004575AD">
            <w:pPr>
              <w:keepNext w:val="0"/>
              <w:spacing w:before="0"/>
              <w:ind w:left="1080" w:right="284"/>
              <w:contextualSpacing/>
              <w:rPr>
                <w:rFonts w:eastAsia="Arial" w:cs="Arial"/>
                <w:bCs/>
                <w:color w:val="auto"/>
                <w:szCs w:val="24"/>
                <w:lang w:eastAsia="en-US"/>
              </w:rPr>
            </w:pPr>
          </w:p>
          <w:p w14:paraId="1763C70A" w14:textId="52979B61" w:rsidR="00364693" w:rsidRPr="003C7E62" w:rsidRDefault="004575AD" w:rsidP="00874A98">
            <w:pPr>
              <w:keepNext w:val="0"/>
              <w:numPr>
                <w:ilvl w:val="0"/>
                <w:numId w:val="113"/>
              </w:numPr>
              <w:spacing w:before="0" w:after="160"/>
              <w:ind w:right="284"/>
              <w:contextualSpacing/>
              <w:rPr>
                <w:rFonts w:eastAsia="Arial" w:cs="Arial"/>
                <w:bCs/>
                <w:color w:val="auto"/>
                <w:szCs w:val="24"/>
                <w:lang w:eastAsia="en-US"/>
              </w:rPr>
            </w:pPr>
            <w:r w:rsidRPr="003C7E62">
              <w:rPr>
                <w:rFonts w:eastAsia="Arial" w:cs="Arial"/>
                <w:bCs/>
                <w:color w:val="auto"/>
                <w:szCs w:val="24"/>
                <w:lang w:eastAsia="en-US"/>
              </w:rPr>
              <w:t>Is n</w:t>
            </w:r>
            <w:r w:rsidR="00364693" w:rsidRPr="003C7E62">
              <w:rPr>
                <w:rFonts w:eastAsia="Arial" w:cs="Arial"/>
                <w:bCs/>
                <w:color w:val="auto"/>
                <w:szCs w:val="24"/>
                <w:lang w:eastAsia="en-US"/>
              </w:rPr>
              <w:t>ot set back by an appropriate distance from a watercourse to allow access for riparian owners and to enhance habitat and ecological benefits.</w:t>
            </w:r>
          </w:p>
          <w:p w14:paraId="69D79A21" w14:textId="77777777" w:rsidR="00364693" w:rsidRPr="003C7E62" w:rsidRDefault="00364693" w:rsidP="004575AD">
            <w:pPr>
              <w:keepNext w:val="0"/>
              <w:spacing w:before="0"/>
              <w:ind w:left="720"/>
              <w:contextualSpacing/>
              <w:rPr>
                <w:rFonts w:eastAsia="Arial" w:cs="Arial"/>
                <w:bCs/>
                <w:color w:val="auto"/>
                <w:szCs w:val="24"/>
                <w:lang w:eastAsia="en-US"/>
              </w:rPr>
            </w:pPr>
          </w:p>
          <w:p w14:paraId="5479BDFB" w14:textId="77777777" w:rsidR="00364693" w:rsidRPr="003C7E62" w:rsidRDefault="00364693" w:rsidP="00874A98">
            <w:pPr>
              <w:keepNext w:val="0"/>
              <w:numPr>
                <w:ilvl w:val="0"/>
                <w:numId w:val="112"/>
              </w:numPr>
              <w:spacing w:before="0" w:after="160"/>
              <w:ind w:right="284"/>
              <w:contextualSpacing/>
              <w:rPr>
                <w:rFonts w:eastAsia="Arial" w:cs="Arial"/>
                <w:bCs/>
                <w:color w:val="auto"/>
                <w:szCs w:val="24"/>
                <w:lang w:eastAsia="en-US"/>
              </w:rPr>
            </w:pPr>
            <w:r w:rsidRPr="003C7E62">
              <w:rPr>
                <w:rFonts w:eastAsia="Arial" w:cs="Arial"/>
                <w:bCs/>
                <w:color w:val="auto"/>
                <w:szCs w:val="24"/>
                <w:lang w:eastAsia="en-US"/>
              </w:rPr>
              <w:t xml:space="preserve">Development located in the proximity or upstream of water related environmentally significant sites will be required to demonstrate that it will not have an adverse effect on the sites. </w:t>
            </w:r>
          </w:p>
          <w:p w14:paraId="5D7A2B8F" w14:textId="77777777" w:rsidR="00364693" w:rsidRPr="003C7E62" w:rsidRDefault="00364693" w:rsidP="004575AD">
            <w:pPr>
              <w:keepNext w:val="0"/>
              <w:spacing w:before="0"/>
              <w:ind w:left="360" w:right="284"/>
              <w:rPr>
                <w:rFonts w:eastAsia="Arial" w:cs="Arial"/>
                <w:bCs/>
                <w:color w:val="auto"/>
                <w:szCs w:val="24"/>
              </w:rPr>
            </w:pPr>
          </w:p>
          <w:p w14:paraId="3D31D2BF" w14:textId="7FC03306" w:rsidR="00DE2722" w:rsidRPr="00D810CA" w:rsidRDefault="00400B3D" w:rsidP="00874A98">
            <w:pPr>
              <w:keepNext w:val="0"/>
              <w:numPr>
                <w:ilvl w:val="0"/>
                <w:numId w:val="112"/>
              </w:numPr>
              <w:spacing w:before="0" w:after="160"/>
              <w:ind w:right="284"/>
              <w:contextualSpacing/>
              <w:rPr>
                <w:rFonts w:eastAsia="Arial" w:cs="Arial"/>
                <w:bCs/>
                <w:szCs w:val="24"/>
                <w:lang w:eastAsia="en-US"/>
              </w:rPr>
            </w:pPr>
            <w:r w:rsidRPr="00D810CA">
              <w:t>A Construction Phase Management Plan should ensure that management of surface water during the construction phase mimics pre-construction conditions and does not increase the risk of flooding off site.</w:t>
            </w:r>
          </w:p>
          <w:p w14:paraId="14E60F72" w14:textId="77777777" w:rsidR="00400B3D" w:rsidRPr="00400B3D" w:rsidRDefault="00400B3D" w:rsidP="00400B3D">
            <w:pPr>
              <w:keepNext w:val="0"/>
              <w:spacing w:before="0" w:after="160"/>
              <w:ind w:right="284"/>
              <w:contextualSpacing/>
              <w:rPr>
                <w:rFonts w:eastAsia="Arial" w:cs="Arial"/>
                <w:bCs/>
                <w:color w:val="auto"/>
                <w:szCs w:val="24"/>
                <w:lang w:eastAsia="en-US"/>
              </w:rPr>
            </w:pPr>
          </w:p>
          <w:p w14:paraId="3B6ECAF2" w14:textId="0FAC6207" w:rsidR="00DE2722" w:rsidRPr="003C7E62" w:rsidRDefault="004575AD" w:rsidP="00874A98">
            <w:pPr>
              <w:keepNext w:val="0"/>
              <w:numPr>
                <w:ilvl w:val="0"/>
                <w:numId w:val="107"/>
              </w:numPr>
              <w:tabs>
                <w:tab w:val="left" w:pos="680"/>
                <w:tab w:val="left" w:pos="1133"/>
                <w:tab w:val="left" w:pos="2267"/>
              </w:tabs>
              <w:spacing w:before="0" w:after="120"/>
              <w:ind w:right="284"/>
              <w:contextualSpacing/>
              <w:rPr>
                <w:rFonts w:eastAsia="Arial" w:cs="Arial"/>
                <w:bCs/>
                <w:color w:val="auto"/>
                <w:szCs w:val="24"/>
              </w:rPr>
            </w:pPr>
            <w:r w:rsidRPr="003C7E62">
              <w:rPr>
                <w:rFonts w:eastAsia="Arial" w:cs="Arial"/>
                <w:bCs/>
                <w:color w:val="auto"/>
              </w:rPr>
              <w:t xml:space="preserve">In relation to </w:t>
            </w:r>
            <w:r w:rsidR="00DE2722" w:rsidRPr="003C7E62">
              <w:rPr>
                <w:rFonts w:eastAsia="Arial" w:cs="Arial"/>
                <w:bCs/>
                <w:color w:val="auto"/>
              </w:rPr>
              <w:t>Water Efficiency</w:t>
            </w:r>
            <w:r w:rsidRPr="003C7E62">
              <w:rPr>
                <w:rFonts w:eastAsia="Arial" w:cs="Arial"/>
                <w:bCs/>
                <w:color w:val="auto"/>
              </w:rPr>
              <w:t>:</w:t>
            </w:r>
          </w:p>
          <w:p w14:paraId="246C6C6C" w14:textId="77777777" w:rsidR="00364693" w:rsidRPr="003C7E62" w:rsidRDefault="00364693" w:rsidP="004575AD">
            <w:pPr>
              <w:keepNext w:val="0"/>
              <w:tabs>
                <w:tab w:val="left" w:pos="680"/>
                <w:tab w:val="left" w:pos="1133"/>
                <w:tab w:val="left" w:pos="2267"/>
              </w:tabs>
              <w:spacing w:before="0"/>
              <w:ind w:left="360" w:right="284"/>
              <w:rPr>
                <w:rFonts w:eastAsia="Arial" w:cs="Arial"/>
                <w:bCs/>
                <w:color w:val="auto"/>
              </w:rPr>
            </w:pPr>
          </w:p>
          <w:p w14:paraId="6E884226" w14:textId="77777777" w:rsidR="00364693" w:rsidRPr="003C7E62" w:rsidRDefault="00364693" w:rsidP="00874A98">
            <w:pPr>
              <w:keepNext w:val="0"/>
              <w:numPr>
                <w:ilvl w:val="0"/>
                <w:numId w:val="115"/>
              </w:numPr>
              <w:spacing w:before="0" w:after="160"/>
              <w:ind w:right="284"/>
              <w:contextualSpacing/>
              <w:rPr>
                <w:rFonts w:eastAsia="Arial" w:cs="Arial"/>
                <w:bCs/>
                <w:color w:val="auto"/>
                <w:lang w:eastAsia="en-US"/>
              </w:rPr>
            </w:pPr>
            <w:r w:rsidRPr="003C7E62">
              <w:rPr>
                <w:rFonts w:eastAsia="Arial" w:cs="Arial"/>
                <w:bCs/>
                <w:color w:val="auto"/>
                <w:lang w:eastAsia="en-US"/>
              </w:rPr>
              <w:t xml:space="preserve">Residential development proposals will implement water efficiency measures to minimise water consumption, to achieve a requirement of not exceeding 110 litres per person per day. </w:t>
            </w:r>
          </w:p>
          <w:p w14:paraId="7C5EA09D" w14:textId="77777777" w:rsidR="00364693" w:rsidRPr="003C7E62" w:rsidRDefault="00364693" w:rsidP="004575AD">
            <w:pPr>
              <w:keepNext w:val="0"/>
              <w:spacing w:before="0"/>
              <w:ind w:left="720" w:right="284"/>
              <w:contextualSpacing/>
              <w:rPr>
                <w:rFonts w:eastAsia="Arial" w:cs="Arial"/>
                <w:bCs/>
                <w:color w:val="auto"/>
                <w:lang w:eastAsia="en-US"/>
              </w:rPr>
            </w:pPr>
          </w:p>
          <w:p w14:paraId="5544AE21" w14:textId="77777777" w:rsidR="00364693" w:rsidRPr="003C7E62" w:rsidRDefault="00364693" w:rsidP="00874A98">
            <w:pPr>
              <w:keepNext w:val="0"/>
              <w:numPr>
                <w:ilvl w:val="0"/>
                <w:numId w:val="115"/>
              </w:numPr>
              <w:spacing w:before="0" w:after="160"/>
              <w:ind w:right="284"/>
              <w:contextualSpacing/>
              <w:rPr>
                <w:rFonts w:eastAsia="Arial" w:cs="Arial"/>
                <w:bCs/>
                <w:color w:val="auto"/>
                <w:lang w:eastAsia="en-US"/>
              </w:rPr>
            </w:pPr>
            <w:r w:rsidRPr="003C7E62">
              <w:rPr>
                <w:rFonts w:eastAsia="Arial" w:cs="Arial"/>
                <w:bCs/>
                <w:color w:val="auto"/>
                <w:lang w:eastAsia="en-US"/>
              </w:rPr>
              <w:t>Business/ Commercial development should seek to be water efficient, which can be demonstrated through the British Research Establishment Environmental Assessment Methodology (BREEAM) standards.</w:t>
            </w:r>
          </w:p>
          <w:p w14:paraId="46D91502" w14:textId="77777777" w:rsidR="00364693" w:rsidRPr="003C7E62" w:rsidRDefault="00364693" w:rsidP="004575AD">
            <w:pPr>
              <w:keepNext w:val="0"/>
              <w:spacing w:before="0"/>
              <w:ind w:left="720" w:right="284"/>
              <w:contextualSpacing/>
              <w:rPr>
                <w:rFonts w:eastAsia="Arial" w:cs="Arial"/>
                <w:bCs/>
                <w:color w:val="auto"/>
                <w:lang w:eastAsia="en-US"/>
              </w:rPr>
            </w:pPr>
          </w:p>
          <w:p w14:paraId="41118C62" w14:textId="77777777" w:rsidR="00364693" w:rsidRPr="00D810CA" w:rsidRDefault="00364693" w:rsidP="00874A98">
            <w:pPr>
              <w:keepNext w:val="0"/>
              <w:numPr>
                <w:ilvl w:val="0"/>
                <w:numId w:val="115"/>
              </w:numPr>
              <w:spacing w:before="0" w:after="160"/>
              <w:ind w:right="284"/>
              <w:contextualSpacing/>
              <w:rPr>
                <w:rFonts w:eastAsia="Arial" w:cs="Arial"/>
                <w:color w:val="auto"/>
                <w:sz w:val="22"/>
                <w:szCs w:val="22"/>
              </w:rPr>
            </w:pPr>
            <w:r w:rsidRPr="003C7E62">
              <w:rPr>
                <w:rFonts w:eastAsia="Arial" w:cs="Arial"/>
                <w:bCs/>
                <w:color w:val="auto"/>
                <w:szCs w:val="24"/>
                <w:lang w:eastAsia="en-US"/>
              </w:rPr>
              <w:t>New development that incorporates water efficient features and equipment will be supported and encouraged.  Rainwater should be harvested and retained for re-use on site as ‘grey water’.</w:t>
            </w:r>
          </w:p>
          <w:p w14:paraId="74266455" w14:textId="45C1DF76" w:rsidR="00D810CA" w:rsidRPr="003C7E62" w:rsidRDefault="00D810CA" w:rsidP="00D810CA">
            <w:pPr>
              <w:keepNext w:val="0"/>
              <w:spacing w:before="0" w:after="160"/>
              <w:ind w:right="284"/>
              <w:contextualSpacing/>
              <w:rPr>
                <w:rFonts w:eastAsia="Arial" w:cs="Arial"/>
                <w:color w:val="auto"/>
                <w:sz w:val="22"/>
                <w:szCs w:val="22"/>
              </w:rPr>
            </w:pPr>
          </w:p>
        </w:tc>
      </w:tr>
      <w:tr w:rsidR="00364693" w:rsidRPr="003C7E62" w14:paraId="0CA44283" w14:textId="77777777" w:rsidTr="005334C0">
        <w:tc>
          <w:tcPr>
            <w:tcW w:w="1766" w:type="dxa"/>
          </w:tcPr>
          <w:p w14:paraId="6C92773D" w14:textId="77777777" w:rsidR="00364693" w:rsidRPr="003C7E62" w:rsidRDefault="00364693" w:rsidP="000032A9">
            <w:pPr>
              <w:keepNext w:val="0"/>
              <w:tabs>
                <w:tab w:val="left" w:pos="680"/>
                <w:tab w:val="left" w:pos="1133"/>
                <w:tab w:val="left" w:pos="2267"/>
              </w:tabs>
              <w:spacing w:before="0"/>
              <w:ind w:right="284"/>
              <w:jc w:val="both"/>
              <w:rPr>
                <w:rFonts w:eastAsia="Arial" w:cs="Arial"/>
                <w:b/>
                <w:color w:val="0070C0"/>
                <w:szCs w:val="24"/>
              </w:rPr>
            </w:pPr>
            <w:r w:rsidRPr="003C7E62">
              <w:rPr>
                <w:rFonts w:eastAsia="Arial" w:cs="Arial"/>
                <w:bCs/>
                <w:color w:val="auto"/>
                <w:sz w:val="22"/>
                <w:szCs w:val="22"/>
                <w:lang w:eastAsia="en-US"/>
              </w:rPr>
              <w:t>Evidence base</w:t>
            </w:r>
          </w:p>
        </w:tc>
        <w:tc>
          <w:tcPr>
            <w:tcW w:w="7868" w:type="dxa"/>
            <w:gridSpan w:val="2"/>
          </w:tcPr>
          <w:p w14:paraId="49F53E65" w14:textId="0ED5535E" w:rsidR="00364693" w:rsidRPr="00D810CA" w:rsidRDefault="00364693" w:rsidP="00FF3EAD">
            <w:pPr>
              <w:keepNext w:val="0"/>
              <w:numPr>
                <w:ilvl w:val="0"/>
                <w:numId w:val="13"/>
              </w:numPr>
              <w:tabs>
                <w:tab w:val="left" w:pos="680"/>
                <w:tab w:val="left" w:pos="1133"/>
                <w:tab w:val="left" w:pos="2267"/>
              </w:tabs>
              <w:spacing w:before="0" w:after="160" w:line="252" w:lineRule="auto"/>
              <w:ind w:right="284"/>
              <w:contextualSpacing/>
              <w:rPr>
                <w:rFonts w:eastAsia="Arial" w:cs="Arial"/>
                <w:bCs/>
                <w:sz w:val="20"/>
                <w:szCs w:val="22"/>
                <w:lang w:eastAsia="en-US"/>
              </w:rPr>
            </w:pPr>
            <w:r w:rsidRPr="003C7E62">
              <w:rPr>
                <w:rFonts w:eastAsia="Arial" w:cs="Arial"/>
                <w:bCs/>
                <w:color w:val="auto"/>
                <w:sz w:val="20"/>
                <w:szCs w:val="22"/>
                <w:lang w:eastAsia="en-US"/>
              </w:rPr>
              <w:t xml:space="preserve">Sustainability Appraisal, </w:t>
            </w:r>
            <w:r w:rsidRPr="00D810CA">
              <w:rPr>
                <w:rFonts w:eastAsia="Arial" w:cs="Arial"/>
                <w:bCs/>
                <w:sz w:val="20"/>
                <w:szCs w:val="22"/>
                <w:lang w:eastAsia="en-US"/>
              </w:rPr>
              <w:t>202</w:t>
            </w:r>
            <w:r w:rsidR="00B80DEC" w:rsidRPr="00D810CA">
              <w:rPr>
                <w:rFonts w:eastAsia="Arial" w:cs="Arial"/>
                <w:bCs/>
                <w:sz w:val="20"/>
                <w:szCs w:val="22"/>
                <w:lang w:eastAsia="en-US"/>
              </w:rPr>
              <w:t>3</w:t>
            </w:r>
            <w:r w:rsidRPr="00D810CA">
              <w:rPr>
                <w:rFonts w:eastAsia="Arial" w:cs="Arial"/>
                <w:bCs/>
                <w:sz w:val="20"/>
                <w:szCs w:val="22"/>
                <w:lang w:eastAsia="en-US"/>
              </w:rPr>
              <w:t xml:space="preserve">. </w:t>
            </w:r>
            <w:r w:rsidR="00B80DEC" w:rsidRPr="00D810CA">
              <w:rPr>
                <w:rFonts w:eastAsia="Arial" w:cs="Arial"/>
                <w:bCs/>
                <w:sz w:val="20"/>
                <w:szCs w:val="22"/>
                <w:lang w:eastAsia="en-US"/>
              </w:rPr>
              <w:t>WSP UK Limited</w:t>
            </w:r>
            <w:r w:rsidRPr="00D810CA">
              <w:rPr>
                <w:rFonts w:eastAsia="Arial" w:cs="Arial"/>
                <w:bCs/>
                <w:sz w:val="20"/>
                <w:szCs w:val="22"/>
                <w:lang w:eastAsia="en-US"/>
              </w:rPr>
              <w:t xml:space="preserve">. </w:t>
            </w:r>
          </w:p>
          <w:p w14:paraId="60677D6F" w14:textId="43FDF397" w:rsidR="00364693" w:rsidRPr="00D810CA" w:rsidRDefault="00364693" w:rsidP="00FF3EAD">
            <w:pPr>
              <w:keepNext w:val="0"/>
              <w:numPr>
                <w:ilvl w:val="0"/>
                <w:numId w:val="13"/>
              </w:numPr>
              <w:tabs>
                <w:tab w:val="left" w:pos="680"/>
                <w:tab w:val="left" w:pos="1133"/>
                <w:tab w:val="left" w:pos="2267"/>
              </w:tabs>
              <w:spacing w:before="0" w:after="160" w:line="252" w:lineRule="auto"/>
              <w:ind w:right="284"/>
              <w:contextualSpacing/>
              <w:rPr>
                <w:rFonts w:eastAsia="Arial" w:cs="Arial"/>
                <w:bCs/>
                <w:sz w:val="20"/>
              </w:rPr>
            </w:pPr>
            <w:r w:rsidRPr="00D810CA">
              <w:rPr>
                <w:rFonts w:eastAsia="Arial" w:cs="Arial"/>
                <w:bCs/>
                <w:sz w:val="20"/>
                <w:szCs w:val="22"/>
                <w:lang w:eastAsia="en-US"/>
              </w:rPr>
              <w:t>Humber River Basin Management Plan.  Environment Agency</w:t>
            </w:r>
            <w:r w:rsidR="0008379F" w:rsidRPr="00D810CA">
              <w:rPr>
                <w:rFonts w:eastAsia="Arial" w:cs="Arial"/>
                <w:bCs/>
                <w:sz w:val="20"/>
                <w:szCs w:val="22"/>
                <w:lang w:eastAsia="en-US"/>
              </w:rPr>
              <w:t>.</w:t>
            </w:r>
          </w:p>
          <w:p w14:paraId="1D7E603A" w14:textId="072767F9" w:rsidR="0008379F" w:rsidRPr="00D810CA" w:rsidRDefault="0008379F" w:rsidP="00FF3EAD">
            <w:pPr>
              <w:keepNext w:val="0"/>
              <w:numPr>
                <w:ilvl w:val="0"/>
                <w:numId w:val="13"/>
              </w:numPr>
              <w:tabs>
                <w:tab w:val="left" w:pos="680"/>
                <w:tab w:val="left" w:pos="1133"/>
                <w:tab w:val="left" w:pos="2267"/>
              </w:tabs>
              <w:spacing w:before="0" w:after="160" w:line="252" w:lineRule="auto"/>
              <w:ind w:right="284"/>
              <w:contextualSpacing/>
              <w:rPr>
                <w:rFonts w:eastAsia="Arial" w:cs="Arial"/>
                <w:bCs/>
                <w:sz w:val="20"/>
              </w:rPr>
            </w:pPr>
            <w:r w:rsidRPr="00D810CA">
              <w:rPr>
                <w:rFonts w:eastAsia="Arial" w:cs="Arial"/>
                <w:bCs/>
                <w:sz w:val="20"/>
              </w:rPr>
              <w:t>Humber river basin district river management plan: updated 2022 Environment Agency.</w:t>
            </w:r>
          </w:p>
          <w:p w14:paraId="4963C8D8" w14:textId="28364F76" w:rsidR="0008379F" w:rsidRPr="00D810CA" w:rsidRDefault="0008379F" w:rsidP="00FF3EAD">
            <w:pPr>
              <w:keepNext w:val="0"/>
              <w:numPr>
                <w:ilvl w:val="0"/>
                <w:numId w:val="13"/>
              </w:numPr>
              <w:tabs>
                <w:tab w:val="left" w:pos="680"/>
                <w:tab w:val="left" w:pos="1133"/>
                <w:tab w:val="left" w:pos="2267"/>
              </w:tabs>
              <w:spacing w:before="0" w:after="160" w:line="252" w:lineRule="auto"/>
              <w:ind w:right="284"/>
              <w:contextualSpacing/>
              <w:rPr>
                <w:rFonts w:eastAsia="Arial" w:cs="Arial"/>
                <w:bCs/>
                <w:sz w:val="20"/>
              </w:rPr>
            </w:pPr>
            <w:r w:rsidRPr="00D810CA">
              <w:rPr>
                <w:rFonts w:eastAsia="Arial" w:cs="Arial"/>
                <w:bCs/>
                <w:sz w:val="20"/>
              </w:rPr>
              <w:t>Drought Plan 2022-2027 Severn Trent Water.</w:t>
            </w:r>
          </w:p>
          <w:p w14:paraId="5E0F8237" w14:textId="614DF1AC" w:rsidR="00F11A72" w:rsidRPr="00D810CA" w:rsidRDefault="00F11A72" w:rsidP="00FF3EAD">
            <w:pPr>
              <w:keepNext w:val="0"/>
              <w:numPr>
                <w:ilvl w:val="0"/>
                <w:numId w:val="13"/>
              </w:numPr>
              <w:tabs>
                <w:tab w:val="left" w:pos="680"/>
                <w:tab w:val="left" w:pos="1133"/>
                <w:tab w:val="left" w:pos="2267"/>
              </w:tabs>
              <w:spacing w:before="0" w:after="160" w:line="252" w:lineRule="auto"/>
              <w:ind w:right="284"/>
              <w:contextualSpacing/>
              <w:rPr>
                <w:rFonts w:eastAsia="Arial" w:cs="Arial"/>
                <w:bCs/>
                <w:sz w:val="20"/>
              </w:rPr>
            </w:pPr>
            <w:r w:rsidRPr="00D810CA">
              <w:rPr>
                <w:rFonts w:eastAsia="Arial" w:cs="Arial"/>
                <w:bCs/>
                <w:sz w:val="20"/>
              </w:rPr>
              <w:t>Water stressed areas – final classification 2021 Environmental Agency.</w:t>
            </w:r>
          </w:p>
          <w:p w14:paraId="7D43F5DE" w14:textId="649BD5BE" w:rsidR="00364693" w:rsidRPr="00D810CA" w:rsidRDefault="00364693" w:rsidP="00FF3EAD">
            <w:pPr>
              <w:keepNext w:val="0"/>
              <w:numPr>
                <w:ilvl w:val="0"/>
                <w:numId w:val="13"/>
              </w:numPr>
              <w:tabs>
                <w:tab w:val="left" w:pos="680"/>
                <w:tab w:val="left" w:pos="1133"/>
                <w:tab w:val="left" w:pos="2267"/>
              </w:tabs>
              <w:spacing w:before="0" w:after="160" w:line="252" w:lineRule="auto"/>
              <w:ind w:right="284"/>
              <w:contextualSpacing/>
              <w:rPr>
                <w:rFonts w:eastAsia="Arial" w:cs="Arial"/>
                <w:bCs/>
                <w:sz w:val="20"/>
              </w:rPr>
            </w:pPr>
            <w:r w:rsidRPr="00D810CA">
              <w:rPr>
                <w:rFonts w:eastAsia="Arial" w:cs="Arial"/>
                <w:bCs/>
                <w:sz w:val="20"/>
                <w:szCs w:val="22"/>
                <w:lang w:eastAsia="en-US"/>
              </w:rPr>
              <w:t xml:space="preserve">Greater Nottingham and Ashfield Outline Water Cycle Study 2010 - </w:t>
            </w:r>
            <w:proofErr w:type="spellStart"/>
            <w:r w:rsidRPr="00D810CA">
              <w:rPr>
                <w:rFonts w:eastAsia="Arial" w:cs="Arial"/>
                <w:bCs/>
                <w:sz w:val="20"/>
                <w:szCs w:val="22"/>
                <w:lang w:eastAsia="en-US"/>
              </w:rPr>
              <w:t>Entec</w:t>
            </w:r>
            <w:proofErr w:type="spellEnd"/>
            <w:r w:rsidRPr="00D810CA">
              <w:rPr>
                <w:rFonts w:eastAsia="Arial" w:cs="Arial"/>
                <w:bCs/>
                <w:sz w:val="20"/>
                <w:szCs w:val="22"/>
                <w:lang w:eastAsia="en-US"/>
              </w:rPr>
              <w:t xml:space="preserve"> Ltd.</w:t>
            </w:r>
          </w:p>
          <w:p w14:paraId="333C5117" w14:textId="77777777" w:rsidR="00364693" w:rsidRPr="00D810CA" w:rsidRDefault="00364693" w:rsidP="00FF3EAD">
            <w:pPr>
              <w:keepNext w:val="0"/>
              <w:numPr>
                <w:ilvl w:val="0"/>
                <w:numId w:val="13"/>
              </w:numPr>
              <w:tabs>
                <w:tab w:val="left" w:pos="680"/>
                <w:tab w:val="left" w:pos="1133"/>
                <w:tab w:val="left" w:pos="2267"/>
              </w:tabs>
              <w:spacing w:before="0" w:after="160" w:line="252" w:lineRule="auto"/>
              <w:ind w:right="284"/>
              <w:contextualSpacing/>
              <w:rPr>
                <w:rFonts w:eastAsia="Arial" w:cs="Arial"/>
                <w:bCs/>
                <w:sz w:val="20"/>
              </w:rPr>
            </w:pPr>
            <w:r w:rsidRPr="00D810CA">
              <w:rPr>
                <w:rFonts w:eastAsia="Arial" w:cs="Arial"/>
                <w:bCs/>
                <w:sz w:val="20"/>
              </w:rPr>
              <w:t>Ashfield Biodiversity Opportunity Mapping Project 2016. Notts BAG.</w:t>
            </w:r>
            <w:r w:rsidRPr="00D810CA">
              <w:rPr>
                <w:rFonts w:eastAsia="Calibri" w:cs="Arial"/>
                <w:szCs w:val="22"/>
                <w:lang w:eastAsia="en-US"/>
              </w:rPr>
              <w:t xml:space="preserve"> </w:t>
            </w:r>
            <w:r w:rsidRPr="00D810CA">
              <w:rPr>
                <w:rFonts w:eastAsia="Arial" w:cs="Arial"/>
                <w:bCs/>
                <w:sz w:val="20"/>
              </w:rPr>
              <w:t>Ashfield District Council .</w:t>
            </w:r>
          </w:p>
          <w:p w14:paraId="2FFFDB0F" w14:textId="14E4F48A" w:rsidR="00364693" w:rsidRPr="00D810CA" w:rsidRDefault="00364693" w:rsidP="00FF3EAD">
            <w:pPr>
              <w:keepNext w:val="0"/>
              <w:numPr>
                <w:ilvl w:val="0"/>
                <w:numId w:val="13"/>
              </w:numPr>
              <w:tabs>
                <w:tab w:val="left" w:pos="680"/>
                <w:tab w:val="left" w:pos="1133"/>
                <w:tab w:val="left" w:pos="2267"/>
              </w:tabs>
              <w:spacing w:before="0" w:after="160" w:line="252" w:lineRule="auto"/>
              <w:ind w:right="284"/>
              <w:contextualSpacing/>
              <w:rPr>
                <w:rFonts w:eastAsia="Arial" w:cs="Arial"/>
                <w:bCs/>
                <w:sz w:val="20"/>
              </w:rPr>
            </w:pPr>
            <w:r w:rsidRPr="00D810CA">
              <w:rPr>
                <w:rFonts w:eastAsia="Arial" w:cs="Arial"/>
                <w:bCs/>
                <w:sz w:val="20"/>
              </w:rPr>
              <w:t>Strategic Flood Risk Assessment Level 1, 20</w:t>
            </w:r>
            <w:r w:rsidR="00B80DEC" w:rsidRPr="00D810CA">
              <w:rPr>
                <w:rFonts w:eastAsia="Arial" w:cs="Arial"/>
                <w:bCs/>
                <w:sz w:val="20"/>
              </w:rPr>
              <w:t>23</w:t>
            </w:r>
            <w:r w:rsidRPr="00D810CA">
              <w:rPr>
                <w:rFonts w:eastAsia="Arial" w:cs="Arial"/>
                <w:bCs/>
                <w:sz w:val="20"/>
              </w:rPr>
              <w:t xml:space="preserve"> - Ashfield District Council </w:t>
            </w:r>
          </w:p>
          <w:p w14:paraId="1D3B4CCC" w14:textId="77777777" w:rsidR="00AC3244" w:rsidRPr="00AC3244" w:rsidRDefault="00AC3244" w:rsidP="00AC3244">
            <w:pPr>
              <w:keepNext w:val="0"/>
              <w:numPr>
                <w:ilvl w:val="0"/>
                <w:numId w:val="13"/>
              </w:numPr>
              <w:tabs>
                <w:tab w:val="left" w:pos="680"/>
                <w:tab w:val="left" w:pos="1133"/>
                <w:tab w:val="left" w:pos="2267"/>
              </w:tabs>
              <w:spacing w:before="0" w:after="160" w:line="252" w:lineRule="auto"/>
              <w:ind w:right="284"/>
              <w:contextualSpacing/>
              <w:rPr>
                <w:rFonts w:eastAsia="Arial" w:cs="Arial"/>
                <w:bCs/>
                <w:color w:val="auto"/>
                <w:sz w:val="20"/>
              </w:rPr>
            </w:pPr>
            <w:r w:rsidRPr="00AC3244">
              <w:rPr>
                <w:rFonts w:eastAsia="Arial" w:cs="Arial"/>
                <w:bCs/>
                <w:color w:val="auto"/>
                <w:sz w:val="20"/>
              </w:rPr>
              <w:t>Working with nature. Chief Scientist’s Group Report July 2022.  Environment Agency</w:t>
            </w:r>
          </w:p>
          <w:p w14:paraId="2BFFBA8B" w14:textId="06FDE20A" w:rsidR="00F11A72" w:rsidRPr="00F11A72" w:rsidRDefault="00AC3244" w:rsidP="00AC3244">
            <w:pPr>
              <w:keepNext w:val="0"/>
              <w:numPr>
                <w:ilvl w:val="0"/>
                <w:numId w:val="13"/>
              </w:numPr>
              <w:tabs>
                <w:tab w:val="left" w:pos="680"/>
                <w:tab w:val="left" w:pos="1133"/>
                <w:tab w:val="left" w:pos="2267"/>
              </w:tabs>
              <w:spacing w:before="0" w:after="160" w:line="252" w:lineRule="auto"/>
              <w:ind w:right="284"/>
              <w:contextualSpacing/>
              <w:rPr>
                <w:rFonts w:eastAsia="Arial" w:cs="Arial"/>
                <w:bCs/>
                <w:color w:val="auto"/>
                <w:sz w:val="20"/>
              </w:rPr>
            </w:pPr>
            <w:r w:rsidRPr="00AC3244">
              <w:rPr>
                <w:rFonts w:cs="Arial"/>
                <w:color w:val="auto"/>
                <w:sz w:val="20"/>
              </w:rPr>
              <w:t>Environment Agency Water Stressed Areas – final classification 2021, 1</w:t>
            </w:r>
            <w:r w:rsidRPr="00AC3244">
              <w:rPr>
                <w:rFonts w:cs="Arial"/>
                <w:color w:val="auto"/>
                <w:sz w:val="20"/>
                <w:vertAlign w:val="superscript"/>
              </w:rPr>
              <w:t>st</w:t>
            </w:r>
            <w:r w:rsidRPr="00AC3244">
              <w:rPr>
                <w:rFonts w:cs="Arial"/>
                <w:color w:val="auto"/>
                <w:sz w:val="20"/>
              </w:rPr>
              <w:t xml:space="preserve"> July 2021</w:t>
            </w:r>
          </w:p>
        </w:tc>
      </w:tr>
      <w:tr w:rsidR="00364693" w:rsidRPr="003C7E62" w14:paraId="050A9562" w14:textId="77777777" w:rsidTr="005334C0">
        <w:tc>
          <w:tcPr>
            <w:tcW w:w="1766" w:type="dxa"/>
          </w:tcPr>
          <w:p w14:paraId="1498512B" w14:textId="77777777" w:rsidR="00364693" w:rsidRPr="003C7E62" w:rsidRDefault="00364693" w:rsidP="000032A9">
            <w:pPr>
              <w:keepNext w:val="0"/>
              <w:spacing w:before="0"/>
              <w:jc w:val="both"/>
              <w:rPr>
                <w:rFonts w:cs="Arial"/>
                <w:color w:val="auto"/>
                <w:sz w:val="22"/>
              </w:rPr>
            </w:pPr>
            <w:r w:rsidRPr="003C7E62">
              <w:rPr>
                <w:rFonts w:eastAsia="Arial" w:cs="Arial"/>
                <w:bCs/>
                <w:color w:val="auto"/>
                <w:sz w:val="22"/>
                <w:szCs w:val="22"/>
                <w:lang w:eastAsia="en-US"/>
              </w:rPr>
              <w:t>National Planning Policy and Guidance</w:t>
            </w:r>
          </w:p>
        </w:tc>
        <w:tc>
          <w:tcPr>
            <w:tcW w:w="7868" w:type="dxa"/>
            <w:gridSpan w:val="2"/>
          </w:tcPr>
          <w:p w14:paraId="326E8D3A" w14:textId="0E50CB21" w:rsidR="00364693" w:rsidRPr="003C7E62" w:rsidRDefault="00364693" w:rsidP="00874A98">
            <w:pPr>
              <w:keepNext w:val="0"/>
              <w:numPr>
                <w:ilvl w:val="0"/>
                <w:numId w:val="119"/>
              </w:numPr>
              <w:tabs>
                <w:tab w:val="left" w:pos="680"/>
                <w:tab w:val="left" w:pos="1133"/>
                <w:tab w:val="left" w:pos="2267"/>
              </w:tabs>
              <w:spacing w:before="0" w:after="160" w:line="252" w:lineRule="auto"/>
              <w:ind w:right="284"/>
              <w:contextualSpacing/>
              <w:rPr>
                <w:rFonts w:eastAsia="Arial" w:cs="Arial"/>
                <w:bCs/>
                <w:color w:val="auto"/>
                <w:sz w:val="20"/>
                <w:lang w:eastAsia="en-US"/>
              </w:rPr>
            </w:pPr>
            <w:r w:rsidRPr="003C7E62">
              <w:rPr>
                <w:rFonts w:eastAsia="Arial" w:cs="Arial"/>
                <w:bCs/>
                <w:color w:val="auto"/>
                <w:sz w:val="20"/>
                <w:lang w:eastAsia="en-US"/>
              </w:rPr>
              <w:t>NPPF 202</w:t>
            </w:r>
            <w:r w:rsidR="004173E0">
              <w:rPr>
                <w:rFonts w:eastAsia="Arial" w:cs="Arial"/>
                <w:bCs/>
                <w:color w:val="auto"/>
                <w:sz w:val="20"/>
                <w:lang w:eastAsia="en-US"/>
              </w:rPr>
              <w:t>3</w:t>
            </w:r>
            <w:r w:rsidRPr="003C7E62">
              <w:rPr>
                <w:rFonts w:eastAsia="Arial" w:cs="Arial"/>
                <w:bCs/>
                <w:color w:val="auto"/>
                <w:sz w:val="20"/>
                <w:lang w:eastAsia="en-US"/>
              </w:rPr>
              <w:t>, Part 2: Achieving sustainable development.</w:t>
            </w:r>
          </w:p>
          <w:p w14:paraId="562CC329" w14:textId="68FA87E4" w:rsidR="00364693" w:rsidRPr="00D810CA" w:rsidRDefault="00364693" w:rsidP="00874A98">
            <w:pPr>
              <w:keepNext w:val="0"/>
              <w:numPr>
                <w:ilvl w:val="0"/>
                <w:numId w:val="119"/>
              </w:numPr>
              <w:spacing w:before="0" w:after="160" w:line="252" w:lineRule="auto"/>
              <w:contextualSpacing/>
              <w:rPr>
                <w:rFonts w:eastAsia="Arial" w:cs="Arial"/>
                <w:bCs/>
                <w:sz w:val="20"/>
              </w:rPr>
            </w:pPr>
            <w:r w:rsidRPr="003C7E62">
              <w:rPr>
                <w:rFonts w:eastAsia="Arial" w:cs="Arial"/>
                <w:bCs/>
                <w:color w:val="auto"/>
                <w:sz w:val="20"/>
              </w:rPr>
              <w:t>NPPF 202</w:t>
            </w:r>
            <w:r w:rsidR="004173E0">
              <w:rPr>
                <w:rFonts w:eastAsia="Arial" w:cs="Arial"/>
                <w:bCs/>
                <w:color w:val="auto"/>
                <w:sz w:val="20"/>
              </w:rPr>
              <w:t>3</w:t>
            </w:r>
            <w:r w:rsidRPr="003C7E62">
              <w:rPr>
                <w:rFonts w:eastAsia="Arial" w:cs="Arial"/>
                <w:bCs/>
                <w:color w:val="auto"/>
                <w:sz w:val="20"/>
              </w:rPr>
              <w:t>,</w:t>
            </w:r>
            <w:r w:rsidRPr="003C7E62">
              <w:rPr>
                <w:rFonts w:eastAsia="Calibri" w:cs="Arial"/>
                <w:color w:val="auto"/>
                <w:szCs w:val="22"/>
                <w:lang w:eastAsia="en-US"/>
              </w:rPr>
              <w:t xml:space="preserve"> </w:t>
            </w:r>
            <w:r w:rsidRPr="003C7E62">
              <w:rPr>
                <w:rFonts w:eastAsia="Arial" w:cs="Arial"/>
                <w:bCs/>
                <w:color w:val="auto"/>
                <w:sz w:val="20"/>
              </w:rPr>
              <w:t xml:space="preserve">Part 14: Meeting the challenge of climate change, flooding and coastal </w:t>
            </w:r>
            <w:r w:rsidRPr="00D810CA">
              <w:rPr>
                <w:rFonts w:eastAsia="Arial" w:cs="Arial"/>
                <w:bCs/>
                <w:sz w:val="20"/>
              </w:rPr>
              <w:t>change.</w:t>
            </w:r>
          </w:p>
          <w:p w14:paraId="0E47D49D" w14:textId="125437BC" w:rsidR="00364693" w:rsidRPr="00D810CA" w:rsidRDefault="00364693" w:rsidP="00874A98">
            <w:pPr>
              <w:keepNext w:val="0"/>
              <w:numPr>
                <w:ilvl w:val="0"/>
                <w:numId w:val="119"/>
              </w:numPr>
              <w:spacing w:before="0" w:after="160" w:line="252" w:lineRule="auto"/>
              <w:contextualSpacing/>
              <w:rPr>
                <w:rFonts w:eastAsia="Arial" w:cs="Arial"/>
                <w:bCs/>
                <w:sz w:val="20"/>
              </w:rPr>
            </w:pPr>
            <w:r w:rsidRPr="00D810CA">
              <w:rPr>
                <w:rFonts w:eastAsia="Arial" w:cs="Arial"/>
                <w:bCs/>
                <w:sz w:val="20"/>
              </w:rPr>
              <w:t>NPPF 202</w:t>
            </w:r>
            <w:r w:rsidR="004173E0" w:rsidRPr="00D810CA">
              <w:rPr>
                <w:rFonts w:eastAsia="Arial" w:cs="Arial"/>
                <w:bCs/>
                <w:sz w:val="20"/>
              </w:rPr>
              <w:t>3</w:t>
            </w:r>
            <w:r w:rsidRPr="00D810CA">
              <w:rPr>
                <w:rFonts w:eastAsia="Arial" w:cs="Arial"/>
                <w:bCs/>
                <w:sz w:val="20"/>
              </w:rPr>
              <w:t xml:space="preserve"> Part 15: Conserving and enhancing the natural environment.</w:t>
            </w:r>
          </w:p>
          <w:p w14:paraId="74B440E8" w14:textId="5CCCC3B5" w:rsidR="00364693" w:rsidRPr="00D810CA" w:rsidRDefault="00364693" w:rsidP="00874A98">
            <w:pPr>
              <w:keepNext w:val="0"/>
              <w:numPr>
                <w:ilvl w:val="0"/>
                <w:numId w:val="119"/>
              </w:numPr>
              <w:spacing w:before="0" w:after="160" w:line="252" w:lineRule="auto"/>
              <w:contextualSpacing/>
              <w:rPr>
                <w:rFonts w:eastAsia="Arial" w:cs="Arial"/>
                <w:bCs/>
                <w:sz w:val="20"/>
              </w:rPr>
            </w:pPr>
            <w:bookmarkStart w:id="148" w:name="_Hlk139635023"/>
            <w:r w:rsidRPr="00D810CA">
              <w:rPr>
                <w:rFonts w:eastAsia="Arial" w:cs="Arial"/>
                <w:bCs/>
                <w:sz w:val="20"/>
              </w:rPr>
              <w:t xml:space="preserve">Planning Practice Guidance: Water supply, wastewater and water quality as </w:t>
            </w:r>
            <w:r w:rsidR="009D1815" w:rsidRPr="00D810CA">
              <w:rPr>
                <w:rFonts w:eastAsia="Arial" w:cs="Arial"/>
                <w:bCs/>
                <w:sz w:val="20"/>
              </w:rPr>
              <w:t>of</w:t>
            </w:r>
            <w:r w:rsidRPr="00D810CA">
              <w:rPr>
                <w:rFonts w:eastAsia="Arial" w:cs="Arial"/>
                <w:bCs/>
                <w:sz w:val="20"/>
              </w:rPr>
              <w:t xml:space="preserve"> </w:t>
            </w:r>
            <w:r w:rsidR="00B80DEC" w:rsidRPr="00D810CA">
              <w:rPr>
                <w:rFonts w:eastAsia="Arial" w:cs="Arial"/>
                <w:bCs/>
                <w:sz w:val="20"/>
              </w:rPr>
              <w:t>July 2019</w:t>
            </w:r>
            <w:r w:rsidRPr="00D810CA">
              <w:rPr>
                <w:rFonts w:eastAsia="Arial" w:cs="Arial"/>
                <w:bCs/>
                <w:sz w:val="20"/>
              </w:rPr>
              <w:t>.</w:t>
            </w:r>
          </w:p>
          <w:p w14:paraId="12F93C61" w14:textId="77777777" w:rsidR="00364693" w:rsidRPr="00D810CA" w:rsidRDefault="00364693" w:rsidP="00874A98">
            <w:pPr>
              <w:keepNext w:val="0"/>
              <w:numPr>
                <w:ilvl w:val="0"/>
                <w:numId w:val="119"/>
              </w:numPr>
              <w:spacing w:before="0" w:after="160" w:line="252" w:lineRule="auto"/>
              <w:contextualSpacing/>
              <w:rPr>
                <w:rFonts w:eastAsia="Arial" w:cs="Arial"/>
                <w:bCs/>
                <w:sz w:val="20"/>
              </w:rPr>
            </w:pPr>
            <w:r w:rsidRPr="00D810CA">
              <w:rPr>
                <w:rFonts w:eastAsia="Arial" w:cs="Arial"/>
                <w:bCs/>
                <w:sz w:val="20"/>
              </w:rPr>
              <w:t xml:space="preserve">Planning Practice Guidance: Natural environment as </w:t>
            </w:r>
            <w:r w:rsidR="009D1815" w:rsidRPr="00D810CA">
              <w:rPr>
                <w:rFonts w:eastAsia="Arial" w:cs="Arial"/>
                <w:bCs/>
                <w:sz w:val="20"/>
              </w:rPr>
              <w:t>of</w:t>
            </w:r>
            <w:r w:rsidRPr="00D810CA">
              <w:rPr>
                <w:rFonts w:eastAsia="Arial" w:cs="Arial"/>
                <w:bCs/>
                <w:sz w:val="20"/>
              </w:rPr>
              <w:t xml:space="preserve"> </w:t>
            </w:r>
            <w:r w:rsidR="00B80DEC" w:rsidRPr="00D810CA">
              <w:rPr>
                <w:rFonts w:eastAsia="Arial" w:cs="Arial"/>
                <w:bCs/>
                <w:sz w:val="20"/>
              </w:rPr>
              <w:t>July 2019</w:t>
            </w:r>
            <w:r w:rsidRPr="00D810CA">
              <w:rPr>
                <w:rFonts w:eastAsia="Arial" w:cs="Arial"/>
                <w:bCs/>
                <w:sz w:val="20"/>
              </w:rPr>
              <w:t>.</w:t>
            </w:r>
            <w:bookmarkEnd w:id="148"/>
          </w:p>
          <w:p w14:paraId="422AF520" w14:textId="09BEF190" w:rsidR="00F11A72" w:rsidRPr="003C7E62" w:rsidRDefault="00AC3244" w:rsidP="00874A98">
            <w:pPr>
              <w:keepNext w:val="0"/>
              <w:numPr>
                <w:ilvl w:val="0"/>
                <w:numId w:val="119"/>
              </w:numPr>
              <w:spacing w:before="0" w:after="160" w:line="252" w:lineRule="auto"/>
              <w:contextualSpacing/>
              <w:rPr>
                <w:rFonts w:eastAsia="Arial" w:cs="Arial"/>
                <w:bCs/>
                <w:color w:val="auto"/>
                <w:sz w:val="20"/>
              </w:rPr>
            </w:pPr>
            <w:r w:rsidRPr="00AC3244">
              <w:rPr>
                <w:rFonts w:cs="Arial"/>
                <w:color w:val="auto"/>
                <w:sz w:val="20"/>
              </w:rPr>
              <w:t>Ministerial Statement Secretary of State for the Department for Environment, Food and Rural Affairs Reducing demand for water (Statement UIN HCWS140). July 2021.</w:t>
            </w:r>
          </w:p>
        </w:tc>
      </w:tr>
    </w:tbl>
    <w:p w14:paraId="02119265" w14:textId="77777777" w:rsidR="00364693" w:rsidRPr="000339D2" w:rsidRDefault="00364693" w:rsidP="00364693">
      <w:pPr>
        <w:keepNext w:val="0"/>
        <w:spacing w:before="0"/>
        <w:rPr>
          <w:rFonts w:eastAsia="Arial" w:cs="Arial"/>
          <w:b/>
        </w:rPr>
      </w:pPr>
    </w:p>
    <w:p w14:paraId="2D77A5C4" w14:textId="7CE877C9" w:rsidR="00364693" w:rsidRPr="003C7E62" w:rsidRDefault="009645A1" w:rsidP="00364693">
      <w:pPr>
        <w:keepNext w:val="0"/>
        <w:numPr>
          <w:ilvl w:val="1"/>
          <w:numId w:val="3"/>
        </w:numPr>
        <w:tabs>
          <w:tab w:val="clear" w:pos="525"/>
        </w:tabs>
        <w:spacing w:before="0"/>
        <w:ind w:left="709" w:hanging="709"/>
        <w:rPr>
          <w:rFonts w:cs="Arial"/>
          <w:color w:val="auto"/>
          <w:szCs w:val="24"/>
          <w:lang w:eastAsia="en-US"/>
        </w:rPr>
      </w:pPr>
      <w:r w:rsidRPr="003C7E62">
        <w:rPr>
          <w:rFonts w:eastAsia="Arial" w:cs="Arial"/>
          <w:color w:val="auto"/>
          <w:spacing w:val="-1"/>
          <w:szCs w:val="24"/>
        </w:rPr>
        <w:t xml:space="preserve">The policy covers both water quality and water </w:t>
      </w:r>
      <w:r w:rsidR="00744A8A" w:rsidRPr="003C7E62">
        <w:rPr>
          <w:rFonts w:eastAsia="Arial" w:cs="Arial"/>
          <w:color w:val="auto"/>
          <w:spacing w:val="-1"/>
          <w:szCs w:val="24"/>
        </w:rPr>
        <w:t>efficiency</w:t>
      </w:r>
      <w:r w:rsidRPr="003C7E62">
        <w:rPr>
          <w:rFonts w:eastAsia="Arial" w:cs="Arial"/>
          <w:color w:val="auto"/>
          <w:spacing w:val="-1"/>
          <w:szCs w:val="24"/>
        </w:rPr>
        <w:t xml:space="preserve">.  It </w:t>
      </w:r>
      <w:r w:rsidR="00364693" w:rsidRPr="003C7E62">
        <w:rPr>
          <w:rFonts w:eastAsia="Arial" w:cs="Arial"/>
          <w:color w:val="auto"/>
          <w:spacing w:val="-1"/>
          <w:szCs w:val="24"/>
        </w:rPr>
        <w:t xml:space="preserve">reflects </w:t>
      </w:r>
      <w:r w:rsidRPr="003C7E62">
        <w:rPr>
          <w:rFonts w:eastAsia="Arial" w:cs="Arial"/>
          <w:color w:val="auto"/>
          <w:spacing w:val="-1"/>
          <w:szCs w:val="24"/>
        </w:rPr>
        <w:t>the guidance for polic</w:t>
      </w:r>
      <w:r w:rsidR="00D34CFA">
        <w:rPr>
          <w:rFonts w:eastAsia="Arial" w:cs="Arial"/>
          <w:color w:val="auto"/>
          <w:spacing w:val="-1"/>
          <w:szCs w:val="24"/>
        </w:rPr>
        <w:t>y</w:t>
      </w:r>
      <w:r w:rsidRPr="003C7E62">
        <w:rPr>
          <w:rFonts w:eastAsia="Arial" w:cs="Arial"/>
          <w:color w:val="auto"/>
          <w:spacing w:val="-1"/>
          <w:szCs w:val="24"/>
        </w:rPr>
        <w:t xml:space="preserve"> aspects set out </w:t>
      </w:r>
      <w:r w:rsidR="00D34CFA">
        <w:rPr>
          <w:rFonts w:eastAsia="Arial" w:cs="Arial"/>
          <w:color w:val="auto"/>
          <w:spacing w:val="-1"/>
          <w:szCs w:val="24"/>
        </w:rPr>
        <w:t xml:space="preserve">in the </w:t>
      </w:r>
      <w:r w:rsidRPr="003C7E62">
        <w:rPr>
          <w:rFonts w:eastAsia="Arial" w:cs="Arial"/>
          <w:color w:val="auto"/>
          <w:spacing w:val="-1"/>
          <w:szCs w:val="24"/>
        </w:rPr>
        <w:t xml:space="preserve">National Planning Policy Guidance </w:t>
      </w:r>
      <w:r w:rsidR="00215F98">
        <w:rPr>
          <w:rFonts w:eastAsia="Arial" w:cs="Arial"/>
          <w:color w:val="auto"/>
          <w:spacing w:val="-1"/>
          <w:szCs w:val="24"/>
        </w:rPr>
        <w:t>W</w:t>
      </w:r>
      <w:r w:rsidRPr="003C7E62">
        <w:rPr>
          <w:rFonts w:eastAsia="Arial" w:cs="Arial"/>
          <w:color w:val="auto"/>
          <w:spacing w:val="-1"/>
          <w:szCs w:val="24"/>
        </w:rPr>
        <w:t xml:space="preserve">ater </w:t>
      </w:r>
      <w:r w:rsidR="00215F98">
        <w:rPr>
          <w:rFonts w:eastAsia="Arial" w:cs="Arial"/>
          <w:color w:val="auto"/>
          <w:spacing w:val="-1"/>
          <w:szCs w:val="24"/>
        </w:rPr>
        <w:t>S</w:t>
      </w:r>
      <w:r w:rsidRPr="003C7E62">
        <w:rPr>
          <w:rFonts w:eastAsia="Arial" w:cs="Arial"/>
          <w:color w:val="auto"/>
          <w:spacing w:val="-1"/>
          <w:szCs w:val="24"/>
        </w:rPr>
        <w:t xml:space="preserve">upply, </w:t>
      </w:r>
      <w:r w:rsidR="00215F98">
        <w:rPr>
          <w:rFonts w:eastAsia="Arial" w:cs="Arial"/>
          <w:color w:val="auto"/>
          <w:spacing w:val="-1"/>
          <w:szCs w:val="24"/>
        </w:rPr>
        <w:t>W</w:t>
      </w:r>
      <w:r w:rsidRPr="003C7E62">
        <w:rPr>
          <w:rFonts w:eastAsia="Arial" w:cs="Arial"/>
          <w:color w:val="auto"/>
          <w:spacing w:val="-1"/>
          <w:szCs w:val="24"/>
        </w:rPr>
        <w:t xml:space="preserve">astewater and </w:t>
      </w:r>
      <w:r w:rsidR="00215F98">
        <w:rPr>
          <w:rFonts w:eastAsia="Arial" w:cs="Arial"/>
          <w:color w:val="auto"/>
          <w:spacing w:val="-1"/>
          <w:szCs w:val="24"/>
        </w:rPr>
        <w:t>W</w:t>
      </w:r>
      <w:r w:rsidRPr="003C7E62">
        <w:rPr>
          <w:rFonts w:eastAsia="Arial" w:cs="Arial"/>
          <w:color w:val="auto"/>
          <w:spacing w:val="-1"/>
          <w:szCs w:val="24"/>
        </w:rPr>
        <w:t xml:space="preserve">ater </w:t>
      </w:r>
      <w:r w:rsidR="00215F98">
        <w:rPr>
          <w:rFonts w:eastAsia="Arial" w:cs="Arial"/>
          <w:color w:val="auto"/>
          <w:spacing w:val="-1"/>
          <w:szCs w:val="24"/>
        </w:rPr>
        <w:t>Q</w:t>
      </w:r>
      <w:r w:rsidRPr="003C7E62">
        <w:rPr>
          <w:rFonts w:eastAsia="Arial" w:cs="Arial"/>
          <w:color w:val="auto"/>
          <w:spacing w:val="-1"/>
          <w:szCs w:val="24"/>
        </w:rPr>
        <w:t xml:space="preserve">uality.  </w:t>
      </w:r>
    </w:p>
    <w:p w14:paraId="5E2CF5BB" w14:textId="7DDBEC3C" w:rsidR="00364693" w:rsidRPr="003C7E62" w:rsidRDefault="00364693" w:rsidP="00364693">
      <w:pPr>
        <w:keepNext w:val="0"/>
        <w:spacing w:before="0"/>
        <w:ind w:left="709"/>
        <w:rPr>
          <w:rFonts w:eastAsia="Arial" w:cs="Arial"/>
          <w:color w:val="auto"/>
          <w:spacing w:val="-1"/>
          <w:szCs w:val="24"/>
        </w:rPr>
      </w:pPr>
    </w:p>
    <w:p w14:paraId="10A13C1E" w14:textId="77777777" w:rsidR="00364693" w:rsidRDefault="00364693" w:rsidP="00364693">
      <w:pPr>
        <w:keepNext w:val="0"/>
        <w:tabs>
          <w:tab w:val="left" w:pos="680"/>
        </w:tabs>
        <w:spacing w:before="0"/>
        <w:ind w:left="680"/>
        <w:rPr>
          <w:rFonts w:eastAsia="Arial" w:cs="Arial"/>
          <w:b/>
          <w:color w:val="auto"/>
          <w:spacing w:val="-1"/>
        </w:rPr>
      </w:pPr>
      <w:r w:rsidRPr="003C7E62">
        <w:rPr>
          <w:rFonts w:eastAsia="Arial" w:cs="Arial"/>
          <w:b/>
          <w:color w:val="auto"/>
          <w:spacing w:val="-1"/>
        </w:rPr>
        <w:t>Water Quality</w:t>
      </w:r>
    </w:p>
    <w:p w14:paraId="088BB70B" w14:textId="77777777" w:rsidR="005334C0" w:rsidRDefault="005334C0" w:rsidP="00364693">
      <w:pPr>
        <w:keepNext w:val="0"/>
        <w:tabs>
          <w:tab w:val="left" w:pos="680"/>
        </w:tabs>
        <w:spacing w:before="0"/>
        <w:ind w:left="680"/>
        <w:rPr>
          <w:rFonts w:eastAsia="Arial" w:cs="Arial"/>
          <w:b/>
          <w:color w:val="auto"/>
          <w:spacing w:val="-1"/>
        </w:rPr>
      </w:pPr>
    </w:p>
    <w:p w14:paraId="08DCEFE3" w14:textId="1EEB9A87" w:rsidR="00364693" w:rsidRPr="003C7E62" w:rsidRDefault="00DE2722" w:rsidP="00364693">
      <w:pPr>
        <w:keepNext w:val="0"/>
        <w:numPr>
          <w:ilvl w:val="1"/>
          <w:numId w:val="3"/>
        </w:numPr>
        <w:tabs>
          <w:tab w:val="clear" w:pos="525"/>
        </w:tabs>
        <w:spacing w:before="0"/>
        <w:ind w:left="709" w:hanging="709"/>
        <w:rPr>
          <w:rFonts w:cs="Arial"/>
          <w:color w:val="auto"/>
          <w:szCs w:val="24"/>
          <w:lang w:eastAsia="en-US"/>
        </w:rPr>
      </w:pPr>
      <w:r w:rsidRPr="003C7E62">
        <w:rPr>
          <w:rFonts w:eastAsia="Arial" w:cs="Arial"/>
          <w:color w:val="auto"/>
          <w:spacing w:val="-1"/>
          <w:szCs w:val="24"/>
        </w:rPr>
        <w:t xml:space="preserve">The quality and quantity of surface and ground water is vitally important to a wide range of uses and users including domestic, industrial and agricultural. It is also of great importance to general amenity, as a source of drinking water, water based recreation, fisheries and nature conservation. Ground water resources in particular are susceptible to a wide range of threats from land use policies and once contaminated it is difficult, if not impossible, to rehabilitate them. </w:t>
      </w:r>
    </w:p>
    <w:p w14:paraId="4F93F652" w14:textId="77777777" w:rsidR="00364693" w:rsidRPr="003C7E62" w:rsidRDefault="00364693" w:rsidP="00364693">
      <w:pPr>
        <w:keepNext w:val="0"/>
        <w:spacing w:before="0"/>
        <w:ind w:left="709"/>
        <w:rPr>
          <w:rFonts w:cs="Arial"/>
          <w:color w:val="auto"/>
          <w:szCs w:val="24"/>
          <w:lang w:eastAsia="en-US"/>
        </w:rPr>
      </w:pPr>
    </w:p>
    <w:p w14:paraId="3EE96AB6" w14:textId="77777777" w:rsidR="00F11A72" w:rsidRDefault="00DE2722" w:rsidP="00F11A72">
      <w:pPr>
        <w:keepNext w:val="0"/>
        <w:numPr>
          <w:ilvl w:val="1"/>
          <w:numId w:val="3"/>
        </w:numPr>
        <w:tabs>
          <w:tab w:val="clear" w:pos="525"/>
        </w:tabs>
        <w:spacing w:before="0"/>
        <w:ind w:left="709" w:hanging="709"/>
        <w:rPr>
          <w:rFonts w:cs="Arial"/>
          <w:color w:val="auto"/>
          <w:szCs w:val="24"/>
          <w:lang w:eastAsia="en-US"/>
        </w:rPr>
      </w:pPr>
      <w:r w:rsidRPr="003C7E62">
        <w:rPr>
          <w:rFonts w:eastAsia="Arial" w:cs="Arial"/>
          <w:color w:val="auto"/>
          <w:spacing w:val="-1"/>
          <w:szCs w:val="24"/>
        </w:rPr>
        <w:t>The Council, in conjunction with the Environment Agency, will seek to resist development that threatens water quality and quantity, and will encourage initiatives that result in an improvement of water quality and the capacity of surface waters to support wildlife. The</w:t>
      </w:r>
      <w:r w:rsidR="00744A8A" w:rsidRPr="003C7E62">
        <w:rPr>
          <w:rFonts w:eastAsia="Arial" w:cs="Arial"/>
          <w:color w:val="auto"/>
          <w:spacing w:val="-1"/>
          <w:szCs w:val="24"/>
        </w:rPr>
        <w:t xml:space="preserve"> </w:t>
      </w:r>
      <w:r w:rsidRPr="003C7E62">
        <w:rPr>
          <w:rFonts w:eastAsia="Arial" w:cs="Arial"/>
          <w:color w:val="auto"/>
          <w:spacing w:val="-1"/>
          <w:szCs w:val="24"/>
        </w:rPr>
        <w:t xml:space="preserve">Water Framework Directive has the primary objectives of achieving good ecological status in water </w:t>
      </w:r>
      <w:r w:rsidR="009D1815" w:rsidRPr="003C7E62">
        <w:rPr>
          <w:rFonts w:eastAsia="Arial" w:cs="Arial"/>
          <w:color w:val="auto"/>
          <w:spacing w:val="-1"/>
          <w:szCs w:val="24"/>
        </w:rPr>
        <w:t>bodies and</w:t>
      </w:r>
      <w:r w:rsidRPr="003C7E62">
        <w:rPr>
          <w:rFonts w:eastAsia="Arial" w:cs="Arial"/>
          <w:color w:val="auto"/>
          <w:spacing w:val="-1"/>
          <w:szCs w:val="24"/>
        </w:rPr>
        <w:t xml:space="preserve"> providing protection for drinking water sources and protected sites. </w:t>
      </w:r>
      <w:bookmarkStart w:id="149" w:name="_Hlk77763479"/>
      <w:r w:rsidRPr="003C7E62">
        <w:rPr>
          <w:rFonts w:eastAsia="Arial" w:cs="Arial"/>
          <w:color w:val="auto"/>
          <w:spacing w:val="-1"/>
          <w:szCs w:val="24"/>
        </w:rPr>
        <w:t>The Government’s 25 Year Plan</w:t>
      </w:r>
      <w:r w:rsidRPr="003C7E62">
        <w:rPr>
          <w:rFonts w:eastAsia="Arial" w:cs="Arial"/>
          <w:color w:val="auto"/>
          <w:spacing w:val="-1"/>
          <w:szCs w:val="24"/>
          <w:vertAlign w:val="superscript"/>
        </w:rPr>
        <w:footnoteReference w:id="80"/>
      </w:r>
      <w:r w:rsidRPr="003C7E62">
        <w:rPr>
          <w:rFonts w:eastAsia="Arial" w:cs="Arial"/>
          <w:color w:val="auto"/>
          <w:spacing w:val="-1"/>
          <w:szCs w:val="24"/>
        </w:rPr>
        <w:t xml:space="preserve"> sets a framework of strategic goals which includes a requirement for “Clean and plentiful water” with at least three quarters of our waters to be close to their natural state as soon as is practicable”</w:t>
      </w:r>
      <w:bookmarkEnd w:id="149"/>
    </w:p>
    <w:p w14:paraId="1BAF9FA3" w14:textId="77777777" w:rsidR="00F11A72" w:rsidRDefault="00F11A72" w:rsidP="00F11A72">
      <w:pPr>
        <w:pStyle w:val="ListParagraph"/>
        <w:spacing w:after="0" w:line="240" w:lineRule="auto"/>
        <w:rPr>
          <w:rFonts w:cs="Arial"/>
          <w:color w:val="0070C0"/>
          <w:szCs w:val="24"/>
        </w:rPr>
      </w:pPr>
    </w:p>
    <w:p w14:paraId="648D0FF6" w14:textId="6DC694AB" w:rsidR="00F11A72" w:rsidRPr="00D810CA" w:rsidRDefault="00F11A72" w:rsidP="00F11A72">
      <w:pPr>
        <w:keepNext w:val="0"/>
        <w:numPr>
          <w:ilvl w:val="1"/>
          <w:numId w:val="3"/>
        </w:numPr>
        <w:tabs>
          <w:tab w:val="clear" w:pos="525"/>
        </w:tabs>
        <w:spacing w:before="0"/>
        <w:ind w:left="709" w:hanging="709"/>
        <w:rPr>
          <w:rFonts w:cs="Arial"/>
          <w:szCs w:val="24"/>
          <w:lang w:eastAsia="en-US"/>
        </w:rPr>
      </w:pPr>
      <w:r w:rsidRPr="00D810CA">
        <w:rPr>
          <w:rFonts w:cs="Arial"/>
          <w:szCs w:val="24"/>
          <w:lang w:eastAsia="en-US"/>
        </w:rPr>
        <w:t xml:space="preserve">There is an emphasis on nature based solutions. </w:t>
      </w:r>
      <w:r w:rsidR="002B4FE0" w:rsidRPr="00D810CA">
        <w:rPr>
          <w:rFonts w:cs="Arial"/>
          <w:szCs w:val="24"/>
          <w:lang w:eastAsia="en-US"/>
        </w:rPr>
        <w:t>In t</w:t>
      </w:r>
      <w:r w:rsidRPr="00D810CA">
        <w:rPr>
          <w:rFonts w:cs="Arial"/>
          <w:szCs w:val="24"/>
          <w:lang w:eastAsia="en-US"/>
        </w:rPr>
        <w:t xml:space="preserve">he evidence from Working with </w:t>
      </w:r>
      <w:r w:rsidR="002B4FE0" w:rsidRPr="00D810CA">
        <w:rPr>
          <w:rFonts w:cs="Arial"/>
          <w:szCs w:val="24"/>
          <w:lang w:eastAsia="en-US"/>
        </w:rPr>
        <w:t>N</w:t>
      </w:r>
      <w:r w:rsidRPr="00D810CA">
        <w:rPr>
          <w:rFonts w:cs="Arial"/>
          <w:szCs w:val="24"/>
          <w:lang w:eastAsia="en-US"/>
        </w:rPr>
        <w:t xml:space="preserve">ature, </w:t>
      </w:r>
      <w:r w:rsidR="002B4FE0" w:rsidRPr="00D810CA">
        <w:rPr>
          <w:rFonts w:cs="Arial"/>
          <w:szCs w:val="24"/>
          <w:lang w:eastAsia="en-US"/>
        </w:rPr>
        <w:t>(</w:t>
      </w:r>
      <w:r w:rsidRPr="00D810CA">
        <w:rPr>
          <w:rFonts w:cs="Arial"/>
          <w:szCs w:val="24"/>
          <w:lang w:eastAsia="en-US"/>
        </w:rPr>
        <w:t>Chief Scientist’s Group Report July 2022</w:t>
      </w:r>
      <w:r w:rsidR="002B4FE0" w:rsidRPr="00D810CA">
        <w:rPr>
          <w:rFonts w:cs="Arial"/>
          <w:szCs w:val="24"/>
          <w:lang w:eastAsia="en-US"/>
        </w:rPr>
        <w:t>) the</w:t>
      </w:r>
      <w:r w:rsidRPr="00D810CA">
        <w:rPr>
          <w:rFonts w:cs="Arial"/>
          <w:szCs w:val="24"/>
          <w:lang w:eastAsia="en-US"/>
        </w:rPr>
        <w:t xml:space="preserve"> Environment Agency identifie</w:t>
      </w:r>
      <w:r w:rsidR="002B4FE0" w:rsidRPr="00D810CA">
        <w:rPr>
          <w:rFonts w:cs="Arial"/>
          <w:szCs w:val="24"/>
          <w:lang w:eastAsia="en-US"/>
        </w:rPr>
        <w:t>d</w:t>
      </w:r>
      <w:r w:rsidRPr="00D810CA">
        <w:rPr>
          <w:rFonts w:cs="Arial"/>
          <w:szCs w:val="24"/>
          <w:lang w:eastAsia="en-US"/>
        </w:rPr>
        <w:t xml:space="preserve"> that  this approach has benefits to biodiversity, the economy, health and wellbeing and climate change.  While it will not be feasible for all situations there are multiple benefits for nature and people in apply such an approach.</w:t>
      </w:r>
    </w:p>
    <w:p w14:paraId="4CBB693D" w14:textId="77777777" w:rsidR="00744A8A" w:rsidRPr="00D810CA" w:rsidRDefault="00744A8A" w:rsidP="00744A8A">
      <w:pPr>
        <w:pStyle w:val="ListParagraph"/>
        <w:spacing w:after="0" w:line="240" w:lineRule="auto"/>
        <w:rPr>
          <w:rFonts w:ascii="Arial" w:eastAsia="Arial" w:hAnsi="Arial" w:cs="Arial"/>
          <w:spacing w:val="-1"/>
          <w:szCs w:val="24"/>
        </w:rPr>
      </w:pPr>
    </w:p>
    <w:p w14:paraId="0B2C4651" w14:textId="324CD61A" w:rsidR="00744A8A" w:rsidRPr="00D810CA" w:rsidRDefault="00744A8A" w:rsidP="00744A8A">
      <w:pPr>
        <w:keepNext w:val="0"/>
        <w:numPr>
          <w:ilvl w:val="1"/>
          <w:numId w:val="3"/>
        </w:numPr>
        <w:tabs>
          <w:tab w:val="clear" w:pos="525"/>
        </w:tabs>
        <w:spacing w:before="0"/>
        <w:ind w:left="709" w:hanging="709"/>
        <w:rPr>
          <w:rFonts w:cs="Arial"/>
          <w:szCs w:val="24"/>
          <w:lang w:eastAsia="en-US"/>
        </w:rPr>
      </w:pPr>
      <w:r w:rsidRPr="00D810CA">
        <w:rPr>
          <w:rFonts w:eastAsia="Arial" w:cs="Arial"/>
          <w:spacing w:val="-1"/>
          <w:szCs w:val="24"/>
        </w:rPr>
        <w:t>T</w:t>
      </w:r>
      <w:r w:rsidR="00DE2722" w:rsidRPr="00D810CA">
        <w:rPr>
          <w:rFonts w:eastAsia="Arial" w:cs="Arial"/>
          <w:spacing w:val="-1"/>
          <w:szCs w:val="24"/>
        </w:rPr>
        <w:t>he Environment Agency's Humber River Basin Management Plan 2015</w:t>
      </w:r>
      <w:r w:rsidRPr="00D810CA">
        <w:rPr>
          <w:rFonts w:eastAsia="Arial" w:cs="Arial"/>
          <w:spacing w:val="-1"/>
          <w:szCs w:val="24"/>
        </w:rPr>
        <w:t xml:space="preserve"> </w:t>
      </w:r>
      <w:r w:rsidR="00DE2722" w:rsidRPr="00D810CA">
        <w:rPr>
          <w:rFonts w:cs="Arial"/>
          <w:szCs w:val="24"/>
        </w:rPr>
        <w:t>sets out the main issues for the water environment, and actions needed to be taken. The following catchments relate to Ashfield:</w:t>
      </w:r>
    </w:p>
    <w:p w14:paraId="08EA1AC2" w14:textId="77777777" w:rsidR="004575AD" w:rsidRPr="00D810CA" w:rsidRDefault="004575AD" w:rsidP="004575AD">
      <w:pPr>
        <w:keepNext w:val="0"/>
        <w:spacing w:before="0"/>
        <w:rPr>
          <w:rFonts w:cs="Arial"/>
          <w:szCs w:val="24"/>
          <w:lang w:eastAsia="en-US"/>
        </w:rPr>
      </w:pPr>
    </w:p>
    <w:p w14:paraId="34601A11" w14:textId="77777777" w:rsidR="00744A8A" w:rsidRPr="00D810CA" w:rsidRDefault="00744A8A" w:rsidP="00874A98">
      <w:pPr>
        <w:keepNext w:val="0"/>
        <w:numPr>
          <w:ilvl w:val="0"/>
          <w:numId w:val="111"/>
        </w:numPr>
        <w:autoSpaceDE w:val="0"/>
        <w:autoSpaceDN w:val="0"/>
        <w:adjustRightInd w:val="0"/>
        <w:spacing w:before="0"/>
        <w:ind w:left="993" w:hanging="284"/>
        <w:jc w:val="both"/>
        <w:rPr>
          <w:rFonts w:cs="Arial"/>
          <w:szCs w:val="24"/>
        </w:rPr>
      </w:pPr>
      <w:r w:rsidRPr="00D810CA">
        <w:rPr>
          <w:rFonts w:cs="Arial"/>
          <w:bCs/>
          <w:szCs w:val="24"/>
        </w:rPr>
        <w:t>The Idle and Torne Catchment (Sutton in Ashfield, Stanton Hill, Skegby, north east of Kirkby-in-Ashfield);</w:t>
      </w:r>
    </w:p>
    <w:p w14:paraId="72C17D27" w14:textId="214021DF" w:rsidR="00744A8A" w:rsidRPr="00D810CA" w:rsidRDefault="00744A8A" w:rsidP="00874A98">
      <w:pPr>
        <w:keepNext w:val="0"/>
        <w:numPr>
          <w:ilvl w:val="0"/>
          <w:numId w:val="111"/>
        </w:numPr>
        <w:autoSpaceDE w:val="0"/>
        <w:autoSpaceDN w:val="0"/>
        <w:adjustRightInd w:val="0"/>
        <w:spacing w:before="0"/>
        <w:ind w:left="993" w:hanging="284"/>
        <w:jc w:val="both"/>
        <w:rPr>
          <w:rFonts w:cs="Arial"/>
          <w:szCs w:val="24"/>
        </w:rPr>
      </w:pPr>
      <w:r w:rsidRPr="00D810CA">
        <w:rPr>
          <w:rFonts w:cs="Arial"/>
          <w:bCs/>
          <w:szCs w:val="24"/>
        </w:rPr>
        <w:t>The Lower Trent and Erewash Catchment (south &amp; east of Kirkby-in-Ashfield, Selston, Underwood, Jacksdale,  New Annesley, Annesley Woodhouse, Hucknall);</w:t>
      </w:r>
    </w:p>
    <w:p w14:paraId="1CBD9B70" w14:textId="73AC23CA" w:rsidR="00744A8A" w:rsidRPr="00D810CA" w:rsidRDefault="00744A8A" w:rsidP="00874A98">
      <w:pPr>
        <w:keepNext w:val="0"/>
        <w:numPr>
          <w:ilvl w:val="0"/>
          <w:numId w:val="111"/>
        </w:numPr>
        <w:autoSpaceDE w:val="0"/>
        <w:autoSpaceDN w:val="0"/>
        <w:adjustRightInd w:val="0"/>
        <w:spacing w:before="0"/>
        <w:ind w:left="993" w:hanging="284"/>
        <w:jc w:val="both"/>
        <w:rPr>
          <w:rFonts w:cs="Arial"/>
          <w:szCs w:val="24"/>
        </w:rPr>
      </w:pPr>
      <w:r w:rsidRPr="00D810CA">
        <w:rPr>
          <w:rFonts w:eastAsia="Calibri" w:cs="Arial"/>
          <w:bCs/>
          <w:szCs w:val="24"/>
          <w:lang w:eastAsia="en-US"/>
        </w:rPr>
        <w:t xml:space="preserve">Don and the Rother Catchment (covers a small area to the north of the District); </w:t>
      </w:r>
    </w:p>
    <w:p w14:paraId="6EAE6A48" w14:textId="1BB612C9" w:rsidR="00744A8A" w:rsidRPr="00D810CA" w:rsidRDefault="00744A8A" w:rsidP="00874A98">
      <w:pPr>
        <w:keepNext w:val="0"/>
        <w:numPr>
          <w:ilvl w:val="0"/>
          <w:numId w:val="111"/>
        </w:numPr>
        <w:autoSpaceDE w:val="0"/>
        <w:autoSpaceDN w:val="0"/>
        <w:adjustRightInd w:val="0"/>
        <w:spacing w:before="0"/>
        <w:ind w:left="993" w:hanging="284"/>
        <w:jc w:val="both"/>
        <w:rPr>
          <w:rFonts w:cs="Arial"/>
          <w:szCs w:val="24"/>
        </w:rPr>
      </w:pPr>
      <w:r w:rsidRPr="00D810CA">
        <w:rPr>
          <w:rFonts w:eastAsia="Calibri" w:cs="Arial"/>
          <w:bCs/>
          <w:szCs w:val="24"/>
          <w:lang w:eastAsia="en-US"/>
        </w:rPr>
        <w:t>The Derbyshire Derwent Catchment (Huthwaite).</w:t>
      </w:r>
    </w:p>
    <w:p w14:paraId="32FB6304" w14:textId="77777777" w:rsidR="00744A8A" w:rsidRPr="00D810CA" w:rsidRDefault="00744A8A" w:rsidP="00744A8A">
      <w:pPr>
        <w:keepNext w:val="0"/>
        <w:autoSpaceDE w:val="0"/>
        <w:autoSpaceDN w:val="0"/>
        <w:adjustRightInd w:val="0"/>
        <w:spacing w:before="0"/>
        <w:ind w:left="993"/>
        <w:jc w:val="both"/>
        <w:rPr>
          <w:rFonts w:cs="Arial"/>
          <w:szCs w:val="24"/>
        </w:rPr>
      </w:pPr>
    </w:p>
    <w:p w14:paraId="7495EC48" w14:textId="4A0790B1" w:rsidR="00ED58B9" w:rsidRPr="00D810CA" w:rsidRDefault="002429E0" w:rsidP="00ED58B9">
      <w:pPr>
        <w:keepNext w:val="0"/>
        <w:spacing w:before="0"/>
        <w:ind w:left="709"/>
        <w:rPr>
          <w:rFonts w:cs="Arial"/>
          <w:szCs w:val="24"/>
          <w:lang w:eastAsia="en-US"/>
        </w:rPr>
      </w:pPr>
      <w:r w:rsidRPr="00D810CA">
        <w:rPr>
          <w:rFonts w:cs="Arial"/>
          <w:szCs w:val="24"/>
          <w:lang w:eastAsia="en-US"/>
        </w:rPr>
        <w:t xml:space="preserve">The Humber </w:t>
      </w:r>
      <w:r w:rsidR="002B4FE0" w:rsidRPr="00D810CA">
        <w:rPr>
          <w:rFonts w:cs="Arial"/>
          <w:szCs w:val="24"/>
          <w:lang w:eastAsia="en-US"/>
        </w:rPr>
        <w:t>R</w:t>
      </w:r>
      <w:r w:rsidRPr="00D810CA">
        <w:rPr>
          <w:rFonts w:cs="Arial"/>
          <w:szCs w:val="24"/>
          <w:lang w:eastAsia="en-US"/>
        </w:rPr>
        <w:t xml:space="preserve">iver </w:t>
      </w:r>
      <w:r w:rsidR="002B4FE0" w:rsidRPr="00D810CA">
        <w:rPr>
          <w:rFonts w:cs="Arial"/>
          <w:szCs w:val="24"/>
          <w:lang w:eastAsia="en-US"/>
        </w:rPr>
        <w:t>B</w:t>
      </w:r>
      <w:r w:rsidRPr="00D810CA">
        <w:rPr>
          <w:rFonts w:cs="Arial"/>
          <w:szCs w:val="24"/>
          <w:lang w:eastAsia="en-US"/>
        </w:rPr>
        <w:t xml:space="preserve">asin </w:t>
      </w:r>
      <w:r w:rsidR="002B4FE0" w:rsidRPr="00D810CA">
        <w:rPr>
          <w:rFonts w:cs="Arial"/>
          <w:szCs w:val="24"/>
          <w:lang w:eastAsia="en-US"/>
        </w:rPr>
        <w:t>D</w:t>
      </w:r>
      <w:r w:rsidRPr="00D810CA">
        <w:rPr>
          <w:rFonts w:cs="Arial"/>
          <w:szCs w:val="24"/>
          <w:lang w:eastAsia="en-US"/>
        </w:rPr>
        <w:t xml:space="preserve">istrict </w:t>
      </w:r>
      <w:r w:rsidR="002B4FE0" w:rsidRPr="00D810CA">
        <w:rPr>
          <w:rFonts w:cs="Arial"/>
          <w:szCs w:val="24"/>
          <w:lang w:eastAsia="en-US"/>
        </w:rPr>
        <w:t>R</w:t>
      </w:r>
      <w:r w:rsidRPr="00D810CA">
        <w:rPr>
          <w:rFonts w:cs="Arial"/>
          <w:szCs w:val="24"/>
          <w:lang w:eastAsia="en-US"/>
        </w:rPr>
        <w:t xml:space="preserve">iver </w:t>
      </w:r>
      <w:r w:rsidR="002B4FE0" w:rsidRPr="00D810CA">
        <w:rPr>
          <w:rFonts w:cs="Arial"/>
          <w:szCs w:val="24"/>
          <w:lang w:eastAsia="en-US"/>
        </w:rPr>
        <w:t>M</w:t>
      </w:r>
      <w:r w:rsidRPr="00D810CA">
        <w:rPr>
          <w:rFonts w:cs="Arial"/>
          <w:szCs w:val="24"/>
          <w:lang w:eastAsia="en-US"/>
        </w:rPr>
        <w:t xml:space="preserve">anagement </w:t>
      </w:r>
      <w:r w:rsidR="002B4FE0" w:rsidRPr="00D810CA">
        <w:rPr>
          <w:rFonts w:cs="Arial"/>
          <w:szCs w:val="24"/>
          <w:lang w:eastAsia="en-US"/>
        </w:rPr>
        <w:t>P</w:t>
      </w:r>
      <w:r w:rsidRPr="00D810CA">
        <w:rPr>
          <w:rFonts w:cs="Arial"/>
          <w:szCs w:val="24"/>
          <w:lang w:eastAsia="en-US"/>
        </w:rPr>
        <w:t>lan was updated in 2022. It highlights that climate change will impact on water flows within watercourses with drier summers</w:t>
      </w:r>
      <w:r w:rsidR="002B4FE0" w:rsidRPr="00D810CA">
        <w:rPr>
          <w:rFonts w:cs="Arial"/>
          <w:szCs w:val="24"/>
          <w:lang w:eastAsia="en-US"/>
        </w:rPr>
        <w:t>.  D</w:t>
      </w:r>
      <w:r w:rsidRPr="00D810CA">
        <w:rPr>
          <w:rFonts w:cs="Arial"/>
          <w:szCs w:val="24"/>
          <w:lang w:eastAsia="en-US"/>
        </w:rPr>
        <w:t xml:space="preserve">rier summers </w:t>
      </w:r>
      <w:r w:rsidR="002B4FE0" w:rsidRPr="00D810CA">
        <w:rPr>
          <w:rFonts w:cs="Arial"/>
          <w:szCs w:val="24"/>
          <w:lang w:eastAsia="en-US"/>
        </w:rPr>
        <w:t xml:space="preserve">will also </w:t>
      </w:r>
      <w:r w:rsidRPr="00D810CA">
        <w:rPr>
          <w:rFonts w:cs="Arial"/>
          <w:szCs w:val="24"/>
          <w:lang w:eastAsia="en-US"/>
        </w:rPr>
        <w:t>putting increasing pressure on competing demands for water resources.</w:t>
      </w:r>
    </w:p>
    <w:p w14:paraId="62AED973" w14:textId="77777777" w:rsidR="002429E0" w:rsidRPr="00D810CA" w:rsidRDefault="002429E0" w:rsidP="00ED58B9">
      <w:pPr>
        <w:keepNext w:val="0"/>
        <w:spacing w:before="0"/>
        <w:ind w:left="709"/>
        <w:rPr>
          <w:rFonts w:cs="Arial"/>
          <w:szCs w:val="24"/>
          <w:lang w:eastAsia="en-US"/>
        </w:rPr>
      </w:pPr>
    </w:p>
    <w:p w14:paraId="1044ED7B" w14:textId="1DFF4958" w:rsidR="00744A8A" w:rsidRPr="00D810CA" w:rsidRDefault="00DE2722" w:rsidP="00744A8A">
      <w:pPr>
        <w:keepNext w:val="0"/>
        <w:numPr>
          <w:ilvl w:val="1"/>
          <w:numId w:val="3"/>
        </w:numPr>
        <w:tabs>
          <w:tab w:val="clear" w:pos="525"/>
        </w:tabs>
        <w:spacing w:before="0"/>
        <w:ind w:left="709" w:hanging="709"/>
        <w:rPr>
          <w:rFonts w:cs="Arial"/>
          <w:szCs w:val="24"/>
          <w:lang w:eastAsia="en-US"/>
        </w:rPr>
      </w:pPr>
      <w:r w:rsidRPr="00D810CA">
        <w:rPr>
          <w:rFonts w:eastAsia="Arial" w:cs="Arial"/>
          <w:spacing w:val="-1"/>
          <w:szCs w:val="24"/>
        </w:rPr>
        <w:t>Much of Ashfield is located on principal aquifer namely the Lower Magnesian Limestone and Triassic Sherwood Sandstone where groundwater is sensitive to pollution. Principal aquifers are geological strata that exhibit high permeability and usually provide a high level of water storage. These aquifers have strategic significance for water resources, often supporting large abstractions for the public water supply. They are also of major importance, supporting river base flow.</w:t>
      </w:r>
      <w:r w:rsidR="00744A8A" w:rsidRPr="00D810CA">
        <w:rPr>
          <w:rFonts w:cs="Arial"/>
        </w:rPr>
        <w:t xml:space="preserve"> </w:t>
      </w:r>
    </w:p>
    <w:p w14:paraId="11237E75" w14:textId="77777777" w:rsidR="00744A8A" w:rsidRPr="00D810CA" w:rsidRDefault="00744A8A" w:rsidP="00744A8A">
      <w:pPr>
        <w:keepNext w:val="0"/>
        <w:spacing w:before="0"/>
        <w:ind w:left="709"/>
        <w:rPr>
          <w:rFonts w:cs="Arial"/>
          <w:szCs w:val="24"/>
          <w:lang w:eastAsia="en-US"/>
        </w:rPr>
      </w:pPr>
    </w:p>
    <w:p w14:paraId="6C336ED5" w14:textId="3D23CC05" w:rsidR="00744A8A" w:rsidRPr="00D810CA" w:rsidRDefault="00DE2722" w:rsidP="00744A8A">
      <w:pPr>
        <w:keepNext w:val="0"/>
        <w:numPr>
          <w:ilvl w:val="1"/>
          <w:numId w:val="3"/>
        </w:numPr>
        <w:tabs>
          <w:tab w:val="clear" w:pos="525"/>
        </w:tabs>
        <w:spacing w:before="0"/>
        <w:ind w:left="709" w:hanging="709"/>
        <w:rPr>
          <w:rFonts w:cs="Arial"/>
          <w:szCs w:val="24"/>
          <w:lang w:eastAsia="en-US"/>
        </w:rPr>
      </w:pPr>
      <w:r w:rsidRPr="00D810CA">
        <w:rPr>
          <w:rFonts w:eastAsia="Arial" w:cs="Arial"/>
          <w:spacing w:val="-1"/>
          <w:szCs w:val="24"/>
        </w:rPr>
        <w:t>It is important that standards of design, materials specification and of on-site construction practices respect the vulnerability of these aquifers as well as all watercourses, and environmentally sensitive areas. During and post construction</w:t>
      </w:r>
      <w:r w:rsidR="00744A8A" w:rsidRPr="00D810CA">
        <w:rPr>
          <w:rFonts w:eastAsia="Arial" w:cs="Arial"/>
          <w:spacing w:val="-1"/>
          <w:szCs w:val="24"/>
        </w:rPr>
        <w:t>,</w:t>
      </w:r>
      <w:r w:rsidRPr="00D810CA">
        <w:rPr>
          <w:rFonts w:eastAsia="Arial" w:cs="Arial"/>
          <w:spacing w:val="-1"/>
          <w:szCs w:val="24"/>
        </w:rPr>
        <w:t xml:space="preserve"> it is possible that contamination could be mobilised and find its way into the aquifer. The Council will need to be satisfied that any risk has been properly assessed and viable remediation is in place. Once groundwater is polluted the resource may be lost for many years and the protection of these resources from potentially polluting development will be strictly enforced.</w:t>
      </w:r>
      <w:r w:rsidR="00400B3D" w:rsidRPr="00D810CA">
        <w:t xml:space="preserve"> A</w:t>
      </w:r>
      <w:r w:rsidR="00400B3D" w:rsidRPr="00D810CA">
        <w:rPr>
          <w:rFonts w:eastAsia="Arial" w:cs="Arial"/>
          <w:spacing w:val="-1"/>
          <w:szCs w:val="24"/>
        </w:rPr>
        <w:t xml:space="preserve"> management plan for a construction site should ensure contaminated surface water is prevented from leaving the site by overland flow, through highway drainage or the public surface water sewer system so as to discharge into a watercourse.</w:t>
      </w:r>
    </w:p>
    <w:p w14:paraId="0C2FD8DB" w14:textId="77777777" w:rsidR="00744A8A" w:rsidRPr="003C7E62" w:rsidRDefault="00744A8A" w:rsidP="00744A8A">
      <w:pPr>
        <w:pStyle w:val="ListParagraph"/>
        <w:spacing w:after="0" w:line="240" w:lineRule="auto"/>
        <w:rPr>
          <w:rFonts w:ascii="Arial" w:eastAsia="Arial" w:hAnsi="Arial" w:cs="Arial"/>
          <w:color w:val="auto"/>
          <w:spacing w:val="-1"/>
          <w:szCs w:val="24"/>
        </w:rPr>
      </w:pPr>
    </w:p>
    <w:p w14:paraId="40CD3452" w14:textId="1D31D0F8" w:rsidR="00744A8A" w:rsidRPr="00D810CA" w:rsidRDefault="00DE2722" w:rsidP="00744A8A">
      <w:pPr>
        <w:keepNext w:val="0"/>
        <w:numPr>
          <w:ilvl w:val="1"/>
          <w:numId w:val="3"/>
        </w:numPr>
        <w:tabs>
          <w:tab w:val="clear" w:pos="525"/>
        </w:tabs>
        <w:spacing w:before="0"/>
        <w:ind w:left="709" w:hanging="709"/>
        <w:rPr>
          <w:rFonts w:cs="Arial"/>
          <w:szCs w:val="24"/>
          <w:lang w:eastAsia="en-US"/>
        </w:rPr>
      </w:pPr>
      <w:r w:rsidRPr="003C7E62">
        <w:rPr>
          <w:rFonts w:eastAsia="Arial" w:cs="Arial"/>
          <w:color w:val="auto"/>
          <w:spacing w:val="-1"/>
          <w:szCs w:val="24"/>
        </w:rPr>
        <w:t xml:space="preserve">The ‘no deterioration’ policy of the Water Framework Directive requires that current environmental conditions are maintained or improved. This necessary may require phasing new development so that water and wastewater infrastructure is in place when and where needed. The impact on designated sites of importance for biodiversity should be considered to </w:t>
      </w:r>
      <w:r w:rsidRPr="00D810CA">
        <w:rPr>
          <w:rFonts w:eastAsia="Arial" w:cs="Arial"/>
          <w:spacing w:val="-1"/>
          <w:szCs w:val="24"/>
        </w:rPr>
        <w:t>ensure the required infrastructure is in place before any environmental effects occur.</w:t>
      </w:r>
      <w:r w:rsidR="001804D4" w:rsidRPr="00D810CA">
        <w:rPr>
          <w:rFonts w:eastAsia="Arial" w:cs="Arial"/>
          <w:spacing w:val="-1"/>
          <w:szCs w:val="24"/>
        </w:rPr>
        <w:t xml:space="preserve">  Where appropriate</w:t>
      </w:r>
      <w:r w:rsidR="00400B3D" w:rsidRPr="00D810CA">
        <w:rPr>
          <w:rFonts w:eastAsia="Arial" w:cs="Arial"/>
          <w:spacing w:val="-1"/>
          <w:szCs w:val="24"/>
        </w:rPr>
        <w:t>,</w:t>
      </w:r>
      <w:r w:rsidR="001804D4" w:rsidRPr="00D810CA">
        <w:rPr>
          <w:rFonts w:eastAsia="Arial" w:cs="Arial"/>
          <w:spacing w:val="-1"/>
          <w:szCs w:val="24"/>
        </w:rPr>
        <w:t xml:space="preserve"> for large development sites will be required to do pre development, during development and post development monitoring to demonstrate that there has been no impact on water quality and flows.</w:t>
      </w:r>
    </w:p>
    <w:p w14:paraId="1B5D00E3" w14:textId="77777777" w:rsidR="00744A8A" w:rsidRPr="00D810CA" w:rsidRDefault="00744A8A" w:rsidP="00744A8A">
      <w:pPr>
        <w:pStyle w:val="ListParagraph"/>
        <w:spacing w:after="0" w:line="240" w:lineRule="auto"/>
        <w:rPr>
          <w:rFonts w:ascii="Arial" w:eastAsia="Arial" w:hAnsi="Arial" w:cs="Arial"/>
          <w:spacing w:val="-1"/>
          <w:szCs w:val="24"/>
        </w:rPr>
      </w:pPr>
    </w:p>
    <w:p w14:paraId="3A8D5265" w14:textId="2EC4A512" w:rsidR="00744A8A" w:rsidRPr="003C7E62" w:rsidRDefault="00DE2722" w:rsidP="00744A8A">
      <w:pPr>
        <w:keepNext w:val="0"/>
        <w:numPr>
          <w:ilvl w:val="1"/>
          <w:numId w:val="3"/>
        </w:numPr>
        <w:tabs>
          <w:tab w:val="clear" w:pos="525"/>
        </w:tabs>
        <w:autoSpaceDE w:val="0"/>
        <w:autoSpaceDN w:val="0"/>
        <w:adjustRightInd w:val="0"/>
        <w:spacing w:before="0"/>
        <w:ind w:left="709" w:hanging="709"/>
        <w:rPr>
          <w:rFonts w:eastAsia="Arial" w:cs="Arial"/>
          <w:color w:val="auto"/>
          <w:spacing w:val="-1"/>
          <w:szCs w:val="24"/>
        </w:rPr>
      </w:pPr>
      <w:r w:rsidRPr="00D810CA">
        <w:rPr>
          <w:rFonts w:eastAsia="Arial" w:cs="Arial"/>
          <w:spacing w:val="-1"/>
          <w:szCs w:val="24"/>
        </w:rPr>
        <w:t xml:space="preserve">A watercourse should follow its natural profile and meandering reflecting the character of the surrounding landscape.  Therefore, the emphasis is upon retain this aspect and avoiding engineering solutions that straighten or culvert the watercourse. </w:t>
      </w:r>
      <w:r w:rsidR="00400B3D" w:rsidRPr="00D810CA">
        <w:rPr>
          <w:rFonts w:eastAsia="Arial" w:cs="Arial"/>
          <w:spacing w:val="-1"/>
          <w:szCs w:val="24"/>
        </w:rPr>
        <w:t>Any proposed modifications to an ordinary watercourse must be presented to the Lead Local Flood Authority for consideration. It should be noted that the L</w:t>
      </w:r>
      <w:r w:rsidR="009C30E1" w:rsidRPr="00D810CA">
        <w:rPr>
          <w:rFonts w:eastAsia="Arial" w:cs="Arial"/>
          <w:spacing w:val="-1"/>
          <w:szCs w:val="24"/>
        </w:rPr>
        <w:t xml:space="preserve">ead </w:t>
      </w:r>
      <w:r w:rsidR="00400B3D" w:rsidRPr="00D810CA">
        <w:rPr>
          <w:rFonts w:eastAsia="Arial" w:cs="Arial"/>
          <w:spacing w:val="-1"/>
          <w:szCs w:val="24"/>
        </w:rPr>
        <w:t>L</w:t>
      </w:r>
      <w:r w:rsidR="009C30E1" w:rsidRPr="00D810CA">
        <w:rPr>
          <w:rFonts w:eastAsia="Arial" w:cs="Arial"/>
          <w:spacing w:val="-1"/>
          <w:szCs w:val="24"/>
        </w:rPr>
        <w:t xml:space="preserve">ocal </w:t>
      </w:r>
      <w:r w:rsidR="00400B3D" w:rsidRPr="00D810CA">
        <w:rPr>
          <w:rFonts w:eastAsia="Arial" w:cs="Arial"/>
          <w:spacing w:val="-1"/>
          <w:szCs w:val="24"/>
        </w:rPr>
        <w:t>F</w:t>
      </w:r>
      <w:r w:rsidR="009C30E1" w:rsidRPr="00D810CA">
        <w:rPr>
          <w:rFonts w:eastAsia="Arial" w:cs="Arial"/>
          <w:spacing w:val="-1"/>
          <w:szCs w:val="24"/>
        </w:rPr>
        <w:t xml:space="preserve">lood </w:t>
      </w:r>
      <w:r w:rsidR="00400B3D" w:rsidRPr="00D810CA">
        <w:rPr>
          <w:rFonts w:eastAsia="Arial" w:cs="Arial"/>
          <w:spacing w:val="-1"/>
          <w:szCs w:val="24"/>
        </w:rPr>
        <w:t>A</w:t>
      </w:r>
      <w:r w:rsidR="009C30E1" w:rsidRPr="00D810CA">
        <w:rPr>
          <w:rFonts w:eastAsia="Arial" w:cs="Arial"/>
          <w:spacing w:val="-1"/>
          <w:szCs w:val="24"/>
        </w:rPr>
        <w:t>uthority</w:t>
      </w:r>
      <w:r w:rsidR="00400B3D" w:rsidRPr="00D810CA">
        <w:rPr>
          <w:rFonts w:eastAsia="Arial" w:cs="Arial"/>
          <w:spacing w:val="-1"/>
          <w:szCs w:val="24"/>
        </w:rPr>
        <w:t xml:space="preserve"> do not support the culverting of watercourses nor any changes that restrict the flow of water.</w:t>
      </w:r>
      <w:r w:rsidRPr="00D810CA">
        <w:rPr>
          <w:rFonts w:eastAsia="Arial" w:cs="Arial"/>
          <w:spacing w:val="-1"/>
          <w:szCs w:val="24"/>
        </w:rPr>
        <w:t xml:space="preserve"> Buffer zones should be provided adjacent to rivers, streams and ponds in order to protect and, where necessary</w:t>
      </w:r>
      <w:r w:rsidRPr="003C7E62">
        <w:rPr>
          <w:rFonts w:eastAsia="Arial" w:cs="Arial"/>
          <w:color w:val="auto"/>
          <w:spacing w:val="-1"/>
          <w:szCs w:val="24"/>
        </w:rPr>
        <w:t>, enhance biodiversity, in particular the value of the adjacent terrestrial habitat. These zones provide valuable habitats and help support improved habitat connectivity.    Under the Environment Agency’s Midlands Land Drainage Bylaws for ‘main rivers’ this buffer area is 8 metres measured horizontally from the foot of any bank of the river on the landward side or, where there is no such bank, within 8 metres measured horizontally from the top edge of the batter enclosing the river.</w:t>
      </w:r>
      <w:r w:rsidRPr="003C7E62">
        <w:rPr>
          <w:rFonts w:cs="Arial"/>
          <w:color w:val="auto"/>
        </w:rPr>
        <w:t xml:space="preserve"> </w:t>
      </w:r>
    </w:p>
    <w:p w14:paraId="5A9EBC30" w14:textId="77777777" w:rsidR="00744A8A" w:rsidRPr="00AE365C" w:rsidRDefault="00744A8A" w:rsidP="00744A8A">
      <w:pPr>
        <w:pStyle w:val="ListParagraph"/>
        <w:spacing w:after="0" w:line="240" w:lineRule="auto"/>
        <w:rPr>
          <w:rFonts w:ascii="Arial" w:eastAsia="Arial" w:hAnsi="Arial" w:cs="Arial"/>
          <w:color w:val="auto"/>
          <w:spacing w:val="-1"/>
          <w:szCs w:val="24"/>
        </w:rPr>
      </w:pPr>
    </w:p>
    <w:p w14:paraId="49CBC8A2" w14:textId="7823AE0B" w:rsidR="00AE365C" w:rsidRPr="00D810CA" w:rsidRDefault="00DE2722" w:rsidP="0040385F">
      <w:pPr>
        <w:keepNext w:val="0"/>
        <w:numPr>
          <w:ilvl w:val="1"/>
          <w:numId w:val="3"/>
        </w:numPr>
        <w:tabs>
          <w:tab w:val="clear" w:pos="525"/>
        </w:tabs>
        <w:autoSpaceDE w:val="0"/>
        <w:autoSpaceDN w:val="0"/>
        <w:adjustRightInd w:val="0"/>
        <w:spacing w:before="0"/>
        <w:ind w:left="680" w:hanging="709"/>
        <w:rPr>
          <w:rFonts w:eastAsia="Arial" w:cs="Arial"/>
        </w:rPr>
      </w:pPr>
      <w:r w:rsidRPr="00AE365C">
        <w:rPr>
          <w:rFonts w:eastAsia="Arial" w:cs="Arial"/>
          <w:color w:val="auto"/>
          <w:spacing w:val="-1"/>
          <w:szCs w:val="24"/>
        </w:rPr>
        <w:t xml:space="preserve">Development should </w:t>
      </w:r>
      <w:r w:rsidR="00AE365C" w:rsidRPr="00AE365C">
        <w:rPr>
          <w:rFonts w:eastAsia="Arial" w:cs="Arial"/>
          <w:color w:val="auto"/>
          <w:spacing w:val="-1"/>
          <w:szCs w:val="24"/>
        </w:rPr>
        <w:t xml:space="preserve">not adversely affect </w:t>
      </w:r>
      <w:r w:rsidR="00AE365C" w:rsidRPr="00D810CA">
        <w:rPr>
          <w:rFonts w:eastAsia="Arial" w:cs="Arial"/>
          <w:spacing w:val="-1"/>
          <w:szCs w:val="24"/>
        </w:rPr>
        <w:t>the</w:t>
      </w:r>
      <w:r w:rsidR="00400B3D" w:rsidRPr="00D810CA">
        <w:rPr>
          <w:rFonts w:eastAsia="Arial" w:cs="Arial"/>
          <w:spacing w:val="-1"/>
          <w:szCs w:val="24"/>
        </w:rPr>
        <w:t xml:space="preserve"> cross sectional</w:t>
      </w:r>
      <w:r w:rsidR="00AE365C" w:rsidRPr="00D810CA">
        <w:rPr>
          <w:rFonts w:eastAsia="Arial" w:cs="Arial"/>
          <w:spacing w:val="-1"/>
          <w:szCs w:val="24"/>
        </w:rPr>
        <w:t xml:space="preserve"> profile of natural watercourses and should </w:t>
      </w:r>
      <w:r w:rsidRPr="00D810CA">
        <w:rPr>
          <w:rFonts w:eastAsia="Arial" w:cs="Arial"/>
          <w:spacing w:val="-1"/>
          <w:szCs w:val="24"/>
        </w:rPr>
        <w:t>take the opportunity to improve the water environment.    Wherever possible, culverts should be opened up.   It will not generally be acceptable for development to result in the loss of open water features through draining, culverting or enclosure by other means.</w:t>
      </w:r>
      <w:r w:rsidR="00AE365C" w:rsidRPr="00D810CA">
        <w:rPr>
          <w:rFonts w:eastAsia="Arial" w:cs="Arial"/>
          <w:spacing w:val="-1"/>
          <w:szCs w:val="24"/>
        </w:rPr>
        <w:t xml:space="preserve">  Land should be provided </w:t>
      </w:r>
      <w:r w:rsidR="00AE365C" w:rsidRPr="00D810CA">
        <w:rPr>
          <w:rFonts w:eastAsia="Arial" w:cs="Arial"/>
        </w:rPr>
        <w:t xml:space="preserve">adjacent to the top of both banks of any watercourse for maintenance purposes which should be appropriately landscaped for open space and biodiversity benefits </w:t>
      </w:r>
    </w:p>
    <w:p w14:paraId="1753B13B" w14:textId="00C2F463" w:rsidR="00AE365C" w:rsidRPr="00D810CA" w:rsidRDefault="00AE365C" w:rsidP="004575AD">
      <w:pPr>
        <w:keepNext w:val="0"/>
        <w:tabs>
          <w:tab w:val="left" w:pos="680"/>
        </w:tabs>
        <w:spacing w:before="0"/>
        <w:ind w:left="680"/>
        <w:rPr>
          <w:rFonts w:eastAsia="Arial" w:cs="Arial"/>
        </w:rPr>
      </w:pPr>
    </w:p>
    <w:p w14:paraId="3DB84CB5" w14:textId="1A3D075D" w:rsidR="00744A8A" w:rsidRDefault="00744A8A" w:rsidP="004575AD">
      <w:pPr>
        <w:keepNext w:val="0"/>
        <w:tabs>
          <w:tab w:val="left" w:pos="680"/>
        </w:tabs>
        <w:spacing w:before="0"/>
        <w:ind w:left="709"/>
        <w:rPr>
          <w:rFonts w:eastAsia="Arial" w:cs="Arial"/>
          <w:b/>
        </w:rPr>
      </w:pPr>
      <w:r w:rsidRPr="00D810CA">
        <w:rPr>
          <w:rFonts w:eastAsia="Arial" w:cs="Arial"/>
          <w:b/>
        </w:rPr>
        <w:t xml:space="preserve">Water </w:t>
      </w:r>
      <w:r w:rsidR="005D0346">
        <w:rPr>
          <w:rFonts w:eastAsia="Arial" w:cs="Arial"/>
          <w:b/>
        </w:rPr>
        <w:t>E</w:t>
      </w:r>
      <w:r w:rsidRPr="00D810CA">
        <w:rPr>
          <w:rFonts w:eastAsia="Arial" w:cs="Arial"/>
          <w:b/>
        </w:rPr>
        <w:t>fficiency</w:t>
      </w:r>
    </w:p>
    <w:p w14:paraId="735F0E63" w14:textId="77777777" w:rsidR="005334C0" w:rsidRDefault="005334C0" w:rsidP="004575AD">
      <w:pPr>
        <w:keepNext w:val="0"/>
        <w:tabs>
          <w:tab w:val="left" w:pos="680"/>
        </w:tabs>
        <w:spacing w:before="0"/>
        <w:ind w:left="709"/>
        <w:rPr>
          <w:rFonts w:eastAsia="Arial" w:cs="Arial"/>
          <w:b/>
        </w:rPr>
      </w:pPr>
    </w:p>
    <w:p w14:paraId="2FB6257D" w14:textId="77777777" w:rsidR="0099236E" w:rsidRPr="0099236E" w:rsidRDefault="00DE2722" w:rsidP="005E0E87">
      <w:pPr>
        <w:keepNext w:val="0"/>
        <w:numPr>
          <w:ilvl w:val="1"/>
          <w:numId w:val="3"/>
        </w:numPr>
        <w:tabs>
          <w:tab w:val="clear" w:pos="525"/>
        </w:tabs>
        <w:autoSpaceDE w:val="0"/>
        <w:autoSpaceDN w:val="0"/>
        <w:adjustRightInd w:val="0"/>
        <w:spacing w:before="0"/>
        <w:ind w:left="709" w:hanging="709"/>
        <w:rPr>
          <w:rFonts w:eastAsia="Arial" w:cs="Arial"/>
          <w:color w:val="auto"/>
          <w:spacing w:val="-1"/>
          <w:szCs w:val="24"/>
        </w:rPr>
      </w:pPr>
      <w:r w:rsidRPr="00D810CA">
        <w:rPr>
          <w:rFonts w:cs="Arial"/>
          <w:szCs w:val="24"/>
        </w:rPr>
        <w:t>The N</w:t>
      </w:r>
      <w:r w:rsidR="00215F98" w:rsidRPr="00D810CA">
        <w:rPr>
          <w:rFonts w:cs="Arial"/>
          <w:szCs w:val="24"/>
        </w:rPr>
        <w:t>PPF</w:t>
      </w:r>
      <w:r w:rsidRPr="00D810CA">
        <w:rPr>
          <w:rFonts w:cs="Arial"/>
          <w:szCs w:val="24"/>
        </w:rPr>
        <w:t xml:space="preserve"> requires local planning authorities to adopt proactive strategies to adapt to climate change that take full account of water supply and demand considerations. </w:t>
      </w:r>
    </w:p>
    <w:p w14:paraId="2DB17190" w14:textId="77777777" w:rsidR="0099236E" w:rsidRPr="0099236E" w:rsidRDefault="0099236E" w:rsidP="0099236E">
      <w:pPr>
        <w:keepNext w:val="0"/>
        <w:autoSpaceDE w:val="0"/>
        <w:autoSpaceDN w:val="0"/>
        <w:adjustRightInd w:val="0"/>
        <w:spacing w:before="0"/>
        <w:ind w:left="709"/>
        <w:rPr>
          <w:rFonts w:eastAsia="Arial" w:cs="Arial"/>
          <w:color w:val="auto"/>
          <w:spacing w:val="-1"/>
          <w:szCs w:val="24"/>
        </w:rPr>
      </w:pPr>
    </w:p>
    <w:p w14:paraId="4967E284" w14:textId="06B486D5" w:rsidR="00877B1A" w:rsidRDefault="00DE2722" w:rsidP="00AB377C">
      <w:pPr>
        <w:keepNext w:val="0"/>
        <w:numPr>
          <w:ilvl w:val="1"/>
          <w:numId w:val="3"/>
        </w:numPr>
        <w:tabs>
          <w:tab w:val="clear" w:pos="525"/>
        </w:tabs>
        <w:autoSpaceDE w:val="0"/>
        <w:autoSpaceDN w:val="0"/>
        <w:adjustRightInd w:val="0"/>
        <w:spacing w:before="0"/>
        <w:ind w:left="709" w:hanging="709"/>
        <w:rPr>
          <w:rFonts w:eastAsia="Arial" w:cs="Arial"/>
          <w:color w:val="auto"/>
        </w:rPr>
      </w:pPr>
      <w:r w:rsidRPr="0099236E">
        <w:rPr>
          <w:rFonts w:cs="Arial"/>
          <w:szCs w:val="24"/>
        </w:rPr>
        <w:t xml:space="preserve">National </w:t>
      </w:r>
      <w:r w:rsidR="002B4FE0" w:rsidRPr="0099236E">
        <w:rPr>
          <w:rFonts w:cs="Arial"/>
          <w:szCs w:val="24"/>
        </w:rPr>
        <w:t>p</w:t>
      </w:r>
      <w:r w:rsidR="009D694C" w:rsidRPr="0099236E">
        <w:rPr>
          <w:rFonts w:cs="Arial"/>
          <w:szCs w:val="24"/>
        </w:rPr>
        <w:t>olicy</w:t>
      </w:r>
      <w:r w:rsidRPr="0099236E">
        <w:rPr>
          <w:rFonts w:cs="Arial"/>
          <w:szCs w:val="24"/>
        </w:rPr>
        <w:t xml:space="preserve"> identifies that where there is a clear local need, </w:t>
      </w:r>
      <w:hyperlink r:id="rId28" w:history="1">
        <w:r w:rsidRPr="0099236E">
          <w:rPr>
            <w:rFonts w:cs="Arial"/>
            <w:szCs w:val="24"/>
          </w:rPr>
          <w:t xml:space="preserve">Local Plan </w:t>
        </w:r>
      </w:hyperlink>
      <w:r w:rsidRPr="0099236E">
        <w:rPr>
          <w:rFonts w:cs="Arial"/>
          <w:szCs w:val="24"/>
        </w:rPr>
        <w:t>policies can requir</w:t>
      </w:r>
      <w:r w:rsidR="00877B1A" w:rsidRPr="0099236E">
        <w:rPr>
          <w:rFonts w:cs="Arial"/>
          <w:szCs w:val="24"/>
        </w:rPr>
        <w:t>e</w:t>
      </w:r>
      <w:r w:rsidRPr="0099236E">
        <w:rPr>
          <w:rFonts w:cs="Arial"/>
          <w:szCs w:val="24"/>
        </w:rPr>
        <w:t xml:space="preserve"> new dwellings to meet the</w:t>
      </w:r>
      <w:r w:rsidR="00877B1A" w:rsidRPr="0099236E">
        <w:rPr>
          <w:rFonts w:cs="Arial"/>
          <w:szCs w:val="24"/>
        </w:rPr>
        <w:t xml:space="preserve"> </w:t>
      </w:r>
      <w:r w:rsidRPr="0099236E">
        <w:rPr>
          <w:rFonts w:cs="Arial"/>
          <w:szCs w:val="24"/>
        </w:rPr>
        <w:t>Building Regulations</w:t>
      </w:r>
      <w:r w:rsidR="009D694C" w:rsidRPr="0099236E">
        <w:rPr>
          <w:rFonts w:cs="Arial"/>
          <w:szCs w:val="24"/>
        </w:rPr>
        <w:t>: ‘Housing o</w:t>
      </w:r>
      <w:r w:rsidRPr="0099236E">
        <w:rPr>
          <w:rFonts w:cs="Arial"/>
          <w:szCs w:val="24"/>
        </w:rPr>
        <w:t>ptional</w:t>
      </w:r>
      <w:r w:rsidR="009D694C" w:rsidRPr="0099236E">
        <w:rPr>
          <w:rFonts w:cs="Arial"/>
          <w:szCs w:val="24"/>
        </w:rPr>
        <w:t xml:space="preserve"> technical standards’</w:t>
      </w:r>
      <w:r w:rsidRPr="0099236E">
        <w:rPr>
          <w:rFonts w:cs="Arial"/>
          <w:szCs w:val="24"/>
        </w:rPr>
        <w:t xml:space="preserve"> requirement of a maximum of 110 litres</w:t>
      </w:r>
      <w:r w:rsidR="009D694C" w:rsidRPr="0099236E">
        <w:rPr>
          <w:rFonts w:cs="Arial"/>
          <w:szCs w:val="24"/>
        </w:rPr>
        <w:t xml:space="preserve"> per </w:t>
      </w:r>
      <w:r w:rsidRPr="0099236E">
        <w:rPr>
          <w:rFonts w:cs="Arial"/>
          <w:szCs w:val="24"/>
        </w:rPr>
        <w:t>person</w:t>
      </w:r>
      <w:r w:rsidR="009D694C" w:rsidRPr="0099236E">
        <w:rPr>
          <w:rFonts w:cs="Arial"/>
          <w:szCs w:val="24"/>
        </w:rPr>
        <w:t xml:space="preserve"> per </w:t>
      </w:r>
      <w:r w:rsidRPr="0099236E">
        <w:rPr>
          <w:rFonts w:cs="Arial"/>
          <w:szCs w:val="24"/>
        </w:rPr>
        <w:t>day.</w:t>
      </w:r>
      <w:r w:rsidR="004A1C8F" w:rsidRPr="0099236E">
        <w:rPr>
          <w:rFonts w:eastAsia="Arial" w:cs="Arial"/>
          <w:spacing w:val="-1"/>
          <w:szCs w:val="24"/>
        </w:rPr>
        <w:t xml:space="preserve"> </w:t>
      </w:r>
      <w:r w:rsidR="002429E0" w:rsidRPr="0099236E">
        <w:rPr>
          <w:rFonts w:eastAsia="Arial" w:cs="Arial"/>
        </w:rPr>
        <w:t>The Environment Agency in Water stressed areas – final classification 2021, 1</w:t>
      </w:r>
      <w:r w:rsidR="002429E0" w:rsidRPr="0099236E">
        <w:rPr>
          <w:rFonts w:eastAsia="Arial" w:cs="Arial"/>
          <w:vertAlign w:val="superscript"/>
        </w:rPr>
        <w:t>st</w:t>
      </w:r>
      <w:r w:rsidR="002429E0" w:rsidRPr="0099236E">
        <w:rPr>
          <w:rFonts w:eastAsia="Arial" w:cs="Arial"/>
        </w:rPr>
        <w:t xml:space="preserve"> July 2021</w:t>
      </w:r>
      <w:r w:rsidR="002B4FE0" w:rsidRPr="00D810CA">
        <w:rPr>
          <w:rStyle w:val="FootnoteReference"/>
          <w:rFonts w:eastAsia="Arial" w:cs="Arial"/>
        </w:rPr>
        <w:footnoteReference w:id="81"/>
      </w:r>
      <w:r w:rsidR="002B4FE0" w:rsidRPr="0099236E">
        <w:rPr>
          <w:rFonts w:eastAsia="Arial" w:cs="Arial"/>
        </w:rPr>
        <w:t>,</w:t>
      </w:r>
      <w:r w:rsidR="004A1C8F" w:rsidRPr="0099236E">
        <w:rPr>
          <w:rFonts w:eastAsia="Arial" w:cs="Arial"/>
        </w:rPr>
        <w:t xml:space="preserve"> identified that t</w:t>
      </w:r>
      <w:r w:rsidR="002429E0" w:rsidRPr="0099236E">
        <w:rPr>
          <w:rFonts w:eastAsia="Arial" w:cs="Arial"/>
        </w:rPr>
        <w:t xml:space="preserve">he Severn Trent Water </w:t>
      </w:r>
      <w:r w:rsidR="009D694C" w:rsidRPr="0099236E">
        <w:rPr>
          <w:rFonts w:eastAsia="Arial" w:cs="Arial"/>
        </w:rPr>
        <w:t xml:space="preserve">area </w:t>
      </w:r>
      <w:r w:rsidR="0099236E" w:rsidRPr="0099236E">
        <w:rPr>
          <w:rFonts w:eastAsia="Arial" w:cs="Arial"/>
        </w:rPr>
        <w:t>(</w:t>
      </w:r>
      <w:r w:rsidR="002429E0" w:rsidRPr="0099236E">
        <w:rPr>
          <w:rFonts w:eastAsia="Arial" w:cs="Arial"/>
        </w:rPr>
        <w:t>excluding Chester zone</w:t>
      </w:r>
      <w:r w:rsidR="0099236E" w:rsidRPr="0099236E">
        <w:rPr>
          <w:rFonts w:eastAsia="Arial" w:cs="Arial"/>
        </w:rPr>
        <w:t>)</w:t>
      </w:r>
      <w:r w:rsidR="002429E0" w:rsidRPr="0099236E">
        <w:rPr>
          <w:rFonts w:eastAsia="Arial" w:cs="Arial"/>
        </w:rPr>
        <w:t xml:space="preserve"> was classed as seriously water stressed for metering purposes. </w:t>
      </w:r>
      <w:r w:rsidR="004A1C8F" w:rsidRPr="0099236E">
        <w:rPr>
          <w:rFonts w:eastAsia="Arial" w:cs="Arial"/>
        </w:rPr>
        <w:t xml:space="preserve">It identifies that local authorities can use the water stress determination to inform whether they can require the tighter standard of 110 litres per head per day in new developments. Using the latest evidence, the Environment Agency has published its recommendation that additional areas in the South, East and the Midlands should be designated as in serious water stress.” This aspect was initially identified in The </w:t>
      </w:r>
      <w:r w:rsidRPr="0099236E">
        <w:rPr>
          <w:rFonts w:eastAsia="Arial" w:cs="Arial"/>
        </w:rPr>
        <w:t>Watercycle Study for Greater Nottingham and Ashfield</w:t>
      </w:r>
      <w:r w:rsidRPr="00D810CA">
        <w:rPr>
          <w:rFonts w:eastAsia="Arial" w:cs="Arial"/>
          <w:vertAlign w:val="superscript"/>
        </w:rPr>
        <w:footnoteReference w:id="82"/>
      </w:r>
      <w:r w:rsidRPr="0099236E">
        <w:rPr>
          <w:rFonts w:eastAsia="Arial" w:cs="Arial"/>
        </w:rPr>
        <w:t xml:space="preserve"> </w:t>
      </w:r>
      <w:r w:rsidR="004A1C8F" w:rsidRPr="0099236E">
        <w:rPr>
          <w:rFonts w:eastAsia="Arial" w:cs="Arial"/>
        </w:rPr>
        <w:t xml:space="preserve">which </w:t>
      </w:r>
      <w:r w:rsidRPr="0099236E">
        <w:rPr>
          <w:rFonts w:eastAsia="Arial" w:cs="Arial"/>
        </w:rPr>
        <w:t xml:space="preserve">indicates that the water resource </w:t>
      </w:r>
      <w:r w:rsidRPr="0099236E">
        <w:rPr>
          <w:rFonts w:eastAsia="Arial" w:cs="Arial"/>
          <w:color w:val="auto"/>
        </w:rPr>
        <w:t xml:space="preserve">situation in the East Midlands is significantly constrained with little opportunity to develop new water resource schemes. </w:t>
      </w:r>
    </w:p>
    <w:p w14:paraId="4C14CDBB" w14:textId="77777777" w:rsidR="0099236E" w:rsidRPr="0099236E" w:rsidRDefault="0099236E" w:rsidP="0099236E">
      <w:pPr>
        <w:keepNext w:val="0"/>
        <w:autoSpaceDE w:val="0"/>
        <w:autoSpaceDN w:val="0"/>
        <w:adjustRightInd w:val="0"/>
        <w:spacing w:before="0"/>
        <w:rPr>
          <w:rFonts w:eastAsia="Arial" w:cs="Arial"/>
          <w:color w:val="auto"/>
        </w:rPr>
      </w:pPr>
    </w:p>
    <w:p w14:paraId="7A58F9A4" w14:textId="77777777" w:rsidR="00877B1A" w:rsidRPr="003C7E62" w:rsidRDefault="00DE2722" w:rsidP="00877B1A">
      <w:pPr>
        <w:keepNext w:val="0"/>
        <w:numPr>
          <w:ilvl w:val="1"/>
          <w:numId w:val="3"/>
        </w:numPr>
        <w:tabs>
          <w:tab w:val="clear" w:pos="525"/>
        </w:tabs>
        <w:autoSpaceDE w:val="0"/>
        <w:autoSpaceDN w:val="0"/>
        <w:adjustRightInd w:val="0"/>
        <w:spacing w:before="0"/>
        <w:ind w:left="709" w:hanging="709"/>
        <w:rPr>
          <w:rFonts w:eastAsia="Arial" w:cs="Arial"/>
          <w:color w:val="auto"/>
          <w:spacing w:val="-1"/>
          <w:szCs w:val="24"/>
        </w:rPr>
      </w:pPr>
      <w:r w:rsidRPr="003C7E62">
        <w:rPr>
          <w:rFonts w:eastAsia="Arial" w:cs="Arial"/>
          <w:color w:val="auto"/>
          <w:szCs w:val="22"/>
        </w:rPr>
        <w:t>For commercial buildings, BREEAM (BRE Environmental Assessment Method) is widely accepted as a means to establish environmental sustainability for systems within buildings. Water usage is one of the areas that BREEAM assesses, with extra credits given when water saving equipment is installed. This could include reducing water consumption through the use of meters, leak detection, water efficient appliances, or other appropriate measures.</w:t>
      </w:r>
    </w:p>
    <w:p w14:paraId="426DFED1" w14:textId="77777777" w:rsidR="00877B1A" w:rsidRPr="003C7E62" w:rsidRDefault="00877B1A" w:rsidP="00877B1A">
      <w:pPr>
        <w:pStyle w:val="ListParagraph"/>
        <w:spacing w:after="0" w:line="240" w:lineRule="auto"/>
        <w:rPr>
          <w:rFonts w:ascii="Arial" w:eastAsia="Arial" w:hAnsi="Arial" w:cs="Arial"/>
          <w:color w:val="auto"/>
        </w:rPr>
      </w:pPr>
    </w:p>
    <w:p w14:paraId="66A8EFF3" w14:textId="77777777" w:rsidR="00877B1A" w:rsidRPr="003C7E62" w:rsidRDefault="00DE2722" w:rsidP="00877B1A">
      <w:pPr>
        <w:keepNext w:val="0"/>
        <w:numPr>
          <w:ilvl w:val="1"/>
          <w:numId w:val="3"/>
        </w:numPr>
        <w:tabs>
          <w:tab w:val="clear" w:pos="525"/>
        </w:tabs>
        <w:autoSpaceDE w:val="0"/>
        <w:autoSpaceDN w:val="0"/>
        <w:adjustRightInd w:val="0"/>
        <w:spacing w:before="0"/>
        <w:ind w:left="709" w:hanging="709"/>
        <w:rPr>
          <w:rFonts w:eastAsia="Arial" w:cs="Arial"/>
          <w:color w:val="auto"/>
          <w:spacing w:val="-1"/>
          <w:szCs w:val="24"/>
        </w:rPr>
      </w:pPr>
      <w:r w:rsidRPr="003C7E62">
        <w:rPr>
          <w:rFonts w:eastAsia="Arial" w:cs="Arial"/>
          <w:color w:val="auto"/>
        </w:rPr>
        <w:t xml:space="preserve">Water conservation measures are also important in terms of water demand.  The Policy incorporates a degree of flexibility on the exact methods to be utilised, which could include water butts, water saving devices, rainwater harvesting or greywater recycling. </w:t>
      </w:r>
      <w:r w:rsidRPr="003C7E62">
        <w:rPr>
          <w:rFonts w:eastAsia="Arial" w:cs="Arial"/>
          <w:color w:val="auto"/>
          <w:spacing w:val="-1"/>
        </w:rPr>
        <w:t>Garden water can be particularly important as garden hoses can use 280 litres of water in 30 minutes. Using rainwater or grey-water for gardening can result in substantial savings with a relatively low impact in terms of carbon load. In certain parts of the District, water conservation needs to be balanced against issues of low flows within local rivers and streams.</w:t>
      </w:r>
    </w:p>
    <w:p w14:paraId="7A0A3349" w14:textId="77777777" w:rsidR="00877B1A" w:rsidRPr="003C7E62" w:rsidRDefault="00877B1A" w:rsidP="00877B1A">
      <w:pPr>
        <w:pStyle w:val="ListParagraph"/>
        <w:spacing w:after="0" w:line="240" w:lineRule="auto"/>
        <w:rPr>
          <w:rFonts w:ascii="Arial" w:eastAsia="Arial" w:hAnsi="Arial" w:cs="Arial"/>
          <w:color w:val="auto"/>
          <w:spacing w:val="-1"/>
        </w:rPr>
      </w:pPr>
    </w:p>
    <w:p w14:paraId="713CEA98" w14:textId="77777777" w:rsidR="00877B1A" w:rsidRPr="003C7E62" w:rsidRDefault="00DE2722" w:rsidP="004575AD">
      <w:pPr>
        <w:keepNext w:val="0"/>
        <w:numPr>
          <w:ilvl w:val="1"/>
          <w:numId w:val="3"/>
        </w:numPr>
        <w:tabs>
          <w:tab w:val="clear" w:pos="525"/>
        </w:tabs>
        <w:autoSpaceDE w:val="0"/>
        <w:autoSpaceDN w:val="0"/>
        <w:adjustRightInd w:val="0"/>
        <w:spacing w:before="0"/>
        <w:ind w:left="709" w:hanging="709"/>
        <w:rPr>
          <w:rFonts w:eastAsia="Arial" w:cs="Arial"/>
          <w:color w:val="auto"/>
          <w:spacing w:val="-1"/>
          <w:szCs w:val="24"/>
        </w:rPr>
      </w:pPr>
      <w:r w:rsidRPr="003C7E62">
        <w:rPr>
          <w:rFonts w:eastAsia="Arial" w:cs="Arial"/>
          <w:color w:val="auto"/>
          <w:spacing w:val="-1"/>
        </w:rPr>
        <w:t xml:space="preserve">It is recognised that developments have to be economically viable and ecologically sustainable. The Council will work with developers to introduce water efficiency and conservation measure whilst not undermining the viability of development. The implication is that requirements can change over time with both national and local water efficiency requirements and the state of the local market for development. </w:t>
      </w:r>
    </w:p>
    <w:p w14:paraId="599B2C3B" w14:textId="77777777" w:rsidR="004575AD" w:rsidRPr="00364726" w:rsidRDefault="004575AD" w:rsidP="00364726">
      <w:pPr>
        <w:rPr>
          <w:rFonts w:eastAsia="Arial"/>
        </w:rPr>
      </w:pPr>
      <w:bookmarkStart w:id="150" w:name="_Toc500408751"/>
    </w:p>
    <w:p w14:paraId="4C6DC6A0" w14:textId="77777777" w:rsidR="004575AD" w:rsidRPr="00364726" w:rsidRDefault="004575AD" w:rsidP="00364726">
      <w:pPr>
        <w:rPr>
          <w:rFonts w:eastAsia="Arial"/>
        </w:rPr>
      </w:pPr>
    </w:p>
    <w:p w14:paraId="5E262FEF" w14:textId="0FAB1A26" w:rsidR="00877B1A" w:rsidRPr="00995322" w:rsidRDefault="006977E7" w:rsidP="00995322">
      <w:pPr>
        <w:pStyle w:val="Heading2"/>
        <w:jc w:val="left"/>
        <w:rPr>
          <w:rFonts w:eastAsia="Arial"/>
          <w:sz w:val="28"/>
          <w:szCs w:val="28"/>
        </w:rPr>
      </w:pPr>
      <w:bookmarkStart w:id="151" w:name="_Toc145511572"/>
      <w:r w:rsidRPr="00995322">
        <w:rPr>
          <w:rFonts w:eastAsia="Arial"/>
          <w:sz w:val="28"/>
          <w:szCs w:val="28"/>
        </w:rPr>
        <w:t xml:space="preserve">Policy </w:t>
      </w:r>
      <w:r w:rsidR="00877B1A" w:rsidRPr="00995322">
        <w:rPr>
          <w:rFonts w:eastAsia="Arial"/>
          <w:sz w:val="28"/>
          <w:szCs w:val="28"/>
        </w:rPr>
        <w:t>CC3: Flood Risk and Sustainable Drainage Systems (SuDs)</w:t>
      </w:r>
      <w:bookmarkEnd w:id="150"/>
      <w:bookmarkEnd w:id="151"/>
    </w:p>
    <w:p w14:paraId="7A09D93C" w14:textId="77777777" w:rsidR="00877B1A" w:rsidRPr="00FC2A72" w:rsidRDefault="00877B1A" w:rsidP="004575AD">
      <w:pPr>
        <w:keepNext w:val="0"/>
        <w:spacing w:before="0"/>
        <w:rPr>
          <w:rFonts w:eastAsia="Arial" w:cs="Arial"/>
          <w:color w:val="auto"/>
        </w:rPr>
      </w:pPr>
    </w:p>
    <w:p w14:paraId="318F3144" w14:textId="77777777" w:rsidR="00877B1A" w:rsidRPr="003C7E62" w:rsidRDefault="00877B1A" w:rsidP="004575AD">
      <w:pPr>
        <w:keepNext w:val="0"/>
        <w:spacing w:before="0"/>
        <w:rPr>
          <w:rFonts w:eastAsia="Arial" w:cs="Arial"/>
          <w:color w:val="auto"/>
        </w:rPr>
      </w:pPr>
    </w:p>
    <w:tbl>
      <w:tblPr>
        <w:tblStyle w:val="ReportTable1"/>
        <w:tblW w:w="9634" w:type="dxa"/>
        <w:tblLook w:val="04A0" w:firstRow="1" w:lastRow="0" w:firstColumn="1" w:lastColumn="0" w:noHBand="0" w:noVBand="1"/>
      </w:tblPr>
      <w:tblGrid>
        <w:gridCol w:w="1838"/>
        <w:gridCol w:w="822"/>
        <w:gridCol w:w="6974"/>
      </w:tblGrid>
      <w:tr w:rsidR="00877B1A" w:rsidRPr="003C7E62" w14:paraId="0B99F810" w14:textId="77777777" w:rsidTr="005334C0">
        <w:trPr>
          <w:trHeight w:val="421"/>
        </w:trPr>
        <w:tc>
          <w:tcPr>
            <w:tcW w:w="9634" w:type="dxa"/>
            <w:gridSpan w:val="3"/>
          </w:tcPr>
          <w:p w14:paraId="5D61CA47" w14:textId="77777777" w:rsidR="00877B1A" w:rsidRPr="003C7E62" w:rsidRDefault="00877B1A" w:rsidP="004575AD">
            <w:pPr>
              <w:keepNext w:val="0"/>
              <w:tabs>
                <w:tab w:val="left" w:pos="680"/>
                <w:tab w:val="left" w:pos="1133"/>
                <w:tab w:val="left" w:pos="2267"/>
              </w:tabs>
              <w:spacing w:after="120" w:line="300" w:lineRule="exact"/>
              <w:ind w:right="283"/>
              <w:rPr>
                <w:rFonts w:eastAsia="Arial" w:cs="Arial"/>
                <w:b/>
                <w:color w:val="auto"/>
                <w:spacing w:val="-1"/>
              </w:rPr>
            </w:pPr>
            <w:r w:rsidRPr="00FC2A72">
              <w:rPr>
                <w:rFonts w:eastAsia="Arial" w:cs="Arial"/>
                <w:b/>
                <w:color w:val="auto"/>
                <w:spacing w:val="-1"/>
              </w:rPr>
              <w:t>Policy CC3: Flood Risk and SuDS</w:t>
            </w:r>
          </w:p>
        </w:tc>
      </w:tr>
      <w:tr w:rsidR="00877B1A" w:rsidRPr="003C7E62" w14:paraId="64994BDD" w14:textId="77777777" w:rsidTr="005334C0">
        <w:tc>
          <w:tcPr>
            <w:tcW w:w="2660" w:type="dxa"/>
            <w:gridSpan w:val="2"/>
          </w:tcPr>
          <w:p w14:paraId="2CCE315D" w14:textId="77777777" w:rsidR="00877B1A" w:rsidRPr="00FC2A72" w:rsidRDefault="00877B1A" w:rsidP="004575AD">
            <w:pPr>
              <w:keepNext w:val="0"/>
              <w:tabs>
                <w:tab w:val="left" w:pos="680"/>
              </w:tabs>
              <w:spacing w:before="40" w:after="40"/>
              <w:rPr>
                <w:rFonts w:eastAsia="Arial" w:cs="Arial"/>
                <w:bCs/>
                <w:color w:val="auto"/>
              </w:rPr>
            </w:pPr>
            <w:r w:rsidRPr="00FC2A72">
              <w:rPr>
                <w:rFonts w:eastAsia="Arial" w:cs="Arial"/>
                <w:bCs/>
                <w:color w:val="auto"/>
              </w:rPr>
              <w:t>Strategic Objectives</w:t>
            </w:r>
          </w:p>
        </w:tc>
        <w:tc>
          <w:tcPr>
            <w:tcW w:w="6974" w:type="dxa"/>
          </w:tcPr>
          <w:p w14:paraId="7D48956C" w14:textId="77777777" w:rsidR="00877B1A" w:rsidRPr="00FC2A72" w:rsidRDefault="00877B1A" w:rsidP="004575AD">
            <w:pPr>
              <w:keepNext w:val="0"/>
              <w:tabs>
                <w:tab w:val="left" w:pos="680"/>
              </w:tabs>
              <w:spacing w:before="40" w:after="40"/>
              <w:rPr>
                <w:rFonts w:eastAsia="Arial" w:cs="Arial"/>
                <w:bCs/>
                <w:color w:val="auto"/>
              </w:rPr>
            </w:pPr>
            <w:r w:rsidRPr="00FC2A72">
              <w:rPr>
                <w:rFonts w:eastAsia="Arial" w:cs="Arial"/>
                <w:bCs/>
                <w:color w:val="auto"/>
              </w:rPr>
              <w:t xml:space="preserve">SO4, SO11, SO13, SO14. </w:t>
            </w:r>
          </w:p>
        </w:tc>
      </w:tr>
      <w:tr w:rsidR="00877B1A" w:rsidRPr="003C7E62" w14:paraId="6DA53742" w14:textId="77777777" w:rsidTr="005334C0">
        <w:tc>
          <w:tcPr>
            <w:tcW w:w="9634" w:type="dxa"/>
            <w:gridSpan w:val="3"/>
            <w:shd w:val="clear" w:color="auto" w:fill="DEEAF6"/>
          </w:tcPr>
          <w:p w14:paraId="68005265" w14:textId="77777777" w:rsidR="00877B1A" w:rsidRPr="000339D2" w:rsidRDefault="00877B1A" w:rsidP="004575AD">
            <w:pPr>
              <w:keepNext w:val="0"/>
              <w:tabs>
                <w:tab w:val="left" w:pos="680"/>
                <w:tab w:val="left" w:pos="1133"/>
                <w:tab w:val="left" w:pos="2267"/>
              </w:tabs>
              <w:spacing w:before="0"/>
              <w:ind w:left="360" w:right="284"/>
              <w:rPr>
                <w:rFonts w:eastAsia="Arial" w:cs="Arial"/>
                <w:bCs/>
                <w:strike/>
                <w:color w:val="auto"/>
              </w:rPr>
            </w:pPr>
          </w:p>
          <w:p w14:paraId="6F65E938" w14:textId="77777777" w:rsidR="00877B1A" w:rsidRPr="000339D2" w:rsidRDefault="00877B1A" w:rsidP="00874A98">
            <w:pPr>
              <w:keepNext w:val="0"/>
              <w:numPr>
                <w:ilvl w:val="0"/>
                <w:numId w:val="108"/>
              </w:numPr>
              <w:tabs>
                <w:tab w:val="left" w:pos="680"/>
                <w:tab w:val="left" w:pos="1133"/>
                <w:tab w:val="left" w:pos="2267"/>
              </w:tabs>
              <w:spacing w:before="0"/>
              <w:ind w:right="284"/>
              <w:rPr>
                <w:rFonts w:eastAsia="Arial" w:cs="Arial"/>
                <w:bCs/>
                <w:strike/>
                <w:color w:val="auto"/>
              </w:rPr>
            </w:pPr>
            <w:r w:rsidRPr="000339D2">
              <w:rPr>
                <w:rFonts w:eastAsia="Arial" w:cs="Arial"/>
                <w:bCs/>
                <w:color w:val="auto"/>
              </w:rPr>
              <w:t>The Council will follow a sequential approach to flood risk management with the aim of locating development on land with the lowest risk of flooding.</w:t>
            </w:r>
          </w:p>
          <w:p w14:paraId="33B10534" w14:textId="77777777" w:rsidR="00877B1A" w:rsidRPr="000339D2" w:rsidRDefault="00877B1A" w:rsidP="004575AD">
            <w:pPr>
              <w:keepNext w:val="0"/>
              <w:tabs>
                <w:tab w:val="left" w:pos="680"/>
                <w:tab w:val="left" w:pos="1133"/>
                <w:tab w:val="left" w:pos="2267"/>
              </w:tabs>
              <w:spacing w:before="0"/>
              <w:ind w:left="360" w:right="284"/>
              <w:rPr>
                <w:rFonts w:eastAsia="Arial" w:cs="Arial"/>
                <w:bCs/>
                <w:color w:val="auto"/>
              </w:rPr>
            </w:pPr>
          </w:p>
          <w:p w14:paraId="2921591C" w14:textId="7DBD16AB" w:rsidR="00877B1A" w:rsidRPr="000339D2" w:rsidRDefault="00877B1A" w:rsidP="00874A98">
            <w:pPr>
              <w:keepNext w:val="0"/>
              <w:numPr>
                <w:ilvl w:val="0"/>
                <w:numId w:val="108"/>
              </w:numPr>
              <w:tabs>
                <w:tab w:val="left" w:pos="680"/>
                <w:tab w:val="left" w:pos="1133"/>
                <w:tab w:val="left" w:pos="2267"/>
              </w:tabs>
              <w:spacing w:before="0"/>
              <w:ind w:right="284"/>
              <w:rPr>
                <w:rFonts w:eastAsia="Arial" w:cs="Arial"/>
                <w:bCs/>
                <w:strike/>
                <w:color w:val="auto"/>
              </w:rPr>
            </w:pPr>
            <w:r w:rsidRPr="000339D2">
              <w:rPr>
                <w:rFonts w:cs="Arial"/>
                <w:bCs/>
                <w:color w:val="auto"/>
                <w:szCs w:val="24"/>
              </w:rPr>
              <w:t xml:space="preserve">All development proposals will be required to consider the effect of the proposed development, including access and egress, on flood risk from all </w:t>
            </w:r>
            <w:r w:rsidRPr="0036716A">
              <w:rPr>
                <w:rFonts w:cs="Arial"/>
                <w:bCs/>
                <w:szCs w:val="24"/>
              </w:rPr>
              <w:t xml:space="preserve">sources, </w:t>
            </w:r>
            <w:r w:rsidR="001461E0" w:rsidRPr="0036716A">
              <w:rPr>
                <w:rFonts w:cs="Arial"/>
                <w:bCs/>
                <w:szCs w:val="24"/>
              </w:rPr>
              <w:t xml:space="preserve">ensuring on-site and off-site flood risk is not increased and where feasible is reduced, </w:t>
            </w:r>
            <w:r w:rsidRPr="0036716A">
              <w:rPr>
                <w:rFonts w:cs="Arial"/>
                <w:bCs/>
                <w:szCs w:val="24"/>
              </w:rPr>
              <w:t xml:space="preserve">commensurate </w:t>
            </w:r>
            <w:r w:rsidRPr="000339D2">
              <w:rPr>
                <w:rFonts w:cs="Arial"/>
                <w:bCs/>
                <w:color w:val="auto"/>
                <w:szCs w:val="24"/>
              </w:rPr>
              <w:t>with the scale and impact of the development.  Where appropriate</w:t>
            </w:r>
            <w:r w:rsidRPr="000339D2">
              <w:rPr>
                <w:rFonts w:cs="Arial"/>
                <w:bCs/>
                <w:color w:val="auto"/>
                <w:sz w:val="28"/>
                <w:szCs w:val="24"/>
                <w:vertAlign w:val="superscript"/>
              </w:rPr>
              <w:footnoteReference w:id="83"/>
            </w:r>
            <w:r w:rsidRPr="000339D2">
              <w:rPr>
                <w:rFonts w:cs="Arial"/>
                <w:bCs/>
                <w:color w:val="auto"/>
                <w:szCs w:val="24"/>
              </w:rPr>
              <w:t xml:space="preserve"> t</w:t>
            </w:r>
            <w:r w:rsidRPr="000339D2">
              <w:rPr>
                <w:rFonts w:eastAsia="Arial" w:cs="Arial"/>
                <w:bCs/>
                <w:color w:val="auto"/>
              </w:rPr>
              <w:t>his should be demonstrated through a Flood Risk Assessment (FRA) which demonstrates how flood risk will be managed now and over the development’s lifetime, taking climate change into account, and with regard to the vulnerability of its users.</w:t>
            </w:r>
          </w:p>
          <w:p w14:paraId="290FF2DF" w14:textId="77777777" w:rsidR="00877B1A" w:rsidRPr="000339D2" w:rsidRDefault="00877B1A" w:rsidP="004575AD">
            <w:pPr>
              <w:keepNext w:val="0"/>
              <w:tabs>
                <w:tab w:val="left" w:pos="680"/>
                <w:tab w:val="left" w:pos="1133"/>
                <w:tab w:val="left" w:pos="2267"/>
              </w:tabs>
              <w:spacing w:before="0"/>
              <w:ind w:right="284"/>
              <w:rPr>
                <w:rFonts w:eastAsia="Arial" w:cs="Arial"/>
                <w:bCs/>
                <w:strike/>
                <w:color w:val="auto"/>
              </w:rPr>
            </w:pPr>
          </w:p>
          <w:p w14:paraId="683C0CB5" w14:textId="40DF7AFB" w:rsidR="00877B1A" w:rsidRPr="000339D2" w:rsidRDefault="00877B1A" w:rsidP="00874A98">
            <w:pPr>
              <w:keepNext w:val="0"/>
              <w:numPr>
                <w:ilvl w:val="0"/>
                <w:numId w:val="108"/>
              </w:numPr>
              <w:tabs>
                <w:tab w:val="left" w:pos="680"/>
                <w:tab w:val="left" w:pos="1133"/>
                <w:tab w:val="left" w:pos="2267"/>
              </w:tabs>
              <w:spacing w:before="0"/>
              <w:ind w:right="284"/>
              <w:rPr>
                <w:rFonts w:eastAsia="Arial" w:cs="Arial"/>
                <w:bCs/>
                <w:color w:val="auto"/>
                <w:szCs w:val="24"/>
              </w:rPr>
            </w:pPr>
            <w:r w:rsidRPr="000339D2">
              <w:rPr>
                <w:rFonts w:cs="Arial"/>
                <w:bCs/>
                <w:color w:val="auto"/>
                <w:szCs w:val="24"/>
              </w:rPr>
              <w:t>Development will not be permitted unless:</w:t>
            </w:r>
          </w:p>
          <w:p w14:paraId="62C0597D" w14:textId="77777777" w:rsidR="00877B1A" w:rsidRPr="000339D2" w:rsidRDefault="00877B1A" w:rsidP="004575AD">
            <w:pPr>
              <w:keepNext w:val="0"/>
              <w:tabs>
                <w:tab w:val="left" w:pos="680"/>
                <w:tab w:val="left" w:pos="1133"/>
                <w:tab w:val="left" w:pos="2267"/>
              </w:tabs>
              <w:spacing w:before="0"/>
              <w:ind w:left="360" w:right="284"/>
              <w:rPr>
                <w:rFonts w:eastAsia="Arial" w:cs="Arial"/>
                <w:bCs/>
                <w:color w:val="auto"/>
                <w:spacing w:val="-1"/>
                <w:szCs w:val="24"/>
              </w:rPr>
            </w:pPr>
          </w:p>
          <w:p w14:paraId="0835F32B" w14:textId="4F5E410B" w:rsidR="00877B1A" w:rsidRPr="000339D2" w:rsidRDefault="00877B1A" w:rsidP="00874A98">
            <w:pPr>
              <w:keepNext w:val="0"/>
              <w:numPr>
                <w:ilvl w:val="0"/>
                <w:numId w:val="109"/>
              </w:numPr>
              <w:shd w:val="clear" w:color="auto" w:fill="DEEAF6"/>
              <w:spacing w:before="0"/>
              <w:rPr>
                <w:rFonts w:cs="Arial"/>
                <w:bCs/>
                <w:color w:val="auto"/>
                <w:szCs w:val="24"/>
              </w:rPr>
            </w:pPr>
            <w:r w:rsidRPr="000339D2">
              <w:rPr>
                <w:rFonts w:cs="Arial"/>
                <w:bCs/>
                <w:color w:val="auto"/>
                <w:szCs w:val="24"/>
              </w:rPr>
              <w:t>In the functional floodplain (Flood Zone 3b), it is water compatible or essential infrastructure</w:t>
            </w:r>
            <w:r w:rsidR="002B4FE0">
              <w:rPr>
                <w:rFonts w:cs="Arial"/>
                <w:bCs/>
                <w:color w:val="auto"/>
                <w:szCs w:val="24"/>
              </w:rPr>
              <w:t>;</w:t>
            </w:r>
          </w:p>
          <w:p w14:paraId="18BE7B89" w14:textId="77777777" w:rsidR="00877B1A" w:rsidRPr="000339D2" w:rsidRDefault="00877B1A" w:rsidP="004575AD">
            <w:pPr>
              <w:keepNext w:val="0"/>
              <w:shd w:val="clear" w:color="auto" w:fill="DEEAF6"/>
              <w:spacing w:before="0"/>
              <w:ind w:left="720"/>
              <w:rPr>
                <w:rFonts w:cs="Arial"/>
                <w:bCs/>
                <w:color w:val="auto"/>
                <w:szCs w:val="24"/>
              </w:rPr>
            </w:pPr>
          </w:p>
          <w:p w14:paraId="397616FB" w14:textId="3E119034" w:rsidR="00877B1A" w:rsidRPr="0036716A" w:rsidRDefault="00877B1A" w:rsidP="00874A98">
            <w:pPr>
              <w:keepNext w:val="0"/>
              <w:numPr>
                <w:ilvl w:val="0"/>
                <w:numId w:val="109"/>
              </w:numPr>
              <w:shd w:val="clear" w:color="auto" w:fill="DEEAF6"/>
              <w:spacing w:before="0"/>
              <w:rPr>
                <w:rFonts w:cs="Arial"/>
                <w:bCs/>
                <w:szCs w:val="24"/>
              </w:rPr>
            </w:pPr>
            <w:r w:rsidRPr="000339D2">
              <w:rPr>
                <w:rFonts w:cs="Arial"/>
                <w:bCs/>
                <w:color w:val="auto"/>
                <w:szCs w:val="24"/>
              </w:rPr>
              <w:t>In Flood Zones 2 or 3, the Sequential Test, and, if necessary, the Exceptions Test is satisfied as required by national policy</w:t>
            </w:r>
            <w:r w:rsidR="00581522" w:rsidRPr="000339D2">
              <w:rPr>
                <w:rFonts w:cs="Arial"/>
                <w:bCs/>
                <w:color w:val="auto"/>
                <w:szCs w:val="24"/>
              </w:rPr>
              <w:t xml:space="preserve">. The Sequential Test </w:t>
            </w:r>
            <w:r w:rsidR="006C32FE" w:rsidRPr="0036716A">
              <w:rPr>
                <w:rFonts w:cs="Arial"/>
                <w:bCs/>
                <w:szCs w:val="24"/>
              </w:rPr>
              <w:t>for</w:t>
            </w:r>
            <w:r w:rsidR="00581522" w:rsidRPr="0036716A">
              <w:rPr>
                <w:rFonts w:cs="Arial"/>
                <w:bCs/>
                <w:szCs w:val="24"/>
              </w:rPr>
              <w:t xml:space="preserve"> flooding will be applied district wide unless a smaller area of search could be justified to deliver local needs identified in other Local Plan policies</w:t>
            </w:r>
            <w:r w:rsidR="002B4FE0" w:rsidRPr="0036716A">
              <w:rPr>
                <w:rFonts w:cs="Arial"/>
                <w:bCs/>
                <w:szCs w:val="24"/>
              </w:rPr>
              <w:t>; and</w:t>
            </w:r>
          </w:p>
          <w:p w14:paraId="56C30B34" w14:textId="77777777" w:rsidR="00581522" w:rsidRPr="0036716A" w:rsidRDefault="00581522" w:rsidP="00581522">
            <w:pPr>
              <w:keepNext w:val="0"/>
              <w:shd w:val="clear" w:color="auto" w:fill="DEEAF6"/>
              <w:spacing w:before="0"/>
              <w:rPr>
                <w:rFonts w:cs="Arial"/>
                <w:bCs/>
                <w:szCs w:val="24"/>
              </w:rPr>
            </w:pPr>
          </w:p>
          <w:p w14:paraId="025C69DD" w14:textId="39B7FA20" w:rsidR="00877B1A" w:rsidRPr="0036716A" w:rsidRDefault="002B4FE0" w:rsidP="00874A98">
            <w:pPr>
              <w:keepNext w:val="0"/>
              <w:numPr>
                <w:ilvl w:val="0"/>
                <w:numId w:val="109"/>
              </w:numPr>
              <w:shd w:val="clear" w:color="auto" w:fill="DEEAF6"/>
              <w:spacing w:before="0"/>
              <w:rPr>
                <w:rFonts w:cs="Arial"/>
                <w:bCs/>
                <w:szCs w:val="24"/>
              </w:rPr>
            </w:pPr>
            <w:r w:rsidRPr="0036716A">
              <w:rPr>
                <w:rFonts w:cs="Arial"/>
                <w:bCs/>
                <w:szCs w:val="24"/>
              </w:rPr>
              <w:t>I</w:t>
            </w:r>
            <w:r w:rsidR="00581522" w:rsidRPr="0036716A">
              <w:rPr>
                <w:rFonts w:cs="Arial"/>
                <w:bCs/>
                <w:szCs w:val="24"/>
              </w:rPr>
              <w:t>t</w:t>
            </w:r>
            <w:r w:rsidR="00877B1A" w:rsidRPr="0036716A">
              <w:rPr>
                <w:rFonts w:cs="Arial"/>
                <w:bCs/>
                <w:szCs w:val="24"/>
              </w:rPr>
              <w:t xml:space="preserve"> can be demonstrated through a Flood Risk Assessment that the development, including access/egress, will be safe, without increasing flood risk elsewhere</w:t>
            </w:r>
            <w:r w:rsidR="009C30E1" w:rsidRPr="0036716A">
              <w:t xml:space="preserve"> </w:t>
            </w:r>
            <w:r w:rsidR="009C30E1" w:rsidRPr="0036716A">
              <w:rPr>
                <w:rFonts w:cs="Arial"/>
                <w:bCs/>
                <w:szCs w:val="24"/>
              </w:rPr>
              <w:t>or putting the development itself at risk of flooding</w:t>
            </w:r>
            <w:r w:rsidRPr="0036716A">
              <w:rPr>
                <w:rFonts w:cs="Arial"/>
                <w:bCs/>
                <w:szCs w:val="24"/>
              </w:rPr>
              <w:t>.</w:t>
            </w:r>
          </w:p>
          <w:p w14:paraId="29217507" w14:textId="77777777" w:rsidR="00581522" w:rsidRPr="0036716A" w:rsidRDefault="00581522" w:rsidP="004575AD">
            <w:pPr>
              <w:keepNext w:val="0"/>
              <w:shd w:val="clear" w:color="auto" w:fill="DEEAF6"/>
              <w:spacing w:before="0"/>
              <w:rPr>
                <w:rFonts w:cs="Arial"/>
                <w:bCs/>
                <w:szCs w:val="24"/>
              </w:rPr>
            </w:pPr>
          </w:p>
          <w:p w14:paraId="27B479F5" w14:textId="29BD2434" w:rsidR="009C30E1" w:rsidRPr="0036716A" w:rsidRDefault="009C30E1" w:rsidP="00874A98">
            <w:pPr>
              <w:keepNext w:val="0"/>
              <w:numPr>
                <w:ilvl w:val="0"/>
                <w:numId w:val="108"/>
              </w:numPr>
              <w:tabs>
                <w:tab w:val="left" w:pos="680"/>
                <w:tab w:val="left" w:pos="1133"/>
                <w:tab w:val="left" w:pos="2267"/>
              </w:tabs>
              <w:spacing w:before="0"/>
              <w:ind w:right="284"/>
              <w:rPr>
                <w:rFonts w:eastAsia="Arial" w:cs="Arial"/>
                <w:bCs/>
                <w:szCs w:val="24"/>
              </w:rPr>
            </w:pPr>
            <w:r w:rsidRPr="0036716A">
              <w:rPr>
                <w:rFonts w:cs="Arial"/>
                <w:bCs/>
                <w:szCs w:val="24"/>
              </w:rPr>
              <w:t xml:space="preserve">For surface water, </w:t>
            </w:r>
            <w:r w:rsidR="00F82198" w:rsidRPr="0036716A">
              <w:rPr>
                <w:rFonts w:cs="Arial"/>
                <w:bCs/>
                <w:szCs w:val="24"/>
              </w:rPr>
              <w:t xml:space="preserve">greenfield </w:t>
            </w:r>
            <w:r w:rsidRPr="0036716A">
              <w:rPr>
                <w:rFonts w:cs="Arial"/>
                <w:bCs/>
                <w:szCs w:val="24"/>
              </w:rPr>
              <w:t>development will not be permitted unless the management of surface water from the site mimics pre-construction conditions as close as is practically possible in terms of volume, velocity and receiving catchment. Run off from all developments</w:t>
            </w:r>
            <w:r w:rsidR="00F82198" w:rsidRPr="0036716A">
              <w:rPr>
                <w:rFonts w:cs="Arial"/>
                <w:bCs/>
                <w:szCs w:val="24"/>
              </w:rPr>
              <w:t>,</w:t>
            </w:r>
            <w:r w:rsidRPr="0036716A">
              <w:rPr>
                <w:rFonts w:cs="Arial"/>
                <w:bCs/>
                <w:szCs w:val="24"/>
              </w:rPr>
              <w:t xml:space="preserve"> </w:t>
            </w:r>
            <w:r w:rsidR="00F82198" w:rsidRPr="0036716A">
              <w:rPr>
                <w:rFonts w:cs="Arial"/>
                <w:bCs/>
                <w:szCs w:val="24"/>
              </w:rPr>
              <w:t xml:space="preserve">including brownfield sites, </w:t>
            </w:r>
            <w:r w:rsidRPr="0036716A">
              <w:rPr>
                <w:rFonts w:cs="Arial"/>
                <w:bCs/>
                <w:szCs w:val="24"/>
              </w:rPr>
              <w:t xml:space="preserve">must be restricted to </w:t>
            </w:r>
            <w:proofErr w:type="spellStart"/>
            <w:r w:rsidRPr="0036716A">
              <w:rPr>
                <w:rFonts w:cs="Arial"/>
                <w:bCs/>
                <w:szCs w:val="24"/>
              </w:rPr>
              <w:t>Qbar</w:t>
            </w:r>
            <w:proofErr w:type="spellEnd"/>
            <w:r w:rsidRPr="0036716A">
              <w:rPr>
                <w:rFonts w:cs="Arial"/>
                <w:bCs/>
                <w:szCs w:val="24"/>
              </w:rPr>
              <w:t xml:space="preserve"> rates with no on site flooding predicted for the 100 yr plus 40% critical storm event</w:t>
            </w:r>
            <w:r w:rsidR="004307D1" w:rsidRPr="0036716A">
              <w:rPr>
                <w:rFonts w:cs="Arial"/>
                <w:bCs/>
                <w:szCs w:val="24"/>
              </w:rPr>
              <w:t xml:space="preserve"> (subject to any future amendments)</w:t>
            </w:r>
            <w:r w:rsidRPr="0036716A">
              <w:rPr>
                <w:rFonts w:cs="Arial"/>
                <w:bCs/>
                <w:szCs w:val="24"/>
              </w:rPr>
              <w:t>. The Council will use the Lead Local Flood Authority as a statutory consultee for all surface water proposals</w:t>
            </w:r>
            <w:r w:rsidR="004307D1" w:rsidRPr="0036716A">
              <w:rPr>
                <w:rFonts w:cs="Arial"/>
                <w:bCs/>
                <w:szCs w:val="24"/>
              </w:rPr>
              <w:t xml:space="preserve">.  </w:t>
            </w:r>
          </w:p>
          <w:p w14:paraId="6F838D07" w14:textId="77777777" w:rsidR="00581522" w:rsidRPr="0036716A" w:rsidRDefault="00581522" w:rsidP="00581522">
            <w:pPr>
              <w:keepNext w:val="0"/>
              <w:tabs>
                <w:tab w:val="left" w:pos="680"/>
                <w:tab w:val="left" w:pos="1133"/>
                <w:tab w:val="left" w:pos="2267"/>
              </w:tabs>
              <w:spacing w:before="0"/>
              <w:ind w:left="360" w:right="284"/>
              <w:rPr>
                <w:rFonts w:eastAsia="Arial" w:cs="Arial"/>
                <w:bCs/>
                <w:szCs w:val="24"/>
              </w:rPr>
            </w:pPr>
          </w:p>
          <w:p w14:paraId="6B808CEF" w14:textId="77777777" w:rsidR="00877B1A" w:rsidRPr="0036716A" w:rsidRDefault="00877B1A" w:rsidP="00874A98">
            <w:pPr>
              <w:keepNext w:val="0"/>
              <w:numPr>
                <w:ilvl w:val="0"/>
                <w:numId w:val="108"/>
              </w:numPr>
              <w:tabs>
                <w:tab w:val="left" w:pos="680"/>
                <w:tab w:val="left" w:pos="1133"/>
                <w:tab w:val="left" w:pos="2267"/>
              </w:tabs>
              <w:spacing w:before="0"/>
              <w:ind w:right="284"/>
              <w:rPr>
                <w:rFonts w:eastAsia="Arial" w:cs="Arial"/>
                <w:bCs/>
                <w:szCs w:val="24"/>
              </w:rPr>
            </w:pPr>
            <w:r w:rsidRPr="0036716A">
              <w:rPr>
                <w:rFonts w:cs="Arial"/>
                <w:bCs/>
                <w:szCs w:val="24"/>
              </w:rPr>
              <w:t>Development will not be permitted unless:</w:t>
            </w:r>
          </w:p>
          <w:p w14:paraId="3DABAB87" w14:textId="77777777" w:rsidR="00877B1A" w:rsidRPr="0036716A" w:rsidRDefault="00877B1A" w:rsidP="004A5D83">
            <w:pPr>
              <w:keepNext w:val="0"/>
              <w:shd w:val="clear" w:color="auto" w:fill="DEEAF6" w:themeFill="accent5" w:themeFillTint="33"/>
              <w:spacing w:before="0"/>
              <w:ind w:left="720"/>
              <w:rPr>
                <w:rFonts w:cs="Arial"/>
                <w:bCs/>
                <w:szCs w:val="24"/>
              </w:rPr>
            </w:pPr>
          </w:p>
          <w:p w14:paraId="36064DA1" w14:textId="5CF8FC90" w:rsidR="008A6027" w:rsidRPr="002B4FE0" w:rsidRDefault="00877B1A" w:rsidP="00874A98">
            <w:pPr>
              <w:keepNext w:val="0"/>
              <w:numPr>
                <w:ilvl w:val="0"/>
                <w:numId w:val="121"/>
              </w:numPr>
              <w:shd w:val="clear" w:color="auto" w:fill="DEEAF6" w:themeFill="accent5" w:themeFillTint="33"/>
              <w:spacing w:before="0"/>
              <w:contextualSpacing/>
              <w:rPr>
                <w:rFonts w:cs="Arial"/>
                <w:bCs/>
                <w:color w:val="auto"/>
                <w:szCs w:val="24"/>
              </w:rPr>
            </w:pPr>
            <w:r w:rsidRPr="0036716A">
              <w:rPr>
                <w:rFonts w:cs="Arial"/>
                <w:bCs/>
                <w:szCs w:val="24"/>
              </w:rPr>
              <w:t xml:space="preserve">It incorporates Sustainable Drainage Systems (SuDS) to manage surface water drainage, in accordance with national </w:t>
            </w:r>
            <w:r w:rsidR="004307D1" w:rsidRPr="0036716A">
              <w:rPr>
                <w:rFonts w:cs="Arial"/>
                <w:bCs/>
                <w:szCs w:val="24"/>
              </w:rPr>
              <w:t xml:space="preserve">standards, </w:t>
            </w:r>
            <w:r w:rsidRPr="0036716A">
              <w:rPr>
                <w:rFonts w:cs="Arial"/>
                <w:bCs/>
                <w:szCs w:val="24"/>
              </w:rPr>
              <w:t xml:space="preserve">any local SuDS standards, </w:t>
            </w:r>
            <w:r w:rsidR="004307D1" w:rsidRPr="0036716A">
              <w:rPr>
                <w:rFonts w:cs="Arial"/>
                <w:bCs/>
                <w:szCs w:val="24"/>
              </w:rPr>
              <w:t xml:space="preserve">and follows the guidance and principles contained within </w:t>
            </w:r>
            <w:r w:rsidR="003B77B6">
              <w:rPr>
                <w:rFonts w:cs="Arial"/>
                <w:bCs/>
                <w:szCs w:val="24"/>
              </w:rPr>
              <w:t>T</w:t>
            </w:r>
            <w:r w:rsidR="003B77B6" w:rsidRPr="0036716A">
              <w:rPr>
                <w:rFonts w:cs="Arial"/>
                <w:bCs/>
                <w:szCs w:val="24"/>
              </w:rPr>
              <w:t>he</w:t>
            </w:r>
            <w:r w:rsidR="004307D1" w:rsidRPr="0036716A">
              <w:rPr>
                <w:rFonts w:cs="Arial"/>
                <w:bCs/>
                <w:szCs w:val="24"/>
              </w:rPr>
              <w:t xml:space="preserve"> (</w:t>
            </w:r>
            <w:proofErr w:type="spellStart"/>
            <w:r w:rsidR="004307D1" w:rsidRPr="0036716A">
              <w:rPr>
                <w:rFonts w:cs="Arial"/>
                <w:bCs/>
                <w:szCs w:val="24"/>
              </w:rPr>
              <w:t>ciria</w:t>
            </w:r>
            <w:proofErr w:type="spellEnd"/>
            <w:r w:rsidR="004307D1" w:rsidRPr="0036716A">
              <w:rPr>
                <w:rFonts w:cs="Arial"/>
                <w:bCs/>
                <w:szCs w:val="24"/>
              </w:rPr>
              <w:t xml:space="preserve">) </w:t>
            </w:r>
            <w:proofErr w:type="spellStart"/>
            <w:r w:rsidR="004307D1" w:rsidRPr="0036716A">
              <w:rPr>
                <w:rFonts w:cs="Arial"/>
                <w:bCs/>
                <w:szCs w:val="24"/>
              </w:rPr>
              <w:t>SuDS</w:t>
            </w:r>
            <w:proofErr w:type="spellEnd"/>
            <w:r w:rsidR="004307D1" w:rsidRPr="0036716A">
              <w:rPr>
                <w:rFonts w:cs="Arial"/>
                <w:bCs/>
                <w:szCs w:val="24"/>
              </w:rPr>
              <w:t xml:space="preserve"> Manual </w:t>
            </w:r>
            <w:r w:rsidRPr="0036716A">
              <w:rPr>
                <w:rFonts w:cs="Arial"/>
                <w:bCs/>
                <w:szCs w:val="24"/>
              </w:rPr>
              <w:t xml:space="preserve">unless it is proven that SuDS are not appropriate in a specific </w:t>
            </w:r>
            <w:r w:rsidRPr="004A5D83">
              <w:rPr>
                <w:rFonts w:cs="Arial"/>
                <w:bCs/>
                <w:color w:val="auto"/>
                <w:szCs w:val="24"/>
              </w:rPr>
              <w:t>location</w:t>
            </w:r>
            <w:r w:rsidR="006C32FE">
              <w:rPr>
                <w:rFonts w:cs="Arial"/>
                <w:bCs/>
                <w:color w:val="auto"/>
                <w:szCs w:val="24"/>
              </w:rPr>
              <w:t>;</w:t>
            </w:r>
            <w:r w:rsidRPr="004A5D83">
              <w:rPr>
                <w:rFonts w:cs="Arial"/>
                <w:bCs/>
                <w:color w:val="auto"/>
                <w:szCs w:val="24"/>
              </w:rPr>
              <w:t xml:space="preserve">  </w:t>
            </w:r>
          </w:p>
          <w:p w14:paraId="16AAE254" w14:textId="77777777" w:rsidR="00856135" w:rsidRPr="002B4FE0" w:rsidRDefault="00856135" w:rsidP="00856135">
            <w:pPr>
              <w:keepNext w:val="0"/>
              <w:shd w:val="clear" w:color="auto" w:fill="DEEAF6" w:themeFill="accent5" w:themeFillTint="33"/>
              <w:spacing w:before="0"/>
              <w:ind w:left="720"/>
              <w:contextualSpacing/>
              <w:rPr>
                <w:rFonts w:cs="Arial"/>
                <w:bCs/>
                <w:color w:val="auto"/>
                <w:szCs w:val="24"/>
              </w:rPr>
            </w:pPr>
          </w:p>
          <w:p w14:paraId="2A7EB52F" w14:textId="59F9A6E3" w:rsidR="002B4FE0" w:rsidRPr="002B4FE0" w:rsidRDefault="00877B1A" w:rsidP="00874A98">
            <w:pPr>
              <w:pStyle w:val="ListParagraph"/>
              <w:numPr>
                <w:ilvl w:val="0"/>
                <w:numId w:val="121"/>
              </w:numPr>
              <w:shd w:val="clear" w:color="auto" w:fill="DEEAF6" w:themeFill="accent5" w:themeFillTint="33"/>
              <w:rPr>
                <w:rFonts w:ascii="Arial" w:hAnsi="Arial" w:cs="Arial"/>
                <w:bCs/>
                <w:color w:val="auto"/>
              </w:rPr>
            </w:pPr>
            <w:r w:rsidRPr="002B4FE0">
              <w:rPr>
                <w:rFonts w:ascii="Arial" w:hAnsi="Arial" w:cs="Arial"/>
                <w:bCs/>
                <w:color w:val="auto"/>
                <w:szCs w:val="24"/>
              </w:rPr>
              <w:t>I</w:t>
            </w:r>
            <w:r w:rsidRPr="002B4FE0">
              <w:rPr>
                <w:rFonts w:ascii="Arial" w:hAnsi="Arial" w:cs="Arial"/>
                <w:bCs/>
                <w:color w:val="auto"/>
              </w:rPr>
              <w:t>t is satisfactorily demonstrated how the long term maintenance of the SuDS scheme will be secured</w:t>
            </w:r>
            <w:r w:rsidR="006C32FE" w:rsidRPr="002B4FE0">
              <w:rPr>
                <w:rFonts w:ascii="Arial" w:hAnsi="Arial" w:cs="Arial"/>
                <w:bCs/>
                <w:color w:val="auto"/>
              </w:rPr>
              <w:t>; and</w:t>
            </w:r>
          </w:p>
          <w:p w14:paraId="05DC3035" w14:textId="77777777" w:rsidR="002B4FE0" w:rsidRPr="002B4FE0" w:rsidRDefault="002B4FE0" w:rsidP="002B4FE0">
            <w:pPr>
              <w:pStyle w:val="ListParagraph"/>
              <w:rPr>
                <w:rFonts w:ascii="Arial" w:hAnsi="Arial" w:cs="Arial"/>
                <w:bCs/>
                <w:color w:val="auto"/>
              </w:rPr>
            </w:pPr>
          </w:p>
          <w:p w14:paraId="254EB982" w14:textId="24A6B51C" w:rsidR="00877B1A" w:rsidRPr="002B4FE0" w:rsidRDefault="00877B1A" w:rsidP="00874A98">
            <w:pPr>
              <w:pStyle w:val="ListParagraph"/>
              <w:numPr>
                <w:ilvl w:val="0"/>
                <w:numId w:val="121"/>
              </w:numPr>
              <w:shd w:val="clear" w:color="auto" w:fill="DEEAF6" w:themeFill="accent5" w:themeFillTint="33"/>
              <w:rPr>
                <w:rFonts w:ascii="Arial" w:hAnsi="Arial" w:cs="Arial"/>
                <w:bCs/>
                <w:color w:val="auto"/>
                <w:szCs w:val="24"/>
              </w:rPr>
            </w:pPr>
            <w:r w:rsidRPr="002B4FE0">
              <w:rPr>
                <w:rFonts w:ascii="Arial" w:hAnsi="Arial" w:cs="Arial"/>
                <w:bCs/>
                <w:color w:val="auto"/>
              </w:rPr>
              <w:t>Where technical appropriate and viable, hard engineering solutions are  avoided with SuDS being incorporated into the green/blue infrastructure network.</w:t>
            </w:r>
          </w:p>
          <w:p w14:paraId="31077469" w14:textId="77777777" w:rsidR="00877B1A" w:rsidRPr="000339D2" w:rsidRDefault="00877B1A" w:rsidP="00874A98">
            <w:pPr>
              <w:keepNext w:val="0"/>
              <w:numPr>
                <w:ilvl w:val="0"/>
                <w:numId w:val="108"/>
              </w:numPr>
              <w:tabs>
                <w:tab w:val="left" w:pos="680"/>
                <w:tab w:val="left" w:pos="1133"/>
                <w:tab w:val="left" w:pos="2267"/>
              </w:tabs>
              <w:spacing w:before="0"/>
              <w:ind w:right="284"/>
              <w:rPr>
                <w:rFonts w:eastAsia="Arial" w:cs="Arial"/>
                <w:bCs/>
                <w:color w:val="auto"/>
                <w:szCs w:val="24"/>
              </w:rPr>
            </w:pPr>
            <w:r w:rsidRPr="000339D2">
              <w:rPr>
                <w:rFonts w:eastAsia="Arial" w:cs="Arial"/>
                <w:bCs/>
                <w:color w:val="auto"/>
                <w:szCs w:val="24"/>
              </w:rPr>
              <w:t>The Council will take opportunities to remove problems from the drainage network and increase the capacity of the floodplain, wherever this can be achieved safely, in connection with new development.</w:t>
            </w:r>
          </w:p>
          <w:p w14:paraId="64355906" w14:textId="36AC61CE" w:rsidR="008424C7" w:rsidRPr="000339D2" w:rsidRDefault="008424C7" w:rsidP="004575AD">
            <w:pPr>
              <w:keepNext w:val="0"/>
              <w:tabs>
                <w:tab w:val="left" w:pos="680"/>
                <w:tab w:val="left" w:pos="1133"/>
                <w:tab w:val="left" w:pos="2267"/>
              </w:tabs>
              <w:spacing w:before="0"/>
              <w:ind w:right="284"/>
              <w:rPr>
                <w:rFonts w:eastAsia="Arial" w:cs="Arial"/>
                <w:bCs/>
                <w:color w:val="auto"/>
                <w:spacing w:val="-1"/>
                <w:szCs w:val="24"/>
              </w:rPr>
            </w:pPr>
          </w:p>
        </w:tc>
      </w:tr>
      <w:tr w:rsidR="00877B1A" w:rsidRPr="003C7E62" w14:paraId="6E193C3F" w14:textId="77777777" w:rsidTr="005334C0">
        <w:tc>
          <w:tcPr>
            <w:tcW w:w="1838" w:type="dxa"/>
          </w:tcPr>
          <w:p w14:paraId="7645D762" w14:textId="77777777" w:rsidR="00877B1A" w:rsidRPr="003C7E62" w:rsidRDefault="00877B1A" w:rsidP="000032A9">
            <w:pPr>
              <w:keepNext w:val="0"/>
              <w:spacing w:before="0"/>
              <w:rPr>
                <w:rFonts w:cs="Arial"/>
                <w:color w:val="auto"/>
                <w:sz w:val="22"/>
                <w:szCs w:val="22"/>
              </w:rPr>
            </w:pPr>
            <w:r w:rsidRPr="003C7E62">
              <w:rPr>
                <w:rFonts w:eastAsia="Arial" w:cs="Arial"/>
                <w:bCs/>
                <w:color w:val="auto"/>
                <w:sz w:val="22"/>
                <w:szCs w:val="22"/>
                <w:lang w:eastAsia="en-US"/>
              </w:rPr>
              <w:t>Evidence base</w:t>
            </w:r>
          </w:p>
        </w:tc>
        <w:tc>
          <w:tcPr>
            <w:tcW w:w="7796" w:type="dxa"/>
            <w:gridSpan w:val="2"/>
          </w:tcPr>
          <w:p w14:paraId="7064C6E8" w14:textId="3E1B7E0D" w:rsidR="00877B1A" w:rsidRPr="0036716A" w:rsidRDefault="00877B1A" w:rsidP="000032A9">
            <w:pPr>
              <w:keepNext w:val="0"/>
              <w:numPr>
                <w:ilvl w:val="0"/>
                <w:numId w:val="13"/>
              </w:numPr>
              <w:tabs>
                <w:tab w:val="left" w:pos="680"/>
                <w:tab w:val="left" w:pos="1133"/>
                <w:tab w:val="left" w:pos="2267"/>
              </w:tabs>
              <w:spacing w:before="0" w:after="160" w:line="252" w:lineRule="auto"/>
              <w:ind w:right="284"/>
              <w:contextualSpacing/>
              <w:rPr>
                <w:rFonts w:eastAsia="Arial" w:cs="Arial"/>
                <w:bCs/>
                <w:sz w:val="20"/>
                <w:szCs w:val="22"/>
                <w:lang w:eastAsia="en-US"/>
              </w:rPr>
            </w:pPr>
            <w:r w:rsidRPr="0036716A">
              <w:rPr>
                <w:rFonts w:eastAsia="Arial" w:cs="Arial"/>
                <w:bCs/>
                <w:sz w:val="20"/>
                <w:szCs w:val="22"/>
                <w:lang w:eastAsia="en-US"/>
              </w:rPr>
              <w:t xml:space="preserve">Sustainability Appraisal, </w:t>
            </w:r>
            <w:r w:rsidR="00A86E75" w:rsidRPr="0036716A">
              <w:rPr>
                <w:rFonts w:eastAsia="Arial" w:cs="Arial"/>
                <w:bCs/>
                <w:sz w:val="20"/>
                <w:szCs w:val="22"/>
                <w:lang w:eastAsia="en-US"/>
              </w:rPr>
              <w:t>2023 WSP UK Limited</w:t>
            </w:r>
            <w:r w:rsidRPr="0036716A">
              <w:rPr>
                <w:rFonts w:eastAsia="Arial" w:cs="Arial"/>
                <w:bCs/>
                <w:sz w:val="20"/>
                <w:szCs w:val="22"/>
                <w:lang w:eastAsia="en-US"/>
              </w:rPr>
              <w:t xml:space="preserve">. </w:t>
            </w:r>
          </w:p>
          <w:p w14:paraId="652F994E" w14:textId="40AD4C63" w:rsidR="00877B1A" w:rsidRPr="0036716A" w:rsidRDefault="00877B1A" w:rsidP="000032A9">
            <w:pPr>
              <w:keepNext w:val="0"/>
              <w:numPr>
                <w:ilvl w:val="0"/>
                <w:numId w:val="13"/>
              </w:numPr>
              <w:tabs>
                <w:tab w:val="left" w:pos="680"/>
                <w:tab w:val="left" w:pos="1133"/>
                <w:tab w:val="left" w:pos="2267"/>
              </w:tabs>
              <w:spacing w:before="0" w:after="160" w:line="252" w:lineRule="auto"/>
              <w:ind w:right="284"/>
              <w:contextualSpacing/>
              <w:rPr>
                <w:rFonts w:eastAsia="Arial" w:cs="Arial"/>
                <w:bCs/>
                <w:sz w:val="20"/>
                <w:szCs w:val="22"/>
                <w:lang w:eastAsia="en-US"/>
              </w:rPr>
            </w:pPr>
            <w:r w:rsidRPr="0036716A">
              <w:rPr>
                <w:rFonts w:eastAsia="Arial" w:cs="Arial"/>
                <w:bCs/>
                <w:sz w:val="20"/>
              </w:rPr>
              <w:t>Strategic Flood Risk Assessment Level 1, 20</w:t>
            </w:r>
            <w:r w:rsidR="000E778B">
              <w:rPr>
                <w:rFonts w:eastAsia="Arial" w:cs="Arial"/>
                <w:bCs/>
                <w:sz w:val="20"/>
              </w:rPr>
              <w:t>23</w:t>
            </w:r>
            <w:r w:rsidRPr="0036716A">
              <w:rPr>
                <w:rFonts w:eastAsia="Arial" w:cs="Arial"/>
                <w:bCs/>
                <w:sz w:val="20"/>
              </w:rPr>
              <w:t xml:space="preserve">.  Ashfield District Council. </w:t>
            </w:r>
          </w:p>
        </w:tc>
      </w:tr>
      <w:tr w:rsidR="00877B1A" w:rsidRPr="003C7E62" w14:paraId="30F3A4F7" w14:textId="77777777" w:rsidTr="005334C0">
        <w:tc>
          <w:tcPr>
            <w:tcW w:w="1838" w:type="dxa"/>
          </w:tcPr>
          <w:p w14:paraId="592920D7" w14:textId="77777777" w:rsidR="00877B1A" w:rsidRPr="003C7E62" w:rsidRDefault="00877B1A" w:rsidP="000032A9">
            <w:pPr>
              <w:keepNext w:val="0"/>
              <w:spacing w:before="0"/>
              <w:rPr>
                <w:rFonts w:cs="Arial"/>
                <w:color w:val="auto"/>
                <w:sz w:val="22"/>
                <w:szCs w:val="22"/>
              </w:rPr>
            </w:pPr>
            <w:r w:rsidRPr="003C7E62">
              <w:rPr>
                <w:rFonts w:eastAsia="Arial" w:cs="Arial"/>
                <w:bCs/>
                <w:color w:val="auto"/>
                <w:sz w:val="22"/>
                <w:szCs w:val="22"/>
                <w:lang w:eastAsia="en-US"/>
              </w:rPr>
              <w:t>National Planning Policy and Guidance</w:t>
            </w:r>
          </w:p>
        </w:tc>
        <w:tc>
          <w:tcPr>
            <w:tcW w:w="7796" w:type="dxa"/>
            <w:gridSpan w:val="2"/>
          </w:tcPr>
          <w:p w14:paraId="19DDBDF0" w14:textId="24A6A64B" w:rsidR="00877B1A" w:rsidRPr="0036716A" w:rsidRDefault="00877B1A" w:rsidP="00874A98">
            <w:pPr>
              <w:keepNext w:val="0"/>
              <w:numPr>
                <w:ilvl w:val="0"/>
                <w:numId w:val="119"/>
              </w:numPr>
              <w:tabs>
                <w:tab w:val="left" w:pos="680"/>
                <w:tab w:val="left" w:pos="1133"/>
                <w:tab w:val="left" w:pos="2267"/>
              </w:tabs>
              <w:spacing w:before="0" w:after="160" w:line="252" w:lineRule="auto"/>
              <w:ind w:right="284"/>
              <w:contextualSpacing/>
              <w:rPr>
                <w:rFonts w:eastAsia="Arial" w:cs="Arial"/>
                <w:bCs/>
                <w:sz w:val="20"/>
                <w:lang w:eastAsia="en-US"/>
              </w:rPr>
            </w:pPr>
            <w:r w:rsidRPr="0036716A">
              <w:rPr>
                <w:rFonts w:eastAsia="Arial" w:cs="Arial"/>
                <w:bCs/>
                <w:sz w:val="20"/>
                <w:lang w:eastAsia="en-US"/>
              </w:rPr>
              <w:t>NPPF 20</w:t>
            </w:r>
            <w:r w:rsidR="00581522" w:rsidRPr="0036716A">
              <w:rPr>
                <w:rFonts w:eastAsia="Arial" w:cs="Arial"/>
                <w:bCs/>
                <w:sz w:val="20"/>
                <w:lang w:eastAsia="en-US"/>
              </w:rPr>
              <w:t>2</w:t>
            </w:r>
            <w:r w:rsidR="004173E0" w:rsidRPr="0036716A">
              <w:rPr>
                <w:rFonts w:eastAsia="Arial" w:cs="Arial"/>
                <w:bCs/>
                <w:sz w:val="20"/>
                <w:lang w:eastAsia="en-US"/>
              </w:rPr>
              <w:t>3</w:t>
            </w:r>
            <w:r w:rsidRPr="0036716A">
              <w:rPr>
                <w:rFonts w:eastAsia="Arial" w:cs="Arial"/>
                <w:bCs/>
                <w:sz w:val="20"/>
                <w:lang w:eastAsia="en-US"/>
              </w:rPr>
              <w:t>, Part 2: Achieving sustainable development.</w:t>
            </w:r>
          </w:p>
          <w:p w14:paraId="6ACC4DE4" w14:textId="2B56C011" w:rsidR="00877B1A" w:rsidRPr="0036716A" w:rsidRDefault="00877B1A" w:rsidP="00874A98">
            <w:pPr>
              <w:keepNext w:val="0"/>
              <w:numPr>
                <w:ilvl w:val="0"/>
                <w:numId w:val="119"/>
              </w:numPr>
              <w:spacing w:before="0" w:after="160" w:line="252" w:lineRule="auto"/>
              <w:contextualSpacing/>
              <w:rPr>
                <w:rFonts w:eastAsia="Arial" w:cs="Arial"/>
                <w:bCs/>
                <w:sz w:val="20"/>
              </w:rPr>
            </w:pPr>
            <w:r w:rsidRPr="0036716A">
              <w:rPr>
                <w:rFonts w:eastAsia="Arial" w:cs="Arial"/>
                <w:bCs/>
                <w:sz w:val="20"/>
              </w:rPr>
              <w:t>NPPF 20</w:t>
            </w:r>
            <w:r w:rsidR="00581522" w:rsidRPr="0036716A">
              <w:rPr>
                <w:rFonts w:eastAsia="Arial" w:cs="Arial"/>
                <w:bCs/>
                <w:sz w:val="20"/>
              </w:rPr>
              <w:t>2</w:t>
            </w:r>
            <w:r w:rsidR="004173E0" w:rsidRPr="0036716A">
              <w:rPr>
                <w:rFonts w:eastAsia="Arial" w:cs="Arial"/>
                <w:bCs/>
                <w:sz w:val="20"/>
              </w:rPr>
              <w:t>3</w:t>
            </w:r>
            <w:r w:rsidRPr="0036716A">
              <w:rPr>
                <w:rFonts w:eastAsia="Arial" w:cs="Arial"/>
                <w:bCs/>
                <w:sz w:val="20"/>
              </w:rPr>
              <w:t>,</w:t>
            </w:r>
            <w:r w:rsidRPr="0036716A">
              <w:rPr>
                <w:rFonts w:eastAsia="Calibri" w:cs="Arial"/>
                <w:szCs w:val="22"/>
                <w:lang w:eastAsia="en-US"/>
              </w:rPr>
              <w:t xml:space="preserve"> </w:t>
            </w:r>
            <w:r w:rsidRPr="0036716A">
              <w:rPr>
                <w:rFonts w:eastAsia="Arial" w:cs="Arial"/>
                <w:bCs/>
                <w:sz w:val="20"/>
              </w:rPr>
              <w:t>Part 14: Meeting the challenge of climate change, flooding and coastal change.</w:t>
            </w:r>
          </w:p>
          <w:p w14:paraId="3AD51C63" w14:textId="0BC8B794" w:rsidR="00877B1A" w:rsidRPr="0036716A" w:rsidRDefault="00877B1A" w:rsidP="00874A98">
            <w:pPr>
              <w:keepNext w:val="0"/>
              <w:numPr>
                <w:ilvl w:val="0"/>
                <w:numId w:val="119"/>
              </w:numPr>
              <w:spacing w:before="0" w:after="160" w:line="252" w:lineRule="auto"/>
              <w:contextualSpacing/>
              <w:rPr>
                <w:rFonts w:eastAsia="Arial" w:cs="Arial"/>
                <w:bCs/>
                <w:sz w:val="20"/>
              </w:rPr>
            </w:pPr>
            <w:r w:rsidRPr="0036716A">
              <w:rPr>
                <w:rFonts w:eastAsia="Arial" w:cs="Arial"/>
                <w:bCs/>
                <w:sz w:val="20"/>
              </w:rPr>
              <w:t>NPPF 20</w:t>
            </w:r>
            <w:r w:rsidR="00581522" w:rsidRPr="0036716A">
              <w:rPr>
                <w:rFonts w:eastAsia="Arial" w:cs="Arial"/>
                <w:bCs/>
                <w:sz w:val="20"/>
              </w:rPr>
              <w:t>2</w:t>
            </w:r>
            <w:r w:rsidR="004173E0" w:rsidRPr="0036716A">
              <w:rPr>
                <w:rFonts w:eastAsia="Arial" w:cs="Arial"/>
                <w:bCs/>
                <w:sz w:val="20"/>
              </w:rPr>
              <w:t>3</w:t>
            </w:r>
            <w:r w:rsidR="00581522" w:rsidRPr="0036716A">
              <w:rPr>
                <w:rFonts w:eastAsia="Arial" w:cs="Arial"/>
                <w:bCs/>
                <w:sz w:val="20"/>
              </w:rPr>
              <w:t>,</w:t>
            </w:r>
            <w:r w:rsidRPr="0036716A">
              <w:rPr>
                <w:rFonts w:eastAsia="Arial" w:cs="Arial"/>
                <w:bCs/>
                <w:sz w:val="20"/>
              </w:rPr>
              <w:t xml:space="preserve"> Part 15: Conserving and enhancing the natural environment.</w:t>
            </w:r>
          </w:p>
          <w:p w14:paraId="1CAEE5D9" w14:textId="416B7429" w:rsidR="00877B1A" w:rsidRPr="0036716A" w:rsidRDefault="00877B1A" w:rsidP="00874A98">
            <w:pPr>
              <w:keepNext w:val="0"/>
              <w:numPr>
                <w:ilvl w:val="0"/>
                <w:numId w:val="119"/>
              </w:numPr>
              <w:spacing w:before="0" w:after="160" w:line="252" w:lineRule="auto"/>
              <w:contextualSpacing/>
              <w:rPr>
                <w:rFonts w:eastAsia="Arial" w:cs="Arial"/>
                <w:bCs/>
                <w:sz w:val="20"/>
              </w:rPr>
            </w:pPr>
            <w:r w:rsidRPr="0036716A">
              <w:rPr>
                <w:rFonts w:eastAsia="Arial" w:cs="Arial"/>
                <w:bCs/>
                <w:sz w:val="20"/>
              </w:rPr>
              <w:t xml:space="preserve">Planning Practice Guidance: Flood risk and coastal change as </w:t>
            </w:r>
            <w:r w:rsidR="009D1815" w:rsidRPr="0036716A">
              <w:rPr>
                <w:rFonts w:eastAsia="Arial" w:cs="Arial"/>
                <w:bCs/>
                <w:sz w:val="20"/>
              </w:rPr>
              <w:t>of</w:t>
            </w:r>
            <w:r w:rsidRPr="0036716A">
              <w:rPr>
                <w:rFonts w:eastAsia="Arial" w:cs="Arial"/>
                <w:bCs/>
                <w:sz w:val="20"/>
              </w:rPr>
              <w:t xml:space="preserve"> August 202</w:t>
            </w:r>
            <w:r w:rsidR="00B80DEC" w:rsidRPr="0036716A">
              <w:rPr>
                <w:rFonts w:eastAsia="Arial" w:cs="Arial"/>
                <w:bCs/>
                <w:sz w:val="20"/>
              </w:rPr>
              <w:t>2</w:t>
            </w:r>
            <w:r w:rsidRPr="0036716A">
              <w:rPr>
                <w:rFonts w:eastAsia="Arial" w:cs="Arial"/>
                <w:bCs/>
                <w:sz w:val="20"/>
              </w:rPr>
              <w:t>.</w:t>
            </w:r>
          </w:p>
          <w:p w14:paraId="7CB46E2D" w14:textId="4DCF1C9F" w:rsidR="00877B1A" w:rsidRPr="0036716A" w:rsidRDefault="00877B1A" w:rsidP="00874A98">
            <w:pPr>
              <w:keepNext w:val="0"/>
              <w:numPr>
                <w:ilvl w:val="0"/>
                <w:numId w:val="119"/>
              </w:numPr>
              <w:spacing w:before="0" w:after="160" w:line="252" w:lineRule="auto"/>
              <w:contextualSpacing/>
              <w:rPr>
                <w:rFonts w:eastAsia="Arial" w:cs="Arial"/>
                <w:bCs/>
                <w:sz w:val="20"/>
              </w:rPr>
            </w:pPr>
            <w:r w:rsidRPr="0036716A">
              <w:rPr>
                <w:rFonts w:eastAsia="Arial" w:cs="Arial"/>
                <w:bCs/>
                <w:sz w:val="20"/>
              </w:rPr>
              <w:t xml:space="preserve">Planning Practice Guidance: Natural environment as </w:t>
            </w:r>
            <w:r w:rsidR="009D1815" w:rsidRPr="0036716A">
              <w:rPr>
                <w:rFonts w:eastAsia="Arial" w:cs="Arial"/>
                <w:bCs/>
                <w:sz w:val="20"/>
              </w:rPr>
              <w:t>of</w:t>
            </w:r>
            <w:r w:rsidRPr="0036716A">
              <w:rPr>
                <w:rFonts w:eastAsia="Arial" w:cs="Arial"/>
                <w:bCs/>
                <w:sz w:val="20"/>
              </w:rPr>
              <w:t xml:space="preserve"> </w:t>
            </w:r>
            <w:r w:rsidR="00B80DEC" w:rsidRPr="0036716A">
              <w:rPr>
                <w:rFonts w:eastAsia="Arial" w:cs="Arial"/>
                <w:bCs/>
                <w:sz w:val="20"/>
              </w:rPr>
              <w:t>July 2019</w:t>
            </w:r>
            <w:r w:rsidRPr="0036716A">
              <w:rPr>
                <w:rFonts w:eastAsia="Arial" w:cs="Arial"/>
                <w:bCs/>
                <w:sz w:val="20"/>
              </w:rPr>
              <w:t>.</w:t>
            </w:r>
          </w:p>
        </w:tc>
      </w:tr>
    </w:tbl>
    <w:p w14:paraId="2C42001E" w14:textId="1C09A280" w:rsidR="00877B1A" w:rsidRPr="0036716A" w:rsidRDefault="00DE2722" w:rsidP="00DE2722">
      <w:pPr>
        <w:keepNext w:val="0"/>
        <w:numPr>
          <w:ilvl w:val="1"/>
          <w:numId w:val="3"/>
        </w:numPr>
        <w:tabs>
          <w:tab w:val="clear" w:pos="525"/>
        </w:tabs>
        <w:autoSpaceDE w:val="0"/>
        <w:autoSpaceDN w:val="0"/>
        <w:adjustRightInd w:val="0"/>
        <w:spacing w:before="0"/>
        <w:ind w:left="709" w:hanging="709"/>
        <w:rPr>
          <w:rFonts w:eastAsia="Arial" w:cs="Arial"/>
          <w:spacing w:val="-1"/>
          <w:szCs w:val="24"/>
        </w:rPr>
      </w:pPr>
      <w:r w:rsidRPr="003C7E62">
        <w:rPr>
          <w:rFonts w:cs="Arial"/>
          <w:color w:val="auto"/>
        </w:rPr>
        <w:t xml:space="preserve">The Council will work in partnership with the appropriate agencies (the Environment Agency, Nottinghamshire County Council as Lead Local Flood Authority, Severn Trent Water and the Canal and River Trust), developers and landowners to </w:t>
      </w:r>
      <w:r w:rsidR="007078B2" w:rsidRPr="0036716A">
        <w:rPr>
          <w:rFonts w:cs="Arial"/>
        </w:rPr>
        <w:t xml:space="preserve">reduce </w:t>
      </w:r>
      <w:r w:rsidRPr="0036716A">
        <w:rPr>
          <w:rFonts w:cs="Arial"/>
        </w:rPr>
        <w:t>the risk from flooding</w:t>
      </w:r>
      <w:r w:rsidR="007078B2" w:rsidRPr="0036716A">
        <w:t xml:space="preserve"> </w:t>
      </w:r>
      <w:r w:rsidR="007078B2" w:rsidRPr="0036716A">
        <w:rPr>
          <w:rFonts w:cs="Arial"/>
        </w:rPr>
        <w:t>and ensure developments are neither at risk of flooding nor do they increase the risk of flooding to the surrounding area</w:t>
      </w:r>
      <w:r w:rsidR="0036716A">
        <w:rPr>
          <w:rFonts w:cs="Arial"/>
        </w:rPr>
        <w:t>.</w:t>
      </w:r>
    </w:p>
    <w:p w14:paraId="7D3E3D7E" w14:textId="77777777" w:rsidR="00877B1A" w:rsidRPr="0036716A" w:rsidRDefault="00877B1A" w:rsidP="00877B1A">
      <w:pPr>
        <w:keepNext w:val="0"/>
        <w:autoSpaceDE w:val="0"/>
        <w:autoSpaceDN w:val="0"/>
        <w:adjustRightInd w:val="0"/>
        <w:spacing w:before="0"/>
        <w:ind w:left="709"/>
        <w:rPr>
          <w:rFonts w:eastAsia="Arial" w:cs="Arial"/>
          <w:spacing w:val="-1"/>
          <w:szCs w:val="24"/>
        </w:rPr>
      </w:pPr>
    </w:p>
    <w:p w14:paraId="18152E97" w14:textId="3715518D" w:rsidR="00877B1A" w:rsidRPr="0036716A" w:rsidRDefault="00877B1A" w:rsidP="00877B1A">
      <w:pPr>
        <w:keepNext w:val="0"/>
        <w:numPr>
          <w:ilvl w:val="1"/>
          <w:numId w:val="3"/>
        </w:numPr>
        <w:tabs>
          <w:tab w:val="clear" w:pos="525"/>
        </w:tabs>
        <w:autoSpaceDE w:val="0"/>
        <w:autoSpaceDN w:val="0"/>
        <w:adjustRightInd w:val="0"/>
        <w:spacing w:before="0"/>
        <w:ind w:left="709" w:hanging="709"/>
        <w:rPr>
          <w:rFonts w:eastAsia="Arial" w:cs="Arial"/>
          <w:spacing w:val="-1"/>
          <w:szCs w:val="24"/>
        </w:rPr>
      </w:pPr>
      <w:r w:rsidRPr="0036716A">
        <w:rPr>
          <w:rFonts w:cs="Arial"/>
        </w:rPr>
        <w:t>Flooding has a devastating impact on residents, business and provision of services.  Consequently, t</w:t>
      </w:r>
      <w:r w:rsidR="00DE2722" w:rsidRPr="0036716A">
        <w:rPr>
          <w:rFonts w:cs="Arial"/>
        </w:rPr>
        <w:t>he</w:t>
      </w:r>
      <w:r w:rsidR="00215F98" w:rsidRPr="0036716A">
        <w:rPr>
          <w:rFonts w:cs="Arial"/>
        </w:rPr>
        <w:t xml:space="preserve"> P</w:t>
      </w:r>
      <w:r w:rsidR="00DE2722" w:rsidRPr="0036716A">
        <w:rPr>
          <w:rFonts w:cs="Arial"/>
        </w:rPr>
        <w:t xml:space="preserve">olicy aims to minimise vulnerability and provide resilience </w:t>
      </w:r>
      <w:r w:rsidRPr="0036716A">
        <w:rPr>
          <w:rFonts w:cs="Arial"/>
        </w:rPr>
        <w:t xml:space="preserve">in relation to flooding and the </w:t>
      </w:r>
      <w:r w:rsidR="00DE2722" w:rsidRPr="0036716A">
        <w:rPr>
          <w:rFonts w:cs="Arial"/>
        </w:rPr>
        <w:t xml:space="preserve">impacts arising from climate change. Inappropriate development in areas at risk of flooding </w:t>
      </w:r>
      <w:r w:rsidRPr="0036716A">
        <w:rPr>
          <w:rFonts w:cs="Arial"/>
        </w:rPr>
        <w:t xml:space="preserve">will </w:t>
      </w:r>
      <w:r w:rsidR="00C06FBD" w:rsidRPr="0036716A">
        <w:rPr>
          <w:rFonts w:cs="Arial"/>
        </w:rPr>
        <w:t>not be permitted unless the applicant can show how the current risk of flooding will be mitigated to ensure the development is not at risk of flooding nor increases the risk of flooding to the surrounding area.</w:t>
      </w:r>
      <w:r w:rsidR="00DE2722" w:rsidRPr="0036716A">
        <w:rPr>
          <w:rFonts w:cs="Arial"/>
        </w:rPr>
        <w:t xml:space="preserve"> The Council has placed an emphasis on </w:t>
      </w:r>
      <w:r w:rsidRPr="0036716A">
        <w:rPr>
          <w:rFonts w:cs="Arial"/>
        </w:rPr>
        <w:t>a</w:t>
      </w:r>
      <w:r w:rsidR="00DE2722" w:rsidRPr="0036716A">
        <w:rPr>
          <w:rFonts w:cs="Arial"/>
        </w:rPr>
        <w:t xml:space="preserve"> sequential approach to site selection and development within the Plan</w:t>
      </w:r>
      <w:r w:rsidRPr="0036716A">
        <w:rPr>
          <w:rFonts w:cs="Arial"/>
        </w:rPr>
        <w:t xml:space="preserve"> to minimise flood risk.</w:t>
      </w:r>
    </w:p>
    <w:p w14:paraId="73C41E78" w14:textId="77777777" w:rsidR="00C06FBD" w:rsidRPr="0036716A" w:rsidRDefault="00C06FBD" w:rsidP="00C06FBD">
      <w:pPr>
        <w:keepNext w:val="0"/>
        <w:autoSpaceDE w:val="0"/>
        <w:autoSpaceDN w:val="0"/>
        <w:adjustRightInd w:val="0"/>
        <w:spacing w:before="0"/>
        <w:rPr>
          <w:rFonts w:eastAsia="Arial" w:cs="Arial"/>
          <w:spacing w:val="-1"/>
          <w:szCs w:val="24"/>
        </w:rPr>
      </w:pPr>
    </w:p>
    <w:p w14:paraId="65C47507" w14:textId="4755D04D" w:rsidR="00F5643E" w:rsidRPr="0036716A" w:rsidRDefault="00F5643E" w:rsidP="00F5643E">
      <w:pPr>
        <w:keepNext w:val="0"/>
        <w:numPr>
          <w:ilvl w:val="1"/>
          <w:numId w:val="3"/>
        </w:numPr>
        <w:tabs>
          <w:tab w:val="clear" w:pos="525"/>
        </w:tabs>
        <w:autoSpaceDE w:val="0"/>
        <w:autoSpaceDN w:val="0"/>
        <w:adjustRightInd w:val="0"/>
        <w:spacing w:before="0"/>
        <w:ind w:left="709" w:hanging="709"/>
        <w:rPr>
          <w:rFonts w:eastAsia="Arial" w:cs="Arial"/>
          <w:spacing w:val="-1"/>
          <w:szCs w:val="24"/>
        </w:rPr>
      </w:pPr>
      <w:r w:rsidRPr="0036716A">
        <w:rPr>
          <w:rFonts w:eastAsia="Arial" w:cs="Arial"/>
        </w:rPr>
        <w:t>While much of Ashfield is located in Flood Zone 1, there are areas at risk of flooding from watercourses.  P</w:t>
      </w:r>
      <w:r w:rsidR="00DE2722" w:rsidRPr="0036716A">
        <w:rPr>
          <w:rFonts w:eastAsia="Arial" w:cs="Arial"/>
        </w:rPr>
        <w:t xml:space="preserve">roperties in parts of Hucknall are at risk of flooding from the Baker Lane Brook and some properties in Jacksdale are at risk from </w:t>
      </w:r>
      <w:r w:rsidR="00DE2722" w:rsidRPr="003C7E62">
        <w:rPr>
          <w:rFonts w:eastAsia="Arial" w:cs="Arial"/>
          <w:color w:val="auto"/>
        </w:rPr>
        <w:t>flooding from the River Erewash and the Bagthorpe Brook. Additional water run-off from development in Hucknall into the River Leen and its tributary streams has significant implications for flooding downstream in the City of Nottingham; reflected in the need to keep run-off in Hucknall to greenfield rates or lower if possible. Similarly, additional water into the River Erewash has the potential to flood parts of Pinxton and other areas outside the District</w:t>
      </w:r>
      <w:bookmarkStart w:id="152" w:name="_Hlk77777598"/>
      <w:r w:rsidR="00877B1A" w:rsidRPr="003C7E62">
        <w:rPr>
          <w:rFonts w:eastAsia="Arial" w:cs="Arial"/>
          <w:color w:val="auto"/>
        </w:rPr>
        <w:t>.</w:t>
      </w:r>
      <w:r>
        <w:rPr>
          <w:rFonts w:eastAsia="Arial" w:cs="Arial"/>
          <w:color w:val="auto"/>
        </w:rPr>
        <w:t xml:space="preserve">  </w:t>
      </w:r>
      <w:r w:rsidRPr="0036716A">
        <w:rPr>
          <w:rFonts w:eastAsia="Arial" w:cs="Arial"/>
        </w:rPr>
        <w:t xml:space="preserve">The  </w:t>
      </w:r>
      <w:bookmarkStart w:id="153" w:name="_Hlk120010920"/>
      <w:r w:rsidRPr="0036716A">
        <w:rPr>
          <w:rFonts w:eastAsia="Arial" w:cs="Arial"/>
        </w:rPr>
        <w:t xml:space="preserve">Nottinghamshire Local Flood Risk Management Strategy 2021-27 </w:t>
      </w:r>
      <w:bookmarkEnd w:id="153"/>
      <w:r w:rsidRPr="0036716A">
        <w:rPr>
          <w:rFonts w:eastAsia="Arial" w:cs="Arial"/>
        </w:rPr>
        <w:t>identifies that approximately 3,783 residential, and commercial properties together with critical infrastructure is at a high or medium risk of flooding in Ashfield. The Council’s  approach seeks to ensure that no development is put at risk of flooding nor does it increase the risk of flooding to the surrounding area. It also promotes the use of SUDS and blue / green infrastructure throughout development to ensure a sustainable approach to the management of water and flood risk</w:t>
      </w:r>
    </w:p>
    <w:p w14:paraId="7EA5A6F9" w14:textId="77777777" w:rsidR="00F5643E" w:rsidRPr="0036716A" w:rsidRDefault="00F5643E" w:rsidP="00F5643E">
      <w:pPr>
        <w:rPr>
          <w:rFonts w:eastAsia="Arial" w:cs="Arial"/>
        </w:rPr>
      </w:pPr>
    </w:p>
    <w:p w14:paraId="474F7365" w14:textId="14EA0BEE" w:rsidR="00877B1A" w:rsidRPr="0036716A" w:rsidRDefault="00DE2722" w:rsidP="00581522">
      <w:pPr>
        <w:keepNext w:val="0"/>
        <w:numPr>
          <w:ilvl w:val="1"/>
          <w:numId w:val="3"/>
        </w:numPr>
        <w:tabs>
          <w:tab w:val="clear" w:pos="525"/>
        </w:tabs>
        <w:autoSpaceDE w:val="0"/>
        <w:autoSpaceDN w:val="0"/>
        <w:adjustRightInd w:val="0"/>
        <w:spacing w:before="0"/>
        <w:ind w:left="709" w:hanging="709"/>
        <w:rPr>
          <w:rFonts w:eastAsia="Arial" w:cs="Arial"/>
          <w:spacing w:val="-1"/>
          <w:szCs w:val="24"/>
        </w:rPr>
      </w:pPr>
      <w:r w:rsidRPr="0036716A">
        <w:rPr>
          <w:rFonts w:eastAsia="Arial" w:cs="Arial"/>
        </w:rPr>
        <w:t xml:space="preserve">In Sutton-in-Ashfield there is a problem of low flows in watercourses, and the advice from the Environment Agency is, where possible, to utilise infiltration to increase ground water levels.  In relation to the Cauldwell Brook, water quality and habitat is important due to the presence of the white-clawed crayfish.  </w:t>
      </w:r>
      <w:bookmarkEnd w:id="152"/>
    </w:p>
    <w:p w14:paraId="159D289F" w14:textId="77777777" w:rsidR="00877B1A" w:rsidRPr="0036716A" w:rsidRDefault="00877B1A" w:rsidP="00877B1A">
      <w:pPr>
        <w:keepNext w:val="0"/>
        <w:autoSpaceDE w:val="0"/>
        <w:autoSpaceDN w:val="0"/>
        <w:adjustRightInd w:val="0"/>
        <w:spacing w:before="0"/>
        <w:rPr>
          <w:rFonts w:eastAsia="Arial" w:cs="Arial"/>
          <w:spacing w:val="-1"/>
          <w:szCs w:val="24"/>
        </w:rPr>
      </w:pPr>
    </w:p>
    <w:p w14:paraId="26063F3B" w14:textId="6FF77253" w:rsidR="008424C7" w:rsidRPr="0036716A" w:rsidRDefault="00DE2722" w:rsidP="00010C3D">
      <w:pPr>
        <w:keepNext w:val="0"/>
        <w:numPr>
          <w:ilvl w:val="1"/>
          <w:numId w:val="3"/>
        </w:numPr>
        <w:tabs>
          <w:tab w:val="clear" w:pos="525"/>
        </w:tabs>
        <w:autoSpaceDE w:val="0"/>
        <w:autoSpaceDN w:val="0"/>
        <w:adjustRightInd w:val="0"/>
        <w:spacing w:before="0"/>
        <w:ind w:left="709" w:hanging="709"/>
        <w:rPr>
          <w:rFonts w:eastAsia="Arial" w:cs="Arial"/>
          <w:spacing w:val="-1"/>
          <w:szCs w:val="24"/>
        </w:rPr>
      </w:pPr>
      <w:r w:rsidRPr="0036716A">
        <w:rPr>
          <w:rFonts w:eastAsia="Arial" w:cs="Arial"/>
        </w:rPr>
        <w:t xml:space="preserve">Flood risk </w:t>
      </w:r>
      <w:r w:rsidR="003E3494" w:rsidRPr="0036716A">
        <w:rPr>
          <w:rFonts w:eastAsia="Arial" w:cs="Arial"/>
        </w:rPr>
        <w:t xml:space="preserve">can be </w:t>
      </w:r>
      <w:r w:rsidRPr="0036716A">
        <w:rPr>
          <w:rFonts w:eastAsia="Arial" w:cs="Arial"/>
        </w:rPr>
        <w:t>increased by an urbanised environment</w:t>
      </w:r>
      <w:r w:rsidR="003E3494" w:rsidRPr="0036716A">
        <w:t xml:space="preserve"> </w:t>
      </w:r>
      <w:r w:rsidR="003E3494" w:rsidRPr="0036716A">
        <w:rPr>
          <w:rFonts w:eastAsia="Arial" w:cs="Arial"/>
        </w:rPr>
        <w:t xml:space="preserve">if not designed carefully. </w:t>
      </w:r>
      <w:r w:rsidRPr="0036716A">
        <w:rPr>
          <w:rFonts w:eastAsia="Arial" w:cs="Arial"/>
        </w:rPr>
        <w:t xml:space="preserve"> </w:t>
      </w:r>
      <w:r w:rsidR="003E3494" w:rsidRPr="0036716A">
        <w:rPr>
          <w:rFonts w:eastAsia="Arial" w:cs="Arial"/>
        </w:rPr>
        <w:t>I</w:t>
      </w:r>
      <w:r w:rsidRPr="0036716A">
        <w:rPr>
          <w:rFonts w:eastAsia="Arial" w:cs="Arial"/>
        </w:rPr>
        <w:t>mpervious soils, potential infrastructure failure, groundwater located near the surface and steep gradients often associated with old soil heaps</w:t>
      </w:r>
      <w:r w:rsidR="003E3494" w:rsidRPr="0036716A">
        <w:t xml:space="preserve"> </w:t>
      </w:r>
      <w:r w:rsidR="003E3494" w:rsidRPr="0036716A">
        <w:rPr>
          <w:rFonts w:eastAsia="Arial" w:cs="Arial"/>
        </w:rPr>
        <w:t>can all contribute to an increase in risk</w:t>
      </w:r>
      <w:r w:rsidRPr="0036716A">
        <w:rPr>
          <w:rFonts w:eastAsia="Arial" w:cs="Arial"/>
        </w:rPr>
        <w:t xml:space="preserve">. </w:t>
      </w:r>
      <w:r w:rsidR="00581522" w:rsidRPr="0036716A">
        <w:rPr>
          <w:rFonts w:eastAsia="Arial" w:cs="Arial"/>
        </w:rPr>
        <w:t xml:space="preserve">Where appropriate, evidence should be sought from local sources regarding past flooding and the location of springs. </w:t>
      </w:r>
      <w:r w:rsidR="00581522" w:rsidRPr="0036716A">
        <w:rPr>
          <w:rFonts w:eastAsia="Arial" w:cs="Arial"/>
          <w:spacing w:val="-1"/>
        </w:rPr>
        <w:t xml:space="preserve"> </w:t>
      </w:r>
      <w:r w:rsidRPr="0036716A">
        <w:rPr>
          <w:rFonts w:eastAsia="Arial" w:cs="Arial"/>
        </w:rPr>
        <w:t xml:space="preserve">The impact of climate change and topography is anticipated to result in an increasing risk from surface water flooding in the District.  </w:t>
      </w:r>
    </w:p>
    <w:p w14:paraId="2DC0A344" w14:textId="77777777" w:rsidR="003E3494" w:rsidRPr="0036716A" w:rsidRDefault="003E3494" w:rsidP="003E3494">
      <w:pPr>
        <w:keepNext w:val="0"/>
        <w:autoSpaceDE w:val="0"/>
        <w:autoSpaceDN w:val="0"/>
        <w:adjustRightInd w:val="0"/>
        <w:spacing w:before="0"/>
        <w:rPr>
          <w:rFonts w:eastAsia="Arial" w:cs="Arial"/>
          <w:spacing w:val="-1"/>
          <w:szCs w:val="24"/>
        </w:rPr>
      </w:pPr>
    </w:p>
    <w:p w14:paraId="19B85A0E" w14:textId="0E8EF8F5" w:rsidR="00010C3D" w:rsidRPr="0036716A" w:rsidRDefault="00010C3D" w:rsidP="00010C3D">
      <w:pPr>
        <w:keepNext w:val="0"/>
        <w:numPr>
          <w:ilvl w:val="1"/>
          <w:numId w:val="3"/>
        </w:numPr>
        <w:tabs>
          <w:tab w:val="clear" w:pos="525"/>
        </w:tabs>
        <w:autoSpaceDE w:val="0"/>
        <w:autoSpaceDN w:val="0"/>
        <w:adjustRightInd w:val="0"/>
        <w:spacing w:before="0"/>
        <w:ind w:left="709" w:hanging="709"/>
        <w:rPr>
          <w:rFonts w:eastAsia="Arial" w:cs="Arial"/>
          <w:spacing w:val="-1"/>
          <w:szCs w:val="24"/>
        </w:rPr>
      </w:pPr>
      <w:r w:rsidRPr="0036716A">
        <w:rPr>
          <w:rFonts w:eastAsia="Arial" w:cs="Arial"/>
          <w:spacing w:val="-1"/>
          <w:szCs w:val="24"/>
        </w:rPr>
        <w:t xml:space="preserve">The following should be reflected in designing appropriate systems: </w:t>
      </w:r>
    </w:p>
    <w:p w14:paraId="1DF1778B" w14:textId="77777777" w:rsidR="00B27085" w:rsidRPr="0036716A" w:rsidRDefault="00B27085" w:rsidP="00B27085">
      <w:pPr>
        <w:keepNext w:val="0"/>
        <w:autoSpaceDE w:val="0"/>
        <w:autoSpaceDN w:val="0"/>
        <w:adjustRightInd w:val="0"/>
        <w:spacing w:before="0"/>
        <w:rPr>
          <w:rFonts w:eastAsia="Arial" w:cs="Arial"/>
          <w:spacing w:val="-1"/>
          <w:szCs w:val="24"/>
        </w:rPr>
      </w:pPr>
    </w:p>
    <w:p w14:paraId="001E5A3C" w14:textId="1CF5F0BB" w:rsidR="00010C3D" w:rsidRPr="0036716A" w:rsidRDefault="00010C3D" w:rsidP="00874A98">
      <w:pPr>
        <w:pStyle w:val="ListParagraph"/>
        <w:numPr>
          <w:ilvl w:val="0"/>
          <w:numId w:val="322"/>
        </w:numPr>
        <w:ind w:left="1134"/>
        <w:rPr>
          <w:rFonts w:ascii="Arial" w:eastAsia="Arial" w:hAnsi="Arial" w:cs="Arial"/>
        </w:rPr>
      </w:pPr>
      <w:r w:rsidRPr="0036716A">
        <w:rPr>
          <w:rFonts w:ascii="Arial" w:eastAsia="Arial" w:hAnsi="Arial" w:cs="Arial"/>
        </w:rPr>
        <w:t>Use of sustainable drainage systems (SuDS).</w:t>
      </w:r>
    </w:p>
    <w:p w14:paraId="2220F33A" w14:textId="77777777" w:rsidR="00B27085" w:rsidRPr="0036716A" w:rsidRDefault="00B27085" w:rsidP="00E60404">
      <w:pPr>
        <w:pStyle w:val="ListParagraph"/>
        <w:ind w:left="1134"/>
        <w:rPr>
          <w:rFonts w:ascii="Arial" w:eastAsia="Arial" w:hAnsi="Arial" w:cs="Arial"/>
          <w:sz w:val="16"/>
          <w:szCs w:val="16"/>
        </w:rPr>
      </w:pPr>
    </w:p>
    <w:p w14:paraId="16E69BBA" w14:textId="6B2E01CF" w:rsidR="00010C3D" w:rsidRPr="0036716A" w:rsidRDefault="00010C3D" w:rsidP="00874A98">
      <w:pPr>
        <w:pStyle w:val="ListParagraph"/>
        <w:numPr>
          <w:ilvl w:val="0"/>
          <w:numId w:val="322"/>
        </w:numPr>
        <w:ind w:left="1134"/>
        <w:rPr>
          <w:rFonts w:ascii="Arial" w:eastAsia="Arial" w:hAnsi="Arial" w:cs="Arial"/>
        </w:rPr>
      </w:pPr>
      <w:r w:rsidRPr="0036716A">
        <w:rPr>
          <w:rFonts w:ascii="Arial" w:eastAsia="Arial" w:hAnsi="Arial" w:cs="Arial"/>
        </w:rPr>
        <w:t>Implement the principles of the Drainage H</w:t>
      </w:r>
      <w:bookmarkStart w:id="154" w:name="_Hlk120011282"/>
      <w:r w:rsidRPr="0036716A">
        <w:rPr>
          <w:rFonts w:ascii="Arial" w:eastAsia="Arial" w:hAnsi="Arial" w:cs="Arial"/>
        </w:rPr>
        <w:t>ierarchy</w:t>
      </w:r>
      <w:bookmarkEnd w:id="154"/>
      <w:r w:rsidRPr="0036716A">
        <w:rPr>
          <w:rFonts w:ascii="Arial" w:eastAsia="Arial" w:hAnsi="Arial" w:cs="Arial"/>
        </w:rPr>
        <w:t>:</w:t>
      </w:r>
    </w:p>
    <w:p w14:paraId="27F0FA53" w14:textId="77777777" w:rsidR="00010C3D" w:rsidRPr="0036716A" w:rsidRDefault="00010C3D" w:rsidP="00E60404">
      <w:pPr>
        <w:pStyle w:val="ListParagraph"/>
        <w:ind w:left="1134"/>
        <w:rPr>
          <w:rFonts w:ascii="Arial" w:eastAsia="Arial" w:hAnsi="Arial" w:cs="Arial"/>
        </w:rPr>
      </w:pPr>
      <w:r w:rsidRPr="0036716A">
        <w:rPr>
          <w:rFonts w:ascii="Arial" w:eastAsia="Arial" w:hAnsi="Arial" w:cs="Arial"/>
        </w:rPr>
        <w:t xml:space="preserve">1. into the ground (infiltration); </w:t>
      </w:r>
    </w:p>
    <w:p w14:paraId="62C00E21" w14:textId="77777777" w:rsidR="00010C3D" w:rsidRPr="0036716A" w:rsidRDefault="00010C3D" w:rsidP="00E60404">
      <w:pPr>
        <w:pStyle w:val="ListParagraph"/>
        <w:ind w:left="1134"/>
        <w:rPr>
          <w:rFonts w:ascii="Arial" w:eastAsia="Arial" w:hAnsi="Arial" w:cs="Arial"/>
        </w:rPr>
      </w:pPr>
      <w:r w:rsidRPr="0036716A">
        <w:rPr>
          <w:rFonts w:ascii="Arial" w:eastAsia="Arial" w:hAnsi="Arial" w:cs="Arial"/>
        </w:rPr>
        <w:t xml:space="preserve">2. to a surface water body; </w:t>
      </w:r>
    </w:p>
    <w:p w14:paraId="7CEAE8DE" w14:textId="77777777" w:rsidR="00010C3D" w:rsidRPr="0036716A" w:rsidRDefault="00010C3D" w:rsidP="00E60404">
      <w:pPr>
        <w:pStyle w:val="ListParagraph"/>
        <w:ind w:left="1134"/>
        <w:rPr>
          <w:rFonts w:ascii="Arial" w:eastAsia="Arial" w:hAnsi="Arial" w:cs="Arial"/>
        </w:rPr>
      </w:pPr>
      <w:r w:rsidRPr="0036716A">
        <w:rPr>
          <w:rFonts w:ascii="Arial" w:eastAsia="Arial" w:hAnsi="Arial" w:cs="Arial"/>
        </w:rPr>
        <w:t xml:space="preserve">3. to a surface water sewer, highway drain, or another drainage system; </w:t>
      </w:r>
    </w:p>
    <w:p w14:paraId="5AF48788" w14:textId="77777777" w:rsidR="00010C3D" w:rsidRPr="0036716A" w:rsidRDefault="00010C3D" w:rsidP="00E60404">
      <w:pPr>
        <w:pStyle w:val="ListParagraph"/>
        <w:ind w:left="1134"/>
        <w:rPr>
          <w:rFonts w:ascii="Arial" w:eastAsia="Arial" w:hAnsi="Arial" w:cs="Arial"/>
        </w:rPr>
      </w:pPr>
      <w:r w:rsidRPr="0036716A">
        <w:rPr>
          <w:rFonts w:ascii="Arial" w:eastAsia="Arial" w:hAnsi="Arial" w:cs="Arial"/>
        </w:rPr>
        <w:t>4. to a combined sewer.</w:t>
      </w:r>
    </w:p>
    <w:p w14:paraId="70A3976E" w14:textId="47B40E7A" w:rsidR="00010C3D" w:rsidRPr="0036716A" w:rsidRDefault="00010C3D" w:rsidP="00E60404">
      <w:pPr>
        <w:pStyle w:val="ListParagraph"/>
        <w:ind w:left="1134"/>
        <w:rPr>
          <w:rFonts w:ascii="Arial" w:eastAsia="Arial" w:hAnsi="Arial" w:cs="Arial"/>
        </w:rPr>
      </w:pPr>
      <w:r w:rsidRPr="0036716A">
        <w:rPr>
          <w:rFonts w:ascii="Arial" w:eastAsia="Arial" w:hAnsi="Arial" w:cs="Arial"/>
        </w:rPr>
        <w:t>Generally, the aim should be to discharge surface run off as high up the following hierarchy of drainage options as reasonably practicable.</w:t>
      </w:r>
    </w:p>
    <w:p w14:paraId="619C46FE" w14:textId="77777777" w:rsidR="00010C3D" w:rsidRPr="0036716A" w:rsidRDefault="00010C3D" w:rsidP="00E60404">
      <w:pPr>
        <w:pStyle w:val="ListParagraph"/>
        <w:ind w:left="1134"/>
        <w:rPr>
          <w:rFonts w:ascii="Arial" w:eastAsia="Arial" w:hAnsi="Arial" w:cs="Arial"/>
          <w:sz w:val="16"/>
          <w:szCs w:val="16"/>
        </w:rPr>
      </w:pPr>
    </w:p>
    <w:p w14:paraId="2FCBDAD6" w14:textId="651FC1DF" w:rsidR="00010C3D" w:rsidRPr="0079686C" w:rsidRDefault="00010C3D" w:rsidP="00874A98">
      <w:pPr>
        <w:pStyle w:val="ListParagraph"/>
        <w:numPr>
          <w:ilvl w:val="0"/>
          <w:numId w:val="322"/>
        </w:numPr>
        <w:ind w:left="1134"/>
        <w:rPr>
          <w:rFonts w:ascii="Arial" w:eastAsia="Arial" w:hAnsi="Arial" w:cs="Arial"/>
          <w:color w:val="auto"/>
        </w:rPr>
      </w:pPr>
      <w:r w:rsidRPr="0036716A">
        <w:rPr>
          <w:rFonts w:ascii="Arial" w:eastAsia="Arial" w:hAnsi="Arial" w:cs="Arial"/>
        </w:rPr>
        <w:t xml:space="preserve">Incorporate water efficient </w:t>
      </w:r>
      <w:r w:rsidRPr="0079686C">
        <w:rPr>
          <w:rFonts w:ascii="Arial" w:eastAsia="Arial" w:hAnsi="Arial" w:cs="Arial"/>
          <w:color w:val="auto"/>
        </w:rPr>
        <w:t>design and technology.</w:t>
      </w:r>
    </w:p>
    <w:p w14:paraId="0E5D84FF" w14:textId="77777777" w:rsidR="00B27085" w:rsidRPr="0079686C" w:rsidRDefault="00B27085" w:rsidP="00E60404">
      <w:pPr>
        <w:pStyle w:val="ListParagraph"/>
        <w:ind w:left="1134"/>
        <w:rPr>
          <w:rFonts w:ascii="Arial" w:eastAsia="Arial" w:hAnsi="Arial" w:cs="Arial"/>
          <w:color w:val="auto"/>
          <w:sz w:val="16"/>
          <w:szCs w:val="16"/>
        </w:rPr>
      </w:pPr>
    </w:p>
    <w:p w14:paraId="58B47A45" w14:textId="4F77F6CC" w:rsidR="008424C7" w:rsidRPr="0079686C" w:rsidRDefault="00010C3D" w:rsidP="00874A98">
      <w:pPr>
        <w:pStyle w:val="ListParagraph"/>
        <w:numPr>
          <w:ilvl w:val="0"/>
          <w:numId w:val="322"/>
        </w:numPr>
        <w:ind w:left="1134"/>
        <w:rPr>
          <w:rFonts w:ascii="Arial" w:eastAsia="Arial" w:hAnsi="Arial" w:cs="Arial"/>
          <w:color w:val="auto"/>
        </w:rPr>
      </w:pPr>
      <w:r w:rsidRPr="0079686C">
        <w:rPr>
          <w:rFonts w:ascii="Arial" w:eastAsia="Arial" w:hAnsi="Arial" w:cs="Arial"/>
          <w:color w:val="auto"/>
        </w:rPr>
        <w:t>Protection of Drainage features.</w:t>
      </w:r>
    </w:p>
    <w:p w14:paraId="584251F4" w14:textId="77777777" w:rsidR="00010C3D" w:rsidRPr="0079686C" w:rsidRDefault="00010C3D" w:rsidP="00010C3D">
      <w:pPr>
        <w:keepNext w:val="0"/>
        <w:tabs>
          <w:tab w:val="left" w:pos="680"/>
        </w:tabs>
        <w:spacing w:before="0"/>
        <w:ind w:left="709"/>
        <w:rPr>
          <w:rFonts w:eastAsia="Arial" w:cs="Arial"/>
          <w:b/>
          <w:color w:val="auto"/>
        </w:rPr>
      </w:pPr>
    </w:p>
    <w:p w14:paraId="01763DC0" w14:textId="542CDDB5" w:rsidR="008424C7" w:rsidRDefault="008424C7" w:rsidP="00010C3D">
      <w:pPr>
        <w:keepNext w:val="0"/>
        <w:tabs>
          <w:tab w:val="left" w:pos="680"/>
        </w:tabs>
        <w:spacing w:before="0"/>
        <w:ind w:left="709"/>
        <w:rPr>
          <w:rFonts w:eastAsia="Arial" w:cs="Arial"/>
          <w:b/>
          <w:color w:val="auto"/>
        </w:rPr>
      </w:pPr>
      <w:r w:rsidRPr="003C7E62">
        <w:rPr>
          <w:rFonts w:eastAsia="Arial" w:cs="Arial"/>
          <w:b/>
          <w:color w:val="auto"/>
        </w:rPr>
        <w:t>Sequential and Exception Tests</w:t>
      </w:r>
    </w:p>
    <w:p w14:paraId="4BD54B51" w14:textId="77777777" w:rsidR="005334C0" w:rsidRDefault="005334C0" w:rsidP="00010C3D">
      <w:pPr>
        <w:keepNext w:val="0"/>
        <w:tabs>
          <w:tab w:val="left" w:pos="680"/>
        </w:tabs>
        <w:spacing w:before="0"/>
        <w:ind w:left="709"/>
        <w:rPr>
          <w:rFonts w:eastAsia="Arial" w:cs="Arial"/>
          <w:b/>
          <w:color w:val="auto"/>
        </w:rPr>
      </w:pPr>
    </w:p>
    <w:p w14:paraId="42EEBBEB" w14:textId="78C9AC4F" w:rsidR="00581522" w:rsidRPr="003C7E62" w:rsidRDefault="00DE2722" w:rsidP="008008F0">
      <w:pPr>
        <w:keepNext w:val="0"/>
        <w:numPr>
          <w:ilvl w:val="1"/>
          <w:numId w:val="3"/>
        </w:numPr>
        <w:tabs>
          <w:tab w:val="clear" w:pos="525"/>
        </w:tabs>
        <w:autoSpaceDE w:val="0"/>
        <w:autoSpaceDN w:val="0"/>
        <w:adjustRightInd w:val="0"/>
        <w:spacing w:before="0"/>
        <w:ind w:left="709" w:hanging="709"/>
        <w:rPr>
          <w:rFonts w:eastAsia="Arial" w:cs="Arial"/>
          <w:color w:val="auto"/>
          <w:spacing w:val="-1"/>
        </w:rPr>
      </w:pPr>
      <w:r w:rsidRPr="003C7E62">
        <w:rPr>
          <w:rFonts w:eastAsia="Arial" w:cs="Arial"/>
          <w:color w:val="auto"/>
        </w:rPr>
        <w:t>The aim of the Sequential Test is to steer new development to areas with the lowest probability of flooding. Development should not be permitted if there are reasonably available sites appropriate for the proposed development in areas with a lower probability of flooding. Given the level of flood risk in Ashfield</w:t>
      </w:r>
      <w:r w:rsidR="00581522" w:rsidRPr="003C7E62">
        <w:rPr>
          <w:rFonts w:eastAsia="Arial" w:cs="Arial"/>
          <w:color w:val="auto"/>
        </w:rPr>
        <w:t>,</w:t>
      </w:r>
      <w:r w:rsidRPr="003C7E62">
        <w:rPr>
          <w:rFonts w:eastAsia="Arial" w:cs="Arial"/>
          <w:color w:val="auto"/>
        </w:rPr>
        <w:t xml:space="preserve"> it is </w:t>
      </w:r>
      <w:r w:rsidR="009D1815" w:rsidRPr="003C7E62">
        <w:rPr>
          <w:rFonts w:eastAsia="Arial" w:cs="Arial"/>
          <w:color w:val="auto"/>
        </w:rPr>
        <w:t>considered</w:t>
      </w:r>
      <w:r w:rsidRPr="003C7E62">
        <w:rPr>
          <w:rFonts w:eastAsia="Arial" w:cs="Arial"/>
          <w:color w:val="auto"/>
        </w:rPr>
        <w:t xml:space="preserve"> appropriate that the sequential test for flooding should be applied district wide unless it can be demonstrated by the developer why a smaller area of search could be justified to deliver local needs.  If, following application of the sequential test, it is neither possible nor consistent with wider sustainability objectives for the development to be located in zones with a lower probability of flooding, the Exception Test will be applied.</w:t>
      </w:r>
    </w:p>
    <w:p w14:paraId="72CCEF8D" w14:textId="77777777" w:rsidR="00581522" w:rsidRPr="003C7E62" w:rsidRDefault="00581522" w:rsidP="008008F0">
      <w:pPr>
        <w:keepNext w:val="0"/>
        <w:autoSpaceDE w:val="0"/>
        <w:autoSpaceDN w:val="0"/>
        <w:adjustRightInd w:val="0"/>
        <w:spacing w:before="0"/>
        <w:ind w:left="709"/>
        <w:rPr>
          <w:rFonts w:eastAsia="Arial" w:cs="Arial"/>
          <w:color w:val="auto"/>
          <w:spacing w:val="-1"/>
        </w:rPr>
      </w:pPr>
    </w:p>
    <w:p w14:paraId="6ACF25B6" w14:textId="77777777" w:rsidR="008008F0" w:rsidRPr="003C7E62" w:rsidRDefault="00DE2722" w:rsidP="008008F0">
      <w:pPr>
        <w:keepNext w:val="0"/>
        <w:numPr>
          <w:ilvl w:val="1"/>
          <w:numId w:val="3"/>
        </w:numPr>
        <w:tabs>
          <w:tab w:val="clear" w:pos="525"/>
        </w:tabs>
        <w:autoSpaceDE w:val="0"/>
        <w:autoSpaceDN w:val="0"/>
        <w:adjustRightInd w:val="0"/>
        <w:spacing w:before="0"/>
        <w:ind w:left="709" w:hanging="709"/>
        <w:rPr>
          <w:rFonts w:eastAsia="Arial" w:cs="Arial"/>
          <w:color w:val="auto"/>
        </w:rPr>
      </w:pPr>
      <w:r w:rsidRPr="003C7E62">
        <w:rPr>
          <w:rFonts w:eastAsia="Arial" w:cs="Arial"/>
          <w:color w:val="auto"/>
        </w:rPr>
        <w:t xml:space="preserve">National </w:t>
      </w:r>
      <w:r w:rsidR="00581522" w:rsidRPr="003C7E62">
        <w:rPr>
          <w:rFonts w:eastAsia="Arial" w:cs="Arial"/>
          <w:color w:val="auto"/>
        </w:rPr>
        <w:t xml:space="preserve">policy and guidance </w:t>
      </w:r>
      <w:r w:rsidRPr="003C7E62">
        <w:rPr>
          <w:rFonts w:eastAsia="Arial" w:cs="Arial"/>
          <w:color w:val="auto"/>
        </w:rPr>
        <w:t>set out tables and further information on the application of the respective tests. The Tests will not apply to minor development, but there may be individual circumstances, such as regeneration projects, where the Sequential Test may not be applied but the Exception Test is applicable.</w:t>
      </w:r>
      <w:r w:rsidR="00581522" w:rsidRPr="003C7E62">
        <w:rPr>
          <w:rFonts w:eastAsia="Arial" w:cs="Arial"/>
          <w:color w:val="auto"/>
          <w:spacing w:val="-1"/>
        </w:rPr>
        <w:t xml:space="preserve">   </w:t>
      </w:r>
      <w:r w:rsidRPr="003C7E62">
        <w:rPr>
          <w:rFonts w:eastAsia="Arial" w:cs="Arial"/>
          <w:color w:val="auto"/>
        </w:rPr>
        <w:t xml:space="preserve">It is essential that the potential impact of climate change is taken into account over the lifetime of the development. Climate change requirements will be considered against the provisions in the National Guidance. </w:t>
      </w:r>
      <w:bookmarkStart w:id="155" w:name="_Hlk77777653"/>
    </w:p>
    <w:p w14:paraId="27E6A02B" w14:textId="77777777" w:rsidR="008008F0" w:rsidRPr="003C7E62" w:rsidRDefault="008008F0" w:rsidP="008008F0">
      <w:pPr>
        <w:pStyle w:val="ListParagraph"/>
        <w:spacing w:after="0" w:line="240" w:lineRule="auto"/>
        <w:rPr>
          <w:rFonts w:ascii="Arial" w:eastAsia="Calibri" w:hAnsi="Arial" w:cs="Arial"/>
          <w:color w:val="auto"/>
        </w:rPr>
      </w:pPr>
    </w:p>
    <w:p w14:paraId="37355216" w14:textId="76601158" w:rsidR="008008F0" w:rsidRPr="0079686C" w:rsidRDefault="00DE2722" w:rsidP="008008F0">
      <w:pPr>
        <w:keepNext w:val="0"/>
        <w:numPr>
          <w:ilvl w:val="1"/>
          <w:numId w:val="3"/>
        </w:numPr>
        <w:tabs>
          <w:tab w:val="clear" w:pos="525"/>
        </w:tabs>
        <w:autoSpaceDE w:val="0"/>
        <w:autoSpaceDN w:val="0"/>
        <w:adjustRightInd w:val="0"/>
        <w:spacing w:before="0"/>
        <w:ind w:left="709" w:hanging="709"/>
        <w:rPr>
          <w:rFonts w:eastAsia="Arial" w:cs="Arial"/>
          <w:color w:val="auto"/>
        </w:rPr>
      </w:pPr>
      <w:r w:rsidRPr="003C7E62">
        <w:rPr>
          <w:rFonts w:eastAsia="Calibri" w:cs="Arial"/>
          <w:color w:val="auto"/>
          <w:szCs w:val="22"/>
          <w:lang w:eastAsia="en-US"/>
        </w:rPr>
        <w:t xml:space="preserve">There may be circumstances where the development is in Flood Zone1 but the only or main access is through Flood Zone 2 or 3.  </w:t>
      </w:r>
      <w:r w:rsidRPr="003C7E62">
        <w:rPr>
          <w:rFonts w:eastAsia="Arial" w:cs="Arial"/>
          <w:color w:val="auto"/>
        </w:rPr>
        <w:t xml:space="preserve">In these circumstances it will be necessary to demonstrate that safe access and egress to and from the </w:t>
      </w:r>
      <w:r w:rsidRPr="0079686C">
        <w:rPr>
          <w:rFonts w:eastAsia="Arial" w:cs="Arial"/>
          <w:color w:val="auto"/>
        </w:rPr>
        <w:t>development can be achieved, include access and egress by emergency vehicles.</w:t>
      </w:r>
      <w:bookmarkEnd w:id="155"/>
    </w:p>
    <w:p w14:paraId="5362B393" w14:textId="77777777" w:rsidR="008008F0" w:rsidRPr="0079686C" w:rsidRDefault="008008F0" w:rsidP="008008F0">
      <w:pPr>
        <w:pStyle w:val="ListParagraph"/>
        <w:tabs>
          <w:tab w:val="left" w:pos="680"/>
        </w:tabs>
        <w:spacing w:after="170"/>
        <w:ind w:left="525"/>
        <w:rPr>
          <w:rFonts w:ascii="Arial" w:eastAsia="Arial" w:hAnsi="Arial" w:cs="Arial"/>
          <w:b/>
          <w:color w:val="auto"/>
        </w:rPr>
      </w:pPr>
    </w:p>
    <w:p w14:paraId="77DC6814" w14:textId="2648D6BC" w:rsidR="008008F0" w:rsidRPr="0079686C" w:rsidRDefault="008008F0" w:rsidP="008008F0">
      <w:pPr>
        <w:pStyle w:val="ListParagraph"/>
        <w:tabs>
          <w:tab w:val="left" w:pos="680"/>
        </w:tabs>
        <w:spacing w:after="0" w:line="240" w:lineRule="auto"/>
        <w:ind w:left="709"/>
        <w:rPr>
          <w:rFonts w:ascii="Arial" w:eastAsia="Arial" w:hAnsi="Arial" w:cs="Arial"/>
          <w:b/>
          <w:color w:val="auto"/>
        </w:rPr>
      </w:pPr>
      <w:r w:rsidRPr="0079686C">
        <w:rPr>
          <w:rFonts w:ascii="Arial" w:eastAsia="Arial" w:hAnsi="Arial" w:cs="Arial"/>
          <w:b/>
          <w:color w:val="auto"/>
        </w:rPr>
        <w:t>Flood Risk Assessments</w:t>
      </w:r>
    </w:p>
    <w:p w14:paraId="21F43E57" w14:textId="77777777" w:rsidR="005334C0" w:rsidRPr="0079686C" w:rsidRDefault="005334C0" w:rsidP="008008F0">
      <w:pPr>
        <w:pStyle w:val="ListParagraph"/>
        <w:tabs>
          <w:tab w:val="left" w:pos="680"/>
        </w:tabs>
        <w:spacing w:after="0" w:line="240" w:lineRule="auto"/>
        <w:ind w:left="709"/>
        <w:rPr>
          <w:rFonts w:ascii="Arial" w:eastAsia="Arial" w:hAnsi="Arial" w:cs="Arial"/>
          <w:b/>
          <w:color w:val="auto"/>
        </w:rPr>
      </w:pPr>
    </w:p>
    <w:p w14:paraId="139AF1DB" w14:textId="17E5DC38" w:rsidR="008008F0" w:rsidRPr="003C7E62" w:rsidRDefault="008008F0" w:rsidP="008008F0">
      <w:pPr>
        <w:keepNext w:val="0"/>
        <w:numPr>
          <w:ilvl w:val="1"/>
          <w:numId w:val="3"/>
        </w:numPr>
        <w:tabs>
          <w:tab w:val="clear" w:pos="525"/>
        </w:tabs>
        <w:autoSpaceDE w:val="0"/>
        <w:autoSpaceDN w:val="0"/>
        <w:adjustRightInd w:val="0"/>
        <w:spacing w:before="0"/>
        <w:ind w:left="709" w:hanging="709"/>
        <w:rPr>
          <w:rFonts w:eastAsia="Arial" w:cs="Arial"/>
          <w:color w:val="auto"/>
        </w:rPr>
      </w:pPr>
      <w:r w:rsidRPr="003C7E62">
        <w:rPr>
          <w:rFonts w:eastAsia="Arial" w:cs="Arial"/>
          <w:color w:val="auto"/>
        </w:rPr>
        <w:t>Any Flood Risk Assessment should have regard to a number of requirements including: flood hazards from all sources, the probability of flooding including allowances for climate change, flood risk management measures, including how SUDS will be incorporated into the design, ensuing the development is safe from flooding during its lifetime, safe access and egress, off site impacts, residual risks, opportunities to reduce flood risk and, where appropriate, include a drainage assessment in accordance with the SUDS Manual or any updates or amendment.</w:t>
      </w:r>
    </w:p>
    <w:p w14:paraId="2EC659B8" w14:textId="77777777" w:rsidR="008008F0" w:rsidRPr="003C7E62" w:rsidRDefault="008008F0" w:rsidP="008008F0">
      <w:pPr>
        <w:keepNext w:val="0"/>
        <w:tabs>
          <w:tab w:val="left" w:pos="680"/>
        </w:tabs>
        <w:spacing w:before="0"/>
        <w:ind w:left="680"/>
        <w:rPr>
          <w:rFonts w:eastAsia="Arial" w:cs="Arial"/>
          <w:b/>
          <w:color w:val="auto"/>
        </w:rPr>
      </w:pPr>
    </w:p>
    <w:p w14:paraId="0B690D1B" w14:textId="683E0803" w:rsidR="008008F0" w:rsidRDefault="008008F0" w:rsidP="008008F0">
      <w:pPr>
        <w:keepNext w:val="0"/>
        <w:tabs>
          <w:tab w:val="left" w:pos="680"/>
        </w:tabs>
        <w:spacing w:before="0"/>
        <w:ind w:left="680"/>
        <w:rPr>
          <w:rFonts w:eastAsia="Arial" w:cs="Arial"/>
          <w:b/>
          <w:color w:val="auto"/>
        </w:rPr>
      </w:pPr>
      <w:r w:rsidRPr="003C7E62">
        <w:rPr>
          <w:rFonts w:eastAsia="Arial" w:cs="Arial"/>
          <w:b/>
          <w:color w:val="auto"/>
        </w:rPr>
        <w:t>Sustainable Drainage Systems (SUDS)</w:t>
      </w:r>
    </w:p>
    <w:p w14:paraId="05D96213" w14:textId="77777777" w:rsidR="005334C0" w:rsidRDefault="005334C0" w:rsidP="008008F0">
      <w:pPr>
        <w:keepNext w:val="0"/>
        <w:tabs>
          <w:tab w:val="left" w:pos="680"/>
        </w:tabs>
        <w:spacing w:before="0"/>
        <w:ind w:left="680"/>
        <w:rPr>
          <w:rFonts w:eastAsia="Arial" w:cs="Arial"/>
          <w:b/>
          <w:color w:val="auto"/>
        </w:rPr>
      </w:pPr>
    </w:p>
    <w:p w14:paraId="1449A98A" w14:textId="68F9DF8F" w:rsidR="008008F0" w:rsidRPr="003C7E62" w:rsidRDefault="00DE2722" w:rsidP="008008F0">
      <w:pPr>
        <w:keepNext w:val="0"/>
        <w:numPr>
          <w:ilvl w:val="1"/>
          <w:numId w:val="3"/>
        </w:numPr>
        <w:tabs>
          <w:tab w:val="clear" w:pos="525"/>
        </w:tabs>
        <w:autoSpaceDE w:val="0"/>
        <w:autoSpaceDN w:val="0"/>
        <w:adjustRightInd w:val="0"/>
        <w:spacing w:before="0"/>
        <w:ind w:left="709" w:hanging="709"/>
        <w:rPr>
          <w:rFonts w:eastAsia="Arial" w:cs="Arial"/>
          <w:color w:val="auto"/>
        </w:rPr>
      </w:pPr>
      <w:r w:rsidRPr="003C7E62">
        <w:rPr>
          <w:rFonts w:eastAsia="Arial" w:cs="Arial"/>
          <w:color w:val="auto"/>
        </w:rPr>
        <w:t>SUDS is a non-traditional, environmentally friendly method of dealing with surface water run-off by providing a drainage system that:</w:t>
      </w:r>
    </w:p>
    <w:p w14:paraId="55025547" w14:textId="558E66F3" w:rsidR="008008F0" w:rsidRPr="003C7E62" w:rsidRDefault="008008F0" w:rsidP="008008F0">
      <w:pPr>
        <w:keepNext w:val="0"/>
        <w:autoSpaceDE w:val="0"/>
        <w:autoSpaceDN w:val="0"/>
        <w:adjustRightInd w:val="0"/>
        <w:spacing w:before="0"/>
        <w:ind w:left="709"/>
        <w:rPr>
          <w:rFonts w:eastAsia="Arial" w:cs="Arial"/>
          <w:color w:val="auto"/>
        </w:rPr>
      </w:pPr>
    </w:p>
    <w:p w14:paraId="7B9C0791" w14:textId="77777777" w:rsidR="008008F0" w:rsidRPr="003C7E62" w:rsidRDefault="008008F0" w:rsidP="00874A98">
      <w:pPr>
        <w:pStyle w:val="ListParagraph"/>
        <w:numPr>
          <w:ilvl w:val="0"/>
          <w:numId w:val="123"/>
        </w:numPr>
        <w:autoSpaceDE w:val="0"/>
        <w:autoSpaceDN w:val="0"/>
        <w:adjustRightInd w:val="0"/>
        <w:spacing w:after="0" w:line="240" w:lineRule="auto"/>
        <w:rPr>
          <w:rFonts w:ascii="Arial" w:eastAsia="Arial" w:hAnsi="Arial" w:cs="Arial"/>
          <w:color w:val="auto"/>
        </w:rPr>
      </w:pPr>
      <w:r w:rsidRPr="003C7E62">
        <w:rPr>
          <w:rFonts w:ascii="Arial" w:eastAsia="Arial" w:hAnsi="Arial" w:cs="Arial"/>
          <w:color w:val="auto"/>
        </w:rPr>
        <w:t>manages surface water run-off as close to the source as possible;</w:t>
      </w:r>
    </w:p>
    <w:p w14:paraId="346ABA28" w14:textId="77777777" w:rsidR="008008F0" w:rsidRPr="003C7E62" w:rsidRDefault="008008F0" w:rsidP="00874A98">
      <w:pPr>
        <w:pStyle w:val="ListParagraph"/>
        <w:numPr>
          <w:ilvl w:val="0"/>
          <w:numId w:val="123"/>
        </w:numPr>
        <w:autoSpaceDE w:val="0"/>
        <w:autoSpaceDN w:val="0"/>
        <w:adjustRightInd w:val="0"/>
        <w:spacing w:after="0" w:line="240" w:lineRule="auto"/>
        <w:rPr>
          <w:rFonts w:ascii="Arial" w:eastAsia="Arial" w:hAnsi="Arial" w:cs="Arial"/>
          <w:color w:val="auto"/>
        </w:rPr>
      </w:pPr>
      <w:r w:rsidRPr="003C7E62">
        <w:rPr>
          <w:rFonts w:ascii="Arial" w:eastAsia="Arial" w:hAnsi="Arial" w:cs="Arial"/>
          <w:color w:val="auto"/>
        </w:rPr>
        <w:t>mimics natural drainage;</w:t>
      </w:r>
    </w:p>
    <w:p w14:paraId="1AB5021D" w14:textId="08E0D57C" w:rsidR="008008F0" w:rsidRPr="003C7E62" w:rsidRDefault="008008F0" w:rsidP="00874A98">
      <w:pPr>
        <w:pStyle w:val="ListParagraph"/>
        <w:numPr>
          <w:ilvl w:val="0"/>
          <w:numId w:val="123"/>
        </w:numPr>
        <w:autoSpaceDE w:val="0"/>
        <w:autoSpaceDN w:val="0"/>
        <w:adjustRightInd w:val="0"/>
        <w:spacing w:after="0" w:line="240" w:lineRule="auto"/>
        <w:rPr>
          <w:rFonts w:ascii="Arial" w:eastAsia="Arial" w:hAnsi="Arial" w:cs="Arial"/>
          <w:color w:val="auto"/>
        </w:rPr>
      </w:pPr>
      <w:r w:rsidRPr="003C7E62">
        <w:rPr>
          <w:rFonts w:ascii="Arial" w:eastAsia="Arial" w:hAnsi="Arial" w:cs="Arial"/>
          <w:color w:val="auto"/>
        </w:rPr>
        <w:t>minimises pollution and flood risk resulting from new development.</w:t>
      </w:r>
    </w:p>
    <w:p w14:paraId="41806B46" w14:textId="77777777" w:rsidR="008008F0" w:rsidRPr="003C7E62" w:rsidRDefault="008008F0" w:rsidP="008008F0">
      <w:pPr>
        <w:keepNext w:val="0"/>
        <w:autoSpaceDE w:val="0"/>
        <w:autoSpaceDN w:val="0"/>
        <w:adjustRightInd w:val="0"/>
        <w:spacing w:before="0"/>
        <w:ind w:left="709"/>
        <w:rPr>
          <w:rFonts w:eastAsia="Arial" w:cs="Arial"/>
          <w:color w:val="auto"/>
        </w:rPr>
      </w:pPr>
    </w:p>
    <w:p w14:paraId="05CF7CDE" w14:textId="0FA441F2" w:rsidR="00010C3D" w:rsidRPr="00E60404" w:rsidRDefault="00DE2722" w:rsidP="00E60404">
      <w:pPr>
        <w:keepNext w:val="0"/>
        <w:numPr>
          <w:ilvl w:val="1"/>
          <w:numId w:val="3"/>
        </w:numPr>
        <w:tabs>
          <w:tab w:val="clear" w:pos="525"/>
        </w:tabs>
        <w:autoSpaceDE w:val="0"/>
        <w:autoSpaceDN w:val="0"/>
        <w:adjustRightInd w:val="0"/>
        <w:spacing w:before="0"/>
        <w:ind w:left="709" w:hanging="709"/>
        <w:rPr>
          <w:rFonts w:eastAsia="Arial" w:cs="Arial"/>
          <w:color w:val="auto"/>
        </w:rPr>
      </w:pPr>
      <w:r w:rsidRPr="003C7E62">
        <w:rPr>
          <w:rFonts w:eastAsia="Arial" w:cs="Arial"/>
          <w:color w:val="auto"/>
        </w:rPr>
        <w:t>SUDS includes taking into account long term environmental and social aspects in decision making about drainage systems; thereby increasing the value of properties affected and encouraging people to use external space. SUDS schemes bring multiple benefits by reducing flood risk, improving water quality, providing amenity areas, improving and providing habitats and creating attractive places.</w:t>
      </w:r>
    </w:p>
    <w:p w14:paraId="08CA6284" w14:textId="77777777" w:rsidR="008008F0" w:rsidRPr="003C7E62" w:rsidRDefault="008008F0" w:rsidP="008008F0">
      <w:pPr>
        <w:keepNext w:val="0"/>
        <w:autoSpaceDE w:val="0"/>
        <w:autoSpaceDN w:val="0"/>
        <w:adjustRightInd w:val="0"/>
        <w:spacing w:before="0"/>
        <w:ind w:left="709"/>
        <w:rPr>
          <w:rFonts w:eastAsia="Arial" w:cs="Arial"/>
          <w:color w:val="auto"/>
        </w:rPr>
      </w:pPr>
    </w:p>
    <w:p w14:paraId="0E008099" w14:textId="2BEECC73" w:rsidR="00F30460" w:rsidRPr="00F30460" w:rsidRDefault="00DE2722" w:rsidP="00F30460">
      <w:pPr>
        <w:keepNext w:val="0"/>
        <w:numPr>
          <w:ilvl w:val="1"/>
          <w:numId w:val="3"/>
        </w:numPr>
        <w:tabs>
          <w:tab w:val="clear" w:pos="525"/>
        </w:tabs>
        <w:autoSpaceDE w:val="0"/>
        <w:autoSpaceDN w:val="0"/>
        <w:adjustRightInd w:val="0"/>
        <w:spacing w:before="0"/>
        <w:ind w:left="709" w:hanging="709"/>
        <w:rPr>
          <w:rFonts w:eastAsia="Arial" w:cs="Arial"/>
          <w:color w:val="auto"/>
        </w:rPr>
      </w:pPr>
      <w:r w:rsidRPr="003C7E62">
        <w:rPr>
          <w:rFonts w:eastAsia="Arial" w:cs="Arial"/>
          <w:color w:val="auto"/>
        </w:rPr>
        <w:t>The SUDS approach is presented in The SUDS Manual which includes methodologies for both outline and detailed drainage assessments for the site.  Ideally, water should be dealt with at the individual property where it falls (source control) and appropriate measures can include green roofs, permeable surfaces and rainwater harvesting. Run-off from larger areas such as part of a housing estate, major roads or business parks may be dealt with by swales and detention basins.</w:t>
      </w:r>
    </w:p>
    <w:p w14:paraId="0095B417" w14:textId="77777777" w:rsidR="008008F0" w:rsidRPr="003C7E62" w:rsidRDefault="008008F0" w:rsidP="008008F0">
      <w:pPr>
        <w:pStyle w:val="ListParagraph"/>
        <w:tabs>
          <w:tab w:val="left" w:pos="680"/>
        </w:tabs>
        <w:spacing w:after="0" w:line="240" w:lineRule="auto"/>
        <w:ind w:left="525"/>
        <w:rPr>
          <w:rFonts w:ascii="Arial" w:eastAsia="Arial" w:hAnsi="Arial" w:cs="Arial"/>
          <w:b/>
          <w:color w:val="538135"/>
        </w:rPr>
      </w:pPr>
    </w:p>
    <w:p w14:paraId="23F3BCBA" w14:textId="32018D47" w:rsidR="008008F0" w:rsidRDefault="008008F0" w:rsidP="008008F0">
      <w:pPr>
        <w:pStyle w:val="ListParagraph"/>
        <w:tabs>
          <w:tab w:val="left" w:pos="680"/>
        </w:tabs>
        <w:spacing w:after="0" w:line="240" w:lineRule="auto"/>
        <w:ind w:left="680"/>
        <w:rPr>
          <w:rFonts w:ascii="Arial" w:eastAsia="Arial" w:hAnsi="Arial" w:cs="Arial"/>
          <w:b/>
          <w:color w:val="auto"/>
        </w:rPr>
      </w:pPr>
      <w:r w:rsidRPr="003C7E62">
        <w:rPr>
          <w:rFonts w:ascii="Arial" w:eastAsia="Arial" w:hAnsi="Arial" w:cs="Arial"/>
          <w:b/>
          <w:color w:val="auto"/>
        </w:rPr>
        <w:t>Agriculture</w:t>
      </w:r>
    </w:p>
    <w:p w14:paraId="7301185B" w14:textId="77777777" w:rsidR="005334C0" w:rsidRDefault="005334C0" w:rsidP="008008F0">
      <w:pPr>
        <w:pStyle w:val="ListParagraph"/>
        <w:tabs>
          <w:tab w:val="left" w:pos="680"/>
        </w:tabs>
        <w:spacing w:after="0" w:line="240" w:lineRule="auto"/>
        <w:ind w:left="680"/>
        <w:rPr>
          <w:rFonts w:ascii="Arial" w:eastAsia="Arial" w:hAnsi="Arial" w:cs="Arial"/>
          <w:b/>
          <w:color w:val="auto"/>
        </w:rPr>
      </w:pPr>
    </w:p>
    <w:p w14:paraId="1A3C8903" w14:textId="29C18F04" w:rsidR="00FC2A72" w:rsidRPr="004A5D83" w:rsidRDefault="00DE2722" w:rsidP="00054236">
      <w:pPr>
        <w:keepNext w:val="0"/>
        <w:numPr>
          <w:ilvl w:val="1"/>
          <w:numId w:val="3"/>
        </w:numPr>
        <w:tabs>
          <w:tab w:val="clear" w:pos="525"/>
        </w:tabs>
        <w:autoSpaceDE w:val="0"/>
        <w:autoSpaceDN w:val="0"/>
        <w:adjustRightInd w:val="0"/>
        <w:spacing w:before="0"/>
        <w:ind w:left="709" w:hanging="709"/>
        <w:rPr>
          <w:rFonts w:cs="Arial"/>
          <w:b/>
          <w:bCs/>
          <w:szCs w:val="24"/>
        </w:rPr>
      </w:pPr>
      <w:r w:rsidRPr="004A5D83">
        <w:rPr>
          <w:rFonts w:eastAsia="Arial" w:cs="Arial"/>
          <w:color w:val="auto"/>
          <w:szCs w:val="24"/>
        </w:rPr>
        <w:t xml:space="preserve">Agricultural practices can have substantial impacts on the ability of land to store water, regulate and balance river flows and remove pollutants. However, agriculture practice is largely outside the planning system and flooding issues in relation to agriculture are dependent on other legislative control measures </w:t>
      </w:r>
      <w:r w:rsidR="004A5D83" w:rsidRPr="004A5D83">
        <w:rPr>
          <w:rFonts w:eastAsia="Arial" w:cs="Arial"/>
          <w:color w:val="auto"/>
          <w:szCs w:val="24"/>
        </w:rPr>
        <w:t>and other policy actions</w:t>
      </w:r>
      <w:r w:rsidRPr="004A5D83">
        <w:rPr>
          <w:rFonts w:eastAsia="Arial" w:cs="Arial"/>
          <w:color w:val="auto"/>
          <w:szCs w:val="24"/>
        </w:rPr>
        <w:t xml:space="preserve">. </w:t>
      </w:r>
    </w:p>
    <w:p w14:paraId="2AF7A7EC" w14:textId="77777777" w:rsidR="00023DC3" w:rsidRDefault="00023DC3" w:rsidP="00D210FC">
      <w:pPr>
        <w:keepNext w:val="0"/>
        <w:autoSpaceDE w:val="0"/>
        <w:autoSpaceDN w:val="0"/>
        <w:adjustRightInd w:val="0"/>
        <w:spacing w:before="0"/>
        <w:rPr>
          <w:rFonts w:cs="Arial"/>
          <w:b/>
          <w:bCs/>
          <w:szCs w:val="24"/>
        </w:rPr>
        <w:sectPr w:rsidR="00023DC3" w:rsidSect="00A73757">
          <w:headerReference w:type="default" r:id="rId29"/>
          <w:pgSz w:w="11906" w:h="16838" w:code="9"/>
          <w:pgMar w:top="1258" w:right="1133" w:bottom="1079" w:left="1134" w:header="709" w:footer="709" w:gutter="0"/>
          <w:cols w:space="708"/>
          <w:docGrid w:linePitch="360"/>
        </w:sectPr>
      </w:pPr>
    </w:p>
    <w:p w14:paraId="24EAF746" w14:textId="4CD84827" w:rsidR="00DA4833" w:rsidRPr="003C7E62" w:rsidRDefault="00DA4833" w:rsidP="00165C32">
      <w:pPr>
        <w:pStyle w:val="Heading1"/>
      </w:pPr>
      <w:bookmarkStart w:id="156" w:name="_Toc145511573"/>
      <w:bookmarkEnd w:id="137"/>
      <w:r w:rsidRPr="003C7E62">
        <w:t>Chapter 5</w:t>
      </w:r>
      <w:bookmarkEnd w:id="156"/>
    </w:p>
    <w:p w14:paraId="651CF412" w14:textId="77777777" w:rsidR="00DA4833" w:rsidRPr="003C7E62" w:rsidRDefault="00DA4833" w:rsidP="008008F0">
      <w:pPr>
        <w:keepNext w:val="0"/>
        <w:spacing w:before="0"/>
        <w:rPr>
          <w:rFonts w:cs="Arial"/>
          <w:b/>
          <w:color w:val="auto"/>
          <w:sz w:val="36"/>
          <w:szCs w:val="36"/>
        </w:rPr>
      </w:pPr>
    </w:p>
    <w:p w14:paraId="777FEE0F" w14:textId="3AA253A2" w:rsidR="00084ABA" w:rsidRPr="00FC2A72" w:rsidRDefault="005F1B0D" w:rsidP="00364726">
      <w:pPr>
        <w:pStyle w:val="Heading1"/>
      </w:pPr>
      <w:bookmarkStart w:id="157" w:name="_Toc145511574"/>
      <w:bookmarkStart w:id="158" w:name="_Hlk146197859"/>
      <w:r w:rsidRPr="005F1B0D">
        <w:t>Protecting and enhancing Ashfield’s character through its natural environment and heritage</w:t>
      </w:r>
      <w:bookmarkEnd w:id="157"/>
    </w:p>
    <w:bookmarkEnd w:id="158"/>
    <w:p w14:paraId="565DB611" w14:textId="641E90FA" w:rsidR="00DA4833" w:rsidRPr="00FC2A72" w:rsidRDefault="00DA4833" w:rsidP="008008F0">
      <w:pPr>
        <w:keepNext w:val="0"/>
        <w:autoSpaceDE w:val="0"/>
        <w:autoSpaceDN w:val="0"/>
        <w:adjustRightInd w:val="0"/>
        <w:spacing w:before="0"/>
        <w:rPr>
          <w:rFonts w:cs="Arial"/>
          <w:b/>
          <w:bCs/>
          <w:color w:val="auto"/>
          <w:szCs w:val="24"/>
        </w:rPr>
      </w:pPr>
    </w:p>
    <w:p w14:paraId="09633186" w14:textId="395C83C2" w:rsidR="008C6D89" w:rsidRPr="00995322" w:rsidRDefault="006977E7" w:rsidP="00995322">
      <w:pPr>
        <w:pStyle w:val="Heading2"/>
        <w:jc w:val="left"/>
        <w:rPr>
          <w:rFonts w:eastAsia="Arial"/>
          <w:sz w:val="28"/>
          <w:szCs w:val="28"/>
        </w:rPr>
      </w:pPr>
      <w:bookmarkStart w:id="159" w:name="_Toc145511575"/>
      <w:bookmarkStart w:id="160" w:name="_Hlk75501443"/>
      <w:r w:rsidRPr="00995322">
        <w:rPr>
          <w:sz w:val="28"/>
          <w:szCs w:val="28"/>
        </w:rPr>
        <w:t xml:space="preserve">Policy </w:t>
      </w:r>
      <w:r w:rsidR="008C6D89" w:rsidRPr="00995322">
        <w:rPr>
          <w:sz w:val="28"/>
          <w:szCs w:val="28"/>
        </w:rPr>
        <w:t xml:space="preserve">EV1: </w:t>
      </w:r>
      <w:r w:rsidR="008C6D89" w:rsidRPr="00995322">
        <w:rPr>
          <w:rFonts w:eastAsia="Arial"/>
          <w:sz w:val="28"/>
          <w:szCs w:val="28"/>
        </w:rPr>
        <w:t>Green Belt</w:t>
      </w:r>
      <w:bookmarkEnd w:id="159"/>
    </w:p>
    <w:p w14:paraId="5F88191B" w14:textId="77777777" w:rsidR="008526EA" w:rsidRPr="003C7E62" w:rsidRDefault="008526EA" w:rsidP="008008F0">
      <w:pPr>
        <w:keepNext w:val="0"/>
        <w:spacing w:before="0"/>
        <w:ind w:left="527"/>
        <w:rPr>
          <w:rFonts w:cs="Arial"/>
          <w:b/>
          <w:bCs/>
          <w:color w:val="auto"/>
          <w:szCs w:val="24"/>
          <w:lang w:eastAsia="en-US"/>
        </w:rPr>
      </w:pPr>
    </w:p>
    <w:p w14:paraId="543CB630" w14:textId="3394B357" w:rsidR="008C6D89" w:rsidRPr="007955CB" w:rsidRDefault="008C6D89" w:rsidP="008008F0">
      <w:pPr>
        <w:keepNext w:val="0"/>
        <w:numPr>
          <w:ilvl w:val="1"/>
          <w:numId w:val="5"/>
        </w:numPr>
        <w:tabs>
          <w:tab w:val="clear" w:pos="525"/>
        </w:tabs>
        <w:spacing w:before="0"/>
        <w:ind w:left="709" w:hanging="709"/>
        <w:rPr>
          <w:rFonts w:cs="Arial"/>
          <w:color w:val="auto"/>
          <w:szCs w:val="24"/>
          <w:lang w:eastAsia="en-US"/>
        </w:rPr>
      </w:pPr>
      <w:r w:rsidRPr="008C6D89">
        <w:rPr>
          <w:rFonts w:cs="Arial"/>
          <w:color w:val="auto"/>
          <w:lang w:eastAsia="en-US"/>
        </w:rPr>
        <w:t xml:space="preserve">This policy aims to protect the Green Belt from inappropriate development, except in very special circumstances.  The essential characteristic of Green Belts are their openness and their permanence.  The </w:t>
      </w:r>
      <w:r w:rsidR="00215F98">
        <w:rPr>
          <w:rFonts w:cs="Arial"/>
          <w:color w:val="auto"/>
          <w:lang w:eastAsia="en-US"/>
        </w:rPr>
        <w:t>P</w:t>
      </w:r>
      <w:r w:rsidRPr="008C6D89">
        <w:rPr>
          <w:rFonts w:cs="Arial"/>
          <w:color w:val="auto"/>
          <w:lang w:eastAsia="en-US"/>
        </w:rPr>
        <w:t xml:space="preserve">olicy is a restatement of national advice, included in the Local Plan for completeness. </w:t>
      </w:r>
    </w:p>
    <w:p w14:paraId="4E9B7BC5" w14:textId="3DE81500" w:rsidR="007955CB" w:rsidRDefault="007955CB" w:rsidP="007955CB">
      <w:pPr>
        <w:keepNext w:val="0"/>
        <w:spacing w:before="0"/>
        <w:ind w:left="709"/>
        <w:rPr>
          <w:rFonts w:cs="Arial"/>
          <w:color w:val="auto"/>
          <w:lang w:eastAsia="en-US"/>
        </w:rPr>
      </w:pPr>
    </w:p>
    <w:tbl>
      <w:tblPr>
        <w:tblStyle w:val="TableGrid6"/>
        <w:tblW w:w="0" w:type="auto"/>
        <w:tblLook w:val="04A0" w:firstRow="1" w:lastRow="0" w:firstColumn="1" w:lastColumn="0" w:noHBand="0" w:noVBand="1"/>
      </w:tblPr>
      <w:tblGrid>
        <w:gridCol w:w="2246"/>
        <w:gridCol w:w="296"/>
        <w:gridCol w:w="7077"/>
      </w:tblGrid>
      <w:tr w:rsidR="007955CB" w:rsidRPr="007955CB" w14:paraId="2D9CAB0E" w14:textId="77777777" w:rsidTr="00C01E11">
        <w:tc>
          <w:tcPr>
            <w:tcW w:w="9619" w:type="dxa"/>
            <w:gridSpan w:val="3"/>
            <w:tcBorders>
              <w:top w:val="single" w:sz="8" w:space="0" w:color="auto"/>
              <w:left w:val="single" w:sz="8" w:space="0" w:color="auto"/>
              <w:bottom w:val="single" w:sz="8" w:space="0" w:color="auto"/>
              <w:right w:val="single" w:sz="8" w:space="0" w:color="auto"/>
            </w:tcBorders>
          </w:tcPr>
          <w:p w14:paraId="745DBE0F" w14:textId="77777777" w:rsidR="00FC2A72" w:rsidRDefault="00FC2A72" w:rsidP="007955CB">
            <w:pPr>
              <w:keepNext w:val="0"/>
              <w:spacing w:before="0"/>
              <w:contextualSpacing/>
              <w:jc w:val="left"/>
              <w:rPr>
                <w:b/>
                <w:bCs/>
                <w:color w:val="auto"/>
              </w:rPr>
            </w:pPr>
          </w:p>
          <w:p w14:paraId="4DCA0228" w14:textId="59C1A181" w:rsidR="007955CB" w:rsidRDefault="007955CB" w:rsidP="007955CB">
            <w:pPr>
              <w:keepNext w:val="0"/>
              <w:spacing w:before="0"/>
              <w:contextualSpacing/>
              <w:jc w:val="left"/>
              <w:rPr>
                <w:b/>
                <w:bCs/>
                <w:color w:val="auto"/>
              </w:rPr>
            </w:pPr>
            <w:r w:rsidRPr="00FC2A72">
              <w:rPr>
                <w:b/>
                <w:bCs/>
                <w:color w:val="auto"/>
              </w:rPr>
              <w:t>Policy EV1:  Green Belt</w:t>
            </w:r>
          </w:p>
          <w:p w14:paraId="10DDF214" w14:textId="44FA34D7" w:rsidR="00FC2A72" w:rsidRPr="00FC2A72" w:rsidRDefault="00FC2A72" w:rsidP="007955CB">
            <w:pPr>
              <w:keepNext w:val="0"/>
              <w:spacing w:before="0"/>
              <w:contextualSpacing/>
              <w:jc w:val="left"/>
              <w:rPr>
                <w:b/>
                <w:bCs/>
                <w:color w:val="auto"/>
              </w:rPr>
            </w:pPr>
          </w:p>
        </w:tc>
      </w:tr>
      <w:tr w:rsidR="007955CB" w:rsidRPr="007955CB" w14:paraId="233A920B" w14:textId="77777777" w:rsidTr="00E60404">
        <w:tc>
          <w:tcPr>
            <w:tcW w:w="2542" w:type="dxa"/>
            <w:gridSpan w:val="2"/>
            <w:tcBorders>
              <w:top w:val="single" w:sz="8" w:space="0" w:color="auto"/>
              <w:left w:val="single" w:sz="8" w:space="0" w:color="auto"/>
              <w:bottom w:val="single" w:sz="8" w:space="0" w:color="auto"/>
              <w:right w:val="single" w:sz="8" w:space="0" w:color="auto"/>
            </w:tcBorders>
          </w:tcPr>
          <w:p w14:paraId="6E5AFDFE" w14:textId="77777777" w:rsidR="007955CB" w:rsidRPr="007955CB" w:rsidRDefault="007955CB" w:rsidP="007955CB">
            <w:pPr>
              <w:keepNext w:val="0"/>
              <w:spacing w:before="0"/>
              <w:contextualSpacing/>
              <w:jc w:val="left"/>
              <w:rPr>
                <w:color w:val="auto"/>
              </w:rPr>
            </w:pPr>
            <w:r w:rsidRPr="007955CB">
              <w:rPr>
                <w:color w:val="auto"/>
              </w:rPr>
              <w:t>Strategic Objectives</w:t>
            </w:r>
          </w:p>
        </w:tc>
        <w:tc>
          <w:tcPr>
            <w:tcW w:w="7077" w:type="dxa"/>
            <w:tcBorders>
              <w:top w:val="single" w:sz="8" w:space="0" w:color="auto"/>
              <w:left w:val="single" w:sz="8" w:space="0" w:color="auto"/>
              <w:bottom w:val="single" w:sz="8" w:space="0" w:color="auto"/>
              <w:right w:val="single" w:sz="8" w:space="0" w:color="auto"/>
            </w:tcBorders>
          </w:tcPr>
          <w:p w14:paraId="3D606068" w14:textId="77777777" w:rsidR="007955CB" w:rsidRDefault="007955CB" w:rsidP="007955CB">
            <w:pPr>
              <w:keepNext w:val="0"/>
              <w:spacing w:before="0"/>
              <w:contextualSpacing/>
              <w:jc w:val="left"/>
              <w:rPr>
                <w:color w:val="auto"/>
              </w:rPr>
            </w:pPr>
            <w:r w:rsidRPr="007955CB">
              <w:rPr>
                <w:color w:val="auto"/>
              </w:rPr>
              <w:t>SO1, SO2, SO3, SO5, SO6, SO12, SO13, SO14.</w:t>
            </w:r>
          </w:p>
          <w:p w14:paraId="33CEE52C" w14:textId="77777777" w:rsidR="001012CC" w:rsidRPr="007955CB" w:rsidRDefault="001012CC" w:rsidP="007955CB">
            <w:pPr>
              <w:keepNext w:val="0"/>
              <w:spacing w:before="0"/>
              <w:contextualSpacing/>
              <w:jc w:val="left"/>
              <w:rPr>
                <w:color w:val="auto"/>
              </w:rPr>
            </w:pPr>
          </w:p>
        </w:tc>
      </w:tr>
      <w:tr w:rsidR="007955CB" w:rsidRPr="007955CB" w14:paraId="64585EBA" w14:textId="77777777" w:rsidTr="00C01E11">
        <w:tc>
          <w:tcPr>
            <w:tcW w:w="9619" w:type="dxa"/>
            <w:gridSpan w:val="3"/>
            <w:tcBorders>
              <w:top w:val="single" w:sz="8" w:space="0" w:color="auto"/>
              <w:left w:val="single" w:sz="8" w:space="0" w:color="auto"/>
              <w:bottom w:val="single" w:sz="8" w:space="0" w:color="auto"/>
              <w:right w:val="single" w:sz="8" w:space="0" w:color="auto"/>
            </w:tcBorders>
            <w:shd w:val="clear" w:color="auto" w:fill="E2EFD9"/>
          </w:tcPr>
          <w:p w14:paraId="1901674C" w14:textId="77777777" w:rsidR="007955CB" w:rsidRPr="007955CB" w:rsidRDefault="007955CB" w:rsidP="007955CB">
            <w:pPr>
              <w:keepNext w:val="0"/>
              <w:spacing w:before="0"/>
              <w:contextualSpacing/>
              <w:jc w:val="left"/>
              <w:rPr>
                <w:color w:val="auto"/>
              </w:rPr>
            </w:pPr>
          </w:p>
          <w:p w14:paraId="65E48408" w14:textId="77777777" w:rsidR="007955CB" w:rsidRPr="007955CB" w:rsidRDefault="007955CB" w:rsidP="00874A98">
            <w:pPr>
              <w:keepNext w:val="0"/>
              <w:numPr>
                <w:ilvl w:val="0"/>
                <w:numId w:val="223"/>
              </w:numPr>
              <w:spacing w:before="0"/>
              <w:contextualSpacing/>
              <w:jc w:val="left"/>
              <w:rPr>
                <w:color w:val="auto"/>
              </w:rPr>
            </w:pPr>
            <w:r w:rsidRPr="007955CB">
              <w:rPr>
                <w:color w:val="auto"/>
              </w:rPr>
              <w:t>In the Green Belt, as defined on the Policies Map, permission for any inappropriate development which is, by definition, harmful to the Green Belt, should not be approved except in very special circumstances. Very special circumstances will not exist unless the potential harm to the Green Belt by reason of inappropriateness, and any other harm resulting from the proposal, is clearly outweighed by other considerations.</w:t>
            </w:r>
          </w:p>
          <w:p w14:paraId="0AAA144E" w14:textId="77777777" w:rsidR="007955CB" w:rsidRPr="007955CB" w:rsidRDefault="007955CB" w:rsidP="007955CB">
            <w:pPr>
              <w:keepNext w:val="0"/>
              <w:spacing w:before="0"/>
              <w:ind w:left="360"/>
              <w:contextualSpacing/>
              <w:jc w:val="left"/>
              <w:rPr>
                <w:color w:val="auto"/>
              </w:rPr>
            </w:pPr>
          </w:p>
          <w:p w14:paraId="39D9AF4E" w14:textId="77777777" w:rsidR="007955CB" w:rsidRPr="007955CB" w:rsidRDefault="007955CB" w:rsidP="00874A98">
            <w:pPr>
              <w:keepNext w:val="0"/>
              <w:numPr>
                <w:ilvl w:val="0"/>
                <w:numId w:val="223"/>
              </w:numPr>
              <w:spacing w:before="0"/>
              <w:contextualSpacing/>
              <w:jc w:val="left"/>
              <w:rPr>
                <w:color w:val="auto"/>
              </w:rPr>
            </w:pPr>
            <w:r w:rsidRPr="007955CB">
              <w:rPr>
                <w:color w:val="auto"/>
              </w:rPr>
              <w:t xml:space="preserve">The Council will regard the construction of new buildings as inappropriate in the Green Belt, other than: </w:t>
            </w:r>
          </w:p>
          <w:p w14:paraId="6F271B4D" w14:textId="77777777" w:rsidR="007955CB" w:rsidRPr="007955CB" w:rsidRDefault="007955CB" w:rsidP="007955CB">
            <w:pPr>
              <w:keepNext w:val="0"/>
              <w:spacing w:before="0"/>
              <w:rPr>
                <w:color w:val="auto"/>
              </w:rPr>
            </w:pPr>
          </w:p>
          <w:p w14:paraId="4A4F3C41" w14:textId="77777777" w:rsidR="007955CB" w:rsidRPr="00DF2EBC" w:rsidRDefault="007955CB" w:rsidP="007955CB">
            <w:pPr>
              <w:keepNext w:val="0"/>
              <w:spacing w:before="0"/>
              <w:ind w:left="360"/>
              <w:rPr>
                <w:b/>
                <w:bCs/>
                <w:color w:val="auto"/>
              </w:rPr>
            </w:pPr>
            <w:r w:rsidRPr="00DF2EBC">
              <w:rPr>
                <w:b/>
                <w:bCs/>
                <w:color w:val="auto"/>
              </w:rPr>
              <w:t xml:space="preserve">New Buildings &amp; Facilities </w:t>
            </w:r>
          </w:p>
          <w:p w14:paraId="5CC75703" w14:textId="77777777" w:rsidR="007955CB" w:rsidRDefault="007955CB" w:rsidP="00874A98">
            <w:pPr>
              <w:keepNext w:val="0"/>
              <w:numPr>
                <w:ilvl w:val="0"/>
                <w:numId w:val="224"/>
              </w:numPr>
              <w:spacing w:before="0"/>
              <w:contextualSpacing/>
              <w:rPr>
                <w:color w:val="auto"/>
              </w:rPr>
            </w:pPr>
            <w:r w:rsidRPr="007955CB">
              <w:rPr>
                <w:color w:val="auto"/>
              </w:rPr>
              <w:t xml:space="preserve">The construction of new buildings for agriculture and forestry. </w:t>
            </w:r>
          </w:p>
          <w:p w14:paraId="3E412D46" w14:textId="77777777" w:rsidR="00E60404" w:rsidRPr="007955CB" w:rsidRDefault="00E60404" w:rsidP="00E60404">
            <w:pPr>
              <w:keepNext w:val="0"/>
              <w:spacing w:before="0"/>
              <w:ind w:left="720"/>
              <w:contextualSpacing/>
              <w:rPr>
                <w:color w:val="auto"/>
              </w:rPr>
            </w:pPr>
          </w:p>
          <w:p w14:paraId="66620047" w14:textId="77777777" w:rsidR="007955CB" w:rsidRPr="007955CB" w:rsidRDefault="007955CB" w:rsidP="00874A98">
            <w:pPr>
              <w:keepNext w:val="0"/>
              <w:numPr>
                <w:ilvl w:val="0"/>
                <w:numId w:val="224"/>
              </w:numPr>
              <w:spacing w:before="0"/>
              <w:contextualSpacing/>
              <w:rPr>
                <w:color w:val="auto"/>
              </w:rPr>
            </w:pPr>
            <w:r w:rsidRPr="007955CB">
              <w:rPr>
                <w:color w:val="auto"/>
              </w:rPr>
              <w:t>The provision of appropriate facilities (in connection with the existing use of land or a change of use) for outdoor sport, outdoor recreation, cemeteries and burial grounds and allotments, as long as the facilities preserves the openness of the Green Belt and does not conflict with the purposes of including land within it.</w:t>
            </w:r>
          </w:p>
          <w:p w14:paraId="58B19D1A" w14:textId="77777777" w:rsidR="007955CB" w:rsidRPr="007955CB" w:rsidRDefault="007955CB" w:rsidP="007955CB">
            <w:pPr>
              <w:keepNext w:val="0"/>
              <w:spacing w:before="0"/>
              <w:ind w:left="360"/>
              <w:rPr>
                <w:color w:val="auto"/>
              </w:rPr>
            </w:pPr>
          </w:p>
          <w:p w14:paraId="30E4CB35" w14:textId="77777777" w:rsidR="007955CB" w:rsidRPr="00DF2EBC" w:rsidRDefault="007955CB" w:rsidP="007955CB">
            <w:pPr>
              <w:keepNext w:val="0"/>
              <w:spacing w:before="0"/>
              <w:ind w:left="360"/>
              <w:rPr>
                <w:b/>
                <w:bCs/>
                <w:color w:val="auto"/>
              </w:rPr>
            </w:pPr>
            <w:r w:rsidRPr="00DF2EBC">
              <w:rPr>
                <w:b/>
                <w:bCs/>
                <w:color w:val="auto"/>
              </w:rPr>
              <w:t xml:space="preserve">Extension or Alteration </w:t>
            </w:r>
          </w:p>
          <w:p w14:paraId="54548526" w14:textId="77777777" w:rsidR="007955CB" w:rsidRPr="007955CB" w:rsidRDefault="007955CB" w:rsidP="00874A98">
            <w:pPr>
              <w:keepNext w:val="0"/>
              <w:numPr>
                <w:ilvl w:val="0"/>
                <w:numId w:val="224"/>
              </w:numPr>
              <w:spacing w:before="0"/>
              <w:contextualSpacing/>
              <w:rPr>
                <w:color w:val="auto"/>
              </w:rPr>
            </w:pPr>
            <w:r w:rsidRPr="007955CB">
              <w:rPr>
                <w:color w:val="auto"/>
              </w:rPr>
              <w:t>The extension or alteration of a building within the Green Belt, where the proposal does not result in disproportionate additions over and above the size of the original building.</w:t>
            </w:r>
          </w:p>
          <w:p w14:paraId="4984D4ED" w14:textId="77777777" w:rsidR="007955CB" w:rsidRPr="007955CB" w:rsidRDefault="007955CB" w:rsidP="007955CB">
            <w:pPr>
              <w:keepNext w:val="0"/>
              <w:spacing w:before="0"/>
              <w:ind w:left="720"/>
              <w:contextualSpacing/>
              <w:rPr>
                <w:color w:val="auto"/>
              </w:rPr>
            </w:pPr>
          </w:p>
          <w:p w14:paraId="07E964F0" w14:textId="340DB64D" w:rsidR="007955CB" w:rsidRPr="00DF2EBC" w:rsidRDefault="007955CB" w:rsidP="005334C0">
            <w:pPr>
              <w:keepNext w:val="0"/>
              <w:spacing w:before="0"/>
              <w:ind w:firstLine="313"/>
              <w:contextualSpacing/>
              <w:rPr>
                <w:b/>
                <w:bCs/>
                <w:color w:val="auto"/>
              </w:rPr>
            </w:pPr>
            <w:r w:rsidRPr="00DF2EBC">
              <w:rPr>
                <w:b/>
                <w:bCs/>
                <w:color w:val="auto"/>
              </w:rPr>
              <w:t>Replacement of an Existing Building</w:t>
            </w:r>
          </w:p>
          <w:p w14:paraId="1FD200B0" w14:textId="77777777" w:rsidR="007955CB" w:rsidRPr="007955CB" w:rsidRDefault="007955CB" w:rsidP="00874A98">
            <w:pPr>
              <w:keepNext w:val="0"/>
              <w:numPr>
                <w:ilvl w:val="0"/>
                <w:numId w:val="224"/>
              </w:numPr>
              <w:spacing w:before="0"/>
              <w:contextualSpacing/>
              <w:rPr>
                <w:color w:val="auto"/>
              </w:rPr>
            </w:pPr>
            <w:r w:rsidRPr="007955CB">
              <w:rPr>
                <w:color w:val="auto"/>
              </w:rPr>
              <w:t>The replacement of a building within the Green Belt, where the proposed new building is in the same use and is not materially larger than the building it is replacing.</w:t>
            </w:r>
          </w:p>
          <w:p w14:paraId="56712DF0" w14:textId="77777777" w:rsidR="007955CB" w:rsidRPr="007955CB" w:rsidRDefault="007955CB" w:rsidP="007955CB">
            <w:pPr>
              <w:keepNext w:val="0"/>
              <w:spacing w:before="0"/>
              <w:ind w:left="720"/>
              <w:contextualSpacing/>
              <w:rPr>
                <w:color w:val="auto"/>
              </w:rPr>
            </w:pPr>
          </w:p>
          <w:p w14:paraId="4EFC2D66" w14:textId="66EF5169" w:rsidR="007955CB" w:rsidRPr="00DF2EBC" w:rsidRDefault="007955CB" w:rsidP="005334C0">
            <w:pPr>
              <w:keepNext w:val="0"/>
              <w:spacing w:before="0"/>
              <w:ind w:firstLine="313"/>
              <w:contextualSpacing/>
              <w:rPr>
                <w:b/>
                <w:bCs/>
                <w:color w:val="auto"/>
              </w:rPr>
            </w:pPr>
            <w:r w:rsidRPr="00DF2EBC">
              <w:rPr>
                <w:b/>
                <w:bCs/>
                <w:color w:val="auto"/>
              </w:rPr>
              <w:t>Infill in Villages</w:t>
            </w:r>
          </w:p>
          <w:p w14:paraId="3B667A65" w14:textId="77777777" w:rsidR="007955CB" w:rsidRPr="007955CB" w:rsidRDefault="007955CB" w:rsidP="00874A98">
            <w:pPr>
              <w:keepNext w:val="0"/>
              <w:numPr>
                <w:ilvl w:val="0"/>
                <w:numId w:val="224"/>
              </w:numPr>
              <w:spacing w:before="0"/>
              <w:contextualSpacing/>
              <w:rPr>
                <w:color w:val="auto"/>
              </w:rPr>
            </w:pPr>
            <w:r w:rsidRPr="007955CB">
              <w:rPr>
                <w:color w:val="auto"/>
              </w:rPr>
              <w:t>Limited infilling in villages, and limited affordable housing for community needs under policies set out in the Local Plan.</w:t>
            </w:r>
          </w:p>
          <w:p w14:paraId="65725473" w14:textId="77777777" w:rsidR="007955CB" w:rsidRPr="007955CB" w:rsidRDefault="007955CB" w:rsidP="007955CB">
            <w:pPr>
              <w:keepNext w:val="0"/>
              <w:spacing w:before="0"/>
              <w:ind w:left="720"/>
              <w:contextualSpacing/>
              <w:rPr>
                <w:color w:val="auto"/>
              </w:rPr>
            </w:pPr>
          </w:p>
          <w:p w14:paraId="6E1E9EDC" w14:textId="25A2D3C0" w:rsidR="007955CB" w:rsidRPr="00DF2EBC" w:rsidRDefault="007955CB" w:rsidP="005334C0">
            <w:pPr>
              <w:keepNext w:val="0"/>
              <w:spacing w:before="0"/>
              <w:ind w:firstLine="313"/>
              <w:contextualSpacing/>
              <w:rPr>
                <w:b/>
                <w:bCs/>
                <w:color w:val="auto"/>
              </w:rPr>
            </w:pPr>
            <w:r w:rsidRPr="00DF2EBC">
              <w:rPr>
                <w:b/>
                <w:bCs/>
                <w:color w:val="auto"/>
              </w:rPr>
              <w:t xml:space="preserve">Infill, partial or complete redevelopment </w:t>
            </w:r>
          </w:p>
          <w:p w14:paraId="3D67C447" w14:textId="77777777" w:rsidR="007955CB" w:rsidRPr="007955CB" w:rsidRDefault="007955CB" w:rsidP="00874A98">
            <w:pPr>
              <w:keepNext w:val="0"/>
              <w:numPr>
                <w:ilvl w:val="0"/>
                <w:numId w:val="224"/>
              </w:numPr>
              <w:spacing w:before="0"/>
              <w:contextualSpacing/>
              <w:rPr>
                <w:color w:val="auto"/>
              </w:rPr>
            </w:pPr>
            <w:r w:rsidRPr="007955CB">
              <w:rPr>
                <w:color w:val="auto"/>
              </w:rPr>
              <w:t>The limited infilling or the partial or complete redevelopment of previously developed (brownfield) sites whether redundant or in continuing use (excluding temporary buildings), where the proposal would:</w:t>
            </w:r>
          </w:p>
          <w:p w14:paraId="50E199E1" w14:textId="77777777" w:rsidR="007955CB" w:rsidRPr="007955CB" w:rsidRDefault="007955CB" w:rsidP="007955CB">
            <w:pPr>
              <w:keepNext w:val="0"/>
              <w:spacing w:before="0"/>
              <w:ind w:left="720"/>
              <w:contextualSpacing/>
              <w:rPr>
                <w:color w:val="auto"/>
              </w:rPr>
            </w:pPr>
          </w:p>
          <w:p w14:paraId="79D92E84" w14:textId="77777777" w:rsidR="007955CB" w:rsidRPr="007955CB" w:rsidRDefault="007955CB" w:rsidP="00874A98">
            <w:pPr>
              <w:keepNext w:val="0"/>
              <w:numPr>
                <w:ilvl w:val="0"/>
                <w:numId w:val="225"/>
              </w:numPr>
              <w:spacing w:before="0"/>
              <w:contextualSpacing/>
              <w:rPr>
                <w:color w:val="auto"/>
              </w:rPr>
            </w:pPr>
            <w:r w:rsidRPr="007955CB">
              <w:rPr>
                <w:color w:val="auto"/>
              </w:rPr>
              <w:t>not have a greater impact on the openness of the Green Belt than the existing development; or</w:t>
            </w:r>
          </w:p>
          <w:p w14:paraId="1BDA7FBB" w14:textId="77777777" w:rsidR="007955CB" w:rsidRPr="007955CB" w:rsidRDefault="007955CB" w:rsidP="00874A98">
            <w:pPr>
              <w:keepNext w:val="0"/>
              <w:numPr>
                <w:ilvl w:val="0"/>
                <w:numId w:val="225"/>
              </w:numPr>
              <w:spacing w:before="0"/>
              <w:contextualSpacing/>
              <w:rPr>
                <w:color w:val="auto"/>
              </w:rPr>
            </w:pPr>
            <w:r w:rsidRPr="007955CB">
              <w:rPr>
                <w:color w:val="auto"/>
              </w:rPr>
              <w:t>not cause substantial harm to the openness of the Green Belt, where the development would re-use previously developed land and contribute to meeting an identified affordable need within the area.</w:t>
            </w:r>
          </w:p>
          <w:p w14:paraId="2862F37D" w14:textId="77777777" w:rsidR="007955CB" w:rsidRPr="007955CB" w:rsidRDefault="007955CB" w:rsidP="007955CB">
            <w:pPr>
              <w:keepNext w:val="0"/>
              <w:spacing w:before="0"/>
              <w:ind w:left="1080"/>
              <w:contextualSpacing/>
              <w:rPr>
                <w:color w:val="auto"/>
              </w:rPr>
            </w:pPr>
          </w:p>
          <w:p w14:paraId="7723D1FB" w14:textId="77777777" w:rsidR="007955CB" w:rsidRPr="007955CB" w:rsidRDefault="007955CB" w:rsidP="00874A98">
            <w:pPr>
              <w:keepNext w:val="0"/>
              <w:numPr>
                <w:ilvl w:val="0"/>
                <w:numId w:val="223"/>
              </w:numPr>
              <w:spacing w:before="0"/>
              <w:contextualSpacing/>
              <w:jc w:val="left"/>
              <w:rPr>
                <w:color w:val="auto"/>
              </w:rPr>
            </w:pPr>
            <w:r w:rsidRPr="007955CB">
              <w:rPr>
                <w:color w:val="auto"/>
              </w:rPr>
              <w:t>Certain other forms of development are also not inappropriate in Green Belt provided they preserve the openness of the Green Belt and do not conflict with the purpose of including land in Green Belt. These are:</w:t>
            </w:r>
          </w:p>
          <w:p w14:paraId="343B86A4" w14:textId="77777777" w:rsidR="007955CB" w:rsidRPr="007955CB" w:rsidRDefault="007955CB" w:rsidP="00874A98">
            <w:pPr>
              <w:keepNext w:val="0"/>
              <w:numPr>
                <w:ilvl w:val="0"/>
                <w:numId w:val="226"/>
              </w:numPr>
              <w:spacing w:before="0"/>
              <w:ind w:left="1156" w:hanging="425"/>
              <w:contextualSpacing/>
              <w:jc w:val="left"/>
              <w:rPr>
                <w:color w:val="auto"/>
              </w:rPr>
            </w:pPr>
            <w:r w:rsidRPr="007955CB">
              <w:rPr>
                <w:color w:val="auto"/>
              </w:rPr>
              <w:t>mineral extraction;</w:t>
            </w:r>
          </w:p>
          <w:p w14:paraId="6AA9102D" w14:textId="77777777" w:rsidR="007955CB" w:rsidRPr="007955CB" w:rsidRDefault="007955CB" w:rsidP="00874A98">
            <w:pPr>
              <w:keepNext w:val="0"/>
              <w:numPr>
                <w:ilvl w:val="0"/>
                <w:numId w:val="226"/>
              </w:numPr>
              <w:spacing w:before="0"/>
              <w:ind w:left="1156" w:hanging="425"/>
              <w:contextualSpacing/>
              <w:jc w:val="left"/>
              <w:rPr>
                <w:color w:val="auto"/>
              </w:rPr>
            </w:pPr>
            <w:r w:rsidRPr="007955CB">
              <w:rPr>
                <w:color w:val="auto"/>
              </w:rPr>
              <w:t>engineering operations;</w:t>
            </w:r>
          </w:p>
          <w:p w14:paraId="72DE7CF0" w14:textId="77777777" w:rsidR="007955CB" w:rsidRPr="007955CB" w:rsidRDefault="007955CB" w:rsidP="00874A98">
            <w:pPr>
              <w:keepNext w:val="0"/>
              <w:numPr>
                <w:ilvl w:val="0"/>
                <w:numId w:val="226"/>
              </w:numPr>
              <w:spacing w:before="0"/>
              <w:ind w:left="1156" w:hanging="425"/>
              <w:contextualSpacing/>
              <w:jc w:val="left"/>
              <w:rPr>
                <w:color w:val="auto"/>
              </w:rPr>
            </w:pPr>
            <w:r w:rsidRPr="007955CB">
              <w:rPr>
                <w:color w:val="auto"/>
              </w:rPr>
              <w:t>local transport infrastructure which can demonstrate a requirement for a Green Belt location;</w:t>
            </w:r>
          </w:p>
          <w:p w14:paraId="5C6C0749" w14:textId="77777777" w:rsidR="007955CB" w:rsidRPr="007955CB" w:rsidRDefault="007955CB" w:rsidP="00874A98">
            <w:pPr>
              <w:keepNext w:val="0"/>
              <w:numPr>
                <w:ilvl w:val="0"/>
                <w:numId w:val="226"/>
              </w:numPr>
              <w:spacing w:before="0"/>
              <w:ind w:left="1156" w:hanging="425"/>
              <w:contextualSpacing/>
              <w:jc w:val="left"/>
              <w:rPr>
                <w:color w:val="auto"/>
              </w:rPr>
            </w:pPr>
            <w:r w:rsidRPr="007955CB">
              <w:rPr>
                <w:color w:val="auto"/>
              </w:rPr>
              <w:t>the re-use of buildings provided that the buildings are of permanent and substantial construction; and</w:t>
            </w:r>
          </w:p>
          <w:p w14:paraId="37605E5A" w14:textId="77777777" w:rsidR="007955CB" w:rsidRPr="007955CB" w:rsidRDefault="007955CB" w:rsidP="00874A98">
            <w:pPr>
              <w:keepNext w:val="0"/>
              <w:numPr>
                <w:ilvl w:val="0"/>
                <w:numId w:val="226"/>
              </w:numPr>
              <w:spacing w:before="0"/>
              <w:ind w:left="1156" w:hanging="425"/>
              <w:contextualSpacing/>
              <w:jc w:val="left"/>
              <w:rPr>
                <w:color w:val="auto"/>
              </w:rPr>
            </w:pPr>
            <w:r w:rsidRPr="007955CB">
              <w:rPr>
                <w:color w:val="auto"/>
              </w:rPr>
              <w:t xml:space="preserve">material changes in the use of land (such as changes of use for outdoor sport or recreation, or for cemeteries and burial grounds); and </w:t>
            </w:r>
          </w:p>
          <w:p w14:paraId="07106C94" w14:textId="77777777" w:rsidR="007955CB" w:rsidRPr="007955CB" w:rsidRDefault="007955CB" w:rsidP="00874A98">
            <w:pPr>
              <w:keepNext w:val="0"/>
              <w:numPr>
                <w:ilvl w:val="0"/>
                <w:numId w:val="226"/>
              </w:numPr>
              <w:spacing w:before="0"/>
              <w:ind w:left="1156" w:hanging="425"/>
              <w:contextualSpacing/>
              <w:jc w:val="left"/>
              <w:rPr>
                <w:color w:val="auto"/>
              </w:rPr>
            </w:pPr>
            <w:r w:rsidRPr="007955CB">
              <w:rPr>
                <w:color w:val="auto"/>
              </w:rPr>
              <w:t>development brought forward under a Community Right to Build Order or Neighbourhood Development Order.</w:t>
            </w:r>
          </w:p>
          <w:p w14:paraId="1C2220FE" w14:textId="77777777" w:rsidR="007955CB" w:rsidRPr="007955CB" w:rsidRDefault="007955CB" w:rsidP="007955CB">
            <w:pPr>
              <w:keepNext w:val="0"/>
              <w:spacing w:before="0"/>
              <w:contextualSpacing/>
              <w:jc w:val="left"/>
              <w:rPr>
                <w:color w:val="auto"/>
              </w:rPr>
            </w:pPr>
          </w:p>
        </w:tc>
      </w:tr>
      <w:tr w:rsidR="007955CB" w:rsidRPr="007955CB" w14:paraId="56DE5A4F" w14:textId="77777777" w:rsidTr="00C01E11">
        <w:tc>
          <w:tcPr>
            <w:tcW w:w="2246" w:type="dxa"/>
            <w:tcBorders>
              <w:top w:val="single" w:sz="8" w:space="0" w:color="auto"/>
              <w:left w:val="single" w:sz="8" w:space="0" w:color="auto"/>
              <w:bottom w:val="single" w:sz="8" w:space="0" w:color="auto"/>
              <w:right w:val="single" w:sz="8" w:space="0" w:color="auto"/>
            </w:tcBorders>
            <w:shd w:val="clear" w:color="auto" w:fill="auto"/>
          </w:tcPr>
          <w:p w14:paraId="2D36F717" w14:textId="710CEF82" w:rsidR="007955CB" w:rsidRPr="007955CB" w:rsidRDefault="00B73BD4" w:rsidP="000032A9">
            <w:pPr>
              <w:keepNext w:val="0"/>
              <w:spacing w:before="0"/>
              <w:contextualSpacing/>
              <w:rPr>
                <w:color w:val="auto"/>
              </w:rPr>
            </w:pPr>
            <w:r>
              <w:rPr>
                <w:bCs/>
                <w:color w:val="auto"/>
                <w:sz w:val="20"/>
              </w:rPr>
              <w:t>Evidence base</w:t>
            </w:r>
          </w:p>
        </w:tc>
        <w:tc>
          <w:tcPr>
            <w:tcW w:w="7373" w:type="dxa"/>
            <w:gridSpan w:val="2"/>
            <w:tcBorders>
              <w:top w:val="single" w:sz="8" w:space="0" w:color="auto"/>
              <w:left w:val="single" w:sz="8" w:space="0" w:color="auto"/>
              <w:bottom w:val="single" w:sz="8" w:space="0" w:color="auto"/>
              <w:right w:val="single" w:sz="8" w:space="0" w:color="auto"/>
            </w:tcBorders>
            <w:shd w:val="clear" w:color="auto" w:fill="auto"/>
          </w:tcPr>
          <w:p w14:paraId="65D27BA5" w14:textId="3FFCA6D9" w:rsidR="007955CB" w:rsidRPr="0036716A" w:rsidRDefault="007955CB" w:rsidP="00FF3EAD">
            <w:pPr>
              <w:keepNext w:val="0"/>
              <w:numPr>
                <w:ilvl w:val="0"/>
                <w:numId w:val="13"/>
              </w:numPr>
              <w:tabs>
                <w:tab w:val="left" w:pos="680"/>
                <w:tab w:val="left" w:pos="1133"/>
                <w:tab w:val="left" w:pos="2267"/>
              </w:tabs>
              <w:spacing w:before="0"/>
              <w:ind w:right="284"/>
              <w:contextualSpacing/>
              <w:jc w:val="left"/>
              <w:rPr>
                <w:bCs/>
                <w:sz w:val="20"/>
                <w:szCs w:val="20"/>
              </w:rPr>
            </w:pPr>
            <w:r w:rsidRPr="0036716A">
              <w:rPr>
                <w:bCs/>
                <w:sz w:val="20"/>
                <w:szCs w:val="20"/>
              </w:rPr>
              <w:t>Sustainability Appraisal 202</w:t>
            </w:r>
            <w:r w:rsidR="00B80DEC" w:rsidRPr="0036716A">
              <w:rPr>
                <w:bCs/>
                <w:sz w:val="20"/>
                <w:szCs w:val="20"/>
              </w:rPr>
              <w:t>3.</w:t>
            </w:r>
            <w:r w:rsidRPr="0036716A">
              <w:rPr>
                <w:bCs/>
                <w:sz w:val="20"/>
                <w:szCs w:val="20"/>
              </w:rPr>
              <w:t xml:space="preserve"> </w:t>
            </w:r>
            <w:r w:rsidR="00B80DEC" w:rsidRPr="0036716A">
              <w:rPr>
                <w:bCs/>
                <w:sz w:val="20"/>
                <w:szCs w:val="20"/>
              </w:rPr>
              <w:t>WSP UK Limited.</w:t>
            </w:r>
          </w:p>
        </w:tc>
      </w:tr>
      <w:tr w:rsidR="007955CB" w:rsidRPr="007955CB" w14:paraId="7B88B8C8" w14:textId="77777777" w:rsidTr="00C01E11">
        <w:tc>
          <w:tcPr>
            <w:tcW w:w="2246" w:type="dxa"/>
            <w:tcBorders>
              <w:top w:val="single" w:sz="8" w:space="0" w:color="auto"/>
              <w:left w:val="single" w:sz="8" w:space="0" w:color="auto"/>
              <w:bottom w:val="single" w:sz="8" w:space="0" w:color="auto"/>
              <w:right w:val="single" w:sz="8" w:space="0" w:color="auto"/>
            </w:tcBorders>
            <w:shd w:val="clear" w:color="auto" w:fill="auto"/>
          </w:tcPr>
          <w:p w14:paraId="2B3B5BB9" w14:textId="77777777" w:rsidR="007955CB" w:rsidRPr="007955CB" w:rsidRDefault="007955CB" w:rsidP="00E60404">
            <w:pPr>
              <w:keepNext w:val="0"/>
              <w:spacing w:before="0"/>
              <w:contextualSpacing/>
              <w:jc w:val="left"/>
              <w:rPr>
                <w:color w:val="auto"/>
              </w:rPr>
            </w:pPr>
            <w:r w:rsidRPr="007955CB">
              <w:rPr>
                <w:bCs/>
                <w:color w:val="auto"/>
                <w:sz w:val="20"/>
              </w:rPr>
              <w:t>National Planning Policy and Guidance</w:t>
            </w:r>
          </w:p>
        </w:tc>
        <w:tc>
          <w:tcPr>
            <w:tcW w:w="7373" w:type="dxa"/>
            <w:gridSpan w:val="2"/>
            <w:tcBorders>
              <w:top w:val="single" w:sz="8" w:space="0" w:color="auto"/>
              <w:left w:val="single" w:sz="8" w:space="0" w:color="auto"/>
              <w:bottom w:val="single" w:sz="8" w:space="0" w:color="auto"/>
              <w:right w:val="single" w:sz="8" w:space="0" w:color="auto"/>
            </w:tcBorders>
            <w:shd w:val="clear" w:color="auto" w:fill="auto"/>
          </w:tcPr>
          <w:p w14:paraId="1F3A8593" w14:textId="1B1FDC1D" w:rsidR="007955CB" w:rsidRPr="0036716A" w:rsidRDefault="007955CB" w:rsidP="00874A98">
            <w:pPr>
              <w:keepNext w:val="0"/>
              <w:numPr>
                <w:ilvl w:val="0"/>
                <w:numId w:val="60"/>
              </w:numPr>
              <w:spacing w:before="0"/>
              <w:contextualSpacing/>
              <w:jc w:val="left"/>
              <w:rPr>
                <w:sz w:val="20"/>
                <w:szCs w:val="20"/>
              </w:rPr>
            </w:pPr>
            <w:r w:rsidRPr="0036716A">
              <w:rPr>
                <w:bCs/>
                <w:sz w:val="20"/>
                <w:szCs w:val="20"/>
              </w:rPr>
              <w:t>NPPF 202</w:t>
            </w:r>
            <w:r w:rsidR="004173E0" w:rsidRPr="0036716A">
              <w:rPr>
                <w:bCs/>
                <w:sz w:val="20"/>
                <w:szCs w:val="20"/>
              </w:rPr>
              <w:t>3</w:t>
            </w:r>
            <w:r w:rsidRPr="0036716A">
              <w:rPr>
                <w:bCs/>
                <w:sz w:val="20"/>
                <w:szCs w:val="20"/>
              </w:rPr>
              <w:t>, Part 2: Achieving sustainable development.</w:t>
            </w:r>
          </w:p>
          <w:p w14:paraId="3712F925" w14:textId="70843995" w:rsidR="0059798D" w:rsidRPr="0036716A" w:rsidRDefault="007955CB" w:rsidP="00874A98">
            <w:pPr>
              <w:keepNext w:val="0"/>
              <w:numPr>
                <w:ilvl w:val="0"/>
                <w:numId w:val="60"/>
              </w:numPr>
              <w:spacing w:before="0"/>
              <w:contextualSpacing/>
              <w:jc w:val="left"/>
              <w:rPr>
                <w:sz w:val="20"/>
                <w:szCs w:val="20"/>
              </w:rPr>
            </w:pPr>
            <w:r w:rsidRPr="0036716A">
              <w:rPr>
                <w:sz w:val="20"/>
                <w:szCs w:val="20"/>
              </w:rPr>
              <w:t>NPPF 202</w:t>
            </w:r>
            <w:r w:rsidR="004173E0" w:rsidRPr="0036716A">
              <w:rPr>
                <w:sz w:val="20"/>
                <w:szCs w:val="20"/>
              </w:rPr>
              <w:t>3</w:t>
            </w:r>
            <w:r w:rsidRPr="0036716A">
              <w:rPr>
                <w:sz w:val="20"/>
                <w:szCs w:val="20"/>
              </w:rPr>
              <w:t>, Part 13: Protecting Green Belt land</w:t>
            </w:r>
            <w:r w:rsidR="00A86E75" w:rsidRPr="0036716A">
              <w:rPr>
                <w:sz w:val="20"/>
                <w:szCs w:val="20"/>
              </w:rPr>
              <w:t>.</w:t>
            </w:r>
          </w:p>
          <w:p w14:paraId="16EF75D9" w14:textId="6BC86519" w:rsidR="007955CB" w:rsidRPr="0036716A" w:rsidRDefault="007955CB" w:rsidP="00874A98">
            <w:pPr>
              <w:keepNext w:val="0"/>
              <w:numPr>
                <w:ilvl w:val="0"/>
                <w:numId w:val="60"/>
              </w:numPr>
              <w:spacing w:before="0"/>
              <w:contextualSpacing/>
              <w:jc w:val="left"/>
              <w:rPr>
                <w:sz w:val="20"/>
                <w:szCs w:val="20"/>
              </w:rPr>
            </w:pPr>
            <w:r w:rsidRPr="0036716A">
              <w:rPr>
                <w:sz w:val="20"/>
                <w:szCs w:val="20"/>
              </w:rPr>
              <w:t xml:space="preserve">Planning Practice Guidance: Green Belt as </w:t>
            </w:r>
            <w:r w:rsidR="009D1815" w:rsidRPr="0036716A">
              <w:rPr>
                <w:sz w:val="20"/>
                <w:szCs w:val="20"/>
              </w:rPr>
              <w:t>of</w:t>
            </w:r>
            <w:r w:rsidRPr="0036716A">
              <w:rPr>
                <w:sz w:val="20"/>
                <w:szCs w:val="20"/>
              </w:rPr>
              <w:t xml:space="preserve"> </w:t>
            </w:r>
            <w:r w:rsidR="00B80DEC" w:rsidRPr="0036716A">
              <w:rPr>
                <w:sz w:val="20"/>
                <w:szCs w:val="20"/>
              </w:rPr>
              <w:t>July 2019</w:t>
            </w:r>
            <w:r w:rsidRPr="0036716A">
              <w:rPr>
                <w:sz w:val="20"/>
                <w:szCs w:val="20"/>
              </w:rPr>
              <w:t>.</w:t>
            </w:r>
          </w:p>
        </w:tc>
      </w:tr>
    </w:tbl>
    <w:p w14:paraId="4725BE47" w14:textId="6DD1A5C0" w:rsidR="007955CB" w:rsidRPr="005334C0" w:rsidRDefault="007955CB" w:rsidP="007955CB">
      <w:pPr>
        <w:keepNext w:val="0"/>
        <w:spacing w:before="0"/>
        <w:contextualSpacing/>
        <w:rPr>
          <w:rFonts w:cs="Arial"/>
          <w:color w:val="auto"/>
          <w:szCs w:val="24"/>
          <w:lang w:eastAsia="en-US"/>
        </w:rPr>
      </w:pPr>
    </w:p>
    <w:p w14:paraId="2A225E7C" w14:textId="7D78139C" w:rsidR="008008F0" w:rsidRPr="007955CB" w:rsidRDefault="008008F0" w:rsidP="007955CB">
      <w:pPr>
        <w:keepNext w:val="0"/>
        <w:spacing w:before="0"/>
        <w:rPr>
          <w:rFonts w:cs="Arial"/>
          <w:color w:val="auto"/>
          <w:szCs w:val="24"/>
          <w:lang w:eastAsia="en-US"/>
        </w:rPr>
      </w:pPr>
    </w:p>
    <w:p w14:paraId="569396AA" w14:textId="57A8929E" w:rsidR="00B84B5F" w:rsidRPr="00B84B5F" w:rsidRDefault="00B84B5F" w:rsidP="00B84B5F">
      <w:pPr>
        <w:keepNext w:val="0"/>
        <w:numPr>
          <w:ilvl w:val="1"/>
          <w:numId w:val="5"/>
        </w:numPr>
        <w:tabs>
          <w:tab w:val="clear" w:pos="525"/>
        </w:tabs>
        <w:spacing w:before="0"/>
        <w:ind w:left="709" w:hanging="709"/>
        <w:rPr>
          <w:rFonts w:cs="Arial"/>
          <w:color w:val="auto"/>
          <w:szCs w:val="24"/>
          <w:lang w:eastAsia="en-US"/>
        </w:rPr>
      </w:pPr>
      <w:r w:rsidRPr="00B84B5F">
        <w:rPr>
          <w:rFonts w:cs="Arial"/>
          <w:color w:val="auto"/>
          <w:szCs w:val="24"/>
          <w:lang w:eastAsia="en-US"/>
        </w:rPr>
        <w:t>Consistent with national policy, the construction of new buildings is inappropriate in the Green Belt (as defined on the Policies Map); exceptions to this are set out at Policy EV1 and paragraph 14</w:t>
      </w:r>
      <w:r w:rsidR="008A5E51">
        <w:rPr>
          <w:rFonts w:cs="Arial"/>
          <w:color w:val="auto"/>
          <w:szCs w:val="24"/>
          <w:lang w:eastAsia="en-US"/>
        </w:rPr>
        <w:t>9</w:t>
      </w:r>
      <w:r w:rsidRPr="00B84B5F">
        <w:rPr>
          <w:rFonts w:cs="Arial"/>
          <w:color w:val="auto"/>
          <w:szCs w:val="24"/>
          <w:lang w:eastAsia="en-US"/>
        </w:rPr>
        <w:t xml:space="preserve"> of the NPPF. Certain other forms of development are also not inappropriate provided they preserve the openness of the Green Belt and do not conflict with the purposes of including land in the Green Belt; these are set out at paragraph 1</w:t>
      </w:r>
      <w:r w:rsidR="008A5E51">
        <w:rPr>
          <w:rFonts w:cs="Arial"/>
          <w:color w:val="auto"/>
          <w:szCs w:val="24"/>
          <w:lang w:eastAsia="en-US"/>
        </w:rPr>
        <w:t>50</w:t>
      </w:r>
      <w:r w:rsidRPr="00B84B5F">
        <w:rPr>
          <w:rFonts w:cs="Arial"/>
          <w:color w:val="auto"/>
          <w:szCs w:val="24"/>
          <w:lang w:eastAsia="en-US"/>
        </w:rPr>
        <w:t xml:space="preserve"> of the NPPF.</w:t>
      </w:r>
    </w:p>
    <w:p w14:paraId="7707CFF2" w14:textId="77777777" w:rsidR="00B84B5F" w:rsidRPr="00B84B5F" w:rsidRDefault="00B84B5F" w:rsidP="00B84B5F">
      <w:pPr>
        <w:keepNext w:val="0"/>
        <w:spacing w:before="0"/>
        <w:ind w:left="709" w:hanging="709"/>
        <w:rPr>
          <w:rFonts w:cs="Arial"/>
          <w:color w:val="auto"/>
          <w:szCs w:val="24"/>
          <w:lang w:eastAsia="en-US"/>
        </w:rPr>
      </w:pPr>
    </w:p>
    <w:p w14:paraId="01C16F1A" w14:textId="0CFF346A" w:rsidR="00B84B5F" w:rsidRPr="00B84B5F" w:rsidRDefault="00B84B5F" w:rsidP="00B84B5F">
      <w:pPr>
        <w:keepNext w:val="0"/>
        <w:numPr>
          <w:ilvl w:val="1"/>
          <w:numId w:val="5"/>
        </w:numPr>
        <w:tabs>
          <w:tab w:val="clear" w:pos="525"/>
        </w:tabs>
        <w:spacing w:before="0"/>
        <w:ind w:left="709" w:hanging="709"/>
        <w:rPr>
          <w:rFonts w:cs="Arial"/>
          <w:color w:val="auto"/>
          <w:szCs w:val="24"/>
          <w:lang w:eastAsia="en-US"/>
        </w:rPr>
      </w:pPr>
      <w:r w:rsidRPr="00B84B5F">
        <w:rPr>
          <w:rFonts w:cs="Arial"/>
          <w:color w:val="auto"/>
          <w:szCs w:val="24"/>
          <w:lang w:eastAsia="en-US"/>
        </w:rPr>
        <w:t xml:space="preserve">Although the </w:t>
      </w:r>
      <w:r w:rsidR="00215F98">
        <w:rPr>
          <w:rFonts w:cs="Arial"/>
          <w:color w:val="auto"/>
          <w:szCs w:val="24"/>
          <w:lang w:eastAsia="en-US"/>
        </w:rPr>
        <w:t>p</w:t>
      </w:r>
      <w:r w:rsidRPr="00B84B5F">
        <w:rPr>
          <w:rFonts w:cs="Arial"/>
          <w:color w:val="auto"/>
          <w:szCs w:val="24"/>
          <w:lang w:eastAsia="en-US"/>
        </w:rPr>
        <w:t>olicy criteria may be seen as a restatement of national advice, they are contained within Policy EV1 for completeness and to aid the user who wishes to see and fully understand the Council’s approach to proposed development in the Green Belt.</w:t>
      </w:r>
    </w:p>
    <w:p w14:paraId="74CFF968" w14:textId="77777777" w:rsidR="00B84B5F" w:rsidRPr="00B84B5F" w:rsidRDefault="00B84B5F" w:rsidP="00B84B5F">
      <w:pPr>
        <w:keepNext w:val="0"/>
        <w:spacing w:before="0"/>
        <w:ind w:left="709" w:hanging="709"/>
        <w:rPr>
          <w:rFonts w:cs="Arial"/>
          <w:color w:val="auto"/>
          <w:szCs w:val="24"/>
          <w:lang w:eastAsia="en-US"/>
        </w:rPr>
      </w:pPr>
    </w:p>
    <w:p w14:paraId="699FF721" w14:textId="1A8260B9" w:rsidR="00B84B5F" w:rsidRPr="00B84B5F" w:rsidRDefault="00B84B5F" w:rsidP="00B84B5F">
      <w:pPr>
        <w:keepNext w:val="0"/>
        <w:numPr>
          <w:ilvl w:val="1"/>
          <w:numId w:val="5"/>
        </w:numPr>
        <w:tabs>
          <w:tab w:val="clear" w:pos="525"/>
        </w:tabs>
        <w:spacing w:before="0"/>
        <w:ind w:left="709" w:hanging="709"/>
        <w:rPr>
          <w:rFonts w:cs="Arial"/>
          <w:color w:val="auto"/>
          <w:szCs w:val="24"/>
          <w:lang w:eastAsia="en-US"/>
        </w:rPr>
      </w:pPr>
      <w:r w:rsidRPr="00B84B5F">
        <w:rPr>
          <w:rFonts w:cs="Arial"/>
          <w:color w:val="auto"/>
          <w:szCs w:val="24"/>
          <w:lang w:eastAsia="en-US"/>
        </w:rPr>
        <w:t>The implication of national policy on the Green Belt is that the Council, in considering a planning application for development in the Green Belt, must give “substantial weight” to “any harm to the Green Belt”. However, establishing the status of a proposed development – inappropriate or appropriate – remains only the first step. Thereafter, the application has to be considered against other policies in the Local Plan, in particular Policy EV1</w:t>
      </w:r>
      <w:r w:rsidR="00215F98">
        <w:rPr>
          <w:rFonts w:cs="Arial"/>
          <w:color w:val="auto"/>
          <w:szCs w:val="24"/>
          <w:lang w:eastAsia="en-US"/>
        </w:rPr>
        <w:t>0</w:t>
      </w:r>
      <w:r w:rsidRPr="00B84B5F">
        <w:rPr>
          <w:rFonts w:cs="Arial"/>
          <w:color w:val="auto"/>
          <w:szCs w:val="24"/>
          <w:lang w:eastAsia="en-US"/>
        </w:rPr>
        <w:t xml:space="preserve">: ‘Protection and Enhancement of Landscape Character’, as well as national planning policy.  </w:t>
      </w:r>
    </w:p>
    <w:p w14:paraId="38D89092" w14:textId="77777777" w:rsidR="00B84B5F" w:rsidRPr="00B84B5F" w:rsidRDefault="00B84B5F" w:rsidP="00B84B5F">
      <w:pPr>
        <w:keepNext w:val="0"/>
        <w:spacing w:before="0"/>
        <w:ind w:left="709" w:hanging="709"/>
        <w:rPr>
          <w:rFonts w:cs="Arial"/>
          <w:color w:val="auto"/>
          <w:szCs w:val="24"/>
          <w:lang w:eastAsia="en-US"/>
        </w:rPr>
      </w:pPr>
    </w:p>
    <w:p w14:paraId="672EF3DF" w14:textId="77777777" w:rsidR="00B84B5F" w:rsidRDefault="00B84B5F" w:rsidP="00B84B5F">
      <w:pPr>
        <w:keepNext w:val="0"/>
        <w:spacing w:before="0"/>
        <w:ind w:left="709"/>
        <w:rPr>
          <w:rFonts w:cs="Arial"/>
          <w:b/>
          <w:bCs/>
          <w:color w:val="auto"/>
          <w:szCs w:val="24"/>
          <w:lang w:eastAsia="en-US"/>
        </w:rPr>
      </w:pPr>
      <w:r w:rsidRPr="00B84B5F">
        <w:rPr>
          <w:rFonts w:cs="Arial"/>
          <w:b/>
          <w:bCs/>
          <w:color w:val="auto"/>
          <w:szCs w:val="24"/>
          <w:lang w:eastAsia="en-US"/>
        </w:rPr>
        <w:t>New Buildings and Facilities</w:t>
      </w:r>
    </w:p>
    <w:p w14:paraId="0F4EB31E" w14:textId="77777777" w:rsidR="00B84B5F" w:rsidRPr="00B84B5F" w:rsidRDefault="00B84B5F" w:rsidP="00B84B5F">
      <w:pPr>
        <w:keepNext w:val="0"/>
        <w:numPr>
          <w:ilvl w:val="1"/>
          <w:numId w:val="5"/>
        </w:numPr>
        <w:tabs>
          <w:tab w:val="clear" w:pos="525"/>
        </w:tabs>
        <w:spacing w:before="0"/>
        <w:ind w:left="709" w:hanging="709"/>
        <w:rPr>
          <w:rFonts w:cs="Arial"/>
          <w:color w:val="auto"/>
          <w:szCs w:val="24"/>
          <w:lang w:eastAsia="en-US"/>
        </w:rPr>
      </w:pPr>
      <w:r w:rsidRPr="00B84B5F">
        <w:rPr>
          <w:rFonts w:cs="Arial"/>
          <w:color w:val="auto"/>
          <w:szCs w:val="24"/>
          <w:lang w:eastAsia="en-US"/>
        </w:rPr>
        <w:t xml:space="preserve">EV1:2a) Many agricultural and forestry buildings are covered by The Town and Country Planning (General Permitted Development) Order 1995 and are permitted development. Where new buildings require planning permission, they should be restricted to cases where they are demonstrably essential and where the need for the proposed location has been established. </w:t>
      </w:r>
    </w:p>
    <w:p w14:paraId="593A3819" w14:textId="77777777" w:rsidR="00B84B5F" w:rsidRPr="00B84B5F" w:rsidRDefault="00B84B5F" w:rsidP="00B84B5F">
      <w:pPr>
        <w:keepNext w:val="0"/>
        <w:spacing w:before="0"/>
        <w:ind w:left="709" w:hanging="709"/>
        <w:rPr>
          <w:rFonts w:cs="Arial"/>
          <w:color w:val="auto"/>
          <w:szCs w:val="24"/>
          <w:lang w:eastAsia="en-US"/>
        </w:rPr>
      </w:pPr>
    </w:p>
    <w:p w14:paraId="29870BBF" w14:textId="77777777" w:rsidR="00B84B5F" w:rsidRPr="00B84B5F" w:rsidRDefault="00B84B5F" w:rsidP="00B84B5F">
      <w:pPr>
        <w:keepNext w:val="0"/>
        <w:numPr>
          <w:ilvl w:val="1"/>
          <w:numId w:val="5"/>
        </w:numPr>
        <w:tabs>
          <w:tab w:val="clear" w:pos="525"/>
        </w:tabs>
        <w:spacing w:before="0"/>
        <w:ind w:left="709" w:hanging="709"/>
        <w:rPr>
          <w:rFonts w:cs="Arial"/>
          <w:color w:val="auto"/>
          <w:szCs w:val="24"/>
          <w:lang w:eastAsia="en-US"/>
        </w:rPr>
      </w:pPr>
      <w:r w:rsidRPr="00B84B5F">
        <w:rPr>
          <w:rFonts w:cs="Arial"/>
          <w:color w:val="auto"/>
          <w:szCs w:val="24"/>
          <w:lang w:eastAsia="en-US"/>
        </w:rPr>
        <w:t>Where possible agricultural and forestry buildings should normally form part of a group, rather than stand in isolation and should relate to existing buildings in size and materials.</w:t>
      </w:r>
    </w:p>
    <w:p w14:paraId="3CDA711C" w14:textId="77777777" w:rsidR="00B84B5F" w:rsidRPr="00B84B5F" w:rsidRDefault="00B84B5F" w:rsidP="00B84B5F">
      <w:pPr>
        <w:keepNext w:val="0"/>
        <w:spacing w:before="0"/>
        <w:ind w:left="709" w:hanging="709"/>
        <w:rPr>
          <w:rFonts w:cs="Arial"/>
          <w:color w:val="auto"/>
          <w:szCs w:val="24"/>
          <w:lang w:eastAsia="en-US"/>
        </w:rPr>
      </w:pPr>
    </w:p>
    <w:p w14:paraId="23320708" w14:textId="60F90E6E" w:rsidR="00B84B5F" w:rsidRPr="00B84B5F" w:rsidRDefault="00B84B5F" w:rsidP="00B84B5F">
      <w:pPr>
        <w:keepNext w:val="0"/>
        <w:numPr>
          <w:ilvl w:val="1"/>
          <w:numId w:val="5"/>
        </w:numPr>
        <w:tabs>
          <w:tab w:val="clear" w:pos="525"/>
        </w:tabs>
        <w:spacing w:before="0"/>
        <w:ind w:left="709" w:hanging="709"/>
        <w:rPr>
          <w:rFonts w:cs="Arial"/>
          <w:color w:val="auto"/>
          <w:szCs w:val="24"/>
          <w:lang w:eastAsia="en-US"/>
        </w:rPr>
      </w:pPr>
      <w:r w:rsidRPr="00B84B5F">
        <w:rPr>
          <w:rFonts w:cs="Arial"/>
          <w:color w:val="auto"/>
          <w:szCs w:val="24"/>
          <w:lang w:eastAsia="en-US"/>
        </w:rPr>
        <w:t>EV1:2b)</w:t>
      </w:r>
      <w:r w:rsidR="008A5E51">
        <w:rPr>
          <w:rFonts w:cs="Arial"/>
          <w:color w:val="auto"/>
          <w:szCs w:val="24"/>
          <w:lang w:eastAsia="en-US"/>
        </w:rPr>
        <w:t xml:space="preserve"> N</w:t>
      </w:r>
      <w:r w:rsidRPr="00B84B5F">
        <w:rPr>
          <w:rFonts w:cs="Arial"/>
          <w:color w:val="auto"/>
          <w:szCs w:val="24"/>
          <w:lang w:eastAsia="en-US"/>
        </w:rPr>
        <w:t>ew building</w:t>
      </w:r>
      <w:r w:rsidR="00B44F05">
        <w:rPr>
          <w:rFonts w:cs="Arial"/>
          <w:color w:val="auto"/>
          <w:szCs w:val="24"/>
          <w:lang w:eastAsia="en-US"/>
        </w:rPr>
        <w:t>s</w:t>
      </w:r>
      <w:r w:rsidRPr="00B84B5F">
        <w:rPr>
          <w:rFonts w:cs="Arial"/>
          <w:color w:val="auto"/>
          <w:szCs w:val="24"/>
          <w:lang w:eastAsia="en-US"/>
        </w:rPr>
        <w:t xml:space="preserve"> and facilities that do not fall within agricultural or forestry uses, will only be considered if </w:t>
      </w:r>
      <w:r w:rsidR="00B44F05">
        <w:rPr>
          <w:rFonts w:cs="Arial"/>
          <w:color w:val="auto"/>
          <w:szCs w:val="24"/>
          <w:lang w:eastAsia="en-US"/>
        </w:rPr>
        <w:t xml:space="preserve">it can be </w:t>
      </w:r>
      <w:r w:rsidRPr="00B84B5F">
        <w:rPr>
          <w:rFonts w:cs="Arial"/>
          <w:color w:val="auto"/>
          <w:szCs w:val="24"/>
          <w:lang w:eastAsia="en-US"/>
        </w:rPr>
        <w:t>demonstrate</w:t>
      </w:r>
      <w:r w:rsidR="00B44F05">
        <w:rPr>
          <w:rFonts w:cs="Arial"/>
          <w:color w:val="auto"/>
          <w:szCs w:val="24"/>
          <w:lang w:eastAsia="en-US"/>
        </w:rPr>
        <w:t>d</w:t>
      </w:r>
      <w:r w:rsidRPr="00B84B5F">
        <w:rPr>
          <w:rFonts w:cs="Arial"/>
          <w:color w:val="auto"/>
          <w:szCs w:val="24"/>
          <w:lang w:eastAsia="en-US"/>
        </w:rPr>
        <w:t xml:space="preserve"> that the proposal is to be used in connection with the existing use of land or a change of use for outdoor sport, outdoor recreation, cemetery, burial ground or allotment uses. Any proposals that cannot demonstrate this or fall within another use, must successfully demonstrate the very special circumstances for justifying the development, as required by national planning policy.  </w:t>
      </w:r>
    </w:p>
    <w:p w14:paraId="514478CD" w14:textId="77777777" w:rsidR="00B84B5F" w:rsidRPr="00B84B5F" w:rsidRDefault="00B84B5F" w:rsidP="00B84B5F">
      <w:pPr>
        <w:keepNext w:val="0"/>
        <w:spacing w:before="0"/>
        <w:ind w:left="709" w:hanging="709"/>
        <w:rPr>
          <w:rFonts w:cs="Arial"/>
          <w:color w:val="auto"/>
          <w:szCs w:val="24"/>
          <w:lang w:eastAsia="en-US"/>
        </w:rPr>
      </w:pPr>
    </w:p>
    <w:p w14:paraId="4ADB2178" w14:textId="77777777" w:rsidR="00B84B5F" w:rsidRDefault="00B84B5F" w:rsidP="00B84B5F">
      <w:pPr>
        <w:keepNext w:val="0"/>
        <w:spacing w:before="0"/>
        <w:ind w:left="709"/>
        <w:rPr>
          <w:rFonts w:cs="Arial"/>
          <w:b/>
          <w:bCs/>
          <w:color w:val="auto"/>
          <w:szCs w:val="24"/>
          <w:lang w:eastAsia="en-US"/>
        </w:rPr>
      </w:pPr>
      <w:r w:rsidRPr="00B84B5F">
        <w:rPr>
          <w:rFonts w:cs="Arial"/>
          <w:b/>
          <w:bCs/>
          <w:color w:val="auto"/>
          <w:szCs w:val="24"/>
          <w:lang w:eastAsia="en-US"/>
        </w:rPr>
        <w:t>Extensions and Alterations</w:t>
      </w:r>
    </w:p>
    <w:p w14:paraId="539FDFFE" w14:textId="463CEBD3" w:rsidR="00B84B5F" w:rsidRPr="00B84B5F" w:rsidRDefault="00B84B5F" w:rsidP="00B84B5F">
      <w:pPr>
        <w:keepNext w:val="0"/>
        <w:numPr>
          <w:ilvl w:val="1"/>
          <w:numId w:val="5"/>
        </w:numPr>
        <w:tabs>
          <w:tab w:val="clear" w:pos="525"/>
        </w:tabs>
        <w:spacing w:before="0"/>
        <w:ind w:left="709" w:hanging="709"/>
        <w:rPr>
          <w:rFonts w:cs="Arial"/>
          <w:color w:val="auto"/>
          <w:szCs w:val="24"/>
          <w:lang w:eastAsia="en-US"/>
        </w:rPr>
      </w:pPr>
      <w:r w:rsidRPr="00B84B5F">
        <w:rPr>
          <w:rFonts w:cs="Arial"/>
          <w:color w:val="auto"/>
          <w:szCs w:val="24"/>
          <w:lang w:eastAsia="en-US"/>
        </w:rPr>
        <w:t xml:space="preserve">EV1:2c) The NPPF indicates that the extension or alteration of a building is not inappropriate in the Green Belt provided that the proposal does not result in disproportionate additions over and above the size of the original building.  </w:t>
      </w:r>
    </w:p>
    <w:p w14:paraId="37610697" w14:textId="77777777" w:rsidR="00B84B5F" w:rsidRPr="00B84B5F" w:rsidRDefault="00B84B5F" w:rsidP="00B84B5F">
      <w:pPr>
        <w:keepNext w:val="0"/>
        <w:spacing w:before="0"/>
        <w:ind w:left="709" w:hanging="709"/>
        <w:rPr>
          <w:rFonts w:cs="Arial"/>
          <w:color w:val="auto"/>
          <w:szCs w:val="24"/>
          <w:lang w:eastAsia="en-US"/>
        </w:rPr>
      </w:pPr>
    </w:p>
    <w:p w14:paraId="2046973D" w14:textId="4945117C" w:rsidR="00B84B5F" w:rsidRPr="00B84B5F" w:rsidRDefault="00B84B5F" w:rsidP="00B84B5F">
      <w:pPr>
        <w:keepNext w:val="0"/>
        <w:numPr>
          <w:ilvl w:val="1"/>
          <w:numId w:val="5"/>
        </w:numPr>
        <w:tabs>
          <w:tab w:val="clear" w:pos="525"/>
        </w:tabs>
        <w:spacing w:before="0"/>
        <w:ind w:left="709" w:hanging="709"/>
        <w:rPr>
          <w:rFonts w:cs="Arial"/>
          <w:color w:val="auto"/>
          <w:szCs w:val="24"/>
          <w:lang w:eastAsia="en-US"/>
        </w:rPr>
      </w:pPr>
      <w:r w:rsidRPr="00B84B5F">
        <w:rPr>
          <w:rFonts w:cs="Arial"/>
          <w:color w:val="auto"/>
          <w:szCs w:val="24"/>
          <w:lang w:eastAsia="en-US"/>
        </w:rPr>
        <w:t xml:space="preserve">The phrase 'disproportionate additions' cannot be clearly defined, as much will depend upon the individual circumstances of the site and what type of addition is proposed. In determining </w:t>
      </w:r>
      <w:r w:rsidR="009D1815" w:rsidRPr="00B84B5F">
        <w:rPr>
          <w:rFonts w:cs="Arial"/>
          <w:color w:val="auto"/>
          <w:szCs w:val="24"/>
          <w:lang w:eastAsia="en-US"/>
        </w:rPr>
        <w:t>applications,</w:t>
      </w:r>
      <w:r w:rsidRPr="00B84B5F">
        <w:rPr>
          <w:rFonts w:cs="Arial"/>
          <w:color w:val="auto"/>
          <w:szCs w:val="24"/>
          <w:lang w:eastAsia="en-US"/>
        </w:rPr>
        <w:t xml:space="preserve"> the Council will take into account factors such as the size of the original building, the scale, form, and prominence of the extension or alteration, and the impact of the proposal on the openness of the Green Belt. Proposals must not result in a </w:t>
      </w:r>
      <w:r w:rsidR="009D1815" w:rsidRPr="00B84B5F">
        <w:rPr>
          <w:rFonts w:cs="Arial"/>
          <w:color w:val="auto"/>
          <w:szCs w:val="24"/>
          <w:lang w:eastAsia="en-US"/>
        </w:rPr>
        <w:t>large, bulky or intrusive building</w:t>
      </w:r>
      <w:r w:rsidRPr="00B84B5F">
        <w:rPr>
          <w:rFonts w:cs="Arial"/>
          <w:color w:val="auto"/>
          <w:szCs w:val="24"/>
          <w:lang w:eastAsia="en-US"/>
        </w:rPr>
        <w:t xml:space="preserve"> which would adversely impact on the openness of the Green Belt. Typically, an extension or alteration below an increase of 30% volume of the original building would not be considered disproportionate, provided the above factors are met. </w:t>
      </w:r>
    </w:p>
    <w:p w14:paraId="4F24C478" w14:textId="77777777" w:rsidR="00B84B5F" w:rsidRPr="00B84B5F" w:rsidRDefault="00B84B5F" w:rsidP="00B84B5F">
      <w:pPr>
        <w:keepNext w:val="0"/>
        <w:spacing w:before="0"/>
        <w:ind w:left="709" w:hanging="709"/>
        <w:rPr>
          <w:rFonts w:cs="Arial"/>
          <w:color w:val="auto"/>
          <w:szCs w:val="24"/>
          <w:lang w:eastAsia="en-US"/>
        </w:rPr>
      </w:pPr>
    </w:p>
    <w:p w14:paraId="50920A1B" w14:textId="0E51EDCB" w:rsidR="00B84B5F" w:rsidRDefault="00B84B5F" w:rsidP="00B84B5F">
      <w:pPr>
        <w:keepNext w:val="0"/>
        <w:numPr>
          <w:ilvl w:val="1"/>
          <w:numId w:val="5"/>
        </w:numPr>
        <w:tabs>
          <w:tab w:val="clear" w:pos="525"/>
        </w:tabs>
        <w:spacing w:before="0"/>
        <w:ind w:left="709" w:hanging="709"/>
        <w:rPr>
          <w:rFonts w:cs="Arial"/>
          <w:color w:val="auto"/>
          <w:szCs w:val="24"/>
          <w:lang w:eastAsia="en-US"/>
        </w:rPr>
      </w:pPr>
      <w:r w:rsidRPr="00B84B5F">
        <w:rPr>
          <w:rFonts w:cs="Arial"/>
          <w:color w:val="auto"/>
          <w:szCs w:val="24"/>
          <w:lang w:eastAsia="en-US"/>
        </w:rPr>
        <w:t>There will inevitably be cases where ‘very special circumstances’ may be present which may be taken into account in considering applications. Such circumstances</w:t>
      </w:r>
      <w:r>
        <w:rPr>
          <w:rFonts w:cs="Arial"/>
          <w:color w:val="auto"/>
          <w:szCs w:val="24"/>
          <w:lang w:eastAsia="en-US"/>
        </w:rPr>
        <w:t xml:space="preserve"> </w:t>
      </w:r>
      <w:r w:rsidRPr="00B84B5F">
        <w:rPr>
          <w:rFonts w:cs="Arial"/>
          <w:color w:val="auto"/>
          <w:szCs w:val="24"/>
          <w:lang w:eastAsia="en-US"/>
        </w:rPr>
        <w:t>include:</w:t>
      </w:r>
    </w:p>
    <w:p w14:paraId="23E7442F" w14:textId="77777777" w:rsidR="00E54C76" w:rsidRPr="00B84B5F" w:rsidRDefault="00E54C76" w:rsidP="00E54C76">
      <w:pPr>
        <w:keepNext w:val="0"/>
        <w:spacing w:before="0"/>
        <w:ind w:left="709" w:hanging="709"/>
        <w:rPr>
          <w:rFonts w:cs="Arial"/>
          <w:color w:val="auto"/>
          <w:szCs w:val="24"/>
          <w:lang w:eastAsia="en-US"/>
        </w:rPr>
      </w:pPr>
    </w:p>
    <w:p w14:paraId="7A2F8787" w14:textId="77777777" w:rsidR="00E54C76" w:rsidRPr="00B84B5F" w:rsidRDefault="00E54C76" w:rsidP="00874A98">
      <w:pPr>
        <w:pStyle w:val="ListParagraph"/>
        <w:numPr>
          <w:ilvl w:val="0"/>
          <w:numId w:val="215"/>
        </w:numPr>
        <w:ind w:left="1276" w:hanging="283"/>
        <w:rPr>
          <w:rFonts w:ascii="Arial" w:hAnsi="Arial" w:cs="Arial"/>
          <w:color w:val="auto"/>
          <w:szCs w:val="24"/>
        </w:rPr>
      </w:pPr>
      <w:r w:rsidRPr="00B84B5F">
        <w:rPr>
          <w:rFonts w:ascii="Arial" w:hAnsi="Arial" w:cs="Arial"/>
          <w:color w:val="auto"/>
          <w:szCs w:val="24"/>
        </w:rPr>
        <w:t>the size of the dwelling - a typical 30% extension to a very small dwelling could be extremely small and not result in an extension of any practical value</w:t>
      </w:r>
      <w:r>
        <w:rPr>
          <w:rFonts w:ascii="Arial" w:hAnsi="Arial" w:cs="Arial"/>
          <w:color w:val="auto"/>
          <w:szCs w:val="24"/>
        </w:rPr>
        <w:t>;</w:t>
      </w:r>
      <w:r w:rsidRPr="00B84B5F">
        <w:rPr>
          <w:rFonts w:ascii="Arial" w:hAnsi="Arial" w:cs="Arial"/>
          <w:color w:val="auto"/>
          <w:szCs w:val="24"/>
        </w:rPr>
        <w:t xml:space="preserve"> </w:t>
      </w:r>
    </w:p>
    <w:p w14:paraId="0C6F38B0" w14:textId="77777777" w:rsidR="00E54C76" w:rsidRPr="00B84B5F" w:rsidRDefault="00E54C76" w:rsidP="00874A98">
      <w:pPr>
        <w:pStyle w:val="ListParagraph"/>
        <w:numPr>
          <w:ilvl w:val="0"/>
          <w:numId w:val="215"/>
        </w:numPr>
        <w:ind w:left="1276" w:hanging="283"/>
        <w:rPr>
          <w:rFonts w:ascii="Arial" w:hAnsi="Arial" w:cs="Arial"/>
          <w:color w:val="auto"/>
          <w:szCs w:val="24"/>
        </w:rPr>
      </w:pPr>
      <w:r w:rsidRPr="00B84B5F">
        <w:rPr>
          <w:rFonts w:ascii="Arial" w:hAnsi="Arial" w:cs="Arial"/>
          <w:color w:val="auto"/>
          <w:szCs w:val="24"/>
        </w:rPr>
        <w:t>the extent to which the extension is justified in bringing a small dwelling up to modern standards of floorspace and accommodation</w:t>
      </w:r>
      <w:r>
        <w:rPr>
          <w:rFonts w:ascii="Arial" w:hAnsi="Arial" w:cs="Arial"/>
          <w:color w:val="auto"/>
          <w:szCs w:val="24"/>
        </w:rPr>
        <w:t>;</w:t>
      </w:r>
    </w:p>
    <w:p w14:paraId="21DE681E" w14:textId="77777777" w:rsidR="00E54C76" w:rsidRPr="00B84B5F" w:rsidRDefault="00E54C76" w:rsidP="00874A98">
      <w:pPr>
        <w:pStyle w:val="ListParagraph"/>
        <w:numPr>
          <w:ilvl w:val="0"/>
          <w:numId w:val="215"/>
        </w:numPr>
        <w:ind w:left="1276" w:hanging="283"/>
        <w:rPr>
          <w:rFonts w:ascii="Arial" w:hAnsi="Arial" w:cs="Arial"/>
          <w:color w:val="auto"/>
          <w:szCs w:val="24"/>
        </w:rPr>
      </w:pPr>
      <w:r w:rsidRPr="00B84B5F">
        <w:rPr>
          <w:rFonts w:ascii="Arial" w:hAnsi="Arial" w:cs="Arial"/>
          <w:color w:val="auto"/>
          <w:szCs w:val="24"/>
        </w:rPr>
        <w:t>the design and relationship of the building to the type, scale and character of adjoining development</w:t>
      </w:r>
      <w:r>
        <w:rPr>
          <w:rFonts w:ascii="Arial" w:hAnsi="Arial" w:cs="Arial"/>
          <w:color w:val="auto"/>
          <w:szCs w:val="24"/>
        </w:rPr>
        <w:t>;</w:t>
      </w:r>
      <w:r w:rsidRPr="00B84B5F">
        <w:rPr>
          <w:rFonts w:ascii="Arial" w:hAnsi="Arial" w:cs="Arial"/>
          <w:color w:val="auto"/>
          <w:szCs w:val="24"/>
        </w:rPr>
        <w:t xml:space="preserve"> </w:t>
      </w:r>
    </w:p>
    <w:p w14:paraId="6C4D18DE" w14:textId="77777777" w:rsidR="00E54C76" w:rsidRPr="00B84B5F" w:rsidRDefault="00E54C76" w:rsidP="00874A98">
      <w:pPr>
        <w:pStyle w:val="ListParagraph"/>
        <w:numPr>
          <w:ilvl w:val="0"/>
          <w:numId w:val="215"/>
        </w:numPr>
        <w:ind w:left="1276" w:hanging="283"/>
        <w:rPr>
          <w:rFonts w:ascii="Arial" w:hAnsi="Arial" w:cs="Arial"/>
          <w:color w:val="auto"/>
          <w:szCs w:val="24"/>
        </w:rPr>
      </w:pPr>
      <w:r w:rsidRPr="00B84B5F">
        <w:rPr>
          <w:rFonts w:ascii="Arial" w:hAnsi="Arial" w:cs="Arial"/>
          <w:color w:val="auto"/>
          <w:szCs w:val="24"/>
        </w:rPr>
        <w:t>whether any buildings are to be demolished as part of the development, the volume of which can be offset against the proposed extension.</w:t>
      </w:r>
    </w:p>
    <w:p w14:paraId="2C2D9906" w14:textId="60972079" w:rsidR="00B84B5F" w:rsidRPr="00E54C76" w:rsidRDefault="00B84B5F" w:rsidP="00E54C76">
      <w:pPr>
        <w:keepNext w:val="0"/>
        <w:numPr>
          <w:ilvl w:val="1"/>
          <w:numId w:val="5"/>
        </w:numPr>
        <w:tabs>
          <w:tab w:val="clear" w:pos="525"/>
        </w:tabs>
        <w:spacing w:before="0"/>
        <w:ind w:left="709" w:hanging="709"/>
        <w:rPr>
          <w:rFonts w:cs="Arial"/>
          <w:color w:val="auto"/>
          <w:szCs w:val="24"/>
          <w:lang w:eastAsia="en-US"/>
        </w:rPr>
      </w:pPr>
      <w:r w:rsidRPr="00E54C76">
        <w:rPr>
          <w:rFonts w:cs="Arial"/>
          <w:color w:val="auto"/>
          <w:szCs w:val="24"/>
          <w:lang w:eastAsia="en-US"/>
        </w:rPr>
        <w:t>Extensions or alterations to small dwellings in the Green Belt should not result in the provision of large houses of suburban appearance, out of character with their rural setting and reducing the supply of smaller rural houses. In order to minimise impact, the proposed development will need to respect the design of the existing property, adjoining properties and the setting of the building. Advice on appropriate design principles for residential extensions is contained in the Ashfield Design Supplementary Planning Guidance</w:t>
      </w:r>
      <w:r w:rsidR="0010170C">
        <w:rPr>
          <w:rStyle w:val="FootnoteReference"/>
          <w:rFonts w:cs="Arial"/>
          <w:color w:val="auto"/>
          <w:szCs w:val="24"/>
          <w:lang w:eastAsia="en-US"/>
        </w:rPr>
        <w:footnoteReference w:id="84"/>
      </w:r>
      <w:r w:rsidRPr="00E54C76">
        <w:rPr>
          <w:rFonts w:cs="Arial"/>
          <w:color w:val="auto"/>
          <w:szCs w:val="24"/>
          <w:lang w:eastAsia="en-US"/>
        </w:rPr>
        <w:t>.</w:t>
      </w:r>
    </w:p>
    <w:p w14:paraId="6C5446C8" w14:textId="77777777" w:rsidR="00B84B5F" w:rsidRPr="00B84B5F" w:rsidRDefault="00B84B5F" w:rsidP="00B84B5F">
      <w:pPr>
        <w:keepNext w:val="0"/>
        <w:spacing w:before="0"/>
        <w:ind w:left="709" w:hanging="709"/>
        <w:rPr>
          <w:rFonts w:cs="Arial"/>
          <w:color w:val="auto"/>
          <w:szCs w:val="24"/>
          <w:lang w:eastAsia="en-US"/>
        </w:rPr>
      </w:pPr>
    </w:p>
    <w:p w14:paraId="782C4B0F" w14:textId="77777777" w:rsidR="00B84B5F" w:rsidRPr="00B84B5F" w:rsidRDefault="00B84B5F" w:rsidP="00B84B5F">
      <w:pPr>
        <w:keepNext w:val="0"/>
        <w:numPr>
          <w:ilvl w:val="1"/>
          <w:numId w:val="5"/>
        </w:numPr>
        <w:tabs>
          <w:tab w:val="clear" w:pos="525"/>
        </w:tabs>
        <w:spacing w:before="0"/>
        <w:ind w:left="709" w:hanging="709"/>
        <w:rPr>
          <w:rFonts w:cs="Arial"/>
          <w:color w:val="auto"/>
          <w:szCs w:val="24"/>
          <w:lang w:eastAsia="en-US"/>
        </w:rPr>
      </w:pPr>
      <w:r w:rsidRPr="00B84B5F">
        <w:rPr>
          <w:rFonts w:cs="Arial"/>
          <w:color w:val="auto"/>
          <w:szCs w:val="24"/>
          <w:lang w:eastAsia="en-US"/>
        </w:rPr>
        <w:t>Regard will be given to previous extensions on the site, either allowed through Permitted Development Rights or through planning approvals. The original character of a building can be lost if the property is extended in an unsympathetic way through the addition of numerous extensions. The Council will take into account the original proportions of the building, prior to extensions being added. In some circumstances, it may be more appropriate to provide one new extension as a replacement for several existing extensions, especially where these are in poor condition or do not reflect the original character of the building. All applications will need to consider the impact of the cumulative extensions on the original building.</w:t>
      </w:r>
    </w:p>
    <w:p w14:paraId="56486793" w14:textId="77777777" w:rsidR="00B84B5F" w:rsidRPr="00B84B5F" w:rsidRDefault="00B84B5F" w:rsidP="00B84B5F">
      <w:pPr>
        <w:keepNext w:val="0"/>
        <w:spacing w:before="0"/>
        <w:ind w:left="709" w:hanging="709"/>
        <w:rPr>
          <w:rFonts w:cs="Arial"/>
          <w:color w:val="auto"/>
          <w:szCs w:val="24"/>
          <w:lang w:eastAsia="en-US"/>
        </w:rPr>
      </w:pPr>
    </w:p>
    <w:p w14:paraId="32BA4640" w14:textId="77777777" w:rsidR="00B84B5F" w:rsidRPr="00B84B5F" w:rsidRDefault="00B84B5F" w:rsidP="00B84B5F">
      <w:pPr>
        <w:keepNext w:val="0"/>
        <w:numPr>
          <w:ilvl w:val="1"/>
          <w:numId w:val="5"/>
        </w:numPr>
        <w:tabs>
          <w:tab w:val="clear" w:pos="525"/>
        </w:tabs>
        <w:spacing w:before="0"/>
        <w:ind w:left="709" w:hanging="709"/>
        <w:rPr>
          <w:rFonts w:cs="Arial"/>
          <w:color w:val="auto"/>
          <w:szCs w:val="24"/>
          <w:lang w:eastAsia="en-US"/>
        </w:rPr>
      </w:pPr>
      <w:r w:rsidRPr="00B84B5F">
        <w:rPr>
          <w:rFonts w:cs="Arial"/>
          <w:color w:val="auto"/>
          <w:szCs w:val="24"/>
          <w:lang w:eastAsia="en-US"/>
        </w:rPr>
        <w:t xml:space="preserve">The design of any development should be sympathetic to the existing building, the plot size upon which the building it sited, the area adjacent to the site and its wider setting. Proposed changes, either individually or cumulatively should not over dominate the existing building. </w:t>
      </w:r>
    </w:p>
    <w:p w14:paraId="2F25C28B" w14:textId="77777777" w:rsidR="00B84B5F" w:rsidRPr="00B84B5F" w:rsidRDefault="00B84B5F" w:rsidP="00B84B5F">
      <w:pPr>
        <w:keepNext w:val="0"/>
        <w:spacing w:before="0"/>
        <w:ind w:left="709" w:hanging="709"/>
        <w:rPr>
          <w:rFonts w:cs="Arial"/>
          <w:color w:val="auto"/>
          <w:szCs w:val="24"/>
          <w:lang w:eastAsia="en-US"/>
        </w:rPr>
      </w:pPr>
    </w:p>
    <w:p w14:paraId="56A5184D" w14:textId="77777777" w:rsidR="00B84B5F" w:rsidRPr="00B84B5F" w:rsidRDefault="00B84B5F" w:rsidP="00B84B5F">
      <w:pPr>
        <w:keepNext w:val="0"/>
        <w:numPr>
          <w:ilvl w:val="1"/>
          <w:numId w:val="5"/>
        </w:numPr>
        <w:tabs>
          <w:tab w:val="clear" w:pos="525"/>
        </w:tabs>
        <w:spacing w:before="0"/>
        <w:ind w:left="709" w:hanging="709"/>
        <w:rPr>
          <w:rFonts w:cs="Arial"/>
          <w:color w:val="auto"/>
          <w:szCs w:val="24"/>
          <w:lang w:eastAsia="en-US"/>
        </w:rPr>
      </w:pPr>
      <w:r w:rsidRPr="00B84B5F">
        <w:rPr>
          <w:rFonts w:cs="Arial"/>
          <w:color w:val="auto"/>
          <w:szCs w:val="24"/>
          <w:lang w:eastAsia="en-US"/>
        </w:rPr>
        <w:t>The total floor area of the original dwelling will include any garage or domestic outbuilding within the curtilage of the dwelling that is used ancillary to the main dwelling and that was erected as part of the original development and still remains intact on site. Outbuildings added at a later date, regardless of whether planning permission was required, will not be included as part of the original dwelling.</w:t>
      </w:r>
    </w:p>
    <w:p w14:paraId="16A21898" w14:textId="77777777" w:rsidR="00B84B5F" w:rsidRPr="00B84B5F" w:rsidRDefault="00B84B5F" w:rsidP="00B84B5F">
      <w:pPr>
        <w:keepNext w:val="0"/>
        <w:spacing w:before="0"/>
        <w:ind w:left="709" w:hanging="709"/>
        <w:rPr>
          <w:rFonts w:cs="Arial"/>
          <w:color w:val="auto"/>
          <w:szCs w:val="24"/>
          <w:lang w:eastAsia="en-US"/>
        </w:rPr>
      </w:pPr>
    </w:p>
    <w:p w14:paraId="639631CB" w14:textId="27D22A07" w:rsidR="00B84B5F" w:rsidRPr="00B84B5F" w:rsidRDefault="00B84B5F" w:rsidP="00B84B5F">
      <w:pPr>
        <w:keepNext w:val="0"/>
        <w:numPr>
          <w:ilvl w:val="1"/>
          <w:numId w:val="5"/>
        </w:numPr>
        <w:tabs>
          <w:tab w:val="clear" w:pos="525"/>
        </w:tabs>
        <w:spacing w:before="0"/>
        <w:ind w:left="709" w:hanging="709"/>
        <w:rPr>
          <w:rFonts w:cs="Arial"/>
          <w:color w:val="auto"/>
          <w:szCs w:val="24"/>
          <w:lang w:eastAsia="en-US"/>
        </w:rPr>
      </w:pPr>
      <w:r w:rsidRPr="00B84B5F">
        <w:rPr>
          <w:rFonts w:cs="Arial"/>
          <w:color w:val="auto"/>
          <w:szCs w:val="24"/>
          <w:lang w:eastAsia="en-US"/>
        </w:rPr>
        <w:t>Planning application proposals for ancillary residential buildings such as garages and other outbuildings that do not constitute permitted development under Schedule 2 Part 1 Class E of The Town and Country Planning (General Permitted Development Order) or any superseding legislation, shall be treated as an extension.</w:t>
      </w:r>
    </w:p>
    <w:p w14:paraId="140129E4" w14:textId="77777777" w:rsidR="00B84B5F" w:rsidRPr="00B84B5F" w:rsidRDefault="00B84B5F" w:rsidP="00B84B5F">
      <w:pPr>
        <w:keepNext w:val="0"/>
        <w:spacing w:before="0"/>
        <w:ind w:left="709" w:hanging="709"/>
        <w:rPr>
          <w:rFonts w:cs="Arial"/>
          <w:color w:val="auto"/>
          <w:szCs w:val="24"/>
          <w:lang w:eastAsia="en-US"/>
        </w:rPr>
      </w:pPr>
    </w:p>
    <w:p w14:paraId="6EEFAA24" w14:textId="77777777" w:rsidR="00B84B5F" w:rsidRDefault="00B84B5F" w:rsidP="00B84B5F">
      <w:pPr>
        <w:keepNext w:val="0"/>
        <w:numPr>
          <w:ilvl w:val="1"/>
          <w:numId w:val="5"/>
        </w:numPr>
        <w:tabs>
          <w:tab w:val="clear" w:pos="525"/>
        </w:tabs>
        <w:spacing w:before="0"/>
        <w:ind w:left="709" w:hanging="709"/>
        <w:rPr>
          <w:rFonts w:cs="Arial"/>
          <w:color w:val="auto"/>
          <w:szCs w:val="24"/>
          <w:lang w:eastAsia="en-US"/>
        </w:rPr>
      </w:pPr>
      <w:r w:rsidRPr="00B84B5F">
        <w:rPr>
          <w:rFonts w:cs="Arial"/>
          <w:color w:val="auto"/>
          <w:szCs w:val="24"/>
          <w:lang w:eastAsia="en-US"/>
        </w:rPr>
        <w:t>Where ancillary domestic buildings are required in the Green Belt, they should be clearly subservient to their associated residential dwelling in terms of their function, design and scale in order to safeguard the appearance and character of the countryside and to ensure the impact on the openness of the Green Belt is minimised. In granting planning permission for ancillary domestic buildings in the Green Belt, the Council may impose conditions preventing their conversion to residential accommodation without planning permission.</w:t>
      </w:r>
    </w:p>
    <w:p w14:paraId="0BB0CDF2" w14:textId="2300C0C2" w:rsidR="00B84B5F" w:rsidRPr="00B84B5F" w:rsidRDefault="00B84B5F" w:rsidP="00B84B5F">
      <w:pPr>
        <w:keepNext w:val="0"/>
        <w:spacing w:before="0"/>
        <w:ind w:left="709" w:hanging="709"/>
        <w:rPr>
          <w:rFonts w:cs="Arial"/>
          <w:color w:val="auto"/>
          <w:szCs w:val="24"/>
          <w:lang w:eastAsia="en-US"/>
        </w:rPr>
      </w:pPr>
      <w:r w:rsidRPr="00B84B5F">
        <w:rPr>
          <w:rFonts w:cs="Arial"/>
          <w:color w:val="auto"/>
          <w:szCs w:val="24"/>
          <w:lang w:eastAsia="en-US"/>
        </w:rPr>
        <w:t xml:space="preserve"> </w:t>
      </w:r>
    </w:p>
    <w:p w14:paraId="6C0F3796" w14:textId="4D6B2895" w:rsidR="00B84B5F" w:rsidRPr="00B84B5F" w:rsidRDefault="00B84B5F" w:rsidP="00B84B5F">
      <w:pPr>
        <w:keepNext w:val="0"/>
        <w:numPr>
          <w:ilvl w:val="1"/>
          <w:numId w:val="5"/>
        </w:numPr>
        <w:tabs>
          <w:tab w:val="clear" w:pos="525"/>
        </w:tabs>
        <w:spacing w:before="0"/>
        <w:ind w:left="709" w:hanging="709"/>
        <w:rPr>
          <w:rFonts w:cs="Arial"/>
          <w:color w:val="auto"/>
          <w:szCs w:val="24"/>
          <w:lang w:eastAsia="en-US"/>
        </w:rPr>
      </w:pPr>
      <w:r w:rsidRPr="00B84B5F">
        <w:rPr>
          <w:rFonts w:cs="Arial"/>
          <w:color w:val="auto"/>
          <w:szCs w:val="24"/>
          <w:lang w:eastAsia="en-US"/>
        </w:rPr>
        <w:t xml:space="preserve">The Council will give consideration to the removal of permitted development rights when assessing proposals to extend a dwelling in the Green Belt. </w:t>
      </w:r>
    </w:p>
    <w:p w14:paraId="1ED478EB" w14:textId="77777777" w:rsidR="00B84B5F" w:rsidRPr="00B84B5F" w:rsidRDefault="00B84B5F" w:rsidP="00B84B5F">
      <w:pPr>
        <w:keepNext w:val="0"/>
        <w:spacing w:before="0"/>
        <w:ind w:left="709" w:hanging="709"/>
        <w:rPr>
          <w:rFonts w:cs="Arial"/>
          <w:color w:val="auto"/>
          <w:szCs w:val="24"/>
          <w:lang w:eastAsia="en-US"/>
        </w:rPr>
      </w:pPr>
    </w:p>
    <w:p w14:paraId="582F99EC" w14:textId="77777777" w:rsidR="00B84B5F" w:rsidRDefault="00B84B5F" w:rsidP="00B84B5F">
      <w:pPr>
        <w:keepNext w:val="0"/>
        <w:spacing w:before="0"/>
        <w:ind w:left="709"/>
        <w:rPr>
          <w:rFonts w:cs="Arial"/>
          <w:b/>
          <w:bCs/>
          <w:color w:val="auto"/>
          <w:szCs w:val="24"/>
          <w:lang w:eastAsia="en-US"/>
        </w:rPr>
      </w:pPr>
      <w:r w:rsidRPr="00B84B5F">
        <w:rPr>
          <w:rFonts w:cs="Arial"/>
          <w:b/>
          <w:bCs/>
          <w:color w:val="auto"/>
          <w:szCs w:val="24"/>
          <w:lang w:eastAsia="en-US"/>
        </w:rPr>
        <w:t>Replacement of Existing Buildings</w:t>
      </w:r>
    </w:p>
    <w:p w14:paraId="3530E8AC" w14:textId="77777777" w:rsidR="00B84B5F" w:rsidRPr="00B84B5F" w:rsidRDefault="00B84B5F" w:rsidP="00B84B5F">
      <w:pPr>
        <w:keepNext w:val="0"/>
        <w:numPr>
          <w:ilvl w:val="1"/>
          <w:numId w:val="5"/>
        </w:numPr>
        <w:tabs>
          <w:tab w:val="clear" w:pos="525"/>
        </w:tabs>
        <w:spacing w:before="0"/>
        <w:ind w:left="709" w:hanging="709"/>
        <w:rPr>
          <w:rFonts w:cs="Arial"/>
          <w:color w:val="auto"/>
          <w:szCs w:val="24"/>
          <w:lang w:eastAsia="en-US"/>
        </w:rPr>
      </w:pPr>
      <w:r w:rsidRPr="00B84B5F">
        <w:rPr>
          <w:rFonts w:cs="Arial"/>
          <w:color w:val="auto"/>
          <w:szCs w:val="24"/>
          <w:lang w:eastAsia="en-US"/>
        </w:rPr>
        <w:t xml:space="preserve">EV1:2d) The replacement of existing buildings need not be inappropriate providing that the new building is in the same use, is not materially larger than the original building it replaces, and where it can be demonstrated that the existing building is not of architectural or historic merit. Replacement buildings should be sited on or close to the position of the building it is replacing, except where an alternative siting within the curtilage demonstrably improves the openness of the Green Belt. Proposals for significantly different siting will only be supported where they result in a substantial visual improvement to the immediate setting. It is essential that such replacement buildings make a clear improvement to the surrounding area and the impact of generated traffic. This policy is not intended to formalise or give permanency to buildings of a clearly temporary nature. </w:t>
      </w:r>
    </w:p>
    <w:p w14:paraId="305AE494" w14:textId="77777777" w:rsidR="00B84B5F" w:rsidRPr="00B84B5F" w:rsidRDefault="00B84B5F" w:rsidP="00B84B5F">
      <w:pPr>
        <w:keepNext w:val="0"/>
        <w:spacing w:before="0"/>
        <w:ind w:left="709" w:hanging="709"/>
        <w:rPr>
          <w:rFonts w:cs="Arial"/>
          <w:color w:val="auto"/>
          <w:szCs w:val="24"/>
          <w:lang w:eastAsia="en-US"/>
        </w:rPr>
      </w:pPr>
    </w:p>
    <w:p w14:paraId="29FFD04B" w14:textId="77777777" w:rsidR="00B84B5F" w:rsidRPr="00B84B5F" w:rsidRDefault="00B84B5F" w:rsidP="00B84B5F">
      <w:pPr>
        <w:keepNext w:val="0"/>
        <w:numPr>
          <w:ilvl w:val="1"/>
          <w:numId w:val="5"/>
        </w:numPr>
        <w:tabs>
          <w:tab w:val="clear" w:pos="525"/>
        </w:tabs>
        <w:spacing w:before="0"/>
        <w:ind w:left="709" w:hanging="709"/>
        <w:rPr>
          <w:rFonts w:cs="Arial"/>
          <w:color w:val="auto"/>
          <w:szCs w:val="24"/>
          <w:lang w:eastAsia="en-US"/>
        </w:rPr>
      </w:pPr>
      <w:r w:rsidRPr="00B84B5F">
        <w:rPr>
          <w:rFonts w:cs="Arial"/>
          <w:color w:val="auto"/>
          <w:szCs w:val="24"/>
          <w:lang w:eastAsia="en-US"/>
        </w:rPr>
        <w:t xml:space="preserve">Where an existing building is derelict or is structurally unsound, permission will not be granted for its replacement unless this has resulted from accidental damage, for example by fire, or subsidence, and in the case of replacement for residential purposes, where it can be demonstrated that the residential use has not been abandoned. </w:t>
      </w:r>
    </w:p>
    <w:p w14:paraId="08F5F316" w14:textId="77777777" w:rsidR="00B84B5F" w:rsidRPr="00B84B5F" w:rsidRDefault="00B84B5F" w:rsidP="00B84B5F">
      <w:pPr>
        <w:keepNext w:val="0"/>
        <w:spacing w:before="0"/>
        <w:ind w:left="709" w:hanging="709"/>
        <w:rPr>
          <w:rFonts w:cs="Arial"/>
          <w:color w:val="auto"/>
          <w:szCs w:val="24"/>
          <w:lang w:eastAsia="en-US"/>
        </w:rPr>
      </w:pPr>
    </w:p>
    <w:p w14:paraId="5E7B4F02" w14:textId="77777777" w:rsidR="00B84B5F" w:rsidRDefault="00B84B5F" w:rsidP="00B84B5F">
      <w:pPr>
        <w:keepNext w:val="0"/>
        <w:spacing w:before="0"/>
        <w:ind w:left="709"/>
        <w:rPr>
          <w:rFonts w:cs="Arial"/>
          <w:b/>
          <w:bCs/>
          <w:color w:val="auto"/>
          <w:szCs w:val="24"/>
          <w:lang w:eastAsia="en-US"/>
        </w:rPr>
      </w:pPr>
      <w:r w:rsidRPr="00B84B5F">
        <w:rPr>
          <w:rFonts w:cs="Arial"/>
          <w:b/>
          <w:bCs/>
          <w:color w:val="auto"/>
          <w:szCs w:val="24"/>
          <w:lang w:eastAsia="en-US"/>
        </w:rPr>
        <w:t>Infill in Villages</w:t>
      </w:r>
    </w:p>
    <w:p w14:paraId="3B92EC86" w14:textId="77777777" w:rsidR="00B84B5F" w:rsidRPr="00B84B5F" w:rsidRDefault="00B84B5F" w:rsidP="00B84B5F">
      <w:pPr>
        <w:keepNext w:val="0"/>
        <w:numPr>
          <w:ilvl w:val="1"/>
          <w:numId w:val="5"/>
        </w:numPr>
        <w:tabs>
          <w:tab w:val="clear" w:pos="525"/>
        </w:tabs>
        <w:spacing w:before="0"/>
        <w:ind w:left="709" w:hanging="709"/>
        <w:rPr>
          <w:rFonts w:cs="Arial"/>
          <w:color w:val="auto"/>
          <w:szCs w:val="24"/>
          <w:lang w:eastAsia="en-US"/>
        </w:rPr>
      </w:pPr>
      <w:r w:rsidRPr="00B84B5F">
        <w:rPr>
          <w:rFonts w:cs="Arial"/>
          <w:color w:val="auto"/>
          <w:szCs w:val="24"/>
          <w:lang w:eastAsia="en-US"/>
        </w:rPr>
        <w:t>EV1:2e) The NPPF states that limited infilling in villages is not inappropriate development in the Green Belt, provided it preserves the openness of the Green Belt. The only villages ‘washed over’ by Green Belt is Bagthorpe (including Lower Bagthorpe and New Bagthorpe). Other smaller hamlets and outlying isolated settlements or extensions of other settlements within the Green Belt are not regarded as villages for the purpose of Policy EV1.</w:t>
      </w:r>
    </w:p>
    <w:p w14:paraId="0E88A0A2" w14:textId="77777777" w:rsidR="00B84B5F" w:rsidRPr="00B84B5F" w:rsidRDefault="00B84B5F" w:rsidP="00B84B5F">
      <w:pPr>
        <w:keepNext w:val="0"/>
        <w:spacing w:before="0"/>
        <w:ind w:left="709" w:hanging="709"/>
        <w:rPr>
          <w:rFonts w:cs="Arial"/>
          <w:color w:val="auto"/>
          <w:szCs w:val="24"/>
          <w:lang w:eastAsia="en-US"/>
        </w:rPr>
      </w:pPr>
    </w:p>
    <w:p w14:paraId="2A871310" w14:textId="77777777" w:rsidR="00B84B5F" w:rsidRPr="00B84B5F" w:rsidRDefault="00B84B5F" w:rsidP="00B84B5F">
      <w:pPr>
        <w:keepNext w:val="0"/>
        <w:numPr>
          <w:ilvl w:val="1"/>
          <w:numId w:val="5"/>
        </w:numPr>
        <w:tabs>
          <w:tab w:val="clear" w:pos="525"/>
        </w:tabs>
        <w:spacing w:before="0"/>
        <w:ind w:left="709" w:hanging="709"/>
        <w:rPr>
          <w:rFonts w:cs="Arial"/>
          <w:color w:val="auto"/>
          <w:szCs w:val="24"/>
          <w:lang w:eastAsia="en-US"/>
        </w:rPr>
      </w:pPr>
      <w:r w:rsidRPr="00B84B5F">
        <w:rPr>
          <w:rFonts w:cs="Arial"/>
          <w:color w:val="auto"/>
          <w:szCs w:val="24"/>
          <w:lang w:eastAsia="en-US"/>
        </w:rPr>
        <w:t>The Council defines limited infill development as the completion of an otherwise substantially built up frontage by the filling of a small gap normally capable of taking one or two dwellings only. A substantial built up frontage is defined as an otherwise continuous and largely uninterrupted built frontage of several dwellings visible within the street scene.</w:t>
      </w:r>
    </w:p>
    <w:p w14:paraId="1AF306BC" w14:textId="77777777" w:rsidR="00B84B5F" w:rsidRPr="00B84B5F" w:rsidRDefault="00B84B5F" w:rsidP="00B84B5F">
      <w:pPr>
        <w:keepNext w:val="0"/>
        <w:spacing w:before="0"/>
        <w:ind w:left="709" w:hanging="709"/>
        <w:rPr>
          <w:rFonts w:cs="Arial"/>
          <w:color w:val="auto"/>
          <w:szCs w:val="24"/>
          <w:lang w:eastAsia="en-US"/>
        </w:rPr>
      </w:pPr>
    </w:p>
    <w:p w14:paraId="78561D6E" w14:textId="77777777" w:rsidR="00B84B5F" w:rsidRPr="00B84B5F" w:rsidRDefault="00B84B5F" w:rsidP="00B84B5F">
      <w:pPr>
        <w:keepNext w:val="0"/>
        <w:numPr>
          <w:ilvl w:val="1"/>
          <w:numId w:val="5"/>
        </w:numPr>
        <w:tabs>
          <w:tab w:val="clear" w:pos="525"/>
        </w:tabs>
        <w:spacing w:before="0"/>
        <w:ind w:left="709" w:hanging="709"/>
        <w:rPr>
          <w:rFonts w:cs="Arial"/>
          <w:color w:val="auto"/>
          <w:szCs w:val="24"/>
          <w:lang w:eastAsia="en-US"/>
        </w:rPr>
      </w:pPr>
      <w:r w:rsidRPr="00B84B5F">
        <w:rPr>
          <w:rFonts w:cs="Arial"/>
          <w:color w:val="auto"/>
          <w:szCs w:val="24"/>
          <w:lang w:eastAsia="en-US"/>
        </w:rPr>
        <w:t xml:space="preserve">Not all small gaps are appropriate for infilling. Part of the character of Bagthorpe is made up of gardens, paddocks and other breaks between buildings, which is reflected in the Conservation Area designation of large parts of the village. Infill development may also not be desirable if it would consolidate groups of houses which are isolated from the main body of the village, or if it would consolidate a ribbon of development extending into the open countryside. </w:t>
      </w:r>
    </w:p>
    <w:p w14:paraId="1AB3FB93" w14:textId="77777777" w:rsidR="00B84B5F" w:rsidRPr="00B84B5F" w:rsidRDefault="00B84B5F" w:rsidP="00B84B5F">
      <w:pPr>
        <w:keepNext w:val="0"/>
        <w:spacing w:before="0"/>
        <w:ind w:left="709" w:hanging="709"/>
        <w:rPr>
          <w:rFonts w:cs="Arial"/>
          <w:color w:val="auto"/>
          <w:szCs w:val="24"/>
          <w:lang w:eastAsia="en-US"/>
        </w:rPr>
      </w:pPr>
    </w:p>
    <w:p w14:paraId="05C6FE90" w14:textId="77777777" w:rsidR="00B84B5F" w:rsidRPr="00B84B5F" w:rsidRDefault="00B84B5F" w:rsidP="00B84B5F">
      <w:pPr>
        <w:keepNext w:val="0"/>
        <w:numPr>
          <w:ilvl w:val="1"/>
          <w:numId w:val="5"/>
        </w:numPr>
        <w:tabs>
          <w:tab w:val="clear" w:pos="525"/>
        </w:tabs>
        <w:spacing w:before="0"/>
        <w:ind w:left="709" w:hanging="709"/>
        <w:rPr>
          <w:rFonts w:cs="Arial"/>
          <w:color w:val="auto"/>
          <w:szCs w:val="24"/>
          <w:lang w:eastAsia="en-US"/>
        </w:rPr>
      </w:pPr>
      <w:r w:rsidRPr="00B84B5F">
        <w:rPr>
          <w:rFonts w:cs="Arial"/>
          <w:color w:val="auto"/>
          <w:szCs w:val="24"/>
          <w:lang w:eastAsia="en-US"/>
        </w:rPr>
        <w:t>The above principles may also apply to infill for commercial, industrial, recreational or tourism purposes providing this would be in keeping with the character of the village and would not adversely affect residential amenity.</w:t>
      </w:r>
    </w:p>
    <w:p w14:paraId="3E208AB7" w14:textId="77777777" w:rsidR="00B84B5F" w:rsidRPr="00B84B5F" w:rsidRDefault="00B84B5F" w:rsidP="00B84B5F">
      <w:pPr>
        <w:keepNext w:val="0"/>
        <w:spacing w:before="0"/>
        <w:ind w:left="709" w:hanging="709"/>
        <w:rPr>
          <w:rFonts w:cs="Arial"/>
          <w:color w:val="auto"/>
          <w:szCs w:val="24"/>
          <w:lang w:eastAsia="en-US"/>
        </w:rPr>
      </w:pPr>
    </w:p>
    <w:p w14:paraId="0176755C" w14:textId="77777777" w:rsidR="00B84B5F" w:rsidRDefault="00B84B5F" w:rsidP="00B84B5F">
      <w:pPr>
        <w:keepNext w:val="0"/>
        <w:spacing w:before="0"/>
        <w:ind w:left="709"/>
        <w:rPr>
          <w:rFonts w:cs="Arial"/>
          <w:b/>
          <w:bCs/>
          <w:color w:val="auto"/>
          <w:szCs w:val="24"/>
          <w:lang w:eastAsia="en-US"/>
        </w:rPr>
      </w:pPr>
      <w:r w:rsidRPr="00B84B5F">
        <w:rPr>
          <w:rFonts w:cs="Arial"/>
          <w:b/>
          <w:bCs/>
          <w:color w:val="auto"/>
          <w:szCs w:val="24"/>
          <w:lang w:eastAsia="en-US"/>
        </w:rPr>
        <w:t xml:space="preserve">Infill, partial or complete redevelopment </w:t>
      </w:r>
    </w:p>
    <w:p w14:paraId="088A6D07" w14:textId="7324A48C" w:rsidR="008A5E51" w:rsidRDefault="00B84B5F" w:rsidP="008A5E51">
      <w:pPr>
        <w:keepNext w:val="0"/>
        <w:numPr>
          <w:ilvl w:val="1"/>
          <w:numId w:val="5"/>
        </w:numPr>
        <w:tabs>
          <w:tab w:val="clear" w:pos="525"/>
        </w:tabs>
        <w:spacing w:before="0"/>
        <w:ind w:left="709" w:hanging="709"/>
        <w:rPr>
          <w:rFonts w:cs="Arial"/>
          <w:color w:val="auto"/>
          <w:szCs w:val="24"/>
          <w:lang w:eastAsia="en-US"/>
        </w:rPr>
      </w:pPr>
      <w:r w:rsidRPr="00B84B5F">
        <w:rPr>
          <w:rFonts w:cs="Arial"/>
          <w:color w:val="auto"/>
          <w:szCs w:val="24"/>
          <w:lang w:eastAsia="en-US"/>
        </w:rPr>
        <w:t>EV1:2f) The NPPF states that limited infilling or the partial or complete redevelopment of previously developed sites, whether redundant or in continuing use, is not inappropriate development in the Green Belt, provided it would not have a greater impact on the openness of the Green Belt than the existing development and the purpose of including land within it than the existing development; or not cause substantial harm to the openness of the Green Belt, where the development would re-use previously developed land and contribute to meeting an identified affordable need within the area.</w:t>
      </w:r>
    </w:p>
    <w:p w14:paraId="5FC98F36" w14:textId="707EA046" w:rsidR="008A5E51" w:rsidRDefault="008A5E51" w:rsidP="008A5E51">
      <w:pPr>
        <w:keepNext w:val="0"/>
        <w:spacing w:before="0"/>
        <w:rPr>
          <w:rFonts w:cs="Arial"/>
          <w:color w:val="auto"/>
          <w:szCs w:val="24"/>
          <w:lang w:eastAsia="en-US"/>
        </w:rPr>
      </w:pPr>
    </w:p>
    <w:p w14:paraId="44D79038" w14:textId="2214D636" w:rsidR="008A5E51" w:rsidRDefault="008A5E51" w:rsidP="008A5E51">
      <w:pPr>
        <w:keepNext w:val="0"/>
        <w:spacing w:before="0"/>
        <w:rPr>
          <w:rFonts w:cs="Arial"/>
          <w:color w:val="auto"/>
          <w:szCs w:val="24"/>
          <w:lang w:eastAsia="en-US"/>
        </w:rPr>
      </w:pPr>
    </w:p>
    <w:p w14:paraId="312C84FB" w14:textId="77777777" w:rsidR="0079686C" w:rsidRDefault="0079686C" w:rsidP="008A5E51">
      <w:pPr>
        <w:keepNext w:val="0"/>
        <w:spacing w:before="0"/>
        <w:rPr>
          <w:rFonts w:cs="Arial"/>
          <w:color w:val="auto"/>
          <w:szCs w:val="24"/>
          <w:lang w:eastAsia="en-US"/>
        </w:rPr>
      </w:pPr>
    </w:p>
    <w:p w14:paraId="54B7D7A5" w14:textId="5172601A" w:rsidR="00B32851" w:rsidRPr="00995322" w:rsidRDefault="006977E7" w:rsidP="00995322">
      <w:pPr>
        <w:pStyle w:val="Heading2"/>
        <w:jc w:val="left"/>
        <w:rPr>
          <w:rFonts w:eastAsia="Arial"/>
          <w:sz w:val="28"/>
          <w:szCs w:val="28"/>
        </w:rPr>
      </w:pPr>
      <w:bookmarkStart w:id="161" w:name="_Toc145511576"/>
      <w:r w:rsidRPr="00995322">
        <w:rPr>
          <w:sz w:val="28"/>
          <w:szCs w:val="28"/>
        </w:rPr>
        <w:t xml:space="preserve">Policy </w:t>
      </w:r>
      <w:r w:rsidR="00B32851" w:rsidRPr="00995322">
        <w:rPr>
          <w:sz w:val="28"/>
          <w:szCs w:val="28"/>
        </w:rPr>
        <w:t>EV</w:t>
      </w:r>
      <w:r w:rsidR="00091F56" w:rsidRPr="00995322">
        <w:rPr>
          <w:sz w:val="28"/>
          <w:szCs w:val="28"/>
        </w:rPr>
        <w:t>2</w:t>
      </w:r>
      <w:r w:rsidR="00B32851" w:rsidRPr="00995322">
        <w:rPr>
          <w:sz w:val="28"/>
          <w:szCs w:val="28"/>
        </w:rPr>
        <w:t>: Countryside</w:t>
      </w:r>
      <w:bookmarkEnd w:id="161"/>
    </w:p>
    <w:p w14:paraId="505434CA" w14:textId="77777777" w:rsidR="00B32851" w:rsidRPr="00B20356" w:rsidRDefault="00B32851" w:rsidP="00B32851">
      <w:pPr>
        <w:rPr>
          <w:rFonts w:eastAsia="Arial" w:cs="Arial"/>
        </w:rPr>
      </w:pPr>
    </w:p>
    <w:tbl>
      <w:tblPr>
        <w:tblStyle w:val="ReportTable1"/>
        <w:tblW w:w="9634" w:type="dxa"/>
        <w:tblLook w:val="04A0" w:firstRow="1" w:lastRow="0" w:firstColumn="1" w:lastColumn="0" w:noHBand="0" w:noVBand="1"/>
      </w:tblPr>
      <w:tblGrid>
        <w:gridCol w:w="2405"/>
        <w:gridCol w:w="255"/>
        <w:gridCol w:w="6974"/>
      </w:tblGrid>
      <w:tr w:rsidR="00B32851" w:rsidRPr="00B20356" w14:paraId="68BDB4AC" w14:textId="77777777" w:rsidTr="00817916">
        <w:trPr>
          <w:trHeight w:val="421"/>
        </w:trPr>
        <w:tc>
          <w:tcPr>
            <w:tcW w:w="9634" w:type="dxa"/>
            <w:gridSpan w:val="3"/>
          </w:tcPr>
          <w:p w14:paraId="6F644D3F" w14:textId="77777777" w:rsidR="00FC2A72" w:rsidRDefault="00FC2A72" w:rsidP="00FC2A72">
            <w:pPr>
              <w:autoSpaceDE w:val="0"/>
              <w:autoSpaceDN w:val="0"/>
              <w:adjustRightInd w:val="0"/>
              <w:spacing w:before="0"/>
              <w:rPr>
                <w:rFonts w:cs="Arial"/>
                <w:b/>
                <w:szCs w:val="24"/>
              </w:rPr>
            </w:pPr>
          </w:p>
          <w:p w14:paraId="1A7BCA0A" w14:textId="1A02903E" w:rsidR="00B32851" w:rsidRDefault="00B32851" w:rsidP="00FC2A72">
            <w:pPr>
              <w:autoSpaceDE w:val="0"/>
              <w:autoSpaceDN w:val="0"/>
              <w:adjustRightInd w:val="0"/>
              <w:spacing w:before="0"/>
              <w:rPr>
                <w:rFonts w:eastAsia="Arial" w:cs="Arial"/>
                <w:b/>
                <w:color w:val="auto"/>
                <w:spacing w:val="-1"/>
              </w:rPr>
            </w:pPr>
            <w:r w:rsidRPr="00B20356">
              <w:rPr>
                <w:rFonts w:cs="Arial"/>
                <w:b/>
                <w:szCs w:val="24"/>
              </w:rPr>
              <w:t xml:space="preserve">Policy </w:t>
            </w:r>
            <w:r w:rsidRPr="00B20356">
              <w:rPr>
                <w:rFonts w:eastAsia="Arial" w:cs="Arial"/>
                <w:b/>
                <w:spacing w:val="-1"/>
              </w:rPr>
              <w:t>EV2</w:t>
            </w:r>
            <w:r w:rsidRPr="001B0F28">
              <w:rPr>
                <w:rFonts w:eastAsia="Arial" w:cs="Arial"/>
                <w:b/>
                <w:color w:val="auto"/>
                <w:spacing w:val="-1"/>
              </w:rPr>
              <w:t>: Countryside</w:t>
            </w:r>
          </w:p>
          <w:p w14:paraId="497A0279" w14:textId="17AE72EE" w:rsidR="00FC2A72" w:rsidRPr="00B20356" w:rsidRDefault="00FC2A72" w:rsidP="00FC2A72">
            <w:pPr>
              <w:autoSpaceDE w:val="0"/>
              <w:autoSpaceDN w:val="0"/>
              <w:adjustRightInd w:val="0"/>
              <w:spacing w:before="0"/>
              <w:rPr>
                <w:rFonts w:cs="Arial"/>
                <w:szCs w:val="24"/>
              </w:rPr>
            </w:pPr>
          </w:p>
        </w:tc>
      </w:tr>
      <w:tr w:rsidR="00B32851" w:rsidRPr="00B20356" w14:paraId="4D94758B" w14:textId="77777777" w:rsidTr="00817916">
        <w:tc>
          <w:tcPr>
            <w:tcW w:w="2660" w:type="dxa"/>
            <w:gridSpan w:val="2"/>
          </w:tcPr>
          <w:p w14:paraId="50C906B8" w14:textId="77777777" w:rsidR="00B32851" w:rsidRPr="00FC2A72" w:rsidRDefault="00B32851" w:rsidP="00F476A9">
            <w:pPr>
              <w:tabs>
                <w:tab w:val="left" w:pos="680"/>
              </w:tabs>
              <w:spacing w:before="40" w:after="40"/>
              <w:rPr>
                <w:rFonts w:eastAsia="Arial"/>
                <w:bCs/>
              </w:rPr>
            </w:pPr>
            <w:r w:rsidRPr="00FC2A72">
              <w:rPr>
                <w:rFonts w:eastAsia="Arial"/>
                <w:bCs/>
              </w:rPr>
              <w:t>Strategic Objectives</w:t>
            </w:r>
          </w:p>
        </w:tc>
        <w:tc>
          <w:tcPr>
            <w:tcW w:w="6974" w:type="dxa"/>
          </w:tcPr>
          <w:p w14:paraId="4B13B1AF" w14:textId="77777777" w:rsidR="00B32851" w:rsidRPr="00FC2A72" w:rsidRDefault="00B32851" w:rsidP="00F476A9">
            <w:pPr>
              <w:tabs>
                <w:tab w:val="left" w:pos="680"/>
              </w:tabs>
              <w:spacing w:before="40" w:after="40"/>
              <w:rPr>
                <w:rFonts w:eastAsia="Arial"/>
                <w:bCs/>
              </w:rPr>
            </w:pPr>
            <w:r w:rsidRPr="00FC2A72">
              <w:rPr>
                <w:rFonts w:eastAsia="Arial"/>
                <w:bCs/>
              </w:rPr>
              <w:t>SO1, SO2, SO3, SO5, SO6, SO12, SO13, SO14.</w:t>
            </w:r>
          </w:p>
        </w:tc>
      </w:tr>
      <w:tr w:rsidR="00B32851" w:rsidRPr="00B20356" w14:paraId="4910A197" w14:textId="77777777" w:rsidTr="00817916">
        <w:tc>
          <w:tcPr>
            <w:tcW w:w="9634" w:type="dxa"/>
            <w:gridSpan w:val="3"/>
            <w:shd w:val="clear" w:color="auto" w:fill="E2EFD9"/>
          </w:tcPr>
          <w:p w14:paraId="536E2FB5" w14:textId="190DC1AA" w:rsidR="00B32851" w:rsidRPr="00B32851" w:rsidRDefault="00B32851" w:rsidP="00874A98">
            <w:pPr>
              <w:keepNext w:val="0"/>
              <w:numPr>
                <w:ilvl w:val="0"/>
                <w:numId w:val="216"/>
              </w:numPr>
              <w:tabs>
                <w:tab w:val="left" w:pos="680"/>
                <w:tab w:val="left" w:pos="1133"/>
                <w:tab w:val="left" w:pos="2267"/>
              </w:tabs>
              <w:ind w:left="357" w:right="284" w:hanging="357"/>
              <w:rPr>
                <w:rFonts w:eastAsia="Arial"/>
                <w:bCs/>
              </w:rPr>
            </w:pPr>
            <w:r w:rsidRPr="00B32851">
              <w:rPr>
                <w:rFonts w:eastAsia="Arial"/>
                <w:bCs/>
              </w:rPr>
              <w:t>Where proposed development falls within Green Belt, Policy EV1 criteria will take precedent over the countryside criteria as set out below.</w:t>
            </w:r>
          </w:p>
          <w:p w14:paraId="45292744" w14:textId="75372AD2" w:rsidR="00B32851" w:rsidRPr="00B32851" w:rsidRDefault="00B32851" w:rsidP="00874A98">
            <w:pPr>
              <w:keepNext w:val="0"/>
              <w:numPr>
                <w:ilvl w:val="0"/>
                <w:numId w:val="216"/>
              </w:numPr>
              <w:tabs>
                <w:tab w:val="left" w:pos="680"/>
                <w:tab w:val="left" w:pos="1133"/>
                <w:tab w:val="left" w:pos="2267"/>
              </w:tabs>
              <w:ind w:left="357" w:right="284" w:hanging="357"/>
              <w:rPr>
                <w:rFonts w:eastAsia="Arial"/>
                <w:bCs/>
              </w:rPr>
            </w:pPr>
            <w:r w:rsidRPr="00B32851">
              <w:rPr>
                <w:rFonts w:eastAsia="Arial"/>
                <w:bCs/>
                <w:spacing w:val="-1"/>
              </w:rPr>
              <w:t xml:space="preserve">In the countryside permission will only be given for appropriate development that is </w:t>
            </w:r>
            <w:r w:rsidR="009421C3">
              <w:rPr>
                <w:rFonts w:eastAsia="Arial"/>
                <w:bCs/>
                <w:spacing w:val="-1"/>
              </w:rPr>
              <w:t>su</w:t>
            </w:r>
            <w:r w:rsidR="0046498A">
              <w:rPr>
                <w:rFonts w:eastAsia="Arial"/>
                <w:bCs/>
                <w:spacing w:val="-1"/>
              </w:rPr>
              <w:t>itably</w:t>
            </w:r>
            <w:r w:rsidR="009421C3">
              <w:rPr>
                <w:rFonts w:eastAsia="Arial"/>
                <w:bCs/>
                <w:spacing w:val="-1"/>
              </w:rPr>
              <w:t xml:space="preserve"> </w:t>
            </w:r>
            <w:r w:rsidRPr="00B32851">
              <w:rPr>
                <w:rFonts w:eastAsia="Arial"/>
                <w:bCs/>
                <w:spacing w:val="-1"/>
              </w:rPr>
              <w:t>located and designed so as not to adversely</w:t>
            </w:r>
            <w:r w:rsidR="0046498A">
              <w:rPr>
                <w:rFonts w:eastAsia="Arial"/>
                <w:bCs/>
                <w:spacing w:val="-1"/>
              </w:rPr>
              <w:t xml:space="preserve"> affect</w:t>
            </w:r>
            <w:r w:rsidRPr="00B32851">
              <w:rPr>
                <w:rFonts w:eastAsia="Arial"/>
                <w:bCs/>
                <w:spacing w:val="-1"/>
              </w:rPr>
              <w:t xml:space="preserve"> the character </w:t>
            </w:r>
            <w:r w:rsidR="009421C3">
              <w:rPr>
                <w:rFonts w:eastAsia="Arial"/>
                <w:bCs/>
                <w:spacing w:val="-1"/>
              </w:rPr>
              <w:t xml:space="preserve">and appearance </w:t>
            </w:r>
            <w:r w:rsidRPr="00B32851">
              <w:rPr>
                <w:rFonts w:eastAsia="Arial"/>
                <w:bCs/>
                <w:spacing w:val="-1"/>
              </w:rPr>
              <w:t xml:space="preserve">of the countryside.  </w:t>
            </w:r>
          </w:p>
          <w:p w14:paraId="56D446D9" w14:textId="77777777" w:rsidR="00B32851" w:rsidRPr="00B32851" w:rsidRDefault="00B32851" w:rsidP="00F476A9">
            <w:pPr>
              <w:tabs>
                <w:tab w:val="left" w:pos="680"/>
                <w:tab w:val="left" w:pos="1133"/>
                <w:tab w:val="left" w:pos="2267"/>
              </w:tabs>
              <w:ind w:left="357" w:right="284"/>
              <w:rPr>
                <w:rFonts w:eastAsia="Arial"/>
                <w:bCs/>
              </w:rPr>
            </w:pPr>
            <w:r w:rsidRPr="00B32851">
              <w:rPr>
                <w:rFonts w:eastAsia="Arial"/>
                <w:bCs/>
                <w:spacing w:val="-1"/>
              </w:rPr>
              <w:t>Appropriate development comprises:</w:t>
            </w:r>
          </w:p>
          <w:p w14:paraId="5938C2C1" w14:textId="77777777" w:rsidR="00B32851" w:rsidRPr="001B0F28" w:rsidRDefault="00B32851" w:rsidP="00D45CE9">
            <w:pPr>
              <w:spacing w:after="120"/>
              <w:ind w:left="306"/>
              <w:contextualSpacing/>
              <w:rPr>
                <w:rFonts w:eastAsia="Arial" w:cs="Arial"/>
                <w:bCs/>
                <w:i/>
                <w:color w:val="auto"/>
                <w:spacing w:val="-1"/>
                <w:szCs w:val="24"/>
              </w:rPr>
            </w:pPr>
            <w:r w:rsidRPr="001B0F28">
              <w:rPr>
                <w:rFonts w:eastAsia="Arial" w:cs="Arial"/>
                <w:bCs/>
                <w:i/>
                <w:color w:val="auto"/>
                <w:spacing w:val="-1"/>
                <w:szCs w:val="24"/>
              </w:rPr>
              <w:t>Rural Uses</w:t>
            </w:r>
          </w:p>
          <w:p w14:paraId="71943E27" w14:textId="77777777" w:rsidR="00B32851" w:rsidRPr="00B32851" w:rsidRDefault="00B32851" w:rsidP="00874A98">
            <w:pPr>
              <w:keepNext w:val="0"/>
              <w:numPr>
                <w:ilvl w:val="0"/>
                <w:numId w:val="218"/>
              </w:numPr>
              <w:tabs>
                <w:tab w:val="left" w:pos="1133"/>
                <w:tab w:val="left" w:pos="2267"/>
              </w:tabs>
              <w:spacing w:before="0"/>
              <w:ind w:right="284"/>
              <w:rPr>
                <w:rFonts w:eastAsia="Arial"/>
                <w:bCs/>
              </w:rPr>
            </w:pPr>
            <w:r w:rsidRPr="00B32851">
              <w:rPr>
                <w:rFonts w:eastAsia="Arial"/>
                <w:bCs/>
                <w:spacing w:val="-1"/>
              </w:rPr>
              <w:t>Rural uses including agriculture (including farm diversification), forestry, engineering operations, mineral extraction and waste disposal to reclaim mineral workings, cemeteries, outdoor sport and recreation and tourism;</w:t>
            </w:r>
          </w:p>
          <w:p w14:paraId="1AE3FA3A" w14:textId="77777777" w:rsidR="00B32851" w:rsidRPr="001B0F28" w:rsidRDefault="00B32851" w:rsidP="00F476A9">
            <w:pPr>
              <w:tabs>
                <w:tab w:val="left" w:pos="1133"/>
                <w:tab w:val="left" w:pos="2267"/>
              </w:tabs>
              <w:ind w:left="284" w:right="284"/>
              <w:rPr>
                <w:rFonts w:eastAsia="Arial"/>
                <w:bCs/>
                <w:i/>
                <w:color w:val="auto"/>
                <w:spacing w:val="-1"/>
              </w:rPr>
            </w:pPr>
            <w:r w:rsidRPr="001B0F28">
              <w:rPr>
                <w:rFonts w:eastAsia="Arial"/>
                <w:bCs/>
                <w:i/>
                <w:color w:val="auto"/>
                <w:spacing w:val="-1"/>
              </w:rPr>
              <w:t>Business Uses</w:t>
            </w:r>
          </w:p>
          <w:p w14:paraId="161053D4" w14:textId="77777777" w:rsidR="00B32851" w:rsidRPr="00B32851" w:rsidRDefault="00B32851" w:rsidP="00874A98">
            <w:pPr>
              <w:keepNext w:val="0"/>
              <w:numPr>
                <w:ilvl w:val="0"/>
                <w:numId w:val="218"/>
              </w:numPr>
              <w:tabs>
                <w:tab w:val="left" w:pos="1133"/>
                <w:tab w:val="left" w:pos="2267"/>
              </w:tabs>
              <w:spacing w:before="0"/>
              <w:ind w:right="284"/>
              <w:rPr>
                <w:rFonts w:eastAsia="Arial"/>
                <w:bCs/>
              </w:rPr>
            </w:pPr>
            <w:r w:rsidRPr="00B32851">
              <w:rPr>
                <w:rFonts w:eastAsia="Arial"/>
                <w:bCs/>
                <w:spacing w:val="-1"/>
              </w:rPr>
              <w:t>Business uses where it can be demonstrated that:</w:t>
            </w:r>
          </w:p>
          <w:p w14:paraId="0B6CB48D" w14:textId="77777777" w:rsidR="00B32851" w:rsidRPr="00B32851" w:rsidRDefault="00B32851" w:rsidP="00874A98">
            <w:pPr>
              <w:keepNext w:val="0"/>
              <w:numPr>
                <w:ilvl w:val="0"/>
                <w:numId w:val="217"/>
              </w:numPr>
              <w:tabs>
                <w:tab w:val="left" w:pos="680"/>
              </w:tabs>
              <w:spacing w:before="0" w:after="170"/>
              <w:rPr>
                <w:rFonts w:eastAsia="Arial"/>
                <w:bCs/>
                <w:spacing w:val="-1"/>
              </w:rPr>
            </w:pPr>
            <w:r w:rsidRPr="00B32851">
              <w:rPr>
                <w:rFonts w:eastAsia="Arial"/>
                <w:bCs/>
                <w:spacing w:val="-1"/>
              </w:rPr>
              <w:t>there is a need for a particular rural location; and</w:t>
            </w:r>
          </w:p>
          <w:p w14:paraId="6457321A" w14:textId="77777777" w:rsidR="00B32851" w:rsidRPr="00B32851" w:rsidRDefault="00B32851" w:rsidP="00874A98">
            <w:pPr>
              <w:keepNext w:val="0"/>
              <w:numPr>
                <w:ilvl w:val="0"/>
                <w:numId w:val="217"/>
              </w:numPr>
              <w:tabs>
                <w:tab w:val="left" w:pos="680"/>
              </w:tabs>
              <w:spacing w:before="0" w:after="170"/>
              <w:rPr>
                <w:rFonts w:eastAsia="Arial"/>
                <w:bCs/>
                <w:spacing w:val="-1"/>
              </w:rPr>
            </w:pPr>
            <w:r w:rsidRPr="00B32851">
              <w:rPr>
                <w:rFonts w:eastAsia="Arial"/>
                <w:bCs/>
                <w:spacing w:val="-1"/>
              </w:rPr>
              <w:t xml:space="preserve">there is a contribution to providing or sustaining rural employment to meet local needs. </w:t>
            </w:r>
          </w:p>
          <w:p w14:paraId="002A0816" w14:textId="77777777" w:rsidR="00B32851" w:rsidRPr="00B32851" w:rsidRDefault="00B32851" w:rsidP="00F476A9">
            <w:pPr>
              <w:tabs>
                <w:tab w:val="left" w:pos="426"/>
                <w:tab w:val="left" w:pos="680"/>
              </w:tabs>
              <w:spacing w:after="120"/>
              <w:rPr>
                <w:rFonts w:eastAsia="Arial"/>
                <w:bCs/>
                <w:i/>
                <w:color w:val="538135"/>
                <w:spacing w:val="-1"/>
              </w:rPr>
            </w:pPr>
            <w:r w:rsidRPr="00B32851">
              <w:rPr>
                <w:rFonts w:eastAsia="Arial"/>
                <w:bCs/>
                <w:i/>
                <w:spacing w:val="-1"/>
              </w:rPr>
              <w:tab/>
            </w:r>
            <w:r w:rsidRPr="001B0F28">
              <w:rPr>
                <w:rFonts w:eastAsia="Arial"/>
                <w:bCs/>
                <w:i/>
                <w:color w:val="auto"/>
                <w:spacing w:val="-1"/>
              </w:rPr>
              <w:t>New Buildings</w:t>
            </w:r>
          </w:p>
          <w:p w14:paraId="6784D209" w14:textId="64C81900" w:rsidR="00B32851" w:rsidRPr="00B32851" w:rsidRDefault="00817916" w:rsidP="00874A98">
            <w:pPr>
              <w:keepNext w:val="0"/>
              <w:numPr>
                <w:ilvl w:val="0"/>
                <w:numId w:val="218"/>
              </w:numPr>
              <w:tabs>
                <w:tab w:val="left" w:pos="1133"/>
                <w:tab w:val="left" w:pos="2267"/>
              </w:tabs>
              <w:spacing w:before="0"/>
              <w:ind w:right="284"/>
              <w:rPr>
                <w:rFonts w:eastAsia="Arial"/>
                <w:bCs/>
              </w:rPr>
            </w:pPr>
            <w:r w:rsidRPr="00B32851">
              <w:rPr>
                <w:rFonts w:eastAsia="Arial"/>
                <w:bCs/>
                <w:spacing w:val="-1"/>
              </w:rPr>
              <w:t>Well-designed</w:t>
            </w:r>
            <w:r w:rsidR="00B32851" w:rsidRPr="00B32851">
              <w:rPr>
                <w:rFonts w:eastAsia="Arial"/>
                <w:bCs/>
                <w:spacing w:val="-1"/>
              </w:rPr>
              <w:t xml:space="preserve"> new buildings which are essential for uses appropriate to the Countryside, and the need for the proposed location has been established;</w:t>
            </w:r>
          </w:p>
          <w:p w14:paraId="13EFA3C1" w14:textId="77777777" w:rsidR="00B32851" w:rsidRPr="001B0F28" w:rsidRDefault="00B32851" w:rsidP="00F476A9">
            <w:pPr>
              <w:tabs>
                <w:tab w:val="left" w:pos="1133"/>
                <w:tab w:val="left" w:pos="2267"/>
              </w:tabs>
              <w:spacing w:after="120"/>
              <w:ind w:left="454" w:right="284"/>
              <w:rPr>
                <w:rFonts w:eastAsia="Arial"/>
                <w:bCs/>
                <w:i/>
                <w:color w:val="auto"/>
              </w:rPr>
            </w:pPr>
            <w:r w:rsidRPr="001B0F28">
              <w:rPr>
                <w:rFonts w:eastAsia="Arial"/>
                <w:bCs/>
                <w:i/>
                <w:color w:val="auto"/>
                <w:spacing w:val="-1"/>
              </w:rPr>
              <w:t>Utilities and Infrastructure</w:t>
            </w:r>
          </w:p>
          <w:p w14:paraId="6B69CE32" w14:textId="77777777" w:rsidR="00B32851" w:rsidRPr="001B0F28" w:rsidRDefault="00B32851" w:rsidP="00874A98">
            <w:pPr>
              <w:keepNext w:val="0"/>
              <w:numPr>
                <w:ilvl w:val="0"/>
                <w:numId w:val="218"/>
              </w:numPr>
              <w:tabs>
                <w:tab w:val="left" w:pos="1133"/>
                <w:tab w:val="left" w:pos="2267"/>
              </w:tabs>
              <w:spacing w:before="0"/>
              <w:ind w:right="284"/>
              <w:rPr>
                <w:rFonts w:eastAsia="Arial"/>
                <w:bCs/>
                <w:color w:val="auto"/>
              </w:rPr>
            </w:pPr>
            <w:r w:rsidRPr="001B0F28">
              <w:rPr>
                <w:rFonts w:eastAsia="Arial"/>
                <w:bCs/>
                <w:color w:val="auto"/>
                <w:spacing w:val="-1"/>
              </w:rPr>
              <w:t>Utility installations and local transport infrastructure which can demonstrate a requirement for a rural location;</w:t>
            </w:r>
          </w:p>
          <w:p w14:paraId="1E3630D5" w14:textId="77777777" w:rsidR="00B32851" w:rsidRPr="001B0F28" w:rsidRDefault="00B32851" w:rsidP="00F476A9">
            <w:pPr>
              <w:tabs>
                <w:tab w:val="left" w:pos="1133"/>
                <w:tab w:val="left" w:pos="2267"/>
              </w:tabs>
              <w:spacing w:after="120"/>
              <w:ind w:left="426" w:right="284"/>
              <w:rPr>
                <w:rFonts w:eastAsia="Arial"/>
                <w:bCs/>
                <w:i/>
                <w:color w:val="auto"/>
              </w:rPr>
            </w:pPr>
            <w:r w:rsidRPr="001B0F28">
              <w:rPr>
                <w:rFonts w:eastAsia="Arial"/>
                <w:bCs/>
                <w:i/>
                <w:color w:val="auto"/>
              </w:rPr>
              <w:t>Extension and Alteration</w:t>
            </w:r>
          </w:p>
          <w:p w14:paraId="1FFC0D95" w14:textId="77777777" w:rsidR="00B32851" w:rsidRPr="001B0F28" w:rsidRDefault="00B32851" w:rsidP="00874A98">
            <w:pPr>
              <w:keepNext w:val="0"/>
              <w:numPr>
                <w:ilvl w:val="0"/>
                <w:numId w:val="218"/>
              </w:numPr>
              <w:tabs>
                <w:tab w:val="left" w:pos="1133"/>
                <w:tab w:val="left" w:pos="2267"/>
              </w:tabs>
              <w:spacing w:before="0"/>
              <w:ind w:right="284"/>
              <w:rPr>
                <w:rFonts w:eastAsia="Arial"/>
                <w:bCs/>
                <w:strike/>
                <w:color w:val="auto"/>
              </w:rPr>
            </w:pPr>
            <w:r w:rsidRPr="001B0F28">
              <w:rPr>
                <w:rFonts w:eastAsia="Arial"/>
                <w:bCs/>
                <w:color w:val="auto"/>
                <w:spacing w:val="-1"/>
              </w:rPr>
              <w:t>Limited extensions or alterations of existing buildings where the resultant scale, form, and general design is in keeping with the host building, and its surroundings;</w:t>
            </w:r>
          </w:p>
          <w:p w14:paraId="136BDDAF" w14:textId="77777777" w:rsidR="00B32851" w:rsidRPr="001B0F28" w:rsidRDefault="00B32851" w:rsidP="00F476A9">
            <w:pPr>
              <w:tabs>
                <w:tab w:val="left" w:pos="1133"/>
                <w:tab w:val="left" w:pos="2267"/>
              </w:tabs>
              <w:spacing w:after="120"/>
              <w:ind w:left="426" w:right="284"/>
              <w:rPr>
                <w:rFonts w:eastAsia="Arial"/>
                <w:bCs/>
                <w:i/>
                <w:color w:val="auto"/>
              </w:rPr>
            </w:pPr>
            <w:r w:rsidRPr="001B0F28">
              <w:rPr>
                <w:rFonts w:eastAsia="Arial"/>
                <w:bCs/>
                <w:i/>
                <w:color w:val="auto"/>
              </w:rPr>
              <w:t>Replacement of Existing Buildings</w:t>
            </w:r>
          </w:p>
          <w:p w14:paraId="2C244A6F" w14:textId="77777777" w:rsidR="00B32851" w:rsidRPr="001B0F28" w:rsidRDefault="00B32851" w:rsidP="00874A98">
            <w:pPr>
              <w:keepNext w:val="0"/>
              <w:numPr>
                <w:ilvl w:val="0"/>
                <w:numId w:val="218"/>
              </w:numPr>
              <w:tabs>
                <w:tab w:val="left" w:pos="1133"/>
                <w:tab w:val="left" w:pos="2267"/>
              </w:tabs>
              <w:spacing w:before="0"/>
              <w:ind w:right="284"/>
              <w:rPr>
                <w:rFonts w:eastAsia="Arial"/>
                <w:bCs/>
                <w:color w:val="auto"/>
              </w:rPr>
            </w:pPr>
            <w:r w:rsidRPr="001B0F28">
              <w:rPr>
                <w:rFonts w:eastAsia="Arial"/>
                <w:bCs/>
                <w:color w:val="auto"/>
                <w:spacing w:val="-1"/>
              </w:rPr>
              <w:t>Replacement of existing buildings provided that the new building is in the same or an appropriate rural use, is not materially larger than the one it replaces, and can be demonstrated that the existing building is not of architectural or historic merit;</w:t>
            </w:r>
          </w:p>
          <w:p w14:paraId="79AE1857" w14:textId="77777777" w:rsidR="00B32851" w:rsidRPr="001B0F28" w:rsidRDefault="00B32851" w:rsidP="00F476A9">
            <w:pPr>
              <w:tabs>
                <w:tab w:val="left" w:pos="1133"/>
                <w:tab w:val="left" w:pos="2267"/>
              </w:tabs>
              <w:spacing w:after="120"/>
              <w:ind w:left="426" w:right="284"/>
              <w:rPr>
                <w:rFonts w:eastAsia="Arial"/>
                <w:bCs/>
                <w:i/>
                <w:color w:val="auto"/>
              </w:rPr>
            </w:pPr>
            <w:r w:rsidRPr="001B0F28">
              <w:rPr>
                <w:rFonts w:eastAsia="Arial"/>
                <w:bCs/>
                <w:i/>
                <w:color w:val="auto"/>
              </w:rPr>
              <w:t>Infill Development</w:t>
            </w:r>
          </w:p>
          <w:p w14:paraId="26E8A902" w14:textId="47B468A4" w:rsidR="00B32851" w:rsidRPr="001B0F28" w:rsidRDefault="00B32851" w:rsidP="00874A98">
            <w:pPr>
              <w:keepNext w:val="0"/>
              <w:numPr>
                <w:ilvl w:val="0"/>
                <w:numId w:val="218"/>
              </w:numPr>
              <w:tabs>
                <w:tab w:val="left" w:pos="1133"/>
                <w:tab w:val="left" w:pos="2267"/>
              </w:tabs>
              <w:spacing w:before="0" w:after="120"/>
              <w:ind w:right="284"/>
              <w:rPr>
                <w:rFonts w:eastAsia="Arial"/>
                <w:bCs/>
                <w:i/>
                <w:color w:val="auto"/>
              </w:rPr>
            </w:pPr>
            <w:r w:rsidRPr="001B0F28">
              <w:rPr>
                <w:rFonts w:eastAsia="Arial"/>
                <w:bCs/>
                <w:color w:val="auto"/>
                <w:spacing w:val="-1"/>
              </w:rPr>
              <w:t xml:space="preserve">Limited infill development which is sustainably located and does not have an adverse effect on the scale and character </w:t>
            </w:r>
            <w:r w:rsidR="008C39C9">
              <w:rPr>
                <w:rFonts w:eastAsia="Arial"/>
                <w:bCs/>
                <w:color w:val="auto"/>
                <w:spacing w:val="-1"/>
              </w:rPr>
              <w:t xml:space="preserve">and appearance </w:t>
            </w:r>
            <w:r w:rsidRPr="001B0F28">
              <w:rPr>
                <w:rFonts w:eastAsia="Arial"/>
                <w:bCs/>
                <w:color w:val="auto"/>
                <w:spacing w:val="-1"/>
              </w:rPr>
              <w:t>of the area.</w:t>
            </w:r>
          </w:p>
          <w:p w14:paraId="46A87EAE" w14:textId="77777777" w:rsidR="00B32851" w:rsidRPr="00B32851" w:rsidRDefault="00B32851" w:rsidP="00F476A9">
            <w:pPr>
              <w:tabs>
                <w:tab w:val="left" w:pos="1133"/>
                <w:tab w:val="left" w:pos="2267"/>
              </w:tabs>
              <w:spacing w:after="120"/>
              <w:ind w:right="284"/>
              <w:rPr>
                <w:rFonts w:eastAsia="Arial"/>
                <w:bCs/>
                <w:i/>
                <w:color w:val="538135"/>
              </w:rPr>
            </w:pPr>
          </w:p>
        </w:tc>
      </w:tr>
      <w:tr w:rsidR="000A1A0B" w:rsidRPr="00B20356" w14:paraId="601275EA" w14:textId="77777777" w:rsidTr="00817916">
        <w:tc>
          <w:tcPr>
            <w:tcW w:w="2405" w:type="dxa"/>
          </w:tcPr>
          <w:p w14:paraId="7EA4E39B" w14:textId="3065481F" w:rsidR="000A1A0B" w:rsidRPr="00B32851" w:rsidRDefault="000A1A0B" w:rsidP="000032A9">
            <w:pPr>
              <w:tabs>
                <w:tab w:val="left" w:pos="680"/>
                <w:tab w:val="left" w:pos="1133"/>
                <w:tab w:val="left" w:pos="2267"/>
              </w:tabs>
              <w:ind w:right="284"/>
              <w:rPr>
                <w:rFonts w:eastAsia="Arial"/>
                <w:bCs/>
                <w:color w:val="538135"/>
                <w:szCs w:val="24"/>
              </w:rPr>
            </w:pPr>
            <w:r w:rsidRPr="003C7E62">
              <w:rPr>
                <w:rFonts w:eastAsia="Arial" w:cs="Arial"/>
                <w:bCs/>
                <w:sz w:val="20"/>
              </w:rPr>
              <w:t>Evidence base</w:t>
            </w:r>
          </w:p>
        </w:tc>
        <w:tc>
          <w:tcPr>
            <w:tcW w:w="7229" w:type="dxa"/>
            <w:gridSpan w:val="2"/>
          </w:tcPr>
          <w:p w14:paraId="044FE083" w14:textId="6A9A6B6E" w:rsidR="000A1A0B" w:rsidRPr="0036716A" w:rsidRDefault="000A1A0B" w:rsidP="00874A98">
            <w:pPr>
              <w:keepNext w:val="0"/>
              <w:numPr>
                <w:ilvl w:val="0"/>
                <w:numId w:val="61"/>
              </w:numPr>
              <w:spacing w:before="0"/>
              <w:contextualSpacing/>
              <w:rPr>
                <w:rFonts w:cs="Arial"/>
                <w:sz w:val="20"/>
              </w:rPr>
            </w:pPr>
            <w:r w:rsidRPr="0036716A">
              <w:rPr>
                <w:rFonts w:cs="Arial"/>
                <w:sz w:val="20"/>
              </w:rPr>
              <w:t>Sustainability Appraisal, 202</w:t>
            </w:r>
            <w:r w:rsidR="00A86E75" w:rsidRPr="0036716A">
              <w:rPr>
                <w:rFonts w:cs="Arial"/>
                <w:sz w:val="20"/>
              </w:rPr>
              <w:t>3</w:t>
            </w:r>
            <w:r w:rsidRPr="0036716A">
              <w:rPr>
                <w:rFonts w:cs="Arial"/>
                <w:sz w:val="20"/>
              </w:rPr>
              <w:t xml:space="preserve">. </w:t>
            </w:r>
            <w:r w:rsidR="00A86E75" w:rsidRPr="0036716A">
              <w:rPr>
                <w:rFonts w:cs="Arial"/>
                <w:sz w:val="20"/>
              </w:rPr>
              <w:t>WSP UK Limited</w:t>
            </w:r>
            <w:r w:rsidRPr="0036716A">
              <w:rPr>
                <w:rFonts w:cs="Arial"/>
                <w:sz w:val="20"/>
              </w:rPr>
              <w:t>.</w:t>
            </w:r>
          </w:p>
          <w:p w14:paraId="653C0337" w14:textId="77777777" w:rsidR="000A1A0B" w:rsidRPr="0036716A" w:rsidRDefault="000A1A0B" w:rsidP="00874A98">
            <w:pPr>
              <w:keepNext w:val="0"/>
              <w:numPr>
                <w:ilvl w:val="0"/>
                <w:numId w:val="61"/>
              </w:numPr>
              <w:spacing w:before="0"/>
              <w:contextualSpacing/>
              <w:rPr>
                <w:rFonts w:cs="Arial"/>
                <w:sz w:val="20"/>
              </w:rPr>
            </w:pPr>
            <w:r w:rsidRPr="0036716A">
              <w:rPr>
                <w:rFonts w:cs="Arial"/>
                <w:sz w:val="20"/>
              </w:rPr>
              <w:t>Ashfield Biodiversity Opportunity Mapping Project 2016.</w:t>
            </w:r>
            <w:r w:rsidRPr="0036716A">
              <w:rPr>
                <w:rFonts w:cs="Arial"/>
              </w:rPr>
              <w:t xml:space="preserve"> </w:t>
            </w:r>
            <w:r w:rsidRPr="0036716A">
              <w:rPr>
                <w:rFonts w:cs="Arial"/>
                <w:sz w:val="20"/>
              </w:rPr>
              <w:t>Notts BAG.</w:t>
            </w:r>
          </w:p>
          <w:p w14:paraId="16BCB257" w14:textId="4CC8234C" w:rsidR="0036716A" w:rsidRPr="0036716A" w:rsidRDefault="0036716A" w:rsidP="00874A98">
            <w:pPr>
              <w:keepNext w:val="0"/>
              <w:numPr>
                <w:ilvl w:val="0"/>
                <w:numId w:val="61"/>
              </w:numPr>
              <w:spacing w:before="0"/>
              <w:contextualSpacing/>
              <w:rPr>
                <w:rFonts w:cs="Arial"/>
                <w:sz w:val="20"/>
              </w:rPr>
            </w:pPr>
            <w:r w:rsidRPr="0036716A">
              <w:rPr>
                <w:rFonts w:cs="Arial"/>
                <w:sz w:val="20"/>
              </w:rPr>
              <w:t>Ashfield Green &amp; Blue Infrastructure and Biodiversity Strategy. Ashfield District Council, 2022-2032.</w:t>
            </w:r>
          </w:p>
        </w:tc>
      </w:tr>
      <w:tr w:rsidR="000A1A0B" w:rsidRPr="00B20356" w14:paraId="1666AF29" w14:textId="77777777" w:rsidTr="00817916">
        <w:tc>
          <w:tcPr>
            <w:tcW w:w="2405" w:type="dxa"/>
          </w:tcPr>
          <w:p w14:paraId="3F4288B2" w14:textId="3A165510" w:rsidR="000A1A0B" w:rsidRPr="00B32851" w:rsidRDefault="000A1A0B" w:rsidP="000032A9">
            <w:pPr>
              <w:tabs>
                <w:tab w:val="left" w:pos="680"/>
                <w:tab w:val="left" w:pos="1133"/>
                <w:tab w:val="left" w:pos="2267"/>
              </w:tabs>
              <w:ind w:right="284"/>
              <w:rPr>
                <w:rFonts w:eastAsia="Arial"/>
                <w:bCs/>
                <w:sz w:val="22"/>
              </w:rPr>
            </w:pPr>
            <w:r w:rsidRPr="003C7E62">
              <w:rPr>
                <w:rFonts w:eastAsia="Arial" w:cs="Arial"/>
                <w:bCs/>
                <w:sz w:val="20"/>
              </w:rPr>
              <w:t>National Planning Policy and Guidance</w:t>
            </w:r>
          </w:p>
        </w:tc>
        <w:tc>
          <w:tcPr>
            <w:tcW w:w="7229" w:type="dxa"/>
            <w:gridSpan w:val="2"/>
          </w:tcPr>
          <w:p w14:paraId="25DFE74E" w14:textId="30F9A2E3" w:rsidR="000A1A0B" w:rsidRPr="0036716A" w:rsidRDefault="000A1A0B" w:rsidP="00874A98">
            <w:pPr>
              <w:keepNext w:val="0"/>
              <w:numPr>
                <w:ilvl w:val="0"/>
                <w:numId w:val="62"/>
              </w:numPr>
              <w:spacing w:before="0"/>
              <w:ind w:left="328"/>
              <w:contextualSpacing/>
              <w:rPr>
                <w:rFonts w:cs="Arial"/>
                <w:sz w:val="20"/>
              </w:rPr>
            </w:pPr>
            <w:r w:rsidRPr="0036716A">
              <w:rPr>
                <w:rFonts w:cs="Arial"/>
                <w:sz w:val="20"/>
              </w:rPr>
              <w:t>NPPF 202</w:t>
            </w:r>
            <w:r w:rsidR="004173E0" w:rsidRPr="0036716A">
              <w:rPr>
                <w:rFonts w:cs="Arial"/>
                <w:sz w:val="20"/>
              </w:rPr>
              <w:t>3</w:t>
            </w:r>
            <w:r w:rsidRPr="0036716A">
              <w:rPr>
                <w:rFonts w:cs="Arial"/>
                <w:sz w:val="20"/>
              </w:rPr>
              <w:t>, Part 2: Achieving sustainable development.</w:t>
            </w:r>
          </w:p>
          <w:p w14:paraId="0254EF28" w14:textId="0DCA443A" w:rsidR="000A1A0B" w:rsidRPr="0036716A" w:rsidRDefault="000A1A0B" w:rsidP="00874A98">
            <w:pPr>
              <w:keepNext w:val="0"/>
              <w:numPr>
                <w:ilvl w:val="0"/>
                <w:numId w:val="62"/>
              </w:numPr>
              <w:spacing w:before="0"/>
              <w:ind w:left="328"/>
              <w:contextualSpacing/>
              <w:rPr>
                <w:rFonts w:cs="Arial"/>
                <w:sz w:val="20"/>
              </w:rPr>
            </w:pPr>
            <w:r w:rsidRPr="0036716A">
              <w:rPr>
                <w:rFonts w:cs="Arial"/>
                <w:sz w:val="20"/>
              </w:rPr>
              <w:t>NPPF 202</w:t>
            </w:r>
            <w:r w:rsidR="004173E0" w:rsidRPr="0036716A">
              <w:rPr>
                <w:rFonts w:cs="Arial"/>
                <w:sz w:val="20"/>
              </w:rPr>
              <w:t>3</w:t>
            </w:r>
            <w:r w:rsidRPr="0036716A">
              <w:rPr>
                <w:rFonts w:cs="Arial"/>
                <w:sz w:val="20"/>
              </w:rPr>
              <w:t>, Part 3: Plan-making.</w:t>
            </w:r>
          </w:p>
          <w:p w14:paraId="376FB528" w14:textId="057FE4FB" w:rsidR="000A1A0B" w:rsidRPr="0036716A" w:rsidRDefault="000A1A0B" w:rsidP="00874A98">
            <w:pPr>
              <w:keepNext w:val="0"/>
              <w:numPr>
                <w:ilvl w:val="0"/>
                <w:numId w:val="62"/>
              </w:numPr>
              <w:spacing w:before="0"/>
              <w:ind w:left="328"/>
              <w:contextualSpacing/>
              <w:rPr>
                <w:rFonts w:cs="Arial"/>
                <w:sz w:val="20"/>
              </w:rPr>
            </w:pPr>
            <w:r w:rsidRPr="0036716A">
              <w:rPr>
                <w:rFonts w:cs="Arial"/>
                <w:sz w:val="20"/>
              </w:rPr>
              <w:t>NPPF 202</w:t>
            </w:r>
            <w:r w:rsidR="004173E0" w:rsidRPr="0036716A">
              <w:rPr>
                <w:rFonts w:cs="Arial"/>
                <w:sz w:val="20"/>
              </w:rPr>
              <w:t>3</w:t>
            </w:r>
            <w:r w:rsidRPr="0036716A">
              <w:rPr>
                <w:rFonts w:cs="Arial"/>
                <w:sz w:val="20"/>
              </w:rPr>
              <w:t>, Part 5: Delivering a sufficient supply of homes.</w:t>
            </w:r>
          </w:p>
          <w:p w14:paraId="1DC4E482" w14:textId="4BC387CF" w:rsidR="000A1A0B" w:rsidRPr="0036716A" w:rsidRDefault="000A1A0B" w:rsidP="00874A98">
            <w:pPr>
              <w:keepNext w:val="0"/>
              <w:numPr>
                <w:ilvl w:val="0"/>
                <w:numId w:val="62"/>
              </w:numPr>
              <w:spacing w:before="0"/>
              <w:ind w:left="328"/>
              <w:contextualSpacing/>
              <w:rPr>
                <w:rFonts w:cs="Arial"/>
                <w:sz w:val="20"/>
              </w:rPr>
            </w:pPr>
            <w:r w:rsidRPr="0036716A">
              <w:rPr>
                <w:rFonts w:cs="Arial"/>
                <w:sz w:val="20"/>
              </w:rPr>
              <w:t>NPPF 202</w:t>
            </w:r>
            <w:r w:rsidR="004173E0" w:rsidRPr="0036716A">
              <w:rPr>
                <w:rFonts w:cs="Arial"/>
                <w:sz w:val="20"/>
              </w:rPr>
              <w:t>3</w:t>
            </w:r>
            <w:r w:rsidRPr="0036716A">
              <w:rPr>
                <w:rFonts w:cs="Arial"/>
                <w:sz w:val="20"/>
              </w:rPr>
              <w:t>, Part 6: Building a strong, competitive economy</w:t>
            </w:r>
          </w:p>
          <w:p w14:paraId="4D0ACDD2" w14:textId="0EA143CA" w:rsidR="000A1A0B" w:rsidRPr="0036716A" w:rsidRDefault="000A1A0B" w:rsidP="00874A98">
            <w:pPr>
              <w:keepNext w:val="0"/>
              <w:numPr>
                <w:ilvl w:val="0"/>
                <w:numId w:val="62"/>
              </w:numPr>
              <w:spacing w:before="0"/>
              <w:ind w:left="328"/>
              <w:contextualSpacing/>
              <w:rPr>
                <w:rFonts w:cs="Arial"/>
                <w:sz w:val="20"/>
              </w:rPr>
            </w:pPr>
            <w:r w:rsidRPr="0036716A">
              <w:rPr>
                <w:rFonts w:cs="Arial"/>
                <w:sz w:val="20"/>
              </w:rPr>
              <w:t>NPPF 202</w:t>
            </w:r>
            <w:r w:rsidR="004173E0" w:rsidRPr="0036716A">
              <w:rPr>
                <w:rFonts w:cs="Arial"/>
                <w:sz w:val="20"/>
              </w:rPr>
              <w:t>3</w:t>
            </w:r>
            <w:r w:rsidRPr="0036716A">
              <w:rPr>
                <w:rFonts w:cs="Arial"/>
                <w:sz w:val="20"/>
              </w:rPr>
              <w:t>, Part 8: Promoting healthy and safe communities.</w:t>
            </w:r>
          </w:p>
          <w:p w14:paraId="34A72B9C" w14:textId="633E3620" w:rsidR="000A1A0B" w:rsidRPr="0036716A" w:rsidRDefault="000A1A0B" w:rsidP="00874A98">
            <w:pPr>
              <w:keepNext w:val="0"/>
              <w:numPr>
                <w:ilvl w:val="0"/>
                <w:numId w:val="62"/>
              </w:numPr>
              <w:spacing w:before="0"/>
              <w:ind w:left="328"/>
              <w:contextualSpacing/>
              <w:rPr>
                <w:rFonts w:cs="Arial"/>
                <w:sz w:val="20"/>
              </w:rPr>
            </w:pPr>
            <w:r w:rsidRPr="0036716A">
              <w:rPr>
                <w:rFonts w:cs="Arial"/>
                <w:sz w:val="20"/>
              </w:rPr>
              <w:t>NPPF 202</w:t>
            </w:r>
            <w:r w:rsidR="004173E0" w:rsidRPr="0036716A">
              <w:rPr>
                <w:rFonts w:cs="Arial"/>
                <w:sz w:val="20"/>
              </w:rPr>
              <w:t>3</w:t>
            </w:r>
            <w:r w:rsidRPr="0036716A">
              <w:rPr>
                <w:rFonts w:cs="Arial"/>
                <w:sz w:val="20"/>
              </w:rPr>
              <w:t>, Part 15: Conserving and enhancing the natural environment.</w:t>
            </w:r>
          </w:p>
          <w:p w14:paraId="32B336F8" w14:textId="64C7DECD" w:rsidR="000A1A0B" w:rsidRPr="0036716A" w:rsidRDefault="000A1A0B" w:rsidP="00874A98">
            <w:pPr>
              <w:keepNext w:val="0"/>
              <w:numPr>
                <w:ilvl w:val="0"/>
                <w:numId w:val="62"/>
              </w:numPr>
              <w:spacing w:before="0"/>
              <w:ind w:left="328"/>
              <w:contextualSpacing/>
              <w:rPr>
                <w:rFonts w:cs="Arial"/>
                <w:sz w:val="20"/>
              </w:rPr>
            </w:pPr>
            <w:r w:rsidRPr="0036716A">
              <w:rPr>
                <w:rFonts w:cs="Arial"/>
                <w:sz w:val="20"/>
              </w:rPr>
              <w:t xml:space="preserve">Planning Practice Guidance: Open space, sports and recreational facilities, public rights of ways and local green space as of </w:t>
            </w:r>
            <w:r w:rsidR="00A86E75" w:rsidRPr="0036716A">
              <w:rPr>
                <w:rFonts w:cs="Arial"/>
                <w:sz w:val="20"/>
              </w:rPr>
              <w:t>March 2014.</w:t>
            </w:r>
          </w:p>
          <w:p w14:paraId="7682E3B6" w14:textId="4FFF9A64" w:rsidR="000A1A0B" w:rsidRPr="0036716A" w:rsidRDefault="000A1A0B" w:rsidP="00874A98">
            <w:pPr>
              <w:keepNext w:val="0"/>
              <w:numPr>
                <w:ilvl w:val="0"/>
                <w:numId w:val="62"/>
              </w:numPr>
              <w:spacing w:before="0"/>
              <w:ind w:left="328"/>
              <w:contextualSpacing/>
              <w:rPr>
                <w:rFonts w:cs="Arial"/>
                <w:sz w:val="20"/>
              </w:rPr>
            </w:pPr>
            <w:r w:rsidRPr="0036716A">
              <w:rPr>
                <w:rFonts w:cs="Arial"/>
                <w:sz w:val="20"/>
              </w:rPr>
              <w:t xml:space="preserve">Planning Practice Guidance: Natural environment as of </w:t>
            </w:r>
            <w:r w:rsidR="00A86E75" w:rsidRPr="0036716A">
              <w:rPr>
                <w:rFonts w:cs="Arial"/>
                <w:sz w:val="20"/>
              </w:rPr>
              <w:t>July 2019.</w:t>
            </w:r>
          </w:p>
        </w:tc>
      </w:tr>
    </w:tbl>
    <w:p w14:paraId="43E995CD" w14:textId="77777777" w:rsidR="008A5E51" w:rsidRDefault="008A5E51" w:rsidP="008A5E51">
      <w:pPr>
        <w:keepNext w:val="0"/>
        <w:spacing w:before="0"/>
        <w:ind w:left="709"/>
        <w:rPr>
          <w:rFonts w:cs="Arial"/>
          <w:color w:val="auto"/>
          <w:szCs w:val="24"/>
          <w:lang w:eastAsia="en-US"/>
        </w:rPr>
      </w:pPr>
    </w:p>
    <w:p w14:paraId="6BBE8DAF" w14:textId="3F90916F" w:rsidR="008A5E51" w:rsidRPr="008A5E51" w:rsidRDefault="008A5E51" w:rsidP="00B32851">
      <w:pPr>
        <w:keepNext w:val="0"/>
        <w:spacing w:before="0"/>
        <w:rPr>
          <w:rFonts w:cs="Arial"/>
          <w:color w:val="auto"/>
          <w:szCs w:val="24"/>
          <w:lang w:eastAsia="en-US"/>
        </w:rPr>
      </w:pPr>
    </w:p>
    <w:p w14:paraId="359A11FF" w14:textId="5AE71946" w:rsidR="00B32851" w:rsidRDefault="0086693C" w:rsidP="00335B79">
      <w:pPr>
        <w:keepNext w:val="0"/>
        <w:numPr>
          <w:ilvl w:val="1"/>
          <w:numId w:val="5"/>
        </w:numPr>
        <w:tabs>
          <w:tab w:val="clear" w:pos="525"/>
        </w:tabs>
        <w:autoSpaceDE w:val="0"/>
        <w:autoSpaceDN w:val="0"/>
        <w:adjustRightInd w:val="0"/>
        <w:spacing w:before="0"/>
        <w:ind w:left="851" w:hanging="851"/>
        <w:rPr>
          <w:rFonts w:eastAsia="Arial" w:cs="Arial"/>
          <w:spacing w:val="-1"/>
        </w:rPr>
      </w:pPr>
      <w:r>
        <w:rPr>
          <w:rFonts w:eastAsia="Arial" w:cs="Arial"/>
          <w:spacing w:val="-1"/>
        </w:rPr>
        <w:t xml:space="preserve">Policy S1: </w:t>
      </w:r>
      <w:r w:rsidR="00475D1B" w:rsidRPr="0036716A">
        <w:t xml:space="preserve">Spatial Strategy to Deliver the Vision </w:t>
      </w:r>
      <w:r w:rsidR="00B32851" w:rsidRPr="0036716A">
        <w:rPr>
          <w:rFonts w:eastAsia="Arial" w:cs="Arial"/>
          <w:spacing w:val="-1"/>
        </w:rPr>
        <w:t xml:space="preserve">limits </w:t>
      </w:r>
      <w:r w:rsidR="00B32851" w:rsidRPr="00B20356">
        <w:rPr>
          <w:rFonts w:eastAsia="Arial" w:cs="Arial"/>
          <w:spacing w:val="-1"/>
        </w:rPr>
        <w:t>development outside the existing built-up areas or specific allocated sites to that which has an essential need to be located in the countryside.  The purpose of this policy is to protect the countryside from inappropriate development.</w:t>
      </w:r>
    </w:p>
    <w:p w14:paraId="27FFA603" w14:textId="77777777" w:rsidR="00D45CE9" w:rsidRDefault="00D45CE9" w:rsidP="00335B79">
      <w:pPr>
        <w:keepNext w:val="0"/>
        <w:autoSpaceDE w:val="0"/>
        <w:autoSpaceDN w:val="0"/>
        <w:adjustRightInd w:val="0"/>
        <w:spacing w:before="0"/>
        <w:ind w:left="851" w:hanging="851"/>
        <w:rPr>
          <w:rFonts w:eastAsia="Arial" w:cs="Arial"/>
          <w:spacing w:val="-1"/>
        </w:rPr>
      </w:pPr>
    </w:p>
    <w:p w14:paraId="23045D6E" w14:textId="7F85D9C9" w:rsidR="00D45CE9" w:rsidRPr="00D45CE9" w:rsidRDefault="00D45CE9" w:rsidP="00335B79">
      <w:pPr>
        <w:keepNext w:val="0"/>
        <w:numPr>
          <w:ilvl w:val="1"/>
          <w:numId w:val="5"/>
        </w:numPr>
        <w:tabs>
          <w:tab w:val="clear" w:pos="525"/>
        </w:tabs>
        <w:autoSpaceDE w:val="0"/>
        <w:autoSpaceDN w:val="0"/>
        <w:adjustRightInd w:val="0"/>
        <w:spacing w:before="0"/>
        <w:ind w:left="851" w:hanging="851"/>
        <w:rPr>
          <w:rFonts w:eastAsia="Arial" w:cs="Arial"/>
          <w:spacing w:val="-1"/>
        </w:rPr>
      </w:pPr>
      <w:r w:rsidRPr="00D45CE9">
        <w:rPr>
          <w:rFonts w:eastAsia="Arial" w:cs="Arial"/>
          <w:spacing w:val="-1"/>
        </w:rPr>
        <w:t xml:space="preserve">Policy EV2 shows the types of development which are appropriate in the Countryside areas not designated as Green Belt. It supports the intention to locate most new residential and employment development within urban areas.  Further, it responds to national government planning advice which supports sustainable economic growth, farm diversification and tourism and leisure developments that benefit rural businesses, communities and visitors and which respect the character of the countryside. </w:t>
      </w:r>
    </w:p>
    <w:p w14:paraId="79811222" w14:textId="77777777" w:rsidR="00D45CE9" w:rsidRPr="00D45CE9" w:rsidRDefault="00D45CE9" w:rsidP="00335B79">
      <w:pPr>
        <w:keepNext w:val="0"/>
        <w:autoSpaceDE w:val="0"/>
        <w:autoSpaceDN w:val="0"/>
        <w:adjustRightInd w:val="0"/>
        <w:spacing w:before="0"/>
        <w:ind w:left="851" w:hanging="851"/>
        <w:rPr>
          <w:rFonts w:eastAsia="Arial" w:cs="Arial"/>
          <w:spacing w:val="-1"/>
        </w:rPr>
      </w:pPr>
    </w:p>
    <w:p w14:paraId="67A1A600" w14:textId="449B45E9" w:rsidR="00D45CE9" w:rsidRPr="00D45CE9" w:rsidRDefault="00D45CE9" w:rsidP="00335B79">
      <w:pPr>
        <w:keepNext w:val="0"/>
        <w:numPr>
          <w:ilvl w:val="1"/>
          <w:numId w:val="5"/>
        </w:numPr>
        <w:tabs>
          <w:tab w:val="clear" w:pos="525"/>
        </w:tabs>
        <w:autoSpaceDE w:val="0"/>
        <w:autoSpaceDN w:val="0"/>
        <w:adjustRightInd w:val="0"/>
        <w:spacing w:before="0"/>
        <w:ind w:left="851" w:hanging="851"/>
        <w:rPr>
          <w:rFonts w:eastAsia="Arial" w:cs="Arial"/>
          <w:spacing w:val="-1"/>
        </w:rPr>
      </w:pPr>
      <w:r w:rsidRPr="00D45CE9">
        <w:rPr>
          <w:rFonts w:eastAsia="Arial" w:cs="Arial"/>
          <w:spacing w:val="-1"/>
        </w:rPr>
        <w:t>The Council will ensure that the character of the Countryside is protected and, where possible, enhanced. Any proposed development will need to be considered against other policies in the Local Plan, in particular Policy EV1</w:t>
      </w:r>
      <w:r w:rsidR="001B6A1E">
        <w:rPr>
          <w:rFonts w:eastAsia="Arial" w:cs="Arial"/>
          <w:spacing w:val="-1"/>
        </w:rPr>
        <w:t>0</w:t>
      </w:r>
      <w:r w:rsidRPr="00D45CE9">
        <w:rPr>
          <w:rFonts w:eastAsia="Arial" w:cs="Arial"/>
          <w:spacing w:val="-1"/>
        </w:rPr>
        <w:t>: ‘Protection and Enhancement of Landscape Character’, as well as national planning policy.</w:t>
      </w:r>
    </w:p>
    <w:p w14:paraId="3F6A2D62" w14:textId="77777777" w:rsidR="00D45CE9" w:rsidRPr="00D45CE9" w:rsidRDefault="00D45CE9" w:rsidP="00335B79">
      <w:pPr>
        <w:keepNext w:val="0"/>
        <w:autoSpaceDE w:val="0"/>
        <w:autoSpaceDN w:val="0"/>
        <w:adjustRightInd w:val="0"/>
        <w:spacing w:before="0"/>
        <w:ind w:left="851" w:hanging="851"/>
        <w:rPr>
          <w:rFonts w:eastAsia="Arial" w:cs="Arial"/>
          <w:spacing w:val="-1"/>
        </w:rPr>
      </w:pPr>
    </w:p>
    <w:p w14:paraId="675BEB35" w14:textId="77777777" w:rsidR="00D45CE9" w:rsidRDefault="00D45CE9" w:rsidP="00335B79">
      <w:pPr>
        <w:keepNext w:val="0"/>
        <w:autoSpaceDE w:val="0"/>
        <w:autoSpaceDN w:val="0"/>
        <w:adjustRightInd w:val="0"/>
        <w:spacing w:before="0"/>
        <w:ind w:left="851"/>
        <w:rPr>
          <w:rFonts w:eastAsia="Arial" w:cs="Arial"/>
          <w:b/>
          <w:bCs/>
          <w:spacing w:val="-1"/>
        </w:rPr>
      </w:pPr>
      <w:r w:rsidRPr="00D45CE9">
        <w:rPr>
          <w:rFonts w:eastAsia="Arial" w:cs="Arial"/>
          <w:b/>
          <w:bCs/>
          <w:spacing w:val="-1"/>
        </w:rPr>
        <w:t>Rural Uses</w:t>
      </w:r>
    </w:p>
    <w:p w14:paraId="4C5B2B97" w14:textId="77777777" w:rsidR="00D45CE9" w:rsidRPr="00D45CE9" w:rsidRDefault="00D45CE9" w:rsidP="00335B79">
      <w:pPr>
        <w:keepNext w:val="0"/>
        <w:numPr>
          <w:ilvl w:val="1"/>
          <w:numId w:val="5"/>
        </w:numPr>
        <w:tabs>
          <w:tab w:val="clear" w:pos="525"/>
        </w:tabs>
        <w:autoSpaceDE w:val="0"/>
        <w:autoSpaceDN w:val="0"/>
        <w:adjustRightInd w:val="0"/>
        <w:spacing w:before="0"/>
        <w:ind w:left="851" w:hanging="851"/>
        <w:rPr>
          <w:rFonts w:eastAsia="Arial" w:cs="Arial"/>
          <w:spacing w:val="-1"/>
        </w:rPr>
      </w:pPr>
      <w:r w:rsidRPr="000E37F7">
        <w:rPr>
          <w:rFonts w:eastAsia="Arial" w:cs="Arial"/>
          <w:b/>
          <w:bCs/>
          <w:spacing w:val="-1"/>
        </w:rPr>
        <w:t>EV2:1a)</w:t>
      </w:r>
      <w:r w:rsidRPr="00D45CE9">
        <w:rPr>
          <w:rFonts w:eastAsia="Arial" w:cs="Arial"/>
          <w:spacing w:val="-1"/>
        </w:rPr>
        <w:t xml:space="preserve"> Appropriate uses must preserve the character of the Countryside, with those uses considered appropriate, designed to minimise the impact the development may have on its surroundings. </w:t>
      </w:r>
    </w:p>
    <w:p w14:paraId="60A429CD" w14:textId="77777777" w:rsidR="00D45CE9" w:rsidRPr="00D45CE9" w:rsidRDefault="00D45CE9" w:rsidP="00335B79">
      <w:pPr>
        <w:keepNext w:val="0"/>
        <w:autoSpaceDE w:val="0"/>
        <w:autoSpaceDN w:val="0"/>
        <w:adjustRightInd w:val="0"/>
        <w:spacing w:before="0"/>
        <w:ind w:left="851" w:hanging="851"/>
        <w:rPr>
          <w:rFonts w:eastAsia="Arial" w:cs="Arial"/>
          <w:spacing w:val="-1"/>
        </w:rPr>
      </w:pPr>
    </w:p>
    <w:p w14:paraId="14E49789" w14:textId="53872734" w:rsidR="00D45CE9" w:rsidRPr="00D45CE9" w:rsidRDefault="00D45CE9" w:rsidP="00335B79">
      <w:pPr>
        <w:keepNext w:val="0"/>
        <w:numPr>
          <w:ilvl w:val="1"/>
          <w:numId w:val="5"/>
        </w:numPr>
        <w:tabs>
          <w:tab w:val="clear" w:pos="525"/>
        </w:tabs>
        <w:autoSpaceDE w:val="0"/>
        <w:autoSpaceDN w:val="0"/>
        <w:adjustRightInd w:val="0"/>
        <w:spacing w:before="0"/>
        <w:ind w:left="851" w:hanging="851"/>
        <w:rPr>
          <w:rFonts w:eastAsia="Arial" w:cs="Arial"/>
          <w:spacing w:val="-1"/>
        </w:rPr>
      </w:pPr>
      <w:r w:rsidRPr="00D45CE9">
        <w:rPr>
          <w:rFonts w:eastAsia="Arial" w:cs="Arial"/>
          <w:spacing w:val="-1"/>
        </w:rPr>
        <w:t xml:space="preserve">The Council recognises that diversification into non-agricultural activities is vital to the continuing viability of many farm enterprises. The Council will be supportive of well-conceived schemes for business purposes that contribute towards sustainable development objectives and help sustain the agricultural </w:t>
      </w:r>
      <w:r w:rsidR="009D1815" w:rsidRPr="00D45CE9">
        <w:rPr>
          <w:rFonts w:eastAsia="Arial" w:cs="Arial"/>
          <w:spacing w:val="-1"/>
        </w:rPr>
        <w:t>enterprise and</w:t>
      </w:r>
      <w:r w:rsidRPr="00D45CE9">
        <w:rPr>
          <w:rFonts w:eastAsia="Arial" w:cs="Arial"/>
          <w:spacing w:val="-1"/>
        </w:rPr>
        <w:t xml:space="preserve"> are consistent in their scale with their rural location. </w:t>
      </w:r>
      <w:r w:rsidR="00F86477" w:rsidRPr="00F86477">
        <w:rPr>
          <w:rFonts w:eastAsia="Arial" w:cs="Arial"/>
          <w:spacing w:val="-1"/>
        </w:rPr>
        <w:t>Policy EM4: Rural Development</w:t>
      </w:r>
      <w:r w:rsidRPr="00D45CE9">
        <w:rPr>
          <w:rFonts w:eastAsia="Arial" w:cs="Arial"/>
          <w:spacing w:val="-1"/>
        </w:rPr>
        <w:t>, provides further details on this matter.</w:t>
      </w:r>
    </w:p>
    <w:p w14:paraId="20961220" w14:textId="77777777" w:rsidR="00D45CE9" w:rsidRPr="00D45CE9" w:rsidRDefault="00D45CE9" w:rsidP="00335B79">
      <w:pPr>
        <w:keepNext w:val="0"/>
        <w:autoSpaceDE w:val="0"/>
        <w:autoSpaceDN w:val="0"/>
        <w:adjustRightInd w:val="0"/>
        <w:spacing w:before="0"/>
        <w:ind w:left="851" w:hanging="851"/>
        <w:rPr>
          <w:rFonts w:eastAsia="Arial" w:cs="Arial"/>
          <w:spacing w:val="-1"/>
        </w:rPr>
      </w:pPr>
    </w:p>
    <w:p w14:paraId="384227AC" w14:textId="4E4AD163" w:rsidR="00D45CE9" w:rsidRPr="00D45CE9" w:rsidRDefault="00D45CE9" w:rsidP="00335B79">
      <w:pPr>
        <w:keepNext w:val="0"/>
        <w:numPr>
          <w:ilvl w:val="1"/>
          <w:numId w:val="5"/>
        </w:numPr>
        <w:tabs>
          <w:tab w:val="clear" w:pos="525"/>
        </w:tabs>
        <w:autoSpaceDE w:val="0"/>
        <w:autoSpaceDN w:val="0"/>
        <w:adjustRightInd w:val="0"/>
        <w:spacing w:before="0"/>
        <w:ind w:left="851" w:hanging="851"/>
        <w:rPr>
          <w:rFonts w:eastAsia="Arial" w:cs="Arial"/>
          <w:spacing w:val="-1"/>
        </w:rPr>
      </w:pPr>
      <w:r w:rsidRPr="00D45CE9">
        <w:rPr>
          <w:rFonts w:eastAsia="Arial" w:cs="Arial"/>
          <w:spacing w:val="-1"/>
        </w:rPr>
        <w:t xml:space="preserve">Certain recreational uses, such as country parks, golf courses and playing fields, need extensive areas of land, but generally preserve the openness of the Countryside. Such uses would be appropriate on suitable sites within the Countryside subject to considerations relating to loss of the best and most versatile agricultural land (see </w:t>
      </w:r>
      <w:r w:rsidR="004E709C">
        <w:rPr>
          <w:rFonts w:eastAsia="Arial" w:cs="Arial"/>
          <w:spacing w:val="-1"/>
        </w:rPr>
        <w:t>P</w:t>
      </w:r>
      <w:r w:rsidRPr="00D45CE9">
        <w:rPr>
          <w:rFonts w:eastAsia="Arial" w:cs="Arial"/>
          <w:spacing w:val="-1"/>
        </w:rPr>
        <w:t xml:space="preserve">olicy </w:t>
      </w:r>
      <w:r w:rsidRPr="00F86477">
        <w:rPr>
          <w:rFonts w:eastAsia="Arial" w:cs="Arial"/>
          <w:spacing w:val="-1"/>
        </w:rPr>
        <w:t>EV</w:t>
      </w:r>
      <w:r w:rsidR="004E709C">
        <w:rPr>
          <w:rFonts w:eastAsia="Arial" w:cs="Arial"/>
          <w:spacing w:val="-1"/>
        </w:rPr>
        <w:t>8</w:t>
      </w:r>
      <w:r w:rsidRPr="00F86477">
        <w:rPr>
          <w:rFonts w:eastAsia="Arial" w:cs="Arial"/>
          <w:spacing w:val="-1"/>
        </w:rPr>
        <w:t>)</w:t>
      </w:r>
      <w:r w:rsidRPr="00D45CE9">
        <w:rPr>
          <w:rFonts w:eastAsia="Arial" w:cs="Arial"/>
          <w:spacing w:val="-1"/>
        </w:rPr>
        <w:t>. Certain tourism uses, can also be appropriate provided that they are designed and located in a way which complements and does not adversely affect the character of the Countryside.</w:t>
      </w:r>
    </w:p>
    <w:p w14:paraId="5CF8C75A" w14:textId="77777777" w:rsidR="00D45CE9" w:rsidRPr="00D45CE9" w:rsidRDefault="00D45CE9" w:rsidP="00335B79">
      <w:pPr>
        <w:keepNext w:val="0"/>
        <w:autoSpaceDE w:val="0"/>
        <w:autoSpaceDN w:val="0"/>
        <w:adjustRightInd w:val="0"/>
        <w:spacing w:before="0"/>
        <w:ind w:left="851" w:hanging="851"/>
        <w:rPr>
          <w:rFonts w:eastAsia="Arial" w:cs="Arial"/>
          <w:spacing w:val="-1"/>
        </w:rPr>
      </w:pPr>
    </w:p>
    <w:p w14:paraId="4F04A7AE" w14:textId="77777777" w:rsidR="00D45CE9" w:rsidRPr="00D45CE9" w:rsidRDefault="00D45CE9" w:rsidP="00335B79">
      <w:pPr>
        <w:keepNext w:val="0"/>
        <w:numPr>
          <w:ilvl w:val="1"/>
          <w:numId w:val="5"/>
        </w:numPr>
        <w:tabs>
          <w:tab w:val="clear" w:pos="525"/>
        </w:tabs>
        <w:autoSpaceDE w:val="0"/>
        <w:autoSpaceDN w:val="0"/>
        <w:adjustRightInd w:val="0"/>
        <w:spacing w:before="0"/>
        <w:ind w:left="851" w:hanging="851"/>
        <w:rPr>
          <w:rFonts w:eastAsia="Arial" w:cs="Arial"/>
          <w:spacing w:val="-1"/>
        </w:rPr>
      </w:pPr>
      <w:r w:rsidRPr="00D45CE9">
        <w:rPr>
          <w:rFonts w:eastAsia="Arial" w:cs="Arial"/>
          <w:spacing w:val="-1"/>
        </w:rPr>
        <w:t>Cemeteries are acceptable in the Countryside, being large space users that are substantially open in character. Other appropriate development may include that for public utilities, such as the extension or construction of electricity transmission lines and pylons, railway installations, pumping stations and water reclamation works, which may need to be located in the Countryside.</w:t>
      </w:r>
    </w:p>
    <w:p w14:paraId="00A18BD7" w14:textId="77777777" w:rsidR="00D45CE9" w:rsidRPr="00D45CE9" w:rsidRDefault="00D45CE9" w:rsidP="00335B79">
      <w:pPr>
        <w:keepNext w:val="0"/>
        <w:autoSpaceDE w:val="0"/>
        <w:autoSpaceDN w:val="0"/>
        <w:adjustRightInd w:val="0"/>
        <w:spacing w:before="0"/>
        <w:ind w:left="851" w:hanging="851"/>
        <w:rPr>
          <w:rFonts w:eastAsia="Arial" w:cs="Arial"/>
          <w:spacing w:val="-1"/>
        </w:rPr>
      </w:pPr>
    </w:p>
    <w:p w14:paraId="507E7179" w14:textId="77777777" w:rsidR="00D45CE9" w:rsidRPr="00D45CE9" w:rsidRDefault="00D45CE9" w:rsidP="00335B79">
      <w:pPr>
        <w:keepNext w:val="0"/>
        <w:numPr>
          <w:ilvl w:val="1"/>
          <w:numId w:val="5"/>
        </w:numPr>
        <w:tabs>
          <w:tab w:val="clear" w:pos="525"/>
        </w:tabs>
        <w:autoSpaceDE w:val="0"/>
        <w:autoSpaceDN w:val="0"/>
        <w:adjustRightInd w:val="0"/>
        <w:spacing w:before="0"/>
        <w:ind w:left="851" w:hanging="851"/>
        <w:rPr>
          <w:rFonts w:eastAsia="Arial" w:cs="Arial"/>
          <w:spacing w:val="-1"/>
        </w:rPr>
      </w:pPr>
      <w:r w:rsidRPr="00D45CE9">
        <w:rPr>
          <w:rFonts w:eastAsia="Arial" w:cs="Arial"/>
          <w:spacing w:val="-1"/>
        </w:rPr>
        <w:t>Waste disposal operations may take place in rural locations as a means to use former mineral workings as voids for landfill, although this will be a matter for consideration by the Waste Authority, Nottinghamshire County Council. The responsibility for determining planning applications for waste disposal rests with the County Council and the District Council being a consultee on any relevant waste planning application</w:t>
      </w:r>
    </w:p>
    <w:p w14:paraId="1DD41BE8" w14:textId="77777777" w:rsidR="00D45CE9" w:rsidRPr="00D45CE9" w:rsidRDefault="00D45CE9" w:rsidP="00335B79">
      <w:pPr>
        <w:keepNext w:val="0"/>
        <w:autoSpaceDE w:val="0"/>
        <w:autoSpaceDN w:val="0"/>
        <w:adjustRightInd w:val="0"/>
        <w:spacing w:before="0"/>
        <w:ind w:left="851" w:hanging="851"/>
        <w:rPr>
          <w:rFonts w:eastAsia="Arial" w:cs="Arial"/>
          <w:spacing w:val="-1"/>
        </w:rPr>
      </w:pPr>
    </w:p>
    <w:p w14:paraId="6D3F5644" w14:textId="77777777" w:rsidR="00D45CE9" w:rsidRDefault="00D45CE9" w:rsidP="00335B79">
      <w:pPr>
        <w:keepNext w:val="0"/>
        <w:autoSpaceDE w:val="0"/>
        <w:autoSpaceDN w:val="0"/>
        <w:adjustRightInd w:val="0"/>
        <w:spacing w:before="0"/>
        <w:ind w:left="851"/>
        <w:rPr>
          <w:rFonts w:eastAsia="Arial" w:cs="Arial"/>
          <w:b/>
          <w:bCs/>
          <w:spacing w:val="-1"/>
        </w:rPr>
      </w:pPr>
      <w:r w:rsidRPr="00D45CE9">
        <w:rPr>
          <w:rFonts w:eastAsia="Arial" w:cs="Arial"/>
          <w:b/>
          <w:bCs/>
          <w:spacing w:val="-1"/>
        </w:rPr>
        <w:t>Business Uses</w:t>
      </w:r>
    </w:p>
    <w:p w14:paraId="31DD5761" w14:textId="2DD25E5F" w:rsidR="00D45CE9" w:rsidRPr="00D45CE9" w:rsidRDefault="00D45CE9" w:rsidP="00335B79">
      <w:pPr>
        <w:keepNext w:val="0"/>
        <w:numPr>
          <w:ilvl w:val="1"/>
          <w:numId w:val="5"/>
        </w:numPr>
        <w:tabs>
          <w:tab w:val="clear" w:pos="525"/>
        </w:tabs>
        <w:autoSpaceDE w:val="0"/>
        <w:autoSpaceDN w:val="0"/>
        <w:adjustRightInd w:val="0"/>
        <w:spacing w:before="0"/>
        <w:ind w:left="851" w:hanging="851"/>
        <w:rPr>
          <w:rFonts w:eastAsia="Arial" w:cs="Arial"/>
          <w:spacing w:val="-1"/>
        </w:rPr>
      </w:pPr>
      <w:r w:rsidRPr="000E37F7">
        <w:rPr>
          <w:rFonts w:eastAsia="Arial" w:cs="Arial"/>
          <w:b/>
          <w:bCs/>
          <w:spacing w:val="-1"/>
        </w:rPr>
        <w:t>EV2:1b)</w:t>
      </w:r>
      <w:r w:rsidRPr="00D45CE9">
        <w:rPr>
          <w:rFonts w:eastAsia="Arial" w:cs="Arial"/>
          <w:spacing w:val="-1"/>
        </w:rPr>
        <w:t xml:space="preserve"> National planning policy indicates that economic growth should be supported in rural areas in order to create jobs and prosperity by taking a positive approach to sustainable new development. Whilst this approach would be restricted in the Green Belt, within the Countryside, support will be given to encourage the sustainable growth and expansion of small scale businesses and enterprises. </w:t>
      </w:r>
      <w:r w:rsidR="00F86477" w:rsidRPr="00F86477">
        <w:rPr>
          <w:rFonts w:eastAsia="Arial" w:cs="Arial"/>
          <w:spacing w:val="-1"/>
        </w:rPr>
        <w:t>Policy EM4: Rural Development</w:t>
      </w:r>
      <w:r w:rsidR="00F86477">
        <w:rPr>
          <w:rFonts w:eastAsia="Arial" w:cs="Arial"/>
          <w:spacing w:val="-1"/>
        </w:rPr>
        <w:t xml:space="preserve"> </w:t>
      </w:r>
      <w:r w:rsidRPr="00D45CE9">
        <w:rPr>
          <w:rFonts w:eastAsia="Arial" w:cs="Arial"/>
          <w:spacing w:val="-1"/>
        </w:rPr>
        <w:t xml:space="preserve">provides further details on this matter. </w:t>
      </w:r>
    </w:p>
    <w:p w14:paraId="136DF4A4" w14:textId="77777777" w:rsidR="00D45CE9" w:rsidRPr="00D45CE9" w:rsidRDefault="00D45CE9" w:rsidP="00335B79">
      <w:pPr>
        <w:keepNext w:val="0"/>
        <w:autoSpaceDE w:val="0"/>
        <w:autoSpaceDN w:val="0"/>
        <w:adjustRightInd w:val="0"/>
        <w:spacing w:before="0"/>
        <w:ind w:left="851" w:hanging="851"/>
        <w:rPr>
          <w:rFonts w:eastAsia="Arial" w:cs="Arial"/>
          <w:spacing w:val="-1"/>
        </w:rPr>
      </w:pPr>
    </w:p>
    <w:p w14:paraId="7C4EE73B" w14:textId="77777777" w:rsidR="00D45CE9" w:rsidRPr="00D45CE9" w:rsidRDefault="00D45CE9" w:rsidP="00335B79">
      <w:pPr>
        <w:keepNext w:val="0"/>
        <w:numPr>
          <w:ilvl w:val="1"/>
          <w:numId w:val="5"/>
        </w:numPr>
        <w:tabs>
          <w:tab w:val="clear" w:pos="525"/>
        </w:tabs>
        <w:autoSpaceDE w:val="0"/>
        <w:autoSpaceDN w:val="0"/>
        <w:adjustRightInd w:val="0"/>
        <w:spacing w:before="0"/>
        <w:ind w:left="851" w:hanging="851"/>
        <w:rPr>
          <w:rFonts w:eastAsia="Arial" w:cs="Arial"/>
          <w:spacing w:val="-1"/>
        </w:rPr>
      </w:pPr>
      <w:r w:rsidRPr="00D45CE9">
        <w:rPr>
          <w:rFonts w:eastAsia="Arial" w:cs="Arial"/>
          <w:spacing w:val="-1"/>
        </w:rPr>
        <w:t xml:space="preserve">Other than for small scale proposals, new businesses should investigate the availability of existing sites, and new build development in the countryside will only be supported where no alternative sites are available or there is a justification specific to the particular proposal. </w:t>
      </w:r>
    </w:p>
    <w:p w14:paraId="7A09B05A" w14:textId="77777777" w:rsidR="00D45CE9" w:rsidRPr="00D45CE9" w:rsidRDefault="00D45CE9" w:rsidP="00335B79">
      <w:pPr>
        <w:keepNext w:val="0"/>
        <w:autoSpaceDE w:val="0"/>
        <w:autoSpaceDN w:val="0"/>
        <w:adjustRightInd w:val="0"/>
        <w:spacing w:before="0"/>
        <w:ind w:left="851" w:hanging="851"/>
        <w:rPr>
          <w:rFonts w:eastAsia="Arial" w:cs="Arial"/>
          <w:spacing w:val="-1"/>
        </w:rPr>
      </w:pPr>
    </w:p>
    <w:p w14:paraId="60BF5884" w14:textId="77777777" w:rsidR="00D45CE9" w:rsidRPr="00D45CE9" w:rsidRDefault="00D45CE9" w:rsidP="00335B79">
      <w:pPr>
        <w:keepNext w:val="0"/>
        <w:numPr>
          <w:ilvl w:val="1"/>
          <w:numId w:val="5"/>
        </w:numPr>
        <w:tabs>
          <w:tab w:val="clear" w:pos="525"/>
        </w:tabs>
        <w:autoSpaceDE w:val="0"/>
        <w:autoSpaceDN w:val="0"/>
        <w:adjustRightInd w:val="0"/>
        <w:spacing w:before="0"/>
        <w:ind w:left="851" w:hanging="851"/>
        <w:rPr>
          <w:rFonts w:eastAsia="Arial" w:cs="Arial"/>
          <w:spacing w:val="-1"/>
        </w:rPr>
      </w:pPr>
      <w:r w:rsidRPr="00D45CE9">
        <w:rPr>
          <w:rFonts w:eastAsia="Arial" w:cs="Arial"/>
          <w:spacing w:val="-1"/>
        </w:rPr>
        <w:t>Expansion of viable business and recreational uses will be supported subject to site specific assessment. It should be recognised that the expansion of any given site is likely to be limited at some point by its impacts on the Countryside.</w:t>
      </w:r>
    </w:p>
    <w:p w14:paraId="27B3A87B" w14:textId="77777777" w:rsidR="00D45CE9" w:rsidRPr="00D45CE9" w:rsidRDefault="00D45CE9" w:rsidP="00335B79">
      <w:pPr>
        <w:keepNext w:val="0"/>
        <w:autoSpaceDE w:val="0"/>
        <w:autoSpaceDN w:val="0"/>
        <w:adjustRightInd w:val="0"/>
        <w:spacing w:before="0"/>
        <w:ind w:left="851" w:hanging="851"/>
        <w:rPr>
          <w:rFonts w:eastAsia="Arial" w:cs="Arial"/>
          <w:spacing w:val="-1"/>
        </w:rPr>
      </w:pPr>
    </w:p>
    <w:p w14:paraId="32533912" w14:textId="77777777" w:rsidR="00D45CE9" w:rsidRPr="00D45CE9" w:rsidRDefault="00D45CE9" w:rsidP="00335B79">
      <w:pPr>
        <w:keepNext w:val="0"/>
        <w:numPr>
          <w:ilvl w:val="1"/>
          <w:numId w:val="5"/>
        </w:numPr>
        <w:tabs>
          <w:tab w:val="clear" w:pos="525"/>
        </w:tabs>
        <w:autoSpaceDE w:val="0"/>
        <w:autoSpaceDN w:val="0"/>
        <w:adjustRightInd w:val="0"/>
        <w:spacing w:before="0"/>
        <w:ind w:left="851" w:hanging="851"/>
        <w:rPr>
          <w:rFonts w:eastAsia="Arial" w:cs="Arial"/>
          <w:spacing w:val="-1"/>
        </w:rPr>
      </w:pPr>
      <w:r w:rsidRPr="00D45CE9">
        <w:rPr>
          <w:rFonts w:eastAsia="Arial" w:cs="Arial"/>
          <w:spacing w:val="-1"/>
        </w:rPr>
        <w:t xml:space="preserve">Small rural businesses have traditionally supported each other and the rural economy through providing products and services and consequently employment closely related to their location. In recognising the contribution that such businesses make to achieving sustainable development through delivering the aims of the Spatial Strategy, the Council will support the expansion of existing businesses and establishment of appropriate new business. </w:t>
      </w:r>
    </w:p>
    <w:p w14:paraId="3DC13ED5" w14:textId="77777777" w:rsidR="00D45CE9" w:rsidRPr="00D45CE9" w:rsidRDefault="00D45CE9" w:rsidP="00335B79">
      <w:pPr>
        <w:keepNext w:val="0"/>
        <w:autoSpaceDE w:val="0"/>
        <w:autoSpaceDN w:val="0"/>
        <w:adjustRightInd w:val="0"/>
        <w:spacing w:before="0"/>
        <w:ind w:left="851" w:hanging="851"/>
        <w:rPr>
          <w:rFonts w:eastAsia="Arial" w:cs="Arial"/>
          <w:spacing w:val="-1"/>
        </w:rPr>
      </w:pPr>
    </w:p>
    <w:p w14:paraId="39943C4F" w14:textId="77777777" w:rsidR="00D45CE9" w:rsidRPr="00D45CE9" w:rsidRDefault="00D45CE9" w:rsidP="00335B79">
      <w:pPr>
        <w:keepNext w:val="0"/>
        <w:numPr>
          <w:ilvl w:val="1"/>
          <w:numId w:val="5"/>
        </w:numPr>
        <w:tabs>
          <w:tab w:val="clear" w:pos="525"/>
        </w:tabs>
        <w:autoSpaceDE w:val="0"/>
        <w:autoSpaceDN w:val="0"/>
        <w:adjustRightInd w:val="0"/>
        <w:spacing w:before="0"/>
        <w:ind w:left="851" w:hanging="851"/>
        <w:rPr>
          <w:rFonts w:eastAsia="Arial" w:cs="Arial"/>
          <w:spacing w:val="-1"/>
        </w:rPr>
      </w:pPr>
      <w:r w:rsidRPr="00D45CE9">
        <w:rPr>
          <w:rFonts w:eastAsia="Arial" w:cs="Arial"/>
          <w:spacing w:val="-1"/>
        </w:rPr>
        <w:t xml:space="preserve">Proposals to expand viable businesses will be supported where they can demonstrate an ongoing contribution to sustaining rural employment. This policy is not intended to allow the unlimited expansion of existing businesses. The visual or operational impacts may at some point outweigh the benefits of expansion. </w:t>
      </w:r>
    </w:p>
    <w:p w14:paraId="06DA6EC1" w14:textId="77777777" w:rsidR="00D45CE9" w:rsidRPr="00D45CE9" w:rsidRDefault="00D45CE9" w:rsidP="00335B79">
      <w:pPr>
        <w:keepNext w:val="0"/>
        <w:autoSpaceDE w:val="0"/>
        <w:autoSpaceDN w:val="0"/>
        <w:adjustRightInd w:val="0"/>
        <w:spacing w:before="0"/>
        <w:ind w:left="851" w:hanging="851"/>
        <w:rPr>
          <w:rFonts w:eastAsia="Arial" w:cs="Arial"/>
          <w:spacing w:val="-1"/>
        </w:rPr>
      </w:pPr>
    </w:p>
    <w:p w14:paraId="04D7A39B" w14:textId="77777777" w:rsidR="00D45CE9" w:rsidRPr="00D45CE9" w:rsidRDefault="00D45CE9" w:rsidP="00335B79">
      <w:pPr>
        <w:keepNext w:val="0"/>
        <w:numPr>
          <w:ilvl w:val="1"/>
          <w:numId w:val="5"/>
        </w:numPr>
        <w:tabs>
          <w:tab w:val="clear" w:pos="525"/>
        </w:tabs>
        <w:autoSpaceDE w:val="0"/>
        <w:autoSpaceDN w:val="0"/>
        <w:adjustRightInd w:val="0"/>
        <w:spacing w:before="0"/>
        <w:ind w:left="851" w:hanging="851"/>
        <w:rPr>
          <w:rFonts w:eastAsia="Arial" w:cs="Arial"/>
          <w:spacing w:val="-1"/>
        </w:rPr>
      </w:pPr>
      <w:r w:rsidRPr="00D45CE9">
        <w:rPr>
          <w:rFonts w:eastAsia="Arial" w:cs="Arial"/>
          <w:spacing w:val="-1"/>
        </w:rPr>
        <w:t>Proposals for new businesses should be able to demonstrate both a need for a particular rural location and a contribution to sustaining rural employment.  In the interests of minimising visual impact, new buildings should be restrained to the minimum necessary to sustain the business.</w:t>
      </w:r>
    </w:p>
    <w:p w14:paraId="5FAC1B57" w14:textId="77777777" w:rsidR="00D45CE9" w:rsidRPr="00D45CE9" w:rsidRDefault="00D45CE9" w:rsidP="00335B79">
      <w:pPr>
        <w:keepNext w:val="0"/>
        <w:autoSpaceDE w:val="0"/>
        <w:autoSpaceDN w:val="0"/>
        <w:adjustRightInd w:val="0"/>
        <w:spacing w:before="0"/>
        <w:ind w:left="851" w:hanging="851"/>
        <w:rPr>
          <w:rFonts w:eastAsia="Arial" w:cs="Arial"/>
          <w:spacing w:val="-1"/>
        </w:rPr>
      </w:pPr>
    </w:p>
    <w:p w14:paraId="68A1D4FC" w14:textId="77777777" w:rsidR="00D45CE9" w:rsidRDefault="00D45CE9" w:rsidP="00335B79">
      <w:pPr>
        <w:keepNext w:val="0"/>
        <w:autoSpaceDE w:val="0"/>
        <w:autoSpaceDN w:val="0"/>
        <w:adjustRightInd w:val="0"/>
        <w:spacing w:before="0"/>
        <w:ind w:left="851"/>
        <w:rPr>
          <w:rFonts w:eastAsia="Arial" w:cs="Arial"/>
          <w:b/>
          <w:bCs/>
          <w:spacing w:val="-1"/>
        </w:rPr>
      </w:pPr>
      <w:r w:rsidRPr="00D45CE9">
        <w:rPr>
          <w:rFonts w:eastAsia="Arial" w:cs="Arial"/>
          <w:b/>
          <w:bCs/>
          <w:spacing w:val="-1"/>
        </w:rPr>
        <w:t>New Buildings</w:t>
      </w:r>
    </w:p>
    <w:p w14:paraId="2374B578" w14:textId="77777777" w:rsidR="00D45CE9" w:rsidRPr="00D45CE9" w:rsidRDefault="00D45CE9" w:rsidP="00335B79">
      <w:pPr>
        <w:keepNext w:val="0"/>
        <w:numPr>
          <w:ilvl w:val="1"/>
          <w:numId w:val="5"/>
        </w:numPr>
        <w:tabs>
          <w:tab w:val="clear" w:pos="525"/>
        </w:tabs>
        <w:autoSpaceDE w:val="0"/>
        <w:autoSpaceDN w:val="0"/>
        <w:adjustRightInd w:val="0"/>
        <w:spacing w:before="0"/>
        <w:ind w:left="851" w:hanging="851"/>
        <w:rPr>
          <w:rFonts w:eastAsia="Arial" w:cs="Arial"/>
          <w:spacing w:val="-1"/>
        </w:rPr>
      </w:pPr>
      <w:r w:rsidRPr="000E37F7">
        <w:rPr>
          <w:rFonts w:eastAsia="Arial" w:cs="Arial"/>
          <w:b/>
          <w:bCs/>
          <w:spacing w:val="-1"/>
        </w:rPr>
        <w:t>EV2:1c)</w:t>
      </w:r>
      <w:r w:rsidRPr="00D45CE9">
        <w:rPr>
          <w:rFonts w:eastAsia="Arial" w:cs="Arial"/>
          <w:spacing w:val="-1"/>
        </w:rPr>
        <w:t xml:space="preserve"> New buildings will be restricted in the Countryside to cases where it is essential for an appropriate Countryside use and the need for the proposed location has been established. Any new building should be at a scale which is appropriate to the nature of the site and its setting. </w:t>
      </w:r>
    </w:p>
    <w:p w14:paraId="4F6281FA" w14:textId="77777777" w:rsidR="00D45CE9" w:rsidRPr="00D45CE9" w:rsidRDefault="00D45CE9" w:rsidP="00335B79">
      <w:pPr>
        <w:keepNext w:val="0"/>
        <w:autoSpaceDE w:val="0"/>
        <w:autoSpaceDN w:val="0"/>
        <w:adjustRightInd w:val="0"/>
        <w:spacing w:before="0"/>
        <w:ind w:left="851" w:hanging="851"/>
        <w:rPr>
          <w:rFonts w:eastAsia="Arial" w:cs="Arial"/>
          <w:spacing w:val="-1"/>
        </w:rPr>
      </w:pPr>
    </w:p>
    <w:p w14:paraId="1121354E" w14:textId="36E6E02E" w:rsidR="00D45CE9" w:rsidRPr="00D45CE9" w:rsidRDefault="00D45CE9" w:rsidP="00335B79">
      <w:pPr>
        <w:keepNext w:val="0"/>
        <w:numPr>
          <w:ilvl w:val="1"/>
          <w:numId w:val="5"/>
        </w:numPr>
        <w:tabs>
          <w:tab w:val="clear" w:pos="525"/>
        </w:tabs>
        <w:autoSpaceDE w:val="0"/>
        <w:autoSpaceDN w:val="0"/>
        <w:adjustRightInd w:val="0"/>
        <w:spacing w:before="0"/>
        <w:ind w:left="851" w:hanging="851"/>
        <w:rPr>
          <w:rFonts w:eastAsia="Arial" w:cs="Arial"/>
          <w:spacing w:val="-1"/>
        </w:rPr>
      </w:pPr>
      <w:r w:rsidRPr="00D45CE9">
        <w:rPr>
          <w:rFonts w:eastAsia="Arial" w:cs="Arial"/>
          <w:spacing w:val="-1"/>
        </w:rPr>
        <w:t xml:space="preserve">Unless there is an overriding need, residential dwellings are usually best sited within existing towns or villages. One of the few circumstances in which an isolated new dwelling in a rural area may be justified is when accommodation is essential to enable a full-time agriculture, or forestry worker to live at, or in the immediate vicinity of their place of work (NPPF, paragraph </w:t>
      </w:r>
      <w:r w:rsidR="000E37F7">
        <w:rPr>
          <w:rFonts w:eastAsia="Arial" w:cs="Arial"/>
          <w:spacing w:val="-1"/>
        </w:rPr>
        <w:t>80</w:t>
      </w:r>
      <w:r w:rsidRPr="00D45CE9">
        <w:rPr>
          <w:rFonts w:eastAsia="Arial" w:cs="Arial"/>
          <w:spacing w:val="-1"/>
        </w:rPr>
        <w:t xml:space="preserve">). Whether this is essential in any particular case will depend on the needs of the enterprise concerned and not on the personal preference or circumstances of any of the individuals involved.  For any new dwelling, a functional test will be necessary to establish whether it is essential (rather than merely desirable) for the proper functioning of the enterprise for one or more workers to be readily available at most times to deal with animals or agricultural processes which require essential care at short notice or to deal quickly with emergencies that could otherwise cause serious loss of crops or products. The Council will also require the application of a financial test to show that the agricultural enterprise is financially sound. It may be necessary to provide business accounts or financial projections in support of an application to a basic level to assist a financial appraisal. All proposals will be considered against advice contained in Appendix 5 of this Plan.  </w:t>
      </w:r>
    </w:p>
    <w:p w14:paraId="650C1743" w14:textId="77777777" w:rsidR="00F86477" w:rsidRDefault="00F86477" w:rsidP="00335B79">
      <w:pPr>
        <w:keepNext w:val="0"/>
        <w:autoSpaceDE w:val="0"/>
        <w:autoSpaceDN w:val="0"/>
        <w:adjustRightInd w:val="0"/>
        <w:spacing w:before="0"/>
        <w:ind w:left="851" w:hanging="851"/>
        <w:rPr>
          <w:rFonts w:eastAsia="Arial" w:cs="Arial"/>
          <w:b/>
          <w:bCs/>
          <w:spacing w:val="-1"/>
        </w:rPr>
      </w:pPr>
    </w:p>
    <w:p w14:paraId="15BC5C6A" w14:textId="7A7B3E25" w:rsidR="00D45CE9" w:rsidRDefault="00D45CE9" w:rsidP="00335B79">
      <w:pPr>
        <w:keepNext w:val="0"/>
        <w:autoSpaceDE w:val="0"/>
        <w:autoSpaceDN w:val="0"/>
        <w:adjustRightInd w:val="0"/>
        <w:spacing w:before="0"/>
        <w:ind w:left="851"/>
        <w:rPr>
          <w:rFonts w:eastAsia="Arial" w:cs="Arial"/>
          <w:b/>
          <w:bCs/>
          <w:spacing w:val="-1"/>
        </w:rPr>
      </w:pPr>
      <w:r w:rsidRPr="00D45CE9">
        <w:rPr>
          <w:rFonts w:eastAsia="Arial" w:cs="Arial"/>
          <w:b/>
          <w:bCs/>
          <w:spacing w:val="-1"/>
        </w:rPr>
        <w:t>Utilities and Infrastructure</w:t>
      </w:r>
    </w:p>
    <w:p w14:paraId="76321C95" w14:textId="77777777" w:rsidR="00D45CE9" w:rsidRPr="00D45CE9" w:rsidRDefault="00D45CE9" w:rsidP="00335B79">
      <w:pPr>
        <w:keepNext w:val="0"/>
        <w:numPr>
          <w:ilvl w:val="1"/>
          <w:numId w:val="5"/>
        </w:numPr>
        <w:tabs>
          <w:tab w:val="clear" w:pos="525"/>
        </w:tabs>
        <w:autoSpaceDE w:val="0"/>
        <w:autoSpaceDN w:val="0"/>
        <w:adjustRightInd w:val="0"/>
        <w:spacing w:before="0"/>
        <w:ind w:left="851" w:hanging="851"/>
        <w:rPr>
          <w:rFonts w:eastAsia="Arial" w:cs="Arial"/>
          <w:spacing w:val="-1"/>
        </w:rPr>
      </w:pPr>
      <w:r w:rsidRPr="000E37F7">
        <w:rPr>
          <w:rFonts w:eastAsia="Arial" w:cs="Arial"/>
          <w:b/>
          <w:bCs/>
          <w:spacing w:val="-1"/>
        </w:rPr>
        <w:t>EV2:1d)</w:t>
      </w:r>
      <w:r w:rsidRPr="00D45CE9">
        <w:rPr>
          <w:rFonts w:eastAsia="Arial" w:cs="Arial"/>
          <w:spacing w:val="-1"/>
        </w:rPr>
        <w:t xml:space="preserve"> Utility installations and local transport infrastructure, such as electricity transmission lines or railway installations which can demonstrate a requirement for a rural location will generally be supported by the Council. It is important to ensure that these installations are sensitively located in order to minimise the adverse impact on the landscape or neighbouring properties.  Careful siting, design and landscaping will normally be required, particularly in sensitive locations. </w:t>
      </w:r>
    </w:p>
    <w:p w14:paraId="7B7F644E" w14:textId="77777777" w:rsidR="00D45CE9" w:rsidRPr="00D45CE9" w:rsidRDefault="00D45CE9" w:rsidP="00335B79">
      <w:pPr>
        <w:keepNext w:val="0"/>
        <w:autoSpaceDE w:val="0"/>
        <w:autoSpaceDN w:val="0"/>
        <w:adjustRightInd w:val="0"/>
        <w:spacing w:before="0"/>
        <w:ind w:left="851" w:hanging="851"/>
        <w:rPr>
          <w:rFonts w:eastAsia="Arial" w:cs="Arial"/>
          <w:spacing w:val="-1"/>
        </w:rPr>
      </w:pPr>
    </w:p>
    <w:p w14:paraId="6137FEFE" w14:textId="7F660684" w:rsidR="00D45CE9" w:rsidRDefault="00335B79" w:rsidP="00335B79">
      <w:pPr>
        <w:keepNext w:val="0"/>
        <w:autoSpaceDE w:val="0"/>
        <w:autoSpaceDN w:val="0"/>
        <w:adjustRightInd w:val="0"/>
        <w:spacing w:before="0"/>
        <w:ind w:left="851" w:hanging="131"/>
        <w:rPr>
          <w:rFonts w:eastAsia="Arial" w:cs="Arial"/>
          <w:b/>
          <w:bCs/>
          <w:spacing w:val="-1"/>
        </w:rPr>
      </w:pPr>
      <w:r>
        <w:rPr>
          <w:rFonts w:eastAsia="Arial" w:cs="Arial"/>
          <w:b/>
          <w:bCs/>
          <w:spacing w:val="-1"/>
        </w:rPr>
        <w:t xml:space="preserve">  </w:t>
      </w:r>
      <w:r w:rsidR="00D45CE9" w:rsidRPr="00D45CE9">
        <w:rPr>
          <w:rFonts w:eastAsia="Arial" w:cs="Arial"/>
          <w:b/>
          <w:bCs/>
          <w:spacing w:val="-1"/>
        </w:rPr>
        <w:t>Extension or Alteration of Existing Buildings</w:t>
      </w:r>
    </w:p>
    <w:p w14:paraId="3C3E3D73" w14:textId="77777777" w:rsidR="00D45CE9" w:rsidRPr="00D45CE9" w:rsidRDefault="00D45CE9" w:rsidP="00335B79">
      <w:pPr>
        <w:keepNext w:val="0"/>
        <w:numPr>
          <w:ilvl w:val="1"/>
          <w:numId w:val="5"/>
        </w:numPr>
        <w:tabs>
          <w:tab w:val="clear" w:pos="525"/>
        </w:tabs>
        <w:autoSpaceDE w:val="0"/>
        <w:autoSpaceDN w:val="0"/>
        <w:adjustRightInd w:val="0"/>
        <w:spacing w:before="0"/>
        <w:ind w:left="851" w:hanging="851"/>
        <w:rPr>
          <w:rFonts w:eastAsia="Arial" w:cs="Arial"/>
          <w:spacing w:val="-1"/>
        </w:rPr>
      </w:pPr>
      <w:r w:rsidRPr="000E37F7">
        <w:rPr>
          <w:rFonts w:eastAsia="Arial" w:cs="Arial"/>
          <w:b/>
          <w:bCs/>
          <w:spacing w:val="-1"/>
        </w:rPr>
        <w:t>EV2:1e)</w:t>
      </w:r>
      <w:r w:rsidRPr="00D45CE9">
        <w:rPr>
          <w:rFonts w:eastAsia="Arial" w:cs="Arial"/>
          <w:spacing w:val="-1"/>
        </w:rPr>
        <w:t xml:space="preserve"> Extension or alteration of a building is not inappropriate in the Countryside, where the resultant scale, form and general design is in keeping with the host building and its surroundings. </w:t>
      </w:r>
    </w:p>
    <w:p w14:paraId="3AC84330" w14:textId="77777777" w:rsidR="00D45CE9" w:rsidRPr="00D45CE9" w:rsidRDefault="00D45CE9" w:rsidP="00335B79">
      <w:pPr>
        <w:keepNext w:val="0"/>
        <w:autoSpaceDE w:val="0"/>
        <w:autoSpaceDN w:val="0"/>
        <w:adjustRightInd w:val="0"/>
        <w:spacing w:before="0"/>
        <w:ind w:left="851" w:hanging="851"/>
        <w:rPr>
          <w:rFonts w:eastAsia="Arial" w:cs="Arial"/>
          <w:spacing w:val="-1"/>
        </w:rPr>
      </w:pPr>
    </w:p>
    <w:p w14:paraId="2FC65D2F" w14:textId="77777777" w:rsidR="00D45CE9" w:rsidRPr="00D45CE9" w:rsidRDefault="00D45CE9" w:rsidP="00335B79">
      <w:pPr>
        <w:keepNext w:val="0"/>
        <w:numPr>
          <w:ilvl w:val="1"/>
          <w:numId w:val="5"/>
        </w:numPr>
        <w:tabs>
          <w:tab w:val="clear" w:pos="525"/>
        </w:tabs>
        <w:autoSpaceDE w:val="0"/>
        <w:autoSpaceDN w:val="0"/>
        <w:adjustRightInd w:val="0"/>
        <w:spacing w:before="0"/>
        <w:ind w:left="851" w:hanging="851"/>
        <w:rPr>
          <w:rFonts w:eastAsia="Arial" w:cs="Arial"/>
          <w:spacing w:val="-1"/>
        </w:rPr>
      </w:pPr>
      <w:r w:rsidRPr="00D45CE9">
        <w:rPr>
          <w:rFonts w:eastAsia="Arial" w:cs="Arial"/>
          <w:spacing w:val="-1"/>
        </w:rPr>
        <w:t>Extensions or alterations to small dwellings in the Countryside should not result in the provision of large houses of suburban appearance, out of character with their rural setting and reducing the supply of smaller rural houses. In order to minimise impact, the proposed development will need to respect the design of the existing property, adjoining properties and the setting of the building.  Advice on appropriate design principles for residential extensions is contained in the Ashfield Design Supplementary Planning Guidance.</w:t>
      </w:r>
    </w:p>
    <w:p w14:paraId="67F19842" w14:textId="77777777" w:rsidR="00D45CE9" w:rsidRPr="00D45CE9" w:rsidRDefault="00D45CE9" w:rsidP="00335B79">
      <w:pPr>
        <w:keepNext w:val="0"/>
        <w:autoSpaceDE w:val="0"/>
        <w:autoSpaceDN w:val="0"/>
        <w:adjustRightInd w:val="0"/>
        <w:spacing w:before="0"/>
        <w:ind w:left="851" w:hanging="851"/>
        <w:rPr>
          <w:rFonts w:eastAsia="Arial" w:cs="Arial"/>
          <w:spacing w:val="-1"/>
        </w:rPr>
      </w:pPr>
    </w:p>
    <w:p w14:paraId="3A6B010E" w14:textId="34FAA7FB" w:rsidR="00D45CE9" w:rsidRPr="00D45CE9" w:rsidRDefault="00D45CE9" w:rsidP="00335B79">
      <w:pPr>
        <w:keepNext w:val="0"/>
        <w:numPr>
          <w:ilvl w:val="1"/>
          <w:numId w:val="5"/>
        </w:numPr>
        <w:tabs>
          <w:tab w:val="clear" w:pos="525"/>
        </w:tabs>
        <w:autoSpaceDE w:val="0"/>
        <w:autoSpaceDN w:val="0"/>
        <w:adjustRightInd w:val="0"/>
        <w:spacing w:before="0"/>
        <w:ind w:left="851" w:hanging="851"/>
        <w:rPr>
          <w:rFonts w:eastAsia="Arial" w:cs="Arial"/>
          <w:spacing w:val="-1"/>
        </w:rPr>
      </w:pPr>
      <w:r w:rsidRPr="00D45CE9">
        <w:rPr>
          <w:rFonts w:eastAsia="Arial" w:cs="Arial"/>
          <w:spacing w:val="-1"/>
        </w:rPr>
        <w:t xml:space="preserve">In determining </w:t>
      </w:r>
      <w:r w:rsidR="009D1815" w:rsidRPr="00D45CE9">
        <w:rPr>
          <w:rFonts w:eastAsia="Arial" w:cs="Arial"/>
          <w:spacing w:val="-1"/>
        </w:rPr>
        <w:t>applications,</w:t>
      </w:r>
      <w:r w:rsidRPr="00D45CE9">
        <w:rPr>
          <w:rFonts w:eastAsia="Arial" w:cs="Arial"/>
          <w:spacing w:val="-1"/>
        </w:rPr>
        <w:t xml:space="preserve"> the Council will also take into account factors such as the size of the original </w:t>
      </w:r>
      <w:r w:rsidR="009D1815" w:rsidRPr="00D45CE9">
        <w:rPr>
          <w:rFonts w:eastAsia="Arial" w:cs="Arial"/>
          <w:spacing w:val="-1"/>
        </w:rPr>
        <w:t>building,</w:t>
      </w:r>
      <w:r w:rsidRPr="00D45CE9">
        <w:rPr>
          <w:rFonts w:eastAsia="Arial" w:cs="Arial"/>
          <w:spacing w:val="-1"/>
        </w:rPr>
        <w:t xml:space="preserve"> the scale, form, bulk and prominence of an extension or alteration, and the impact of the proposal on the character of the Countryside. Proposals must not result in a </w:t>
      </w:r>
      <w:r w:rsidR="009D1815" w:rsidRPr="00D45CE9">
        <w:rPr>
          <w:rFonts w:eastAsia="Arial" w:cs="Arial"/>
          <w:spacing w:val="-1"/>
        </w:rPr>
        <w:t>large, bulky or intrusive building</w:t>
      </w:r>
      <w:r w:rsidRPr="00D45CE9">
        <w:rPr>
          <w:rFonts w:eastAsia="Arial" w:cs="Arial"/>
          <w:spacing w:val="-1"/>
        </w:rPr>
        <w:t xml:space="preserve"> which would adversely impact on the character of the Countryside. </w:t>
      </w:r>
    </w:p>
    <w:p w14:paraId="36145133" w14:textId="77777777" w:rsidR="00D45CE9" w:rsidRPr="00D45CE9" w:rsidRDefault="00D45CE9" w:rsidP="00335B79">
      <w:pPr>
        <w:keepNext w:val="0"/>
        <w:autoSpaceDE w:val="0"/>
        <w:autoSpaceDN w:val="0"/>
        <w:adjustRightInd w:val="0"/>
        <w:spacing w:before="0"/>
        <w:ind w:left="851" w:hanging="851"/>
        <w:rPr>
          <w:rFonts w:eastAsia="Arial" w:cs="Arial"/>
          <w:spacing w:val="-1"/>
        </w:rPr>
      </w:pPr>
    </w:p>
    <w:p w14:paraId="447BE692" w14:textId="77777777" w:rsidR="00D45CE9" w:rsidRPr="00D45CE9" w:rsidRDefault="00D45CE9" w:rsidP="00335B79">
      <w:pPr>
        <w:keepNext w:val="0"/>
        <w:numPr>
          <w:ilvl w:val="1"/>
          <w:numId w:val="5"/>
        </w:numPr>
        <w:tabs>
          <w:tab w:val="clear" w:pos="525"/>
        </w:tabs>
        <w:autoSpaceDE w:val="0"/>
        <w:autoSpaceDN w:val="0"/>
        <w:adjustRightInd w:val="0"/>
        <w:spacing w:before="0"/>
        <w:ind w:left="851" w:hanging="851"/>
        <w:rPr>
          <w:rFonts w:eastAsia="Arial" w:cs="Arial"/>
          <w:spacing w:val="-1"/>
        </w:rPr>
      </w:pPr>
      <w:r w:rsidRPr="00D45CE9">
        <w:rPr>
          <w:rFonts w:eastAsia="Arial" w:cs="Arial"/>
          <w:spacing w:val="-1"/>
        </w:rPr>
        <w:t>Regard will be given to previous extensions on the site, either allowed through Permitted Development Rights or through planning approvals. The original character of a building can be lost if the property is extended in an unsympathetic way through the addition of numerous extensions. The Council will take into account the original proportions of the building, prior to extensions being added. In some circumstances, it may be more appropriate to provide one new extension as a replacement for several existing extensions, especially where these are in poor condition or do not reflect the original character of the building. All applications will need to consider the impact of the cumulative extensions on the original building.</w:t>
      </w:r>
    </w:p>
    <w:p w14:paraId="60494F18" w14:textId="77777777" w:rsidR="00D45CE9" w:rsidRPr="00D45CE9" w:rsidRDefault="00D45CE9" w:rsidP="00335B79">
      <w:pPr>
        <w:keepNext w:val="0"/>
        <w:autoSpaceDE w:val="0"/>
        <w:autoSpaceDN w:val="0"/>
        <w:adjustRightInd w:val="0"/>
        <w:spacing w:before="0"/>
        <w:ind w:left="851" w:hanging="851"/>
        <w:rPr>
          <w:rFonts w:eastAsia="Arial" w:cs="Arial"/>
          <w:spacing w:val="-1"/>
        </w:rPr>
      </w:pPr>
    </w:p>
    <w:p w14:paraId="776C46AC" w14:textId="77777777" w:rsidR="00D45CE9" w:rsidRPr="00D45CE9" w:rsidRDefault="00D45CE9" w:rsidP="00335B79">
      <w:pPr>
        <w:keepNext w:val="0"/>
        <w:numPr>
          <w:ilvl w:val="1"/>
          <w:numId w:val="5"/>
        </w:numPr>
        <w:tabs>
          <w:tab w:val="clear" w:pos="525"/>
        </w:tabs>
        <w:autoSpaceDE w:val="0"/>
        <w:autoSpaceDN w:val="0"/>
        <w:adjustRightInd w:val="0"/>
        <w:spacing w:before="0"/>
        <w:ind w:left="851" w:hanging="851"/>
        <w:rPr>
          <w:rFonts w:eastAsia="Arial" w:cs="Arial"/>
          <w:spacing w:val="-1"/>
        </w:rPr>
      </w:pPr>
      <w:r w:rsidRPr="00D45CE9">
        <w:rPr>
          <w:rFonts w:eastAsia="Arial" w:cs="Arial"/>
          <w:spacing w:val="-1"/>
        </w:rPr>
        <w:t>The design of any development should be sympathetic to the existing building, the plot size upon which the building it sited, the area adjacent to the site and its wider setting. Proposed changes, either individually or cumulatively should not over dominate the existing building.</w:t>
      </w:r>
    </w:p>
    <w:p w14:paraId="0FE03776" w14:textId="77777777" w:rsidR="00D45CE9" w:rsidRPr="00D45CE9" w:rsidRDefault="00D45CE9" w:rsidP="00335B79">
      <w:pPr>
        <w:keepNext w:val="0"/>
        <w:autoSpaceDE w:val="0"/>
        <w:autoSpaceDN w:val="0"/>
        <w:adjustRightInd w:val="0"/>
        <w:spacing w:before="0"/>
        <w:ind w:left="851" w:hanging="851"/>
        <w:rPr>
          <w:rFonts w:eastAsia="Arial" w:cs="Arial"/>
          <w:spacing w:val="-1"/>
        </w:rPr>
      </w:pPr>
    </w:p>
    <w:p w14:paraId="27BC70D3" w14:textId="77777777" w:rsidR="00D45CE9" w:rsidRPr="00D45CE9" w:rsidRDefault="00D45CE9" w:rsidP="00335B79">
      <w:pPr>
        <w:keepNext w:val="0"/>
        <w:numPr>
          <w:ilvl w:val="1"/>
          <w:numId w:val="5"/>
        </w:numPr>
        <w:tabs>
          <w:tab w:val="clear" w:pos="525"/>
        </w:tabs>
        <w:autoSpaceDE w:val="0"/>
        <w:autoSpaceDN w:val="0"/>
        <w:adjustRightInd w:val="0"/>
        <w:spacing w:before="0"/>
        <w:ind w:left="851" w:hanging="851"/>
        <w:rPr>
          <w:rFonts w:eastAsia="Arial" w:cs="Arial"/>
          <w:spacing w:val="-1"/>
        </w:rPr>
      </w:pPr>
      <w:r w:rsidRPr="00D45CE9">
        <w:rPr>
          <w:rFonts w:eastAsia="Arial" w:cs="Arial"/>
          <w:spacing w:val="-1"/>
        </w:rPr>
        <w:t xml:space="preserve">In the case of extensions to a dwelling, “original” means the dwelling as existing on 1st July 1948, even if the original dwelling has since been replaced. If no dwelling existed on that date, then “original” means the dwelling as first built after 1st July 1948. Extensions will only be allowed under the policy where the dwelling proposed to be extended remains intact on site. </w:t>
      </w:r>
    </w:p>
    <w:p w14:paraId="03412905" w14:textId="77777777" w:rsidR="00D45CE9" w:rsidRPr="00D45CE9" w:rsidRDefault="00D45CE9" w:rsidP="00335B79">
      <w:pPr>
        <w:keepNext w:val="0"/>
        <w:autoSpaceDE w:val="0"/>
        <w:autoSpaceDN w:val="0"/>
        <w:adjustRightInd w:val="0"/>
        <w:spacing w:before="0"/>
        <w:ind w:left="851" w:hanging="851"/>
        <w:rPr>
          <w:rFonts w:eastAsia="Arial" w:cs="Arial"/>
          <w:spacing w:val="-1"/>
        </w:rPr>
      </w:pPr>
    </w:p>
    <w:p w14:paraId="75CF5A89" w14:textId="77777777" w:rsidR="00D45CE9" w:rsidRPr="00D45CE9" w:rsidRDefault="00D45CE9" w:rsidP="00335B79">
      <w:pPr>
        <w:keepNext w:val="0"/>
        <w:numPr>
          <w:ilvl w:val="1"/>
          <w:numId w:val="5"/>
        </w:numPr>
        <w:tabs>
          <w:tab w:val="clear" w:pos="525"/>
        </w:tabs>
        <w:autoSpaceDE w:val="0"/>
        <w:autoSpaceDN w:val="0"/>
        <w:adjustRightInd w:val="0"/>
        <w:spacing w:before="0"/>
        <w:ind w:left="851" w:hanging="851"/>
        <w:rPr>
          <w:rFonts w:eastAsia="Arial" w:cs="Arial"/>
          <w:spacing w:val="-1"/>
        </w:rPr>
      </w:pPr>
      <w:r w:rsidRPr="00D45CE9">
        <w:rPr>
          <w:rFonts w:eastAsia="Arial" w:cs="Arial"/>
          <w:spacing w:val="-1"/>
        </w:rPr>
        <w:t>The total floor area of the original dwelling will include any garage or domestic outbuilding within the curtilage of the dwelling that is used ancillary to the main dwelling and that was erected as part of the original development and still remains intact on site. Outbuildings added at a later date, regardless of whether planning permission was required, will not be included as part of the original dwelling.</w:t>
      </w:r>
    </w:p>
    <w:p w14:paraId="2ED1430B" w14:textId="77777777" w:rsidR="00D45CE9" w:rsidRPr="00D45CE9" w:rsidRDefault="00D45CE9" w:rsidP="00335B79">
      <w:pPr>
        <w:keepNext w:val="0"/>
        <w:autoSpaceDE w:val="0"/>
        <w:autoSpaceDN w:val="0"/>
        <w:adjustRightInd w:val="0"/>
        <w:spacing w:before="0"/>
        <w:ind w:left="851" w:hanging="851"/>
        <w:rPr>
          <w:rFonts w:eastAsia="Arial" w:cs="Arial"/>
          <w:spacing w:val="-1"/>
        </w:rPr>
      </w:pPr>
    </w:p>
    <w:p w14:paraId="2D05BE8F" w14:textId="77777777" w:rsidR="00D45CE9" w:rsidRPr="00D45CE9" w:rsidRDefault="00D45CE9" w:rsidP="00335B79">
      <w:pPr>
        <w:keepNext w:val="0"/>
        <w:numPr>
          <w:ilvl w:val="1"/>
          <w:numId w:val="5"/>
        </w:numPr>
        <w:tabs>
          <w:tab w:val="clear" w:pos="525"/>
        </w:tabs>
        <w:autoSpaceDE w:val="0"/>
        <w:autoSpaceDN w:val="0"/>
        <w:adjustRightInd w:val="0"/>
        <w:spacing w:before="0"/>
        <w:ind w:left="851" w:hanging="851"/>
        <w:rPr>
          <w:rFonts w:eastAsia="Arial" w:cs="Arial"/>
          <w:spacing w:val="-1"/>
        </w:rPr>
      </w:pPr>
      <w:r w:rsidRPr="00D45CE9">
        <w:rPr>
          <w:rFonts w:eastAsia="Arial" w:cs="Arial"/>
          <w:spacing w:val="-1"/>
        </w:rPr>
        <w:t>Planning application proposals for outbuildings that do not constitute permitted development under Town &amp; Country Planning Schedule 2 Part 1 Class E of the Town and Country Planning (General Permitted Development Order) or any superseding legislation, shall be treated as an extension.</w:t>
      </w:r>
    </w:p>
    <w:p w14:paraId="506C4B51" w14:textId="77777777" w:rsidR="00D45CE9" w:rsidRPr="00D45CE9" w:rsidRDefault="00D45CE9" w:rsidP="00335B79">
      <w:pPr>
        <w:keepNext w:val="0"/>
        <w:autoSpaceDE w:val="0"/>
        <w:autoSpaceDN w:val="0"/>
        <w:adjustRightInd w:val="0"/>
        <w:spacing w:before="0"/>
        <w:ind w:left="851" w:hanging="851"/>
        <w:rPr>
          <w:rFonts w:eastAsia="Arial" w:cs="Arial"/>
          <w:spacing w:val="-1"/>
        </w:rPr>
      </w:pPr>
    </w:p>
    <w:p w14:paraId="65923452" w14:textId="77777777" w:rsidR="00D45CE9" w:rsidRPr="00D45CE9" w:rsidRDefault="00D45CE9" w:rsidP="00335B79">
      <w:pPr>
        <w:keepNext w:val="0"/>
        <w:numPr>
          <w:ilvl w:val="1"/>
          <w:numId w:val="5"/>
        </w:numPr>
        <w:tabs>
          <w:tab w:val="clear" w:pos="525"/>
        </w:tabs>
        <w:autoSpaceDE w:val="0"/>
        <w:autoSpaceDN w:val="0"/>
        <w:adjustRightInd w:val="0"/>
        <w:spacing w:before="0"/>
        <w:ind w:left="851" w:hanging="851"/>
        <w:rPr>
          <w:rFonts w:eastAsia="Arial" w:cs="Arial"/>
          <w:spacing w:val="-1"/>
        </w:rPr>
      </w:pPr>
      <w:r w:rsidRPr="00D45CE9">
        <w:rPr>
          <w:rFonts w:eastAsia="Arial" w:cs="Arial"/>
          <w:spacing w:val="-1"/>
        </w:rPr>
        <w:t>The Council will give consideration to the removal of permitted development rights when assessing proposals to extend a dwelling in the Countryside.</w:t>
      </w:r>
    </w:p>
    <w:p w14:paraId="34EE1C16" w14:textId="77777777" w:rsidR="00D45CE9" w:rsidRPr="00D45CE9" w:rsidRDefault="00D45CE9" w:rsidP="00335B79">
      <w:pPr>
        <w:keepNext w:val="0"/>
        <w:autoSpaceDE w:val="0"/>
        <w:autoSpaceDN w:val="0"/>
        <w:adjustRightInd w:val="0"/>
        <w:spacing w:before="0"/>
        <w:ind w:left="851" w:hanging="851"/>
        <w:rPr>
          <w:rFonts w:eastAsia="Arial" w:cs="Arial"/>
          <w:spacing w:val="-1"/>
        </w:rPr>
      </w:pPr>
    </w:p>
    <w:p w14:paraId="2DB839DB" w14:textId="26093BBB" w:rsidR="00D45CE9" w:rsidRDefault="00335B79" w:rsidP="00335B79">
      <w:pPr>
        <w:keepNext w:val="0"/>
        <w:autoSpaceDE w:val="0"/>
        <w:autoSpaceDN w:val="0"/>
        <w:adjustRightInd w:val="0"/>
        <w:spacing w:before="0"/>
        <w:ind w:left="851" w:hanging="131"/>
        <w:rPr>
          <w:rFonts w:eastAsia="Arial" w:cs="Arial"/>
          <w:b/>
          <w:bCs/>
          <w:spacing w:val="-1"/>
        </w:rPr>
      </w:pPr>
      <w:r>
        <w:rPr>
          <w:rFonts w:eastAsia="Arial" w:cs="Arial"/>
          <w:b/>
          <w:bCs/>
          <w:spacing w:val="-1"/>
        </w:rPr>
        <w:t xml:space="preserve">  </w:t>
      </w:r>
      <w:r w:rsidR="00D45CE9" w:rsidRPr="00D45CE9">
        <w:rPr>
          <w:rFonts w:eastAsia="Arial" w:cs="Arial"/>
          <w:b/>
          <w:bCs/>
          <w:spacing w:val="-1"/>
        </w:rPr>
        <w:t>Replacement of Existing Buildings</w:t>
      </w:r>
    </w:p>
    <w:p w14:paraId="0F905370" w14:textId="77777777" w:rsidR="00D45CE9" w:rsidRPr="00D45CE9" w:rsidRDefault="00D45CE9" w:rsidP="00335B79">
      <w:pPr>
        <w:keepNext w:val="0"/>
        <w:numPr>
          <w:ilvl w:val="1"/>
          <w:numId w:val="5"/>
        </w:numPr>
        <w:tabs>
          <w:tab w:val="clear" w:pos="525"/>
        </w:tabs>
        <w:autoSpaceDE w:val="0"/>
        <w:autoSpaceDN w:val="0"/>
        <w:adjustRightInd w:val="0"/>
        <w:spacing w:before="0"/>
        <w:ind w:left="851" w:hanging="851"/>
        <w:rPr>
          <w:rFonts w:eastAsia="Arial" w:cs="Arial"/>
          <w:spacing w:val="-1"/>
        </w:rPr>
      </w:pPr>
      <w:r w:rsidRPr="000E37F7">
        <w:rPr>
          <w:rFonts w:eastAsia="Arial" w:cs="Arial"/>
          <w:b/>
          <w:bCs/>
          <w:spacing w:val="-1"/>
        </w:rPr>
        <w:t>EV2:1f)</w:t>
      </w:r>
      <w:r w:rsidRPr="00D45CE9">
        <w:rPr>
          <w:rFonts w:eastAsia="Arial" w:cs="Arial"/>
          <w:spacing w:val="-1"/>
        </w:rPr>
        <w:t xml:space="preserve"> The replacement of existing buildings need not be inappropriate providing that the new building is not materially larger than the original building it replaces, and where it can be demonstrated that the existing building is not of architectural or historic merit. Proposals for significantly different siting will only be supported where they result in a substantial visual improvement to the immediate setting. It is essential that such replacement buildings make a clear improvement to the surrounding area and the impact of generated traffic. This policy is not intended to formalise or give permanency to buildings of a clearly temporary nature. </w:t>
      </w:r>
    </w:p>
    <w:p w14:paraId="2EDDB11A" w14:textId="77777777" w:rsidR="00D45CE9" w:rsidRPr="00D45CE9" w:rsidRDefault="00D45CE9" w:rsidP="00335B79">
      <w:pPr>
        <w:keepNext w:val="0"/>
        <w:autoSpaceDE w:val="0"/>
        <w:autoSpaceDN w:val="0"/>
        <w:adjustRightInd w:val="0"/>
        <w:spacing w:before="0"/>
        <w:ind w:left="851" w:hanging="851"/>
        <w:rPr>
          <w:rFonts w:eastAsia="Arial" w:cs="Arial"/>
          <w:spacing w:val="-1"/>
        </w:rPr>
      </w:pPr>
    </w:p>
    <w:p w14:paraId="09DFFBE1" w14:textId="77777777" w:rsidR="00D45CE9" w:rsidRPr="00D45CE9" w:rsidRDefault="00D45CE9" w:rsidP="00335B79">
      <w:pPr>
        <w:keepNext w:val="0"/>
        <w:numPr>
          <w:ilvl w:val="1"/>
          <w:numId w:val="5"/>
        </w:numPr>
        <w:tabs>
          <w:tab w:val="clear" w:pos="525"/>
        </w:tabs>
        <w:autoSpaceDE w:val="0"/>
        <w:autoSpaceDN w:val="0"/>
        <w:adjustRightInd w:val="0"/>
        <w:spacing w:before="0"/>
        <w:ind w:left="851" w:hanging="851"/>
        <w:rPr>
          <w:rFonts w:eastAsia="Arial" w:cs="Arial"/>
          <w:spacing w:val="-1"/>
        </w:rPr>
      </w:pPr>
      <w:r w:rsidRPr="00D45CE9">
        <w:rPr>
          <w:rFonts w:eastAsia="Arial" w:cs="Arial"/>
          <w:spacing w:val="-1"/>
        </w:rPr>
        <w:t>Where an existing building is derelict or is structurally unsound, permission will not be granted for its replacement unless this has resulted from accidental damage, for example by fire, or subsidence, and in the case of replacement for residential purposes, it can be demonstrated that the residential use has not been abandoned.</w:t>
      </w:r>
    </w:p>
    <w:p w14:paraId="70CE9A83" w14:textId="77777777" w:rsidR="00D45CE9" w:rsidRPr="00D45CE9" w:rsidRDefault="00D45CE9" w:rsidP="00335B79">
      <w:pPr>
        <w:keepNext w:val="0"/>
        <w:autoSpaceDE w:val="0"/>
        <w:autoSpaceDN w:val="0"/>
        <w:adjustRightInd w:val="0"/>
        <w:spacing w:before="0"/>
        <w:ind w:left="851" w:hanging="851"/>
        <w:rPr>
          <w:rFonts w:eastAsia="Arial" w:cs="Arial"/>
          <w:spacing w:val="-1"/>
        </w:rPr>
      </w:pPr>
    </w:p>
    <w:p w14:paraId="410A8123" w14:textId="39231F2F" w:rsidR="00D45CE9" w:rsidRDefault="00335B79" w:rsidP="00335B79">
      <w:pPr>
        <w:keepNext w:val="0"/>
        <w:autoSpaceDE w:val="0"/>
        <w:autoSpaceDN w:val="0"/>
        <w:adjustRightInd w:val="0"/>
        <w:spacing w:before="0"/>
        <w:ind w:left="851" w:hanging="131"/>
        <w:rPr>
          <w:rFonts w:eastAsia="Arial" w:cs="Arial"/>
          <w:b/>
          <w:bCs/>
          <w:spacing w:val="-1"/>
        </w:rPr>
      </w:pPr>
      <w:r>
        <w:rPr>
          <w:rFonts w:eastAsia="Arial" w:cs="Arial"/>
          <w:b/>
          <w:bCs/>
          <w:spacing w:val="-1"/>
        </w:rPr>
        <w:t xml:space="preserve">  </w:t>
      </w:r>
      <w:r w:rsidR="00D45CE9" w:rsidRPr="000E37F7">
        <w:rPr>
          <w:rFonts w:eastAsia="Arial" w:cs="Arial"/>
          <w:b/>
          <w:bCs/>
          <w:spacing w:val="-1"/>
        </w:rPr>
        <w:t>Infill</w:t>
      </w:r>
      <w:r w:rsidR="008C39C9">
        <w:rPr>
          <w:rFonts w:eastAsia="Arial" w:cs="Arial"/>
          <w:b/>
          <w:bCs/>
          <w:spacing w:val="-1"/>
        </w:rPr>
        <w:t xml:space="preserve"> </w:t>
      </w:r>
      <w:r w:rsidR="00D45CE9" w:rsidRPr="000E37F7">
        <w:rPr>
          <w:rFonts w:eastAsia="Arial" w:cs="Arial"/>
          <w:b/>
          <w:bCs/>
          <w:spacing w:val="-1"/>
        </w:rPr>
        <w:t>Development</w:t>
      </w:r>
    </w:p>
    <w:p w14:paraId="4B08E4C5" w14:textId="19611EE4" w:rsidR="00D45CE9" w:rsidRPr="00D45CE9" w:rsidRDefault="00D45CE9" w:rsidP="00335B79">
      <w:pPr>
        <w:keepNext w:val="0"/>
        <w:numPr>
          <w:ilvl w:val="1"/>
          <w:numId w:val="5"/>
        </w:numPr>
        <w:tabs>
          <w:tab w:val="clear" w:pos="525"/>
        </w:tabs>
        <w:autoSpaceDE w:val="0"/>
        <w:autoSpaceDN w:val="0"/>
        <w:adjustRightInd w:val="0"/>
        <w:spacing w:before="0"/>
        <w:ind w:left="851" w:hanging="851"/>
        <w:rPr>
          <w:rFonts w:eastAsia="Arial" w:cs="Arial"/>
          <w:spacing w:val="-1"/>
        </w:rPr>
      </w:pPr>
      <w:r w:rsidRPr="000E37F7">
        <w:rPr>
          <w:rFonts w:eastAsia="Arial" w:cs="Arial"/>
          <w:b/>
          <w:bCs/>
          <w:spacing w:val="-1"/>
        </w:rPr>
        <w:t>EV2:1g)</w:t>
      </w:r>
      <w:r w:rsidRPr="00D45CE9">
        <w:rPr>
          <w:rFonts w:eastAsia="Arial" w:cs="Arial"/>
          <w:spacing w:val="-1"/>
        </w:rPr>
        <w:t xml:space="preserve"> Limited </w:t>
      </w:r>
      <w:r w:rsidRPr="00F86477">
        <w:rPr>
          <w:rFonts w:eastAsia="Arial" w:cs="Arial"/>
          <w:color w:val="auto"/>
          <w:spacing w:val="-1"/>
        </w:rPr>
        <w:t xml:space="preserve">infill </w:t>
      </w:r>
      <w:r w:rsidR="00323052">
        <w:rPr>
          <w:rFonts w:eastAsia="Arial" w:cs="Arial"/>
          <w:color w:val="auto"/>
          <w:spacing w:val="-1"/>
        </w:rPr>
        <w:t xml:space="preserve">for </w:t>
      </w:r>
      <w:r w:rsidR="00D42DBF" w:rsidRPr="00F86477">
        <w:rPr>
          <w:rFonts w:eastAsia="Arial" w:cs="Arial"/>
          <w:color w:val="auto"/>
          <w:spacing w:val="-1"/>
        </w:rPr>
        <w:t xml:space="preserve">residential </w:t>
      </w:r>
      <w:r w:rsidRPr="00F86477">
        <w:rPr>
          <w:rFonts w:eastAsia="Arial" w:cs="Arial"/>
          <w:color w:val="auto"/>
          <w:spacing w:val="-1"/>
        </w:rPr>
        <w:t xml:space="preserve">development </w:t>
      </w:r>
      <w:r w:rsidRPr="00D45CE9">
        <w:rPr>
          <w:rFonts w:eastAsia="Arial" w:cs="Arial"/>
          <w:spacing w:val="-1"/>
        </w:rPr>
        <w:t xml:space="preserve">may be acceptable in the Countryside, provided it preserves the character of the Countryside and is sustainably located. Regard should be made to the scale and character </w:t>
      </w:r>
      <w:r w:rsidR="008C39C9">
        <w:rPr>
          <w:rFonts w:eastAsia="Arial" w:cs="Arial"/>
          <w:spacing w:val="-1"/>
        </w:rPr>
        <w:t xml:space="preserve">and appearance </w:t>
      </w:r>
      <w:r w:rsidRPr="00D45CE9">
        <w:rPr>
          <w:rFonts w:eastAsia="Arial" w:cs="Arial"/>
          <w:spacing w:val="-1"/>
        </w:rPr>
        <w:t>of the area when assessing development.</w:t>
      </w:r>
    </w:p>
    <w:p w14:paraId="2F3D373A" w14:textId="77777777" w:rsidR="00D45CE9" w:rsidRPr="00D45CE9" w:rsidRDefault="00D45CE9" w:rsidP="00335B79">
      <w:pPr>
        <w:keepNext w:val="0"/>
        <w:autoSpaceDE w:val="0"/>
        <w:autoSpaceDN w:val="0"/>
        <w:adjustRightInd w:val="0"/>
        <w:spacing w:before="0"/>
        <w:ind w:left="851" w:hanging="851"/>
        <w:rPr>
          <w:rFonts w:eastAsia="Arial" w:cs="Arial"/>
          <w:spacing w:val="-1"/>
        </w:rPr>
      </w:pPr>
    </w:p>
    <w:p w14:paraId="5A7C87DB" w14:textId="399D527C" w:rsidR="00D45CE9" w:rsidRPr="008C39C9" w:rsidRDefault="00D45CE9" w:rsidP="00335B79">
      <w:pPr>
        <w:keepNext w:val="0"/>
        <w:numPr>
          <w:ilvl w:val="1"/>
          <w:numId w:val="5"/>
        </w:numPr>
        <w:tabs>
          <w:tab w:val="clear" w:pos="525"/>
        </w:tabs>
        <w:autoSpaceDE w:val="0"/>
        <w:autoSpaceDN w:val="0"/>
        <w:adjustRightInd w:val="0"/>
        <w:spacing w:before="0"/>
        <w:ind w:left="851" w:hanging="851"/>
        <w:rPr>
          <w:rFonts w:eastAsia="Arial" w:cs="Arial"/>
          <w:spacing w:val="-1"/>
        </w:rPr>
      </w:pPr>
      <w:r w:rsidRPr="008C39C9">
        <w:rPr>
          <w:rFonts w:eastAsia="Arial" w:cs="Arial"/>
          <w:spacing w:val="-1"/>
        </w:rPr>
        <w:t>In determining whether a site is sustainably located regard should be had to the services and facilities within the area and whether or not these are accessible</w:t>
      </w:r>
      <w:r w:rsidR="009421C3" w:rsidRPr="008C39C9">
        <w:rPr>
          <w:rFonts w:eastAsia="Arial" w:cs="Arial"/>
          <w:spacing w:val="-1"/>
        </w:rPr>
        <w:t xml:space="preserve"> in relation to walking, cycling and public transport</w:t>
      </w:r>
      <w:r w:rsidRPr="008C39C9">
        <w:rPr>
          <w:rFonts w:eastAsia="Arial" w:cs="Arial"/>
          <w:spacing w:val="-1"/>
        </w:rPr>
        <w:t xml:space="preserve">.  If it determined that it will be necessary to travel, by private motor vehicle, further afield to access a greater level of service provision to meet day-to-day needs, it is likely that the site is not in a sustainable location.  </w:t>
      </w:r>
    </w:p>
    <w:p w14:paraId="7674C9F3" w14:textId="77777777" w:rsidR="00D45CE9" w:rsidRPr="000E37F7" w:rsidRDefault="00D45CE9" w:rsidP="00335B79">
      <w:pPr>
        <w:keepNext w:val="0"/>
        <w:autoSpaceDE w:val="0"/>
        <w:autoSpaceDN w:val="0"/>
        <w:adjustRightInd w:val="0"/>
        <w:spacing w:before="0"/>
        <w:ind w:left="851" w:hanging="851"/>
        <w:rPr>
          <w:rFonts w:eastAsia="Arial" w:cs="Arial"/>
          <w:spacing w:val="-1"/>
          <w:highlight w:val="yellow"/>
        </w:rPr>
      </w:pPr>
    </w:p>
    <w:p w14:paraId="797476F8" w14:textId="77777777" w:rsidR="00D45CE9" w:rsidRPr="00D45CE9" w:rsidRDefault="00D45CE9" w:rsidP="00335B79">
      <w:pPr>
        <w:keepNext w:val="0"/>
        <w:numPr>
          <w:ilvl w:val="1"/>
          <w:numId w:val="5"/>
        </w:numPr>
        <w:tabs>
          <w:tab w:val="clear" w:pos="525"/>
        </w:tabs>
        <w:autoSpaceDE w:val="0"/>
        <w:autoSpaceDN w:val="0"/>
        <w:adjustRightInd w:val="0"/>
        <w:spacing w:before="0"/>
        <w:ind w:left="851" w:hanging="851"/>
        <w:rPr>
          <w:rFonts w:eastAsia="Arial" w:cs="Arial"/>
          <w:spacing w:val="-1"/>
        </w:rPr>
      </w:pPr>
      <w:r w:rsidRPr="00D45CE9">
        <w:rPr>
          <w:rFonts w:eastAsia="Arial" w:cs="Arial"/>
          <w:spacing w:val="-1"/>
        </w:rPr>
        <w:t>The Council defines limited infill development as the completion of an otherwise substantially built up frontage by the filling of a small gap normally capable of taking one or two dwellings only. A substantial built up frontage is defined as an otherwise continuous and largely uninterrupted built frontage of several dwellings visible within the street scene.</w:t>
      </w:r>
    </w:p>
    <w:p w14:paraId="04050680" w14:textId="77777777" w:rsidR="00D45CE9" w:rsidRPr="00D45CE9" w:rsidRDefault="00D45CE9" w:rsidP="00335B79">
      <w:pPr>
        <w:keepNext w:val="0"/>
        <w:autoSpaceDE w:val="0"/>
        <w:autoSpaceDN w:val="0"/>
        <w:adjustRightInd w:val="0"/>
        <w:spacing w:before="0"/>
        <w:ind w:left="851" w:hanging="851"/>
        <w:rPr>
          <w:rFonts w:eastAsia="Arial" w:cs="Arial"/>
          <w:spacing w:val="-1"/>
        </w:rPr>
      </w:pPr>
    </w:p>
    <w:p w14:paraId="4FD72076" w14:textId="422AFD97" w:rsidR="00D45CE9" w:rsidRPr="00D7662D" w:rsidRDefault="00D45CE9" w:rsidP="00335B79">
      <w:pPr>
        <w:keepNext w:val="0"/>
        <w:numPr>
          <w:ilvl w:val="1"/>
          <w:numId w:val="5"/>
        </w:numPr>
        <w:tabs>
          <w:tab w:val="clear" w:pos="525"/>
        </w:tabs>
        <w:autoSpaceDE w:val="0"/>
        <w:autoSpaceDN w:val="0"/>
        <w:adjustRightInd w:val="0"/>
        <w:spacing w:before="0"/>
        <w:ind w:left="851" w:hanging="851"/>
        <w:rPr>
          <w:rFonts w:eastAsia="Arial" w:cs="Arial"/>
          <w:spacing w:val="-1"/>
        </w:rPr>
      </w:pPr>
      <w:r w:rsidRPr="00D7662D">
        <w:rPr>
          <w:rFonts w:eastAsia="Arial" w:cs="Arial"/>
          <w:spacing w:val="-1"/>
        </w:rPr>
        <w:t>Not all small gaps are appropriate for infilling, for example where it would result in new development in an unsustainable location. Any proposal for infill development will need to have particular regard to Policy S</w:t>
      </w:r>
      <w:r w:rsidR="001B6A1E" w:rsidRPr="00D7662D">
        <w:rPr>
          <w:rFonts w:eastAsia="Arial" w:cs="Arial"/>
          <w:spacing w:val="-1"/>
        </w:rPr>
        <w:t>2</w:t>
      </w:r>
      <w:r w:rsidRPr="00D7662D">
        <w:rPr>
          <w:rFonts w:eastAsia="Arial" w:cs="Arial"/>
          <w:spacing w:val="-1"/>
        </w:rPr>
        <w:t xml:space="preserve">: </w:t>
      </w:r>
      <w:r w:rsidR="001B6A1E" w:rsidRPr="00D7662D">
        <w:rPr>
          <w:rFonts w:eastAsia="Arial" w:cs="Arial"/>
          <w:spacing w:val="-1"/>
        </w:rPr>
        <w:t xml:space="preserve">Achieving </w:t>
      </w:r>
      <w:r w:rsidRPr="00D7662D">
        <w:rPr>
          <w:rFonts w:eastAsia="Arial" w:cs="Arial"/>
          <w:spacing w:val="-1"/>
        </w:rPr>
        <w:t>Sustainable Development and Policy SD</w:t>
      </w:r>
      <w:r w:rsidR="004E709C" w:rsidRPr="00D7662D">
        <w:rPr>
          <w:rFonts w:eastAsia="Arial" w:cs="Arial"/>
          <w:spacing w:val="-1"/>
        </w:rPr>
        <w:t>2</w:t>
      </w:r>
      <w:r w:rsidRPr="00D7662D">
        <w:rPr>
          <w:rFonts w:eastAsia="Arial" w:cs="Arial"/>
          <w:spacing w:val="-1"/>
        </w:rPr>
        <w:t xml:space="preserve">: Good Design Considerations for Development. </w:t>
      </w:r>
    </w:p>
    <w:p w14:paraId="0B051F0B" w14:textId="77777777" w:rsidR="00D45CE9" w:rsidRPr="00D45CE9" w:rsidRDefault="00D45CE9" w:rsidP="00335B79">
      <w:pPr>
        <w:keepNext w:val="0"/>
        <w:autoSpaceDE w:val="0"/>
        <w:autoSpaceDN w:val="0"/>
        <w:adjustRightInd w:val="0"/>
        <w:spacing w:before="0"/>
        <w:ind w:left="851" w:hanging="851"/>
        <w:rPr>
          <w:rFonts w:eastAsia="Arial" w:cs="Arial"/>
          <w:spacing w:val="-1"/>
        </w:rPr>
      </w:pPr>
    </w:p>
    <w:p w14:paraId="5E84AA1B" w14:textId="2D81A8E3" w:rsidR="00D45CE9" w:rsidRDefault="00D45CE9" w:rsidP="00335B79">
      <w:pPr>
        <w:keepNext w:val="0"/>
        <w:numPr>
          <w:ilvl w:val="1"/>
          <w:numId w:val="5"/>
        </w:numPr>
        <w:tabs>
          <w:tab w:val="clear" w:pos="525"/>
        </w:tabs>
        <w:autoSpaceDE w:val="0"/>
        <w:autoSpaceDN w:val="0"/>
        <w:adjustRightInd w:val="0"/>
        <w:spacing w:before="0"/>
        <w:ind w:left="851" w:hanging="851"/>
        <w:rPr>
          <w:rFonts w:eastAsia="Arial" w:cs="Arial"/>
          <w:spacing w:val="-1"/>
        </w:rPr>
      </w:pPr>
      <w:r w:rsidRPr="00D45CE9">
        <w:rPr>
          <w:rFonts w:eastAsia="Arial" w:cs="Arial"/>
          <w:spacing w:val="-1"/>
        </w:rPr>
        <w:t>The above principles may also apply to other purposes providing this would be in keeping with the character of the area and would not adversely affect residential amenity.</w:t>
      </w:r>
    </w:p>
    <w:p w14:paraId="3C582AF7" w14:textId="56C5BFC2" w:rsidR="000E37F7" w:rsidRDefault="000E37F7" w:rsidP="00263F59">
      <w:pPr>
        <w:pStyle w:val="ListParagraph"/>
        <w:spacing w:after="0" w:line="240" w:lineRule="auto"/>
        <w:rPr>
          <w:rFonts w:ascii="Arial" w:eastAsia="Arial" w:hAnsi="Arial" w:cs="Arial"/>
          <w:spacing w:val="-1"/>
        </w:rPr>
      </w:pPr>
    </w:p>
    <w:p w14:paraId="7B5A4B1E" w14:textId="5200AF57" w:rsidR="00263F59" w:rsidRDefault="00263F59" w:rsidP="00263F59">
      <w:pPr>
        <w:pStyle w:val="ListParagraph"/>
        <w:spacing w:after="0" w:line="240" w:lineRule="auto"/>
        <w:rPr>
          <w:rFonts w:ascii="Arial" w:eastAsia="Arial" w:hAnsi="Arial" w:cs="Arial"/>
          <w:spacing w:val="-1"/>
        </w:rPr>
      </w:pPr>
    </w:p>
    <w:p w14:paraId="7F5376BE" w14:textId="77777777" w:rsidR="00263F59" w:rsidRPr="00263F59" w:rsidRDefault="00263F59" w:rsidP="00263F59">
      <w:pPr>
        <w:pStyle w:val="ListParagraph"/>
        <w:spacing w:after="0" w:line="240" w:lineRule="auto"/>
        <w:rPr>
          <w:rFonts w:ascii="Arial" w:eastAsia="Arial" w:hAnsi="Arial" w:cs="Arial"/>
          <w:spacing w:val="-1"/>
        </w:rPr>
      </w:pPr>
    </w:p>
    <w:p w14:paraId="57FD7763" w14:textId="299EF832" w:rsidR="006A60BB" w:rsidRPr="00995322" w:rsidRDefault="006977E7" w:rsidP="00995322">
      <w:pPr>
        <w:pStyle w:val="Heading2"/>
        <w:jc w:val="left"/>
        <w:rPr>
          <w:rFonts w:eastAsia="Arial"/>
          <w:sz w:val="28"/>
          <w:szCs w:val="28"/>
        </w:rPr>
      </w:pPr>
      <w:bookmarkStart w:id="162" w:name="_Toc145511577"/>
      <w:r w:rsidRPr="00995322">
        <w:rPr>
          <w:rFonts w:eastAsia="Arial"/>
          <w:sz w:val="28"/>
          <w:szCs w:val="28"/>
        </w:rPr>
        <w:t xml:space="preserve">Policy </w:t>
      </w:r>
      <w:r w:rsidR="006A60BB" w:rsidRPr="00995322">
        <w:rPr>
          <w:rFonts w:eastAsia="Arial"/>
          <w:sz w:val="28"/>
          <w:szCs w:val="28"/>
        </w:rPr>
        <w:t>EV3: Re-use of Buildings in the Green Belt and Countryside</w:t>
      </w:r>
      <w:bookmarkEnd w:id="162"/>
      <w:r w:rsidR="006A60BB" w:rsidRPr="00995322">
        <w:rPr>
          <w:rFonts w:eastAsia="Arial"/>
          <w:sz w:val="28"/>
          <w:szCs w:val="28"/>
        </w:rPr>
        <w:t xml:space="preserve"> </w:t>
      </w:r>
    </w:p>
    <w:p w14:paraId="6238E939" w14:textId="77777777" w:rsidR="000E37F7" w:rsidRPr="001B0F28" w:rsidRDefault="000E37F7" w:rsidP="00263F59">
      <w:pPr>
        <w:keepNext w:val="0"/>
        <w:autoSpaceDE w:val="0"/>
        <w:autoSpaceDN w:val="0"/>
        <w:adjustRightInd w:val="0"/>
        <w:spacing w:before="0"/>
        <w:ind w:left="525"/>
        <w:rPr>
          <w:rFonts w:eastAsia="Arial" w:cs="Arial"/>
          <w:b/>
          <w:bCs/>
          <w:color w:val="auto"/>
          <w:spacing w:val="-1"/>
          <w:sz w:val="28"/>
          <w:szCs w:val="28"/>
        </w:rPr>
      </w:pPr>
    </w:p>
    <w:p w14:paraId="5A023A22" w14:textId="13B8D4B4" w:rsidR="00B84B5F" w:rsidRPr="006A60BB" w:rsidRDefault="006A60BB" w:rsidP="00335B79">
      <w:pPr>
        <w:keepNext w:val="0"/>
        <w:numPr>
          <w:ilvl w:val="1"/>
          <w:numId w:val="5"/>
        </w:numPr>
        <w:tabs>
          <w:tab w:val="clear" w:pos="525"/>
          <w:tab w:val="num" w:pos="851"/>
        </w:tabs>
        <w:autoSpaceDE w:val="0"/>
        <w:autoSpaceDN w:val="0"/>
        <w:adjustRightInd w:val="0"/>
        <w:spacing w:before="0"/>
        <w:ind w:left="851" w:hanging="851"/>
        <w:rPr>
          <w:rFonts w:eastAsia="Arial" w:cs="Arial"/>
          <w:spacing w:val="-1"/>
        </w:rPr>
      </w:pPr>
      <w:r w:rsidRPr="006A60BB">
        <w:rPr>
          <w:rFonts w:cs="Arial"/>
          <w:szCs w:val="24"/>
        </w:rPr>
        <w:t>This policy supports the re-use of appropriately located and suitably constructed buildings in the Green Belt and countryside where this would meet sustainable development objectives</w:t>
      </w:r>
      <w:r>
        <w:rPr>
          <w:rFonts w:cs="Arial"/>
          <w:szCs w:val="24"/>
        </w:rPr>
        <w:t>.</w:t>
      </w:r>
    </w:p>
    <w:p w14:paraId="34C4AD92" w14:textId="7D96505E" w:rsidR="006A60BB" w:rsidRDefault="006A60BB" w:rsidP="00335B79">
      <w:pPr>
        <w:keepNext w:val="0"/>
        <w:tabs>
          <w:tab w:val="num" w:pos="851"/>
        </w:tabs>
        <w:autoSpaceDE w:val="0"/>
        <w:autoSpaceDN w:val="0"/>
        <w:adjustRightInd w:val="0"/>
        <w:spacing w:before="0"/>
        <w:ind w:left="851" w:hanging="851"/>
        <w:rPr>
          <w:rFonts w:cs="Arial"/>
          <w:szCs w:val="24"/>
        </w:rPr>
      </w:pPr>
    </w:p>
    <w:tbl>
      <w:tblPr>
        <w:tblStyle w:val="ReportTable1"/>
        <w:tblW w:w="9634" w:type="dxa"/>
        <w:tblLook w:val="04A0" w:firstRow="1" w:lastRow="0" w:firstColumn="1" w:lastColumn="0" w:noHBand="0" w:noVBand="1"/>
      </w:tblPr>
      <w:tblGrid>
        <w:gridCol w:w="2263"/>
        <w:gridCol w:w="397"/>
        <w:gridCol w:w="6974"/>
      </w:tblGrid>
      <w:tr w:rsidR="006A60BB" w:rsidRPr="00B20356" w14:paraId="7F0BE060" w14:textId="77777777" w:rsidTr="001770A9">
        <w:trPr>
          <w:trHeight w:val="421"/>
        </w:trPr>
        <w:tc>
          <w:tcPr>
            <w:tcW w:w="9634" w:type="dxa"/>
            <w:gridSpan w:val="3"/>
          </w:tcPr>
          <w:p w14:paraId="50D3A6CB" w14:textId="77777777" w:rsidR="007C6CA4" w:rsidRDefault="007C6CA4" w:rsidP="007C6CA4">
            <w:pPr>
              <w:tabs>
                <w:tab w:val="left" w:pos="680"/>
              </w:tabs>
              <w:spacing w:before="0"/>
              <w:rPr>
                <w:rFonts w:eastAsia="Arial"/>
                <w:b/>
                <w:spacing w:val="-1"/>
              </w:rPr>
            </w:pPr>
          </w:p>
          <w:p w14:paraId="3632FA88" w14:textId="77777777" w:rsidR="006A60BB" w:rsidRDefault="006A60BB" w:rsidP="007C6CA4">
            <w:pPr>
              <w:tabs>
                <w:tab w:val="left" w:pos="680"/>
              </w:tabs>
              <w:spacing w:before="0"/>
              <w:rPr>
                <w:rFonts w:eastAsia="Arial"/>
                <w:b/>
                <w:color w:val="auto"/>
                <w:spacing w:val="-1"/>
              </w:rPr>
            </w:pPr>
            <w:r w:rsidRPr="00B20356">
              <w:rPr>
                <w:rFonts w:eastAsia="Arial"/>
                <w:b/>
                <w:spacing w:val="-1"/>
              </w:rPr>
              <w:t xml:space="preserve">Policy EV3: </w:t>
            </w:r>
            <w:r w:rsidRPr="001B0F28">
              <w:rPr>
                <w:rFonts w:eastAsia="Arial"/>
                <w:b/>
                <w:color w:val="auto"/>
                <w:spacing w:val="-1"/>
              </w:rPr>
              <w:t>Re-use of Buildings in the Green Belt and Countryside</w:t>
            </w:r>
          </w:p>
          <w:p w14:paraId="3168081C" w14:textId="707AE869" w:rsidR="007C6CA4" w:rsidRPr="00B20356" w:rsidRDefault="007C6CA4" w:rsidP="007C6CA4">
            <w:pPr>
              <w:tabs>
                <w:tab w:val="left" w:pos="680"/>
              </w:tabs>
              <w:spacing w:before="0"/>
              <w:rPr>
                <w:rFonts w:eastAsia="Arial"/>
                <w:b/>
                <w:spacing w:val="-1"/>
              </w:rPr>
            </w:pPr>
          </w:p>
        </w:tc>
      </w:tr>
      <w:tr w:rsidR="006A60BB" w:rsidRPr="00B20356" w14:paraId="0A6A428A" w14:textId="77777777" w:rsidTr="001770A9">
        <w:tc>
          <w:tcPr>
            <w:tcW w:w="2660" w:type="dxa"/>
            <w:gridSpan w:val="2"/>
          </w:tcPr>
          <w:p w14:paraId="05ABCAA6" w14:textId="77777777" w:rsidR="006A60BB" w:rsidRPr="00B20356" w:rsidRDefault="006A60BB" w:rsidP="00F476A9">
            <w:pPr>
              <w:tabs>
                <w:tab w:val="left" w:pos="680"/>
              </w:tabs>
              <w:rPr>
                <w:rFonts w:eastAsia="Arial"/>
                <w:b/>
              </w:rPr>
            </w:pPr>
            <w:r w:rsidRPr="00B20356">
              <w:rPr>
                <w:rFonts w:eastAsia="Arial"/>
                <w:b/>
              </w:rPr>
              <w:t>Strategic Objectives</w:t>
            </w:r>
          </w:p>
        </w:tc>
        <w:tc>
          <w:tcPr>
            <w:tcW w:w="6974" w:type="dxa"/>
          </w:tcPr>
          <w:p w14:paraId="2A89FAE1" w14:textId="77777777" w:rsidR="006A60BB" w:rsidRPr="00B20356" w:rsidRDefault="006A60BB" w:rsidP="00F476A9">
            <w:pPr>
              <w:tabs>
                <w:tab w:val="left" w:pos="680"/>
              </w:tabs>
              <w:spacing w:before="40" w:after="40"/>
              <w:rPr>
                <w:rFonts w:eastAsia="Arial"/>
                <w:b/>
              </w:rPr>
            </w:pPr>
            <w:r w:rsidRPr="00B20356">
              <w:rPr>
                <w:rFonts w:eastAsia="Arial"/>
                <w:b/>
              </w:rPr>
              <w:t>SO1, SO3, SO5, SO6, SO11, SO12, SO13.</w:t>
            </w:r>
          </w:p>
        </w:tc>
      </w:tr>
      <w:tr w:rsidR="006A60BB" w:rsidRPr="00B20356" w14:paraId="2C3996E0" w14:textId="77777777" w:rsidTr="001770A9">
        <w:tc>
          <w:tcPr>
            <w:tcW w:w="9634" w:type="dxa"/>
            <w:gridSpan w:val="3"/>
            <w:shd w:val="clear" w:color="auto" w:fill="E2EFD9"/>
          </w:tcPr>
          <w:p w14:paraId="29874F79" w14:textId="77777777" w:rsidR="006A60BB" w:rsidRPr="006A60BB" w:rsidRDefault="006A60BB" w:rsidP="00874A98">
            <w:pPr>
              <w:keepNext w:val="0"/>
              <w:numPr>
                <w:ilvl w:val="0"/>
                <w:numId w:val="219"/>
              </w:numPr>
              <w:tabs>
                <w:tab w:val="left" w:pos="680"/>
                <w:tab w:val="left" w:pos="1133"/>
                <w:tab w:val="left" w:pos="2267"/>
              </w:tabs>
              <w:ind w:left="357" w:right="284" w:hanging="357"/>
              <w:rPr>
                <w:rFonts w:eastAsia="Arial"/>
                <w:bCs/>
                <w:szCs w:val="24"/>
              </w:rPr>
            </w:pPr>
            <w:r w:rsidRPr="006A60BB">
              <w:rPr>
                <w:rFonts w:eastAsia="Arial"/>
                <w:bCs/>
              </w:rPr>
              <w:t>The re-use of buildings in the Green Belt and countryside will be supported where:</w:t>
            </w:r>
          </w:p>
          <w:p w14:paraId="4700964B" w14:textId="77777777" w:rsidR="006A60BB" w:rsidRPr="006A60BB" w:rsidRDefault="006A60BB" w:rsidP="00F476A9">
            <w:pPr>
              <w:tabs>
                <w:tab w:val="left" w:pos="680"/>
                <w:tab w:val="left" w:pos="1133"/>
                <w:tab w:val="left" w:pos="2267"/>
              </w:tabs>
              <w:ind w:left="360" w:right="284"/>
              <w:rPr>
                <w:rFonts w:eastAsia="Arial"/>
                <w:bCs/>
                <w:sz w:val="16"/>
                <w:szCs w:val="16"/>
              </w:rPr>
            </w:pPr>
          </w:p>
          <w:p w14:paraId="7C92A411" w14:textId="71314B25" w:rsidR="006A60BB" w:rsidRPr="0036716A" w:rsidRDefault="006A60BB" w:rsidP="00874A98">
            <w:pPr>
              <w:keepNext w:val="0"/>
              <w:numPr>
                <w:ilvl w:val="0"/>
                <w:numId w:val="220"/>
              </w:numPr>
              <w:tabs>
                <w:tab w:val="left" w:pos="680"/>
                <w:tab w:val="left" w:pos="1133"/>
                <w:tab w:val="left" w:pos="2267"/>
              </w:tabs>
              <w:spacing w:before="0"/>
              <w:ind w:right="284"/>
              <w:rPr>
                <w:rFonts w:eastAsia="Arial"/>
                <w:bCs/>
              </w:rPr>
            </w:pPr>
            <w:r w:rsidRPr="006A60BB">
              <w:rPr>
                <w:rFonts w:eastAsia="Arial"/>
                <w:bCs/>
              </w:rPr>
              <w:t xml:space="preserve">The buildings are </w:t>
            </w:r>
            <w:r w:rsidRPr="0036716A">
              <w:rPr>
                <w:rFonts w:eastAsia="Arial"/>
                <w:bCs/>
              </w:rPr>
              <w:t>in keeping with its surroundings by reason of their form, bulk and general design</w:t>
            </w:r>
            <w:r w:rsidR="00C1169B" w:rsidRPr="0036716A">
              <w:rPr>
                <w:rFonts w:eastAsia="Arial"/>
                <w:bCs/>
              </w:rPr>
              <w:t xml:space="preserve">; </w:t>
            </w:r>
          </w:p>
          <w:p w14:paraId="20AD24CD" w14:textId="77777777" w:rsidR="006A60BB" w:rsidRPr="0036716A" w:rsidRDefault="006A60BB" w:rsidP="00F476A9">
            <w:pPr>
              <w:tabs>
                <w:tab w:val="left" w:pos="680"/>
                <w:tab w:val="left" w:pos="1133"/>
                <w:tab w:val="left" w:pos="2267"/>
              </w:tabs>
              <w:ind w:left="720" w:right="284"/>
              <w:rPr>
                <w:rFonts w:eastAsia="Arial"/>
                <w:bCs/>
              </w:rPr>
            </w:pPr>
          </w:p>
          <w:p w14:paraId="2D69936E" w14:textId="7C7D0284" w:rsidR="006A60BB" w:rsidRPr="0036716A" w:rsidRDefault="006A60BB" w:rsidP="00874A98">
            <w:pPr>
              <w:keepNext w:val="0"/>
              <w:numPr>
                <w:ilvl w:val="0"/>
                <w:numId w:val="220"/>
              </w:numPr>
              <w:tabs>
                <w:tab w:val="left" w:pos="680"/>
                <w:tab w:val="left" w:pos="1133"/>
                <w:tab w:val="left" w:pos="2267"/>
              </w:tabs>
              <w:spacing w:before="0"/>
              <w:ind w:right="284"/>
              <w:rPr>
                <w:rFonts w:eastAsia="Arial"/>
                <w:bCs/>
              </w:rPr>
            </w:pPr>
            <w:r w:rsidRPr="0036716A">
              <w:rPr>
                <w:rFonts w:eastAsia="Arial"/>
                <w:bCs/>
              </w:rPr>
              <w:t>The buildings are of a permanent and substantial construction, are structurally sound* and are capable of re-use without major alterations, adaptations or reconstruction, other than limited extension</w:t>
            </w:r>
            <w:r w:rsidR="00C1169B" w:rsidRPr="0036716A">
              <w:rPr>
                <w:rFonts w:eastAsia="Arial"/>
                <w:bCs/>
              </w:rPr>
              <w:t xml:space="preserve">; </w:t>
            </w:r>
          </w:p>
          <w:p w14:paraId="4649BD53" w14:textId="77777777" w:rsidR="006A60BB" w:rsidRPr="0036716A" w:rsidRDefault="006A60BB" w:rsidP="00F476A9">
            <w:pPr>
              <w:tabs>
                <w:tab w:val="left" w:pos="680"/>
                <w:tab w:val="left" w:pos="1133"/>
                <w:tab w:val="left" w:pos="2267"/>
              </w:tabs>
              <w:ind w:right="284"/>
              <w:rPr>
                <w:rFonts w:eastAsia="Arial"/>
                <w:bCs/>
              </w:rPr>
            </w:pPr>
          </w:p>
          <w:p w14:paraId="15F0F53E" w14:textId="6B8B07ED" w:rsidR="006A60BB" w:rsidRPr="0036716A" w:rsidRDefault="006A60BB" w:rsidP="00874A98">
            <w:pPr>
              <w:keepNext w:val="0"/>
              <w:numPr>
                <w:ilvl w:val="0"/>
                <w:numId w:val="220"/>
              </w:numPr>
              <w:tabs>
                <w:tab w:val="left" w:pos="680"/>
                <w:tab w:val="left" w:pos="1133"/>
                <w:tab w:val="left" w:pos="2267"/>
              </w:tabs>
              <w:spacing w:before="0"/>
              <w:ind w:right="284"/>
              <w:rPr>
                <w:rFonts w:eastAsia="Arial"/>
                <w:bCs/>
              </w:rPr>
            </w:pPr>
            <w:r w:rsidRPr="0036716A">
              <w:rPr>
                <w:rFonts w:eastAsia="Arial"/>
                <w:bCs/>
              </w:rPr>
              <w:t>The conversion works would not be detrimental to the character of the building itself</w:t>
            </w:r>
            <w:r w:rsidR="00C1169B" w:rsidRPr="0036716A">
              <w:rPr>
                <w:rFonts w:eastAsia="Arial"/>
                <w:bCs/>
              </w:rPr>
              <w:t xml:space="preserve">; </w:t>
            </w:r>
          </w:p>
          <w:p w14:paraId="57FD0810" w14:textId="77777777" w:rsidR="006A60BB" w:rsidRPr="0036716A" w:rsidRDefault="006A60BB" w:rsidP="00F476A9">
            <w:pPr>
              <w:tabs>
                <w:tab w:val="left" w:pos="680"/>
                <w:tab w:val="left" w:pos="1133"/>
                <w:tab w:val="left" w:pos="2267"/>
              </w:tabs>
              <w:ind w:right="284"/>
              <w:rPr>
                <w:rFonts w:eastAsia="Arial"/>
                <w:bCs/>
              </w:rPr>
            </w:pPr>
          </w:p>
          <w:p w14:paraId="042E40E4" w14:textId="69069D10" w:rsidR="00C1169B" w:rsidRPr="0036716A" w:rsidRDefault="006A60BB" w:rsidP="00874A98">
            <w:pPr>
              <w:keepNext w:val="0"/>
              <w:numPr>
                <w:ilvl w:val="0"/>
                <w:numId w:val="220"/>
              </w:numPr>
              <w:tabs>
                <w:tab w:val="left" w:pos="680"/>
                <w:tab w:val="left" w:pos="1133"/>
                <w:tab w:val="left" w:pos="2267"/>
              </w:tabs>
              <w:spacing w:before="0"/>
              <w:ind w:right="284"/>
              <w:rPr>
                <w:rFonts w:eastAsia="Arial"/>
                <w:bCs/>
              </w:rPr>
            </w:pPr>
            <w:r w:rsidRPr="0036716A">
              <w:rPr>
                <w:rFonts w:eastAsia="Arial"/>
                <w:bCs/>
              </w:rPr>
              <w:t>There is no materially greater impact than the present use on the openness and character of the Green Belt and Countryside.  Within the Green Belt such proposals must not conflict with the purposes of including land in it</w:t>
            </w:r>
            <w:r w:rsidR="00C1169B" w:rsidRPr="0036716A">
              <w:rPr>
                <w:rFonts w:eastAsia="Arial"/>
                <w:bCs/>
              </w:rPr>
              <w:t xml:space="preserve">; </w:t>
            </w:r>
          </w:p>
          <w:p w14:paraId="1403D0A6" w14:textId="77777777" w:rsidR="006A60BB" w:rsidRPr="0036716A" w:rsidRDefault="006A60BB" w:rsidP="00F476A9">
            <w:pPr>
              <w:tabs>
                <w:tab w:val="left" w:pos="680"/>
                <w:tab w:val="left" w:pos="1133"/>
                <w:tab w:val="left" w:pos="2267"/>
              </w:tabs>
              <w:ind w:right="284"/>
              <w:rPr>
                <w:rFonts w:eastAsia="Arial"/>
                <w:bCs/>
              </w:rPr>
            </w:pPr>
          </w:p>
          <w:p w14:paraId="71681F22" w14:textId="5D309D20" w:rsidR="006A60BB" w:rsidRPr="0036716A" w:rsidRDefault="006A60BB" w:rsidP="00874A98">
            <w:pPr>
              <w:keepNext w:val="0"/>
              <w:numPr>
                <w:ilvl w:val="0"/>
                <w:numId w:val="220"/>
              </w:numPr>
              <w:tabs>
                <w:tab w:val="left" w:pos="680"/>
                <w:tab w:val="left" w:pos="1133"/>
                <w:tab w:val="left" w:pos="2267"/>
              </w:tabs>
              <w:spacing w:before="0"/>
              <w:ind w:right="284"/>
              <w:rPr>
                <w:rFonts w:eastAsia="Arial"/>
                <w:bCs/>
              </w:rPr>
            </w:pPr>
            <w:r w:rsidRPr="0036716A">
              <w:rPr>
                <w:rFonts w:eastAsia="Arial"/>
                <w:bCs/>
              </w:rPr>
              <w:t>The proposed use would not result in an unacceptable proliferation of new farm buildings elsewhere on the site, or inappropriate outside storage of any materials, machinery and/or vehicles</w:t>
            </w:r>
            <w:r w:rsidR="00C1169B" w:rsidRPr="0036716A">
              <w:rPr>
                <w:rFonts w:eastAsia="Arial"/>
                <w:bCs/>
              </w:rPr>
              <w:t xml:space="preserve">; </w:t>
            </w:r>
          </w:p>
          <w:p w14:paraId="427F4959" w14:textId="77777777" w:rsidR="006A60BB" w:rsidRPr="0036716A" w:rsidRDefault="006A60BB" w:rsidP="00F476A9">
            <w:pPr>
              <w:tabs>
                <w:tab w:val="left" w:pos="680"/>
                <w:tab w:val="left" w:pos="1133"/>
                <w:tab w:val="left" w:pos="2267"/>
              </w:tabs>
              <w:ind w:right="284"/>
              <w:rPr>
                <w:rFonts w:eastAsia="Arial"/>
                <w:bCs/>
              </w:rPr>
            </w:pPr>
          </w:p>
          <w:p w14:paraId="282DA7B0" w14:textId="56EF3271" w:rsidR="006A60BB" w:rsidRPr="0036716A" w:rsidRDefault="006A60BB" w:rsidP="00874A98">
            <w:pPr>
              <w:keepNext w:val="0"/>
              <w:numPr>
                <w:ilvl w:val="0"/>
                <w:numId w:val="220"/>
              </w:numPr>
              <w:tabs>
                <w:tab w:val="left" w:pos="680"/>
                <w:tab w:val="left" w:pos="1133"/>
                <w:tab w:val="left" w:pos="2267"/>
              </w:tabs>
              <w:spacing w:before="0"/>
              <w:ind w:right="284"/>
              <w:rPr>
                <w:rFonts w:eastAsia="Arial"/>
                <w:bCs/>
              </w:rPr>
            </w:pPr>
            <w:r w:rsidRPr="0036716A">
              <w:rPr>
                <w:rFonts w:eastAsia="Arial"/>
                <w:bCs/>
              </w:rPr>
              <w:t xml:space="preserve">The proposed re-use is not a building which has been built for agricultural </w:t>
            </w:r>
            <w:r w:rsidRPr="006A60BB">
              <w:rPr>
                <w:rFonts w:eastAsia="Arial"/>
                <w:bCs/>
              </w:rPr>
              <w:t>or equine use within the last 10 years</w:t>
            </w:r>
            <w:r w:rsidR="00C1169B" w:rsidRPr="0036716A">
              <w:rPr>
                <w:rFonts w:eastAsia="Arial"/>
                <w:bCs/>
              </w:rPr>
              <w:t>; and</w:t>
            </w:r>
            <w:r w:rsidRPr="0036716A">
              <w:rPr>
                <w:rFonts w:eastAsia="Arial"/>
                <w:bCs/>
              </w:rPr>
              <w:t xml:space="preserve"> </w:t>
            </w:r>
          </w:p>
          <w:p w14:paraId="7A86C1EE" w14:textId="77777777" w:rsidR="006A60BB" w:rsidRPr="006A60BB" w:rsidRDefault="006A60BB" w:rsidP="00F476A9">
            <w:pPr>
              <w:tabs>
                <w:tab w:val="left" w:pos="680"/>
                <w:tab w:val="left" w:pos="1133"/>
                <w:tab w:val="left" w:pos="2267"/>
              </w:tabs>
              <w:ind w:right="284"/>
              <w:rPr>
                <w:rFonts w:eastAsia="Arial"/>
                <w:bCs/>
              </w:rPr>
            </w:pPr>
          </w:p>
          <w:p w14:paraId="1ECAD41B" w14:textId="77777777" w:rsidR="006A60BB" w:rsidRPr="006A60BB" w:rsidRDefault="006A60BB" w:rsidP="00874A98">
            <w:pPr>
              <w:keepNext w:val="0"/>
              <w:numPr>
                <w:ilvl w:val="0"/>
                <w:numId w:val="220"/>
              </w:numPr>
              <w:tabs>
                <w:tab w:val="left" w:pos="680"/>
                <w:tab w:val="left" w:pos="1133"/>
                <w:tab w:val="left" w:pos="2267"/>
              </w:tabs>
              <w:spacing w:before="0"/>
              <w:ind w:right="284"/>
              <w:rPr>
                <w:rFonts w:eastAsia="Arial"/>
                <w:bCs/>
              </w:rPr>
            </w:pPr>
            <w:r w:rsidRPr="006A60BB">
              <w:rPr>
                <w:rFonts w:eastAsia="Arial"/>
                <w:bCs/>
              </w:rPr>
              <w:t>In the case of a building of historic or architectural value, the proposed scheme will preserve and enhance the building.</w:t>
            </w:r>
          </w:p>
          <w:p w14:paraId="6637C109" w14:textId="77777777" w:rsidR="006A60BB" w:rsidRPr="006A60BB" w:rsidRDefault="006A60BB" w:rsidP="00F476A9">
            <w:pPr>
              <w:tabs>
                <w:tab w:val="left" w:pos="680"/>
                <w:tab w:val="left" w:pos="1133"/>
                <w:tab w:val="left" w:pos="2267"/>
              </w:tabs>
              <w:ind w:left="360" w:right="284"/>
              <w:rPr>
                <w:rFonts w:eastAsia="Arial"/>
                <w:bCs/>
                <w:szCs w:val="24"/>
              </w:rPr>
            </w:pPr>
          </w:p>
          <w:p w14:paraId="03F55D13" w14:textId="77777777" w:rsidR="006A60BB" w:rsidRPr="006A60BB" w:rsidRDefault="006A60BB" w:rsidP="00874A98">
            <w:pPr>
              <w:keepNext w:val="0"/>
              <w:numPr>
                <w:ilvl w:val="0"/>
                <w:numId w:val="219"/>
              </w:numPr>
              <w:tabs>
                <w:tab w:val="left" w:pos="680"/>
                <w:tab w:val="left" w:pos="1133"/>
                <w:tab w:val="left" w:pos="2267"/>
              </w:tabs>
              <w:spacing w:before="0"/>
              <w:ind w:right="284"/>
              <w:rPr>
                <w:rFonts w:eastAsia="Arial"/>
                <w:bCs/>
                <w:szCs w:val="24"/>
              </w:rPr>
            </w:pPr>
            <w:r w:rsidRPr="006A60BB">
              <w:rPr>
                <w:rFonts w:eastAsia="Arial"/>
                <w:bCs/>
              </w:rPr>
              <w:t xml:space="preserve">Where the re-use of buildings in the Green Belt and Countryside is for employment uses, the business should be of a scale and type that is appropriate and consistent with the specific location, providing jobs and/or services to the local community. </w:t>
            </w:r>
          </w:p>
          <w:p w14:paraId="77005D78" w14:textId="77777777" w:rsidR="006A60BB" w:rsidRPr="006A60BB" w:rsidRDefault="006A60BB" w:rsidP="00F476A9">
            <w:pPr>
              <w:ind w:left="720"/>
              <w:contextualSpacing/>
              <w:rPr>
                <w:rFonts w:eastAsia="Arial" w:cs="Arial"/>
                <w:bCs/>
                <w:szCs w:val="24"/>
              </w:rPr>
            </w:pPr>
          </w:p>
          <w:p w14:paraId="640EADF1" w14:textId="77777777" w:rsidR="006A60BB" w:rsidRPr="006A60BB" w:rsidRDefault="006A60BB" w:rsidP="00874A98">
            <w:pPr>
              <w:keepNext w:val="0"/>
              <w:numPr>
                <w:ilvl w:val="0"/>
                <w:numId w:val="219"/>
              </w:numPr>
              <w:tabs>
                <w:tab w:val="left" w:pos="680"/>
                <w:tab w:val="left" w:pos="1133"/>
                <w:tab w:val="left" w:pos="2267"/>
              </w:tabs>
              <w:spacing w:before="0"/>
              <w:ind w:right="284"/>
              <w:rPr>
                <w:rFonts w:eastAsia="Arial"/>
                <w:bCs/>
                <w:szCs w:val="24"/>
              </w:rPr>
            </w:pPr>
            <w:r w:rsidRPr="006A60BB">
              <w:rPr>
                <w:rFonts w:eastAsia="Arial"/>
                <w:bCs/>
              </w:rPr>
              <w:t xml:space="preserve">Where the re-use or adaptation of buildings in the Green Belt and Countryside is for residential purposes, this should not result in the creation of an isolated home.  Where a re-use or adaptation for residential purposes is appropriate, the creation of a residential curtilage should not adversely affect the openness, character, or visual amenity of the area.  </w:t>
            </w:r>
          </w:p>
          <w:p w14:paraId="2233DF61" w14:textId="77777777" w:rsidR="006A60BB" w:rsidRPr="006A60BB" w:rsidRDefault="006A60BB" w:rsidP="00F476A9">
            <w:pPr>
              <w:ind w:left="720"/>
              <w:contextualSpacing/>
              <w:rPr>
                <w:rFonts w:eastAsia="Arial" w:cs="Arial"/>
                <w:bCs/>
                <w:szCs w:val="24"/>
              </w:rPr>
            </w:pPr>
          </w:p>
          <w:p w14:paraId="3B0D4423" w14:textId="77777777" w:rsidR="006A60BB" w:rsidRPr="006A60BB" w:rsidRDefault="006A60BB" w:rsidP="00874A98">
            <w:pPr>
              <w:keepNext w:val="0"/>
              <w:numPr>
                <w:ilvl w:val="0"/>
                <w:numId w:val="219"/>
              </w:numPr>
              <w:tabs>
                <w:tab w:val="left" w:pos="680"/>
                <w:tab w:val="left" w:pos="1133"/>
                <w:tab w:val="left" w:pos="2267"/>
              </w:tabs>
              <w:spacing w:before="0"/>
              <w:ind w:right="284"/>
              <w:rPr>
                <w:rFonts w:eastAsia="Arial"/>
                <w:bCs/>
                <w:szCs w:val="24"/>
              </w:rPr>
            </w:pPr>
            <w:r w:rsidRPr="006A60BB">
              <w:rPr>
                <w:rFonts w:eastAsia="Arial"/>
                <w:bCs/>
              </w:rPr>
              <w:t>Proposals that support employment, recreational and tourism uses will be treated favourably by the Council.</w:t>
            </w:r>
          </w:p>
          <w:p w14:paraId="06FBB987" w14:textId="77777777" w:rsidR="006A60BB" w:rsidRPr="006A60BB" w:rsidRDefault="006A60BB" w:rsidP="00F476A9">
            <w:pPr>
              <w:ind w:left="720"/>
              <w:contextualSpacing/>
              <w:rPr>
                <w:rFonts w:eastAsia="Arial" w:cs="Arial"/>
                <w:bCs/>
                <w:color w:val="A91A37"/>
                <w:szCs w:val="24"/>
              </w:rPr>
            </w:pPr>
          </w:p>
          <w:p w14:paraId="0209161C" w14:textId="77777777" w:rsidR="006A60BB" w:rsidRPr="00B20356" w:rsidRDefault="006A60BB" w:rsidP="00F476A9">
            <w:pPr>
              <w:tabs>
                <w:tab w:val="left" w:pos="680"/>
              </w:tabs>
              <w:rPr>
                <w:rFonts w:eastAsia="Arial"/>
              </w:rPr>
            </w:pPr>
            <w:r w:rsidRPr="00B20356">
              <w:rPr>
                <w:rFonts w:eastAsia="Calibri" w:cs="Arial"/>
                <w:bCs/>
                <w:i/>
                <w:iCs/>
                <w:szCs w:val="24"/>
              </w:rPr>
              <w:t>*Applications should normally be accompanied by a structural survey and a Conversion Method Statement, effectively demonstrating that the building is capable of re-use without significant major alteration, adaptations or reconstruction.</w:t>
            </w:r>
          </w:p>
          <w:p w14:paraId="31A1EE24" w14:textId="77777777" w:rsidR="006A60BB" w:rsidRPr="00B20356" w:rsidRDefault="006A60BB" w:rsidP="00F476A9">
            <w:pPr>
              <w:autoSpaceDE w:val="0"/>
              <w:autoSpaceDN w:val="0"/>
              <w:adjustRightInd w:val="0"/>
              <w:rPr>
                <w:rFonts w:eastAsia="Arial" w:cs="Arial"/>
                <w:color w:val="538135"/>
              </w:rPr>
            </w:pPr>
          </w:p>
        </w:tc>
      </w:tr>
      <w:tr w:rsidR="00B243DB" w:rsidRPr="00B20356" w14:paraId="5D12965D" w14:textId="77777777" w:rsidTr="001770A9">
        <w:tc>
          <w:tcPr>
            <w:tcW w:w="2263" w:type="dxa"/>
          </w:tcPr>
          <w:p w14:paraId="7E3DB750" w14:textId="41161AB9" w:rsidR="00B243DB" w:rsidRPr="00B20356" w:rsidRDefault="00B243DB" w:rsidP="000032A9">
            <w:pPr>
              <w:tabs>
                <w:tab w:val="left" w:pos="680"/>
                <w:tab w:val="left" w:pos="1133"/>
                <w:tab w:val="left" w:pos="2267"/>
              </w:tabs>
              <w:ind w:right="284"/>
              <w:jc w:val="both"/>
              <w:rPr>
                <w:rFonts w:eastAsia="Arial"/>
                <w:b/>
                <w:color w:val="538135"/>
                <w:szCs w:val="24"/>
              </w:rPr>
            </w:pPr>
            <w:r w:rsidRPr="003C7E62">
              <w:rPr>
                <w:rFonts w:eastAsia="Arial" w:cs="Arial"/>
                <w:bCs/>
                <w:sz w:val="20"/>
              </w:rPr>
              <w:t>Evidence base</w:t>
            </w:r>
          </w:p>
        </w:tc>
        <w:tc>
          <w:tcPr>
            <w:tcW w:w="7371" w:type="dxa"/>
            <w:gridSpan w:val="2"/>
          </w:tcPr>
          <w:p w14:paraId="20AE62D7" w14:textId="4CAE2A4A" w:rsidR="00B243DB" w:rsidRPr="0036716A" w:rsidRDefault="00B243DB" w:rsidP="00874A98">
            <w:pPr>
              <w:keepNext w:val="0"/>
              <w:numPr>
                <w:ilvl w:val="0"/>
                <w:numId w:val="61"/>
              </w:numPr>
              <w:spacing w:before="0"/>
              <w:contextualSpacing/>
              <w:jc w:val="both"/>
              <w:rPr>
                <w:rFonts w:cs="Arial"/>
                <w:sz w:val="20"/>
              </w:rPr>
            </w:pPr>
            <w:r w:rsidRPr="0036716A">
              <w:rPr>
                <w:rFonts w:cs="Arial"/>
                <w:sz w:val="20"/>
              </w:rPr>
              <w:t>Sustainability Appraisal, 202</w:t>
            </w:r>
            <w:r w:rsidR="00A86E75" w:rsidRPr="0036716A">
              <w:rPr>
                <w:rFonts w:cs="Arial"/>
                <w:sz w:val="20"/>
              </w:rPr>
              <w:t>3</w:t>
            </w:r>
            <w:r w:rsidRPr="0036716A">
              <w:rPr>
                <w:rFonts w:cs="Arial"/>
                <w:sz w:val="20"/>
              </w:rPr>
              <w:t xml:space="preserve">. </w:t>
            </w:r>
            <w:r w:rsidR="00A86E75" w:rsidRPr="0036716A">
              <w:rPr>
                <w:rFonts w:cs="Arial"/>
                <w:sz w:val="20"/>
              </w:rPr>
              <w:t>WSP UK Limited</w:t>
            </w:r>
            <w:r w:rsidRPr="0036716A">
              <w:rPr>
                <w:rFonts w:cs="Arial"/>
                <w:sz w:val="20"/>
              </w:rPr>
              <w:t>.</w:t>
            </w:r>
          </w:p>
        </w:tc>
      </w:tr>
      <w:tr w:rsidR="00B243DB" w:rsidRPr="00B20356" w14:paraId="187B6CEF" w14:textId="77777777" w:rsidTr="001770A9">
        <w:tc>
          <w:tcPr>
            <w:tcW w:w="2263" w:type="dxa"/>
          </w:tcPr>
          <w:p w14:paraId="2D1F59D5" w14:textId="3C3A86CA" w:rsidR="00B243DB" w:rsidRPr="00B20356" w:rsidRDefault="00B243DB" w:rsidP="008E0CDC">
            <w:pPr>
              <w:tabs>
                <w:tab w:val="left" w:pos="680"/>
                <w:tab w:val="left" w:pos="1133"/>
                <w:tab w:val="left" w:pos="2267"/>
              </w:tabs>
              <w:ind w:right="284"/>
              <w:rPr>
                <w:rFonts w:eastAsia="Arial"/>
                <w:b/>
                <w:sz w:val="22"/>
              </w:rPr>
            </w:pPr>
            <w:r w:rsidRPr="003C7E62">
              <w:rPr>
                <w:rFonts w:eastAsia="Arial" w:cs="Arial"/>
                <w:bCs/>
                <w:sz w:val="20"/>
              </w:rPr>
              <w:t>National Planning Policy and Guidance</w:t>
            </w:r>
          </w:p>
        </w:tc>
        <w:tc>
          <w:tcPr>
            <w:tcW w:w="7371" w:type="dxa"/>
            <w:gridSpan w:val="2"/>
          </w:tcPr>
          <w:p w14:paraId="2C51D0F8" w14:textId="36485509" w:rsidR="00B243DB" w:rsidRPr="0036716A" w:rsidRDefault="00B243DB" w:rsidP="00874A98">
            <w:pPr>
              <w:keepNext w:val="0"/>
              <w:numPr>
                <w:ilvl w:val="0"/>
                <w:numId w:val="62"/>
              </w:numPr>
              <w:spacing w:before="0"/>
              <w:ind w:left="328"/>
              <w:contextualSpacing/>
              <w:rPr>
                <w:rFonts w:cs="Arial"/>
                <w:sz w:val="20"/>
              </w:rPr>
            </w:pPr>
            <w:r w:rsidRPr="0036716A">
              <w:rPr>
                <w:rFonts w:cs="Arial"/>
                <w:sz w:val="20"/>
              </w:rPr>
              <w:t>NPPF 202</w:t>
            </w:r>
            <w:r w:rsidR="004173E0" w:rsidRPr="0036716A">
              <w:rPr>
                <w:rFonts w:cs="Arial"/>
                <w:sz w:val="20"/>
              </w:rPr>
              <w:t>3</w:t>
            </w:r>
            <w:r w:rsidRPr="0036716A">
              <w:rPr>
                <w:rFonts w:cs="Arial"/>
                <w:sz w:val="20"/>
              </w:rPr>
              <w:t>, Part 2: Achieving sustainable development.</w:t>
            </w:r>
          </w:p>
          <w:p w14:paraId="59CA8EE9" w14:textId="7B9684FF" w:rsidR="00B243DB" w:rsidRPr="0036716A" w:rsidRDefault="00B243DB" w:rsidP="00874A98">
            <w:pPr>
              <w:keepNext w:val="0"/>
              <w:numPr>
                <w:ilvl w:val="0"/>
                <w:numId w:val="62"/>
              </w:numPr>
              <w:spacing w:before="0"/>
              <w:ind w:left="328"/>
              <w:contextualSpacing/>
              <w:rPr>
                <w:rFonts w:cs="Arial"/>
                <w:sz w:val="20"/>
              </w:rPr>
            </w:pPr>
            <w:r w:rsidRPr="0036716A">
              <w:rPr>
                <w:rFonts w:cs="Arial"/>
                <w:sz w:val="20"/>
              </w:rPr>
              <w:t>NPPF 202</w:t>
            </w:r>
            <w:r w:rsidR="004173E0" w:rsidRPr="0036716A">
              <w:rPr>
                <w:rFonts w:cs="Arial"/>
                <w:sz w:val="20"/>
              </w:rPr>
              <w:t>3</w:t>
            </w:r>
            <w:r w:rsidRPr="0036716A">
              <w:rPr>
                <w:rFonts w:cs="Arial"/>
                <w:sz w:val="20"/>
              </w:rPr>
              <w:t>, Part 3: Plan-making.</w:t>
            </w:r>
          </w:p>
          <w:p w14:paraId="4AD97229" w14:textId="394564AF" w:rsidR="00B243DB" w:rsidRPr="0036716A" w:rsidRDefault="00B243DB" w:rsidP="00874A98">
            <w:pPr>
              <w:keepNext w:val="0"/>
              <w:numPr>
                <w:ilvl w:val="0"/>
                <w:numId w:val="62"/>
              </w:numPr>
              <w:spacing w:before="0"/>
              <w:ind w:left="328"/>
              <w:contextualSpacing/>
              <w:rPr>
                <w:rFonts w:cs="Arial"/>
                <w:sz w:val="20"/>
              </w:rPr>
            </w:pPr>
            <w:r w:rsidRPr="0036716A">
              <w:rPr>
                <w:rFonts w:cs="Arial"/>
                <w:sz w:val="20"/>
              </w:rPr>
              <w:t>NPPF 202</w:t>
            </w:r>
            <w:r w:rsidR="004173E0" w:rsidRPr="0036716A">
              <w:rPr>
                <w:rFonts w:cs="Arial"/>
                <w:sz w:val="20"/>
              </w:rPr>
              <w:t>3</w:t>
            </w:r>
            <w:r w:rsidRPr="0036716A">
              <w:rPr>
                <w:rFonts w:cs="Arial"/>
                <w:sz w:val="20"/>
              </w:rPr>
              <w:t>, Part 5: Delivering a sufficient supply of homes.</w:t>
            </w:r>
          </w:p>
          <w:p w14:paraId="12FD6FDB" w14:textId="12424CC3" w:rsidR="00B243DB" w:rsidRPr="0036716A" w:rsidRDefault="00B243DB" w:rsidP="00874A98">
            <w:pPr>
              <w:keepNext w:val="0"/>
              <w:numPr>
                <w:ilvl w:val="0"/>
                <w:numId w:val="62"/>
              </w:numPr>
              <w:spacing w:before="0"/>
              <w:ind w:left="328"/>
              <w:contextualSpacing/>
              <w:rPr>
                <w:rFonts w:cs="Arial"/>
                <w:sz w:val="20"/>
              </w:rPr>
            </w:pPr>
            <w:r w:rsidRPr="0036716A">
              <w:rPr>
                <w:rFonts w:cs="Arial"/>
                <w:sz w:val="20"/>
              </w:rPr>
              <w:t>NPPF 202</w:t>
            </w:r>
            <w:r w:rsidR="004173E0" w:rsidRPr="0036716A">
              <w:rPr>
                <w:rFonts w:cs="Arial"/>
                <w:sz w:val="20"/>
              </w:rPr>
              <w:t>3</w:t>
            </w:r>
            <w:r w:rsidRPr="0036716A">
              <w:rPr>
                <w:rFonts w:cs="Arial"/>
                <w:sz w:val="20"/>
              </w:rPr>
              <w:t>, Part 6: Building a strong, competitive economy.</w:t>
            </w:r>
          </w:p>
          <w:p w14:paraId="1FB8D9AF" w14:textId="300F2B62" w:rsidR="00B243DB" w:rsidRPr="0036716A" w:rsidRDefault="00B243DB" w:rsidP="00874A98">
            <w:pPr>
              <w:keepNext w:val="0"/>
              <w:numPr>
                <w:ilvl w:val="0"/>
                <w:numId w:val="62"/>
              </w:numPr>
              <w:spacing w:before="0"/>
              <w:ind w:left="328"/>
              <w:contextualSpacing/>
              <w:rPr>
                <w:rFonts w:cs="Arial"/>
                <w:sz w:val="20"/>
              </w:rPr>
            </w:pPr>
            <w:r w:rsidRPr="0036716A">
              <w:rPr>
                <w:rFonts w:cs="Arial"/>
                <w:sz w:val="20"/>
              </w:rPr>
              <w:t>NPPF 202</w:t>
            </w:r>
            <w:r w:rsidR="004173E0" w:rsidRPr="0036716A">
              <w:rPr>
                <w:rFonts w:cs="Arial"/>
                <w:sz w:val="20"/>
              </w:rPr>
              <w:t>3</w:t>
            </w:r>
            <w:r w:rsidRPr="0036716A">
              <w:rPr>
                <w:rFonts w:cs="Arial"/>
                <w:sz w:val="20"/>
              </w:rPr>
              <w:t>, Part 8: Promoting healthy and safe communities.</w:t>
            </w:r>
          </w:p>
          <w:p w14:paraId="1183E019" w14:textId="09EC18F7" w:rsidR="00B243DB" w:rsidRPr="0036716A" w:rsidRDefault="00B243DB" w:rsidP="00874A98">
            <w:pPr>
              <w:keepNext w:val="0"/>
              <w:numPr>
                <w:ilvl w:val="0"/>
                <w:numId w:val="62"/>
              </w:numPr>
              <w:spacing w:before="0"/>
              <w:ind w:left="328"/>
              <w:contextualSpacing/>
              <w:rPr>
                <w:rFonts w:cs="Arial"/>
                <w:sz w:val="20"/>
              </w:rPr>
            </w:pPr>
            <w:r w:rsidRPr="0036716A">
              <w:rPr>
                <w:rFonts w:cs="Arial"/>
                <w:sz w:val="20"/>
              </w:rPr>
              <w:t>NPPF 202</w:t>
            </w:r>
            <w:r w:rsidR="004173E0" w:rsidRPr="0036716A">
              <w:rPr>
                <w:rFonts w:cs="Arial"/>
                <w:sz w:val="20"/>
              </w:rPr>
              <w:t>3</w:t>
            </w:r>
            <w:r w:rsidRPr="0036716A">
              <w:rPr>
                <w:rFonts w:cs="Arial"/>
                <w:sz w:val="20"/>
              </w:rPr>
              <w:t>, Part 15: Conserving and enhancing the natural environment.</w:t>
            </w:r>
          </w:p>
          <w:p w14:paraId="24B52ABB" w14:textId="3F0A8B7C" w:rsidR="00B243DB" w:rsidRPr="0036716A" w:rsidRDefault="00B243DB" w:rsidP="00874A98">
            <w:pPr>
              <w:keepNext w:val="0"/>
              <w:numPr>
                <w:ilvl w:val="0"/>
                <w:numId w:val="62"/>
              </w:numPr>
              <w:spacing w:before="0"/>
              <w:ind w:left="328"/>
              <w:contextualSpacing/>
              <w:rPr>
                <w:rFonts w:cs="Arial"/>
                <w:sz w:val="20"/>
              </w:rPr>
            </w:pPr>
            <w:r w:rsidRPr="0036716A">
              <w:rPr>
                <w:rFonts w:cs="Arial"/>
                <w:sz w:val="20"/>
              </w:rPr>
              <w:t>Planning Practice Guidance: Open space, sports and recreational facilities, public rights of ways and local green space as of</w:t>
            </w:r>
            <w:r w:rsidR="00A86E75" w:rsidRPr="0036716A">
              <w:rPr>
                <w:rFonts w:cs="Arial"/>
                <w:sz w:val="20"/>
              </w:rPr>
              <w:t xml:space="preserve"> March 2014</w:t>
            </w:r>
            <w:r w:rsidRPr="0036716A">
              <w:rPr>
                <w:rFonts w:cs="Arial"/>
                <w:sz w:val="20"/>
              </w:rPr>
              <w:t>.</w:t>
            </w:r>
          </w:p>
          <w:p w14:paraId="26C6175F" w14:textId="4BC4F3C9" w:rsidR="00B243DB" w:rsidRPr="0036716A" w:rsidRDefault="00B243DB" w:rsidP="00874A98">
            <w:pPr>
              <w:keepNext w:val="0"/>
              <w:numPr>
                <w:ilvl w:val="0"/>
                <w:numId w:val="62"/>
              </w:numPr>
              <w:spacing w:before="0"/>
              <w:ind w:left="328"/>
              <w:contextualSpacing/>
              <w:rPr>
                <w:rFonts w:cs="Arial"/>
                <w:sz w:val="20"/>
              </w:rPr>
            </w:pPr>
            <w:r w:rsidRPr="0036716A">
              <w:rPr>
                <w:rFonts w:cs="Arial"/>
                <w:sz w:val="20"/>
              </w:rPr>
              <w:t xml:space="preserve">Planning Practice Guidance: Natural environment as of </w:t>
            </w:r>
            <w:r w:rsidR="00A86E75" w:rsidRPr="0036716A">
              <w:rPr>
                <w:rFonts w:cs="Arial"/>
                <w:sz w:val="20"/>
              </w:rPr>
              <w:t>July 2019</w:t>
            </w:r>
            <w:r w:rsidRPr="0036716A">
              <w:rPr>
                <w:rFonts w:cs="Arial"/>
                <w:sz w:val="20"/>
              </w:rPr>
              <w:t>.</w:t>
            </w:r>
          </w:p>
        </w:tc>
      </w:tr>
    </w:tbl>
    <w:p w14:paraId="0A9613D9" w14:textId="77777777" w:rsidR="006A60BB" w:rsidRDefault="006A60BB" w:rsidP="006A60BB">
      <w:pPr>
        <w:keepNext w:val="0"/>
        <w:autoSpaceDE w:val="0"/>
        <w:autoSpaceDN w:val="0"/>
        <w:adjustRightInd w:val="0"/>
        <w:spacing w:before="0"/>
        <w:ind w:left="525"/>
        <w:rPr>
          <w:rFonts w:cs="Arial"/>
          <w:szCs w:val="24"/>
        </w:rPr>
      </w:pPr>
    </w:p>
    <w:p w14:paraId="3CB48A02" w14:textId="1FA9D755" w:rsidR="006A60BB" w:rsidRPr="006A60BB" w:rsidRDefault="006A60BB" w:rsidP="00E54162">
      <w:pPr>
        <w:keepNext w:val="0"/>
        <w:numPr>
          <w:ilvl w:val="1"/>
          <w:numId w:val="5"/>
        </w:numPr>
        <w:tabs>
          <w:tab w:val="clear" w:pos="525"/>
        </w:tabs>
        <w:autoSpaceDE w:val="0"/>
        <w:autoSpaceDN w:val="0"/>
        <w:adjustRightInd w:val="0"/>
        <w:spacing w:before="0"/>
        <w:ind w:left="851" w:hanging="851"/>
        <w:rPr>
          <w:rFonts w:eastAsia="Arial" w:cs="Arial"/>
          <w:spacing w:val="-1"/>
        </w:rPr>
      </w:pPr>
      <w:r w:rsidRPr="006A60BB">
        <w:rPr>
          <w:rFonts w:eastAsia="Arial" w:cs="Arial"/>
          <w:spacing w:val="-1"/>
        </w:rPr>
        <w:t>The Council will support the reuse of appropriately located and suitably constructed buildings in the Green Belt and countryside where this would meet sustainable development objectives. Preference will be given for the re-use of buildings for local business and commercial uses, as opposed to residential use, and this will be a material consideration in determining applications.</w:t>
      </w:r>
    </w:p>
    <w:p w14:paraId="751F4E42" w14:textId="77777777" w:rsidR="006A60BB" w:rsidRPr="006A60BB" w:rsidRDefault="006A60BB" w:rsidP="00E54162">
      <w:pPr>
        <w:keepNext w:val="0"/>
        <w:autoSpaceDE w:val="0"/>
        <w:autoSpaceDN w:val="0"/>
        <w:adjustRightInd w:val="0"/>
        <w:spacing w:before="0"/>
        <w:ind w:left="851" w:hanging="851"/>
        <w:rPr>
          <w:rFonts w:eastAsia="Arial" w:cs="Arial"/>
          <w:spacing w:val="-1"/>
        </w:rPr>
      </w:pPr>
    </w:p>
    <w:p w14:paraId="4D0A2A85" w14:textId="77777777" w:rsidR="006A60BB" w:rsidRPr="006A60BB" w:rsidRDefault="006A60BB" w:rsidP="00E54162">
      <w:pPr>
        <w:keepNext w:val="0"/>
        <w:numPr>
          <w:ilvl w:val="1"/>
          <w:numId w:val="5"/>
        </w:numPr>
        <w:tabs>
          <w:tab w:val="clear" w:pos="525"/>
        </w:tabs>
        <w:autoSpaceDE w:val="0"/>
        <w:autoSpaceDN w:val="0"/>
        <w:adjustRightInd w:val="0"/>
        <w:spacing w:before="0"/>
        <w:ind w:left="851" w:hanging="851"/>
        <w:rPr>
          <w:rFonts w:eastAsia="Arial" w:cs="Arial"/>
          <w:spacing w:val="-1"/>
        </w:rPr>
      </w:pPr>
      <w:r w:rsidRPr="006A60BB">
        <w:rPr>
          <w:rFonts w:eastAsia="Arial" w:cs="Arial"/>
          <w:spacing w:val="-1"/>
        </w:rPr>
        <w:t>Considerable change has occurred in rural areas and in the methods and type of agricultural production. The reuse of rural buildings may help to reduce demands for new buildings in the countryside, encourage new enterprises and provide new jobs. The above policy includes detailed criteria to ensure that the proposal does not cause significant harm to the openness, character and appearance of the surrounding Green Belt or countryside.</w:t>
      </w:r>
    </w:p>
    <w:p w14:paraId="1A0E0390" w14:textId="77777777" w:rsidR="006A60BB" w:rsidRPr="006A60BB" w:rsidRDefault="006A60BB" w:rsidP="00E54162">
      <w:pPr>
        <w:keepNext w:val="0"/>
        <w:autoSpaceDE w:val="0"/>
        <w:autoSpaceDN w:val="0"/>
        <w:adjustRightInd w:val="0"/>
        <w:spacing w:before="0"/>
        <w:ind w:left="851" w:hanging="851"/>
        <w:rPr>
          <w:rFonts w:eastAsia="Arial" w:cs="Arial"/>
          <w:spacing w:val="-1"/>
        </w:rPr>
      </w:pPr>
    </w:p>
    <w:p w14:paraId="26AB7D96" w14:textId="77777777" w:rsidR="006A60BB" w:rsidRPr="006A60BB" w:rsidRDefault="006A60BB" w:rsidP="00E54162">
      <w:pPr>
        <w:keepNext w:val="0"/>
        <w:numPr>
          <w:ilvl w:val="1"/>
          <w:numId w:val="5"/>
        </w:numPr>
        <w:tabs>
          <w:tab w:val="clear" w:pos="525"/>
        </w:tabs>
        <w:autoSpaceDE w:val="0"/>
        <w:autoSpaceDN w:val="0"/>
        <w:adjustRightInd w:val="0"/>
        <w:spacing w:before="0"/>
        <w:ind w:left="851" w:hanging="851"/>
        <w:rPr>
          <w:rFonts w:eastAsia="Arial" w:cs="Arial"/>
          <w:spacing w:val="-1"/>
        </w:rPr>
      </w:pPr>
      <w:r w:rsidRPr="006A60BB">
        <w:rPr>
          <w:rFonts w:eastAsia="Arial" w:cs="Arial"/>
          <w:spacing w:val="-1"/>
        </w:rPr>
        <w:t xml:space="preserve">Development in the Green Belt and countryside is strictly controlled by Policies EV1 and EV2. Where it is appropriate in principle and involves the reuse of existing buildings it is important to ensure that the resultant form, bulk and general design of the building is in keeping with the surroundings and that the overall character and quality of the building is retained.  </w:t>
      </w:r>
    </w:p>
    <w:p w14:paraId="1BFDA7E7" w14:textId="77777777" w:rsidR="006A60BB" w:rsidRPr="006A60BB" w:rsidRDefault="006A60BB" w:rsidP="00E54162">
      <w:pPr>
        <w:keepNext w:val="0"/>
        <w:autoSpaceDE w:val="0"/>
        <w:autoSpaceDN w:val="0"/>
        <w:adjustRightInd w:val="0"/>
        <w:spacing w:before="0"/>
        <w:ind w:left="851" w:hanging="851"/>
        <w:rPr>
          <w:rFonts w:eastAsia="Arial" w:cs="Arial"/>
          <w:spacing w:val="-1"/>
        </w:rPr>
      </w:pPr>
    </w:p>
    <w:p w14:paraId="6D1F1C89" w14:textId="6A66ADCC" w:rsidR="006A60BB" w:rsidRPr="006A60BB" w:rsidRDefault="006A60BB" w:rsidP="00E54162">
      <w:pPr>
        <w:keepNext w:val="0"/>
        <w:numPr>
          <w:ilvl w:val="1"/>
          <w:numId w:val="5"/>
        </w:numPr>
        <w:tabs>
          <w:tab w:val="clear" w:pos="525"/>
        </w:tabs>
        <w:autoSpaceDE w:val="0"/>
        <w:autoSpaceDN w:val="0"/>
        <w:adjustRightInd w:val="0"/>
        <w:spacing w:before="0"/>
        <w:ind w:left="851" w:hanging="851"/>
        <w:rPr>
          <w:rFonts w:eastAsia="Arial" w:cs="Arial"/>
          <w:spacing w:val="-1"/>
        </w:rPr>
      </w:pPr>
      <w:r w:rsidRPr="006A60BB">
        <w:rPr>
          <w:rFonts w:eastAsia="Arial" w:cs="Arial"/>
          <w:spacing w:val="-1"/>
        </w:rPr>
        <w:t>Buildings which are not of permanent and substantial construction; are not structural</w:t>
      </w:r>
      <w:r w:rsidR="00C62752">
        <w:rPr>
          <w:rFonts w:eastAsia="Arial" w:cs="Arial"/>
          <w:spacing w:val="-1"/>
        </w:rPr>
        <w:t>ly</w:t>
      </w:r>
      <w:r w:rsidRPr="006A60BB">
        <w:rPr>
          <w:rFonts w:eastAsia="Arial" w:cs="Arial"/>
          <w:spacing w:val="-1"/>
        </w:rPr>
        <w:t xml:space="preserve"> sound and are not capable of re-use without major alteration, adaptations or reconstruction, are considered unsuitable. Additionally, buildings should be physically capable of providing adequate accommodation without the need for significant extensions which would adversely affect the character of the building or its locality.   </w:t>
      </w:r>
    </w:p>
    <w:p w14:paraId="5D96A8E2" w14:textId="77777777" w:rsidR="006A60BB" w:rsidRPr="006A60BB" w:rsidRDefault="006A60BB" w:rsidP="00E54162">
      <w:pPr>
        <w:keepNext w:val="0"/>
        <w:autoSpaceDE w:val="0"/>
        <w:autoSpaceDN w:val="0"/>
        <w:adjustRightInd w:val="0"/>
        <w:spacing w:before="0"/>
        <w:ind w:left="851" w:hanging="851"/>
        <w:rPr>
          <w:rFonts w:eastAsia="Arial" w:cs="Arial"/>
          <w:spacing w:val="-1"/>
        </w:rPr>
      </w:pPr>
    </w:p>
    <w:p w14:paraId="77D9BC57" w14:textId="77777777" w:rsidR="006A60BB" w:rsidRPr="006A60BB" w:rsidRDefault="006A60BB" w:rsidP="00E54162">
      <w:pPr>
        <w:keepNext w:val="0"/>
        <w:numPr>
          <w:ilvl w:val="1"/>
          <w:numId w:val="5"/>
        </w:numPr>
        <w:tabs>
          <w:tab w:val="clear" w:pos="525"/>
        </w:tabs>
        <w:autoSpaceDE w:val="0"/>
        <w:autoSpaceDN w:val="0"/>
        <w:adjustRightInd w:val="0"/>
        <w:spacing w:before="0"/>
        <w:ind w:left="851" w:hanging="851"/>
        <w:rPr>
          <w:rFonts w:eastAsia="Arial" w:cs="Arial"/>
          <w:spacing w:val="-1"/>
        </w:rPr>
      </w:pPr>
      <w:r w:rsidRPr="006A60BB">
        <w:rPr>
          <w:rFonts w:eastAsia="Arial" w:cs="Arial"/>
          <w:spacing w:val="-1"/>
        </w:rPr>
        <w:t xml:space="preserve">The conversion of buildings in rural areas to uses not originally intended in their design can result in visual intrusion and/or increased traffic and activity, resulting in a significant adverse impact on the Countryside. The Council will seek to ensure that any proposal is appropriate both for the building itself and for the area in which it is located. Proposed new uses should not have a materially greater impact on the openness and character of the Green Belt or Countryside, than the present use.  </w:t>
      </w:r>
    </w:p>
    <w:p w14:paraId="771B586D" w14:textId="77777777" w:rsidR="006A60BB" w:rsidRPr="006A60BB" w:rsidRDefault="006A60BB" w:rsidP="00E54162">
      <w:pPr>
        <w:keepNext w:val="0"/>
        <w:autoSpaceDE w:val="0"/>
        <w:autoSpaceDN w:val="0"/>
        <w:adjustRightInd w:val="0"/>
        <w:spacing w:before="0"/>
        <w:ind w:left="851" w:hanging="851"/>
        <w:rPr>
          <w:rFonts w:eastAsia="Arial" w:cs="Arial"/>
          <w:spacing w:val="-1"/>
        </w:rPr>
      </w:pPr>
    </w:p>
    <w:p w14:paraId="6F1C537E" w14:textId="77777777" w:rsidR="006A60BB" w:rsidRPr="006A60BB" w:rsidRDefault="006A60BB" w:rsidP="00E54162">
      <w:pPr>
        <w:keepNext w:val="0"/>
        <w:numPr>
          <w:ilvl w:val="1"/>
          <w:numId w:val="5"/>
        </w:numPr>
        <w:tabs>
          <w:tab w:val="clear" w:pos="525"/>
        </w:tabs>
        <w:autoSpaceDE w:val="0"/>
        <w:autoSpaceDN w:val="0"/>
        <w:adjustRightInd w:val="0"/>
        <w:spacing w:before="0"/>
        <w:ind w:left="851" w:hanging="851"/>
        <w:rPr>
          <w:rFonts w:eastAsia="Arial" w:cs="Arial"/>
          <w:spacing w:val="-1"/>
        </w:rPr>
      </w:pPr>
      <w:r w:rsidRPr="006A60BB">
        <w:rPr>
          <w:rFonts w:eastAsia="Arial" w:cs="Arial"/>
          <w:spacing w:val="-1"/>
        </w:rPr>
        <w:t xml:space="preserve">The re-use of agricultural buildings can result in the need for new farm buildings elsewhere on the farm or inappropriate outside storage of materials, machinery and/or vehicles. In certain areas new farm buildings and outside storage can adversely affect the local and wider landscape and it may be appropriate to control their proliferation by using planning conditions or negotiating a planning obligation. </w:t>
      </w:r>
    </w:p>
    <w:p w14:paraId="2CBBF964" w14:textId="77777777" w:rsidR="006A60BB" w:rsidRPr="006A60BB" w:rsidRDefault="006A60BB" w:rsidP="00E54162">
      <w:pPr>
        <w:keepNext w:val="0"/>
        <w:autoSpaceDE w:val="0"/>
        <w:autoSpaceDN w:val="0"/>
        <w:adjustRightInd w:val="0"/>
        <w:spacing w:before="0"/>
        <w:ind w:left="851" w:hanging="851"/>
        <w:rPr>
          <w:rFonts w:eastAsia="Arial" w:cs="Arial"/>
          <w:spacing w:val="-1"/>
        </w:rPr>
      </w:pPr>
    </w:p>
    <w:p w14:paraId="425B4B78" w14:textId="77777777" w:rsidR="006A60BB" w:rsidRPr="006A60BB" w:rsidRDefault="006A60BB" w:rsidP="00E54162">
      <w:pPr>
        <w:keepNext w:val="0"/>
        <w:numPr>
          <w:ilvl w:val="1"/>
          <w:numId w:val="5"/>
        </w:numPr>
        <w:tabs>
          <w:tab w:val="clear" w:pos="525"/>
        </w:tabs>
        <w:autoSpaceDE w:val="0"/>
        <w:autoSpaceDN w:val="0"/>
        <w:adjustRightInd w:val="0"/>
        <w:spacing w:before="0"/>
        <w:ind w:left="851" w:hanging="851"/>
        <w:rPr>
          <w:rFonts w:eastAsia="Arial" w:cs="Arial"/>
          <w:spacing w:val="-1"/>
        </w:rPr>
      </w:pPr>
      <w:r w:rsidRPr="006A60BB">
        <w:rPr>
          <w:rFonts w:eastAsia="Arial" w:cs="Arial"/>
          <w:spacing w:val="-1"/>
        </w:rPr>
        <w:t>In order to discourage abuse of the planning process, the Council will not consider favourably applications for the change of use of agricultural buildings to non-agricultural purposes, within ten years of their completion.</w:t>
      </w:r>
    </w:p>
    <w:p w14:paraId="436B01C7" w14:textId="77777777" w:rsidR="006A60BB" w:rsidRPr="006A60BB" w:rsidRDefault="006A60BB" w:rsidP="00E54162">
      <w:pPr>
        <w:keepNext w:val="0"/>
        <w:autoSpaceDE w:val="0"/>
        <w:autoSpaceDN w:val="0"/>
        <w:adjustRightInd w:val="0"/>
        <w:spacing w:before="0"/>
        <w:ind w:left="851" w:hanging="851"/>
        <w:rPr>
          <w:rFonts w:eastAsia="Arial" w:cs="Arial"/>
          <w:spacing w:val="-1"/>
        </w:rPr>
      </w:pPr>
    </w:p>
    <w:p w14:paraId="7B2FF832" w14:textId="33EDA250" w:rsidR="006A60BB" w:rsidRPr="006A60BB" w:rsidRDefault="006A60BB" w:rsidP="00E54162">
      <w:pPr>
        <w:keepNext w:val="0"/>
        <w:numPr>
          <w:ilvl w:val="1"/>
          <w:numId w:val="5"/>
        </w:numPr>
        <w:tabs>
          <w:tab w:val="clear" w:pos="525"/>
        </w:tabs>
        <w:autoSpaceDE w:val="0"/>
        <w:autoSpaceDN w:val="0"/>
        <w:adjustRightInd w:val="0"/>
        <w:spacing w:before="0"/>
        <w:ind w:left="851" w:hanging="851"/>
        <w:rPr>
          <w:rFonts w:eastAsia="Arial" w:cs="Arial"/>
          <w:spacing w:val="-1"/>
        </w:rPr>
      </w:pPr>
      <w:r w:rsidRPr="006A60BB">
        <w:rPr>
          <w:rFonts w:eastAsia="Arial" w:cs="Arial"/>
          <w:spacing w:val="-1"/>
        </w:rPr>
        <w:t>Listed buildings and buildings of architectural or historic interest will require special consideration, as detailed in Policy EV</w:t>
      </w:r>
      <w:r w:rsidR="004E709C">
        <w:rPr>
          <w:rFonts w:eastAsia="Arial" w:cs="Arial"/>
          <w:spacing w:val="-1"/>
        </w:rPr>
        <w:t>9</w:t>
      </w:r>
      <w:r w:rsidRPr="006A60BB">
        <w:rPr>
          <w:rFonts w:eastAsia="Arial" w:cs="Arial"/>
          <w:spacing w:val="-1"/>
        </w:rPr>
        <w:t xml:space="preserve">. All proposals to reuse such buildings must be designed to protect their value or significance. This would usually involve minimal internal or external alterations.  </w:t>
      </w:r>
    </w:p>
    <w:p w14:paraId="7A518C3F" w14:textId="77777777" w:rsidR="006A60BB" w:rsidRPr="006A60BB" w:rsidRDefault="006A60BB" w:rsidP="00E54162">
      <w:pPr>
        <w:keepNext w:val="0"/>
        <w:autoSpaceDE w:val="0"/>
        <w:autoSpaceDN w:val="0"/>
        <w:adjustRightInd w:val="0"/>
        <w:spacing w:before="0"/>
        <w:ind w:left="851" w:hanging="851"/>
        <w:rPr>
          <w:rFonts w:eastAsia="Arial" w:cs="Arial"/>
          <w:spacing w:val="-1"/>
        </w:rPr>
      </w:pPr>
    </w:p>
    <w:p w14:paraId="257E5748" w14:textId="77777777" w:rsidR="006A60BB" w:rsidRPr="006A60BB" w:rsidRDefault="006A60BB" w:rsidP="00E54162">
      <w:pPr>
        <w:keepNext w:val="0"/>
        <w:numPr>
          <w:ilvl w:val="1"/>
          <w:numId w:val="5"/>
        </w:numPr>
        <w:tabs>
          <w:tab w:val="clear" w:pos="525"/>
        </w:tabs>
        <w:autoSpaceDE w:val="0"/>
        <w:autoSpaceDN w:val="0"/>
        <w:adjustRightInd w:val="0"/>
        <w:spacing w:before="0"/>
        <w:ind w:left="851" w:hanging="851"/>
        <w:rPr>
          <w:rFonts w:eastAsia="Arial" w:cs="Arial"/>
          <w:spacing w:val="-1"/>
        </w:rPr>
      </w:pPr>
      <w:r w:rsidRPr="006A60BB">
        <w:rPr>
          <w:rFonts w:eastAsia="Arial" w:cs="Arial"/>
          <w:spacing w:val="-1"/>
        </w:rPr>
        <w:t xml:space="preserve">Unused and underused buildings, especially those of traditional design and construction, provide habitats for some protected species, notably barn owls and some species of bats. This possibility should be considered during the preparation of schemes of conversion and provision made to retain and protect any nest or roost site which may be identified. This is a statutory requirement under the Wildlife and Countryside Act 1981. </w:t>
      </w:r>
    </w:p>
    <w:p w14:paraId="7AE72B83" w14:textId="77777777" w:rsidR="006A60BB" w:rsidRPr="006A60BB" w:rsidRDefault="006A60BB" w:rsidP="00E54162">
      <w:pPr>
        <w:keepNext w:val="0"/>
        <w:autoSpaceDE w:val="0"/>
        <w:autoSpaceDN w:val="0"/>
        <w:adjustRightInd w:val="0"/>
        <w:spacing w:before="0"/>
        <w:ind w:left="851" w:hanging="851"/>
        <w:rPr>
          <w:rFonts w:eastAsia="Arial" w:cs="Arial"/>
          <w:spacing w:val="-1"/>
        </w:rPr>
      </w:pPr>
    </w:p>
    <w:p w14:paraId="117D2FF0" w14:textId="77777777" w:rsidR="006A60BB" w:rsidRPr="006A60BB" w:rsidRDefault="006A60BB" w:rsidP="00E54162">
      <w:pPr>
        <w:keepNext w:val="0"/>
        <w:numPr>
          <w:ilvl w:val="1"/>
          <w:numId w:val="5"/>
        </w:numPr>
        <w:tabs>
          <w:tab w:val="clear" w:pos="525"/>
        </w:tabs>
        <w:autoSpaceDE w:val="0"/>
        <w:autoSpaceDN w:val="0"/>
        <w:adjustRightInd w:val="0"/>
        <w:spacing w:before="0"/>
        <w:ind w:left="851" w:hanging="851"/>
        <w:rPr>
          <w:rFonts w:eastAsia="Arial" w:cs="Arial"/>
          <w:spacing w:val="-1"/>
        </w:rPr>
      </w:pPr>
      <w:r w:rsidRPr="006A60BB">
        <w:rPr>
          <w:rFonts w:eastAsia="Arial" w:cs="Arial"/>
          <w:spacing w:val="-1"/>
        </w:rPr>
        <w:t xml:space="preserve">In cases where the reuse of a building is for employment uses, the business should be of a scale and type that is appropriate and consistent with the location. Careful consideration will need to be made regarding the need for external storage, hardstanding, car parking and boundary treatments, to ensure that they do not have an adverse effect on the surroundings. </w:t>
      </w:r>
    </w:p>
    <w:p w14:paraId="0AA4BAAB" w14:textId="77777777" w:rsidR="006A60BB" w:rsidRPr="006A60BB" w:rsidRDefault="006A60BB" w:rsidP="00E54162">
      <w:pPr>
        <w:keepNext w:val="0"/>
        <w:autoSpaceDE w:val="0"/>
        <w:autoSpaceDN w:val="0"/>
        <w:adjustRightInd w:val="0"/>
        <w:spacing w:before="0"/>
        <w:ind w:left="851" w:hanging="851"/>
        <w:rPr>
          <w:rFonts w:eastAsia="Arial" w:cs="Arial"/>
          <w:spacing w:val="-1"/>
        </w:rPr>
      </w:pPr>
    </w:p>
    <w:p w14:paraId="6C99F99A" w14:textId="7C4C0536" w:rsidR="006A60BB" w:rsidRPr="006A60BB" w:rsidRDefault="006A60BB" w:rsidP="00E54162">
      <w:pPr>
        <w:keepNext w:val="0"/>
        <w:numPr>
          <w:ilvl w:val="1"/>
          <w:numId w:val="5"/>
        </w:numPr>
        <w:tabs>
          <w:tab w:val="clear" w:pos="525"/>
        </w:tabs>
        <w:autoSpaceDE w:val="0"/>
        <w:autoSpaceDN w:val="0"/>
        <w:adjustRightInd w:val="0"/>
        <w:spacing w:before="0"/>
        <w:ind w:left="851" w:hanging="851"/>
        <w:rPr>
          <w:rFonts w:eastAsia="Arial" w:cs="Arial"/>
          <w:spacing w:val="-1"/>
        </w:rPr>
      </w:pPr>
      <w:r w:rsidRPr="006A60BB">
        <w:rPr>
          <w:rFonts w:eastAsia="Arial" w:cs="Arial"/>
          <w:spacing w:val="-1"/>
        </w:rPr>
        <w:t xml:space="preserve">Where the re-use of a building within the Green Belt and </w:t>
      </w:r>
      <w:r>
        <w:rPr>
          <w:rFonts w:eastAsia="Arial" w:cs="Arial"/>
          <w:spacing w:val="-1"/>
        </w:rPr>
        <w:t>c</w:t>
      </w:r>
      <w:r w:rsidRPr="006A60BB">
        <w:rPr>
          <w:rFonts w:eastAsia="Arial" w:cs="Arial"/>
          <w:spacing w:val="-1"/>
        </w:rPr>
        <w:t xml:space="preserve">ountryside for residential purposes would result in the creation of a new isolated home, the Council will need to be satisfied that there are special circumstances such as those set out in paragraph </w:t>
      </w:r>
      <w:r>
        <w:rPr>
          <w:rFonts w:eastAsia="Arial" w:cs="Arial"/>
          <w:spacing w:val="-1"/>
        </w:rPr>
        <w:t>80</w:t>
      </w:r>
      <w:r w:rsidRPr="006A60BB">
        <w:rPr>
          <w:rFonts w:eastAsia="Arial" w:cs="Arial"/>
          <w:spacing w:val="-1"/>
        </w:rPr>
        <w:t xml:space="preserve"> of the NPPF. Where special circumstances exist, the buildings should be physically capable of providing adequate accommodation without the need for disproportionate additions over and above the size of the original building, which would adversely affect the character of the building or its locality. The provision of a garden area to serve a converted building can also have an adverse impact on the local environment due to its position, extent, boundary treatment and the erection of additional buildings such as garages, sheds and greenhouses.  </w:t>
      </w:r>
    </w:p>
    <w:p w14:paraId="6A096DB9" w14:textId="77777777" w:rsidR="006A60BB" w:rsidRPr="006A60BB" w:rsidRDefault="006A60BB" w:rsidP="00E54162">
      <w:pPr>
        <w:keepNext w:val="0"/>
        <w:autoSpaceDE w:val="0"/>
        <w:autoSpaceDN w:val="0"/>
        <w:adjustRightInd w:val="0"/>
        <w:spacing w:before="0"/>
        <w:ind w:left="851" w:hanging="851"/>
        <w:rPr>
          <w:rFonts w:eastAsia="Arial" w:cs="Arial"/>
          <w:spacing w:val="-1"/>
        </w:rPr>
      </w:pPr>
    </w:p>
    <w:p w14:paraId="06C337E3" w14:textId="0B70DB30" w:rsidR="006A60BB" w:rsidRPr="00263F59" w:rsidRDefault="006A60BB" w:rsidP="00E54162">
      <w:pPr>
        <w:keepNext w:val="0"/>
        <w:numPr>
          <w:ilvl w:val="1"/>
          <w:numId w:val="5"/>
        </w:numPr>
        <w:tabs>
          <w:tab w:val="clear" w:pos="525"/>
        </w:tabs>
        <w:autoSpaceDE w:val="0"/>
        <w:autoSpaceDN w:val="0"/>
        <w:adjustRightInd w:val="0"/>
        <w:spacing w:before="0"/>
        <w:ind w:left="851" w:hanging="851"/>
        <w:rPr>
          <w:rFonts w:eastAsia="Arial" w:cs="Arial"/>
          <w:spacing w:val="-1"/>
        </w:rPr>
      </w:pPr>
      <w:r w:rsidRPr="006A60BB">
        <w:rPr>
          <w:rFonts w:eastAsia="Arial" w:cs="Arial"/>
          <w:spacing w:val="-1"/>
        </w:rPr>
        <w:t>Where permission is granted for the residential re-use of buildings in the Green Belt, the Council may consider applying conditions which restrict permitted development rights.</w:t>
      </w:r>
    </w:p>
    <w:p w14:paraId="15FFFB88" w14:textId="1BE54F11" w:rsidR="006A60BB" w:rsidRPr="00263F59" w:rsidRDefault="006A60BB" w:rsidP="006A60BB">
      <w:pPr>
        <w:pStyle w:val="ListParagraph"/>
        <w:rPr>
          <w:rFonts w:ascii="Arial" w:eastAsia="Arial" w:hAnsi="Arial" w:cs="Arial"/>
          <w:color w:val="auto"/>
          <w:spacing w:val="-1"/>
        </w:rPr>
      </w:pPr>
    </w:p>
    <w:p w14:paraId="4716FDF7" w14:textId="45614C43" w:rsidR="00F86477" w:rsidRPr="00263F59" w:rsidRDefault="00F86477" w:rsidP="00263F59">
      <w:pPr>
        <w:pStyle w:val="ListParagraph"/>
        <w:spacing w:after="0"/>
        <w:rPr>
          <w:rFonts w:ascii="Arial" w:eastAsia="Arial" w:hAnsi="Arial" w:cs="Arial"/>
          <w:color w:val="auto"/>
          <w:spacing w:val="-1"/>
        </w:rPr>
      </w:pPr>
    </w:p>
    <w:p w14:paraId="40B7899F" w14:textId="77777777" w:rsidR="00263F59" w:rsidRPr="00263F59" w:rsidRDefault="00263F59" w:rsidP="00263F59">
      <w:pPr>
        <w:pStyle w:val="ListParagraph"/>
        <w:spacing w:after="0"/>
        <w:rPr>
          <w:rFonts w:ascii="Arial" w:eastAsia="Arial" w:hAnsi="Arial" w:cs="Arial"/>
          <w:color w:val="auto"/>
          <w:spacing w:val="-1"/>
        </w:rPr>
      </w:pPr>
    </w:p>
    <w:p w14:paraId="04797EBE" w14:textId="51226A72" w:rsidR="003809B3" w:rsidRPr="00995322" w:rsidRDefault="006977E7" w:rsidP="00995322">
      <w:pPr>
        <w:pStyle w:val="Heading2"/>
        <w:jc w:val="left"/>
        <w:rPr>
          <w:rFonts w:eastAsia="Arial"/>
          <w:sz w:val="28"/>
          <w:szCs w:val="28"/>
        </w:rPr>
      </w:pPr>
      <w:bookmarkStart w:id="163" w:name="_Toc145511578"/>
      <w:r w:rsidRPr="00995322">
        <w:rPr>
          <w:rFonts w:eastAsia="Arial"/>
          <w:sz w:val="28"/>
          <w:szCs w:val="28"/>
        </w:rPr>
        <w:t xml:space="preserve">Policy </w:t>
      </w:r>
      <w:r w:rsidR="003809B3" w:rsidRPr="00995322">
        <w:rPr>
          <w:rFonts w:eastAsia="Arial"/>
          <w:sz w:val="28"/>
          <w:szCs w:val="28"/>
        </w:rPr>
        <w:t>EV4: Green Infrastructure, Biodiversity and Geodiversity</w:t>
      </w:r>
      <w:bookmarkEnd w:id="163"/>
    </w:p>
    <w:p w14:paraId="3F297010" w14:textId="139D4F02" w:rsidR="003809B3" w:rsidRPr="00364726" w:rsidRDefault="003809B3" w:rsidP="00364726">
      <w:pPr>
        <w:rPr>
          <w:rFonts w:eastAsia="Arial"/>
        </w:rPr>
      </w:pPr>
    </w:p>
    <w:p w14:paraId="03956994" w14:textId="595226FA" w:rsidR="006A60BB" w:rsidRPr="006157E6" w:rsidRDefault="00482B51" w:rsidP="00E54162">
      <w:pPr>
        <w:keepNext w:val="0"/>
        <w:numPr>
          <w:ilvl w:val="1"/>
          <w:numId w:val="5"/>
        </w:numPr>
        <w:tabs>
          <w:tab w:val="clear" w:pos="525"/>
        </w:tabs>
        <w:autoSpaceDE w:val="0"/>
        <w:autoSpaceDN w:val="0"/>
        <w:adjustRightInd w:val="0"/>
        <w:spacing w:before="0"/>
        <w:ind w:left="851" w:hanging="851"/>
        <w:rPr>
          <w:rFonts w:eastAsia="Arial" w:cs="Arial"/>
          <w:spacing w:val="-1"/>
        </w:rPr>
      </w:pPr>
      <w:r w:rsidRPr="00B20356">
        <w:rPr>
          <w:rFonts w:cs="Arial"/>
          <w:szCs w:val="24"/>
        </w:rPr>
        <w:t>This policy will deliver, conserve and enhance Green Infrastructure.  It will also protect and enhance biodiversity</w:t>
      </w:r>
      <w:r w:rsidR="00F92702">
        <w:rPr>
          <w:rFonts w:cs="Arial"/>
          <w:szCs w:val="24"/>
        </w:rPr>
        <w:t xml:space="preserve"> </w:t>
      </w:r>
      <w:r w:rsidR="00F92702" w:rsidRPr="0036716A">
        <w:rPr>
          <w:rFonts w:cs="Arial"/>
          <w:szCs w:val="24"/>
        </w:rPr>
        <w:t>and geodiversity</w:t>
      </w:r>
      <w:r w:rsidRPr="0036716A">
        <w:rPr>
          <w:rFonts w:cs="Arial"/>
          <w:szCs w:val="24"/>
        </w:rPr>
        <w:t xml:space="preserve">, through </w:t>
      </w:r>
      <w:r w:rsidRPr="00B20356">
        <w:rPr>
          <w:rFonts w:cs="Arial"/>
          <w:szCs w:val="24"/>
        </w:rPr>
        <w:t>the protection of Sites of Special Scientific Interest, Local Nature Reserves, Local Wildlife Sites and sites supporting Priority Habitats and Priority Species.</w:t>
      </w:r>
    </w:p>
    <w:p w14:paraId="3005E9B7" w14:textId="6DE3DBE2" w:rsidR="006157E6" w:rsidRDefault="006157E6" w:rsidP="00E54162">
      <w:pPr>
        <w:keepNext w:val="0"/>
        <w:autoSpaceDE w:val="0"/>
        <w:autoSpaceDN w:val="0"/>
        <w:adjustRightInd w:val="0"/>
        <w:spacing w:before="0"/>
        <w:ind w:left="851" w:hanging="851"/>
        <w:rPr>
          <w:rFonts w:cs="Arial"/>
          <w:szCs w:val="24"/>
        </w:rPr>
      </w:pPr>
    </w:p>
    <w:tbl>
      <w:tblPr>
        <w:tblStyle w:val="TableGrid7"/>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243"/>
        <w:gridCol w:w="7375"/>
      </w:tblGrid>
      <w:tr w:rsidR="006157E6" w:rsidRPr="006157E6" w14:paraId="2E63B1B6" w14:textId="77777777" w:rsidTr="006157E6">
        <w:tc>
          <w:tcPr>
            <w:tcW w:w="9618" w:type="dxa"/>
            <w:gridSpan w:val="2"/>
          </w:tcPr>
          <w:p w14:paraId="4F8FED38" w14:textId="77777777" w:rsidR="007C6CA4" w:rsidRDefault="007C6CA4" w:rsidP="006157E6">
            <w:pPr>
              <w:keepNext w:val="0"/>
              <w:spacing w:before="0"/>
              <w:rPr>
                <w:b/>
                <w:bCs/>
                <w:color w:val="auto"/>
              </w:rPr>
            </w:pPr>
          </w:p>
          <w:p w14:paraId="03438847" w14:textId="50CFD0F3" w:rsidR="006157E6" w:rsidRDefault="006157E6" w:rsidP="006157E6">
            <w:pPr>
              <w:keepNext w:val="0"/>
              <w:spacing w:before="0"/>
              <w:rPr>
                <w:b/>
                <w:bCs/>
                <w:color w:val="auto"/>
              </w:rPr>
            </w:pPr>
            <w:bookmarkStart w:id="164" w:name="_Hlk117505005"/>
            <w:r w:rsidRPr="006157E6">
              <w:rPr>
                <w:b/>
                <w:bCs/>
                <w:color w:val="auto"/>
              </w:rPr>
              <w:t>Policy EV4: Green Infrastructure, Biodiversity and Geodiversity</w:t>
            </w:r>
          </w:p>
          <w:bookmarkEnd w:id="164"/>
          <w:p w14:paraId="1A3CED2E" w14:textId="7DD5845B" w:rsidR="007C6CA4" w:rsidRPr="006157E6" w:rsidRDefault="007C6CA4" w:rsidP="006157E6">
            <w:pPr>
              <w:keepNext w:val="0"/>
              <w:spacing w:before="0"/>
              <w:rPr>
                <w:b/>
                <w:bCs/>
                <w:color w:val="auto"/>
              </w:rPr>
            </w:pPr>
          </w:p>
        </w:tc>
      </w:tr>
      <w:tr w:rsidR="006157E6" w:rsidRPr="006157E6" w14:paraId="023362F6" w14:textId="77777777" w:rsidTr="006157E6">
        <w:tc>
          <w:tcPr>
            <w:tcW w:w="2243" w:type="dxa"/>
          </w:tcPr>
          <w:p w14:paraId="41A56F34" w14:textId="7485D17A" w:rsidR="006157E6" w:rsidRPr="006157E6" w:rsidRDefault="006157E6" w:rsidP="006157E6">
            <w:pPr>
              <w:keepNext w:val="0"/>
              <w:spacing w:before="0"/>
              <w:rPr>
                <w:color w:val="auto"/>
              </w:rPr>
            </w:pPr>
            <w:r w:rsidRPr="006157E6">
              <w:rPr>
                <w:color w:val="auto"/>
              </w:rPr>
              <w:t>Strategic</w:t>
            </w:r>
            <w:r w:rsidR="00E60404">
              <w:rPr>
                <w:color w:val="auto"/>
              </w:rPr>
              <w:t xml:space="preserve"> Objectives</w:t>
            </w:r>
          </w:p>
        </w:tc>
        <w:tc>
          <w:tcPr>
            <w:tcW w:w="7375" w:type="dxa"/>
          </w:tcPr>
          <w:p w14:paraId="02A800CD" w14:textId="28342BEC" w:rsidR="006157E6" w:rsidRPr="006157E6" w:rsidRDefault="006157E6" w:rsidP="006157E6">
            <w:pPr>
              <w:keepNext w:val="0"/>
              <w:spacing w:before="0"/>
              <w:rPr>
                <w:color w:val="auto"/>
              </w:rPr>
            </w:pPr>
            <w:r w:rsidRPr="006157E6">
              <w:rPr>
                <w:color w:val="auto"/>
              </w:rPr>
              <w:t>SO1, SO4, SO11, SO13, SO14.</w:t>
            </w:r>
          </w:p>
        </w:tc>
      </w:tr>
      <w:tr w:rsidR="006157E6" w:rsidRPr="006157E6" w14:paraId="7CA1F895" w14:textId="77777777" w:rsidTr="006157E6">
        <w:tc>
          <w:tcPr>
            <w:tcW w:w="9618" w:type="dxa"/>
            <w:gridSpan w:val="2"/>
            <w:shd w:val="clear" w:color="auto" w:fill="E2EFD9"/>
          </w:tcPr>
          <w:p w14:paraId="08682A79" w14:textId="77777777" w:rsidR="006157E6" w:rsidRPr="006157E6" w:rsidRDefault="006157E6" w:rsidP="007C6CA4">
            <w:pPr>
              <w:keepNext w:val="0"/>
              <w:spacing w:before="0"/>
              <w:jc w:val="left"/>
              <w:rPr>
                <w:color w:val="auto"/>
              </w:rPr>
            </w:pPr>
          </w:p>
          <w:p w14:paraId="1F3229CA" w14:textId="6753808D" w:rsidR="006157E6" w:rsidRPr="000E7F65" w:rsidRDefault="006157E6" w:rsidP="001770A9">
            <w:pPr>
              <w:keepNext w:val="0"/>
              <w:spacing w:before="0"/>
              <w:ind w:firstLine="313"/>
              <w:jc w:val="left"/>
              <w:rPr>
                <w:b/>
                <w:bCs/>
                <w:color w:val="auto"/>
              </w:rPr>
            </w:pPr>
            <w:r w:rsidRPr="000E7F65">
              <w:rPr>
                <w:b/>
                <w:bCs/>
                <w:color w:val="auto"/>
              </w:rPr>
              <w:t>Green Infrastructure</w:t>
            </w:r>
          </w:p>
          <w:p w14:paraId="6279E152" w14:textId="2CB10013" w:rsidR="006157E6" w:rsidRPr="006157E6" w:rsidRDefault="006157E6" w:rsidP="00874A98">
            <w:pPr>
              <w:keepNext w:val="0"/>
              <w:numPr>
                <w:ilvl w:val="0"/>
                <w:numId w:val="240"/>
              </w:numPr>
              <w:spacing w:before="0"/>
              <w:contextualSpacing/>
              <w:jc w:val="left"/>
              <w:rPr>
                <w:color w:val="auto"/>
              </w:rPr>
            </w:pPr>
            <w:bookmarkStart w:id="165" w:name="_Hlk142392954"/>
            <w:r w:rsidRPr="006157E6">
              <w:rPr>
                <w:color w:val="auto"/>
              </w:rPr>
              <w:t>The delivery, conservation and enhancement of Green Infrastructure will be achieved through the establishment of a network of green corridors and assets, having regard to the Council’s Green</w:t>
            </w:r>
            <w:r w:rsidR="00BF7431">
              <w:rPr>
                <w:color w:val="auto"/>
              </w:rPr>
              <w:t xml:space="preserve"> </w:t>
            </w:r>
            <w:r w:rsidR="00BF7431" w:rsidRPr="0036716A">
              <w:t>and Blue</w:t>
            </w:r>
            <w:r w:rsidRPr="0036716A">
              <w:t xml:space="preserve"> Infrastructure and Biodiversity </w:t>
            </w:r>
            <w:r w:rsidR="00BF7431" w:rsidRPr="0036716A">
              <w:t>Strategy</w:t>
            </w:r>
            <w:bookmarkEnd w:id="165"/>
            <w:r w:rsidR="0036716A" w:rsidRPr="0036716A">
              <w:t>.</w:t>
            </w:r>
            <w:r w:rsidRPr="0036716A">
              <w:t xml:space="preserve"> This </w:t>
            </w:r>
            <w:r w:rsidRPr="006157E6">
              <w:rPr>
                <w:color w:val="auto"/>
              </w:rPr>
              <w:t>approach requires that:</w:t>
            </w:r>
          </w:p>
          <w:p w14:paraId="78C60497" w14:textId="77777777" w:rsidR="006157E6" w:rsidRPr="006157E6" w:rsidRDefault="006157E6" w:rsidP="007C6CA4">
            <w:pPr>
              <w:keepNext w:val="0"/>
              <w:spacing w:before="0"/>
              <w:ind w:left="360"/>
              <w:contextualSpacing/>
              <w:jc w:val="left"/>
              <w:rPr>
                <w:color w:val="auto"/>
              </w:rPr>
            </w:pPr>
          </w:p>
          <w:p w14:paraId="5FAB1415" w14:textId="77777777" w:rsidR="006157E6" w:rsidRPr="006157E6" w:rsidRDefault="006157E6" w:rsidP="00874A98">
            <w:pPr>
              <w:keepNext w:val="0"/>
              <w:numPr>
                <w:ilvl w:val="0"/>
                <w:numId w:val="241"/>
              </w:numPr>
              <w:spacing w:before="0"/>
              <w:contextualSpacing/>
              <w:jc w:val="left"/>
              <w:rPr>
                <w:color w:val="auto"/>
              </w:rPr>
            </w:pPr>
            <w:r w:rsidRPr="006157E6">
              <w:rPr>
                <w:color w:val="auto"/>
              </w:rPr>
              <w:t>Existing Green Infrastructure corridors and assets are protected and enhanced to maintain the integrity of the overall Green Infrastructure network. Priority for the creation of new or enhanced strategic Green Infrastructure will be given to strategic and local links;</w:t>
            </w:r>
          </w:p>
          <w:p w14:paraId="412E53F4" w14:textId="77777777" w:rsidR="006157E6" w:rsidRPr="006157E6" w:rsidRDefault="006157E6" w:rsidP="007C6CA4">
            <w:pPr>
              <w:keepNext w:val="0"/>
              <w:spacing w:before="0"/>
              <w:ind w:left="720"/>
              <w:contextualSpacing/>
              <w:jc w:val="left"/>
              <w:rPr>
                <w:color w:val="auto"/>
              </w:rPr>
            </w:pPr>
          </w:p>
          <w:p w14:paraId="295787D1" w14:textId="77777777" w:rsidR="006157E6" w:rsidRPr="006157E6" w:rsidRDefault="006157E6" w:rsidP="00874A98">
            <w:pPr>
              <w:keepNext w:val="0"/>
              <w:numPr>
                <w:ilvl w:val="0"/>
                <w:numId w:val="241"/>
              </w:numPr>
              <w:spacing w:before="0"/>
              <w:contextualSpacing/>
              <w:jc w:val="left"/>
              <w:rPr>
                <w:color w:val="auto"/>
              </w:rPr>
            </w:pPr>
            <w:r w:rsidRPr="006157E6">
              <w:rPr>
                <w:color w:val="auto"/>
              </w:rPr>
              <w:t>Alternative scheme designs, including locations that minimise the impact on Green Infrastructure networks, should be considered before the use of mitigation (either on or off-site, as appropriate). Where new development has an adverse impact on Green Infrastructure (where no alternative is available), the need and benefit of the development will be weighed against the harm caused;</w:t>
            </w:r>
          </w:p>
          <w:p w14:paraId="1E021E0A" w14:textId="77777777" w:rsidR="006157E6" w:rsidRPr="006157E6" w:rsidRDefault="006157E6" w:rsidP="007C6CA4">
            <w:pPr>
              <w:keepNext w:val="0"/>
              <w:spacing w:before="0"/>
              <w:ind w:left="720"/>
              <w:contextualSpacing/>
              <w:jc w:val="left"/>
              <w:rPr>
                <w:color w:val="auto"/>
              </w:rPr>
            </w:pPr>
          </w:p>
          <w:p w14:paraId="5247398D" w14:textId="77777777" w:rsidR="006157E6" w:rsidRPr="007C76CF" w:rsidRDefault="006157E6" w:rsidP="00874A98">
            <w:pPr>
              <w:keepNext w:val="0"/>
              <w:numPr>
                <w:ilvl w:val="0"/>
                <w:numId w:val="241"/>
              </w:numPr>
              <w:spacing w:before="0"/>
              <w:contextualSpacing/>
              <w:jc w:val="left"/>
              <w:rPr>
                <w:color w:val="auto"/>
              </w:rPr>
            </w:pPr>
            <w:r w:rsidRPr="006157E6">
              <w:rPr>
                <w:color w:val="auto"/>
              </w:rPr>
              <w:t xml:space="preserve">Linkages between Green Infrastructure assets will be preserved, enhanced or created to improve public access and biodiversity value; </w:t>
            </w:r>
            <w:r w:rsidRPr="007C76CF">
              <w:rPr>
                <w:color w:val="auto"/>
              </w:rPr>
              <w:t>and</w:t>
            </w:r>
          </w:p>
          <w:p w14:paraId="1177C0D9" w14:textId="77777777" w:rsidR="006157E6" w:rsidRPr="006157E6" w:rsidRDefault="006157E6" w:rsidP="007C6CA4">
            <w:pPr>
              <w:keepNext w:val="0"/>
              <w:spacing w:before="0"/>
              <w:ind w:left="720"/>
              <w:contextualSpacing/>
              <w:jc w:val="left"/>
              <w:rPr>
                <w:color w:val="auto"/>
              </w:rPr>
            </w:pPr>
          </w:p>
          <w:p w14:paraId="3A2E0A84" w14:textId="77777777" w:rsidR="006157E6" w:rsidRPr="006157E6" w:rsidRDefault="006157E6" w:rsidP="00874A98">
            <w:pPr>
              <w:keepNext w:val="0"/>
              <w:numPr>
                <w:ilvl w:val="0"/>
                <w:numId w:val="241"/>
              </w:numPr>
              <w:spacing w:before="0"/>
              <w:contextualSpacing/>
              <w:jc w:val="left"/>
              <w:rPr>
                <w:color w:val="auto"/>
              </w:rPr>
            </w:pPr>
            <w:r w:rsidRPr="006157E6">
              <w:rPr>
                <w:color w:val="auto"/>
              </w:rPr>
              <w:t xml:space="preserve">New or enhanced corridors and assets should be multi-functional, where appropriate. Proposals should demonstrate which functions will be delivered through the creation or enhancement of assets.  </w:t>
            </w:r>
          </w:p>
          <w:p w14:paraId="135640F3" w14:textId="77777777" w:rsidR="006157E6" w:rsidRPr="006157E6" w:rsidRDefault="006157E6" w:rsidP="007C6CA4">
            <w:pPr>
              <w:keepNext w:val="0"/>
              <w:spacing w:before="0"/>
              <w:ind w:left="360"/>
              <w:contextualSpacing/>
              <w:jc w:val="left"/>
              <w:rPr>
                <w:color w:val="auto"/>
              </w:rPr>
            </w:pPr>
          </w:p>
          <w:p w14:paraId="6F065954" w14:textId="77777777" w:rsidR="006157E6" w:rsidRPr="000E7F65" w:rsidRDefault="006157E6" w:rsidP="007C6CA4">
            <w:pPr>
              <w:keepNext w:val="0"/>
              <w:spacing w:before="0"/>
              <w:ind w:left="360"/>
              <w:contextualSpacing/>
              <w:jc w:val="left"/>
              <w:rPr>
                <w:b/>
                <w:bCs/>
                <w:color w:val="auto"/>
              </w:rPr>
            </w:pPr>
            <w:r w:rsidRPr="000E7F65">
              <w:rPr>
                <w:b/>
                <w:bCs/>
                <w:color w:val="auto"/>
              </w:rPr>
              <w:t xml:space="preserve">Biodiversity </w:t>
            </w:r>
            <w:r w:rsidRPr="005F01A3">
              <w:rPr>
                <w:b/>
                <w:bCs/>
                <w:color w:val="auto"/>
              </w:rPr>
              <w:t>and Geodiversity</w:t>
            </w:r>
          </w:p>
          <w:p w14:paraId="40A658F5" w14:textId="35073FE0" w:rsidR="00C1301A" w:rsidRPr="002D3B1B" w:rsidRDefault="00C1301A" w:rsidP="00874A98">
            <w:pPr>
              <w:keepNext w:val="0"/>
              <w:numPr>
                <w:ilvl w:val="0"/>
                <w:numId w:val="240"/>
              </w:numPr>
              <w:spacing w:before="0"/>
              <w:contextualSpacing/>
              <w:jc w:val="left"/>
              <w:rPr>
                <w:color w:val="auto"/>
              </w:rPr>
            </w:pPr>
            <w:r w:rsidRPr="002D3B1B">
              <w:rPr>
                <w:color w:val="auto"/>
              </w:rPr>
              <w:t>All proposals for development, other than those exempted through national legislation, will be required to demonstrate and deliver a minimum of 10% biodiversity net gain,</w:t>
            </w:r>
            <w:r w:rsidR="00625A85" w:rsidRPr="002D3B1B">
              <w:rPr>
                <w:color w:val="auto"/>
              </w:rPr>
              <w:t xml:space="preserve"> </w:t>
            </w:r>
            <w:r w:rsidRPr="002D3B1B">
              <w:rPr>
                <w:color w:val="auto"/>
              </w:rPr>
              <w:t>calculated using the latest Natural England biodiversity metric (or an alternative metric set out in legislation), and taking consideration of any national or local guidance on what values should be used.</w:t>
            </w:r>
          </w:p>
          <w:p w14:paraId="5C71C0DE" w14:textId="77777777" w:rsidR="00C1301A" w:rsidRPr="002D3B1B" w:rsidRDefault="00C1301A" w:rsidP="00C1301A">
            <w:pPr>
              <w:keepNext w:val="0"/>
              <w:spacing w:before="0"/>
              <w:ind w:left="360"/>
              <w:contextualSpacing/>
              <w:jc w:val="left"/>
              <w:rPr>
                <w:color w:val="auto"/>
              </w:rPr>
            </w:pPr>
          </w:p>
          <w:p w14:paraId="619DEE6A" w14:textId="3E6FC05A" w:rsidR="006157E6" w:rsidRPr="002D3B1B" w:rsidRDefault="00C1301A" w:rsidP="00874A98">
            <w:pPr>
              <w:keepNext w:val="0"/>
              <w:numPr>
                <w:ilvl w:val="0"/>
                <w:numId w:val="240"/>
              </w:numPr>
              <w:spacing w:before="0"/>
              <w:contextualSpacing/>
              <w:jc w:val="left"/>
              <w:rPr>
                <w:color w:val="auto"/>
              </w:rPr>
            </w:pPr>
            <w:r w:rsidRPr="002D3B1B">
              <w:rPr>
                <w:color w:val="auto"/>
              </w:rPr>
              <w:t>All development proposals s</w:t>
            </w:r>
            <w:r w:rsidR="00625A85" w:rsidRPr="002D3B1B">
              <w:rPr>
                <w:color w:val="auto"/>
              </w:rPr>
              <w:t xml:space="preserve">hould avoid </w:t>
            </w:r>
            <w:r w:rsidR="006157E6" w:rsidRPr="002D3B1B">
              <w:rPr>
                <w:color w:val="auto"/>
              </w:rPr>
              <w:t>and minimise fragmentation of habitats</w:t>
            </w:r>
            <w:r w:rsidR="00903178" w:rsidRPr="002D3B1B">
              <w:rPr>
                <w:color w:val="auto"/>
              </w:rPr>
              <w:t xml:space="preserve">, and </w:t>
            </w:r>
            <w:r w:rsidR="006157E6" w:rsidRPr="002D3B1B">
              <w:rPr>
                <w:color w:val="auto"/>
              </w:rPr>
              <w:t>facilitate opportunities for the preservation, creation, restoration, enhancement and connection of priority habitats, having regard for habitats identified in the District’s Biodiversity Opportunity Maps and for the recovery of priority species</w:t>
            </w:r>
            <w:r w:rsidR="008B36CB" w:rsidRPr="002D3B1B">
              <w:rPr>
                <w:color w:val="auto"/>
              </w:rPr>
              <w:t xml:space="preserve"> and habitats</w:t>
            </w:r>
            <w:r w:rsidR="006157E6" w:rsidRPr="002D3B1B">
              <w:rPr>
                <w:color w:val="auto"/>
              </w:rPr>
              <w:t>.</w:t>
            </w:r>
          </w:p>
          <w:p w14:paraId="178FD37A" w14:textId="77777777" w:rsidR="008B36CB" w:rsidRDefault="008B36CB" w:rsidP="008B36CB">
            <w:pPr>
              <w:keepNext w:val="0"/>
              <w:spacing w:before="0"/>
              <w:ind w:left="360"/>
              <w:contextualSpacing/>
              <w:jc w:val="left"/>
              <w:rPr>
                <w:b/>
                <w:bCs/>
                <w:color w:val="auto"/>
              </w:rPr>
            </w:pPr>
          </w:p>
          <w:p w14:paraId="0A0B3C48" w14:textId="77777777" w:rsidR="006157E6" w:rsidRPr="006157E6" w:rsidRDefault="006157E6" w:rsidP="00874A98">
            <w:pPr>
              <w:keepNext w:val="0"/>
              <w:numPr>
                <w:ilvl w:val="0"/>
                <w:numId w:val="240"/>
              </w:numPr>
              <w:spacing w:before="0"/>
              <w:contextualSpacing/>
              <w:jc w:val="left"/>
              <w:rPr>
                <w:color w:val="auto"/>
              </w:rPr>
            </w:pPr>
            <w:r w:rsidRPr="006157E6">
              <w:rPr>
                <w:color w:val="auto"/>
              </w:rPr>
              <w:t>In considering development proposals affecting biodiversity and geodiversity the following will apply:</w:t>
            </w:r>
          </w:p>
          <w:p w14:paraId="6C144762" w14:textId="77777777" w:rsidR="006157E6" w:rsidRPr="006157E6" w:rsidRDefault="006157E6" w:rsidP="007C6CA4">
            <w:pPr>
              <w:keepNext w:val="0"/>
              <w:spacing w:before="0"/>
              <w:ind w:left="720"/>
              <w:contextualSpacing/>
              <w:jc w:val="left"/>
              <w:rPr>
                <w:color w:val="auto"/>
              </w:rPr>
            </w:pPr>
          </w:p>
          <w:p w14:paraId="61037865" w14:textId="77777777" w:rsidR="006157E6" w:rsidRPr="006157E6" w:rsidRDefault="006157E6" w:rsidP="00874A98">
            <w:pPr>
              <w:keepNext w:val="0"/>
              <w:numPr>
                <w:ilvl w:val="0"/>
                <w:numId w:val="242"/>
              </w:numPr>
              <w:spacing w:before="0"/>
              <w:contextualSpacing/>
              <w:jc w:val="left"/>
              <w:rPr>
                <w:color w:val="auto"/>
              </w:rPr>
            </w:pPr>
            <w:r w:rsidRPr="006157E6">
              <w:rPr>
                <w:color w:val="auto"/>
              </w:rPr>
              <w:t>Development proposals likely to have an adverse effect on, Sites of Special Scientific Interest will not normally be permitted. An exception will only be made where the benefits of the development clearly outweighs the nature conservation value of the site and the broader impact on the national network of Sites of Special Scientific Interest;</w:t>
            </w:r>
          </w:p>
          <w:p w14:paraId="5D2EAAB5" w14:textId="77777777" w:rsidR="006157E6" w:rsidRPr="006157E6" w:rsidRDefault="006157E6" w:rsidP="007C6CA4">
            <w:pPr>
              <w:keepNext w:val="0"/>
              <w:spacing w:before="0"/>
              <w:ind w:left="720"/>
              <w:contextualSpacing/>
              <w:jc w:val="left"/>
              <w:rPr>
                <w:color w:val="auto"/>
              </w:rPr>
            </w:pPr>
          </w:p>
          <w:p w14:paraId="6257D0CC" w14:textId="1F58D193" w:rsidR="006157E6" w:rsidRPr="006157E6" w:rsidRDefault="006157E6" w:rsidP="00874A98">
            <w:pPr>
              <w:keepNext w:val="0"/>
              <w:numPr>
                <w:ilvl w:val="0"/>
                <w:numId w:val="242"/>
              </w:numPr>
              <w:spacing w:before="0"/>
              <w:contextualSpacing/>
              <w:jc w:val="left"/>
              <w:rPr>
                <w:color w:val="auto"/>
              </w:rPr>
            </w:pPr>
            <w:r w:rsidRPr="00985BCC">
              <w:t>Development proposals on, or affecting, Local Wildlife Sites</w:t>
            </w:r>
            <w:r w:rsidR="00F92702" w:rsidRPr="00985BCC">
              <w:t xml:space="preserve"> (LWSs)</w:t>
            </w:r>
            <w:r w:rsidRPr="00985BCC">
              <w:t xml:space="preserve">, </w:t>
            </w:r>
            <w:r w:rsidR="003C5064" w:rsidRPr="00985BCC">
              <w:t xml:space="preserve">Local </w:t>
            </w:r>
            <w:r w:rsidR="00F92702" w:rsidRPr="00985BCC">
              <w:t>Geological Sites (</w:t>
            </w:r>
            <w:r w:rsidR="003C5064" w:rsidRPr="00985BCC">
              <w:t>LGS</w:t>
            </w:r>
            <w:r w:rsidR="004E3652">
              <w:t>s</w:t>
            </w:r>
            <w:r w:rsidR="00F92702" w:rsidRPr="00985BCC">
              <w:t xml:space="preserve">), </w:t>
            </w:r>
            <w:r w:rsidRPr="00985BCC">
              <w:t>sites supporting priority habitats, or sites supporting protected or priority species</w:t>
            </w:r>
            <w:r w:rsidRPr="006157E6">
              <w:rPr>
                <w:color w:val="auto"/>
              </w:rPr>
              <w:t>, will not normally be permitted. Development may be permitted where it is clearly demonstrated that the need for the development outweighs the adverse impact on the nature conservation value of the site;</w:t>
            </w:r>
          </w:p>
          <w:p w14:paraId="5DF2034A" w14:textId="77777777" w:rsidR="006157E6" w:rsidRPr="006157E6" w:rsidRDefault="006157E6" w:rsidP="007C6CA4">
            <w:pPr>
              <w:keepNext w:val="0"/>
              <w:spacing w:before="0"/>
              <w:ind w:left="720"/>
              <w:contextualSpacing/>
              <w:jc w:val="left"/>
              <w:rPr>
                <w:color w:val="auto"/>
              </w:rPr>
            </w:pPr>
          </w:p>
          <w:p w14:paraId="28751E47" w14:textId="6E4A2B33" w:rsidR="006157E6" w:rsidRDefault="006157E6" w:rsidP="00874A98">
            <w:pPr>
              <w:keepNext w:val="0"/>
              <w:numPr>
                <w:ilvl w:val="0"/>
                <w:numId w:val="242"/>
              </w:numPr>
              <w:spacing w:before="0"/>
              <w:contextualSpacing/>
              <w:jc w:val="left"/>
              <w:rPr>
                <w:color w:val="auto"/>
              </w:rPr>
            </w:pPr>
            <w:r w:rsidRPr="00985BCC">
              <w:t>Development proposals on, or affecting, national</w:t>
            </w:r>
            <w:r w:rsidR="003940FC" w:rsidRPr="00985BCC">
              <w:t>ly</w:t>
            </w:r>
            <w:r w:rsidRPr="00985BCC">
              <w:t xml:space="preserve"> and locally designated sites</w:t>
            </w:r>
            <w:r w:rsidR="001B0A51" w:rsidRPr="00985BCC">
              <w:t xml:space="preserve">, habitats of Principle </w:t>
            </w:r>
            <w:r w:rsidR="003940FC" w:rsidRPr="00985BCC">
              <w:t>I</w:t>
            </w:r>
            <w:r w:rsidR="001B0A51" w:rsidRPr="00985BCC">
              <w:t>mportance, and priority,</w:t>
            </w:r>
            <w:r w:rsidRPr="00985BCC">
              <w:t xml:space="preserve"> protected </w:t>
            </w:r>
            <w:r w:rsidR="001B0A51" w:rsidRPr="00985BCC">
              <w:t xml:space="preserve">or notable </w:t>
            </w:r>
            <w:r w:rsidRPr="00985BCC">
              <w:t xml:space="preserve">species shall be supported by an up to date ecological </w:t>
            </w:r>
            <w:r w:rsidR="001B0A51" w:rsidRPr="00985BCC">
              <w:t xml:space="preserve">impact </w:t>
            </w:r>
            <w:r w:rsidRPr="00985BCC">
              <w:t>assessment</w:t>
            </w:r>
            <w:r w:rsidR="001B0A51" w:rsidRPr="00985BCC">
              <w:t xml:space="preserve">. </w:t>
            </w:r>
            <w:r w:rsidRPr="00985BCC">
              <w:t xml:space="preserve"> </w:t>
            </w:r>
            <w:r w:rsidR="001B0A51" w:rsidRPr="00985BCC">
              <w:t>A</w:t>
            </w:r>
            <w:r w:rsidRPr="00985BCC">
              <w:t xml:space="preserve">ny significant harmful ecological impacts </w:t>
            </w:r>
            <w:r w:rsidR="001B0A51" w:rsidRPr="00985BCC">
              <w:t xml:space="preserve">identified will be </w:t>
            </w:r>
            <w:r w:rsidRPr="00985BCC">
              <w:t xml:space="preserve">avoided through </w:t>
            </w:r>
            <w:r w:rsidRPr="006157E6">
              <w:rPr>
                <w:color w:val="auto"/>
              </w:rPr>
              <w:t>the design layout and detailing of development, with mitigation, and as a last resort, compensation (including off-site measures), provided where they cannot be avoided</w:t>
            </w:r>
            <w:r w:rsidR="00F3555B">
              <w:rPr>
                <w:color w:val="auto"/>
              </w:rPr>
              <w:t>;</w:t>
            </w:r>
          </w:p>
          <w:p w14:paraId="7F135EE8" w14:textId="77777777" w:rsidR="003940FC" w:rsidRDefault="003940FC" w:rsidP="003940FC">
            <w:pPr>
              <w:keepNext w:val="0"/>
              <w:spacing w:before="0"/>
              <w:contextualSpacing/>
              <w:jc w:val="left"/>
              <w:rPr>
                <w:color w:val="auto"/>
              </w:rPr>
            </w:pPr>
          </w:p>
          <w:p w14:paraId="2BE63E7B" w14:textId="546A1215" w:rsidR="000E7F65" w:rsidRPr="000662E0" w:rsidRDefault="006157E6" w:rsidP="00874A98">
            <w:pPr>
              <w:keepNext w:val="0"/>
              <w:numPr>
                <w:ilvl w:val="0"/>
                <w:numId w:val="242"/>
              </w:numPr>
              <w:spacing w:before="0"/>
              <w:contextualSpacing/>
              <w:jc w:val="left"/>
              <w:rPr>
                <w:rFonts w:cs="Arial"/>
                <w:color w:val="auto"/>
                <w:szCs w:val="24"/>
              </w:rPr>
            </w:pPr>
            <w:bookmarkStart w:id="166" w:name="_Hlk79402018"/>
            <w:r w:rsidRPr="000662E0">
              <w:rPr>
                <w:color w:val="auto"/>
              </w:rPr>
              <w:t>Development proposals</w:t>
            </w:r>
            <w:r w:rsidR="006D2FF5" w:rsidRPr="000662E0">
              <w:rPr>
                <w:color w:val="auto"/>
              </w:rPr>
              <w:t>,</w:t>
            </w:r>
            <w:r w:rsidRPr="000662E0">
              <w:rPr>
                <w:color w:val="auto"/>
              </w:rPr>
              <w:t xml:space="preserve"> </w:t>
            </w:r>
            <w:r w:rsidR="000A617B" w:rsidRPr="000662E0">
              <w:rPr>
                <w:color w:val="auto"/>
              </w:rPr>
              <w:t xml:space="preserve">except for </w:t>
            </w:r>
            <w:r w:rsidR="00FA693F" w:rsidRPr="000662E0">
              <w:rPr>
                <w:color w:val="auto"/>
              </w:rPr>
              <w:t xml:space="preserve">limited </w:t>
            </w:r>
            <w:r w:rsidR="000A617B" w:rsidRPr="000662E0">
              <w:rPr>
                <w:color w:val="auto"/>
              </w:rPr>
              <w:t xml:space="preserve">exemptions, will </w:t>
            </w:r>
            <w:r w:rsidRPr="000662E0">
              <w:rPr>
                <w:color w:val="auto"/>
              </w:rPr>
              <w:t xml:space="preserve">undertake </w:t>
            </w:r>
            <w:r w:rsidRPr="000E7F65">
              <w:rPr>
                <w:color w:val="auto"/>
              </w:rPr>
              <w:t xml:space="preserve">a biodiversity assessment, using the most up-to-date </w:t>
            </w:r>
            <w:r w:rsidR="002F2DAC" w:rsidRPr="00AA13E2">
              <w:rPr>
                <w:color w:val="auto"/>
              </w:rPr>
              <w:t>D</w:t>
            </w:r>
            <w:r w:rsidR="00FA693F">
              <w:rPr>
                <w:color w:val="auto"/>
              </w:rPr>
              <w:t>EFRA</w:t>
            </w:r>
            <w:r w:rsidR="002F2DAC" w:rsidRPr="00AA13E2">
              <w:rPr>
                <w:color w:val="auto"/>
              </w:rPr>
              <w:t xml:space="preserve"> </w:t>
            </w:r>
            <w:r w:rsidRPr="00AA13E2">
              <w:rPr>
                <w:color w:val="auto"/>
              </w:rPr>
              <w:t>Biodiversity Matri</w:t>
            </w:r>
            <w:r w:rsidR="000662E0">
              <w:rPr>
                <w:color w:val="auto"/>
              </w:rPr>
              <w:t>x</w:t>
            </w:r>
            <w:r w:rsidRPr="00AA13E2">
              <w:rPr>
                <w:color w:val="auto"/>
              </w:rPr>
              <w:t xml:space="preserve">. </w:t>
            </w:r>
            <w:r w:rsidR="000E7F65" w:rsidRPr="00AA13E2">
              <w:rPr>
                <w:color w:val="auto"/>
              </w:rPr>
              <w:t xml:space="preserve">A minimum </w:t>
            </w:r>
            <w:r w:rsidR="000A617B" w:rsidRPr="000662E0">
              <w:rPr>
                <w:color w:val="auto"/>
              </w:rPr>
              <w:t xml:space="preserve">biodiversity </w:t>
            </w:r>
            <w:r w:rsidR="000E7F65" w:rsidRPr="000662E0">
              <w:rPr>
                <w:color w:val="auto"/>
              </w:rPr>
              <w:t>net gain</w:t>
            </w:r>
            <w:r w:rsidR="000A617B" w:rsidRPr="000662E0">
              <w:rPr>
                <w:color w:val="auto"/>
              </w:rPr>
              <w:t xml:space="preserve"> (BNG)</w:t>
            </w:r>
            <w:r w:rsidR="000E7F65" w:rsidRPr="000662E0">
              <w:rPr>
                <w:color w:val="auto"/>
              </w:rPr>
              <w:t xml:space="preserve"> of 10% </w:t>
            </w:r>
            <w:r w:rsidR="008B36CB" w:rsidRPr="000662E0">
              <w:rPr>
                <w:color w:val="auto"/>
              </w:rPr>
              <w:t xml:space="preserve">is mandatory. Biodiversity should be delivered on site in the first instance via habitat creation/enhancement, or by using off-site gains where necessary. As a last resort, biodiversity credits may be purchased where sufficient gains cannot be achieved on or off-site. Offsetting sites will need to </w:t>
            </w:r>
            <w:r w:rsidR="000A617B" w:rsidRPr="000662E0">
              <w:rPr>
                <w:color w:val="auto"/>
              </w:rPr>
              <w:t xml:space="preserve">be located in accordance with priority areas identified through the Nottinghamshire Biodiversity Opportunity Map (BOM) and the Local Nature Recovery Strategy (LNRS) process. </w:t>
            </w:r>
            <w:r w:rsidR="008B36CB" w:rsidRPr="000662E0">
              <w:rPr>
                <w:color w:val="auto"/>
              </w:rPr>
              <w:t xml:space="preserve">Land used to deliver BNG off-site will need to be secured for a minimum of 30 years and will be in addition to any requirements for mitigating impacts on habitats or species.  </w:t>
            </w:r>
          </w:p>
          <w:bookmarkEnd w:id="166"/>
          <w:p w14:paraId="1C5AA21E" w14:textId="1CD1728B" w:rsidR="006157E6" w:rsidRDefault="006157E6" w:rsidP="007C6CA4">
            <w:pPr>
              <w:keepNext w:val="0"/>
              <w:spacing w:before="0"/>
              <w:ind w:left="360"/>
              <w:contextualSpacing/>
              <w:jc w:val="left"/>
              <w:rPr>
                <w:color w:val="auto"/>
              </w:rPr>
            </w:pPr>
          </w:p>
          <w:p w14:paraId="07DA3871" w14:textId="309D0454" w:rsidR="006157E6" w:rsidRPr="002D3B1B" w:rsidRDefault="00FA693F" w:rsidP="00874A98">
            <w:pPr>
              <w:keepNext w:val="0"/>
              <w:numPr>
                <w:ilvl w:val="0"/>
                <w:numId w:val="240"/>
              </w:numPr>
              <w:spacing w:before="0"/>
              <w:contextualSpacing/>
              <w:jc w:val="left"/>
              <w:rPr>
                <w:strike/>
                <w:color w:val="auto"/>
              </w:rPr>
            </w:pPr>
            <w:r w:rsidRPr="002D3B1B">
              <w:rPr>
                <w:color w:val="auto"/>
              </w:rPr>
              <w:t xml:space="preserve">All development within 400m of the Sherwood Forest possible potential Special Protection Area (ppSPA) should be avoided. Exceptional circumstances where development may be permitted, would require development to demonstrate appropriate mitigation is secured to avoid or mitigate any adverse impact upon the integrity of the ppSPA.  </w:t>
            </w:r>
          </w:p>
          <w:p w14:paraId="65FB5D1B" w14:textId="77777777" w:rsidR="006157E6" w:rsidRPr="006157E6" w:rsidRDefault="006157E6" w:rsidP="007C6CA4">
            <w:pPr>
              <w:keepNext w:val="0"/>
              <w:spacing w:before="0"/>
              <w:jc w:val="left"/>
              <w:rPr>
                <w:color w:val="auto"/>
              </w:rPr>
            </w:pPr>
          </w:p>
          <w:p w14:paraId="72CD8A3D" w14:textId="4623DB3C" w:rsidR="006157E6" w:rsidRDefault="006157E6" w:rsidP="007C6CA4">
            <w:pPr>
              <w:keepNext w:val="0"/>
              <w:spacing w:before="0"/>
              <w:jc w:val="left"/>
              <w:rPr>
                <w:color w:val="auto"/>
              </w:rPr>
            </w:pPr>
            <w:r w:rsidRPr="006157E6">
              <w:rPr>
                <w:color w:val="auto"/>
              </w:rPr>
              <w:t>Designated sites including Sites of Special Scientific Interest (SSSI) and Local Nature Reserves (LNR) are listed in Appendix 6 and are identified on the Policies Map. Local Wildlife Sites (LWS</w:t>
            </w:r>
            <w:r w:rsidRPr="00985BCC">
              <w:t xml:space="preserve">) </w:t>
            </w:r>
            <w:r w:rsidR="00F92702" w:rsidRPr="00985BCC">
              <w:t xml:space="preserve">and </w:t>
            </w:r>
            <w:r w:rsidR="003C5064" w:rsidRPr="00985BCC">
              <w:t xml:space="preserve">Local </w:t>
            </w:r>
            <w:r w:rsidR="00F92702" w:rsidRPr="00985BCC">
              <w:t>Geological Sites (</w:t>
            </w:r>
            <w:r w:rsidR="003C5064" w:rsidRPr="00985BCC">
              <w:t>LGS</w:t>
            </w:r>
            <w:r w:rsidR="00F92702" w:rsidRPr="00985BCC">
              <w:t>)</w:t>
            </w:r>
            <w:r w:rsidR="000B0235" w:rsidRPr="00985BCC">
              <w:t xml:space="preserve"> </w:t>
            </w:r>
            <w:r w:rsidRPr="00985BCC">
              <w:t xml:space="preserve">are listed in Appendix 6 and are identified on the map for information purposes. This </w:t>
            </w:r>
            <w:r w:rsidRPr="006157E6">
              <w:rPr>
                <w:color w:val="auto"/>
              </w:rPr>
              <w:t xml:space="preserve">Policy will also apply to any new sites identified after the Local Plan is </w:t>
            </w:r>
            <w:r w:rsidR="009D1815" w:rsidRPr="006157E6">
              <w:rPr>
                <w:color w:val="auto"/>
              </w:rPr>
              <w:t>adopted but</w:t>
            </w:r>
            <w:r w:rsidRPr="006157E6">
              <w:rPr>
                <w:color w:val="auto"/>
              </w:rPr>
              <w:t xml:space="preserve"> will not be illustrated on the Policies Map.</w:t>
            </w:r>
          </w:p>
          <w:p w14:paraId="772FB790" w14:textId="10825397" w:rsidR="00770FDC" w:rsidRPr="006157E6" w:rsidRDefault="00770FDC" w:rsidP="007C6CA4">
            <w:pPr>
              <w:keepNext w:val="0"/>
              <w:spacing w:before="0"/>
              <w:jc w:val="left"/>
              <w:rPr>
                <w:color w:val="auto"/>
              </w:rPr>
            </w:pPr>
          </w:p>
        </w:tc>
      </w:tr>
      <w:tr w:rsidR="006157E6" w:rsidRPr="006157E6" w14:paraId="775B8759" w14:textId="77777777" w:rsidTr="006157E6">
        <w:tc>
          <w:tcPr>
            <w:tcW w:w="2243" w:type="dxa"/>
          </w:tcPr>
          <w:p w14:paraId="6CCA7445" w14:textId="77777777" w:rsidR="006157E6" w:rsidRPr="006157E6" w:rsidRDefault="006157E6" w:rsidP="000032A9">
            <w:pPr>
              <w:keepNext w:val="0"/>
              <w:spacing w:before="0"/>
              <w:jc w:val="left"/>
              <w:rPr>
                <w:color w:val="auto"/>
                <w:sz w:val="20"/>
                <w:szCs w:val="20"/>
              </w:rPr>
            </w:pPr>
            <w:r w:rsidRPr="006157E6">
              <w:rPr>
                <w:color w:val="auto"/>
                <w:sz w:val="20"/>
                <w:szCs w:val="20"/>
              </w:rPr>
              <w:t>Evidence base</w:t>
            </w:r>
          </w:p>
        </w:tc>
        <w:tc>
          <w:tcPr>
            <w:tcW w:w="7375" w:type="dxa"/>
          </w:tcPr>
          <w:p w14:paraId="585414F8" w14:textId="2326F16B" w:rsidR="006157E6" w:rsidRPr="00985BCC" w:rsidRDefault="00CF726D" w:rsidP="00874A98">
            <w:pPr>
              <w:keepNext w:val="0"/>
              <w:numPr>
                <w:ilvl w:val="0"/>
                <w:numId w:val="238"/>
              </w:numPr>
              <w:spacing w:before="0"/>
              <w:contextualSpacing/>
              <w:jc w:val="left"/>
              <w:rPr>
                <w:sz w:val="20"/>
                <w:szCs w:val="20"/>
              </w:rPr>
            </w:pPr>
            <w:r w:rsidRPr="00985BCC">
              <w:rPr>
                <w:sz w:val="20"/>
                <w:szCs w:val="20"/>
              </w:rPr>
              <w:t xml:space="preserve">Ashfield </w:t>
            </w:r>
            <w:r w:rsidR="006157E6" w:rsidRPr="00985BCC">
              <w:rPr>
                <w:sz w:val="20"/>
                <w:szCs w:val="20"/>
              </w:rPr>
              <w:t xml:space="preserve">Sustainability Appraisal, </w:t>
            </w:r>
            <w:r w:rsidR="00A86E75" w:rsidRPr="00985BCC">
              <w:rPr>
                <w:sz w:val="20"/>
                <w:szCs w:val="20"/>
              </w:rPr>
              <w:t>2</w:t>
            </w:r>
            <w:r w:rsidR="006157E6" w:rsidRPr="00985BCC">
              <w:rPr>
                <w:sz w:val="20"/>
                <w:szCs w:val="20"/>
              </w:rPr>
              <w:t>02</w:t>
            </w:r>
            <w:r w:rsidR="00A86E75" w:rsidRPr="00985BCC">
              <w:rPr>
                <w:sz w:val="20"/>
                <w:szCs w:val="20"/>
              </w:rPr>
              <w:t>3</w:t>
            </w:r>
            <w:r w:rsidR="006157E6" w:rsidRPr="00985BCC">
              <w:rPr>
                <w:sz w:val="20"/>
                <w:szCs w:val="20"/>
              </w:rPr>
              <w:t xml:space="preserve">.  </w:t>
            </w:r>
            <w:r w:rsidR="00A86E75" w:rsidRPr="00985BCC">
              <w:rPr>
                <w:sz w:val="20"/>
                <w:szCs w:val="20"/>
              </w:rPr>
              <w:t>WSP UK Limited.</w:t>
            </w:r>
          </w:p>
          <w:p w14:paraId="2CB54084" w14:textId="77777777" w:rsidR="006157E6" w:rsidRPr="00985BCC" w:rsidRDefault="006157E6" w:rsidP="00874A98">
            <w:pPr>
              <w:keepNext w:val="0"/>
              <w:numPr>
                <w:ilvl w:val="0"/>
                <w:numId w:val="238"/>
              </w:numPr>
              <w:spacing w:before="0"/>
              <w:contextualSpacing/>
              <w:jc w:val="left"/>
              <w:rPr>
                <w:sz w:val="20"/>
                <w:szCs w:val="20"/>
              </w:rPr>
            </w:pPr>
            <w:r w:rsidRPr="00985BCC">
              <w:rPr>
                <w:sz w:val="20"/>
                <w:szCs w:val="20"/>
              </w:rPr>
              <w:t>Ashfield Biodiversity Opportunity Mapping Project 2016. Notts BAG.</w:t>
            </w:r>
          </w:p>
          <w:p w14:paraId="6483A7A3" w14:textId="7FCBD67C" w:rsidR="00BF7431" w:rsidRPr="00985BCC" w:rsidRDefault="00BF7431" w:rsidP="00874A98">
            <w:pPr>
              <w:keepNext w:val="0"/>
              <w:numPr>
                <w:ilvl w:val="0"/>
                <w:numId w:val="238"/>
              </w:numPr>
              <w:spacing w:before="0"/>
              <w:contextualSpacing/>
              <w:jc w:val="left"/>
              <w:rPr>
                <w:sz w:val="20"/>
                <w:szCs w:val="20"/>
              </w:rPr>
            </w:pPr>
            <w:r w:rsidRPr="00985BCC">
              <w:rPr>
                <w:rFonts w:cs="Arial"/>
                <w:sz w:val="20"/>
              </w:rPr>
              <w:t xml:space="preserve">Ashfield Green &amp; Blue Infrastructure and Biodiversity </w:t>
            </w:r>
            <w:r w:rsidR="00E60404" w:rsidRPr="00985BCC">
              <w:rPr>
                <w:rFonts w:cs="Arial"/>
                <w:sz w:val="20"/>
              </w:rPr>
              <w:t>Strategy</w:t>
            </w:r>
            <w:r w:rsidR="005C1DB7">
              <w:rPr>
                <w:rFonts w:cs="Arial"/>
                <w:sz w:val="20"/>
              </w:rPr>
              <w:t>, 2022 - 2032</w:t>
            </w:r>
            <w:r w:rsidR="00E60404" w:rsidRPr="00985BCC">
              <w:rPr>
                <w:rFonts w:cs="Arial"/>
                <w:sz w:val="20"/>
              </w:rPr>
              <w:t>.</w:t>
            </w:r>
            <w:r w:rsidRPr="00985BCC">
              <w:rPr>
                <w:rFonts w:cs="Arial"/>
                <w:sz w:val="20"/>
              </w:rPr>
              <w:t xml:space="preserve"> Ashfield District Council</w:t>
            </w:r>
            <w:r w:rsidR="005C1DB7">
              <w:rPr>
                <w:rFonts w:cs="Arial"/>
                <w:sz w:val="20"/>
              </w:rPr>
              <w:t>.</w:t>
            </w:r>
          </w:p>
          <w:p w14:paraId="6EAC6CDF" w14:textId="77777777" w:rsidR="0046089F" w:rsidRDefault="0046089F" w:rsidP="00874A98">
            <w:pPr>
              <w:keepNext w:val="0"/>
              <w:numPr>
                <w:ilvl w:val="0"/>
                <w:numId w:val="238"/>
              </w:numPr>
              <w:spacing w:before="0"/>
              <w:contextualSpacing/>
              <w:jc w:val="left"/>
              <w:rPr>
                <w:sz w:val="20"/>
                <w:szCs w:val="20"/>
              </w:rPr>
            </w:pPr>
            <w:r w:rsidRPr="00985BCC">
              <w:rPr>
                <w:sz w:val="20"/>
                <w:szCs w:val="20"/>
              </w:rPr>
              <w:t xml:space="preserve">A Biodiversity Net Gain Framework for Nottinghamshire and Nottingham, 2023. BNG Working Group for Nottinghamshire and Nottingham. </w:t>
            </w:r>
          </w:p>
          <w:p w14:paraId="29B38859" w14:textId="77777777" w:rsidR="005C1DB7" w:rsidRDefault="005C1DB7" w:rsidP="00874A98">
            <w:pPr>
              <w:keepNext w:val="0"/>
              <w:numPr>
                <w:ilvl w:val="0"/>
                <w:numId w:val="238"/>
              </w:numPr>
              <w:spacing w:before="0"/>
              <w:contextualSpacing/>
              <w:jc w:val="left"/>
              <w:rPr>
                <w:sz w:val="20"/>
                <w:szCs w:val="20"/>
              </w:rPr>
            </w:pPr>
            <w:r>
              <w:rPr>
                <w:sz w:val="20"/>
                <w:szCs w:val="20"/>
              </w:rPr>
              <w:t>Ashfield Habitat Regulations Assessment, 2023. Lepus Consulting.</w:t>
            </w:r>
          </w:p>
          <w:p w14:paraId="4078DA4D" w14:textId="23045804" w:rsidR="005C1DB7" w:rsidRPr="00985BCC" w:rsidRDefault="005C1DB7" w:rsidP="00874A98">
            <w:pPr>
              <w:keepNext w:val="0"/>
              <w:numPr>
                <w:ilvl w:val="0"/>
                <w:numId w:val="238"/>
              </w:numPr>
              <w:spacing w:before="0"/>
              <w:contextualSpacing/>
              <w:jc w:val="left"/>
              <w:rPr>
                <w:sz w:val="20"/>
                <w:szCs w:val="20"/>
              </w:rPr>
            </w:pPr>
            <w:r>
              <w:rPr>
                <w:sz w:val="20"/>
                <w:szCs w:val="20"/>
              </w:rPr>
              <w:t xml:space="preserve">Ashfield Developer Guide to Biodiversity and Nature Conservation, 2022. Ashfield District Council. </w:t>
            </w:r>
          </w:p>
        </w:tc>
      </w:tr>
      <w:tr w:rsidR="006157E6" w:rsidRPr="006157E6" w14:paraId="0E8C8311" w14:textId="77777777" w:rsidTr="006157E6">
        <w:tc>
          <w:tcPr>
            <w:tcW w:w="2243" w:type="dxa"/>
          </w:tcPr>
          <w:p w14:paraId="0D645733" w14:textId="77777777" w:rsidR="006157E6" w:rsidRPr="006157E6" w:rsidRDefault="006157E6" w:rsidP="000032A9">
            <w:pPr>
              <w:keepNext w:val="0"/>
              <w:spacing w:before="0"/>
              <w:jc w:val="left"/>
              <w:rPr>
                <w:color w:val="auto"/>
                <w:sz w:val="20"/>
                <w:szCs w:val="20"/>
              </w:rPr>
            </w:pPr>
            <w:r w:rsidRPr="006157E6">
              <w:rPr>
                <w:color w:val="auto"/>
                <w:sz w:val="20"/>
                <w:szCs w:val="20"/>
              </w:rPr>
              <w:t xml:space="preserve">National Planning Policy &amp; Guidance </w:t>
            </w:r>
          </w:p>
        </w:tc>
        <w:tc>
          <w:tcPr>
            <w:tcW w:w="7375" w:type="dxa"/>
          </w:tcPr>
          <w:p w14:paraId="5D71E85D" w14:textId="5DB8722C" w:rsidR="006157E6" w:rsidRPr="00985BCC" w:rsidRDefault="006157E6" w:rsidP="00874A98">
            <w:pPr>
              <w:keepNext w:val="0"/>
              <w:numPr>
                <w:ilvl w:val="0"/>
                <w:numId w:val="239"/>
              </w:numPr>
              <w:spacing w:before="0"/>
              <w:contextualSpacing/>
              <w:jc w:val="left"/>
              <w:rPr>
                <w:sz w:val="20"/>
                <w:szCs w:val="20"/>
              </w:rPr>
            </w:pPr>
            <w:r w:rsidRPr="00985BCC">
              <w:rPr>
                <w:sz w:val="20"/>
                <w:szCs w:val="20"/>
              </w:rPr>
              <w:t>NPPF 202</w:t>
            </w:r>
            <w:r w:rsidR="004173E0" w:rsidRPr="00985BCC">
              <w:rPr>
                <w:sz w:val="20"/>
                <w:szCs w:val="20"/>
              </w:rPr>
              <w:t>3</w:t>
            </w:r>
            <w:r w:rsidRPr="00985BCC">
              <w:rPr>
                <w:sz w:val="20"/>
                <w:szCs w:val="20"/>
              </w:rPr>
              <w:t>, Part 2: Achieving sustainable development</w:t>
            </w:r>
          </w:p>
          <w:p w14:paraId="75EC1165" w14:textId="2902E584" w:rsidR="006157E6" w:rsidRPr="00985BCC" w:rsidRDefault="006157E6" w:rsidP="00874A98">
            <w:pPr>
              <w:keepNext w:val="0"/>
              <w:numPr>
                <w:ilvl w:val="0"/>
                <w:numId w:val="239"/>
              </w:numPr>
              <w:spacing w:before="0"/>
              <w:contextualSpacing/>
              <w:jc w:val="left"/>
              <w:rPr>
                <w:sz w:val="20"/>
                <w:szCs w:val="20"/>
              </w:rPr>
            </w:pPr>
            <w:r w:rsidRPr="00985BCC">
              <w:rPr>
                <w:sz w:val="20"/>
                <w:szCs w:val="20"/>
              </w:rPr>
              <w:t>NPPF 202</w:t>
            </w:r>
            <w:r w:rsidR="004173E0" w:rsidRPr="00985BCC">
              <w:rPr>
                <w:sz w:val="20"/>
                <w:szCs w:val="20"/>
              </w:rPr>
              <w:t>3</w:t>
            </w:r>
            <w:r w:rsidRPr="00985BCC">
              <w:rPr>
                <w:sz w:val="20"/>
                <w:szCs w:val="20"/>
              </w:rPr>
              <w:t>, Part 15: Conserving and enhancing the natural environment</w:t>
            </w:r>
          </w:p>
          <w:p w14:paraId="7C64592E" w14:textId="3189E7D4" w:rsidR="006157E6" w:rsidRPr="00985BCC" w:rsidRDefault="006157E6" w:rsidP="00874A98">
            <w:pPr>
              <w:keepNext w:val="0"/>
              <w:numPr>
                <w:ilvl w:val="0"/>
                <w:numId w:val="239"/>
              </w:numPr>
              <w:spacing w:before="0"/>
              <w:contextualSpacing/>
              <w:jc w:val="left"/>
              <w:rPr>
                <w:sz w:val="20"/>
                <w:szCs w:val="20"/>
              </w:rPr>
            </w:pPr>
            <w:r w:rsidRPr="00985BCC">
              <w:rPr>
                <w:sz w:val="20"/>
                <w:szCs w:val="20"/>
              </w:rPr>
              <w:t xml:space="preserve">Planning Practice Guidance: Open space, sports and recreational facilities, public rights of ways and local green space as of </w:t>
            </w:r>
            <w:r w:rsidR="00A86E75" w:rsidRPr="00985BCC">
              <w:rPr>
                <w:sz w:val="20"/>
                <w:szCs w:val="20"/>
              </w:rPr>
              <w:t>March 2014</w:t>
            </w:r>
            <w:r w:rsidRPr="00985BCC">
              <w:rPr>
                <w:sz w:val="20"/>
                <w:szCs w:val="20"/>
              </w:rPr>
              <w:t>.</w:t>
            </w:r>
          </w:p>
          <w:p w14:paraId="79F33DE1" w14:textId="451AD810" w:rsidR="006157E6" w:rsidRPr="00985BCC" w:rsidRDefault="006157E6" w:rsidP="00874A98">
            <w:pPr>
              <w:keepNext w:val="0"/>
              <w:numPr>
                <w:ilvl w:val="0"/>
                <w:numId w:val="239"/>
              </w:numPr>
              <w:spacing w:before="0"/>
              <w:contextualSpacing/>
              <w:jc w:val="left"/>
              <w:rPr>
                <w:sz w:val="20"/>
                <w:szCs w:val="20"/>
              </w:rPr>
            </w:pPr>
            <w:r w:rsidRPr="00985BCC">
              <w:rPr>
                <w:sz w:val="20"/>
                <w:szCs w:val="20"/>
              </w:rPr>
              <w:t xml:space="preserve">Planning Practice Guidance: Natural environment as of </w:t>
            </w:r>
            <w:r w:rsidR="00A86E75" w:rsidRPr="00985BCC">
              <w:rPr>
                <w:sz w:val="20"/>
                <w:szCs w:val="20"/>
              </w:rPr>
              <w:t>July 2019.</w:t>
            </w:r>
          </w:p>
          <w:p w14:paraId="30BE45E7" w14:textId="0399E032" w:rsidR="0049758C" w:rsidRPr="00985BCC" w:rsidRDefault="0049758C" w:rsidP="00874A98">
            <w:pPr>
              <w:keepNext w:val="0"/>
              <w:numPr>
                <w:ilvl w:val="0"/>
                <w:numId w:val="239"/>
              </w:numPr>
              <w:spacing w:before="0"/>
              <w:contextualSpacing/>
              <w:jc w:val="left"/>
              <w:rPr>
                <w:sz w:val="20"/>
                <w:szCs w:val="20"/>
              </w:rPr>
            </w:pPr>
            <w:r w:rsidRPr="00985BCC">
              <w:rPr>
                <w:rFonts w:cs="Arial"/>
                <w:sz w:val="20"/>
              </w:rPr>
              <w:t>Natural England’s Green Infrastructure Framework – Principles and Standards for England 2022</w:t>
            </w:r>
          </w:p>
        </w:tc>
      </w:tr>
    </w:tbl>
    <w:p w14:paraId="3F8CD5FA" w14:textId="77777777" w:rsidR="006157E6" w:rsidRPr="006157E6" w:rsidRDefault="006157E6" w:rsidP="006157E6">
      <w:pPr>
        <w:keepNext w:val="0"/>
        <w:spacing w:before="0" w:after="160" w:line="252" w:lineRule="auto"/>
        <w:jc w:val="both"/>
        <w:rPr>
          <w:rFonts w:eastAsia="Calibri"/>
          <w:color w:val="auto"/>
          <w:szCs w:val="22"/>
        </w:rPr>
      </w:pPr>
    </w:p>
    <w:p w14:paraId="5977551A" w14:textId="77777777" w:rsidR="006157E6" w:rsidRPr="006157E6" w:rsidRDefault="006157E6" w:rsidP="006157E6">
      <w:pPr>
        <w:keepNext w:val="0"/>
        <w:autoSpaceDE w:val="0"/>
        <w:autoSpaceDN w:val="0"/>
        <w:adjustRightInd w:val="0"/>
        <w:spacing w:before="0"/>
        <w:ind w:left="525"/>
        <w:rPr>
          <w:rFonts w:eastAsia="Arial" w:cs="Arial"/>
          <w:spacing w:val="-1"/>
        </w:rPr>
      </w:pPr>
    </w:p>
    <w:p w14:paraId="1AB5483E" w14:textId="5BDFBA86" w:rsidR="00DA17F4" w:rsidRPr="000F6F8D" w:rsidRDefault="00DA17F4" w:rsidP="000F6F8D">
      <w:pPr>
        <w:keepNext w:val="0"/>
        <w:numPr>
          <w:ilvl w:val="1"/>
          <w:numId w:val="5"/>
        </w:numPr>
        <w:tabs>
          <w:tab w:val="clear" w:pos="525"/>
          <w:tab w:val="num" w:pos="851"/>
        </w:tabs>
        <w:autoSpaceDE w:val="0"/>
        <w:autoSpaceDN w:val="0"/>
        <w:adjustRightInd w:val="0"/>
        <w:spacing w:before="0"/>
        <w:ind w:left="851" w:hanging="851"/>
        <w:rPr>
          <w:rFonts w:eastAsia="Arial" w:cs="Arial"/>
          <w:spacing w:val="-1"/>
        </w:rPr>
      </w:pPr>
      <w:r w:rsidRPr="006157E6">
        <w:rPr>
          <w:rFonts w:eastAsia="Arial" w:cs="Arial"/>
          <w:spacing w:val="-1"/>
        </w:rPr>
        <w:t xml:space="preserve">Planning applications should </w:t>
      </w:r>
      <w:r w:rsidR="000F6F8D" w:rsidRPr="006157E6">
        <w:rPr>
          <w:rFonts w:eastAsia="Arial" w:cs="Arial"/>
          <w:spacing w:val="-1"/>
        </w:rPr>
        <w:t>consider</w:t>
      </w:r>
      <w:r w:rsidRPr="006157E6">
        <w:rPr>
          <w:rFonts w:eastAsia="Arial" w:cs="Arial"/>
          <w:spacing w:val="-1"/>
        </w:rPr>
        <w:t xml:space="preserve"> at an early stage, the </w:t>
      </w:r>
      <w:r w:rsidR="00F25E41">
        <w:rPr>
          <w:rFonts w:eastAsia="Arial" w:cs="Arial"/>
          <w:spacing w:val="-1"/>
        </w:rPr>
        <w:t xml:space="preserve">Local Plan </w:t>
      </w:r>
      <w:r w:rsidRPr="006157E6">
        <w:rPr>
          <w:rFonts w:eastAsia="Arial" w:cs="Arial"/>
          <w:spacing w:val="-1"/>
        </w:rPr>
        <w:t>evidence base for green infrastructure and biodiversity</w:t>
      </w:r>
      <w:r w:rsidR="000F6F8D">
        <w:rPr>
          <w:rFonts w:eastAsia="Arial" w:cs="Arial"/>
          <w:spacing w:val="-1"/>
        </w:rPr>
        <w:t xml:space="preserve">, as well as </w:t>
      </w:r>
      <w:r w:rsidR="000F6F8D" w:rsidRPr="006157E6">
        <w:rPr>
          <w:rFonts w:eastAsia="Arial" w:cs="Arial"/>
          <w:spacing w:val="-1"/>
        </w:rPr>
        <w:t xml:space="preserve">other relevant </w:t>
      </w:r>
      <w:r w:rsidR="00F25E41">
        <w:rPr>
          <w:rFonts w:eastAsia="Arial" w:cs="Arial"/>
          <w:spacing w:val="-1"/>
        </w:rPr>
        <w:t>information</w:t>
      </w:r>
      <w:r w:rsidR="000F6F8D">
        <w:rPr>
          <w:rFonts w:eastAsia="Arial" w:cs="Arial"/>
          <w:spacing w:val="-1"/>
        </w:rPr>
        <w:t xml:space="preserve"> and </w:t>
      </w:r>
      <w:r w:rsidR="000F6F8D" w:rsidRPr="006157E6">
        <w:rPr>
          <w:rFonts w:eastAsia="Arial" w:cs="Arial"/>
          <w:spacing w:val="-1"/>
        </w:rPr>
        <w:t>maps provided by the Environment Agency and Natural England.</w:t>
      </w:r>
      <w:r w:rsidR="000F6F8D">
        <w:rPr>
          <w:rFonts w:eastAsia="Arial" w:cs="Arial"/>
          <w:spacing w:val="-1"/>
        </w:rPr>
        <w:t xml:space="preserve">  Of particular importance is the Council’s Developer Guide to Biodiversity and Nature Conservation</w:t>
      </w:r>
      <w:r w:rsidR="00F25E41">
        <w:rPr>
          <w:rStyle w:val="FootnoteReference"/>
          <w:rFonts w:eastAsia="Arial" w:cs="Arial"/>
          <w:spacing w:val="-1"/>
        </w:rPr>
        <w:footnoteReference w:id="85"/>
      </w:r>
      <w:r w:rsidR="000F6F8D">
        <w:rPr>
          <w:rFonts w:eastAsia="Arial" w:cs="Arial"/>
          <w:spacing w:val="-1"/>
        </w:rPr>
        <w:t xml:space="preserve"> 2022, which explains how the Council will aim to secure proportionate and appropriate biodiversity net gain in the determination of planning </w:t>
      </w:r>
      <w:r w:rsidR="00F25E41">
        <w:rPr>
          <w:rFonts w:eastAsia="Arial" w:cs="Arial"/>
          <w:spacing w:val="-1"/>
        </w:rPr>
        <w:t>applications and</w:t>
      </w:r>
      <w:r w:rsidR="000F6F8D">
        <w:rPr>
          <w:rFonts w:eastAsia="Arial" w:cs="Arial"/>
          <w:spacing w:val="-1"/>
        </w:rPr>
        <w:t xml:space="preserve"> provides guidance on how to plan for biodiversity and nature conservation.  </w:t>
      </w:r>
    </w:p>
    <w:p w14:paraId="37A129E5" w14:textId="77777777" w:rsidR="00DA17F4" w:rsidRPr="00DA17F4" w:rsidRDefault="00DA17F4" w:rsidP="0090254E">
      <w:pPr>
        <w:keepNext w:val="0"/>
        <w:tabs>
          <w:tab w:val="num" w:pos="851"/>
        </w:tabs>
        <w:autoSpaceDE w:val="0"/>
        <w:autoSpaceDN w:val="0"/>
        <w:adjustRightInd w:val="0"/>
        <w:spacing w:before="0"/>
        <w:ind w:left="851" w:hanging="851"/>
        <w:rPr>
          <w:rFonts w:eastAsia="Arial" w:cs="Arial"/>
          <w:spacing w:val="-1"/>
        </w:rPr>
      </w:pPr>
    </w:p>
    <w:p w14:paraId="2EE30C65" w14:textId="575F5409" w:rsidR="00F25E41" w:rsidRDefault="00F25E41" w:rsidP="00F25E41">
      <w:pPr>
        <w:keepNext w:val="0"/>
        <w:tabs>
          <w:tab w:val="num" w:pos="851"/>
        </w:tabs>
        <w:autoSpaceDE w:val="0"/>
        <w:autoSpaceDN w:val="0"/>
        <w:adjustRightInd w:val="0"/>
        <w:spacing w:before="0"/>
        <w:ind w:left="851"/>
        <w:rPr>
          <w:rFonts w:eastAsia="Arial" w:cs="Arial"/>
          <w:b/>
          <w:bCs/>
          <w:spacing w:val="-1"/>
        </w:rPr>
      </w:pPr>
    </w:p>
    <w:p w14:paraId="3CD118F3" w14:textId="7F27B2D6" w:rsidR="00DA17F4" w:rsidRDefault="00F25E41" w:rsidP="0090254E">
      <w:pPr>
        <w:keepNext w:val="0"/>
        <w:tabs>
          <w:tab w:val="num" w:pos="851"/>
        </w:tabs>
        <w:autoSpaceDE w:val="0"/>
        <w:autoSpaceDN w:val="0"/>
        <w:adjustRightInd w:val="0"/>
        <w:spacing w:before="0"/>
        <w:ind w:left="851" w:hanging="851"/>
        <w:rPr>
          <w:rFonts w:eastAsia="Arial" w:cs="Arial"/>
          <w:b/>
          <w:bCs/>
          <w:spacing w:val="-1"/>
        </w:rPr>
      </w:pPr>
      <w:r>
        <w:rPr>
          <w:rFonts w:eastAsia="Arial" w:cs="Arial"/>
          <w:b/>
          <w:bCs/>
          <w:spacing w:val="-1"/>
        </w:rPr>
        <w:tab/>
      </w:r>
      <w:r w:rsidR="00DA17F4" w:rsidRPr="00DA17F4">
        <w:rPr>
          <w:rFonts w:eastAsia="Arial" w:cs="Arial"/>
          <w:b/>
          <w:bCs/>
          <w:spacing w:val="-1"/>
        </w:rPr>
        <w:t>Green Infrastructure</w:t>
      </w:r>
    </w:p>
    <w:p w14:paraId="3CB6E530" w14:textId="09333DCD" w:rsidR="00DA17F4" w:rsidRPr="00DA17F4" w:rsidRDefault="00DA17F4" w:rsidP="0090254E">
      <w:pPr>
        <w:keepNext w:val="0"/>
        <w:numPr>
          <w:ilvl w:val="1"/>
          <w:numId w:val="5"/>
        </w:numPr>
        <w:tabs>
          <w:tab w:val="clear" w:pos="525"/>
          <w:tab w:val="num" w:pos="851"/>
        </w:tabs>
        <w:autoSpaceDE w:val="0"/>
        <w:autoSpaceDN w:val="0"/>
        <w:adjustRightInd w:val="0"/>
        <w:spacing w:before="0"/>
        <w:ind w:left="851" w:hanging="851"/>
        <w:rPr>
          <w:rFonts w:eastAsia="Arial" w:cs="Arial"/>
          <w:spacing w:val="-1"/>
        </w:rPr>
      </w:pPr>
      <w:r w:rsidRPr="00DA17F4">
        <w:rPr>
          <w:rFonts w:eastAsia="Arial" w:cs="Arial"/>
          <w:spacing w:val="-1"/>
        </w:rPr>
        <w:t xml:space="preserve">Green Infrastructure comprises networks of multi-functional green space, including green stepping stones, which sit within and contribute to, the type of high quality natural and built environment required to deliver sustainable communities. In the context of the </w:t>
      </w:r>
      <w:r w:rsidR="009D1815" w:rsidRPr="00DA17F4">
        <w:rPr>
          <w:rFonts w:eastAsia="Arial" w:cs="Arial"/>
          <w:spacing w:val="-1"/>
        </w:rPr>
        <w:t>Policy,</w:t>
      </w:r>
      <w:r w:rsidRPr="00DA17F4">
        <w:rPr>
          <w:rFonts w:eastAsia="Arial" w:cs="Arial"/>
          <w:spacing w:val="-1"/>
        </w:rPr>
        <w:t xml:space="preserve"> it includes what is sometimes referred to as blue infrastructure; that is, the river and water environment. Development should seek to create, through new and improved green infrastructure, opportunities to improve flood risk management and to deliver multiple environmental benefits to assist in meeting the aims and objectives of the England Biodiversity Strategy and Water Framework Directive (WFD). </w:t>
      </w:r>
    </w:p>
    <w:p w14:paraId="4F834425" w14:textId="77777777" w:rsidR="00DA17F4" w:rsidRPr="00DA17F4" w:rsidRDefault="00DA17F4" w:rsidP="0090254E">
      <w:pPr>
        <w:keepNext w:val="0"/>
        <w:tabs>
          <w:tab w:val="num" w:pos="851"/>
        </w:tabs>
        <w:autoSpaceDE w:val="0"/>
        <w:autoSpaceDN w:val="0"/>
        <w:adjustRightInd w:val="0"/>
        <w:spacing w:before="0"/>
        <w:ind w:left="851" w:hanging="851"/>
        <w:rPr>
          <w:rFonts w:eastAsia="Arial" w:cs="Arial"/>
          <w:spacing w:val="-1"/>
        </w:rPr>
      </w:pPr>
    </w:p>
    <w:p w14:paraId="79DA13E2" w14:textId="759593C2" w:rsidR="00DA17F4" w:rsidRPr="002E7654" w:rsidRDefault="00DA17F4" w:rsidP="0090254E">
      <w:pPr>
        <w:keepNext w:val="0"/>
        <w:numPr>
          <w:ilvl w:val="1"/>
          <w:numId w:val="5"/>
        </w:numPr>
        <w:tabs>
          <w:tab w:val="clear" w:pos="525"/>
          <w:tab w:val="num" w:pos="851"/>
        </w:tabs>
        <w:autoSpaceDE w:val="0"/>
        <w:autoSpaceDN w:val="0"/>
        <w:adjustRightInd w:val="0"/>
        <w:spacing w:before="0"/>
        <w:ind w:left="851" w:hanging="851"/>
        <w:rPr>
          <w:rFonts w:eastAsia="Arial" w:cs="Arial"/>
          <w:spacing w:val="-1"/>
        </w:rPr>
      </w:pPr>
      <w:r w:rsidRPr="00DA17F4">
        <w:rPr>
          <w:rFonts w:eastAsia="Arial" w:cs="Arial"/>
          <w:spacing w:val="-1"/>
        </w:rPr>
        <w:t>With climate change and the use of Sustainable Drainage Systems, water will need to be taken increasingly into account within the wider green infrastructure environment. Well</w:t>
      </w:r>
      <w:r w:rsidR="00E010E5">
        <w:rPr>
          <w:rFonts w:eastAsia="Arial" w:cs="Arial"/>
          <w:spacing w:val="-1"/>
        </w:rPr>
        <w:t>-</w:t>
      </w:r>
      <w:r w:rsidRPr="00DA17F4">
        <w:rPr>
          <w:rFonts w:eastAsia="Arial" w:cs="Arial"/>
          <w:spacing w:val="-1"/>
        </w:rPr>
        <w:t xml:space="preserve">designed development </w:t>
      </w:r>
      <w:r w:rsidRPr="002E7654">
        <w:rPr>
          <w:rFonts w:eastAsia="Arial" w:cs="Arial"/>
          <w:spacing w:val="-1"/>
        </w:rPr>
        <w:t xml:space="preserve">which takes water into account can potentially result in multiple benefits including </w:t>
      </w:r>
      <w:r w:rsidR="003940FC" w:rsidRPr="002E7654">
        <w:rPr>
          <w:rFonts w:eastAsia="Arial" w:cs="Arial"/>
          <w:spacing w:val="-1"/>
        </w:rPr>
        <w:t xml:space="preserve">increasing biodiversity and reducing flood risk. </w:t>
      </w:r>
    </w:p>
    <w:p w14:paraId="3E39BA24" w14:textId="77777777" w:rsidR="00DA17F4" w:rsidRPr="00DA17F4" w:rsidRDefault="00DA17F4" w:rsidP="0090254E">
      <w:pPr>
        <w:keepNext w:val="0"/>
        <w:tabs>
          <w:tab w:val="num" w:pos="851"/>
        </w:tabs>
        <w:autoSpaceDE w:val="0"/>
        <w:autoSpaceDN w:val="0"/>
        <w:adjustRightInd w:val="0"/>
        <w:spacing w:before="0"/>
        <w:ind w:left="851" w:hanging="851"/>
        <w:rPr>
          <w:rFonts w:eastAsia="Arial" w:cs="Arial"/>
          <w:spacing w:val="-1"/>
        </w:rPr>
      </w:pPr>
    </w:p>
    <w:p w14:paraId="47A6C66D" w14:textId="5A1AB947" w:rsidR="00DA17F4" w:rsidRPr="00DA17F4" w:rsidRDefault="00DA17F4" w:rsidP="0090254E">
      <w:pPr>
        <w:keepNext w:val="0"/>
        <w:numPr>
          <w:ilvl w:val="1"/>
          <w:numId w:val="5"/>
        </w:numPr>
        <w:tabs>
          <w:tab w:val="clear" w:pos="525"/>
          <w:tab w:val="num" w:pos="851"/>
        </w:tabs>
        <w:autoSpaceDE w:val="0"/>
        <w:autoSpaceDN w:val="0"/>
        <w:adjustRightInd w:val="0"/>
        <w:spacing w:before="0"/>
        <w:ind w:left="851" w:hanging="851"/>
        <w:rPr>
          <w:rFonts w:eastAsia="Arial" w:cs="Arial"/>
          <w:spacing w:val="-1"/>
        </w:rPr>
      </w:pPr>
      <w:r w:rsidRPr="00DA17F4">
        <w:rPr>
          <w:rFonts w:eastAsia="Arial" w:cs="Arial"/>
          <w:spacing w:val="-1"/>
        </w:rPr>
        <w:t xml:space="preserve">Delivering, protecting and enhancing these Green Infrastructure networks requires the creation of new assets to link with river corridors, woodlands, nature reserves, urban green spaces, historic sites and other existing assets.  Green Infrastructure planning involves the identification of strategic networks of existing and proposed green spaces or corridors, to provide benefit to both communities and wildlife. Through the management, enhancement and extension of these networks, multi-functional benefits can be realised for local communities, businesses, visitors and the environment. In some </w:t>
      </w:r>
      <w:r w:rsidR="009D1815" w:rsidRPr="00DA17F4">
        <w:rPr>
          <w:rFonts w:eastAsia="Arial" w:cs="Arial"/>
          <w:spacing w:val="-1"/>
        </w:rPr>
        <w:t>cases,</w:t>
      </w:r>
      <w:r w:rsidRPr="00DA17F4">
        <w:rPr>
          <w:rFonts w:eastAsia="Arial" w:cs="Arial"/>
          <w:spacing w:val="-1"/>
        </w:rPr>
        <w:t xml:space="preserve"> there may be a greater value for assets being uni-functional, such as where the highest priority is to protect and conserve sensitive species and habitats that might be damaged by recreational disturbance.</w:t>
      </w:r>
    </w:p>
    <w:p w14:paraId="64172B26" w14:textId="77777777" w:rsidR="00DA17F4" w:rsidRPr="00DA17F4" w:rsidRDefault="00DA17F4" w:rsidP="0090254E">
      <w:pPr>
        <w:keepNext w:val="0"/>
        <w:tabs>
          <w:tab w:val="num" w:pos="851"/>
        </w:tabs>
        <w:autoSpaceDE w:val="0"/>
        <w:autoSpaceDN w:val="0"/>
        <w:adjustRightInd w:val="0"/>
        <w:spacing w:before="0"/>
        <w:ind w:left="851" w:hanging="851"/>
        <w:rPr>
          <w:rFonts w:eastAsia="Arial" w:cs="Arial"/>
          <w:spacing w:val="-1"/>
        </w:rPr>
      </w:pPr>
    </w:p>
    <w:p w14:paraId="67DF2BB1" w14:textId="579451D5" w:rsidR="00DA17F4" w:rsidRPr="00DA17F4" w:rsidRDefault="00DA17F4" w:rsidP="0090254E">
      <w:pPr>
        <w:keepNext w:val="0"/>
        <w:numPr>
          <w:ilvl w:val="1"/>
          <w:numId w:val="5"/>
        </w:numPr>
        <w:tabs>
          <w:tab w:val="clear" w:pos="525"/>
          <w:tab w:val="num" w:pos="851"/>
        </w:tabs>
        <w:autoSpaceDE w:val="0"/>
        <w:autoSpaceDN w:val="0"/>
        <w:adjustRightInd w:val="0"/>
        <w:spacing w:before="0"/>
        <w:ind w:left="851" w:hanging="851"/>
        <w:rPr>
          <w:rFonts w:eastAsia="Arial" w:cs="Arial"/>
          <w:spacing w:val="-1"/>
        </w:rPr>
      </w:pPr>
      <w:r w:rsidRPr="00DA17F4">
        <w:rPr>
          <w:rFonts w:eastAsia="Arial" w:cs="Arial"/>
          <w:spacing w:val="-1"/>
        </w:rPr>
        <w:t xml:space="preserve">The local approach to Green Infrastructure and Biodiversity is set out in the Council’s Green </w:t>
      </w:r>
      <w:r w:rsidR="003940FC" w:rsidRPr="002E7654">
        <w:rPr>
          <w:rFonts w:eastAsia="Arial" w:cs="Arial"/>
          <w:spacing w:val="-1"/>
        </w:rPr>
        <w:t xml:space="preserve">and Blue </w:t>
      </w:r>
      <w:r w:rsidRPr="002E7654">
        <w:rPr>
          <w:rFonts w:eastAsia="Arial" w:cs="Arial"/>
          <w:spacing w:val="-1"/>
        </w:rPr>
        <w:t xml:space="preserve">Infrastructure and Biodiversity </w:t>
      </w:r>
      <w:r w:rsidR="003940FC" w:rsidRPr="002E7654">
        <w:rPr>
          <w:rFonts w:eastAsia="Arial" w:cs="Arial"/>
          <w:spacing w:val="-1"/>
        </w:rPr>
        <w:t>Strategy</w:t>
      </w:r>
      <w:r w:rsidR="00903178">
        <w:rPr>
          <w:rFonts w:eastAsia="Arial" w:cs="Arial"/>
          <w:color w:val="4472C4" w:themeColor="accent1"/>
          <w:spacing w:val="-1"/>
        </w:rPr>
        <w:t>.</w:t>
      </w:r>
      <w:r w:rsidRPr="00DA17F4">
        <w:rPr>
          <w:rFonts w:eastAsia="Arial" w:cs="Arial"/>
          <w:spacing w:val="-1"/>
        </w:rPr>
        <w:t xml:space="preserve"> This examines the connectivity of green spaces at a local level and identifies green infrastructure network opportunities and ensures that the Green Infrastructure network is protected and enhanced.</w:t>
      </w:r>
    </w:p>
    <w:p w14:paraId="779C0BCD" w14:textId="77777777" w:rsidR="00DA17F4" w:rsidRPr="00DA17F4" w:rsidRDefault="00DA17F4" w:rsidP="0090254E">
      <w:pPr>
        <w:keepNext w:val="0"/>
        <w:tabs>
          <w:tab w:val="num" w:pos="851"/>
        </w:tabs>
        <w:autoSpaceDE w:val="0"/>
        <w:autoSpaceDN w:val="0"/>
        <w:adjustRightInd w:val="0"/>
        <w:spacing w:before="0"/>
        <w:ind w:left="851" w:hanging="851"/>
        <w:rPr>
          <w:rFonts w:eastAsia="Arial" w:cs="Arial"/>
          <w:spacing w:val="-1"/>
        </w:rPr>
      </w:pPr>
    </w:p>
    <w:p w14:paraId="387DA3E5" w14:textId="76F26811" w:rsidR="00DA17F4" w:rsidRPr="00DA17F4" w:rsidRDefault="00DA17F4" w:rsidP="0090254E">
      <w:pPr>
        <w:keepNext w:val="0"/>
        <w:numPr>
          <w:ilvl w:val="1"/>
          <w:numId w:val="5"/>
        </w:numPr>
        <w:tabs>
          <w:tab w:val="clear" w:pos="525"/>
          <w:tab w:val="num" w:pos="851"/>
        </w:tabs>
        <w:autoSpaceDE w:val="0"/>
        <w:autoSpaceDN w:val="0"/>
        <w:adjustRightInd w:val="0"/>
        <w:spacing w:before="0"/>
        <w:ind w:left="851" w:hanging="851"/>
        <w:rPr>
          <w:rFonts w:eastAsia="Arial" w:cs="Arial"/>
          <w:spacing w:val="-1"/>
        </w:rPr>
      </w:pPr>
      <w:r w:rsidRPr="00DA17F4">
        <w:rPr>
          <w:rFonts w:eastAsia="Arial" w:cs="Arial"/>
          <w:spacing w:val="-1"/>
        </w:rPr>
        <w:t xml:space="preserve">New residential development will place additional demands on current Green Infrastructure assets and generate demands for new assets. In some </w:t>
      </w:r>
      <w:r w:rsidR="009D1815" w:rsidRPr="00DA17F4">
        <w:rPr>
          <w:rFonts w:eastAsia="Arial" w:cs="Arial"/>
          <w:spacing w:val="-1"/>
        </w:rPr>
        <w:t>cases,</w:t>
      </w:r>
      <w:r w:rsidRPr="00DA17F4">
        <w:rPr>
          <w:rFonts w:eastAsia="Arial" w:cs="Arial"/>
          <w:spacing w:val="-1"/>
        </w:rPr>
        <w:t xml:space="preserve"> new residential development may impact directly on Green Infrastructure corridors and assets. When considering a proposal for development, the need for development and the benefits it will bring to the area should be weighed against any negative impacts. This could include looking at whether the assets are surplus to requirements, whether the development will only impact on a small area of a major asset or corridor, or if a wider need exists for the development and there is no better location for it.  </w:t>
      </w:r>
    </w:p>
    <w:p w14:paraId="47055BBD" w14:textId="77777777" w:rsidR="00DA17F4" w:rsidRPr="00DA17F4" w:rsidRDefault="00DA17F4" w:rsidP="0090254E">
      <w:pPr>
        <w:keepNext w:val="0"/>
        <w:tabs>
          <w:tab w:val="num" w:pos="851"/>
        </w:tabs>
        <w:autoSpaceDE w:val="0"/>
        <w:autoSpaceDN w:val="0"/>
        <w:adjustRightInd w:val="0"/>
        <w:spacing w:before="0"/>
        <w:ind w:left="851" w:hanging="851"/>
        <w:rPr>
          <w:rFonts w:eastAsia="Arial" w:cs="Arial"/>
          <w:spacing w:val="-1"/>
        </w:rPr>
      </w:pPr>
    </w:p>
    <w:p w14:paraId="339D2971" w14:textId="77777777" w:rsidR="00DA17F4" w:rsidRPr="00DA17F4" w:rsidRDefault="00DA17F4" w:rsidP="0090254E">
      <w:pPr>
        <w:keepNext w:val="0"/>
        <w:numPr>
          <w:ilvl w:val="1"/>
          <w:numId w:val="5"/>
        </w:numPr>
        <w:tabs>
          <w:tab w:val="clear" w:pos="525"/>
          <w:tab w:val="num" w:pos="851"/>
        </w:tabs>
        <w:autoSpaceDE w:val="0"/>
        <w:autoSpaceDN w:val="0"/>
        <w:adjustRightInd w:val="0"/>
        <w:spacing w:before="0"/>
        <w:ind w:left="851" w:hanging="851"/>
        <w:rPr>
          <w:rFonts w:eastAsia="Arial" w:cs="Arial"/>
          <w:spacing w:val="-1"/>
        </w:rPr>
      </w:pPr>
      <w:r w:rsidRPr="00DA17F4">
        <w:rPr>
          <w:rFonts w:eastAsia="Arial" w:cs="Arial"/>
          <w:spacing w:val="-1"/>
        </w:rPr>
        <w:t xml:space="preserve">If the benefits of proposed development outweighs adverse impacts, designs that minimise negative impacts will be sought. The form and nature of proposed mitigation, whether on or off-site, will depend on the context of the site and will be determined on a case-by-case basis, with reference to the Council’s Green Infrastructure and Biodiversity Technical Paper and the Public Open Space Strategy. This will ensure that new provision relates well to the overall Green Infrastructure network, meets the locally adopted standards, and is suitable for the site. </w:t>
      </w:r>
    </w:p>
    <w:p w14:paraId="056C14BA" w14:textId="77777777" w:rsidR="00DA17F4" w:rsidRPr="00DA17F4" w:rsidRDefault="00DA17F4" w:rsidP="0090254E">
      <w:pPr>
        <w:keepNext w:val="0"/>
        <w:tabs>
          <w:tab w:val="num" w:pos="851"/>
        </w:tabs>
        <w:autoSpaceDE w:val="0"/>
        <w:autoSpaceDN w:val="0"/>
        <w:adjustRightInd w:val="0"/>
        <w:spacing w:before="0"/>
        <w:ind w:left="851" w:hanging="851"/>
        <w:rPr>
          <w:rFonts w:eastAsia="Arial" w:cs="Arial"/>
          <w:spacing w:val="-1"/>
        </w:rPr>
      </w:pPr>
    </w:p>
    <w:p w14:paraId="1E63E43C" w14:textId="734971C7" w:rsidR="00DA17F4" w:rsidRDefault="0090254E" w:rsidP="0090254E">
      <w:pPr>
        <w:keepNext w:val="0"/>
        <w:tabs>
          <w:tab w:val="num" w:pos="851"/>
        </w:tabs>
        <w:autoSpaceDE w:val="0"/>
        <w:autoSpaceDN w:val="0"/>
        <w:adjustRightInd w:val="0"/>
        <w:spacing w:before="0"/>
        <w:ind w:left="851" w:hanging="851"/>
        <w:rPr>
          <w:rFonts w:eastAsia="Arial" w:cs="Arial"/>
          <w:b/>
          <w:bCs/>
          <w:spacing w:val="-1"/>
        </w:rPr>
      </w:pPr>
      <w:r>
        <w:rPr>
          <w:rFonts w:eastAsia="Arial" w:cs="Arial"/>
          <w:b/>
          <w:bCs/>
          <w:spacing w:val="-1"/>
        </w:rPr>
        <w:tab/>
      </w:r>
      <w:r w:rsidR="00DA17F4" w:rsidRPr="00DA17F4">
        <w:rPr>
          <w:rFonts w:eastAsia="Arial" w:cs="Arial"/>
          <w:b/>
          <w:bCs/>
          <w:spacing w:val="-1"/>
        </w:rPr>
        <w:t xml:space="preserve">Biodiversity </w:t>
      </w:r>
    </w:p>
    <w:p w14:paraId="7937A244" w14:textId="77777777" w:rsidR="00DA17F4" w:rsidRPr="00DA17F4" w:rsidRDefault="00DA17F4" w:rsidP="0090254E">
      <w:pPr>
        <w:keepNext w:val="0"/>
        <w:numPr>
          <w:ilvl w:val="1"/>
          <w:numId w:val="5"/>
        </w:numPr>
        <w:tabs>
          <w:tab w:val="clear" w:pos="525"/>
          <w:tab w:val="num" w:pos="851"/>
        </w:tabs>
        <w:autoSpaceDE w:val="0"/>
        <w:autoSpaceDN w:val="0"/>
        <w:adjustRightInd w:val="0"/>
        <w:spacing w:before="0"/>
        <w:ind w:left="851" w:hanging="851"/>
        <w:rPr>
          <w:rFonts w:eastAsia="Arial" w:cs="Arial"/>
          <w:spacing w:val="-1"/>
        </w:rPr>
      </w:pPr>
      <w:r w:rsidRPr="00DA17F4">
        <w:rPr>
          <w:rFonts w:eastAsia="Arial" w:cs="Arial"/>
          <w:spacing w:val="-1"/>
        </w:rPr>
        <w:t xml:space="preserve">Ashfield is recognised as one of the most biodiverse areas in Nottinghamshire, due largely to its varied geological context of Magnesian Limestone, Triassic Sandstone (to the east) and coal measures (to the west). It is an area heavily scarred by the industrial development of recent centuries, which has both damaged and fragmented habitats, while also creating new opportunities for wildlife in the form of disturbed and restored sites. </w:t>
      </w:r>
    </w:p>
    <w:p w14:paraId="66590E0D" w14:textId="77777777" w:rsidR="00DA17F4" w:rsidRPr="00DA17F4" w:rsidRDefault="00DA17F4" w:rsidP="0090254E">
      <w:pPr>
        <w:keepNext w:val="0"/>
        <w:tabs>
          <w:tab w:val="num" w:pos="851"/>
        </w:tabs>
        <w:autoSpaceDE w:val="0"/>
        <w:autoSpaceDN w:val="0"/>
        <w:adjustRightInd w:val="0"/>
        <w:spacing w:before="0"/>
        <w:ind w:left="851" w:hanging="851"/>
        <w:rPr>
          <w:rFonts w:eastAsia="Arial" w:cs="Arial"/>
          <w:spacing w:val="-1"/>
        </w:rPr>
      </w:pPr>
    </w:p>
    <w:p w14:paraId="017CF29A" w14:textId="2FEA32E7" w:rsidR="00DA17F4" w:rsidRPr="00DA17F4" w:rsidRDefault="00DA17F4" w:rsidP="0090254E">
      <w:pPr>
        <w:keepNext w:val="0"/>
        <w:numPr>
          <w:ilvl w:val="1"/>
          <w:numId w:val="5"/>
        </w:numPr>
        <w:tabs>
          <w:tab w:val="clear" w:pos="525"/>
          <w:tab w:val="num" w:pos="851"/>
        </w:tabs>
        <w:autoSpaceDE w:val="0"/>
        <w:autoSpaceDN w:val="0"/>
        <w:adjustRightInd w:val="0"/>
        <w:spacing w:before="0"/>
        <w:ind w:left="851" w:hanging="851"/>
        <w:rPr>
          <w:rFonts w:eastAsia="Arial" w:cs="Arial"/>
          <w:spacing w:val="-1"/>
        </w:rPr>
      </w:pPr>
      <w:r w:rsidRPr="00DA17F4">
        <w:rPr>
          <w:rFonts w:eastAsia="Arial" w:cs="Arial"/>
          <w:spacing w:val="-1"/>
        </w:rPr>
        <w:t xml:space="preserve">The District supports a broad range of habitats, including heathland, ancient woodland dumbles, calcareous grasslands (often on post-industrial sites) and fields rich in </w:t>
      </w:r>
      <w:r w:rsidR="009D1815" w:rsidRPr="00DA17F4">
        <w:rPr>
          <w:rFonts w:eastAsia="Arial" w:cs="Arial"/>
          <w:spacing w:val="-1"/>
        </w:rPr>
        <w:t>wildflowers</w:t>
      </w:r>
      <w:r w:rsidRPr="00DA17F4">
        <w:rPr>
          <w:rFonts w:eastAsia="Arial" w:cs="Arial"/>
          <w:spacing w:val="-1"/>
        </w:rPr>
        <w:t xml:space="preserve">. The east is characterised by small fields and streams, while the west and south contains large blocks of tree planting. The rivers and streams within the District provide habitat for significant populations of water vole and native crayfish. </w:t>
      </w:r>
    </w:p>
    <w:p w14:paraId="3173A44F" w14:textId="77777777" w:rsidR="00DA17F4" w:rsidRPr="00DA17F4" w:rsidRDefault="00DA17F4" w:rsidP="0090254E">
      <w:pPr>
        <w:keepNext w:val="0"/>
        <w:tabs>
          <w:tab w:val="num" w:pos="851"/>
        </w:tabs>
        <w:autoSpaceDE w:val="0"/>
        <w:autoSpaceDN w:val="0"/>
        <w:adjustRightInd w:val="0"/>
        <w:spacing w:before="0"/>
        <w:ind w:left="851" w:hanging="851"/>
        <w:rPr>
          <w:rFonts w:eastAsia="Arial" w:cs="Arial"/>
          <w:spacing w:val="-1"/>
        </w:rPr>
      </w:pPr>
    </w:p>
    <w:p w14:paraId="3C73448A" w14:textId="4578AC02" w:rsidR="00DA17F4" w:rsidRDefault="00DA17F4" w:rsidP="0090254E">
      <w:pPr>
        <w:keepNext w:val="0"/>
        <w:numPr>
          <w:ilvl w:val="1"/>
          <w:numId w:val="5"/>
        </w:numPr>
        <w:tabs>
          <w:tab w:val="clear" w:pos="525"/>
          <w:tab w:val="num" w:pos="851"/>
        </w:tabs>
        <w:autoSpaceDE w:val="0"/>
        <w:autoSpaceDN w:val="0"/>
        <w:adjustRightInd w:val="0"/>
        <w:spacing w:before="0"/>
        <w:ind w:left="851" w:hanging="851"/>
        <w:rPr>
          <w:rFonts w:eastAsia="Arial" w:cs="Arial"/>
          <w:spacing w:val="-1"/>
        </w:rPr>
      </w:pPr>
      <w:r w:rsidRPr="002B3F94">
        <w:rPr>
          <w:rFonts w:eastAsia="Arial" w:cs="Arial"/>
          <w:spacing w:val="-1"/>
        </w:rPr>
        <w:t>In Nottinghamshire, m</w:t>
      </w:r>
      <w:r w:rsidR="007556D5">
        <w:rPr>
          <w:rFonts w:eastAsia="Arial" w:cs="Arial"/>
          <w:spacing w:val="-1"/>
        </w:rPr>
        <w:t>any</w:t>
      </w:r>
      <w:r w:rsidRPr="002B3F94">
        <w:rPr>
          <w:rFonts w:eastAsia="Arial" w:cs="Arial"/>
          <w:spacing w:val="-1"/>
        </w:rPr>
        <w:t xml:space="preserve"> species have been lost during the last century, with many more species and habitats at risk. These losses can have severe repercussions for complex and often fragile ecosystems and key threats have been the intensification of agriculture and the pressures for built development. In</w:t>
      </w:r>
      <w:r w:rsidRPr="00DA17F4">
        <w:rPr>
          <w:rFonts w:eastAsia="Arial" w:cs="Arial"/>
          <w:spacing w:val="-1"/>
        </w:rPr>
        <w:t xml:space="preserve"> addition, climate change poses a significant threat and some species and habitats may be at risk of dying out unless they can keep pace with the impact of a changing climate, while others may suffer from increased competition for water resources. Avoiding fragmentation of habitats is likely to be significant in enabling wildlife to adapt to climate change. </w:t>
      </w:r>
    </w:p>
    <w:p w14:paraId="5090CD50" w14:textId="77777777" w:rsidR="00FA693F" w:rsidRPr="00FA693F" w:rsidRDefault="00FA693F" w:rsidP="00FA693F">
      <w:pPr>
        <w:keepNext w:val="0"/>
        <w:autoSpaceDE w:val="0"/>
        <w:autoSpaceDN w:val="0"/>
        <w:adjustRightInd w:val="0"/>
        <w:spacing w:before="0"/>
        <w:ind w:left="851"/>
        <w:rPr>
          <w:rFonts w:eastAsia="Arial" w:cs="Arial"/>
          <w:color w:val="4472C4" w:themeColor="accent1"/>
          <w:spacing w:val="-1"/>
        </w:rPr>
      </w:pPr>
    </w:p>
    <w:p w14:paraId="51FEBBCD" w14:textId="35272D91" w:rsidR="00DA17F4" w:rsidRDefault="0090254E" w:rsidP="0090254E">
      <w:pPr>
        <w:keepNext w:val="0"/>
        <w:tabs>
          <w:tab w:val="num" w:pos="851"/>
        </w:tabs>
        <w:autoSpaceDE w:val="0"/>
        <w:autoSpaceDN w:val="0"/>
        <w:adjustRightInd w:val="0"/>
        <w:spacing w:before="0"/>
        <w:ind w:left="851" w:hanging="851"/>
        <w:rPr>
          <w:rFonts w:eastAsia="Arial" w:cs="Arial"/>
          <w:b/>
          <w:bCs/>
          <w:spacing w:val="-1"/>
        </w:rPr>
      </w:pPr>
      <w:r>
        <w:rPr>
          <w:rFonts w:eastAsia="Arial" w:cs="Arial"/>
          <w:b/>
          <w:bCs/>
          <w:spacing w:val="-1"/>
        </w:rPr>
        <w:tab/>
      </w:r>
      <w:r w:rsidR="00DA17F4" w:rsidRPr="00DA17F4">
        <w:rPr>
          <w:rFonts w:eastAsia="Arial" w:cs="Arial"/>
          <w:b/>
          <w:bCs/>
          <w:spacing w:val="-1"/>
        </w:rPr>
        <w:t>Sites of Special Scientific Interest</w:t>
      </w:r>
    </w:p>
    <w:p w14:paraId="34778C2D" w14:textId="32175807" w:rsidR="00DA17F4" w:rsidRDefault="00DA17F4" w:rsidP="0090254E">
      <w:pPr>
        <w:keepNext w:val="0"/>
        <w:numPr>
          <w:ilvl w:val="1"/>
          <w:numId w:val="5"/>
        </w:numPr>
        <w:tabs>
          <w:tab w:val="clear" w:pos="525"/>
          <w:tab w:val="num" w:pos="851"/>
        </w:tabs>
        <w:autoSpaceDE w:val="0"/>
        <w:autoSpaceDN w:val="0"/>
        <w:adjustRightInd w:val="0"/>
        <w:spacing w:before="0"/>
        <w:ind w:left="851" w:hanging="851"/>
        <w:rPr>
          <w:rFonts w:eastAsia="Arial" w:cs="Arial"/>
          <w:spacing w:val="-1"/>
        </w:rPr>
      </w:pPr>
      <w:r w:rsidRPr="00DA17F4">
        <w:rPr>
          <w:rFonts w:eastAsia="Arial" w:cs="Arial"/>
          <w:spacing w:val="-1"/>
        </w:rPr>
        <w:t xml:space="preserve">Ashfield has nine Sites of Special Scientific Interest (SSSI), representing some of the County’s richest habitats and covering 92 hectares. These are spread across the area, and based on varied geology of limestone, coal measures and sandstone. SSSIs are protected by specific legislation which includes a requirement for positive management. </w:t>
      </w:r>
    </w:p>
    <w:p w14:paraId="4498D7DD" w14:textId="369E1287" w:rsidR="000B0235" w:rsidRDefault="000B0235" w:rsidP="000B0235">
      <w:pPr>
        <w:keepNext w:val="0"/>
        <w:autoSpaceDE w:val="0"/>
        <w:autoSpaceDN w:val="0"/>
        <w:adjustRightInd w:val="0"/>
        <w:spacing w:before="0"/>
        <w:rPr>
          <w:rFonts w:eastAsia="Arial" w:cs="Arial"/>
          <w:spacing w:val="-1"/>
        </w:rPr>
      </w:pPr>
    </w:p>
    <w:p w14:paraId="7EB26965" w14:textId="213E3146" w:rsidR="000B0235" w:rsidRDefault="000B0235" w:rsidP="000B0235">
      <w:pPr>
        <w:keepNext w:val="0"/>
        <w:tabs>
          <w:tab w:val="num" w:pos="851"/>
        </w:tabs>
        <w:autoSpaceDE w:val="0"/>
        <w:autoSpaceDN w:val="0"/>
        <w:adjustRightInd w:val="0"/>
        <w:spacing w:before="0"/>
        <w:ind w:left="851" w:hanging="851"/>
        <w:rPr>
          <w:rFonts w:eastAsia="Arial" w:cs="Arial"/>
          <w:b/>
          <w:bCs/>
          <w:spacing w:val="-1"/>
        </w:rPr>
      </w:pPr>
      <w:r>
        <w:rPr>
          <w:rFonts w:eastAsia="Arial" w:cs="Arial"/>
          <w:b/>
          <w:bCs/>
          <w:spacing w:val="-1"/>
        </w:rPr>
        <w:tab/>
      </w:r>
      <w:r w:rsidRPr="00DA17F4">
        <w:rPr>
          <w:rFonts w:eastAsia="Arial" w:cs="Arial"/>
          <w:b/>
          <w:bCs/>
          <w:spacing w:val="-1"/>
        </w:rPr>
        <w:t>Local Nature Reserves</w:t>
      </w:r>
    </w:p>
    <w:p w14:paraId="1D824859" w14:textId="77777777" w:rsidR="000B0235" w:rsidRPr="00DA17F4" w:rsidRDefault="000B0235" w:rsidP="000B0235">
      <w:pPr>
        <w:keepNext w:val="0"/>
        <w:numPr>
          <w:ilvl w:val="1"/>
          <w:numId w:val="5"/>
        </w:numPr>
        <w:tabs>
          <w:tab w:val="clear" w:pos="525"/>
        </w:tabs>
        <w:autoSpaceDE w:val="0"/>
        <w:autoSpaceDN w:val="0"/>
        <w:adjustRightInd w:val="0"/>
        <w:spacing w:before="0"/>
        <w:ind w:left="851" w:hanging="851"/>
        <w:rPr>
          <w:rFonts w:eastAsia="Arial" w:cs="Arial"/>
          <w:spacing w:val="-1"/>
        </w:rPr>
      </w:pPr>
      <w:r w:rsidRPr="00DA17F4">
        <w:rPr>
          <w:rFonts w:eastAsia="Arial" w:cs="Arial"/>
          <w:spacing w:val="-1"/>
        </w:rPr>
        <w:t xml:space="preserve">Local Nature Reserves (LNR) are sites mainly under the control of the local authority, designated in consultation with Natural England to encourage public access and enjoyment of the natural environment. Ashfield currently contains four LNRs as well as one on the boundary with Nottingham City.  </w:t>
      </w:r>
    </w:p>
    <w:p w14:paraId="69398554" w14:textId="77777777" w:rsidR="000B0235" w:rsidRPr="00DA17F4" w:rsidRDefault="000B0235" w:rsidP="000B0235">
      <w:pPr>
        <w:keepNext w:val="0"/>
        <w:autoSpaceDE w:val="0"/>
        <w:autoSpaceDN w:val="0"/>
        <w:adjustRightInd w:val="0"/>
        <w:spacing w:before="0"/>
        <w:rPr>
          <w:rFonts w:eastAsia="Arial" w:cs="Arial"/>
          <w:spacing w:val="-1"/>
        </w:rPr>
      </w:pPr>
    </w:p>
    <w:p w14:paraId="42B31ED5" w14:textId="1F8E678C" w:rsidR="00DA17F4" w:rsidRDefault="0090254E" w:rsidP="0090254E">
      <w:pPr>
        <w:keepNext w:val="0"/>
        <w:tabs>
          <w:tab w:val="num" w:pos="851"/>
        </w:tabs>
        <w:autoSpaceDE w:val="0"/>
        <w:autoSpaceDN w:val="0"/>
        <w:adjustRightInd w:val="0"/>
        <w:spacing w:before="0"/>
        <w:ind w:left="851" w:hanging="851"/>
        <w:rPr>
          <w:rFonts w:eastAsia="Arial" w:cs="Arial"/>
          <w:b/>
          <w:bCs/>
          <w:spacing w:val="-1"/>
        </w:rPr>
      </w:pPr>
      <w:r>
        <w:rPr>
          <w:rFonts w:eastAsia="Arial" w:cs="Arial"/>
          <w:b/>
          <w:bCs/>
          <w:spacing w:val="-1"/>
        </w:rPr>
        <w:tab/>
      </w:r>
      <w:r w:rsidR="00DA17F4" w:rsidRPr="00DA17F4">
        <w:rPr>
          <w:rFonts w:eastAsia="Arial" w:cs="Arial"/>
          <w:b/>
          <w:bCs/>
          <w:spacing w:val="-1"/>
        </w:rPr>
        <w:t>Local Wildlife Sites</w:t>
      </w:r>
    </w:p>
    <w:p w14:paraId="737A938C" w14:textId="331564F9" w:rsidR="005D0346" w:rsidRDefault="00DA17F4" w:rsidP="005D0346">
      <w:pPr>
        <w:keepNext w:val="0"/>
        <w:numPr>
          <w:ilvl w:val="1"/>
          <w:numId w:val="5"/>
        </w:numPr>
        <w:tabs>
          <w:tab w:val="clear" w:pos="525"/>
          <w:tab w:val="num" w:pos="851"/>
        </w:tabs>
        <w:autoSpaceDE w:val="0"/>
        <w:autoSpaceDN w:val="0"/>
        <w:adjustRightInd w:val="0"/>
        <w:spacing w:before="0"/>
        <w:ind w:left="851" w:hanging="851"/>
        <w:rPr>
          <w:rFonts w:eastAsia="Arial" w:cs="Arial"/>
          <w:spacing w:val="-1"/>
        </w:rPr>
      </w:pPr>
      <w:r w:rsidRPr="00DA17F4">
        <w:rPr>
          <w:rFonts w:eastAsia="Arial" w:cs="Arial"/>
          <w:spacing w:val="-1"/>
        </w:rPr>
        <w:t xml:space="preserve">The protection and enhancement of locally designated wildlife areas such as ‘Local Wildlife Sites’ (LWS), is vital. They represent sites that are of at least County-wide importance, and form a crucial framework of ‘stepping stones’ for the migration and dispersal of species. </w:t>
      </w:r>
      <w:r w:rsidRPr="000E7F65">
        <w:rPr>
          <w:rFonts w:eastAsia="Arial" w:cs="Arial"/>
          <w:spacing w:val="-1"/>
        </w:rPr>
        <w:t>In 20</w:t>
      </w:r>
      <w:r w:rsidR="000E7F65" w:rsidRPr="000E7F65">
        <w:rPr>
          <w:rFonts w:eastAsia="Arial" w:cs="Arial"/>
          <w:spacing w:val="-1"/>
        </w:rPr>
        <w:t>21</w:t>
      </w:r>
      <w:r w:rsidRPr="000E7F65">
        <w:rPr>
          <w:rFonts w:eastAsia="Arial" w:cs="Arial"/>
          <w:spacing w:val="-1"/>
        </w:rPr>
        <w:t xml:space="preserve">, Ashfield was recorded as having </w:t>
      </w:r>
      <w:r w:rsidR="000E7F65" w:rsidRPr="000E7F65">
        <w:rPr>
          <w:rFonts w:eastAsia="Arial" w:cs="Arial"/>
          <w:spacing w:val="-1"/>
        </w:rPr>
        <w:t xml:space="preserve">217 </w:t>
      </w:r>
      <w:r w:rsidRPr="000E7F65">
        <w:rPr>
          <w:rFonts w:eastAsia="Arial" w:cs="Arial"/>
          <w:spacing w:val="-1"/>
        </w:rPr>
        <w:t>LWS</w:t>
      </w:r>
      <w:r w:rsidR="004E3652">
        <w:rPr>
          <w:rFonts w:eastAsia="Arial" w:cs="Arial"/>
          <w:spacing w:val="-1"/>
        </w:rPr>
        <w:t>s</w:t>
      </w:r>
      <w:r w:rsidRPr="000E7F65">
        <w:rPr>
          <w:rFonts w:eastAsia="Arial" w:cs="Arial"/>
          <w:spacing w:val="-1"/>
        </w:rPr>
        <w:t xml:space="preserve"> although</w:t>
      </w:r>
      <w:r w:rsidRPr="00DA17F4">
        <w:rPr>
          <w:rFonts w:eastAsia="Arial" w:cs="Arial"/>
          <w:spacing w:val="-1"/>
        </w:rPr>
        <w:t xml:space="preserve"> the number varies as new sites meeting the agreed criteria are identified while others are known to have deteriorated and may be removed. These sites are on both public and private land and are identified and surveyed by the local Biological and Geological Records Centre, based on criteria set by the Nottinghamshire LWS panel, and are subject to regular review.</w:t>
      </w:r>
    </w:p>
    <w:p w14:paraId="557CB371" w14:textId="77777777" w:rsidR="005D0346" w:rsidRDefault="005D0346" w:rsidP="005D0346">
      <w:pPr>
        <w:keepNext w:val="0"/>
        <w:autoSpaceDE w:val="0"/>
        <w:autoSpaceDN w:val="0"/>
        <w:adjustRightInd w:val="0"/>
        <w:spacing w:before="0"/>
        <w:ind w:left="851"/>
        <w:rPr>
          <w:rFonts w:eastAsia="Arial" w:cs="Arial"/>
          <w:spacing w:val="-1"/>
        </w:rPr>
      </w:pPr>
    </w:p>
    <w:p w14:paraId="1E8EFAAE" w14:textId="384DE4FF" w:rsidR="005D0346" w:rsidRDefault="005D0346" w:rsidP="005D0346">
      <w:pPr>
        <w:keepNext w:val="0"/>
        <w:autoSpaceDE w:val="0"/>
        <w:autoSpaceDN w:val="0"/>
        <w:adjustRightInd w:val="0"/>
        <w:spacing w:before="0"/>
        <w:ind w:left="851"/>
        <w:rPr>
          <w:rFonts w:eastAsia="Arial" w:cs="Arial"/>
          <w:b/>
          <w:bCs/>
          <w:spacing w:val="-1"/>
        </w:rPr>
      </w:pPr>
      <w:r>
        <w:rPr>
          <w:rFonts w:eastAsia="Arial" w:cs="Arial"/>
          <w:b/>
          <w:bCs/>
          <w:spacing w:val="-1"/>
        </w:rPr>
        <w:t>Geodiversity</w:t>
      </w:r>
    </w:p>
    <w:p w14:paraId="7964ADB3" w14:textId="22B3D79E" w:rsidR="002A6911" w:rsidRPr="005D0346" w:rsidRDefault="005D0346" w:rsidP="005E57B8">
      <w:pPr>
        <w:keepNext w:val="0"/>
        <w:numPr>
          <w:ilvl w:val="1"/>
          <w:numId w:val="5"/>
        </w:numPr>
        <w:tabs>
          <w:tab w:val="clear" w:pos="525"/>
          <w:tab w:val="num" w:pos="851"/>
        </w:tabs>
        <w:autoSpaceDE w:val="0"/>
        <w:autoSpaceDN w:val="0"/>
        <w:adjustRightInd w:val="0"/>
        <w:spacing w:before="0"/>
        <w:ind w:left="851" w:hanging="851"/>
        <w:rPr>
          <w:rFonts w:eastAsia="Arial" w:cs="Arial"/>
          <w:b/>
          <w:bCs/>
          <w:color w:val="4472C4" w:themeColor="accent1"/>
          <w:spacing w:val="-1"/>
        </w:rPr>
      </w:pPr>
      <w:r w:rsidRPr="005D0346">
        <w:rPr>
          <w:rFonts w:eastAsia="Arial" w:cs="Arial"/>
          <w:spacing w:val="-1"/>
        </w:rPr>
        <w:t>Geodiversit</w:t>
      </w:r>
      <w:r w:rsidR="005F01A3" w:rsidRPr="002E7654">
        <w:t>y is the term used to describe the variety of ancient rock, fossils, minerals, earth structures, sediments, soils and more recent landforms (depositional and erosional features) that create the foundations of physical landscapes and habitats. The recognition, management, and conservation of significant sites is important as it contributes to understanding and maintaining the natural environment, to scientific research and to teaching an understanding of the earth, as well as to leisure activities and the enhancement of green spaces. The industrial heritage of the area and building construction are closely linked to the geological resources of the area, particularly coal, clay, ironstone, sandstone and roofing flags. It is essential that geo</w:t>
      </w:r>
      <w:r w:rsidR="009B507C" w:rsidRPr="002E7654">
        <w:t>-</w:t>
      </w:r>
      <w:r w:rsidR="005F01A3" w:rsidRPr="002E7654">
        <w:t>conservation factors are taken into account in the planning process, the opportunities for educational, scientific and recreational advance are appreciated and realised and that significant features of geological interest are conserved.</w:t>
      </w:r>
    </w:p>
    <w:p w14:paraId="27D7A3D7" w14:textId="77777777" w:rsidR="002A6911" w:rsidRPr="00DA17F4" w:rsidRDefault="002A6911" w:rsidP="0090254E">
      <w:pPr>
        <w:keepNext w:val="0"/>
        <w:tabs>
          <w:tab w:val="num" w:pos="851"/>
        </w:tabs>
        <w:autoSpaceDE w:val="0"/>
        <w:autoSpaceDN w:val="0"/>
        <w:adjustRightInd w:val="0"/>
        <w:spacing w:before="0"/>
        <w:ind w:left="851" w:hanging="851"/>
        <w:rPr>
          <w:rFonts w:eastAsia="Arial" w:cs="Arial"/>
          <w:spacing w:val="-1"/>
        </w:rPr>
      </w:pPr>
    </w:p>
    <w:p w14:paraId="33BCC06C" w14:textId="4E27B3E9" w:rsidR="00DA17F4" w:rsidRPr="002E7654" w:rsidRDefault="0090254E" w:rsidP="000B0235">
      <w:pPr>
        <w:keepNext w:val="0"/>
        <w:tabs>
          <w:tab w:val="num" w:pos="851"/>
        </w:tabs>
        <w:autoSpaceDE w:val="0"/>
        <w:autoSpaceDN w:val="0"/>
        <w:adjustRightInd w:val="0"/>
        <w:spacing w:before="0"/>
        <w:ind w:left="851" w:hanging="851"/>
        <w:rPr>
          <w:rFonts w:eastAsia="Arial" w:cs="Arial"/>
          <w:b/>
          <w:bCs/>
          <w:spacing w:val="-1"/>
        </w:rPr>
      </w:pPr>
      <w:r>
        <w:rPr>
          <w:rFonts w:eastAsia="Arial" w:cs="Arial"/>
          <w:b/>
          <w:bCs/>
          <w:spacing w:val="-1"/>
        </w:rPr>
        <w:tab/>
      </w:r>
      <w:r w:rsidR="00270F75" w:rsidRPr="002E7654">
        <w:rPr>
          <w:rFonts w:eastAsia="Arial" w:cs="Arial"/>
          <w:b/>
          <w:bCs/>
          <w:spacing w:val="-1"/>
        </w:rPr>
        <w:t xml:space="preserve">Local </w:t>
      </w:r>
      <w:r w:rsidR="00DA17F4" w:rsidRPr="002E7654">
        <w:rPr>
          <w:rFonts w:eastAsia="Arial" w:cs="Arial"/>
          <w:b/>
          <w:bCs/>
          <w:spacing w:val="-1"/>
        </w:rPr>
        <w:t>Geological Sites</w:t>
      </w:r>
    </w:p>
    <w:p w14:paraId="6B2EC9AC" w14:textId="72E34D8E" w:rsidR="00DA17F4" w:rsidRPr="002E7654" w:rsidRDefault="00270F75" w:rsidP="0090254E">
      <w:pPr>
        <w:keepNext w:val="0"/>
        <w:numPr>
          <w:ilvl w:val="1"/>
          <w:numId w:val="5"/>
        </w:numPr>
        <w:tabs>
          <w:tab w:val="clear" w:pos="525"/>
          <w:tab w:val="num" w:pos="851"/>
        </w:tabs>
        <w:autoSpaceDE w:val="0"/>
        <w:autoSpaceDN w:val="0"/>
        <w:adjustRightInd w:val="0"/>
        <w:spacing w:before="0"/>
        <w:ind w:left="851" w:hanging="851"/>
        <w:rPr>
          <w:rFonts w:eastAsia="Arial" w:cs="Arial"/>
          <w:spacing w:val="-1"/>
        </w:rPr>
      </w:pPr>
      <w:r w:rsidRPr="002E7654">
        <w:rPr>
          <w:rFonts w:eastAsia="Arial" w:cs="Arial"/>
          <w:spacing w:val="-1"/>
        </w:rPr>
        <w:t xml:space="preserve">Local </w:t>
      </w:r>
      <w:r w:rsidR="00DA17F4" w:rsidRPr="002E7654">
        <w:rPr>
          <w:rFonts w:eastAsia="Arial" w:cs="Arial"/>
          <w:spacing w:val="-1"/>
        </w:rPr>
        <w:t>Geological Sites (</w:t>
      </w:r>
      <w:r w:rsidRPr="002E7654">
        <w:rPr>
          <w:rFonts w:eastAsia="Arial" w:cs="Arial"/>
          <w:spacing w:val="-1"/>
        </w:rPr>
        <w:t>LGS</w:t>
      </w:r>
      <w:r w:rsidR="004E3652">
        <w:rPr>
          <w:rFonts w:eastAsia="Arial" w:cs="Arial"/>
          <w:spacing w:val="-1"/>
        </w:rPr>
        <w:t>s</w:t>
      </w:r>
      <w:r w:rsidR="00DA17F4" w:rsidRPr="002E7654">
        <w:rPr>
          <w:rFonts w:eastAsia="Arial" w:cs="Arial"/>
          <w:spacing w:val="-1"/>
        </w:rPr>
        <w:t xml:space="preserve">) are part of a national system to raise the profile and offer some protection to sites that contain important examples of the local geology. </w:t>
      </w:r>
      <w:r w:rsidRPr="002E7654">
        <w:rPr>
          <w:rFonts w:eastAsia="Arial" w:cs="Arial"/>
          <w:spacing w:val="-1"/>
        </w:rPr>
        <w:t xml:space="preserve">At the time of writing, </w:t>
      </w:r>
      <w:r w:rsidR="00DA17F4" w:rsidRPr="002E7654">
        <w:rPr>
          <w:rFonts w:eastAsia="Arial" w:cs="Arial"/>
          <w:spacing w:val="-1"/>
        </w:rPr>
        <w:t xml:space="preserve">Ashfield has </w:t>
      </w:r>
      <w:r w:rsidR="00351C44" w:rsidRPr="002E7654">
        <w:rPr>
          <w:rFonts w:eastAsia="Arial" w:cs="Arial"/>
          <w:spacing w:val="-1"/>
        </w:rPr>
        <w:t xml:space="preserve">4 </w:t>
      </w:r>
      <w:r w:rsidR="00DA17F4" w:rsidRPr="002E7654">
        <w:rPr>
          <w:rFonts w:eastAsia="Arial" w:cs="Arial"/>
          <w:spacing w:val="-1"/>
        </w:rPr>
        <w:t xml:space="preserve">of the 133 recognised </w:t>
      </w:r>
      <w:r w:rsidRPr="002E7654">
        <w:rPr>
          <w:rFonts w:eastAsia="Arial" w:cs="Arial"/>
          <w:spacing w:val="-1"/>
        </w:rPr>
        <w:t>LGS</w:t>
      </w:r>
      <w:r w:rsidR="00C032D2">
        <w:rPr>
          <w:rFonts w:eastAsia="Arial" w:cs="Arial"/>
          <w:spacing w:val="-1"/>
        </w:rPr>
        <w:t>s</w:t>
      </w:r>
      <w:r w:rsidR="00DA17F4" w:rsidRPr="002E7654">
        <w:rPr>
          <w:rFonts w:eastAsia="Arial" w:cs="Arial"/>
          <w:spacing w:val="-1"/>
        </w:rPr>
        <w:t xml:space="preserve"> in Nottinghamshire, </w:t>
      </w:r>
      <w:r w:rsidR="00351C44" w:rsidRPr="002E7654">
        <w:rPr>
          <w:rFonts w:eastAsia="Arial" w:cs="Arial"/>
          <w:spacing w:val="-1"/>
        </w:rPr>
        <w:t xml:space="preserve">3 of </w:t>
      </w:r>
      <w:r w:rsidR="00DA17F4" w:rsidRPr="002E7654">
        <w:rPr>
          <w:rFonts w:eastAsia="Arial" w:cs="Arial"/>
          <w:spacing w:val="-1"/>
        </w:rPr>
        <w:t xml:space="preserve">which are </w:t>
      </w:r>
      <w:r w:rsidR="00351C44" w:rsidRPr="002E7654">
        <w:rPr>
          <w:rFonts w:eastAsia="Arial" w:cs="Arial"/>
          <w:spacing w:val="-1"/>
        </w:rPr>
        <w:t xml:space="preserve">also </w:t>
      </w:r>
      <w:r w:rsidR="00DA17F4" w:rsidRPr="002E7654">
        <w:rPr>
          <w:rFonts w:eastAsia="Arial" w:cs="Arial"/>
          <w:spacing w:val="-1"/>
        </w:rPr>
        <w:t>currently designated as LWS</w:t>
      </w:r>
      <w:r w:rsidR="00C032D2">
        <w:rPr>
          <w:rFonts w:eastAsia="Arial" w:cs="Arial"/>
          <w:spacing w:val="-1"/>
        </w:rPr>
        <w:t>s</w:t>
      </w:r>
      <w:r w:rsidR="00DA17F4" w:rsidRPr="002E7654">
        <w:rPr>
          <w:rFonts w:eastAsia="Arial" w:cs="Arial"/>
          <w:spacing w:val="-1"/>
        </w:rPr>
        <w:t>.</w:t>
      </w:r>
    </w:p>
    <w:p w14:paraId="7CFBAE89" w14:textId="77777777" w:rsidR="00DA17F4" w:rsidRPr="002E7654" w:rsidRDefault="00DA17F4" w:rsidP="0090254E">
      <w:pPr>
        <w:keepNext w:val="0"/>
        <w:tabs>
          <w:tab w:val="num" w:pos="851"/>
        </w:tabs>
        <w:autoSpaceDE w:val="0"/>
        <w:autoSpaceDN w:val="0"/>
        <w:adjustRightInd w:val="0"/>
        <w:spacing w:before="0"/>
        <w:ind w:left="851" w:hanging="851"/>
        <w:rPr>
          <w:rFonts w:eastAsia="Arial" w:cs="Arial"/>
          <w:spacing w:val="-1"/>
        </w:rPr>
      </w:pPr>
    </w:p>
    <w:p w14:paraId="5E63C311" w14:textId="36E98BFF" w:rsidR="00DA17F4" w:rsidRPr="002E7654" w:rsidRDefault="0090254E" w:rsidP="0090254E">
      <w:pPr>
        <w:keepNext w:val="0"/>
        <w:tabs>
          <w:tab w:val="num" w:pos="851"/>
        </w:tabs>
        <w:autoSpaceDE w:val="0"/>
        <w:autoSpaceDN w:val="0"/>
        <w:adjustRightInd w:val="0"/>
        <w:spacing w:before="0"/>
        <w:ind w:left="851" w:hanging="851"/>
        <w:rPr>
          <w:rFonts w:eastAsia="Arial" w:cs="Arial"/>
          <w:b/>
          <w:bCs/>
          <w:spacing w:val="-1"/>
        </w:rPr>
      </w:pPr>
      <w:r w:rsidRPr="002E7654">
        <w:rPr>
          <w:rFonts w:eastAsia="Arial" w:cs="Arial"/>
          <w:b/>
          <w:bCs/>
          <w:spacing w:val="-1"/>
        </w:rPr>
        <w:tab/>
      </w:r>
      <w:r w:rsidR="00DA17F4" w:rsidRPr="002E7654">
        <w:rPr>
          <w:rFonts w:eastAsia="Arial" w:cs="Arial"/>
          <w:b/>
          <w:bCs/>
          <w:spacing w:val="-1"/>
        </w:rPr>
        <w:t>Development Proposals</w:t>
      </w:r>
    </w:p>
    <w:p w14:paraId="3136C33E" w14:textId="490BCD33" w:rsidR="00217DCF" w:rsidRDefault="00DA17F4" w:rsidP="0090254E">
      <w:pPr>
        <w:keepNext w:val="0"/>
        <w:numPr>
          <w:ilvl w:val="1"/>
          <w:numId w:val="5"/>
        </w:numPr>
        <w:tabs>
          <w:tab w:val="clear" w:pos="525"/>
          <w:tab w:val="num" w:pos="851"/>
        </w:tabs>
        <w:autoSpaceDE w:val="0"/>
        <w:autoSpaceDN w:val="0"/>
        <w:adjustRightInd w:val="0"/>
        <w:spacing w:before="0"/>
        <w:ind w:left="851" w:hanging="851"/>
        <w:rPr>
          <w:rFonts w:eastAsia="Arial" w:cs="Arial"/>
          <w:spacing w:val="-1"/>
        </w:rPr>
      </w:pPr>
      <w:r w:rsidRPr="002E7654">
        <w:rPr>
          <w:rFonts w:eastAsia="Arial" w:cs="Arial"/>
          <w:spacing w:val="-1"/>
        </w:rPr>
        <w:t xml:space="preserve">All development proposals </w:t>
      </w:r>
      <w:r w:rsidR="00770FDC" w:rsidRPr="002E7654">
        <w:rPr>
          <w:rFonts w:eastAsia="Arial" w:cs="Arial"/>
          <w:spacing w:val="-1"/>
        </w:rPr>
        <w:t xml:space="preserve">need to protect and enhance </w:t>
      </w:r>
      <w:r w:rsidRPr="002E7654">
        <w:rPr>
          <w:rFonts w:eastAsia="Arial" w:cs="Arial"/>
          <w:spacing w:val="-1"/>
        </w:rPr>
        <w:t xml:space="preserve">biodiversity and </w:t>
      </w:r>
      <w:r w:rsidR="00770FDC" w:rsidRPr="002E7654">
        <w:rPr>
          <w:rFonts w:eastAsia="Arial" w:cs="Arial"/>
          <w:spacing w:val="-1"/>
        </w:rPr>
        <w:t xml:space="preserve">geodiversity </w:t>
      </w:r>
      <w:r w:rsidRPr="002E7654">
        <w:rPr>
          <w:rFonts w:eastAsia="Arial" w:cs="Arial"/>
          <w:spacing w:val="-1"/>
        </w:rPr>
        <w:t xml:space="preserve">from the outset and seek to protect features such as trees, hedgerows, ponds and woodland. Planning applications </w:t>
      </w:r>
      <w:r w:rsidRPr="00DA17F4">
        <w:rPr>
          <w:rFonts w:eastAsia="Arial" w:cs="Arial"/>
          <w:spacing w:val="-1"/>
        </w:rPr>
        <w:t xml:space="preserve">should identify how these features will be managed in the long term. </w:t>
      </w:r>
    </w:p>
    <w:p w14:paraId="7D04F85F" w14:textId="76B1D045" w:rsidR="00217DCF" w:rsidRDefault="00217DCF" w:rsidP="00217DCF">
      <w:pPr>
        <w:keepNext w:val="0"/>
        <w:autoSpaceDE w:val="0"/>
        <w:autoSpaceDN w:val="0"/>
        <w:adjustRightInd w:val="0"/>
        <w:spacing w:before="0"/>
        <w:rPr>
          <w:rFonts w:eastAsia="Arial" w:cs="Arial"/>
          <w:spacing w:val="-1"/>
        </w:rPr>
      </w:pPr>
    </w:p>
    <w:p w14:paraId="29513125" w14:textId="02DD70F6" w:rsidR="00DA17F4" w:rsidRPr="00DA17F4" w:rsidRDefault="00DA17F4" w:rsidP="0090254E">
      <w:pPr>
        <w:keepNext w:val="0"/>
        <w:numPr>
          <w:ilvl w:val="1"/>
          <w:numId w:val="5"/>
        </w:numPr>
        <w:tabs>
          <w:tab w:val="clear" w:pos="525"/>
          <w:tab w:val="num" w:pos="851"/>
        </w:tabs>
        <w:autoSpaceDE w:val="0"/>
        <w:autoSpaceDN w:val="0"/>
        <w:adjustRightInd w:val="0"/>
        <w:spacing w:before="0"/>
        <w:ind w:left="851" w:hanging="851"/>
        <w:rPr>
          <w:rFonts w:eastAsia="Arial" w:cs="Arial"/>
          <w:spacing w:val="-1"/>
        </w:rPr>
      </w:pPr>
      <w:r w:rsidRPr="00DA17F4">
        <w:rPr>
          <w:rFonts w:eastAsia="Arial" w:cs="Arial"/>
          <w:spacing w:val="-1"/>
        </w:rPr>
        <w:t xml:space="preserve">Buildings should be designed to include roosting or nesting sites, where appropriate, and include landscaping within sites and along boundaries which can provide feeding and nesting opportunities as well as acting as habitat corridors aiding the passage of wildlife between sites. Developments can enhance biodiversity by incorporate bat, </w:t>
      </w:r>
      <w:r w:rsidR="00F473CE" w:rsidRPr="002E7654">
        <w:rPr>
          <w:rFonts w:eastAsia="Arial" w:cs="Arial"/>
          <w:spacing w:val="-1"/>
        </w:rPr>
        <w:t>bee</w:t>
      </w:r>
      <w:r w:rsidR="00F473CE">
        <w:rPr>
          <w:rFonts w:eastAsia="Arial" w:cs="Arial"/>
          <w:spacing w:val="-1"/>
        </w:rPr>
        <w:t xml:space="preserve"> </w:t>
      </w:r>
      <w:r w:rsidRPr="00DA17F4">
        <w:rPr>
          <w:rFonts w:eastAsia="Arial" w:cs="Arial"/>
          <w:spacing w:val="-1"/>
        </w:rPr>
        <w:t xml:space="preserve">or bird nest bricks </w:t>
      </w:r>
      <w:r w:rsidR="009D1815" w:rsidRPr="00DA17F4">
        <w:rPr>
          <w:rFonts w:eastAsia="Arial" w:cs="Arial"/>
          <w:spacing w:val="-1"/>
        </w:rPr>
        <w:t>into</w:t>
      </w:r>
      <w:r w:rsidRPr="00DA17F4">
        <w:rPr>
          <w:rFonts w:eastAsia="Arial" w:cs="Arial"/>
          <w:spacing w:val="-1"/>
        </w:rPr>
        <w:t xml:space="preserve"> their design. These are cheap, easy to maintain and effective way of encouraging wildlife to use new buildings. Good design for biodiversity can help bring wildlife into urban areas and be of benefit for quality of life, health and wellbeing as well as contribute to achieving Biodiversity Action Plan (BAP) targets. Planting and landscape designs, where possible, should predominately consist of native plants, grown from seeds of local provenance.</w:t>
      </w:r>
    </w:p>
    <w:p w14:paraId="2AD71B5B" w14:textId="77777777" w:rsidR="00DA17F4" w:rsidRPr="00DA17F4" w:rsidRDefault="00DA17F4" w:rsidP="0090254E">
      <w:pPr>
        <w:keepNext w:val="0"/>
        <w:tabs>
          <w:tab w:val="num" w:pos="851"/>
        </w:tabs>
        <w:autoSpaceDE w:val="0"/>
        <w:autoSpaceDN w:val="0"/>
        <w:adjustRightInd w:val="0"/>
        <w:spacing w:before="0"/>
        <w:ind w:left="851" w:hanging="851"/>
        <w:rPr>
          <w:rFonts w:eastAsia="Arial" w:cs="Arial"/>
          <w:spacing w:val="-1"/>
        </w:rPr>
      </w:pPr>
    </w:p>
    <w:p w14:paraId="19412D68" w14:textId="3F3FAF20" w:rsidR="00DA17F4" w:rsidRPr="00DA17F4" w:rsidRDefault="00DA17F4" w:rsidP="0090254E">
      <w:pPr>
        <w:keepNext w:val="0"/>
        <w:numPr>
          <w:ilvl w:val="1"/>
          <w:numId w:val="5"/>
        </w:numPr>
        <w:tabs>
          <w:tab w:val="clear" w:pos="525"/>
          <w:tab w:val="num" w:pos="851"/>
        </w:tabs>
        <w:autoSpaceDE w:val="0"/>
        <w:autoSpaceDN w:val="0"/>
        <w:adjustRightInd w:val="0"/>
        <w:spacing w:before="0"/>
        <w:ind w:left="851" w:hanging="851"/>
        <w:rPr>
          <w:rFonts w:eastAsia="Arial" w:cs="Arial"/>
          <w:spacing w:val="-1"/>
        </w:rPr>
      </w:pPr>
      <w:r w:rsidRPr="00DA17F4">
        <w:rPr>
          <w:rFonts w:eastAsia="Arial" w:cs="Arial"/>
          <w:spacing w:val="-1"/>
        </w:rPr>
        <w:t xml:space="preserve">Development proposals should particularly seek to contribute towards the protection and preservation of priority habitats and species listed in Section 41 of the Natural Environment and Rural Communities Act 2006, and the objectives for priority habitats and species identified in the Nottinghamshire Biodiversity Action Plan (BAP).  Proposals should also seek the protection, enhancement and linking of areas identified in the Ashfield </w:t>
      </w:r>
      <w:r w:rsidRPr="002E7654">
        <w:rPr>
          <w:rFonts w:eastAsia="Arial" w:cs="Arial"/>
          <w:spacing w:val="-1"/>
        </w:rPr>
        <w:t>Green</w:t>
      </w:r>
      <w:r w:rsidR="005E06B1" w:rsidRPr="002E7654">
        <w:rPr>
          <w:rFonts w:eastAsia="Arial" w:cs="Arial"/>
          <w:spacing w:val="-1"/>
        </w:rPr>
        <w:t xml:space="preserve"> and Blue</w:t>
      </w:r>
      <w:r w:rsidRPr="002E7654">
        <w:rPr>
          <w:rFonts w:eastAsia="Arial" w:cs="Arial"/>
          <w:spacing w:val="-1"/>
        </w:rPr>
        <w:t xml:space="preserve"> Infrastructure and Biodiversity </w:t>
      </w:r>
      <w:r w:rsidR="005E06B1" w:rsidRPr="002E7654">
        <w:rPr>
          <w:rFonts w:eastAsia="Arial" w:cs="Arial"/>
          <w:spacing w:val="-1"/>
        </w:rPr>
        <w:t xml:space="preserve">Strategy </w:t>
      </w:r>
      <w:r w:rsidRPr="002E7654">
        <w:rPr>
          <w:rFonts w:eastAsia="Arial" w:cs="Arial"/>
          <w:spacing w:val="-1"/>
        </w:rPr>
        <w:t>the Ashfield Biodiversity Opportunity Mapping Project (BOM)</w:t>
      </w:r>
      <w:r w:rsidR="00770FDC" w:rsidRPr="002E7654">
        <w:rPr>
          <w:rFonts w:eastAsia="Arial" w:cs="Arial"/>
          <w:spacing w:val="-1"/>
        </w:rPr>
        <w:t xml:space="preserve">, the Local </w:t>
      </w:r>
      <w:r w:rsidR="005E06B1" w:rsidRPr="002E7654">
        <w:rPr>
          <w:rFonts w:eastAsia="Arial" w:cs="Arial"/>
          <w:spacing w:val="-1"/>
        </w:rPr>
        <w:t>N</w:t>
      </w:r>
      <w:r w:rsidR="00770FDC" w:rsidRPr="002E7654">
        <w:rPr>
          <w:rFonts w:eastAsia="Arial" w:cs="Arial"/>
          <w:spacing w:val="-1"/>
        </w:rPr>
        <w:t xml:space="preserve">ature Recovery Networks and </w:t>
      </w:r>
      <w:r w:rsidR="00CE1E63" w:rsidRPr="002E7654">
        <w:rPr>
          <w:rFonts w:eastAsia="Arial" w:cs="Arial"/>
          <w:spacing w:val="-1"/>
        </w:rPr>
        <w:t>Local N</w:t>
      </w:r>
      <w:r w:rsidR="00770FDC" w:rsidRPr="002E7654">
        <w:rPr>
          <w:rFonts w:eastAsia="Arial" w:cs="Arial"/>
          <w:spacing w:val="-1"/>
        </w:rPr>
        <w:t>ature Recovery St</w:t>
      </w:r>
      <w:r w:rsidR="00CE1E63" w:rsidRPr="002E7654">
        <w:rPr>
          <w:rFonts w:eastAsia="Arial" w:cs="Arial"/>
          <w:spacing w:val="-1"/>
        </w:rPr>
        <w:t>rategies</w:t>
      </w:r>
      <w:r w:rsidRPr="002E7654">
        <w:rPr>
          <w:rFonts w:eastAsia="Arial" w:cs="Arial"/>
          <w:spacing w:val="-1"/>
        </w:rPr>
        <w:t xml:space="preserve">. Proposals that could affect a site of value for biodiversity or geological conservation must be accompanied by sufficient information to assess the effects of development </w:t>
      </w:r>
      <w:r w:rsidRPr="00DA17F4">
        <w:rPr>
          <w:rFonts w:eastAsia="Arial" w:cs="Arial"/>
          <w:spacing w:val="-1"/>
        </w:rPr>
        <w:t>on protected sites, species, biodiversity or geology, together with any proposed prevention, mitigation or compensation measures.</w:t>
      </w:r>
    </w:p>
    <w:p w14:paraId="74779CDC" w14:textId="77777777" w:rsidR="00DA17F4" w:rsidRPr="00DA17F4" w:rsidRDefault="00DA17F4" w:rsidP="0090254E">
      <w:pPr>
        <w:keepNext w:val="0"/>
        <w:tabs>
          <w:tab w:val="num" w:pos="851"/>
        </w:tabs>
        <w:autoSpaceDE w:val="0"/>
        <w:autoSpaceDN w:val="0"/>
        <w:adjustRightInd w:val="0"/>
        <w:spacing w:before="0"/>
        <w:ind w:left="851" w:hanging="851"/>
        <w:rPr>
          <w:rFonts w:eastAsia="Arial" w:cs="Arial"/>
          <w:spacing w:val="-1"/>
        </w:rPr>
      </w:pPr>
    </w:p>
    <w:p w14:paraId="72F24E33" w14:textId="77777777" w:rsidR="000662E0" w:rsidRDefault="00DA17F4" w:rsidP="000662E0">
      <w:pPr>
        <w:keepNext w:val="0"/>
        <w:numPr>
          <w:ilvl w:val="1"/>
          <w:numId w:val="5"/>
        </w:numPr>
        <w:tabs>
          <w:tab w:val="clear" w:pos="525"/>
          <w:tab w:val="num" w:pos="851"/>
        </w:tabs>
        <w:autoSpaceDE w:val="0"/>
        <w:autoSpaceDN w:val="0"/>
        <w:adjustRightInd w:val="0"/>
        <w:spacing w:before="0"/>
        <w:ind w:left="851" w:hanging="851"/>
        <w:rPr>
          <w:rFonts w:eastAsia="Arial" w:cs="Arial"/>
          <w:spacing w:val="-1"/>
        </w:rPr>
      </w:pPr>
      <w:r w:rsidRPr="00DA17F4">
        <w:rPr>
          <w:rFonts w:eastAsia="Arial" w:cs="Arial"/>
          <w:spacing w:val="-1"/>
        </w:rPr>
        <w:t>It should be noted that knowledge of valuable sites and their condition is constantly changing and decisions will be based on the most up to date information available. The Nottinghamshire Biological and Geological Records Centre can provide general data for development sites, where appropriate and further information may also be available from the Nottinghamshire Wildlife Trust and any local nature groups.</w:t>
      </w:r>
      <w:bookmarkStart w:id="167" w:name="_Hlk79073146"/>
      <w:bookmarkStart w:id="168" w:name="_Hlk79410573"/>
    </w:p>
    <w:p w14:paraId="51FA7E98" w14:textId="77777777" w:rsidR="000662E0" w:rsidRDefault="000662E0" w:rsidP="000662E0">
      <w:pPr>
        <w:pStyle w:val="ListParagraph"/>
        <w:tabs>
          <w:tab w:val="num" w:pos="851"/>
        </w:tabs>
        <w:autoSpaceDE w:val="0"/>
        <w:autoSpaceDN w:val="0"/>
        <w:adjustRightInd w:val="0"/>
        <w:spacing w:after="0" w:line="240" w:lineRule="auto"/>
        <w:ind w:left="851" w:hanging="851"/>
        <w:rPr>
          <w:rFonts w:ascii="Arial" w:eastAsia="Arial" w:hAnsi="Arial" w:cs="Arial"/>
          <w:b/>
          <w:bCs/>
          <w:spacing w:val="-1"/>
        </w:rPr>
      </w:pPr>
    </w:p>
    <w:p w14:paraId="0EBF8303" w14:textId="0FCC7CC7" w:rsidR="000662E0" w:rsidRDefault="000662E0" w:rsidP="000662E0">
      <w:pPr>
        <w:pStyle w:val="ListParagraph"/>
        <w:tabs>
          <w:tab w:val="num" w:pos="851"/>
        </w:tabs>
        <w:autoSpaceDE w:val="0"/>
        <w:autoSpaceDN w:val="0"/>
        <w:adjustRightInd w:val="0"/>
        <w:spacing w:after="0" w:line="240" w:lineRule="auto"/>
        <w:ind w:left="851" w:hanging="851"/>
        <w:rPr>
          <w:rFonts w:ascii="Arial" w:eastAsia="Arial" w:hAnsi="Arial" w:cs="Arial"/>
          <w:b/>
          <w:bCs/>
          <w:spacing w:val="-1"/>
        </w:rPr>
      </w:pPr>
      <w:r>
        <w:rPr>
          <w:rFonts w:ascii="Arial" w:eastAsia="Arial" w:hAnsi="Arial" w:cs="Arial"/>
          <w:b/>
          <w:bCs/>
          <w:spacing w:val="-1"/>
        </w:rPr>
        <w:tab/>
      </w:r>
      <w:r w:rsidRPr="00E84DEC">
        <w:rPr>
          <w:rFonts w:ascii="Arial" w:eastAsia="Arial" w:hAnsi="Arial" w:cs="Arial"/>
          <w:b/>
          <w:bCs/>
          <w:spacing w:val="-1"/>
        </w:rPr>
        <w:t>Biodiversity Net Gain</w:t>
      </w:r>
    </w:p>
    <w:p w14:paraId="517856C1" w14:textId="77777777" w:rsidR="003F7348" w:rsidRPr="003F7348" w:rsidRDefault="004D073F" w:rsidP="003F7348">
      <w:pPr>
        <w:keepNext w:val="0"/>
        <w:numPr>
          <w:ilvl w:val="1"/>
          <w:numId w:val="5"/>
        </w:numPr>
        <w:tabs>
          <w:tab w:val="clear" w:pos="525"/>
          <w:tab w:val="num" w:pos="851"/>
        </w:tabs>
        <w:autoSpaceDE w:val="0"/>
        <w:autoSpaceDN w:val="0"/>
        <w:adjustRightInd w:val="0"/>
        <w:spacing w:before="0"/>
        <w:ind w:left="851" w:hanging="851"/>
        <w:rPr>
          <w:rFonts w:eastAsia="Arial" w:cs="Arial"/>
          <w:spacing w:val="-1"/>
        </w:rPr>
      </w:pPr>
      <w:r w:rsidRPr="000662E0">
        <w:rPr>
          <w:rFonts w:eastAsia="Arial" w:cs="Arial"/>
          <w:color w:val="auto"/>
          <w:spacing w:val="-1"/>
        </w:rPr>
        <w:t xml:space="preserve">The Environment Act (the Act) sets out the Government’s intention to improve air and water quality, protect wildlife, increase recycling and reduce plastic waste. A key part of the Act is to mandate </w:t>
      </w:r>
      <w:r w:rsidR="00693816" w:rsidRPr="000662E0">
        <w:rPr>
          <w:rFonts w:eastAsia="Arial" w:cs="Arial"/>
          <w:color w:val="auto"/>
          <w:spacing w:val="-1"/>
        </w:rPr>
        <w:t>b</w:t>
      </w:r>
      <w:r w:rsidRPr="000662E0">
        <w:rPr>
          <w:rFonts w:eastAsia="Arial" w:cs="Arial"/>
          <w:color w:val="auto"/>
          <w:spacing w:val="-1"/>
        </w:rPr>
        <w:t xml:space="preserve">iodiversity </w:t>
      </w:r>
      <w:r w:rsidR="00693816" w:rsidRPr="000662E0">
        <w:rPr>
          <w:rFonts w:eastAsia="Arial" w:cs="Arial"/>
          <w:color w:val="auto"/>
          <w:spacing w:val="-1"/>
        </w:rPr>
        <w:t>n</w:t>
      </w:r>
      <w:r w:rsidRPr="000662E0">
        <w:rPr>
          <w:rFonts w:eastAsia="Arial" w:cs="Arial"/>
          <w:color w:val="auto"/>
          <w:spacing w:val="-1"/>
        </w:rPr>
        <w:t xml:space="preserve">et </w:t>
      </w:r>
      <w:r w:rsidR="00693816" w:rsidRPr="000662E0">
        <w:rPr>
          <w:rFonts w:eastAsia="Arial" w:cs="Arial"/>
          <w:color w:val="auto"/>
          <w:spacing w:val="-1"/>
        </w:rPr>
        <w:t>g</w:t>
      </w:r>
      <w:r w:rsidRPr="000662E0">
        <w:rPr>
          <w:rFonts w:eastAsia="Arial" w:cs="Arial"/>
          <w:color w:val="auto"/>
          <w:spacing w:val="-1"/>
        </w:rPr>
        <w:t>ain</w:t>
      </w:r>
      <w:r w:rsidR="00693816" w:rsidRPr="000662E0">
        <w:rPr>
          <w:rFonts w:eastAsia="Arial" w:cs="Arial"/>
          <w:color w:val="auto"/>
          <w:spacing w:val="-1"/>
        </w:rPr>
        <w:t xml:space="preserve"> (BNG)</w:t>
      </w:r>
      <w:r w:rsidRPr="000662E0">
        <w:rPr>
          <w:rFonts w:eastAsia="Arial" w:cs="Arial"/>
          <w:color w:val="auto"/>
          <w:spacing w:val="-1"/>
        </w:rPr>
        <w:t xml:space="preserve"> by amending the Town &amp; Country Planning Act (TCPA). It is likely to become law in the form of BNG statutory instruments and regulations in 2023. </w:t>
      </w:r>
    </w:p>
    <w:p w14:paraId="258FB993" w14:textId="77777777" w:rsidR="003F7348" w:rsidRDefault="003F7348" w:rsidP="003F7348">
      <w:pPr>
        <w:keepNext w:val="0"/>
        <w:autoSpaceDE w:val="0"/>
        <w:autoSpaceDN w:val="0"/>
        <w:adjustRightInd w:val="0"/>
        <w:spacing w:before="0"/>
        <w:ind w:left="851"/>
        <w:rPr>
          <w:rFonts w:eastAsia="Arial" w:cs="Arial"/>
          <w:spacing w:val="-1"/>
        </w:rPr>
      </w:pPr>
    </w:p>
    <w:p w14:paraId="10B3B676" w14:textId="77777777" w:rsidR="003F7348" w:rsidRDefault="004D073F" w:rsidP="00EE7ACC">
      <w:pPr>
        <w:keepNext w:val="0"/>
        <w:numPr>
          <w:ilvl w:val="1"/>
          <w:numId w:val="5"/>
        </w:numPr>
        <w:tabs>
          <w:tab w:val="clear" w:pos="525"/>
          <w:tab w:val="num" w:pos="851"/>
        </w:tabs>
        <w:autoSpaceDE w:val="0"/>
        <w:autoSpaceDN w:val="0"/>
        <w:adjustRightInd w:val="0"/>
        <w:spacing w:before="0"/>
        <w:ind w:left="851" w:hanging="851"/>
        <w:rPr>
          <w:rFonts w:eastAsia="Arial" w:cs="Arial"/>
          <w:color w:val="auto"/>
          <w:spacing w:val="-1"/>
        </w:rPr>
      </w:pPr>
      <w:r w:rsidRPr="003F7348">
        <w:rPr>
          <w:rFonts w:eastAsia="Arial" w:cs="Arial"/>
          <w:color w:val="auto"/>
          <w:spacing w:val="-1"/>
        </w:rPr>
        <w:t xml:space="preserve">The Act sets out how the government plans to protect and improve the natural environment in the UK. It introduces a mandatory requirement for a minimum of 10% biodiversity net gain in the planning system, to “ensure that new developments enhance biodiversity and create new green spaces for local communities to enjoy”. </w:t>
      </w:r>
    </w:p>
    <w:p w14:paraId="0BBF934C" w14:textId="77777777" w:rsidR="003F7348" w:rsidRDefault="003F7348" w:rsidP="003F7348">
      <w:pPr>
        <w:keepNext w:val="0"/>
        <w:autoSpaceDE w:val="0"/>
        <w:autoSpaceDN w:val="0"/>
        <w:adjustRightInd w:val="0"/>
        <w:spacing w:before="0"/>
        <w:ind w:left="851"/>
        <w:rPr>
          <w:rFonts w:eastAsia="Arial" w:cs="Arial"/>
          <w:color w:val="auto"/>
          <w:spacing w:val="-1"/>
        </w:rPr>
      </w:pPr>
    </w:p>
    <w:p w14:paraId="73FCC7AD" w14:textId="783B086F" w:rsidR="004D073F" w:rsidRPr="003F7348" w:rsidRDefault="004D073F" w:rsidP="00EE7ACC">
      <w:pPr>
        <w:keepNext w:val="0"/>
        <w:numPr>
          <w:ilvl w:val="1"/>
          <w:numId w:val="5"/>
        </w:numPr>
        <w:tabs>
          <w:tab w:val="clear" w:pos="525"/>
          <w:tab w:val="num" w:pos="851"/>
        </w:tabs>
        <w:autoSpaceDE w:val="0"/>
        <w:autoSpaceDN w:val="0"/>
        <w:adjustRightInd w:val="0"/>
        <w:spacing w:before="0"/>
        <w:ind w:left="851" w:hanging="851"/>
        <w:rPr>
          <w:rFonts w:eastAsia="Arial" w:cs="Arial"/>
          <w:color w:val="auto"/>
          <w:spacing w:val="-1"/>
        </w:rPr>
      </w:pPr>
      <w:r w:rsidRPr="003F7348">
        <w:rPr>
          <w:rFonts w:eastAsia="Arial" w:cs="Arial"/>
          <w:color w:val="auto"/>
          <w:spacing w:val="-1"/>
        </w:rPr>
        <w:t xml:space="preserve">The Act </w:t>
      </w:r>
      <w:r w:rsidR="002E7654" w:rsidRPr="003F7348">
        <w:rPr>
          <w:rFonts w:eastAsia="Arial" w:cs="Arial"/>
          <w:color w:val="auto"/>
          <w:spacing w:val="-1"/>
        </w:rPr>
        <w:t xml:space="preserve">also </w:t>
      </w:r>
      <w:r w:rsidRPr="003F7348">
        <w:rPr>
          <w:rFonts w:eastAsia="Arial" w:cs="Arial"/>
          <w:color w:val="auto"/>
          <w:spacing w:val="-1"/>
        </w:rPr>
        <w:t>introduces the concept of a national Nature Recovery Network (NRN) and the development of Local Nature Recovery Strategies (LNRS) across England.</w:t>
      </w:r>
    </w:p>
    <w:p w14:paraId="5D126B85" w14:textId="77777777" w:rsidR="00E84DEC" w:rsidRPr="000662E0" w:rsidRDefault="00E84DEC" w:rsidP="0090254E">
      <w:pPr>
        <w:keepNext w:val="0"/>
        <w:tabs>
          <w:tab w:val="num" w:pos="851"/>
        </w:tabs>
        <w:autoSpaceDE w:val="0"/>
        <w:autoSpaceDN w:val="0"/>
        <w:adjustRightInd w:val="0"/>
        <w:spacing w:before="0"/>
        <w:ind w:left="851" w:hanging="851"/>
        <w:rPr>
          <w:rFonts w:eastAsia="Arial" w:cs="Arial"/>
          <w:color w:val="auto"/>
          <w:spacing w:val="-1"/>
        </w:rPr>
      </w:pPr>
    </w:p>
    <w:p w14:paraId="26B3A6DC" w14:textId="112DF9CF" w:rsidR="00E84DEC" w:rsidRPr="00AA13E2" w:rsidRDefault="00E84DEC" w:rsidP="0090254E">
      <w:pPr>
        <w:keepNext w:val="0"/>
        <w:numPr>
          <w:ilvl w:val="1"/>
          <w:numId w:val="5"/>
        </w:numPr>
        <w:tabs>
          <w:tab w:val="clear" w:pos="525"/>
          <w:tab w:val="num" w:pos="851"/>
        </w:tabs>
        <w:autoSpaceDE w:val="0"/>
        <w:autoSpaceDN w:val="0"/>
        <w:adjustRightInd w:val="0"/>
        <w:spacing w:before="0"/>
        <w:ind w:left="851" w:hanging="851"/>
        <w:rPr>
          <w:rFonts w:eastAsia="Arial" w:cs="Arial"/>
          <w:color w:val="auto"/>
          <w:spacing w:val="-1"/>
        </w:rPr>
      </w:pPr>
      <w:r w:rsidRPr="003733F2">
        <w:rPr>
          <w:rFonts w:eastAsia="Arial" w:cs="Arial"/>
          <w:color w:val="auto"/>
          <w:spacing w:val="-1"/>
        </w:rPr>
        <w:t xml:space="preserve">It can be challenging to establish new habitats, and this will be taken into account when assessing the appropriateness of proposed mitigation measures. It is essential that the most important and irreplaceable habitats in the district, such as ancient woodland, are protected, so mitigation rather than retention will not be appropriate in </w:t>
      </w:r>
      <w:r w:rsidRPr="00AA13E2">
        <w:rPr>
          <w:rFonts w:eastAsia="Arial" w:cs="Arial"/>
          <w:color w:val="auto"/>
          <w:spacing w:val="-1"/>
        </w:rPr>
        <w:t xml:space="preserve">some circumstances. It will also be important to ensure that invasive species such as Japanese </w:t>
      </w:r>
      <w:r w:rsidR="005E06B1">
        <w:rPr>
          <w:rFonts w:eastAsia="Arial" w:cs="Arial"/>
          <w:color w:val="auto"/>
          <w:spacing w:val="-1"/>
        </w:rPr>
        <w:t>k</w:t>
      </w:r>
      <w:r w:rsidRPr="00AA13E2">
        <w:rPr>
          <w:rFonts w:eastAsia="Arial" w:cs="Arial"/>
          <w:color w:val="auto"/>
          <w:spacing w:val="-1"/>
        </w:rPr>
        <w:t>notweed are controlled.</w:t>
      </w:r>
    </w:p>
    <w:p w14:paraId="5514FBB8" w14:textId="77777777" w:rsidR="00E84DEC" w:rsidRPr="00AA13E2" w:rsidRDefault="00E84DEC" w:rsidP="0090254E">
      <w:pPr>
        <w:keepNext w:val="0"/>
        <w:tabs>
          <w:tab w:val="num" w:pos="851"/>
        </w:tabs>
        <w:autoSpaceDE w:val="0"/>
        <w:autoSpaceDN w:val="0"/>
        <w:adjustRightInd w:val="0"/>
        <w:spacing w:before="0"/>
        <w:ind w:left="851" w:hanging="851"/>
        <w:rPr>
          <w:rFonts w:eastAsia="Arial" w:cs="Arial"/>
          <w:color w:val="auto"/>
          <w:spacing w:val="-1"/>
        </w:rPr>
      </w:pPr>
    </w:p>
    <w:p w14:paraId="36938E5C" w14:textId="68EB7B03" w:rsidR="005E06B1" w:rsidRPr="002E7654" w:rsidRDefault="00E84DEC" w:rsidP="005E06B1">
      <w:pPr>
        <w:keepNext w:val="0"/>
        <w:numPr>
          <w:ilvl w:val="1"/>
          <w:numId w:val="5"/>
        </w:numPr>
        <w:tabs>
          <w:tab w:val="clear" w:pos="525"/>
          <w:tab w:val="num" w:pos="851"/>
        </w:tabs>
        <w:autoSpaceDE w:val="0"/>
        <w:autoSpaceDN w:val="0"/>
        <w:adjustRightInd w:val="0"/>
        <w:spacing w:before="0"/>
        <w:ind w:left="851" w:hanging="851"/>
        <w:rPr>
          <w:rFonts w:eastAsia="Arial" w:cs="Arial"/>
          <w:spacing w:val="-1"/>
        </w:rPr>
      </w:pPr>
      <w:r w:rsidRPr="00AA13E2">
        <w:rPr>
          <w:rFonts w:eastAsia="Arial" w:cs="Arial"/>
          <w:color w:val="auto"/>
          <w:spacing w:val="-1"/>
        </w:rPr>
        <w:t>It will be important not just to protect the biodiversity resources that already exist, but also to support restoration schemes and secure further enhancements in the area’s nature conservation value where possible. This reflects the overall strategic importance of this area both within Nottinghamshire and as part of a wider ecological network.</w:t>
      </w:r>
      <w:r w:rsidR="00FA7BBF" w:rsidRPr="00AA13E2">
        <w:rPr>
          <w:rFonts w:eastAsia="Arial" w:cs="Arial"/>
          <w:color w:val="auto"/>
          <w:spacing w:val="-1"/>
        </w:rPr>
        <w:t xml:space="preserve">  </w:t>
      </w:r>
      <w:r w:rsidR="005E0BF5" w:rsidRPr="005E0BF5">
        <w:rPr>
          <w:rFonts w:eastAsia="Arial" w:cs="Arial"/>
          <w:color w:val="auto"/>
          <w:spacing w:val="-1"/>
        </w:rPr>
        <w:t xml:space="preserve">In consultation with the Council and other relevant bodies, the applicant will be required to demonstrate how they are </w:t>
      </w:r>
      <w:r w:rsidR="005E0BF5" w:rsidRPr="00985BCC">
        <w:rPr>
          <w:rFonts w:eastAsia="Arial" w:cs="Arial"/>
          <w:spacing w:val="-1"/>
        </w:rPr>
        <w:t xml:space="preserve">achieving </w:t>
      </w:r>
      <w:r w:rsidR="00973651" w:rsidRPr="00985BCC">
        <w:rPr>
          <w:rFonts w:eastAsia="Arial" w:cs="Arial"/>
          <w:spacing w:val="-1"/>
        </w:rPr>
        <w:t xml:space="preserve">biodiversity </w:t>
      </w:r>
      <w:r w:rsidR="005E0BF5" w:rsidRPr="005E0BF5">
        <w:rPr>
          <w:rFonts w:eastAsia="Arial" w:cs="Arial"/>
          <w:color w:val="auto"/>
          <w:spacing w:val="-1"/>
        </w:rPr>
        <w:t>net gain in a measurable way.</w:t>
      </w:r>
      <w:r w:rsidR="005E06B1">
        <w:rPr>
          <w:rFonts w:eastAsia="Arial" w:cs="Arial"/>
          <w:color w:val="auto"/>
          <w:spacing w:val="-1"/>
        </w:rPr>
        <w:t xml:space="preserve">  </w:t>
      </w:r>
      <w:r w:rsidR="005E06B1" w:rsidRPr="002E7654">
        <w:rPr>
          <w:rFonts w:eastAsia="Arial" w:cs="Arial"/>
          <w:spacing w:val="-1"/>
        </w:rPr>
        <w:t xml:space="preserve">A biodiversity metric calculation will be required for all major developments from </w:t>
      </w:r>
      <w:r w:rsidR="002E7654" w:rsidRPr="002E7654">
        <w:rPr>
          <w:rFonts w:eastAsia="Arial" w:cs="Arial"/>
          <w:spacing w:val="-1"/>
        </w:rPr>
        <w:t>January</w:t>
      </w:r>
      <w:r w:rsidR="005E06B1" w:rsidRPr="002E7654">
        <w:rPr>
          <w:rFonts w:eastAsia="Arial" w:cs="Arial"/>
          <w:spacing w:val="-1"/>
        </w:rPr>
        <w:t xml:space="preserve"> 202</w:t>
      </w:r>
      <w:r w:rsidR="002E7654" w:rsidRPr="002E7654">
        <w:rPr>
          <w:rFonts w:eastAsia="Arial" w:cs="Arial"/>
          <w:spacing w:val="-1"/>
        </w:rPr>
        <w:t>4</w:t>
      </w:r>
      <w:r w:rsidR="005E06B1" w:rsidRPr="002E7654">
        <w:rPr>
          <w:rFonts w:eastAsia="Arial" w:cs="Arial"/>
          <w:spacing w:val="-1"/>
        </w:rPr>
        <w:t xml:space="preserve"> comprising:</w:t>
      </w:r>
    </w:p>
    <w:p w14:paraId="17FA06C6" w14:textId="77777777" w:rsidR="005E06B1" w:rsidRPr="002E7654" w:rsidRDefault="005E06B1" w:rsidP="005E06B1">
      <w:pPr>
        <w:keepNext w:val="0"/>
        <w:autoSpaceDE w:val="0"/>
        <w:autoSpaceDN w:val="0"/>
        <w:adjustRightInd w:val="0"/>
        <w:spacing w:before="0"/>
        <w:rPr>
          <w:rFonts w:eastAsia="Arial" w:cs="Arial"/>
          <w:spacing w:val="-1"/>
        </w:rPr>
      </w:pPr>
    </w:p>
    <w:p w14:paraId="55C92807" w14:textId="7A063515" w:rsidR="005E06B1" w:rsidRPr="002E7654" w:rsidRDefault="005E06B1" w:rsidP="005E06B1">
      <w:pPr>
        <w:keepNext w:val="0"/>
        <w:autoSpaceDE w:val="0"/>
        <w:autoSpaceDN w:val="0"/>
        <w:adjustRightInd w:val="0"/>
        <w:spacing w:before="0"/>
        <w:ind w:left="2160" w:hanging="720"/>
        <w:rPr>
          <w:rFonts w:eastAsia="Arial" w:cs="Arial"/>
          <w:spacing w:val="-1"/>
        </w:rPr>
      </w:pPr>
      <w:r w:rsidRPr="002E7654">
        <w:rPr>
          <w:rFonts w:eastAsia="Arial" w:cs="Arial"/>
          <w:spacing w:val="-1"/>
        </w:rPr>
        <w:t xml:space="preserve">a) </w:t>
      </w:r>
      <w:r w:rsidRPr="002E7654">
        <w:rPr>
          <w:rFonts w:eastAsia="Arial" w:cs="Arial"/>
          <w:spacing w:val="-1"/>
        </w:rPr>
        <w:tab/>
        <w:t>erection of 10 or more dwellings or housing development on a site of 0.5 ha or more.</w:t>
      </w:r>
    </w:p>
    <w:p w14:paraId="21116EC2" w14:textId="5B2F543F" w:rsidR="005E06B1" w:rsidRPr="002E7654" w:rsidRDefault="005E06B1" w:rsidP="005E06B1">
      <w:pPr>
        <w:keepNext w:val="0"/>
        <w:autoSpaceDE w:val="0"/>
        <w:autoSpaceDN w:val="0"/>
        <w:adjustRightInd w:val="0"/>
        <w:spacing w:before="0"/>
        <w:ind w:left="2160" w:hanging="720"/>
        <w:rPr>
          <w:rFonts w:eastAsia="Arial" w:cs="Arial"/>
          <w:spacing w:val="-1"/>
        </w:rPr>
      </w:pPr>
      <w:r w:rsidRPr="002E7654">
        <w:rPr>
          <w:rFonts w:eastAsia="Arial" w:cs="Arial"/>
          <w:spacing w:val="-1"/>
        </w:rPr>
        <w:t>b)</w:t>
      </w:r>
      <w:r w:rsidRPr="002E7654">
        <w:rPr>
          <w:rFonts w:eastAsia="Arial" w:cs="Arial"/>
          <w:spacing w:val="-1"/>
        </w:rPr>
        <w:tab/>
        <w:t>erection of a building or buildings where the floor space to be created is 1,000m</w:t>
      </w:r>
      <w:r w:rsidRPr="002E7654">
        <w:rPr>
          <w:rFonts w:eastAsia="Arial" w:cs="Arial"/>
          <w:spacing w:val="-1"/>
          <w:vertAlign w:val="superscript"/>
        </w:rPr>
        <w:t>2</w:t>
      </w:r>
      <w:r w:rsidRPr="002E7654">
        <w:rPr>
          <w:rFonts w:eastAsia="Arial" w:cs="Arial"/>
          <w:spacing w:val="-1"/>
        </w:rPr>
        <w:t xml:space="preserve"> or more.</w:t>
      </w:r>
    </w:p>
    <w:p w14:paraId="34D2D6A1" w14:textId="3367ED4F" w:rsidR="005E06B1" w:rsidRPr="002E7654" w:rsidRDefault="005E06B1" w:rsidP="005E06B1">
      <w:pPr>
        <w:keepNext w:val="0"/>
        <w:autoSpaceDE w:val="0"/>
        <w:autoSpaceDN w:val="0"/>
        <w:adjustRightInd w:val="0"/>
        <w:spacing w:before="0"/>
        <w:ind w:left="720" w:firstLine="720"/>
        <w:rPr>
          <w:rFonts w:eastAsia="Arial" w:cs="Arial"/>
          <w:spacing w:val="-1"/>
        </w:rPr>
      </w:pPr>
      <w:r w:rsidRPr="002E7654">
        <w:rPr>
          <w:rFonts w:eastAsia="Arial" w:cs="Arial"/>
          <w:spacing w:val="-1"/>
        </w:rPr>
        <w:t xml:space="preserve">c) </w:t>
      </w:r>
      <w:r w:rsidRPr="002E7654">
        <w:rPr>
          <w:rFonts w:eastAsia="Arial" w:cs="Arial"/>
          <w:spacing w:val="-1"/>
        </w:rPr>
        <w:tab/>
        <w:t>development on a site of 1 ha or more.</w:t>
      </w:r>
    </w:p>
    <w:p w14:paraId="0A93588A" w14:textId="1DC8D178" w:rsidR="005E0BF5" w:rsidRPr="002E7654" w:rsidRDefault="005E06B1" w:rsidP="005E06B1">
      <w:pPr>
        <w:keepNext w:val="0"/>
        <w:autoSpaceDE w:val="0"/>
        <w:autoSpaceDN w:val="0"/>
        <w:adjustRightInd w:val="0"/>
        <w:spacing w:before="0"/>
        <w:ind w:left="851" w:firstLine="589"/>
        <w:rPr>
          <w:rFonts w:eastAsia="Arial" w:cs="Arial"/>
          <w:spacing w:val="-1"/>
        </w:rPr>
      </w:pPr>
      <w:r w:rsidRPr="002E7654">
        <w:rPr>
          <w:rFonts w:eastAsia="Arial" w:cs="Arial"/>
          <w:spacing w:val="-1"/>
        </w:rPr>
        <w:t xml:space="preserve">d) </w:t>
      </w:r>
      <w:r w:rsidRPr="002E7654">
        <w:rPr>
          <w:rFonts w:eastAsia="Arial" w:cs="Arial"/>
          <w:spacing w:val="-1"/>
        </w:rPr>
        <w:tab/>
        <w:t xml:space="preserve">minerals or waste development.        </w:t>
      </w:r>
    </w:p>
    <w:p w14:paraId="0B0D7E93" w14:textId="77777777" w:rsidR="00E84DEC" w:rsidRPr="00AA13E2" w:rsidRDefault="00E84DEC" w:rsidP="0090254E">
      <w:pPr>
        <w:keepNext w:val="0"/>
        <w:tabs>
          <w:tab w:val="num" w:pos="851"/>
        </w:tabs>
        <w:autoSpaceDE w:val="0"/>
        <w:autoSpaceDN w:val="0"/>
        <w:adjustRightInd w:val="0"/>
        <w:spacing w:before="0"/>
        <w:ind w:left="851" w:hanging="851"/>
        <w:rPr>
          <w:rFonts w:eastAsia="Arial" w:cs="Arial"/>
          <w:color w:val="auto"/>
          <w:spacing w:val="-1"/>
        </w:rPr>
      </w:pPr>
    </w:p>
    <w:bookmarkEnd w:id="167"/>
    <w:p w14:paraId="3C8F54C5" w14:textId="2FCD5844" w:rsidR="00E87DB4" w:rsidRPr="002E7654" w:rsidRDefault="006B271E" w:rsidP="00973651">
      <w:pPr>
        <w:keepNext w:val="0"/>
        <w:numPr>
          <w:ilvl w:val="1"/>
          <w:numId w:val="5"/>
        </w:numPr>
        <w:tabs>
          <w:tab w:val="clear" w:pos="525"/>
          <w:tab w:val="num" w:pos="851"/>
        </w:tabs>
        <w:autoSpaceDE w:val="0"/>
        <w:autoSpaceDN w:val="0"/>
        <w:adjustRightInd w:val="0"/>
        <w:spacing w:before="0"/>
        <w:ind w:left="851" w:hanging="851"/>
        <w:rPr>
          <w:rFonts w:eastAsia="Arial" w:cs="Arial"/>
          <w:spacing w:val="-1"/>
        </w:rPr>
      </w:pPr>
      <w:r w:rsidRPr="002E7654">
        <w:rPr>
          <w:rFonts w:eastAsia="Arial" w:cs="Arial"/>
          <w:spacing w:val="-1"/>
        </w:rPr>
        <w:t xml:space="preserve">Where an </w:t>
      </w:r>
      <w:r w:rsidR="00E87DB4" w:rsidRPr="002E7654">
        <w:rPr>
          <w:rFonts w:eastAsia="Arial" w:cs="Arial"/>
          <w:spacing w:val="-1"/>
        </w:rPr>
        <w:t>Ecological Impact Assessment (EcIA)</w:t>
      </w:r>
      <w:r w:rsidRPr="002E7654">
        <w:rPr>
          <w:rFonts w:eastAsia="Arial" w:cs="Arial"/>
          <w:spacing w:val="-1"/>
        </w:rPr>
        <w:t xml:space="preserve">, Written Statement or Preliminary Ecological Appraisal is required </w:t>
      </w:r>
      <w:r w:rsidR="00C6440F" w:rsidRPr="002E7654">
        <w:rPr>
          <w:rFonts w:eastAsia="Arial" w:cs="Arial"/>
          <w:spacing w:val="-1"/>
        </w:rPr>
        <w:t xml:space="preserve">there should be </w:t>
      </w:r>
      <w:r w:rsidR="00E87DB4" w:rsidRPr="002E7654">
        <w:rPr>
          <w:rFonts w:eastAsia="Arial" w:cs="Arial"/>
          <w:spacing w:val="-1"/>
        </w:rPr>
        <w:t>a specific section titled “Net gain for biodiversity”</w:t>
      </w:r>
      <w:r w:rsidR="00C6440F" w:rsidRPr="002E7654">
        <w:rPr>
          <w:rFonts w:eastAsia="Arial" w:cs="Arial"/>
          <w:spacing w:val="-1"/>
        </w:rPr>
        <w:t xml:space="preserve"> which </w:t>
      </w:r>
      <w:r w:rsidR="00E87DB4" w:rsidRPr="002E7654">
        <w:rPr>
          <w:rFonts w:eastAsia="Arial" w:cs="Arial"/>
          <w:spacing w:val="-1"/>
        </w:rPr>
        <w:t>clearly show</w:t>
      </w:r>
      <w:r w:rsidR="00C6440F" w:rsidRPr="002E7654">
        <w:rPr>
          <w:rFonts w:eastAsia="Arial" w:cs="Arial"/>
          <w:spacing w:val="-1"/>
        </w:rPr>
        <w:t>s</w:t>
      </w:r>
      <w:r w:rsidR="00E87DB4" w:rsidRPr="002E7654">
        <w:rPr>
          <w:rFonts w:eastAsia="Arial" w:cs="Arial"/>
          <w:spacing w:val="-1"/>
        </w:rPr>
        <w:t xml:space="preserve"> how the site has been assessed using the Defra Biodiversity Metric</w:t>
      </w:r>
      <w:r w:rsidR="00973651" w:rsidRPr="002E7654">
        <w:rPr>
          <w:rFonts w:eastAsia="Arial" w:cs="Arial"/>
          <w:spacing w:val="-1"/>
        </w:rPr>
        <w:t xml:space="preserve"> or Small Sites Metric</w:t>
      </w:r>
      <w:r w:rsidR="00E87DB4" w:rsidRPr="002E7654">
        <w:rPr>
          <w:rFonts w:eastAsia="Arial" w:cs="Arial"/>
          <w:spacing w:val="-1"/>
        </w:rPr>
        <w:t xml:space="preserve">. This will demonstrate the baseline value of the site (before development) and the post-development value – where it is suspected that the baseline value of the site has been affected negatively prior to assessment the </w:t>
      </w:r>
      <w:r w:rsidR="00C6440F" w:rsidRPr="002E7654">
        <w:rPr>
          <w:rFonts w:eastAsia="Arial" w:cs="Arial"/>
          <w:spacing w:val="-1"/>
        </w:rPr>
        <w:t>Council</w:t>
      </w:r>
      <w:r w:rsidR="00E87DB4" w:rsidRPr="002E7654">
        <w:rPr>
          <w:rFonts w:eastAsia="Arial" w:cs="Arial"/>
          <w:spacing w:val="-1"/>
        </w:rPr>
        <w:t xml:space="preserve"> will require an assessment of the site based on the condition before such an occurrence (this may need to be based on previous aerial photos and/or historic information) and if there is any doubt of the Distinctiveness or Condition it will be assumed that the highest likely value will apply.              </w:t>
      </w:r>
    </w:p>
    <w:p w14:paraId="61B3E61A" w14:textId="77777777" w:rsidR="00E87DB4" w:rsidRPr="002E7654" w:rsidRDefault="00E87DB4" w:rsidP="0090254E">
      <w:pPr>
        <w:keepNext w:val="0"/>
        <w:tabs>
          <w:tab w:val="num" w:pos="851"/>
        </w:tabs>
        <w:autoSpaceDE w:val="0"/>
        <w:autoSpaceDN w:val="0"/>
        <w:adjustRightInd w:val="0"/>
        <w:spacing w:before="0"/>
        <w:ind w:left="851" w:hanging="851"/>
        <w:rPr>
          <w:rFonts w:eastAsia="Arial" w:cs="Arial"/>
          <w:spacing w:val="-1"/>
        </w:rPr>
      </w:pPr>
    </w:p>
    <w:p w14:paraId="604E6E9D" w14:textId="23306643" w:rsidR="00075861" w:rsidRPr="002E7654" w:rsidRDefault="00E87DB4" w:rsidP="0090254E">
      <w:pPr>
        <w:keepNext w:val="0"/>
        <w:numPr>
          <w:ilvl w:val="1"/>
          <w:numId w:val="5"/>
        </w:numPr>
        <w:tabs>
          <w:tab w:val="clear" w:pos="525"/>
          <w:tab w:val="num" w:pos="851"/>
        </w:tabs>
        <w:autoSpaceDE w:val="0"/>
        <w:autoSpaceDN w:val="0"/>
        <w:adjustRightInd w:val="0"/>
        <w:spacing w:before="0"/>
        <w:ind w:left="851" w:hanging="851"/>
        <w:rPr>
          <w:rFonts w:eastAsia="Arial" w:cs="Arial"/>
          <w:spacing w:val="-1"/>
        </w:rPr>
      </w:pPr>
      <w:r w:rsidRPr="002E7654">
        <w:rPr>
          <w:rFonts w:eastAsia="Arial" w:cs="Arial"/>
          <w:spacing w:val="-1"/>
        </w:rPr>
        <w:t xml:space="preserve">The objective should always be to deliver </w:t>
      </w:r>
      <w:r w:rsidR="00CE1E63" w:rsidRPr="002E7654">
        <w:rPr>
          <w:rFonts w:eastAsia="Arial" w:cs="Arial"/>
          <w:spacing w:val="-1"/>
        </w:rPr>
        <w:t xml:space="preserve">a </w:t>
      </w:r>
      <w:r w:rsidR="00D90FD5" w:rsidRPr="002E7654">
        <w:rPr>
          <w:rFonts w:eastAsia="Arial" w:cs="Arial"/>
          <w:spacing w:val="-1"/>
        </w:rPr>
        <w:t>minimum</w:t>
      </w:r>
      <w:r w:rsidR="00CE1E63" w:rsidRPr="002E7654">
        <w:rPr>
          <w:rFonts w:eastAsia="Arial" w:cs="Arial"/>
          <w:spacing w:val="-1"/>
        </w:rPr>
        <w:t xml:space="preserve"> of</w:t>
      </w:r>
      <w:r w:rsidR="00D90FD5" w:rsidRPr="002E7654">
        <w:rPr>
          <w:rFonts w:eastAsia="Arial" w:cs="Arial"/>
          <w:spacing w:val="-1"/>
        </w:rPr>
        <w:t xml:space="preserve"> </w:t>
      </w:r>
      <w:r w:rsidRPr="002E7654">
        <w:rPr>
          <w:rFonts w:eastAsia="Arial" w:cs="Arial"/>
          <w:spacing w:val="-1"/>
        </w:rPr>
        <w:t xml:space="preserve">10% </w:t>
      </w:r>
      <w:r w:rsidR="00CE1E63" w:rsidRPr="002E7654">
        <w:rPr>
          <w:rFonts w:eastAsia="Arial" w:cs="Arial"/>
          <w:spacing w:val="-1"/>
        </w:rPr>
        <w:t>n</w:t>
      </w:r>
      <w:r w:rsidRPr="002E7654">
        <w:rPr>
          <w:rFonts w:eastAsia="Arial" w:cs="Arial"/>
          <w:spacing w:val="-1"/>
        </w:rPr>
        <w:t>et gain for biodiversity on-site</w:t>
      </w:r>
      <w:r w:rsidR="00075861" w:rsidRPr="002E7654">
        <w:rPr>
          <w:rFonts w:eastAsia="Arial" w:cs="Arial"/>
          <w:spacing w:val="-1"/>
        </w:rPr>
        <w:t xml:space="preserve">, </w:t>
      </w:r>
      <w:r w:rsidRPr="002E7654">
        <w:rPr>
          <w:rFonts w:eastAsia="Arial" w:cs="Arial"/>
          <w:spacing w:val="-1"/>
        </w:rPr>
        <w:t xml:space="preserve">and </w:t>
      </w:r>
      <w:r w:rsidR="00075861" w:rsidRPr="002E7654">
        <w:rPr>
          <w:rFonts w:eastAsia="Arial" w:cs="Arial"/>
          <w:spacing w:val="-1"/>
        </w:rPr>
        <w:t xml:space="preserve">wherever possible, the Council will </w:t>
      </w:r>
      <w:r w:rsidR="00D62C17" w:rsidRPr="002E7654">
        <w:rPr>
          <w:rFonts w:eastAsia="Arial" w:cs="Arial"/>
          <w:spacing w:val="-1"/>
        </w:rPr>
        <w:t xml:space="preserve">endeavour to </w:t>
      </w:r>
      <w:r w:rsidR="00075861" w:rsidRPr="002E7654">
        <w:rPr>
          <w:rFonts w:eastAsia="Arial" w:cs="Arial"/>
          <w:spacing w:val="-1"/>
        </w:rPr>
        <w:t xml:space="preserve">pursue a higher target, subject to </w:t>
      </w:r>
      <w:r w:rsidR="00D62C17" w:rsidRPr="002E7654">
        <w:rPr>
          <w:rFonts w:eastAsia="Arial" w:cs="Arial"/>
          <w:spacing w:val="-1"/>
        </w:rPr>
        <w:t xml:space="preserve">local </w:t>
      </w:r>
      <w:r w:rsidR="00075861" w:rsidRPr="002E7654">
        <w:rPr>
          <w:rFonts w:eastAsia="Arial" w:cs="Arial"/>
          <w:spacing w:val="-1"/>
        </w:rPr>
        <w:t>evidence and plan-based or site-based viability assessments.  Promoters are encouraged to work through land equalisation measures, where appropriate, to ensure that the Biodiversity Net Gain can be achieved in the most efficient and appropriate way in the context of the entire allocation area.</w:t>
      </w:r>
    </w:p>
    <w:p w14:paraId="40DC0DF9" w14:textId="39C1F12F" w:rsidR="00075861" w:rsidRPr="00075861" w:rsidRDefault="00075861" w:rsidP="00075861">
      <w:pPr>
        <w:keepNext w:val="0"/>
        <w:autoSpaceDE w:val="0"/>
        <w:autoSpaceDN w:val="0"/>
        <w:adjustRightInd w:val="0"/>
        <w:spacing w:before="0"/>
        <w:rPr>
          <w:rFonts w:eastAsia="Arial" w:cs="Arial"/>
          <w:color w:val="auto"/>
          <w:spacing w:val="-1"/>
        </w:rPr>
      </w:pPr>
      <w:r>
        <w:rPr>
          <w:rFonts w:eastAsia="Arial" w:cs="Arial"/>
          <w:color w:val="4472C4" w:themeColor="accent1"/>
          <w:spacing w:val="-1"/>
        </w:rPr>
        <w:t xml:space="preserve"> </w:t>
      </w:r>
    </w:p>
    <w:p w14:paraId="0DCD33EF" w14:textId="2CA05A66" w:rsidR="00E87DB4" w:rsidRPr="0079686C" w:rsidRDefault="00C95E17" w:rsidP="0090254E">
      <w:pPr>
        <w:keepNext w:val="0"/>
        <w:numPr>
          <w:ilvl w:val="1"/>
          <w:numId w:val="5"/>
        </w:numPr>
        <w:tabs>
          <w:tab w:val="clear" w:pos="525"/>
          <w:tab w:val="num" w:pos="851"/>
        </w:tabs>
        <w:autoSpaceDE w:val="0"/>
        <w:autoSpaceDN w:val="0"/>
        <w:adjustRightInd w:val="0"/>
        <w:spacing w:before="0"/>
        <w:ind w:left="851" w:hanging="851"/>
        <w:rPr>
          <w:rFonts w:eastAsia="Arial" w:cs="Arial"/>
          <w:color w:val="auto"/>
          <w:spacing w:val="-1"/>
        </w:rPr>
      </w:pPr>
      <w:r>
        <w:rPr>
          <w:rFonts w:eastAsia="Arial" w:cs="Arial"/>
          <w:color w:val="auto"/>
          <w:spacing w:val="-1"/>
        </w:rPr>
        <w:t>I</w:t>
      </w:r>
      <w:r w:rsidR="00E87DB4" w:rsidRPr="00AA13E2">
        <w:rPr>
          <w:rFonts w:eastAsia="Arial" w:cs="Arial"/>
          <w:color w:val="auto"/>
          <w:spacing w:val="-1"/>
        </w:rPr>
        <w:t xml:space="preserve">t will be essential to </w:t>
      </w:r>
      <w:r w:rsidR="00E87DB4" w:rsidRPr="002E7654">
        <w:rPr>
          <w:rFonts w:eastAsia="Arial" w:cs="Arial"/>
          <w:spacing w:val="-1"/>
        </w:rPr>
        <w:t xml:space="preserve">appoint </w:t>
      </w:r>
      <w:r w:rsidR="00CE1E63" w:rsidRPr="002E7654">
        <w:rPr>
          <w:rFonts w:eastAsia="Arial" w:cs="Arial"/>
          <w:spacing w:val="-1"/>
        </w:rPr>
        <w:t>a suitably qualified Ecologist</w:t>
      </w:r>
      <w:r w:rsidR="00C96B5E" w:rsidRPr="002E7654">
        <w:rPr>
          <w:rFonts w:eastAsia="Arial" w:cs="Arial"/>
          <w:spacing w:val="-1"/>
        </w:rPr>
        <w:t xml:space="preserve"> </w:t>
      </w:r>
      <w:r w:rsidR="00C96B5E" w:rsidRPr="002E7654">
        <w:rPr>
          <w:rStyle w:val="FootnoteReference"/>
          <w:rFonts w:eastAsia="Arial" w:cs="Arial"/>
          <w:spacing w:val="-1"/>
        </w:rPr>
        <w:footnoteReference w:id="86"/>
      </w:r>
      <w:r w:rsidR="00CE1E63" w:rsidRPr="002E7654">
        <w:rPr>
          <w:rFonts w:eastAsia="Arial" w:cs="Arial"/>
          <w:spacing w:val="-1"/>
        </w:rPr>
        <w:t xml:space="preserve"> </w:t>
      </w:r>
      <w:r w:rsidR="00E87DB4" w:rsidRPr="002E7654">
        <w:rPr>
          <w:rFonts w:eastAsia="Arial" w:cs="Arial"/>
          <w:spacing w:val="-1"/>
        </w:rPr>
        <w:t xml:space="preserve">at the earliest stage to be involved in the iterative </w:t>
      </w:r>
      <w:r w:rsidR="00C6440F" w:rsidRPr="002E7654">
        <w:rPr>
          <w:rFonts w:eastAsia="Arial" w:cs="Arial"/>
          <w:spacing w:val="-1"/>
        </w:rPr>
        <w:t>d</w:t>
      </w:r>
      <w:r w:rsidR="00E87DB4" w:rsidRPr="002E7654">
        <w:rPr>
          <w:rFonts w:eastAsia="Arial" w:cs="Arial"/>
          <w:spacing w:val="-1"/>
        </w:rPr>
        <w:t xml:space="preserve">esign stage of the layout, the </w:t>
      </w:r>
      <w:r w:rsidR="00CE1E63" w:rsidRPr="002E7654">
        <w:rPr>
          <w:rFonts w:eastAsia="Arial" w:cs="Arial"/>
          <w:spacing w:val="-1"/>
        </w:rPr>
        <w:t xml:space="preserve">Ecologist </w:t>
      </w:r>
      <w:r w:rsidR="00E87DB4" w:rsidRPr="002E7654">
        <w:rPr>
          <w:rFonts w:eastAsia="Arial" w:cs="Arial"/>
          <w:spacing w:val="-1"/>
        </w:rPr>
        <w:t xml:space="preserve">should work closely with the Landscape Architect and Urban Designers to consider which options of the layout lead to the best possible outcome for achieving Net gain for biodiversity on-site. This type of information should be included in the Design </w:t>
      </w:r>
      <w:r w:rsidR="00C6440F" w:rsidRPr="00AA13E2">
        <w:rPr>
          <w:rFonts w:eastAsia="Arial" w:cs="Arial"/>
          <w:color w:val="auto"/>
          <w:spacing w:val="-1"/>
        </w:rPr>
        <w:t>and</w:t>
      </w:r>
      <w:r w:rsidR="00E87DB4" w:rsidRPr="00AA13E2">
        <w:rPr>
          <w:rFonts w:eastAsia="Arial" w:cs="Arial"/>
          <w:color w:val="auto"/>
          <w:spacing w:val="-1"/>
        </w:rPr>
        <w:t xml:space="preserve"> Access Statement (if appropriate) whereby different Options of layout are shown with their corresponding different Biodiversity Unit impacts – together with an explanation why one option has been chosen over another where the layout </w:t>
      </w:r>
      <w:r w:rsidR="00E87DB4" w:rsidRPr="0079686C">
        <w:rPr>
          <w:rFonts w:eastAsia="Arial" w:cs="Arial"/>
          <w:color w:val="auto"/>
          <w:spacing w:val="-1"/>
        </w:rPr>
        <w:t xml:space="preserve">resulting in the lowest impact on biodiversity has not been taken forward to the proposed layout stage. </w:t>
      </w:r>
    </w:p>
    <w:p w14:paraId="144E17E4" w14:textId="77777777" w:rsidR="00E87DB4" w:rsidRPr="0079686C" w:rsidRDefault="00E87DB4" w:rsidP="0090254E">
      <w:pPr>
        <w:keepNext w:val="0"/>
        <w:tabs>
          <w:tab w:val="num" w:pos="851"/>
        </w:tabs>
        <w:autoSpaceDE w:val="0"/>
        <w:autoSpaceDN w:val="0"/>
        <w:adjustRightInd w:val="0"/>
        <w:spacing w:before="0"/>
        <w:ind w:left="851" w:hanging="851"/>
        <w:rPr>
          <w:rFonts w:eastAsia="Arial" w:cs="Arial"/>
          <w:color w:val="auto"/>
          <w:spacing w:val="-1"/>
        </w:rPr>
      </w:pPr>
    </w:p>
    <w:p w14:paraId="6CE1741C" w14:textId="5A20E202" w:rsidR="002A6911" w:rsidRDefault="00E87DB4" w:rsidP="00D726D5">
      <w:pPr>
        <w:keepNext w:val="0"/>
        <w:numPr>
          <w:ilvl w:val="1"/>
          <w:numId w:val="5"/>
        </w:numPr>
        <w:tabs>
          <w:tab w:val="clear" w:pos="525"/>
          <w:tab w:val="num" w:pos="851"/>
        </w:tabs>
        <w:autoSpaceDE w:val="0"/>
        <w:autoSpaceDN w:val="0"/>
        <w:adjustRightInd w:val="0"/>
        <w:spacing w:before="0"/>
        <w:ind w:left="851" w:hanging="851"/>
        <w:rPr>
          <w:rFonts w:eastAsia="Arial" w:cs="Arial"/>
          <w:color w:val="auto"/>
          <w:spacing w:val="-1"/>
        </w:rPr>
      </w:pPr>
      <w:r w:rsidRPr="0079686C">
        <w:rPr>
          <w:rFonts w:eastAsia="Arial" w:cs="Arial"/>
          <w:color w:val="auto"/>
          <w:spacing w:val="-1"/>
        </w:rPr>
        <w:t xml:space="preserve">Evidence is required in the EcIA to demonstrate the Ecological Consultant has been involved in the initial </w:t>
      </w:r>
      <w:r w:rsidR="00C6440F" w:rsidRPr="0079686C">
        <w:rPr>
          <w:rFonts w:eastAsia="Arial" w:cs="Arial"/>
          <w:color w:val="auto"/>
          <w:spacing w:val="-1"/>
        </w:rPr>
        <w:t>d</w:t>
      </w:r>
      <w:r w:rsidRPr="0079686C">
        <w:rPr>
          <w:rFonts w:eastAsia="Arial" w:cs="Arial"/>
          <w:color w:val="auto"/>
          <w:spacing w:val="-1"/>
        </w:rPr>
        <w:t xml:space="preserve">esign of the layout in a meaningful way to help achieve a Net gain for biodiversity. </w:t>
      </w:r>
      <w:r w:rsidR="0090254E" w:rsidRPr="0079686C">
        <w:rPr>
          <w:rFonts w:eastAsia="Arial" w:cs="Arial"/>
          <w:color w:val="auto"/>
          <w:spacing w:val="-1"/>
        </w:rPr>
        <w:t xml:space="preserve"> </w:t>
      </w:r>
      <w:r w:rsidR="00A90ACD" w:rsidRPr="0079686C">
        <w:rPr>
          <w:rFonts w:eastAsia="Arial" w:cs="Arial"/>
          <w:color w:val="auto"/>
          <w:spacing w:val="-1"/>
        </w:rPr>
        <w:t>As set out in paragraph 180 of the NPPF, t</w:t>
      </w:r>
      <w:r w:rsidRPr="0079686C">
        <w:rPr>
          <w:rFonts w:eastAsia="Arial" w:cs="Arial"/>
          <w:color w:val="auto"/>
          <w:spacing w:val="-1"/>
        </w:rPr>
        <w:t xml:space="preserve">his should include reference to the Mitigation Hierarchy of </w:t>
      </w:r>
      <w:r w:rsidR="00C6440F" w:rsidRPr="0079686C">
        <w:rPr>
          <w:rFonts w:eastAsia="Arial" w:cs="Arial"/>
          <w:color w:val="auto"/>
          <w:spacing w:val="-1"/>
        </w:rPr>
        <w:t>a</w:t>
      </w:r>
      <w:r w:rsidRPr="0079686C">
        <w:rPr>
          <w:rFonts w:eastAsia="Arial" w:cs="Arial"/>
          <w:color w:val="auto"/>
          <w:spacing w:val="-1"/>
        </w:rPr>
        <w:t xml:space="preserve">voiding damage to sensitive ecological features, Minimising impacts on such sensitive ecological features, and where these first two steps cannot be achieved (with an explanation to justify why not) finally consider what level of </w:t>
      </w:r>
      <w:r w:rsidR="00C6440F" w:rsidRPr="0079686C">
        <w:rPr>
          <w:rFonts w:eastAsia="Arial" w:cs="Arial"/>
          <w:color w:val="auto"/>
          <w:spacing w:val="-1"/>
        </w:rPr>
        <w:t>c</w:t>
      </w:r>
      <w:r w:rsidRPr="0079686C">
        <w:rPr>
          <w:rFonts w:eastAsia="Arial" w:cs="Arial"/>
          <w:color w:val="auto"/>
          <w:spacing w:val="-1"/>
        </w:rPr>
        <w:t>ompensation will be required either on-site or off-site (or both)</w:t>
      </w:r>
      <w:r w:rsidR="00FA7D5B" w:rsidRPr="0079686C">
        <w:rPr>
          <w:rFonts w:eastAsia="Arial" w:cs="Arial"/>
          <w:color w:val="auto"/>
          <w:spacing w:val="-1"/>
        </w:rPr>
        <w:t xml:space="preserve">, </w:t>
      </w:r>
      <w:r w:rsidR="00A90ACD" w:rsidRPr="0079686C">
        <w:rPr>
          <w:rFonts w:eastAsia="Arial" w:cs="Arial"/>
          <w:color w:val="auto"/>
          <w:spacing w:val="-1"/>
        </w:rPr>
        <w:t xml:space="preserve">this could take the form of a </w:t>
      </w:r>
      <w:r w:rsidR="00A90ACD" w:rsidRPr="00377997">
        <w:rPr>
          <w:rFonts w:eastAsia="Arial" w:cs="Arial"/>
          <w:color w:val="auto"/>
          <w:spacing w:val="-1"/>
        </w:rPr>
        <w:t>Section 106 Agreement</w:t>
      </w:r>
      <w:r w:rsidR="007556D5">
        <w:rPr>
          <w:rFonts w:eastAsia="Arial" w:cs="Arial"/>
          <w:color w:val="auto"/>
          <w:spacing w:val="-1"/>
        </w:rPr>
        <w:t xml:space="preserve"> or conservation covenant.</w:t>
      </w:r>
    </w:p>
    <w:p w14:paraId="43CE1A68" w14:textId="77777777" w:rsidR="007556D5" w:rsidRPr="0079686C" w:rsidRDefault="007556D5" w:rsidP="007556D5">
      <w:pPr>
        <w:keepNext w:val="0"/>
        <w:autoSpaceDE w:val="0"/>
        <w:autoSpaceDN w:val="0"/>
        <w:adjustRightInd w:val="0"/>
        <w:spacing w:before="0"/>
        <w:rPr>
          <w:rFonts w:eastAsia="Arial" w:cs="Arial"/>
          <w:color w:val="auto"/>
          <w:spacing w:val="-1"/>
        </w:rPr>
      </w:pPr>
    </w:p>
    <w:p w14:paraId="4D3592AC" w14:textId="66D6D525" w:rsidR="002A6911" w:rsidRPr="0079686C" w:rsidRDefault="00AA13E2" w:rsidP="002A6911">
      <w:pPr>
        <w:keepNext w:val="0"/>
        <w:tabs>
          <w:tab w:val="num" w:pos="851"/>
        </w:tabs>
        <w:autoSpaceDE w:val="0"/>
        <w:autoSpaceDN w:val="0"/>
        <w:adjustRightInd w:val="0"/>
        <w:spacing w:before="0"/>
        <w:ind w:left="851" w:hanging="851"/>
        <w:rPr>
          <w:rFonts w:eastAsia="Arial" w:cs="Arial"/>
          <w:b/>
          <w:bCs/>
          <w:color w:val="auto"/>
          <w:spacing w:val="-1"/>
        </w:rPr>
      </w:pPr>
      <w:r w:rsidRPr="0079686C">
        <w:rPr>
          <w:rFonts w:eastAsia="Arial" w:cs="Arial"/>
          <w:color w:val="auto"/>
          <w:spacing w:val="-1"/>
        </w:rPr>
        <w:t xml:space="preserve"> </w:t>
      </w:r>
      <w:bookmarkEnd w:id="168"/>
      <w:r w:rsidR="00903178" w:rsidRPr="0079686C">
        <w:rPr>
          <w:rFonts w:eastAsia="Arial" w:cs="Arial"/>
          <w:color w:val="auto"/>
          <w:spacing w:val="-1"/>
        </w:rPr>
        <w:tab/>
      </w:r>
      <w:r w:rsidR="002A6911" w:rsidRPr="0079686C">
        <w:rPr>
          <w:rFonts w:eastAsia="Arial" w:cs="Arial"/>
          <w:b/>
          <w:bCs/>
          <w:color w:val="auto"/>
          <w:spacing w:val="-1"/>
        </w:rPr>
        <w:t>Possible Potential Special Protection Area (ppSPA)</w:t>
      </w:r>
    </w:p>
    <w:p w14:paraId="1B48B80A" w14:textId="63CB870D" w:rsidR="002A6911" w:rsidRPr="00DA17F4" w:rsidRDefault="002A6911" w:rsidP="00903178">
      <w:pPr>
        <w:keepNext w:val="0"/>
        <w:numPr>
          <w:ilvl w:val="1"/>
          <w:numId w:val="5"/>
        </w:numPr>
        <w:tabs>
          <w:tab w:val="clear" w:pos="525"/>
          <w:tab w:val="num" w:pos="851"/>
        </w:tabs>
        <w:autoSpaceDE w:val="0"/>
        <w:autoSpaceDN w:val="0"/>
        <w:adjustRightInd w:val="0"/>
        <w:spacing w:before="0"/>
        <w:ind w:left="851" w:hanging="851"/>
        <w:rPr>
          <w:rFonts w:eastAsia="Arial" w:cs="Arial"/>
          <w:spacing w:val="-1"/>
        </w:rPr>
      </w:pPr>
      <w:r w:rsidRPr="0079686C">
        <w:rPr>
          <w:rFonts w:eastAsia="Arial" w:cs="Arial"/>
          <w:color w:val="auto"/>
          <w:spacing w:val="-1"/>
        </w:rPr>
        <w:t xml:space="preserve">The UK government </w:t>
      </w:r>
      <w:r w:rsidRPr="00DA17F4">
        <w:rPr>
          <w:rFonts w:eastAsia="Arial" w:cs="Arial"/>
          <w:spacing w:val="-1"/>
        </w:rPr>
        <w:t>is required to identify how it can contribute to the conservation of particular bird species across their natural range in Europe through the protection of suitable sites. In doing this exercise it has identified that the populations of nightjar and woodlark in Sherwood may warrant such protection. A final decision has not been made and it remains under consideration as part of a UK-wide SPA Review Programme being led by the Joint Nature Conservation Committee. The Council will utilise Natural England’s Advice Note to Local Planning Authorities</w:t>
      </w:r>
      <w:r w:rsidR="007556D5">
        <w:rPr>
          <w:rStyle w:val="FootnoteReference"/>
          <w:rFonts w:eastAsia="Arial" w:cs="Arial"/>
          <w:spacing w:val="-1"/>
        </w:rPr>
        <w:footnoteReference w:id="87"/>
      </w:r>
      <w:r w:rsidRPr="00DA17F4">
        <w:rPr>
          <w:rFonts w:eastAsia="Arial" w:cs="Arial"/>
          <w:spacing w:val="-1"/>
        </w:rPr>
        <w:t xml:space="preserve"> regarding the consideration of likely effects on the breeding population of nightjar and woodlark in the Sherwood Forest region as the basis of its approach to planning applications potentially impact on the possible potential Special Protection Area (ppSPA).</w:t>
      </w:r>
    </w:p>
    <w:p w14:paraId="4FC90C28" w14:textId="77777777" w:rsidR="002A6911" w:rsidRPr="00DA17F4" w:rsidRDefault="002A6911" w:rsidP="002A6911">
      <w:pPr>
        <w:keepNext w:val="0"/>
        <w:tabs>
          <w:tab w:val="num" w:pos="851"/>
        </w:tabs>
        <w:autoSpaceDE w:val="0"/>
        <w:autoSpaceDN w:val="0"/>
        <w:adjustRightInd w:val="0"/>
        <w:spacing w:before="0"/>
        <w:ind w:left="851" w:hanging="851"/>
        <w:rPr>
          <w:rFonts w:eastAsia="Arial" w:cs="Arial"/>
          <w:spacing w:val="-1"/>
        </w:rPr>
      </w:pPr>
    </w:p>
    <w:p w14:paraId="2921A100" w14:textId="5BA67F0E" w:rsidR="00EA346C" w:rsidRDefault="00EA346C" w:rsidP="00EA346C">
      <w:pPr>
        <w:keepNext w:val="0"/>
        <w:autoSpaceDE w:val="0"/>
        <w:autoSpaceDN w:val="0"/>
        <w:adjustRightInd w:val="0"/>
        <w:spacing w:before="0"/>
        <w:rPr>
          <w:rFonts w:eastAsia="Arial" w:cs="Arial"/>
          <w:color w:val="auto"/>
          <w:spacing w:val="-1"/>
        </w:rPr>
      </w:pPr>
    </w:p>
    <w:p w14:paraId="6FC12413" w14:textId="77777777" w:rsidR="00263F59" w:rsidRPr="00263F59" w:rsidRDefault="00263F59" w:rsidP="003B5B6A">
      <w:pPr>
        <w:keepNext w:val="0"/>
        <w:autoSpaceDE w:val="0"/>
        <w:autoSpaceDN w:val="0"/>
        <w:adjustRightInd w:val="0"/>
        <w:spacing w:before="0"/>
        <w:rPr>
          <w:rFonts w:eastAsia="Arial" w:cs="Arial"/>
          <w:color w:val="auto"/>
          <w:spacing w:val="-1"/>
        </w:rPr>
      </w:pPr>
    </w:p>
    <w:p w14:paraId="68F0F86A" w14:textId="79360FD6" w:rsidR="003B5B6A" w:rsidRPr="00995322" w:rsidRDefault="006977E7" w:rsidP="00995322">
      <w:pPr>
        <w:pStyle w:val="Heading2"/>
        <w:jc w:val="left"/>
        <w:rPr>
          <w:rFonts w:eastAsia="Arial"/>
          <w:sz w:val="28"/>
          <w:szCs w:val="28"/>
        </w:rPr>
      </w:pPr>
      <w:bookmarkStart w:id="169" w:name="_Toc500408757"/>
      <w:bookmarkStart w:id="170" w:name="_Toc145511579"/>
      <w:r w:rsidRPr="00995322">
        <w:rPr>
          <w:rFonts w:eastAsia="Arial"/>
          <w:sz w:val="28"/>
          <w:szCs w:val="28"/>
        </w:rPr>
        <w:t xml:space="preserve">Policy </w:t>
      </w:r>
      <w:r w:rsidR="003B5B6A" w:rsidRPr="00995322">
        <w:rPr>
          <w:rFonts w:eastAsia="Arial"/>
          <w:sz w:val="28"/>
          <w:szCs w:val="28"/>
        </w:rPr>
        <w:t>EV5: Protection of Green Spaces and Recreation Facilities</w:t>
      </w:r>
      <w:bookmarkEnd w:id="169"/>
      <w:bookmarkEnd w:id="170"/>
    </w:p>
    <w:p w14:paraId="32308E3C" w14:textId="77777777" w:rsidR="003B5B6A" w:rsidRDefault="003B5B6A" w:rsidP="003B5B6A">
      <w:pPr>
        <w:keepNext w:val="0"/>
        <w:autoSpaceDE w:val="0"/>
        <w:autoSpaceDN w:val="0"/>
        <w:adjustRightInd w:val="0"/>
        <w:spacing w:before="0"/>
        <w:rPr>
          <w:rFonts w:eastAsia="Arial" w:cs="Arial"/>
          <w:spacing w:val="-1"/>
        </w:rPr>
      </w:pPr>
    </w:p>
    <w:p w14:paraId="51E304A7" w14:textId="4C7D3C52" w:rsidR="003F22C3" w:rsidRDefault="006A60BB" w:rsidP="0059751A">
      <w:pPr>
        <w:pStyle w:val="ListParagraph"/>
        <w:numPr>
          <w:ilvl w:val="1"/>
          <w:numId w:val="5"/>
        </w:numPr>
        <w:tabs>
          <w:tab w:val="clear" w:pos="525"/>
        </w:tabs>
        <w:ind w:left="851" w:hanging="851"/>
        <w:rPr>
          <w:rFonts w:ascii="Arial" w:eastAsia="Arial" w:hAnsi="Arial" w:cs="Arial"/>
          <w:spacing w:val="-1"/>
          <w:szCs w:val="20"/>
          <w:lang w:eastAsia="en-GB"/>
        </w:rPr>
      </w:pPr>
      <w:r w:rsidRPr="003F22C3">
        <w:rPr>
          <w:rFonts w:eastAsia="Arial" w:cs="Arial"/>
          <w:spacing w:val="-1"/>
        </w:rPr>
        <w:t xml:space="preserve"> </w:t>
      </w:r>
      <w:r w:rsidR="003F22C3" w:rsidRPr="003F22C3">
        <w:rPr>
          <w:rFonts w:ascii="Arial" w:eastAsia="Arial" w:hAnsi="Arial" w:cs="Arial"/>
          <w:spacing w:val="-1"/>
          <w:szCs w:val="20"/>
          <w:lang w:eastAsia="en-GB"/>
        </w:rPr>
        <w:t xml:space="preserve">This policy aims to protect green spaces and recreational facilities and sets out the criteria against which the loss or partial loss would be considered.  </w:t>
      </w:r>
    </w:p>
    <w:tbl>
      <w:tblPr>
        <w:tblStyle w:val="TableGrid8"/>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664"/>
        <w:gridCol w:w="6955"/>
      </w:tblGrid>
      <w:tr w:rsidR="00B42C71" w:rsidRPr="00B42C71" w14:paraId="45A356B8" w14:textId="77777777" w:rsidTr="007C6CA4">
        <w:tc>
          <w:tcPr>
            <w:tcW w:w="9628" w:type="dxa"/>
            <w:gridSpan w:val="2"/>
          </w:tcPr>
          <w:p w14:paraId="1B8D012B" w14:textId="77777777" w:rsidR="007C6CA4" w:rsidRDefault="007C6CA4" w:rsidP="00FF3EAD">
            <w:pPr>
              <w:keepNext w:val="0"/>
              <w:spacing w:before="0"/>
              <w:jc w:val="left"/>
              <w:rPr>
                <w:b/>
                <w:bCs/>
                <w:color w:val="auto"/>
              </w:rPr>
            </w:pPr>
          </w:p>
          <w:p w14:paraId="37CA3A6B" w14:textId="642FDF0E" w:rsidR="00B42C71" w:rsidRDefault="00B42C71" w:rsidP="00FF3EAD">
            <w:pPr>
              <w:keepNext w:val="0"/>
              <w:spacing w:before="0"/>
              <w:jc w:val="left"/>
              <w:rPr>
                <w:b/>
                <w:bCs/>
                <w:color w:val="auto"/>
              </w:rPr>
            </w:pPr>
            <w:r w:rsidRPr="00B42C71">
              <w:rPr>
                <w:b/>
                <w:bCs/>
                <w:color w:val="auto"/>
              </w:rPr>
              <w:t>Policy EV5: Protection of Green Spaces and Recreation Facilities</w:t>
            </w:r>
          </w:p>
          <w:p w14:paraId="790811E4" w14:textId="2233C99C" w:rsidR="007C6CA4" w:rsidRPr="00B42C71" w:rsidRDefault="007C6CA4" w:rsidP="00FF3EAD">
            <w:pPr>
              <w:keepNext w:val="0"/>
              <w:spacing w:before="0"/>
              <w:jc w:val="left"/>
              <w:rPr>
                <w:b/>
                <w:bCs/>
                <w:color w:val="auto"/>
              </w:rPr>
            </w:pPr>
          </w:p>
        </w:tc>
      </w:tr>
      <w:tr w:rsidR="00B42C71" w:rsidRPr="00B42C71" w14:paraId="7B27ED26" w14:textId="77777777" w:rsidTr="007C6CA4">
        <w:tc>
          <w:tcPr>
            <w:tcW w:w="2666" w:type="dxa"/>
          </w:tcPr>
          <w:p w14:paraId="2642AEE1" w14:textId="77777777" w:rsidR="00B42C71" w:rsidRPr="00B42C71" w:rsidRDefault="00B42C71" w:rsidP="00FF3EAD">
            <w:pPr>
              <w:keepNext w:val="0"/>
              <w:spacing w:before="0"/>
              <w:jc w:val="left"/>
              <w:rPr>
                <w:color w:val="auto"/>
              </w:rPr>
            </w:pPr>
            <w:r w:rsidRPr="00B42C71">
              <w:rPr>
                <w:color w:val="auto"/>
              </w:rPr>
              <w:t>Strategic Objectives</w:t>
            </w:r>
          </w:p>
        </w:tc>
        <w:tc>
          <w:tcPr>
            <w:tcW w:w="6962" w:type="dxa"/>
          </w:tcPr>
          <w:p w14:paraId="673BC600" w14:textId="77777777" w:rsidR="00B42C71" w:rsidRPr="00B42C71" w:rsidRDefault="00B42C71" w:rsidP="00FF3EAD">
            <w:pPr>
              <w:keepNext w:val="0"/>
              <w:spacing w:before="0"/>
              <w:jc w:val="left"/>
              <w:rPr>
                <w:color w:val="auto"/>
              </w:rPr>
            </w:pPr>
            <w:r w:rsidRPr="00B42C71">
              <w:rPr>
                <w:color w:val="auto"/>
              </w:rPr>
              <w:t>SO1, SO2, SO4, SO5, SO14.</w:t>
            </w:r>
          </w:p>
        </w:tc>
      </w:tr>
      <w:tr w:rsidR="00B42C71" w:rsidRPr="00B42C71" w14:paraId="079466AC" w14:textId="77777777" w:rsidTr="007C6CA4">
        <w:tc>
          <w:tcPr>
            <w:tcW w:w="9628" w:type="dxa"/>
            <w:gridSpan w:val="2"/>
            <w:shd w:val="clear" w:color="auto" w:fill="E2EFD9"/>
          </w:tcPr>
          <w:p w14:paraId="45C1D45F" w14:textId="77777777" w:rsidR="00B42C71" w:rsidRPr="00B42C71" w:rsidRDefault="00B42C71" w:rsidP="00FF3EAD">
            <w:pPr>
              <w:keepNext w:val="0"/>
              <w:spacing w:before="0"/>
              <w:jc w:val="left"/>
              <w:rPr>
                <w:color w:val="auto"/>
              </w:rPr>
            </w:pPr>
          </w:p>
          <w:p w14:paraId="37FD2D3C" w14:textId="77777777" w:rsidR="00B42C71" w:rsidRPr="00B42C71" w:rsidRDefault="00B42C71" w:rsidP="00874A98">
            <w:pPr>
              <w:keepNext w:val="0"/>
              <w:numPr>
                <w:ilvl w:val="0"/>
                <w:numId w:val="245"/>
              </w:numPr>
              <w:spacing w:before="0"/>
              <w:contextualSpacing/>
              <w:jc w:val="left"/>
              <w:rPr>
                <w:color w:val="auto"/>
              </w:rPr>
            </w:pPr>
            <w:r w:rsidRPr="00B42C71">
              <w:rPr>
                <w:color w:val="auto"/>
              </w:rPr>
              <w:t xml:space="preserve">Green spaces and recreation facilities will be protected by restricting development to appropriate recreation uses or recreation facilities that are of a scale appropriate with the size of the space. </w:t>
            </w:r>
          </w:p>
          <w:p w14:paraId="06BD1FC8" w14:textId="77777777" w:rsidR="00B42C71" w:rsidRPr="00B42C71" w:rsidRDefault="00B42C71" w:rsidP="00FF3EAD">
            <w:pPr>
              <w:keepNext w:val="0"/>
              <w:spacing w:before="0"/>
              <w:ind w:left="360"/>
              <w:contextualSpacing/>
              <w:jc w:val="left"/>
              <w:rPr>
                <w:color w:val="auto"/>
              </w:rPr>
            </w:pPr>
          </w:p>
          <w:p w14:paraId="2078EBFD" w14:textId="3AD245D2" w:rsidR="00B42C71" w:rsidRPr="00B42C71" w:rsidRDefault="00B42C71" w:rsidP="00874A98">
            <w:pPr>
              <w:keepNext w:val="0"/>
              <w:numPr>
                <w:ilvl w:val="0"/>
                <w:numId w:val="245"/>
              </w:numPr>
              <w:spacing w:before="0"/>
              <w:contextualSpacing/>
              <w:jc w:val="left"/>
              <w:rPr>
                <w:color w:val="auto"/>
              </w:rPr>
            </w:pPr>
            <w:r w:rsidRPr="00B42C71">
              <w:rPr>
                <w:color w:val="auto"/>
              </w:rPr>
              <w:t>The Council will resist the loss or fragmentation of green space and recreation facilities identified on the Policies Map and listed in Appendix 7.</w:t>
            </w:r>
          </w:p>
          <w:p w14:paraId="5A020274" w14:textId="77777777" w:rsidR="00B42C71" w:rsidRPr="00B42C71" w:rsidRDefault="00B42C71" w:rsidP="00FF3EAD">
            <w:pPr>
              <w:keepNext w:val="0"/>
              <w:spacing w:before="0"/>
              <w:ind w:left="720"/>
              <w:contextualSpacing/>
              <w:jc w:val="left"/>
              <w:rPr>
                <w:color w:val="auto"/>
              </w:rPr>
            </w:pPr>
          </w:p>
          <w:p w14:paraId="1A25092A" w14:textId="77777777" w:rsidR="00B42C71" w:rsidRPr="00B42C71" w:rsidRDefault="00B42C71" w:rsidP="00874A98">
            <w:pPr>
              <w:keepNext w:val="0"/>
              <w:numPr>
                <w:ilvl w:val="0"/>
                <w:numId w:val="245"/>
              </w:numPr>
              <w:spacing w:before="0"/>
              <w:contextualSpacing/>
              <w:jc w:val="left"/>
              <w:rPr>
                <w:color w:val="auto"/>
              </w:rPr>
            </w:pPr>
            <w:r w:rsidRPr="00B42C71">
              <w:rPr>
                <w:color w:val="auto"/>
              </w:rPr>
              <w:t>The Council will resist the loss or fragmentation of green space not identified on the Policies Map, which meet one of the following criteria:</w:t>
            </w:r>
          </w:p>
          <w:p w14:paraId="19DD4EC0" w14:textId="77777777" w:rsidR="00B42C71" w:rsidRPr="00B42C71" w:rsidRDefault="00B42C71" w:rsidP="00FF3EAD">
            <w:pPr>
              <w:keepNext w:val="0"/>
              <w:spacing w:before="0"/>
              <w:jc w:val="left"/>
              <w:rPr>
                <w:color w:val="auto"/>
              </w:rPr>
            </w:pPr>
          </w:p>
          <w:p w14:paraId="5A22E1F5" w14:textId="77777777" w:rsidR="00B42C71" w:rsidRPr="00B42C71" w:rsidRDefault="00B42C71" w:rsidP="00874A98">
            <w:pPr>
              <w:keepNext w:val="0"/>
              <w:numPr>
                <w:ilvl w:val="0"/>
                <w:numId w:val="246"/>
              </w:numPr>
              <w:spacing w:before="0"/>
              <w:contextualSpacing/>
              <w:jc w:val="left"/>
              <w:rPr>
                <w:color w:val="auto"/>
              </w:rPr>
            </w:pPr>
            <w:r w:rsidRPr="00B42C71">
              <w:rPr>
                <w:color w:val="auto"/>
              </w:rPr>
              <w:t xml:space="preserve">Contribute to the distinctive form, character and setting of a settlement; </w:t>
            </w:r>
          </w:p>
          <w:p w14:paraId="0743556A" w14:textId="77777777" w:rsidR="00B42C71" w:rsidRPr="00B42C71" w:rsidRDefault="00B42C71" w:rsidP="00874A98">
            <w:pPr>
              <w:keepNext w:val="0"/>
              <w:numPr>
                <w:ilvl w:val="0"/>
                <w:numId w:val="246"/>
              </w:numPr>
              <w:spacing w:before="0"/>
              <w:contextualSpacing/>
              <w:jc w:val="left"/>
              <w:rPr>
                <w:color w:val="auto"/>
              </w:rPr>
            </w:pPr>
            <w:r w:rsidRPr="00B42C71">
              <w:rPr>
                <w:color w:val="auto"/>
              </w:rPr>
              <w:t>Contribute to the visual quality of the locality;</w:t>
            </w:r>
          </w:p>
          <w:p w14:paraId="3D307C14" w14:textId="77777777" w:rsidR="00B42C71" w:rsidRPr="00B42C71" w:rsidRDefault="00B42C71" w:rsidP="00874A98">
            <w:pPr>
              <w:keepNext w:val="0"/>
              <w:numPr>
                <w:ilvl w:val="0"/>
                <w:numId w:val="246"/>
              </w:numPr>
              <w:spacing w:before="0"/>
              <w:contextualSpacing/>
              <w:jc w:val="left"/>
              <w:rPr>
                <w:color w:val="auto"/>
              </w:rPr>
            </w:pPr>
            <w:r w:rsidRPr="00B42C71">
              <w:rPr>
                <w:color w:val="auto"/>
              </w:rPr>
              <w:t>Create a focal point within the built up area;</w:t>
            </w:r>
          </w:p>
          <w:p w14:paraId="0814EA6E" w14:textId="77777777" w:rsidR="00B42C71" w:rsidRPr="00B42C71" w:rsidRDefault="00B42C71" w:rsidP="00874A98">
            <w:pPr>
              <w:keepNext w:val="0"/>
              <w:numPr>
                <w:ilvl w:val="0"/>
                <w:numId w:val="246"/>
              </w:numPr>
              <w:spacing w:before="0"/>
              <w:contextualSpacing/>
              <w:jc w:val="left"/>
              <w:rPr>
                <w:color w:val="auto"/>
              </w:rPr>
            </w:pPr>
            <w:r w:rsidRPr="00B42C71">
              <w:rPr>
                <w:color w:val="auto"/>
              </w:rPr>
              <w:t>Provide the setting for heritage assets;</w:t>
            </w:r>
          </w:p>
          <w:p w14:paraId="2572254D" w14:textId="77777777" w:rsidR="00B42C71" w:rsidRPr="00B42C71" w:rsidRDefault="00B42C71" w:rsidP="00874A98">
            <w:pPr>
              <w:keepNext w:val="0"/>
              <w:numPr>
                <w:ilvl w:val="0"/>
                <w:numId w:val="246"/>
              </w:numPr>
              <w:spacing w:before="0"/>
              <w:contextualSpacing/>
              <w:jc w:val="left"/>
              <w:rPr>
                <w:color w:val="auto"/>
              </w:rPr>
            </w:pPr>
            <w:r w:rsidRPr="00B42C71">
              <w:rPr>
                <w:color w:val="auto"/>
              </w:rPr>
              <w:t>Form part of an area of value for wildlife, sport or recreation, including areas forming part of a 'green corridor'; or</w:t>
            </w:r>
          </w:p>
          <w:p w14:paraId="270DBC50" w14:textId="77777777" w:rsidR="00B42C71" w:rsidRPr="00B42C71" w:rsidRDefault="00B42C71" w:rsidP="00874A98">
            <w:pPr>
              <w:keepNext w:val="0"/>
              <w:numPr>
                <w:ilvl w:val="0"/>
                <w:numId w:val="246"/>
              </w:numPr>
              <w:spacing w:before="0"/>
              <w:contextualSpacing/>
              <w:jc w:val="left"/>
              <w:rPr>
                <w:color w:val="auto"/>
              </w:rPr>
            </w:pPr>
            <w:r w:rsidRPr="00B42C71">
              <w:rPr>
                <w:color w:val="auto"/>
              </w:rPr>
              <w:t>Form the only accessible green space (as identified within the Public Open Space Strategy) for some residents.</w:t>
            </w:r>
          </w:p>
          <w:p w14:paraId="54FE0B86" w14:textId="77777777" w:rsidR="00B42C71" w:rsidRPr="00B42C71" w:rsidRDefault="00B42C71" w:rsidP="00FF3EAD">
            <w:pPr>
              <w:keepNext w:val="0"/>
              <w:spacing w:before="0"/>
              <w:jc w:val="left"/>
              <w:rPr>
                <w:color w:val="auto"/>
              </w:rPr>
            </w:pPr>
          </w:p>
          <w:p w14:paraId="310CF1F1" w14:textId="77777777" w:rsidR="00B42C71" w:rsidRPr="00B42C71" w:rsidRDefault="00B42C71" w:rsidP="00874A98">
            <w:pPr>
              <w:keepNext w:val="0"/>
              <w:numPr>
                <w:ilvl w:val="0"/>
                <w:numId w:val="245"/>
              </w:numPr>
              <w:spacing w:before="0"/>
              <w:contextualSpacing/>
              <w:jc w:val="left"/>
              <w:rPr>
                <w:color w:val="auto"/>
              </w:rPr>
            </w:pPr>
            <w:r w:rsidRPr="00B42C71">
              <w:rPr>
                <w:color w:val="auto"/>
              </w:rPr>
              <w:t>Development that would lead to the loss or partial loss of a green space or recreation facility will be permitted where it meets one of the following criteria:</w:t>
            </w:r>
          </w:p>
          <w:p w14:paraId="58AA715B" w14:textId="77777777" w:rsidR="00B42C71" w:rsidRPr="00B42C71" w:rsidRDefault="00B42C71" w:rsidP="00FF3EAD">
            <w:pPr>
              <w:keepNext w:val="0"/>
              <w:spacing w:before="0"/>
              <w:jc w:val="left"/>
              <w:rPr>
                <w:color w:val="auto"/>
              </w:rPr>
            </w:pPr>
          </w:p>
          <w:p w14:paraId="1DCBA2DA" w14:textId="77777777" w:rsidR="00B42C71" w:rsidRPr="00B42C71" w:rsidRDefault="00B42C71" w:rsidP="00874A98">
            <w:pPr>
              <w:keepNext w:val="0"/>
              <w:numPr>
                <w:ilvl w:val="0"/>
                <w:numId w:val="247"/>
              </w:numPr>
              <w:spacing w:before="0"/>
              <w:contextualSpacing/>
              <w:jc w:val="left"/>
              <w:rPr>
                <w:color w:val="auto"/>
              </w:rPr>
            </w:pPr>
            <w:r w:rsidRPr="00B42C71">
              <w:rPr>
                <w:color w:val="auto"/>
              </w:rPr>
              <w:t>An assessment has been undertaken which clearly shows the green space or recreational facility to be surplus to requirement;</w:t>
            </w:r>
          </w:p>
          <w:p w14:paraId="2833432A" w14:textId="09316EE0" w:rsidR="00B42C71" w:rsidRPr="00B42C71" w:rsidRDefault="00B42C71" w:rsidP="00874A98">
            <w:pPr>
              <w:keepNext w:val="0"/>
              <w:numPr>
                <w:ilvl w:val="0"/>
                <w:numId w:val="247"/>
              </w:numPr>
              <w:spacing w:before="0"/>
              <w:contextualSpacing/>
              <w:jc w:val="left"/>
              <w:rPr>
                <w:color w:val="auto"/>
              </w:rPr>
            </w:pPr>
            <w:r w:rsidRPr="00B42C71">
              <w:rPr>
                <w:color w:val="auto"/>
              </w:rPr>
              <w:t>It is ancillary to the recreation use, or it would assist in the retention and enhancement of the recreational use of the site;</w:t>
            </w:r>
            <w:r w:rsidR="00E36A67">
              <w:rPr>
                <w:color w:val="auto"/>
              </w:rPr>
              <w:t xml:space="preserve"> or</w:t>
            </w:r>
          </w:p>
          <w:p w14:paraId="51A45E0D" w14:textId="57C18833" w:rsidR="00B42C71" w:rsidRPr="00B42C71" w:rsidRDefault="00B42C71" w:rsidP="00874A98">
            <w:pPr>
              <w:keepNext w:val="0"/>
              <w:numPr>
                <w:ilvl w:val="0"/>
                <w:numId w:val="247"/>
              </w:numPr>
              <w:spacing w:before="0"/>
              <w:contextualSpacing/>
              <w:jc w:val="left"/>
              <w:rPr>
                <w:color w:val="auto"/>
              </w:rPr>
            </w:pPr>
            <w:r w:rsidRPr="00B42C71">
              <w:rPr>
                <w:color w:val="auto"/>
              </w:rPr>
              <w:t>Adequate replacement provision of new green space is provided in the locality;</w:t>
            </w:r>
          </w:p>
          <w:p w14:paraId="29B8F09D" w14:textId="39287794" w:rsidR="00B42C71" w:rsidRPr="00B42C71" w:rsidRDefault="00B42C71" w:rsidP="00874A98">
            <w:pPr>
              <w:keepNext w:val="0"/>
              <w:numPr>
                <w:ilvl w:val="0"/>
                <w:numId w:val="247"/>
              </w:numPr>
              <w:spacing w:before="0"/>
              <w:contextualSpacing/>
              <w:jc w:val="left"/>
              <w:rPr>
                <w:color w:val="auto"/>
              </w:rPr>
            </w:pPr>
            <w:r w:rsidRPr="00B42C71">
              <w:rPr>
                <w:color w:val="auto"/>
              </w:rPr>
              <w:t>It is proposed to make significant improvements to the overall quality of the recreation provision in the locality</w:t>
            </w:r>
            <w:r w:rsidR="00E36A67">
              <w:rPr>
                <w:color w:val="auto"/>
              </w:rPr>
              <w:t>.</w:t>
            </w:r>
          </w:p>
          <w:p w14:paraId="40FB33B7" w14:textId="77777777" w:rsidR="00E36A67" w:rsidRDefault="00E36A67" w:rsidP="00FF3EAD">
            <w:pPr>
              <w:keepNext w:val="0"/>
              <w:spacing w:before="0"/>
              <w:jc w:val="left"/>
              <w:rPr>
                <w:color w:val="auto"/>
              </w:rPr>
            </w:pPr>
          </w:p>
          <w:p w14:paraId="68932415" w14:textId="77777777" w:rsidR="00E36A67" w:rsidRPr="00E36A67" w:rsidRDefault="00E36A67" w:rsidP="00874A98">
            <w:pPr>
              <w:pStyle w:val="ListParagraph"/>
              <w:numPr>
                <w:ilvl w:val="0"/>
                <w:numId w:val="245"/>
              </w:numPr>
              <w:rPr>
                <w:rFonts w:ascii="Arial" w:hAnsi="Arial" w:cs="Arial"/>
                <w:color w:val="auto"/>
                <w:szCs w:val="24"/>
              </w:rPr>
            </w:pPr>
            <w:r w:rsidRPr="00E36A67">
              <w:rPr>
                <w:rFonts w:ascii="Arial" w:hAnsi="Arial" w:cs="Arial"/>
                <w:color w:val="auto"/>
                <w:szCs w:val="24"/>
              </w:rPr>
              <w:t>Development of flood resilience schemes within local green spaces will be supported provided the schemes do not adversely impact the primary function of the green space.</w:t>
            </w:r>
          </w:p>
          <w:p w14:paraId="1E4F8AF2" w14:textId="1593C0C0" w:rsidR="00B42C71" w:rsidRDefault="00B42C71" w:rsidP="00FF3EAD">
            <w:pPr>
              <w:keepNext w:val="0"/>
              <w:spacing w:before="0"/>
              <w:jc w:val="left"/>
              <w:rPr>
                <w:color w:val="auto"/>
              </w:rPr>
            </w:pPr>
            <w:r w:rsidRPr="00B42C71">
              <w:rPr>
                <w:color w:val="auto"/>
              </w:rPr>
              <w:t xml:space="preserve">Sites may be subject to review and regard will be had to any update in the Council’s Public Open Space Strategy and Playing Pitch Strategy. Any new green </w:t>
            </w:r>
            <w:r w:rsidRPr="002E7654">
              <w:t>spaces</w:t>
            </w:r>
            <w:r w:rsidR="003C4AE1" w:rsidRPr="002E7654">
              <w:t xml:space="preserve"> or recreational facilities</w:t>
            </w:r>
            <w:r w:rsidRPr="002E7654">
              <w:t xml:space="preserve"> developed after the Local Plan is adopted will be protected under </w:t>
            </w:r>
            <w:r w:rsidRPr="00B42C71">
              <w:rPr>
                <w:color w:val="auto"/>
              </w:rPr>
              <w:t>this Policy.</w:t>
            </w:r>
          </w:p>
          <w:p w14:paraId="7B3A5323" w14:textId="370EF127" w:rsidR="00E60404" w:rsidRPr="00B42C71" w:rsidRDefault="00E60404" w:rsidP="00FF3EAD">
            <w:pPr>
              <w:keepNext w:val="0"/>
              <w:spacing w:before="0"/>
              <w:jc w:val="left"/>
              <w:rPr>
                <w:color w:val="auto"/>
              </w:rPr>
            </w:pPr>
          </w:p>
        </w:tc>
      </w:tr>
      <w:tr w:rsidR="00B42C71" w:rsidRPr="00B42C71" w14:paraId="4A727063" w14:textId="77777777" w:rsidTr="007C6CA4">
        <w:tc>
          <w:tcPr>
            <w:tcW w:w="2666" w:type="dxa"/>
          </w:tcPr>
          <w:p w14:paraId="633378D3" w14:textId="77777777" w:rsidR="00B42C71" w:rsidRPr="00B42C71" w:rsidRDefault="00B42C71" w:rsidP="000032A9">
            <w:pPr>
              <w:keepNext w:val="0"/>
              <w:spacing w:before="0"/>
              <w:jc w:val="left"/>
              <w:rPr>
                <w:color w:val="auto"/>
                <w:sz w:val="20"/>
                <w:szCs w:val="20"/>
              </w:rPr>
            </w:pPr>
            <w:r w:rsidRPr="00B42C71">
              <w:rPr>
                <w:color w:val="auto"/>
                <w:sz w:val="20"/>
                <w:szCs w:val="20"/>
              </w:rPr>
              <w:t>Evidence Base</w:t>
            </w:r>
          </w:p>
        </w:tc>
        <w:tc>
          <w:tcPr>
            <w:tcW w:w="6962" w:type="dxa"/>
          </w:tcPr>
          <w:p w14:paraId="7FA55D1B" w14:textId="5BC25748" w:rsidR="00B42C71" w:rsidRPr="002E7654" w:rsidRDefault="00B42C71" w:rsidP="00874A98">
            <w:pPr>
              <w:keepNext w:val="0"/>
              <w:numPr>
                <w:ilvl w:val="0"/>
                <w:numId w:val="243"/>
              </w:numPr>
              <w:spacing w:before="0"/>
              <w:contextualSpacing/>
              <w:jc w:val="left"/>
              <w:rPr>
                <w:sz w:val="20"/>
                <w:szCs w:val="20"/>
              </w:rPr>
            </w:pPr>
            <w:r w:rsidRPr="00B42C71">
              <w:rPr>
                <w:color w:val="auto"/>
                <w:sz w:val="20"/>
                <w:szCs w:val="20"/>
              </w:rPr>
              <w:t xml:space="preserve">Sustainability Appraisal, </w:t>
            </w:r>
            <w:r w:rsidRPr="002E7654">
              <w:rPr>
                <w:sz w:val="20"/>
                <w:szCs w:val="20"/>
              </w:rPr>
              <w:t>202</w:t>
            </w:r>
            <w:r w:rsidR="00A86E75" w:rsidRPr="002E7654">
              <w:rPr>
                <w:sz w:val="20"/>
                <w:szCs w:val="20"/>
              </w:rPr>
              <w:t>3</w:t>
            </w:r>
            <w:r w:rsidRPr="002E7654">
              <w:rPr>
                <w:sz w:val="20"/>
                <w:szCs w:val="20"/>
              </w:rPr>
              <w:t xml:space="preserve">. </w:t>
            </w:r>
            <w:r w:rsidR="00A86E75" w:rsidRPr="002E7654">
              <w:rPr>
                <w:sz w:val="20"/>
                <w:szCs w:val="20"/>
              </w:rPr>
              <w:t>WSP UK Limited.</w:t>
            </w:r>
          </w:p>
          <w:p w14:paraId="4C75B5DD" w14:textId="1E76B8F2" w:rsidR="00B42C71" w:rsidRPr="00E60404" w:rsidRDefault="00B42C71" w:rsidP="00874A98">
            <w:pPr>
              <w:keepNext w:val="0"/>
              <w:numPr>
                <w:ilvl w:val="0"/>
                <w:numId w:val="243"/>
              </w:numPr>
              <w:spacing w:before="0"/>
              <w:contextualSpacing/>
              <w:jc w:val="left"/>
              <w:rPr>
                <w:color w:val="auto"/>
                <w:sz w:val="20"/>
                <w:szCs w:val="20"/>
              </w:rPr>
            </w:pPr>
            <w:r w:rsidRPr="00B42C71">
              <w:rPr>
                <w:color w:val="auto"/>
                <w:sz w:val="20"/>
                <w:szCs w:val="20"/>
              </w:rPr>
              <w:t>Ashfield Biodiversity Opportunity Mapping Project 2016. Notts BAG.</w:t>
            </w:r>
          </w:p>
          <w:p w14:paraId="29ED4657" w14:textId="72BB389E" w:rsidR="002E7654" w:rsidRPr="002E7654" w:rsidRDefault="002E7654" w:rsidP="00874A98">
            <w:pPr>
              <w:pStyle w:val="ListParagraph"/>
              <w:numPr>
                <w:ilvl w:val="0"/>
                <w:numId w:val="243"/>
              </w:numPr>
              <w:jc w:val="left"/>
              <w:rPr>
                <w:color w:val="auto"/>
                <w:sz w:val="20"/>
                <w:szCs w:val="20"/>
              </w:rPr>
            </w:pPr>
            <w:r w:rsidRPr="002E7654">
              <w:rPr>
                <w:rFonts w:ascii="Arial" w:hAnsi="Arial"/>
                <w:color w:val="auto"/>
                <w:sz w:val="20"/>
                <w:szCs w:val="20"/>
                <w:lang w:eastAsia="en-GB"/>
              </w:rPr>
              <w:t>Ashfield Green &amp; Blue Infrastructure and Biodiversity Strategy. Ashfield District Council, 2022-2032.</w:t>
            </w:r>
          </w:p>
          <w:p w14:paraId="27F05826" w14:textId="0949E3F7" w:rsidR="003C4AE1" w:rsidRPr="002E7654" w:rsidRDefault="003C4AE1" w:rsidP="00874A98">
            <w:pPr>
              <w:pStyle w:val="ListParagraph"/>
              <w:numPr>
                <w:ilvl w:val="0"/>
                <w:numId w:val="243"/>
              </w:numPr>
              <w:jc w:val="left"/>
              <w:rPr>
                <w:rFonts w:ascii="Arial" w:hAnsi="Arial" w:cs="Arial"/>
                <w:color w:val="auto"/>
                <w:sz w:val="20"/>
                <w:szCs w:val="20"/>
              </w:rPr>
            </w:pPr>
            <w:r w:rsidRPr="002E7654">
              <w:rPr>
                <w:rFonts w:ascii="Arial" w:hAnsi="Arial" w:cs="Arial"/>
                <w:sz w:val="20"/>
                <w:szCs w:val="20"/>
              </w:rPr>
              <w:t xml:space="preserve">Ashfield Playing Pitch Strategy, </w:t>
            </w:r>
            <w:r w:rsidR="002E7654" w:rsidRPr="002E7654">
              <w:rPr>
                <w:rFonts w:ascii="Arial" w:hAnsi="Arial" w:cs="Arial"/>
                <w:sz w:val="20"/>
                <w:szCs w:val="20"/>
              </w:rPr>
              <w:t>2023</w:t>
            </w:r>
            <w:r w:rsidRPr="002E7654">
              <w:rPr>
                <w:rFonts w:ascii="Arial" w:hAnsi="Arial" w:cs="Arial"/>
                <w:sz w:val="20"/>
                <w:szCs w:val="20"/>
              </w:rPr>
              <w:t>.</w:t>
            </w:r>
          </w:p>
        </w:tc>
      </w:tr>
      <w:tr w:rsidR="00B42C71" w:rsidRPr="00B42C71" w14:paraId="4CDC0BAA" w14:textId="77777777" w:rsidTr="007C6CA4">
        <w:tc>
          <w:tcPr>
            <w:tcW w:w="2666" w:type="dxa"/>
          </w:tcPr>
          <w:p w14:paraId="234E63DA" w14:textId="77777777" w:rsidR="00B42C71" w:rsidRPr="00B42C71" w:rsidRDefault="00B42C71" w:rsidP="000032A9">
            <w:pPr>
              <w:keepNext w:val="0"/>
              <w:spacing w:before="0"/>
              <w:jc w:val="left"/>
              <w:rPr>
                <w:color w:val="auto"/>
                <w:sz w:val="20"/>
                <w:szCs w:val="20"/>
              </w:rPr>
            </w:pPr>
            <w:r w:rsidRPr="00B42C71">
              <w:rPr>
                <w:color w:val="auto"/>
                <w:sz w:val="20"/>
                <w:szCs w:val="20"/>
              </w:rPr>
              <w:t>National Planning Policy and Guidance</w:t>
            </w:r>
          </w:p>
        </w:tc>
        <w:tc>
          <w:tcPr>
            <w:tcW w:w="6962" w:type="dxa"/>
          </w:tcPr>
          <w:p w14:paraId="11596C87" w14:textId="7F17695B" w:rsidR="00B42C71" w:rsidRPr="00B42C71" w:rsidRDefault="00B42C71" w:rsidP="00874A98">
            <w:pPr>
              <w:keepNext w:val="0"/>
              <w:numPr>
                <w:ilvl w:val="0"/>
                <w:numId w:val="244"/>
              </w:numPr>
              <w:spacing w:before="0"/>
              <w:contextualSpacing/>
              <w:jc w:val="left"/>
              <w:rPr>
                <w:color w:val="auto"/>
                <w:sz w:val="20"/>
                <w:szCs w:val="20"/>
              </w:rPr>
            </w:pPr>
            <w:r w:rsidRPr="00B42C71">
              <w:rPr>
                <w:color w:val="auto"/>
                <w:sz w:val="20"/>
                <w:szCs w:val="20"/>
              </w:rPr>
              <w:t>NPPF 202</w:t>
            </w:r>
            <w:r w:rsidR="004173E0">
              <w:rPr>
                <w:color w:val="auto"/>
                <w:sz w:val="20"/>
                <w:szCs w:val="20"/>
              </w:rPr>
              <w:t>3</w:t>
            </w:r>
            <w:r w:rsidRPr="00B42C71">
              <w:rPr>
                <w:color w:val="auto"/>
                <w:sz w:val="20"/>
                <w:szCs w:val="20"/>
              </w:rPr>
              <w:t>, Part 2: Achieving sustainable development</w:t>
            </w:r>
          </w:p>
          <w:p w14:paraId="2EA531B7" w14:textId="4E921E78" w:rsidR="00B42C71" w:rsidRPr="00B42C71" w:rsidRDefault="00B42C71" w:rsidP="00874A98">
            <w:pPr>
              <w:keepNext w:val="0"/>
              <w:numPr>
                <w:ilvl w:val="0"/>
                <w:numId w:val="244"/>
              </w:numPr>
              <w:spacing w:before="0"/>
              <w:contextualSpacing/>
              <w:jc w:val="left"/>
              <w:rPr>
                <w:color w:val="auto"/>
                <w:sz w:val="20"/>
                <w:szCs w:val="20"/>
              </w:rPr>
            </w:pPr>
            <w:r w:rsidRPr="00B42C71">
              <w:rPr>
                <w:color w:val="auto"/>
                <w:sz w:val="20"/>
                <w:szCs w:val="20"/>
              </w:rPr>
              <w:t>NPPF 202</w:t>
            </w:r>
            <w:r w:rsidR="004173E0">
              <w:rPr>
                <w:color w:val="auto"/>
                <w:sz w:val="20"/>
                <w:szCs w:val="20"/>
              </w:rPr>
              <w:t>3</w:t>
            </w:r>
            <w:r w:rsidRPr="00B42C71">
              <w:rPr>
                <w:color w:val="auto"/>
                <w:sz w:val="20"/>
                <w:szCs w:val="20"/>
              </w:rPr>
              <w:t>, Part 15: Conserving and enhancing the natural environment</w:t>
            </w:r>
          </w:p>
          <w:p w14:paraId="1270F593" w14:textId="428384E1" w:rsidR="00B42C71" w:rsidRPr="002E7654" w:rsidRDefault="00B42C71" w:rsidP="00874A98">
            <w:pPr>
              <w:keepNext w:val="0"/>
              <w:numPr>
                <w:ilvl w:val="0"/>
                <w:numId w:val="244"/>
              </w:numPr>
              <w:spacing w:before="0"/>
              <w:contextualSpacing/>
              <w:jc w:val="left"/>
              <w:rPr>
                <w:sz w:val="20"/>
                <w:szCs w:val="20"/>
              </w:rPr>
            </w:pPr>
            <w:r w:rsidRPr="00B42C71">
              <w:rPr>
                <w:color w:val="auto"/>
                <w:sz w:val="20"/>
                <w:szCs w:val="20"/>
              </w:rPr>
              <w:t xml:space="preserve">Planning Practice Guidance: Open space, sports and recreational facilities, public rights of ways and local green space </w:t>
            </w:r>
            <w:r w:rsidRPr="002E7654">
              <w:rPr>
                <w:sz w:val="20"/>
                <w:szCs w:val="20"/>
              </w:rPr>
              <w:t xml:space="preserve">as of </w:t>
            </w:r>
            <w:r w:rsidR="00A86E75" w:rsidRPr="002E7654">
              <w:rPr>
                <w:sz w:val="20"/>
                <w:szCs w:val="20"/>
              </w:rPr>
              <w:t>March 2014</w:t>
            </w:r>
            <w:r w:rsidRPr="002E7654">
              <w:rPr>
                <w:sz w:val="20"/>
                <w:szCs w:val="20"/>
              </w:rPr>
              <w:t>.</w:t>
            </w:r>
          </w:p>
          <w:p w14:paraId="1289D5CE" w14:textId="77EEA049" w:rsidR="00B42C71" w:rsidRPr="00B42C71" w:rsidRDefault="00B42C71" w:rsidP="00874A98">
            <w:pPr>
              <w:keepNext w:val="0"/>
              <w:numPr>
                <w:ilvl w:val="0"/>
                <w:numId w:val="244"/>
              </w:numPr>
              <w:spacing w:before="0"/>
              <w:contextualSpacing/>
              <w:jc w:val="left"/>
              <w:rPr>
                <w:color w:val="auto"/>
                <w:sz w:val="20"/>
                <w:szCs w:val="20"/>
              </w:rPr>
            </w:pPr>
            <w:r w:rsidRPr="002E7654">
              <w:rPr>
                <w:sz w:val="20"/>
                <w:szCs w:val="20"/>
              </w:rPr>
              <w:t xml:space="preserve">Planning Practice Guidance: Natural environment as of </w:t>
            </w:r>
            <w:r w:rsidR="00A86E75" w:rsidRPr="002E7654">
              <w:rPr>
                <w:sz w:val="20"/>
                <w:szCs w:val="20"/>
              </w:rPr>
              <w:t>July 2019.</w:t>
            </w:r>
          </w:p>
        </w:tc>
      </w:tr>
    </w:tbl>
    <w:p w14:paraId="3C3145BC" w14:textId="77777777" w:rsidR="00B42C71" w:rsidRDefault="00B42C71" w:rsidP="006157E6">
      <w:pPr>
        <w:pStyle w:val="ListParagraph"/>
        <w:ind w:left="525"/>
        <w:rPr>
          <w:rFonts w:ascii="Arial" w:eastAsia="Arial" w:hAnsi="Arial" w:cs="Arial"/>
          <w:spacing w:val="-1"/>
          <w:szCs w:val="20"/>
          <w:lang w:eastAsia="en-GB"/>
        </w:rPr>
      </w:pPr>
    </w:p>
    <w:p w14:paraId="30917206" w14:textId="3B155BD8" w:rsidR="003F22C3" w:rsidRPr="00B42C71" w:rsidRDefault="003F22C3" w:rsidP="0059751A">
      <w:pPr>
        <w:pStyle w:val="ListParagraph"/>
        <w:numPr>
          <w:ilvl w:val="1"/>
          <w:numId w:val="5"/>
        </w:numPr>
        <w:tabs>
          <w:tab w:val="clear" w:pos="525"/>
        </w:tabs>
        <w:spacing w:after="0" w:line="240" w:lineRule="auto"/>
        <w:ind w:left="851" w:hanging="851"/>
        <w:rPr>
          <w:rFonts w:ascii="Arial" w:eastAsia="Arial" w:hAnsi="Arial" w:cs="Arial"/>
          <w:spacing w:val="-1"/>
          <w:szCs w:val="20"/>
          <w:lang w:eastAsia="en-GB"/>
        </w:rPr>
      </w:pPr>
      <w:r w:rsidRPr="00B42C71">
        <w:rPr>
          <w:rFonts w:ascii="Arial" w:eastAsia="Arial" w:hAnsi="Arial" w:cs="Arial"/>
          <w:spacing w:val="-1"/>
        </w:rPr>
        <w:t>Green Spaces contribute towards quality of life in the district through providing opportunities for formal and informal recreation. They also contribute towards the overall green infrastructure and the range of social, economic and environmental benefits this provides. Policy EV5 will increase opportunities for pursuing a healthy lifestyle, by maintaining and enhancing recreation opportunities, while also protecting the integrity of the Green Infrastructure network.</w:t>
      </w:r>
    </w:p>
    <w:p w14:paraId="56D0187C" w14:textId="77777777" w:rsidR="003F22C3" w:rsidRPr="00B42C71" w:rsidRDefault="003F22C3" w:rsidP="0059751A">
      <w:pPr>
        <w:keepNext w:val="0"/>
        <w:autoSpaceDE w:val="0"/>
        <w:autoSpaceDN w:val="0"/>
        <w:adjustRightInd w:val="0"/>
        <w:spacing w:before="0"/>
        <w:ind w:left="851" w:hanging="851"/>
        <w:rPr>
          <w:rFonts w:eastAsia="Arial" w:cs="Arial"/>
          <w:spacing w:val="-1"/>
        </w:rPr>
      </w:pPr>
    </w:p>
    <w:p w14:paraId="084831C1" w14:textId="20EB2D35" w:rsidR="003F22C3" w:rsidRPr="003F22C3" w:rsidRDefault="003F22C3" w:rsidP="0059751A">
      <w:pPr>
        <w:keepNext w:val="0"/>
        <w:numPr>
          <w:ilvl w:val="1"/>
          <w:numId w:val="5"/>
        </w:numPr>
        <w:autoSpaceDE w:val="0"/>
        <w:autoSpaceDN w:val="0"/>
        <w:adjustRightInd w:val="0"/>
        <w:spacing w:before="0"/>
        <w:ind w:left="851" w:hanging="851"/>
        <w:rPr>
          <w:rFonts w:eastAsia="Arial" w:cs="Arial"/>
          <w:spacing w:val="-1"/>
        </w:rPr>
      </w:pPr>
      <w:r w:rsidRPr="003F22C3">
        <w:rPr>
          <w:rFonts w:eastAsia="Arial" w:cs="Arial"/>
          <w:spacing w:val="-1"/>
        </w:rPr>
        <w:t xml:space="preserve">The current network of green spaces and recreation facilities within Ashfield’s towns and villages makes a significant contribution to their character and attractiveness. Green space takes many forms including town parks, formal gardens, country parks, informal woodland, restored landscapes, play areas, recreation grounds and sports facilities, school playing field, local small green spaces, green routes, reservoirs, allotments, cemeteries and church yards, undeveloped parcels of land, and semi-natural areas. Many provide important recreational and sporting facilities and whatever their size, function and accessibility they all contribute to local amenity and biodiversity. </w:t>
      </w:r>
    </w:p>
    <w:p w14:paraId="45802DAC" w14:textId="77777777" w:rsidR="006D4F49" w:rsidRDefault="006D4F49" w:rsidP="0059751A">
      <w:pPr>
        <w:keepNext w:val="0"/>
        <w:autoSpaceDE w:val="0"/>
        <w:autoSpaceDN w:val="0"/>
        <w:adjustRightInd w:val="0"/>
        <w:spacing w:before="0"/>
        <w:ind w:left="851" w:hanging="851"/>
        <w:rPr>
          <w:rFonts w:eastAsia="Arial" w:cs="Arial"/>
          <w:b/>
          <w:bCs/>
          <w:spacing w:val="-1"/>
        </w:rPr>
      </w:pPr>
    </w:p>
    <w:p w14:paraId="036FA641" w14:textId="0B0025EC" w:rsidR="003F22C3" w:rsidRPr="002E7654" w:rsidRDefault="0059751A" w:rsidP="0059751A">
      <w:pPr>
        <w:keepNext w:val="0"/>
        <w:autoSpaceDE w:val="0"/>
        <w:autoSpaceDN w:val="0"/>
        <w:adjustRightInd w:val="0"/>
        <w:spacing w:before="0"/>
        <w:ind w:left="851" w:hanging="131"/>
        <w:rPr>
          <w:rFonts w:eastAsia="Arial" w:cs="Arial"/>
          <w:b/>
          <w:bCs/>
          <w:spacing w:val="-1"/>
        </w:rPr>
      </w:pPr>
      <w:r>
        <w:rPr>
          <w:rFonts w:eastAsia="Arial" w:cs="Arial"/>
          <w:b/>
          <w:bCs/>
          <w:spacing w:val="-1"/>
        </w:rPr>
        <w:t xml:space="preserve">  </w:t>
      </w:r>
      <w:r w:rsidR="003F22C3" w:rsidRPr="003F22C3">
        <w:rPr>
          <w:rFonts w:eastAsia="Arial" w:cs="Arial"/>
          <w:b/>
          <w:bCs/>
          <w:spacing w:val="-1"/>
        </w:rPr>
        <w:t>Protection of Green Space</w:t>
      </w:r>
      <w:r w:rsidR="004E22B8">
        <w:rPr>
          <w:rFonts w:eastAsia="Arial" w:cs="Arial"/>
          <w:b/>
          <w:bCs/>
          <w:spacing w:val="-1"/>
        </w:rPr>
        <w:t xml:space="preserve"> </w:t>
      </w:r>
      <w:r w:rsidR="004E22B8" w:rsidRPr="002E7654">
        <w:rPr>
          <w:rFonts w:eastAsia="Arial" w:cs="Arial"/>
          <w:b/>
          <w:bCs/>
          <w:spacing w:val="-1"/>
        </w:rPr>
        <w:t>and Recreational Facilities</w:t>
      </w:r>
    </w:p>
    <w:p w14:paraId="6D49C36F" w14:textId="77777777" w:rsidR="003F22C3" w:rsidRPr="003F22C3" w:rsidRDefault="003F22C3" w:rsidP="0059751A">
      <w:pPr>
        <w:keepNext w:val="0"/>
        <w:numPr>
          <w:ilvl w:val="1"/>
          <w:numId w:val="5"/>
        </w:numPr>
        <w:autoSpaceDE w:val="0"/>
        <w:autoSpaceDN w:val="0"/>
        <w:adjustRightInd w:val="0"/>
        <w:spacing w:before="0"/>
        <w:ind w:left="851" w:hanging="851"/>
        <w:rPr>
          <w:rFonts w:eastAsia="Arial" w:cs="Arial"/>
          <w:spacing w:val="-1"/>
        </w:rPr>
      </w:pPr>
      <w:r w:rsidRPr="003F22C3">
        <w:rPr>
          <w:rFonts w:eastAsia="Arial" w:cs="Arial"/>
          <w:spacing w:val="-1"/>
        </w:rPr>
        <w:t>It is important to prevent the loss of green space where this would harm the character of a settlement or the visual quality of the locality. Sites are shown on the Policies Map and listed in Appendix 7.</w:t>
      </w:r>
    </w:p>
    <w:p w14:paraId="41DB5F87" w14:textId="77777777" w:rsidR="003F22C3" w:rsidRPr="003F22C3" w:rsidRDefault="003F22C3" w:rsidP="0059751A">
      <w:pPr>
        <w:keepNext w:val="0"/>
        <w:autoSpaceDE w:val="0"/>
        <w:autoSpaceDN w:val="0"/>
        <w:adjustRightInd w:val="0"/>
        <w:spacing w:before="0"/>
        <w:ind w:left="851" w:hanging="851"/>
        <w:rPr>
          <w:rFonts w:eastAsia="Arial" w:cs="Arial"/>
          <w:spacing w:val="-1"/>
        </w:rPr>
      </w:pPr>
    </w:p>
    <w:p w14:paraId="17EC8E98" w14:textId="26DA2A8A" w:rsidR="003F22C3" w:rsidRPr="003F22C3" w:rsidRDefault="003F22C3" w:rsidP="0059751A">
      <w:pPr>
        <w:keepNext w:val="0"/>
        <w:numPr>
          <w:ilvl w:val="1"/>
          <w:numId w:val="5"/>
        </w:numPr>
        <w:autoSpaceDE w:val="0"/>
        <w:autoSpaceDN w:val="0"/>
        <w:adjustRightInd w:val="0"/>
        <w:spacing w:before="0"/>
        <w:ind w:left="851" w:hanging="851"/>
        <w:rPr>
          <w:rFonts w:eastAsia="Arial" w:cs="Arial"/>
          <w:spacing w:val="-1"/>
        </w:rPr>
      </w:pPr>
      <w:r w:rsidRPr="003F22C3">
        <w:rPr>
          <w:rFonts w:eastAsia="Arial" w:cs="Arial"/>
          <w:spacing w:val="-1"/>
        </w:rPr>
        <w:t>Ashfield’s Public Open Space Strategy and Playing Pitch Strategy provides evidence on the existing green space network and its recreational values. It provides a basis for improving the quality and potential uses of green spaces to cater for increasing future demand arising from growth and the changing needs of the community. The Strategies set out standards for the provision of green spaces and identifies deficiencies in the quantity, quality or accessibility of green spaces.</w:t>
      </w:r>
      <w:r w:rsidR="003F7348">
        <w:rPr>
          <w:rFonts w:eastAsia="Arial" w:cs="Arial"/>
          <w:spacing w:val="-1"/>
        </w:rPr>
        <w:t xml:space="preserve">  </w:t>
      </w:r>
      <w:r w:rsidRPr="003F22C3">
        <w:rPr>
          <w:rFonts w:eastAsia="Arial" w:cs="Arial"/>
          <w:spacing w:val="-1"/>
        </w:rPr>
        <w:t>Prospective developers will be expected to make appropriate provision to address deficiencies in green spaces, and for the needs arising from their development, in accordance with these standards or subsequent review of standards.</w:t>
      </w:r>
    </w:p>
    <w:p w14:paraId="69271ACF" w14:textId="77777777" w:rsidR="003F22C3" w:rsidRPr="003F22C3" w:rsidRDefault="003F22C3" w:rsidP="0059751A">
      <w:pPr>
        <w:keepNext w:val="0"/>
        <w:autoSpaceDE w:val="0"/>
        <w:autoSpaceDN w:val="0"/>
        <w:adjustRightInd w:val="0"/>
        <w:spacing w:before="0"/>
        <w:ind w:left="851" w:hanging="851"/>
        <w:rPr>
          <w:rFonts w:eastAsia="Arial" w:cs="Arial"/>
          <w:spacing w:val="-1"/>
        </w:rPr>
      </w:pPr>
    </w:p>
    <w:p w14:paraId="1C3C5CE1" w14:textId="605B7A65" w:rsidR="003F22C3" w:rsidRPr="003F22C3" w:rsidRDefault="003F22C3" w:rsidP="0059751A">
      <w:pPr>
        <w:keepNext w:val="0"/>
        <w:numPr>
          <w:ilvl w:val="1"/>
          <w:numId w:val="5"/>
        </w:numPr>
        <w:autoSpaceDE w:val="0"/>
        <w:autoSpaceDN w:val="0"/>
        <w:adjustRightInd w:val="0"/>
        <w:spacing w:before="0"/>
        <w:ind w:left="851" w:hanging="851"/>
        <w:rPr>
          <w:rFonts w:eastAsia="Arial" w:cs="Arial"/>
          <w:spacing w:val="-1"/>
        </w:rPr>
      </w:pPr>
      <w:r w:rsidRPr="003F22C3">
        <w:rPr>
          <w:rFonts w:eastAsia="Arial" w:cs="Arial"/>
          <w:spacing w:val="-1"/>
        </w:rPr>
        <w:t xml:space="preserve">Outside the Main Urban Areas, </w:t>
      </w:r>
      <w:r w:rsidR="007556D5">
        <w:rPr>
          <w:rFonts w:eastAsia="Arial" w:cs="Arial"/>
          <w:spacing w:val="-1"/>
        </w:rPr>
        <w:t xml:space="preserve">Strategic Employment Areas, </w:t>
      </w:r>
      <w:r w:rsidRPr="003F22C3">
        <w:rPr>
          <w:rFonts w:eastAsia="Arial" w:cs="Arial"/>
          <w:spacing w:val="-1"/>
        </w:rPr>
        <w:t xml:space="preserve">Named </w:t>
      </w:r>
      <w:r w:rsidR="007556D5">
        <w:rPr>
          <w:rFonts w:eastAsia="Arial" w:cs="Arial"/>
          <w:spacing w:val="-1"/>
        </w:rPr>
        <w:t>Settlements and Blenheim Industrial Estate</w:t>
      </w:r>
      <w:r w:rsidRPr="003F22C3">
        <w:rPr>
          <w:rFonts w:eastAsia="Arial" w:cs="Arial"/>
          <w:spacing w:val="-1"/>
        </w:rPr>
        <w:t xml:space="preserve">, development proposals affecting green spaces or recreational facilities should initially comply with Policy EV1 - Green Belt and Policy EV2 – Countryside. These policies identify the limited types of development which may be appropriate in the rural parts of the District. </w:t>
      </w:r>
    </w:p>
    <w:p w14:paraId="52C3E9DF" w14:textId="77777777" w:rsidR="003F22C3" w:rsidRPr="003F22C3" w:rsidRDefault="003F22C3" w:rsidP="0059751A">
      <w:pPr>
        <w:keepNext w:val="0"/>
        <w:autoSpaceDE w:val="0"/>
        <w:autoSpaceDN w:val="0"/>
        <w:adjustRightInd w:val="0"/>
        <w:spacing w:before="0"/>
        <w:ind w:left="851" w:hanging="851"/>
        <w:rPr>
          <w:rFonts w:eastAsia="Arial" w:cs="Arial"/>
          <w:spacing w:val="-1"/>
        </w:rPr>
      </w:pPr>
    </w:p>
    <w:p w14:paraId="40EFEA73" w14:textId="77777777" w:rsidR="003F22C3" w:rsidRPr="003F22C3" w:rsidRDefault="003F22C3" w:rsidP="0059751A">
      <w:pPr>
        <w:keepNext w:val="0"/>
        <w:numPr>
          <w:ilvl w:val="1"/>
          <w:numId w:val="5"/>
        </w:numPr>
        <w:autoSpaceDE w:val="0"/>
        <w:autoSpaceDN w:val="0"/>
        <w:adjustRightInd w:val="0"/>
        <w:spacing w:before="0"/>
        <w:ind w:left="851" w:hanging="851"/>
        <w:rPr>
          <w:rFonts w:eastAsia="Arial" w:cs="Arial"/>
          <w:spacing w:val="-1"/>
        </w:rPr>
      </w:pPr>
      <w:r w:rsidRPr="003F22C3">
        <w:rPr>
          <w:rFonts w:eastAsia="Arial" w:cs="Arial"/>
          <w:spacing w:val="-1"/>
        </w:rPr>
        <w:t>Proposals which are ancillary to the recreation use of the site and which add to its recreation value such as football changing rooms or a cricket pavilion may be acceptable if they are sited to minimise effects on the open character of the area. On private green spaces in particular, it may be appropriate to allow limited development on a small part of the site where this would result in retention of the majority of the green space including upgrading of the facility and improved public use of the site.</w:t>
      </w:r>
    </w:p>
    <w:p w14:paraId="4F0220D5" w14:textId="77777777" w:rsidR="003F22C3" w:rsidRPr="003F22C3" w:rsidRDefault="003F22C3" w:rsidP="0059751A">
      <w:pPr>
        <w:keepNext w:val="0"/>
        <w:autoSpaceDE w:val="0"/>
        <w:autoSpaceDN w:val="0"/>
        <w:adjustRightInd w:val="0"/>
        <w:spacing w:before="0"/>
        <w:ind w:left="851" w:hanging="851"/>
        <w:rPr>
          <w:rFonts w:eastAsia="Arial" w:cs="Arial"/>
          <w:spacing w:val="-1"/>
        </w:rPr>
      </w:pPr>
    </w:p>
    <w:p w14:paraId="1FB26A2A" w14:textId="77777777" w:rsidR="003F22C3" w:rsidRPr="003F22C3" w:rsidRDefault="003F22C3" w:rsidP="0059751A">
      <w:pPr>
        <w:keepNext w:val="0"/>
        <w:autoSpaceDE w:val="0"/>
        <w:autoSpaceDN w:val="0"/>
        <w:adjustRightInd w:val="0"/>
        <w:spacing w:before="0"/>
        <w:ind w:left="851"/>
        <w:rPr>
          <w:rFonts w:eastAsia="Arial" w:cs="Arial"/>
          <w:b/>
          <w:bCs/>
          <w:spacing w:val="-1"/>
        </w:rPr>
      </w:pPr>
      <w:r w:rsidRPr="003F22C3">
        <w:rPr>
          <w:rFonts w:eastAsia="Arial" w:cs="Arial"/>
          <w:b/>
          <w:bCs/>
          <w:spacing w:val="-1"/>
        </w:rPr>
        <w:t>Protection of Other Green Space</w:t>
      </w:r>
    </w:p>
    <w:p w14:paraId="1A9F9E7C" w14:textId="77777777" w:rsidR="003F22C3" w:rsidRPr="003F22C3" w:rsidRDefault="003F22C3" w:rsidP="0059751A">
      <w:pPr>
        <w:keepNext w:val="0"/>
        <w:numPr>
          <w:ilvl w:val="1"/>
          <w:numId w:val="5"/>
        </w:numPr>
        <w:autoSpaceDE w:val="0"/>
        <w:autoSpaceDN w:val="0"/>
        <w:adjustRightInd w:val="0"/>
        <w:spacing w:before="0"/>
        <w:ind w:left="851" w:hanging="851"/>
        <w:rPr>
          <w:rFonts w:eastAsia="Arial" w:cs="Arial"/>
          <w:spacing w:val="-1"/>
        </w:rPr>
      </w:pPr>
      <w:r w:rsidRPr="003F22C3">
        <w:rPr>
          <w:rFonts w:eastAsia="Arial" w:cs="Arial"/>
          <w:spacing w:val="-1"/>
        </w:rPr>
        <w:t xml:space="preserve">In addition to the protection of accessible green space and recreational facilities, area EV5/206 to the south of Hucknall is considered to be an important area of green space. The area is important for several reasons including its effectiveness as a buffer between the existing development and the Hucknall Bypass (A611), and for its visual amenity within the built-up area.  </w:t>
      </w:r>
    </w:p>
    <w:p w14:paraId="788FAAA0" w14:textId="77777777" w:rsidR="003F22C3" w:rsidRPr="003F22C3" w:rsidRDefault="003F22C3" w:rsidP="0059751A">
      <w:pPr>
        <w:keepNext w:val="0"/>
        <w:autoSpaceDE w:val="0"/>
        <w:autoSpaceDN w:val="0"/>
        <w:adjustRightInd w:val="0"/>
        <w:spacing w:before="0"/>
        <w:ind w:left="851" w:hanging="851"/>
        <w:rPr>
          <w:rFonts w:eastAsia="Arial" w:cs="Arial"/>
          <w:spacing w:val="-1"/>
        </w:rPr>
      </w:pPr>
    </w:p>
    <w:p w14:paraId="3A91A314" w14:textId="77777777" w:rsidR="003F22C3" w:rsidRPr="003F22C3" w:rsidRDefault="003F22C3" w:rsidP="0059751A">
      <w:pPr>
        <w:keepNext w:val="0"/>
        <w:numPr>
          <w:ilvl w:val="1"/>
          <w:numId w:val="5"/>
        </w:numPr>
        <w:autoSpaceDE w:val="0"/>
        <w:autoSpaceDN w:val="0"/>
        <w:adjustRightInd w:val="0"/>
        <w:spacing w:before="0"/>
        <w:ind w:left="851" w:hanging="851"/>
        <w:rPr>
          <w:rFonts w:eastAsia="Arial" w:cs="Arial"/>
          <w:spacing w:val="-1"/>
        </w:rPr>
      </w:pPr>
      <w:r w:rsidRPr="003F22C3">
        <w:rPr>
          <w:rFonts w:eastAsia="Arial" w:cs="Arial"/>
          <w:spacing w:val="-1"/>
        </w:rPr>
        <w:t>The Council will resist the loss or fragmentation of other Green Spaces not identified on the Policies Map where it would harm the character of a settlement or the visual quality of the locality.  This approach accords with the Council’s Public Open Space Strategy aims and objectives, which state that adequate protection of other smaller, valuable green spaces should be introduced through the Local Plan process.</w:t>
      </w:r>
    </w:p>
    <w:p w14:paraId="0029FFED" w14:textId="77777777" w:rsidR="003F22C3" w:rsidRPr="003F22C3" w:rsidRDefault="003F22C3" w:rsidP="0059751A">
      <w:pPr>
        <w:keepNext w:val="0"/>
        <w:autoSpaceDE w:val="0"/>
        <w:autoSpaceDN w:val="0"/>
        <w:adjustRightInd w:val="0"/>
        <w:spacing w:before="0"/>
        <w:ind w:left="851" w:hanging="851"/>
        <w:rPr>
          <w:rFonts w:eastAsia="Arial" w:cs="Arial"/>
          <w:spacing w:val="-1"/>
        </w:rPr>
      </w:pPr>
    </w:p>
    <w:p w14:paraId="664BC96A" w14:textId="77777777" w:rsidR="003F22C3" w:rsidRPr="003F22C3" w:rsidRDefault="003F22C3" w:rsidP="0059751A">
      <w:pPr>
        <w:keepNext w:val="0"/>
        <w:autoSpaceDE w:val="0"/>
        <w:autoSpaceDN w:val="0"/>
        <w:adjustRightInd w:val="0"/>
        <w:spacing w:before="0"/>
        <w:ind w:left="851"/>
        <w:rPr>
          <w:rFonts w:eastAsia="Arial" w:cs="Arial"/>
          <w:b/>
          <w:bCs/>
          <w:spacing w:val="-1"/>
        </w:rPr>
      </w:pPr>
      <w:r w:rsidRPr="003F22C3">
        <w:rPr>
          <w:rFonts w:eastAsia="Arial" w:cs="Arial"/>
          <w:b/>
          <w:bCs/>
          <w:spacing w:val="-1"/>
        </w:rPr>
        <w:t>Exceptions</w:t>
      </w:r>
    </w:p>
    <w:p w14:paraId="047AC8B2" w14:textId="77777777" w:rsidR="003F22C3" w:rsidRPr="003F22C3" w:rsidRDefault="003F22C3" w:rsidP="0059751A">
      <w:pPr>
        <w:keepNext w:val="0"/>
        <w:numPr>
          <w:ilvl w:val="1"/>
          <w:numId w:val="5"/>
        </w:numPr>
        <w:autoSpaceDE w:val="0"/>
        <w:autoSpaceDN w:val="0"/>
        <w:adjustRightInd w:val="0"/>
        <w:spacing w:before="0"/>
        <w:ind w:left="851" w:hanging="851"/>
        <w:rPr>
          <w:rFonts w:eastAsia="Arial" w:cs="Arial"/>
          <w:spacing w:val="-1"/>
        </w:rPr>
      </w:pPr>
      <w:r w:rsidRPr="003F22C3">
        <w:rPr>
          <w:rFonts w:eastAsia="Arial" w:cs="Arial"/>
          <w:spacing w:val="-1"/>
        </w:rPr>
        <w:t xml:space="preserve">Existing green spaces and recreational facilities, including playing fields, should not be built on unless an assessment has been undertaken which clearly shows that the green space is surplus to requirement.  </w:t>
      </w:r>
    </w:p>
    <w:p w14:paraId="757206B7" w14:textId="77777777" w:rsidR="003F22C3" w:rsidRPr="003F22C3" w:rsidRDefault="003F22C3" w:rsidP="0059751A">
      <w:pPr>
        <w:keepNext w:val="0"/>
        <w:autoSpaceDE w:val="0"/>
        <w:autoSpaceDN w:val="0"/>
        <w:adjustRightInd w:val="0"/>
        <w:spacing w:before="0"/>
        <w:ind w:left="851" w:hanging="851"/>
        <w:rPr>
          <w:rFonts w:eastAsia="Arial" w:cs="Arial"/>
          <w:spacing w:val="-1"/>
        </w:rPr>
      </w:pPr>
    </w:p>
    <w:p w14:paraId="32788135" w14:textId="77777777" w:rsidR="003F22C3" w:rsidRPr="003F22C3" w:rsidRDefault="003F22C3" w:rsidP="0059751A">
      <w:pPr>
        <w:keepNext w:val="0"/>
        <w:numPr>
          <w:ilvl w:val="1"/>
          <w:numId w:val="5"/>
        </w:numPr>
        <w:autoSpaceDE w:val="0"/>
        <w:autoSpaceDN w:val="0"/>
        <w:adjustRightInd w:val="0"/>
        <w:spacing w:before="0"/>
        <w:ind w:left="851" w:hanging="851"/>
        <w:rPr>
          <w:rFonts w:eastAsia="Arial" w:cs="Arial"/>
          <w:spacing w:val="-1"/>
        </w:rPr>
      </w:pPr>
      <w:r w:rsidRPr="003F22C3">
        <w:rPr>
          <w:rFonts w:eastAsia="Arial" w:cs="Arial"/>
          <w:spacing w:val="-1"/>
        </w:rPr>
        <w:t xml:space="preserve">In some circumstances the loss of an area may be acceptable where a replacement facility is provided in the immediate locality serving the same local resident population. This may include, for instance, cases where a site is required to enable the comprehensive development of an area. Where replacement formal sports facilities such as football pitches are to be provided these should be available for use prior to loss of the ground or pitch to be replaced. This will be negotiated and secured through a Section 106 Planning Agreement. </w:t>
      </w:r>
    </w:p>
    <w:p w14:paraId="5401A94A" w14:textId="77777777" w:rsidR="003F22C3" w:rsidRPr="003F22C3" w:rsidRDefault="003F22C3" w:rsidP="0059751A">
      <w:pPr>
        <w:keepNext w:val="0"/>
        <w:autoSpaceDE w:val="0"/>
        <w:autoSpaceDN w:val="0"/>
        <w:adjustRightInd w:val="0"/>
        <w:spacing w:before="0"/>
        <w:ind w:left="851" w:hanging="851"/>
        <w:rPr>
          <w:rFonts w:eastAsia="Arial" w:cs="Arial"/>
          <w:spacing w:val="-1"/>
        </w:rPr>
      </w:pPr>
    </w:p>
    <w:p w14:paraId="5EC87052" w14:textId="77777777" w:rsidR="003F22C3" w:rsidRPr="003F22C3" w:rsidRDefault="003F22C3" w:rsidP="0059751A">
      <w:pPr>
        <w:keepNext w:val="0"/>
        <w:numPr>
          <w:ilvl w:val="1"/>
          <w:numId w:val="5"/>
        </w:numPr>
        <w:autoSpaceDE w:val="0"/>
        <w:autoSpaceDN w:val="0"/>
        <w:adjustRightInd w:val="0"/>
        <w:spacing w:before="0"/>
        <w:ind w:left="851" w:hanging="851"/>
        <w:rPr>
          <w:rFonts w:eastAsia="Arial" w:cs="Arial"/>
          <w:spacing w:val="-1"/>
        </w:rPr>
      </w:pPr>
      <w:r w:rsidRPr="003F22C3">
        <w:rPr>
          <w:rFonts w:eastAsia="Arial" w:cs="Arial"/>
          <w:spacing w:val="-1"/>
        </w:rPr>
        <w:t>Exceptionally, the loss of green space may also be acceptable where it is proposed to make a significant improvement in the type, quality and general availability of green space in the locality. This may include the loss of an area with restricted public access, or an area with no formal play provision and the subsequent improvement of an existing nearby area through the provision of formal sports facilities that are much needed in the locality and where general public access will be allowed. The loss of an existing area and subsequent provision of an off-site replacement or improvement of facilities will need to be negotiated with the Local Planning Authority and will be secured by a planning condition or developer contribution as appropriate.</w:t>
      </w:r>
    </w:p>
    <w:p w14:paraId="4A89DDF8" w14:textId="77777777" w:rsidR="003F22C3" w:rsidRPr="003F22C3" w:rsidRDefault="003F22C3" w:rsidP="0059751A">
      <w:pPr>
        <w:keepNext w:val="0"/>
        <w:autoSpaceDE w:val="0"/>
        <w:autoSpaceDN w:val="0"/>
        <w:adjustRightInd w:val="0"/>
        <w:spacing w:before="0"/>
        <w:ind w:left="851" w:hanging="851"/>
        <w:rPr>
          <w:rFonts w:eastAsia="Arial" w:cs="Arial"/>
          <w:spacing w:val="-1"/>
        </w:rPr>
      </w:pPr>
    </w:p>
    <w:p w14:paraId="26154751" w14:textId="5BB4C4CB" w:rsidR="003F22C3" w:rsidRPr="003F22C3" w:rsidRDefault="003F22C3" w:rsidP="0059751A">
      <w:pPr>
        <w:keepNext w:val="0"/>
        <w:numPr>
          <w:ilvl w:val="1"/>
          <w:numId w:val="5"/>
        </w:numPr>
        <w:autoSpaceDE w:val="0"/>
        <w:autoSpaceDN w:val="0"/>
        <w:adjustRightInd w:val="0"/>
        <w:spacing w:before="0"/>
        <w:ind w:left="851" w:hanging="851"/>
        <w:rPr>
          <w:rFonts w:eastAsia="Arial" w:cs="Arial"/>
          <w:spacing w:val="-1"/>
        </w:rPr>
      </w:pPr>
      <w:r w:rsidRPr="003F22C3">
        <w:rPr>
          <w:rFonts w:eastAsia="Arial" w:cs="Arial"/>
          <w:spacing w:val="-1"/>
        </w:rPr>
        <w:t>The Council will resist the loss or fragmentation of green space and recreation facilities identified on the Policies Map and listed in Appendix 7; and other green space not identified on the Policies Map which contribute to the distinctive form, character and setting of a settlement or an area. This approach accords with the Council’s Public Open Space Strategy aims and objectives, which state that adequate protection of smaller, valuable green spaces should be introduced through the Local Plan process.</w:t>
      </w:r>
    </w:p>
    <w:p w14:paraId="390A61BA" w14:textId="3551DA88" w:rsidR="003F22C3" w:rsidRPr="00B33D71" w:rsidRDefault="003F22C3" w:rsidP="002E7654">
      <w:pPr>
        <w:keepNext w:val="0"/>
        <w:autoSpaceDE w:val="0"/>
        <w:autoSpaceDN w:val="0"/>
        <w:adjustRightInd w:val="0"/>
        <w:spacing w:before="0"/>
        <w:rPr>
          <w:rFonts w:eastAsia="Arial" w:cs="Arial"/>
          <w:strike/>
          <w:spacing w:val="-1"/>
        </w:rPr>
      </w:pPr>
    </w:p>
    <w:p w14:paraId="55ED2E25" w14:textId="489B1D0E" w:rsidR="003F22C3" w:rsidRPr="003F22C3" w:rsidRDefault="003F22C3" w:rsidP="0059751A">
      <w:pPr>
        <w:keepNext w:val="0"/>
        <w:numPr>
          <w:ilvl w:val="1"/>
          <w:numId w:val="5"/>
        </w:numPr>
        <w:autoSpaceDE w:val="0"/>
        <w:autoSpaceDN w:val="0"/>
        <w:adjustRightInd w:val="0"/>
        <w:spacing w:before="0"/>
        <w:ind w:left="851" w:hanging="851"/>
        <w:rPr>
          <w:rFonts w:eastAsia="Arial" w:cs="Arial"/>
          <w:spacing w:val="-1"/>
        </w:rPr>
      </w:pPr>
      <w:r w:rsidRPr="003F22C3">
        <w:rPr>
          <w:rFonts w:eastAsia="Arial" w:cs="Arial"/>
          <w:spacing w:val="-1"/>
        </w:rPr>
        <w:t xml:space="preserve">Where the educational use of </w:t>
      </w:r>
      <w:r w:rsidR="00B33D71" w:rsidRPr="002E7654">
        <w:rPr>
          <w:rFonts w:eastAsia="Arial" w:cs="Arial"/>
          <w:spacing w:val="-1"/>
        </w:rPr>
        <w:t>a</w:t>
      </w:r>
      <w:r w:rsidR="00B33D71">
        <w:rPr>
          <w:rFonts w:eastAsia="Arial" w:cs="Arial"/>
          <w:color w:val="4472C4" w:themeColor="accent1"/>
          <w:spacing w:val="-1"/>
        </w:rPr>
        <w:t xml:space="preserve"> </w:t>
      </w:r>
      <w:r w:rsidRPr="003F22C3">
        <w:rPr>
          <w:rFonts w:eastAsia="Arial" w:cs="Arial"/>
          <w:spacing w:val="-1"/>
        </w:rPr>
        <w:t>site ceases, proposals for the development of its playing fields will only be considered favourably where it can be demonstrated to meet the criteria set out in Policy EV5.</w:t>
      </w:r>
    </w:p>
    <w:p w14:paraId="431DB000" w14:textId="61650AEE" w:rsidR="003B5B6A" w:rsidRDefault="003B5B6A" w:rsidP="0059751A">
      <w:pPr>
        <w:keepNext w:val="0"/>
        <w:autoSpaceDE w:val="0"/>
        <w:autoSpaceDN w:val="0"/>
        <w:adjustRightInd w:val="0"/>
        <w:spacing w:before="0"/>
        <w:ind w:left="851" w:hanging="851"/>
        <w:rPr>
          <w:rFonts w:eastAsia="Arial" w:cs="Arial"/>
          <w:spacing w:val="-1"/>
        </w:rPr>
      </w:pPr>
    </w:p>
    <w:p w14:paraId="61D1063D" w14:textId="77777777" w:rsidR="00E36A67" w:rsidRPr="00E36A67" w:rsidRDefault="00E36A67" w:rsidP="00E36A67">
      <w:pPr>
        <w:pStyle w:val="ListParagraph"/>
        <w:spacing w:after="0" w:line="240" w:lineRule="auto"/>
        <w:ind w:left="851"/>
        <w:rPr>
          <w:rFonts w:ascii="Arial" w:eastAsia="Arial" w:hAnsi="Arial" w:cs="Arial"/>
          <w:b/>
          <w:bCs/>
          <w:color w:val="auto"/>
          <w:spacing w:val="-1"/>
        </w:rPr>
      </w:pPr>
      <w:r w:rsidRPr="00E36A67">
        <w:rPr>
          <w:rFonts w:ascii="Arial" w:eastAsia="Arial" w:hAnsi="Arial" w:cs="Arial"/>
          <w:b/>
          <w:bCs/>
          <w:color w:val="auto"/>
          <w:spacing w:val="-1"/>
        </w:rPr>
        <w:t>Flood Resilience Scheme within Green Spaces</w:t>
      </w:r>
    </w:p>
    <w:p w14:paraId="2AE9464D" w14:textId="77777777" w:rsidR="00E36A67" w:rsidRPr="00E36A67" w:rsidRDefault="00E36A67" w:rsidP="00E36A67">
      <w:pPr>
        <w:keepNext w:val="0"/>
        <w:numPr>
          <w:ilvl w:val="1"/>
          <w:numId w:val="5"/>
        </w:numPr>
        <w:autoSpaceDE w:val="0"/>
        <w:autoSpaceDN w:val="0"/>
        <w:adjustRightInd w:val="0"/>
        <w:spacing w:before="0"/>
        <w:ind w:left="851" w:hanging="851"/>
        <w:rPr>
          <w:rFonts w:eastAsia="Arial" w:cs="Arial"/>
          <w:color w:val="auto"/>
          <w:spacing w:val="-1"/>
          <w:szCs w:val="24"/>
        </w:rPr>
      </w:pPr>
      <w:r w:rsidRPr="00E36A67">
        <w:rPr>
          <w:color w:val="auto"/>
          <w:szCs w:val="24"/>
        </w:rPr>
        <w:t>Green spaces can provide suitable locations for schemes such as flood alleviation schemes to be delivered without adversely impacting on the primary function of the green space. If the correct scheme is chosen, the flood alleviation schemes can result in additional benefits to the local green space through biodiversity and amenity benefits.</w:t>
      </w:r>
    </w:p>
    <w:p w14:paraId="64C5844D" w14:textId="30736682" w:rsidR="007556D5" w:rsidRDefault="007556D5">
      <w:pPr>
        <w:keepNext w:val="0"/>
        <w:spacing w:before="0"/>
        <w:rPr>
          <w:rFonts w:eastAsia="Arial" w:cs="Arial"/>
          <w:spacing w:val="-1"/>
        </w:rPr>
      </w:pPr>
      <w:r>
        <w:rPr>
          <w:rFonts w:eastAsia="Arial" w:cs="Arial"/>
          <w:spacing w:val="-1"/>
        </w:rPr>
        <w:br w:type="page"/>
      </w:r>
    </w:p>
    <w:p w14:paraId="6EC01A62" w14:textId="77A8F628" w:rsidR="00A75D60" w:rsidRPr="00995322" w:rsidRDefault="006977E7" w:rsidP="00995322">
      <w:pPr>
        <w:pStyle w:val="Heading2"/>
        <w:jc w:val="left"/>
        <w:rPr>
          <w:rFonts w:eastAsia="Arial"/>
          <w:sz w:val="28"/>
          <w:szCs w:val="28"/>
        </w:rPr>
      </w:pPr>
      <w:bookmarkStart w:id="171" w:name="_Toc500408758"/>
      <w:bookmarkStart w:id="172" w:name="_Toc145511580"/>
      <w:r w:rsidRPr="00995322">
        <w:rPr>
          <w:rFonts w:eastAsia="Arial"/>
          <w:spacing w:val="-1"/>
          <w:sz w:val="28"/>
          <w:szCs w:val="28"/>
        </w:rPr>
        <w:t xml:space="preserve">Policy </w:t>
      </w:r>
      <w:r w:rsidR="00A75D60" w:rsidRPr="00995322">
        <w:rPr>
          <w:rFonts w:eastAsia="Arial"/>
          <w:spacing w:val="-1"/>
          <w:sz w:val="28"/>
          <w:szCs w:val="28"/>
        </w:rPr>
        <w:t xml:space="preserve">EV6: </w:t>
      </w:r>
      <w:r w:rsidR="00A75D60" w:rsidRPr="00995322">
        <w:rPr>
          <w:rFonts w:eastAsia="Arial"/>
          <w:sz w:val="28"/>
          <w:szCs w:val="28"/>
        </w:rPr>
        <w:t>Trees, Woodland and Hedgerows</w:t>
      </w:r>
      <w:bookmarkEnd w:id="171"/>
      <w:bookmarkEnd w:id="172"/>
    </w:p>
    <w:p w14:paraId="4F74AF42" w14:textId="77777777" w:rsidR="00716B08" w:rsidRDefault="00716B08" w:rsidP="0059751A">
      <w:pPr>
        <w:keepNext w:val="0"/>
        <w:autoSpaceDE w:val="0"/>
        <w:autoSpaceDN w:val="0"/>
        <w:adjustRightInd w:val="0"/>
        <w:spacing w:before="0"/>
        <w:ind w:left="851" w:hanging="851"/>
        <w:rPr>
          <w:rFonts w:eastAsia="Arial" w:cs="Arial"/>
          <w:spacing w:val="-1"/>
        </w:rPr>
      </w:pPr>
    </w:p>
    <w:p w14:paraId="4E0A4B06" w14:textId="57DD120C" w:rsidR="003B5B6A" w:rsidRDefault="00A75D60" w:rsidP="0059751A">
      <w:pPr>
        <w:keepNext w:val="0"/>
        <w:numPr>
          <w:ilvl w:val="1"/>
          <w:numId w:val="5"/>
        </w:numPr>
        <w:autoSpaceDE w:val="0"/>
        <w:autoSpaceDN w:val="0"/>
        <w:adjustRightInd w:val="0"/>
        <w:spacing w:before="0"/>
        <w:ind w:left="851" w:hanging="851"/>
        <w:rPr>
          <w:rFonts w:eastAsia="Arial" w:cs="Arial"/>
          <w:spacing w:val="-1"/>
        </w:rPr>
      </w:pPr>
      <w:r w:rsidRPr="00A75D60">
        <w:rPr>
          <w:rFonts w:eastAsia="Arial" w:cs="Arial"/>
          <w:spacing w:val="-1"/>
        </w:rPr>
        <w:t>This policy is intended to protect the natural environment, including biodiversity, by minimising the loss of trees, woodlands and hedgerows where development is proposed.</w:t>
      </w:r>
    </w:p>
    <w:p w14:paraId="1DBC5267" w14:textId="77777777" w:rsidR="00263F59" w:rsidRPr="00B42C71" w:rsidRDefault="00263F59" w:rsidP="00B42C71">
      <w:pPr>
        <w:keepNext w:val="0"/>
        <w:spacing w:before="0" w:after="160" w:line="252" w:lineRule="auto"/>
        <w:jc w:val="both"/>
        <w:rPr>
          <w:rFonts w:eastAsia="Calibri"/>
          <w:color w:val="auto"/>
          <w:szCs w:val="22"/>
        </w:rPr>
      </w:pPr>
      <w:bookmarkStart w:id="173" w:name="_Hlk108693146"/>
    </w:p>
    <w:tbl>
      <w:tblPr>
        <w:tblStyle w:val="TableGrid9"/>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385"/>
        <w:gridCol w:w="7234"/>
      </w:tblGrid>
      <w:tr w:rsidR="00B42C71" w:rsidRPr="00B42C71" w14:paraId="7FF2C4F4" w14:textId="77777777" w:rsidTr="007C6CA4">
        <w:tc>
          <w:tcPr>
            <w:tcW w:w="9742" w:type="dxa"/>
            <w:gridSpan w:val="2"/>
          </w:tcPr>
          <w:p w14:paraId="616D237E" w14:textId="77777777" w:rsidR="007C6CA4" w:rsidRDefault="007C6CA4" w:rsidP="00FF3EAD">
            <w:pPr>
              <w:keepNext w:val="0"/>
              <w:spacing w:before="0"/>
              <w:jc w:val="left"/>
              <w:rPr>
                <w:b/>
                <w:bCs/>
                <w:color w:val="auto"/>
              </w:rPr>
            </w:pPr>
          </w:p>
          <w:p w14:paraId="1492935A" w14:textId="562B97D8" w:rsidR="00B42C71" w:rsidRDefault="00B42C71" w:rsidP="00FF3EAD">
            <w:pPr>
              <w:keepNext w:val="0"/>
              <w:spacing w:before="0"/>
              <w:jc w:val="left"/>
              <w:rPr>
                <w:b/>
                <w:bCs/>
                <w:color w:val="auto"/>
              </w:rPr>
            </w:pPr>
            <w:r w:rsidRPr="00B42C71">
              <w:rPr>
                <w:b/>
                <w:bCs/>
                <w:color w:val="auto"/>
              </w:rPr>
              <w:t>Policy EV6: Trees, Woodland and Hedgerows</w:t>
            </w:r>
          </w:p>
          <w:p w14:paraId="1865441D" w14:textId="24B6D192" w:rsidR="007C6CA4" w:rsidRPr="00B42C71" w:rsidRDefault="007C6CA4" w:rsidP="00FF3EAD">
            <w:pPr>
              <w:keepNext w:val="0"/>
              <w:spacing w:before="0"/>
              <w:jc w:val="left"/>
              <w:rPr>
                <w:b/>
                <w:bCs/>
                <w:color w:val="auto"/>
              </w:rPr>
            </w:pPr>
          </w:p>
        </w:tc>
      </w:tr>
      <w:tr w:rsidR="00B42C71" w:rsidRPr="00B42C71" w14:paraId="3C13010B" w14:textId="77777777" w:rsidTr="007C6CA4">
        <w:tc>
          <w:tcPr>
            <w:tcW w:w="2405" w:type="dxa"/>
          </w:tcPr>
          <w:p w14:paraId="1F7ABC3A" w14:textId="77777777" w:rsidR="00B42C71" w:rsidRPr="00B42C71" w:rsidRDefault="00B42C71" w:rsidP="00FF3EAD">
            <w:pPr>
              <w:keepNext w:val="0"/>
              <w:spacing w:before="0"/>
              <w:jc w:val="left"/>
              <w:rPr>
                <w:color w:val="auto"/>
              </w:rPr>
            </w:pPr>
            <w:r w:rsidRPr="00B42C71">
              <w:rPr>
                <w:color w:val="auto"/>
              </w:rPr>
              <w:t>Strategic Objectives</w:t>
            </w:r>
          </w:p>
        </w:tc>
        <w:tc>
          <w:tcPr>
            <w:tcW w:w="7337" w:type="dxa"/>
          </w:tcPr>
          <w:p w14:paraId="4293D303" w14:textId="77777777" w:rsidR="00B42C71" w:rsidRPr="00B42C71" w:rsidRDefault="00B42C71" w:rsidP="00FF3EAD">
            <w:pPr>
              <w:keepNext w:val="0"/>
              <w:spacing w:before="0"/>
              <w:jc w:val="left"/>
              <w:rPr>
                <w:color w:val="auto"/>
              </w:rPr>
            </w:pPr>
            <w:r w:rsidRPr="00B42C71">
              <w:rPr>
                <w:color w:val="auto"/>
              </w:rPr>
              <w:t>SO1, SO4, SO5, SO11, SO13, SO14.</w:t>
            </w:r>
          </w:p>
        </w:tc>
      </w:tr>
      <w:tr w:rsidR="00B42C71" w:rsidRPr="00B42C71" w14:paraId="24615D41" w14:textId="77777777" w:rsidTr="007C6CA4">
        <w:tc>
          <w:tcPr>
            <w:tcW w:w="9742" w:type="dxa"/>
            <w:gridSpan w:val="2"/>
            <w:shd w:val="clear" w:color="auto" w:fill="E2EFD9"/>
          </w:tcPr>
          <w:p w14:paraId="401BCC80" w14:textId="77777777" w:rsidR="00B42C71" w:rsidRPr="00B42C71" w:rsidRDefault="00B42C71" w:rsidP="00FF3EAD">
            <w:pPr>
              <w:keepNext w:val="0"/>
              <w:spacing w:before="0"/>
              <w:jc w:val="left"/>
              <w:rPr>
                <w:color w:val="auto"/>
              </w:rPr>
            </w:pPr>
          </w:p>
          <w:p w14:paraId="4772C2BC" w14:textId="482292BB" w:rsidR="00B42C71" w:rsidRDefault="00B42C71" w:rsidP="00874A98">
            <w:pPr>
              <w:keepNext w:val="0"/>
              <w:numPr>
                <w:ilvl w:val="0"/>
                <w:numId w:val="250"/>
              </w:numPr>
              <w:spacing w:before="0"/>
              <w:contextualSpacing/>
              <w:jc w:val="left"/>
              <w:rPr>
                <w:color w:val="auto"/>
              </w:rPr>
            </w:pPr>
            <w:r w:rsidRPr="002E7654">
              <w:rPr>
                <w:color w:val="auto"/>
              </w:rPr>
              <w:t>New development shall make provision for tree retention and planting within the application site, particularly on the street frontage</w:t>
            </w:r>
            <w:r w:rsidR="008852C8" w:rsidRPr="002E7654">
              <w:rPr>
                <w:color w:val="auto"/>
              </w:rPr>
              <w:t>s</w:t>
            </w:r>
            <w:r w:rsidRPr="002E7654">
              <w:rPr>
                <w:color w:val="auto"/>
              </w:rPr>
              <w:t xml:space="preserve">, or off-site in appropriate situations, to improve the level of tree coverage within the District. </w:t>
            </w:r>
          </w:p>
          <w:p w14:paraId="23A424BB" w14:textId="77777777" w:rsidR="002E7654" w:rsidRPr="002E7654" w:rsidRDefault="002E7654" w:rsidP="002E7654">
            <w:pPr>
              <w:keepNext w:val="0"/>
              <w:spacing w:before="0"/>
              <w:ind w:left="360"/>
              <w:contextualSpacing/>
              <w:jc w:val="left"/>
              <w:rPr>
                <w:color w:val="auto"/>
              </w:rPr>
            </w:pPr>
          </w:p>
          <w:p w14:paraId="18A56F94" w14:textId="77777777" w:rsidR="00B42C71" w:rsidRPr="00B42C71" w:rsidRDefault="00B42C71" w:rsidP="00874A98">
            <w:pPr>
              <w:keepNext w:val="0"/>
              <w:numPr>
                <w:ilvl w:val="0"/>
                <w:numId w:val="250"/>
              </w:numPr>
              <w:spacing w:before="0"/>
              <w:contextualSpacing/>
              <w:jc w:val="left"/>
              <w:rPr>
                <w:color w:val="auto"/>
              </w:rPr>
            </w:pPr>
            <w:r w:rsidRPr="00B42C71">
              <w:rPr>
                <w:color w:val="auto"/>
              </w:rPr>
              <w:t>Development proposals will not be permitted where they would:</w:t>
            </w:r>
          </w:p>
          <w:p w14:paraId="1DB64CF8" w14:textId="77777777" w:rsidR="00B42C71" w:rsidRPr="00B42C71" w:rsidRDefault="00B42C71" w:rsidP="00FF3EAD">
            <w:pPr>
              <w:keepNext w:val="0"/>
              <w:spacing w:before="0"/>
              <w:ind w:left="720"/>
              <w:contextualSpacing/>
              <w:jc w:val="left"/>
              <w:rPr>
                <w:color w:val="auto"/>
              </w:rPr>
            </w:pPr>
          </w:p>
          <w:p w14:paraId="75B39584" w14:textId="542281F4" w:rsidR="00B42C71" w:rsidRPr="00985BCC" w:rsidRDefault="00B42C71" w:rsidP="00874A98">
            <w:pPr>
              <w:keepNext w:val="0"/>
              <w:numPr>
                <w:ilvl w:val="0"/>
                <w:numId w:val="251"/>
              </w:numPr>
              <w:spacing w:before="0"/>
              <w:contextualSpacing/>
              <w:jc w:val="left"/>
              <w:rPr>
                <w:strike/>
              </w:rPr>
            </w:pPr>
            <w:r w:rsidRPr="00985BCC">
              <w:t xml:space="preserve">Result in the loss </w:t>
            </w:r>
            <w:r w:rsidR="00182A46" w:rsidRPr="00985BCC">
              <w:t xml:space="preserve">or deterioration </w:t>
            </w:r>
            <w:r w:rsidRPr="00985BCC">
              <w:t>of Ancient Woodland</w:t>
            </w:r>
            <w:r w:rsidR="00182A46" w:rsidRPr="00985BCC">
              <w:t xml:space="preserve"> and ancient</w:t>
            </w:r>
            <w:r w:rsidR="00F3137E" w:rsidRPr="00985BCC">
              <w:t xml:space="preserve">, </w:t>
            </w:r>
            <w:r w:rsidRPr="00985BCC">
              <w:t>aged or veteran</w:t>
            </w:r>
            <w:r w:rsidR="00182A46" w:rsidRPr="00985BCC">
              <w:t xml:space="preserve"> trees</w:t>
            </w:r>
            <w:r w:rsidRPr="00985BCC">
              <w:t xml:space="preserve">, </w:t>
            </w:r>
            <w:r w:rsidR="00182A46" w:rsidRPr="00985BCC">
              <w:t xml:space="preserve">unless there are wholly exceptional circumstances and a suitable compensation strategy exists; </w:t>
            </w:r>
          </w:p>
          <w:p w14:paraId="057BD77A" w14:textId="77777777" w:rsidR="00B42C71" w:rsidRPr="00985BCC" w:rsidRDefault="00B42C71" w:rsidP="00FF3EAD">
            <w:pPr>
              <w:keepNext w:val="0"/>
              <w:spacing w:before="0"/>
              <w:ind w:left="720"/>
              <w:contextualSpacing/>
              <w:jc w:val="left"/>
            </w:pPr>
          </w:p>
          <w:p w14:paraId="2FA48392" w14:textId="533BFDA7" w:rsidR="00B42C71" w:rsidRPr="00985BCC" w:rsidRDefault="00B42C71" w:rsidP="00874A98">
            <w:pPr>
              <w:keepNext w:val="0"/>
              <w:numPr>
                <w:ilvl w:val="0"/>
                <w:numId w:val="251"/>
              </w:numPr>
              <w:spacing w:before="0"/>
              <w:contextualSpacing/>
              <w:jc w:val="left"/>
            </w:pPr>
            <w:r w:rsidRPr="00985BCC">
              <w:t>Give rise to a threat to the continued wellbeing of trees</w:t>
            </w:r>
            <w:r w:rsidR="00B25A3A" w:rsidRPr="00985BCC">
              <w:t xml:space="preserve"> or</w:t>
            </w:r>
            <w:r w:rsidRPr="00985BCC">
              <w:t xml:space="preserve"> woodland</w:t>
            </w:r>
            <w:r w:rsidR="00B25A3A" w:rsidRPr="00985BCC">
              <w:t xml:space="preserve"> which are subject to a Tree Preservation Order, in a Conservation Area,</w:t>
            </w:r>
            <w:r w:rsidRPr="00985BCC">
              <w:t xml:space="preserve"> or</w:t>
            </w:r>
            <w:r w:rsidR="00B25A3A" w:rsidRPr="00985BCC">
              <w:t xml:space="preserve"> are</w:t>
            </w:r>
            <w:r w:rsidRPr="00985BCC">
              <w:t xml:space="preserve"> </w:t>
            </w:r>
            <w:r w:rsidR="00AD2C99" w:rsidRPr="00985BCC">
              <w:t xml:space="preserve">trees or </w:t>
            </w:r>
            <w:r w:rsidRPr="00985BCC">
              <w:t>hedgerows of visual, historic or nature conservation value; or</w:t>
            </w:r>
            <w:r w:rsidR="00B25A3A" w:rsidRPr="00985BCC">
              <w:t xml:space="preserve"> where development is </w:t>
            </w:r>
            <w:r w:rsidRPr="00985BCC">
              <w:t>within the canopy or root zone of trees considered worthy of retention, unless:</w:t>
            </w:r>
          </w:p>
          <w:p w14:paraId="55584537" w14:textId="77777777" w:rsidR="00B42C71" w:rsidRPr="00985BCC" w:rsidRDefault="00B42C71" w:rsidP="00FF3EAD">
            <w:pPr>
              <w:keepNext w:val="0"/>
              <w:spacing w:before="0"/>
              <w:ind w:left="360"/>
              <w:contextualSpacing/>
              <w:jc w:val="left"/>
            </w:pPr>
          </w:p>
          <w:p w14:paraId="36642C44" w14:textId="46FAC02D" w:rsidR="00B42C71" w:rsidRPr="00985BCC" w:rsidRDefault="00B42C71" w:rsidP="00874A98">
            <w:pPr>
              <w:keepNext w:val="0"/>
              <w:numPr>
                <w:ilvl w:val="0"/>
                <w:numId w:val="252"/>
              </w:numPr>
              <w:spacing w:before="0"/>
              <w:contextualSpacing/>
              <w:jc w:val="left"/>
              <w:rPr>
                <w:strike/>
              </w:rPr>
            </w:pPr>
            <w:r w:rsidRPr="00985BCC">
              <w:t xml:space="preserve">there are sound </w:t>
            </w:r>
            <w:r w:rsidR="009D1815" w:rsidRPr="00985BCC">
              <w:t>arboriculture</w:t>
            </w:r>
            <w:r w:rsidRPr="00985BCC">
              <w:t xml:space="preserve"> reasons </w:t>
            </w:r>
            <w:r w:rsidR="00F33901" w:rsidRPr="00985BCC">
              <w:t>for the removal of trees or hedgerows; or</w:t>
            </w:r>
          </w:p>
          <w:p w14:paraId="587DE3AC" w14:textId="77777777" w:rsidR="00541C83" w:rsidRPr="00985BCC" w:rsidRDefault="00541C83" w:rsidP="00541C83">
            <w:pPr>
              <w:keepNext w:val="0"/>
              <w:spacing w:before="0"/>
              <w:ind w:left="1080"/>
              <w:contextualSpacing/>
              <w:jc w:val="left"/>
            </w:pPr>
          </w:p>
          <w:p w14:paraId="759505BD" w14:textId="69EF0CD6" w:rsidR="00F3137E" w:rsidRPr="00985BCC" w:rsidRDefault="00B42C71" w:rsidP="00874A98">
            <w:pPr>
              <w:keepNext w:val="0"/>
              <w:numPr>
                <w:ilvl w:val="0"/>
                <w:numId w:val="252"/>
              </w:numPr>
              <w:spacing w:before="0"/>
              <w:contextualSpacing/>
              <w:jc w:val="left"/>
            </w:pPr>
            <w:r w:rsidRPr="00985BCC">
              <w:t>the work would enable development to take place that would bring sufficient benefits that clearly outweigh the loss of the trees, woodland or hedges concerned</w:t>
            </w:r>
            <w:r w:rsidR="007C76CF" w:rsidRPr="00985BCC">
              <w:t>;</w:t>
            </w:r>
            <w:r w:rsidRPr="00985BCC">
              <w:t xml:space="preserve"> </w:t>
            </w:r>
            <w:r w:rsidR="00F33901" w:rsidRPr="00985BCC">
              <w:t>and</w:t>
            </w:r>
          </w:p>
          <w:p w14:paraId="5D9BBC0D" w14:textId="77777777" w:rsidR="00F3137E" w:rsidRPr="00985BCC" w:rsidRDefault="00F3137E" w:rsidP="00F3137E">
            <w:pPr>
              <w:keepNext w:val="0"/>
              <w:spacing w:before="0"/>
              <w:contextualSpacing/>
              <w:jc w:val="left"/>
            </w:pPr>
          </w:p>
          <w:p w14:paraId="3C030C03" w14:textId="508CA150" w:rsidR="00B42C71" w:rsidRPr="00985BCC" w:rsidRDefault="00F3137E" w:rsidP="00874A98">
            <w:pPr>
              <w:keepNext w:val="0"/>
              <w:numPr>
                <w:ilvl w:val="0"/>
                <w:numId w:val="252"/>
              </w:numPr>
              <w:spacing w:before="0"/>
              <w:contextualSpacing/>
              <w:jc w:val="left"/>
            </w:pPr>
            <w:r w:rsidRPr="00985BCC">
              <w:t xml:space="preserve">appropriate replacement hedgerows are provided for on site, or if necessary off site, </w:t>
            </w:r>
            <w:r w:rsidR="00B42C71" w:rsidRPr="00985BCC">
              <w:t>and</w:t>
            </w:r>
          </w:p>
          <w:p w14:paraId="7E46A630" w14:textId="77777777" w:rsidR="00541C83" w:rsidRPr="00985BCC" w:rsidRDefault="00541C83" w:rsidP="00541C83">
            <w:pPr>
              <w:keepNext w:val="0"/>
              <w:spacing w:before="0"/>
              <w:contextualSpacing/>
              <w:jc w:val="left"/>
            </w:pPr>
          </w:p>
          <w:p w14:paraId="2F41E242" w14:textId="78C8581C" w:rsidR="001E0B6B" w:rsidRPr="00985BCC" w:rsidRDefault="00016592" w:rsidP="00874A98">
            <w:pPr>
              <w:keepNext w:val="0"/>
              <w:numPr>
                <w:ilvl w:val="0"/>
                <w:numId w:val="252"/>
              </w:numPr>
              <w:spacing w:before="0"/>
              <w:contextualSpacing/>
              <w:jc w:val="left"/>
            </w:pPr>
            <w:bookmarkStart w:id="174" w:name="_Hlk108694416"/>
            <w:r w:rsidRPr="00985BCC">
              <w:t>appropriate</w:t>
            </w:r>
            <w:r w:rsidR="00B42C71" w:rsidRPr="00985BCC">
              <w:t xml:space="preserve"> replacement trees are provided for on site</w:t>
            </w:r>
            <w:r w:rsidR="001F1206" w:rsidRPr="00985BCC">
              <w:t>,</w:t>
            </w:r>
            <w:r w:rsidR="00B42C71" w:rsidRPr="00985BCC">
              <w:t xml:space="preserve"> or if necessary off site</w:t>
            </w:r>
            <w:r w:rsidR="000F69D8" w:rsidRPr="00985BCC">
              <w:t>,</w:t>
            </w:r>
            <w:r w:rsidR="00B42C71" w:rsidRPr="00985BCC">
              <w:t xml:space="preserve"> at a minimum ratio of 2 new trees for every 1 lost</w:t>
            </w:r>
            <w:r w:rsidR="001F1206" w:rsidRPr="00985BCC">
              <w:t xml:space="preserve">. </w:t>
            </w:r>
            <w:r w:rsidR="000F69D8" w:rsidRPr="00985BCC">
              <w:t xml:space="preserve">Replacement trees should be of </w:t>
            </w:r>
            <w:r w:rsidR="00F3137E" w:rsidRPr="00985BCC">
              <w:t xml:space="preserve">a sufficient size and quality and have adequate space to grow to maturity. Where mature trees are lost, this includes a requirement for replacement trees of at least </w:t>
            </w:r>
            <w:r w:rsidR="000F69D8" w:rsidRPr="00985BCC">
              <w:t>heavy standard</w:t>
            </w:r>
            <w:r w:rsidR="00F3137E" w:rsidRPr="00985BCC">
              <w:t xml:space="preserve">. </w:t>
            </w:r>
            <w:r w:rsidR="00F53D97" w:rsidRPr="00985BCC">
              <w:t>M</w:t>
            </w:r>
            <w:r w:rsidR="001E0B6B" w:rsidRPr="00985BCC">
              <w:t>easures must be in place to ensure that these new trees are adequately maintained over the lifetime of the development</w:t>
            </w:r>
            <w:r w:rsidR="00F3137E" w:rsidRPr="00985BCC">
              <w:t xml:space="preserve"> to ensure success establishment</w:t>
            </w:r>
            <w:r w:rsidR="001E0B6B" w:rsidRPr="00985BCC">
              <w:t>.</w:t>
            </w:r>
          </w:p>
          <w:bookmarkEnd w:id="174"/>
          <w:p w14:paraId="16F034A0" w14:textId="77777777" w:rsidR="001E0B6B" w:rsidRDefault="001E0B6B" w:rsidP="001E0B6B">
            <w:pPr>
              <w:keepNext w:val="0"/>
              <w:spacing w:before="0"/>
              <w:contextualSpacing/>
              <w:jc w:val="left"/>
            </w:pPr>
          </w:p>
          <w:p w14:paraId="53804DBE" w14:textId="77777777" w:rsidR="000540B6" w:rsidRDefault="000540B6" w:rsidP="001E0B6B">
            <w:pPr>
              <w:keepNext w:val="0"/>
              <w:spacing w:before="0"/>
              <w:contextualSpacing/>
              <w:jc w:val="left"/>
            </w:pPr>
          </w:p>
          <w:p w14:paraId="2D831500" w14:textId="77777777" w:rsidR="000540B6" w:rsidRPr="00985BCC" w:rsidRDefault="000540B6" w:rsidP="001E0B6B">
            <w:pPr>
              <w:keepNext w:val="0"/>
              <w:spacing w:before="0"/>
              <w:contextualSpacing/>
              <w:jc w:val="left"/>
            </w:pPr>
          </w:p>
          <w:p w14:paraId="38ACD31E" w14:textId="77777777" w:rsidR="00B42C71" w:rsidRPr="00B42C71" w:rsidRDefault="00B42C71" w:rsidP="00874A98">
            <w:pPr>
              <w:keepNext w:val="0"/>
              <w:numPr>
                <w:ilvl w:val="0"/>
                <w:numId w:val="250"/>
              </w:numPr>
              <w:spacing w:before="0"/>
              <w:contextualSpacing/>
              <w:jc w:val="left"/>
              <w:rPr>
                <w:color w:val="auto"/>
              </w:rPr>
            </w:pPr>
            <w:r w:rsidRPr="00B42C71">
              <w:rPr>
                <w:color w:val="auto"/>
              </w:rPr>
              <w:t xml:space="preserve">To ensure existing trees and hedgerows are appropriately protected during the construction process, the Council will require development proposals to submit details of the tree protection measures to be utilised on site during the construction process. </w:t>
            </w:r>
          </w:p>
          <w:p w14:paraId="592BFD1D" w14:textId="77777777" w:rsidR="00B42C71" w:rsidRPr="00B42C71" w:rsidRDefault="00B42C71" w:rsidP="00FF3EAD">
            <w:pPr>
              <w:keepNext w:val="0"/>
              <w:spacing w:before="0"/>
              <w:ind w:left="360"/>
              <w:contextualSpacing/>
              <w:jc w:val="left"/>
              <w:rPr>
                <w:color w:val="auto"/>
              </w:rPr>
            </w:pPr>
          </w:p>
          <w:p w14:paraId="079A2BDD" w14:textId="13A83108" w:rsidR="00B42C71" w:rsidRPr="0043650B" w:rsidRDefault="00B42C71" w:rsidP="00874A98">
            <w:pPr>
              <w:keepNext w:val="0"/>
              <w:numPr>
                <w:ilvl w:val="0"/>
                <w:numId w:val="250"/>
              </w:numPr>
              <w:spacing w:before="0"/>
              <w:contextualSpacing/>
              <w:jc w:val="left"/>
              <w:rPr>
                <w:color w:val="auto"/>
              </w:rPr>
            </w:pPr>
            <w:r w:rsidRPr="0043650B">
              <w:rPr>
                <w:color w:val="auto"/>
              </w:rPr>
              <w:t>Where the benefits of the development clearly outweigh the harm resulting from the loss of trees, woodlands or hedgerows</w:t>
            </w:r>
            <w:r w:rsidR="0043650B" w:rsidRPr="0043650B">
              <w:rPr>
                <w:color w:val="auto"/>
              </w:rPr>
              <w:t>,</w:t>
            </w:r>
            <w:r w:rsidRPr="0043650B">
              <w:rPr>
                <w:color w:val="auto"/>
              </w:rPr>
              <w:t xml:space="preserve"> provision should be made for appropriate mitigation measures, reinstatement of features and/or compensatory planting, landscaping and habitat creation to ensure no net loss of valued features. Replacement planting should use native species and complement the landscape character of the area.</w:t>
            </w:r>
          </w:p>
          <w:p w14:paraId="40916718" w14:textId="77777777" w:rsidR="00B42C71" w:rsidRPr="00B42C71" w:rsidRDefault="00B42C71" w:rsidP="00FF3EAD">
            <w:pPr>
              <w:keepNext w:val="0"/>
              <w:spacing w:before="0"/>
              <w:jc w:val="left"/>
              <w:rPr>
                <w:color w:val="auto"/>
              </w:rPr>
            </w:pPr>
          </w:p>
          <w:p w14:paraId="252CEB32" w14:textId="77777777" w:rsidR="00B42C71" w:rsidRPr="00B42C71" w:rsidRDefault="00B42C71" w:rsidP="00FF3EAD">
            <w:pPr>
              <w:keepNext w:val="0"/>
              <w:spacing w:before="0"/>
              <w:jc w:val="left"/>
              <w:rPr>
                <w:color w:val="auto"/>
              </w:rPr>
            </w:pPr>
            <w:r w:rsidRPr="00B42C71">
              <w:rPr>
                <w:color w:val="auto"/>
              </w:rPr>
              <w:t>Existing Ancient Woodland sites are listed in Appendix 8 and shown on the Policies Map. Any new sites identified after the Local Plan is adopted will be protected by this Policy.</w:t>
            </w:r>
          </w:p>
          <w:p w14:paraId="4747B115" w14:textId="77777777" w:rsidR="00B42C71" w:rsidRPr="00B42C71" w:rsidRDefault="00B42C71" w:rsidP="00FF3EAD">
            <w:pPr>
              <w:keepNext w:val="0"/>
              <w:spacing w:before="0"/>
              <w:jc w:val="left"/>
              <w:rPr>
                <w:color w:val="auto"/>
              </w:rPr>
            </w:pPr>
          </w:p>
        </w:tc>
      </w:tr>
      <w:bookmarkEnd w:id="173"/>
      <w:tr w:rsidR="00B42C71" w:rsidRPr="00B42C71" w14:paraId="53F52290" w14:textId="77777777" w:rsidTr="007C6CA4">
        <w:tc>
          <w:tcPr>
            <w:tcW w:w="2405" w:type="dxa"/>
          </w:tcPr>
          <w:p w14:paraId="46434C4C" w14:textId="77777777" w:rsidR="00B42C71" w:rsidRPr="00B42C71" w:rsidRDefault="00B42C71" w:rsidP="00FF3EAD">
            <w:pPr>
              <w:keepNext w:val="0"/>
              <w:spacing w:before="0"/>
              <w:jc w:val="left"/>
              <w:rPr>
                <w:color w:val="auto"/>
                <w:sz w:val="20"/>
                <w:szCs w:val="20"/>
              </w:rPr>
            </w:pPr>
            <w:r w:rsidRPr="00B42C71">
              <w:rPr>
                <w:color w:val="auto"/>
                <w:sz w:val="20"/>
                <w:szCs w:val="20"/>
              </w:rPr>
              <w:t>Evidence Base</w:t>
            </w:r>
          </w:p>
        </w:tc>
        <w:tc>
          <w:tcPr>
            <w:tcW w:w="7337" w:type="dxa"/>
          </w:tcPr>
          <w:p w14:paraId="197FA75E" w14:textId="22F6C550" w:rsidR="00B42C71" w:rsidRPr="002E7654" w:rsidRDefault="00B42C71" w:rsidP="00874A98">
            <w:pPr>
              <w:keepNext w:val="0"/>
              <w:numPr>
                <w:ilvl w:val="0"/>
                <w:numId w:val="248"/>
              </w:numPr>
              <w:spacing w:before="0"/>
              <w:contextualSpacing/>
              <w:jc w:val="left"/>
              <w:rPr>
                <w:sz w:val="20"/>
                <w:szCs w:val="20"/>
              </w:rPr>
            </w:pPr>
            <w:r w:rsidRPr="002E7654">
              <w:rPr>
                <w:sz w:val="20"/>
                <w:szCs w:val="20"/>
              </w:rPr>
              <w:t>Sustainability Appraisal, 202</w:t>
            </w:r>
            <w:r w:rsidR="00A86E75" w:rsidRPr="002E7654">
              <w:rPr>
                <w:sz w:val="20"/>
                <w:szCs w:val="20"/>
              </w:rPr>
              <w:t>3</w:t>
            </w:r>
            <w:r w:rsidRPr="002E7654">
              <w:rPr>
                <w:sz w:val="20"/>
                <w:szCs w:val="20"/>
              </w:rPr>
              <w:t xml:space="preserve">. </w:t>
            </w:r>
            <w:r w:rsidR="00A86E75" w:rsidRPr="002E7654">
              <w:rPr>
                <w:sz w:val="20"/>
                <w:szCs w:val="20"/>
              </w:rPr>
              <w:t>WSP UK Limited</w:t>
            </w:r>
            <w:r w:rsidRPr="002E7654">
              <w:rPr>
                <w:sz w:val="20"/>
                <w:szCs w:val="20"/>
              </w:rPr>
              <w:t>.</w:t>
            </w:r>
          </w:p>
          <w:p w14:paraId="51447752" w14:textId="77777777" w:rsidR="00B42C71" w:rsidRPr="002E7654" w:rsidRDefault="00B42C71" w:rsidP="00874A98">
            <w:pPr>
              <w:keepNext w:val="0"/>
              <w:numPr>
                <w:ilvl w:val="0"/>
                <w:numId w:val="248"/>
              </w:numPr>
              <w:spacing w:before="0"/>
              <w:contextualSpacing/>
              <w:jc w:val="left"/>
              <w:rPr>
                <w:sz w:val="20"/>
                <w:szCs w:val="20"/>
              </w:rPr>
            </w:pPr>
            <w:r w:rsidRPr="002E7654">
              <w:rPr>
                <w:sz w:val="20"/>
                <w:szCs w:val="20"/>
              </w:rPr>
              <w:t>Ashfield Biodiversity Opportunity Mapping Project 2016. Notts BAG.</w:t>
            </w:r>
          </w:p>
          <w:p w14:paraId="4AA26B24" w14:textId="7D382005" w:rsidR="00B42C71" w:rsidRPr="002E7654" w:rsidRDefault="002E7654" w:rsidP="00874A98">
            <w:pPr>
              <w:keepNext w:val="0"/>
              <w:numPr>
                <w:ilvl w:val="0"/>
                <w:numId w:val="248"/>
              </w:numPr>
              <w:spacing w:before="0"/>
              <w:contextualSpacing/>
              <w:jc w:val="left"/>
              <w:rPr>
                <w:color w:val="auto"/>
                <w:sz w:val="20"/>
                <w:szCs w:val="20"/>
              </w:rPr>
            </w:pPr>
            <w:r w:rsidRPr="003C7E62">
              <w:rPr>
                <w:rFonts w:cs="Arial"/>
                <w:sz w:val="20"/>
              </w:rPr>
              <w:t xml:space="preserve">Ashfield Green </w:t>
            </w:r>
            <w:r w:rsidRPr="002E7654">
              <w:rPr>
                <w:rFonts w:cs="Arial"/>
                <w:sz w:val="20"/>
              </w:rPr>
              <w:t>&amp; Blue Infrastructure and Biodiversity Strategy</w:t>
            </w:r>
            <w:r>
              <w:rPr>
                <w:rFonts w:cs="Arial"/>
                <w:sz w:val="20"/>
              </w:rPr>
              <w:t>.</w:t>
            </w:r>
            <w:r w:rsidRPr="002E7654">
              <w:rPr>
                <w:rFonts w:cs="Arial"/>
                <w:sz w:val="20"/>
              </w:rPr>
              <w:t xml:space="preserve"> Ashfield District Council, 2022-2032.</w:t>
            </w:r>
          </w:p>
        </w:tc>
      </w:tr>
      <w:tr w:rsidR="00B42C71" w:rsidRPr="00B42C71" w14:paraId="28817DB8" w14:textId="77777777" w:rsidTr="007C6CA4">
        <w:tc>
          <w:tcPr>
            <w:tcW w:w="2405" w:type="dxa"/>
          </w:tcPr>
          <w:p w14:paraId="7E3BCA05" w14:textId="77777777" w:rsidR="00B42C71" w:rsidRPr="00B42C71" w:rsidRDefault="00B42C71" w:rsidP="00FF3EAD">
            <w:pPr>
              <w:keepNext w:val="0"/>
              <w:spacing w:before="0"/>
              <w:jc w:val="left"/>
              <w:rPr>
                <w:color w:val="auto"/>
                <w:sz w:val="20"/>
                <w:szCs w:val="20"/>
              </w:rPr>
            </w:pPr>
            <w:r w:rsidRPr="00B42C71">
              <w:rPr>
                <w:color w:val="auto"/>
                <w:sz w:val="20"/>
                <w:szCs w:val="20"/>
              </w:rPr>
              <w:t>National Planning Policy and Guidance</w:t>
            </w:r>
          </w:p>
        </w:tc>
        <w:tc>
          <w:tcPr>
            <w:tcW w:w="7337" w:type="dxa"/>
          </w:tcPr>
          <w:p w14:paraId="56C22E9B" w14:textId="7C49FD6F" w:rsidR="00B42C71" w:rsidRPr="002E7654" w:rsidRDefault="00B42C71" w:rsidP="00874A98">
            <w:pPr>
              <w:keepNext w:val="0"/>
              <w:numPr>
                <w:ilvl w:val="0"/>
                <w:numId w:val="249"/>
              </w:numPr>
              <w:spacing w:before="0"/>
              <w:contextualSpacing/>
              <w:jc w:val="left"/>
              <w:rPr>
                <w:sz w:val="20"/>
                <w:szCs w:val="20"/>
              </w:rPr>
            </w:pPr>
            <w:r w:rsidRPr="002E7654">
              <w:rPr>
                <w:sz w:val="20"/>
                <w:szCs w:val="20"/>
              </w:rPr>
              <w:t>NPPF 202</w:t>
            </w:r>
            <w:r w:rsidR="004173E0" w:rsidRPr="002E7654">
              <w:rPr>
                <w:sz w:val="20"/>
                <w:szCs w:val="20"/>
              </w:rPr>
              <w:t>3</w:t>
            </w:r>
            <w:r w:rsidRPr="002E7654">
              <w:rPr>
                <w:sz w:val="20"/>
                <w:szCs w:val="20"/>
              </w:rPr>
              <w:t>, Part 2: Achieving sustainable development.</w:t>
            </w:r>
          </w:p>
          <w:p w14:paraId="7282D5D5" w14:textId="5031157D" w:rsidR="00B42C71" w:rsidRPr="002E7654" w:rsidRDefault="00B42C71" w:rsidP="00874A98">
            <w:pPr>
              <w:keepNext w:val="0"/>
              <w:numPr>
                <w:ilvl w:val="0"/>
                <w:numId w:val="249"/>
              </w:numPr>
              <w:spacing w:before="0"/>
              <w:contextualSpacing/>
              <w:jc w:val="left"/>
              <w:rPr>
                <w:sz w:val="20"/>
                <w:szCs w:val="20"/>
              </w:rPr>
            </w:pPr>
            <w:r w:rsidRPr="002E7654">
              <w:rPr>
                <w:sz w:val="20"/>
                <w:szCs w:val="20"/>
              </w:rPr>
              <w:t>NPPF 202</w:t>
            </w:r>
            <w:r w:rsidR="004173E0" w:rsidRPr="002E7654">
              <w:rPr>
                <w:sz w:val="20"/>
                <w:szCs w:val="20"/>
              </w:rPr>
              <w:t>3</w:t>
            </w:r>
            <w:r w:rsidRPr="002E7654">
              <w:rPr>
                <w:sz w:val="20"/>
                <w:szCs w:val="20"/>
              </w:rPr>
              <w:t>, Part 15: Conserving and enhancing the natural environment.</w:t>
            </w:r>
          </w:p>
          <w:p w14:paraId="2052514E" w14:textId="5ADD77DF" w:rsidR="00B42C71" w:rsidRPr="002E7654" w:rsidRDefault="00B42C71" w:rsidP="00874A98">
            <w:pPr>
              <w:keepNext w:val="0"/>
              <w:numPr>
                <w:ilvl w:val="0"/>
                <w:numId w:val="249"/>
              </w:numPr>
              <w:spacing w:before="0"/>
              <w:contextualSpacing/>
              <w:jc w:val="left"/>
              <w:rPr>
                <w:sz w:val="20"/>
                <w:szCs w:val="20"/>
              </w:rPr>
            </w:pPr>
            <w:r w:rsidRPr="002E7654">
              <w:rPr>
                <w:sz w:val="20"/>
                <w:szCs w:val="20"/>
              </w:rPr>
              <w:t xml:space="preserve">Planning Practice Guidance: Open space, sports and recreational facilities, public rights of ways and local green space as of </w:t>
            </w:r>
            <w:r w:rsidR="00B40389" w:rsidRPr="002E7654">
              <w:rPr>
                <w:sz w:val="20"/>
                <w:szCs w:val="20"/>
              </w:rPr>
              <w:t>March 2014</w:t>
            </w:r>
            <w:r w:rsidRPr="002E7654">
              <w:rPr>
                <w:sz w:val="20"/>
                <w:szCs w:val="20"/>
              </w:rPr>
              <w:t>.</w:t>
            </w:r>
          </w:p>
          <w:p w14:paraId="1105D9CE" w14:textId="5D76A49A" w:rsidR="00B42C71" w:rsidRPr="002E7654" w:rsidRDefault="00B42C71" w:rsidP="00874A98">
            <w:pPr>
              <w:keepNext w:val="0"/>
              <w:numPr>
                <w:ilvl w:val="0"/>
                <w:numId w:val="249"/>
              </w:numPr>
              <w:spacing w:before="0"/>
              <w:contextualSpacing/>
              <w:jc w:val="left"/>
              <w:rPr>
                <w:sz w:val="20"/>
                <w:szCs w:val="20"/>
              </w:rPr>
            </w:pPr>
            <w:r w:rsidRPr="002E7654">
              <w:rPr>
                <w:sz w:val="20"/>
                <w:szCs w:val="20"/>
              </w:rPr>
              <w:t xml:space="preserve">Planning Practice Guidance: Natural environment as of </w:t>
            </w:r>
            <w:r w:rsidR="00B40389" w:rsidRPr="002E7654">
              <w:rPr>
                <w:sz w:val="20"/>
                <w:szCs w:val="20"/>
              </w:rPr>
              <w:t>July 2019.</w:t>
            </w:r>
          </w:p>
        </w:tc>
      </w:tr>
    </w:tbl>
    <w:p w14:paraId="48E91B7F" w14:textId="31D0B0AD" w:rsidR="00B42C71" w:rsidRDefault="00B42C71" w:rsidP="00B42C71">
      <w:pPr>
        <w:keepNext w:val="0"/>
        <w:autoSpaceDE w:val="0"/>
        <w:autoSpaceDN w:val="0"/>
        <w:adjustRightInd w:val="0"/>
        <w:spacing w:before="0"/>
        <w:ind w:left="525"/>
        <w:rPr>
          <w:rFonts w:eastAsia="Arial" w:cs="Arial"/>
          <w:spacing w:val="-1"/>
        </w:rPr>
      </w:pPr>
    </w:p>
    <w:p w14:paraId="2E16B903" w14:textId="77777777" w:rsidR="00B42C71" w:rsidRDefault="00B42C71" w:rsidP="00B42C71">
      <w:pPr>
        <w:keepNext w:val="0"/>
        <w:autoSpaceDE w:val="0"/>
        <w:autoSpaceDN w:val="0"/>
        <w:adjustRightInd w:val="0"/>
        <w:spacing w:before="0"/>
        <w:ind w:left="525"/>
        <w:rPr>
          <w:rFonts w:eastAsia="Arial" w:cs="Arial"/>
          <w:spacing w:val="-1"/>
        </w:rPr>
      </w:pPr>
    </w:p>
    <w:p w14:paraId="5E4F899C" w14:textId="43CE3B47" w:rsidR="00A75D60" w:rsidRPr="00B42C71" w:rsidRDefault="00F23168" w:rsidP="00676383">
      <w:pPr>
        <w:keepNext w:val="0"/>
        <w:numPr>
          <w:ilvl w:val="1"/>
          <w:numId w:val="5"/>
        </w:numPr>
        <w:tabs>
          <w:tab w:val="clear" w:pos="525"/>
          <w:tab w:val="num" w:pos="851"/>
        </w:tabs>
        <w:autoSpaceDE w:val="0"/>
        <w:autoSpaceDN w:val="0"/>
        <w:adjustRightInd w:val="0"/>
        <w:spacing w:before="0"/>
        <w:ind w:left="851" w:hanging="851"/>
        <w:rPr>
          <w:rFonts w:eastAsia="Arial" w:cs="Arial"/>
          <w:spacing w:val="-1"/>
        </w:rPr>
      </w:pPr>
      <w:r w:rsidRPr="00B42C71">
        <w:rPr>
          <w:rFonts w:eastAsia="Arial" w:cs="Arial"/>
          <w:spacing w:val="-1"/>
        </w:rPr>
        <w:t>Trees, woodland and hedgerows are important to the quality of Ashfield’s environment</w:t>
      </w:r>
      <w:r w:rsidR="009549D3" w:rsidRPr="00B42C71">
        <w:rPr>
          <w:rFonts w:eastAsia="Arial" w:cs="Arial"/>
          <w:spacing w:val="-1"/>
        </w:rPr>
        <w:t>,</w:t>
      </w:r>
      <w:r w:rsidRPr="00B42C71">
        <w:rPr>
          <w:rFonts w:eastAsia="Arial" w:cs="Arial"/>
          <w:spacing w:val="-1"/>
        </w:rPr>
        <w:t xml:space="preserve"> facilitating health and wellbeing. They also have </w:t>
      </w:r>
      <w:r w:rsidR="00A75D60" w:rsidRPr="00B42C71">
        <w:rPr>
          <w:rFonts w:eastAsia="Arial" w:cs="Arial"/>
          <w:spacing w:val="-1"/>
        </w:rPr>
        <w:t xml:space="preserve">multiple wildlife benefits in providing habitat, habitat links and foraging areas for numerous flora and fauna. The protection of these both in the public and private realm, within development proposals, will be sought in order to meet the Council’s duties </w:t>
      </w:r>
      <w:r w:rsidR="005072C5" w:rsidRPr="00B42C71">
        <w:rPr>
          <w:rFonts w:eastAsia="Arial" w:cs="Arial"/>
          <w:spacing w:val="-1"/>
        </w:rPr>
        <w:t>in relation to</w:t>
      </w:r>
      <w:r w:rsidR="00A75D60" w:rsidRPr="00B42C71">
        <w:rPr>
          <w:rFonts w:eastAsia="Arial" w:cs="Arial"/>
          <w:spacing w:val="-1"/>
        </w:rPr>
        <w:t xml:space="preserve"> biodiversity. New development should seek to ensure that new landscaping is primarily of wildlife friendly species and adds to the linking of green areas across the District. </w:t>
      </w:r>
    </w:p>
    <w:p w14:paraId="2C5F1CBC" w14:textId="77777777" w:rsidR="00A75D60" w:rsidRPr="00A75D60" w:rsidRDefault="00A75D60" w:rsidP="00676383">
      <w:pPr>
        <w:keepNext w:val="0"/>
        <w:tabs>
          <w:tab w:val="num" w:pos="851"/>
        </w:tabs>
        <w:autoSpaceDE w:val="0"/>
        <w:autoSpaceDN w:val="0"/>
        <w:adjustRightInd w:val="0"/>
        <w:spacing w:before="0"/>
        <w:ind w:left="851" w:hanging="851"/>
        <w:rPr>
          <w:rFonts w:eastAsia="Arial" w:cs="Arial"/>
          <w:spacing w:val="-1"/>
        </w:rPr>
      </w:pPr>
    </w:p>
    <w:p w14:paraId="57DE23D3" w14:textId="2445C7EB" w:rsidR="00A75D60" w:rsidRPr="00A75D60" w:rsidRDefault="00A75D60" w:rsidP="00676383">
      <w:pPr>
        <w:keepNext w:val="0"/>
        <w:numPr>
          <w:ilvl w:val="1"/>
          <w:numId w:val="5"/>
        </w:numPr>
        <w:tabs>
          <w:tab w:val="clear" w:pos="525"/>
          <w:tab w:val="num" w:pos="851"/>
        </w:tabs>
        <w:autoSpaceDE w:val="0"/>
        <w:autoSpaceDN w:val="0"/>
        <w:adjustRightInd w:val="0"/>
        <w:spacing w:before="0"/>
        <w:ind w:left="851" w:hanging="851"/>
        <w:rPr>
          <w:rFonts w:eastAsia="Arial" w:cs="Arial"/>
          <w:spacing w:val="-1"/>
        </w:rPr>
      </w:pPr>
      <w:r w:rsidRPr="00A75D60">
        <w:rPr>
          <w:rFonts w:eastAsia="Arial" w:cs="Arial"/>
          <w:spacing w:val="-1"/>
        </w:rPr>
        <w:t>Development proposals will be expected to avoid harm to existing trees</w:t>
      </w:r>
      <w:r w:rsidR="00F23168">
        <w:rPr>
          <w:rFonts w:eastAsia="Arial" w:cs="Arial"/>
          <w:spacing w:val="-1"/>
        </w:rPr>
        <w:t xml:space="preserve">, </w:t>
      </w:r>
      <w:r>
        <w:rPr>
          <w:rFonts w:eastAsia="Arial" w:cs="Arial"/>
          <w:spacing w:val="-1"/>
        </w:rPr>
        <w:t>wo</w:t>
      </w:r>
      <w:r w:rsidRPr="00A75D60">
        <w:rPr>
          <w:rFonts w:eastAsia="Arial" w:cs="Arial"/>
          <w:spacing w:val="-1"/>
        </w:rPr>
        <w:t>odland</w:t>
      </w:r>
      <w:r w:rsidR="00F23168">
        <w:rPr>
          <w:rFonts w:eastAsia="Arial" w:cs="Arial"/>
          <w:spacing w:val="-1"/>
        </w:rPr>
        <w:t xml:space="preserve"> and hedgerows</w:t>
      </w:r>
      <w:r w:rsidRPr="00A75D60">
        <w:rPr>
          <w:rFonts w:eastAsia="Arial" w:cs="Arial"/>
          <w:spacing w:val="-1"/>
        </w:rPr>
        <w:t xml:space="preserve">, and incorporate them within a landscape scheme, except where their long-term survival would be compromised by their age or physical condition or there are exceptional and overriding benefits in accepting their loss. </w:t>
      </w:r>
    </w:p>
    <w:p w14:paraId="00113318" w14:textId="77777777" w:rsidR="00A75D60" w:rsidRPr="00A75D60" w:rsidRDefault="00A75D60" w:rsidP="00676383">
      <w:pPr>
        <w:keepNext w:val="0"/>
        <w:tabs>
          <w:tab w:val="num" w:pos="851"/>
        </w:tabs>
        <w:autoSpaceDE w:val="0"/>
        <w:autoSpaceDN w:val="0"/>
        <w:adjustRightInd w:val="0"/>
        <w:spacing w:before="0"/>
        <w:ind w:left="851" w:hanging="851"/>
        <w:rPr>
          <w:rFonts w:eastAsia="Arial" w:cs="Arial"/>
          <w:spacing w:val="-1"/>
        </w:rPr>
      </w:pPr>
    </w:p>
    <w:p w14:paraId="2EE1C03D" w14:textId="2E1D3078" w:rsidR="00A75D60" w:rsidRPr="00A75D60" w:rsidRDefault="00A75D60" w:rsidP="00676383">
      <w:pPr>
        <w:keepNext w:val="0"/>
        <w:numPr>
          <w:ilvl w:val="1"/>
          <w:numId w:val="5"/>
        </w:numPr>
        <w:tabs>
          <w:tab w:val="clear" w:pos="525"/>
          <w:tab w:val="num" w:pos="851"/>
        </w:tabs>
        <w:autoSpaceDE w:val="0"/>
        <w:autoSpaceDN w:val="0"/>
        <w:adjustRightInd w:val="0"/>
        <w:spacing w:before="0"/>
        <w:ind w:left="851" w:hanging="851"/>
        <w:rPr>
          <w:rFonts w:eastAsia="Arial" w:cs="Arial"/>
          <w:spacing w:val="-1"/>
        </w:rPr>
      </w:pPr>
      <w:r w:rsidRPr="00A75D60">
        <w:rPr>
          <w:rFonts w:eastAsia="Arial" w:cs="Arial"/>
          <w:spacing w:val="-1"/>
        </w:rPr>
        <w:t>The retention of existing trees, woodlands and hedgerows can assist in integrating new development into the local environment by providing some mature, established elements within landscaping schemes. Mitigation, replacement or compensatory measures will be required when this cannot be achieved, to ensure that there is no net loss of environmental value as a result of development; these should be secured by condition or through S106 Agreement. Policy SD</w:t>
      </w:r>
      <w:r w:rsidR="004E709C">
        <w:rPr>
          <w:rFonts w:eastAsia="Arial" w:cs="Arial"/>
          <w:spacing w:val="-1"/>
        </w:rPr>
        <w:t>2</w:t>
      </w:r>
      <w:r w:rsidRPr="00A75D60">
        <w:rPr>
          <w:rFonts w:eastAsia="Arial" w:cs="Arial"/>
          <w:spacing w:val="-1"/>
        </w:rPr>
        <w:t xml:space="preserve">: Good Design Considerations for Development, provides details on the provision of new planting within development sites. </w:t>
      </w:r>
    </w:p>
    <w:p w14:paraId="2598B78F" w14:textId="77777777" w:rsidR="00A75D60" w:rsidRPr="00A75D60" w:rsidRDefault="00A75D60" w:rsidP="00676383">
      <w:pPr>
        <w:keepNext w:val="0"/>
        <w:tabs>
          <w:tab w:val="num" w:pos="851"/>
        </w:tabs>
        <w:autoSpaceDE w:val="0"/>
        <w:autoSpaceDN w:val="0"/>
        <w:adjustRightInd w:val="0"/>
        <w:spacing w:before="0"/>
        <w:ind w:left="851" w:hanging="851"/>
        <w:rPr>
          <w:rFonts w:eastAsia="Arial" w:cs="Arial"/>
          <w:spacing w:val="-1"/>
        </w:rPr>
      </w:pPr>
    </w:p>
    <w:p w14:paraId="6EC6B06E" w14:textId="77777777" w:rsidR="00A75D60" w:rsidRPr="00A75D60" w:rsidRDefault="00A75D60" w:rsidP="00676383">
      <w:pPr>
        <w:keepNext w:val="0"/>
        <w:numPr>
          <w:ilvl w:val="1"/>
          <w:numId w:val="5"/>
        </w:numPr>
        <w:tabs>
          <w:tab w:val="clear" w:pos="525"/>
          <w:tab w:val="num" w:pos="851"/>
        </w:tabs>
        <w:autoSpaceDE w:val="0"/>
        <w:autoSpaceDN w:val="0"/>
        <w:adjustRightInd w:val="0"/>
        <w:spacing w:before="0"/>
        <w:ind w:left="851" w:hanging="851"/>
        <w:rPr>
          <w:rFonts w:eastAsia="Arial" w:cs="Arial"/>
          <w:spacing w:val="-1"/>
        </w:rPr>
      </w:pPr>
      <w:r w:rsidRPr="00A75D60">
        <w:rPr>
          <w:rFonts w:eastAsia="Arial" w:cs="Arial"/>
          <w:spacing w:val="-1"/>
        </w:rPr>
        <w:t>To comply with Policy EV6 and to provide an informed basis for decisions, it is essential that development proposals commission a detailed tree and hedgerow survey. These should be submitted before validation of a planning application. This applies to all sites on which trees and hedgerows are growing and those proposals that will affect neighbouring trees and hedgerows. A pre-development survey should be carried out by a competent arboriculturist and record information on trees and hedgerows on a site independently of and before any specific layout or design is produced.</w:t>
      </w:r>
    </w:p>
    <w:p w14:paraId="576B50BD" w14:textId="77777777" w:rsidR="00A75D60" w:rsidRPr="00A75D60" w:rsidRDefault="00A75D60" w:rsidP="00676383">
      <w:pPr>
        <w:keepNext w:val="0"/>
        <w:tabs>
          <w:tab w:val="num" w:pos="851"/>
        </w:tabs>
        <w:autoSpaceDE w:val="0"/>
        <w:autoSpaceDN w:val="0"/>
        <w:adjustRightInd w:val="0"/>
        <w:spacing w:before="0"/>
        <w:ind w:left="851" w:hanging="851"/>
        <w:rPr>
          <w:rFonts w:eastAsia="Arial" w:cs="Arial"/>
          <w:spacing w:val="-1"/>
        </w:rPr>
      </w:pPr>
    </w:p>
    <w:p w14:paraId="4B054856" w14:textId="72816F14" w:rsidR="00A75D60" w:rsidRPr="00F23168" w:rsidRDefault="00676383" w:rsidP="00676383">
      <w:pPr>
        <w:keepNext w:val="0"/>
        <w:tabs>
          <w:tab w:val="num" w:pos="851"/>
        </w:tabs>
        <w:autoSpaceDE w:val="0"/>
        <w:autoSpaceDN w:val="0"/>
        <w:adjustRightInd w:val="0"/>
        <w:spacing w:before="0"/>
        <w:ind w:left="851" w:hanging="851"/>
        <w:rPr>
          <w:rFonts w:eastAsia="Arial" w:cs="Arial"/>
          <w:b/>
          <w:bCs/>
          <w:spacing w:val="-1"/>
        </w:rPr>
      </w:pPr>
      <w:r>
        <w:rPr>
          <w:rFonts w:eastAsia="Arial" w:cs="Arial"/>
          <w:b/>
          <w:bCs/>
          <w:spacing w:val="-1"/>
        </w:rPr>
        <w:tab/>
      </w:r>
      <w:r w:rsidR="00A75D60" w:rsidRPr="00F23168">
        <w:rPr>
          <w:rFonts w:eastAsia="Arial" w:cs="Arial"/>
          <w:b/>
          <w:bCs/>
          <w:spacing w:val="-1"/>
        </w:rPr>
        <w:t>Trees and Woodland</w:t>
      </w:r>
    </w:p>
    <w:p w14:paraId="0D750969" w14:textId="0A8026A9" w:rsidR="00F23168" w:rsidRPr="00F23168" w:rsidRDefault="00A75D60" w:rsidP="006D051B">
      <w:pPr>
        <w:keepNext w:val="0"/>
        <w:numPr>
          <w:ilvl w:val="1"/>
          <w:numId w:val="5"/>
        </w:numPr>
        <w:tabs>
          <w:tab w:val="clear" w:pos="525"/>
          <w:tab w:val="num" w:pos="851"/>
        </w:tabs>
        <w:autoSpaceDE w:val="0"/>
        <w:autoSpaceDN w:val="0"/>
        <w:adjustRightInd w:val="0"/>
        <w:spacing w:before="0"/>
        <w:ind w:left="851" w:hanging="851"/>
        <w:rPr>
          <w:rFonts w:eastAsia="Arial" w:cs="Arial"/>
          <w:spacing w:val="-1"/>
        </w:rPr>
      </w:pPr>
      <w:r w:rsidRPr="00A75D60">
        <w:rPr>
          <w:rFonts w:eastAsia="Arial" w:cs="Arial"/>
          <w:spacing w:val="-1"/>
        </w:rPr>
        <w:t xml:space="preserve">Whilst Ashfield has some important woodlands and areas with substantial numbers of trees, other areas lack tree cover. It is therefore vital to ensure that important trees and woodlands are protected and canopy cover extended in areas lacking cover, including in conjunction with new development. </w:t>
      </w:r>
    </w:p>
    <w:p w14:paraId="4E7EE20B" w14:textId="5DF6B60B" w:rsidR="00F23168" w:rsidRDefault="00F23168" w:rsidP="006D051B">
      <w:pPr>
        <w:keepNext w:val="0"/>
        <w:tabs>
          <w:tab w:val="num" w:pos="851"/>
        </w:tabs>
        <w:autoSpaceDE w:val="0"/>
        <w:autoSpaceDN w:val="0"/>
        <w:adjustRightInd w:val="0"/>
        <w:spacing w:before="0"/>
        <w:ind w:left="851" w:hanging="851"/>
        <w:rPr>
          <w:rFonts w:eastAsia="Arial" w:cs="Arial"/>
          <w:spacing w:val="-1"/>
        </w:rPr>
      </w:pPr>
    </w:p>
    <w:p w14:paraId="4B24EA23" w14:textId="77777777" w:rsidR="00A75D60" w:rsidRPr="00A75D60" w:rsidRDefault="00A75D60" w:rsidP="006D051B">
      <w:pPr>
        <w:keepNext w:val="0"/>
        <w:numPr>
          <w:ilvl w:val="1"/>
          <w:numId w:val="5"/>
        </w:numPr>
        <w:tabs>
          <w:tab w:val="clear" w:pos="525"/>
          <w:tab w:val="num" w:pos="851"/>
        </w:tabs>
        <w:autoSpaceDE w:val="0"/>
        <w:autoSpaceDN w:val="0"/>
        <w:adjustRightInd w:val="0"/>
        <w:spacing w:before="0"/>
        <w:ind w:left="851" w:hanging="851"/>
        <w:rPr>
          <w:rFonts w:eastAsia="Arial" w:cs="Arial"/>
          <w:spacing w:val="-1"/>
        </w:rPr>
      </w:pPr>
      <w:r w:rsidRPr="00A75D60">
        <w:rPr>
          <w:rFonts w:eastAsia="Arial" w:cs="Arial"/>
          <w:spacing w:val="-1"/>
        </w:rPr>
        <w:t>Trees can add great beauty and a sense of place and character to our District’s landscape. They enhance the structure and layout of our towns and villages, and many provide important landmarks. They offer a variety of form, texture, colour, shape and seasonal change; they also complement the built environment by providing screening, perspective, focal points, privacy and seclusion, and they define and separate open spaces. Trees are often greatly valued by the local community and visitors.</w:t>
      </w:r>
    </w:p>
    <w:p w14:paraId="62371F7F" w14:textId="77777777" w:rsidR="00A75D60" w:rsidRPr="00A75D60" w:rsidRDefault="00A75D60" w:rsidP="00676383">
      <w:pPr>
        <w:keepNext w:val="0"/>
        <w:tabs>
          <w:tab w:val="num" w:pos="851"/>
        </w:tabs>
        <w:autoSpaceDE w:val="0"/>
        <w:autoSpaceDN w:val="0"/>
        <w:adjustRightInd w:val="0"/>
        <w:spacing w:before="0"/>
        <w:ind w:left="851" w:hanging="851"/>
        <w:rPr>
          <w:rFonts w:eastAsia="Arial" w:cs="Arial"/>
          <w:spacing w:val="-1"/>
        </w:rPr>
      </w:pPr>
    </w:p>
    <w:p w14:paraId="3C7F8595" w14:textId="664BBA00" w:rsidR="00F3137E" w:rsidRPr="00945102" w:rsidRDefault="00A75D60" w:rsidP="00676383">
      <w:pPr>
        <w:keepNext w:val="0"/>
        <w:numPr>
          <w:ilvl w:val="1"/>
          <w:numId w:val="5"/>
        </w:numPr>
        <w:tabs>
          <w:tab w:val="clear" w:pos="525"/>
          <w:tab w:val="num" w:pos="851"/>
        </w:tabs>
        <w:autoSpaceDE w:val="0"/>
        <w:autoSpaceDN w:val="0"/>
        <w:adjustRightInd w:val="0"/>
        <w:spacing w:before="0"/>
        <w:ind w:left="851" w:hanging="851"/>
        <w:rPr>
          <w:rFonts w:eastAsia="Arial" w:cs="Arial"/>
          <w:color w:val="2F5496" w:themeColor="accent1" w:themeShade="BF"/>
          <w:spacing w:val="-1"/>
        </w:rPr>
      </w:pPr>
      <w:r w:rsidRPr="00A75D60">
        <w:rPr>
          <w:rFonts w:eastAsia="Arial" w:cs="Arial"/>
          <w:spacing w:val="-1"/>
        </w:rPr>
        <w:t xml:space="preserve">Trees can also make a positive contribution towards reducing the effects of future climate change by dissipating the impact of heavy rainfall, reducing urban temperatures and providing shade and protection against the detrimental effects of sunlight. New development should seek to incorporate strategically sited </w:t>
      </w:r>
      <w:r w:rsidR="00945102">
        <w:rPr>
          <w:rFonts w:eastAsia="Arial" w:cs="Arial"/>
          <w:spacing w:val="-1"/>
        </w:rPr>
        <w:t xml:space="preserve">large canopy species </w:t>
      </w:r>
      <w:r w:rsidRPr="00A75D60">
        <w:rPr>
          <w:rFonts w:eastAsia="Arial" w:cs="Arial"/>
          <w:spacing w:val="-1"/>
        </w:rPr>
        <w:t xml:space="preserve">trees that will provide shade and cooling to developments, particularly to street frontages, large hard landscaped areas and other areas of public realm. </w:t>
      </w:r>
    </w:p>
    <w:p w14:paraId="11D0669D" w14:textId="77777777" w:rsidR="00F33901" w:rsidRDefault="00F33901" w:rsidP="00F33901">
      <w:pPr>
        <w:pStyle w:val="ListParagraph"/>
        <w:rPr>
          <w:rFonts w:eastAsia="Arial" w:cs="Arial"/>
          <w:spacing w:val="-1"/>
        </w:rPr>
      </w:pPr>
    </w:p>
    <w:p w14:paraId="1FBC31D4" w14:textId="7B870808" w:rsidR="00F33901" w:rsidRDefault="00F33901" w:rsidP="00E60404">
      <w:pPr>
        <w:pStyle w:val="ListParagraph"/>
        <w:numPr>
          <w:ilvl w:val="1"/>
          <w:numId w:val="5"/>
        </w:numPr>
        <w:tabs>
          <w:tab w:val="clear" w:pos="525"/>
          <w:tab w:val="num" w:pos="851"/>
        </w:tabs>
        <w:spacing w:after="0" w:line="240" w:lineRule="auto"/>
        <w:ind w:left="851" w:hanging="851"/>
        <w:rPr>
          <w:rFonts w:ascii="Arial" w:eastAsia="Arial" w:hAnsi="Arial" w:cs="Arial"/>
          <w:spacing w:val="-1"/>
          <w:szCs w:val="20"/>
          <w:lang w:eastAsia="en-GB"/>
        </w:rPr>
      </w:pPr>
      <w:r w:rsidRPr="00F33901">
        <w:rPr>
          <w:rFonts w:ascii="Arial" w:eastAsia="Arial" w:hAnsi="Arial" w:cs="Arial"/>
          <w:spacing w:val="-1"/>
          <w:szCs w:val="20"/>
          <w:lang w:eastAsia="en-GB"/>
        </w:rPr>
        <w:t xml:space="preserve">Residential gardens provide a key space for trees to deliver biodiversity and climate change adaption. Garden trees should be in addition to and not instead of street or other public realm trees. All residential developments are encouraged to have suitable garden trees, especially within larger gardens. All rear garden trees are advised to be </w:t>
      </w:r>
      <w:r w:rsidR="007556D5">
        <w:rPr>
          <w:rFonts w:ascii="Arial" w:eastAsia="Arial" w:hAnsi="Arial" w:cs="Arial"/>
          <w:spacing w:val="-1"/>
          <w:szCs w:val="20"/>
          <w:lang w:eastAsia="en-GB"/>
        </w:rPr>
        <w:t xml:space="preserve">a minimum of </w:t>
      </w:r>
      <w:r w:rsidRPr="00F33901">
        <w:rPr>
          <w:rFonts w:ascii="Arial" w:eastAsia="Arial" w:hAnsi="Arial" w:cs="Arial"/>
          <w:spacing w:val="-1"/>
          <w:szCs w:val="20"/>
          <w:lang w:eastAsia="en-GB"/>
        </w:rPr>
        <w:t>2m high, containerised and planted within the planting season.</w:t>
      </w:r>
    </w:p>
    <w:p w14:paraId="455192E8" w14:textId="77777777" w:rsidR="00F33901" w:rsidRPr="00F33901" w:rsidRDefault="00F33901" w:rsidP="00E60404">
      <w:pPr>
        <w:pStyle w:val="ListParagraph"/>
        <w:spacing w:after="0" w:line="240" w:lineRule="auto"/>
        <w:rPr>
          <w:rFonts w:ascii="Arial" w:eastAsia="Arial" w:hAnsi="Arial" w:cs="Arial"/>
          <w:spacing w:val="-1"/>
          <w:szCs w:val="20"/>
          <w:lang w:eastAsia="en-GB"/>
        </w:rPr>
      </w:pPr>
    </w:p>
    <w:p w14:paraId="206D1FE2" w14:textId="51CC3D1B" w:rsidR="00F33901" w:rsidRPr="002E7654" w:rsidRDefault="00F33901" w:rsidP="00E60404">
      <w:pPr>
        <w:pStyle w:val="ListParagraph"/>
        <w:numPr>
          <w:ilvl w:val="1"/>
          <w:numId w:val="5"/>
        </w:numPr>
        <w:tabs>
          <w:tab w:val="clear" w:pos="525"/>
        </w:tabs>
        <w:spacing w:after="0" w:line="240" w:lineRule="auto"/>
        <w:ind w:left="851" w:hanging="851"/>
        <w:rPr>
          <w:rFonts w:ascii="Arial" w:eastAsia="Arial" w:hAnsi="Arial" w:cs="Arial"/>
          <w:spacing w:val="-1"/>
          <w:szCs w:val="20"/>
          <w:lang w:eastAsia="en-GB"/>
        </w:rPr>
      </w:pPr>
      <w:r w:rsidRPr="002E7654">
        <w:rPr>
          <w:rFonts w:ascii="Arial" w:eastAsia="Arial" w:hAnsi="Arial" w:cs="Arial"/>
          <w:spacing w:val="-1"/>
          <w:szCs w:val="20"/>
          <w:lang w:eastAsia="en-GB"/>
        </w:rPr>
        <w:t xml:space="preserve">Tree removal and site clearance prior to the planning process can have significant consequences to the ability to deliver sustainable development. Pre-emptive felling is strongly discouraged. If the Council considers that pre-emptive tree, woodland, or hedgerow removal has occurred, the Council will seek </w:t>
      </w:r>
      <w:r w:rsidR="00393687">
        <w:rPr>
          <w:rFonts w:ascii="Arial" w:eastAsia="Arial" w:hAnsi="Arial" w:cs="Arial"/>
          <w:spacing w:val="-1"/>
          <w:szCs w:val="20"/>
          <w:lang w:eastAsia="en-GB"/>
        </w:rPr>
        <w:t xml:space="preserve">suitable </w:t>
      </w:r>
      <w:r w:rsidRPr="002E7654">
        <w:rPr>
          <w:rFonts w:ascii="Arial" w:eastAsia="Arial" w:hAnsi="Arial" w:cs="Arial"/>
          <w:spacing w:val="-1"/>
          <w:szCs w:val="20"/>
          <w:lang w:eastAsia="en-GB"/>
        </w:rPr>
        <w:t xml:space="preserve">replacement planting as part of any planning process. </w:t>
      </w:r>
    </w:p>
    <w:p w14:paraId="156CF5C6" w14:textId="77777777" w:rsidR="00F33901" w:rsidRPr="002E7654" w:rsidRDefault="00F33901" w:rsidP="008C35A7">
      <w:pPr>
        <w:pStyle w:val="ListParagraph"/>
        <w:ind w:left="851" w:hanging="851"/>
        <w:rPr>
          <w:rFonts w:ascii="Arial" w:eastAsia="Arial" w:hAnsi="Arial" w:cs="Arial"/>
          <w:spacing w:val="-1"/>
          <w:szCs w:val="20"/>
          <w:lang w:eastAsia="en-GB"/>
        </w:rPr>
      </w:pPr>
    </w:p>
    <w:p w14:paraId="1BB336FF" w14:textId="3AC6E6BA" w:rsidR="00F33901" w:rsidRPr="002E7654" w:rsidRDefault="00F33901" w:rsidP="006D051B">
      <w:pPr>
        <w:pStyle w:val="ListParagraph"/>
        <w:numPr>
          <w:ilvl w:val="1"/>
          <w:numId w:val="5"/>
        </w:numPr>
        <w:tabs>
          <w:tab w:val="clear" w:pos="525"/>
        </w:tabs>
        <w:spacing w:after="0" w:line="240" w:lineRule="auto"/>
        <w:ind w:left="851" w:hanging="851"/>
        <w:rPr>
          <w:rFonts w:ascii="Arial" w:eastAsia="Arial" w:hAnsi="Arial" w:cs="Arial"/>
          <w:spacing w:val="-1"/>
          <w:szCs w:val="20"/>
          <w:lang w:eastAsia="en-GB"/>
        </w:rPr>
      </w:pPr>
      <w:r w:rsidRPr="002E7654">
        <w:rPr>
          <w:rFonts w:ascii="Arial" w:eastAsia="Arial" w:hAnsi="Arial" w:cs="Arial"/>
          <w:spacing w:val="-1"/>
          <w:szCs w:val="20"/>
          <w:lang w:eastAsia="en-GB"/>
        </w:rPr>
        <w:t xml:space="preserve">Development proposals must demonstrate protection measures are in place prior to any work on site, and opportunities for the restoration, enhancement or planting of trees, woodland and hedgerows identified and incorporated.  Applications shall identify their position, canopy spread, and provision made for their protection during construction and long-term retention. </w:t>
      </w:r>
      <w:r w:rsidR="005E06B1" w:rsidRPr="002E7654">
        <w:rPr>
          <w:rFonts w:ascii="Arial" w:eastAsia="Arial" w:hAnsi="Arial" w:cs="Arial"/>
          <w:spacing w:val="-1"/>
        </w:rPr>
        <w:t xml:space="preserve">An ecologist should be employed prior to any vegetation removal to assess any potential impacts on protected species including bats and nesting birds. </w:t>
      </w:r>
      <w:r w:rsidRPr="002E7654">
        <w:rPr>
          <w:rFonts w:ascii="Arial" w:eastAsia="Arial" w:hAnsi="Arial" w:cs="Arial"/>
          <w:spacing w:val="-1"/>
          <w:szCs w:val="20"/>
          <w:lang w:eastAsia="en-GB"/>
        </w:rPr>
        <w:t>The applicant (with the exception of householder applications) will be expected to comply with the procedures and recommendations laid out the current British Standard regarding trees in relation to construction.</w:t>
      </w:r>
    </w:p>
    <w:p w14:paraId="2DD3EB71" w14:textId="77777777" w:rsidR="00945102" w:rsidRPr="002E7654" w:rsidRDefault="00945102" w:rsidP="00945102">
      <w:pPr>
        <w:pStyle w:val="ListParagraph"/>
        <w:rPr>
          <w:rFonts w:ascii="Arial" w:eastAsia="Arial" w:hAnsi="Arial" w:cs="Arial"/>
          <w:spacing w:val="-1"/>
          <w:szCs w:val="20"/>
          <w:lang w:eastAsia="en-GB"/>
        </w:rPr>
      </w:pPr>
    </w:p>
    <w:p w14:paraId="7416E81F" w14:textId="7C3C4071" w:rsidR="00945102" w:rsidRPr="002E7654" w:rsidRDefault="00945102" w:rsidP="00E60404">
      <w:pPr>
        <w:pStyle w:val="ListParagraph"/>
        <w:numPr>
          <w:ilvl w:val="1"/>
          <w:numId w:val="5"/>
        </w:numPr>
        <w:tabs>
          <w:tab w:val="clear" w:pos="525"/>
        </w:tabs>
        <w:spacing w:after="0" w:line="240" w:lineRule="auto"/>
        <w:ind w:left="851" w:hanging="851"/>
        <w:rPr>
          <w:rFonts w:ascii="Arial" w:eastAsia="Arial" w:hAnsi="Arial" w:cs="Arial"/>
          <w:spacing w:val="-1"/>
          <w:szCs w:val="20"/>
          <w:lang w:eastAsia="en-GB"/>
        </w:rPr>
      </w:pPr>
      <w:r w:rsidRPr="002E7654">
        <w:rPr>
          <w:rFonts w:ascii="Arial" w:eastAsia="Arial" w:hAnsi="Arial" w:cs="Arial"/>
          <w:spacing w:val="-1"/>
          <w:szCs w:val="20"/>
          <w:lang w:eastAsia="en-GB"/>
        </w:rPr>
        <w:t xml:space="preserve">Where there are overriding reasons for the removal of trees, appropriate replacement trees must be provided for on site, or if necessary off site, at a minimum ratio of 2 new trees for every 1 lost in order to maintain and enhance the character and appearance of the area, to provide for biodiversity, to contribute to measures to support green infrastructure, reduce carbon and to adapt to climate change.  Replacement trees should be of at least heavy standard, locally native and longer-lived tree species.  Measures must be in place to ensure that these new trees are appropriately maintained and managed over the lifetime of the development. A 10-year Management Plan will be required to ensure a successful establishment period.  </w:t>
      </w:r>
    </w:p>
    <w:p w14:paraId="03346B1E" w14:textId="77777777" w:rsidR="00F3137E" w:rsidRDefault="00F3137E" w:rsidP="006D051B">
      <w:pPr>
        <w:pStyle w:val="ListParagraph"/>
        <w:spacing w:after="0" w:line="240" w:lineRule="auto"/>
        <w:rPr>
          <w:rFonts w:eastAsia="Arial" w:cs="Arial"/>
          <w:spacing w:val="-1"/>
        </w:rPr>
      </w:pPr>
    </w:p>
    <w:p w14:paraId="6B5C88EB" w14:textId="1EFE0F9C" w:rsidR="00F3137E" w:rsidRDefault="00A75D60" w:rsidP="006D051B">
      <w:pPr>
        <w:keepNext w:val="0"/>
        <w:numPr>
          <w:ilvl w:val="1"/>
          <w:numId w:val="5"/>
        </w:numPr>
        <w:tabs>
          <w:tab w:val="clear" w:pos="525"/>
          <w:tab w:val="num" w:pos="851"/>
        </w:tabs>
        <w:autoSpaceDE w:val="0"/>
        <w:autoSpaceDN w:val="0"/>
        <w:adjustRightInd w:val="0"/>
        <w:spacing w:before="0"/>
        <w:ind w:left="851" w:hanging="851"/>
        <w:rPr>
          <w:rFonts w:eastAsia="Arial" w:cs="Arial"/>
          <w:spacing w:val="-1"/>
        </w:rPr>
      </w:pPr>
      <w:r w:rsidRPr="00A75D60">
        <w:rPr>
          <w:rFonts w:eastAsia="Arial" w:cs="Arial"/>
          <w:spacing w:val="-1"/>
        </w:rPr>
        <w:t>Off-site tree provision will be appropriate in some cases where it has been demonstrated that acceptable development cannot provide an appropriate level of mitigation planting (where trees are to be removed) and/or new planting within the site. Tree stock should either be UK grown or sourced from a domestic nursery that retains its trees for a minimum of one year (a full growing season) within the UK before sale to ensure plant health and non-infection by foreign pests or disease.</w:t>
      </w:r>
    </w:p>
    <w:p w14:paraId="5050DA65" w14:textId="77777777" w:rsidR="002415F6" w:rsidRPr="00F3137E" w:rsidRDefault="002415F6" w:rsidP="006D051B">
      <w:pPr>
        <w:keepNext w:val="0"/>
        <w:autoSpaceDE w:val="0"/>
        <w:autoSpaceDN w:val="0"/>
        <w:adjustRightInd w:val="0"/>
        <w:spacing w:before="0"/>
        <w:ind w:left="851"/>
        <w:rPr>
          <w:rFonts w:eastAsia="Arial" w:cs="Arial"/>
          <w:color w:val="2F5496" w:themeColor="accent1" w:themeShade="BF"/>
          <w:spacing w:val="-1"/>
        </w:rPr>
      </w:pPr>
    </w:p>
    <w:p w14:paraId="32B65DD5" w14:textId="1C815AD0" w:rsidR="00A75D60" w:rsidRDefault="00A75D60" w:rsidP="006D051B">
      <w:pPr>
        <w:keepNext w:val="0"/>
        <w:numPr>
          <w:ilvl w:val="1"/>
          <w:numId w:val="5"/>
        </w:numPr>
        <w:tabs>
          <w:tab w:val="clear" w:pos="525"/>
          <w:tab w:val="num" w:pos="851"/>
        </w:tabs>
        <w:autoSpaceDE w:val="0"/>
        <w:autoSpaceDN w:val="0"/>
        <w:adjustRightInd w:val="0"/>
        <w:spacing w:before="0"/>
        <w:ind w:left="851" w:hanging="851"/>
        <w:rPr>
          <w:rFonts w:eastAsia="Arial" w:cs="Arial"/>
          <w:spacing w:val="-1"/>
        </w:rPr>
      </w:pPr>
      <w:r w:rsidRPr="00A75D60">
        <w:rPr>
          <w:rFonts w:eastAsia="Arial" w:cs="Arial"/>
          <w:spacing w:val="-1"/>
        </w:rPr>
        <w:t>Where specific trees or groups of trees within a development site are of particular value (such that their removal would have a significant impact upon the local environment and its enjoyment by the public), and are potentially under threat, the Council will make Tree Preservation Orders to protect them. Where trees are covered by Tree Preservation Orders, the policy is intended to safeguard them from damage or destruction unless there are overriding reasons for their removal.</w:t>
      </w:r>
    </w:p>
    <w:p w14:paraId="268F7332" w14:textId="77777777" w:rsidR="00CD2C7D" w:rsidRDefault="00CD2C7D" w:rsidP="007B66A3">
      <w:pPr>
        <w:keepNext w:val="0"/>
        <w:tabs>
          <w:tab w:val="num" w:pos="851"/>
        </w:tabs>
        <w:autoSpaceDE w:val="0"/>
        <w:autoSpaceDN w:val="0"/>
        <w:adjustRightInd w:val="0"/>
        <w:spacing w:before="0"/>
        <w:ind w:left="851" w:hanging="851"/>
        <w:rPr>
          <w:rFonts w:eastAsia="Arial" w:cs="Arial"/>
          <w:b/>
          <w:bCs/>
          <w:spacing w:val="-1"/>
        </w:rPr>
      </w:pPr>
    </w:p>
    <w:p w14:paraId="73DCA41F" w14:textId="6948BD34" w:rsidR="007B66A3" w:rsidRPr="002E7654" w:rsidRDefault="00676383" w:rsidP="007B66A3">
      <w:pPr>
        <w:keepNext w:val="0"/>
        <w:tabs>
          <w:tab w:val="num" w:pos="851"/>
        </w:tabs>
        <w:autoSpaceDE w:val="0"/>
        <w:autoSpaceDN w:val="0"/>
        <w:adjustRightInd w:val="0"/>
        <w:spacing w:before="0"/>
        <w:ind w:left="851" w:hanging="851"/>
        <w:rPr>
          <w:rFonts w:eastAsia="Arial" w:cs="Arial"/>
          <w:b/>
          <w:bCs/>
          <w:spacing w:val="-1"/>
        </w:rPr>
      </w:pPr>
      <w:r>
        <w:rPr>
          <w:rFonts w:eastAsia="Arial" w:cs="Arial"/>
          <w:b/>
          <w:bCs/>
          <w:spacing w:val="-1"/>
        </w:rPr>
        <w:tab/>
      </w:r>
      <w:r w:rsidR="00A75D60" w:rsidRPr="009549D3">
        <w:rPr>
          <w:rFonts w:eastAsia="Arial" w:cs="Arial"/>
          <w:b/>
          <w:bCs/>
          <w:spacing w:val="-1"/>
        </w:rPr>
        <w:t>Ancient Woodland</w:t>
      </w:r>
      <w:r w:rsidR="007B66A3">
        <w:rPr>
          <w:rFonts w:eastAsia="Arial" w:cs="Arial"/>
          <w:b/>
          <w:bCs/>
          <w:spacing w:val="-1"/>
        </w:rPr>
        <w:t xml:space="preserve"> </w:t>
      </w:r>
      <w:r w:rsidR="007B66A3" w:rsidRPr="002E7654">
        <w:rPr>
          <w:rFonts w:eastAsia="Arial" w:cs="Arial"/>
          <w:b/>
          <w:bCs/>
          <w:spacing w:val="-1"/>
        </w:rPr>
        <w:t xml:space="preserve">and Ancient or Veteran Trees </w:t>
      </w:r>
    </w:p>
    <w:p w14:paraId="72913664" w14:textId="7FFF49BD" w:rsidR="007B66A3" w:rsidRPr="002E7654" w:rsidRDefault="007B66A3" w:rsidP="007B66A3">
      <w:pPr>
        <w:keepNext w:val="0"/>
        <w:numPr>
          <w:ilvl w:val="1"/>
          <w:numId w:val="5"/>
        </w:numPr>
        <w:tabs>
          <w:tab w:val="num" w:pos="851"/>
        </w:tabs>
        <w:autoSpaceDE w:val="0"/>
        <w:autoSpaceDN w:val="0"/>
        <w:adjustRightInd w:val="0"/>
        <w:spacing w:before="0"/>
        <w:ind w:left="851" w:hanging="851"/>
        <w:rPr>
          <w:rFonts w:eastAsia="Arial" w:cs="Arial"/>
          <w:spacing w:val="-1"/>
        </w:rPr>
      </w:pPr>
      <w:r w:rsidRPr="002E7654">
        <w:rPr>
          <w:rFonts w:eastAsia="Arial" w:cs="Arial"/>
          <w:spacing w:val="-1"/>
        </w:rPr>
        <w:t>Policy</w:t>
      </w:r>
      <w:r w:rsidR="00F33901" w:rsidRPr="002E7654">
        <w:rPr>
          <w:rFonts w:eastAsia="Arial" w:cs="Arial"/>
          <w:spacing w:val="-1"/>
        </w:rPr>
        <w:t xml:space="preserve"> EV6 </w:t>
      </w:r>
      <w:r w:rsidRPr="002E7654">
        <w:rPr>
          <w:rFonts w:eastAsia="Arial" w:cs="Arial"/>
          <w:spacing w:val="-1"/>
        </w:rPr>
        <w:t xml:space="preserve">sets out protection for ancient or veteran trees.  Under the Policy it has to be determined that there are wholly exceptional reasons for the loss of an ancient or veteran tree.  Only if it is determined there are wholly exceptional reasons should consideration be given to whether there is a suitable compensation strategy. </w:t>
      </w:r>
    </w:p>
    <w:p w14:paraId="75077C2E" w14:textId="47E0815B" w:rsidR="00A75D60" w:rsidRPr="009549D3" w:rsidRDefault="00A75D60" w:rsidP="00676383">
      <w:pPr>
        <w:keepNext w:val="0"/>
        <w:tabs>
          <w:tab w:val="num" w:pos="851"/>
        </w:tabs>
        <w:autoSpaceDE w:val="0"/>
        <w:autoSpaceDN w:val="0"/>
        <w:adjustRightInd w:val="0"/>
        <w:spacing w:before="0"/>
        <w:ind w:left="851" w:hanging="851"/>
        <w:rPr>
          <w:rFonts w:eastAsia="Arial" w:cs="Arial"/>
          <w:b/>
          <w:bCs/>
          <w:spacing w:val="-1"/>
        </w:rPr>
      </w:pPr>
    </w:p>
    <w:p w14:paraId="3B33DA83" w14:textId="3CC8A238" w:rsidR="00A75D60" w:rsidRPr="00A75D60" w:rsidRDefault="00A75D60" w:rsidP="00676383">
      <w:pPr>
        <w:keepNext w:val="0"/>
        <w:numPr>
          <w:ilvl w:val="1"/>
          <w:numId w:val="5"/>
        </w:numPr>
        <w:tabs>
          <w:tab w:val="clear" w:pos="525"/>
          <w:tab w:val="num" w:pos="851"/>
        </w:tabs>
        <w:autoSpaceDE w:val="0"/>
        <w:autoSpaceDN w:val="0"/>
        <w:adjustRightInd w:val="0"/>
        <w:spacing w:before="0"/>
        <w:ind w:left="851" w:hanging="851"/>
        <w:rPr>
          <w:rFonts w:eastAsia="Arial" w:cs="Arial"/>
          <w:spacing w:val="-1"/>
        </w:rPr>
      </w:pPr>
      <w:r w:rsidRPr="00A75D60">
        <w:rPr>
          <w:rFonts w:eastAsia="Arial" w:cs="Arial"/>
          <w:spacing w:val="-1"/>
        </w:rPr>
        <w:t xml:space="preserve">An ancient woodland is an area which has had continuous cover of native trees and plants since at least 1600 A.D., neither having </w:t>
      </w:r>
      <w:r w:rsidR="009D1815" w:rsidRPr="00A75D60">
        <w:rPr>
          <w:rFonts w:eastAsia="Arial" w:cs="Arial"/>
          <w:spacing w:val="-1"/>
        </w:rPr>
        <w:t>been</w:t>
      </w:r>
      <w:r w:rsidRPr="00A75D60">
        <w:rPr>
          <w:rFonts w:eastAsia="Arial" w:cs="Arial"/>
          <w:spacing w:val="-1"/>
        </w:rPr>
        <w:t xml:space="preserve"> cleared nor extensively replanted since then. The date is adopted as marking the time when forestry began to be widely adopted and when evidence in map form began to become available. Ancient woodlands in particular are exceptionally rich in wildlife, and often contain important archaeological and heritage features relating to their past management. Planning Practice Guidance identifies that both Ancient Semi-Natural Woodland (ASNW) as well as Plantations on Ancient Woodland Sites (PAWS) are ancient woodland. Both types should be treated equally in terms of the protection afforded to ancient woodland in the N</w:t>
      </w:r>
      <w:r w:rsidR="004E709C">
        <w:rPr>
          <w:rFonts w:eastAsia="Arial" w:cs="Arial"/>
          <w:spacing w:val="-1"/>
        </w:rPr>
        <w:t>PPF</w:t>
      </w:r>
      <w:r w:rsidRPr="00A75D60">
        <w:rPr>
          <w:rFonts w:eastAsia="Arial" w:cs="Arial"/>
          <w:spacing w:val="-1"/>
        </w:rPr>
        <w:t xml:space="preserve">. Eleven Ancient Woodland sites have been identified by Natural England within Ashfield (see Appendix 8).  </w:t>
      </w:r>
    </w:p>
    <w:p w14:paraId="5CCA8756" w14:textId="77777777" w:rsidR="00263F59" w:rsidRDefault="00263F59" w:rsidP="00A75D60">
      <w:pPr>
        <w:keepNext w:val="0"/>
        <w:autoSpaceDE w:val="0"/>
        <w:autoSpaceDN w:val="0"/>
        <w:adjustRightInd w:val="0"/>
        <w:spacing w:before="0"/>
        <w:ind w:left="525"/>
        <w:rPr>
          <w:rFonts w:eastAsia="Arial" w:cs="Arial"/>
          <w:b/>
          <w:bCs/>
          <w:spacing w:val="-1"/>
        </w:rPr>
      </w:pPr>
    </w:p>
    <w:p w14:paraId="2ED1C94B" w14:textId="2ABEE46A" w:rsidR="00A75D60" w:rsidRPr="00A75D60" w:rsidRDefault="00676383" w:rsidP="00676383">
      <w:pPr>
        <w:keepNext w:val="0"/>
        <w:autoSpaceDE w:val="0"/>
        <w:autoSpaceDN w:val="0"/>
        <w:adjustRightInd w:val="0"/>
        <w:spacing w:before="0"/>
        <w:ind w:left="851" w:hanging="131"/>
        <w:rPr>
          <w:rFonts w:eastAsia="Arial" w:cs="Arial"/>
          <w:b/>
          <w:bCs/>
          <w:spacing w:val="-1"/>
        </w:rPr>
      </w:pPr>
      <w:r>
        <w:rPr>
          <w:rFonts w:eastAsia="Arial" w:cs="Arial"/>
          <w:b/>
          <w:bCs/>
          <w:spacing w:val="-1"/>
        </w:rPr>
        <w:t xml:space="preserve">  </w:t>
      </w:r>
      <w:r w:rsidR="00A75D60" w:rsidRPr="00A75D60">
        <w:rPr>
          <w:rFonts w:eastAsia="Arial" w:cs="Arial"/>
          <w:b/>
          <w:bCs/>
          <w:spacing w:val="-1"/>
        </w:rPr>
        <w:t>Hedgerows</w:t>
      </w:r>
    </w:p>
    <w:p w14:paraId="4124138B" w14:textId="77777777" w:rsidR="00A75D60" w:rsidRPr="00A75D60" w:rsidRDefault="00A75D60" w:rsidP="00676383">
      <w:pPr>
        <w:keepNext w:val="0"/>
        <w:numPr>
          <w:ilvl w:val="1"/>
          <w:numId w:val="5"/>
        </w:numPr>
        <w:tabs>
          <w:tab w:val="clear" w:pos="525"/>
          <w:tab w:val="num" w:pos="851"/>
        </w:tabs>
        <w:autoSpaceDE w:val="0"/>
        <w:autoSpaceDN w:val="0"/>
        <w:adjustRightInd w:val="0"/>
        <w:spacing w:before="0"/>
        <w:ind w:left="851" w:hanging="851"/>
        <w:rPr>
          <w:rFonts w:eastAsia="Arial" w:cs="Arial"/>
          <w:spacing w:val="-1"/>
        </w:rPr>
      </w:pPr>
      <w:r w:rsidRPr="00A75D60">
        <w:rPr>
          <w:rFonts w:eastAsia="Arial" w:cs="Arial"/>
          <w:spacing w:val="-1"/>
        </w:rPr>
        <w:t xml:space="preserve">Hedgerows are the most traditional types of field boundaries in many areas and make an important contribution to the landscape of the District. They are often of considerable historic and wildlife interest and, particularly in the case of older hedgerows, often contain a great diversity of plant and wildlife species. The loss of hedgerows from the countryside landscape is a continuing cause for concern. </w:t>
      </w:r>
    </w:p>
    <w:p w14:paraId="200E9869" w14:textId="77777777" w:rsidR="00A75D60" w:rsidRPr="00A75D60" w:rsidRDefault="00A75D60" w:rsidP="00A75D60">
      <w:pPr>
        <w:keepNext w:val="0"/>
        <w:autoSpaceDE w:val="0"/>
        <w:autoSpaceDN w:val="0"/>
        <w:adjustRightInd w:val="0"/>
        <w:spacing w:before="0"/>
        <w:ind w:left="525"/>
        <w:rPr>
          <w:rFonts w:eastAsia="Arial" w:cs="Arial"/>
          <w:spacing w:val="-1"/>
        </w:rPr>
      </w:pPr>
    </w:p>
    <w:p w14:paraId="6AF9B09C" w14:textId="4EB37F78" w:rsidR="00A75D60" w:rsidRPr="00A75D60" w:rsidRDefault="00A75D60" w:rsidP="00676383">
      <w:pPr>
        <w:keepNext w:val="0"/>
        <w:numPr>
          <w:ilvl w:val="1"/>
          <w:numId w:val="5"/>
        </w:numPr>
        <w:tabs>
          <w:tab w:val="clear" w:pos="525"/>
          <w:tab w:val="num" w:pos="851"/>
        </w:tabs>
        <w:autoSpaceDE w:val="0"/>
        <w:autoSpaceDN w:val="0"/>
        <w:adjustRightInd w:val="0"/>
        <w:spacing w:before="0"/>
        <w:ind w:left="851" w:hanging="851"/>
        <w:rPr>
          <w:rFonts w:eastAsia="Arial" w:cs="Arial"/>
          <w:spacing w:val="-1"/>
        </w:rPr>
      </w:pPr>
      <w:r w:rsidRPr="00A75D60">
        <w:rPr>
          <w:rFonts w:eastAsia="Arial" w:cs="Arial"/>
          <w:spacing w:val="-1"/>
        </w:rPr>
        <w:t>On the 1st June 1997 the Hedgerows Regulations</w:t>
      </w:r>
      <w:r w:rsidR="000540B6">
        <w:rPr>
          <w:rStyle w:val="FootnoteReference"/>
          <w:rFonts w:eastAsia="Arial" w:cs="Arial"/>
          <w:spacing w:val="-1"/>
        </w:rPr>
        <w:footnoteReference w:id="88"/>
      </w:r>
      <w:r w:rsidRPr="00A75D60">
        <w:rPr>
          <w:rFonts w:eastAsia="Arial" w:cs="Arial"/>
          <w:spacing w:val="-1"/>
        </w:rPr>
        <w:t xml:space="preserve"> came into force under Section 97 of the Environment Act, 1995. They introduced new arrangements for local planning authorities to protect "important" hedgerows in the Countryside, by controlling their removal through a system of notification. </w:t>
      </w:r>
    </w:p>
    <w:p w14:paraId="07F940EB" w14:textId="77777777" w:rsidR="00A75D60" w:rsidRPr="00A75D60" w:rsidRDefault="00A75D60" w:rsidP="00676383">
      <w:pPr>
        <w:keepNext w:val="0"/>
        <w:tabs>
          <w:tab w:val="num" w:pos="851"/>
        </w:tabs>
        <w:autoSpaceDE w:val="0"/>
        <w:autoSpaceDN w:val="0"/>
        <w:adjustRightInd w:val="0"/>
        <w:spacing w:before="0"/>
        <w:ind w:left="851" w:hanging="851"/>
        <w:rPr>
          <w:rFonts w:eastAsia="Arial" w:cs="Arial"/>
          <w:spacing w:val="-1"/>
        </w:rPr>
      </w:pPr>
    </w:p>
    <w:p w14:paraId="420B927B" w14:textId="36232D27" w:rsidR="00263F59" w:rsidRPr="006D4F49" w:rsidRDefault="00A75D60" w:rsidP="006D4F49">
      <w:pPr>
        <w:keepNext w:val="0"/>
        <w:numPr>
          <w:ilvl w:val="1"/>
          <w:numId w:val="5"/>
        </w:numPr>
        <w:tabs>
          <w:tab w:val="clear" w:pos="525"/>
          <w:tab w:val="num" w:pos="851"/>
        </w:tabs>
        <w:autoSpaceDE w:val="0"/>
        <w:autoSpaceDN w:val="0"/>
        <w:adjustRightInd w:val="0"/>
        <w:spacing w:before="0"/>
        <w:ind w:left="851" w:hanging="851"/>
        <w:rPr>
          <w:rFonts w:eastAsia="Arial" w:cs="Arial"/>
          <w:spacing w:val="-1"/>
        </w:rPr>
      </w:pPr>
      <w:r w:rsidRPr="00A75D60">
        <w:rPr>
          <w:rFonts w:eastAsia="Arial" w:cs="Arial"/>
          <w:spacing w:val="-1"/>
        </w:rPr>
        <w:t>Th</w:t>
      </w:r>
      <w:r w:rsidR="000540B6">
        <w:rPr>
          <w:rFonts w:eastAsia="Arial" w:cs="Arial"/>
          <w:spacing w:val="-1"/>
        </w:rPr>
        <w:t xml:space="preserve">e </w:t>
      </w:r>
      <w:r w:rsidRPr="00A75D60">
        <w:rPr>
          <w:rFonts w:eastAsia="Arial" w:cs="Arial"/>
          <w:spacing w:val="-1"/>
        </w:rPr>
        <w:t xml:space="preserve">Hedgerows Regulations set out criteria that must be used by the local planning authority in determining which hedgerows are "important". The criteria relate to the value of hedgerows from an archaeological, historical, landscape and wildlife perspective. There is a strong presumption that "important" hedgerows and other hedgerows, will be protected and wherever possible incorporated into open space and landscaping proposals for new development. </w:t>
      </w:r>
    </w:p>
    <w:p w14:paraId="0740560C" w14:textId="77777777" w:rsidR="00263F59" w:rsidRDefault="00263F59" w:rsidP="00263F59">
      <w:pPr>
        <w:pStyle w:val="ListParagraph"/>
        <w:spacing w:after="0" w:line="240" w:lineRule="auto"/>
        <w:rPr>
          <w:rFonts w:ascii="Arial" w:eastAsia="Arial" w:hAnsi="Arial" w:cs="Arial"/>
          <w:spacing w:val="-1"/>
        </w:rPr>
      </w:pPr>
    </w:p>
    <w:p w14:paraId="0B631AAF" w14:textId="77777777" w:rsidR="000540B6" w:rsidRPr="00263F59" w:rsidRDefault="000540B6" w:rsidP="00263F59">
      <w:pPr>
        <w:pStyle w:val="ListParagraph"/>
        <w:spacing w:after="0" w:line="240" w:lineRule="auto"/>
        <w:rPr>
          <w:rFonts w:ascii="Arial" w:eastAsia="Arial" w:hAnsi="Arial" w:cs="Arial"/>
          <w:spacing w:val="-1"/>
        </w:rPr>
      </w:pPr>
    </w:p>
    <w:p w14:paraId="7E2D39C5" w14:textId="170D164B" w:rsidR="009549D3" w:rsidRPr="00995322" w:rsidRDefault="006977E7" w:rsidP="00995322">
      <w:pPr>
        <w:pStyle w:val="Heading2"/>
        <w:jc w:val="left"/>
        <w:rPr>
          <w:rFonts w:eastAsia="Arial"/>
          <w:sz w:val="28"/>
          <w:szCs w:val="28"/>
        </w:rPr>
      </w:pPr>
      <w:bookmarkStart w:id="175" w:name="_Toc500408759"/>
      <w:bookmarkStart w:id="176" w:name="_Toc145511581"/>
      <w:r w:rsidRPr="00995322">
        <w:rPr>
          <w:rFonts w:eastAsia="Arial"/>
          <w:sz w:val="28"/>
          <w:szCs w:val="28"/>
        </w:rPr>
        <w:t xml:space="preserve">Policy </w:t>
      </w:r>
      <w:r w:rsidR="009549D3" w:rsidRPr="00995322">
        <w:rPr>
          <w:rFonts w:eastAsia="Arial"/>
          <w:sz w:val="28"/>
          <w:szCs w:val="28"/>
        </w:rPr>
        <w:t>EV7: Provision and Protection of Allotments</w:t>
      </w:r>
      <w:bookmarkEnd w:id="175"/>
      <w:bookmarkEnd w:id="176"/>
      <w:r w:rsidR="009549D3" w:rsidRPr="00995322">
        <w:rPr>
          <w:rFonts w:eastAsia="Arial"/>
          <w:sz w:val="28"/>
          <w:szCs w:val="28"/>
        </w:rPr>
        <w:t xml:space="preserve"> </w:t>
      </w:r>
    </w:p>
    <w:p w14:paraId="280E2A23" w14:textId="77777777" w:rsidR="009549D3" w:rsidRPr="00B20356" w:rsidRDefault="009549D3" w:rsidP="00263F59">
      <w:pPr>
        <w:spacing w:before="0"/>
        <w:rPr>
          <w:rFonts w:eastAsia="Arial" w:cs="Arial"/>
        </w:rPr>
      </w:pPr>
    </w:p>
    <w:p w14:paraId="5FD22046" w14:textId="76C1B158" w:rsidR="00A75D60" w:rsidRDefault="009549D3" w:rsidP="00676383">
      <w:pPr>
        <w:keepNext w:val="0"/>
        <w:numPr>
          <w:ilvl w:val="1"/>
          <w:numId w:val="5"/>
        </w:numPr>
        <w:tabs>
          <w:tab w:val="clear" w:pos="525"/>
          <w:tab w:val="num" w:pos="851"/>
        </w:tabs>
        <w:autoSpaceDE w:val="0"/>
        <w:autoSpaceDN w:val="0"/>
        <w:adjustRightInd w:val="0"/>
        <w:spacing w:before="0"/>
        <w:ind w:left="851" w:hanging="851"/>
        <w:rPr>
          <w:rFonts w:eastAsia="Arial" w:cs="Arial"/>
          <w:spacing w:val="-1"/>
        </w:rPr>
      </w:pPr>
      <w:r w:rsidRPr="009549D3">
        <w:rPr>
          <w:rFonts w:eastAsia="Arial" w:cs="Arial"/>
          <w:spacing w:val="-1"/>
        </w:rPr>
        <w:t>This policy aims to protect existing allotments and provide new allotments in order to meet a locally identified need.</w:t>
      </w:r>
    </w:p>
    <w:p w14:paraId="7D838B51" w14:textId="77777777" w:rsidR="007C6CA4" w:rsidRPr="007C6CA4" w:rsidRDefault="007C6CA4" w:rsidP="007C6CA4">
      <w:pPr>
        <w:keepNext w:val="0"/>
        <w:spacing w:before="0" w:after="160" w:line="252" w:lineRule="auto"/>
        <w:jc w:val="both"/>
        <w:rPr>
          <w:rFonts w:eastAsia="Calibri"/>
          <w:color w:val="auto"/>
          <w:szCs w:val="22"/>
        </w:rPr>
      </w:pPr>
    </w:p>
    <w:tbl>
      <w:tblPr>
        <w:tblStyle w:val="TableGrid17"/>
        <w:tblW w:w="0" w:type="auto"/>
        <w:tblLook w:val="04A0" w:firstRow="1" w:lastRow="0" w:firstColumn="1" w:lastColumn="0" w:noHBand="0" w:noVBand="1"/>
      </w:tblPr>
      <w:tblGrid>
        <w:gridCol w:w="2385"/>
        <w:gridCol w:w="7234"/>
      </w:tblGrid>
      <w:tr w:rsidR="007C6CA4" w:rsidRPr="007C6CA4" w14:paraId="0E7F3F4E" w14:textId="77777777" w:rsidTr="007C6CA4">
        <w:tc>
          <w:tcPr>
            <w:tcW w:w="9732" w:type="dxa"/>
            <w:gridSpan w:val="2"/>
            <w:tcBorders>
              <w:top w:val="single" w:sz="8" w:space="0" w:color="auto"/>
              <w:left w:val="single" w:sz="8" w:space="0" w:color="auto"/>
              <w:bottom w:val="single" w:sz="8" w:space="0" w:color="auto"/>
              <w:right w:val="single" w:sz="8" w:space="0" w:color="auto"/>
            </w:tcBorders>
          </w:tcPr>
          <w:p w14:paraId="45C3F4C7" w14:textId="77777777" w:rsidR="00232EC9" w:rsidRDefault="00232EC9" w:rsidP="00FF3EAD">
            <w:pPr>
              <w:keepNext w:val="0"/>
              <w:spacing w:before="0"/>
              <w:jc w:val="left"/>
              <w:rPr>
                <w:b/>
                <w:bCs/>
                <w:color w:val="auto"/>
              </w:rPr>
            </w:pPr>
          </w:p>
          <w:p w14:paraId="4DCE11E0" w14:textId="77777777" w:rsidR="007C6CA4" w:rsidRDefault="007C6CA4" w:rsidP="00FF3EAD">
            <w:pPr>
              <w:keepNext w:val="0"/>
              <w:spacing w:before="0"/>
              <w:jc w:val="left"/>
              <w:rPr>
                <w:b/>
                <w:bCs/>
                <w:color w:val="auto"/>
              </w:rPr>
            </w:pPr>
            <w:r w:rsidRPr="007C6CA4">
              <w:rPr>
                <w:b/>
                <w:bCs/>
                <w:color w:val="auto"/>
              </w:rPr>
              <w:t>Policy EV7: Provision and Protection of Allotments</w:t>
            </w:r>
          </w:p>
          <w:p w14:paraId="3A84AA1F" w14:textId="099254DB" w:rsidR="00232EC9" w:rsidRPr="007C6CA4" w:rsidRDefault="00232EC9" w:rsidP="00FF3EAD">
            <w:pPr>
              <w:keepNext w:val="0"/>
              <w:spacing w:before="0"/>
              <w:jc w:val="left"/>
              <w:rPr>
                <w:b/>
                <w:bCs/>
                <w:color w:val="auto"/>
              </w:rPr>
            </w:pPr>
          </w:p>
        </w:tc>
      </w:tr>
      <w:tr w:rsidR="007C6CA4" w:rsidRPr="007C6CA4" w14:paraId="1ACC4C3F" w14:textId="77777777" w:rsidTr="007C6CA4">
        <w:tc>
          <w:tcPr>
            <w:tcW w:w="2403" w:type="dxa"/>
            <w:tcBorders>
              <w:left w:val="single" w:sz="8" w:space="0" w:color="auto"/>
              <w:right w:val="single" w:sz="8" w:space="0" w:color="auto"/>
            </w:tcBorders>
          </w:tcPr>
          <w:p w14:paraId="42AC5739" w14:textId="77777777" w:rsidR="007C6CA4" w:rsidRPr="007C6CA4" w:rsidRDefault="007C6CA4" w:rsidP="00FF3EAD">
            <w:pPr>
              <w:keepNext w:val="0"/>
              <w:spacing w:before="0"/>
              <w:jc w:val="left"/>
              <w:rPr>
                <w:color w:val="auto"/>
              </w:rPr>
            </w:pPr>
            <w:r w:rsidRPr="007C6CA4">
              <w:rPr>
                <w:color w:val="auto"/>
              </w:rPr>
              <w:t>Strategic Objectives</w:t>
            </w:r>
          </w:p>
        </w:tc>
        <w:tc>
          <w:tcPr>
            <w:tcW w:w="7329" w:type="dxa"/>
            <w:tcBorders>
              <w:top w:val="single" w:sz="8" w:space="0" w:color="auto"/>
              <w:left w:val="single" w:sz="8" w:space="0" w:color="auto"/>
              <w:bottom w:val="single" w:sz="8" w:space="0" w:color="auto"/>
              <w:right w:val="single" w:sz="8" w:space="0" w:color="auto"/>
            </w:tcBorders>
          </w:tcPr>
          <w:p w14:paraId="689AEEE9" w14:textId="77777777" w:rsidR="007C6CA4" w:rsidRPr="007C6CA4" w:rsidRDefault="007C6CA4" w:rsidP="00FF3EAD">
            <w:pPr>
              <w:keepNext w:val="0"/>
              <w:spacing w:before="0"/>
              <w:jc w:val="left"/>
              <w:rPr>
                <w:color w:val="auto"/>
              </w:rPr>
            </w:pPr>
            <w:r w:rsidRPr="007C6CA4">
              <w:rPr>
                <w:color w:val="auto"/>
              </w:rPr>
              <w:t>SO1, SO2, SO3, SO4, SO5, SO14.</w:t>
            </w:r>
          </w:p>
        </w:tc>
      </w:tr>
      <w:tr w:rsidR="007C6CA4" w:rsidRPr="007C6CA4" w14:paraId="396BC94C" w14:textId="77777777" w:rsidTr="007C6CA4">
        <w:tc>
          <w:tcPr>
            <w:tcW w:w="9732" w:type="dxa"/>
            <w:gridSpan w:val="2"/>
            <w:tcBorders>
              <w:top w:val="single" w:sz="8" w:space="0" w:color="auto"/>
              <w:left w:val="single" w:sz="8" w:space="0" w:color="auto"/>
              <w:bottom w:val="single" w:sz="8" w:space="0" w:color="auto"/>
              <w:right w:val="single" w:sz="8" w:space="0" w:color="auto"/>
            </w:tcBorders>
            <w:shd w:val="clear" w:color="auto" w:fill="E2EFD9"/>
          </w:tcPr>
          <w:p w14:paraId="2A95BA12" w14:textId="77777777" w:rsidR="007C6CA4" w:rsidRPr="007C6CA4" w:rsidRDefault="007C6CA4" w:rsidP="00FF3EAD">
            <w:pPr>
              <w:keepNext w:val="0"/>
              <w:spacing w:before="0"/>
              <w:jc w:val="left"/>
              <w:rPr>
                <w:color w:val="auto"/>
              </w:rPr>
            </w:pPr>
          </w:p>
          <w:p w14:paraId="4D100C52" w14:textId="0AC7845C" w:rsidR="007C6CA4" w:rsidRPr="007C6CA4" w:rsidRDefault="007C6CA4" w:rsidP="00874A98">
            <w:pPr>
              <w:keepNext w:val="0"/>
              <w:numPr>
                <w:ilvl w:val="0"/>
                <w:numId w:val="284"/>
              </w:numPr>
              <w:spacing w:before="0"/>
              <w:contextualSpacing/>
              <w:jc w:val="left"/>
              <w:rPr>
                <w:color w:val="auto"/>
              </w:rPr>
            </w:pPr>
            <w:r w:rsidRPr="007C6CA4">
              <w:rPr>
                <w:color w:val="auto"/>
              </w:rPr>
              <w:t>The Council will support the provision of new allotments in order to meet a locally identified demand. Where residential development results in an additional demand for allotments in a locality, new provision could form part of the on-site open space requirement, or a planning contribution may be required towards either improving existing allotments or providing new allotments elsewhere, as set out under Policy H</w:t>
            </w:r>
            <w:r w:rsidR="004E709C">
              <w:rPr>
                <w:color w:val="auto"/>
              </w:rPr>
              <w:t>5</w:t>
            </w:r>
            <w:r w:rsidRPr="007C6CA4">
              <w:rPr>
                <w:color w:val="auto"/>
              </w:rPr>
              <w:t>.</w:t>
            </w:r>
          </w:p>
          <w:p w14:paraId="7BB58013" w14:textId="77777777" w:rsidR="007C6CA4" w:rsidRPr="007C6CA4" w:rsidRDefault="007C6CA4" w:rsidP="00FF3EAD">
            <w:pPr>
              <w:keepNext w:val="0"/>
              <w:spacing w:before="0"/>
              <w:ind w:left="360"/>
              <w:contextualSpacing/>
              <w:jc w:val="left"/>
              <w:rPr>
                <w:color w:val="auto"/>
              </w:rPr>
            </w:pPr>
          </w:p>
          <w:p w14:paraId="7CFF5461" w14:textId="77777777" w:rsidR="007C6CA4" w:rsidRPr="007C6CA4" w:rsidRDefault="007C6CA4" w:rsidP="00874A98">
            <w:pPr>
              <w:keepNext w:val="0"/>
              <w:numPr>
                <w:ilvl w:val="0"/>
                <w:numId w:val="284"/>
              </w:numPr>
              <w:spacing w:before="0"/>
              <w:contextualSpacing/>
              <w:jc w:val="left"/>
              <w:rPr>
                <w:color w:val="auto"/>
              </w:rPr>
            </w:pPr>
            <w:r w:rsidRPr="007C6CA4">
              <w:rPr>
                <w:color w:val="auto"/>
              </w:rPr>
              <w:t>Development on allotment land for alternative uses will only be permitted where:</w:t>
            </w:r>
          </w:p>
          <w:p w14:paraId="6A551AA0" w14:textId="77777777" w:rsidR="007C6CA4" w:rsidRPr="007C6CA4" w:rsidRDefault="007C6CA4" w:rsidP="00FF3EAD">
            <w:pPr>
              <w:keepNext w:val="0"/>
              <w:spacing w:before="0"/>
              <w:jc w:val="left"/>
              <w:rPr>
                <w:color w:val="auto"/>
              </w:rPr>
            </w:pPr>
          </w:p>
          <w:p w14:paraId="5DEB6309" w14:textId="77777777" w:rsidR="007C6CA4" w:rsidRPr="007C6CA4" w:rsidRDefault="007C6CA4" w:rsidP="00874A98">
            <w:pPr>
              <w:keepNext w:val="0"/>
              <w:numPr>
                <w:ilvl w:val="0"/>
                <w:numId w:val="285"/>
              </w:numPr>
              <w:spacing w:before="0"/>
              <w:contextualSpacing/>
              <w:jc w:val="left"/>
              <w:rPr>
                <w:color w:val="auto"/>
              </w:rPr>
            </w:pPr>
            <w:r w:rsidRPr="007C6CA4">
              <w:rPr>
                <w:color w:val="auto"/>
              </w:rPr>
              <w:t>it can be demonstrated that the allotments are no longer required through a lack of demand, the green space is surplus to requirements in the locality and the benefits from the proposed development outweigh the impacts on biodiversity, or</w:t>
            </w:r>
          </w:p>
          <w:p w14:paraId="2A43343A" w14:textId="77777777" w:rsidR="007C6CA4" w:rsidRPr="007C6CA4" w:rsidRDefault="007C6CA4" w:rsidP="00FF3EAD">
            <w:pPr>
              <w:keepNext w:val="0"/>
              <w:spacing w:before="0"/>
              <w:ind w:left="720"/>
              <w:contextualSpacing/>
              <w:jc w:val="left"/>
              <w:rPr>
                <w:color w:val="auto"/>
              </w:rPr>
            </w:pPr>
          </w:p>
          <w:p w14:paraId="6F375462" w14:textId="77777777" w:rsidR="007C6CA4" w:rsidRPr="007C6CA4" w:rsidRDefault="007C6CA4" w:rsidP="00874A98">
            <w:pPr>
              <w:keepNext w:val="0"/>
              <w:numPr>
                <w:ilvl w:val="0"/>
                <w:numId w:val="285"/>
              </w:numPr>
              <w:spacing w:before="0"/>
              <w:contextualSpacing/>
              <w:jc w:val="left"/>
              <w:rPr>
                <w:color w:val="auto"/>
              </w:rPr>
            </w:pPr>
            <w:r w:rsidRPr="007C6CA4">
              <w:rPr>
                <w:color w:val="auto"/>
              </w:rPr>
              <w:t>there are overriding sustainability benefits from the proposed development and appropriate alternative provision of allotments will be made in the locality.</w:t>
            </w:r>
          </w:p>
          <w:p w14:paraId="38AD2019" w14:textId="77777777" w:rsidR="007C6CA4" w:rsidRPr="007C6CA4" w:rsidRDefault="007C6CA4" w:rsidP="00FF3EAD">
            <w:pPr>
              <w:keepNext w:val="0"/>
              <w:spacing w:before="0"/>
              <w:jc w:val="left"/>
              <w:rPr>
                <w:color w:val="auto"/>
              </w:rPr>
            </w:pPr>
          </w:p>
          <w:p w14:paraId="64B53985" w14:textId="77777777" w:rsidR="007C6CA4" w:rsidRPr="007C6CA4" w:rsidRDefault="007C6CA4" w:rsidP="00FF3EAD">
            <w:pPr>
              <w:keepNext w:val="0"/>
              <w:spacing w:before="0"/>
              <w:jc w:val="left"/>
              <w:rPr>
                <w:color w:val="auto"/>
              </w:rPr>
            </w:pPr>
            <w:r w:rsidRPr="007C6CA4">
              <w:rPr>
                <w:color w:val="auto"/>
              </w:rPr>
              <w:t xml:space="preserve">Protected allotments are listed </w:t>
            </w:r>
            <w:r w:rsidRPr="006D4F49">
              <w:rPr>
                <w:color w:val="auto"/>
              </w:rPr>
              <w:t>in Appendix 9</w:t>
            </w:r>
            <w:r w:rsidRPr="007C6CA4">
              <w:rPr>
                <w:color w:val="auto"/>
              </w:rPr>
              <w:t xml:space="preserve"> and identified on the Policies Map. Any new allotments developed after the Local Plan is adopted will be protected under this Policy.</w:t>
            </w:r>
          </w:p>
          <w:p w14:paraId="176C8660" w14:textId="77777777" w:rsidR="007C6CA4" w:rsidRPr="007C6CA4" w:rsidRDefault="007C6CA4" w:rsidP="00FF3EAD">
            <w:pPr>
              <w:keepNext w:val="0"/>
              <w:spacing w:before="0"/>
              <w:jc w:val="left"/>
              <w:rPr>
                <w:color w:val="auto"/>
              </w:rPr>
            </w:pPr>
          </w:p>
        </w:tc>
      </w:tr>
      <w:tr w:rsidR="007C6CA4" w:rsidRPr="007C6CA4" w14:paraId="12227E0B" w14:textId="77777777" w:rsidTr="007C6CA4">
        <w:tc>
          <w:tcPr>
            <w:tcW w:w="2403" w:type="dxa"/>
            <w:tcBorders>
              <w:top w:val="single" w:sz="8" w:space="0" w:color="auto"/>
              <w:left w:val="single" w:sz="8" w:space="0" w:color="auto"/>
              <w:bottom w:val="single" w:sz="8" w:space="0" w:color="auto"/>
              <w:right w:val="single" w:sz="8" w:space="0" w:color="auto"/>
            </w:tcBorders>
          </w:tcPr>
          <w:p w14:paraId="771639D4" w14:textId="77777777" w:rsidR="007C6CA4" w:rsidRPr="007C6CA4" w:rsidRDefault="007C6CA4" w:rsidP="000032A9">
            <w:pPr>
              <w:keepNext w:val="0"/>
              <w:spacing w:before="0"/>
              <w:jc w:val="left"/>
              <w:rPr>
                <w:color w:val="auto"/>
                <w:sz w:val="20"/>
                <w:szCs w:val="20"/>
              </w:rPr>
            </w:pPr>
            <w:r w:rsidRPr="007C6CA4">
              <w:rPr>
                <w:color w:val="auto"/>
                <w:sz w:val="20"/>
                <w:szCs w:val="20"/>
              </w:rPr>
              <w:t>Evidence base</w:t>
            </w:r>
          </w:p>
        </w:tc>
        <w:tc>
          <w:tcPr>
            <w:tcW w:w="7329" w:type="dxa"/>
            <w:tcBorders>
              <w:top w:val="single" w:sz="8" w:space="0" w:color="auto"/>
              <w:left w:val="single" w:sz="8" w:space="0" w:color="auto"/>
              <w:bottom w:val="single" w:sz="8" w:space="0" w:color="auto"/>
              <w:right w:val="single" w:sz="8" w:space="0" w:color="auto"/>
            </w:tcBorders>
          </w:tcPr>
          <w:p w14:paraId="0E890ED2" w14:textId="6E78F1DE" w:rsidR="007C6CA4" w:rsidRPr="002E7654" w:rsidRDefault="007C6CA4" w:rsidP="00874A98">
            <w:pPr>
              <w:keepNext w:val="0"/>
              <w:numPr>
                <w:ilvl w:val="0"/>
                <w:numId w:val="286"/>
              </w:numPr>
              <w:spacing w:before="0"/>
              <w:contextualSpacing/>
              <w:jc w:val="left"/>
              <w:rPr>
                <w:sz w:val="20"/>
                <w:szCs w:val="20"/>
              </w:rPr>
            </w:pPr>
            <w:r w:rsidRPr="002E7654">
              <w:rPr>
                <w:sz w:val="20"/>
                <w:szCs w:val="20"/>
              </w:rPr>
              <w:t>Sustainability Appraisal, 202</w:t>
            </w:r>
            <w:r w:rsidR="00B40389" w:rsidRPr="002E7654">
              <w:rPr>
                <w:sz w:val="20"/>
                <w:szCs w:val="20"/>
              </w:rPr>
              <w:t>3</w:t>
            </w:r>
            <w:r w:rsidRPr="002E7654">
              <w:rPr>
                <w:sz w:val="20"/>
                <w:szCs w:val="20"/>
              </w:rPr>
              <w:t xml:space="preserve">.  </w:t>
            </w:r>
            <w:r w:rsidR="00B40389" w:rsidRPr="002E7654">
              <w:rPr>
                <w:sz w:val="20"/>
                <w:szCs w:val="20"/>
              </w:rPr>
              <w:t>WSP UK Limited</w:t>
            </w:r>
            <w:r w:rsidRPr="002E7654">
              <w:rPr>
                <w:sz w:val="20"/>
                <w:szCs w:val="20"/>
              </w:rPr>
              <w:t>.</w:t>
            </w:r>
          </w:p>
          <w:p w14:paraId="3B0A3866" w14:textId="1251B1E2" w:rsidR="007C6CA4" w:rsidRPr="002E7654" w:rsidRDefault="002E7654" w:rsidP="00874A98">
            <w:pPr>
              <w:keepNext w:val="0"/>
              <w:numPr>
                <w:ilvl w:val="0"/>
                <w:numId w:val="286"/>
              </w:numPr>
              <w:spacing w:before="0"/>
              <w:contextualSpacing/>
              <w:jc w:val="left"/>
              <w:rPr>
                <w:sz w:val="20"/>
                <w:szCs w:val="20"/>
              </w:rPr>
            </w:pPr>
            <w:r w:rsidRPr="002E7654">
              <w:rPr>
                <w:rFonts w:cs="Arial"/>
                <w:sz w:val="20"/>
              </w:rPr>
              <w:t>Ashfield Green &amp; Blue Infrastructure and Biodiversity Strategy. Ashfield District Council, 2022-2032</w:t>
            </w:r>
            <w:r w:rsidR="007C6CA4" w:rsidRPr="002E7654">
              <w:rPr>
                <w:sz w:val="20"/>
                <w:szCs w:val="20"/>
              </w:rPr>
              <w:t>.</w:t>
            </w:r>
          </w:p>
        </w:tc>
      </w:tr>
      <w:tr w:rsidR="007C6CA4" w:rsidRPr="007C6CA4" w14:paraId="06F4E115" w14:textId="77777777" w:rsidTr="007C6CA4">
        <w:tc>
          <w:tcPr>
            <w:tcW w:w="2403" w:type="dxa"/>
            <w:tcBorders>
              <w:top w:val="single" w:sz="8" w:space="0" w:color="auto"/>
              <w:left w:val="single" w:sz="8" w:space="0" w:color="auto"/>
              <w:bottom w:val="single" w:sz="8" w:space="0" w:color="auto"/>
              <w:right w:val="single" w:sz="8" w:space="0" w:color="auto"/>
            </w:tcBorders>
          </w:tcPr>
          <w:p w14:paraId="504A2F6E" w14:textId="77777777" w:rsidR="007C6CA4" w:rsidRPr="007C6CA4" w:rsidRDefault="007C6CA4" w:rsidP="000032A9">
            <w:pPr>
              <w:keepNext w:val="0"/>
              <w:spacing w:before="0"/>
              <w:jc w:val="left"/>
              <w:rPr>
                <w:color w:val="auto"/>
                <w:sz w:val="20"/>
                <w:szCs w:val="20"/>
              </w:rPr>
            </w:pPr>
            <w:r w:rsidRPr="007C6CA4">
              <w:rPr>
                <w:color w:val="auto"/>
                <w:sz w:val="20"/>
                <w:szCs w:val="20"/>
              </w:rPr>
              <w:t>National Planning Policy and Guidance</w:t>
            </w:r>
          </w:p>
        </w:tc>
        <w:tc>
          <w:tcPr>
            <w:tcW w:w="7329" w:type="dxa"/>
            <w:tcBorders>
              <w:top w:val="single" w:sz="8" w:space="0" w:color="auto"/>
              <w:left w:val="single" w:sz="8" w:space="0" w:color="auto"/>
              <w:bottom w:val="single" w:sz="8" w:space="0" w:color="auto"/>
              <w:right w:val="single" w:sz="8" w:space="0" w:color="auto"/>
            </w:tcBorders>
          </w:tcPr>
          <w:p w14:paraId="490A7B15" w14:textId="01E93BBF" w:rsidR="007C6CA4" w:rsidRPr="002E7654" w:rsidRDefault="007C6CA4" w:rsidP="00874A98">
            <w:pPr>
              <w:keepNext w:val="0"/>
              <w:numPr>
                <w:ilvl w:val="0"/>
                <w:numId w:val="287"/>
              </w:numPr>
              <w:spacing w:before="0"/>
              <w:contextualSpacing/>
              <w:jc w:val="left"/>
              <w:rPr>
                <w:sz w:val="20"/>
                <w:szCs w:val="20"/>
              </w:rPr>
            </w:pPr>
            <w:r w:rsidRPr="002E7654">
              <w:rPr>
                <w:sz w:val="20"/>
                <w:szCs w:val="20"/>
              </w:rPr>
              <w:t>NPPF 202</w:t>
            </w:r>
            <w:r w:rsidR="004173E0" w:rsidRPr="002E7654">
              <w:rPr>
                <w:sz w:val="20"/>
                <w:szCs w:val="20"/>
              </w:rPr>
              <w:t>3</w:t>
            </w:r>
            <w:r w:rsidRPr="002E7654">
              <w:rPr>
                <w:sz w:val="20"/>
                <w:szCs w:val="20"/>
              </w:rPr>
              <w:t>, Part 2: Achieving sustainable development.</w:t>
            </w:r>
          </w:p>
          <w:p w14:paraId="3220B297" w14:textId="52ABDA35" w:rsidR="007C6CA4" w:rsidRPr="002E7654" w:rsidRDefault="007C6CA4" w:rsidP="00874A98">
            <w:pPr>
              <w:keepNext w:val="0"/>
              <w:numPr>
                <w:ilvl w:val="0"/>
                <w:numId w:val="287"/>
              </w:numPr>
              <w:spacing w:before="0"/>
              <w:contextualSpacing/>
              <w:jc w:val="left"/>
              <w:rPr>
                <w:sz w:val="20"/>
                <w:szCs w:val="20"/>
              </w:rPr>
            </w:pPr>
            <w:r w:rsidRPr="002E7654">
              <w:rPr>
                <w:sz w:val="20"/>
                <w:szCs w:val="20"/>
              </w:rPr>
              <w:t>NPPF 202</w:t>
            </w:r>
            <w:r w:rsidR="004173E0" w:rsidRPr="002E7654">
              <w:rPr>
                <w:sz w:val="20"/>
                <w:szCs w:val="20"/>
              </w:rPr>
              <w:t>3</w:t>
            </w:r>
            <w:r w:rsidRPr="002E7654">
              <w:rPr>
                <w:sz w:val="20"/>
                <w:szCs w:val="20"/>
              </w:rPr>
              <w:t>, Part 15: Conserving and enhancing the natural environment.</w:t>
            </w:r>
          </w:p>
          <w:p w14:paraId="2B701C27" w14:textId="5E9DBE2A" w:rsidR="007C6CA4" w:rsidRPr="002E7654" w:rsidRDefault="007C6CA4" w:rsidP="00874A98">
            <w:pPr>
              <w:keepNext w:val="0"/>
              <w:numPr>
                <w:ilvl w:val="0"/>
                <w:numId w:val="287"/>
              </w:numPr>
              <w:spacing w:before="0"/>
              <w:contextualSpacing/>
              <w:jc w:val="left"/>
              <w:rPr>
                <w:sz w:val="20"/>
                <w:szCs w:val="20"/>
              </w:rPr>
            </w:pPr>
            <w:r w:rsidRPr="002E7654">
              <w:rPr>
                <w:sz w:val="20"/>
                <w:szCs w:val="20"/>
              </w:rPr>
              <w:t xml:space="preserve">Planning Practice Guidance: Open space, sports and recreational facilities, public rights of ways and local green space as of </w:t>
            </w:r>
            <w:r w:rsidR="00B40389" w:rsidRPr="002E7654">
              <w:rPr>
                <w:sz w:val="20"/>
                <w:szCs w:val="20"/>
              </w:rPr>
              <w:t>March 2014</w:t>
            </w:r>
            <w:r w:rsidRPr="002E7654">
              <w:rPr>
                <w:sz w:val="20"/>
                <w:szCs w:val="20"/>
              </w:rPr>
              <w:t>.</w:t>
            </w:r>
          </w:p>
        </w:tc>
      </w:tr>
    </w:tbl>
    <w:p w14:paraId="7FD3DAF3" w14:textId="16AEF827" w:rsidR="007C6CA4" w:rsidRDefault="007C6CA4" w:rsidP="007C6CA4">
      <w:pPr>
        <w:keepNext w:val="0"/>
        <w:autoSpaceDE w:val="0"/>
        <w:autoSpaceDN w:val="0"/>
        <w:adjustRightInd w:val="0"/>
        <w:spacing w:before="0"/>
        <w:rPr>
          <w:rFonts w:eastAsia="Arial" w:cs="Arial"/>
          <w:spacing w:val="-1"/>
        </w:rPr>
      </w:pPr>
    </w:p>
    <w:p w14:paraId="44DADF1C" w14:textId="2A656E35" w:rsidR="007C6CA4" w:rsidRPr="007C6CA4" w:rsidRDefault="00676383" w:rsidP="007C6CA4">
      <w:pPr>
        <w:keepNext w:val="0"/>
        <w:autoSpaceDE w:val="0"/>
        <w:autoSpaceDN w:val="0"/>
        <w:adjustRightInd w:val="0"/>
        <w:spacing w:before="0"/>
        <w:ind w:left="720"/>
        <w:rPr>
          <w:rFonts w:eastAsia="Arial" w:cs="Arial"/>
          <w:b/>
          <w:bCs/>
          <w:spacing w:val="-1"/>
        </w:rPr>
      </w:pPr>
      <w:r>
        <w:rPr>
          <w:rFonts w:eastAsia="Arial" w:cs="Arial"/>
          <w:b/>
          <w:bCs/>
          <w:spacing w:val="-1"/>
        </w:rPr>
        <w:t xml:space="preserve">  </w:t>
      </w:r>
      <w:r w:rsidR="007C6CA4" w:rsidRPr="007C6CA4">
        <w:rPr>
          <w:rFonts w:eastAsia="Arial" w:cs="Arial"/>
          <w:b/>
          <w:bCs/>
          <w:spacing w:val="-1"/>
        </w:rPr>
        <w:t>Allotment provision</w:t>
      </w:r>
    </w:p>
    <w:p w14:paraId="6EC98AA6" w14:textId="4E8C84DF" w:rsidR="009549D3" w:rsidRPr="007C6CA4" w:rsidRDefault="009549D3" w:rsidP="00C66622">
      <w:pPr>
        <w:keepNext w:val="0"/>
        <w:numPr>
          <w:ilvl w:val="1"/>
          <w:numId w:val="5"/>
        </w:numPr>
        <w:tabs>
          <w:tab w:val="clear" w:pos="525"/>
          <w:tab w:val="num" w:pos="851"/>
        </w:tabs>
        <w:autoSpaceDE w:val="0"/>
        <w:autoSpaceDN w:val="0"/>
        <w:adjustRightInd w:val="0"/>
        <w:spacing w:before="0"/>
        <w:ind w:left="851" w:hanging="851"/>
        <w:rPr>
          <w:rFonts w:eastAsia="Arial" w:cs="Arial"/>
          <w:spacing w:val="-1"/>
        </w:rPr>
      </w:pPr>
      <w:r w:rsidRPr="007C6CA4">
        <w:rPr>
          <w:rFonts w:eastAsia="Arial" w:cs="Arial"/>
          <w:spacing w:val="-1"/>
        </w:rPr>
        <w:t xml:space="preserve">Allotments are an important component of open space and offer a diverse range of benefits for people, communities and the environment. An allotment provides opportunities for people to grow their own </w:t>
      </w:r>
      <w:r w:rsidR="009D1815" w:rsidRPr="007C6CA4">
        <w:rPr>
          <w:rFonts w:eastAsia="Arial" w:cs="Arial"/>
          <w:spacing w:val="-1"/>
        </w:rPr>
        <w:t>produce and</w:t>
      </w:r>
      <w:r w:rsidRPr="007C6CA4">
        <w:rPr>
          <w:rFonts w:eastAsia="Arial" w:cs="Arial"/>
          <w:spacing w:val="-1"/>
        </w:rPr>
        <w:t xml:space="preserve"> enjoy a healthier lifestyle and diet. It also offers the opportunity for community interaction, they are socially inclusive and provides environmental benefits through green space and wildlife habitats.    </w:t>
      </w:r>
    </w:p>
    <w:p w14:paraId="44D8F35F" w14:textId="77777777" w:rsidR="009549D3" w:rsidRPr="009549D3" w:rsidRDefault="009549D3" w:rsidP="00C66622">
      <w:pPr>
        <w:keepNext w:val="0"/>
        <w:tabs>
          <w:tab w:val="num" w:pos="851"/>
        </w:tabs>
        <w:autoSpaceDE w:val="0"/>
        <w:autoSpaceDN w:val="0"/>
        <w:adjustRightInd w:val="0"/>
        <w:spacing w:before="0"/>
        <w:ind w:left="851" w:hanging="851"/>
        <w:rPr>
          <w:rFonts w:eastAsia="Arial" w:cs="Arial"/>
          <w:spacing w:val="-1"/>
        </w:rPr>
      </w:pPr>
    </w:p>
    <w:p w14:paraId="51FD6119" w14:textId="417BFB11" w:rsidR="009549D3" w:rsidRPr="009549D3" w:rsidRDefault="000540B6" w:rsidP="00C66622">
      <w:pPr>
        <w:keepNext w:val="0"/>
        <w:numPr>
          <w:ilvl w:val="1"/>
          <w:numId w:val="5"/>
        </w:numPr>
        <w:tabs>
          <w:tab w:val="clear" w:pos="525"/>
          <w:tab w:val="num" w:pos="851"/>
        </w:tabs>
        <w:autoSpaceDE w:val="0"/>
        <w:autoSpaceDN w:val="0"/>
        <w:adjustRightInd w:val="0"/>
        <w:spacing w:before="0"/>
        <w:ind w:left="851" w:hanging="851"/>
        <w:rPr>
          <w:rFonts w:eastAsia="Arial" w:cs="Arial"/>
          <w:spacing w:val="-1"/>
        </w:rPr>
      </w:pPr>
      <w:r>
        <w:rPr>
          <w:rFonts w:eastAsia="Arial" w:cs="Arial"/>
          <w:spacing w:val="-1"/>
        </w:rPr>
        <w:t xml:space="preserve">With </w:t>
      </w:r>
      <w:r w:rsidR="009549D3" w:rsidRPr="009549D3">
        <w:rPr>
          <w:rFonts w:eastAsia="Arial" w:cs="Arial"/>
          <w:spacing w:val="-1"/>
        </w:rPr>
        <w:t>the District’s population is set to grow over the next fifteen years</w:t>
      </w:r>
      <w:r>
        <w:rPr>
          <w:rFonts w:eastAsia="Arial" w:cs="Arial"/>
          <w:spacing w:val="-1"/>
        </w:rPr>
        <w:t xml:space="preserve">, </w:t>
      </w:r>
      <w:r w:rsidR="009549D3" w:rsidRPr="009549D3">
        <w:rPr>
          <w:rFonts w:eastAsia="Arial" w:cs="Arial"/>
          <w:spacing w:val="-1"/>
        </w:rPr>
        <w:t>it is vital to ensure sufficient allotment gardens are available for the increasing population. Where appropriate, new residential development should facilitate opportunities for local food growing and for major residential development this may include the provisions of new or expanded allotments.</w:t>
      </w:r>
    </w:p>
    <w:p w14:paraId="0082D0E8" w14:textId="77777777" w:rsidR="009549D3" w:rsidRPr="009549D3" w:rsidRDefault="009549D3" w:rsidP="00C66622">
      <w:pPr>
        <w:keepNext w:val="0"/>
        <w:tabs>
          <w:tab w:val="num" w:pos="851"/>
        </w:tabs>
        <w:autoSpaceDE w:val="0"/>
        <w:autoSpaceDN w:val="0"/>
        <w:adjustRightInd w:val="0"/>
        <w:spacing w:before="0"/>
        <w:ind w:left="851" w:hanging="851"/>
        <w:rPr>
          <w:rFonts w:eastAsia="Arial" w:cs="Arial"/>
          <w:spacing w:val="-1"/>
        </w:rPr>
      </w:pPr>
    </w:p>
    <w:p w14:paraId="3594F912" w14:textId="4406EE5E" w:rsidR="009549D3" w:rsidRPr="009549D3" w:rsidRDefault="009549D3" w:rsidP="00C66622">
      <w:pPr>
        <w:keepNext w:val="0"/>
        <w:numPr>
          <w:ilvl w:val="1"/>
          <w:numId w:val="5"/>
        </w:numPr>
        <w:tabs>
          <w:tab w:val="clear" w:pos="525"/>
          <w:tab w:val="num" w:pos="851"/>
        </w:tabs>
        <w:autoSpaceDE w:val="0"/>
        <w:autoSpaceDN w:val="0"/>
        <w:adjustRightInd w:val="0"/>
        <w:spacing w:before="0"/>
        <w:ind w:left="851" w:hanging="851"/>
        <w:rPr>
          <w:rFonts w:eastAsia="Arial" w:cs="Arial"/>
          <w:spacing w:val="-1"/>
        </w:rPr>
      </w:pPr>
      <w:r w:rsidRPr="009549D3">
        <w:rPr>
          <w:rFonts w:eastAsia="Arial" w:cs="Arial"/>
          <w:spacing w:val="-1"/>
        </w:rPr>
        <w:t xml:space="preserve">The requirements for allotments as part of any major residential development proposals will be assessed in relation to local provision and the potential demand created by the residential development. </w:t>
      </w:r>
      <w:bookmarkStart w:id="177" w:name="_Hlk79067474"/>
      <w:r w:rsidRPr="009549D3">
        <w:rPr>
          <w:rFonts w:eastAsia="Arial" w:cs="Arial"/>
          <w:spacing w:val="-1"/>
        </w:rPr>
        <w:t xml:space="preserve">Information on demand is </w:t>
      </w:r>
      <w:r w:rsidRPr="007B2BCE">
        <w:rPr>
          <w:rFonts w:eastAsia="Arial" w:cs="Arial"/>
          <w:spacing w:val="-1"/>
        </w:rPr>
        <w:t>set out in the Council’s Allotment Survey Technical Paper</w:t>
      </w:r>
      <w:bookmarkEnd w:id="177"/>
      <w:r w:rsidRPr="007B2BCE">
        <w:rPr>
          <w:rFonts w:eastAsia="Arial" w:cs="Arial"/>
          <w:spacing w:val="-1"/>
        </w:rPr>
        <w:t>.</w:t>
      </w:r>
      <w:r w:rsidRPr="009549D3">
        <w:rPr>
          <w:rFonts w:eastAsia="Arial" w:cs="Arial"/>
          <w:spacing w:val="-1"/>
        </w:rPr>
        <w:t xml:space="preserve"> The National Society of Allotments and Leisure Gardens recommend a standard plot size of 250 sq. metres and 20 allotments per 1,000 households (i.e. 1 </w:t>
      </w:r>
      <w:r w:rsidR="009D1815" w:rsidRPr="009549D3">
        <w:rPr>
          <w:rFonts w:eastAsia="Arial" w:cs="Arial"/>
          <w:spacing w:val="-1"/>
        </w:rPr>
        <w:t>allotment</w:t>
      </w:r>
      <w:r w:rsidRPr="009549D3">
        <w:rPr>
          <w:rFonts w:eastAsia="Arial" w:cs="Arial"/>
          <w:spacing w:val="-1"/>
        </w:rPr>
        <w:t xml:space="preserve"> per 50 households). Based on an average household size of 2.2 this equates to 20 allotments per 2,200 people. This will be utilised as a basis to agree any required provision of allotments.</w:t>
      </w:r>
    </w:p>
    <w:p w14:paraId="2F240880" w14:textId="77777777" w:rsidR="009549D3" w:rsidRPr="009549D3" w:rsidRDefault="009549D3" w:rsidP="00C66622">
      <w:pPr>
        <w:keepNext w:val="0"/>
        <w:tabs>
          <w:tab w:val="num" w:pos="851"/>
        </w:tabs>
        <w:autoSpaceDE w:val="0"/>
        <w:autoSpaceDN w:val="0"/>
        <w:adjustRightInd w:val="0"/>
        <w:spacing w:before="0"/>
        <w:ind w:left="851" w:hanging="851"/>
        <w:rPr>
          <w:rFonts w:eastAsia="Arial" w:cs="Arial"/>
          <w:spacing w:val="-1"/>
        </w:rPr>
      </w:pPr>
    </w:p>
    <w:p w14:paraId="1466D717" w14:textId="31361D5A" w:rsidR="009549D3" w:rsidRPr="009549D3" w:rsidRDefault="009549D3" w:rsidP="00C66622">
      <w:pPr>
        <w:keepNext w:val="0"/>
        <w:numPr>
          <w:ilvl w:val="1"/>
          <w:numId w:val="5"/>
        </w:numPr>
        <w:tabs>
          <w:tab w:val="clear" w:pos="525"/>
          <w:tab w:val="num" w:pos="851"/>
        </w:tabs>
        <w:autoSpaceDE w:val="0"/>
        <w:autoSpaceDN w:val="0"/>
        <w:adjustRightInd w:val="0"/>
        <w:spacing w:before="0"/>
        <w:ind w:left="851" w:hanging="851"/>
        <w:rPr>
          <w:rFonts w:eastAsia="Arial" w:cs="Arial"/>
          <w:spacing w:val="-1"/>
        </w:rPr>
      </w:pPr>
      <w:r w:rsidRPr="009549D3">
        <w:rPr>
          <w:rFonts w:eastAsia="Arial" w:cs="Arial"/>
          <w:spacing w:val="-1"/>
        </w:rPr>
        <w:t xml:space="preserve">Allotment sites are an important component of green space </w:t>
      </w:r>
      <w:r w:rsidR="009D1815" w:rsidRPr="009549D3">
        <w:rPr>
          <w:rFonts w:eastAsia="Arial" w:cs="Arial"/>
          <w:spacing w:val="-1"/>
        </w:rPr>
        <w:t>provision and</w:t>
      </w:r>
      <w:r w:rsidRPr="009549D3">
        <w:rPr>
          <w:rFonts w:eastAsia="Arial" w:cs="Arial"/>
          <w:spacing w:val="-1"/>
        </w:rPr>
        <w:t xml:space="preserve"> can have benefits for biodiversity. The N</w:t>
      </w:r>
      <w:r w:rsidR="004E709C">
        <w:rPr>
          <w:rFonts w:eastAsia="Arial" w:cs="Arial"/>
          <w:spacing w:val="-1"/>
        </w:rPr>
        <w:t>PPF</w:t>
      </w:r>
      <w:r w:rsidRPr="009549D3">
        <w:rPr>
          <w:rFonts w:eastAsia="Arial" w:cs="Arial"/>
          <w:spacing w:val="-1"/>
        </w:rPr>
        <w:t xml:space="preserve"> stresses the important contribution that open space makes towards the health and wellbeing of local communities. It identifies that open space should not be built on except in specific circumstances. This is reflected in the </w:t>
      </w:r>
      <w:r w:rsidR="004E709C">
        <w:rPr>
          <w:rFonts w:eastAsia="Arial" w:cs="Arial"/>
          <w:spacing w:val="-1"/>
        </w:rPr>
        <w:t>p</w:t>
      </w:r>
      <w:r w:rsidRPr="009549D3">
        <w:rPr>
          <w:rFonts w:eastAsia="Arial" w:cs="Arial"/>
          <w:spacing w:val="-1"/>
        </w:rPr>
        <w:t>olicy, which stresses that the loss of allotment land will only be permitted where it can be clearly demonstrated that there is no longer a demand for allotments in the locality and it does not have a detrimental impact on the provision of green space or biodiversity in the locality.</w:t>
      </w:r>
    </w:p>
    <w:p w14:paraId="485656DC" w14:textId="77777777" w:rsidR="009549D3" w:rsidRPr="009549D3" w:rsidRDefault="009549D3" w:rsidP="00C66622">
      <w:pPr>
        <w:keepNext w:val="0"/>
        <w:tabs>
          <w:tab w:val="num" w:pos="851"/>
        </w:tabs>
        <w:autoSpaceDE w:val="0"/>
        <w:autoSpaceDN w:val="0"/>
        <w:adjustRightInd w:val="0"/>
        <w:spacing w:before="0"/>
        <w:ind w:left="851" w:hanging="851"/>
        <w:rPr>
          <w:rFonts w:eastAsia="Arial" w:cs="Arial"/>
          <w:spacing w:val="-1"/>
        </w:rPr>
      </w:pPr>
    </w:p>
    <w:p w14:paraId="334F1708" w14:textId="1EE90545" w:rsidR="009549D3" w:rsidRPr="009549D3" w:rsidRDefault="009549D3" w:rsidP="00C66622">
      <w:pPr>
        <w:keepNext w:val="0"/>
        <w:numPr>
          <w:ilvl w:val="1"/>
          <w:numId w:val="5"/>
        </w:numPr>
        <w:tabs>
          <w:tab w:val="clear" w:pos="525"/>
          <w:tab w:val="num" w:pos="851"/>
        </w:tabs>
        <w:autoSpaceDE w:val="0"/>
        <w:autoSpaceDN w:val="0"/>
        <w:adjustRightInd w:val="0"/>
        <w:spacing w:before="0"/>
        <w:ind w:left="851" w:hanging="851"/>
        <w:rPr>
          <w:rFonts w:eastAsia="Arial" w:cs="Arial"/>
          <w:spacing w:val="-1"/>
        </w:rPr>
      </w:pPr>
      <w:r w:rsidRPr="009549D3">
        <w:rPr>
          <w:rFonts w:eastAsia="Arial" w:cs="Arial"/>
          <w:spacing w:val="-1"/>
        </w:rPr>
        <w:t>In exceptional circumstances, the development of an allotment site may be permitted, even where there is a demand for the allotments, provided it can be demonstrated that there are overriding sustainability benefits from the proposed development. Under these circumstances, the developer will be required to provide an alternative suitable site for allotments to serve the local community. In this context, an alternative site must be of a similar amount of land with similar or improved facilities (such as a water supply) the soils are of a similar or improved fertility, the site is readily accessible by foot, bicycle and car to the residential area the existing allotment site serves and, where appropriate, provides adequate parking within or adjacent to the site.</w:t>
      </w:r>
    </w:p>
    <w:p w14:paraId="7C3350F7" w14:textId="77777777" w:rsidR="009549D3" w:rsidRPr="009549D3" w:rsidRDefault="009549D3" w:rsidP="009549D3">
      <w:pPr>
        <w:keepNext w:val="0"/>
        <w:autoSpaceDE w:val="0"/>
        <w:autoSpaceDN w:val="0"/>
        <w:adjustRightInd w:val="0"/>
        <w:spacing w:before="0"/>
        <w:ind w:left="525"/>
        <w:rPr>
          <w:rFonts w:eastAsia="Arial" w:cs="Arial"/>
          <w:spacing w:val="-1"/>
        </w:rPr>
      </w:pPr>
    </w:p>
    <w:p w14:paraId="57B6035F" w14:textId="56D7C5D8" w:rsidR="009549D3" w:rsidRPr="009549D3" w:rsidRDefault="00676383" w:rsidP="00676383">
      <w:pPr>
        <w:keepNext w:val="0"/>
        <w:autoSpaceDE w:val="0"/>
        <w:autoSpaceDN w:val="0"/>
        <w:adjustRightInd w:val="0"/>
        <w:spacing w:before="0"/>
        <w:ind w:left="525" w:firstLine="195"/>
        <w:rPr>
          <w:rFonts w:eastAsia="Arial" w:cs="Arial"/>
          <w:b/>
          <w:bCs/>
          <w:spacing w:val="-1"/>
        </w:rPr>
      </w:pPr>
      <w:r>
        <w:rPr>
          <w:rFonts w:eastAsia="Arial" w:cs="Arial"/>
          <w:b/>
          <w:bCs/>
          <w:spacing w:val="-1"/>
        </w:rPr>
        <w:t xml:space="preserve">  </w:t>
      </w:r>
      <w:r w:rsidR="009549D3" w:rsidRPr="009549D3">
        <w:rPr>
          <w:rFonts w:eastAsia="Arial" w:cs="Arial"/>
          <w:b/>
          <w:bCs/>
          <w:spacing w:val="-1"/>
        </w:rPr>
        <w:t>Private allotments</w:t>
      </w:r>
    </w:p>
    <w:p w14:paraId="1B14C952" w14:textId="32E7F1A2" w:rsidR="006D4F49" w:rsidRPr="006D4F49" w:rsidRDefault="009549D3" w:rsidP="006D4F49">
      <w:pPr>
        <w:keepNext w:val="0"/>
        <w:numPr>
          <w:ilvl w:val="1"/>
          <w:numId w:val="5"/>
        </w:numPr>
        <w:tabs>
          <w:tab w:val="clear" w:pos="525"/>
          <w:tab w:val="num" w:pos="851"/>
        </w:tabs>
        <w:autoSpaceDE w:val="0"/>
        <w:autoSpaceDN w:val="0"/>
        <w:adjustRightInd w:val="0"/>
        <w:spacing w:before="0"/>
        <w:ind w:left="851" w:hanging="851"/>
        <w:rPr>
          <w:rFonts w:eastAsia="Arial" w:cs="Arial"/>
          <w:spacing w:val="-1"/>
        </w:rPr>
      </w:pPr>
      <w:r w:rsidRPr="009549D3">
        <w:rPr>
          <w:rFonts w:eastAsia="Arial" w:cs="Arial"/>
          <w:spacing w:val="-1"/>
        </w:rPr>
        <w:t>The Parliament Select Committee Reports on the provision of allotments have identified that there can be problems with blight on some private allotments. The actual loss of a site is only the final step in a complex and often lengthy process. Prior to the change of use, there will often have been many months or years of uncertainty about the future of the site. Constant rumours and repeated planning applications for development of a site impact upon the morale of the allotment holders and, ultimately, increase the number of untended plots. The approach of non-maintenance and running down of allotments will not provide evidence of a lack of demand for allotments in the locality.</w:t>
      </w:r>
    </w:p>
    <w:p w14:paraId="757BC68A" w14:textId="64602C82" w:rsidR="00263F59" w:rsidRDefault="00263F59" w:rsidP="00263F59">
      <w:pPr>
        <w:keepNext w:val="0"/>
        <w:autoSpaceDE w:val="0"/>
        <w:autoSpaceDN w:val="0"/>
        <w:adjustRightInd w:val="0"/>
        <w:spacing w:before="0"/>
        <w:ind w:left="525"/>
        <w:rPr>
          <w:rFonts w:eastAsia="Arial" w:cs="Arial"/>
          <w:spacing w:val="-1"/>
        </w:rPr>
      </w:pPr>
    </w:p>
    <w:p w14:paraId="58985EED" w14:textId="7403536F" w:rsidR="000540B6" w:rsidRDefault="000540B6">
      <w:pPr>
        <w:keepNext w:val="0"/>
        <w:spacing w:before="0"/>
        <w:rPr>
          <w:rFonts w:eastAsia="Arial" w:cs="Arial"/>
          <w:spacing w:val="-1"/>
        </w:rPr>
      </w:pPr>
      <w:r>
        <w:rPr>
          <w:rFonts w:eastAsia="Arial" w:cs="Arial"/>
          <w:spacing w:val="-1"/>
        </w:rPr>
        <w:br w:type="page"/>
      </w:r>
    </w:p>
    <w:p w14:paraId="4046DDC0" w14:textId="023B24ED" w:rsidR="00CA1587" w:rsidRPr="00995322" w:rsidRDefault="006977E7" w:rsidP="00995322">
      <w:pPr>
        <w:pStyle w:val="Heading2"/>
        <w:jc w:val="left"/>
        <w:rPr>
          <w:rFonts w:eastAsia="Arial"/>
          <w:sz w:val="28"/>
          <w:szCs w:val="28"/>
        </w:rPr>
      </w:pPr>
      <w:bookmarkStart w:id="178" w:name="_Toc500408761"/>
      <w:bookmarkStart w:id="179" w:name="_Toc145511582"/>
      <w:r w:rsidRPr="00995322">
        <w:rPr>
          <w:rFonts w:eastAsia="Arial"/>
          <w:sz w:val="28"/>
          <w:szCs w:val="28"/>
        </w:rPr>
        <w:t xml:space="preserve">Policy </w:t>
      </w:r>
      <w:r w:rsidR="00CA1587" w:rsidRPr="00995322">
        <w:rPr>
          <w:rFonts w:eastAsia="Arial"/>
          <w:sz w:val="28"/>
          <w:szCs w:val="28"/>
        </w:rPr>
        <w:t>EV8: Agricultural Land Quality</w:t>
      </w:r>
      <w:bookmarkEnd w:id="178"/>
      <w:bookmarkEnd w:id="179"/>
    </w:p>
    <w:p w14:paraId="591DE7F9" w14:textId="77777777" w:rsidR="009549D3" w:rsidRDefault="009549D3" w:rsidP="00263F59">
      <w:pPr>
        <w:keepNext w:val="0"/>
        <w:autoSpaceDE w:val="0"/>
        <w:autoSpaceDN w:val="0"/>
        <w:adjustRightInd w:val="0"/>
        <w:spacing w:before="0"/>
        <w:ind w:left="525"/>
        <w:rPr>
          <w:rFonts w:eastAsia="Arial" w:cs="Arial"/>
          <w:spacing w:val="-1"/>
        </w:rPr>
      </w:pPr>
    </w:p>
    <w:p w14:paraId="4EB84C49" w14:textId="5DE87562" w:rsidR="009549D3" w:rsidRDefault="00CA1587" w:rsidP="00C66622">
      <w:pPr>
        <w:keepNext w:val="0"/>
        <w:numPr>
          <w:ilvl w:val="1"/>
          <w:numId w:val="5"/>
        </w:numPr>
        <w:tabs>
          <w:tab w:val="clear" w:pos="525"/>
          <w:tab w:val="num" w:pos="851"/>
        </w:tabs>
        <w:autoSpaceDE w:val="0"/>
        <w:autoSpaceDN w:val="0"/>
        <w:adjustRightInd w:val="0"/>
        <w:spacing w:before="0"/>
        <w:ind w:left="851" w:hanging="851"/>
        <w:rPr>
          <w:rFonts w:eastAsia="Arial" w:cs="Arial"/>
          <w:spacing w:val="-1"/>
        </w:rPr>
      </w:pPr>
      <w:r w:rsidRPr="00CA1587">
        <w:rPr>
          <w:rFonts w:eastAsia="Arial" w:cs="Arial"/>
          <w:spacing w:val="-1"/>
        </w:rPr>
        <w:t xml:space="preserve">This policy is intended to protect the best and most versatile agricultural land – Grade 1, 2 and 3a (There is no Grade 1 </w:t>
      </w:r>
      <w:r w:rsidR="004F11C2">
        <w:rPr>
          <w:rFonts w:eastAsia="Arial" w:cs="Arial"/>
          <w:spacing w:val="-1"/>
        </w:rPr>
        <w:t xml:space="preserve">agricultural </w:t>
      </w:r>
      <w:r w:rsidRPr="00CA1587">
        <w:rPr>
          <w:rFonts w:eastAsia="Arial" w:cs="Arial"/>
          <w:spacing w:val="-1"/>
        </w:rPr>
        <w:t>land in Ashfield).</w:t>
      </w:r>
    </w:p>
    <w:p w14:paraId="3E8FBB17" w14:textId="77777777" w:rsidR="00CA1587" w:rsidRPr="00B20356" w:rsidRDefault="00CA1587" w:rsidP="00CA1587">
      <w:pPr>
        <w:rPr>
          <w:rFonts w:eastAsia="Arial" w:cs="Arial"/>
        </w:rPr>
      </w:pPr>
    </w:p>
    <w:tbl>
      <w:tblPr>
        <w:tblStyle w:val="ReportTable1"/>
        <w:tblW w:w="0" w:type="auto"/>
        <w:tblLook w:val="04A0" w:firstRow="1" w:lastRow="0" w:firstColumn="1" w:lastColumn="0" w:noHBand="0" w:noVBand="1"/>
      </w:tblPr>
      <w:tblGrid>
        <w:gridCol w:w="2660"/>
        <w:gridCol w:w="170"/>
        <w:gridCol w:w="6663"/>
      </w:tblGrid>
      <w:tr w:rsidR="00CA1587" w:rsidRPr="00B20356" w14:paraId="1A59540C" w14:textId="77777777" w:rsidTr="001770A9">
        <w:trPr>
          <w:trHeight w:val="421"/>
        </w:trPr>
        <w:tc>
          <w:tcPr>
            <w:tcW w:w="9493" w:type="dxa"/>
            <w:gridSpan w:val="3"/>
          </w:tcPr>
          <w:p w14:paraId="35EBADF7" w14:textId="77777777" w:rsidR="007C6CA4" w:rsidRDefault="007C6CA4" w:rsidP="007C6CA4">
            <w:pPr>
              <w:tabs>
                <w:tab w:val="left" w:pos="680"/>
              </w:tabs>
              <w:spacing w:before="0"/>
              <w:rPr>
                <w:rFonts w:eastAsia="Arial"/>
                <w:b/>
                <w:color w:val="auto"/>
                <w:spacing w:val="-1"/>
              </w:rPr>
            </w:pPr>
          </w:p>
          <w:p w14:paraId="4993C0E5" w14:textId="0905932C" w:rsidR="00CA1587" w:rsidRDefault="00CA1587" w:rsidP="007C6CA4">
            <w:pPr>
              <w:tabs>
                <w:tab w:val="left" w:pos="680"/>
              </w:tabs>
              <w:spacing w:before="0"/>
              <w:rPr>
                <w:rFonts w:eastAsia="Arial"/>
                <w:b/>
                <w:color w:val="auto"/>
                <w:spacing w:val="-1"/>
              </w:rPr>
            </w:pPr>
            <w:r w:rsidRPr="007C6CA4">
              <w:rPr>
                <w:rFonts w:eastAsia="Arial"/>
                <w:b/>
                <w:color w:val="auto"/>
                <w:spacing w:val="-1"/>
              </w:rPr>
              <w:t>Policy EV8: Agricultural Land Quality</w:t>
            </w:r>
          </w:p>
          <w:p w14:paraId="2B092EE8" w14:textId="3D0A2755" w:rsidR="007C6CA4" w:rsidRPr="00B20356" w:rsidRDefault="007C6CA4" w:rsidP="007C6CA4">
            <w:pPr>
              <w:tabs>
                <w:tab w:val="left" w:pos="680"/>
              </w:tabs>
              <w:spacing w:before="0"/>
              <w:rPr>
                <w:rFonts w:eastAsia="Arial"/>
                <w:b/>
                <w:spacing w:val="-1"/>
              </w:rPr>
            </w:pPr>
          </w:p>
        </w:tc>
      </w:tr>
      <w:tr w:rsidR="00CA1587" w:rsidRPr="00B20356" w14:paraId="69E4C800" w14:textId="77777777" w:rsidTr="001770A9">
        <w:tc>
          <w:tcPr>
            <w:tcW w:w="2660" w:type="dxa"/>
          </w:tcPr>
          <w:p w14:paraId="6FFA1B0F" w14:textId="77777777" w:rsidR="00CA1587" w:rsidRPr="007C6CA4" w:rsidRDefault="00CA1587" w:rsidP="0046498A">
            <w:pPr>
              <w:tabs>
                <w:tab w:val="left" w:pos="680"/>
              </w:tabs>
              <w:rPr>
                <w:rFonts w:eastAsia="Arial"/>
                <w:bCs/>
              </w:rPr>
            </w:pPr>
            <w:r w:rsidRPr="007C6CA4">
              <w:rPr>
                <w:rFonts w:eastAsia="Arial"/>
                <w:bCs/>
              </w:rPr>
              <w:t>Strategic Objectives</w:t>
            </w:r>
          </w:p>
        </w:tc>
        <w:tc>
          <w:tcPr>
            <w:tcW w:w="6833" w:type="dxa"/>
            <w:gridSpan w:val="2"/>
          </w:tcPr>
          <w:p w14:paraId="68ED1252" w14:textId="77777777" w:rsidR="00CA1587" w:rsidRPr="007C6CA4" w:rsidRDefault="00CA1587" w:rsidP="0046498A">
            <w:pPr>
              <w:tabs>
                <w:tab w:val="left" w:pos="680"/>
              </w:tabs>
              <w:spacing w:before="40" w:after="40"/>
              <w:rPr>
                <w:rFonts w:eastAsia="Arial"/>
                <w:bCs/>
              </w:rPr>
            </w:pPr>
            <w:r w:rsidRPr="007C6CA4">
              <w:rPr>
                <w:rFonts w:eastAsia="Arial"/>
                <w:bCs/>
              </w:rPr>
              <w:t>SO1, SO13, SO14.</w:t>
            </w:r>
          </w:p>
        </w:tc>
      </w:tr>
      <w:tr w:rsidR="00CA1587" w:rsidRPr="00B20356" w14:paraId="4FA9F806" w14:textId="77777777" w:rsidTr="001770A9">
        <w:tc>
          <w:tcPr>
            <w:tcW w:w="9493" w:type="dxa"/>
            <w:gridSpan w:val="3"/>
            <w:shd w:val="clear" w:color="auto" w:fill="E2EFD9"/>
          </w:tcPr>
          <w:p w14:paraId="1F8156CD" w14:textId="1276988C" w:rsidR="00CA1587" w:rsidRPr="00CA1587" w:rsidRDefault="00CA1587" w:rsidP="0046498A">
            <w:pPr>
              <w:tabs>
                <w:tab w:val="left" w:pos="680"/>
                <w:tab w:val="left" w:pos="1133"/>
                <w:tab w:val="left" w:pos="2267"/>
              </w:tabs>
              <w:ind w:right="284"/>
              <w:rPr>
                <w:rFonts w:eastAsia="Arial"/>
                <w:bCs/>
              </w:rPr>
            </w:pPr>
            <w:r w:rsidRPr="00CA1587">
              <w:rPr>
                <w:rFonts w:eastAsia="Arial"/>
                <w:bCs/>
                <w:iCs/>
                <w:szCs w:val="24"/>
              </w:rPr>
              <w:t>A</w:t>
            </w:r>
            <w:r w:rsidRPr="00CA1587">
              <w:rPr>
                <w:rFonts w:eastAsia="Arial" w:cs="Arial"/>
                <w:bCs/>
                <w:iCs/>
                <w:szCs w:val="24"/>
              </w:rPr>
              <w:t>gricultural land of grades 1, 2 and 3a of the</w:t>
            </w:r>
            <w:r w:rsidRPr="00CA1587">
              <w:rPr>
                <w:rFonts w:eastAsia="Arial"/>
                <w:bCs/>
                <w:iCs/>
                <w:szCs w:val="24"/>
              </w:rPr>
              <w:t xml:space="preserve"> </w:t>
            </w:r>
            <w:r w:rsidRPr="00CA1587">
              <w:rPr>
                <w:rFonts w:eastAsia="Arial" w:cs="Arial"/>
                <w:bCs/>
                <w:iCs/>
                <w:szCs w:val="24"/>
              </w:rPr>
              <w:t>Department for Environment, Food and Rural Affairs (DEFRA) Agricultural</w:t>
            </w:r>
            <w:r w:rsidRPr="00CA1587">
              <w:rPr>
                <w:rFonts w:eastAsia="Arial"/>
                <w:bCs/>
                <w:iCs/>
                <w:szCs w:val="24"/>
              </w:rPr>
              <w:t xml:space="preserve"> </w:t>
            </w:r>
            <w:r w:rsidRPr="00CA1587">
              <w:rPr>
                <w:rFonts w:eastAsia="Arial" w:cs="Arial"/>
                <w:bCs/>
                <w:iCs/>
                <w:szCs w:val="24"/>
              </w:rPr>
              <w:t xml:space="preserve">Land Classification is the best and most versatile agricultural </w:t>
            </w:r>
            <w:r w:rsidR="009D1815" w:rsidRPr="00CA1587">
              <w:rPr>
                <w:rFonts w:eastAsia="Arial" w:cs="Arial"/>
                <w:bCs/>
                <w:iCs/>
                <w:szCs w:val="24"/>
              </w:rPr>
              <w:t>land and</w:t>
            </w:r>
            <w:r w:rsidRPr="00CA1587">
              <w:rPr>
                <w:rFonts w:eastAsia="Arial" w:cs="Arial"/>
                <w:bCs/>
                <w:iCs/>
                <w:szCs w:val="24"/>
              </w:rPr>
              <w:t xml:space="preserve"> should be</w:t>
            </w:r>
            <w:r w:rsidRPr="00CA1587">
              <w:rPr>
                <w:rFonts w:eastAsia="Arial"/>
                <w:bCs/>
                <w:iCs/>
                <w:szCs w:val="24"/>
              </w:rPr>
              <w:t xml:space="preserve"> </w:t>
            </w:r>
            <w:r w:rsidRPr="00CA1587">
              <w:rPr>
                <w:rFonts w:eastAsia="Arial" w:cs="Arial"/>
                <w:bCs/>
                <w:iCs/>
                <w:szCs w:val="24"/>
              </w:rPr>
              <w:t>conserved as a finite resource for the future.</w:t>
            </w:r>
            <w:r w:rsidRPr="00CA1587">
              <w:rPr>
                <w:rFonts w:eastAsia="Arial"/>
                <w:bCs/>
                <w:szCs w:val="24"/>
              </w:rPr>
              <w:t xml:space="preserve"> </w:t>
            </w:r>
            <w:r w:rsidRPr="00CA1587">
              <w:rPr>
                <w:rFonts w:eastAsia="Arial"/>
                <w:bCs/>
              </w:rPr>
              <w:t>Development on the best and most versatile agricultural land will only be permitted if it can be demonstrated that there is an overriding sustainability benefit from the development and there are no realistic opportunities for accommodating the development elsewhere.</w:t>
            </w:r>
          </w:p>
          <w:p w14:paraId="3FEBAF1E" w14:textId="77777777" w:rsidR="00CA1587" w:rsidRPr="00B20356" w:rsidRDefault="00CA1587" w:rsidP="0046498A">
            <w:pPr>
              <w:tabs>
                <w:tab w:val="left" w:pos="680"/>
                <w:tab w:val="left" w:pos="1133"/>
                <w:tab w:val="left" w:pos="2267"/>
              </w:tabs>
              <w:ind w:right="284"/>
              <w:rPr>
                <w:rFonts w:eastAsia="Arial"/>
                <w:color w:val="538135"/>
                <w:szCs w:val="24"/>
              </w:rPr>
            </w:pPr>
          </w:p>
        </w:tc>
      </w:tr>
      <w:tr w:rsidR="000A1A0B" w:rsidRPr="00B20356" w14:paraId="7FC2DBA1" w14:textId="77777777" w:rsidTr="001770A9">
        <w:tc>
          <w:tcPr>
            <w:tcW w:w="2830" w:type="dxa"/>
            <w:gridSpan w:val="2"/>
          </w:tcPr>
          <w:p w14:paraId="6A54DF8B" w14:textId="679E1816" w:rsidR="000A1A0B" w:rsidRPr="00F86477" w:rsidRDefault="000A1A0B" w:rsidP="000032A9">
            <w:pPr>
              <w:tabs>
                <w:tab w:val="left" w:pos="680"/>
                <w:tab w:val="left" w:pos="1133"/>
                <w:tab w:val="left" w:pos="2267"/>
              </w:tabs>
              <w:ind w:right="284"/>
              <w:rPr>
                <w:rFonts w:eastAsia="Arial"/>
                <w:b/>
                <w:color w:val="538135"/>
                <w:szCs w:val="24"/>
              </w:rPr>
            </w:pPr>
            <w:r w:rsidRPr="00F86477">
              <w:rPr>
                <w:rFonts w:eastAsia="Arial" w:cs="Arial"/>
                <w:bCs/>
                <w:sz w:val="20"/>
              </w:rPr>
              <w:t>Evidence base</w:t>
            </w:r>
          </w:p>
        </w:tc>
        <w:tc>
          <w:tcPr>
            <w:tcW w:w="6663" w:type="dxa"/>
          </w:tcPr>
          <w:p w14:paraId="5510C783" w14:textId="52205343" w:rsidR="000A1A0B" w:rsidRPr="00F86477" w:rsidRDefault="000A1A0B" w:rsidP="00874A98">
            <w:pPr>
              <w:keepNext w:val="0"/>
              <w:numPr>
                <w:ilvl w:val="0"/>
                <w:numId w:val="61"/>
              </w:numPr>
              <w:spacing w:before="0"/>
              <w:contextualSpacing/>
              <w:rPr>
                <w:rFonts w:cs="Arial"/>
                <w:sz w:val="20"/>
              </w:rPr>
            </w:pPr>
            <w:r w:rsidRPr="00F86477">
              <w:rPr>
                <w:rFonts w:cs="Arial"/>
                <w:sz w:val="20"/>
              </w:rPr>
              <w:t>Sustainability Appraisal</w:t>
            </w:r>
            <w:r w:rsidRPr="002E7654">
              <w:rPr>
                <w:rFonts w:cs="Arial"/>
                <w:sz w:val="20"/>
              </w:rPr>
              <w:t>, 202</w:t>
            </w:r>
            <w:r w:rsidR="00B40389" w:rsidRPr="002E7654">
              <w:rPr>
                <w:rFonts w:cs="Arial"/>
                <w:sz w:val="20"/>
              </w:rPr>
              <w:t>3</w:t>
            </w:r>
            <w:r w:rsidRPr="002E7654">
              <w:rPr>
                <w:rFonts w:cs="Arial"/>
                <w:sz w:val="20"/>
              </w:rPr>
              <w:t>.</w:t>
            </w:r>
            <w:r w:rsidR="00B40389" w:rsidRPr="002E7654">
              <w:rPr>
                <w:rFonts w:cs="Arial"/>
                <w:sz w:val="20"/>
              </w:rPr>
              <w:t xml:space="preserve"> WSP UK Limited</w:t>
            </w:r>
            <w:r w:rsidRPr="002E7654">
              <w:rPr>
                <w:rFonts w:cs="Arial"/>
                <w:sz w:val="20"/>
              </w:rPr>
              <w:t>.</w:t>
            </w:r>
          </w:p>
        </w:tc>
      </w:tr>
      <w:tr w:rsidR="000A1A0B" w:rsidRPr="00B20356" w14:paraId="5A0A9513" w14:textId="77777777" w:rsidTr="001770A9">
        <w:tc>
          <w:tcPr>
            <w:tcW w:w="2830" w:type="dxa"/>
            <w:gridSpan w:val="2"/>
          </w:tcPr>
          <w:p w14:paraId="7170B708" w14:textId="5A61F532" w:rsidR="000A1A0B" w:rsidRPr="00F86477" w:rsidRDefault="000A1A0B" w:rsidP="000032A9">
            <w:pPr>
              <w:tabs>
                <w:tab w:val="left" w:pos="680"/>
                <w:tab w:val="left" w:pos="1133"/>
                <w:tab w:val="left" w:pos="2267"/>
              </w:tabs>
              <w:ind w:right="284"/>
              <w:rPr>
                <w:rFonts w:eastAsia="Arial"/>
                <w:b/>
                <w:sz w:val="22"/>
              </w:rPr>
            </w:pPr>
            <w:r w:rsidRPr="00F86477">
              <w:rPr>
                <w:rFonts w:eastAsia="Arial" w:cs="Arial"/>
                <w:bCs/>
                <w:sz w:val="20"/>
              </w:rPr>
              <w:t>National Planning Policy and Guidance</w:t>
            </w:r>
          </w:p>
        </w:tc>
        <w:tc>
          <w:tcPr>
            <w:tcW w:w="6663" w:type="dxa"/>
          </w:tcPr>
          <w:p w14:paraId="7B0855B4" w14:textId="76B1929D" w:rsidR="000A1A0B" w:rsidRPr="00F86477" w:rsidRDefault="000A1A0B" w:rsidP="00874A98">
            <w:pPr>
              <w:keepNext w:val="0"/>
              <w:numPr>
                <w:ilvl w:val="0"/>
                <w:numId w:val="62"/>
              </w:numPr>
              <w:spacing w:before="0"/>
              <w:ind w:left="328"/>
              <w:contextualSpacing/>
              <w:rPr>
                <w:rFonts w:cs="Arial"/>
                <w:sz w:val="20"/>
              </w:rPr>
            </w:pPr>
            <w:r w:rsidRPr="00F86477">
              <w:rPr>
                <w:rFonts w:cs="Arial"/>
                <w:sz w:val="20"/>
              </w:rPr>
              <w:t>NPPF 202</w:t>
            </w:r>
            <w:r w:rsidR="004173E0">
              <w:rPr>
                <w:rFonts w:cs="Arial"/>
                <w:sz w:val="20"/>
              </w:rPr>
              <w:t>3</w:t>
            </w:r>
            <w:r w:rsidRPr="00F86477">
              <w:rPr>
                <w:rFonts w:cs="Arial"/>
                <w:sz w:val="20"/>
              </w:rPr>
              <w:t>, Part 2: Achieving sustainable development.</w:t>
            </w:r>
          </w:p>
          <w:p w14:paraId="0C2A9E61" w14:textId="17D4CE5D" w:rsidR="000A1A0B" w:rsidRPr="00F86477" w:rsidRDefault="000A1A0B" w:rsidP="00874A98">
            <w:pPr>
              <w:keepNext w:val="0"/>
              <w:numPr>
                <w:ilvl w:val="0"/>
                <w:numId w:val="62"/>
              </w:numPr>
              <w:spacing w:before="0"/>
              <w:ind w:left="328"/>
              <w:contextualSpacing/>
              <w:rPr>
                <w:rFonts w:cs="Arial"/>
                <w:sz w:val="20"/>
              </w:rPr>
            </w:pPr>
            <w:r w:rsidRPr="00F86477">
              <w:rPr>
                <w:rFonts w:cs="Arial"/>
                <w:sz w:val="20"/>
              </w:rPr>
              <w:t>NPPF 202</w:t>
            </w:r>
            <w:r w:rsidR="004173E0">
              <w:rPr>
                <w:rFonts w:cs="Arial"/>
                <w:sz w:val="20"/>
              </w:rPr>
              <w:t>3</w:t>
            </w:r>
            <w:r w:rsidRPr="00F86477">
              <w:rPr>
                <w:rFonts w:cs="Arial"/>
                <w:sz w:val="20"/>
              </w:rPr>
              <w:t>, Part 15: Conserving and enhancing the natural environment.</w:t>
            </w:r>
          </w:p>
        </w:tc>
      </w:tr>
    </w:tbl>
    <w:p w14:paraId="0CBD9793" w14:textId="77777777" w:rsidR="00CA1587" w:rsidRDefault="00CA1587" w:rsidP="006D4F49">
      <w:pPr>
        <w:keepNext w:val="0"/>
        <w:autoSpaceDE w:val="0"/>
        <w:autoSpaceDN w:val="0"/>
        <w:adjustRightInd w:val="0"/>
        <w:spacing w:before="0"/>
        <w:rPr>
          <w:rFonts w:eastAsia="Arial" w:cs="Arial"/>
          <w:spacing w:val="-1"/>
        </w:rPr>
      </w:pPr>
    </w:p>
    <w:p w14:paraId="56E9AA0A" w14:textId="3E0466EB" w:rsidR="00CA1587" w:rsidRPr="00CA1587" w:rsidRDefault="00CA1587" w:rsidP="00C66622">
      <w:pPr>
        <w:keepNext w:val="0"/>
        <w:numPr>
          <w:ilvl w:val="1"/>
          <w:numId w:val="5"/>
        </w:numPr>
        <w:tabs>
          <w:tab w:val="clear" w:pos="525"/>
        </w:tabs>
        <w:autoSpaceDE w:val="0"/>
        <w:autoSpaceDN w:val="0"/>
        <w:adjustRightInd w:val="0"/>
        <w:spacing w:before="0"/>
        <w:ind w:left="851" w:hanging="851"/>
        <w:rPr>
          <w:rFonts w:eastAsia="Arial" w:cs="Arial"/>
          <w:spacing w:val="-1"/>
        </w:rPr>
      </w:pPr>
      <w:r w:rsidRPr="00CA1587">
        <w:rPr>
          <w:rFonts w:eastAsia="Arial" w:cs="Arial"/>
          <w:spacing w:val="-1"/>
        </w:rPr>
        <w:t xml:space="preserve">The global demand for food production is likely to increase in future years and in this context high quality agricultural land is an important resource. Once developed, returning land to viable agriculture is rarely feasible. Consequently, it is important to protect the best and most versatile agricultural land and minimise its loss to development to safeguard this resource for future generations. </w:t>
      </w:r>
    </w:p>
    <w:p w14:paraId="5D2D2DFA" w14:textId="77777777" w:rsidR="00CA1587" w:rsidRPr="00CA1587" w:rsidRDefault="00CA1587" w:rsidP="00C66622">
      <w:pPr>
        <w:keepNext w:val="0"/>
        <w:autoSpaceDE w:val="0"/>
        <w:autoSpaceDN w:val="0"/>
        <w:adjustRightInd w:val="0"/>
        <w:spacing w:before="0"/>
        <w:ind w:left="851" w:hanging="851"/>
        <w:rPr>
          <w:rFonts w:eastAsia="Arial" w:cs="Arial"/>
          <w:spacing w:val="-1"/>
        </w:rPr>
      </w:pPr>
    </w:p>
    <w:p w14:paraId="2949C2B0" w14:textId="698AB3AC" w:rsidR="00CA1587" w:rsidRPr="00CA1587" w:rsidRDefault="00CA1587" w:rsidP="00C66622">
      <w:pPr>
        <w:keepNext w:val="0"/>
        <w:numPr>
          <w:ilvl w:val="1"/>
          <w:numId w:val="5"/>
        </w:numPr>
        <w:tabs>
          <w:tab w:val="clear" w:pos="525"/>
        </w:tabs>
        <w:autoSpaceDE w:val="0"/>
        <w:autoSpaceDN w:val="0"/>
        <w:adjustRightInd w:val="0"/>
        <w:spacing w:before="0"/>
        <w:ind w:left="851" w:hanging="851"/>
        <w:rPr>
          <w:rFonts w:eastAsia="Arial" w:cs="Arial"/>
          <w:spacing w:val="-1"/>
        </w:rPr>
      </w:pPr>
      <w:r w:rsidRPr="00CA1587">
        <w:rPr>
          <w:rFonts w:eastAsia="Arial" w:cs="Arial"/>
          <w:spacing w:val="-1"/>
        </w:rPr>
        <w:t xml:space="preserve">The Agricultural Land Classification system assigns five grades (Grade 3 being subdivided) dependent on climate, site and soil characteristics. The best and most versatile land is classified as Grades 1, 2 and 3a. There is no identified Grade 1 land in Ashfield. Grade 2 land and Grade 3 land is located around Hucknall, to the south and east of Annesley Woodhouse, to the west of Kirkby-in-Ashfield and Sutton-in-Ashfield and to the north of Sutton-in-Ashfield. The location of the </w:t>
      </w:r>
      <w:r w:rsidR="007B2BCE" w:rsidRPr="00CA1587">
        <w:rPr>
          <w:rFonts w:eastAsia="Arial" w:cs="Arial"/>
          <w:spacing w:val="-1"/>
        </w:rPr>
        <w:t>better-quality</w:t>
      </w:r>
      <w:r w:rsidRPr="00CA1587">
        <w:rPr>
          <w:rFonts w:eastAsia="Arial" w:cs="Arial"/>
          <w:spacing w:val="-1"/>
        </w:rPr>
        <w:t xml:space="preserve"> land on the urban fringe means that there may be a requirement for land to be used for other purposes and these issues should form part of the determination of sustainable development through the Local Plan. Land outside these allocations should remain as an important agricultural resource. </w:t>
      </w:r>
    </w:p>
    <w:p w14:paraId="0DBE9EE0" w14:textId="77777777" w:rsidR="00CA1587" w:rsidRPr="00CA1587" w:rsidRDefault="00CA1587" w:rsidP="00C66622">
      <w:pPr>
        <w:keepNext w:val="0"/>
        <w:autoSpaceDE w:val="0"/>
        <w:autoSpaceDN w:val="0"/>
        <w:adjustRightInd w:val="0"/>
        <w:spacing w:before="0"/>
        <w:ind w:left="851" w:hanging="851"/>
        <w:rPr>
          <w:rFonts w:eastAsia="Arial" w:cs="Arial"/>
          <w:spacing w:val="-1"/>
        </w:rPr>
      </w:pPr>
    </w:p>
    <w:p w14:paraId="64E1AF0B" w14:textId="17F7BE18" w:rsidR="00CA1587" w:rsidRPr="00CA1587" w:rsidRDefault="00CA1587" w:rsidP="00C66622">
      <w:pPr>
        <w:keepNext w:val="0"/>
        <w:numPr>
          <w:ilvl w:val="1"/>
          <w:numId w:val="5"/>
        </w:numPr>
        <w:tabs>
          <w:tab w:val="clear" w:pos="525"/>
        </w:tabs>
        <w:autoSpaceDE w:val="0"/>
        <w:autoSpaceDN w:val="0"/>
        <w:adjustRightInd w:val="0"/>
        <w:spacing w:before="0"/>
        <w:ind w:left="851" w:hanging="851"/>
        <w:rPr>
          <w:rFonts w:eastAsia="Arial" w:cs="Arial"/>
          <w:spacing w:val="-1"/>
        </w:rPr>
      </w:pPr>
      <w:r w:rsidRPr="00CA1587">
        <w:rPr>
          <w:rFonts w:eastAsia="Arial" w:cs="Arial"/>
          <w:spacing w:val="-1"/>
        </w:rPr>
        <w:t xml:space="preserve">Land in grades 1, 2 and 3a should only be developed if there is an overriding need for the development and either previously developed land </w:t>
      </w:r>
      <w:r w:rsidR="001C4CFD">
        <w:rPr>
          <w:rFonts w:eastAsia="Arial" w:cs="Arial"/>
          <w:spacing w:val="-1"/>
        </w:rPr>
        <w:t xml:space="preserve">(brownfield) </w:t>
      </w:r>
      <w:r w:rsidRPr="00CA1587">
        <w:rPr>
          <w:rFonts w:eastAsia="Arial" w:cs="Arial"/>
          <w:spacing w:val="-1"/>
        </w:rPr>
        <w:t>or land in lower agricultural grades is unavailable</w:t>
      </w:r>
      <w:r w:rsidR="001C4CFD">
        <w:rPr>
          <w:rFonts w:eastAsia="Arial" w:cs="Arial"/>
          <w:spacing w:val="-1"/>
        </w:rPr>
        <w:t>,</w:t>
      </w:r>
      <w:r w:rsidRPr="00CA1587">
        <w:rPr>
          <w:rFonts w:eastAsia="Arial" w:cs="Arial"/>
          <w:spacing w:val="-1"/>
        </w:rPr>
        <w:t xml:space="preserve"> or </w:t>
      </w:r>
      <w:r w:rsidR="001C4CFD">
        <w:rPr>
          <w:rFonts w:eastAsia="Arial" w:cs="Arial"/>
          <w:spacing w:val="-1"/>
        </w:rPr>
        <w:t xml:space="preserve">if </w:t>
      </w:r>
      <w:r w:rsidRPr="00CA1587">
        <w:rPr>
          <w:rFonts w:eastAsia="Arial" w:cs="Arial"/>
          <w:spacing w:val="-1"/>
        </w:rPr>
        <w:t>available lower grade land has environmental value recognised by a landscape, wildlife, historic or archaeological designation which outweighs the agricultural considerations. If land in grades 1, 2 or 3a does need to be developed, and there is a choice between sites of different grades, development should be directed to land of the lowest grade.</w:t>
      </w:r>
    </w:p>
    <w:p w14:paraId="0B2E562E" w14:textId="3D2EC71A" w:rsidR="00CA1587" w:rsidRPr="006D4F49" w:rsidRDefault="00CA1587" w:rsidP="00011A21">
      <w:pPr>
        <w:keepNext w:val="0"/>
        <w:numPr>
          <w:ilvl w:val="1"/>
          <w:numId w:val="5"/>
        </w:numPr>
        <w:tabs>
          <w:tab w:val="clear" w:pos="525"/>
        </w:tabs>
        <w:autoSpaceDE w:val="0"/>
        <w:autoSpaceDN w:val="0"/>
        <w:adjustRightInd w:val="0"/>
        <w:spacing w:before="0"/>
        <w:ind w:left="851" w:hanging="851"/>
        <w:rPr>
          <w:rFonts w:eastAsia="Arial" w:cs="Arial"/>
          <w:spacing w:val="-1"/>
        </w:rPr>
      </w:pPr>
      <w:r w:rsidRPr="006D4F49">
        <w:rPr>
          <w:rFonts w:eastAsia="Arial" w:cs="Arial"/>
          <w:spacing w:val="-1"/>
        </w:rPr>
        <w:t>Agricultural Land Classification maps are typically only available at 1:250 000 scale and do not identify the subdivision of Grade 3 land. Under these circumstances, before planning applications are considered on land within the best and most versatile land, the applicant will need to undertake survey work to identify the Agricultural Land Classification. Field surveys are usually time consuming and should be initiated well in advance of the intended date of any planning application</w:t>
      </w:r>
      <w:r w:rsidR="006D4F49" w:rsidRPr="006D4F49">
        <w:rPr>
          <w:rFonts w:eastAsia="Arial" w:cs="Arial"/>
          <w:spacing w:val="-1"/>
        </w:rPr>
        <w:t>.</w:t>
      </w:r>
    </w:p>
    <w:p w14:paraId="7A6B17FA" w14:textId="77777777" w:rsidR="00263F59" w:rsidRDefault="00263F59" w:rsidP="00CA1587">
      <w:pPr>
        <w:keepNext w:val="0"/>
        <w:autoSpaceDE w:val="0"/>
        <w:autoSpaceDN w:val="0"/>
        <w:adjustRightInd w:val="0"/>
        <w:spacing w:before="0"/>
        <w:rPr>
          <w:rFonts w:eastAsia="Arial" w:cs="Arial"/>
          <w:spacing w:val="-1"/>
        </w:rPr>
      </w:pPr>
    </w:p>
    <w:p w14:paraId="13A781CD" w14:textId="77777777" w:rsidR="002E7654" w:rsidRPr="00BF07B5" w:rsidRDefault="002E7654" w:rsidP="00BF07B5">
      <w:pPr>
        <w:rPr>
          <w:rFonts w:eastAsia="Arial"/>
        </w:rPr>
      </w:pPr>
      <w:bookmarkStart w:id="180" w:name="_Toc500408762"/>
      <w:bookmarkStart w:id="181" w:name="_Toc145511583"/>
    </w:p>
    <w:p w14:paraId="3F0C2009" w14:textId="3746012A" w:rsidR="00CA1587" w:rsidRPr="00995322" w:rsidRDefault="006977E7" w:rsidP="00995322">
      <w:pPr>
        <w:pStyle w:val="Heading2"/>
        <w:jc w:val="left"/>
        <w:rPr>
          <w:rFonts w:eastAsia="Arial"/>
          <w:sz w:val="28"/>
          <w:szCs w:val="28"/>
        </w:rPr>
      </w:pPr>
      <w:r w:rsidRPr="00995322">
        <w:rPr>
          <w:rFonts w:eastAsia="Arial"/>
          <w:sz w:val="28"/>
          <w:szCs w:val="28"/>
        </w:rPr>
        <w:t xml:space="preserve">Policy </w:t>
      </w:r>
      <w:r w:rsidR="00CA1587" w:rsidRPr="00995322">
        <w:rPr>
          <w:rFonts w:eastAsia="Arial"/>
          <w:sz w:val="28"/>
          <w:szCs w:val="28"/>
        </w:rPr>
        <w:t>EV9: The Historic Environment</w:t>
      </w:r>
      <w:bookmarkEnd w:id="180"/>
      <w:bookmarkEnd w:id="181"/>
    </w:p>
    <w:p w14:paraId="37295B2E" w14:textId="77777777" w:rsidR="00CA1587" w:rsidRDefault="00CA1587" w:rsidP="00263F59">
      <w:pPr>
        <w:keepNext w:val="0"/>
        <w:autoSpaceDE w:val="0"/>
        <w:autoSpaceDN w:val="0"/>
        <w:adjustRightInd w:val="0"/>
        <w:spacing w:before="0"/>
        <w:rPr>
          <w:rFonts w:eastAsia="Arial" w:cs="Arial"/>
          <w:spacing w:val="-1"/>
        </w:rPr>
      </w:pPr>
    </w:p>
    <w:p w14:paraId="58E008FB" w14:textId="77F82E3D" w:rsidR="00CA1587" w:rsidRDefault="00CA1587" w:rsidP="00C66622">
      <w:pPr>
        <w:keepNext w:val="0"/>
        <w:numPr>
          <w:ilvl w:val="1"/>
          <w:numId w:val="5"/>
        </w:numPr>
        <w:tabs>
          <w:tab w:val="clear" w:pos="525"/>
          <w:tab w:val="num" w:pos="851"/>
        </w:tabs>
        <w:autoSpaceDE w:val="0"/>
        <w:autoSpaceDN w:val="0"/>
        <w:adjustRightInd w:val="0"/>
        <w:spacing w:before="0"/>
        <w:ind w:left="851" w:hanging="851"/>
        <w:rPr>
          <w:rFonts w:eastAsia="Arial" w:cs="Arial"/>
          <w:spacing w:val="-1"/>
        </w:rPr>
      </w:pPr>
      <w:r w:rsidRPr="00BB72C9">
        <w:rPr>
          <w:rFonts w:eastAsia="Arial" w:cs="Arial"/>
          <w:spacing w:val="-1"/>
        </w:rPr>
        <w:t xml:space="preserve">This policy aims to conserve and enhance </w:t>
      </w:r>
      <w:r w:rsidR="00C03C9B" w:rsidRPr="002E7654">
        <w:rPr>
          <w:rFonts w:eastAsia="Arial" w:cs="Arial"/>
          <w:spacing w:val="-1"/>
        </w:rPr>
        <w:t>all heritage assets</w:t>
      </w:r>
      <w:r w:rsidR="00C03C9B" w:rsidRPr="002E7654">
        <w:t xml:space="preserve"> within the District </w:t>
      </w:r>
      <w:r w:rsidR="000E688D" w:rsidRPr="002E7654">
        <w:t>in a manner appropriate to their significance</w:t>
      </w:r>
      <w:r w:rsidR="00C03C9B" w:rsidRPr="002E7654">
        <w:t>. Heritage assets</w:t>
      </w:r>
      <w:r w:rsidR="000E688D" w:rsidRPr="002E7654">
        <w:t>,</w:t>
      </w:r>
      <w:r w:rsidRPr="002E7654">
        <w:rPr>
          <w:rFonts w:eastAsia="Arial" w:cs="Arial"/>
          <w:spacing w:val="-1"/>
        </w:rPr>
        <w:t xml:space="preserve"> includ</w:t>
      </w:r>
      <w:r w:rsidR="00C03C9B" w:rsidRPr="002E7654">
        <w:rPr>
          <w:rFonts w:eastAsia="Arial" w:cs="Arial"/>
          <w:spacing w:val="-1"/>
        </w:rPr>
        <w:t>e</w:t>
      </w:r>
      <w:r w:rsidRPr="002E7654">
        <w:rPr>
          <w:rFonts w:eastAsia="Arial" w:cs="Arial"/>
          <w:spacing w:val="-1"/>
        </w:rPr>
        <w:t xml:space="preserve"> Listed Buildings, Conservations Areas, Scheduled Monuments, Historic Parks and Gardens, Areas of Archaeological Interest and </w:t>
      </w:r>
      <w:r w:rsidR="00C03C9B" w:rsidRPr="002E7654">
        <w:rPr>
          <w:rFonts w:eastAsia="Arial" w:cs="Arial"/>
          <w:spacing w:val="-1"/>
        </w:rPr>
        <w:t>Non</w:t>
      </w:r>
      <w:r w:rsidR="00985BCC">
        <w:rPr>
          <w:rFonts w:eastAsia="Arial" w:cs="Arial"/>
          <w:spacing w:val="-1"/>
        </w:rPr>
        <w:t>-</w:t>
      </w:r>
      <w:r w:rsidR="00C03C9B" w:rsidRPr="002E7654">
        <w:rPr>
          <w:rFonts w:eastAsia="Arial" w:cs="Arial"/>
          <w:spacing w:val="-1"/>
        </w:rPr>
        <w:t>Designated</w:t>
      </w:r>
      <w:r w:rsidR="0048486B" w:rsidRPr="002E7654">
        <w:rPr>
          <w:rFonts w:eastAsia="Arial" w:cs="Arial"/>
          <w:spacing w:val="-1"/>
        </w:rPr>
        <w:t xml:space="preserve"> </w:t>
      </w:r>
      <w:r w:rsidRPr="002E7654">
        <w:rPr>
          <w:rFonts w:eastAsia="Arial" w:cs="Arial"/>
          <w:spacing w:val="-1"/>
        </w:rPr>
        <w:t xml:space="preserve">Heritage </w:t>
      </w:r>
      <w:r w:rsidRPr="00BB72C9">
        <w:rPr>
          <w:rFonts w:eastAsia="Arial" w:cs="Arial"/>
          <w:spacing w:val="-1"/>
        </w:rPr>
        <w:t>Assets.</w:t>
      </w:r>
      <w:r w:rsidR="000E688D">
        <w:rPr>
          <w:rFonts w:eastAsia="Arial" w:cs="Arial"/>
          <w:spacing w:val="-1"/>
        </w:rPr>
        <w:t xml:space="preserve">  </w:t>
      </w:r>
    </w:p>
    <w:p w14:paraId="1E5B7E9C" w14:textId="0651CCA7" w:rsidR="00B42C71" w:rsidRDefault="00B42C71" w:rsidP="00B42C71">
      <w:pPr>
        <w:keepNext w:val="0"/>
        <w:autoSpaceDE w:val="0"/>
        <w:autoSpaceDN w:val="0"/>
        <w:adjustRightInd w:val="0"/>
        <w:spacing w:before="0"/>
        <w:ind w:left="525"/>
        <w:rPr>
          <w:rFonts w:eastAsia="Arial" w:cs="Arial"/>
          <w:spacing w:val="-1"/>
        </w:rPr>
      </w:pPr>
      <w:bookmarkStart w:id="182" w:name="_Hlk143163587"/>
    </w:p>
    <w:bookmarkEnd w:id="182"/>
    <w:tbl>
      <w:tblPr>
        <w:tblStyle w:val="ReportTable1"/>
        <w:tblW w:w="0" w:type="auto"/>
        <w:tblLook w:val="04A0" w:firstRow="1" w:lastRow="0" w:firstColumn="1" w:lastColumn="0" w:noHBand="0" w:noVBand="1"/>
      </w:tblPr>
      <w:tblGrid>
        <w:gridCol w:w="2400"/>
        <w:gridCol w:w="7219"/>
      </w:tblGrid>
      <w:tr w:rsidR="00B42C71" w:rsidRPr="00B42C71" w14:paraId="0CF291B8" w14:textId="77777777" w:rsidTr="000339D2">
        <w:tc>
          <w:tcPr>
            <w:tcW w:w="9619" w:type="dxa"/>
            <w:gridSpan w:val="2"/>
          </w:tcPr>
          <w:p w14:paraId="6FA57039" w14:textId="77777777" w:rsidR="00DA5747" w:rsidRDefault="00B42C71" w:rsidP="00B42C71">
            <w:pPr>
              <w:keepNext w:val="0"/>
              <w:spacing w:before="0"/>
              <w:rPr>
                <w:color w:val="auto"/>
              </w:rPr>
            </w:pPr>
            <w:r w:rsidRPr="00B42C71">
              <w:rPr>
                <w:color w:val="auto"/>
              </w:rPr>
              <w:br w:type="page"/>
            </w:r>
          </w:p>
          <w:p w14:paraId="4175F25C" w14:textId="64DF9008" w:rsidR="00B42C71" w:rsidRDefault="00B42C71" w:rsidP="00B42C71">
            <w:pPr>
              <w:keepNext w:val="0"/>
              <w:spacing w:before="0"/>
              <w:rPr>
                <w:b/>
                <w:bCs/>
                <w:color w:val="auto"/>
              </w:rPr>
            </w:pPr>
            <w:r w:rsidRPr="00B42C71">
              <w:rPr>
                <w:b/>
                <w:bCs/>
                <w:color w:val="auto"/>
              </w:rPr>
              <w:t>Policy EV9: The Historic Environment</w:t>
            </w:r>
          </w:p>
          <w:p w14:paraId="716D6618" w14:textId="368FB094" w:rsidR="00DA5747" w:rsidRPr="00B42C71" w:rsidRDefault="00DA5747" w:rsidP="00B42C71">
            <w:pPr>
              <w:keepNext w:val="0"/>
              <w:spacing w:before="0"/>
              <w:rPr>
                <w:b/>
                <w:bCs/>
                <w:color w:val="auto"/>
              </w:rPr>
            </w:pPr>
          </w:p>
        </w:tc>
      </w:tr>
      <w:tr w:rsidR="00B42C71" w:rsidRPr="00B42C71" w14:paraId="287A34D4" w14:textId="77777777" w:rsidTr="000339D2">
        <w:tc>
          <w:tcPr>
            <w:tcW w:w="2400" w:type="dxa"/>
          </w:tcPr>
          <w:p w14:paraId="50CD0201" w14:textId="77777777" w:rsidR="00B42C71" w:rsidRPr="00B42C71" w:rsidRDefault="00B42C71" w:rsidP="00B42C71">
            <w:pPr>
              <w:keepNext w:val="0"/>
              <w:spacing w:before="0"/>
              <w:rPr>
                <w:color w:val="auto"/>
              </w:rPr>
            </w:pPr>
            <w:r w:rsidRPr="00B42C71">
              <w:rPr>
                <w:color w:val="auto"/>
              </w:rPr>
              <w:t>Strategic Objectives</w:t>
            </w:r>
          </w:p>
        </w:tc>
        <w:tc>
          <w:tcPr>
            <w:tcW w:w="7219" w:type="dxa"/>
          </w:tcPr>
          <w:p w14:paraId="63D2C91C" w14:textId="77777777" w:rsidR="00B42C71" w:rsidRPr="00B42C71" w:rsidRDefault="00B42C71" w:rsidP="00B42C71">
            <w:pPr>
              <w:keepNext w:val="0"/>
              <w:spacing w:before="0"/>
              <w:rPr>
                <w:color w:val="auto"/>
              </w:rPr>
            </w:pPr>
            <w:r w:rsidRPr="00B42C71">
              <w:rPr>
                <w:color w:val="auto"/>
              </w:rPr>
              <w:t xml:space="preserve">SO1, SO3, SO7, SO8, SO11, SO13, SO14. </w:t>
            </w:r>
          </w:p>
        </w:tc>
      </w:tr>
      <w:tr w:rsidR="00B42C71" w:rsidRPr="00B42C71" w14:paraId="33734CE0" w14:textId="77777777" w:rsidTr="000339D2">
        <w:tc>
          <w:tcPr>
            <w:tcW w:w="9619" w:type="dxa"/>
            <w:gridSpan w:val="2"/>
            <w:shd w:val="clear" w:color="auto" w:fill="E2EFD9"/>
          </w:tcPr>
          <w:p w14:paraId="734973F1" w14:textId="77777777" w:rsidR="00B42C71" w:rsidRPr="00B42C71" w:rsidRDefault="00B42C71" w:rsidP="00B42C71">
            <w:pPr>
              <w:keepNext w:val="0"/>
              <w:spacing w:before="0"/>
              <w:rPr>
                <w:color w:val="auto"/>
              </w:rPr>
            </w:pPr>
          </w:p>
          <w:p w14:paraId="63F1D6F7" w14:textId="77777777" w:rsidR="00B42C71" w:rsidRPr="00C66622" w:rsidRDefault="00B42C71" w:rsidP="00B42C71">
            <w:pPr>
              <w:keepNext w:val="0"/>
              <w:spacing w:before="0"/>
              <w:rPr>
                <w:b/>
                <w:bCs/>
                <w:color w:val="auto"/>
              </w:rPr>
            </w:pPr>
            <w:r w:rsidRPr="00C66622">
              <w:rPr>
                <w:b/>
                <w:bCs/>
                <w:color w:val="auto"/>
              </w:rPr>
              <w:t>All Heritage Assets</w:t>
            </w:r>
          </w:p>
          <w:p w14:paraId="4FD0A9A8" w14:textId="77777777" w:rsidR="00B42C71" w:rsidRPr="00B42C71" w:rsidRDefault="00B42C71" w:rsidP="00B42C71">
            <w:pPr>
              <w:keepNext w:val="0"/>
              <w:spacing w:before="0"/>
              <w:rPr>
                <w:color w:val="auto"/>
              </w:rPr>
            </w:pPr>
          </w:p>
          <w:p w14:paraId="13096967" w14:textId="77777777" w:rsidR="00B42C71" w:rsidRPr="00B42C71" w:rsidRDefault="00B42C71" w:rsidP="00874A98">
            <w:pPr>
              <w:keepNext w:val="0"/>
              <w:numPr>
                <w:ilvl w:val="0"/>
                <w:numId w:val="255"/>
              </w:numPr>
              <w:spacing w:before="0"/>
              <w:contextualSpacing/>
              <w:rPr>
                <w:color w:val="auto"/>
              </w:rPr>
            </w:pPr>
            <w:r w:rsidRPr="00B42C71">
              <w:rPr>
                <w:color w:val="auto"/>
              </w:rPr>
              <w:t xml:space="preserve">A proposal must have regard to its impact on the historic environment and will be expected to be in line with advice and guidance contained within conservation area appraisals, characterisation studies and other relevant guidance.  A proposal will be considered acceptable where it will conserve and, where appropriate, enhance the historic environment, including designated and non-designated heritage assets and their setting. </w:t>
            </w:r>
          </w:p>
          <w:p w14:paraId="6B1D3FF3" w14:textId="77777777" w:rsidR="00B42C71" w:rsidRPr="00B42C71" w:rsidRDefault="00B42C71" w:rsidP="00B42C71">
            <w:pPr>
              <w:keepNext w:val="0"/>
              <w:spacing w:before="0"/>
              <w:ind w:left="360"/>
              <w:contextualSpacing/>
              <w:rPr>
                <w:color w:val="auto"/>
              </w:rPr>
            </w:pPr>
          </w:p>
          <w:p w14:paraId="5C2B3B92" w14:textId="77777777" w:rsidR="00B42C71" w:rsidRPr="00B42C71" w:rsidRDefault="00B42C71" w:rsidP="00874A98">
            <w:pPr>
              <w:keepNext w:val="0"/>
              <w:numPr>
                <w:ilvl w:val="0"/>
                <w:numId w:val="255"/>
              </w:numPr>
              <w:spacing w:before="0"/>
              <w:contextualSpacing/>
              <w:rPr>
                <w:color w:val="auto"/>
              </w:rPr>
            </w:pPr>
            <w:r w:rsidRPr="00B42C71">
              <w:rPr>
                <w:color w:val="auto"/>
              </w:rPr>
              <w:t xml:space="preserve">Proposals that affect designated and non-designated heritage assets should be accompanied by a Heritage Statement that provides a proportionate assessment of the significance of the heritage asset, and where appropriate its setting, and an assessment of the impact of the proposal on the significance. </w:t>
            </w:r>
          </w:p>
          <w:p w14:paraId="01993845" w14:textId="77777777" w:rsidR="00B42C71" w:rsidRPr="00B42C71" w:rsidRDefault="00B42C71" w:rsidP="00B42C71">
            <w:pPr>
              <w:keepNext w:val="0"/>
              <w:spacing w:before="0"/>
              <w:ind w:left="720"/>
              <w:contextualSpacing/>
              <w:rPr>
                <w:color w:val="auto"/>
              </w:rPr>
            </w:pPr>
          </w:p>
          <w:p w14:paraId="6E105594" w14:textId="77777777" w:rsidR="00B42C71" w:rsidRPr="00985BCC" w:rsidRDefault="00B42C71" w:rsidP="00874A98">
            <w:pPr>
              <w:keepNext w:val="0"/>
              <w:numPr>
                <w:ilvl w:val="0"/>
                <w:numId w:val="255"/>
              </w:numPr>
              <w:spacing w:before="0"/>
              <w:contextualSpacing/>
            </w:pPr>
            <w:r w:rsidRPr="005673FD">
              <w:rPr>
                <w:color w:val="auto"/>
              </w:rPr>
              <w:t>Proposals that conserve or enhance the significance of designated and non-</w:t>
            </w:r>
            <w:r w:rsidRPr="00985BCC">
              <w:t>designated heritage assets and their settings, through appropriate scale, siting, high quality design and materials will be supported.</w:t>
            </w:r>
          </w:p>
          <w:p w14:paraId="03AFF68C" w14:textId="77777777" w:rsidR="00B42C71" w:rsidRPr="00985BCC" w:rsidRDefault="00B42C71" w:rsidP="00B42C71">
            <w:pPr>
              <w:keepNext w:val="0"/>
              <w:spacing w:before="0"/>
              <w:ind w:left="720"/>
              <w:contextualSpacing/>
            </w:pPr>
          </w:p>
          <w:p w14:paraId="1092078B" w14:textId="7BF4F306" w:rsidR="00B42C71" w:rsidRPr="00985BCC" w:rsidRDefault="00B42C71" w:rsidP="00874A98">
            <w:pPr>
              <w:keepNext w:val="0"/>
              <w:numPr>
                <w:ilvl w:val="0"/>
                <w:numId w:val="255"/>
              </w:numPr>
              <w:spacing w:before="0"/>
              <w:contextualSpacing/>
            </w:pPr>
            <w:r w:rsidRPr="00985BCC">
              <w:t xml:space="preserve">Proposals </w:t>
            </w:r>
            <w:r w:rsidR="00E81E3D" w:rsidRPr="00985BCC">
              <w:t xml:space="preserve">that effect heritage assets </w:t>
            </w:r>
            <w:r w:rsidRPr="00985BCC">
              <w:t>will be supported where the</w:t>
            </w:r>
            <w:r w:rsidR="00E81E3D" w:rsidRPr="00985BCC">
              <w:t xml:space="preserve"> proposals</w:t>
            </w:r>
            <w:r w:rsidRPr="00985BCC">
              <w:t xml:space="preserve"> conserves or enhances the heritage asset. </w:t>
            </w:r>
            <w:r w:rsidR="00E81E3D" w:rsidRPr="00985BCC">
              <w:t xml:space="preserve">Proposal that </w:t>
            </w:r>
            <w:r w:rsidRPr="00985BCC">
              <w:t xml:space="preserve">harm the significance of a heritage asset will only be supported where it is demonstrated that the harm is justified </w:t>
            </w:r>
            <w:r w:rsidR="00E81E3D" w:rsidRPr="00985BCC">
              <w:t xml:space="preserve">and the public benefits clearly outweigh the harm. </w:t>
            </w:r>
            <w:r w:rsidRPr="00985BCC">
              <w:t xml:space="preserve"> </w:t>
            </w:r>
          </w:p>
          <w:p w14:paraId="4D381931" w14:textId="77777777" w:rsidR="00B42C71" w:rsidRPr="00B42C71" w:rsidRDefault="00B42C71" w:rsidP="00B42C71">
            <w:pPr>
              <w:keepNext w:val="0"/>
              <w:spacing w:before="0"/>
              <w:ind w:left="720"/>
              <w:contextualSpacing/>
              <w:rPr>
                <w:color w:val="auto"/>
              </w:rPr>
            </w:pPr>
          </w:p>
          <w:p w14:paraId="7C2B4164" w14:textId="77777777" w:rsidR="00B42C71" w:rsidRPr="00BD69DD" w:rsidRDefault="00B42C71" w:rsidP="00B42C71">
            <w:pPr>
              <w:keepNext w:val="0"/>
              <w:spacing w:before="0"/>
              <w:ind w:left="360"/>
              <w:contextualSpacing/>
              <w:rPr>
                <w:b/>
                <w:bCs/>
                <w:color w:val="auto"/>
              </w:rPr>
            </w:pPr>
            <w:r w:rsidRPr="00BD69DD">
              <w:rPr>
                <w:b/>
                <w:bCs/>
                <w:color w:val="auto"/>
              </w:rPr>
              <w:t>Designated Heritage Assets</w:t>
            </w:r>
          </w:p>
          <w:p w14:paraId="22789C4E" w14:textId="77777777" w:rsidR="00B42C71" w:rsidRPr="00B42C71" w:rsidRDefault="00B42C71" w:rsidP="00B42C71">
            <w:pPr>
              <w:keepNext w:val="0"/>
              <w:spacing w:before="0"/>
              <w:ind w:left="720"/>
              <w:contextualSpacing/>
              <w:rPr>
                <w:color w:val="auto"/>
              </w:rPr>
            </w:pPr>
          </w:p>
          <w:p w14:paraId="0811234C" w14:textId="77777777" w:rsidR="00B42C71" w:rsidRPr="00B42C71" w:rsidRDefault="00B42C71" w:rsidP="00874A98">
            <w:pPr>
              <w:keepNext w:val="0"/>
              <w:numPr>
                <w:ilvl w:val="0"/>
                <w:numId w:val="255"/>
              </w:numPr>
              <w:spacing w:before="0"/>
              <w:contextualSpacing/>
              <w:rPr>
                <w:color w:val="auto"/>
              </w:rPr>
            </w:pPr>
            <w:r w:rsidRPr="00B42C71">
              <w:rPr>
                <w:color w:val="auto"/>
              </w:rPr>
              <w:t>Designated Heritage Assets in Ashfield include:</w:t>
            </w:r>
          </w:p>
          <w:p w14:paraId="1483CE9D" w14:textId="77777777" w:rsidR="00B42C71" w:rsidRPr="00B42C71" w:rsidRDefault="00B42C71" w:rsidP="00B42C71">
            <w:pPr>
              <w:keepNext w:val="0"/>
              <w:spacing w:before="0"/>
              <w:ind w:left="360"/>
              <w:contextualSpacing/>
              <w:rPr>
                <w:color w:val="auto"/>
              </w:rPr>
            </w:pPr>
          </w:p>
          <w:p w14:paraId="1F9A12C3" w14:textId="77777777" w:rsidR="00B42C71" w:rsidRPr="00B42C71" w:rsidRDefault="00B42C71" w:rsidP="00874A98">
            <w:pPr>
              <w:keepNext w:val="0"/>
              <w:numPr>
                <w:ilvl w:val="0"/>
                <w:numId w:val="256"/>
              </w:numPr>
              <w:spacing w:before="0"/>
              <w:contextualSpacing/>
              <w:rPr>
                <w:color w:val="auto"/>
              </w:rPr>
            </w:pPr>
            <w:r w:rsidRPr="00B42C71">
              <w:rPr>
                <w:color w:val="auto"/>
              </w:rPr>
              <w:t>Conservation Areas;</w:t>
            </w:r>
          </w:p>
          <w:p w14:paraId="74CE7F61" w14:textId="77777777" w:rsidR="00B42C71" w:rsidRPr="00B42C71" w:rsidRDefault="00B42C71" w:rsidP="00874A98">
            <w:pPr>
              <w:keepNext w:val="0"/>
              <w:numPr>
                <w:ilvl w:val="0"/>
                <w:numId w:val="256"/>
              </w:numPr>
              <w:spacing w:before="0"/>
              <w:contextualSpacing/>
              <w:rPr>
                <w:color w:val="auto"/>
              </w:rPr>
            </w:pPr>
            <w:r w:rsidRPr="00B42C71">
              <w:rPr>
                <w:color w:val="auto"/>
              </w:rPr>
              <w:t>Listed Buildings (including attached and curtilage structures)</w:t>
            </w:r>
            <w:r w:rsidRPr="00B42C71">
              <w:rPr>
                <w:color w:val="auto"/>
                <w:vertAlign w:val="superscript"/>
              </w:rPr>
              <w:t>1</w:t>
            </w:r>
            <w:r w:rsidRPr="00B42C71">
              <w:rPr>
                <w:color w:val="auto"/>
              </w:rPr>
              <w:t>;</w:t>
            </w:r>
          </w:p>
          <w:p w14:paraId="30F9A373" w14:textId="77777777" w:rsidR="00B42C71" w:rsidRPr="00B42C71" w:rsidRDefault="00B42C71" w:rsidP="00874A98">
            <w:pPr>
              <w:keepNext w:val="0"/>
              <w:numPr>
                <w:ilvl w:val="0"/>
                <w:numId w:val="256"/>
              </w:numPr>
              <w:spacing w:before="0"/>
              <w:contextualSpacing/>
              <w:rPr>
                <w:color w:val="auto"/>
              </w:rPr>
            </w:pPr>
            <w:r w:rsidRPr="00B42C71">
              <w:rPr>
                <w:color w:val="auto"/>
              </w:rPr>
              <w:t>Scheduled Monuments;</w:t>
            </w:r>
          </w:p>
          <w:p w14:paraId="74004C50" w14:textId="77777777" w:rsidR="00B42C71" w:rsidRPr="00B42C71" w:rsidRDefault="00B42C71" w:rsidP="00874A98">
            <w:pPr>
              <w:keepNext w:val="0"/>
              <w:numPr>
                <w:ilvl w:val="0"/>
                <w:numId w:val="256"/>
              </w:numPr>
              <w:spacing w:before="0"/>
              <w:contextualSpacing/>
              <w:rPr>
                <w:color w:val="auto"/>
              </w:rPr>
            </w:pPr>
            <w:r w:rsidRPr="00B42C71">
              <w:rPr>
                <w:color w:val="auto"/>
              </w:rPr>
              <w:t>Registered Parks and Gardens.</w:t>
            </w:r>
          </w:p>
          <w:p w14:paraId="4A7C9B96" w14:textId="77777777" w:rsidR="00B42C71" w:rsidRPr="00B42C71" w:rsidRDefault="00B42C71" w:rsidP="00B42C71">
            <w:pPr>
              <w:keepNext w:val="0"/>
              <w:spacing w:before="0"/>
              <w:ind w:left="360"/>
              <w:contextualSpacing/>
              <w:rPr>
                <w:color w:val="auto"/>
              </w:rPr>
            </w:pPr>
          </w:p>
          <w:p w14:paraId="2969B384" w14:textId="3057D55C" w:rsidR="00B42C71" w:rsidRPr="00B42C71" w:rsidRDefault="00B42C71" w:rsidP="00874A98">
            <w:pPr>
              <w:keepNext w:val="0"/>
              <w:numPr>
                <w:ilvl w:val="0"/>
                <w:numId w:val="255"/>
              </w:numPr>
              <w:spacing w:before="0"/>
              <w:contextualSpacing/>
              <w:rPr>
                <w:color w:val="auto"/>
              </w:rPr>
            </w:pPr>
            <w:r w:rsidRPr="00B42C71">
              <w:rPr>
                <w:color w:val="auto"/>
              </w:rPr>
              <w:t xml:space="preserve">Proposals, including demolition, that are likely to result in substantial harm to </w:t>
            </w:r>
            <w:r w:rsidRPr="00985BCC">
              <w:t xml:space="preserve">or </w:t>
            </w:r>
            <w:r w:rsidR="00215439" w:rsidRPr="00985BCC">
              <w:t xml:space="preserve">total </w:t>
            </w:r>
            <w:r w:rsidRPr="00985BCC">
              <w:t>loss of Grade I, Grade II* Listed Buildings, Grade I or Grade II* Registered Parks</w:t>
            </w:r>
            <w:r w:rsidRPr="00B42C71">
              <w:rPr>
                <w:color w:val="auto"/>
              </w:rPr>
              <w:t xml:space="preserve"> and Gardens or Scheduled Monuments and their setting, will only be permitted in wholly exceptional circumstances.</w:t>
            </w:r>
          </w:p>
          <w:p w14:paraId="5718A99E" w14:textId="77777777" w:rsidR="00B42C71" w:rsidRPr="00B42C71" w:rsidRDefault="00B42C71" w:rsidP="00B42C71">
            <w:pPr>
              <w:keepNext w:val="0"/>
              <w:spacing w:before="0"/>
              <w:ind w:left="360"/>
              <w:contextualSpacing/>
              <w:rPr>
                <w:color w:val="auto"/>
              </w:rPr>
            </w:pPr>
          </w:p>
          <w:p w14:paraId="682FE3FE" w14:textId="499CC4B5" w:rsidR="00B42C71" w:rsidRPr="00985BCC" w:rsidRDefault="00B42C71" w:rsidP="00874A98">
            <w:pPr>
              <w:keepNext w:val="0"/>
              <w:numPr>
                <w:ilvl w:val="0"/>
                <w:numId w:val="255"/>
              </w:numPr>
              <w:spacing w:before="0"/>
              <w:contextualSpacing/>
            </w:pPr>
            <w:r w:rsidRPr="00B42C71">
              <w:rPr>
                <w:color w:val="auto"/>
              </w:rPr>
              <w:t xml:space="preserve">Proposals that will result in the substantial harm </w:t>
            </w:r>
            <w:r w:rsidRPr="00985BCC">
              <w:t xml:space="preserve">to or </w:t>
            </w:r>
            <w:r w:rsidR="00215439" w:rsidRPr="00985BCC">
              <w:t xml:space="preserve">total </w:t>
            </w:r>
            <w:r w:rsidRPr="00985BCC">
              <w:t>loss of the significance of a Grade II Listed Building, Grade II Registered Park and Garden, Conservation Areas</w:t>
            </w:r>
            <w:r w:rsidR="00F473CE" w:rsidRPr="00985BCC">
              <w:t xml:space="preserve"> and their setting</w:t>
            </w:r>
            <w:r w:rsidRPr="00985BCC">
              <w:t xml:space="preserve">, will only be permitted in exceptional circumstances. </w:t>
            </w:r>
          </w:p>
          <w:p w14:paraId="104A8010" w14:textId="77777777" w:rsidR="00B42C71" w:rsidRPr="00985BCC" w:rsidRDefault="00B42C71" w:rsidP="00B42C71">
            <w:pPr>
              <w:keepNext w:val="0"/>
              <w:spacing w:before="0"/>
              <w:ind w:left="720"/>
              <w:contextualSpacing/>
            </w:pPr>
          </w:p>
          <w:p w14:paraId="151F91CC" w14:textId="271BD4FA" w:rsidR="00B42C71" w:rsidRPr="00B42C71" w:rsidRDefault="00B42C71" w:rsidP="00874A98">
            <w:pPr>
              <w:keepNext w:val="0"/>
              <w:numPr>
                <w:ilvl w:val="0"/>
                <w:numId w:val="255"/>
              </w:numPr>
              <w:spacing w:before="0"/>
              <w:contextualSpacing/>
              <w:rPr>
                <w:color w:val="auto"/>
              </w:rPr>
            </w:pPr>
            <w:r w:rsidRPr="00985BCC">
              <w:t xml:space="preserve">Proposals that will result in substantial harm to or loss of the significance of a designated heritage asset </w:t>
            </w:r>
            <w:r w:rsidR="00F473CE" w:rsidRPr="00985BCC">
              <w:t xml:space="preserve">and their setting </w:t>
            </w:r>
            <w:r w:rsidRPr="00985BCC">
              <w:t xml:space="preserve">will be refused unless it is demonstrated that the substantial harm or loss is necessary to achieve substantial </w:t>
            </w:r>
            <w:r w:rsidRPr="00B42C71">
              <w:rPr>
                <w:color w:val="auto"/>
              </w:rPr>
              <w:t>public benefits that outweigh that harm or loss, or all of the following apply:</w:t>
            </w:r>
          </w:p>
          <w:p w14:paraId="77290A7C" w14:textId="77777777" w:rsidR="00B42C71" w:rsidRPr="00B42C71" w:rsidRDefault="00B42C71" w:rsidP="00B42C71">
            <w:pPr>
              <w:keepNext w:val="0"/>
              <w:spacing w:before="0"/>
              <w:ind w:left="720"/>
              <w:contextualSpacing/>
              <w:rPr>
                <w:color w:val="auto"/>
              </w:rPr>
            </w:pPr>
          </w:p>
          <w:p w14:paraId="75BBB5D7" w14:textId="77777777" w:rsidR="00B42C71" w:rsidRPr="00B42C71" w:rsidRDefault="00B42C71" w:rsidP="00874A98">
            <w:pPr>
              <w:keepNext w:val="0"/>
              <w:numPr>
                <w:ilvl w:val="0"/>
                <w:numId w:val="257"/>
              </w:numPr>
              <w:spacing w:before="0"/>
              <w:contextualSpacing/>
              <w:rPr>
                <w:color w:val="auto"/>
              </w:rPr>
            </w:pPr>
            <w:r w:rsidRPr="00B42C71">
              <w:rPr>
                <w:color w:val="auto"/>
              </w:rPr>
              <w:t>the nature of the heritage asset prevents a reasonable use of the site and the site cannot be developed in a less harmful way; and</w:t>
            </w:r>
          </w:p>
          <w:p w14:paraId="3D3BF929" w14:textId="77777777" w:rsidR="00B42C71" w:rsidRPr="00B42C71" w:rsidRDefault="00B42C71" w:rsidP="00874A98">
            <w:pPr>
              <w:keepNext w:val="0"/>
              <w:numPr>
                <w:ilvl w:val="0"/>
                <w:numId w:val="257"/>
              </w:numPr>
              <w:spacing w:before="0"/>
              <w:contextualSpacing/>
              <w:rPr>
                <w:color w:val="auto"/>
              </w:rPr>
            </w:pPr>
            <w:r w:rsidRPr="00B42C71">
              <w:rPr>
                <w:color w:val="auto"/>
              </w:rPr>
              <w:t xml:space="preserve">through marketing there is no viable use of the heritage asset, and grant funding is not available; and </w:t>
            </w:r>
          </w:p>
          <w:p w14:paraId="40D25DB4" w14:textId="77777777" w:rsidR="00B42C71" w:rsidRPr="00B42C71" w:rsidRDefault="00B42C71" w:rsidP="00874A98">
            <w:pPr>
              <w:keepNext w:val="0"/>
              <w:numPr>
                <w:ilvl w:val="0"/>
                <w:numId w:val="257"/>
              </w:numPr>
              <w:spacing w:before="0"/>
              <w:contextualSpacing/>
              <w:rPr>
                <w:color w:val="auto"/>
              </w:rPr>
            </w:pPr>
            <w:r w:rsidRPr="00B42C71">
              <w:rPr>
                <w:color w:val="auto"/>
              </w:rPr>
              <w:t>the benefit of bringing the site back into use outweighs the harm or loss.</w:t>
            </w:r>
          </w:p>
          <w:p w14:paraId="6161AAFD" w14:textId="77777777" w:rsidR="00B42C71" w:rsidRPr="00B42C71" w:rsidRDefault="00B42C71" w:rsidP="00B42C71">
            <w:pPr>
              <w:keepNext w:val="0"/>
              <w:spacing w:before="0"/>
              <w:ind w:left="360"/>
              <w:contextualSpacing/>
              <w:rPr>
                <w:color w:val="auto"/>
              </w:rPr>
            </w:pPr>
          </w:p>
          <w:p w14:paraId="7AE99BA0" w14:textId="77777777" w:rsidR="00B42C71" w:rsidRPr="00B42C71" w:rsidRDefault="00B42C71" w:rsidP="00874A98">
            <w:pPr>
              <w:keepNext w:val="0"/>
              <w:numPr>
                <w:ilvl w:val="0"/>
                <w:numId w:val="255"/>
              </w:numPr>
              <w:spacing w:before="0"/>
              <w:contextualSpacing/>
              <w:rPr>
                <w:color w:val="auto"/>
              </w:rPr>
            </w:pPr>
            <w:r w:rsidRPr="00B42C71">
              <w:rPr>
                <w:color w:val="auto"/>
              </w:rPr>
              <w:t>Proposals that result in less than substantial harm to the significance of a designated heritage asset will only be permitted where it is demonstrated that the proposal shall deliver public benefits that outweigh the harm, including securing the heritage asset’s optimum viable use.</w:t>
            </w:r>
          </w:p>
          <w:p w14:paraId="6F0442A8" w14:textId="77777777" w:rsidR="00B42C71" w:rsidRPr="00B42C71" w:rsidRDefault="00B42C71" w:rsidP="00B42C71">
            <w:pPr>
              <w:keepNext w:val="0"/>
              <w:spacing w:before="0"/>
              <w:ind w:left="360"/>
              <w:contextualSpacing/>
              <w:rPr>
                <w:color w:val="auto"/>
              </w:rPr>
            </w:pPr>
          </w:p>
          <w:p w14:paraId="117E18DA" w14:textId="77777777" w:rsidR="00B42C71" w:rsidRPr="00BD69DD" w:rsidRDefault="00B42C71" w:rsidP="00B42C71">
            <w:pPr>
              <w:keepNext w:val="0"/>
              <w:spacing w:before="0"/>
              <w:ind w:left="360"/>
              <w:contextualSpacing/>
              <w:rPr>
                <w:b/>
                <w:bCs/>
                <w:color w:val="auto"/>
              </w:rPr>
            </w:pPr>
            <w:r w:rsidRPr="00BD69DD">
              <w:rPr>
                <w:b/>
                <w:bCs/>
                <w:color w:val="auto"/>
              </w:rPr>
              <w:t>Non-Designated Heritage Assets</w:t>
            </w:r>
          </w:p>
          <w:p w14:paraId="2D8C1360" w14:textId="77777777" w:rsidR="00B42C71" w:rsidRPr="00B42C71" w:rsidRDefault="00B42C71" w:rsidP="00B42C71">
            <w:pPr>
              <w:keepNext w:val="0"/>
              <w:spacing w:before="0"/>
              <w:ind w:left="720"/>
              <w:contextualSpacing/>
              <w:rPr>
                <w:color w:val="auto"/>
              </w:rPr>
            </w:pPr>
          </w:p>
          <w:p w14:paraId="71D01BD8" w14:textId="77777777" w:rsidR="00B42C71" w:rsidRPr="00B42C71" w:rsidRDefault="00B42C71" w:rsidP="00874A98">
            <w:pPr>
              <w:keepNext w:val="0"/>
              <w:numPr>
                <w:ilvl w:val="0"/>
                <w:numId w:val="255"/>
              </w:numPr>
              <w:spacing w:before="0"/>
              <w:contextualSpacing/>
              <w:rPr>
                <w:color w:val="auto"/>
              </w:rPr>
            </w:pPr>
            <w:r w:rsidRPr="00B42C71">
              <w:rPr>
                <w:color w:val="auto"/>
              </w:rPr>
              <w:t>Non-Designated Heritage Assets in Ashfield include:</w:t>
            </w:r>
          </w:p>
          <w:p w14:paraId="57C922BB" w14:textId="77777777" w:rsidR="00B42C71" w:rsidRPr="00B42C71" w:rsidRDefault="00B42C71" w:rsidP="00B42C71">
            <w:pPr>
              <w:keepNext w:val="0"/>
              <w:spacing w:before="0"/>
              <w:ind w:left="360"/>
              <w:contextualSpacing/>
              <w:rPr>
                <w:color w:val="auto"/>
              </w:rPr>
            </w:pPr>
          </w:p>
          <w:p w14:paraId="5A46441D" w14:textId="77777777" w:rsidR="00B42C71" w:rsidRPr="00B42C71" w:rsidRDefault="00B42C71" w:rsidP="00874A98">
            <w:pPr>
              <w:keepNext w:val="0"/>
              <w:numPr>
                <w:ilvl w:val="0"/>
                <w:numId w:val="258"/>
              </w:numPr>
              <w:spacing w:before="0"/>
              <w:contextualSpacing/>
              <w:rPr>
                <w:color w:val="auto"/>
              </w:rPr>
            </w:pPr>
            <w:r w:rsidRPr="00B42C71">
              <w:rPr>
                <w:color w:val="auto"/>
              </w:rPr>
              <w:t>Local Heritage Assets</w:t>
            </w:r>
            <w:r w:rsidRPr="00B42C71">
              <w:rPr>
                <w:color w:val="auto"/>
                <w:vertAlign w:val="superscript"/>
              </w:rPr>
              <w:t>2</w:t>
            </w:r>
            <w:r w:rsidRPr="00B42C71">
              <w:rPr>
                <w:color w:val="auto"/>
              </w:rPr>
              <w:t>;</w:t>
            </w:r>
          </w:p>
          <w:p w14:paraId="54AFE0C1" w14:textId="77777777" w:rsidR="00B42C71" w:rsidRPr="00B42C71" w:rsidRDefault="00B42C71" w:rsidP="00874A98">
            <w:pPr>
              <w:keepNext w:val="0"/>
              <w:numPr>
                <w:ilvl w:val="0"/>
                <w:numId w:val="258"/>
              </w:numPr>
              <w:spacing w:before="0"/>
              <w:contextualSpacing/>
              <w:rPr>
                <w:color w:val="auto"/>
              </w:rPr>
            </w:pPr>
            <w:r w:rsidRPr="00B42C71">
              <w:rPr>
                <w:color w:val="auto"/>
              </w:rPr>
              <w:t>Sites or Areas of Archaeological Interest</w:t>
            </w:r>
            <w:r w:rsidRPr="00B42C71">
              <w:rPr>
                <w:color w:val="auto"/>
                <w:vertAlign w:val="superscript"/>
              </w:rPr>
              <w:t>3</w:t>
            </w:r>
            <w:r w:rsidRPr="00B42C71">
              <w:rPr>
                <w:color w:val="auto"/>
              </w:rPr>
              <w:t>;</w:t>
            </w:r>
          </w:p>
          <w:p w14:paraId="7A4E2C3E" w14:textId="77777777" w:rsidR="00B42C71" w:rsidRPr="00B42C71" w:rsidRDefault="00B42C71" w:rsidP="00874A98">
            <w:pPr>
              <w:keepNext w:val="0"/>
              <w:numPr>
                <w:ilvl w:val="0"/>
                <w:numId w:val="258"/>
              </w:numPr>
              <w:spacing w:before="0"/>
              <w:contextualSpacing/>
              <w:rPr>
                <w:color w:val="auto"/>
              </w:rPr>
            </w:pPr>
            <w:r w:rsidRPr="00B42C71">
              <w:rPr>
                <w:color w:val="auto"/>
              </w:rPr>
              <w:t>Unregistered Parks and Gardens</w:t>
            </w:r>
            <w:r w:rsidRPr="00B42C71">
              <w:rPr>
                <w:color w:val="auto"/>
                <w:vertAlign w:val="superscript"/>
              </w:rPr>
              <w:t>3</w:t>
            </w:r>
            <w:r w:rsidRPr="00B42C71">
              <w:rPr>
                <w:color w:val="auto"/>
              </w:rPr>
              <w:t>;</w:t>
            </w:r>
          </w:p>
          <w:p w14:paraId="24044873" w14:textId="77777777" w:rsidR="00B42C71" w:rsidRPr="00B42C71" w:rsidRDefault="00B42C71" w:rsidP="00874A98">
            <w:pPr>
              <w:keepNext w:val="0"/>
              <w:numPr>
                <w:ilvl w:val="0"/>
                <w:numId w:val="258"/>
              </w:numPr>
              <w:spacing w:before="0"/>
              <w:contextualSpacing/>
              <w:rPr>
                <w:color w:val="auto"/>
              </w:rPr>
            </w:pPr>
            <w:r w:rsidRPr="00B42C71">
              <w:rPr>
                <w:color w:val="auto"/>
              </w:rPr>
              <w:t>Landscape features as defined in the Landscape Character Assessment (2009) including ancient woodlands and veteran trees, field patterns, watercourses, drainage ditches and hedgerows of visual and historic value.</w:t>
            </w:r>
          </w:p>
          <w:p w14:paraId="535C3C6B" w14:textId="77777777" w:rsidR="00B42C71" w:rsidRPr="00B42C71" w:rsidRDefault="00B42C71" w:rsidP="00B42C71">
            <w:pPr>
              <w:keepNext w:val="0"/>
              <w:spacing w:before="0"/>
              <w:ind w:left="720"/>
              <w:contextualSpacing/>
              <w:rPr>
                <w:color w:val="auto"/>
              </w:rPr>
            </w:pPr>
          </w:p>
          <w:p w14:paraId="62BD2A20" w14:textId="613F50A8" w:rsidR="00C73BA0" w:rsidRPr="00985BCC" w:rsidRDefault="00C73BA0" w:rsidP="00874A98">
            <w:pPr>
              <w:keepNext w:val="0"/>
              <w:numPr>
                <w:ilvl w:val="0"/>
                <w:numId w:val="255"/>
              </w:numPr>
              <w:spacing w:before="0"/>
              <w:contextualSpacing/>
            </w:pPr>
            <w:r w:rsidRPr="00985BCC">
              <w:t>Non-designated heritage assets of archaeological interest, which are demonstrably of equivalent significance to scheduled monuments, will be considered subject to the policies for designated heritage assets.</w:t>
            </w:r>
          </w:p>
          <w:p w14:paraId="096A09B7" w14:textId="77777777" w:rsidR="00C73BA0" w:rsidRDefault="00C73BA0" w:rsidP="00C73BA0">
            <w:pPr>
              <w:keepNext w:val="0"/>
              <w:spacing w:before="0"/>
              <w:ind w:left="360"/>
              <w:contextualSpacing/>
              <w:rPr>
                <w:color w:val="auto"/>
              </w:rPr>
            </w:pPr>
          </w:p>
          <w:p w14:paraId="1486AA24" w14:textId="19C2D6F5" w:rsidR="00B42C71" w:rsidRPr="00B42C71" w:rsidRDefault="00B42C71" w:rsidP="00874A98">
            <w:pPr>
              <w:keepNext w:val="0"/>
              <w:numPr>
                <w:ilvl w:val="0"/>
                <w:numId w:val="255"/>
              </w:numPr>
              <w:spacing w:before="0"/>
              <w:contextualSpacing/>
              <w:rPr>
                <w:color w:val="auto"/>
              </w:rPr>
            </w:pPr>
            <w:r w:rsidRPr="00B42C71">
              <w:rPr>
                <w:color w:val="auto"/>
              </w:rPr>
              <w:t>A balanced judgement shall be taken with proposals that affect directly or indirectly non-designated heritage assets, having regard to the scale of the harm or loss and the significance of the heritage asset.</w:t>
            </w:r>
          </w:p>
          <w:p w14:paraId="0D39F5AE" w14:textId="77777777" w:rsidR="00B42C71" w:rsidRPr="00B42C71" w:rsidRDefault="00B42C71" w:rsidP="00B42C71">
            <w:pPr>
              <w:keepNext w:val="0"/>
              <w:spacing w:before="0"/>
              <w:rPr>
                <w:color w:val="auto"/>
              </w:rPr>
            </w:pPr>
          </w:p>
          <w:p w14:paraId="0392DC72" w14:textId="77777777" w:rsidR="00B42C71" w:rsidRPr="00B42C71" w:rsidRDefault="00B42C71" w:rsidP="00B42C71">
            <w:pPr>
              <w:keepNext w:val="0"/>
              <w:spacing w:before="0"/>
              <w:ind w:left="360"/>
              <w:rPr>
                <w:color w:val="auto"/>
              </w:rPr>
            </w:pPr>
            <w:r w:rsidRPr="00B42C71">
              <w:rPr>
                <w:color w:val="auto"/>
              </w:rPr>
              <w:t>Demolition will only be permitted where it is demonstrated:</w:t>
            </w:r>
          </w:p>
          <w:p w14:paraId="341FB8CA" w14:textId="77777777" w:rsidR="00B42C71" w:rsidRPr="00B42C71" w:rsidRDefault="00B42C71" w:rsidP="00B42C71">
            <w:pPr>
              <w:keepNext w:val="0"/>
              <w:spacing w:before="0"/>
              <w:ind w:left="360"/>
              <w:rPr>
                <w:color w:val="auto"/>
              </w:rPr>
            </w:pPr>
          </w:p>
          <w:p w14:paraId="4000D9C6" w14:textId="77777777" w:rsidR="00B42C71" w:rsidRPr="00B42C71" w:rsidRDefault="00B42C71" w:rsidP="00874A98">
            <w:pPr>
              <w:keepNext w:val="0"/>
              <w:numPr>
                <w:ilvl w:val="0"/>
                <w:numId w:val="259"/>
              </w:numPr>
              <w:spacing w:before="0"/>
              <w:ind w:left="720"/>
              <w:contextualSpacing/>
              <w:rPr>
                <w:color w:val="auto"/>
              </w:rPr>
            </w:pPr>
            <w:r w:rsidRPr="00B42C71">
              <w:rPr>
                <w:color w:val="auto"/>
              </w:rPr>
              <w:t>that the architectural or historical significance of the non-designated heritage asset is minimal; or</w:t>
            </w:r>
          </w:p>
          <w:p w14:paraId="7BAF6A33" w14:textId="77777777" w:rsidR="00B42C71" w:rsidRPr="00B42C71" w:rsidRDefault="00B42C71" w:rsidP="00874A98">
            <w:pPr>
              <w:keepNext w:val="0"/>
              <w:numPr>
                <w:ilvl w:val="0"/>
                <w:numId w:val="259"/>
              </w:numPr>
              <w:spacing w:before="0"/>
              <w:ind w:left="720"/>
              <w:contextualSpacing/>
              <w:rPr>
                <w:color w:val="auto"/>
              </w:rPr>
            </w:pPr>
            <w:r w:rsidRPr="00B42C71">
              <w:rPr>
                <w:color w:val="auto"/>
              </w:rPr>
              <w:t>through an up to date structural report, that the non-designated heritage asset is not capable of viable repair; or</w:t>
            </w:r>
          </w:p>
          <w:p w14:paraId="138A2E9A" w14:textId="77777777" w:rsidR="00B42C71" w:rsidRPr="00B42C71" w:rsidRDefault="00B42C71" w:rsidP="00874A98">
            <w:pPr>
              <w:keepNext w:val="0"/>
              <w:numPr>
                <w:ilvl w:val="0"/>
                <w:numId w:val="259"/>
              </w:numPr>
              <w:spacing w:before="0"/>
              <w:ind w:left="720"/>
              <w:contextualSpacing/>
              <w:rPr>
                <w:color w:val="auto"/>
              </w:rPr>
            </w:pPr>
            <w:r w:rsidRPr="00B42C71">
              <w:rPr>
                <w:color w:val="auto"/>
              </w:rPr>
              <w:t xml:space="preserve">through appropriate marketing, that the non-designated heritage asset has no viable use. </w:t>
            </w:r>
          </w:p>
          <w:p w14:paraId="372A7807" w14:textId="77777777" w:rsidR="00B42C71" w:rsidRPr="00B42C71" w:rsidRDefault="00B42C71" w:rsidP="00B42C71">
            <w:pPr>
              <w:keepNext w:val="0"/>
              <w:spacing w:before="0"/>
              <w:rPr>
                <w:color w:val="auto"/>
              </w:rPr>
            </w:pPr>
          </w:p>
          <w:p w14:paraId="734B7337" w14:textId="6BB8D957" w:rsidR="00B42C71" w:rsidRPr="00B42C71" w:rsidRDefault="00B42C71" w:rsidP="00B42C71">
            <w:pPr>
              <w:keepNext w:val="0"/>
              <w:spacing w:before="0"/>
              <w:rPr>
                <w:color w:val="auto"/>
              </w:rPr>
            </w:pPr>
            <w:r w:rsidRPr="00B42C71">
              <w:rPr>
                <w:color w:val="auto"/>
              </w:rPr>
              <w:t xml:space="preserve">Existing Conservation Areas are detailed in paragraph </w:t>
            </w:r>
            <w:r w:rsidR="0095521E">
              <w:rPr>
                <w:color w:val="auto"/>
              </w:rPr>
              <w:t>5</w:t>
            </w:r>
            <w:r w:rsidRPr="00B42C71">
              <w:rPr>
                <w:color w:val="auto"/>
              </w:rPr>
              <w:t>.1</w:t>
            </w:r>
            <w:r w:rsidR="0095521E">
              <w:rPr>
                <w:color w:val="auto"/>
              </w:rPr>
              <w:t>5</w:t>
            </w:r>
            <w:r w:rsidR="003F7348">
              <w:rPr>
                <w:color w:val="auto"/>
              </w:rPr>
              <w:t>3</w:t>
            </w:r>
            <w:r w:rsidRPr="00B42C71">
              <w:rPr>
                <w:color w:val="auto"/>
              </w:rPr>
              <w:t xml:space="preserve"> and shown on the Policies Map. Listed Buildings, Scheduled Monuments and Registered Parks and Gardens are listed in the National Heritage List for England, Scheduled Monuments are also listed in Appendix 10 and shown on the Policies Map.  Registered and Unregistered Parks and Gardens are listed below in paragraph </w:t>
            </w:r>
            <w:r w:rsidR="0095521E">
              <w:rPr>
                <w:color w:val="auto"/>
              </w:rPr>
              <w:t>5.17</w:t>
            </w:r>
            <w:r w:rsidR="003F7348">
              <w:rPr>
                <w:color w:val="auto"/>
              </w:rPr>
              <w:t>5</w:t>
            </w:r>
            <w:r w:rsidRPr="00B42C71">
              <w:rPr>
                <w:color w:val="auto"/>
              </w:rPr>
              <w:t xml:space="preserve"> and shown on the Policies Map.  Any new sites identified after the Local Plan is adopted will be protected under this Policy.</w:t>
            </w:r>
          </w:p>
          <w:p w14:paraId="308FFA8B" w14:textId="77777777" w:rsidR="00B42C71" w:rsidRPr="00B42C71" w:rsidRDefault="00B42C71" w:rsidP="00B42C71">
            <w:pPr>
              <w:keepNext w:val="0"/>
              <w:spacing w:before="0"/>
              <w:rPr>
                <w:color w:val="auto"/>
              </w:rPr>
            </w:pPr>
          </w:p>
          <w:p w14:paraId="1E8B8030" w14:textId="77777777" w:rsidR="00B42C71" w:rsidRPr="00B42C71" w:rsidRDefault="00B42C71" w:rsidP="00B42C71">
            <w:pPr>
              <w:keepNext w:val="0"/>
              <w:spacing w:before="0"/>
              <w:rPr>
                <w:color w:val="auto"/>
                <w:sz w:val="20"/>
              </w:rPr>
            </w:pPr>
            <w:r w:rsidRPr="00B42C71">
              <w:rPr>
                <w:color w:val="auto"/>
                <w:sz w:val="20"/>
              </w:rPr>
              <w:t>1 Any object or structure fixed to the principal listed building or any object or structure within its curtilage that has formed part of the land since before 1st July 1948 is also protected.</w:t>
            </w:r>
          </w:p>
          <w:p w14:paraId="68C1752C" w14:textId="6986996D" w:rsidR="00B42C71" w:rsidRPr="00B42C71" w:rsidRDefault="00B42C71" w:rsidP="00B42C71">
            <w:pPr>
              <w:keepNext w:val="0"/>
              <w:spacing w:before="0"/>
              <w:rPr>
                <w:color w:val="auto"/>
                <w:sz w:val="20"/>
              </w:rPr>
            </w:pPr>
            <w:r w:rsidRPr="00B42C71">
              <w:rPr>
                <w:color w:val="auto"/>
                <w:sz w:val="20"/>
              </w:rPr>
              <w:t>2 As identified in the Nottinghamshire Historic Environment Record (HER)</w:t>
            </w:r>
            <w:r w:rsidR="00D1054F">
              <w:rPr>
                <w:color w:val="auto"/>
                <w:sz w:val="20"/>
              </w:rPr>
              <w:t>,</w:t>
            </w:r>
            <w:r w:rsidRPr="00B42C71">
              <w:rPr>
                <w:color w:val="auto"/>
                <w:sz w:val="20"/>
              </w:rPr>
              <w:t xml:space="preserve"> or by the District Council using the guidance publication Local Heritage Assets in Ashfield: Criteria.</w:t>
            </w:r>
          </w:p>
          <w:p w14:paraId="745273D3" w14:textId="77777777" w:rsidR="00B42C71" w:rsidRDefault="00B42C71" w:rsidP="00B42C71">
            <w:pPr>
              <w:keepNext w:val="0"/>
              <w:spacing w:before="0"/>
              <w:rPr>
                <w:color w:val="auto"/>
                <w:sz w:val="20"/>
              </w:rPr>
            </w:pPr>
            <w:r w:rsidRPr="00B42C71">
              <w:rPr>
                <w:color w:val="auto"/>
                <w:sz w:val="20"/>
              </w:rPr>
              <w:t>3 As identified in the Nottinghamshire Historic Environment Record (HER).</w:t>
            </w:r>
          </w:p>
          <w:p w14:paraId="60B8FA9D" w14:textId="125F7D31" w:rsidR="00E27808" w:rsidRPr="00B42C71" w:rsidRDefault="00E27808" w:rsidP="00B42C71">
            <w:pPr>
              <w:keepNext w:val="0"/>
              <w:spacing w:before="0"/>
              <w:rPr>
                <w:color w:val="auto"/>
              </w:rPr>
            </w:pPr>
          </w:p>
        </w:tc>
      </w:tr>
      <w:tr w:rsidR="00B42C71" w:rsidRPr="00B42C71" w14:paraId="59644E35" w14:textId="77777777" w:rsidTr="000339D2">
        <w:tc>
          <w:tcPr>
            <w:tcW w:w="2400" w:type="dxa"/>
          </w:tcPr>
          <w:p w14:paraId="6959002B" w14:textId="77777777" w:rsidR="00B42C71" w:rsidRPr="00B42C71" w:rsidRDefault="00B42C71" w:rsidP="000032A9">
            <w:pPr>
              <w:keepNext w:val="0"/>
              <w:spacing w:before="0"/>
              <w:rPr>
                <w:color w:val="auto"/>
                <w:sz w:val="20"/>
              </w:rPr>
            </w:pPr>
            <w:r w:rsidRPr="00B42C71">
              <w:rPr>
                <w:color w:val="auto"/>
                <w:sz w:val="20"/>
              </w:rPr>
              <w:t>Evidence base</w:t>
            </w:r>
          </w:p>
        </w:tc>
        <w:tc>
          <w:tcPr>
            <w:tcW w:w="7219" w:type="dxa"/>
          </w:tcPr>
          <w:p w14:paraId="166866D0" w14:textId="69CEE8BC" w:rsidR="00B42C71" w:rsidRPr="002E7654" w:rsidRDefault="00EE551A" w:rsidP="00874A98">
            <w:pPr>
              <w:keepNext w:val="0"/>
              <w:numPr>
                <w:ilvl w:val="0"/>
                <w:numId w:val="253"/>
              </w:numPr>
              <w:spacing w:before="0"/>
              <w:contextualSpacing/>
              <w:rPr>
                <w:sz w:val="20"/>
              </w:rPr>
            </w:pPr>
            <w:r w:rsidRPr="002E7654">
              <w:rPr>
                <w:sz w:val="20"/>
              </w:rPr>
              <w:t xml:space="preserve">Ashfield </w:t>
            </w:r>
            <w:r w:rsidR="00B42C71" w:rsidRPr="002E7654">
              <w:rPr>
                <w:sz w:val="20"/>
              </w:rPr>
              <w:t>Sustainability Appraisal, 202</w:t>
            </w:r>
            <w:r w:rsidR="00B40389" w:rsidRPr="002E7654">
              <w:rPr>
                <w:sz w:val="20"/>
              </w:rPr>
              <w:t>3</w:t>
            </w:r>
            <w:r w:rsidR="00B42C71" w:rsidRPr="002E7654">
              <w:rPr>
                <w:sz w:val="20"/>
              </w:rPr>
              <w:t>.</w:t>
            </w:r>
            <w:r w:rsidR="00B40389" w:rsidRPr="002E7654">
              <w:t xml:space="preserve"> </w:t>
            </w:r>
            <w:r w:rsidR="00B40389" w:rsidRPr="002E7654">
              <w:rPr>
                <w:sz w:val="20"/>
              </w:rPr>
              <w:t>WSP UK Limited</w:t>
            </w:r>
            <w:r w:rsidR="00B42C71" w:rsidRPr="002E7654">
              <w:rPr>
                <w:sz w:val="20"/>
              </w:rPr>
              <w:t xml:space="preserve"> .</w:t>
            </w:r>
          </w:p>
          <w:p w14:paraId="3E3CF056" w14:textId="77777777" w:rsidR="00B42C71" w:rsidRPr="00B42C71" w:rsidRDefault="00B42C71" w:rsidP="00874A98">
            <w:pPr>
              <w:keepNext w:val="0"/>
              <w:numPr>
                <w:ilvl w:val="0"/>
                <w:numId w:val="253"/>
              </w:numPr>
              <w:spacing w:before="0"/>
              <w:contextualSpacing/>
              <w:rPr>
                <w:color w:val="auto"/>
                <w:sz w:val="20"/>
              </w:rPr>
            </w:pPr>
            <w:r w:rsidRPr="002E7654">
              <w:rPr>
                <w:sz w:val="20"/>
              </w:rPr>
              <w:t>Ashfield Criteria for Local Heritage Asset Designation 2013</w:t>
            </w:r>
            <w:r w:rsidRPr="00B42C71">
              <w:rPr>
                <w:color w:val="auto"/>
                <w:sz w:val="20"/>
              </w:rPr>
              <w:t>.  Ashfield District Council.</w:t>
            </w:r>
          </w:p>
          <w:p w14:paraId="42DCE49D" w14:textId="77777777" w:rsidR="00B42C71" w:rsidRPr="00B42C71" w:rsidRDefault="00B42C71" w:rsidP="00874A98">
            <w:pPr>
              <w:keepNext w:val="0"/>
              <w:numPr>
                <w:ilvl w:val="0"/>
                <w:numId w:val="253"/>
              </w:numPr>
              <w:spacing w:before="0"/>
              <w:contextualSpacing/>
              <w:rPr>
                <w:color w:val="auto"/>
                <w:sz w:val="20"/>
              </w:rPr>
            </w:pPr>
            <w:r w:rsidRPr="00B42C71">
              <w:rPr>
                <w:color w:val="auto"/>
                <w:sz w:val="20"/>
              </w:rPr>
              <w:t>Listed Buildings at Risk Register, Historic England.</w:t>
            </w:r>
          </w:p>
          <w:p w14:paraId="2F3B3EEA" w14:textId="77777777" w:rsidR="00B42C71" w:rsidRPr="00B42C71" w:rsidRDefault="00B42C71" w:rsidP="00874A98">
            <w:pPr>
              <w:keepNext w:val="0"/>
              <w:numPr>
                <w:ilvl w:val="0"/>
                <w:numId w:val="253"/>
              </w:numPr>
              <w:spacing w:before="0"/>
              <w:contextualSpacing/>
              <w:rPr>
                <w:color w:val="auto"/>
                <w:sz w:val="20"/>
              </w:rPr>
            </w:pPr>
            <w:r w:rsidRPr="00B42C71">
              <w:rPr>
                <w:color w:val="auto"/>
                <w:sz w:val="20"/>
              </w:rPr>
              <w:t>Hardwick Hall Setting Study. 2016, ATKINS (for National Trust)</w:t>
            </w:r>
          </w:p>
          <w:p w14:paraId="0EE975B8" w14:textId="77777777" w:rsidR="00B42C71" w:rsidRPr="00B42C71" w:rsidRDefault="00B42C71" w:rsidP="00874A98">
            <w:pPr>
              <w:keepNext w:val="0"/>
              <w:numPr>
                <w:ilvl w:val="0"/>
                <w:numId w:val="253"/>
              </w:numPr>
              <w:spacing w:before="0"/>
              <w:contextualSpacing/>
              <w:rPr>
                <w:color w:val="auto"/>
                <w:sz w:val="20"/>
              </w:rPr>
            </w:pPr>
            <w:r w:rsidRPr="00B42C71">
              <w:rPr>
                <w:color w:val="auto"/>
                <w:sz w:val="20"/>
              </w:rPr>
              <w:t>Greater Nottinghamshire Landscape Character Assessment 2009. TEP (for Nottinghamshire County Council &amp; Greater Nottingham Authorities).</w:t>
            </w:r>
          </w:p>
          <w:p w14:paraId="2D55DE19" w14:textId="77777777" w:rsidR="00B42C71" w:rsidRPr="00B42C71" w:rsidRDefault="00B42C71" w:rsidP="00874A98">
            <w:pPr>
              <w:keepNext w:val="0"/>
              <w:numPr>
                <w:ilvl w:val="0"/>
                <w:numId w:val="253"/>
              </w:numPr>
              <w:spacing w:before="0"/>
              <w:contextualSpacing/>
              <w:rPr>
                <w:color w:val="auto"/>
                <w:sz w:val="20"/>
              </w:rPr>
            </w:pPr>
            <w:r w:rsidRPr="00B42C71">
              <w:rPr>
                <w:color w:val="auto"/>
                <w:sz w:val="20"/>
              </w:rPr>
              <w:t>Annesley Conservation Area. Adopted 1999, Ashfield District Council</w:t>
            </w:r>
          </w:p>
          <w:p w14:paraId="52363F25" w14:textId="77777777" w:rsidR="00B42C71" w:rsidRPr="00B42C71" w:rsidRDefault="00B42C71" w:rsidP="00874A98">
            <w:pPr>
              <w:keepNext w:val="0"/>
              <w:numPr>
                <w:ilvl w:val="0"/>
                <w:numId w:val="253"/>
              </w:numPr>
              <w:spacing w:before="0"/>
              <w:contextualSpacing/>
              <w:rPr>
                <w:color w:val="auto"/>
                <w:sz w:val="20"/>
              </w:rPr>
            </w:pPr>
            <w:r w:rsidRPr="00B42C71">
              <w:rPr>
                <w:color w:val="auto"/>
                <w:sz w:val="20"/>
              </w:rPr>
              <w:t>Lower Bagthorpe Conservation Area. Adopted 1975, amended 2007, Ashfield District Council</w:t>
            </w:r>
          </w:p>
          <w:p w14:paraId="06215506" w14:textId="77777777" w:rsidR="00B42C71" w:rsidRPr="00B42C71" w:rsidRDefault="00B42C71" w:rsidP="00874A98">
            <w:pPr>
              <w:keepNext w:val="0"/>
              <w:numPr>
                <w:ilvl w:val="0"/>
                <w:numId w:val="253"/>
              </w:numPr>
              <w:spacing w:before="0"/>
              <w:contextualSpacing/>
              <w:rPr>
                <w:color w:val="auto"/>
                <w:sz w:val="20"/>
              </w:rPr>
            </w:pPr>
            <w:r w:rsidRPr="00B42C71">
              <w:rPr>
                <w:color w:val="auto"/>
                <w:sz w:val="20"/>
              </w:rPr>
              <w:t>Kirkby Cross Conservation Area. Adopted 1975, amended 2004, Ashfield District Council</w:t>
            </w:r>
          </w:p>
          <w:p w14:paraId="47C76DD8" w14:textId="77777777" w:rsidR="00B42C71" w:rsidRPr="00B42C71" w:rsidRDefault="00B42C71" w:rsidP="00874A98">
            <w:pPr>
              <w:keepNext w:val="0"/>
              <w:numPr>
                <w:ilvl w:val="0"/>
                <w:numId w:val="253"/>
              </w:numPr>
              <w:spacing w:before="0"/>
              <w:contextualSpacing/>
              <w:rPr>
                <w:color w:val="auto"/>
                <w:sz w:val="20"/>
              </w:rPr>
            </w:pPr>
            <w:r w:rsidRPr="00B42C71">
              <w:rPr>
                <w:color w:val="auto"/>
                <w:sz w:val="20"/>
              </w:rPr>
              <w:t>Sutton in Ashfield Church and Market Place Conservation Area. Adopted 2015, Ashfield District Council</w:t>
            </w:r>
          </w:p>
          <w:p w14:paraId="48CDC6D1" w14:textId="77777777" w:rsidR="00B42C71" w:rsidRPr="00B42C71" w:rsidRDefault="00B42C71" w:rsidP="00874A98">
            <w:pPr>
              <w:keepNext w:val="0"/>
              <w:numPr>
                <w:ilvl w:val="0"/>
                <w:numId w:val="253"/>
              </w:numPr>
              <w:spacing w:before="0"/>
              <w:contextualSpacing/>
              <w:rPr>
                <w:color w:val="auto"/>
                <w:sz w:val="20"/>
              </w:rPr>
            </w:pPr>
            <w:r w:rsidRPr="00B42C71">
              <w:rPr>
                <w:color w:val="auto"/>
                <w:sz w:val="20"/>
              </w:rPr>
              <w:t>Teversal Conservation Area. Adopted 1970, amended 2012, Ashfield District Council</w:t>
            </w:r>
          </w:p>
          <w:p w14:paraId="1951277B" w14:textId="77777777" w:rsidR="00B42C71" w:rsidRPr="00B42C71" w:rsidRDefault="00B42C71" w:rsidP="00874A98">
            <w:pPr>
              <w:keepNext w:val="0"/>
              <w:numPr>
                <w:ilvl w:val="0"/>
                <w:numId w:val="253"/>
              </w:numPr>
              <w:spacing w:before="0"/>
              <w:contextualSpacing/>
              <w:rPr>
                <w:color w:val="auto"/>
                <w:sz w:val="20"/>
              </w:rPr>
            </w:pPr>
            <w:r w:rsidRPr="00B42C71">
              <w:rPr>
                <w:color w:val="auto"/>
                <w:sz w:val="20"/>
              </w:rPr>
              <w:t>Hucknall Town Centre Conservation Area. Adopted 2019, Ashfield District Council</w:t>
            </w:r>
          </w:p>
        </w:tc>
      </w:tr>
      <w:tr w:rsidR="00B42C71" w:rsidRPr="00B42C71" w14:paraId="06A0726B" w14:textId="77777777" w:rsidTr="000339D2">
        <w:tc>
          <w:tcPr>
            <w:tcW w:w="2400" w:type="dxa"/>
          </w:tcPr>
          <w:p w14:paraId="78192DC1" w14:textId="77777777" w:rsidR="00B42C71" w:rsidRPr="00B42C71" w:rsidRDefault="00B42C71" w:rsidP="000032A9">
            <w:pPr>
              <w:keepNext w:val="0"/>
              <w:spacing w:before="0"/>
              <w:rPr>
                <w:color w:val="auto"/>
                <w:sz w:val="20"/>
              </w:rPr>
            </w:pPr>
            <w:r w:rsidRPr="00B42C71">
              <w:rPr>
                <w:color w:val="auto"/>
                <w:sz w:val="20"/>
              </w:rPr>
              <w:t>National Planning Policy and Guidance</w:t>
            </w:r>
          </w:p>
        </w:tc>
        <w:tc>
          <w:tcPr>
            <w:tcW w:w="7219" w:type="dxa"/>
          </w:tcPr>
          <w:p w14:paraId="78FD3188" w14:textId="6DA5DF8D" w:rsidR="00B42C71" w:rsidRPr="00B42C71" w:rsidRDefault="00B42C71" w:rsidP="00874A98">
            <w:pPr>
              <w:keepNext w:val="0"/>
              <w:numPr>
                <w:ilvl w:val="0"/>
                <w:numId w:val="254"/>
              </w:numPr>
              <w:spacing w:before="0"/>
              <w:contextualSpacing/>
              <w:rPr>
                <w:color w:val="auto"/>
                <w:sz w:val="20"/>
              </w:rPr>
            </w:pPr>
            <w:r w:rsidRPr="00B42C71">
              <w:rPr>
                <w:color w:val="auto"/>
                <w:sz w:val="20"/>
              </w:rPr>
              <w:t>NPPF 202</w:t>
            </w:r>
            <w:r w:rsidR="004173E0">
              <w:rPr>
                <w:color w:val="auto"/>
                <w:sz w:val="20"/>
              </w:rPr>
              <w:t>3</w:t>
            </w:r>
            <w:r w:rsidRPr="00B42C71">
              <w:rPr>
                <w:color w:val="auto"/>
                <w:sz w:val="20"/>
              </w:rPr>
              <w:t>, Part 2: Achieving sustainable development.</w:t>
            </w:r>
          </w:p>
          <w:p w14:paraId="24622851" w14:textId="72543D48" w:rsidR="00B42C71" w:rsidRPr="00B42C71" w:rsidRDefault="00B42C71" w:rsidP="00874A98">
            <w:pPr>
              <w:keepNext w:val="0"/>
              <w:numPr>
                <w:ilvl w:val="0"/>
                <w:numId w:val="254"/>
              </w:numPr>
              <w:spacing w:before="0"/>
              <w:contextualSpacing/>
              <w:rPr>
                <w:color w:val="auto"/>
                <w:sz w:val="20"/>
              </w:rPr>
            </w:pPr>
            <w:r w:rsidRPr="00B42C71">
              <w:rPr>
                <w:color w:val="auto"/>
                <w:sz w:val="20"/>
              </w:rPr>
              <w:t>NPPF 202</w:t>
            </w:r>
            <w:r w:rsidR="004173E0">
              <w:rPr>
                <w:color w:val="auto"/>
                <w:sz w:val="20"/>
              </w:rPr>
              <w:t>3</w:t>
            </w:r>
            <w:r w:rsidRPr="00B42C71">
              <w:rPr>
                <w:color w:val="auto"/>
                <w:sz w:val="20"/>
              </w:rPr>
              <w:t>, Part 16: Conserving and enhancing the historic environment.</w:t>
            </w:r>
          </w:p>
          <w:p w14:paraId="64B17348" w14:textId="49E0070A" w:rsidR="00B42C71" w:rsidRPr="00B42C71" w:rsidRDefault="00B42C71" w:rsidP="00874A98">
            <w:pPr>
              <w:keepNext w:val="0"/>
              <w:numPr>
                <w:ilvl w:val="0"/>
                <w:numId w:val="254"/>
              </w:numPr>
              <w:spacing w:before="0"/>
              <w:contextualSpacing/>
              <w:rPr>
                <w:color w:val="auto"/>
                <w:sz w:val="20"/>
              </w:rPr>
            </w:pPr>
            <w:r w:rsidRPr="00B42C71">
              <w:rPr>
                <w:color w:val="auto"/>
                <w:sz w:val="20"/>
              </w:rPr>
              <w:t xml:space="preserve">Planning Practice Guidance: Historic Environment as of </w:t>
            </w:r>
            <w:r w:rsidR="00B40389" w:rsidRPr="002E7654">
              <w:rPr>
                <w:sz w:val="20"/>
              </w:rPr>
              <w:t>July 2019</w:t>
            </w:r>
            <w:r w:rsidRPr="002E7654">
              <w:rPr>
                <w:sz w:val="20"/>
              </w:rPr>
              <w:t>.</w:t>
            </w:r>
          </w:p>
        </w:tc>
      </w:tr>
    </w:tbl>
    <w:p w14:paraId="35A8997D" w14:textId="77777777" w:rsidR="00B42C71" w:rsidRDefault="00B42C71" w:rsidP="00B42C71">
      <w:pPr>
        <w:keepNext w:val="0"/>
        <w:autoSpaceDE w:val="0"/>
        <w:autoSpaceDN w:val="0"/>
        <w:adjustRightInd w:val="0"/>
        <w:spacing w:before="0"/>
        <w:ind w:left="525"/>
        <w:rPr>
          <w:rFonts w:eastAsia="Arial" w:cs="Arial"/>
          <w:spacing w:val="-1"/>
        </w:rPr>
      </w:pPr>
    </w:p>
    <w:p w14:paraId="4EB2EEA9" w14:textId="62CA2248" w:rsidR="00CA1587" w:rsidRPr="002E7654" w:rsidRDefault="00CA1587" w:rsidP="00C66622">
      <w:pPr>
        <w:keepNext w:val="0"/>
        <w:numPr>
          <w:ilvl w:val="1"/>
          <w:numId w:val="5"/>
        </w:numPr>
        <w:tabs>
          <w:tab w:val="clear" w:pos="525"/>
          <w:tab w:val="num" w:pos="851"/>
        </w:tabs>
        <w:autoSpaceDE w:val="0"/>
        <w:autoSpaceDN w:val="0"/>
        <w:adjustRightInd w:val="0"/>
        <w:spacing w:before="0"/>
        <w:ind w:left="851" w:hanging="851"/>
        <w:rPr>
          <w:rFonts w:eastAsia="Arial" w:cs="Arial"/>
          <w:spacing w:val="-1"/>
        </w:rPr>
      </w:pPr>
      <w:r w:rsidRPr="00B42C71">
        <w:rPr>
          <w:rFonts w:eastAsia="Arial" w:cs="Arial"/>
          <w:spacing w:val="-1"/>
        </w:rPr>
        <w:t>The historic environment is an important asset for Ashfield District and provides us with an understanding of both the past and the present. It is a physical record of our history and is central to our cultural heritage</w:t>
      </w:r>
      <w:r w:rsidR="00BF5CA9" w:rsidRPr="00B42C71">
        <w:rPr>
          <w:rFonts w:eastAsia="Arial" w:cs="Arial"/>
          <w:spacing w:val="-1"/>
        </w:rPr>
        <w:t xml:space="preserve"> and </w:t>
      </w:r>
      <w:r w:rsidRPr="00B42C71">
        <w:rPr>
          <w:rFonts w:eastAsia="Arial" w:cs="Arial"/>
          <w:spacing w:val="-1"/>
        </w:rPr>
        <w:t>provid</w:t>
      </w:r>
      <w:r w:rsidR="00BF5CA9" w:rsidRPr="00B42C71">
        <w:rPr>
          <w:rFonts w:eastAsia="Arial" w:cs="Arial"/>
          <w:spacing w:val="-1"/>
        </w:rPr>
        <w:t>es a</w:t>
      </w:r>
      <w:r w:rsidRPr="00B42C71">
        <w:rPr>
          <w:rFonts w:eastAsia="Arial" w:cs="Arial"/>
          <w:spacing w:val="-1"/>
        </w:rPr>
        <w:t xml:space="preserve"> sense of place. The Council is committed </w:t>
      </w:r>
      <w:r w:rsidRPr="002E7654">
        <w:rPr>
          <w:rFonts w:eastAsia="Arial" w:cs="Arial"/>
          <w:spacing w:val="-1"/>
        </w:rPr>
        <w:t xml:space="preserve">to </w:t>
      </w:r>
      <w:r w:rsidR="0028773A" w:rsidRPr="002E7654">
        <w:rPr>
          <w:rFonts w:eastAsia="Arial" w:cs="Arial"/>
          <w:spacing w:val="-1"/>
        </w:rPr>
        <w:t xml:space="preserve">the desirability to protect, conserve and where possible enhance </w:t>
      </w:r>
      <w:r w:rsidRPr="002E7654">
        <w:rPr>
          <w:rFonts w:eastAsia="Arial" w:cs="Arial"/>
          <w:spacing w:val="-1"/>
        </w:rPr>
        <w:t>the District’s historic environment.</w:t>
      </w:r>
    </w:p>
    <w:p w14:paraId="417ABAE9" w14:textId="77777777" w:rsidR="00CA1587" w:rsidRPr="002E7654" w:rsidRDefault="00CA1587" w:rsidP="00C66622">
      <w:pPr>
        <w:keepNext w:val="0"/>
        <w:tabs>
          <w:tab w:val="num" w:pos="851"/>
        </w:tabs>
        <w:autoSpaceDE w:val="0"/>
        <w:autoSpaceDN w:val="0"/>
        <w:adjustRightInd w:val="0"/>
        <w:spacing w:before="0"/>
        <w:ind w:left="851" w:hanging="851"/>
        <w:rPr>
          <w:rFonts w:eastAsia="Arial" w:cs="Arial"/>
          <w:spacing w:val="-1"/>
        </w:rPr>
      </w:pPr>
    </w:p>
    <w:p w14:paraId="1C615D9B" w14:textId="294D6A6F" w:rsidR="00CA1587" w:rsidRPr="002E7654" w:rsidRDefault="00CA1587" w:rsidP="00C66622">
      <w:pPr>
        <w:keepNext w:val="0"/>
        <w:numPr>
          <w:ilvl w:val="1"/>
          <w:numId w:val="5"/>
        </w:numPr>
        <w:tabs>
          <w:tab w:val="clear" w:pos="525"/>
          <w:tab w:val="num" w:pos="851"/>
        </w:tabs>
        <w:autoSpaceDE w:val="0"/>
        <w:autoSpaceDN w:val="0"/>
        <w:adjustRightInd w:val="0"/>
        <w:spacing w:before="0"/>
        <w:ind w:left="851" w:hanging="851"/>
        <w:rPr>
          <w:rFonts w:eastAsia="Arial" w:cs="Arial"/>
          <w:spacing w:val="-1"/>
        </w:rPr>
      </w:pPr>
      <w:r w:rsidRPr="002E7654">
        <w:rPr>
          <w:rFonts w:eastAsia="Arial" w:cs="Arial"/>
          <w:spacing w:val="-1"/>
        </w:rPr>
        <w:t xml:space="preserve">The Council has a duty to </w:t>
      </w:r>
      <w:r w:rsidR="0028773A" w:rsidRPr="002E7654">
        <w:rPr>
          <w:rFonts w:eastAsia="Arial" w:cs="Arial"/>
          <w:spacing w:val="-1"/>
          <w:szCs w:val="24"/>
        </w:rPr>
        <w:t>h</w:t>
      </w:r>
      <w:r w:rsidR="0028773A" w:rsidRPr="002E7654">
        <w:rPr>
          <w:rStyle w:val="cf01"/>
          <w:rFonts w:ascii="Arial" w:hAnsi="Arial" w:cs="Arial"/>
          <w:sz w:val="24"/>
          <w:szCs w:val="24"/>
        </w:rPr>
        <w:t xml:space="preserve">ave special regard to the desirability to preserve or </w:t>
      </w:r>
      <w:r w:rsidRPr="002E7654">
        <w:rPr>
          <w:rFonts w:eastAsia="Arial" w:cs="Arial"/>
          <w:spacing w:val="-1"/>
        </w:rPr>
        <w:t>enhance the significance, character and appearance of the District’s historic environment when carrying out its statutory functions and through the planning system. It is recognised that the historic environment contributes to the enjoyment of life in the District and provides a unique sense of identity. Policy EV</w:t>
      </w:r>
      <w:r w:rsidR="004E709C" w:rsidRPr="002E7654">
        <w:rPr>
          <w:rFonts w:eastAsia="Arial" w:cs="Arial"/>
          <w:spacing w:val="-1"/>
        </w:rPr>
        <w:t>9</w:t>
      </w:r>
      <w:r w:rsidRPr="002E7654">
        <w:rPr>
          <w:rFonts w:eastAsia="Arial" w:cs="Arial"/>
          <w:spacing w:val="-1"/>
        </w:rPr>
        <w:t xml:space="preserve"> reflects this duty in line with national planning guidance</w:t>
      </w:r>
      <w:r w:rsidR="0028773A" w:rsidRPr="002E7654">
        <w:rPr>
          <w:rFonts w:eastAsia="Arial" w:cs="Arial"/>
          <w:spacing w:val="-1"/>
        </w:rPr>
        <w:t xml:space="preserve"> and legislation</w:t>
      </w:r>
      <w:r w:rsidRPr="002E7654">
        <w:rPr>
          <w:rFonts w:eastAsia="Arial" w:cs="Arial"/>
          <w:spacing w:val="-1"/>
        </w:rPr>
        <w:t xml:space="preserve">.   </w:t>
      </w:r>
    </w:p>
    <w:p w14:paraId="5E50B86E" w14:textId="77777777" w:rsidR="00CA1587" w:rsidRPr="00CA1587" w:rsidRDefault="00CA1587" w:rsidP="00C66622">
      <w:pPr>
        <w:keepNext w:val="0"/>
        <w:tabs>
          <w:tab w:val="num" w:pos="851"/>
        </w:tabs>
        <w:autoSpaceDE w:val="0"/>
        <w:autoSpaceDN w:val="0"/>
        <w:adjustRightInd w:val="0"/>
        <w:spacing w:before="0"/>
        <w:ind w:left="851" w:hanging="851"/>
        <w:rPr>
          <w:rFonts w:eastAsia="Arial" w:cs="Arial"/>
          <w:spacing w:val="-1"/>
        </w:rPr>
      </w:pPr>
    </w:p>
    <w:p w14:paraId="59C04BD8" w14:textId="77777777" w:rsidR="00CA1587" w:rsidRPr="00CA1587" w:rsidRDefault="00CA1587" w:rsidP="00C66622">
      <w:pPr>
        <w:keepNext w:val="0"/>
        <w:numPr>
          <w:ilvl w:val="1"/>
          <w:numId w:val="5"/>
        </w:numPr>
        <w:tabs>
          <w:tab w:val="clear" w:pos="525"/>
          <w:tab w:val="num" w:pos="851"/>
        </w:tabs>
        <w:autoSpaceDE w:val="0"/>
        <w:autoSpaceDN w:val="0"/>
        <w:adjustRightInd w:val="0"/>
        <w:spacing w:before="0"/>
        <w:ind w:left="851" w:hanging="851"/>
        <w:rPr>
          <w:rFonts w:eastAsia="Arial" w:cs="Arial"/>
          <w:spacing w:val="-1"/>
        </w:rPr>
      </w:pPr>
      <w:r w:rsidRPr="00CA1587">
        <w:rPr>
          <w:rFonts w:eastAsia="Arial" w:cs="Arial"/>
          <w:spacing w:val="-1"/>
        </w:rPr>
        <w:t>The historic environment is all aspects of the environment which have resulted from the interaction between people and places through time, including all surviving physical remains of past human activity, whether visible, buried or submerged, and landscaped planting or managed flora.  Those elements of the historic environment that hold significance are called heritage assets.</w:t>
      </w:r>
    </w:p>
    <w:p w14:paraId="412A8F49" w14:textId="77777777" w:rsidR="00CA1587" w:rsidRPr="00CA1587" w:rsidRDefault="00CA1587" w:rsidP="00C66622">
      <w:pPr>
        <w:keepNext w:val="0"/>
        <w:tabs>
          <w:tab w:val="num" w:pos="851"/>
        </w:tabs>
        <w:autoSpaceDE w:val="0"/>
        <w:autoSpaceDN w:val="0"/>
        <w:adjustRightInd w:val="0"/>
        <w:spacing w:before="0"/>
        <w:ind w:left="851" w:hanging="851"/>
        <w:rPr>
          <w:rFonts w:eastAsia="Arial" w:cs="Arial"/>
          <w:spacing w:val="-1"/>
        </w:rPr>
      </w:pPr>
    </w:p>
    <w:p w14:paraId="18C7B9FD" w14:textId="754C9E9F" w:rsidR="00CA1587" w:rsidRPr="00CA1587" w:rsidRDefault="00CA1587" w:rsidP="00C66622">
      <w:pPr>
        <w:keepNext w:val="0"/>
        <w:numPr>
          <w:ilvl w:val="1"/>
          <w:numId w:val="5"/>
        </w:numPr>
        <w:tabs>
          <w:tab w:val="clear" w:pos="525"/>
          <w:tab w:val="num" w:pos="851"/>
        </w:tabs>
        <w:autoSpaceDE w:val="0"/>
        <w:autoSpaceDN w:val="0"/>
        <w:adjustRightInd w:val="0"/>
        <w:spacing w:before="0"/>
        <w:ind w:left="851" w:hanging="851"/>
        <w:rPr>
          <w:rFonts w:eastAsia="Arial" w:cs="Arial"/>
          <w:spacing w:val="-1"/>
        </w:rPr>
      </w:pPr>
      <w:r w:rsidRPr="00CA1587">
        <w:rPr>
          <w:rFonts w:eastAsia="Arial" w:cs="Arial"/>
          <w:spacing w:val="-1"/>
        </w:rPr>
        <w:t xml:space="preserve">Heritage assets are buildings, monuments, sites, places, areas or landscapes of historic, archaeological, architectural or artistic interest, whether designated or not, that have a degree of significance. The term ‘significance’ (for heritage policy) can be defined as “the value of a heritage asset to this and future generations because of its heritage interest”. In measuring the significance of an </w:t>
      </w:r>
      <w:r w:rsidR="009A1B9A" w:rsidRPr="00CA1587">
        <w:rPr>
          <w:rFonts w:eastAsia="Arial" w:cs="Arial"/>
          <w:spacing w:val="-1"/>
        </w:rPr>
        <w:t>asset,</w:t>
      </w:r>
      <w:r w:rsidRPr="00CA1587">
        <w:rPr>
          <w:rFonts w:eastAsia="Arial" w:cs="Arial"/>
          <w:spacing w:val="-1"/>
        </w:rPr>
        <w:t xml:space="preserve"> a number of factors are assessed, including, but not restricted to, an asset’s rarity, representativeness, association, integrity, evidential value, historical value, aesthetic value, and communal value. Heritage assets identified after the Local Plan is adopted or during the course of a development application will be protected under Policy EV</w:t>
      </w:r>
      <w:r w:rsidR="00EF521C">
        <w:rPr>
          <w:rFonts w:eastAsia="Arial" w:cs="Arial"/>
          <w:spacing w:val="-1"/>
        </w:rPr>
        <w:t>9</w:t>
      </w:r>
      <w:r w:rsidRPr="00CA1587">
        <w:rPr>
          <w:rFonts w:eastAsia="Arial" w:cs="Arial"/>
          <w:spacing w:val="-1"/>
        </w:rPr>
        <w:t>.</w:t>
      </w:r>
    </w:p>
    <w:p w14:paraId="4136E9EA" w14:textId="77777777" w:rsidR="00CA1587" w:rsidRPr="00CA1587" w:rsidRDefault="00CA1587" w:rsidP="00C66622">
      <w:pPr>
        <w:keepNext w:val="0"/>
        <w:tabs>
          <w:tab w:val="num" w:pos="851"/>
        </w:tabs>
        <w:autoSpaceDE w:val="0"/>
        <w:autoSpaceDN w:val="0"/>
        <w:adjustRightInd w:val="0"/>
        <w:spacing w:before="0"/>
        <w:ind w:left="851" w:hanging="851"/>
        <w:rPr>
          <w:rFonts w:eastAsia="Arial" w:cs="Arial"/>
          <w:spacing w:val="-1"/>
        </w:rPr>
      </w:pPr>
    </w:p>
    <w:p w14:paraId="72B88907" w14:textId="77777777" w:rsidR="00CA1587" w:rsidRPr="00CA1587" w:rsidRDefault="00CA1587" w:rsidP="00C66622">
      <w:pPr>
        <w:keepNext w:val="0"/>
        <w:numPr>
          <w:ilvl w:val="1"/>
          <w:numId w:val="5"/>
        </w:numPr>
        <w:tabs>
          <w:tab w:val="clear" w:pos="525"/>
          <w:tab w:val="num" w:pos="851"/>
        </w:tabs>
        <w:autoSpaceDE w:val="0"/>
        <w:autoSpaceDN w:val="0"/>
        <w:adjustRightInd w:val="0"/>
        <w:spacing w:before="0"/>
        <w:ind w:left="851" w:hanging="851"/>
        <w:rPr>
          <w:rFonts w:eastAsia="Arial" w:cs="Arial"/>
          <w:spacing w:val="-1"/>
        </w:rPr>
      </w:pPr>
      <w:r w:rsidRPr="00CA1587">
        <w:rPr>
          <w:rFonts w:eastAsia="Arial" w:cs="Arial"/>
          <w:spacing w:val="-1"/>
        </w:rPr>
        <w:t xml:space="preserve">Heritage assets include listed buildings, conservation areas, world heritage sites, historic parks and gardens and scheduled monuments. The definition also covers non-designated assets including buildings of local interest, areas of archaeological interest, unregistered parks and gardens and landscape features as defined in the Nottinghamshire Landscape Character Assessment. The significance of these ‘non-designated assets’ is a material consideration in determining planning applications. </w:t>
      </w:r>
    </w:p>
    <w:p w14:paraId="68FC6472" w14:textId="77777777" w:rsidR="00CA1587" w:rsidRPr="00CA1587" w:rsidRDefault="00CA1587" w:rsidP="00C66622">
      <w:pPr>
        <w:keepNext w:val="0"/>
        <w:tabs>
          <w:tab w:val="num" w:pos="851"/>
        </w:tabs>
        <w:autoSpaceDE w:val="0"/>
        <w:autoSpaceDN w:val="0"/>
        <w:adjustRightInd w:val="0"/>
        <w:spacing w:before="0"/>
        <w:ind w:left="851" w:hanging="851"/>
        <w:rPr>
          <w:rFonts w:eastAsia="Arial" w:cs="Arial"/>
          <w:spacing w:val="-1"/>
        </w:rPr>
      </w:pPr>
    </w:p>
    <w:p w14:paraId="35A6675F" w14:textId="616C26E3" w:rsidR="00CA1587" w:rsidRPr="008C275A" w:rsidRDefault="00C66622" w:rsidP="00C66622">
      <w:pPr>
        <w:keepNext w:val="0"/>
        <w:tabs>
          <w:tab w:val="num" w:pos="851"/>
        </w:tabs>
        <w:autoSpaceDE w:val="0"/>
        <w:autoSpaceDN w:val="0"/>
        <w:adjustRightInd w:val="0"/>
        <w:spacing w:before="0"/>
        <w:ind w:left="851" w:hanging="851"/>
        <w:rPr>
          <w:rFonts w:eastAsia="Arial" w:cs="Arial"/>
          <w:b/>
          <w:bCs/>
          <w:spacing w:val="-1"/>
        </w:rPr>
      </w:pPr>
      <w:r>
        <w:rPr>
          <w:rFonts w:eastAsia="Arial" w:cs="Arial"/>
          <w:b/>
          <w:bCs/>
          <w:spacing w:val="-1"/>
        </w:rPr>
        <w:tab/>
      </w:r>
      <w:r w:rsidR="00CA1587" w:rsidRPr="008C275A">
        <w:rPr>
          <w:rFonts w:eastAsia="Arial" w:cs="Arial"/>
          <w:b/>
          <w:bCs/>
          <w:spacing w:val="-1"/>
        </w:rPr>
        <w:t>Conservation Areas</w:t>
      </w:r>
    </w:p>
    <w:p w14:paraId="4BD867F3" w14:textId="77777777" w:rsidR="00CA1587" w:rsidRPr="00CA1587" w:rsidRDefault="00CA1587" w:rsidP="00C66622">
      <w:pPr>
        <w:keepNext w:val="0"/>
        <w:numPr>
          <w:ilvl w:val="1"/>
          <w:numId w:val="5"/>
        </w:numPr>
        <w:tabs>
          <w:tab w:val="clear" w:pos="525"/>
          <w:tab w:val="num" w:pos="851"/>
        </w:tabs>
        <w:autoSpaceDE w:val="0"/>
        <w:autoSpaceDN w:val="0"/>
        <w:adjustRightInd w:val="0"/>
        <w:spacing w:before="0"/>
        <w:ind w:left="851" w:hanging="851"/>
        <w:rPr>
          <w:rFonts w:eastAsia="Arial" w:cs="Arial"/>
          <w:spacing w:val="-1"/>
        </w:rPr>
      </w:pPr>
      <w:r w:rsidRPr="00CA1587">
        <w:rPr>
          <w:rFonts w:eastAsia="Arial" w:cs="Arial"/>
          <w:spacing w:val="-1"/>
        </w:rPr>
        <w:t>Ashfield’s six designated Conservation Areas are :</w:t>
      </w:r>
    </w:p>
    <w:p w14:paraId="4818B735" w14:textId="55F28E14" w:rsidR="00CA1587" w:rsidRPr="008C275A" w:rsidRDefault="00CA1587" w:rsidP="00874A98">
      <w:pPr>
        <w:pStyle w:val="ListParagraph"/>
        <w:numPr>
          <w:ilvl w:val="0"/>
          <w:numId w:val="227"/>
        </w:numPr>
        <w:tabs>
          <w:tab w:val="num" w:pos="1843"/>
        </w:tabs>
        <w:autoSpaceDE w:val="0"/>
        <w:autoSpaceDN w:val="0"/>
        <w:adjustRightInd w:val="0"/>
        <w:ind w:left="2127" w:hanging="851"/>
        <w:rPr>
          <w:rFonts w:ascii="Arial" w:eastAsia="Arial" w:hAnsi="Arial" w:cs="Arial"/>
          <w:spacing w:val="-1"/>
        </w:rPr>
      </w:pPr>
      <w:r w:rsidRPr="008C275A">
        <w:rPr>
          <w:rFonts w:ascii="Arial" w:eastAsia="Arial" w:hAnsi="Arial" w:cs="Arial"/>
          <w:spacing w:val="-1"/>
        </w:rPr>
        <w:t>EV</w:t>
      </w:r>
      <w:r w:rsidR="0095521E">
        <w:rPr>
          <w:rFonts w:ascii="Arial" w:eastAsia="Arial" w:hAnsi="Arial" w:cs="Arial"/>
          <w:spacing w:val="-1"/>
        </w:rPr>
        <w:t>9</w:t>
      </w:r>
      <w:r w:rsidRPr="008C275A">
        <w:rPr>
          <w:rFonts w:ascii="Arial" w:eastAsia="Arial" w:hAnsi="Arial" w:cs="Arial"/>
          <w:spacing w:val="-1"/>
        </w:rPr>
        <w:t xml:space="preserve"> Ca - Kirkby Cross </w:t>
      </w:r>
    </w:p>
    <w:p w14:paraId="7739559A" w14:textId="0F4C860F" w:rsidR="00CA1587" w:rsidRPr="008C275A" w:rsidRDefault="00CA1587" w:rsidP="00874A98">
      <w:pPr>
        <w:pStyle w:val="ListParagraph"/>
        <w:numPr>
          <w:ilvl w:val="0"/>
          <w:numId w:val="227"/>
        </w:numPr>
        <w:tabs>
          <w:tab w:val="num" w:pos="1843"/>
        </w:tabs>
        <w:autoSpaceDE w:val="0"/>
        <w:autoSpaceDN w:val="0"/>
        <w:adjustRightInd w:val="0"/>
        <w:ind w:left="2127" w:hanging="851"/>
        <w:rPr>
          <w:rFonts w:ascii="Arial" w:eastAsia="Arial" w:hAnsi="Arial" w:cs="Arial"/>
          <w:spacing w:val="-1"/>
        </w:rPr>
      </w:pPr>
      <w:r w:rsidRPr="008C275A">
        <w:rPr>
          <w:rFonts w:ascii="Arial" w:eastAsia="Arial" w:hAnsi="Arial" w:cs="Arial"/>
          <w:spacing w:val="-1"/>
        </w:rPr>
        <w:t>EV</w:t>
      </w:r>
      <w:r w:rsidR="0095521E">
        <w:rPr>
          <w:rFonts w:ascii="Arial" w:eastAsia="Arial" w:hAnsi="Arial" w:cs="Arial"/>
          <w:spacing w:val="-1"/>
        </w:rPr>
        <w:t>9</w:t>
      </w:r>
      <w:r w:rsidRPr="008C275A">
        <w:rPr>
          <w:rFonts w:ascii="Arial" w:eastAsia="Arial" w:hAnsi="Arial" w:cs="Arial"/>
          <w:spacing w:val="-1"/>
        </w:rPr>
        <w:t xml:space="preserve"> </w:t>
      </w:r>
      <w:proofErr w:type="spellStart"/>
      <w:r w:rsidRPr="008C275A">
        <w:rPr>
          <w:rFonts w:ascii="Arial" w:eastAsia="Arial" w:hAnsi="Arial" w:cs="Arial"/>
          <w:spacing w:val="-1"/>
        </w:rPr>
        <w:t>Cb</w:t>
      </w:r>
      <w:proofErr w:type="spellEnd"/>
      <w:r w:rsidRPr="008C275A">
        <w:rPr>
          <w:rFonts w:ascii="Arial" w:eastAsia="Arial" w:hAnsi="Arial" w:cs="Arial"/>
          <w:spacing w:val="-1"/>
        </w:rPr>
        <w:t xml:space="preserve"> - Lower </w:t>
      </w:r>
      <w:proofErr w:type="spellStart"/>
      <w:r w:rsidRPr="008C275A">
        <w:rPr>
          <w:rFonts w:ascii="Arial" w:eastAsia="Arial" w:hAnsi="Arial" w:cs="Arial"/>
          <w:spacing w:val="-1"/>
        </w:rPr>
        <w:t>Bagthorpe</w:t>
      </w:r>
      <w:proofErr w:type="spellEnd"/>
      <w:r w:rsidRPr="008C275A">
        <w:rPr>
          <w:rFonts w:ascii="Arial" w:eastAsia="Arial" w:hAnsi="Arial" w:cs="Arial"/>
          <w:spacing w:val="-1"/>
        </w:rPr>
        <w:t xml:space="preserve"> </w:t>
      </w:r>
    </w:p>
    <w:p w14:paraId="6D95DD9E" w14:textId="12B890D5" w:rsidR="00CA1587" w:rsidRPr="008C275A" w:rsidRDefault="00CA1587" w:rsidP="00874A98">
      <w:pPr>
        <w:pStyle w:val="ListParagraph"/>
        <w:numPr>
          <w:ilvl w:val="0"/>
          <w:numId w:val="227"/>
        </w:numPr>
        <w:tabs>
          <w:tab w:val="num" w:pos="1843"/>
        </w:tabs>
        <w:autoSpaceDE w:val="0"/>
        <w:autoSpaceDN w:val="0"/>
        <w:adjustRightInd w:val="0"/>
        <w:ind w:left="2127" w:hanging="851"/>
        <w:rPr>
          <w:rFonts w:ascii="Arial" w:eastAsia="Arial" w:hAnsi="Arial" w:cs="Arial"/>
          <w:spacing w:val="-1"/>
        </w:rPr>
      </w:pPr>
      <w:r w:rsidRPr="008C275A">
        <w:rPr>
          <w:rFonts w:ascii="Arial" w:eastAsia="Arial" w:hAnsi="Arial" w:cs="Arial"/>
          <w:spacing w:val="-1"/>
        </w:rPr>
        <w:t>EV</w:t>
      </w:r>
      <w:r w:rsidR="0095521E">
        <w:rPr>
          <w:rFonts w:ascii="Arial" w:eastAsia="Arial" w:hAnsi="Arial" w:cs="Arial"/>
          <w:spacing w:val="-1"/>
        </w:rPr>
        <w:t>9</w:t>
      </w:r>
      <w:r w:rsidRPr="008C275A">
        <w:rPr>
          <w:rFonts w:ascii="Arial" w:eastAsia="Arial" w:hAnsi="Arial" w:cs="Arial"/>
          <w:spacing w:val="-1"/>
        </w:rPr>
        <w:t xml:space="preserve"> Cc - Teversal</w:t>
      </w:r>
    </w:p>
    <w:p w14:paraId="2963ED29" w14:textId="34D5E52A" w:rsidR="00CA1587" w:rsidRPr="008C275A" w:rsidRDefault="00CA1587" w:rsidP="00874A98">
      <w:pPr>
        <w:pStyle w:val="ListParagraph"/>
        <w:numPr>
          <w:ilvl w:val="0"/>
          <w:numId w:val="227"/>
        </w:numPr>
        <w:tabs>
          <w:tab w:val="num" w:pos="1843"/>
        </w:tabs>
        <w:autoSpaceDE w:val="0"/>
        <w:autoSpaceDN w:val="0"/>
        <w:adjustRightInd w:val="0"/>
        <w:ind w:left="2127" w:hanging="851"/>
        <w:rPr>
          <w:rFonts w:ascii="Arial" w:eastAsia="Arial" w:hAnsi="Arial" w:cs="Arial"/>
          <w:spacing w:val="-1"/>
        </w:rPr>
      </w:pPr>
      <w:r w:rsidRPr="008C275A">
        <w:rPr>
          <w:rFonts w:ascii="Arial" w:eastAsia="Arial" w:hAnsi="Arial" w:cs="Arial"/>
          <w:spacing w:val="-1"/>
        </w:rPr>
        <w:t>EV</w:t>
      </w:r>
      <w:r w:rsidR="0095521E">
        <w:rPr>
          <w:rFonts w:ascii="Arial" w:eastAsia="Arial" w:hAnsi="Arial" w:cs="Arial"/>
          <w:spacing w:val="-1"/>
        </w:rPr>
        <w:t>9</w:t>
      </w:r>
      <w:r w:rsidRPr="008C275A">
        <w:rPr>
          <w:rFonts w:ascii="Arial" w:eastAsia="Arial" w:hAnsi="Arial" w:cs="Arial"/>
          <w:spacing w:val="-1"/>
        </w:rPr>
        <w:t xml:space="preserve"> Cd - New Annesley</w:t>
      </w:r>
    </w:p>
    <w:p w14:paraId="798E13FC" w14:textId="21473B64" w:rsidR="00CA1587" w:rsidRPr="008C275A" w:rsidRDefault="00CA1587" w:rsidP="00874A98">
      <w:pPr>
        <w:pStyle w:val="ListParagraph"/>
        <w:numPr>
          <w:ilvl w:val="0"/>
          <w:numId w:val="227"/>
        </w:numPr>
        <w:tabs>
          <w:tab w:val="num" w:pos="1843"/>
        </w:tabs>
        <w:autoSpaceDE w:val="0"/>
        <w:autoSpaceDN w:val="0"/>
        <w:adjustRightInd w:val="0"/>
        <w:ind w:left="2127" w:hanging="851"/>
        <w:rPr>
          <w:rFonts w:ascii="Arial" w:eastAsia="Arial" w:hAnsi="Arial" w:cs="Arial"/>
          <w:spacing w:val="-1"/>
        </w:rPr>
      </w:pPr>
      <w:r w:rsidRPr="008C275A">
        <w:rPr>
          <w:rFonts w:ascii="Arial" w:eastAsia="Arial" w:hAnsi="Arial" w:cs="Arial"/>
          <w:spacing w:val="-1"/>
        </w:rPr>
        <w:t>EV</w:t>
      </w:r>
      <w:r w:rsidR="0095521E">
        <w:rPr>
          <w:rFonts w:ascii="Arial" w:eastAsia="Arial" w:hAnsi="Arial" w:cs="Arial"/>
          <w:spacing w:val="-1"/>
        </w:rPr>
        <w:t>9</w:t>
      </w:r>
      <w:r w:rsidRPr="008C275A">
        <w:rPr>
          <w:rFonts w:ascii="Arial" w:eastAsia="Arial" w:hAnsi="Arial" w:cs="Arial"/>
          <w:spacing w:val="-1"/>
        </w:rPr>
        <w:t xml:space="preserve"> Ce - Sutton in Ashfield Church and Market Place</w:t>
      </w:r>
    </w:p>
    <w:p w14:paraId="056E4CF4" w14:textId="71CF9858" w:rsidR="00CA1587" w:rsidRPr="002E7654" w:rsidRDefault="00CA1587" w:rsidP="00874A98">
      <w:pPr>
        <w:pStyle w:val="ListParagraph"/>
        <w:numPr>
          <w:ilvl w:val="0"/>
          <w:numId w:val="227"/>
        </w:numPr>
        <w:tabs>
          <w:tab w:val="num" w:pos="1843"/>
        </w:tabs>
        <w:autoSpaceDE w:val="0"/>
        <w:autoSpaceDN w:val="0"/>
        <w:adjustRightInd w:val="0"/>
        <w:ind w:left="2127" w:hanging="851"/>
        <w:rPr>
          <w:rFonts w:ascii="Arial" w:eastAsia="Arial" w:hAnsi="Arial" w:cs="Arial"/>
          <w:spacing w:val="-1"/>
        </w:rPr>
      </w:pPr>
      <w:r w:rsidRPr="008C275A">
        <w:rPr>
          <w:rFonts w:ascii="Arial" w:eastAsia="Arial" w:hAnsi="Arial" w:cs="Arial"/>
          <w:spacing w:val="-1"/>
        </w:rPr>
        <w:t>EV</w:t>
      </w:r>
      <w:r w:rsidR="0095521E">
        <w:rPr>
          <w:rFonts w:ascii="Arial" w:eastAsia="Arial" w:hAnsi="Arial" w:cs="Arial"/>
          <w:spacing w:val="-1"/>
        </w:rPr>
        <w:t>9</w:t>
      </w:r>
      <w:r w:rsidR="008C275A" w:rsidRPr="008C275A">
        <w:rPr>
          <w:rFonts w:ascii="Arial" w:eastAsia="Arial" w:hAnsi="Arial" w:cs="Arial"/>
          <w:spacing w:val="-1"/>
        </w:rPr>
        <w:t xml:space="preserve"> Cf</w:t>
      </w:r>
      <w:r w:rsidRPr="008C275A">
        <w:rPr>
          <w:rFonts w:ascii="Arial" w:eastAsia="Arial" w:hAnsi="Arial" w:cs="Arial"/>
          <w:spacing w:val="-1"/>
        </w:rPr>
        <w:t xml:space="preserve"> </w:t>
      </w:r>
      <w:r w:rsidR="005A1A0E">
        <w:rPr>
          <w:rFonts w:ascii="Arial" w:eastAsia="Arial" w:hAnsi="Arial" w:cs="Arial"/>
          <w:spacing w:val="-1"/>
        </w:rPr>
        <w:t>–</w:t>
      </w:r>
      <w:r w:rsidRPr="008C275A">
        <w:rPr>
          <w:rFonts w:ascii="Arial" w:eastAsia="Arial" w:hAnsi="Arial" w:cs="Arial"/>
          <w:spacing w:val="-1"/>
        </w:rPr>
        <w:t xml:space="preserve"> Hucknall</w:t>
      </w:r>
      <w:r w:rsidR="005A1A0E">
        <w:rPr>
          <w:rFonts w:ascii="Arial" w:eastAsia="Arial" w:hAnsi="Arial" w:cs="Arial"/>
          <w:spacing w:val="-1"/>
        </w:rPr>
        <w:t xml:space="preserve"> </w:t>
      </w:r>
      <w:r w:rsidR="005A1A0E" w:rsidRPr="002E7654">
        <w:rPr>
          <w:rFonts w:ascii="Arial" w:eastAsia="Arial" w:hAnsi="Arial" w:cs="Arial"/>
          <w:spacing w:val="-1"/>
        </w:rPr>
        <w:t>Town Centre</w:t>
      </w:r>
    </w:p>
    <w:p w14:paraId="738AE822" w14:textId="57AF11A5" w:rsidR="00CA1587" w:rsidRPr="00CA1587" w:rsidRDefault="00CA1587" w:rsidP="00C66622">
      <w:pPr>
        <w:keepNext w:val="0"/>
        <w:numPr>
          <w:ilvl w:val="1"/>
          <w:numId w:val="5"/>
        </w:numPr>
        <w:tabs>
          <w:tab w:val="clear" w:pos="525"/>
          <w:tab w:val="num" w:pos="851"/>
        </w:tabs>
        <w:autoSpaceDE w:val="0"/>
        <w:autoSpaceDN w:val="0"/>
        <w:adjustRightInd w:val="0"/>
        <w:spacing w:before="0"/>
        <w:ind w:left="851" w:hanging="851"/>
        <w:rPr>
          <w:rFonts w:eastAsia="Arial" w:cs="Arial"/>
          <w:spacing w:val="-1"/>
        </w:rPr>
      </w:pPr>
      <w:r w:rsidRPr="00CA1587">
        <w:rPr>
          <w:rFonts w:eastAsia="Arial" w:cs="Arial"/>
          <w:spacing w:val="-1"/>
        </w:rPr>
        <w:t xml:space="preserve">For each Conservation </w:t>
      </w:r>
      <w:r w:rsidRPr="00A56503">
        <w:rPr>
          <w:rFonts w:eastAsia="Arial" w:cs="Arial"/>
          <w:spacing w:val="-1"/>
        </w:rPr>
        <w:t>Area, with the exception of New Annesley</w:t>
      </w:r>
      <w:r w:rsidR="008C275A" w:rsidRPr="00A56503">
        <w:rPr>
          <w:rFonts w:eastAsia="Arial" w:cs="Arial"/>
          <w:spacing w:val="-1"/>
        </w:rPr>
        <w:t xml:space="preserve"> and Hucknall</w:t>
      </w:r>
      <w:r w:rsidRPr="00A56503">
        <w:rPr>
          <w:rFonts w:eastAsia="Arial" w:cs="Arial"/>
          <w:spacing w:val="-1"/>
        </w:rPr>
        <w:t>,</w:t>
      </w:r>
      <w:r w:rsidRPr="00CA1587">
        <w:rPr>
          <w:rFonts w:eastAsia="Arial" w:cs="Arial"/>
          <w:spacing w:val="-1"/>
        </w:rPr>
        <w:t xml:space="preserve"> the Council has prepared a Conservation Area Appraisal (including Management Plans) based on an analysis of the area’s particular character and requirements.  The Council will review all Conservation Area Appraisals as and when necessary.  In preparing development proposals applicants will be expected to take full account of these documents. Planning applications will be required to contain sufficient detail to allow aesthetic and environmental aspects to be fully evaluated. Where necessary, the Council will employ </w:t>
      </w:r>
      <w:r w:rsidR="00D1054F">
        <w:rPr>
          <w:rFonts w:eastAsia="Arial" w:cs="Arial"/>
          <w:spacing w:val="-1"/>
        </w:rPr>
        <w:t>‘A</w:t>
      </w:r>
      <w:r w:rsidRPr="00CA1587">
        <w:rPr>
          <w:rFonts w:eastAsia="Arial" w:cs="Arial"/>
          <w:spacing w:val="-1"/>
        </w:rPr>
        <w:t>rticle 4 directions</w:t>
      </w:r>
      <w:r w:rsidR="00D1054F">
        <w:rPr>
          <w:rFonts w:eastAsia="Arial" w:cs="Arial"/>
          <w:spacing w:val="-1"/>
        </w:rPr>
        <w:t>’</w:t>
      </w:r>
      <w:r w:rsidRPr="00CA1587">
        <w:rPr>
          <w:rFonts w:eastAsia="Arial" w:cs="Arial"/>
          <w:spacing w:val="-1"/>
        </w:rPr>
        <w:t xml:space="preserve"> where the identified character of the Conservation Area is at risk from Permitted Development.</w:t>
      </w:r>
    </w:p>
    <w:p w14:paraId="32F842BC" w14:textId="77777777" w:rsidR="00CA1587" w:rsidRPr="00CA1587" w:rsidRDefault="00CA1587" w:rsidP="00C66622">
      <w:pPr>
        <w:keepNext w:val="0"/>
        <w:tabs>
          <w:tab w:val="num" w:pos="851"/>
        </w:tabs>
        <w:autoSpaceDE w:val="0"/>
        <w:autoSpaceDN w:val="0"/>
        <w:adjustRightInd w:val="0"/>
        <w:spacing w:before="0"/>
        <w:ind w:left="851" w:hanging="851"/>
        <w:rPr>
          <w:rFonts w:eastAsia="Arial" w:cs="Arial"/>
          <w:spacing w:val="-1"/>
        </w:rPr>
      </w:pPr>
      <w:r w:rsidRPr="00CA1587">
        <w:rPr>
          <w:rFonts w:eastAsia="Arial" w:cs="Arial"/>
          <w:spacing w:val="-1"/>
        </w:rPr>
        <w:t xml:space="preserve"> </w:t>
      </w:r>
    </w:p>
    <w:p w14:paraId="7924ECCD" w14:textId="459DA744" w:rsidR="00CA1587" w:rsidRPr="00CA1587" w:rsidRDefault="00CA1587" w:rsidP="00C66622">
      <w:pPr>
        <w:keepNext w:val="0"/>
        <w:numPr>
          <w:ilvl w:val="1"/>
          <w:numId w:val="5"/>
        </w:numPr>
        <w:tabs>
          <w:tab w:val="clear" w:pos="525"/>
          <w:tab w:val="num" w:pos="851"/>
        </w:tabs>
        <w:autoSpaceDE w:val="0"/>
        <w:autoSpaceDN w:val="0"/>
        <w:adjustRightInd w:val="0"/>
        <w:spacing w:before="0"/>
        <w:ind w:left="851" w:hanging="851"/>
        <w:rPr>
          <w:rFonts w:eastAsia="Arial" w:cs="Arial"/>
          <w:spacing w:val="-1"/>
        </w:rPr>
      </w:pPr>
      <w:r w:rsidRPr="00CA1587">
        <w:rPr>
          <w:rFonts w:eastAsia="Arial" w:cs="Arial"/>
          <w:spacing w:val="-1"/>
        </w:rPr>
        <w:t xml:space="preserve">A key consideration in assessing development proposals will be the effect new development would have on the character and appearance of these areas and in particular whether they </w:t>
      </w:r>
      <w:r w:rsidRPr="002E7654">
        <w:rPr>
          <w:rFonts w:eastAsia="Arial" w:cs="Arial"/>
          <w:spacing w:val="-1"/>
        </w:rPr>
        <w:t xml:space="preserve">assist in </w:t>
      </w:r>
      <w:r w:rsidR="0028773A" w:rsidRPr="002E7654">
        <w:rPr>
          <w:rFonts w:eastAsia="Arial" w:cs="Arial"/>
          <w:spacing w:val="-1"/>
        </w:rPr>
        <w:t xml:space="preserve">either </w:t>
      </w:r>
      <w:r w:rsidRPr="002E7654">
        <w:rPr>
          <w:rFonts w:eastAsia="Arial" w:cs="Arial"/>
          <w:spacing w:val="-1"/>
        </w:rPr>
        <w:t>preserving or enhancing their special character. New development should respect the character of the existing architecture in terms of scale, grouping and materials. The overall character of the area will also be an important consideration, applying to features such as walls, paving, verges, trees, street furniture</w:t>
      </w:r>
      <w:r w:rsidR="0028773A" w:rsidRPr="002E7654">
        <w:rPr>
          <w:rFonts w:eastAsia="Arial" w:cs="Arial"/>
          <w:spacing w:val="-1"/>
        </w:rPr>
        <w:t>,</w:t>
      </w:r>
      <w:r w:rsidRPr="002E7654">
        <w:rPr>
          <w:rFonts w:eastAsia="Arial" w:cs="Arial"/>
          <w:spacing w:val="-1"/>
        </w:rPr>
        <w:t xml:space="preserve"> spaces between dwellings</w:t>
      </w:r>
      <w:r w:rsidR="0028773A" w:rsidRPr="002E7654">
        <w:rPr>
          <w:rFonts w:eastAsia="Arial" w:cs="Arial"/>
          <w:spacing w:val="-1"/>
        </w:rPr>
        <w:t xml:space="preserve"> and views into or out of these areas,</w:t>
      </w:r>
      <w:r w:rsidRPr="002E7654">
        <w:rPr>
          <w:rFonts w:eastAsia="Arial" w:cs="Arial"/>
          <w:spacing w:val="-1"/>
        </w:rPr>
        <w:t xml:space="preserve"> which can be as significant as the buildings themselves.  Outline planning applications will not normally be acceptable for </w:t>
      </w:r>
      <w:r w:rsidRPr="00CA1587">
        <w:rPr>
          <w:rFonts w:eastAsia="Arial" w:cs="Arial"/>
          <w:spacing w:val="-1"/>
        </w:rPr>
        <w:t>development in Conservation Areas and proposals to lop, top or fell trees in these areas which, although not specifically comprising development, will only be acceptable with the prior approval of the Authority.</w:t>
      </w:r>
    </w:p>
    <w:p w14:paraId="189D71C1" w14:textId="77777777" w:rsidR="00CA1587" w:rsidRPr="00CA1587" w:rsidRDefault="00CA1587" w:rsidP="00C66622">
      <w:pPr>
        <w:keepNext w:val="0"/>
        <w:tabs>
          <w:tab w:val="num" w:pos="851"/>
        </w:tabs>
        <w:autoSpaceDE w:val="0"/>
        <w:autoSpaceDN w:val="0"/>
        <w:adjustRightInd w:val="0"/>
        <w:spacing w:before="0"/>
        <w:ind w:left="851" w:hanging="851"/>
        <w:rPr>
          <w:rFonts w:eastAsia="Arial" w:cs="Arial"/>
          <w:spacing w:val="-1"/>
        </w:rPr>
      </w:pPr>
    </w:p>
    <w:p w14:paraId="6B21C790" w14:textId="77777777" w:rsidR="00CA1587" w:rsidRPr="00CA1587" w:rsidRDefault="00CA1587" w:rsidP="00C66622">
      <w:pPr>
        <w:keepNext w:val="0"/>
        <w:numPr>
          <w:ilvl w:val="1"/>
          <w:numId w:val="5"/>
        </w:numPr>
        <w:tabs>
          <w:tab w:val="clear" w:pos="525"/>
          <w:tab w:val="num" w:pos="851"/>
        </w:tabs>
        <w:autoSpaceDE w:val="0"/>
        <w:autoSpaceDN w:val="0"/>
        <w:adjustRightInd w:val="0"/>
        <w:spacing w:before="0"/>
        <w:ind w:left="851" w:hanging="851"/>
        <w:rPr>
          <w:rFonts w:eastAsia="Arial" w:cs="Arial"/>
          <w:spacing w:val="-1"/>
        </w:rPr>
      </w:pPr>
      <w:r w:rsidRPr="00CA1587">
        <w:rPr>
          <w:rFonts w:eastAsia="Arial" w:cs="Arial"/>
          <w:spacing w:val="-1"/>
        </w:rPr>
        <w:t xml:space="preserve">Where a development proposal involves total or substantial demolition of a building in a conservation area, consideration will be given to the significance of the building and the contribution it makes to the significant character and appearance of the area. Generally, buildings should be retained where they make a positive contribution in this respect but there may be cases where the removal or replacement of a building would benefit the character or appearance of an area. </w:t>
      </w:r>
    </w:p>
    <w:p w14:paraId="09F1BFF9" w14:textId="77777777" w:rsidR="00CA1587" w:rsidRPr="00CA1587" w:rsidRDefault="00CA1587" w:rsidP="00C66622">
      <w:pPr>
        <w:keepNext w:val="0"/>
        <w:tabs>
          <w:tab w:val="num" w:pos="851"/>
        </w:tabs>
        <w:autoSpaceDE w:val="0"/>
        <w:autoSpaceDN w:val="0"/>
        <w:adjustRightInd w:val="0"/>
        <w:spacing w:before="0"/>
        <w:ind w:left="851" w:hanging="851"/>
        <w:rPr>
          <w:rFonts w:eastAsia="Arial" w:cs="Arial"/>
          <w:spacing w:val="-1"/>
        </w:rPr>
      </w:pPr>
    </w:p>
    <w:p w14:paraId="585EA798" w14:textId="77777777" w:rsidR="00CA1587" w:rsidRPr="00CA1587" w:rsidRDefault="00CA1587" w:rsidP="00C66622">
      <w:pPr>
        <w:keepNext w:val="0"/>
        <w:numPr>
          <w:ilvl w:val="1"/>
          <w:numId w:val="5"/>
        </w:numPr>
        <w:tabs>
          <w:tab w:val="clear" w:pos="525"/>
          <w:tab w:val="num" w:pos="851"/>
        </w:tabs>
        <w:autoSpaceDE w:val="0"/>
        <w:autoSpaceDN w:val="0"/>
        <w:adjustRightInd w:val="0"/>
        <w:spacing w:before="0"/>
        <w:ind w:left="851" w:hanging="851"/>
        <w:rPr>
          <w:rFonts w:eastAsia="Arial" w:cs="Arial"/>
          <w:spacing w:val="-1"/>
        </w:rPr>
      </w:pPr>
      <w:r w:rsidRPr="00CA1587">
        <w:rPr>
          <w:rFonts w:eastAsia="Arial" w:cs="Arial"/>
          <w:spacing w:val="-1"/>
        </w:rPr>
        <w:t xml:space="preserve">To ensure that sites do not remain undeveloped for long periods of time, conditions may be imposed on planning permissions to ensure that redevelopment occurs within specified time limits. This may require that demolition does not take place until a contract for the carrying out of redevelopment works has been made and planning permission for those works granted. </w:t>
      </w:r>
    </w:p>
    <w:p w14:paraId="42505786" w14:textId="77777777" w:rsidR="00CA1587" w:rsidRPr="00CA1587" w:rsidRDefault="00CA1587" w:rsidP="00C66622">
      <w:pPr>
        <w:keepNext w:val="0"/>
        <w:tabs>
          <w:tab w:val="num" w:pos="851"/>
        </w:tabs>
        <w:autoSpaceDE w:val="0"/>
        <w:autoSpaceDN w:val="0"/>
        <w:adjustRightInd w:val="0"/>
        <w:spacing w:before="0"/>
        <w:ind w:left="851" w:hanging="851"/>
        <w:rPr>
          <w:rFonts w:eastAsia="Arial" w:cs="Arial"/>
          <w:spacing w:val="-1"/>
        </w:rPr>
      </w:pPr>
    </w:p>
    <w:p w14:paraId="1F3A7956" w14:textId="56499F2B" w:rsidR="00CA1587" w:rsidRPr="008C275A" w:rsidRDefault="00C66622" w:rsidP="00C66622">
      <w:pPr>
        <w:keepNext w:val="0"/>
        <w:tabs>
          <w:tab w:val="num" w:pos="851"/>
        </w:tabs>
        <w:autoSpaceDE w:val="0"/>
        <w:autoSpaceDN w:val="0"/>
        <w:adjustRightInd w:val="0"/>
        <w:spacing w:before="0"/>
        <w:ind w:left="851" w:hanging="851"/>
        <w:rPr>
          <w:rFonts w:eastAsia="Arial" w:cs="Arial"/>
          <w:b/>
          <w:bCs/>
          <w:spacing w:val="-1"/>
        </w:rPr>
      </w:pPr>
      <w:r>
        <w:rPr>
          <w:rFonts w:eastAsia="Arial" w:cs="Arial"/>
          <w:b/>
          <w:bCs/>
          <w:spacing w:val="-1"/>
        </w:rPr>
        <w:tab/>
      </w:r>
      <w:r w:rsidR="00CA1587" w:rsidRPr="008C275A">
        <w:rPr>
          <w:rFonts w:eastAsia="Arial" w:cs="Arial"/>
          <w:b/>
          <w:bCs/>
          <w:spacing w:val="-1"/>
        </w:rPr>
        <w:t>Listed Buildings</w:t>
      </w:r>
    </w:p>
    <w:p w14:paraId="214DA0ED" w14:textId="77777777" w:rsidR="00CA1587" w:rsidRPr="00CA1587" w:rsidRDefault="00CA1587" w:rsidP="00C66622">
      <w:pPr>
        <w:keepNext w:val="0"/>
        <w:numPr>
          <w:ilvl w:val="1"/>
          <w:numId w:val="5"/>
        </w:numPr>
        <w:tabs>
          <w:tab w:val="clear" w:pos="525"/>
          <w:tab w:val="num" w:pos="851"/>
        </w:tabs>
        <w:autoSpaceDE w:val="0"/>
        <w:autoSpaceDN w:val="0"/>
        <w:adjustRightInd w:val="0"/>
        <w:spacing w:before="0"/>
        <w:ind w:left="851" w:hanging="851"/>
        <w:rPr>
          <w:rFonts w:eastAsia="Arial" w:cs="Arial"/>
          <w:spacing w:val="-1"/>
        </w:rPr>
      </w:pPr>
      <w:r w:rsidRPr="00CA1587">
        <w:rPr>
          <w:rFonts w:eastAsia="Arial" w:cs="Arial"/>
          <w:spacing w:val="-1"/>
        </w:rPr>
        <w:t>Listed Buildings are buildings that appear on the Secretary of State's 'List of Buildings of Special Architectural or Historic Interest', prepared by the Department of Culture, Media and Sport. In England the statutory body responsible for maintaining ‘the list’ is Historic England. The National Heritage List for England (NHLE) is the only official and up-to-date database of all listed and designated heritage sites.</w:t>
      </w:r>
    </w:p>
    <w:p w14:paraId="3A235EEB" w14:textId="77777777" w:rsidR="00CA1587" w:rsidRPr="00CA1587" w:rsidRDefault="00CA1587" w:rsidP="00C66622">
      <w:pPr>
        <w:keepNext w:val="0"/>
        <w:tabs>
          <w:tab w:val="num" w:pos="851"/>
        </w:tabs>
        <w:autoSpaceDE w:val="0"/>
        <w:autoSpaceDN w:val="0"/>
        <w:adjustRightInd w:val="0"/>
        <w:spacing w:before="0"/>
        <w:ind w:left="851" w:hanging="851"/>
        <w:rPr>
          <w:rFonts w:eastAsia="Arial" w:cs="Arial"/>
          <w:spacing w:val="-1"/>
        </w:rPr>
      </w:pPr>
    </w:p>
    <w:p w14:paraId="79FD2766" w14:textId="01D52756" w:rsidR="00CA1587" w:rsidRPr="00CA1587" w:rsidRDefault="00CA1587" w:rsidP="00C66622">
      <w:pPr>
        <w:keepNext w:val="0"/>
        <w:numPr>
          <w:ilvl w:val="1"/>
          <w:numId w:val="5"/>
        </w:numPr>
        <w:tabs>
          <w:tab w:val="clear" w:pos="525"/>
          <w:tab w:val="num" w:pos="851"/>
        </w:tabs>
        <w:autoSpaceDE w:val="0"/>
        <w:autoSpaceDN w:val="0"/>
        <w:adjustRightInd w:val="0"/>
        <w:spacing w:before="0"/>
        <w:ind w:left="851" w:hanging="851"/>
        <w:rPr>
          <w:rFonts w:eastAsia="Arial" w:cs="Arial"/>
          <w:spacing w:val="-1"/>
        </w:rPr>
      </w:pPr>
      <w:r w:rsidRPr="00CA1587">
        <w:rPr>
          <w:rFonts w:eastAsia="Arial" w:cs="Arial"/>
          <w:spacing w:val="-1"/>
        </w:rPr>
        <w:t>Listing is a process of recognition of architectural and historic interest, which includes both the exterior and interior</w:t>
      </w:r>
      <w:r w:rsidRPr="002E7654">
        <w:rPr>
          <w:rFonts w:eastAsia="Arial" w:cs="Arial"/>
          <w:spacing w:val="-1"/>
        </w:rPr>
        <w:t xml:space="preserve">, </w:t>
      </w:r>
      <w:r w:rsidR="0028773A" w:rsidRPr="002E7654">
        <w:rPr>
          <w:rFonts w:eastAsia="Arial" w:cs="Arial"/>
          <w:spacing w:val="-1"/>
        </w:rPr>
        <w:t xml:space="preserve">often </w:t>
      </w:r>
      <w:r w:rsidRPr="002E7654">
        <w:rPr>
          <w:rFonts w:eastAsia="Arial" w:cs="Arial"/>
          <w:spacing w:val="-1"/>
        </w:rPr>
        <w:t>including pre-1948 buildings within the curtilage. Listed buildings are graded to show their rel</w:t>
      </w:r>
      <w:r w:rsidRPr="00CA1587">
        <w:rPr>
          <w:rFonts w:eastAsia="Arial" w:cs="Arial"/>
          <w:spacing w:val="-1"/>
        </w:rPr>
        <w:t>ative architectural or historic interest, as follows:</w:t>
      </w:r>
    </w:p>
    <w:p w14:paraId="7FDD5F93" w14:textId="77777777" w:rsidR="00CA1587" w:rsidRPr="00CA1587" w:rsidRDefault="00CA1587" w:rsidP="00C66622">
      <w:pPr>
        <w:keepNext w:val="0"/>
        <w:tabs>
          <w:tab w:val="num" w:pos="851"/>
        </w:tabs>
        <w:autoSpaceDE w:val="0"/>
        <w:autoSpaceDN w:val="0"/>
        <w:adjustRightInd w:val="0"/>
        <w:spacing w:before="0"/>
        <w:ind w:left="851" w:hanging="851"/>
        <w:rPr>
          <w:rFonts w:eastAsia="Arial" w:cs="Arial"/>
          <w:spacing w:val="-1"/>
        </w:rPr>
      </w:pPr>
    </w:p>
    <w:p w14:paraId="6AA87D6A" w14:textId="77777777" w:rsidR="00CA1587" w:rsidRPr="008C275A" w:rsidRDefault="00CA1587" w:rsidP="00874A98">
      <w:pPr>
        <w:pStyle w:val="ListParagraph"/>
        <w:numPr>
          <w:ilvl w:val="0"/>
          <w:numId w:val="228"/>
        </w:numPr>
        <w:autoSpaceDE w:val="0"/>
        <w:autoSpaceDN w:val="0"/>
        <w:adjustRightInd w:val="0"/>
        <w:ind w:left="1134" w:hanging="284"/>
        <w:rPr>
          <w:rFonts w:ascii="Arial" w:eastAsia="Arial" w:hAnsi="Arial" w:cs="Arial"/>
          <w:spacing w:val="-1"/>
        </w:rPr>
      </w:pPr>
      <w:r w:rsidRPr="008C275A">
        <w:rPr>
          <w:rFonts w:ascii="Arial" w:eastAsia="Arial" w:hAnsi="Arial" w:cs="Arial"/>
          <w:spacing w:val="-1"/>
        </w:rPr>
        <w:t>Grade I buildings are of exceptional interest (two in Ashfield);</w:t>
      </w:r>
    </w:p>
    <w:p w14:paraId="5CE044D1" w14:textId="77777777" w:rsidR="00CA1587" w:rsidRPr="008C275A" w:rsidRDefault="00CA1587" w:rsidP="00874A98">
      <w:pPr>
        <w:pStyle w:val="ListParagraph"/>
        <w:numPr>
          <w:ilvl w:val="0"/>
          <w:numId w:val="228"/>
        </w:numPr>
        <w:autoSpaceDE w:val="0"/>
        <w:autoSpaceDN w:val="0"/>
        <w:adjustRightInd w:val="0"/>
        <w:ind w:left="1134" w:hanging="283"/>
        <w:rPr>
          <w:rFonts w:ascii="Arial" w:eastAsia="Arial" w:hAnsi="Arial" w:cs="Arial"/>
          <w:spacing w:val="-1"/>
        </w:rPr>
      </w:pPr>
      <w:r w:rsidRPr="008C275A">
        <w:rPr>
          <w:rFonts w:ascii="Arial" w:eastAsia="Arial" w:hAnsi="Arial" w:cs="Arial"/>
          <w:spacing w:val="-1"/>
        </w:rPr>
        <w:t>Grade II* buildings are particularly important buildings of more than special interest (four in Ashfield);</w:t>
      </w:r>
    </w:p>
    <w:p w14:paraId="43514ED5" w14:textId="01252960" w:rsidR="00CA1587" w:rsidRPr="008C275A" w:rsidRDefault="00CA1587" w:rsidP="00874A98">
      <w:pPr>
        <w:pStyle w:val="ListParagraph"/>
        <w:numPr>
          <w:ilvl w:val="0"/>
          <w:numId w:val="228"/>
        </w:numPr>
        <w:autoSpaceDE w:val="0"/>
        <w:autoSpaceDN w:val="0"/>
        <w:adjustRightInd w:val="0"/>
        <w:ind w:left="1134" w:hanging="283"/>
        <w:rPr>
          <w:rFonts w:ascii="Arial" w:eastAsia="Arial" w:hAnsi="Arial" w:cs="Arial"/>
          <w:spacing w:val="-1"/>
        </w:rPr>
      </w:pPr>
      <w:r w:rsidRPr="008C275A">
        <w:rPr>
          <w:rFonts w:ascii="Arial" w:eastAsia="Arial" w:hAnsi="Arial" w:cs="Arial"/>
          <w:spacing w:val="-1"/>
        </w:rPr>
        <w:t>Grade II buildings are of special interest, warranting every effort to preserve them.</w:t>
      </w:r>
    </w:p>
    <w:p w14:paraId="214A1381" w14:textId="56F10399" w:rsidR="00CA1587" w:rsidRPr="00CA1587" w:rsidRDefault="00CA1587" w:rsidP="00C66622">
      <w:pPr>
        <w:keepNext w:val="0"/>
        <w:numPr>
          <w:ilvl w:val="1"/>
          <w:numId w:val="5"/>
        </w:numPr>
        <w:tabs>
          <w:tab w:val="clear" w:pos="525"/>
          <w:tab w:val="num" w:pos="851"/>
        </w:tabs>
        <w:autoSpaceDE w:val="0"/>
        <w:autoSpaceDN w:val="0"/>
        <w:adjustRightInd w:val="0"/>
        <w:spacing w:before="0"/>
        <w:ind w:left="851" w:hanging="851"/>
        <w:rPr>
          <w:rFonts w:eastAsia="Arial" w:cs="Arial"/>
          <w:spacing w:val="-1"/>
        </w:rPr>
      </w:pPr>
      <w:r w:rsidRPr="00CA1587">
        <w:rPr>
          <w:rFonts w:eastAsia="Arial" w:cs="Arial"/>
          <w:spacing w:val="-1"/>
        </w:rPr>
        <w:t xml:space="preserve">Ashfield has a limited stock of statutorily listed buildings. They represent a finite asset and for that reason their loss will not be permitted unless the Council is satisfied that every possible alternative approach for restoration, conversion or re-use has been thoroughly explored. The fact that a building has become derelict will not in itself be regarded as sufficient reason to permit its demolition. In most cases, the Council will seek demonstrable proof that every possible effort has been made to secure an alternative use for a building before considering any proposals to demolish. This would normally include evidence of the offer of the unrestricted freehold of the building on the open market at a realistic price and for a reasonable period (this could be as much as five years in some circumstances, dependent upon local market conditions), proof of relevant and recent exploration of charitable use and grants with a range of heritage bodies and local organisations. </w:t>
      </w:r>
      <w:r w:rsidRPr="00A56503">
        <w:rPr>
          <w:rFonts w:eastAsia="Arial" w:cs="Arial"/>
          <w:spacing w:val="-1"/>
        </w:rPr>
        <w:t>Policy SD</w:t>
      </w:r>
      <w:r w:rsidR="00A56503" w:rsidRPr="00A56503">
        <w:rPr>
          <w:rFonts w:eastAsia="Arial" w:cs="Arial"/>
          <w:spacing w:val="-1"/>
        </w:rPr>
        <w:t>6</w:t>
      </w:r>
      <w:r w:rsidRPr="00CA1587">
        <w:rPr>
          <w:rFonts w:eastAsia="Arial" w:cs="Arial"/>
          <w:spacing w:val="-1"/>
        </w:rPr>
        <w:t xml:space="preserve">: Assessing </w:t>
      </w:r>
      <w:r w:rsidR="00EF521C">
        <w:rPr>
          <w:rFonts w:eastAsia="Arial" w:cs="Arial"/>
          <w:spacing w:val="-1"/>
        </w:rPr>
        <w:t xml:space="preserve">Development </w:t>
      </w:r>
      <w:r w:rsidRPr="00CA1587">
        <w:rPr>
          <w:rFonts w:eastAsia="Arial" w:cs="Arial"/>
          <w:spacing w:val="-1"/>
        </w:rPr>
        <w:t xml:space="preserve">Viability, </w:t>
      </w:r>
      <w:r w:rsidR="00EF521C">
        <w:rPr>
          <w:rFonts w:eastAsia="Arial" w:cs="Arial"/>
          <w:spacing w:val="-1"/>
        </w:rPr>
        <w:t xml:space="preserve">and Development Demand </w:t>
      </w:r>
      <w:r w:rsidRPr="00CA1587">
        <w:rPr>
          <w:rFonts w:eastAsia="Arial" w:cs="Arial"/>
          <w:spacing w:val="-1"/>
        </w:rPr>
        <w:t>and its supporting text, provides details on the Demand test and/or the Viability Test.</w:t>
      </w:r>
    </w:p>
    <w:p w14:paraId="31DAF256" w14:textId="77777777" w:rsidR="00CA1587" w:rsidRPr="00CA1587" w:rsidRDefault="00CA1587" w:rsidP="00C66622">
      <w:pPr>
        <w:keepNext w:val="0"/>
        <w:tabs>
          <w:tab w:val="num" w:pos="851"/>
        </w:tabs>
        <w:autoSpaceDE w:val="0"/>
        <w:autoSpaceDN w:val="0"/>
        <w:adjustRightInd w:val="0"/>
        <w:spacing w:before="0"/>
        <w:ind w:left="851" w:hanging="851"/>
        <w:rPr>
          <w:rFonts w:eastAsia="Arial" w:cs="Arial"/>
          <w:spacing w:val="-1"/>
        </w:rPr>
      </w:pPr>
    </w:p>
    <w:p w14:paraId="1D573ED0" w14:textId="687E92EC" w:rsidR="00CA1587" w:rsidRDefault="00CA1587" w:rsidP="006D4F49">
      <w:pPr>
        <w:keepNext w:val="0"/>
        <w:numPr>
          <w:ilvl w:val="1"/>
          <w:numId w:val="5"/>
        </w:numPr>
        <w:tabs>
          <w:tab w:val="clear" w:pos="525"/>
          <w:tab w:val="num" w:pos="851"/>
        </w:tabs>
        <w:autoSpaceDE w:val="0"/>
        <w:autoSpaceDN w:val="0"/>
        <w:adjustRightInd w:val="0"/>
        <w:spacing w:before="0"/>
        <w:ind w:left="851" w:hanging="851"/>
        <w:rPr>
          <w:rFonts w:eastAsia="Arial" w:cs="Arial"/>
          <w:spacing w:val="-1"/>
        </w:rPr>
      </w:pPr>
      <w:r w:rsidRPr="00CA1587">
        <w:rPr>
          <w:rFonts w:eastAsia="Arial" w:cs="Arial"/>
          <w:spacing w:val="-1"/>
        </w:rPr>
        <w:t>The best use for a listed building is normally that for which it was designed.  In many cases it must be accepted that the continuation of the original use is now not a practicable proposition and it will often be essential to find appropriate alternative uses to secure the future of the building. Alternative uses should respect the fabric and appearance of the building and require minimum internal and external alteration.</w:t>
      </w:r>
    </w:p>
    <w:p w14:paraId="5AD745FE" w14:textId="77777777" w:rsidR="00A81691" w:rsidRPr="006D4F49" w:rsidRDefault="00A81691" w:rsidP="00A81691">
      <w:pPr>
        <w:keepNext w:val="0"/>
        <w:autoSpaceDE w:val="0"/>
        <w:autoSpaceDN w:val="0"/>
        <w:adjustRightInd w:val="0"/>
        <w:spacing w:before="0"/>
        <w:rPr>
          <w:rFonts w:eastAsia="Arial" w:cs="Arial"/>
          <w:spacing w:val="-1"/>
        </w:rPr>
      </w:pPr>
    </w:p>
    <w:p w14:paraId="37116869" w14:textId="129AC378" w:rsidR="00CA1587" w:rsidRPr="008C275A" w:rsidRDefault="00C66622" w:rsidP="00C66622">
      <w:pPr>
        <w:keepNext w:val="0"/>
        <w:tabs>
          <w:tab w:val="num" w:pos="851"/>
        </w:tabs>
        <w:autoSpaceDE w:val="0"/>
        <w:autoSpaceDN w:val="0"/>
        <w:adjustRightInd w:val="0"/>
        <w:spacing w:before="0"/>
        <w:ind w:left="851" w:hanging="851"/>
        <w:rPr>
          <w:rFonts w:eastAsia="Arial" w:cs="Arial"/>
          <w:b/>
          <w:bCs/>
          <w:spacing w:val="-1"/>
        </w:rPr>
      </w:pPr>
      <w:r>
        <w:rPr>
          <w:rFonts w:eastAsia="Arial" w:cs="Arial"/>
          <w:b/>
          <w:bCs/>
          <w:spacing w:val="-1"/>
        </w:rPr>
        <w:tab/>
      </w:r>
      <w:r w:rsidR="00CA1587" w:rsidRPr="008C275A">
        <w:rPr>
          <w:rFonts w:eastAsia="Arial" w:cs="Arial"/>
          <w:b/>
          <w:bCs/>
          <w:spacing w:val="-1"/>
        </w:rPr>
        <w:t>Heritage at Risk</w:t>
      </w:r>
    </w:p>
    <w:p w14:paraId="31DF5C7C" w14:textId="3336D7E7" w:rsidR="00CA1587" w:rsidRPr="00CA1587" w:rsidRDefault="00CA1587" w:rsidP="00C66622">
      <w:pPr>
        <w:keepNext w:val="0"/>
        <w:numPr>
          <w:ilvl w:val="1"/>
          <w:numId w:val="5"/>
        </w:numPr>
        <w:tabs>
          <w:tab w:val="clear" w:pos="525"/>
          <w:tab w:val="num" w:pos="851"/>
        </w:tabs>
        <w:autoSpaceDE w:val="0"/>
        <w:autoSpaceDN w:val="0"/>
        <w:adjustRightInd w:val="0"/>
        <w:spacing w:before="0"/>
        <w:ind w:left="851" w:hanging="851"/>
        <w:rPr>
          <w:rFonts w:eastAsia="Arial" w:cs="Arial"/>
          <w:spacing w:val="-1"/>
        </w:rPr>
      </w:pPr>
      <w:r w:rsidRPr="00CA1587">
        <w:rPr>
          <w:rFonts w:eastAsia="Arial" w:cs="Arial"/>
          <w:spacing w:val="-1"/>
        </w:rPr>
        <w:t xml:space="preserve">Heritage at risk includes buildings or sites that are at risk of being lost as a result of neglect, decay or inappropriate development. Heritage at risk is monitored by Historic England, Nottinghamshire County Council and Ashfield District Council. The Council will support the repair and re-use of heritage assets at risk especially where proposals will conserve them in a manner appropriate to their significance.  </w:t>
      </w:r>
    </w:p>
    <w:p w14:paraId="60EBE0CE" w14:textId="77777777" w:rsidR="00CA1587" w:rsidRPr="00CA1587" w:rsidRDefault="00CA1587" w:rsidP="00C66622">
      <w:pPr>
        <w:keepNext w:val="0"/>
        <w:tabs>
          <w:tab w:val="num" w:pos="851"/>
        </w:tabs>
        <w:autoSpaceDE w:val="0"/>
        <w:autoSpaceDN w:val="0"/>
        <w:adjustRightInd w:val="0"/>
        <w:spacing w:before="0"/>
        <w:ind w:left="851" w:hanging="851"/>
        <w:rPr>
          <w:rFonts w:eastAsia="Arial" w:cs="Arial"/>
          <w:spacing w:val="-1"/>
        </w:rPr>
      </w:pPr>
    </w:p>
    <w:p w14:paraId="541C1DEB" w14:textId="77777777" w:rsidR="00CA1587" w:rsidRPr="00CA1587" w:rsidRDefault="00CA1587" w:rsidP="00C66622">
      <w:pPr>
        <w:keepNext w:val="0"/>
        <w:numPr>
          <w:ilvl w:val="1"/>
          <w:numId w:val="5"/>
        </w:numPr>
        <w:tabs>
          <w:tab w:val="clear" w:pos="525"/>
          <w:tab w:val="num" w:pos="851"/>
        </w:tabs>
        <w:autoSpaceDE w:val="0"/>
        <w:autoSpaceDN w:val="0"/>
        <w:adjustRightInd w:val="0"/>
        <w:spacing w:before="0"/>
        <w:ind w:left="851" w:hanging="851"/>
        <w:rPr>
          <w:rFonts w:eastAsia="Arial" w:cs="Arial"/>
          <w:spacing w:val="-1"/>
        </w:rPr>
      </w:pPr>
      <w:r w:rsidRPr="00CA1587">
        <w:rPr>
          <w:rFonts w:eastAsia="Arial" w:cs="Arial"/>
          <w:spacing w:val="-1"/>
        </w:rPr>
        <w:t>Proposals for enabling development to provide for the repair of listed buildings will be considered against criteria contained in Historic England’s Policy Statement: Enabling Development and the Conservation of Significant Places 2008, or any subsequent guidance, and all other material considerations.</w:t>
      </w:r>
    </w:p>
    <w:p w14:paraId="55B4AD77" w14:textId="77777777" w:rsidR="00CA1587" w:rsidRPr="00CA1587" w:rsidRDefault="00CA1587" w:rsidP="00C66622">
      <w:pPr>
        <w:keepNext w:val="0"/>
        <w:tabs>
          <w:tab w:val="num" w:pos="851"/>
        </w:tabs>
        <w:autoSpaceDE w:val="0"/>
        <w:autoSpaceDN w:val="0"/>
        <w:adjustRightInd w:val="0"/>
        <w:spacing w:before="0"/>
        <w:ind w:left="851" w:hanging="851"/>
        <w:rPr>
          <w:rFonts w:eastAsia="Arial" w:cs="Arial"/>
          <w:spacing w:val="-1"/>
        </w:rPr>
      </w:pPr>
    </w:p>
    <w:p w14:paraId="0F6F9A0E" w14:textId="77777777" w:rsidR="00CA1587" w:rsidRPr="00CA1587" w:rsidRDefault="00CA1587" w:rsidP="00C66622">
      <w:pPr>
        <w:keepNext w:val="0"/>
        <w:numPr>
          <w:ilvl w:val="1"/>
          <w:numId w:val="5"/>
        </w:numPr>
        <w:tabs>
          <w:tab w:val="clear" w:pos="525"/>
          <w:tab w:val="num" w:pos="851"/>
        </w:tabs>
        <w:autoSpaceDE w:val="0"/>
        <w:autoSpaceDN w:val="0"/>
        <w:adjustRightInd w:val="0"/>
        <w:spacing w:before="0"/>
        <w:ind w:left="851" w:hanging="851"/>
        <w:rPr>
          <w:rFonts w:eastAsia="Arial" w:cs="Arial"/>
          <w:spacing w:val="-1"/>
        </w:rPr>
      </w:pPr>
      <w:r w:rsidRPr="00CA1587">
        <w:rPr>
          <w:rFonts w:eastAsia="Arial" w:cs="Arial"/>
          <w:spacing w:val="-1"/>
        </w:rPr>
        <w:t>The Council will record and monitor heritage assets that are at risk and work proactively with owners and stakeholders, or take action where necessary, including the use of statutory powers, to help secure their long-term viable use.</w:t>
      </w:r>
    </w:p>
    <w:p w14:paraId="4775CD2C" w14:textId="77777777" w:rsidR="00CA1587" w:rsidRPr="00CA1587" w:rsidRDefault="00CA1587" w:rsidP="00C66622">
      <w:pPr>
        <w:keepNext w:val="0"/>
        <w:tabs>
          <w:tab w:val="num" w:pos="851"/>
        </w:tabs>
        <w:autoSpaceDE w:val="0"/>
        <w:autoSpaceDN w:val="0"/>
        <w:adjustRightInd w:val="0"/>
        <w:spacing w:before="0"/>
        <w:ind w:left="851" w:hanging="851"/>
        <w:rPr>
          <w:rFonts w:eastAsia="Arial" w:cs="Arial"/>
          <w:spacing w:val="-1"/>
        </w:rPr>
      </w:pPr>
    </w:p>
    <w:p w14:paraId="0D4CF2C5" w14:textId="1FDD949B" w:rsidR="00CA1587" w:rsidRPr="008C275A" w:rsidRDefault="00C66622" w:rsidP="00C66622">
      <w:pPr>
        <w:keepNext w:val="0"/>
        <w:tabs>
          <w:tab w:val="num" w:pos="851"/>
        </w:tabs>
        <w:autoSpaceDE w:val="0"/>
        <w:autoSpaceDN w:val="0"/>
        <w:adjustRightInd w:val="0"/>
        <w:spacing w:before="0"/>
        <w:ind w:left="851" w:hanging="851"/>
        <w:rPr>
          <w:rFonts w:eastAsia="Arial" w:cs="Arial"/>
          <w:b/>
          <w:bCs/>
          <w:spacing w:val="-1"/>
        </w:rPr>
      </w:pPr>
      <w:r>
        <w:rPr>
          <w:rFonts w:eastAsia="Arial" w:cs="Arial"/>
          <w:b/>
          <w:bCs/>
          <w:spacing w:val="-1"/>
        </w:rPr>
        <w:tab/>
      </w:r>
      <w:r w:rsidR="00CA1587" w:rsidRPr="008C275A">
        <w:rPr>
          <w:rFonts w:eastAsia="Arial" w:cs="Arial"/>
          <w:b/>
          <w:bCs/>
          <w:spacing w:val="-1"/>
        </w:rPr>
        <w:t>Non-Designated Heritage Assets</w:t>
      </w:r>
    </w:p>
    <w:p w14:paraId="5C0A249D" w14:textId="77777777" w:rsidR="00CA1587" w:rsidRPr="00CA1587" w:rsidRDefault="00CA1587" w:rsidP="00C66622">
      <w:pPr>
        <w:keepNext w:val="0"/>
        <w:numPr>
          <w:ilvl w:val="1"/>
          <w:numId w:val="5"/>
        </w:numPr>
        <w:tabs>
          <w:tab w:val="clear" w:pos="525"/>
          <w:tab w:val="num" w:pos="851"/>
        </w:tabs>
        <w:autoSpaceDE w:val="0"/>
        <w:autoSpaceDN w:val="0"/>
        <w:adjustRightInd w:val="0"/>
        <w:spacing w:before="0"/>
        <w:ind w:left="851" w:hanging="851"/>
        <w:rPr>
          <w:rFonts w:eastAsia="Arial" w:cs="Arial"/>
          <w:spacing w:val="-1"/>
        </w:rPr>
      </w:pPr>
      <w:r w:rsidRPr="00CA1587">
        <w:rPr>
          <w:rFonts w:eastAsia="Arial" w:cs="Arial"/>
          <w:spacing w:val="-1"/>
        </w:rPr>
        <w:t>Non-designated heritage assets can still be of great importance to the historic environment locally. The Council has introduced a scheme by which historic assets of local importance are identified, using local selection criteria.  This status would be a material consideration in assessing planning applications affecting such buildings or assets.</w:t>
      </w:r>
    </w:p>
    <w:p w14:paraId="0C2B8BF5" w14:textId="77777777" w:rsidR="00CA1587" w:rsidRPr="00CA1587" w:rsidRDefault="00CA1587" w:rsidP="00C66622">
      <w:pPr>
        <w:keepNext w:val="0"/>
        <w:tabs>
          <w:tab w:val="num" w:pos="851"/>
        </w:tabs>
        <w:autoSpaceDE w:val="0"/>
        <w:autoSpaceDN w:val="0"/>
        <w:adjustRightInd w:val="0"/>
        <w:spacing w:before="0"/>
        <w:ind w:left="851" w:hanging="851"/>
        <w:rPr>
          <w:rFonts w:eastAsia="Arial" w:cs="Arial"/>
          <w:spacing w:val="-1"/>
        </w:rPr>
      </w:pPr>
      <w:r w:rsidRPr="00CA1587">
        <w:rPr>
          <w:rFonts w:eastAsia="Arial" w:cs="Arial"/>
          <w:spacing w:val="-1"/>
        </w:rPr>
        <w:t xml:space="preserve">  </w:t>
      </w:r>
    </w:p>
    <w:p w14:paraId="7DA4DF36" w14:textId="2490CAE7" w:rsidR="00CA1587" w:rsidRPr="00E81E3D" w:rsidRDefault="00CA1587" w:rsidP="00C66622">
      <w:pPr>
        <w:keepNext w:val="0"/>
        <w:numPr>
          <w:ilvl w:val="1"/>
          <w:numId w:val="5"/>
        </w:numPr>
        <w:tabs>
          <w:tab w:val="clear" w:pos="525"/>
          <w:tab w:val="num" w:pos="851"/>
        </w:tabs>
        <w:autoSpaceDE w:val="0"/>
        <w:autoSpaceDN w:val="0"/>
        <w:adjustRightInd w:val="0"/>
        <w:spacing w:before="0"/>
        <w:ind w:left="851" w:hanging="851"/>
        <w:rPr>
          <w:rFonts w:eastAsia="Arial" w:cs="Arial"/>
          <w:spacing w:val="-1"/>
        </w:rPr>
      </w:pPr>
      <w:r w:rsidRPr="00CA1587">
        <w:rPr>
          <w:rFonts w:eastAsia="Arial" w:cs="Arial"/>
          <w:spacing w:val="-1"/>
        </w:rPr>
        <w:t xml:space="preserve">Currently identified local heritage assets are mapped on the Council’s website, together with a criteria based document to enable the identification of future local heritage assets at any given time. The mapping system will be maintained and kept under review by the Council. The absence of any particular local heritage asset on the mapping system should not be taken to imply that it has no heritage value, simply that it has yet to be identified </w:t>
      </w:r>
      <w:r w:rsidRPr="00E81E3D">
        <w:rPr>
          <w:rFonts w:eastAsia="Arial" w:cs="Arial"/>
          <w:spacing w:val="-1"/>
        </w:rPr>
        <w:t xml:space="preserve">or it does not currently meet the selection criteria. </w:t>
      </w:r>
    </w:p>
    <w:p w14:paraId="39141713" w14:textId="77777777" w:rsidR="00CA1587" w:rsidRPr="00CA1587" w:rsidRDefault="00CA1587" w:rsidP="00C66622">
      <w:pPr>
        <w:keepNext w:val="0"/>
        <w:tabs>
          <w:tab w:val="num" w:pos="851"/>
        </w:tabs>
        <w:autoSpaceDE w:val="0"/>
        <w:autoSpaceDN w:val="0"/>
        <w:adjustRightInd w:val="0"/>
        <w:spacing w:before="0"/>
        <w:ind w:left="851" w:hanging="851"/>
        <w:rPr>
          <w:rFonts w:eastAsia="Arial" w:cs="Arial"/>
          <w:spacing w:val="-1"/>
        </w:rPr>
      </w:pPr>
    </w:p>
    <w:p w14:paraId="52C60280" w14:textId="7200EEF3" w:rsidR="00CA1587" w:rsidRPr="00CA1587" w:rsidRDefault="00CA1587" w:rsidP="002E7654">
      <w:pPr>
        <w:keepNext w:val="0"/>
        <w:numPr>
          <w:ilvl w:val="1"/>
          <w:numId w:val="5"/>
        </w:numPr>
        <w:tabs>
          <w:tab w:val="clear" w:pos="525"/>
          <w:tab w:val="num" w:pos="851"/>
        </w:tabs>
        <w:autoSpaceDE w:val="0"/>
        <w:autoSpaceDN w:val="0"/>
        <w:adjustRightInd w:val="0"/>
        <w:spacing w:before="0"/>
        <w:ind w:left="851" w:hanging="851"/>
        <w:rPr>
          <w:rFonts w:eastAsia="Arial" w:cs="Arial"/>
          <w:spacing w:val="-1"/>
        </w:rPr>
      </w:pPr>
      <w:r w:rsidRPr="00CA1587">
        <w:rPr>
          <w:rFonts w:eastAsia="Arial" w:cs="Arial"/>
          <w:spacing w:val="-1"/>
        </w:rPr>
        <w:t>The loss of non-designated heritage assets, including local heritage assets, would be detrimental to the appearance, character, townscape quality or heritage of the District. Therefore, the Council will seek to encourage the retention, restoration and continued beneficial use of these assets wherever possible. Proposals to alter them should, for example, be architecturally compatible with the style of the original asset. Where planning permission is required</w:t>
      </w:r>
      <w:r w:rsidR="00351C44">
        <w:rPr>
          <w:rFonts w:eastAsia="Arial" w:cs="Arial"/>
          <w:spacing w:val="-1"/>
        </w:rPr>
        <w:t>,</w:t>
      </w:r>
      <w:r w:rsidRPr="00CA1587">
        <w:rPr>
          <w:rFonts w:eastAsia="Arial" w:cs="Arial"/>
          <w:spacing w:val="-1"/>
        </w:rPr>
        <w:t xml:space="preserve"> the Council will resist the loss of non-designated heritage assets, including local heritage assets</w:t>
      </w:r>
      <w:r w:rsidR="006E1045">
        <w:rPr>
          <w:rFonts w:eastAsia="Arial" w:cs="Arial"/>
          <w:spacing w:val="-1"/>
        </w:rPr>
        <w:t>.</w:t>
      </w:r>
      <w:r w:rsidRPr="00CA1587">
        <w:rPr>
          <w:rFonts w:eastAsia="Arial" w:cs="Arial"/>
          <w:spacing w:val="-1"/>
        </w:rPr>
        <w:t xml:space="preserve"> This would normally include evidence that the asset is in incapable of viable repair or evidence that the building/asset has no viable use in the medium term through appropriate marketing. </w:t>
      </w:r>
      <w:r w:rsidRPr="00A56503">
        <w:rPr>
          <w:rFonts w:eastAsia="Arial" w:cs="Arial"/>
          <w:spacing w:val="-1"/>
        </w:rPr>
        <w:t>Policy SD</w:t>
      </w:r>
      <w:r w:rsidR="00A56503" w:rsidRPr="00A56503">
        <w:rPr>
          <w:rFonts w:eastAsia="Arial" w:cs="Arial"/>
          <w:spacing w:val="-1"/>
        </w:rPr>
        <w:t>6</w:t>
      </w:r>
      <w:r w:rsidRPr="00A56503">
        <w:rPr>
          <w:rFonts w:eastAsia="Arial" w:cs="Arial"/>
          <w:spacing w:val="-1"/>
        </w:rPr>
        <w:t>:</w:t>
      </w:r>
      <w:r w:rsidRPr="00CA1587">
        <w:rPr>
          <w:rFonts w:eastAsia="Arial" w:cs="Arial"/>
          <w:spacing w:val="-1"/>
        </w:rPr>
        <w:t xml:space="preserve"> Assessing </w:t>
      </w:r>
      <w:r w:rsidR="00EF521C">
        <w:rPr>
          <w:rFonts w:eastAsia="Arial" w:cs="Arial"/>
          <w:spacing w:val="-1"/>
        </w:rPr>
        <w:t xml:space="preserve">Development </w:t>
      </w:r>
      <w:r w:rsidRPr="00CA1587">
        <w:rPr>
          <w:rFonts w:eastAsia="Arial" w:cs="Arial"/>
          <w:spacing w:val="-1"/>
        </w:rPr>
        <w:t xml:space="preserve">Viability, and </w:t>
      </w:r>
      <w:r w:rsidR="00EF521C">
        <w:rPr>
          <w:rFonts w:eastAsia="Arial" w:cs="Arial"/>
          <w:spacing w:val="-1"/>
        </w:rPr>
        <w:t xml:space="preserve">Development Demand </w:t>
      </w:r>
      <w:r w:rsidRPr="00CA1587">
        <w:rPr>
          <w:rFonts w:eastAsia="Arial" w:cs="Arial"/>
          <w:spacing w:val="-1"/>
        </w:rPr>
        <w:t>its supporting text, provides details on the Demand test and/or the Viability Test.</w:t>
      </w:r>
    </w:p>
    <w:p w14:paraId="115AD719" w14:textId="77777777" w:rsidR="00CA1587" w:rsidRPr="00CA1587" w:rsidRDefault="00CA1587" w:rsidP="00C66622">
      <w:pPr>
        <w:keepNext w:val="0"/>
        <w:tabs>
          <w:tab w:val="num" w:pos="851"/>
        </w:tabs>
        <w:autoSpaceDE w:val="0"/>
        <w:autoSpaceDN w:val="0"/>
        <w:adjustRightInd w:val="0"/>
        <w:spacing w:before="0"/>
        <w:ind w:left="851" w:hanging="851"/>
        <w:rPr>
          <w:rFonts w:eastAsia="Arial" w:cs="Arial"/>
          <w:spacing w:val="-1"/>
        </w:rPr>
      </w:pPr>
    </w:p>
    <w:p w14:paraId="64FA9174" w14:textId="77777777" w:rsidR="00CA1587" w:rsidRPr="00CA1587" w:rsidRDefault="00CA1587" w:rsidP="00C66622">
      <w:pPr>
        <w:keepNext w:val="0"/>
        <w:numPr>
          <w:ilvl w:val="1"/>
          <w:numId w:val="5"/>
        </w:numPr>
        <w:tabs>
          <w:tab w:val="clear" w:pos="525"/>
          <w:tab w:val="num" w:pos="851"/>
        </w:tabs>
        <w:autoSpaceDE w:val="0"/>
        <w:autoSpaceDN w:val="0"/>
        <w:adjustRightInd w:val="0"/>
        <w:spacing w:before="0"/>
        <w:ind w:left="851" w:hanging="851"/>
        <w:rPr>
          <w:rFonts w:eastAsia="Arial" w:cs="Arial"/>
          <w:spacing w:val="-1"/>
        </w:rPr>
      </w:pPr>
      <w:r w:rsidRPr="00CA1587">
        <w:rPr>
          <w:rFonts w:eastAsia="Arial" w:cs="Arial"/>
          <w:spacing w:val="-1"/>
        </w:rPr>
        <w:t>The setting of local heritage assets may contribute to their intrinsic qualities, and the Council will seek to protect both the character and setting of such assets.</w:t>
      </w:r>
    </w:p>
    <w:p w14:paraId="7BAAF1E5" w14:textId="77777777" w:rsidR="00CA1587" w:rsidRPr="00CA1587" w:rsidRDefault="00CA1587" w:rsidP="00C66622">
      <w:pPr>
        <w:keepNext w:val="0"/>
        <w:tabs>
          <w:tab w:val="num" w:pos="851"/>
        </w:tabs>
        <w:autoSpaceDE w:val="0"/>
        <w:autoSpaceDN w:val="0"/>
        <w:adjustRightInd w:val="0"/>
        <w:spacing w:before="0"/>
        <w:ind w:left="851" w:hanging="851"/>
        <w:rPr>
          <w:rFonts w:eastAsia="Arial" w:cs="Arial"/>
          <w:spacing w:val="-1"/>
        </w:rPr>
      </w:pPr>
    </w:p>
    <w:p w14:paraId="680EC777" w14:textId="629BF46C" w:rsidR="00CA1587" w:rsidRPr="008C275A" w:rsidRDefault="00C66622" w:rsidP="00E76A24">
      <w:pPr>
        <w:keepNext w:val="0"/>
        <w:tabs>
          <w:tab w:val="num" w:pos="851"/>
        </w:tabs>
        <w:autoSpaceDE w:val="0"/>
        <w:autoSpaceDN w:val="0"/>
        <w:adjustRightInd w:val="0"/>
        <w:spacing w:before="0"/>
        <w:ind w:left="851" w:hanging="851"/>
        <w:rPr>
          <w:rFonts w:eastAsia="Arial" w:cs="Arial"/>
          <w:b/>
          <w:bCs/>
          <w:spacing w:val="-1"/>
        </w:rPr>
      </w:pPr>
      <w:r>
        <w:rPr>
          <w:rFonts w:eastAsia="Arial" w:cs="Arial"/>
          <w:b/>
          <w:bCs/>
          <w:spacing w:val="-1"/>
        </w:rPr>
        <w:tab/>
      </w:r>
      <w:r w:rsidR="00CA1587" w:rsidRPr="008C275A">
        <w:rPr>
          <w:rFonts w:eastAsia="Arial" w:cs="Arial"/>
          <w:b/>
          <w:bCs/>
          <w:spacing w:val="-1"/>
        </w:rPr>
        <w:t>Scheduled Monuments</w:t>
      </w:r>
    </w:p>
    <w:p w14:paraId="2A7B8A99" w14:textId="77777777" w:rsidR="00E76A24" w:rsidRDefault="00B21D61" w:rsidP="002E7654">
      <w:pPr>
        <w:pStyle w:val="ListParagraph"/>
        <w:numPr>
          <w:ilvl w:val="1"/>
          <w:numId w:val="5"/>
        </w:numPr>
        <w:tabs>
          <w:tab w:val="clear" w:pos="525"/>
          <w:tab w:val="num" w:pos="851"/>
        </w:tabs>
        <w:spacing w:after="0" w:line="240" w:lineRule="auto"/>
        <w:ind w:left="851" w:hanging="851"/>
        <w:rPr>
          <w:rFonts w:ascii="Arial" w:eastAsia="Arial" w:hAnsi="Arial" w:cs="Arial"/>
          <w:spacing w:val="-1"/>
          <w:szCs w:val="20"/>
          <w:lang w:eastAsia="en-GB"/>
        </w:rPr>
      </w:pPr>
      <w:r w:rsidRPr="00B21D61">
        <w:rPr>
          <w:rFonts w:ascii="Arial" w:eastAsia="Arial" w:hAnsi="Arial" w:cs="Arial"/>
          <w:spacing w:val="-1"/>
          <w:szCs w:val="20"/>
          <w:lang w:eastAsia="en-GB"/>
        </w:rPr>
        <w:t>The District has nine Scheduled Monuments under the Ancient Monuments and Archaeological Areas Act, 1979 (see Appendix 10). These are considered to be of national importance and will be protected from deterioration and demolition. Any work to a scheduled monument requires Scheduled Monument Consent, applications should be made to Historic England. Elsewhere within the District there are many sites and areas regarded as being of archaeological interest, including historic landscapes.</w:t>
      </w:r>
    </w:p>
    <w:p w14:paraId="10F9C821" w14:textId="77777777" w:rsidR="00E76A24" w:rsidRDefault="00E76A24" w:rsidP="00E76A24">
      <w:pPr>
        <w:pStyle w:val="ListParagraph"/>
        <w:ind w:left="851"/>
        <w:rPr>
          <w:rFonts w:ascii="Arial" w:eastAsia="Arial" w:hAnsi="Arial" w:cs="Arial"/>
          <w:spacing w:val="-1"/>
          <w:szCs w:val="20"/>
          <w:lang w:eastAsia="en-GB"/>
        </w:rPr>
      </w:pPr>
    </w:p>
    <w:p w14:paraId="38C212D3" w14:textId="3DD3234C" w:rsidR="00B21D61" w:rsidRPr="002E7654" w:rsidRDefault="004216DA" w:rsidP="00E76A24">
      <w:pPr>
        <w:pStyle w:val="ListParagraph"/>
        <w:spacing w:after="0" w:line="240" w:lineRule="auto"/>
        <w:ind w:left="851"/>
        <w:rPr>
          <w:rFonts w:ascii="Arial" w:eastAsia="Arial" w:hAnsi="Arial" w:cs="Arial"/>
          <w:spacing w:val="-1"/>
          <w:szCs w:val="20"/>
          <w:lang w:eastAsia="en-GB"/>
        </w:rPr>
      </w:pPr>
      <w:r w:rsidRPr="002E7654">
        <w:rPr>
          <w:rFonts w:ascii="Arial" w:eastAsia="Arial" w:hAnsi="Arial" w:cs="Arial"/>
          <w:b/>
          <w:bCs/>
          <w:spacing w:val="-1"/>
        </w:rPr>
        <w:t xml:space="preserve">Sites </w:t>
      </w:r>
      <w:r w:rsidR="00E76A24" w:rsidRPr="002E7654">
        <w:rPr>
          <w:rFonts w:ascii="Arial" w:eastAsia="Arial" w:hAnsi="Arial" w:cs="Arial"/>
          <w:b/>
          <w:bCs/>
          <w:spacing w:val="-1"/>
        </w:rPr>
        <w:t>of Archaeological Interest</w:t>
      </w:r>
      <w:r w:rsidR="00B21D61" w:rsidRPr="002E7654">
        <w:rPr>
          <w:rFonts w:ascii="Arial" w:eastAsia="Arial" w:hAnsi="Arial" w:cs="Arial"/>
          <w:spacing w:val="-1"/>
          <w:szCs w:val="20"/>
          <w:lang w:eastAsia="en-GB"/>
        </w:rPr>
        <w:t xml:space="preserve"> </w:t>
      </w:r>
    </w:p>
    <w:p w14:paraId="1A070204" w14:textId="718DCA9A" w:rsidR="00CA1587" w:rsidRPr="00BB19BB" w:rsidRDefault="00CA1587" w:rsidP="00E76A24">
      <w:pPr>
        <w:keepNext w:val="0"/>
        <w:numPr>
          <w:ilvl w:val="1"/>
          <w:numId w:val="5"/>
        </w:numPr>
        <w:tabs>
          <w:tab w:val="clear" w:pos="525"/>
          <w:tab w:val="num" w:pos="851"/>
        </w:tabs>
        <w:autoSpaceDE w:val="0"/>
        <w:autoSpaceDN w:val="0"/>
        <w:adjustRightInd w:val="0"/>
        <w:spacing w:before="0"/>
        <w:ind w:left="851" w:hanging="851"/>
        <w:rPr>
          <w:rFonts w:eastAsia="Arial" w:cs="Arial"/>
          <w:strike/>
          <w:spacing w:val="-1"/>
        </w:rPr>
      </w:pPr>
      <w:r w:rsidRPr="002E7654">
        <w:rPr>
          <w:rFonts w:eastAsia="Arial" w:cs="Arial"/>
          <w:spacing w:val="-1"/>
        </w:rPr>
        <w:t xml:space="preserve">Archaeological </w:t>
      </w:r>
      <w:r w:rsidR="004216DA" w:rsidRPr="002E7654">
        <w:rPr>
          <w:rFonts w:eastAsia="Arial" w:cs="Arial"/>
          <w:spacing w:val="-1"/>
        </w:rPr>
        <w:t xml:space="preserve">sites </w:t>
      </w:r>
      <w:r w:rsidRPr="002E7654">
        <w:rPr>
          <w:rFonts w:eastAsia="Arial" w:cs="Arial"/>
          <w:spacing w:val="-1"/>
        </w:rPr>
        <w:t xml:space="preserve">provide </w:t>
      </w:r>
      <w:r w:rsidRPr="00CA1587">
        <w:rPr>
          <w:rFonts w:eastAsia="Arial" w:cs="Arial"/>
          <w:spacing w:val="-1"/>
        </w:rPr>
        <w:t xml:space="preserve">crucial links to the past and can provide useful information about local heritage. Appropriate steps must be undertaken to identify and protect them as they are easily damaged or destroyed when development takes place. </w:t>
      </w:r>
    </w:p>
    <w:p w14:paraId="19E50881" w14:textId="77777777" w:rsidR="00CA1587" w:rsidRPr="00CA1587" w:rsidRDefault="00CA1587" w:rsidP="00C66622">
      <w:pPr>
        <w:keepNext w:val="0"/>
        <w:tabs>
          <w:tab w:val="num" w:pos="851"/>
        </w:tabs>
        <w:autoSpaceDE w:val="0"/>
        <w:autoSpaceDN w:val="0"/>
        <w:adjustRightInd w:val="0"/>
        <w:spacing w:before="0"/>
        <w:ind w:left="851" w:hanging="851"/>
        <w:rPr>
          <w:rFonts w:eastAsia="Arial" w:cs="Arial"/>
          <w:spacing w:val="-1"/>
        </w:rPr>
      </w:pPr>
    </w:p>
    <w:p w14:paraId="0284076C" w14:textId="5A0585DE" w:rsidR="00CA1587" w:rsidRPr="00CA1587" w:rsidRDefault="00CA1587" w:rsidP="00C66622">
      <w:pPr>
        <w:keepNext w:val="0"/>
        <w:numPr>
          <w:ilvl w:val="1"/>
          <w:numId w:val="5"/>
        </w:numPr>
        <w:tabs>
          <w:tab w:val="clear" w:pos="525"/>
          <w:tab w:val="num" w:pos="851"/>
        </w:tabs>
        <w:autoSpaceDE w:val="0"/>
        <w:autoSpaceDN w:val="0"/>
        <w:adjustRightInd w:val="0"/>
        <w:spacing w:before="0"/>
        <w:ind w:left="851" w:hanging="851"/>
        <w:rPr>
          <w:rFonts w:eastAsia="Arial" w:cs="Arial"/>
          <w:spacing w:val="-1"/>
        </w:rPr>
      </w:pPr>
      <w:r w:rsidRPr="00CA1587">
        <w:rPr>
          <w:rFonts w:eastAsia="Arial" w:cs="Arial"/>
          <w:spacing w:val="-1"/>
        </w:rPr>
        <w:t>Archaeological remains are important for their historical and educational interest and may also be important features in the landscape. The Nottinghamshire Historic Environment Records (HER) is maintained and updated by the County Council and contains details of all known sites, structures, landscapes or other areas of archaeological interest in Ashfield.  The HER should be consulted on all planning applications within or near to areas of known archaeological interest.</w:t>
      </w:r>
    </w:p>
    <w:p w14:paraId="1A0A7AC2" w14:textId="77777777" w:rsidR="00CA1587" w:rsidRPr="00CA1587" w:rsidRDefault="00CA1587" w:rsidP="00C66622">
      <w:pPr>
        <w:keepNext w:val="0"/>
        <w:tabs>
          <w:tab w:val="num" w:pos="851"/>
        </w:tabs>
        <w:autoSpaceDE w:val="0"/>
        <w:autoSpaceDN w:val="0"/>
        <w:adjustRightInd w:val="0"/>
        <w:spacing w:before="0"/>
        <w:ind w:left="851" w:hanging="851"/>
        <w:rPr>
          <w:rFonts w:eastAsia="Arial" w:cs="Arial"/>
          <w:spacing w:val="-1"/>
        </w:rPr>
      </w:pPr>
    </w:p>
    <w:p w14:paraId="1F141CAD" w14:textId="6D84ABA2" w:rsidR="00CA1587" w:rsidRPr="00CA1587" w:rsidRDefault="00CA1587" w:rsidP="00C66622">
      <w:pPr>
        <w:keepNext w:val="0"/>
        <w:numPr>
          <w:ilvl w:val="1"/>
          <w:numId w:val="5"/>
        </w:numPr>
        <w:tabs>
          <w:tab w:val="clear" w:pos="525"/>
          <w:tab w:val="num" w:pos="851"/>
        </w:tabs>
        <w:autoSpaceDE w:val="0"/>
        <w:autoSpaceDN w:val="0"/>
        <w:adjustRightInd w:val="0"/>
        <w:spacing w:before="0"/>
        <w:ind w:left="851" w:hanging="851"/>
        <w:rPr>
          <w:rFonts w:eastAsia="Arial" w:cs="Arial"/>
          <w:spacing w:val="-1"/>
        </w:rPr>
      </w:pPr>
      <w:r w:rsidRPr="00CA1587">
        <w:rPr>
          <w:rFonts w:eastAsia="Arial" w:cs="Arial"/>
          <w:spacing w:val="-1"/>
        </w:rPr>
        <w:t xml:space="preserve">Early consideration should be given by developers to the question of whether archaeological remains exist on a site and the implications for a proposed development. This process can involve different levels of staged assessments, specific to the site and its history. The initial stage should undertake a desk-based assessment of the </w:t>
      </w:r>
      <w:r w:rsidR="009D1815" w:rsidRPr="00CA1587">
        <w:rPr>
          <w:rFonts w:eastAsia="Arial" w:cs="Arial"/>
          <w:spacing w:val="-1"/>
        </w:rPr>
        <w:t>site but</w:t>
      </w:r>
      <w:r w:rsidRPr="00CA1587">
        <w:rPr>
          <w:rFonts w:eastAsia="Arial" w:cs="Arial"/>
          <w:spacing w:val="-1"/>
        </w:rPr>
        <w:t xml:space="preserve"> may also require (where necessary) a range of additional assessments including, but not limited to, geophysical survey, geo-archaeological modelling, field walking, test pitting, trial trenching and/or setting studies. This initial stage may need to be followed by a full archaeological evaluation of the site. The County Archaeologist should be contacted for advice on locations where remains are known or thought to exist. Advice can be given on the best means to preserve and enhance remains that have been previously identified. Archaeological Assessments should be undertaken by a suitably qualified person.</w:t>
      </w:r>
    </w:p>
    <w:p w14:paraId="619CD52A" w14:textId="77777777" w:rsidR="00CA1587" w:rsidRPr="00CA1587" w:rsidRDefault="00CA1587" w:rsidP="00C66622">
      <w:pPr>
        <w:keepNext w:val="0"/>
        <w:tabs>
          <w:tab w:val="num" w:pos="851"/>
        </w:tabs>
        <w:autoSpaceDE w:val="0"/>
        <w:autoSpaceDN w:val="0"/>
        <w:adjustRightInd w:val="0"/>
        <w:spacing w:before="0"/>
        <w:ind w:left="851" w:hanging="851"/>
        <w:rPr>
          <w:rFonts w:eastAsia="Arial" w:cs="Arial"/>
          <w:spacing w:val="-1"/>
        </w:rPr>
      </w:pPr>
    </w:p>
    <w:p w14:paraId="58AA8E90" w14:textId="77777777" w:rsidR="00CA1587" w:rsidRPr="00CA1587" w:rsidRDefault="00CA1587" w:rsidP="00C66622">
      <w:pPr>
        <w:keepNext w:val="0"/>
        <w:numPr>
          <w:ilvl w:val="1"/>
          <w:numId w:val="5"/>
        </w:numPr>
        <w:tabs>
          <w:tab w:val="clear" w:pos="525"/>
          <w:tab w:val="num" w:pos="851"/>
        </w:tabs>
        <w:autoSpaceDE w:val="0"/>
        <w:autoSpaceDN w:val="0"/>
        <w:adjustRightInd w:val="0"/>
        <w:spacing w:before="0"/>
        <w:ind w:left="851" w:hanging="851"/>
        <w:rPr>
          <w:rFonts w:eastAsia="Arial" w:cs="Arial"/>
          <w:spacing w:val="-1"/>
        </w:rPr>
      </w:pPr>
      <w:r w:rsidRPr="00CA1587">
        <w:rPr>
          <w:rFonts w:eastAsia="Arial" w:cs="Arial"/>
          <w:spacing w:val="-1"/>
        </w:rPr>
        <w:t xml:space="preserve">Where sites are of known or potential archaeological significance developers may be required to submit the results of an archaeological evaluation with any planning application. Evaluations of this kind help to define the character and extent of the archaeological remains, and thus indicate the weight which ought to be attached to their preservation. The level of importance of the site can then be assessed against the need for the proposed development. Such evaluations should be submitted to the Council at the earliest possible stage of the planning application process, to ensure an informed decision can be made. The Council will not support the postponing of appropriate evaluations via conditions or secondary detailed planning applications. If archaeological remains are discovered during development, developers should contact the Local Authority immediately for advice. </w:t>
      </w:r>
    </w:p>
    <w:p w14:paraId="222C1024" w14:textId="77777777" w:rsidR="00CA1587" w:rsidRPr="00CA1587" w:rsidRDefault="00CA1587" w:rsidP="00C66622">
      <w:pPr>
        <w:keepNext w:val="0"/>
        <w:tabs>
          <w:tab w:val="num" w:pos="851"/>
        </w:tabs>
        <w:autoSpaceDE w:val="0"/>
        <w:autoSpaceDN w:val="0"/>
        <w:adjustRightInd w:val="0"/>
        <w:spacing w:before="0"/>
        <w:ind w:left="851" w:hanging="851"/>
        <w:rPr>
          <w:rFonts w:eastAsia="Arial" w:cs="Arial"/>
          <w:spacing w:val="-1"/>
        </w:rPr>
      </w:pPr>
    </w:p>
    <w:p w14:paraId="7EB326BB" w14:textId="3FFD5251" w:rsidR="00C70502" w:rsidRPr="006D4F49" w:rsidRDefault="00BB19BB" w:rsidP="006D4F49">
      <w:pPr>
        <w:keepNext w:val="0"/>
        <w:numPr>
          <w:ilvl w:val="1"/>
          <w:numId w:val="5"/>
        </w:numPr>
        <w:tabs>
          <w:tab w:val="clear" w:pos="525"/>
          <w:tab w:val="num" w:pos="851"/>
        </w:tabs>
        <w:autoSpaceDE w:val="0"/>
        <w:autoSpaceDN w:val="0"/>
        <w:adjustRightInd w:val="0"/>
        <w:spacing w:before="0"/>
        <w:ind w:left="851" w:hanging="851"/>
        <w:rPr>
          <w:rFonts w:eastAsia="Arial" w:cs="Arial"/>
          <w:spacing w:val="-1"/>
        </w:rPr>
      </w:pPr>
      <w:r w:rsidRPr="002E7654">
        <w:rPr>
          <w:rFonts w:eastAsia="Arial" w:cs="Arial"/>
          <w:spacing w:val="-1"/>
        </w:rPr>
        <w:t>To protect the integrity of archaeological sites, t</w:t>
      </w:r>
      <w:r w:rsidR="00CA1587" w:rsidRPr="002E7654">
        <w:rPr>
          <w:rFonts w:eastAsia="Arial" w:cs="Arial"/>
          <w:spacing w:val="-1"/>
        </w:rPr>
        <w:t xml:space="preserve">he preservation of </w:t>
      </w:r>
      <w:r w:rsidRPr="002E7654">
        <w:rPr>
          <w:rFonts w:eastAsia="Arial" w:cs="Arial"/>
          <w:spacing w:val="-1"/>
        </w:rPr>
        <w:t xml:space="preserve">remains </w:t>
      </w:r>
      <w:r w:rsidR="00CA1587" w:rsidRPr="002E7654">
        <w:rPr>
          <w:rFonts w:eastAsia="Arial" w:cs="Arial"/>
          <w:spacing w:val="-1"/>
        </w:rPr>
        <w:t xml:space="preserve">in-situ will nearly always be preferred to "preservation by record". There are </w:t>
      </w:r>
      <w:r w:rsidR="00CA1587" w:rsidRPr="00CA1587">
        <w:rPr>
          <w:rFonts w:eastAsia="Arial" w:cs="Arial"/>
          <w:spacing w:val="-1"/>
        </w:rPr>
        <w:t xml:space="preserve">often opportunities to avoid the disturbance of remains by raising ground levels under a proposed new structure, introducing raft foundations, or by the careful siting of landscaped or open areas. This will secure their long term preservation even though they will remain inaccessible for the time being. Where the physical preservation of archaeological remains in-situ is not possible the Council will ensure that adequate provision is made for the survey, excavation and recording of remains, where appropriate, through the use of planning conditions or a planning obligation. </w:t>
      </w:r>
    </w:p>
    <w:p w14:paraId="2881E783" w14:textId="77777777" w:rsidR="00C70502" w:rsidRDefault="00C70502" w:rsidP="00C66622">
      <w:pPr>
        <w:keepNext w:val="0"/>
        <w:tabs>
          <w:tab w:val="num" w:pos="851"/>
        </w:tabs>
        <w:autoSpaceDE w:val="0"/>
        <w:autoSpaceDN w:val="0"/>
        <w:adjustRightInd w:val="0"/>
        <w:spacing w:before="0"/>
        <w:ind w:left="851" w:hanging="851"/>
        <w:rPr>
          <w:rFonts w:eastAsia="Arial" w:cs="Arial"/>
          <w:b/>
          <w:bCs/>
          <w:spacing w:val="-1"/>
        </w:rPr>
      </w:pPr>
    </w:p>
    <w:p w14:paraId="341EE8CE" w14:textId="1A9B5280" w:rsidR="00CA1587" w:rsidRPr="008C275A" w:rsidRDefault="00C70502" w:rsidP="00C66622">
      <w:pPr>
        <w:keepNext w:val="0"/>
        <w:tabs>
          <w:tab w:val="num" w:pos="851"/>
        </w:tabs>
        <w:autoSpaceDE w:val="0"/>
        <w:autoSpaceDN w:val="0"/>
        <w:adjustRightInd w:val="0"/>
        <w:spacing w:before="0"/>
        <w:ind w:left="851" w:hanging="851"/>
        <w:rPr>
          <w:rFonts w:eastAsia="Arial" w:cs="Arial"/>
          <w:b/>
          <w:bCs/>
          <w:spacing w:val="-1"/>
        </w:rPr>
      </w:pPr>
      <w:r>
        <w:rPr>
          <w:rFonts w:eastAsia="Arial" w:cs="Arial"/>
          <w:b/>
          <w:bCs/>
          <w:spacing w:val="-1"/>
        </w:rPr>
        <w:tab/>
      </w:r>
      <w:r w:rsidR="00CA1587" w:rsidRPr="008C275A">
        <w:rPr>
          <w:rFonts w:eastAsia="Arial" w:cs="Arial"/>
          <w:b/>
          <w:bCs/>
          <w:spacing w:val="-1"/>
        </w:rPr>
        <w:t>Historic Parks and Gardens</w:t>
      </w:r>
    </w:p>
    <w:p w14:paraId="20D5FE94" w14:textId="77777777" w:rsidR="00CA1587" w:rsidRPr="00CA1587" w:rsidRDefault="00CA1587" w:rsidP="00C66622">
      <w:pPr>
        <w:keepNext w:val="0"/>
        <w:numPr>
          <w:ilvl w:val="1"/>
          <w:numId w:val="5"/>
        </w:numPr>
        <w:tabs>
          <w:tab w:val="clear" w:pos="525"/>
          <w:tab w:val="num" w:pos="851"/>
        </w:tabs>
        <w:autoSpaceDE w:val="0"/>
        <w:autoSpaceDN w:val="0"/>
        <w:adjustRightInd w:val="0"/>
        <w:spacing w:before="0"/>
        <w:ind w:left="851" w:hanging="851"/>
        <w:rPr>
          <w:rFonts w:eastAsia="Arial" w:cs="Arial"/>
          <w:spacing w:val="-1"/>
        </w:rPr>
      </w:pPr>
      <w:r w:rsidRPr="00CA1587">
        <w:rPr>
          <w:rFonts w:eastAsia="Arial" w:cs="Arial"/>
          <w:spacing w:val="-1"/>
        </w:rPr>
        <w:t>Registered Historic Parks and Gardens are important in historical and landscape terms and may also be of wildlife and recreational value. Ashfield has two designed landscapes on the Historic England Register of Parks and Gardens of Special Historic Interest, including:</w:t>
      </w:r>
    </w:p>
    <w:p w14:paraId="4C944224" w14:textId="77777777" w:rsidR="00CA1587" w:rsidRPr="00CA1587" w:rsidRDefault="00CA1587" w:rsidP="00C66622">
      <w:pPr>
        <w:keepNext w:val="0"/>
        <w:tabs>
          <w:tab w:val="num" w:pos="851"/>
        </w:tabs>
        <w:autoSpaceDE w:val="0"/>
        <w:autoSpaceDN w:val="0"/>
        <w:adjustRightInd w:val="0"/>
        <w:spacing w:before="0"/>
        <w:ind w:left="851" w:hanging="851"/>
        <w:rPr>
          <w:rFonts w:eastAsia="Arial" w:cs="Arial"/>
          <w:spacing w:val="-1"/>
        </w:rPr>
      </w:pPr>
    </w:p>
    <w:p w14:paraId="6EBA38C4" w14:textId="12AC95DD" w:rsidR="00CA1587" w:rsidRPr="008C275A" w:rsidRDefault="00CA1587" w:rsidP="00874A98">
      <w:pPr>
        <w:pStyle w:val="ListParagraph"/>
        <w:numPr>
          <w:ilvl w:val="0"/>
          <w:numId w:val="229"/>
        </w:numPr>
        <w:tabs>
          <w:tab w:val="num" w:pos="1560"/>
        </w:tabs>
        <w:autoSpaceDE w:val="0"/>
        <w:autoSpaceDN w:val="0"/>
        <w:adjustRightInd w:val="0"/>
        <w:ind w:left="1985" w:hanging="851"/>
        <w:rPr>
          <w:rFonts w:ascii="Arial" w:eastAsia="Arial" w:hAnsi="Arial" w:cs="Arial"/>
          <w:spacing w:val="-1"/>
        </w:rPr>
      </w:pPr>
      <w:r w:rsidRPr="008C275A">
        <w:rPr>
          <w:rFonts w:ascii="Arial" w:eastAsia="Arial" w:hAnsi="Arial" w:cs="Arial"/>
          <w:spacing w:val="-1"/>
        </w:rPr>
        <w:t>EV</w:t>
      </w:r>
      <w:r w:rsidR="0095521E">
        <w:rPr>
          <w:rFonts w:ascii="Arial" w:eastAsia="Arial" w:hAnsi="Arial" w:cs="Arial"/>
          <w:spacing w:val="-1"/>
        </w:rPr>
        <w:t>9</w:t>
      </w:r>
      <w:r w:rsidRPr="008C275A">
        <w:rPr>
          <w:rFonts w:ascii="Arial" w:eastAsia="Arial" w:hAnsi="Arial" w:cs="Arial"/>
          <w:spacing w:val="-1"/>
        </w:rPr>
        <w:t xml:space="preserve"> Pa</w:t>
      </w:r>
      <w:r w:rsidRPr="008C275A">
        <w:rPr>
          <w:rFonts w:ascii="Arial" w:eastAsia="Arial" w:hAnsi="Arial" w:cs="Arial"/>
          <w:spacing w:val="-1"/>
        </w:rPr>
        <w:tab/>
        <w:t>Annesley Hall, Annesley - Grade II*</w:t>
      </w:r>
    </w:p>
    <w:p w14:paraId="7920A14C" w14:textId="0C0EC7B8" w:rsidR="00CA1587" w:rsidRPr="008C275A" w:rsidRDefault="00CA1587" w:rsidP="00874A98">
      <w:pPr>
        <w:pStyle w:val="ListParagraph"/>
        <w:numPr>
          <w:ilvl w:val="0"/>
          <w:numId w:val="229"/>
        </w:numPr>
        <w:tabs>
          <w:tab w:val="num" w:pos="1560"/>
        </w:tabs>
        <w:autoSpaceDE w:val="0"/>
        <w:autoSpaceDN w:val="0"/>
        <w:adjustRightInd w:val="0"/>
        <w:ind w:left="1985" w:hanging="851"/>
        <w:rPr>
          <w:rFonts w:ascii="Arial" w:eastAsia="Arial" w:hAnsi="Arial" w:cs="Arial"/>
          <w:spacing w:val="-1"/>
        </w:rPr>
      </w:pPr>
      <w:r w:rsidRPr="008C275A">
        <w:rPr>
          <w:rFonts w:ascii="Arial" w:eastAsia="Arial" w:hAnsi="Arial" w:cs="Arial"/>
          <w:spacing w:val="-1"/>
        </w:rPr>
        <w:t>EV</w:t>
      </w:r>
      <w:r w:rsidR="0095521E">
        <w:rPr>
          <w:rFonts w:ascii="Arial" w:eastAsia="Arial" w:hAnsi="Arial" w:cs="Arial"/>
          <w:spacing w:val="-1"/>
        </w:rPr>
        <w:t>9</w:t>
      </w:r>
      <w:r w:rsidRPr="008C275A">
        <w:rPr>
          <w:rFonts w:ascii="Arial" w:eastAsia="Arial" w:hAnsi="Arial" w:cs="Arial"/>
          <w:spacing w:val="-1"/>
        </w:rPr>
        <w:t xml:space="preserve"> Pb </w:t>
      </w:r>
      <w:r w:rsidRPr="008C275A">
        <w:rPr>
          <w:rFonts w:ascii="Arial" w:eastAsia="Arial" w:hAnsi="Arial" w:cs="Arial"/>
          <w:spacing w:val="-1"/>
        </w:rPr>
        <w:tab/>
        <w:t>Hardwick Hall Grounds (that part within Ashfield) – Grade I</w:t>
      </w:r>
    </w:p>
    <w:p w14:paraId="63604FDC" w14:textId="33D39B17" w:rsidR="00CA1587" w:rsidRPr="008C275A" w:rsidRDefault="00C66622" w:rsidP="00C66622">
      <w:pPr>
        <w:keepNext w:val="0"/>
        <w:tabs>
          <w:tab w:val="num" w:pos="1560"/>
        </w:tabs>
        <w:autoSpaceDE w:val="0"/>
        <w:autoSpaceDN w:val="0"/>
        <w:adjustRightInd w:val="0"/>
        <w:spacing w:before="0"/>
        <w:rPr>
          <w:rFonts w:eastAsia="Arial" w:cs="Arial"/>
          <w:spacing w:val="-1"/>
        </w:rPr>
      </w:pPr>
      <w:r>
        <w:rPr>
          <w:rFonts w:eastAsia="Arial" w:cs="Arial"/>
          <w:spacing w:val="-1"/>
        </w:rPr>
        <w:t xml:space="preserve">            </w:t>
      </w:r>
      <w:r w:rsidR="00CA1587" w:rsidRPr="008C275A">
        <w:rPr>
          <w:rFonts w:eastAsia="Arial" w:cs="Arial"/>
          <w:spacing w:val="-1"/>
        </w:rPr>
        <w:t>The District also has a locally designated Historic Park and Garden:</w:t>
      </w:r>
    </w:p>
    <w:p w14:paraId="00E484C4" w14:textId="77777777" w:rsidR="00CA1587" w:rsidRPr="008C275A" w:rsidRDefault="00CA1587" w:rsidP="00C66622">
      <w:pPr>
        <w:keepNext w:val="0"/>
        <w:tabs>
          <w:tab w:val="num" w:pos="1560"/>
        </w:tabs>
        <w:autoSpaceDE w:val="0"/>
        <w:autoSpaceDN w:val="0"/>
        <w:adjustRightInd w:val="0"/>
        <w:spacing w:before="0"/>
        <w:ind w:left="1985" w:hanging="851"/>
        <w:rPr>
          <w:rFonts w:eastAsia="Arial" w:cs="Arial"/>
          <w:spacing w:val="-1"/>
        </w:rPr>
      </w:pPr>
    </w:p>
    <w:p w14:paraId="59C5FE83" w14:textId="59D6FAB6" w:rsidR="00CA1587" w:rsidRPr="008C275A" w:rsidRDefault="00CA1587" w:rsidP="00874A98">
      <w:pPr>
        <w:pStyle w:val="ListParagraph"/>
        <w:numPr>
          <w:ilvl w:val="0"/>
          <w:numId w:val="230"/>
        </w:numPr>
        <w:tabs>
          <w:tab w:val="num" w:pos="1560"/>
        </w:tabs>
        <w:autoSpaceDE w:val="0"/>
        <w:autoSpaceDN w:val="0"/>
        <w:adjustRightInd w:val="0"/>
        <w:ind w:left="1985" w:hanging="851"/>
        <w:rPr>
          <w:rFonts w:ascii="Arial" w:eastAsia="Arial" w:hAnsi="Arial" w:cs="Arial"/>
          <w:spacing w:val="-1"/>
        </w:rPr>
      </w:pPr>
      <w:r w:rsidRPr="008C275A">
        <w:rPr>
          <w:rFonts w:ascii="Arial" w:eastAsia="Arial" w:hAnsi="Arial" w:cs="Arial"/>
          <w:spacing w:val="-1"/>
        </w:rPr>
        <w:t>EV</w:t>
      </w:r>
      <w:r w:rsidR="0095521E">
        <w:rPr>
          <w:rFonts w:ascii="Arial" w:eastAsia="Arial" w:hAnsi="Arial" w:cs="Arial"/>
          <w:spacing w:val="-1"/>
        </w:rPr>
        <w:t>9</w:t>
      </w:r>
      <w:r w:rsidRPr="008C275A">
        <w:rPr>
          <w:rFonts w:ascii="Arial" w:eastAsia="Arial" w:hAnsi="Arial" w:cs="Arial"/>
          <w:spacing w:val="-1"/>
        </w:rPr>
        <w:t xml:space="preserve"> Pc </w:t>
      </w:r>
      <w:r w:rsidRPr="008C275A">
        <w:rPr>
          <w:rFonts w:ascii="Arial" w:eastAsia="Arial" w:hAnsi="Arial" w:cs="Arial"/>
          <w:spacing w:val="-1"/>
        </w:rPr>
        <w:tab/>
        <w:t>Skegby Hall, Skegby, Sutton in Ashfield.</w:t>
      </w:r>
    </w:p>
    <w:p w14:paraId="731536DF" w14:textId="77777777" w:rsidR="00CA1587" w:rsidRPr="00CA1587" w:rsidRDefault="00CA1587" w:rsidP="00C66622">
      <w:pPr>
        <w:keepNext w:val="0"/>
        <w:numPr>
          <w:ilvl w:val="1"/>
          <w:numId w:val="5"/>
        </w:numPr>
        <w:tabs>
          <w:tab w:val="clear" w:pos="525"/>
          <w:tab w:val="num" w:pos="851"/>
        </w:tabs>
        <w:autoSpaceDE w:val="0"/>
        <w:autoSpaceDN w:val="0"/>
        <w:adjustRightInd w:val="0"/>
        <w:spacing w:before="0"/>
        <w:ind w:left="851" w:hanging="851"/>
        <w:rPr>
          <w:rFonts w:eastAsia="Arial" w:cs="Arial"/>
          <w:spacing w:val="-1"/>
        </w:rPr>
      </w:pPr>
      <w:r w:rsidRPr="00CA1587">
        <w:rPr>
          <w:rFonts w:eastAsia="Arial" w:cs="Arial"/>
          <w:spacing w:val="-1"/>
        </w:rPr>
        <w:t xml:space="preserve">The significance of parks and gardens may extend beyond the defined boundary with regards to views towards or away from the park and garden or in how the park and garden is experienced, for example on approach.  Development proposals that would result in the harm or loss of a designated historic park or garden or its setting, would only be permitted by the Council if it can be appropriately demonstrated that the harm or loss is out-weighted by the substantial public benefit resulting from the development. Where this public benefit cannot be demonstrated, proposals must align with the requirements of national planning policy. Any development impacting on a designated historic park or garden should seek to support the long-term preservation of the park or garden and its setting through sensitive restoration, adaptation and/or re-use. In particular, care should be taken to avoid the loss of trees, woodland or significant views, that contribute to the asset’s significance. Any proposed loss of trees or woodland will need to be assessed against Policy EV6.  </w:t>
      </w:r>
    </w:p>
    <w:p w14:paraId="0FE6F31D" w14:textId="77777777" w:rsidR="00CA1587" w:rsidRPr="00CA1587" w:rsidRDefault="00CA1587" w:rsidP="00C66622">
      <w:pPr>
        <w:keepNext w:val="0"/>
        <w:tabs>
          <w:tab w:val="num" w:pos="851"/>
        </w:tabs>
        <w:autoSpaceDE w:val="0"/>
        <w:autoSpaceDN w:val="0"/>
        <w:adjustRightInd w:val="0"/>
        <w:spacing w:before="0"/>
        <w:ind w:left="851" w:hanging="851"/>
        <w:rPr>
          <w:rFonts w:eastAsia="Arial" w:cs="Arial"/>
          <w:spacing w:val="-1"/>
        </w:rPr>
      </w:pPr>
    </w:p>
    <w:p w14:paraId="2A095ACE" w14:textId="755560A3" w:rsidR="00CA1587" w:rsidRPr="008C275A" w:rsidRDefault="00C66622" w:rsidP="00C66622">
      <w:pPr>
        <w:keepNext w:val="0"/>
        <w:tabs>
          <w:tab w:val="num" w:pos="851"/>
        </w:tabs>
        <w:autoSpaceDE w:val="0"/>
        <w:autoSpaceDN w:val="0"/>
        <w:adjustRightInd w:val="0"/>
        <w:spacing w:before="0"/>
        <w:ind w:left="851" w:hanging="851"/>
        <w:rPr>
          <w:rFonts w:eastAsia="Arial" w:cs="Arial"/>
          <w:b/>
          <w:bCs/>
          <w:spacing w:val="-1"/>
        </w:rPr>
      </w:pPr>
      <w:r>
        <w:rPr>
          <w:rFonts w:eastAsia="Arial" w:cs="Arial"/>
          <w:b/>
          <w:bCs/>
          <w:spacing w:val="-1"/>
        </w:rPr>
        <w:tab/>
      </w:r>
      <w:r w:rsidR="00CA1587" w:rsidRPr="008C275A">
        <w:rPr>
          <w:rFonts w:eastAsia="Arial" w:cs="Arial"/>
          <w:b/>
          <w:bCs/>
          <w:spacing w:val="-1"/>
        </w:rPr>
        <w:t>Historic Landscape Features</w:t>
      </w:r>
    </w:p>
    <w:p w14:paraId="43ED5E50" w14:textId="77777777" w:rsidR="00CA1587" w:rsidRPr="00CA1587" w:rsidRDefault="00CA1587" w:rsidP="00C66622">
      <w:pPr>
        <w:keepNext w:val="0"/>
        <w:numPr>
          <w:ilvl w:val="1"/>
          <w:numId w:val="5"/>
        </w:numPr>
        <w:tabs>
          <w:tab w:val="clear" w:pos="525"/>
          <w:tab w:val="num" w:pos="851"/>
        </w:tabs>
        <w:autoSpaceDE w:val="0"/>
        <w:autoSpaceDN w:val="0"/>
        <w:adjustRightInd w:val="0"/>
        <w:spacing w:before="0"/>
        <w:ind w:left="851" w:hanging="851"/>
        <w:rPr>
          <w:rFonts w:eastAsia="Arial" w:cs="Arial"/>
          <w:spacing w:val="-1"/>
        </w:rPr>
      </w:pPr>
      <w:r w:rsidRPr="00CA1587">
        <w:rPr>
          <w:rFonts w:eastAsia="Arial" w:cs="Arial"/>
          <w:spacing w:val="-1"/>
        </w:rPr>
        <w:t xml:space="preserve">The landscape of Ashfield today is the result of both natural and man-made actions which have taken place over many years. Activities such as settlement, farming, industry and recreation have all left behind physical traces that help to give individual parts of the District their own special character. </w:t>
      </w:r>
    </w:p>
    <w:p w14:paraId="0447F5DD" w14:textId="77777777" w:rsidR="00CA1587" w:rsidRPr="00CA1587" w:rsidRDefault="00CA1587" w:rsidP="00C66622">
      <w:pPr>
        <w:keepNext w:val="0"/>
        <w:tabs>
          <w:tab w:val="num" w:pos="851"/>
        </w:tabs>
        <w:autoSpaceDE w:val="0"/>
        <w:autoSpaceDN w:val="0"/>
        <w:adjustRightInd w:val="0"/>
        <w:spacing w:before="0"/>
        <w:ind w:left="851" w:hanging="851"/>
        <w:rPr>
          <w:rFonts w:eastAsia="Arial" w:cs="Arial"/>
          <w:spacing w:val="-1"/>
        </w:rPr>
      </w:pPr>
    </w:p>
    <w:p w14:paraId="57AFC7BF" w14:textId="77777777" w:rsidR="00CA1587" w:rsidRPr="00CA1587" w:rsidRDefault="00CA1587" w:rsidP="00C66622">
      <w:pPr>
        <w:keepNext w:val="0"/>
        <w:numPr>
          <w:ilvl w:val="1"/>
          <w:numId w:val="5"/>
        </w:numPr>
        <w:tabs>
          <w:tab w:val="clear" w:pos="525"/>
          <w:tab w:val="num" w:pos="851"/>
        </w:tabs>
        <w:autoSpaceDE w:val="0"/>
        <w:autoSpaceDN w:val="0"/>
        <w:adjustRightInd w:val="0"/>
        <w:spacing w:before="0"/>
        <w:ind w:left="851" w:hanging="851"/>
        <w:rPr>
          <w:rFonts w:eastAsia="Arial" w:cs="Arial"/>
          <w:spacing w:val="-1"/>
        </w:rPr>
      </w:pPr>
      <w:r w:rsidRPr="00CA1587">
        <w:rPr>
          <w:rFonts w:eastAsia="Arial" w:cs="Arial"/>
          <w:spacing w:val="-1"/>
        </w:rPr>
        <w:t>More than any other part of the historic environment, the landscape is characterised and enriched by centuries of change and modification. It is essential that any new development is of a scale and type which is appropriate and does not harm the intrinsic value of the particular landscape in which it is to be located. Development proposals should appreciate an area’s sensitivity, vulnerability and capacity for change in the context of specific proposals.</w:t>
      </w:r>
    </w:p>
    <w:p w14:paraId="0D8EC787" w14:textId="77777777" w:rsidR="00CA1587" w:rsidRPr="00CA1587" w:rsidRDefault="00CA1587" w:rsidP="00C66622">
      <w:pPr>
        <w:keepNext w:val="0"/>
        <w:tabs>
          <w:tab w:val="num" w:pos="851"/>
        </w:tabs>
        <w:autoSpaceDE w:val="0"/>
        <w:autoSpaceDN w:val="0"/>
        <w:adjustRightInd w:val="0"/>
        <w:spacing w:before="0"/>
        <w:ind w:left="851" w:hanging="851"/>
        <w:rPr>
          <w:rFonts w:eastAsia="Arial" w:cs="Arial"/>
          <w:spacing w:val="-1"/>
        </w:rPr>
      </w:pPr>
    </w:p>
    <w:p w14:paraId="3989310D" w14:textId="41C9FF56" w:rsidR="00CA1587" w:rsidRPr="00CA1587" w:rsidRDefault="00CA1587" w:rsidP="00C66622">
      <w:pPr>
        <w:keepNext w:val="0"/>
        <w:numPr>
          <w:ilvl w:val="1"/>
          <w:numId w:val="5"/>
        </w:numPr>
        <w:tabs>
          <w:tab w:val="clear" w:pos="525"/>
          <w:tab w:val="num" w:pos="851"/>
        </w:tabs>
        <w:autoSpaceDE w:val="0"/>
        <w:autoSpaceDN w:val="0"/>
        <w:adjustRightInd w:val="0"/>
        <w:spacing w:before="0"/>
        <w:ind w:left="851" w:hanging="851"/>
        <w:rPr>
          <w:rFonts w:eastAsia="Arial" w:cs="Arial"/>
          <w:spacing w:val="-1"/>
        </w:rPr>
      </w:pPr>
      <w:r w:rsidRPr="00CA1587">
        <w:rPr>
          <w:rFonts w:eastAsia="Arial" w:cs="Arial"/>
          <w:spacing w:val="-1"/>
        </w:rPr>
        <w:t>The Landscape Character Assessment for Ashfield (2009) sets out 3 landscape character areas which broadly influence the scale and form of development across the District. Development proposals should respect the fundamental character of these and not introduce any incongruous elements. Policy EV1</w:t>
      </w:r>
      <w:r w:rsidR="008C275A">
        <w:rPr>
          <w:rFonts w:eastAsia="Arial" w:cs="Arial"/>
          <w:spacing w:val="-1"/>
        </w:rPr>
        <w:t>0</w:t>
      </w:r>
      <w:r w:rsidRPr="00CA1587">
        <w:rPr>
          <w:rFonts w:eastAsia="Arial" w:cs="Arial"/>
          <w:spacing w:val="-1"/>
        </w:rPr>
        <w:t xml:space="preserve"> – Protection and Enhancement of Landscape Character, should be assessed when determining new development proposals in the countryside. The policy seeks to protect historic landscape features including ponds, trees, hedgerows, ridge and furrow patterns, meadows and orchards as these all add value to the character of the area and help to make Ashfield’s landscape distinctive.</w:t>
      </w:r>
    </w:p>
    <w:p w14:paraId="5F2BA39A" w14:textId="77777777" w:rsidR="00CA1587" w:rsidRPr="00CA1587" w:rsidRDefault="00CA1587" w:rsidP="00C66622">
      <w:pPr>
        <w:keepNext w:val="0"/>
        <w:tabs>
          <w:tab w:val="num" w:pos="851"/>
        </w:tabs>
        <w:autoSpaceDE w:val="0"/>
        <w:autoSpaceDN w:val="0"/>
        <w:adjustRightInd w:val="0"/>
        <w:spacing w:before="0"/>
        <w:ind w:left="851" w:hanging="851"/>
        <w:rPr>
          <w:rFonts w:eastAsia="Arial" w:cs="Arial"/>
          <w:spacing w:val="-1"/>
        </w:rPr>
      </w:pPr>
    </w:p>
    <w:p w14:paraId="283029A8" w14:textId="77777777" w:rsidR="00CA1587" w:rsidRPr="00CA1587" w:rsidRDefault="00CA1587" w:rsidP="00C66622">
      <w:pPr>
        <w:keepNext w:val="0"/>
        <w:numPr>
          <w:ilvl w:val="1"/>
          <w:numId w:val="5"/>
        </w:numPr>
        <w:tabs>
          <w:tab w:val="clear" w:pos="525"/>
          <w:tab w:val="num" w:pos="851"/>
        </w:tabs>
        <w:autoSpaceDE w:val="0"/>
        <w:autoSpaceDN w:val="0"/>
        <w:adjustRightInd w:val="0"/>
        <w:spacing w:before="0"/>
        <w:ind w:left="851" w:hanging="851"/>
        <w:rPr>
          <w:rFonts w:eastAsia="Arial" w:cs="Arial"/>
          <w:spacing w:val="-1"/>
        </w:rPr>
      </w:pPr>
      <w:r w:rsidRPr="00CA1587">
        <w:rPr>
          <w:rFonts w:eastAsia="Arial" w:cs="Arial"/>
          <w:spacing w:val="-1"/>
        </w:rPr>
        <w:t xml:space="preserve">“Important” hedgerows are protected under the Hedgerow Regulations,1995. The Regulations set out criteria that must be used by the local planning authority in determining which hedgerows are "important". The criteria relate to the value of hedgerows from an archaeological, historical, landscape and wildlife perspective. There is a strong presumption that "important" hedgerows and other hedgerows, will be protected and wherever possible incorporated into open space and landscaping proposals for new development. </w:t>
      </w:r>
    </w:p>
    <w:p w14:paraId="5ABADC49" w14:textId="77777777" w:rsidR="00CA1587" w:rsidRPr="00CA1587" w:rsidRDefault="00CA1587" w:rsidP="00C66622">
      <w:pPr>
        <w:keepNext w:val="0"/>
        <w:tabs>
          <w:tab w:val="num" w:pos="851"/>
        </w:tabs>
        <w:autoSpaceDE w:val="0"/>
        <w:autoSpaceDN w:val="0"/>
        <w:adjustRightInd w:val="0"/>
        <w:spacing w:before="0"/>
        <w:ind w:left="851" w:hanging="851"/>
        <w:rPr>
          <w:rFonts w:eastAsia="Arial" w:cs="Arial"/>
          <w:spacing w:val="-1"/>
        </w:rPr>
      </w:pPr>
    </w:p>
    <w:p w14:paraId="4DA1B695" w14:textId="77777777" w:rsidR="00CA1587" w:rsidRPr="00CA1587" w:rsidRDefault="00CA1587" w:rsidP="00C66622">
      <w:pPr>
        <w:keepNext w:val="0"/>
        <w:numPr>
          <w:ilvl w:val="1"/>
          <w:numId w:val="5"/>
        </w:numPr>
        <w:tabs>
          <w:tab w:val="clear" w:pos="525"/>
          <w:tab w:val="num" w:pos="851"/>
        </w:tabs>
        <w:autoSpaceDE w:val="0"/>
        <w:autoSpaceDN w:val="0"/>
        <w:adjustRightInd w:val="0"/>
        <w:spacing w:before="0"/>
        <w:ind w:left="851" w:hanging="851"/>
        <w:rPr>
          <w:rFonts w:eastAsia="Arial" w:cs="Arial"/>
          <w:spacing w:val="-1"/>
        </w:rPr>
      </w:pPr>
      <w:r w:rsidRPr="00CA1587">
        <w:rPr>
          <w:rFonts w:eastAsia="Arial" w:cs="Arial"/>
          <w:spacing w:val="-1"/>
        </w:rPr>
        <w:t>A qualitative judgment about the landscape affected should be informed by either a Landscape and Visual Appraisal or a Landscape and Visual Impact Assessment, as appropriate, in accordance with the most up to date guidance, taking into account the specific contribution that heritage and the setting of heritage assets makes to landscape character.</w:t>
      </w:r>
    </w:p>
    <w:p w14:paraId="4FE658B5" w14:textId="77777777" w:rsidR="00CA1587" w:rsidRPr="00CA1587" w:rsidRDefault="00CA1587" w:rsidP="00C66622">
      <w:pPr>
        <w:keepNext w:val="0"/>
        <w:tabs>
          <w:tab w:val="num" w:pos="851"/>
        </w:tabs>
        <w:autoSpaceDE w:val="0"/>
        <w:autoSpaceDN w:val="0"/>
        <w:adjustRightInd w:val="0"/>
        <w:spacing w:before="0"/>
        <w:ind w:left="851" w:hanging="851"/>
        <w:rPr>
          <w:rFonts w:eastAsia="Arial" w:cs="Arial"/>
          <w:spacing w:val="-1"/>
        </w:rPr>
      </w:pPr>
    </w:p>
    <w:p w14:paraId="52E5E4C8" w14:textId="5293A1B9" w:rsidR="00CA1587" w:rsidRPr="008C275A" w:rsidRDefault="00C66622" w:rsidP="00C66622">
      <w:pPr>
        <w:keepNext w:val="0"/>
        <w:tabs>
          <w:tab w:val="num" w:pos="851"/>
        </w:tabs>
        <w:autoSpaceDE w:val="0"/>
        <w:autoSpaceDN w:val="0"/>
        <w:adjustRightInd w:val="0"/>
        <w:spacing w:before="0"/>
        <w:ind w:left="851" w:hanging="851"/>
        <w:rPr>
          <w:rFonts w:eastAsia="Arial" w:cs="Arial"/>
          <w:b/>
          <w:bCs/>
          <w:spacing w:val="-1"/>
        </w:rPr>
      </w:pPr>
      <w:r>
        <w:rPr>
          <w:rFonts w:eastAsia="Arial" w:cs="Arial"/>
          <w:b/>
          <w:bCs/>
          <w:spacing w:val="-1"/>
        </w:rPr>
        <w:tab/>
      </w:r>
      <w:r w:rsidR="00CA1587" w:rsidRPr="008C275A">
        <w:rPr>
          <w:rFonts w:eastAsia="Arial" w:cs="Arial"/>
          <w:b/>
          <w:bCs/>
          <w:spacing w:val="-1"/>
        </w:rPr>
        <w:t>Shopfronts</w:t>
      </w:r>
    </w:p>
    <w:p w14:paraId="58869C01" w14:textId="243C9E32" w:rsidR="00CA1587" w:rsidRPr="00CA1587" w:rsidRDefault="00CA1587" w:rsidP="00C66622">
      <w:pPr>
        <w:keepNext w:val="0"/>
        <w:numPr>
          <w:ilvl w:val="1"/>
          <w:numId w:val="5"/>
        </w:numPr>
        <w:tabs>
          <w:tab w:val="clear" w:pos="525"/>
          <w:tab w:val="num" w:pos="851"/>
        </w:tabs>
        <w:autoSpaceDE w:val="0"/>
        <w:autoSpaceDN w:val="0"/>
        <w:adjustRightInd w:val="0"/>
        <w:spacing w:before="0"/>
        <w:ind w:left="851" w:hanging="851"/>
        <w:rPr>
          <w:rFonts w:eastAsia="Arial" w:cs="Arial"/>
          <w:spacing w:val="-1"/>
        </w:rPr>
      </w:pPr>
      <w:r w:rsidRPr="00CA1587">
        <w:rPr>
          <w:rFonts w:eastAsia="Arial" w:cs="Arial"/>
          <w:spacing w:val="-1"/>
        </w:rPr>
        <w:t xml:space="preserve">Shopfronts of architectural or historical value exist across the District in a variety of settings sometimes individually and sometimes as part of </w:t>
      </w:r>
      <w:r w:rsidR="009A1B9A">
        <w:rPr>
          <w:rFonts w:eastAsia="Arial" w:cs="Arial"/>
          <w:spacing w:val="-1"/>
        </w:rPr>
        <w:t xml:space="preserve">a </w:t>
      </w:r>
      <w:r w:rsidRPr="00CA1587">
        <w:rPr>
          <w:rFonts w:eastAsia="Arial" w:cs="Arial"/>
          <w:spacing w:val="-1"/>
        </w:rPr>
        <w:t>group. In recognition of the contribution that they make to the character of the District, the Council is keen to see them retained and incorporated into new development wherever possible. Proposal</w:t>
      </w:r>
      <w:r w:rsidR="009A1B9A">
        <w:rPr>
          <w:rFonts w:eastAsia="Arial" w:cs="Arial"/>
          <w:spacing w:val="-1"/>
        </w:rPr>
        <w:t>s</w:t>
      </w:r>
      <w:r w:rsidRPr="00CA1587">
        <w:rPr>
          <w:rFonts w:eastAsia="Arial" w:cs="Arial"/>
          <w:spacing w:val="-1"/>
        </w:rPr>
        <w:t xml:space="preserve"> for alterations to shopfront</w:t>
      </w:r>
      <w:r w:rsidR="009A1B9A">
        <w:rPr>
          <w:rFonts w:eastAsia="Arial" w:cs="Arial"/>
          <w:spacing w:val="-1"/>
        </w:rPr>
        <w:t xml:space="preserve">s </w:t>
      </w:r>
      <w:r w:rsidRPr="00CA1587">
        <w:rPr>
          <w:rFonts w:eastAsia="Arial" w:cs="Arial"/>
          <w:spacing w:val="-1"/>
        </w:rPr>
        <w:t>or for new shopfront</w:t>
      </w:r>
      <w:r w:rsidR="009A1B9A">
        <w:rPr>
          <w:rFonts w:eastAsia="Arial" w:cs="Arial"/>
          <w:spacing w:val="-1"/>
        </w:rPr>
        <w:t>s</w:t>
      </w:r>
      <w:r w:rsidRPr="00CA1587">
        <w:rPr>
          <w:rFonts w:eastAsia="Arial" w:cs="Arial"/>
          <w:spacing w:val="-1"/>
        </w:rPr>
        <w:t xml:space="preserve"> should accord with Policy SH</w:t>
      </w:r>
      <w:r w:rsidR="00EF521C">
        <w:rPr>
          <w:rFonts w:eastAsia="Arial" w:cs="Arial"/>
          <w:spacing w:val="-1"/>
        </w:rPr>
        <w:t>3 of the Town Centre and Retail</w:t>
      </w:r>
      <w:r w:rsidRPr="00CA1587">
        <w:rPr>
          <w:rFonts w:eastAsia="Arial" w:cs="Arial"/>
          <w:spacing w:val="-1"/>
        </w:rPr>
        <w:t xml:space="preserve"> Chapter of this Plan </w:t>
      </w:r>
    </w:p>
    <w:p w14:paraId="3F1BB9EA" w14:textId="77777777" w:rsidR="00CA1587" w:rsidRPr="00CA1587" w:rsidRDefault="00CA1587" w:rsidP="00C66622">
      <w:pPr>
        <w:keepNext w:val="0"/>
        <w:tabs>
          <w:tab w:val="num" w:pos="851"/>
        </w:tabs>
        <w:autoSpaceDE w:val="0"/>
        <w:autoSpaceDN w:val="0"/>
        <w:adjustRightInd w:val="0"/>
        <w:spacing w:before="0"/>
        <w:ind w:left="851" w:hanging="851"/>
        <w:rPr>
          <w:rFonts w:eastAsia="Arial" w:cs="Arial"/>
          <w:spacing w:val="-1"/>
        </w:rPr>
      </w:pPr>
    </w:p>
    <w:p w14:paraId="25B820E6" w14:textId="04B02A5A" w:rsidR="00CA1587" w:rsidRPr="008C275A" w:rsidRDefault="00C66622" w:rsidP="00C66622">
      <w:pPr>
        <w:keepNext w:val="0"/>
        <w:tabs>
          <w:tab w:val="num" w:pos="851"/>
        </w:tabs>
        <w:autoSpaceDE w:val="0"/>
        <w:autoSpaceDN w:val="0"/>
        <w:adjustRightInd w:val="0"/>
        <w:spacing w:before="0"/>
        <w:ind w:left="851" w:hanging="851"/>
        <w:rPr>
          <w:rFonts w:eastAsia="Arial" w:cs="Arial"/>
          <w:b/>
          <w:bCs/>
          <w:spacing w:val="-1"/>
        </w:rPr>
      </w:pPr>
      <w:r>
        <w:rPr>
          <w:rFonts w:eastAsia="Arial" w:cs="Arial"/>
          <w:b/>
          <w:bCs/>
          <w:spacing w:val="-1"/>
        </w:rPr>
        <w:tab/>
      </w:r>
      <w:r w:rsidR="00CA1587" w:rsidRPr="008C275A">
        <w:rPr>
          <w:rFonts w:eastAsia="Arial" w:cs="Arial"/>
          <w:b/>
          <w:bCs/>
          <w:spacing w:val="-1"/>
        </w:rPr>
        <w:t>Statements of Heritage Significance and Archaeological Evaluations</w:t>
      </w:r>
    </w:p>
    <w:p w14:paraId="23D2D7B2" w14:textId="7B4D4D8C" w:rsidR="00CA1587" w:rsidRPr="00CA1587" w:rsidRDefault="00CA1587" w:rsidP="00C66622">
      <w:pPr>
        <w:keepNext w:val="0"/>
        <w:numPr>
          <w:ilvl w:val="1"/>
          <w:numId w:val="5"/>
        </w:numPr>
        <w:tabs>
          <w:tab w:val="clear" w:pos="525"/>
          <w:tab w:val="num" w:pos="851"/>
        </w:tabs>
        <w:autoSpaceDE w:val="0"/>
        <w:autoSpaceDN w:val="0"/>
        <w:adjustRightInd w:val="0"/>
        <w:spacing w:before="0"/>
        <w:ind w:left="851" w:hanging="851"/>
        <w:rPr>
          <w:rFonts w:eastAsia="Arial" w:cs="Arial"/>
          <w:spacing w:val="-1"/>
        </w:rPr>
      </w:pPr>
      <w:r w:rsidRPr="00CA1587">
        <w:rPr>
          <w:rFonts w:eastAsia="Arial" w:cs="Arial"/>
          <w:spacing w:val="-1"/>
        </w:rPr>
        <w:t xml:space="preserve">In cases where it is necessary for an applicant to submit a Statement of Heritage Significance and/or archaeological evaluation (following a desk-based assessment), the scope and degree of detail necessary will vary according to the particular circumstances of each application. The level of detail required should be proportionate to the importance of the heritage asset, the size of the development and the level of its impact on the heritage asset.   </w:t>
      </w:r>
    </w:p>
    <w:p w14:paraId="6AA98DB8" w14:textId="77777777" w:rsidR="00CA1587" w:rsidRPr="00CA1587" w:rsidRDefault="00CA1587" w:rsidP="00C66622">
      <w:pPr>
        <w:keepNext w:val="0"/>
        <w:tabs>
          <w:tab w:val="num" w:pos="851"/>
        </w:tabs>
        <w:autoSpaceDE w:val="0"/>
        <w:autoSpaceDN w:val="0"/>
        <w:adjustRightInd w:val="0"/>
        <w:spacing w:before="0"/>
        <w:ind w:left="851" w:hanging="851"/>
        <w:rPr>
          <w:rFonts w:eastAsia="Arial" w:cs="Arial"/>
          <w:spacing w:val="-1"/>
        </w:rPr>
      </w:pPr>
    </w:p>
    <w:p w14:paraId="05AEC5AE" w14:textId="77777777" w:rsidR="00CA1587" w:rsidRPr="00CA1587" w:rsidRDefault="00CA1587" w:rsidP="00C66622">
      <w:pPr>
        <w:keepNext w:val="0"/>
        <w:numPr>
          <w:ilvl w:val="1"/>
          <w:numId w:val="5"/>
        </w:numPr>
        <w:tabs>
          <w:tab w:val="clear" w:pos="525"/>
          <w:tab w:val="num" w:pos="851"/>
        </w:tabs>
        <w:autoSpaceDE w:val="0"/>
        <w:autoSpaceDN w:val="0"/>
        <w:adjustRightInd w:val="0"/>
        <w:spacing w:before="0"/>
        <w:ind w:left="851" w:hanging="851"/>
        <w:rPr>
          <w:rFonts w:eastAsia="Arial" w:cs="Arial"/>
          <w:spacing w:val="-1"/>
        </w:rPr>
      </w:pPr>
      <w:r w:rsidRPr="00CA1587">
        <w:rPr>
          <w:rFonts w:eastAsia="Arial" w:cs="Arial"/>
          <w:spacing w:val="-1"/>
        </w:rPr>
        <w:t>All development proposals that would affect any heritage asset will need to be accompanied by a Statement of Heritage Significance which, as a minimum, should cover the following:</w:t>
      </w:r>
    </w:p>
    <w:p w14:paraId="1CE26507" w14:textId="77777777" w:rsidR="00CA1587" w:rsidRPr="00CA1587" w:rsidRDefault="00CA1587" w:rsidP="00C66622">
      <w:pPr>
        <w:keepNext w:val="0"/>
        <w:tabs>
          <w:tab w:val="num" w:pos="851"/>
        </w:tabs>
        <w:autoSpaceDE w:val="0"/>
        <w:autoSpaceDN w:val="0"/>
        <w:adjustRightInd w:val="0"/>
        <w:spacing w:before="0"/>
        <w:ind w:left="851" w:hanging="851"/>
        <w:rPr>
          <w:rFonts w:eastAsia="Arial" w:cs="Arial"/>
          <w:spacing w:val="-1"/>
        </w:rPr>
      </w:pPr>
    </w:p>
    <w:p w14:paraId="344A7597" w14:textId="77777777" w:rsidR="00CA1587" w:rsidRPr="008C275A" w:rsidRDefault="00CA1587" w:rsidP="00874A98">
      <w:pPr>
        <w:pStyle w:val="ListParagraph"/>
        <w:numPr>
          <w:ilvl w:val="0"/>
          <w:numId w:val="230"/>
        </w:numPr>
        <w:autoSpaceDE w:val="0"/>
        <w:autoSpaceDN w:val="0"/>
        <w:adjustRightInd w:val="0"/>
        <w:spacing w:after="0" w:line="240" w:lineRule="auto"/>
        <w:ind w:left="1560" w:hanging="426"/>
        <w:rPr>
          <w:rFonts w:ascii="Arial" w:eastAsia="Arial" w:hAnsi="Arial" w:cs="Arial"/>
          <w:spacing w:val="-1"/>
        </w:rPr>
      </w:pPr>
      <w:r w:rsidRPr="008C275A">
        <w:rPr>
          <w:rFonts w:ascii="Arial" w:eastAsia="Arial" w:hAnsi="Arial" w:cs="Arial"/>
          <w:spacing w:val="-1"/>
        </w:rPr>
        <w:t xml:space="preserve">describe and assess the significance of the asset and/or its setting; </w:t>
      </w:r>
    </w:p>
    <w:p w14:paraId="278DF69A" w14:textId="77777777" w:rsidR="00CA1587" w:rsidRPr="008C275A" w:rsidRDefault="00CA1587" w:rsidP="00874A98">
      <w:pPr>
        <w:pStyle w:val="ListParagraph"/>
        <w:numPr>
          <w:ilvl w:val="0"/>
          <w:numId w:val="230"/>
        </w:numPr>
        <w:autoSpaceDE w:val="0"/>
        <w:autoSpaceDN w:val="0"/>
        <w:adjustRightInd w:val="0"/>
        <w:spacing w:after="0" w:line="240" w:lineRule="auto"/>
        <w:ind w:left="1560" w:hanging="426"/>
        <w:rPr>
          <w:rFonts w:ascii="Arial" w:eastAsia="Arial" w:hAnsi="Arial" w:cs="Arial"/>
          <w:spacing w:val="-1"/>
        </w:rPr>
      </w:pPr>
      <w:r w:rsidRPr="008C275A">
        <w:rPr>
          <w:rFonts w:ascii="Arial" w:eastAsia="Arial" w:hAnsi="Arial" w:cs="Arial"/>
          <w:spacing w:val="-1"/>
        </w:rPr>
        <w:t>identify the impact of works on the special character of the asset; and</w:t>
      </w:r>
    </w:p>
    <w:p w14:paraId="0C3A3622" w14:textId="0E6CE4A1" w:rsidR="00CA1587" w:rsidRDefault="00CA1587" w:rsidP="00874A98">
      <w:pPr>
        <w:pStyle w:val="ListParagraph"/>
        <w:numPr>
          <w:ilvl w:val="0"/>
          <w:numId w:val="230"/>
        </w:numPr>
        <w:autoSpaceDE w:val="0"/>
        <w:autoSpaceDN w:val="0"/>
        <w:adjustRightInd w:val="0"/>
        <w:spacing w:after="0" w:line="240" w:lineRule="auto"/>
        <w:ind w:left="1560" w:hanging="426"/>
        <w:rPr>
          <w:rFonts w:ascii="Arial" w:eastAsia="Arial" w:hAnsi="Arial" w:cs="Arial"/>
          <w:spacing w:val="-1"/>
        </w:rPr>
      </w:pPr>
      <w:r w:rsidRPr="008C275A">
        <w:rPr>
          <w:rFonts w:ascii="Arial" w:eastAsia="Arial" w:hAnsi="Arial" w:cs="Arial"/>
          <w:spacing w:val="-1"/>
        </w:rPr>
        <w:t>provide a clear justification for the works, especially if these would harm the asset or its setting, so that the harm can be weighed against public benefits.</w:t>
      </w:r>
    </w:p>
    <w:p w14:paraId="56D15C19" w14:textId="77777777" w:rsidR="00A9195B" w:rsidRDefault="00A9195B" w:rsidP="00A9195B">
      <w:pPr>
        <w:autoSpaceDE w:val="0"/>
        <w:autoSpaceDN w:val="0"/>
        <w:adjustRightInd w:val="0"/>
        <w:rPr>
          <w:rFonts w:eastAsia="Arial" w:cs="Arial"/>
          <w:color w:val="4472C4" w:themeColor="accent1"/>
          <w:spacing w:val="-1"/>
        </w:rPr>
      </w:pPr>
    </w:p>
    <w:p w14:paraId="0A8838CE" w14:textId="4A8B0141" w:rsidR="00A9195B" w:rsidRPr="002E7654" w:rsidRDefault="00A9195B" w:rsidP="00263F59">
      <w:pPr>
        <w:keepNext w:val="0"/>
        <w:numPr>
          <w:ilvl w:val="1"/>
          <w:numId w:val="5"/>
        </w:numPr>
        <w:tabs>
          <w:tab w:val="clear" w:pos="525"/>
          <w:tab w:val="num" w:pos="851"/>
        </w:tabs>
        <w:autoSpaceDE w:val="0"/>
        <w:autoSpaceDN w:val="0"/>
        <w:adjustRightInd w:val="0"/>
        <w:spacing w:before="0"/>
        <w:ind w:left="851" w:hanging="851"/>
        <w:rPr>
          <w:rFonts w:eastAsia="Arial" w:cs="Arial"/>
          <w:spacing w:val="-1"/>
        </w:rPr>
      </w:pPr>
      <w:r w:rsidRPr="002E7654">
        <w:rPr>
          <w:rFonts w:eastAsia="Arial" w:cs="Arial"/>
          <w:spacing w:val="-1"/>
        </w:rPr>
        <w:t>Historic England’s Good Practice Advice Note 2: Managing Significance in Decision-Taking in the Historic Environment, and Good Practice Advice Note 3: The Setting of heritage Assets, provide advice on how to undertake a Heritage Statement.</w:t>
      </w:r>
    </w:p>
    <w:p w14:paraId="336FAE5F" w14:textId="77777777" w:rsidR="00A9195B" w:rsidRPr="00A9195B" w:rsidRDefault="00A9195B" w:rsidP="00A9195B">
      <w:pPr>
        <w:keepNext w:val="0"/>
        <w:autoSpaceDE w:val="0"/>
        <w:autoSpaceDN w:val="0"/>
        <w:adjustRightInd w:val="0"/>
        <w:spacing w:before="0"/>
        <w:ind w:left="851"/>
        <w:rPr>
          <w:rFonts w:eastAsia="Arial" w:cs="Arial"/>
          <w:color w:val="4472C4" w:themeColor="accent1"/>
          <w:spacing w:val="-1"/>
        </w:rPr>
      </w:pPr>
    </w:p>
    <w:p w14:paraId="001A697D" w14:textId="10398AA3" w:rsidR="008C275A" w:rsidRPr="001770A9" w:rsidRDefault="00CA1587" w:rsidP="00263F59">
      <w:pPr>
        <w:keepNext w:val="0"/>
        <w:numPr>
          <w:ilvl w:val="1"/>
          <w:numId w:val="5"/>
        </w:numPr>
        <w:tabs>
          <w:tab w:val="clear" w:pos="525"/>
          <w:tab w:val="num" w:pos="851"/>
        </w:tabs>
        <w:autoSpaceDE w:val="0"/>
        <w:autoSpaceDN w:val="0"/>
        <w:adjustRightInd w:val="0"/>
        <w:spacing w:before="0"/>
        <w:ind w:left="851" w:hanging="851"/>
        <w:rPr>
          <w:rFonts w:eastAsia="Arial" w:cs="Arial"/>
          <w:color w:val="auto"/>
          <w:spacing w:val="-1"/>
        </w:rPr>
      </w:pPr>
      <w:r w:rsidRPr="00CA1587">
        <w:rPr>
          <w:rFonts w:eastAsia="Arial" w:cs="Arial"/>
          <w:spacing w:val="-1"/>
        </w:rPr>
        <w:t xml:space="preserve">Applicants are advised to discuss proposals with the Council prior to submitting an </w:t>
      </w:r>
      <w:r w:rsidRPr="001770A9">
        <w:rPr>
          <w:rFonts w:eastAsia="Arial" w:cs="Arial"/>
          <w:color w:val="auto"/>
          <w:spacing w:val="-1"/>
        </w:rPr>
        <w:t xml:space="preserve">application. </w:t>
      </w:r>
    </w:p>
    <w:p w14:paraId="719804DF" w14:textId="4A27F7D7" w:rsidR="00263F59" w:rsidRPr="001770A9" w:rsidRDefault="00263F59" w:rsidP="00263F59">
      <w:pPr>
        <w:keepNext w:val="0"/>
        <w:autoSpaceDE w:val="0"/>
        <w:autoSpaceDN w:val="0"/>
        <w:adjustRightInd w:val="0"/>
        <w:spacing w:before="0"/>
        <w:rPr>
          <w:rFonts w:eastAsia="Arial" w:cs="Arial"/>
          <w:color w:val="auto"/>
          <w:spacing w:val="-1"/>
          <w:szCs w:val="24"/>
        </w:rPr>
      </w:pPr>
    </w:p>
    <w:p w14:paraId="7A5BD76E" w14:textId="18C973CC" w:rsidR="000540B6" w:rsidRDefault="000540B6">
      <w:pPr>
        <w:keepNext w:val="0"/>
        <w:spacing w:before="0"/>
        <w:rPr>
          <w:rFonts w:eastAsia="Arial" w:cs="Arial"/>
          <w:color w:val="auto"/>
          <w:spacing w:val="-1"/>
          <w:szCs w:val="24"/>
        </w:rPr>
      </w:pPr>
      <w:r>
        <w:rPr>
          <w:rFonts w:eastAsia="Arial" w:cs="Arial"/>
          <w:color w:val="auto"/>
          <w:spacing w:val="-1"/>
          <w:szCs w:val="24"/>
        </w:rPr>
        <w:br w:type="page"/>
      </w:r>
    </w:p>
    <w:p w14:paraId="480A33ED" w14:textId="63A70E4F" w:rsidR="00CA1587" w:rsidRPr="00995322" w:rsidRDefault="006977E7" w:rsidP="00995322">
      <w:pPr>
        <w:pStyle w:val="Heading2"/>
        <w:jc w:val="left"/>
        <w:rPr>
          <w:rFonts w:eastAsia="Arial"/>
          <w:sz w:val="28"/>
          <w:szCs w:val="28"/>
        </w:rPr>
      </w:pPr>
      <w:bookmarkStart w:id="183" w:name="_Toc145511584"/>
      <w:r w:rsidRPr="00995322">
        <w:rPr>
          <w:rFonts w:eastAsia="Arial"/>
          <w:sz w:val="28"/>
          <w:szCs w:val="28"/>
        </w:rPr>
        <w:t xml:space="preserve">Policy </w:t>
      </w:r>
      <w:r w:rsidR="00CA1587" w:rsidRPr="00995322">
        <w:rPr>
          <w:rFonts w:eastAsia="Arial"/>
          <w:sz w:val="28"/>
          <w:szCs w:val="28"/>
        </w:rPr>
        <w:t>EV10: Protection and Enhancement of Landscape Character</w:t>
      </w:r>
      <w:bookmarkEnd w:id="183"/>
      <w:r w:rsidR="00CA1587" w:rsidRPr="00995322">
        <w:rPr>
          <w:rFonts w:eastAsia="Arial"/>
          <w:sz w:val="28"/>
          <w:szCs w:val="28"/>
        </w:rPr>
        <w:t xml:space="preserve"> </w:t>
      </w:r>
    </w:p>
    <w:p w14:paraId="4A76EB3B" w14:textId="77777777" w:rsidR="00CA1587" w:rsidRPr="00CA1587" w:rsidRDefault="00CA1587" w:rsidP="00263F59">
      <w:pPr>
        <w:keepNext w:val="0"/>
        <w:autoSpaceDE w:val="0"/>
        <w:autoSpaceDN w:val="0"/>
        <w:adjustRightInd w:val="0"/>
        <w:spacing w:before="0"/>
        <w:ind w:left="525"/>
        <w:rPr>
          <w:rFonts w:eastAsia="Arial" w:cs="Arial"/>
          <w:spacing w:val="-1"/>
        </w:rPr>
      </w:pPr>
    </w:p>
    <w:p w14:paraId="7D340310" w14:textId="6B2CBD99" w:rsidR="00933AEA" w:rsidRDefault="00CA1587" w:rsidP="008E45AD">
      <w:pPr>
        <w:keepNext w:val="0"/>
        <w:numPr>
          <w:ilvl w:val="1"/>
          <w:numId w:val="5"/>
        </w:numPr>
        <w:tabs>
          <w:tab w:val="clear" w:pos="525"/>
        </w:tabs>
        <w:autoSpaceDE w:val="0"/>
        <w:autoSpaceDN w:val="0"/>
        <w:adjustRightInd w:val="0"/>
        <w:spacing w:before="0"/>
        <w:ind w:left="851" w:hanging="851"/>
        <w:rPr>
          <w:rFonts w:eastAsia="Arial" w:cs="Arial"/>
          <w:spacing w:val="-1"/>
        </w:rPr>
      </w:pPr>
      <w:r w:rsidRPr="000540B6">
        <w:rPr>
          <w:rFonts w:eastAsia="Arial" w:cs="Arial"/>
          <w:spacing w:val="-1"/>
        </w:rPr>
        <w:t>This policy is intended to conserve and enhance the district’s unique landscape character and is informed by the Landscape Character Assessment for Ashfield – its role is to ensure that change does not undermine the characteristics or features of value within a landscape.</w:t>
      </w:r>
    </w:p>
    <w:p w14:paraId="7D37C3E1" w14:textId="77777777" w:rsidR="000540B6" w:rsidRPr="000540B6" w:rsidRDefault="000540B6" w:rsidP="000540B6">
      <w:pPr>
        <w:keepNext w:val="0"/>
        <w:autoSpaceDE w:val="0"/>
        <w:autoSpaceDN w:val="0"/>
        <w:adjustRightInd w:val="0"/>
        <w:spacing w:before="0"/>
        <w:ind w:left="851"/>
        <w:rPr>
          <w:rFonts w:eastAsia="Arial" w:cs="Arial"/>
          <w:spacing w:val="-1"/>
        </w:rPr>
      </w:pPr>
    </w:p>
    <w:tbl>
      <w:tblPr>
        <w:tblStyle w:val="TableGrid11"/>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400"/>
        <w:gridCol w:w="7219"/>
      </w:tblGrid>
      <w:tr w:rsidR="0089485A" w:rsidRPr="0089485A" w14:paraId="79E10D01" w14:textId="77777777" w:rsidTr="00C66622">
        <w:tc>
          <w:tcPr>
            <w:tcW w:w="9619" w:type="dxa"/>
            <w:gridSpan w:val="2"/>
          </w:tcPr>
          <w:p w14:paraId="317249A2" w14:textId="77777777" w:rsidR="00DA5747" w:rsidRDefault="00DA5747" w:rsidP="00FF3EAD">
            <w:pPr>
              <w:keepNext w:val="0"/>
              <w:spacing w:before="0"/>
              <w:jc w:val="left"/>
              <w:rPr>
                <w:b/>
                <w:bCs/>
                <w:color w:val="auto"/>
              </w:rPr>
            </w:pPr>
          </w:p>
          <w:p w14:paraId="2937929E" w14:textId="54007AC2" w:rsidR="0089485A" w:rsidRDefault="0089485A" w:rsidP="00FF3EAD">
            <w:pPr>
              <w:keepNext w:val="0"/>
              <w:spacing w:before="0"/>
              <w:jc w:val="left"/>
              <w:rPr>
                <w:b/>
                <w:bCs/>
                <w:color w:val="auto"/>
              </w:rPr>
            </w:pPr>
            <w:r w:rsidRPr="0089485A">
              <w:rPr>
                <w:b/>
                <w:bCs/>
                <w:color w:val="auto"/>
              </w:rPr>
              <w:t>Policy EV10: Protection and Enhancement of Landscape Character</w:t>
            </w:r>
          </w:p>
          <w:p w14:paraId="0C678189" w14:textId="2002DF27" w:rsidR="00DA5747" w:rsidRPr="0089485A" w:rsidRDefault="00DA5747" w:rsidP="00FF3EAD">
            <w:pPr>
              <w:keepNext w:val="0"/>
              <w:spacing w:before="0"/>
              <w:jc w:val="left"/>
              <w:rPr>
                <w:b/>
                <w:bCs/>
                <w:color w:val="auto"/>
              </w:rPr>
            </w:pPr>
          </w:p>
        </w:tc>
      </w:tr>
      <w:tr w:rsidR="0089485A" w:rsidRPr="0089485A" w14:paraId="13B9EE6B" w14:textId="77777777" w:rsidTr="00C66622">
        <w:tc>
          <w:tcPr>
            <w:tcW w:w="2400" w:type="dxa"/>
          </w:tcPr>
          <w:p w14:paraId="49BCCDF5" w14:textId="77777777" w:rsidR="0089485A" w:rsidRPr="0089485A" w:rsidRDefault="0089485A" w:rsidP="00FF3EAD">
            <w:pPr>
              <w:keepNext w:val="0"/>
              <w:spacing w:before="0"/>
              <w:jc w:val="left"/>
              <w:rPr>
                <w:color w:val="auto"/>
              </w:rPr>
            </w:pPr>
            <w:r w:rsidRPr="0089485A">
              <w:rPr>
                <w:color w:val="auto"/>
              </w:rPr>
              <w:t>Strategic Objectives</w:t>
            </w:r>
          </w:p>
        </w:tc>
        <w:tc>
          <w:tcPr>
            <w:tcW w:w="7219" w:type="dxa"/>
          </w:tcPr>
          <w:p w14:paraId="6B360DBD" w14:textId="77777777" w:rsidR="0089485A" w:rsidRPr="0089485A" w:rsidRDefault="0089485A" w:rsidP="00FF3EAD">
            <w:pPr>
              <w:keepNext w:val="0"/>
              <w:spacing w:before="0"/>
              <w:jc w:val="left"/>
              <w:rPr>
                <w:color w:val="auto"/>
              </w:rPr>
            </w:pPr>
            <w:r w:rsidRPr="0089485A">
              <w:rPr>
                <w:color w:val="auto"/>
              </w:rPr>
              <w:t xml:space="preserve">SO1, SO4, SO5, SO11, SO13, SO14. </w:t>
            </w:r>
          </w:p>
        </w:tc>
      </w:tr>
      <w:tr w:rsidR="0089485A" w:rsidRPr="0089485A" w14:paraId="5F95F5EF" w14:textId="77777777" w:rsidTr="00C66622">
        <w:tc>
          <w:tcPr>
            <w:tcW w:w="9619" w:type="dxa"/>
            <w:gridSpan w:val="2"/>
            <w:shd w:val="clear" w:color="auto" w:fill="E2EFD9"/>
          </w:tcPr>
          <w:p w14:paraId="5EFC41EE" w14:textId="77777777" w:rsidR="0089485A" w:rsidRPr="0089485A" w:rsidRDefault="0089485A" w:rsidP="00FF3EAD">
            <w:pPr>
              <w:keepNext w:val="0"/>
              <w:spacing w:before="0"/>
              <w:jc w:val="left"/>
              <w:rPr>
                <w:color w:val="auto"/>
              </w:rPr>
            </w:pPr>
          </w:p>
          <w:p w14:paraId="0E7A371C" w14:textId="77777777" w:rsidR="0089485A" w:rsidRPr="0089485A" w:rsidRDefault="0089485A" w:rsidP="00874A98">
            <w:pPr>
              <w:keepNext w:val="0"/>
              <w:numPr>
                <w:ilvl w:val="0"/>
                <w:numId w:val="260"/>
              </w:numPr>
              <w:spacing w:before="0"/>
              <w:contextualSpacing/>
              <w:jc w:val="left"/>
              <w:rPr>
                <w:color w:val="auto"/>
              </w:rPr>
            </w:pPr>
            <w:r w:rsidRPr="0089485A">
              <w:rPr>
                <w:color w:val="auto"/>
              </w:rPr>
              <w:t>Proposals for development outside the Main Urban Areas and Named Settlements should recognise the intrinsic character and beauty of the countryside, and be informed by and sympathetic to, the distinctive landscape character areas identified in the Landscape Character Assessment for Ashfield.</w:t>
            </w:r>
          </w:p>
          <w:p w14:paraId="01A0D304" w14:textId="77777777" w:rsidR="0089485A" w:rsidRPr="0089485A" w:rsidRDefault="0089485A" w:rsidP="00FF3EAD">
            <w:pPr>
              <w:keepNext w:val="0"/>
              <w:spacing w:before="0"/>
              <w:ind w:left="360"/>
              <w:contextualSpacing/>
              <w:jc w:val="left"/>
              <w:rPr>
                <w:color w:val="auto"/>
              </w:rPr>
            </w:pPr>
          </w:p>
          <w:p w14:paraId="11CBE984" w14:textId="77777777" w:rsidR="0089485A" w:rsidRPr="0089485A" w:rsidRDefault="0089485A" w:rsidP="00874A98">
            <w:pPr>
              <w:keepNext w:val="0"/>
              <w:numPr>
                <w:ilvl w:val="0"/>
                <w:numId w:val="260"/>
              </w:numPr>
              <w:spacing w:before="0"/>
              <w:contextualSpacing/>
              <w:jc w:val="left"/>
              <w:rPr>
                <w:color w:val="auto"/>
              </w:rPr>
            </w:pPr>
            <w:r w:rsidRPr="0089485A">
              <w:rPr>
                <w:color w:val="auto"/>
              </w:rPr>
              <w:t>Where necessary, development proposals should demonstrate that their location, scale, design and materials will protect, conserve and where possible, enhance:</w:t>
            </w:r>
          </w:p>
          <w:p w14:paraId="56CA351C" w14:textId="77777777" w:rsidR="0089485A" w:rsidRPr="0089485A" w:rsidRDefault="0089485A" w:rsidP="00FF3EAD">
            <w:pPr>
              <w:keepNext w:val="0"/>
              <w:spacing w:before="0"/>
              <w:jc w:val="left"/>
              <w:rPr>
                <w:color w:val="auto"/>
              </w:rPr>
            </w:pPr>
          </w:p>
          <w:p w14:paraId="26645571" w14:textId="77777777" w:rsidR="0089485A" w:rsidRPr="0089485A" w:rsidRDefault="0089485A" w:rsidP="00874A98">
            <w:pPr>
              <w:keepNext w:val="0"/>
              <w:numPr>
                <w:ilvl w:val="0"/>
                <w:numId w:val="261"/>
              </w:numPr>
              <w:spacing w:before="0"/>
              <w:contextualSpacing/>
              <w:jc w:val="left"/>
              <w:rPr>
                <w:color w:val="auto"/>
              </w:rPr>
            </w:pPr>
            <w:r w:rsidRPr="0089485A">
              <w:rPr>
                <w:color w:val="auto"/>
              </w:rPr>
              <w:t>The special qualities and local distinctiveness of the area (including its historical, geological, biodiversity and cultural character);</w:t>
            </w:r>
          </w:p>
          <w:p w14:paraId="722E9F2C" w14:textId="77777777" w:rsidR="0089485A" w:rsidRPr="0089485A" w:rsidRDefault="0089485A" w:rsidP="00874A98">
            <w:pPr>
              <w:keepNext w:val="0"/>
              <w:numPr>
                <w:ilvl w:val="0"/>
                <w:numId w:val="261"/>
              </w:numPr>
              <w:spacing w:before="0"/>
              <w:contextualSpacing/>
              <w:jc w:val="left"/>
              <w:rPr>
                <w:color w:val="auto"/>
              </w:rPr>
            </w:pPr>
            <w:r w:rsidRPr="0089485A">
              <w:rPr>
                <w:color w:val="auto"/>
              </w:rPr>
              <w:t>Local character through appropriate design and management;</w:t>
            </w:r>
          </w:p>
          <w:p w14:paraId="019D53FF" w14:textId="77777777" w:rsidR="0089485A" w:rsidRPr="0089485A" w:rsidRDefault="0089485A" w:rsidP="00874A98">
            <w:pPr>
              <w:keepNext w:val="0"/>
              <w:numPr>
                <w:ilvl w:val="0"/>
                <w:numId w:val="261"/>
              </w:numPr>
              <w:spacing w:before="0"/>
              <w:contextualSpacing/>
              <w:jc w:val="left"/>
              <w:rPr>
                <w:color w:val="auto"/>
              </w:rPr>
            </w:pPr>
            <w:r w:rsidRPr="0089485A">
              <w:rPr>
                <w:color w:val="auto"/>
              </w:rPr>
              <w:t>Gaps between settlements, and their landscape setting;</w:t>
            </w:r>
          </w:p>
          <w:p w14:paraId="0BAC1E9A" w14:textId="77777777" w:rsidR="0089485A" w:rsidRPr="0089485A" w:rsidRDefault="0089485A" w:rsidP="00874A98">
            <w:pPr>
              <w:keepNext w:val="0"/>
              <w:numPr>
                <w:ilvl w:val="0"/>
                <w:numId w:val="261"/>
              </w:numPr>
              <w:spacing w:before="0"/>
              <w:contextualSpacing/>
              <w:jc w:val="left"/>
              <w:rPr>
                <w:color w:val="auto"/>
              </w:rPr>
            </w:pPr>
            <w:r w:rsidRPr="0089485A">
              <w:rPr>
                <w:color w:val="auto"/>
              </w:rPr>
              <w:t>The pattern of distinctive landscape features, such as watercourses, woodland, trees and field boundaries, and their function as ecological corridors for wildlife;</w:t>
            </w:r>
          </w:p>
          <w:p w14:paraId="651EBFED" w14:textId="77777777" w:rsidR="0089485A" w:rsidRPr="0089485A" w:rsidRDefault="0089485A" w:rsidP="00874A98">
            <w:pPr>
              <w:keepNext w:val="0"/>
              <w:numPr>
                <w:ilvl w:val="0"/>
                <w:numId w:val="261"/>
              </w:numPr>
              <w:spacing w:before="0"/>
              <w:contextualSpacing/>
              <w:jc w:val="left"/>
              <w:rPr>
                <w:color w:val="auto"/>
              </w:rPr>
            </w:pPr>
            <w:r w:rsidRPr="0089485A">
              <w:rPr>
                <w:color w:val="auto"/>
              </w:rPr>
              <w:t>Visually sensitive skylines, ridgelines, hillsides, valley sides and geological features;</w:t>
            </w:r>
          </w:p>
          <w:p w14:paraId="67B5E576" w14:textId="77777777" w:rsidR="0089485A" w:rsidRPr="0089485A" w:rsidRDefault="0089485A" w:rsidP="00874A98">
            <w:pPr>
              <w:keepNext w:val="0"/>
              <w:numPr>
                <w:ilvl w:val="0"/>
                <w:numId w:val="261"/>
              </w:numPr>
              <w:spacing w:before="0"/>
              <w:contextualSpacing/>
              <w:jc w:val="left"/>
              <w:rPr>
                <w:color w:val="auto"/>
              </w:rPr>
            </w:pPr>
            <w:r w:rsidRPr="0089485A">
              <w:rPr>
                <w:color w:val="auto"/>
              </w:rPr>
              <w:t>Important views; and</w:t>
            </w:r>
          </w:p>
          <w:p w14:paraId="4830D9DA" w14:textId="77777777" w:rsidR="0089485A" w:rsidRPr="0089485A" w:rsidRDefault="0089485A" w:rsidP="00874A98">
            <w:pPr>
              <w:keepNext w:val="0"/>
              <w:numPr>
                <w:ilvl w:val="0"/>
                <w:numId w:val="261"/>
              </w:numPr>
              <w:spacing w:before="0"/>
              <w:contextualSpacing/>
              <w:jc w:val="left"/>
              <w:rPr>
                <w:color w:val="auto"/>
              </w:rPr>
            </w:pPr>
            <w:r w:rsidRPr="0089485A">
              <w:rPr>
                <w:color w:val="auto"/>
              </w:rPr>
              <w:t>The setting of, and views to and from, Listed Buildings, Scheduled Monuments, Conservation Areas and Historic Parks and Gardens.</w:t>
            </w:r>
          </w:p>
          <w:p w14:paraId="15224EF3" w14:textId="77777777" w:rsidR="0089485A" w:rsidRPr="0089485A" w:rsidRDefault="0089485A" w:rsidP="00FF3EAD">
            <w:pPr>
              <w:keepNext w:val="0"/>
              <w:spacing w:before="0"/>
              <w:jc w:val="left"/>
              <w:rPr>
                <w:color w:val="auto"/>
              </w:rPr>
            </w:pPr>
          </w:p>
          <w:p w14:paraId="603B7014" w14:textId="77777777" w:rsidR="0089485A" w:rsidRPr="0089485A" w:rsidRDefault="0089485A" w:rsidP="00874A98">
            <w:pPr>
              <w:keepNext w:val="0"/>
              <w:numPr>
                <w:ilvl w:val="0"/>
                <w:numId w:val="260"/>
              </w:numPr>
              <w:spacing w:before="0"/>
              <w:contextualSpacing/>
              <w:jc w:val="left"/>
              <w:rPr>
                <w:color w:val="auto"/>
              </w:rPr>
            </w:pPr>
            <w:r w:rsidRPr="0089485A">
              <w:rPr>
                <w:color w:val="auto"/>
              </w:rPr>
              <w:t>Proposals that have an adverse effect will not be permitted unless the public benefits of the development clearly outweigh any adverse impacts, and it can be demonstrated that they cannot be located on alternative sites that would cause less harm.</w:t>
            </w:r>
          </w:p>
          <w:p w14:paraId="6347AB1F" w14:textId="77777777" w:rsidR="0089485A" w:rsidRPr="0089485A" w:rsidRDefault="0089485A" w:rsidP="00FF3EAD">
            <w:pPr>
              <w:keepNext w:val="0"/>
              <w:spacing w:before="0"/>
              <w:ind w:left="360"/>
              <w:contextualSpacing/>
              <w:jc w:val="left"/>
              <w:rPr>
                <w:color w:val="auto"/>
              </w:rPr>
            </w:pPr>
          </w:p>
          <w:p w14:paraId="4F7CA7C4" w14:textId="77777777" w:rsidR="0089485A" w:rsidRPr="0089485A" w:rsidRDefault="0089485A" w:rsidP="00874A98">
            <w:pPr>
              <w:keepNext w:val="0"/>
              <w:numPr>
                <w:ilvl w:val="0"/>
                <w:numId w:val="260"/>
              </w:numPr>
              <w:spacing w:before="0"/>
              <w:contextualSpacing/>
              <w:jc w:val="left"/>
              <w:rPr>
                <w:color w:val="auto"/>
              </w:rPr>
            </w:pPr>
            <w:r w:rsidRPr="0089485A">
              <w:rPr>
                <w:color w:val="auto"/>
              </w:rPr>
              <w:t>Development deemed acceptable in accordance with the above criteria will be supported in the countryside provided that it enhances landscape character and provides:</w:t>
            </w:r>
          </w:p>
          <w:p w14:paraId="7C3CEC6E" w14:textId="77777777" w:rsidR="0089485A" w:rsidRPr="0089485A" w:rsidRDefault="0089485A" w:rsidP="00FF3EAD">
            <w:pPr>
              <w:keepNext w:val="0"/>
              <w:spacing w:before="0"/>
              <w:jc w:val="left"/>
              <w:rPr>
                <w:color w:val="auto"/>
              </w:rPr>
            </w:pPr>
          </w:p>
          <w:p w14:paraId="48473D2F" w14:textId="77777777" w:rsidR="0089485A" w:rsidRPr="0089485A" w:rsidRDefault="0089485A" w:rsidP="00874A98">
            <w:pPr>
              <w:keepNext w:val="0"/>
              <w:numPr>
                <w:ilvl w:val="0"/>
                <w:numId w:val="262"/>
              </w:numPr>
              <w:spacing w:before="0"/>
              <w:contextualSpacing/>
              <w:jc w:val="left"/>
              <w:rPr>
                <w:color w:val="auto"/>
              </w:rPr>
            </w:pPr>
            <w:r w:rsidRPr="0089485A">
              <w:rPr>
                <w:color w:val="auto"/>
              </w:rPr>
              <w:t>Suitable mitigation to restore any damaged landscape and features in poor condition; and</w:t>
            </w:r>
          </w:p>
          <w:p w14:paraId="70030C69" w14:textId="77777777" w:rsidR="0089485A" w:rsidRPr="0089485A" w:rsidRDefault="0089485A" w:rsidP="00874A98">
            <w:pPr>
              <w:keepNext w:val="0"/>
              <w:numPr>
                <w:ilvl w:val="0"/>
                <w:numId w:val="262"/>
              </w:numPr>
              <w:spacing w:before="0"/>
              <w:contextualSpacing/>
              <w:jc w:val="left"/>
              <w:rPr>
                <w:color w:val="auto"/>
              </w:rPr>
            </w:pPr>
            <w:r w:rsidRPr="0089485A">
              <w:rPr>
                <w:color w:val="auto"/>
              </w:rPr>
              <w:t>Mitigation proportionate in scale to the proposed development and/or suitable off-site enhancements.</w:t>
            </w:r>
          </w:p>
          <w:p w14:paraId="40001E44" w14:textId="77777777" w:rsidR="0089485A" w:rsidRPr="0089485A" w:rsidRDefault="0089485A" w:rsidP="00FF3EAD">
            <w:pPr>
              <w:keepNext w:val="0"/>
              <w:spacing w:before="0"/>
              <w:jc w:val="left"/>
              <w:rPr>
                <w:color w:val="auto"/>
              </w:rPr>
            </w:pPr>
          </w:p>
        </w:tc>
      </w:tr>
      <w:tr w:rsidR="0089485A" w:rsidRPr="0089485A" w14:paraId="2EF580F1" w14:textId="77777777" w:rsidTr="00C66622">
        <w:tc>
          <w:tcPr>
            <w:tcW w:w="2400" w:type="dxa"/>
          </w:tcPr>
          <w:p w14:paraId="1708CCDC" w14:textId="77777777" w:rsidR="0089485A" w:rsidRPr="0089485A" w:rsidRDefault="0089485A" w:rsidP="000032A9">
            <w:pPr>
              <w:keepNext w:val="0"/>
              <w:spacing w:before="0"/>
              <w:jc w:val="left"/>
              <w:rPr>
                <w:color w:val="auto"/>
              </w:rPr>
            </w:pPr>
            <w:r w:rsidRPr="0089485A">
              <w:rPr>
                <w:color w:val="auto"/>
                <w:sz w:val="20"/>
                <w:szCs w:val="20"/>
              </w:rPr>
              <w:t>Evidence Base</w:t>
            </w:r>
          </w:p>
        </w:tc>
        <w:tc>
          <w:tcPr>
            <w:tcW w:w="7219" w:type="dxa"/>
          </w:tcPr>
          <w:p w14:paraId="0C0F14EB" w14:textId="769273C2" w:rsidR="0089485A" w:rsidRPr="002E7654" w:rsidRDefault="0089485A" w:rsidP="00874A98">
            <w:pPr>
              <w:keepNext w:val="0"/>
              <w:numPr>
                <w:ilvl w:val="0"/>
                <w:numId w:val="248"/>
              </w:numPr>
              <w:spacing w:before="0"/>
              <w:contextualSpacing/>
              <w:jc w:val="left"/>
              <w:rPr>
                <w:sz w:val="20"/>
                <w:szCs w:val="20"/>
              </w:rPr>
            </w:pPr>
            <w:r w:rsidRPr="002E7654">
              <w:rPr>
                <w:sz w:val="20"/>
                <w:szCs w:val="20"/>
              </w:rPr>
              <w:t>Sustainability Appraisal, 202</w:t>
            </w:r>
            <w:r w:rsidR="00B40389" w:rsidRPr="002E7654">
              <w:rPr>
                <w:sz w:val="20"/>
                <w:szCs w:val="20"/>
              </w:rPr>
              <w:t>3</w:t>
            </w:r>
            <w:r w:rsidRPr="002E7654">
              <w:rPr>
                <w:sz w:val="20"/>
                <w:szCs w:val="20"/>
              </w:rPr>
              <w:t>.</w:t>
            </w:r>
            <w:r w:rsidR="00B40389" w:rsidRPr="002E7654">
              <w:t xml:space="preserve"> </w:t>
            </w:r>
            <w:r w:rsidR="00B40389" w:rsidRPr="002E7654">
              <w:rPr>
                <w:sz w:val="20"/>
                <w:szCs w:val="20"/>
              </w:rPr>
              <w:t>WSP UK Limited</w:t>
            </w:r>
            <w:r w:rsidRPr="002E7654">
              <w:rPr>
                <w:sz w:val="20"/>
                <w:szCs w:val="20"/>
              </w:rPr>
              <w:t>.</w:t>
            </w:r>
          </w:p>
          <w:p w14:paraId="39A22FBF" w14:textId="77777777" w:rsidR="0089485A" w:rsidRPr="002E7654" w:rsidRDefault="0089485A" w:rsidP="00874A98">
            <w:pPr>
              <w:keepNext w:val="0"/>
              <w:numPr>
                <w:ilvl w:val="0"/>
                <w:numId w:val="248"/>
              </w:numPr>
              <w:spacing w:before="0"/>
              <w:contextualSpacing/>
              <w:jc w:val="left"/>
              <w:rPr>
                <w:sz w:val="20"/>
                <w:szCs w:val="20"/>
              </w:rPr>
            </w:pPr>
            <w:r w:rsidRPr="002E7654">
              <w:rPr>
                <w:sz w:val="20"/>
                <w:szCs w:val="20"/>
              </w:rPr>
              <w:t>Ashfield Biodiversity Opportunity Mapping Project 2016. Notts BAG.</w:t>
            </w:r>
          </w:p>
          <w:p w14:paraId="1E0E8AF4" w14:textId="1A3C6C79" w:rsidR="0089485A" w:rsidRPr="002E7654" w:rsidRDefault="002E7654" w:rsidP="00874A98">
            <w:pPr>
              <w:keepNext w:val="0"/>
              <w:numPr>
                <w:ilvl w:val="0"/>
                <w:numId w:val="248"/>
              </w:numPr>
              <w:spacing w:before="0"/>
              <w:contextualSpacing/>
              <w:jc w:val="left"/>
              <w:rPr>
                <w:sz w:val="20"/>
                <w:szCs w:val="20"/>
              </w:rPr>
            </w:pPr>
            <w:r w:rsidRPr="002E7654">
              <w:rPr>
                <w:rFonts w:cs="Arial"/>
                <w:sz w:val="20"/>
              </w:rPr>
              <w:t>Ashfield Green &amp; Blue Infrastructure and Biodiversity Strategy. Ashfield District Council, 2022-2032</w:t>
            </w:r>
          </w:p>
        </w:tc>
      </w:tr>
      <w:tr w:rsidR="0089485A" w:rsidRPr="0089485A" w14:paraId="395D1879" w14:textId="77777777" w:rsidTr="00C66622">
        <w:tc>
          <w:tcPr>
            <w:tcW w:w="2400" w:type="dxa"/>
          </w:tcPr>
          <w:p w14:paraId="1B607046" w14:textId="77777777" w:rsidR="0089485A" w:rsidRPr="0089485A" w:rsidRDefault="0089485A" w:rsidP="000032A9">
            <w:pPr>
              <w:keepNext w:val="0"/>
              <w:spacing w:before="0"/>
              <w:jc w:val="left"/>
              <w:rPr>
                <w:color w:val="auto"/>
              </w:rPr>
            </w:pPr>
            <w:r w:rsidRPr="0089485A">
              <w:rPr>
                <w:color w:val="auto"/>
                <w:sz w:val="20"/>
                <w:szCs w:val="20"/>
              </w:rPr>
              <w:t>National Planning Policy and Guidance</w:t>
            </w:r>
          </w:p>
        </w:tc>
        <w:tc>
          <w:tcPr>
            <w:tcW w:w="7219" w:type="dxa"/>
          </w:tcPr>
          <w:p w14:paraId="5DBFF549" w14:textId="6E89B48C" w:rsidR="0089485A" w:rsidRPr="002E7654" w:rsidRDefault="0089485A" w:rsidP="00874A98">
            <w:pPr>
              <w:keepNext w:val="0"/>
              <w:numPr>
                <w:ilvl w:val="0"/>
                <w:numId w:val="249"/>
              </w:numPr>
              <w:spacing w:before="0"/>
              <w:contextualSpacing/>
              <w:jc w:val="left"/>
              <w:rPr>
                <w:sz w:val="20"/>
                <w:szCs w:val="20"/>
              </w:rPr>
            </w:pPr>
            <w:r w:rsidRPr="002E7654">
              <w:rPr>
                <w:sz w:val="20"/>
                <w:szCs w:val="20"/>
              </w:rPr>
              <w:t>NPPF 202</w:t>
            </w:r>
            <w:r w:rsidR="004173E0" w:rsidRPr="002E7654">
              <w:rPr>
                <w:sz w:val="20"/>
                <w:szCs w:val="20"/>
              </w:rPr>
              <w:t>3</w:t>
            </w:r>
            <w:r w:rsidRPr="002E7654">
              <w:rPr>
                <w:sz w:val="20"/>
                <w:szCs w:val="20"/>
              </w:rPr>
              <w:t>, Part 2: Achieving sustainable development.</w:t>
            </w:r>
          </w:p>
          <w:p w14:paraId="2831D2C7" w14:textId="4277D174" w:rsidR="0089485A" w:rsidRPr="002E7654" w:rsidRDefault="0089485A" w:rsidP="00874A98">
            <w:pPr>
              <w:keepNext w:val="0"/>
              <w:numPr>
                <w:ilvl w:val="0"/>
                <w:numId w:val="249"/>
              </w:numPr>
              <w:spacing w:before="0"/>
              <w:contextualSpacing/>
              <w:jc w:val="left"/>
              <w:rPr>
                <w:sz w:val="20"/>
                <w:szCs w:val="20"/>
              </w:rPr>
            </w:pPr>
            <w:r w:rsidRPr="002E7654">
              <w:rPr>
                <w:sz w:val="20"/>
                <w:szCs w:val="20"/>
              </w:rPr>
              <w:t>NPPF 202</w:t>
            </w:r>
            <w:r w:rsidR="004173E0" w:rsidRPr="002E7654">
              <w:rPr>
                <w:sz w:val="20"/>
                <w:szCs w:val="20"/>
              </w:rPr>
              <w:t>3</w:t>
            </w:r>
            <w:r w:rsidRPr="002E7654">
              <w:rPr>
                <w:sz w:val="20"/>
                <w:szCs w:val="20"/>
              </w:rPr>
              <w:t>, Part 15: Conserving and enhancing the natural environment.</w:t>
            </w:r>
          </w:p>
          <w:p w14:paraId="1A6FED4B" w14:textId="52FF2BAA" w:rsidR="0089485A" w:rsidRPr="002E7654" w:rsidRDefault="0089485A" w:rsidP="00874A98">
            <w:pPr>
              <w:keepNext w:val="0"/>
              <w:numPr>
                <w:ilvl w:val="0"/>
                <w:numId w:val="249"/>
              </w:numPr>
              <w:spacing w:before="0"/>
              <w:contextualSpacing/>
              <w:jc w:val="left"/>
              <w:rPr>
                <w:sz w:val="20"/>
                <w:szCs w:val="20"/>
              </w:rPr>
            </w:pPr>
            <w:r w:rsidRPr="002E7654">
              <w:rPr>
                <w:sz w:val="20"/>
                <w:szCs w:val="20"/>
              </w:rPr>
              <w:t xml:space="preserve">Planning Practice Guidance: Open space, sports and recreational facilities, public rights of ways and local green space as of </w:t>
            </w:r>
            <w:r w:rsidR="00B40389" w:rsidRPr="002E7654">
              <w:rPr>
                <w:sz w:val="20"/>
                <w:szCs w:val="20"/>
              </w:rPr>
              <w:t>March 2014</w:t>
            </w:r>
            <w:r w:rsidRPr="002E7654">
              <w:rPr>
                <w:sz w:val="20"/>
                <w:szCs w:val="20"/>
              </w:rPr>
              <w:t>.</w:t>
            </w:r>
          </w:p>
          <w:p w14:paraId="52EF1748" w14:textId="666DCC78" w:rsidR="0089485A" w:rsidRPr="002E7654" w:rsidRDefault="0089485A" w:rsidP="00874A98">
            <w:pPr>
              <w:keepNext w:val="0"/>
              <w:numPr>
                <w:ilvl w:val="0"/>
                <w:numId w:val="249"/>
              </w:numPr>
              <w:spacing w:before="0"/>
              <w:contextualSpacing/>
              <w:jc w:val="left"/>
              <w:rPr>
                <w:sz w:val="20"/>
                <w:szCs w:val="20"/>
              </w:rPr>
            </w:pPr>
            <w:r w:rsidRPr="002E7654">
              <w:rPr>
                <w:sz w:val="20"/>
                <w:szCs w:val="20"/>
              </w:rPr>
              <w:t xml:space="preserve">Planning Practice Guidance: Natural environment as of </w:t>
            </w:r>
            <w:r w:rsidR="00B40389" w:rsidRPr="002E7654">
              <w:rPr>
                <w:sz w:val="20"/>
                <w:szCs w:val="20"/>
              </w:rPr>
              <w:t>July 2019.</w:t>
            </w:r>
          </w:p>
        </w:tc>
      </w:tr>
    </w:tbl>
    <w:p w14:paraId="5CDC3045" w14:textId="087F8793" w:rsidR="0089485A" w:rsidRDefault="0089485A" w:rsidP="0089485A">
      <w:pPr>
        <w:keepNext w:val="0"/>
        <w:autoSpaceDE w:val="0"/>
        <w:autoSpaceDN w:val="0"/>
        <w:adjustRightInd w:val="0"/>
        <w:spacing w:before="0"/>
        <w:rPr>
          <w:rFonts w:eastAsia="Arial" w:cs="Arial"/>
          <w:spacing w:val="-1"/>
        </w:rPr>
      </w:pPr>
    </w:p>
    <w:p w14:paraId="5902B867" w14:textId="188EB3F5" w:rsidR="00BA645B" w:rsidRPr="0089485A" w:rsidRDefault="00BA645B" w:rsidP="00C66622">
      <w:pPr>
        <w:keepNext w:val="0"/>
        <w:numPr>
          <w:ilvl w:val="1"/>
          <w:numId w:val="5"/>
        </w:numPr>
        <w:tabs>
          <w:tab w:val="clear" w:pos="525"/>
        </w:tabs>
        <w:autoSpaceDE w:val="0"/>
        <w:autoSpaceDN w:val="0"/>
        <w:adjustRightInd w:val="0"/>
        <w:spacing w:before="0"/>
        <w:ind w:left="851" w:hanging="851"/>
        <w:rPr>
          <w:rFonts w:eastAsia="Arial" w:cs="Arial"/>
          <w:spacing w:val="-1"/>
        </w:rPr>
      </w:pPr>
      <w:r w:rsidRPr="0089485A">
        <w:rPr>
          <w:rFonts w:eastAsia="Arial" w:cs="Arial"/>
          <w:spacing w:val="-1"/>
        </w:rPr>
        <w:t>People value the countryside and its landscape for many different reasons, not all of them relat</w:t>
      </w:r>
      <w:r w:rsidR="00A048F9" w:rsidRPr="0089485A">
        <w:rPr>
          <w:rFonts w:eastAsia="Arial" w:cs="Arial"/>
          <w:spacing w:val="-1"/>
        </w:rPr>
        <w:t>e</w:t>
      </w:r>
      <w:r w:rsidRPr="0089485A">
        <w:rPr>
          <w:rFonts w:eastAsia="Arial" w:cs="Arial"/>
          <w:spacing w:val="-1"/>
        </w:rPr>
        <w:t xml:space="preserve"> to traditional concepts of aesthetics and beauty. It can provide habitats for wildlife and evidence of how people have lived on the land and harnessed its resources.  </w:t>
      </w:r>
    </w:p>
    <w:p w14:paraId="58692FF1" w14:textId="77777777" w:rsidR="00BA645B" w:rsidRPr="00BA645B" w:rsidRDefault="00BA645B" w:rsidP="00C66622">
      <w:pPr>
        <w:keepNext w:val="0"/>
        <w:autoSpaceDE w:val="0"/>
        <w:autoSpaceDN w:val="0"/>
        <w:adjustRightInd w:val="0"/>
        <w:spacing w:before="0"/>
        <w:ind w:left="851" w:hanging="851"/>
        <w:rPr>
          <w:rFonts w:eastAsia="Arial" w:cs="Arial"/>
          <w:spacing w:val="-1"/>
        </w:rPr>
      </w:pPr>
    </w:p>
    <w:p w14:paraId="5661194D" w14:textId="08AE4204" w:rsidR="00BA645B" w:rsidRPr="00BA645B" w:rsidRDefault="00BA645B" w:rsidP="00C66622">
      <w:pPr>
        <w:keepNext w:val="0"/>
        <w:numPr>
          <w:ilvl w:val="1"/>
          <w:numId w:val="5"/>
        </w:numPr>
        <w:tabs>
          <w:tab w:val="clear" w:pos="525"/>
        </w:tabs>
        <w:autoSpaceDE w:val="0"/>
        <w:autoSpaceDN w:val="0"/>
        <w:adjustRightInd w:val="0"/>
        <w:spacing w:before="0"/>
        <w:ind w:left="851" w:hanging="851"/>
        <w:rPr>
          <w:rFonts w:eastAsia="Arial" w:cs="Arial"/>
          <w:spacing w:val="-1"/>
        </w:rPr>
      </w:pPr>
      <w:r w:rsidRPr="00BA645B">
        <w:rPr>
          <w:rFonts w:eastAsia="Arial" w:cs="Arial"/>
          <w:spacing w:val="-1"/>
        </w:rPr>
        <w:t>Landscape has a social and community value, as an important part of people’s day-to-day lives. It also has an economic value, providing the context for economic activity and often being a central factor in attracting business and tourism. National Planning Guidance states that valued landscapes should be protected and enhanced</w:t>
      </w:r>
      <w:r w:rsidR="00A048F9">
        <w:rPr>
          <w:rFonts w:eastAsia="Arial" w:cs="Arial"/>
          <w:spacing w:val="-1"/>
        </w:rPr>
        <w:t xml:space="preserve"> </w:t>
      </w:r>
      <w:r w:rsidRPr="00BA645B">
        <w:rPr>
          <w:rFonts w:eastAsia="Arial" w:cs="Arial"/>
          <w:spacing w:val="-1"/>
        </w:rPr>
        <w:t xml:space="preserve">and requires Local Plans to include </w:t>
      </w:r>
      <w:r w:rsidR="00A048F9" w:rsidRPr="00BA645B">
        <w:rPr>
          <w:rFonts w:eastAsia="Arial" w:cs="Arial"/>
          <w:spacing w:val="-1"/>
        </w:rPr>
        <w:t>criteria-based</w:t>
      </w:r>
      <w:r w:rsidRPr="00BA645B">
        <w:rPr>
          <w:rFonts w:eastAsia="Arial" w:cs="Arial"/>
          <w:spacing w:val="-1"/>
        </w:rPr>
        <w:t xml:space="preserve"> policies against which proposals for any development on or affecting landscape areas will be judged.  </w:t>
      </w:r>
    </w:p>
    <w:p w14:paraId="66147643" w14:textId="77777777" w:rsidR="00BA645B" w:rsidRPr="00BA645B" w:rsidRDefault="00BA645B" w:rsidP="00C66622">
      <w:pPr>
        <w:keepNext w:val="0"/>
        <w:autoSpaceDE w:val="0"/>
        <w:autoSpaceDN w:val="0"/>
        <w:adjustRightInd w:val="0"/>
        <w:spacing w:before="0"/>
        <w:ind w:left="851" w:hanging="851"/>
        <w:rPr>
          <w:rFonts w:eastAsia="Arial" w:cs="Arial"/>
          <w:spacing w:val="-1"/>
        </w:rPr>
      </w:pPr>
    </w:p>
    <w:p w14:paraId="3A09D9A2" w14:textId="2150B730" w:rsidR="00BA645B" w:rsidRPr="00BA645B" w:rsidRDefault="00BA645B" w:rsidP="00C66622">
      <w:pPr>
        <w:keepNext w:val="0"/>
        <w:numPr>
          <w:ilvl w:val="1"/>
          <w:numId w:val="5"/>
        </w:numPr>
        <w:tabs>
          <w:tab w:val="clear" w:pos="525"/>
        </w:tabs>
        <w:autoSpaceDE w:val="0"/>
        <w:autoSpaceDN w:val="0"/>
        <w:adjustRightInd w:val="0"/>
        <w:spacing w:before="0"/>
        <w:ind w:left="851" w:hanging="851"/>
        <w:rPr>
          <w:rFonts w:eastAsia="Arial" w:cs="Arial"/>
          <w:spacing w:val="-1"/>
        </w:rPr>
      </w:pPr>
      <w:r w:rsidRPr="00BA645B">
        <w:rPr>
          <w:rFonts w:eastAsia="Arial" w:cs="Arial"/>
          <w:spacing w:val="-1"/>
        </w:rPr>
        <w:t xml:space="preserve">The Council, in partnership with five neighbouring Local Authorities, carried out a Landscape Character Assessment in 2009 to evaluate and record the landscape quality of the Greater Nottingham area. The study covers the whole of Ashfield, excluding urban areas. The Assessment is an important </w:t>
      </w:r>
      <w:r w:rsidR="00A048F9" w:rsidRPr="00BA645B">
        <w:rPr>
          <w:rFonts w:eastAsia="Arial" w:cs="Arial"/>
          <w:spacing w:val="-1"/>
        </w:rPr>
        <w:t>decision-making</w:t>
      </w:r>
      <w:r w:rsidRPr="00BA645B">
        <w:rPr>
          <w:rFonts w:eastAsia="Arial" w:cs="Arial"/>
          <w:spacing w:val="-1"/>
        </w:rPr>
        <w:t xml:space="preserve"> tool, which systematically classifies the landscape into distinctive areas based on the interaction between topography, geology, land use, vegetation pattern and human influence. Its role is to ensure that future change does not undermine the characteristics or features of value within a landscape. Landscape Character Assessment is an approach that makes a significant contribution to the sustainable objectives of environmental protection; prudent use of natural resources; and maintaining and enhancing the quality of life for present and future generations. </w:t>
      </w:r>
    </w:p>
    <w:p w14:paraId="26EEE7E8" w14:textId="77777777" w:rsidR="00BA645B" w:rsidRPr="00BA645B" w:rsidRDefault="00BA645B" w:rsidP="00C66622">
      <w:pPr>
        <w:keepNext w:val="0"/>
        <w:autoSpaceDE w:val="0"/>
        <w:autoSpaceDN w:val="0"/>
        <w:adjustRightInd w:val="0"/>
        <w:spacing w:before="0"/>
        <w:ind w:left="851" w:hanging="851"/>
        <w:rPr>
          <w:rFonts w:eastAsia="Arial" w:cs="Arial"/>
          <w:spacing w:val="-1"/>
        </w:rPr>
      </w:pPr>
    </w:p>
    <w:p w14:paraId="364370C5" w14:textId="77777777" w:rsidR="00BA645B" w:rsidRPr="00BA645B" w:rsidRDefault="00BA645B" w:rsidP="00C66622">
      <w:pPr>
        <w:keepNext w:val="0"/>
        <w:numPr>
          <w:ilvl w:val="1"/>
          <w:numId w:val="5"/>
        </w:numPr>
        <w:tabs>
          <w:tab w:val="clear" w:pos="525"/>
        </w:tabs>
        <w:autoSpaceDE w:val="0"/>
        <w:autoSpaceDN w:val="0"/>
        <w:adjustRightInd w:val="0"/>
        <w:spacing w:before="0"/>
        <w:ind w:left="851" w:hanging="851"/>
        <w:rPr>
          <w:rFonts w:eastAsia="Arial" w:cs="Arial"/>
          <w:spacing w:val="-1"/>
        </w:rPr>
      </w:pPr>
      <w:r w:rsidRPr="00BA645B">
        <w:rPr>
          <w:rFonts w:eastAsia="Arial" w:cs="Arial"/>
          <w:spacing w:val="-1"/>
        </w:rPr>
        <w:t xml:space="preserve">The results of the assessment have identified three landscape types in Ashfield: Magnesium Limestone Ridge, Nottinghamshire Coalfields and Sherwood. Each of these areas has been further sub-divided into component landscape character areas know as Draft Policy Zones (DPZ). Each DPZ identifies and lists the key features which make it special and provides a judgement on the condition of the landscape and its strength of character.  When considering new development these will enable judgments to be made regarding what landscape actions are required to conserve, enhance, restore or create distinctiveness within each DPZ. </w:t>
      </w:r>
    </w:p>
    <w:p w14:paraId="544A05F7" w14:textId="77777777" w:rsidR="00BA645B" w:rsidRPr="00BA645B" w:rsidRDefault="00BA645B" w:rsidP="00C66622">
      <w:pPr>
        <w:keepNext w:val="0"/>
        <w:autoSpaceDE w:val="0"/>
        <w:autoSpaceDN w:val="0"/>
        <w:adjustRightInd w:val="0"/>
        <w:spacing w:before="0"/>
        <w:ind w:left="851" w:hanging="851"/>
        <w:rPr>
          <w:rFonts w:eastAsia="Arial" w:cs="Arial"/>
          <w:spacing w:val="-1"/>
        </w:rPr>
      </w:pPr>
    </w:p>
    <w:p w14:paraId="253A795D" w14:textId="77777777" w:rsidR="00CE204F" w:rsidRDefault="00BA645B" w:rsidP="00CE204F">
      <w:pPr>
        <w:keepNext w:val="0"/>
        <w:numPr>
          <w:ilvl w:val="1"/>
          <w:numId w:val="5"/>
        </w:numPr>
        <w:tabs>
          <w:tab w:val="clear" w:pos="525"/>
        </w:tabs>
        <w:autoSpaceDE w:val="0"/>
        <w:autoSpaceDN w:val="0"/>
        <w:adjustRightInd w:val="0"/>
        <w:spacing w:before="0"/>
        <w:ind w:left="851" w:hanging="851"/>
        <w:rPr>
          <w:rFonts w:eastAsia="Arial" w:cs="Arial"/>
          <w:spacing w:val="-1"/>
        </w:rPr>
      </w:pPr>
      <w:r w:rsidRPr="00BA645B">
        <w:rPr>
          <w:rFonts w:eastAsia="Arial" w:cs="Arial"/>
          <w:spacing w:val="-1"/>
        </w:rPr>
        <w:t>Policy EV1: Green Belt, and Policy EV2: Countryside, explains the limited types of development which may be appropriate in the rural parts of the District. Under Policy EV1</w:t>
      </w:r>
      <w:r>
        <w:rPr>
          <w:rFonts w:eastAsia="Arial" w:cs="Arial"/>
          <w:spacing w:val="-1"/>
        </w:rPr>
        <w:t>0</w:t>
      </w:r>
      <w:r w:rsidRPr="00BA645B">
        <w:rPr>
          <w:rFonts w:eastAsia="Arial" w:cs="Arial"/>
          <w:spacing w:val="-1"/>
        </w:rPr>
        <w:t xml:space="preserve">, should a proposal be acceptable in principle based upon Policies EV1 and EV2, the actual form of the development will need to have regard to the particular landscape characteristics of importance to that locality, as identified in the Landscape Character Assessment.  </w:t>
      </w:r>
    </w:p>
    <w:p w14:paraId="7A1BC7C0" w14:textId="77777777" w:rsidR="00DD4CAE" w:rsidRPr="00DD4CAE" w:rsidRDefault="00DD4CAE" w:rsidP="008A7472">
      <w:pPr>
        <w:keepNext w:val="0"/>
        <w:autoSpaceDE w:val="0"/>
        <w:autoSpaceDN w:val="0"/>
        <w:adjustRightInd w:val="0"/>
        <w:spacing w:before="0"/>
        <w:ind w:left="851"/>
        <w:rPr>
          <w:rFonts w:eastAsia="Arial" w:cs="Arial"/>
          <w:spacing w:val="-1"/>
        </w:rPr>
      </w:pPr>
    </w:p>
    <w:p w14:paraId="4B1AB96B" w14:textId="6B92CEFE" w:rsidR="00CF5720" w:rsidRPr="00CE204F" w:rsidRDefault="00CE204F" w:rsidP="002C7E16">
      <w:pPr>
        <w:keepNext w:val="0"/>
        <w:numPr>
          <w:ilvl w:val="1"/>
          <w:numId w:val="5"/>
        </w:numPr>
        <w:tabs>
          <w:tab w:val="clear" w:pos="525"/>
        </w:tabs>
        <w:autoSpaceDE w:val="0"/>
        <w:autoSpaceDN w:val="0"/>
        <w:adjustRightInd w:val="0"/>
        <w:spacing w:before="0"/>
        <w:ind w:left="851" w:hanging="851"/>
        <w:rPr>
          <w:rFonts w:eastAsia="Arial" w:cs="Arial"/>
          <w:spacing w:val="-1"/>
        </w:rPr>
      </w:pPr>
      <w:r w:rsidRPr="00CE204F">
        <w:rPr>
          <w:spacing w:val="-1"/>
        </w:rPr>
        <w:t>A Landscape Visual Impact Assessment (LVIA) may be required to assess the effects on the landscape and visual resources that may result from a development proposal.  In an LVIA the assessor is required to identify the degree or level of change that is significant in accordance with the requirements of Environmental Impact Assessment Regulations 2017, as well as type, nature, duration, and geographic extent of the effect.  The scope and viewpoints for the LVIA should be agreed with the Council prior to the commencement of work.</w:t>
      </w:r>
    </w:p>
    <w:p w14:paraId="11593402" w14:textId="77777777" w:rsidR="00CE204F" w:rsidRPr="00CE204F" w:rsidRDefault="00CE204F" w:rsidP="00CE204F">
      <w:pPr>
        <w:keepNext w:val="0"/>
        <w:autoSpaceDE w:val="0"/>
        <w:autoSpaceDN w:val="0"/>
        <w:adjustRightInd w:val="0"/>
        <w:spacing w:before="0"/>
        <w:rPr>
          <w:rFonts w:eastAsia="Arial" w:cs="Arial"/>
          <w:spacing w:val="-1"/>
        </w:rPr>
      </w:pPr>
    </w:p>
    <w:p w14:paraId="7788E1E6" w14:textId="77777777" w:rsidR="001770A9" w:rsidRDefault="00BA645B" w:rsidP="00C66622">
      <w:pPr>
        <w:keepNext w:val="0"/>
        <w:numPr>
          <w:ilvl w:val="1"/>
          <w:numId w:val="5"/>
        </w:numPr>
        <w:tabs>
          <w:tab w:val="clear" w:pos="525"/>
        </w:tabs>
        <w:autoSpaceDE w:val="0"/>
        <w:autoSpaceDN w:val="0"/>
        <w:adjustRightInd w:val="0"/>
        <w:spacing w:before="0"/>
        <w:ind w:left="851" w:hanging="851"/>
        <w:rPr>
          <w:rFonts w:eastAsia="Arial" w:cs="Arial"/>
          <w:spacing w:val="-1"/>
        </w:rPr>
      </w:pPr>
      <w:r w:rsidRPr="00BA645B">
        <w:rPr>
          <w:rFonts w:eastAsia="Arial" w:cs="Arial"/>
          <w:spacing w:val="-1"/>
        </w:rPr>
        <w:t>On all new developments the Council will require the provision of suitable mitigation measures to restore any damaged landscape and features in poor condition as identified in the Landscape Character Assessment’s ‘landscape actions’ for each character area.</w:t>
      </w:r>
    </w:p>
    <w:p w14:paraId="594F20FA" w14:textId="77777777" w:rsidR="001770A9" w:rsidRDefault="001770A9" w:rsidP="001770A9">
      <w:pPr>
        <w:pStyle w:val="ListParagraph"/>
        <w:rPr>
          <w:rFonts w:eastAsia="Arial" w:cs="Arial"/>
          <w:spacing w:val="-1"/>
        </w:rPr>
      </w:pPr>
    </w:p>
    <w:p w14:paraId="7CD2A875" w14:textId="77777777" w:rsidR="00023DC3" w:rsidRDefault="00023DC3" w:rsidP="00165C32">
      <w:pPr>
        <w:pStyle w:val="Heading1"/>
        <w:sectPr w:rsidR="00023DC3" w:rsidSect="00A73757">
          <w:headerReference w:type="default" r:id="rId30"/>
          <w:pgSz w:w="11906" w:h="16838" w:code="9"/>
          <w:pgMar w:top="1258" w:right="1133" w:bottom="1079" w:left="1134" w:header="709" w:footer="709" w:gutter="0"/>
          <w:cols w:space="708"/>
          <w:docGrid w:linePitch="360"/>
        </w:sectPr>
      </w:pPr>
      <w:bookmarkStart w:id="184" w:name="_Toc145511585"/>
      <w:bookmarkEnd w:id="160"/>
    </w:p>
    <w:p w14:paraId="4F284ECF" w14:textId="24A1CBC7" w:rsidR="00DA4833" w:rsidRPr="00364726" w:rsidRDefault="00DA4833" w:rsidP="00165C32">
      <w:pPr>
        <w:pStyle w:val="Heading1"/>
      </w:pPr>
      <w:r w:rsidRPr="00364726">
        <w:t>Chapter 6</w:t>
      </w:r>
      <w:bookmarkEnd w:id="184"/>
    </w:p>
    <w:p w14:paraId="58643290" w14:textId="77777777" w:rsidR="00DA4833" w:rsidRPr="002F7EC6" w:rsidRDefault="00DA4833" w:rsidP="008008F0">
      <w:pPr>
        <w:keepNext w:val="0"/>
        <w:spacing w:before="0"/>
        <w:rPr>
          <w:rFonts w:cs="Arial"/>
          <w:b/>
          <w:color w:val="auto"/>
          <w:sz w:val="36"/>
          <w:szCs w:val="36"/>
        </w:rPr>
      </w:pPr>
    </w:p>
    <w:p w14:paraId="3C75209E" w14:textId="006F315E" w:rsidR="00523DED" w:rsidRPr="002F7EC6" w:rsidRDefault="005F1B0D" w:rsidP="00364726">
      <w:pPr>
        <w:pStyle w:val="Heading1"/>
      </w:pPr>
      <w:bookmarkStart w:id="185" w:name="_Toc145511586"/>
      <w:bookmarkStart w:id="186" w:name="_Hlk146198076"/>
      <w:r w:rsidRPr="005F1B0D">
        <w:t>Meeting local housing needs and aspirations</w:t>
      </w:r>
      <w:bookmarkEnd w:id="185"/>
    </w:p>
    <w:bookmarkEnd w:id="186"/>
    <w:p w14:paraId="23C8C00F" w14:textId="6BEC42C1" w:rsidR="00DA4833" w:rsidRPr="003C7E62" w:rsidRDefault="00DA4833" w:rsidP="008008F0">
      <w:pPr>
        <w:keepNext w:val="0"/>
        <w:autoSpaceDE w:val="0"/>
        <w:autoSpaceDN w:val="0"/>
        <w:adjustRightInd w:val="0"/>
        <w:spacing w:before="0"/>
        <w:rPr>
          <w:rFonts w:cs="Arial"/>
          <w:b/>
          <w:bCs/>
          <w:szCs w:val="24"/>
        </w:rPr>
      </w:pPr>
    </w:p>
    <w:p w14:paraId="17B298E7" w14:textId="77777777" w:rsidR="003C7E62" w:rsidRPr="00DA5747" w:rsidRDefault="003C7E62" w:rsidP="002B1D29">
      <w:pPr>
        <w:rPr>
          <w:rFonts w:eastAsia="Arial" w:cs="Arial"/>
          <w:b/>
          <w:bCs/>
          <w:color w:val="auto"/>
          <w:kern w:val="32"/>
          <w:szCs w:val="32"/>
        </w:rPr>
      </w:pPr>
      <w:r w:rsidRPr="00DA5747">
        <w:rPr>
          <w:rFonts w:eastAsia="Arial" w:cs="Arial"/>
          <w:b/>
          <w:bCs/>
          <w:color w:val="auto"/>
          <w:kern w:val="32"/>
          <w:szCs w:val="32"/>
        </w:rPr>
        <w:t>Introduction</w:t>
      </w:r>
    </w:p>
    <w:p w14:paraId="39A091B6" w14:textId="77777777" w:rsidR="003C7E62" w:rsidRPr="003C7E62" w:rsidRDefault="003C7E62" w:rsidP="003C7E62">
      <w:pPr>
        <w:rPr>
          <w:rFonts w:eastAsia="Arial" w:cs="Arial"/>
          <w:color w:val="C45911"/>
        </w:rPr>
      </w:pPr>
    </w:p>
    <w:p w14:paraId="6002CB02" w14:textId="77777777" w:rsidR="003C7E62" w:rsidRPr="003C7E62" w:rsidRDefault="003C7E62" w:rsidP="00874A98">
      <w:pPr>
        <w:pStyle w:val="ListParagraph"/>
        <w:numPr>
          <w:ilvl w:val="1"/>
          <w:numId w:val="92"/>
        </w:numPr>
        <w:autoSpaceDE w:val="0"/>
        <w:autoSpaceDN w:val="0"/>
        <w:adjustRightInd w:val="0"/>
        <w:spacing w:after="0" w:line="240" w:lineRule="auto"/>
        <w:ind w:left="851" w:hanging="851"/>
        <w:rPr>
          <w:rFonts w:ascii="Arial" w:hAnsi="Arial" w:cs="Arial"/>
        </w:rPr>
      </w:pPr>
      <w:r w:rsidRPr="003C7E62">
        <w:rPr>
          <w:rFonts w:ascii="Arial" w:hAnsi="Arial" w:cs="Arial"/>
        </w:rPr>
        <w:t>The Government, through the NPPF, emphasises the importance of providing a supply of housing required to meet the needs of present and future generations as a means to support strong, vibrant and healthy communities. Broadly, the plan process for managing housing delivery falls into two parts:</w:t>
      </w:r>
    </w:p>
    <w:p w14:paraId="6632E809" w14:textId="77777777" w:rsidR="003C7E62" w:rsidRPr="003C7E62" w:rsidRDefault="003C7E62" w:rsidP="003C7E62">
      <w:pPr>
        <w:autoSpaceDE w:val="0"/>
        <w:autoSpaceDN w:val="0"/>
        <w:adjustRightInd w:val="0"/>
        <w:ind w:left="794"/>
        <w:rPr>
          <w:rFonts w:cs="Arial"/>
        </w:rPr>
      </w:pPr>
    </w:p>
    <w:p w14:paraId="49FC9914" w14:textId="77777777" w:rsidR="003C7E62" w:rsidRDefault="003C7E62" w:rsidP="00874A98">
      <w:pPr>
        <w:pStyle w:val="ListParagraph"/>
        <w:numPr>
          <w:ilvl w:val="0"/>
          <w:numId w:val="125"/>
        </w:numPr>
        <w:autoSpaceDE w:val="0"/>
        <w:autoSpaceDN w:val="0"/>
        <w:adjustRightInd w:val="0"/>
        <w:spacing w:after="0" w:line="240" w:lineRule="auto"/>
        <w:ind w:hanging="229"/>
        <w:rPr>
          <w:rFonts w:ascii="Arial" w:hAnsi="Arial" w:cs="Arial"/>
        </w:rPr>
      </w:pPr>
      <w:r w:rsidRPr="003C7E62">
        <w:rPr>
          <w:rFonts w:ascii="Arial" w:hAnsi="Arial" w:cs="Arial"/>
        </w:rPr>
        <w:t>Setting out housing requirements – ensuring that the Local Plan meets the identified housing need (both market and affordable housing); and</w:t>
      </w:r>
    </w:p>
    <w:p w14:paraId="0E2F2B19" w14:textId="77777777" w:rsidR="00BA29ED" w:rsidRPr="003C7E62" w:rsidRDefault="00BA29ED" w:rsidP="00BA29ED">
      <w:pPr>
        <w:pStyle w:val="ListParagraph"/>
        <w:autoSpaceDE w:val="0"/>
        <w:autoSpaceDN w:val="0"/>
        <w:adjustRightInd w:val="0"/>
        <w:spacing w:after="0" w:line="240" w:lineRule="auto"/>
        <w:ind w:left="1080"/>
        <w:rPr>
          <w:rFonts w:ascii="Arial" w:hAnsi="Arial" w:cs="Arial"/>
        </w:rPr>
      </w:pPr>
    </w:p>
    <w:p w14:paraId="7A897F1C" w14:textId="7153943C" w:rsidR="003C7E62" w:rsidRPr="006E25C7" w:rsidRDefault="003C7E62" w:rsidP="00874A98">
      <w:pPr>
        <w:pStyle w:val="ListParagraph"/>
        <w:numPr>
          <w:ilvl w:val="0"/>
          <w:numId w:val="125"/>
        </w:numPr>
        <w:autoSpaceDE w:val="0"/>
        <w:autoSpaceDN w:val="0"/>
        <w:adjustRightInd w:val="0"/>
        <w:spacing w:after="0" w:line="240" w:lineRule="auto"/>
        <w:ind w:hanging="229"/>
        <w:rPr>
          <w:rFonts w:ascii="Arial" w:hAnsi="Arial" w:cs="Arial"/>
          <w:color w:val="auto"/>
        </w:rPr>
      </w:pPr>
      <w:r w:rsidRPr="003C7E62">
        <w:rPr>
          <w:rFonts w:ascii="Arial" w:hAnsi="Arial" w:cs="Arial"/>
        </w:rPr>
        <w:t xml:space="preserve">Allocation of housing land – Identifying a supply of specific achievable (i.e. deliverable or developable) housing sites for the entire Plan period </w:t>
      </w:r>
      <w:r w:rsidR="002B1D29" w:rsidRPr="006E25C7">
        <w:rPr>
          <w:rFonts w:ascii="Arial" w:hAnsi="Arial" w:cs="Arial"/>
          <w:color w:val="auto"/>
        </w:rPr>
        <w:t>(2023 t</w:t>
      </w:r>
      <w:r w:rsidR="00851435" w:rsidRPr="006E25C7">
        <w:rPr>
          <w:rFonts w:ascii="Arial" w:hAnsi="Arial" w:cs="Arial"/>
          <w:color w:val="auto"/>
        </w:rPr>
        <w:t>o</w:t>
      </w:r>
      <w:r w:rsidR="002B1D29" w:rsidRPr="006E25C7">
        <w:rPr>
          <w:rFonts w:ascii="Arial" w:hAnsi="Arial" w:cs="Arial"/>
          <w:color w:val="auto"/>
        </w:rPr>
        <w:t xml:space="preserve"> 2040).</w:t>
      </w:r>
    </w:p>
    <w:p w14:paraId="07DE5621" w14:textId="77777777" w:rsidR="003C7E62" w:rsidRPr="003C7E62" w:rsidRDefault="003C7E62" w:rsidP="003C7E62">
      <w:pPr>
        <w:pStyle w:val="ListParagraph"/>
        <w:autoSpaceDE w:val="0"/>
        <w:autoSpaceDN w:val="0"/>
        <w:adjustRightInd w:val="0"/>
        <w:spacing w:after="0" w:line="240" w:lineRule="auto"/>
        <w:ind w:left="1080"/>
        <w:rPr>
          <w:rFonts w:ascii="Arial" w:hAnsi="Arial" w:cs="Arial"/>
        </w:rPr>
      </w:pPr>
    </w:p>
    <w:p w14:paraId="779AD453" w14:textId="77777777" w:rsidR="003C7E62" w:rsidRPr="003C7E62" w:rsidRDefault="003C7E62" w:rsidP="00874A98">
      <w:pPr>
        <w:pStyle w:val="ListParagraph"/>
        <w:numPr>
          <w:ilvl w:val="1"/>
          <w:numId w:val="92"/>
        </w:numPr>
        <w:autoSpaceDE w:val="0"/>
        <w:autoSpaceDN w:val="0"/>
        <w:adjustRightInd w:val="0"/>
        <w:spacing w:after="0" w:line="240" w:lineRule="auto"/>
        <w:ind w:left="851" w:hanging="851"/>
        <w:rPr>
          <w:rFonts w:ascii="Arial" w:hAnsi="Arial" w:cs="Arial"/>
        </w:rPr>
      </w:pPr>
      <w:r w:rsidRPr="003C7E62">
        <w:rPr>
          <w:rFonts w:ascii="Arial" w:hAnsi="Arial" w:cs="Arial"/>
        </w:rPr>
        <w:t>It also requires that the Council plans to deliver a mix of housing to meet the needs of current and future generations based on demographic trends and the special needs of specific parts of the community. In doing so, development should offer a wide choice of high quality homes whilst broadening opportunities for home ownership, and creating sustainable, inclusive and mixed communities.</w:t>
      </w:r>
    </w:p>
    <w:p w14:paraId="09D07808" w14:textId="77777777" w:rsidR="003C7E62" w:rsidRPr="003C7E62" w:rsidRDefault="003C7E62" w:rsidP="003C7E62">
      <w:pPr>
        <w:autoSpaceDE w:val="0"/>
        <w:autoSpaceDN w:val="0"/>
        <w:adjustRightInd w:val="0"/>
        <w:ind w:left="794"/>
        <w:rPr>
          <w:rFonts w:cs="Arial"/>
        </w:rPr>
      </w:pPr>
    </w:p>
    <w:p w14:paraId="22C65BF8" w14:textId="1F7EDBFD" w:rsidR="003C7E62" w:rsidRPr="00B94708" w:rsidRDefault="003C7E62" w:rsidP="00874A98">
      <w:pPr>
        <w:pStyle w:val="ListParagraph"/>
        <w:numPr>
          <w:ilvl w:val="1"/>
          <w:numId w:val="92"/>
        </w:numPr>
        <w:autoSpaceDE w:val="0"/>
        <w:autoSpaceDN w:val="0"/>
        <w:adjustRightInd w:val="0"/>
        <w:spacing w:after="0" w:line="240" w:lineRule="auto"/>
        <w:ind w:left="851" w:hanging="851"/>
        <w:rPr>
          <w:rFonts w:cs="Arial"/>
        </w:rPr>
      </w:pPr>
      <w:r w:rsidRPr="00B94708">
        <w:rPr>
          <w:rFonts w:ascii="Arial" w:hAnsi="Arial" w:cs="Arial"/>
        </w:rPr>
        <w:t xml:space="preserve">Strategic </w:t>
      </w:r>
      <w:r w:rsidR="00EF521C" w:rsidRPr="00B94708">
        <w:rPr>
          <w:rFonts w:ascii="Arial" w:hAnsi="Arial" w:cs="Arial"/>
        </w:rPr>
        <w:t>P</w:t>
      </w:r>
      <w:r w:rsidRPr="00B94708">
        <w:rPr>
          <w:rFonts w:ascii="Arial" w:hAnsi="Arial" w:cs="Arial"/>
        </w:rPr>
        <w:t>olicy S</w:t>
      </w:r>
      <w:r w:rsidR="00B906EC">
        <w:rPr>
          <w:rFonts w:ascii="Arial" w:hAnsi="Arial" w:cs="Arial"/>
        </w:rPr>
        <w:t>7</w:t>
      </w:r>
      <w:r w:rsidRPr="00B94708">
        <w:rPr>
          <w:rFonts w:ascii="Arial" w:hAnsi="Arial" w:cs="Arial"/>
        </w:rPr>
        <w:t xml:space="preserve"> sets out the overarching housing requirements for the District. This section identifies and allocates a number of housing sites that will be developed to ensure that the housing target of </w:t>
      </w:r>
      <w:r w:rsidR="00060199" w:rsidRPr="00B94708">
        <w:rPr>
          <w:rFonts w:ascii="Arial" w:hAnsi="Arial" w:cs="Arial"/>
          <w:color w:val="auto"/>
        </w:rPr>
        <w:t>7,582</w:t>
      </w:r>
      <w:r w:rsidRPr="00B94708">
        <w:rPr>
          <w:rFonts w:ascii="Arial" w:hAnsi="Arial" w:cs="Arial"/>
          <w:color w:val="auto"/>
        </w:rPr>
        <w:t xml:space="preserve"> h</w:t>
      </w:r>
      <w:r w:rsidRPr="00B94708">
        <w:rPr>
          <w:rFonts w:ascii="Arial" w:hAnsi="Arial" w:cs="Arial"/>
        </w:rPr>
        <w:t xml:space="preserve">omes is met during the plan period. </w:t>
      </w:r>
    </w:p>
    <w:p w14:paraId="1A74B784" w14:textId="77777777" w:rsidR="00B94708" w:rsidRPr="00B94708" w:rsidRDefault="00B94708" w:rsidP="00B94708">
      <w:pPr>
        <w:autoSpaceDE w:val="0"/>
        <w:autoSpaceDN w:val="0"/>
        <w:adjustRightInd w:val="0"/>
        <w:rPr>
          <w:rFonts w:cs="Arial"/>
        </w:rPr>
      </w:pPr>
    </w:p>
    <w:p w14:paraId="2EC2F350" w14:textId="3661E0DA" w:rsidR="003C7E62" w:rsidRPr="003C7E62" w:rsidRDefault="003C7E62" w:rsidP="00874A98">
      <w:pPr>
        <w:pStyle w:val="ListParagraph"/>
        <w:numPr>
          <w:ilvl w:val="1"/>
          <w:numId w:val="92"/>
        </w:numPr>
        <w:autoSpaceDE w:val="0"/>
        <w:autoSpaceDN w:val="0"/>
        <w:adjustRightInd w:val="0"/>
        <w:spacing w:after="0" w:line="240" w:lineRule="auto"/>
        <w:ind w:left="851" w:hanging="851"/>
        <w:rPr>
          <w:rFonts w:ascii="Arial" w:hAnsi="Arial" w:cs="Arial"/>
        </w:rPr>
      </w:pPr>
      <w:r w:rsidRPr="003C7E62">
        <w:rPr>
          <w:rFonts w:ascii="Arial" w:hAnsi="Arial" w:cs="Arial"/>
        </w:rPr>
        <w:t xml:space="preserve">This section also sets out </w:t>
      </w:r>
      <w:r w:rsidR="003E5B17" w:rsidRPr="003C7E62">
        <w:rPr>
          <w:rFonts w:ascii="Arial" w:eastAsia="Arial" w:hAnsi="Arial" w:cs="Arial"/>
          <w:szCs w:val="20"/>
          <w:lang w:eastAsia="en-GB"/>
        </w:rPr>
        <w:t>Development Management</w:t>
      </w:r>
      <w:r w:rsidR="003E5B17" w:rsidRPr="003C7E62">
        <w:rPr>
          <w:rFonts w:ascii="Arial" w:hAnsi="Arial" w:cs="Arial"/>
        </w:rPr>
        <w:t xml:space="preserve"> </w:t>
      </w:r>
      <w:r w:rsidRPr="003C7E62">
        <w:rPr>
          <w:rFonts w:ascii="Arial" w:hAnsi="Arial" w:cs="Arial"/>
        </w:rPr>
        <w:t xml:space="preserve">policies to guide </w:t>
      </w:r>
      <w:r w:rsidRPr="003C7E62">
        <w:rPr>
          <w:rFonts w:ascii="Arial" w:eastAsia="Arial" w:hAnsi="Arial" w:cs="Arial"/>
          <w:szCs w:val="20"/>
          <w:lang w:eastAsia="en-GB"/>
        </w:rPr>
        <w:t>decision making in respect of housing, including</w:t>
      </w:r>
      <w:r w:rsidRPr="003C7E62">
        <w:rPr>
          <w:rFonts w:ascii="Arial" w:hAnsi="Arial" w:cs="Arial"/>
        </w:rPr>
        <w:t xml:space="preserve"> the type of homes that should be built, the provision of open space in new developments, and a policy related to the provision of accommodation for gypsies and travellers, and travelling showpeople. </w:t>
      </w:r>
    </w:p>
    <w:p w14:paraId="5B280D33" w14:textId="29836EE1" w:rsidR="00263F59" w:rsidRDefault="00263F59" w:rsidP="00263F59">
      <w:pPr>
        <w:spacing w:before="0"/>
        <w:rPr>
          <w:rFonts w:eastAsia="Arial"/>
        </w:rPr>
      </w:pPr>
    </w:p>
    <w:p w14:paraId="5869CAAA" w14:textId="77777777" w:rsidR="00263F59" w:rsidRPr="00263F59" w:rsidRDefault="00263F59" w:rsidP="00263F59">
      <w:pPr>
        <w:spacing w:before="0"/>
        <w:rPr>
          <w:rFonts w:eastAsia="Arial"/>
        </w:rPr>
      </w:pPr>
    </w:p>
    <w:p w14:paraId="26690646" w14:textId="77777777" w:rsidR="001770A9" w:rsidRDefault="001770A9">
      <w:pPr>
        <w:keepNext w:val="0"/>
        <w:spacing w:before="0"/>
        <w:rPr>
          <w:rStyle w:val="Heading10"/>
          <w:rFonts w:cs="Arial"/>
          <w:bCs/>
          <w:iCs/>
          <w:color w:val="auto"/>
          <w:sz w:val="28"/>
          <w:szCs w:val="28"/>
          <w:lang w:eastAsia="en-US"/>
        </w:rPr>
      </w:pPr>
      <w:bookmarkStart w:id="187" w:name="_Toc145511587"/>
      <w:bookmarkStart w:id="188" w:name="_Hlk79140229"/>
      <w:r>
        <w:rPr>
          <w:rStyle w:val="Heading10"/>
          <w:b w:val="0"/>
          <w:color w:val="auto"/>
          <w:sz w:val="28"/>
        </w:rPr>
        <w:br w:type="page"/>
      </w:r>
    </w:p>
    <w:p w14:paraId="15374FAB" w14:textId="6F79957E" w:rsidR="003C7E62" w:rsidRPr="00995322" w:rsidRDefault="003C7E62" w:rsidP="00995322">
      <w:pPr>
        <w:pStyle w:val="Heading2"/>
        <w:jc w:val="left"/>
        <w:rPr>
          <w:rStyle w:val="Heading10"/>
          <w:b/>
          <w:bCs/>
          <w:color w:val="auto"/>
          <w:sz w:val="28"/>
          <w:szCs w:val="28"/>
        </w:rPr>
      </w:pPr>
      <w:r w:rsidRPr="00995322">
        <w:rPr>
          <w:rStyle w:val="Heading10"/>
          <w:b/>
          <w:color w:val="auto"/>
          <w:sz w:val="28"/>
          <w:szCs w:val="28"/>
        </w:rPr>
        <w:t xml:space="preserve">Policy H1: </w:t>
      </w:r>
      <w:bookmarkStart w:id="189" w:name="_Hlk142997969"/>
      <w:r w:rsidRPr="00995322">
        <w:rPr>
          <w:rFonts w:eastAsia="Arial"/>
          <w:sz w:val="28"/>
          <w:szCs w:val="28"/>
        </w:rPr>
        <w:t xml:space="preserve">Housing </w:t>
      </w:r>
      <w:r w:rsidR="003E2B7C" w:rsidRPr="00995322">
        <w:rPr>
          <w:rFonts w:eastAsia="Arial"/>
          <w:sz w:val="28"/>
          <w:szCs w:val="28"/>
        </w:rPr>
        <w:t xml:space="preserve">Site </w:t>
      </w:r>
      <w:r w:rsidRPr="00995322">
        <w:rPr>
          <w:rFonts w:eastAsia="Arial"/>
          <w:sz w:val="28"/>
          <w:szCs w:val="28"/>
        </w:rPr>
        <w:t>Allocations</w:t>
      </w:r>
      <w:bookmarkEnd w:id="187"/>
      <w:r w:rsidRPr="00995322">
        <w:rPr>
          <w:rFonts w:eastAsia="Arial"/>
          <w:sz w:val="28"/>
          <w:szCs w:val="28"/>
        </w:rPr>
        <w:t xml:space="preserve"> </w:t>
      </w:r>
    </w:p>
    <w:p w14:paraId="05F81CB4" w14:textId="77777777" w:rsidR="003C7E62" w:rsidRPr="003C7E62" w:rsidRDefault="003C7E62" w:rsidP="00263F59">
      <w:pPr>
        <w:spacing w:before="0"/>
        <w:rPr>
          <w:rFonts w:eastAsia="Arial" w:cs="Arial"/>
        </w:rPr>
      </w:pPr>
    </w:p>
    <w:p w14:paraId="5773D13D" w14:textId="6C6F9DB6" w:rsidR="003C7E62" w:rsidRPr="002D2782" w:rsidRDefault="003C7E62" w:rsidP="00874A98">
      <w:pPr>
        <w:pStyle w:val="ListParagraph"/>
        <w:numPr>
          <w:ilvl w:val="1"/>
          <w:numId w:val="92"/>
        </w:numPr>
        <w:autoSpaceDE w:val="0"/>
        <w:autoSpaceDN w:val="0"/>
        <w:adjustRightInd w:val="0"/>
        <w:spacing w:after="0" w:line="240" w:lineRule="auto"/>
        <w:ind w:left="851" w:hanging="851"/>
        <w:rPr>
          <w:rFonts w:ascii="Arial" w:eastAsia="Arial" w:hAnsi="Arial" w:cs="Arial"/>
          <w:strike/>
          <w:spacing w:val="-1"/>
          <w:szCs w:val="24"/>
        </w:rPr>
      </w:pPr>
      <w:bookmarkStart w:id="190" w:name="_Hlk81376252"/>
      <w:bookmarkEnd w:id="189"/>
      <w:r w:rsidRPr="003C7E62">
        <w:rPr>
          <w:rStyle w:val="Normal1"/>
          <w:rFonts w:cs="Arial"/>
          <w:szCs w:val="24"/>
        </w:rPr>
        <w:t xml:space="preserve">Policy H1 </w:t>
      </w:r>
      <w:r w:rsidRPr="003C7E62">
        <w:rPr>
          <w:rFonts w:ascii="Arial" w:eastAsia="Arial" w:hAnsi="Arial" w:cs="Arial"/>
          <w:szCs w:val="24"/>
        </w:rPr>
        <w:t>allocates large housing sites (</w:t>
      </w:r>
      <w:r w:rsidRPr="003C7E62">
        <w:rPr>
          <w:rFonts w:ascii="Arial" w:eastAsia="Arial" w:hAnsi="Arial" w:cs="Arial"/>
          <w:szCs w:val="24"/>
          <w:shd w:val="clear" w:color="auto" w:fill="FFFFFF"/>
        </w:rPr>
        <w:t>those</w:t>
      </w:r>
      <w:r w:rsidRPr="003C7E62">
        <w:rPr>
          <w:rFonts w:ascii="Arial" w:eastAsia="Arial" w:hAnsi="Arial" w:cs="Arial"/>
          <w:szCs w:val="24"/>
        </w:rPr>
        <w:t xml:space="preserve"> capable of accommodating ten or more dwellings) which will contribute towards providing the assessed housing need identified in Strategic Policy </w:t>
      </w:r>
      <w:r w:rsidRPr="00545D27">
        <w:rPr>
          <w:rFonts w:ascii="Arial" w:eastAsia="Arial" w:hAnsi="Arial" w:cs="Arial"/>
          <w:szCs w:val="24"/>
        </w:rPr>
        <w:t>S</w:t>
      </w:r>
      <w:r w:rsidR="00B906EC">
        <w:rPr>
          <w:rFonts w:ascii="Arial" w:eastAsia="Arial" w:hAnsi="Arial" w:cs="Arial"/>
          <w:szCs w:val="24"/>
        </w:rPr>
        <w:t>7</w:t>
      </w:r>
      <w:bookmarkEnd w:id="190"/>
      <w:r w:rsidRPr="003C7E62">
        <w:rPr>
          <w:rFonts w:ascii="Arial" w:eastAsia="Arial" w:hAnsi="Arial" w:cs="Arial"/>
          <w:szCs w:val="24"/>
        </w:rPr>
        <w:t xml:space="preserve">. </w:t>
      </w:r>
    </w:p>
    <w:p w14:paraId="418382D2" w14:textId="77777777" w:rsidR="002D2782" w:rsidRPr="002D2782" w:rsidRDefault="002D2782" w:rsidP="002D2782">
      <w:pPr>
        <w:pStyle w:val="ListParagraph"/>
        <w:autoSpaceDE w:val="0"/>
        <w:autoSpaceDN w:val="0"/>
        <w:adjustRightInd w:val="0"/>
        <w:spacing w:after="0" w:line="240" w:lineRule="auto"/>
        <w:ind w:left="851"/>
        <w:rPr>
          <w:rFonts w:ascii="Arial" w:eastAsia="Arial" w:hAnsi="Arial" w:cs="Arial"/>
          <w:strike/>
          <w:spacing w:val="-1"/>
          <w:szCs w:val="24"/>
        </w:rPr>
      </w:pPr>
    </w:p>
    <w:p w14:paraId="0B2B3F3D" w14:textId="6E926CE3" w:rsidR="002D2782" w:rsidRPr="001012CC" w:rsidRDefault="002D2782" w:rsidP="00874A98">
      <w:pPr>
        <w:pStyle w:val="ListParagraph"/>
        <w:numPr>
          <w:ilvl w:val="1"/>
          <w:numId w:val="92"/>
        </w:numPr>
        <w:ind w:left="851" w:hanging="851"/>
        <w:rPr>
          <w:rFonts w:ascii="Arial" w:eastAsia="Arial" w:hAnsi="Arial" w:cs="Arial"/>
          <w:color w:val="auto"/>
          <w:spacing w:val="-1"/>
          <w:szCs w:val="24"/>
        </w:rPr>
      </w:pPr>
      <w:r w:rsidRPr="001012CC">
        <w:rPr>
          <w:rFonts w:ascii="Arial" w:eastAsia="Arial" w:hAnsi="Arial" w:cs="Arial"/>
          <w:color w:val="auto"/>
          <w:spacing w:val="-1"/>
          <w:szCs w:val="24"/>
        </w:rPr>
        <w:t xml:space="preserve">Where appropriate, concise </w:t>
      </w:r>
      <w:r w:rsidR="00B87CB2" w:rsidRPr="001012CC">
        <w:rPr>
          <w:rFonts w:ascii="Arial" w:eastAsia="Arial" w:hAnsi="Arial" w:cs="Arial"/>
          <w:color w:val="auto"/>
          <w:spacing w:val="-1"/>
          <w:szCs w:val="24"/>
        </w:rPr>
        <w:t>Masterplans</w:t>
      </w:r>
      <w:r w:rsidRPr="001012CC">
        <w:rPr>
          <w:rFonts w:ascii="Arial" w:eastAsia="Arial" w:hAnsi="Arial" w:cs="Arial"/>
          <w:color w:val="auto"/>
          <w:spacing w:val="-1"/>
          <w:szCs w:val="24"/>
        </w:rPr>
        <w:t xml:space="preserve"> will be available for larger housing allocations which currently do not have the benefit of planning permission. These will set out essential requirements expected by the Council and provide more detailed advice and guidance specific to that site.</w:t>
      </w:r>
    </w:p>
    <w:p w14:paraId="47F0F0D0" w14:textId="23B85D39" w:rsidR="00DA5747" w:rsidRDefault="00DA5747" w:rsidP="00DA5747">
      <w:pPr>
        <w:pStyle w:val="ListParagraph"/>
        <w:autoSpaceDE w:val="0"/>
        <w:autoSpaceDN w:val="0"/>
        <w:adjustRightInd w:val="0"/>
        <w:spacing w:after="0" w:line="240" w:lineRule="auto"/>
        <w:ind w:left="851"/>
        <w:rPr>
          <w:rFonts w:ascii="Arial" w:eastAsia="Arial" w:hAnsi="Arial" w:cs="Arial"/>
          <w:spacing w:val="-1"/>
          <w:szCs w:val="24"/>
        </w:rPr>
      </w:pPr>
    </w:p>
    <w:tbl>
      <w:tblPr>
        <w:tblStyle w:val="ReportTable1"/>
        <w:tblW w:w="0" w:type="auto"/>
        <w:tblLook w:val="04A0" w:firstRow="1" w:lastRow="0" w:firstColumn="1" w:lastColumn="0" w:noHBand="0" w:noVBand="1"/>
      </w:tblPr>
      <w:tblGrid>
        <w:gridCol w:w="2122"/>
        <w:gridCol w:w="538"/>
        <w:gridCol w:w="6828"/>
      </w:tblGrid>
      <w:tr w:rsidR="003C7E62" w:rsidRPr="003C7E62" w14:paraId="536CA8F8" w14:textId="77777777" w:rsidTr="000339D2">
        <w:tc>
          <w:tcPr>
            <w:tcW w:w="9488" w:type="dxa"/>
            <w:gridSpan w:val="3"/>
          </w:tcPr>
          <w:p w14:paraId="112F0201" w14:textId="77777777" w:rsidR="003C7E62" w:rsidRPr="003C7E62" w:rsidRDefault="003C7E62" w:rsidP="008B5F49">
            <w:pPr>
              <w:pStyle w:val="Heading"/>
              <w:spacing w:before="120" w:after="120"/>
              <w:rPr>
                <w:rStyle w:val="Heading10"/>
                <w:rFonts w:cs="Arial"/>
                <w:b/>
                <w:color w:val="000000" w:themeColor="text1"/>
              </w:rPr>
            </w:pPr>
            <w:bookmarkStart w:id="191" w:name="_Hlk81376449"/>
            <w:bookmarkStart w:id="192" w:name="_Hlk115097390"/>
            <w:r w:rsidRPr="003C7E62">
              <w:rPr>
                <w:rStyle w:val="Heading10"/>
                <w:rFonts w:cs="Arial"/>
                <w:b/>
                <w:color w:val="000000" w:themeColor="text1"/>
              </w:rPr>
              <w:t>Policy H1:  Housing Allocations</w:t>
            </w:r>
          </w:p>
        </w:tc>
      </w:tr>
      <w:tr w:rsidR="003C7E62" w:rsidRPr="003C7E62" w14:paraId="5B116FFA" w14:textId="77777777" w:rsidTr="000339D2">
        <w:tc>
          <w:tcPr>
            <w:tcW w:w="2660" w:type="dxa"/>
            <w:gridSpan w:val="2"/>
          </w:tcPr>
          <w:p w14:paraId="0A9B0C50" w14:textId="77777777" w:rsidR="003C7E62" w:rsidRPr="00DA5747" w:rsidRDefault="003C7E62" w:rsidP="008B5F49">
            <w:pPr>
              <w:pStyle w:val="Heading"/>
              <w:spacing w:before="40" w:after="40"/>
              <w:rPr>
                <w:rStyle w:val="Heading10"/>
                <w:rFonts w:cs="Arial"/>
                <w:bCs/>
                <w:color w:val="000000" w:themeColor="text1"/>
              </w:rPr>
            </w:pPr>
            <w:r w:rsidRPr="00DA5747">
              <w:rPr>
                <w:rStyle w:val="Heading10"/>
                <w:rFonts w:cs="Arial"/>
                <w:bCs/>
                <w:color w:val="000000" w:themeColor="text1"/>
              </w:rPr>
              <w:t>Strategic Objectives</w:t>
            </w:r>
          </w:p>
        </w:tc>
        <w:tc>
          <w:tcPr>
            <w:tcW w:w="6828" w:type="dxa"/>
          </w:tcPr>
          <w:p w14:paraId="793400D9" w14:textId="42D77B6C" w:rsidR="003C7E62" w:rsidRPr="00DA5747" w:rsidRDefault="003C7E62" w:rsidP="008B5F49">
            <w:pPr>
              <w:pStyle w:val="Heading"/>
              <w:spacing w:before="40" w:after="40"/>
              <w:rPr>
                <w:rStyle w:val="Heading10"/>
                <w:rFonts w:cs="Arial"/>
                <w:bCs/>
                <w:color w:val="000000" w:themeColor="text1"/>
              </w:rPr>
            </w:pPr>
            <w:r w:rsidRPr="00DA5747">
              <w:rPr>
                <w:rStyle w:val="Heading10"/>
                <w:rFonts w:cs="Arial"/>
                <w:bCs/>
                <w:color w:val="000000" w:themeColor="text1"/>
              </w:rPr>
              <w:t>SO3, SO5, SO11, SO12, SO13</w:t>
            </w:r>
          </w:p>
        </w:tc>
      </w:tr>
      <w:tr w:rsidR="003C7E62" w:rsidRPr="003C7E62" w14:paraId="3B54BC38" w14:textId="77777777" w:rsidTr="006E25C7">
        <w:trPr>
          <w:trHeight w:val="1190"/>
        </w:trPr>
        <w:tc>
          <w:tcPr>
            <w:tcW w:w="9488" w:type="dxa"/>
            <w:gridSpan w:val="3"/>
            <w:shd w:val="clear" w:color="auto" w:fill="FFCC99"/>
          </w:tcPr>
          <w:p w14:paraId="4701C06F" w14:textId="77777777" w:rsidR="003C7E62" w:rsidRPr="006E25C7" w:rsidRDefault="003C7E62" w:rsidP="008B5F49">
            <w:pPr>
              <w:pStyle w:val="Policy"/>
              <w:spacing w:after="0" w:line="240" w:lineRule="auto"/>
              <w:ind w:left="0" w:right="284"/>
              <w:rPr>
                <w:rStyle w:val="Normal1"/>
                <w:rFonts w:cs="Arial"/>
                <w:b/>
              </w:rPr>
            </w:pPr>
          </w:p>
          <w:p w14:paraId="29402A68" w14:textId="77777777" w:rsidR="003C7E62" w:rsidRPr="006E25C7" w:rsidRDefault="003C7E62" w:rsidP="00BF07B5">
            <w:pPr>
              <w:pStyle w:val="Policy"/>
              <w:spacing w:after="0" w:line="240" w:lineRule="auto"/>
              <w:ind w:left="306" w:right="284"/>
              <w:rPr>
                <w:rStyle w:val="Normal1"/>
                <w:rFonts w:cs="Arial"/>
                <w:bCs/>
              </w:rPr>
            </w:pPr>
            <w:r w:rsidRPr="006E25C7">
              <w:rPr>
                <w:rStyle w:val="Normal1"/>
                <w:rFonts w:cs="Arial"/>
                <w:bCs/>
              </w:rPr>
              <w:t>Residential development will be permitted on the sites listed below as shown on the Policies Map, subject to detailed planning consent where it has not already been granted, or where it has lapsed.</w:t>
            </w:r>
          </w:p>
          <w:p w14:paraId="1DA7A795" w14:textId="77777777" w:rsidR="003C7E62" w:rsidRPr="006E25C7" w:rsidRDefault="003C7E62" w:rsidP="00BF07B5">
            <w:pPr>
              <w:pStyle w:val="Policy"/>
              <w:spacing w:after="0" w:line="240" w:lineRule="auto"/>
              <w:ind w:left="306" w:right="284"/>
              <w:rPr>
                <w:rStyle w:val="Normal1"/>
                <w:rFonts w:cs="Arial"/>
                <w:bCs/>
              </w:rPr>
            </w:pPr>
          </w:p>
          <w:p w14:paraId="43D4C3C3" w14:textId="77777777" w:rsidR="003C7E62" w:rsidRPr="006E25C7" w:rsidRDefault="003C7E62" w:rsidP="001770A9">
            <w:pPr>
              <w:pStyle w:val="Policy"/>
              <w:spacing w:after="0" w:line="240" w:lineRule="auto"/>
              <w:ind w:left="447" w:right="284" w:hanging="134"/>
              <w:rPr>
                <w:rStyle w:val="Normal1"/>
                <w:rFonts w:cs="Arial"/>
                <w:bCs/>
                <w:u w:val="single"/>
              </w:rPr>
            </w:pPr>
            <w:r w:rsidRPr="006E25C7">
              <w:rPr>
                <w:rStyle w:val="Normal1"/>
                <w:rFonts w:cs="Arial"/>
                <w:bCs/>
                <w:u w:val="single"/>
              </w:rPr>
              <w:t>Hucknall Area</w:t>
            </w:r>
          </w:p>
          <w:p w14:paraId="1FA1338E" w14:textId="77777777" w:rsidR="003C7E62" w:rsidRPr="006E25C7" w:rsidRDefault="003C7E62" w:rsidP="008B5F49">
            <w:pPr>
              <w:pStyle w:val="Policy"/>
              <w:spacing w:after="0" w:line="240" w:lineRule="auto"/>
              <w:ind w:left="0" w:right="284"/>
              <w:rPr>
                <w:rStyle w:val="Normal1"/>
                <w:rFonts w:cs="Arial"/>
                <w:b/>
              </w:rPr>
            </w:pPr>
          </w:p>
          <w:tbl>
            <w:tblPr>
              <w:tblW w:w="8700" w:type="dxa"/>
              <w:jc w:val="center"/>
              <w:tblLook w:val="04A0" w:firstRow="1" w:lastRow="0" w:firstColumn="1" w:lastColumn="0" w:noHBand="0" w:noVBand="1"/>
            </w:tblPr>
            <w:tblGrid>
              <w:gridCol w:w="779"/>
              <w:gridCol w:w="3557"/>
              <w:gridCol w:w="1460"/>
              <w:gridCol w:w="1600"/>
              <w:gridCol w:w="1304"/>
            </w:tblGrid>
            <w:tr w:rsidR="006E25C7" w:rsidRPr="006E25C7" w14:paraId="4773D4C3" w14:textId="77777777" w:rsidTr="00642E60">
              <w:trPr>
                <w:trHeight w:val="840"/>
                <w:jc w:val="center"/>
              </w:trPr>
              <w:tc>
                <w:tcPr>
                  <w:tcW w:w="760" w:type="dxa"/>
                  <w:tcBorders>
                    <w:top w:val="single" w:sz="4" w:space="0" w:color="auto"/>
                    <w:left w:val="single" w:sz="4" w:space="0" w:color="auto"/>
                    <w:bottom w:val="single" w:sz="4" w:space="0" w:color="auto"/>
                    <w:right w:val="single" w:sz="4" w:space="0" w:color="auto"/>
                  </w:tcBorders>
                  <w:shd w:val="clear" w:color="000000" w:fill="D9D9D9"/>
                  <w:hideMark/>
                </w:tcPr>
                <w:p w14:paraId="1D79C16D" w14:textId="77777777" w:rsidR="00642E60" w:rsidRPr="006E25C7" w:rsidRDefault="00642E60" w:rsidP="00642E60">
                  <w:pPr>
                    <w:keepNext w:val="0"/>
                    <w:spacing w:before="0"/>
                    <w:rPr>
                      <w:rFonts w:cs="Arial"/>
                      <w:color w:val="auto"/>
                      <w:sz w:val="22"/>
                      <w:szCs w:val="22"/>
                    </w:rPr>
                  </w:pPr>
                  <w:r w:rsidRPr="006E25C7">
                    <w:rPr>
                      <w:rFonts w:cs="Arial"/>
                      <w:color w:val="auto"/>
                      <w:sz w:val="22"/>
                      <w:szCs w:val="22"/>
                    </w:rPr>
                    <w:t>Site Ref.</w:t>
                  </w:r>
                </w:p>
              </w:tc>
              <w:tc>
                <w:tcPr>
                  <w:tcW w:w="3660" w:type="dxa"/>
                  <w:tcBorders>
                    <w:top w:val="single" w:sz="4" w:space="0" w:color="auto"/>
                    <w:left w:val="nil"/>
                    <w:bottom w:val="single" w:sz="4" w:space="0" w:color="auto"/>
                    <w:right w:val="single" w:sz="4" w:space="0" w:color="auto"/>
                  </w:tcBorders>
                  <w:shd w:val="clear" w:color="000000" w:fill="D9D9D9"/>
                  <w:hideMark/>
                </w:tcPr>
                <w:p w14:paraId="62FE2A6B" w14:textId="77777777" w:rsidR="00642E60" w:rsidRPr="006E25C7" w:rsidRDefault="00642E60" w:rsidP="00642E60">
                  <w:pPr>
                    <w:keepNext w:val="0"/>
                    <w:spacing w:before="0"/>
                    <w:rPr>
                      <w:rFonts w:cs="Arial"/>
                      <w:color w:val="auto"/>
                      <w:sz w:val="22"/>
                      <w:szCs w:val="22"/>
                    </w:rPr>
                  </w:pPr>
                  <w:r w:rsidRPr="006E25C7">
                    <w:rPr>
                      <w:rFonts w:cs="Arial"/>
                      <w:color w:val="auto"/>
                      <w:sz w:val="22"/>
                      <w:szCs w:val="22"/>
                    </w:rPr>
                    <w:t>Site Name</w:t>
                  </w:r>
                </w:p>
              </w:tc>
              <w:tc>
                <w:tcPr>
                  <w:tcW w:w="1460" w:type="dxa"/>
                  <w:tcBorders>
                    <w:top w:val="single" w:sz="4" w:space="0" w:color="auto"/>
                    <w:left w:val="nil"/>
                    <w:bottom w:val="single" w:sz="4" w:space="0" w:color="auto"/>
                    <w:right w:val="single" w:sz="4" w:space="0" w:color="auto"/>
                  </w:tcBorders>
                  <w:shd w:val="clear" w:color="000000" w:fill="D9D9D9"/>
                  <w:hideMark/>
                </w:tcPr>
                <w:p w14:paraId="4BAE3113" w14:textId="77777777" w:rsidR="00642E60" w:rsidRPr="006E25C7" w:rsidRDefault="00642E60" w:rsidP="00642E60">
                  <w:pPr>
                    <w:keepNext w:val="0"/>
                    <w:spacing w:before="0"/>
                    <w:rPr>
                      <w:rFonts w:cs="Arial"/>
                      <w:color w:val="auto"/>
                      <w:sz w:val="22"/>
                      <w:szCs w:val="22"/>
                    </w:rPr>
                  </w:pPr>
                  <w:r w:rsidRPr="006E25C7">
                    <w:rPr>
                      <w:rFonts w:cs="Arial"/>
                      <w:color w:val="auto"/>
                      <w:sz w:val="22"/>
                      <w:szCs w:val="22"/>
                    </w:rPr>
                    <w:t>Greenfield/ Brownfield</w:t>
                  </w:r>
                </w:p>
              </w:tc>
              <w:tc>
                <w:tcPr>
                  <w:tcW w:w="1600" w:type="dxa"/>
                  <w:tcBorders>
                    <w:top w:val="single" w:sz="4" w:space="0" w:color="auto"/>
                    <w:left w:val="nil"/>
                    <w:bottom w:val="single" w:sz="4" w:space="0" w:color="auto"/>
                    <w:right w:val="single" w:sz="4" w:space="0" w:color="auto"/>
                  </w:tcBorders>
                  <w:shd w:val="clear" w:color="000000" w:fill="D9D9D9"/>
                  <w:hideMark/>
                </w:tcPr>
                <w:p w14:paraId="749D7673" w14:textId="77777777" w:rsidR="00642E60" w:rsidRPr="006E25C7" w:rsidRDefault="00642E60" w:rsidP="00642E60">
                  <w:pPr>
                    <w:keepNext w:val="0"/>
                    <w:spacing w:before="0"/>
                    <w:rPr>
                      <w:rFonts w:cs="Arial"/>
                      <w:color w:val="auto"/>
                      <w:sz w:val="22"/>
                      <w:szCs w:val="22"/>
                    </w:rPr>
                  </w:pPr>
                  <w:r w:rsidRPr="006E25C7">
                    <w:rPr>
                      <w:rFonts w:cs="Arial"/>
                      <w:color w:val="auto"/>
                      <w:sz w:val="22"/>
                      <w:szCs w:val="22"/>
                    </w:rPr>
                    <w:t>Planning Permission*</w:t>
                  </w:r>
                </w:p>
              </w:tc>
              <w:tc>
                <w:tcPr>
                  <w:tcW w:w="1220" w:type="dxa"/>
                  <w:tcBorders>
                    <w:top w:val="single" w:sz="4" w:space="0" w:color="auto"/>
                    <w:left w:val="nil"/>
                    <w:bottom w:val="single" w:sz="4" w:space="0" w:color="auto"/>
                    <w:right w:val="single" w:sz="4" w:space="0" w:color="auto"/>
                  </w:tcBorders>
                  <w:shd w:val="clear" w:color="000000" w:fill="D9D9D9"/>
                  <w:hideMark/>
                </w:tcPr>
                <w:p w14:paraId="57D5FDBB" w14:textId="77777777" w:rsidR="00642E60" w:rsidRPr="006E25C7" w:rsidRDefault="00642E60" w:rsidP="00642E60">
                  <w:pPr>
                    <w:keepNext w:val="0"/>
                    <w:spacing w:before="0"/>
                    <w:rPr>
                      <w:rFonts w:cs="Arial"/>
                      <w:color w:val="auto"/>
                      <w:sz w:val="22"/>
                      <w:szCs w:val="22"/>
                    </w:rPr>
                  </w:pPr>
                  <w:r w:rsidRPr="006E25C7">
                    <w:rPr>
                      <w:rFonts w:cs="Arial"/>
                      <w:color w:val="auto"/>
                      <w:sz w:val="22"/>
                      <w:szCs w:val="22"/>
                    </w:rPr>
                    <w:t>Potential Yield (Dwellings)</w:t>
                  </w:r>
                </w:p>
              </w:tc>
            </w:tr>
            <w:tr w:rsidR="006E25C7" w:rsidRPr="006E25C7" w14:paraId="3ED1C17A" w14:textId="77777777" w:rsidTr="00642E60">
              <w:trPr>
                <w:trHeight w:val="560"/>
                <w:jc w:val="center"/>
              </w:trPr>
              <w:tc>
                <w:tcPr>
                  <w:tcW w:w="760" w:type="dxa"/>
                  <w:tcBorders>
                    <w:top w:val="nil"/>
                    <w:left w:val="single" w:sz="4" w:space="0" w:color="auto"/>
                    <w:bottom w:val="single" w:sz="4" w:space="0" w:color="auto"/>
                    <w:right w:val="single" w:sz="4" w:space="0" w:color="auto"/>
                  </w:tcBorders>
                  <w:shd w:val="clear" w:color="auto" w:fill="auto"/>
                  <w:noWrap/>
                  <w:hideMark/>
                </w:tcPr>
                <w:p w14:paraId="41B610E9" w14:textId="77777777" w:rsidR="00642E60" w:rsidRPr="006E25C7" w:rsidRDefault="00642E60" w:rsidP="00642E60">
                  <w:pPr>
                    <w:keepNext w:val="0"/>
                    <w:spacing w:before="0"/>
                    <w:rPr>
                      <w:rFonts w:cs="Arial"/>
                      <w:color w:val="auto"/>
                      <w:sz w:val="22"/>
                      <w:szCs w:val="22"/>
                    </w:rPr>
                  </w:pPr>
                  <w:r w:rsidRPr="006E25C7">
                    <w:rPr>
                      <w:rFonts w:cs="Arial"/>
                      <w:color w:val="auto"/>
                      <w:sz w:val="22"/>
                      <w:szCs w:val="22"/>
                    </w:rPr>
                    <w:t>H1Ha</w:t>
                  </w:r>
                </w:p>
              </w:tc>
              <w:tc>
                <w:tcPr>
                  <w:tcW w:w="3660" w:type="dxa"/>
                  <w:tcBorders>
                    <w:top w:val="nil"/>
                    <w:left w:val="nil"/>
                    <w:bottom w:val="single" w:sz="4" w:space="0" w:color="auto"/>
                    <w:right w:val="single" w:sz="4" w:space="0" w:color="auto"/>
                  </w:tcBorders>
                  <w:shd w:val="clear" w:color="auto" w:fill="auto"/>
                  <w:hideMark/>
                </w:tcPr>
                <w:p w14:paraId="00B38CD8" w14:textId="77777777" w:rsidR="00642E60" w:rsidRPr="006E25C7" w:rsidRDefault="00642E60" w:rsidP="00642E60">
                  <w:pPr>
                    <w:keepNext w:val="0"/>
                    <w:spacing w:before="0"/>
                    <w:rPr>
                      <w:rFonts w:cs="Arial"/>
                      <w:color w:val="auto"/>
                      <w:sz w:val="22"/>
                      <w:szCs w:val="22"/>
                    </w:rPr>
                  </w:pPr>
                  <w:r w:rsidRPr="006E25C7">
                    <w:rPr>
                      <w:rFonts w:cs="Arial"/>
                      <w:color w:val="auto"/>
                      <w:sz w:val="22"/>
                      <w:szCs w:val="22"/>
                    </w:rPr>
                    <w:t>Seven Stars PH, West Street / Ogle Street, Hucknall</w:t>
                  </w:r>
                </w:p>
              </w:tc>
              <w:tc>
                <w:tcPr>
                  <w:tcW w:w="1460" w:type="dxa"/>
                  <w:tcBorders>
                    <w:top w:val="nil"/>
                    <w:left w:val="nil"/>
                    <w:bottom w:val="single" w:sz="4" w:space="0" w:color="auto"/>
                    <w:right w:val="single" w:sz="4" w:space="0" w:color="auto"/>
                  </w:tcBorders>
                  <w:shd w:val="clear" w:color="auto" w:fill="auto"/>
                  <w:noWrap/>
                  <w:hideMark/>
                </w:tcPr>
                <w:p w14:paraId="032EF7EA" w14:textId="77777777" w:rsidR="00642E60" w:rsidRPr="006E25C7" w:rsidRDefault="00642E60" w:rsidP="00642E60">
                  <w:pPr>
                    <w:keepNext w:val="0"/>
                    <w:spacing w:before="0"/>
                    <w:jc w:val="center"/>
                    <w:rPr>
                      <w:rFonts w:cs="Arial"/>
                      <w:color w:val="auto"/>
                      <w:sz w:val="22"/>
                      <w:szCs w:val="22"/>
                    </w:rPr>
                  </w:pPr>
                  <w:r w:rsidRPr="006E25C7">
                    <w:rPr>
                      <w:rFonts w:cs="Arial"/>
                      <w:color w:val="auto"/>
                      <w:sz w:val="22"/>
                      <w:szCs w:val="22"/>
                    </w:rPr>
                    <w:t>B</w:t>
                  </w:r>
                </w:p>
              </w:tc>
              <w:tc>
                <w:tcPr>
                  <w:tcW w:w="1600" w:type="dxa"/>
                  <w:tcBorders>
                    <w:top w:val="nil"/>
                    <w:left w:val="nil"/>
                    <w:bottom w:val="single" w:sz="4" w:space="0" w:color="auto"/>
                    <w:right w:val="single" w:sz="4" w:space="0" w:color="auto"/>
                  </w:tcBorders>
                  <w:shd w:val="clear" w:color="auto" w:fill="auto"/>
                  <w:noWrap/>
                  <w:hideMark/>
                </w:tcPr>
                <w:p w14:paraId="3BE97D63" w14:textId="77777777" w:rsidR="00642E60" w:rsidRPr="006E25C7" w:rsidRDefault="00642E60" w:rsidP="00642E60">
                  <w:pPr>
                    <w:keepNext w:val="0"/>
                    <w:spacing w:before="0"/>
                    <w:jc w:val="center"/>
                    <w:rPr>
                      <w:rFonts w:cs="Arial"/>
                      <w:color w:val="auto"/>
                      <w:sz w:val="22"/>
                      <w:szCs w:val="22"/>
                    </w:rPr>
                  </w:pPr>
                  <w:r w:rsidRPr="006E25C7">
                    <w:rPr>
                      <w:rFonts w:cs="Arial"/>
                      <w:color w:val="auto"/>
                      <w:sz w:val="22"/>
                      <w:szCs w:val="22"/>
                    </w:rPr>
                    <w:t>No</w:t>
                  </w:r>
                </w:p>
              </w:tc>
              <w:tc>
                <w:tcPr>
                  <w:tcW w:w="1220" w:type="dxa"/>
                  <w:tcBorders>
                    <w:top w:val="nil"/>
                    <w:left w:val="nil"/>
                    <w:bottom w:val="single" w:sz="4" w:space="0" w:color="auto"/>
                    <w:right w:val="single" w:sz="4" w:space="0" w:color="auto"/>
                  </w:tcBorders>
                  <w:shd w:val="clear" w:color="auto" w:fill="auto"/>
                  <w:noWrap/>
                  <w:hideMark/>
                </w:tcPr>
                <w:p w14:paraId="077C18D8" w14:textId="77777777" w:rsidR="00642E60" w:rsidRPr="006E25C7" w:rsidRDefault="00642E60" w:rsidP="00642E60">
                  <w:pPr>
                    <w:keepNext w:val="0"/>
                    <w:spacing w:before="0"/>
                    <w:jc w:val="right"/>
                    <w:rPr>
                      <w:rFonts w:cs="Arial"/>
                      <w:color w:val="auto"/>
                      <w:sz w:val="22"/>
                      <w:szCs w:val="22"/>
                    </w:rPr>
                  </w:pPr>
                  <w:r w:rsidRPr="006E25C7">
                    <w:rPr>
                      <w:rFonts w:cs="Arial"/>
                      <w:color w:val="auto"/>
                      <w:sz w:val="22"/>
                      <w:szCs w:val="22"/>
                    </w:rPr>
                    <w:t>28</w:t>
                  </w:r>
                </w:p>
              </w:tc>
            </w:tr>
            <w:tr w:rsidR="006E25C7" w:rsidRPr="006E25C7" w14:paraId="30F58F6D" w14:textId="77777777" w:rsidTr="00642E60">
              <w:trPr>
                <w:trHeight w:val="560"/>
                <w:jc w:val="center"/>
              </w:trPr>
              <w:tc>
                <w:tcPr>
                  <w:tcW w:w="760" w:type="dxa"/>
                  <w:tcBorders>
                    <w:top w:val="nil"/>
                    <w:left w:val="single" w:sz="4" w:space="0" w:color="auto"/>
                    <w:bottom w:val="single" w:sz="4" w:space="0" w:color="auto"/>
                    <w:right w:val="single" w:sz="4" w:space="0" w:color="auto"/>
                  </w:tcBorders>
                  <w:shd w:val="clear" w:color="auto" w:fill="auto"/>
                  <w:noWrap/>
                  <w:hideMark/>
                </w:tcPr>
                <w:p w14:paraId="0FF84934" w14:textId="77777777" w:rsidR="00642E60" w:rsidRPr="006E25C7" w:rsidRDefault="00642E60" w:rsidP="00642E60">
                  <w:pPr>
                    <w:keepNext w:val="0"/>
                    <w:spacing w:before="0"/>
                    <w:rPr>
                      <w:rFonts w:cs="Arial"/>
                      <w:color w:val="auto"/>
                      <w:sz w:val="22"/>
                      <w:szCs w:val="22"/>
                    </w:rPr>
                  </w:pPr>
                  <w:r w:rsidRPr="006E25C7">
                    <w:rPr>
                      <w:rFonts w:cs="Arial"/>
                      <w:color w:val="auto"/>
                      <w:sz w:val="22"/>
                      <w:szCs w:val="22"/>
                    </w:rPr>
                    <w:t>H1Hb</w:t>
                  </w:r>
                </w:p>
              </w:tc>
              <w:tc>
                <w:tcPr>
                  <w:tcW w:w="3660" w:type="dxa"/>
                  <w:tcBorders>
                    <w:top w:val="nil"/>
                    <w:left w:val="nil"/>
                    <w:bottom w:val="single" w:sz="4" w:space="0" w:color="auto"/>
                    <w:right w:val="single" w:sz="4" w:space="0" w:color="auto"/>
                  </w:tcBorders>
                  <w:shd w:val="clear" w:color="auto" w:fill="auto"/>
                  <w:hideMark/>
                </w:tcPr>
                <w:p w14:paraId="431D083D" w14:textId="77777777" w:rsidR="00642E60" w:rsidRPr="006E25C7" w:rsidRDefault="00642E60" w:rsidP="00642E60">
                  <w:pPr>
                    <w:keepNext w:val="0"/>
                    <w:spacing w:before="0"/>
                    <w:rPr>
                      <w:rFonts w:cs="Arial"/>
                      <w:color w:val="auto"/>
                      <w:sz w:val="22"/>
                      <w:szCs w:val="22"/>
                    </w:rPr>
                  </w:pPr>
                  <w:r w:rsidRPr="006E25C7">
                    <w:rPr>
                      <w:rFonts w:cs="Arial"/>
                      <w:color w:val="auto"/>
                      <w:sz w:val="22"/>
                      <w:szCs w:val="22"/>
                    </w:rPr>
                    <w:t>Linby Boarding Kennels, East of Church Lane, Hucknall</w:t>
                  </w:r>
                </w:p>
              </w:tc>
              <w:tc>
                <w:tcPr>
                  <w:tcW w:w="1460" w:type="dxa"/>
                  <w:tcBorders>
                    <w:top w:val="nil"/>
                    <w:left w:val="nil"/>
                    <w:bottom w:val="single" w:sz="4" w:space="0" w:color="auto"/>
                    <w:right w:val="single" w:sz="4" w:space="0" w:color="auto"/>
                  </w:tcBorders>
                  <w:shd w:val="clear" w:color="auto" w:fill="auto"/>
                  <w:noWrap/>
                  <w:hideMark/>
                </w:tcPr>
                <w:p w14:paraId="4BD1D66A" w14:textId="77777777" w:rsidR="00642E60" w:rsidRPr="006E25C7" w:rsidRDefault="00642E60" w:rsidP="00642E60">
                  <w:pPr>
                    <w:keepNext w:val="0"/>
                    <w:spacing w:before="0"/>
                    <w:jc w:val="center"/>
                    <w:rPr>
                      <w:rFonts w:cs="Arial"/>
                      <w:color w:val="auto"/>
                      <w:sz w:val="22"/>
                      <w:szCs w:val="22"/>
                    </w:rPr>
                  </w:pPr>
                  <w:r w:rsidRPr="006E25C7">
                    <w:rPr>
                      <w:rFonts w:cs="Arial"/>
                      <w:color w:val="auto"/>
                      <w:sz w:val="22"/>
                      <w:szCs w:val="22"/>
                    </w:rPr>
                    <w:t>G/B</w:t>
                  </w:r>
                </w:p>
              </w:tc>
              <w:tc>
                <w:tcPr>
                  <w:tcW w:w="1600" w:type="dxa"/>
                  <w:tcBorders>
                    <w:top w:val="nil"/>
                    <w:left w:val="nil"/>
                    <w:bottom w:val="single" w:sz="4" w:space="0" w:color="auto"/>
                    <w:right w:val="single" w:sz="4" w:space="0" w:color="auto"/>
                  </w:tcBorders>
                  <w:shd w:val="clear" w:color="auto" w:fill="auto"/>
                  <w:noWrap/>
                  <w:hideMark/>
                </w:tcPr>
                <w:p w14:paraId="4C1B7A92" w14:textId="77777777" w:rsidR="00642E60" w:rsidRPr="006E25C7" w:rsidRDefault="00642E60" w:rsidP="00642E60">
                  <w:pPr>
                    <w:keepNext w:val="0"/>
                    <w:spacing w:before="0"/>
                    <w:jc w:val="center"/>
                    <w:rPr>
                      <w:rFonts w:cs="Arial"/>
                      <w:color w:val="auto"/>
                      <w:sz w:val="22"/>
                      <w:szCs w:val="22"/>
                    </w:rPr>
                  </w:pPr>
                  <w:r w:rsidRPr="006E25C7">
                    <w:rPr>
                      <w:rFonts w:cs="Arial"/>
                      <w:color w:val="auto"/>
                      <w:sz w:val="22"/>
                      <w:szCs w:val="22"/>
                    </w:rPr>
                    <w:t>Part</w:t>
                  </w:r>
                </w:p>
              </w:tc>
              <w:tc>
                <w:tcPr>
                  <w:tcW w:w="1220" w:type="dxa"/>
                  <w:tcBorders>
                    <w:top w:val="nil"/>
                    <w:left w:val="nil"/>
                    <w:bottom w:val="single" w:sz="4" w:space="0" w:color="auto"/>
                    <w:right w:val="single" w:sz="4" w:space="0" w:color="auto"/>
                  </w:tcBorders>
                  <w:shd w:val="clear" w:color="auto" w:fill="auto"/>
                  <w:noWrap/>
                  <w:hideMark/>
                </w:tcPr>
                <w:p w14:paraId="553A199D" w14:textId="77777777" w:rsidR="00642E60" w:rsidRPr="006E25C7" w:rsidRDefault="00642E60" w:rsidP="00642E60">
                  <w:pPr>
                    <w:keepNext w:val="0"/>
                    <w:spacing w:before="0"/>
                    <w:jc w:val="right"/>
                    <w:rPr>
                      <w:rFonts w:cs="Arial"/>
                      <w:color w:val="auto"/>
                      <w:sz w:val="22"/>
                      <w:szCs w:val="22"/>
                    </w:rPr>
                  </w:pPr>
                  <w:r w:rsidRPr="006E25C7">
                    <w:rPr>
                      <w:rFonts w:cs="Arial"/>
                      <w:color w:val="auto"/>
                      <w:sz w:val="22"/>
                      <w:szCs w:val="22"/>
                    </w:rPr>
                    <w:t>43</w:t>
                  </w:r>
                </w:p>
              </w:tc>
            </w:tr>
            <w:tr w:rsidR="006E25C7" w:rsidRPr="006E25C7" w14:paraId="13957FCB" w14:textId="77777777" w:rsidTr="00642E60">
              <w:trPr>
                <w:trHeight w:val="560"/>
                <w:jc w:val="center"/>
              </w:trPr>
              <w:tc>
                <w:tcPr>
                  <w:tcW w:w="760" w:type="dxa"/>
                  <w:tcBorders>
                    <w:top w:val="nil"/>
                    <w:left w:val="single" w:sz="4" w:space="0" w:color="auto"/>
                    <w:bottom w:val="single" w:sz="4" w:space="0" w:color="auto"/>
                    <w:right w:val="single" w:sz="4" w:space="0" w:color="auto"/>
                  </w:tcBorders>
                  <w:shd w:val="clear" w:color="auto" w:fill="auto"/>
                  <w:noWrap/>
                  <w:hideMark/>
                </w:tcPr>
                <w:p w14:paraId="578C17F2" w14:textId="77777777" w:rsidR="00642E60" w:rsidRPr="006E25C7" w:rsidRDefault="00642E60" w:rsidP="00642E60">
                  <w:pPr>
                    <w:keepNext w:val="0"/>
                    <w:spacing w:before="0"/>
                    <w:rPr>
                      <w:rFonts w:cs="Arial"/>
                      <w:color w:val="auto"/>
                      <w:sz w:val="22"/>
                      <w:szCs w:val="22"/>
                    </w:rPr>
                  </w:pPr>
                  <w:r w:rsidRPr="006E25C7">
                    <w:rPr>
                      <w:rFonts w:cs="Arial"/>
                      <w:color w:val="auto"/>
                      <w:sz w:val="22"/>
                      <w:szCs w:val="22"/>
                    </w:rPr>
                    <w:t>H1Hc</w:t>
                  </w:r>
                </w:p>
              </w:tc>
              <w:tc>
                <w:tcPr>
                  <w:tcW w:w="3660" w:type="dxa"/>
                  <w:tcBorders>
                    <w:top w:val="nil"/>
                    <w:left w:val="nil"/>
                    <w:bottom w:val="single" w:sz="4" w:space="0" w:color="auto"/>
                    <w:right w:val="single" w:sz="4" w:space="0" w:color="auto"/>
                  </w:tcBorders>
                  <w:shd w:val="clear" w:color="auto" w:fill="auto"/>
                  <w:hideMark/>
                </w:tcPr>
                <w:p w14:paraId="347F8677" w14:textId="77777777" w:rsidR="00642E60" w:rsidRPr="006E25C7" w:rsidRDefault="00642E60" w:rsidP="00642E60">
                  <w:pPr>
                    <w:keepNext w:val="0"/>
                    <w:spacing w:before="0"/>
                    <w:rPr>
                      <w:rFonts w:cs="Arial"/>
                      <w:color w:val="auto"/>
                      <w:sz w:val="22"/>
                      <w:szCs w:val="22"/>
                    </w:rPr>
                  </w:pPr>
                  <w:r w:rsidRPr="006E25C7">
                    <w:rPr>
                      <w:rFonts w:cs="Arial"/>
                      <w:color w:val="auto"/>
                      <w:sz w:val="22"/>
                      <w:szCs w:val="22"/>
                    </w:rPr>
                    <w:t>Land north of A611 / South of Broomhill Farm, Hucknall</w:t>
                  </w:r>
                </w:p>
              </w:tc>
              <w:tc>
                <w:tcPr>
                  <w:tcW w:w="1460" w:type="dxa"/>
                  <w:tcBorders>
                    <w:top w:val="nil"/>
                    <w:left w:val="nil"/>
                    <w:bottom w:val="single" w:sz="4" w:space="0" w:color="auto"/>
                    <w:right w:val="single" w:sz="4" w:space="0" w:color="auto"/>
                  </w:tcBorders>
                  <w:shd w:val="clear" w:color="auto" w:fill="auto"/>
                  <w:noWrap/>
                  <w:hideMark/>
                </w:tcPr>
                <w:p w14:paraId="1B565E1F" w14:textId="77777777" w:rsidR="00642E60" w:rsidRPr="006E25C7" w:rsidRDefault="00642E60" w:rsidP="00642E60">
                  <w:pPr>
                    <w:keepNext w:val="0"/>
                    <w:spacing w:before="0"/>
                    <w:jc w:val="center"/>
                    <w:rPr>
                      <w:rFonts w:cs="Arial"/>
                      <w:color w:val="auto"/>
                      <w:sz w:val="22"/>
                      <w:szCs w:val="22"/>
                    </w:rPr>
                  </w:pPr>
                  <w:r w:rsidRPr="006E25C7">
                    <w:rPr>
                      <w:rFonts w:cs="Arial"/>
                      <w:color w:val="auto"/>
                      <w:sz w:val="22"/>
                      <w:szCs w:val="22"/>
                    </w:rPr>
                    <w:t>G</w:t>
                  </w:r>
                </w:p>
              </w:tc>
              <w:tc>
                <w:tcPr>
                  <w:tcW w:w="1600" w:type="dxa"/>
                  <w:tcBorders>
                    <w:top w:val="nil"/>
                    <w:left w:val="nil"/>
                    <w:bottom w:val="single" w:sz="4" w:space="0" w:color="auto"/>
                    <w:right w:val="single" w:sz="4" w:space="0" w:color="auto"/>
                  </w:tcBorders>
                  <w:shd w:val="clear" w:color="auto" w:fill="auto"/>
                  <w:noWrap/>
                  <w:hideMark/>
                </w:tcPr>
                <w:p w14:paraId="5B658B66" w14:textId="77777777" w:rsidR="00642E60" w:rsidRPr="006E25C7" w:rsidRDefault="00642E60" w:rsidP="00642E60">
                  <w:pPr>
                    <w:keepNext w:val="0"/>
                    <w:spacing w:before="0"/>
                    <w:jc w:val="center"/>
                    <w:rPr>
                      <w:rFonts w:cs="Arial"/>
                      <w:color w:val="auto"/>
                      <w:sz w:val="22"/>
                      <w:szCs w:val="22"/>
                    </w:rPr>
                  </w:pPr>
                  <w:r w:rsidRPr="006E25C7">
                    <w:rPr>
                      <w:rFonts w:cs="Arial"/>
                      <w:color w:val="auto"/>
                      <w:sz w:val="22"/>
                      <w:szCs w:val="22"/>
                    </w:rPr>
                    <w:t>No</w:t>
                  </w:r>
                </w:p>
              </w:tc>
              <w:tc>
                <w:tcPr>
                  <w:tcW w:w="1220" w:type="dxa"/>
                  <w:tcBorders>
                    <w:top w:val="nil"/>
                    <w:left w:val="nil"/>
                    <w:bottom w:val="single" w:sz="4" w:space="0" w:color="auto"/>
                    <w:right w:val="single" w:sz="4" w:space="0" w:color="auto"/>
                  </w:tcBorders>
                  <w:shd w:val="clear" w:color="auto" w:fill="auto"/>
                  <w:noWrap/>
                  <w:hideMark/>
                </w:tcPr>
                <w:p w14:paraId="61A1B479" w14:textId="08540695" w:rsidR="00642E60" w:rsidRPr="006E25C7" w:rsidRDefault="00582E38" w:rsidP="00642E60">
                  <w:pPr>
                    <w:keepNext w:val="0"/>
                    <w:spacing w:before="0"/>
                    <w:jc w:val="right"/>
                    <w:rPr>
                      <w:rFonts w:cs="Arial"/>
                      <w:color w:val="auto"/>
                      <w:sz w:val="22"/>
                      <w:szCs w:val="22"/>
                    </w:rPr>
                  </w:pPr>
                  <w:r w:rsidRPr="006E25C7">
                    <w:rPr>
                      <w:rFonts w:cs="Arial"/>
                      <w:color w:val="auto"/>
                      <w:sz w:val="22"/>
                      <w:szCs w:val="22"/>
                    </w:rPr>
                    <w:t>499</w:t>
                  </w:r>
                </w:p>
              </w:tc>
            </w:tr>
            <w:tr w:rsidR="006E25C7" w:rsidRPr="006E25C7" w14:paraId="13DD64DD" w14:textId="77777777" w:rsidTr="00642E60">
              <w:trPr>
                <w:trHeight w:val="560"/>
                <w:jc w:val="center"/>
              </w:trPr>
              <w:tc>
                <w:tcPr>
                  <w:tcW w:w="760" w:type="dxa"/>
                  <w:tcBorders>
                    <w:top w:val="nil"/>
                    <w:left w:val="single" w:sz="4" w:space="0" w:color="auto"/>
                    <w:bottom w:val="single" w:sz="4" w:space="0" w:color="auto"/>
                    <w:right w:val="single" w:sz="4" w:space="0" w:color="auto"/>
                  </w:tcBorders>
                  <w:shd w:val="clear" w:color="auto" w:fill="auto"/>
                  <w:noWrap/>
                  <w:hideMark/>
                </w:tcPr>
                <w:p w14:paraId="69544F8F" w14:textId="77777777" w:rsidR="00642E60" w:rsidRPr="006E25C7" w:rsidRDefault="00642E60" w:rsidP="00642E60">
                  <w:pPr>
                    <w:keepNext w:val="0"/>
                    <w:spacing w:before="0"/>
                    <w:rPr>
                      <w:rFonts w:cs="Arial"/>
                      <w:color w:val="auto"/>
                      <w:sz w:val="22"/>
                      <w:szCs w:val="22"/>
                    </w:rPr>
                  </w:pPr>
                  <w:r w:rsidRPr="006E25C7">
                    <w:rPr>
                      <w:rFonts w:cs="Arial"/>
                      <w:color w:val="auto"/>
                      <w:sz w:val="22"/>
                      <w:szCs w:val="22"/>
                    </w:rPr>
                    <w:t>H1Hd</w:t>
                  </w:r>
                </w:p>
              </w:tc>
              <w:tc>
                <w:tcPr>
                  <w:tcW w:w="3660" w:type="dxa"/>
                  <w:tcBorders>
                    <w:top w:val="nil"/>
                    <w:left w:val="nil"/>
                    <w:bottom w:val="single" w:sz="4" w:space="0" w:color="auto"/>
                    <w:right w:val="single" w:sz="4" w:space="0" w:color="auto"/>
                  </w:tcBorders>
                  <w:shd w:val="clear" w:color="auto" w:fill="auto"/>
                  <w:hideMark/>
                </w:tcPr>
                <w:p w14:paraId="627CFF5B" w14:textId="77777777" w:rsidR="00642E60" w:rsidRPr="006E25C7" w:rsidRDefault="00642E60" w:rsidP="00642E60">
                  <w:pPr>
                    <w:keepNext w:val="0"/>
                    <w:spacing w:before="0"/>
                    <w:rPr>
                      <w:rFonts w:cs="Arial"/>
                      <w:color w:val="auto"/>
                      <w:sz w:val="22"/>
                      <w:szCs w:val="22"/>
                    </w:rPr>
                  </w:pPr>
                  <w:r w:rsidRPr="006E25C7">
                    <w:rPr>
                      <w:rFonts w:cs="Arial"/>
                      <w:color w:val="auto"/>
                      <w:sz w:val="22"/>
                      <w:szCs w:val="22"/>
                    </w:rPr>
                    <w:t>Land adjoining Stubbing Wood Farm, Watnall Road, Hucknall</w:t>
                  </w:r>
                </w:p>
              </w:tc>
              <w:tc>
                <w:tcPr>
                  <w:tcW w:w="1460" w:type="dxa"/>
                  <w:tcBorders>
                    <w:top w:val="nil"/>
                    <w:left w:val="nil"/>
                    <w:bottom w:val="single" w:sz="4" w:space="0" w:color="auto"/>
                    <w:right w:val="single" w:sz="4" w:space="0" w:color="auto"/>
                  </w:tcBorders>
                  <w:shd w:val="clear" w:color="auto" w:fill="auto"/>
                  <w:noWrap/>
                  <w:hideMark/>
                </w:tcPr>
                <w:p w14:paraId="705D412A" w14:textId="77777777" w:rsidR="00642E60" w:rsidRPr="006E25C7" w:rsidRDefault="00642E60" w:rsidP="00642E60">
                  <w:pPr>
                    <w:keepNext w:val="0"/>
                    <w:spacing w:before="0"/>
                    <w:jc w:val="center"/>
                    <w:rPr>
                      <w:rFonts w:cs="Arial"/>
                      <w:color w:val="auto"/>
                      <w:sz w:val="22"/>
                      <w:szCs w:val="22"/>
                    </w:rPr>
                  </w:pPr>
                  <w:r w:rsidRPr="006E25C7">
                    <w:rPr>
                      <w:rFonts w:cs="Arial"/>
                      <w:color w:val="auto"/>
                      <w:sz w:val="22"/>
                      <w:szCs w:val="22"/>
                    </w:rPr>
                    <w:t>G</w:t>
                  </w:r>
                </w:p>
              </w:tc>
              <w:tc>
                <w:tcPr>
                  <w:tcW w:w="1600" w:type="dxa"/>
                  <w:tcBorders>
                    <w:top w:val="nil"/>
                    <w:left w:val="nil"/>
                    <w:bottom w:val="single" w:sz="4" w:space="0" w:color="auto"/>
                    <w:right w:val="single" w:sz="4" w:space="0" w:color="auto"/>
                  </w:tcBorders>
                  <w:shd w:val="clear" w:color="auto" w:fill="auto"/>
                  <w:noWrap/>
                  <w:hideMark/>
                </w:tcPr>
                <w:p w14:paraId="4499D2CE" w14:textId="77777777" w:rsidR="00642E60" w:rsidRPr="006E25C7" w:rsidRDefault="00642E60" w:rsidP="00642E60">
                  <w:pPr>
                    <w:keepNext w:val="0"/>
                    <w:spacing w:before="0"/>
                    <w:jc w:val="center"/>
                    <w:rPr>
                      <w:rFonts w:cs="Arial"/>
                      <w:color w:val="auto"/>
                      <w:sz w:val="22"/>
                      <w:szCs w:val="22"/>
                    </w:rPr>
                  </w:pPr>
                  <w:r w:rsidRPr="006E25C7">
                    <w:rPr>
                      <w:rFonts w:cs="Arial"/>
                      <w:color w:val="auto"/>
                      <w:sz w:val="22"/>
                      <w:szCs w:val="22"/>
                    </w:rPr>
                    <w:t>No</w:t>
                  </w:r>
                </w:p>
              </w:tc>
              <w:tc>
                <w:tcPr>
                  <w:tcW w:w="1220" w:type="dxa"/>
                  <w:tcBorders>
                    <w:top w:val="nil"/>
                    <w:left w:val="nil"/>
                    <w:bottom w:val="single" w:sz="4" w:space="0" w:color="auto"/>
                    <w:right w:val="single" w:sz="4" w:space="0" w:color="auto"/>
                  </w:tcBorders>
                  <w:shd w:val="clear" w:color="auto" w:fill="auto"/>
                  <w:noWrap/>
                  <w:hideMark/>
                </w:tcPr>
                <w:p w14:paraId="5C390E10" w14:textId="77777777" w:rsidR="00642E60" w:rsidRPr="006E25C7" w:rsidRDefault="00642E60" w:rsidP="00642E60">
                  <w:pPr>
                    <w:keepNext w:val="0"/>
                    <w:spacing w:before="0"/>
                    <w:jc w:val="right"/>
                    <w:rPr>
                      <w:rFonts w:cs="Arial"/>
                      <w:color w:val="auto"/>
                      <w:sz w:val="22"/>
                      <w:szCs w:val="22"/>
                    </w:rPr>
                  </w:pPr>
                  <w:r w:rsidRPr="006E25C7">
                    <w:rPr>
                      <w:rFonts w:cs="Arial"/>
                      <w:color w:val="auto"/>
                      <w:sz w:val="22"/>
                      <w:szCs w:val="22"/>
                    </w:rPr>
                    <w:t>198</w:t>
                  </w:r>
                </w:p>
              </w:tc>
            </w:tr>
            <w:tr w:rsidR="006E25C7" w:rsidRPr="006E25C7" w14:paraId="0D85DECE" w14:textId="77777777" w:rsidTr="00642E60">
              <w:trPr>
                <w:trHeight w:val="560"/>
                <w:jc w:val="center"/>
              </w:trPr>
              <w:tc>
                <w:tcPr>
                  <w:tcW w:w="760" w:type="dxa"/>
                  <w:tcBorders>
                    <w:top w:val="nil"/>
                    <w:left w:val="single" w:sz="4" w:space="0" w:color="auto"/>
                    <w:bottom w:val="single" w:sz="4" w:space="0" w:color="auto"/>
                    <w:right w:val="single" w:sz="4" w:space="0" w:color="auto"/>
                  </w:tcBorders>
                  <w:shd w:val="clear" w:color="auto" w:fill="auto"/>
                  <w:noWrap/>
                  <w:hideMark/>
                </w:tcPr>
                <w:p w14:paraId="2F733F17" w14:textId="77777777" w:rsidR="00642E60" w:rsidRPr="006E25C7" w:rsidRDefault="00642E60" w:rsidP="00642E60">
                  <w:pPr>
                    <w:keepNext w:val="0"/>
                    <w:spacing w:before="0"/>
                    <w:rPr>
                      <w:rFonts w:cs="Arial"/>
                      <w:color w:val="auto"/>
                      <w:sz w:val="22"/>
                      <w:szCs w:val="22"/>
                    </w:rPr>
                  </w:pPr>
                  <w:r w:rsidRPr="006E25C7">
                    <w:rPr>
                      <w:rFonts w:cs="Arial"/>
                      <w:color w:val="auto"/>
                      <w:sz w:val="22"/>
                      <w:szCs w:val="22"/>
                    </w:rPr>
                    <w:t>H1He</w:t>
                  </w:r>
                </w:p>
              </w:tc>
              <w:tc>
                <w:tcPr>
                  <w:tcW w:w="3660" w:type="dxa"/>
                  <w:tcBorders>
                    <w:top w:val="nil"/>
                    <w:left w:val="nil"/>
                    <w:bottom w:val="single" w:sz="4" w:space="0" w:color="auto"/>
                    <w:right w:val="single" w:sz="4" w:space="0" w:color="auto"/>
                  </w:tcBorders>
                  <w:shd w:val="clear" w:color="auto" w:fill="auto"/>
                  <w:hideMark/>
                </w:tcPr>
                <w:p w14:paraId="73480FCC" w14:textId="77777777" w:rsidR="00642E60" w:rsidRPr="006E25C7" w:rsidRDefault="00642E60" w:rsidP="00642E60">
                  <w:pPr>
                    <w:keepNext w:val="0"/>
                    <w:spacing w:before="0"/>
                    <w:rPr>
                      <w:rFonts w:cs="Arial"/>
                      <w:color w:val="auto"/>
                      <w:sz w:val="22"/>
                      <w:szCs w:val="22"/>
                    </w:rPr>
                  </w:pPr>
                  <w:r w:rsidRPr="006E25C7">
                    <w:rPr>
                      <w:rFonts w:cs="Arial"/>
                      <w:color w:val="auto"/>
                      <w:sz w:val="22"/>
                      <w:szCs w:val="22"/>
                    </w:rPr>
                    <w:t>Phase 5b, land at Rolls Royce, Watnall Road, Hucknall</w:t>
                  </w:r>
                </w:p>
              </w:tc>
              <w:tc>
                <w:tcPr>
                  <w:tcW w:w="1460" w:type="dxa"/>
                  <w:tcBorders>
                    <w:top w:val="nil"/>
                    <w:left w:val="nil"/>
                    <w:bottom w:val="single" w:sz="4" w:space="0" w:color="auto"/>
                    <w:right w:val="single" w:sz="4" w:space="0" w:color="auto"/>
                  </w:tcBorders>
                  <w:shd w:val="clear" w:color="auto" w:fill="auto"/>
                  <w:noWrap/>
                  <w:hideMark/>
                </w:tcPr>
                <w:p w14:paraId="2E92F906" w14:textId="77777777" w:rsidR="00642E60" w:rsidRPr="006E25C7" w:rsidRDefault="00642E60" w:rsidP="00642E60">
                  <w:pPr>
                    <w:keepNext w:val="0"/>
                    <w:spacing w:before="0"/>
                    <w:jc w:val="center"/>
                    <w:rPr>
                      <w:rFonts w:cs="Arial"/>
                      <w:color w:val="auto"/>
                      <w:sz w:val="22"/>
                      <w:szCs w:val="22"/>
                    </w:rPr>
                  </w:pPr>
                  <w:r w:rsidRPr="006E25C7">
                    <w:rPr>
                      <w:rFonts w:cs="Arial"/>
                      <w:color w:val="auto"/>
                      <w:sz w:val="22"/>
                      <w:szCs w:val="22"/>
                    </w:rPr>
                    <w:t>B</w:t>
                  </w:r>
                </w:p>
              </w:tc>
              <w:tc>
                <w:tcPr>
                  <w:tcW w:w="1600" w:type="dxa"/>
                  <w:tcBorders>
                    <w:top w:val="nil"/>
                    <w:left w:val="nil"/>
                    <w:bottom w:val="single" w:sz="4" w:space="0" w:color="auto"/>
                    <w:right w:val="single" w:sz="4" w:space="0" w:color="auto"/>
                  </w:tcBorders>
                  <w:shd w:val="clear" w:color="auto" w:fill="auto"/>
                  <w:noWrap/>
                  <w:hideMark/>
                </w:tcPr>
                <w:p w14:paraId="57683505" w14:textId="77777777" w:rsidR="00642E60" w:rsidRPr="006E25C7" w:rsidRDefault="00642E60" w:rsidP="00642E60">
                  <w:pPr>
                    <w:keepNext w:val="0"/>
                    <w:spacing w:before="0"/>
                    <w:jc w:val="center"/>
                    <w:rPr>
                      <w:rFonts w:cs="Arial"/>
                      <w:color w:val="auto"/>
                      <w:sz w:val="22"/>
                      <w:szCs w:val="22"/>
                    </w:rPr>
                  </w:pPr>
                  <w:r w:rsidRPr="006E25C7">
                    <w:rPr>
                      <w:rFonts w:cs="Arial"/>
                      <w:color w:val="auto"/>
                      <w:sz w:val="22"/>
                      <w:szCs w:val="22"/>
                    </w:rPr>
                    <w:t>Yes</w:t>
                  </w:r>
                </w:p>
              </w:tc>
              <w:tc>
                <w:tcPr>
                  <w:tcW w:w="1220" w:type="dxa"/>
                  <w:tcBorders>
                    <w:top w:val="nil"/>
                    <w:left w:val="nil"/>
                    <w:bottom w:val="single" w:sz="4" w:space="0" w:color="auto"/>
                    <w:right w:val="single" w:sz="4" w:space="0" w:color="auto"/>
                  </w:tcBorders>
                  <w:shd w:val="clear" w:color="auto" w:fill="auto"/>
                  <w:noWrap/>
                  <w:hideMark/>
                </w:tcPr>
                <w:p w14:paraId="53C6D27D" w14:textId="1AD67230" w:rsidR="00642E60" w:rsidRPr="006E25C7" w:rsidRDefault="00642E60" w:rsidP="00642E60">
                  <w:pPr>
                    <w:keepNext w:val="0"/>
                    <w:spacing w:before="0"/>
                    <w:jc w:val="right"/>
                    <w:rPr>
                      <w:rFonts w:cs="Arial"/>
                      <w:color w:val="auto"/>
                      <w:sz w:val="22"/>
                      <w:szCs w:val="22"/>
                    </w:rPr>
                  </w:pPr>
                  <w:r w:rsidRPr="006E25C7">
                    <w:rPr>
                      <w:rFonts w:cs="Arial"/>
                      <w:color w:val="auto"/>
                      <w:sz w:val="22"/>
                      <w:szCs w:val="22"/>
                    </w:rPr>
                    <w:t>1</w:t>
                  </w:r>
                  <w:r w:rsidR="00AF04D2" w:rsidRPr="006E25C7">
                    <w:rPr>
                      <w:rFonts w:cs="Arial"/>
                      <w:color w:val="auto"/>
                      <w:sz w:val="22"/>
                      <w:szCs w:val="22"/>
                    </w:rPr>
                    <w:t>50</w:t>
                  </w:r>
                </w:p>
              </w:tc>
            </w:tr>
            <w:tr w:rsidR="006E25C7" w:rsidRPr="006E25C7" w14:paraId="5D0D5491" w14:textId="77777777" w:rsidTr="00642E60">
              <w:trPr>
                <w:trHeight w:val="560"/>
                <w:jc w:val="center"/>
              </w:trPr>
              <w:tc>
                <w:tcPr>
                  <w:tcW w:w="760" w:type="dxa"/>
                  <w:tcBorders>
                    <w:top w:val="nil"/>
                    <w:left w:val="single" w:sz="4" w:space="0" w:color="auto"/>
                    <w:bottom w:val="single" w:sz="4" w:space="0" w:color="auto"/>
                    <w:right w:val="single" w:sz="4" w:space="0" w:color="auto"/>
                  </w:tcBorders>
                  <w:shd w:val="clear" w:color="auto" w:fill="auto"/>
                  <w:noWrap/>
                  <w:hideMark/>
                </w:tcPr>
                <w:p w14:paraId="63C12CB2" w14:textId="77777777" w:rsidR="00642E60" w:rsidRPr="006E25C7" w:rsidRDefault="00642E60" w:rsidP="00642E60">
                  <w:pPr>
                    <w:keepNext w:val="0"/>
                    <w:spacing w:before="0"/>
                    <w:rPr>
                      <w:rFonts w:cs="Arial"/>
                      <w:color w:val="auto"/>
                      <w:sz w:val="22"/>
                      <w:szCs w:val="22"/>
                    </w:rPr>
                  </w:pPr>
                  <w:r w:rsidRPr="006E25C7">
                    <w:rPr>
                      <w:rFonts w:cs="Arial"/>
                      <w:color w:val="auto"/>
                      <w:sz w:val="22"/>
                      <w:szCs w:val="22"/>
                    </w:rPr>
                    <w:t>H1Hf</w:t>
                  </w:r>
                </w:p>
              </w:tc>
              <w:tc>
                <w:tcPr>
                  <w:tcW w:w="3660" w:type="dxa"/>
                  <w:tcBorders>
                    <w:top w:val="nil"/>
                    <w:left w:val="nil"/>
                    <w:bottom w:val="single" w:sz="4" w:space="0" w:color="auto"/>
                    <w:right w:val="single" w:sz="4" w:space="0" w:color="auto"/>
                  </w:tcBorders>
                  <w:shd w:val="clear" w:color="auto" w:fill="auto"/>
                  <w:hideMark/>
                </w:tcPr>
                <w:p w14:paraId="04DC9AC9" w14:textId="77777777" w:rsidR="00642E60" w:rsidRPr="006E25C7" w:rsidRDefault="00642E60" w:rsidP="00642E60">
                  <w:pPr>
                    <w:keepNext w:val="0"/>
                    <w:spacing w:before="0"/>
                    <w:rPr>
                      <w:rFonts w:cs="Arial"/>
                      <w:color w:val="auto"/>
                      <w:sz w:val="22"/>
                      <w:szCs w:val="22"/>
                    </w:rPr>
                  </w:pPr>
                  <w:r w:rsidRPr="006E25C7">
                    <w:rPr>
                      <w:rFonts w:cs="Arial"/>
                      <w:color w:val="auto"/>
                      <w:sz w:val="22"/>
                      <w:szCs w:val="22"/>
                    </w:rPr>
                    <w:t>Phase 9, land at Rolls Royce, Watnall Road, Hucknall</w:t>
                  </w:r>
                </w:p>
              </w:tc>
              <w:tc>
                <w:tcPr>
                  <w:tcW w:w="1460" w:type="dxa"/>
                  <w:tcBorders>
                    <w:top w:val="nil"/>
                    <w:left w:val="nil"/>
                    <w:bottom w:val="single" w:sz="4" w:space="0" w:color="auto"/>
                    <w:right w:val="single" w:sz="4" w:space="0" w:color="auto"/>
                  </w:tcBorders>
                  <w:shd w:val="clear" w:color="auto" w:fill="auto"/>
                  <w:noWrap/>
                  <w:hideMark/>
                </w:tcPr>
                <w:p w14:paraId="1E2AB6A3" w14:textId="77777777" w:rsidR="00642E60" w:rsidRPr="006E25C7" w:rsidRDefault="00642E60" w:rsidP="00642E60">
                  <w:pPr>
                    <w:keepNext w:val="0"/>
                    <w:spacing w:before="0"/>
                    <w:jc w:val="center"/>
                    <w:rPr>
                      <w:rFonts w:cs="Arial"/>
                      <w:color w:val="auto"/>
                      <w:sz w:val="22"/>
                      <w:szCs w:val="22"/>
                    </w:rPr>
                  </w:pPr>
                  <w:r w:rsidRPr="006E25C7">
                    <w:rPr>
                      <w:rFonts w:cs="Arial"/>
                      <w:color w:val="auto"/>
                      <w:sz w:val="22"/>
                      <w:szCs w:val="22"/>
                    </w:rPr>
                    <w:t>B</w:t>
                  </w:r>
                </w:p>
              </w:tc>
              <w:tc>
                <w:tcPr>
                  <w:tcW w:w="1600" w:type="dxa"/>
                  <w:tcBorders>
                    <w:top w:val="nil"/>
                    <w:left w:val="nil"/>
                    <w:bottom w:val="single" w:sz="4" w:space="0" w:color="auto"/>
                    <w:right w:val="single" w:sz="4" w:space="0" w:color="auto"/>
                  </w:tcBorders>
                  <w:shd w:val="clear" w:color="auto" w:fill="auto"/>
                  <w:noWrap/>
                  <w:hideMark/>
                </w:tcPr>
                <w:p w14:paraId="67AD45BB" w14:textId="77777777" w:rsidR="00642E60" w:rsidRPr="006E25C7" w:rsidRDefault="00642E60" w:rsidP="00642E60">
                  <w:pPr>
                    <w:keepNext w:val="0"/>
                    <w:spacing w:before="0"/>
                    <w:jc w:val="center"/>
                    <w:rPr>
                      <w:rFonts w:cs="Arial"/>
                      <w:color w:val="auto"/>
                      <w:sz w:val="22"/>
                      <w:szCs w:val="22"/>
                    </w:rPr>
                  </w:pPr>
                  <w:r w:rsidRPr="006E25C7">
                    <w:rPr>
                      <w:rFonts w:cs="Arial"/>
                      <w:color w:val="auto"/>
                      <w:sz w:val="22"/>
                      <w:szCs w:val="22"/>
                    </w:rPr>
                    <w:t>Yes</w:t>
                  </w:r>
                </w:p>
              </w:tc>
              <w:tc>
                <w:tcPr>
                  <w:tcW w:w="1220" w:type="dxa"/>
                  <w:tcBorders>
                    <w:top w:val="nil"/>
                    <w:left w:val="nil"/>
                    <w:bottom w:val="single" w:sz="4" w:space="0" w:color="auto"/>
                    <w:right w:val="single" w:sz="4" w:space="0" w:color="auto"/>
                  </w:tcBorders>
                  <w:shd w:val="clear" w:color="auto" w:fill="auto"/>
                  <w:noWrap/>
                  <w:hideMark/>
                </w:tcPr>
                <w:p w14:paraId="7D5911D0" w14:textId="42EDE407" w:rsidR="00642E60" w:rsidRPr="006E25C7" w:rsidRDefault="00642E60" w:rsidP="00642E60">
                  <w:pPr>
                    <w:keepNext w:val="0"/>
                    <w:spacing w:before="0"/>
                    <w:jc w:val="right"/>
                    <w:rPr>
                      <w:rFonts w:cs="Arial"/>
                      <w:color w:val="auto"/>
                      <w:sz w:val="22"/>
                      <w:szCs w:val="22"/>
                    </w:rPr>
                  </w:pPr>
                  <w:r w:rsidRPr="006E25C7">
                    <w:rPr>
                      <w:rFonts w:cs="Arial"/>
                      <w:color w:val="auto"/>
                      <w:sz w:val="22"/>
                      <w:szCs w:val="22"/>
                    </w:rPr>
                    <w:t>1</w:t>
                  </w:r>
                  <w:r w:rsidR="00AF04D2" w:rsidRPr="006E25C7">
                    <w:rPr>
                      <w:rFonts w:cs="Arial"/>
                      <w:color w:val="auto"/>
                      <w:sz w:val="22"/>
                      <w:szCs w:val="22"/>
                    </w:rPr>
                    <w:t>01</w:t>
                  </w:r>
                </w:p>
              </w:tc>
            </w:tr>
            <w:tr w:rsidR="006E25C7" w:rsidRPr="006E25C7" w14:paraId="43F02DA5" w14:textId="77777777" w:rsidTr="00642E60">
              <w:trPr>
                <w:trHeight w:val="560"/>
                <w:jc w:val="center"/>
              </w:trPr>
              <w:tc>
                <w:tcPr>
                  <w:tcW w:w="760" w:type="dxa"/>
                  <w:tcBorders>
                    <w:top w:val="nil"/>
                    <w:left w:val="single" w:sz="4" w:space="0" w:color="auto"/>
                    <w:bottom w:val="single" w:sz="4" w:space="0" w:color="auto"/>
                    <w:right w:val="single" w:sz="4" w:space="0" w:color="auto"/>
                  </w:tcBorders>
                  <w:shd w:val="clear" w:color="auto" w:fill="auto"/>
                  <w:noWrap/>
                  <w:hideMark/>
                </w:tcPr>
                <w:p w14:paraId="63723031" w14:textId="77777777" w:rsidR="00642E60" w:rsidRPr="006E25C7" w:rsidRDefault="00642E60" w:rsidP="00642E60">
                  <w:pPr>
                    <w:keepNext w:val="0"/>
                    <w:spacing w:before="0"/>
                    <w:rPr>
                      <w:rFonts w:cs="Arial"/>
                      <w:color w:val="auto"/>
                      <w:sz w:val="22"/>
                      <w:szCs w:val="22"/>
                    </w:rPr>
                  </w:pPr>
                  <w:r w:rsidRPr="006E25C7">
                    <w:rPr>
                      <w:rFonts w:cs="Arial"/>
                      <w:color w:val="auto"/>
                      <w:sz w:val="22"/>
                      <w:szCs w:val="22"/>
                    </w:rPr>
                    <w:t>H1Hg</w:t>
                  </w:r>
                </w:p>
              </w:tc>
              <w:tc>
                <w:tcPr>
                  <w:tcW w:w="3660" w:type="dxa"/>
                  <w:tcBorders>
                    <w:top w:val="nil"/>
                    <w:left w:val="nil"/>
                    <w:bottom w:val="single" w:sz="4" w:space="0" w:color="auto"/>
                    <w:right w:val="single" w:sz="4" w:space="0" w:color="auto"/>
                  </w:tcBorders>
                  <w:shd w:val="clear" w:color="auto" w:fill="auto"/>
                  <w:hideMark/>
                </w:tcPr>
                <w:p w14:paraId="2EAFA8C2" w14:textId="77777777" w:rsidR="00642E60" w:rsidRPr="006E25C7" w:rsidRDefault="00642E60" w:rsidP="00642E60">
                  <w:pPr>
                    <w:keepNext w:val="0"/>
                    <w:spacing w:before="0"/>
                    <w:rPr>
                      <w:rFonts w:cs="Arial"/>
                      <w:color w:val="auto"/>
                      <w:sz w:val="22"/>
                      <w:szCs w:val="22"/>
                    </w:rPr>
                  </w:pPr>
                  <w:r w:rsidRPr="006E25C7">
                    <w:rPr>
                      <w:rFonts w:cs="Arial"/>
                      <w:color w:val="auto"/>
                      <w:sz w:val="22"/>
                      <w:szCs w:val="22"/>
                    </w:rPr>
                    <w:t>Hucknall Town football Club, Watnall Road</w:t>
                  </w:r>
                </w:p>
              </w:tc>
              <w:tc>
                <w:tcPr>
                  <w:tcW w:w="1460" w:type="dxa"/>
                  <w:tcBorders>
                    <w:top w:val="nil"/>
                    <w:left w:val="nil"/>
                    <w:bottom w:val="single" w:sz="4" w:space="0" w:color="auto"/>
                    <w:right w:val="single" w:sz="4" w:space="0" w:color="auto"/>
                  </w:tcBorders>
                  <w:shd w:val="clear" w:color="auto" w:fill="auto"/>
                  <w:noWrap/>
                  <w:hideMark/>
                </w:tcPr>
                <w:p w14:paraId="23E9F5F7" w14:textId="77777777" w:rsidR="00642E60" w:rsidRPr="006E25C7" w:rsidRDefault="00642E60" w:rsidP="00642E60">
                  <w:pPr>
                    <w:keepNext w:val="0"/>
                    <w:spacing w:before="0"/>
                    <w:jc w:val="center"/>
                    <w:rPr>
                      <w:rFonts w:cs="Arial"/>
                      <w:color w:val="auto"/>
                      <w:sz w:val="22"/>
                      <w:szCs w:val="22"/>
                    </w:rPr>
                  </w:pPr>
                  <w:r w:rsidRPr="006E25C7">
                    <w:rPr>
                      <w:rFonts w:cs="Arial"/>
                      <w:color w:val="auto"/>
                      <w:sz w:val="22"/>
                      <w:szCs w:val="22"/>
                    </w:rPr>
                    <w:t>G</w:t>
                  </w:r>
                </w:p>
              </w:tc>
              <w:tc>
                <w:tcPr>
                  <w:tcW w:w="1600" w:type="dxa"/>
                  <w:tcBorders>
                    <w:top w:val="nil"/>
                    <w:left w:val="nil"/>
                    <w:bottom w:val="single" w:sz="4" w:space="0" w:color="auto"/>
                    <w:right w:val="single" w:sz="4" w:space="0" w:color="auto"/>
                  </w:tcBorders>
                  <w:shd w:val="clear" w:color="auto" w:fill="auto"/>
                  <w:noWrap/>
                  <w:hideMark/>
                </w:tcPr>
                <w:p w14:paraId="618DD640" w14:textId="77777777" w:rsidR="00642E60" w:rsidRPr="006E25C7" w:rsidRDefault="00642E60" w:rsidP="00642E60">
                  <w:pPr>
                    <w:keepNext w:val="0"/>
                    <w:spacing w:before="0"/>
                    <w:jc w:val="center"/>
                    <w:rPr>
                      <w:rFonts w:cs="Arial"/>
                      <w:color w:val="auto"/>
                      <w:sz w:val="22"/>
                      <w:szCs w:val="22"/>
                    </w:rPr>
                  </w:pPr>
                  <w:r w:rsidRPr="006E25C7">
                    <w:rPr>
                      <w:rFonts w:cs="Arial"/>
                      <w:color w:val="auto"/>
                      <w:sz w:val="22"/>
                      <w:szCs w:val="22"/>
                    </w:rPr>
                    <w:t>Yes</w:t>
                  </w:r>
                </w:p>
              </w:tc>
              <w:tc>
                <w:tcPr>
                  <w:tcW w:w="1220" w:type="dxa"/>
                  <w:tcBorders>
                    <w:top w:val="nil"/>
                    <w:left w:val="nil"/>
                    <w:bottom w:val="single" w:sz="4" w:space="0" w:color="auto"/>
                    <w:right w:val="single" w:sz="4" w:space="0" w:color="auto"/>
                  </w:tcBorders>
                  <w:shd w:val="clear" w:color="auto" w:fill="auto"/>
                  <w:noWrap/>
                  <w:hideMark/>
                </w:tcPr>
                <w:p w14:paraId="19614712" w14:textId="77777777" w:rsidR="00642E60" w:rsidRPr="006E25C7" w:rsidRDefault="00642E60" w:rsidP="00642E60">
                  <w:pPr>
                    <w:keepNext w:val="0"/>
                    <w:spacing w:before="0"/>
                    <w:jc w:val="right"/>
                    <w:rPr>
                      <w:rFonts w:cs="Arial"/>
                      <w:color w:val="auto"/>
                      <w:sz w:val="22"/>
                      <w:szCs w:val="22"/>
                    </w:rPr>
                  </w:pPr>
                  <w:r w:rsidRPr="006E25C7">
                    <w:rPr>
                      <w:rFonts w:cs="Arial"/>
                      <w:color w:val="auto"/>
                      <w:sz w:val="22"/>
                      <w:szCs w:val="22"/>
                    </w:rPr>
                    <w:t>82</w:t>
                  </w:r>
                </w:p>
              </w:tc>
            </w:tr>
            <w:tr w:rsidR="006E25C7" w:rsidRPr="006E25C7" w14:paraId="7A894AAF" w14:textId="77777777" w:rsidTr="00642E60">
              <w:trPr>
                <w:trHeight w:val="560"/>
                <w:jc w:val="center"/>
              </w:trPr>
              <w:tc>
                <w:tcPr>
                  <w:tcW w:w="760" w:type="dxa"/>
                  <w:tcBorders>
                    <w:top w:val="nil"/>
                    <w:left w:val="single" w:sz="4" w:space="0" w:color="auto"/>
                    <w:bottom w:val="single" w:sz="4" w:space="0" w:color="auto"/>
                    <w:right w:val="single" w:sz="4" w:space="0" w:color="auto"/>
                  </w:tcBorders>
                  <w:shd w:val="clear" w:color="auto" w:fill="auto"/>
                  <w:noWrap/>
                  <w:hideMark/>
                </w:tcPr>
                <w:p w14:paraId="7013DDF1" w14:textId="77777777" w:rsidR="00642E60" w:rsidRPr="006E25C7" w:rsidRDefault="00642E60" w:rsidP="00642E60">
                  <w:pPr>
                    <w:keepNext w:val="0"/>
                    <w:spacing w:before="0"/>
                    <w:rPr>
                      <w:rFonts w:cs="Arial"/>
                      <w:color w:val="auto"/>
                      <w:sz w:val="22"/>
                      <w:szCs w:val="22"/>
                    </w:rPr>
                  </w:pPr>
                  <w:r w:rsidRPr="006E25C7">
                    <w:rPr>
                      <w:rFonts w:cs="Arial"/>
                      <w:color w:val="auto"/>
                      <w:sz w:val="22"/>
                      <w:szCs w:val="22"/>
                    </w:rPr>
                    <w:t>H1Hl</w:t>
                  </w:r>
                </w:p>
              </w:tc>
              <w:tc>
                <w:tcPr>
                  <w:tcW w:w="3660" w:type="dxa"/>
                  <w:tcBorders>
                    <w:top w:val="nil"/>
                    <w:left w:val="nil"/>
                    <w:bottom w:val="single" w:sz="4" w:space="0" w:color="auto"/>
                    <w:right w:val="single" w:sz="4" w:space="0" w:color="auto"/>
                  </w:tcBorders>
                  <w:shd w:val="clear" w:color="auto" w:fill="auto"/>
                  <w:hideMark/>
                </w:tcPr>
                <w:p w14:paraId="45365FEF" w14:textId="77777777" w:rsidR="00642E60" w:rsidRPr="006E25C7" w:rsidRDefault="00642E60" w:rsidP="00642E60">
                  <w:pPr>
                    <w:keepNext w:val="0"/>
                    <w:spacing w:before="0"/>
                    <w:rPr>
                      <w:rFonts w:cs="Arial"/>
                      <w:color w:val="auto"/>
                      <w:sz w:val="22"/>
                      <w:szCs w:val="22"/>
                    </w:rPr>
                  </w:pPr>
                  <w:r w:rsidRPr="006E25C7">
                    <w:rPr>
                      <w:rFonts w:cs="Arial"/>
                      <w:color w:val="auto"/>
                      <w:sz w:val="22"/>
                      <w:szCs w:val="22"/>
                    </w:rPr>
                    <w:t>Land at, Shepherd Street (Rolls Royce site)</w:t>
                  </w:r>
                </w:p>
              </w:tc>
              <w:tc>
                <w:tcPr>
                  <w:tcW w:w="1460" w:type="dxa"/>
                  <w:tcBorders>
                    <w:top w:val="nil"/>
                    <w:left w:val="nil"/>
                    <w:bottom w:val="single" w:sz="4" w:space="0" w:color="auto"/>
                    <w:right w:val="single" w:sz="4" w:space="0" w:color="auto"/>
                  </w:tcBorders>
                  <w:shd w:val="clear" w:color="auto" w:fill="auto"/>
                  <w:noWrap/>
                  <w:hideMark/>
                </w:tcPr>
                <w:p w14:paraId="520B378E" w14:textId="77777777" w:rsidR="00642E60" w:rsidRPr="006E25C7" w:rsidRDefault="00642E60" w:rsidP="00642E60">
                  <w:pPr>
                    <w:keepNext w:val="0"/>
                    <w:spacing w:before="0"/>
                    <w:jc w:val="center"/>
                    <w:rPr>
                      <w:rFonts w:cs="Arial"/>
                      <w:color w:val="auto"/>
                      <w:sz w:val="22"/>
                      <w:szCs w:val="22"/>
                    </w:rPr>
                  </w:pPr>
                  <w:r w:rsidRPr="006E25C7">
                    <w:rPr>
                      <w:rFonts w:cs="Arial"/>
                      <w:color w:val="auto"/>
                      <w:sz w:val="22"/>
                      <w:szCs w:val="22"/>
                    </w:rPr>
                    <w:t>B</w:t>
                  </w:r>
                </w:p>
              </w:tc>
              <w:tc>
                <w:tcPr>
                  <w:tcW w:w="1600" w:type="dxa"/>
                  <w:tcBorders>
                    <w:top w:val="nil"/>
                    <w:left w:val="nil"/>
                    <w:bottom w:val="single" w:sz="4" w:space="0" w:color="auto"/>
                    <w:right w:val="single" w:sz="4" w:space="0" w:color="auto"/>
                  </w:tcBorders>
                  <w:shd w:val="clear" w:color="auto" w:fill="auto"/>
                  <w:noWrap/>
                  <w:hideMark/>
                </w:tcPr>
                <w:p w14:paraId="135F135D" w14:textId="77777777" w:rsidR="00642E60" w:rsidRPr="006E25C7" w:rsidRDefault="00642E60" w:rsidP="00642E60">
                  <w:pPr>
                    <w:keepNext w:val="0"/>
                    <w:spacing w:before="0"/>
                    <w:jc w:val="center"/>
                    <w:rPr>
                      <w:rFonts w:cs="Arial"/>
                      <w:color w:val="auto"/>
                      <w:sz w:val="22"/>
                      <w:szCs w:val="22"/>
                    </w:rPr>
                  </w:pPr>
                  <w:r w:rsidRPr="006E25C7">
                    <w:rPr>
                      <w:rFonts w:cs="Arial"/>
                      <w:color w:val="auto"/>
                      <w:sz w:val="22"/>
                      <w:szCs w:val="22"/>
                    </w:rPr>
                    <w:t>Yes</w:t>
                  </w:r>
                </w:p>
              </w:tc>
              <w:tc>
                <w:tcPr>
                  <w:tcW w:w="1220" w:type="dxa"/>
                  <w:tcBorders>
                    <w:top w:val="nil"/>
                    <w:left w:val="nil"/>
                    <w:bottom w:val="single" w:sz="4" w:space="0" w:color="auto"/>
                    <w:right w:val="single" w:sz="4" w:space="0" w:color="auto"/>
                  </w:tcBorders>
                  <w:shd w:val="clear" w:color="auto" w:fill="auto"/>
                  <w:noWrap/>
                  <w:hideMark/>
                </w:tcPr>
                <w:p w14:paraId="417682EB" w14:textId="77777777" w:rsidR="00642E60" w:rsidRPr="006E25C7" w:rsidRDefault="00642E60" w:rsidP="00642E60">
                  <w:pPr>
                    <w:keepNext w:val="0"/>
                    <w:spacing w:before="0"/>
                    <w:jc w:val="right"/>
                    <w:rPr>
                      <w:rFonts w:cs="Arial"/>
                      <w:color w:val="auto"/>
                      <w:sz w:val="22"/>
                      <w:szCs w:val="22"/>
                    </w:rPr>
                  </w:pPr>
                  <w:r w:rsidRPr="006E25C7">
                    <w:rPr>
                      <w:rFonts w:cs="Arial"/>
                      <w:color w:val="auto"/>
                      <w:sz w:val="22"/>
                      <w:szCs w:val="22"/>
                    </w:rPr>
                    <w:t>42</w:t>
                  </w:r>
                </w:p>
              </w:tc>
            </w:tr>
            <w:tr w:rsidR="006E25C7" w:rsidRPr="006E25C7" w14:paraId="6E359791" w14:textId="77777777" w:rsidTr="00642E60">
              <w:trPr>
                <w:trHeight w:val="370"/>
                <w:jc w:val="center"/>
              </w:trPr>
              <w:tc>
                <w:tcPr>
                  <w:tcW w:w="760" w:type="dxa"/>
                  <w:tcBorders>
                    <w:top w:val="nil"/>
                    <w:left w:val="single" w:sz="4" w:space="0" w:color="auto"/>
                    <w:bottom w:val="single" w:sz="4" w:space="0" w:color="auto"/>
                    <w:right w:val="single" w:sz="4" w:space="0" w:color="auto"/>
                  </w:tcBorders>
                  <w:shd w:val="clear" w:color="auto" w:fill="auto"/>
                  <w:noWrap/>
                  <w:hideMark/>
                </w:tcPr>
                <w:p w14:paraId="00030933" w14:textId="77777777" w:rsidR="00642E60" w:rsidRPr="006E25C7" w:rsidRDefault="00642E60" w:rsidP="00642E60">
                  <w:pPr>
                    <w:keepNext w:val="0"/>
                    <w:spacing w:before="0"/>
                    <w:rPr>
                      <w:rFonts w:cs="Arial"/>
                      <w:color w:val="auto"/>
                      <w:sz w:val="22"/>
                      <w:szCs w:val="22"/>
                    </w:rPr>
                  </w:pPr>
                  <w:r w:rsidRPr="006E25C7">
                    <w:rPr>
                      <w:rFonts w:cs="Arial"/>
                      <w:color w:val="auto"/>
                      <w:sz w:val="22"/>
                      <w:szCs w:val="22"/>
                    </w:rPr>
                    <w:t>H1Hn</w:t>
                  </w:r>
                </w:p>
              </w:tc>
              <w:tc>
                <w:tcPr>
                  <w:tcW w:w="3660" w:type="dxa"/>
                  <w:tcBorders>
                    <w:top w:val="nil"/>
                    <w:left w:val="nil"/>
                    <w:bottom w:val="single" w:sz="4" w:space="0" w:color="auto"/>
                    <w:right w:val="single" w:sz="4" w:space="0" w:color="auto"/>
                  </w:tcBorders>
                  <w:shd w:val="clear" w:color="auto" w:fill="auto"/>
                  <w:hideMark/>
                </w:tcPr>
                <w:p w14:paraId="0F84931E" w14:textId="77777777" w:rsidR="00642E60" w:rsidRPr="006E25C7" w:rsidRDefault="00642E60" w:rsidP="00642E60">
                  <w:pPr>
                    <w:keepNext w:val="0"/>
                    <w:spacing w:before="0"/>
                    <w:rPr>
                      <w:rFonts w:cs="Arial"/>
                      <w:color w:val="auto"/>
                      <w:sz w:val="22"/>
                      <w:szCs w:val="22"/>
                    </w:rPr>
                  </w:pPr>
                  <w:r w:rsidRPr="006E25C7">
                    <w:rPr>
                      <w:rFonts w:cs="Arial"/>
                      <w:color w:val="auto"/>
                      <w:sz w:val="22"/>
                      <w:szCs w:val="22"/>
                    </w:rPr>
                    <w:t>(Phase 2) Land at, Broomhill Farm</w:t>
                  </w:r>
                </w:p>
              </w:tc>
              <w:tc>
                <w:tcPr>
                  <w:tcW w:w="1460" w:type="dxa"/>
                  <w:tcBorders>
                    <w:top w:val="nil"/>
                    <w:left w:val="nil"/>
                    <w:bottom w:val="single" w:sz="4" w:space="0" w:color="auto"/>
                    <w:right w:val="single" w:sz="4" w:space="0" w:color="auto"/>
                  </w:tcBorders>
                  <w:shd w:val="clear" w:color="auto" w:fill="auto"/>
                  <w:noWrap/>
                  <w:hideMark/>
                </w:tcPr>
                <w:p w14:paraId="6C0C921B" w14:textId="77777777" w:rsidR="00642E60" w:rsidRPr="006E25C7" w:rsidRDefault="00642E60" w:rsidP="00642E60">
                  <w:pPr>
                    <w:keepNext w:val="0"/>
                    <w:spacing w:before="0"/>
                    <w:jc w:val="center"/>
                    <w:rPr>
                      <w:rFonts w:cs="Arial"/>
                      <w:color w:val="auto"/>
                      <w:sz w:val="22"/>
                      <w:szCs w:val="22"/>
                    </w:rPr>
                  </w:pPr>
                  <w:r w:rsidRPr="006E25C7">
                    <w:rPr>
                      <w:rFonts w:cs="Arial"/>
                      <w:color w:val="auto"/>
                      <w:sz w:val="22"/>
                      <w:szCs w:val="22"/>
                    </w:rPr>
                    <w:t>G</w:t>
                  </w:r>
                </w:p>
              </w:tc>
              <w:tc>
                <w:tcPr>
                  <w:tcW w:w="1600" w:type="dxa"/>
                  <w:tcBorders>
                    <w:top w:val="nil"/>
                    <w:left w:val="nil"/>
                    <w:bottom w:val="single" w:sz="4" w:space="0" w:color="auto"/>
                    <w:right w:val="single" w:sz="4" w:space="0" w:color="auto"/>
                  </w:tcBorders>
                  <w:shd w:val="clear" w:color="auto" w:fill="auto"/>
                  <w:noWrap/>
                  <w:hideMark/>
                </w:tcPr>
                <w:p w14:paraId="394E03EB" w14:textId="77777777" w:rsidR="00642E60" w:rsidRPr="006E25C7" w:rsidRDefault="00642E60" w:rsidP="00642E60">
                  <w:pPr>
                    <w:keepNext w:val="0"/>
                    <w:spacing w:before="0"/>
                    <w:jc w:val="center"/>
                    <w:rPr>
                      <w:rFonts w:cs="Arial"/>
                      <w:color w:val="auto"/>
                      <w:sz w:val="22"/>
                      <w:szCs w:val="22"/>
                    </w:rPr>
                  </w:pPr>
                  <w:r w:rsidRPr="006E25C7">
                    <w:rPr>
                      <w:rFonts w:cs="Arial"/>
                      <w:color w:val="auto"/>
                      <w:sz w:val="22"/>
                      <w:szCs w:val="22"/>
                    </w:rPr>
                    <w:t>Yes</w:t>
                  </w:r>
                </w:p>
              </w:tc>
              <w:tc>
                <w:tcPr>
                  <w:tcW w:w="1220" w:type="dxa"/>
                  <w:tcBorders>
                    <w:top w:val="nil"/>
                    <w:left w:val="nil"/>
                    <w:bottom w:val="single" w:sz="4" w:space="0" w:color="auto"/>
                    <w:right w:val="single" w:sz="4" w:space="0" w:color="auto"/>
                  </w:tcBorders>
                  <w:shd w:val="clear" w:color="auto" w:fill="auto"/>
                  <w:noWrap/>
                  <w:hideMark/>
                </w:tcPr>
                <w:p w14:paraId="00F91209" w14:textId="77777777" w:rsidR="00642E60" w:rsidRPr="006E25C7" w:rsidRDefault="00642E60" w:rsidP="00642E60">
                  <w:pPr>
                    <w:keepNext w:val="0"/>
                    <w:spacing w:before="0"/>
                    <w:jc w:val="right"/>
                    <w:rPr>
                      <w:rFonts w:cs="Arial"/>
                      <w:color w:val="auto"/>
                      <w:sz w:val="22"/>
                      <w:szCs w:val="22"/>
                    </w:rPr>
                  </w:pPr>
                  <w:r w:rsidRPr="006E25C7">
                    <w:rPr>
                      <w:rFonts w:cs="Arial"/>
                      <w:color w:val="auto"/>
                      <w:sz w:val="22"/>
                      <w:szCs w:val="22"/>
                    </w:rPr>
                    <w:t>168</w:t>
                  </w:r>
                </w:p>
              </w:tc>
            </w:tr>
            <w:tr w:rsidR="006E25C7" w:rsidRPr="006E25C7" w14:paraId="4C0B98CA" w14:textId="77777777" w:rsidTr="00642E60">
              <w:trPr>
                <w:trHeight w:val="417"/>
                <w:jc w:val="center"/>
              </w:trPr>
              <w:tc>
                <w:tcPr>
                  <w:tcW w:w="760" w:type="dxa"/>
                  <w:tcBorders>
                    <w:top w:val="nil"/>
                    <w:left w:val="single" w:sz="4" w:space="0" w:color="auto"/>
                    <w:bottom w:val="single" w:sz="4" w:space="0" w:color="auto"/>
                    <w:right w:val="single" w:sz="4" w:space="0" w:color="auto"/>
                  </w:tcBorders>
                  <w:shd w:val="clear" w:color="auto" w:fill="auto"/>
                  <w:noWrap/>
                  <w:hideMark/>
                </w:tcPr>
                <w:p w14:paraId="19048DA4" w14:textId="77777777" w:rsidR="00642E60" w:rsidRPr="006E25C7" w:rsidRDefault="00642E60" w:rsidP="00642E60">
                  <w:pPr>
                    <w:keepNext w:val="0"/>
                    <w:spacing w:before="0"/>
                    <w:rPr>
                      <w:rFonts w:cs="Arial"/>
                      <w:color w:val="auto"/>
                      <w:sz w:val="22"/>
                      <w:szCs w:val="22"/>
                    </w:rPr>
                  </w:pPr>
                  <w:r w:rsidRPr="006E25C7">
                    <w:rPr>
                      <w:rFonts w:cs="Arial"/>
                      <w:color w:val="auto"/>
                      <w:sz w:val="22"/>
                      <w:szCs w:val="22"/>
                    </w:rPr>
                    <w:t> </w:t>
                  </w:r>
                </w:p>
              </w:tc>
              <w:tc>
                <w:tcPr>
                  <w:tcW w:w="3660" w:type="dxa"/>
                  <w:tcBorders>
                    <w:top w:val="nil"/>
                    <w:left w:val="nil"/>
                    <w:bottom w:val="single" w:sz="4" w:space="0" w:color="auto"/>
                    <w:right w:val="single" w:sz="4" w:space="0" w:color="auto"/>
                  </w:tcBorders>
                  <w:shd w:val="clear" w:color="auto" w:fill="auto"/>
                  <w:hideMark/>
                </w:tcPr>
                <w:p w14:paraId="5EBA8440" w14:textId="77777777" w:rsidR="00642E60" w:rsidRPr="006E25C7" w:rsidRDefault="00642E60" w:rsidP="00642E60">
                  <w:pPr>
                    <w:keepNext w:val="0"/>
                    <w:spacing w:before="0"/>
                    <w:rPr>
                      <w:rFonts w:cs="Arial"/>
                      <w:color w:val="auto"/>
                      <w:sz w:val="22"/>
                      <w:szCs w:val="22"/>
                    </w:rPr>
                  </w:pPr>
                  <w:r w:rsidRPr="006E25C7">
                    <w:rPr>
                      <w:rFonts w:cs="Arial"/>
                      <w:color w:val="auto"/>
                      <w:sz w:val="22"/>
                      <w:szCs w:val="22"/>
                    </w:rPr>
                    <w:t> </w:t>
                  </w:r>
                </w:p>
              </w:tc>
              <w:tc>
                <w:tcPr>
                  <w:tcW w:w="1460" w:type="dxa"/>
                  <w:tcBorders>
                    <w:top w:val="nil"/>
                    <w:left w:val="nil"/>
                    <w:bottom w:val="single" w:sz="4" w:space="0" w:color="auto"/>
                    <w:right w:val="single" w:sz="4" w:space="0" w:color="auto"/>
                  </w:tcBorders>
                  <w:shd w:val="clear" w:color="auto" w:fill="auto"/>
                  <w:noWrap/>
                  <w:hideMark/>
                </w:tcPr>
                <w:p w14:paraId="34706384" w14:textId="77777777" w:rsidR="00642E60" w:rsidRPr="006E25C7" w:rsidRDefault="00642E60" w:rsidP="00642E60">
                  <w:pPr>
                    <w:keepNext w:val="0"/>
                    <w:spacing w:before="0"/>
                    <w:jc w:val="center"/>
                    <w:rPr>
                      <w:rFonts w:cs="Arial"/>
                      <w:color w:val="auto"/>
                      <w:sz w:val="22"/>
                      <w:szCs w:val="22"/>
                    </w:rPr>
                  </w:pPr>
                  <w:r w:rsidRPr="006E25C7">
                    <w:rPr>
                      <w:rFonts w:cs="Arial"/>
                      <w:color w:val="auto"/>
                      <w:sz w:val="22"/>
                      <w:szCs w:val="22"/>
                    </w:rPr>
                    <w:t> </w:t>
                  </w:r>
                </w:p>
              </w:tc>
              <w:tc>
                <w:tcPr>
                  <w:tcW w:w="1600" w:type="dxa"/>
                  <w:tcBorders>
                    <w:top w:val="nil"/>
                    <w:left w:val="nil"/>
                    <w:bottom w:val="single" w:sz="4" w:space="0" w:color="auto"/>
                    <w:right w:val="single" w:sz="4" w:space="0" w:color="auto"/>
                  </w:tcBorders>
                  <w:shd w:val="clear" w:color="auto" w:fill="auto"/>
                  <w:noWrap/>
                  <w:hideMark/>
                </w:tcPr>
                <w:p w14:paraId="56A697BE" w14:textId="77777777" w:rsidR="00642E60" w:rsidRPr="006E25C7" w:rsidRDefault="00642E60" w:rsidP="00642E60">
                  <w:pPr>
                    <w:keepNext w:val="0"/>
                    <w:spacing w:before="0"/>
                    <w:jc w:val="center"/>
                    <w:rPr>
                      <w:rFonts w:cs="Arial"/>
                      <w:color w:val="auto"/>
                      <w:sz w:val="22"/>
                      <w:szCs w:val="22"/>
                    </w:rPr>
                  </w:pPr>
                  <w:r w:rsidRPr="006E25C7">
                    <w:rPr>
                      <w:rFonts w:cs="Arial"/>
                      <w:color w:val="auto"/>
                      <w:sz w:val="22"/>
                      <w:szCs w:val="22"/>
                    </w:rPr>
                    <w:t> </w:t>
                  </w:r>
                </w:p>
              </w:tc>
              <w:tc>
                <w:tcPr>
                  <w:tcW w:w="1220" w:type="dxa"/>
                  <w:tcBorders>
                    <w:top w:val="nil"/>
                    <w:left w:val="nil"/>
                    <w:bottom w:val="single" w:sz="4" w:space="0" w:color="auto"/>
                    <w:right w:val="single" w:sz="4" w:space="0" w:color="auto"/>
                  </w:tcBorders>
                  <w:shd w:val="clear" w:color="auto" w:fill="auto"/>
                  <w:noWrap/>
                  <w:hideMark/>
                </w:tcPr>
                <w:p w14:paraId="5018373A" w14:textId="36D566E7" w:rsidR="00642E60" w:rsidRPr="006E25C7" w:rsidRDefault="00642E60" w:rsidP="00642E60">
                  <w:pPr>
                    <w:keepNext w:val="0"/>
                    <w:spacing w:before="0"/>
                    <w:jc w:val="right"/>
                    <w:rPr>
                      <w:rFonts w:cs="Arial"/>
                      <w:b/>
                      <w:bCs/>
                      <w:color w:val="auto"/>
                      <w:sz w:val="22"/>
                      <w:szCs w:val="22"/>
                    </w:rPr>
                  </w:pPr>
                  <w:r w:rsidRPr="006E25C7">
                    <w:rPr>
                      <w:rFonts w:cs="Arial"/>
                      <w:b/>
                      <w:bCs/>
                      <w:color w:val="auto"/>
                      <w:sz w:val="22"/>
                      <w:szCs w:val="22"/>
                    </w:rPr>
                    <w:t>13</w:t>
                  </w:r>
                  <w:r w:rsidR="00AF04D2" w:rsidRPr="006E25C7">
                    <w:rPr>
                      <w:rFonts w:cs="Arial"/>
                      <w:b/>
                      <w:bCs/>
                      <w:color w:val="auto"/>
                      <w:sz w:val="22"/>
                      <w:szCs w:val="22"/>
                    </w:rPr>
                    <w:t>1</w:t>
                  </w:r>
                  <w:r w:rsidR="00582E38" w:rsidRPr="006E25C7">
                    <w:rPr>
                      <w:rFonts w:cs="Arial"/>
                      <w:b/>
                      <w:bCs/>
                      <w:color w:val="auto"/>
                      <w:sz w:val="22"/>
                      <w:szCs w:val="22"/>
                    </w:rPr>
                    <w:t>1</w:t>
                  </w:r>
                </w:p>
              </w:tc>
            </w:tr>
          </w:tbl>
          <w:p w14:paraId="06439FF6" w14:textId="77777777" w:rsidR="003C7E62" w:rsidRDefault="003C7E62" w:rsidP="008B5F49">
            <w:pPr>
              <w:pStyle w:val="Policy"/>
              <w:spacing w:after="0" w:line="240" w:lineRule="auto"/>
              <w:ind w:left="447" w:right="284"/>
              <w:rPr>
                <w:rStyle w:val="Normal1"/>
                <w:rFonts w:cs="Arial"/>
                <w:bCs/>
                <w:u w:val="single"/>
              </w:rPr>
            </w:pPr>
          </w:p>
          <w:p w14:paraId="3FE05E3B" w14:textId="77777777" w:rsidR="00BF07B5" w:rsidRDefault="00BF07B5" w:rsidP="008B5F49">
            <w:pPr>
              <w:pStyle w:val="Policy"/>
              <w:spacing w:after="0" w:line="240" w:lineRule="auto"/>
              <w:ind w:left="447" w:right="284"/>
              <w:rPr>
                <w:rStyle w:val="Normal1"/>
                <w:rFonts w:cs="Arial"/>
                <w:bCs/>
                <w:u w:val="single"/>
              </w:rPr>
            </w:pPr>
          </w:p>
          <w:p w14:paraId="5197FAFE" w14:textId="77777777" w:rsidR="001770A9" w:rsidRDefault="001770A9" w:rsidP="008B5F49">
            <w:pPr>
              <w:pStyle w:val="Policy"/>
              <w:spacing w:after="0" w:line="240" w:lineRule="auto"/>
              <w:ind w:left="447" w:right="284"/>
              <w:rPr>
                <w:rStyle w:val="Normal1"/>
                <w:rFonts w:cs="Arial"/>
                <w:bCs/>
                <w:u w:val="single"/>
              </w:rPr>
            </w:pPr>
          </w:p>
          <w:p w14:paraId="57B10965" w14:textId="77777777" w:rsidR="001770A9" w:rsidRPr="006E25C7" w:rsidRDefault="001770A9" w:rsidP="008B5F49">
            <w:pPr>
              <w:pStyle w:val="Policy"/>
              <w:spacing w:after="0" w:line="240" w:lineRule="auto"/>
              <w:ind w:left="447" w:right="284"/>
              <w:rPr>
                <w:rStyle w:val="Normal1"/>
                <w:rFonts w:cs="Arial"/>
                <w:bCs/>
                <w:u w:val="single"/>
              </w:rPr>
            </w:pPr>
          </w:p>
          <w:tbl>
            <w:tblPr>
              <w:tblW w:w="8651" w:type="dxa"/>
              <w:tblInd w:w="308" w:type="dxa"/>
              <w:tblLook w:val="04A0" w:firstRow="1" w:lastRow="0" w:firstColumn="1" w:lastColumn="0" w:noHBand="0" w:noVBand="1"/>
            </w:tblPr>
            <w:tblGrid>
              <w:gridCol w:w="779"/>
              <w:gridCol w:w="3478"/>
              <w:gridCol w:w="1559"/>
              <w:gridCol w:w="1494"/>
              <w:gridCol w:w="1341"/>
            </w:tblGrid>
            <w:tr w:rsidR="006E25C7" w:rsidRPr="006E25C7" w14:paraId="46ECD6A5" w14:textId="77777777" w:rsidTr="006E25C7">
              <w:trPr>
                <w:trHeight w:val="840"/>
              </w:trPr>
              <w:tc>
                <w:tcPr>
                  <w:tcW w:w="779" w:type="dxa"/>
                  <w:tcBorders>
                    <w:top w:val="single" w:sz="4" w:space="0" w:color="auto"/>
                    <w:left w:val="single" w:sz="4" w:space="0" w:color="auto"/>
                    <w:bottom w:val="single" w:sz="4" w:space="0" w:color="auto"/>
                    <w:right w:val="single" w:sz="4" w:space="0" w:color="auto"/>
                  </w:tcBorders>
                  <w:shd w:val="clear" w:color="000000" w:fill="D9D9D9"/>
                  <w:hideMark/>
                </w:tcPr>
                <w:p w14:paraId="3AFBC5B8" w14:textId="77777777" w:rsidR="00AF04D2" w:rsidRPr="006E25C7" w:rsidRDefault="00AF04D2" w:rsidP="00AF04D2">
                  <w:pPr>
                    <w:keepNext w:val="0"/>
                    <w:spacing w:before="0"/>
                    <w:rPr>
                      <w:rFonts w:cs="Arial"/>
                      <w:color w:val="auto"/>
                      <w:sz w:val="22"/>
                      <w:szCs w:val="22"/>
                    </w:rPr>
                  </w:pPr>
                  <w:r w:rsidRPr="006E25C7">
                    <w:rPr>
                      <w:rFonts w:cs="Arial"/>
                      <w:color w:val="auto"/>
                      <w:sz w:val="22"/>
                      <w:szCs w:val="22"/>
                    </w:rPr>
                    <w:t>Site Ref.</w:t>
                  </w:r>
                </w:p>
              </w:tc>
              <w:tc>
                <w:tcPr>
                  <w:tcW w:w="3478" w:type="dxa"/>
                  <w:tcBorders>
                    <w:top w:val="single" w:sz="4" w:space="0" w:color="auto"/>
                    <w:left w:val="nil"/>
                    <w:bottom w:val="single" w:sz="4" w:space="0" w:color="auto"/>
                    <w:right w:val="single" w:sz="4" w:space="0" w:color="auto"/>
                  </w:tcBorders>
                  <w:shd w:val="clear" w:color="000000" w:fill="D9D9D9"/>
                  <w:hideMark/>
                </w:tcPr>
                <w:p w14:paraId="67DCE960" w14:textId="77777777" w:rsidR="00AF04D2" w:rsidRPr="006E25C7" w:rsidRDefault="00AF04D2" w:rsidP="00AF04D2">
                  <w:pPr>
                    <w:keepNext w:val="0"/>
                    <w:spacing w:before="0"/>
                    <w:rPr>
                      <w:rFonts w:cs="Arial"/>
                      <w:color w:val="auto"/>
                      <w:sz w:val="22"/>
                      <w:szCs w:val="22"/>
                    </w:rPr>
                  </w:pPr>
                  <w:r w:rsidRPr="006E25C7">
                    <w:rPr>
                      <w:rFonts w:cs="Arial"/>
                      <w:color w:val="auto"/>
                      <w:sz w:val="22"/>
                      <w:szCs w:val="22"/>
                    </w:rPr>
                    <w:t>Site Name</w:t>
                  </w:r>
                </w:p>
              </w:tc>
              <w:tc>
                <w:tcPr>
                  <w:tcW w:w="1559" w:type="dxa"/>
                  <w:tcBorders>
                    <w:top w:val="single" w:sz="4" w:space="0" w:color="auto"/>
                    <w:left w:val="nil"/>
                    <w:bottom w:val="single" w:sz="4" w:space="0" w:color="auto"/>
                    <w:right w:val="single" w:sz="4" w:space="0" w:color="auto"/>
                  </w:tcBorders>
                  <w:shd w:val="clear" w:color="000000" w:fill="D9D9D9"/>
                  <w:hideMark/>
                </w:tcPr>
                <w:p w14:paraId="20F1F74C" w14:textId="77777777" w:rsidR="00AF04D2" w:rsidRPr="006E25C7" w:rsidRDefault="00AF04D2" w:rsidP="00AF04D2">
                  <w:pPr>
                    <w:keepNext w:val="0"/>
                    <w:spacing w:before="0"/>
                    <w:jc w:val="center"/>
                    <w:rPr>
                      <w:rFonts w:cs="Arial"/>
                      <w:color w:val="auto"/>
                      <w:sz w:val="22"/>
                      <w:szCs w:val="22"/>
                    </w:rPr>
                  </w:pPr>
                  <w:r w:rsidRPr="006E25C7">
                    <w:rPr>
                      <w:rFonts w:cs="Arial"/>
                      <w:color w:val="auto"/>
                      <w:sz w:val="22"/>
                      <w:szCs w:val="22"/>
                    </w:rPr>
                    <w:t>Greenfield/ Brownfield</w:t>
                  </w:r>
                </w:p>
              </w:tc>
              <w:tc>
                <w:tcPr>
                  <w:tcW w:w="1494" w:type="dxa"/>
                  <w:tcBorders>
                    <w:top w:val="single" w:sz="4" w:space="0" w:color="auto"/>
                    <w:left w:val="nil"/>
                    <w:bottom w:val="single" w:sz="4" w:space="0" w:color="auto"/>
                    <w:right w:val="single" w:sz="4" w:space="0" w:color="auto"/>
                  </w:tcBorders>
                  <w:shd w:val="clear" w:color="000000" w:fill="D9D9D9"/>
                  <w:hideMark/>
                </w:tcPr>
                <w:p w14:paraId="7DA8D5E7" w14:textId="77777777" w:rsidR="00AF04D2" w:rsidRPr="006E25C7" w:rsidRDefault="00AF04D2" w:rsidP="00AF04D2">
                  <w:pPr>
                    <w:keepNext w:val="0"/>
                    <w:spacing w:before="0"/>
                    <w:jc w:val="center"/>
                    <w:rPr>
                      <w:rFonts w:cs="Arial"/>
                      <w:color w:val="auto"/>
                      <w:sz w:val="22"/>
                      <w:szCs w:val="22"/>
                    </w:rPr>
                  </w:pPr>
                  <w:r w:rsidRPr="006E25C7">
                    <w:rPr>
                      <w:rFonts w:cs="Arial"/>
                      <w:color w:val="auto"/>
                      <w:sz w:val="22"/>
                      <w:szCs w:val="22"/>
                    </w:rPr>
                    <w:t>Planning Permission*</w:t>
                  </w:r>
                </w:p>
              </w:tc>
              <w:tc>
                <w:tcPr>
                  <w:tcW w:w="1341" w:type="dxa"/>
                  <w:tcBorders>
                    <w:top w:val="single" w:sz="4" w:space="0" w:color="auto"/>
                    <w:left w:val="nil"/>
                    <w:bottom w:val="single" w:sz="4" w:space="0" w:color="auto"/>
                    <w:right w:val="single" w:sz="4" w:space="0" w:color="auto"/>
                  </w:tcBorders>
                  <w:shd w:val="clear" w:color="000000" w:fill="D9D9D9"/>
                  <w:hideMark/>
                </w:tcPr>
                <w:p w14:paraId="51230111" w14:textId="77777777" w:rsidR="00AF04D2" w:rsidRPr="006E25C7" w:rsidRDefault="00AF04D2" w:rsidP="00AF04D2">
                  <w:pPr>
                    <w:keepNext w:val="0"/>
                    <w:spacing w:before="0"/>
                    <w:rPr>
                      <w:rFonts w:cs="Arial"/>
                      <w:color w:val="auto"/>
                      <w:sz w:val="22"/>
                      <w:szCs w:val="22"/>
                    </w:rPr>
                  </w:pPr>
                  <w:r w:rsidRPr="006E25C7">
                    <w:rPr>
                      <w:rFonts w:cs="Arial"/>
                      <w:color w:val="auto"/>
                      <w:sz w:val="22"/>
                      <w:szCs w:val="22"/>
                    </w:rPr>
                    <w:t>Potential Yield (bedrooms)</w:t>
                  </w:r>
                </w:p>
              </w:tc>
            </w:tr>
            <w:tr w:rsidR="006E25C7" w:rsidRPr="006E25C7" w14:paraId="3C660FC8" w14:textId="77777777" w:rsidTr="006E25C7">
              <w:trPr>
                <w:trHeight w:val="560"/>
              </w:trPr>
              <w:tc>
                <w:tcPr>
                  <w:tcW w:w="779" w:type="dxa"/>
                  <w:tcBorders>
                    <w:top w:val="nil"/>
                    <w:left w:val="single" w:sz="4" w:space="0" w:color="auto"/>
                    <w:bottom w:val="single" w:sz="4" w:space="0" w:color="auto"/>
                    <w:right w:val="single" w:sz="4" w:space="0" w:color="auto"/>
                  </w:tcBorders>
                  <w:shd w:val="clear" w:color="auto" w:fill="auto"/>
                  <w:noWrap/>
                  <w:hideMark/>
                </w:tcPr>
                <w:p w14:paraId="21DBCC7B" w14:textId="77777777" w:rsidR="00AF04D2" w:rsidRPr="00B94708" w:rsidRDefault="00AF04D2" w:rsidP="00AF04D2">
                  <w:pPr>
                    <w:keepNext w:val="0"/>
                    <w:spacing w:before="0"/>
                    <w:rPr>
                      <w:rFonts w:cs="Arial"/>
                      <w:color w:val="auto"/>
                      <w:sz w:val="22"/>
                      <w:szCs w:val="22"/>
                    </w:rPr>
                  </w:pPr>
                  <w:r w:rsidRPr="00B94708">
                    <w:rPr>
                      <w:rFonts w:cs="Arial"/>
                      <w:color w:val="auto"/>
                      <w:sz w:val="22"/>
                      <w:szCs w:val="22"/>
                    </w:rPr>
                    <w:t>H1Ca</w:t>
                  </w:r>
                </w:p>
              </w:tc>
              <w:tc>
                <w:tcPr>
                  <w:tcW w:w="3478" w:type="dxa"/>
                  <w:tcBorders>
                    <w:top w:val="nil"/>
                    <w:left w:val="nil"/>
                    <w:bottom w:val="single" w:sz="4" w:space="0" w:color="auto"/>
                    <w:right w:val="single" w:sz="4" w:space="0" w:color="auto"/>
                  </w:tcBorders>
                  <w:shd w:val="clear" w:color="auto" w:fill="auto"/>
                  <w:hideMark/>
                </w:tcPr>
                <w:p w14:paraId="08404941" w14:textId="77777777" w:rsidR="00AF04D2" w:rsidRPr="00B94708" w:rsidRDefault="00AF04D2" w:rsidP="00AF04D2">
                  <w:pPr>
                    <w:keepNext w:val="0"/>
                    <w:spacing w:before="0"/>
                    <w:rPr>
                      <w:rFonts w:cs="Arial"/>
                      <w:color w:val="auto"/>
                      <w:sz w:val="22"/>
                      <w:szCs w:val="22"/>
                    </w:rPr>
                  </w:pPr>
                  <w:r w:rsidRPr="00B94708">
                    <w:rPr>
                      <w:rFonts w:cs="Arial"/>
                      <w:color w:val="auto"/>
                      <w:sz w:val="22"/>
                      <w:szCs w:val="22"/>
                    </w:rPr>
                    <w:t>Former Hucknall Police Station, Watnall Road, Hucknall</w:t>
                  </w:r>
                </w:p>
              </w:tc>
              <w:tc>
                <w:tcPr>
                  <w:tcW w:w="1559" w:type="dxa"/>
                  <w:tcBorders>
                    <w:top w:val="nil"/>
                    <w:left w:val="nil"/>
                    <w:bottom w:val="single" w:sz="4" w:space="0" w:color="auto"/>
                    <w:right w:val="single" w:sz="4" w:space="0" w:color="auto"/>
                  </w:tcBorders>
                  <w:shd w:val="clear" w:color="auto" w:fill="auto"/>
                  <w:noWrap/>
                  <w:hideMark/>
                </w:tcPr>
                <w:p w14:paraId="2546E96E" w14:textId="77777777" w:rsidR="00AF04D2" w:rsidRPr="00B94708" w:rsidRDefault="00AF04D2" w:rsidP="00AF04D2">
                  <w:pPr>
                    <w:keepNext w:val="0"/>
                    <w:spacing w:before="0"/>
                    <w:jc w:val="center"/>
                    <w:rPr>
                      <w:rFonts w:cs="Arial"/>
                      <w:color w:val="auto"/>
                      <w:sz w:val="22"/>
                      <w:szCs w:val="22"/>
                    </w:rPr>
                  </w:pPr>
                  <w:r w:rsidRPr="00B94708">
                    <w:rPr>
                      <w:rFonts w:cs="Arial"/>
                      <w:color w:val="auto"/>
                      <w:sz w:val="22"/>
                      <w:szCs w:val="22"/>
                    </w:rPr>
                    <w:t>B</w:t>
                  </w:r>
                </w:p>
              </w:tc>
              <w:tc>
                <w:tcPr>
                  <w:tcW w:w="1494" w:type="dxa"/>
                  <w:tcBorders>
                    <w:top w:val="nil"/>
                    <w:left w:val="nil"/>
                    <w:bottom w:val="single" w:sz="4" w:space="0" w:color="auto"/>
                    <w:right w:val="single" w:sz="4" w:space="0" w:color="auto"/>
                  </w:tcBorders>
                  <w:shd w:val="clear" w:color="auto" w:fill="auto"/>
                  <w:noWrap/>
                  <w:hideMark/>
                </w:tcPr>
                <w:p w14:paraId="2C75D7E3" w14:textId="77777777" w:rsidR="00AF04D2" w:rsidRPr="00B94708" w:rsidRDefault="00AF04D2" w:rsidP="00AF04D2">
                  <w:pPr>
                    <w:keepNext w:val="0"/>
                    <w:spacing w:before="0"/>
                    <w:jc w:val="center"/>
                    <w:rPr>
                      <w:rFonts w:cs="Arial"/>
                      <w:color w:val="auto"/>
                      <w:sz w:val="22"/>
                      <w:szCs w:val="22"/>
                    </w:rPr>
                  </w:pPr>
                  <w:r w:rsidRPr="00B94708">
                    <w:rPr>
                      <w:rFonts w:cs="Arial"/>
                      <w:color w:val="auto"/>
                      <w:sz w:val="22"/>
                      <w:szCs w:val="22"/>
                    </w:rPr>
                    <w:t>Yes</w:t>
                  </w:r>
                </w:p>
              </w:tc>
              <w:tc>
                <w:tcPr>
                  <w:tcW w:w="1341" w:type="dxa"/>
                  <w:tcBorders>
                    <w:top w:val="nil"/>
                    <w:left w:val="nil"/>
                    <w:bottom w:val="single" w:sz="4" w:space="0" w:color="auto"/>
                    <w:right w:val="single" w:sz="4" w:space="0" w:color="auto"/>
                  </w:tcBorders>
                  <w:shd w:val="clear" w:color="auto" w:fill="auto"/>
                  <w:noWrap/>
                  <w:hideMark/>
                </w:tcPr>
                <w:p w14:paraId="3FE7D869" w14:textId="77777777" w:rsidR="00AF04D2" w:rsidRPr="00B94708" w:rsidRDefault="00AF04D2" w:rsidP="00AF04D2">
                  <w:pPr>
                    <w:keepNext w:val="0"/>
                    <w:spacing w:before="0"/>
                    <w:jc w:val="right"/>
                    <w:rPr>
                      <w:rFonts w:cs="Arial"/>
                      <w:color w:val="auto"/>
                      <w:sz w:val="22"/>
                      <w:szCs w:val="22"/>
                    </w:rPr>
                  </w:pPr>
                  <w:r w:rsidRPr="00B94708">
                    <w:rPr>
                      <w:rFonts w:cs="Arial"/>
                      <w:color w:val="auto"/>
                      <w:sz w:val="22"/>
                      <w:szCs w:val="22"/>
                    </w:rPr>
                    <w:t>73</w:t>
                  </w:r>
                </w:p>
              </w:tc>
            </w:tr>
          </w:tbl>
          <w:p w14:paraId="6B5C5DE2" w14:textId="77777777" w:rsidR="003C7E62" w:rsidRPr="006E25C7" w:rsidRDefault="003C7E62" w:rsidP="008B5F49">
            <w:pPr>
              <w:pStyle w:val="Policy"/>
              <w:spacing w:after="0" w:line="240" w:lineRule="auto"/>
              <w:ind w:left="0" w:right="284" w:firstLine="447"/>
              <w:rPr>
                <w:rStyle w:val="Normal1"/>
                <w:rFonts w:cs="Arial"/>
                <w:bCs/>
                <w:u w:val="single"/>
              </w:rPr>
            </w:pPr>
          </w:p>
          <w:p w14:paraId="2342E8B4" w14:textId="77777777" w:rsidR="00BF07B5" w:rsidRDefault="00BF07B5" w:rsidP="008B5F49">
            <w:pPr>
              <w:pStyle w:val="Policy"/>
              <w:spacing w:after="0" w:line="240" w:lineRule="auto"/>
              <w:ind w:left="0" w:right="284" w:firstLine="447"/>
              <w:rPr>
                <w:rStyle w:val="Normal1"/>
                <w:rFonts w:cs="Arial"/>
                <w:bCs/>
                <w:u w:val="single"/>
              </w:rPr>
            </w:pPr>
          </w:p>
          <w:p w14:paraId="480B4D09" w14:textId="5F4FCEFD" w:rsidR="003C7E62" w:rsidRPr="006E25C7" w:rsidRDefault="003C7E62" w:rsidP="001770A9">
            <w:pPr>
              <w:pStyle w:val="Policy"/>
              <w:spacing w:after="0" w:line="240" w:lineRule="auto"/>
              <w:ind w:left="0" w:right="284" w:firstLine="313"/>
              <w:rPr>
                <w:rStyle w:val="Normal1"/>
                <w:rFonts w:cs="Arial"/>
                <w:bCs/>
                <w:u w:val="single"/>
              </w:rPr>
            </w:pPr>
            <w:r w:rsidRPr="006E25C7">
              <w:rPr>
                <w:rStyle w:val="Normal1"/>
                <w:rFonts w:cs="Arial"/>
                <w:bCs/>
                <w:u w:val="single"/>
              </w:rPr>
              <w:t>Kirkby Area</w:t>
            </w:r>
          </w:p>
          <w:p w14:paraId="4EAE4F33" w14:textId="77777777" w:rsidR="008048E1" w:rsidRPr="006E25C7" w:rsidRDefault="008048E1" w:rsidP="008B5F49">
            <w:pPr>
              <w:pStyle w:val="Policy"/>
              <w:spacing w:after="0" w:line="240" w:lineRule="auto"/>
              <w:ind w:left="447" w:right="284"/>
              <w:rPr>
                <w:rStyle w:val="Normal1"/>
                <w:rFonts w:cs="Arial"/>
                <w:bCs/>
                <w:u w:val="single"/>
              </w:rPr>
            </w:pPr>
          </w:p>
          <w:tbl>
            <w:tblPr>
              <w:tblW w:w="8700" w:type="dxa"/>
              <w:jc w:val="center"/>
              <w:tblLook w:val="04A0" w:firstRow="1" w:lastRow="0" w:firstColumn="1" w:lastColumn="0" w:noHBand="0" w:noVBand="1"/>
            </w:tblPr>
            <w:tblGrid>
              <w:gridCol w:w="767"/>
              <w:gridCol w:w="3569"/>
              <w:gridCol w:w="1460"/>
              <w:gridCol w:w="1600"/>
              <w:gridCol w:w="1304"/>
            </w:tblGrid>
            <w:tr w:rsidR="006E25C7" w:rsidRPr="006E25C7" w14:paraId="2404AA57" w14:textId="77777777" w:rsidTr="00642E60">
              <w:trPr>
                <w:trHeight w:val="840"/>
                <w:jc w:val="center"/>
              </w:trPr>
              <w:tc>
                <w:tcPr>
                  <w:tcW w:w="760" w:type="dxa"/>
                  <w:tcBorders>
                    <w:top w:val="single" w:sz="4" w:space="0" w:color="auto"/>
                    <w:left w:val="single" w:sz="4" w:space="0" w:color="auto"/>
                    <w:bottom w:val="single" w:sz="4" w:space="0" w:color="auto"/>
                    <w:right w:val="single" w:sz="4" w:space="0" w:color="auto"/>
                  </w:tcBorders>
                  <w:shd w:val="clear" w:color="000000" w:fill="D9D9D9"/>
                  <w:hideMark/>
                </w:tcPr>
                <w:p w14:paraId="07CC51A4" w14:textId="77777777" w:rsidR="00642E60" w:rsidRPr="006E25C7" w:rsidRDefault="00642E60" w:rsidP="00642E60">
                  <w:pPr>
                    <w:keepNext w:val="0"/>
                    <w:spacing w:before="0"/>
                    <w:rPr>
                      <w:rFonts w:cs="Arial"/>
                      <w:color w:val="auto"/>
                      <w:sz w:val="22"/>
                      <w:szCs w:val="22"/>
                    </w:rPr>
                  </w:pPr>
                  <w:r w:rsidRPr="006E25C7">
                    <w:rPr>
                      <w:rFonts w:cs="Arial"/>
                      <w:color w:val="auto"/>
                      <w:sz w:val="22"/>
                      <w:szCs w:val="22"/>
                    </w:rPr>
                    <w:t>Site Ref.</w:t>
                  </w:r>
                </w:p>
              </w:tc>
              <w:tc>
                <w:tcPr>
                  <w:tcW w:w="3660" w:type="dxa"/>
                  <w:tcBorders>
                    <w:top w:val="single" w:sz="4" w:space="0" w:color="auto"/>
                    <w:left w:val="nil"/>
                    <w:bottom w:val="single" w:sz="4" w:space="0" w:color="auto"/>
                    <w:right w:val="single" w:sz="4" w:space="0" w:color="auto"/>
                  </w:tcBorders>
                  <w:shd w:val="clear" w:color="000000" w:fill="D9D9D9"/>
                  <w:hideMark/>
                </w:tcPr>
                <w:p w14:paraId="4464A67E" w14:textId="77777777" w:rsidR="00642E60" w:rsidRPr="006E25C7" w:rsidRDefault="00642E60" w:rsidP="00642E60">
                  <w:pPr>
                    <w:keepNext w:val="0"/>
                    <w:spacing w:before="0"/>
                    <w:rPr>
                      <w:rFonts w:cs="Arial"/>
                      <w:color w:val="auto"/>
                      <w:sz w:val="22"/>
                      <w:szCs w:val="22"/>
                    </w:rPr>
                  </w:pPr>
                  <w:r w:rsidRPr="006E25C7">
                    <w:rPr>
                      <w:rFonts w:cs="Arial"/>
                      <w:color w:val="auto"/>
                      <w:sz w:val="22"/>
                      <w:szCs w:val="22"/>
                    </w:rPr>
                    <w:t>Site Name</w:t>
                  </w:r>
                </w:p>
              </w:tc>
              <w:tc>
                <w:tcPr>
                  <w:tcW w:w="1460" w:type="dxa"/>
                  <w:tcBorders>
                    <w:top w:val="single" w:sz="4" w:space="0" w:color="auto"/>
                    <w:left w:val="nil"/>
                    <w:bottom w:val="single" w:sz="4" w:space="0" w:color="auto"/>
                    <w:right w:val="single" w:sz="4" w:space="0" w:color="auto"/>
                  </w:tcBorders>
                  <w:shd w:val="clear" w:color="000000" w:fill="D9D9D9"/>
                  <w:hideMark/>
                </w:tcPr>
                <w:p w14:paraId="6454062A" w14:textId="77777777" w:rsidR="00642E60" w:rsidRPr="006E25C7" w:rsidRDefault="00642E60" w:rsidP="00642E60">
                  <w:pPr>
                    <w:keepNext w:val="0"/>
                    <w:spacing w:before="0"/>
                    <w:jc w:val="center"/>
                    <w:rPr>
                      <w:rFonts w:cs="Arial"/>
                      <w:color w:val="auto"/>
                      <w:sz w:val="22"/>
                      <w:szCs w:val="22"/>
                    </w:rPr>
                  </w:pPr>
                  <w:r w:rsidRPr="006E25C7">
                    <w:rPr>
                      <w:rFonts w:cs="Arial"/>
                      <w:color w:val="auto"/>
                      <w:sz w:val="22"/>
                      <w:szCs w:val="22"/>
                    </w:rPr>
                    <w:t>Greenfield/ Brownfield</w:t>
                  </w:r>
                </w:p>
              </w:tc>
              <w:tc>
                <w:tcPr>
                  <w:tcW w:w="1600" w:type="dxa"/>
                  <w:tcBorders>
                    <w:top w:val="single" w:sz="4" w:space="0" w:color="auto"/>
                    <w:left w:val="nil"/>
                    <w:bottom w:val="single" w:sz="4" w:space="0" w:color="auto"/>
                    <w:right w:val="single" w:sz="4" w:space="0" w:color="auto"/>
                  </w:tcBorders>
                  <w:shd w:val="clear" w:color="000000" w:fill="D9D9D9"/>
                  <w:hideMark/>
                </w:tcPr>
                <w:p w14:paraId="067D63A9" w14:textId="77777777" w:rsidR="00642E60" w:rsidRPr="006E25C7" w:rsidRDefault="00642E60" w:rsidP="00642E60">
                  <w:pPr>
                    <w:keepNext w:val="0"/>
                    <w:spacing w:before="0"/>
                    <w:jc w:val="center"/>
                    <w:rPr>
                      <w:rFonts w:cs="Arial"/>
                      <w:color w:val="auto"/>
                      <w:sz w:val="22"/>
                      <w:szCs w:val="22"/>
                    </w:rPr>
                  </w:pPr>
                  <w:r w:rsidRPr="006E25C7">
                    <w:rPr>
                      <w:rFonts w:cs="Arial"/>
                      <w:color w:val="auto"/>
                      <w:sz w:val="22"/>
                      <w:szCs w:val="22"/>
                    </w:rPr>
                    <w:t>Planning Permission*</w:t>
                  </w:r>
                </w:p>
              </w:tc>
              <w:tc>
                <w:tcPr>
                  <w:tcW w:w="1220" w:type="dxa"/>
                  <w:tcBorders>
                    <w:top w:val="single" w:sz="4" w:space="0" w:color="auto"/>
                    <w:left w:val="nil"/>
                    <w:bottom w:val="single" w:sz="4" w:space="0" w:color="auto"/>
                    <w:right w:val="single" w:sz="4" w:space="0" w:color="auto"/>
                  </w:tcBorders>
                  <w:shd w:val="clear" w:color="000000" w:fill="D9D9D9"/>
                  <w:hideMark/>
                </w:tcPr>
                <w:p w14:paraId="1364FB2D" w14:textId="77777777" w:rsidR="00642E60" w:rsidRPr="006E25C7" w:rsidRDefault="00642E60" w:rsidP="00642E60">
                  <w:pPr>
                    <w:keepNext w:val="0"/>
                    <w:spacing w:before="0"/>
                    <w:rPr>
                      <w:rFonts w:cs="Arial"/>
                      <w:color w:val="auto"/>
                      <w:sz w:val="22"/>
                      <w:szCs w:val="22"/>
                    </w:rPr>
                  </w:pPr>
                  <w:r w:rsidRPr="006E25C7">
                    <w:rPr>
                      <w:rFonts w:cs="Arial"/>
                      <w:color w:val="auto"/>
                      <w:sz w:val="22"/>
                      <w:szCs w:val="22"/>
                    </w:rPr>
                    <w:t>Potential Yield (Dwellings)</w:t>
                  </w:r>
                </w:p>
              </w:tc>
            </w:tr>
            <w:tr w:rsidR="006E25C7" w:rsidRPr="006E25C7" w14:paraId="33DC808B" w14:textId="77777777" w:rsidTr="00642E60">
              <w:trPr>
                <w:trHeight w:val="560"/>
                <w:jc w:val="center"/>
              </w:trPr>
              <w:tc>
                <w:tcPr>
                  <w:tcW w:w="760" w:type="dxa"/>
                  <w:tcBorders>
                    <w:top w:val="nil"/>
                    <w:left w:val="single" w:sz="4" w:space="0" w:color="auto"/>
                    <w:bottom w:val="single" w:sz="4" w:space="0" w:color="auto"/>
                    <w:right w:val="single" w:sz="4" w:space="0" w:color="auto"/>
                  </w:tcBorders>
                  <w:shd w:val="clear" w:color="auto" w:fill="auto"/>
                  <w:noWrap/>
                  <w:hideMark/>
                </w:tcPr>
                <w:p w14:paraId="62079FE6" w14:textId="77777777" w:rsidR="00642E60" w:rsidRPr="006E25C7" w:rsidRDefault="00642E60" w:rsidP="00642E60">
                  <w:pPr>
                    <w:keepNext w:val="0"/>
                    <w:spacing w:before="0"/>
                    <w:rPr>
                      <w:rFonts w:cs="Arial"/>
                      <w:color w:val="auto"/>
                      <w:sz w:val="22"/>
                      <w:szCs w:val="22"/>
                    </w:rPr>
                  </w:pPr>
                  <w:r w:rsidRPr="006E25C7">
                    <w:rPr>
                      <w:rFonts w:cs="Arial"/>
                      <w:color w:val="auto"/>
                      <w:sz w:val="22"/>
                      <w:szCs w:val="22"/>
                    </w:rPr>
                    <w:t>H1Ka</w:t>
                  </w:r>
                </w:p>
              </w:tc>
              <w:tc>
                <w:tcPr>
                  <w:tcW w:w="3660" w:type="dxa"/>
                  <w:tcBorders>
                    <w:top w:val="nil"/>
                    <w:left w:val="nil"/>
                    <w:bottom w:val="single" w:sz="4" w:space="0" w:color="auto"/>
                    <w:right w:val="single" w:sz="4" w:space="0" w:color="auto"/>
                  </w:tcBorders>
                  <w:shd w:val="clear" w:color="auto" w:fill="auto"/>
                  <w:hideMark/>
                </w:tcPr>
                <w:p w14:paraId="598E21A8" w14:textId="77777777" w:rsidR="00642E60" w:rsidRPr="006E25C7" w:rsidRDefault="00642E60" w:rsidP="00642E60">
                  <w:pPr>
                    <w:keepNext w:val="0"/>
                    <w:spacing w:before="0"/>
                    <w:rPr>
                      <w:rFonts w:cs="Arial"/>
                      <w:color w:val="auto"/>
                      <w:sz w:val="22"/>
                      <w:szCs w:val="22"/>
                    </w:rPr>
                  </w:pPr>
                  <w:r w:rsidRPr="006E25C7">
                    <w:rPr>
                      <w:rFonts w:cs="Arial"/>
                      <w:color w:val="auto"/>
                      <w:sz w:val="22"/>
                      <w:szCs w:val="22"/>
                    </w:rPr>
                    <w:t>Beacon Farm, Derby Road, Kirkby-In Ashfield</w:t>
                  </w:r>
                </w:p>
              </w:tc>
              <w:tc>
                <w:tcPr>
                  <w:tcW w:w="1460" w:type="dxa"/>
                  <w:tcBorders>
                    <w:top w:val="nil"/>
                    <w:left w:val="nil"/>
                    <w:bottom w:val="single" w:sz="4" w:space="0" w:color="auto"/>
                    <w:right w:val="single" w:sz="4" w:space="0" w:color="auto"/>
                  </w:tcBorders>
                  <w:shd w:val="clear" w:color="auto" w:fill="auto"/>
                  <w:noWrap/>
                  <w:hideMark/>
                </w:tcPr>
                <w:p w14:paraId="3CAE0179" w14:textId="77777777" w:rsidR="00642E60" w:rsidRPr="006E25C7" w:rsidRDefault="00642E60" w:rsidP="00642E60">
                  <w:pPr>
                    <w:keepNext w:val="0"/>
                    <w:spacing w:before="0"/>
                    <w:jc w:val="center"/>
                    <w:rPr>
                      <w:rFonts w:cs="Arial"/>
                      <w:color w:val="auto"/>
                      <w:sz w:val="22"/>
                      <w:szCs w:val="22"/>
                    </w:rPr>
                  </w:pPr>
                  <w:r w:rsidRPr="006E25C7">
                    <w:rPr>
                      <w:rFonts w:cs="Arial"/>
                      <w:color w:val="auto"/>
                      <w:sz w:val="22"/>
                      <w:szCs w:val="22"/>
                    </w:rPr>
                    <w:t>G/B</w:t>
                  </w:r>
                </w:p>
              </w:tc>
              <w:tc>
                <w:tcPr>
                  <w:tcW w:w="1600" w:type="dxa"/>
                  <w:tcBorders>
                    <w:top w:val="nil"/>
                    <w:left w:val="nil"/>
                    <w:bottom w:val="single" w:sz="4" w:space="0" w:color="auto"/>
                    <w:right w:val="single" w:sz="4" w:space="0" w:color="auto"/>
                  </w:tcBorders>
                  <w:shd w:val="clear" w:color="auto" w:fill="auto"/>
                  <w:noWrap/>
                  <w:hideMark/>
                </w:tcPr>
                <w:p w14:paraId="7A7B57D2" w14:textId="77777777" w:rsidR="00642E60" w:rsidRPr="006E25C7" w:rsidRDefault="00642E60" w:rsidP="00642E60">
                  <w:pPr>
                    <w:keepNext w:val="0"/>
                    <w:spacing w:before="0"/>
                    <w:jc w:val="center"/>
                    <w:rPr>
                      <w:rFonts w:cs="Arial"/>
                      <w:color w:val="auto"/>
                      <w:sz w:val="22"/>
                      <w:szCs w:val="22"/>
                    </w:rPr>
                  </w:pPr>
                  <w:r w:rsidRPr="006E25C7">
                    <w:rPr>
                      <w:rFonts w:cs="Arial"/>
                      <w:color w:val="auto"/>
                      <w:sz w:val="22"/>
                      <w:szCs w:val="22"/>
                    </w:rPr>
                    <w:t>No</w:t>
                  </w:r>
                </w:p>
              </w:tc>
              <w:tc>
                <w:tcPr>
                  <w:tcW w:w="1220" w:type="dxa"/>
                  <w:tcBorders>
                    <w:top w:val="nil"/>
                    <w:left w:val="nil"/>
                    <w:bottom w:val="single" w:sz="4" w:space="0" w:color="auto"/>
                    <w:right w:val="single" w:sz="4" w:space="0" w:color="auto"/>
                  </w:tcBorders>
                  <w:shd w:val="clear" w:color="auto" w:fill="auto"/>
                  <w:noWrap/>
                  <w:hideMark/>
                </w:tcPr>
                <w:p w14:paraId="68E4FD76" w14:textId="77777777" w:rsidR="00642E60" w:rsidRPr="006E25C7" w:rsidRDefault="00642E60" w:rsidP="00642E60">
                  <w:pPr>
                    <w:keepNext w:val="0"/>
                    <w:spacing w:before="0"/>
                    <w:jc w:val="right"/>
                    <w:rPr>
                      <w:rFonts w:cs="Arial"/>
                      <w:color w:val="auto"/>
                      <w:sz w:val="22"/>
                      <w:szCs w:val="22"/>
                    </w:rPr>
                  </w:pPr>
                  <w:r w:rsidRPr="006E25C7">
                    <w:rPr>
                      <w:rFonts w:cs="Arial"/>
                      <w:color w:val="auto"/>
                      <w:sz w:val="22"/>
                      <w:szCs w:val="22"/>
                    </w:rPr>
                    <w:t>41</w:t>
                  </w:r>
                </w:p>
              </w:tc>
            </w:tr>
            <w:tr w:rsidR="006E25C7" w:rsidRPr="006E25C7" w14:paraId="365FA549" w14:textId="77777777" w:rsidTr="00642E60">
              <w:trPr>
                <w:trHeight w:val="560"/>
                <w:jc w:val="center"/>
              </w:trPr>
              <w:tc>
                <w:tcPr>
                  <w:tcW w:w="760" w:type="dxa"/>
                  <w:tcBorders>
                    <w:top w:val="nil"/>
                    <w:left w:val="single" w:sz="4" w:space="0" w:color="auto"/>
                    <w:bottom w:val="single" w:sz="4" w:space="0" w:color="auto"/>
                    <w:right w:val="single" w:sz="4" w:space="0" w:color="auto"/>
                  </w:tcBorders>
                  <w:shd w:val="clear" w:color="auto" w:fill="auto"/>
                  <w:noWrap/>
                  <w:hideMark/>
                </w:tcPr>
                <w:p w14:paraId="2D3C24D2" w14:textId="77777777" w:rsidR="00642E60" w:rsidRPr="006E25C7" w:rsidRDefault="00642E60" w:rsidP="00642E60">
                  <w:pPr>
                    <w:keepNext w:val="0"/>
                    <w:spacing w:before="0"/>
                    <w:rPr>
                      <w:rFonts w:cs="Arial"/>
                      <w:color w:val="auto"/>
                      <w:sz w:val="22"/>
                      <w:szCs w:val="22"/>
                    </w:rPr>
                  </w:pPr>
                  <w:r w:rsidRPr="006E25C7">
                    <w:rPr>
                      <w:rFonts w:cs="Arial"/>
                      <w:color w:val="auto"/>
                      <w:sz w:val="22"/>
                      <w:szCs w:val="22"/>
                    </w:rPr>
                    <w:t>H1Kb</w:t>
                  </w:r>
                </w:p>
              </w:tc>
              <w:tc>
                <w:tcPr>
                  <w:tcW w:w="3660" w:type="dxa"/>
                  <w:tcBorders>
                    <w:top w:val="nil"/>
                    <w:left w:val="nil"/>
                    <w:bottom w:val="single" w:sz="4" w:space="0" w:color="auto"/>
                    <w:right w:val="single" w:sz="4" w:space="0" w:color="auto"/>
                  </w:tcBorders>
                  <w:shd w:val="clear" w:color="auto" w:fill="auto"/>
                  <w:hideMark/>
                </w:tcPr>
                <w:p w14:paraId="775D5B56" w14:textId="77777777" w:rsidR="00642E60" w:rsidRPr="006E25C7" w:rsidRDefault="00642E60" w:rsidP="00642E60">
                  <w:pPr>
                    <w:keepNext w:val="0"/>
                    <w:spacing w:before="0"/>
                    <w:rPr>
                      <w:rFonts w:cs="Arial"/>
                      <w:color w:val="auto"/>
                      <w:sz w:val="22"/>
                      <w:szCs w:val="22"/>
                    </w:rPr>
                  </w:pPr>
                  <w:r w:rsidRPr="006E25C7">
                    <w:rPr>
                      <w:rFonts w:cs="Arial"/>
                      <w:color w:val="auto"/>
                      <w:sz w:val="22"/>
                      <w:szCs w:val="22"/>
                    </w:rPr>
                    <w:t>Land off Millers Way, Kirkby-In Ashfield</w:t>
                  </w:r>
                </w:p>
              </w:tc>
              <w:tc>
                <w:tcPr>
                  <w:tcW w:w="1460" w:type="dxa"/>
                  <w:tcBorders>
                    <w:top w:val="nil"/>
                    <w:left w:val="nil"/>
                    <w:bottom w:val="single" w:sz="4" w:space="0" w:color="auto"/>
                    <w:right w:val="single" w:sz="4" w:space="0" w:color="auto"/>
                  </w:tcBorders>
                  <w:shd w:val="clear" w:color="auto" w:fill="auto"/>
                  <w:noWrap/>
                  <w:hideMark/>
                </w:tcPr>
                <w:p w14:paraId="5385E448" w14:textId="77777777" w:rsidR="00642E60" w:rsidRPr="006E25C7" w:rsidRDefault="00642E60" w:rsidP="00642E60">
                  <w:pPr>
                    <w:keepNext w:val="0"/>
                    <w:spacing w:before="0"/>
                    <w:jc w:val="center"/>
                    <w:rPr>
                      <w:rFonts w:cs="Arial"/>
                      <w:color w:val="auto"/>
                      <w:sz w:val="22"/>
                      <w:szCs w:val="22"/>
                    </w:rPr>
                  </w:pPr>
                  <w:r w:rsidRPr="006E25C7">
                    <w:rPr>
                      <w:rFonts w:cs="Arial"/>
                      <w:color w:val="auto"/>
                      <w:sz w:val="22"/>
                      <w:szCs w:val="22"/>
                    </w:rPr>
                    <w:t>G</w:t>
                  </w:r>
                </w:p>
              </w:tc>
              <w:tc>
                <w:tcPr>
                  <w:tcW w:w="1600" w:type="dxa"/>
                  <w:tcBorders>
                    <w:top w:val="nil"/>
                    <w:left w:val="nil"/>
                    <w:bottom w:val="single" w:sz="4" w:space="0" w:color="auto"/>
                    <w:right w:val="single" w:sz="4" w:space="0" w:color="auto"/>
                  </w:tcBorders>
                  <w:shd w:val="clear" w:color="auto" w:fill="auto"/>
                  <w:noWrap/>
                  <w:hideMark/>
                </w:tcPr>
                <w:p w14:paraId="529389AD" w14:textId="77777777" w:rsidR="00642E60" w:rsidRPr="006E25C7" w:rsidRDefault="00642E60" w:rsidP="00642E60">
                  <w:pPr>
                    <w:keepNext w:val="0"/>
                    <w:spacing w:before="0"/>
                    <w:jc w:val="center"/>
                    <w:rPr>
                      <w:rFonts w:cs="Arial"/>
                      <w:color w:val="auto"/>
                      <w:sz w:val="22"/>
                      <w:szCs w:val="22"/>
                    </w:rPr>
                  </w:pPr>
                  <w:r w:rsidRPr="006E25C7">
                    <w:rPr>
                      <w:rFonts w:cs="Arial"/>
                      <w:color w:val="auto"/>
                      <w:sz w:val="22"/>
                      <w:szCs w:val="22"/>
                    </w:rPr>
                    <w:t>Yes</w:t>
                  </w:r>
                </w:p>
              </w:tc>
              <w:tc>
                <w:tcPr>
                  <w:tcW w:w="1220" w:type="dxa"/>
                  <w:tcBorders>
                    <w:top w:val="nil"/>
                    <w:left w:val="nil"/>
                    <w:bottom w:val="single" w:sz="4" w:space="0" w:color="auto"/>
                    <w:right w:val="single" w:sz="4" w:space="0" w:color="auto"/>
                  </w:tcBorders>
                  <w:shd w:val="clear" w:color="auto" w:fill="auto"/>
                  <w:noWrap/>
                  <w:hideMark/>
                </w:tcPr>
                <w:p w14:paraId="0115A4CB" w14:textId="77777777" w:rsidR="00642E60" w:rsidRPr="006E25C7" w:rsidRDefault="00642E60" w:rsidP="00642E60">
                  <w:pPr>
                    <w:keepNext w:val="0"/>
                    <w:spacing w:before="0"/>
                    <w:jc w:val="right"/>
                    <w:rPr>
                      <w:rFonts w:cs="Arial"/>
                      <w:color w:val="auto"/>
                      <w:sz w:val="22"/>
                      <w:szCs w:val="22"/>
                    </w:rPr>
                  </w:pPr>
                  <w:r w:rsidRPr="006E25C7">
                    <w:rPr>
                      <w:rFonts w:cs="Arial"/>
                      <w:color w:val="auto"/>
                      <w:sz w:val="22"/>
                      <w:szCs w:val="22"/>
                    </w:rPr>
                    <w:t>54</w:t>
                  </w:r>
                </w:p>
              </w:tc>
            </w:tr>
            <w:tr w:rsidR="006E25C7" w:rsidRPr="006E25C7" w14:paraId="4E73F39D" w14:textId="77777777" w:rsidTr="00642E60">
              <w:trPr>
                <w:trHeight w:val="560"/>
                <w:jc w:val="center"/>
              </w:trPr>
              <w:tc>
                <w:tcPr>
                  <w:tcW w:w="760" w:type="dxa"/>
                  <w:tcBorders>
                    <w:top w:val="nil"/>
                    <w:left w:val="single" w:sz="4" w:space="0" w:color="auto"/>
                    <w:bottom w:val="single" w:sz="4" w:space="0" w:color="auto"/>
                    <w:right w:val="single" w:sz="4" w:space="0" w:color="auto"/>
                  </w:tcBorders>
                  <w:shd w:val="clear" w:color="auto" w:fill="auto"/>
                  <w:noWrap/>
                  <w:hideMark/>
                </w:tcPr>
                <w:p w14:paraId="0E54BB70" w14:textId="77777777" w:rsidR="00642E60" w:rsidRPr="006E25C7" w:rsidRDefault="00642E60" w:rsidP="00642E60">
                  <w:pPr>
                    <w:keepNext w:val="0"/>
                    <w:spacing w:before="0"/>
                    <w:rPr>
                      <w:rFonts w:cs="Arial"/>
                      <w:color w:val="auto"/>
                      <w:sz w:val="22"/>
                      <w:szCs w:val="22"/>
                    </w:rPr>
                  </w:pPr>
                  <w:r w:rsidRPr="006E25C7">
                    <w:rPr>
                      <w:rFonts w:cs="Arial"/>
                      <w:color w:val="auto"/>
                      <w:sz w:val="22"/>
                      <w:szCs w:val="22"/>
                    </w:rPr>
                    <w:t>H1Kc</w:t>
                  </w:r>
                </w:p>
              </w:tc>
              <w:tc>
                <w:tcPr>
                  <w:tcW w:w="3660" w:type="dxa"/>
                  <w:tcBorders>
                    <w:top w:val="nil"/>
                    <w:left w:val="nil"/>
                    <w:bottom w:val="single" w:sz="4" w:space="0" w:color="auto"/>
                    <w:right w:val="single" w:sz="4" w:space="0" w:color="auto"/>
                  </w:tcBorders>
                  <w:shd w:val="clear" w:color="auto" w:fill="auto"/>
                  <w:hideMark/>
                </w:tcPr>
                <w:p w14:paraId="63A7756D" w14:textId="77777777" w:rsidR="00642E60" w:rsidRPr="006E25C7" w:rsidRDefault="00642E60" w:rsidP="00642E60">
                  <w:pPr>
                    <w:keepNext w:val="0"/>
                    <w:spacing w:before="0"/>
                    <w:rPr>
                      <w:rFonts w:cs="Arial"/>
                      <w:color w:val="auto"/>
                      <w:sz w:val="22"/>
                      <w:szCs w:val="22"/>
                    </w:rPr>
                  </w:pPr>
                  <w:r w:rsidRPr="006E25C7">
                    <w:rPr>
                      <w:rFonts w:cs="Arial"/>
                      <w:color w:val="auto"/>
                      <w:sz w:val="22"/>
                      <w:szCs w:val="22"/>
                    </w:rPr>
                    <w:t>Land at Doles Lane, Kirkby-In Ashfield</w:t>
                  </w:r>
                </w:p>
              </w:tc>
              <w:tc>
                <w:tcPr>
                  <w:tcW w:w="1460" w:type="dxa"/>
                  <w:tcBorders>
                    <w:top w:val="nil"/>
                    <w:left w:val="nil"/>
                    <w:bottom w:val="single" w:sz="4" w:space="0" w:color="auto"/>
                    <w:right w:val="single" w:sz="4" w:space="0" w:color="auto"/>
                  </w:tcBorders>
                  <w:shd w:val="clear" w:color="auto" w:fill="auto"/>
                  <w:noWrap/>
                  <w:hideMark/>
                </w:tcPr>
                <w:p w14:paraId="2A50CA37" w14:textId="77777777" w:rsidR="00642E60" w:rsidRPr="006E25C7" w:rsidRDefault="00642E60" w:rsidP="00642E60">
                  <w:pPr>
                    <w:keepNext w:val="0"/>
                    <w:spacing w:before="0"/>
                    <w:jc w:val="center"/>
                    <w:rPr>
                      <w:rFonts w:cs="Arial"/>
                      <w:color w:val="auto"/>
                      <w:sz w:val="22"/>
                      <w:szCs w:val="22"/>
                    </w:rPr>
                  </w:pPr>
                  <w:r w:rsidRPr="006E25C7">
                    <w:rPr>
                      <w:rFonts w:cs="Arial"/>
                      <w:color w:val="auto"/>
                      <w:sz w:val="22"/>
                      <w:szCs w:val="22"/>
                    </w:rPr>
                    <w:t>B</w:t>
                  </w:r>
                </w:p>
              </w:tc>
              <w:tc>
                <w:tcPr>
                  <w:tcW w:w="1600" w:type="dxa"/>
                  <w:tcBorders>
                    <w:top w:val="nil"/>
                    <w:left w:val="nil"/>
                    <w:bottom w:val="single" w:sz="4" w:space="0" w:color="auto"/>
                    <w:right w:val="single" w:sz="4" w:space="0" w:color="auto"/>
                  </w:tcBorders>
                  <w:shd w:val="clear" w:color="auto" w:fill="auto"/>
                  <w:noWrap/>
                  <w:hideMark/>
                </w:tcPr>
                <w:p w14:paraId="786A5DDE" w14:textId="77777777" w:rsidR="00642E60" w:rsidRPr="006E25C7" w:rsidRDefault="00642E60" w:rsidP="00642E60">
                  <w:pPr>
                    <w:keepNext w:val="0"/>
                    <w:spacing w:before="0"/>
                    <w:jc w:val="center"/>
                    <w:rPr>
                      <w:rFonts w:cs="Arial"/>
                      <w:color w:val="auto"/>
                      <w:sz w:val="22"/>
                      <w:szCs w:val="22"/>
                    </w:rPr>
                  </w:pPr>
                  <w:r w:rsidRPr="006E25C7">
                    <w:rPr>
                      <w:rFonts w:cs="Arial"/>
                      <w:color w:val="auto"/>
                      <w:sz w:val="22"/>
                      <w:szCs w:val="22"/>
                    </w:rPr>
                    <w:t>No</w:t>
                  </w:r>
                </w:p>
              </w:tc>
              <w:tc>
                <w:tcPr>
                  <w:tcW w:w="1220" w:type="dxa"/>
                  <w:tcBorders>
                    <w:top w:val="nil"/>
                    <w:left w:val="nil"/>
                    <w:bottom w:val="single" w:sz="4" w:space="0" w:color="auto"/>
                    <w:right w:val="single" w:sz="4" w:space="0" w:color="auto"/>
                  </w:tcBorders>
                  <w:shd w:val="clear" w:color="auto" w:fill="auto"/>
                  <w:noWrap/>
                  <w:hideMark/>
                </w:tcPr>
                <w:p w14:paraId="23A00F34" w14:textId="77777777" w:rsidR="00642E60" w:rsidRPr="006E25C7" w:rsidRDefault="00642E60" w:rsidP="00642E60">
                  <w:pPr>
                    <w:keepNext w:val="0"/>
                    <w:spacing w:before="0"/>
                    <w:jc w:val="right"/>
                    <w:rPr>
                      <w:rFonts w:cs="Arial"/>
                      <w:color w:val="auto"/>
                      <w:sz w:val="22"/>
                      <w:szCs w:val="22"/>
                    </w:rPr>
                  </w:pPr>
                  <w:r w:rsidRPr="006E25C7">
                    <w:rPr>
                      <w:rFonts w:cs="Arial"/>
                      <w:color w:val="auto"/>
                      <w:sz w:val="22"/>
                      <w:szCs w:val="22"/>
                    </w:rPr>
                    <w:t>54</w:t>
                  </w:r>
                </w:p>
              </w:tc>
            </w:tr>
            <w:tr w:rsidR="006E25C7" w:rsidRPr="006E25C7" w14:paraId="43867F0F" w14:textId="77777777" w:rsidTr="00642E60">
              <w:trPr>
                <w:trHeight w:val="280"/>
                <w:jc w:val="center"/>
              </w:trPr>
              <w:tc>
                <w:tcPr>
                  <w:tcW w:w="760" w:type="dxa"/>
                  <w:tcBorders>
                    <w:top w:val="nil"/>
                    <w:left w:val="single" w:sz="4" w:space="0" w:color="auto"/>
                    <w:bottom w:val="single" w:sz="4" w:space="0" w:color="auto"/>
                    <w:right w:val="single" w:sz="4" w:space="0" w:color="auto"/>
                  </w:tcBorders>
                  <w:shd w:val="clear" w:color="auto" w:fill="auto"/>
                  <w:noWrap/>
                  <w:hideMark/>
                </w:tcPr>
                <w:p w14:paraId="5155B0F1" w14:textId="77777777" w:rsidR="00642E60" w:rsidRPr="006E25C7" w:rsidRDefault="00642E60" w:rsidP="00642E60">
                  <w:pPr>
                    <w:keepNext w:val="0"/>
                    <w:spacing w:before="0"/>
                    <w:rPr>
                      <w:rFonts w:cs="Arial"/>
                      <w:color w:val="auto"/>
                      <w:sz w:val="22"/>
                      <w:szCs w:val="22"/>
                    </w:rPr>
                  </w:pPr>
                  <w:r w:rsidRPr="006E25C7">
                    <w:rPr>
                      <w:rFonts w:cs="Arial"/>
                      <w:color w:val="auto"/>
                      <w:sz w:val="22"/>
                      <w:szCs w:val="22"/>
                    </w:rPr>
                    <w:t>H1Kd</w:t>
                  </w:r>
                </w:p>
              </w:tc>
              <w:tc>
                <w:tcPr>
                  <w:tcW w:w="3660" w:type="dxa"/>
                  <w:tcBorders>
                    <w:top w:val="nil"/>
                    <w:left w:val="nil"/>
                    <w:bottom w:val="single" w:sz="4" w:space="0" w:color="auto"/>
                    <w:right w:val="single" w:sz="4" w:space="0" w:color="auto"/>
                  </w:tcBorders>
                  <w:shd w:val="clear" w:color="auto" w:fill="auto"/>
                  <w:hideMark/>
                </w:tcPr>
                <w:p w14:paraId="5F71DE66" w14:textId="77777777" w:rsidR="00642E60" w:rsidRPr="006E25C7" w:rsidRDefault="00642E60" w:rsidP="00642E60">
                  <w:pPr>
                    <w:keepNext w:val="0"/>
                    <w:spacing w:before="0"/>
                    <w:rPr>
                      <w:rFonts w:cs="Arial"/>
                      <w:color w:val="auto"/>
                      <w:sz w:val="22"/>
                      <w:szCs w:val="22"/>
                    </w:rPr>
                  </w:pPr>
                  <w:r w:rsidRPr="006E25C7">
                    <w:rPr>
                      <w:rFonts w:cs="Arial"/>
                      <w:color w:val="auto"/>
                      <w:sz w:val="22"/>
                      <w:szCs w:val="22"/>
                    </w:rPr>
                    <w:t>Off Walesby Drive</w:t>
                  </w:r>
                </w:p>
              </w:tc>
              <w:tc>
                <w:tcPr>
                  <w:tcW w:w="1460" w:type="dxa"/>
                  <w:tcBorders>
                    <w:top w:val="nil"/>
                    <w:left w:val="nil"/>
                    <w:bottom w:val="single" w:sz="4" w:space="0" w:color="auto"/>
                    <w:right w:val="single" w:sz="4" w:space="0" w:color="auto"/>
                  </w:tcBorders>
                  <w:shd w:val="clear" w:color="auto" w:fill="auto"/>
                  <w:noWrap/>
                  <w:hideMark/>
                </w:tcPr>
                <w:p w14:paraId="2E6DC885" w14:textId="77777777" w:rsidR="00642E60" w:rsidRPr="006E25C7" w:rsidRDefault="00642E60" w:rsidP="00642E60">
                  <w:pPr>
                    <w:keepNext w:val="0"/>
                    <w:spacing w:before="0"/>
                    <w:jc w:val="center"/>
                    <w:rPr>
                      <w:rFonts w:cs="Arial"/>
                      <w:color w:val="auto"/>
                      <w:sz w:val="22"/>
                      <w:szCs w:val="22"/>
                    </w:rPr>
                  </w:pPr>
                  <w:r w:rsidRPr="006E25C7">
                    <w:rPr>
                      <w:rFonts w:cs="Arial"/>
                      <w:color w:val="auto"/>
                      <w:sz w:val="22"/>
                      <w:szCs w:val="22"/>
                    </w:rPr>
                    <w:t>G</w:t>
                  </w:r>
                </w:p>
              </w:tc>
              <w:tc>
                <w:tcPr>
                  <w:tcW w:w="1600" w:type="dxa"/>
                  <w:tcBorders>
                    <w:top w:val="nil"/>
                    <w:left w:val="nil"/>
                    <w:bottom w:val="single" w:sz="4" w:space="0" w:color="auto"/>
                    <w:right w:val="single" w:sz="4" w:space="0" w:color="auto"/>
                  </w:tcBorders>
                  <w:shd w:val="clear" w:color="auto" w:fill="auto"/>
                  <w:noWrap/>
                  <w:hideMark/>
                </w:tcPr>
                <w:p w14:paraId="44B26B83" w14:textId="295830C4" w:rsidR="00642E60" w:rsidRPr="006E25C7" w:rsidRDefault="00C02B74" w:rsidP="00642E60">
                  <w:pPr>
                    <w:keepNext w:val="0"/>
                    <w:spacing w:before="0"/>
                    <w:jc w:val="center"/>
                    <w:rPr>
                      <w:rFonts w:cs="Arial"/>
                      <w:color w:val="auto"/>
                      <w:sz w:val="22"/>
                      <w:szCs w:val="22"/>
                    </w:rPr>
                  </w:pPr>
                  <w:r w:rsidRPr="006E25C7">
                    <w:rPr>
                      <w:rFonts w:cs="Arial"/>
                      <w:color w:val="auto"/>
                      <w:sz w:val="22"/>
                      <w:szCs w:val="22"/>
                    </w:rPr>
                    <w:t>No</w:t>
                  </w:r>
                </w:p>
              </w:tc>
              <w:tc>
                <w:tcPr>
                  <w:tcW w:w="1220" w:type="dxa"/>
                  <w:tcBorders>
                    <w:top w:val="nil"/>
                    <w:left w:val="nil"/>
                    <w:bottom w:val="single" w:sz="4" w:space="0" w:color="auto"/>
                    <w:right w:val="single" w:sz="4" w:space="0" w:color="auto"/>
                  </w:tcBorders>
                  <w:shd w:val="clear" w:color="auto" w:fill="auto"/>
                  <w:noWrap/>
                  <w:hideMark/>
                </w:tcPr>
                <w:p w14:paraId="0BD3483A" w14:textId="77777777" w:rsidR="00642E60" w:rsidRPr="006E25C7" w:rsidRDefault="00642E60" w:rsidP="00642E60">
                  <w:pPr>
                    <w:keepNext w:val="0"/>
                    <w:spacing w:before="0"/>
                    <w:jc w:val="right"/>
                    <w:rPr>
                      <w:rFonts w:cs="Arial"/>
                      <w:color w:val="auto"/>
                      <w:sz w:val="22"/>
                      <w:szCs w:val="22"/>
                    </w:rPr>
                  </w:pPr>
                  <w:r w:rsidRPr="006E25C7">
                    <w:rPr>
                      <w:rFonts w:cs="Arial"/>
                      <w:color w:val="auto"/>
                      <w:sz w:val="22"/>
                      <w:szCs w:val="22"/>
                    </w:rPr>
                    <w:t>196</w:t>
                  </w:r>
                </w:p>
              </w:tc>
            </w:tr>
            <w:tr w:rsidR="006E25C7" w:rsidRPr="006E25C7" w14:paraId="204D661E" w14:textId="77777777" w:rsidTr="00642E60">
              <w:trPr>
                <w:trHeight w:val="560"/>
                <w:jc w:val="center"/>
              </w:trPr>
              <w:tc>
                <w:tcPr>
                  <w:tcW w:w="760" w:type="dxa"/>
                  <w:tcBorders>
                    <w:top w:val="nil"/>
                    <w:left w:val="single" w:sz="4" w:space="0" w:color="auto"/>
                    <w:bottom w:val="single" w:sz="4" w:space="0" w:color="auto"/>
                    <w:right w:val="single" w:sz="4" w:space="0" w:color="auto"/>
                  </w:tcBorders>
                  <w:shd w:val="clear" w:color="auto" w:fill="auto"/>
                  <w:noWrap/>
                  <w:hideMark/>
                </w:tcPr>
                <w:p w14:paraId="19C53FD0" w14:textId="77777777" w:rsidR="00642E60" w:rsidRPr="006E25C7" w:rsidRDefault="00642E60" w:rsidP="00642E60">
                  <w:pPr>
                    <w:keepNext w:val="0"/>
                    <w:spacing w:before="0"/>
                    <w:rPr>
                      <w:rFonts w:cs="Arial"/>
                      <w:color w:val="auto"/>
                      <w:sz w:val="22"/>
                      <w:szCs w:val="22"/>
                    </w:rPr>
                  </w:pPr>
                  <w:r w:rsidRPr="006E25C7">
                    <w:rPr>
                      <w:rFonts w:cs="Arial"/>
                      <w:color w:val="auto"/>
                      <w:sz w:val="22"/>
                      <w:szCs w:val="22"/>
                    </w:rPr>
                    <w:t>H1Ke</w:t>
                  </w:r>
                </w:p>
              </w:tc>
              <w:tc>
                <w:tcPr>
                  <w:tcW w:w="3660" w:type="dxa"/>
                  <w:tcBorders>
                    <w:top w:val="nil"/>
                    <w:left w:val="nil"/>
                    <w:bottom w:val="single" w:sz="4" w:space="0" w:color="auto"/>
                    <w:right w:val="single" w:sz="4" w:space="0" w:color="auto"/>
                  </w:tcBorders>
                  <w:shd w:val="clear" w:color="auto" w:fill="auto"/>
                  <w:hideMark/>
                </w:tcPr>
                <w:p w14:paraId="3F2DCE7A" w14:textId="77777777" w:rsidR="00642E60" w:rsidRPr="006E25C7" w:rsidRDefault="00642E60" w:rsidP="00642E60">
                  <w:pPr>
                    <w:keepNext w:val="0"/>
                    <w:spacing w:before="0"/>
                    <w:rPr>
                      <w:rFonts w:cs="Arial"/>
                      <w:color w:val="auto"/>
                      <w:sz w:val="22"/>
                      <w:szCs w:val="22"/>
                    </w:rPr>
                  </w:pPr>
                  <w:r w:rsidRPr="006E25C7">
                    <w:rPr>
                      <w:rFonts w:cs="Arial"/>
                      <w:color w:val="auto"/>
                      <w:sz w:val="22"/>
                      <w:szCs w:val="22"/>
                    </w:rPr>
                    <w:t>Land off Diamond Avenue, Kirkby-In-Ashfield</w:t>
                  </w:r>
                </w:p>
              </w:tc>
              <w:tc>
                <w:tcPr>
                  <w:tcW w:w="1460" w:type="dxa"/>
                  <w:tcBorders>
                    <w:top w:val="nil"/>
                    <w:left w:val="nil"/>
                    <w:bottom w:val="single" w:sz="4" w:space="0" w:color="auto"/>
                    <w:right w:val="single" w:sz="4" w:space="0" w:color="auto"/>
                  </w:tcBorders>
                  <w:shd w:val="clear" w:color="auto" w:fill="auto"/>
                  <w:noWrap/>
                  <w:hideMark/>
                </w:tcPr>
                <w:p w14:paraId="5B56F5D6" w14:textId="77777777" w:rsidR="00642E60" w:rsidRPr="006E25C7" w:rsidRDefault="00642E60" w:rsidP="00642E60">
                  <w:pPr>
                    <w:keepNext w:val="0"/>
                    <w:spacing w:before="0"/>
                    <w:jc w:val="center"/>
                    <w:rPr>
                      <w:rFonts w:cs="Arial"/>
                      <w:color w:val="auto"/>
                      <w:sz w:val="22"/>
                      <w:szCs w:val="22"/>
                    </w:rPr>
                  </w:pPr>
                  <w:r w:rsidRPr="006E25C7">
                    <w:rPr>
                      <w:rFonts w:cs="Arial"/>
                      <w:color w:val="auto"/>
                      <w:sz w:val="22"/>
                      <w:szCs w:val="22"/>
                    </w:rPr>
                    <w:t>G</w:t>
                  </w:r>
                </w:p>
              </w:tc>
              <w:tc>
                <w:tcPr>
                  <w:tcW w:w="1600" w:type="dxa"/>
                  <w:tcBorders>
                    <w:top w:val="nil"/>
                    <w:left w:val="nil"/>
                    <w:bottom w:val="single" w:sz="4" w:space="0" w:color="auto"/>
                    <w:right w:val="single" w:sz="4" w:space="0" w:color="auto"/>
                  </w:tcBorders>
                  <w:shd w:val="clear" w:color="auto" w:fill="auto"/>
                  <w:noWrap/>
                  <w:hideMark/>
                </w:tcPr>
                <w:p w14:paraId="3221F294" w14:textId="77777777" w:rsidR="00642E60" w:rsidRPr="006E25C7" w:rsidRDefault="00642E60" w:rsidP="00642E60">
                  <w:pPr>
                    <w:keepNext w:val="0"/>
                    <w:spacing w:before="0"/>
                    <w:jc w:val="center"/>
                    <w:rPr>
                      <w:rFonts w:cs="Arial"/>
                      <w:color w:val="auto"/>
                      <w:sz w:val="22"/>
                      <w:szCs w:val="22"/>
                    </w:rPr>
                  </w:pPr>
                  <w:r w:rsidRPr="006E25C7">
                    <w:rPr>
                      <w:rFonts w:cs="Arial"/>
                      <w:color w:val="auto"/>
                      <w:sz w:val="22"/>
                      <w:szCs w:val="22"/>
                    </w:rPr>
                    <w:t>No</w:t>
                  </w:r>
                </w:p>
              </w:tc>
              <w:tc>
                <w:tcPr>
                  <w:tcW w:w="1220" w:type="dxa"/>
                  <w:tcBorders>
                    <w:top w:val="nil"/>
                    <w:left w:val="nil"/>
                    <w:bottom w:val="single" w:sz="4" w:space="0" w:color="auto"/>
                    <w:right w:val="single" w:sz="4" w:space="0" w:color="auto"/>
                  </w:tcBorders>
                  <w:shd w:val="clear" w:color="auto" w:fill="auto"/>
                  <w:noWrap/>
                  <w:hideMark/>
                </w:tcPr>
                <w:p w14:paraId="5B63D774" w14:textId="77777777" w:rsidR="00642E60" w:rsidRPr="006E25C7" w:rsidRDefault="00642E60" w:rsidP="00642E60">
                  <w:pPr>
                    <w:keepNext w:val="0"/>
                    <w:spacing w:before="0"/>
                    <w:jc w:val="right"/>
                    <w:rPr>
                      <w:rFonts w:cs="Arial"/>
                      <w:color w:val="auto"/>
                      <w:sz w:val="22"/>
                      <w:szCs w:val="22"/>
                    </w:rPr>
                  </w:pPr>
                  <w:r w:rsidRPr="006E25C7">
                    <w:rPr>
                      <w:rFonts w:cs="Arial"/>
                      <w:color w:val="auto"/>
                      <w:sz w:val="22"/>
                      <w:szCs w:val="22"/>
                    </w:rPr>
                    <w:t>63</w:t>
                  </w:r>
                </w:p>
              </w:tc>
            </w:tr>
            <w:tr w:rsidR="006E25C7" w:rsidRPr="006E25C7" w14:paraId="7CD5F5D3" w14:textId="77777777" w:rsidTr="00642E60">
              <w:trPr>
                <w:trHeight w:val="280"/>
                <w:jc w:val="center"/>
              </w:trPr>
              <w:tc>
                <w:tcPr>
                  <w:tcW w:w="760" w:type="dxa"/>
                  <w:tcBorders>
                    <w:top w:val="nil"/>
                    <w:left w:val="single" w:sz="4" w:space="0" w:color="auto"/>
                    <w:bottom w:val="single" w:sz="4" w:space="0" w:color="auto"/>
                    <w:right w:val="single" w:sz="4" w:space="0" w:color="auto"/>
                  </w:tcBorders>
                  <w:shd w:val="clear" w:color="auto" w:fill="auto"/>
                  <w:noWrap/>
                  <w:hideMark/>
                </w:tcPr>
                <w:p w14:paraId="545352BB" w14:textId="77777777" w:rsidR="00642E60" w:rsidRPr="006E25C7" w:rsidRDefault="00642E60" w:rsidP="00642E60">
                  <w:pPr>
                    <w:keepNext w:val="0"/>
                    <w:spacing w:before="0"/>
                    <w:rPr>
                      <w:rFonts w:cs="Arial"/>
                      <w:color w:val="auto"/>
                      <w:sz w:val="22"/>
                      <w:szCs w:val="22"/>
                    </w:rPr>
                  </w:pPr>
                  <w:r w:rsidRPr="006E25C7">
                    <w:rPr>
                      <w:rFonts w:cs="Arial"/>
                      <w:color w:val="auto"/>
                      <w:sz w:val="22"/>
                      <w:szCs w:val="22"/>
                    </w:rPr>
                    <w:t>H1Kf</w:t>
                  </w:r>
                </w:p>
              </w:tc>
              <w:tc>
                <w:tcPr>
                  <w:tcW w:w="3660" w:type="dxa"/>
                  <w:tcBorders>
                    <w:top w:val="nil"/>
                    <w:left w:val="nil"/>
                    <w:bottom w:val="single" w:sz="4" w:space="0" w:color="auto"/>
                    <w:right w:val="single" w:sz="4" w:space="0" w:color="auto"/>
                  </w:tcBorders>
                  <w:shd w:val="clear" w:color="auto" w:fill="auto"/>
                  <w:hideMark/>
                </w:tcPr>
                <w:p w14:paraId="1B99B4DD" w14:textId="77777777" w:rsidR="00642E60" w:rsidRPr="006E25C7" w:rsidRDefault="00642E60" w:rsidP="00642E60">
                  <w:pPr>
                    <w:keepNext w:val="0"/>
                    <w:spacing w:before="0"/>
                    <w:rPr>
                      <w:rFonts w:cs="Arial"/>
                      <w:color w:val="auto"/>
                      <w:sz w:val="22"/>
                      <w:szCs w:val="22"/>
                    </w:rPr>
                  </w:pPr>
                  <w:r w:rsidRPr="006E25C7">
                    <w:rPr>
                      <w:rFonts w:cs="Arial"/>
                      <w:color w:val="auto"/>
                      <w:sz w:val="22"/>
                      <w:szCs w:val="22"/>
                    </w:rPr>
                    <w:t>Warwick Close, Kirkby-In-Ashfield</w:t>
                  </w:r>
                </w:p>
              </w:tc>
              <w:tc>
                <w:tcPr>
                  <w:tcW w:w="1460" w:type="dxa"/>
                  <w:tcBorders>
                    <w:top w:val="nil"/>
                    <w:left w:val="nil"/>
                    <w:bottom w:val="single" w:sz="4" w:space="0" w:color="auto"/>
                    <w:right w:val="single" w:sz="4" w:space="0" w:color="auto"/>
                  </w:tcBorders>
                  <w:shd w:val="clear" w:color="auto" w:fill="auto"/>
                  <w:noWrap/>
                  <w:hideMark/>
                </w:tcPr>
                <w:p w14:paraId="72BC4F75" w14:textId="77777777" w:rsidR="00642E60" w:rsidRPr="006E25C7" w:rsidRDefault="00642E60" w:rsidP="00642E60">
                  <w:pPr>
                    <w:keepNext w:val="0"/>
                    <w:spacing w:before="0"/>
                    <w:jc w:val="center"/>
                    <w:rPr>
                      <w:rFonts w:cs="Arial"/>
                      <w:color w:val="auto"/>
                      <w:sz w:val="22"/>
                      <w:szCs w:val="22"/>
                    </w:rPr>
                  </w:pPr>
                  <w:r w:rsidRPr="006E25C7">
                    <w:rPr>
                      <w:rFonts w:cs="Arial"/>
                      <w:color w:val="auto"/>
                      <w:sz w:val="22"/>
                      <w:szCs w:val="22"/>
                    </w:rPr>
                    <w:t>B</w:t>
                  </w:r>
                </w:p>
              </w:tc>
              <w:tc>
                <w:tcPr>
                  <w:tcW w:w="1600" w:type="dxa"/>
                  <w:tcBorders>
                    <w:top w:val="nil"/>
                    <w:left w:val="nil"/>
                    <w:bottom w:val="single" w:sz="4" w:space="0" w:color="auto"/>
                    <w:right w:val="single" w:sz="4" w:space="0" w:color="auto"/>
                  </w:tcBorders>
                  <w:shd w:val="clear" w:color="auto" w:fill="auto"/>
                  <w:noWrap/>
                  <w:hideMark/>
                </w:tcPr>
                <w:p w14:paraId="3D413F27" w14:textId="77777777" w:rsidR="00642E60" w:rsidRPr="006E25C7" w:rsidRDefault="00642E60" w:rsidP="00642E60">
                  <w:pPr>
                    <w:keepNext w:val="0"/>
                    <w:spacing w:before="0"/>
                    <w:jc w:val="center"/>
                    <w:rPr>
                      <w:rFonts w:cs="Arial"/>
                      <w:color w:val="auto"/>
                      <w:sz w:val="22"/>
                      <w:szCs w:val="22"/>
                    </w:rPr>
                  </w:pPr>
                  <w:r w:rsidRPr="006E25C7">
                    <w:rPr>
                      <w:rFonts w:cs="Arial"/>
                      <w:color w:val="auto"/>
                      <w:sz w:val="22"/>
                      <w:szCs w:val="22"/>
                    </w:rPr>
                    <w:t>Yes</w:t>
                  </w:r>
                </w:p>
              </w:tc>
              <w:tc>
                <w:tcPr>
                  <w:tcW w:w="1220" w:type="dxa"/>
                  <w:tcBorders>
                    <w:top w:val="nil"/>
                    <w:left w:val="nil"/>
                    <w:bottom w:val="single" w:sz="4" w:space="0" w:color="auto"/>
                    <w:right w:val="single" w:sz="4" w:space="0" w:color="auto"/>
                  </w:tcBorders>
                  <w:shd w:val="clear" w:color="auto" w:fill="auto"/>
                  <w:noWrap/>
                  <w:hideMark/>
                </w:tcPr>
                <w:p w14:paraId="0B209A8E" w14:textId="77777777" w:rsidR="00642E60" w:rsidRPr="006E25C7" w:rsidRDefault="00642E60" w:rsidP="00642E60">
                  <w:pPr>
                    <w:keepNext w:val="0"/>
                    <w:spacing w:before="0"/>
                    <w:jc w:val="right"/>
                    <w:rPr>
                      <w:rFonts w:cs="Arial"/>
                      <w:color w:val="auto"/>
                      <w:sz w:val="22"/>
                      <w:szCs w:val="22"/>
                    </w:rPr>
                  </w:pPr>
                  <w:r w:rsidRPr="006E25C7">
                    <w:rPr>
                      <w:rFonts w:cs="Arial"/>
                      <w:color w:val="auto"/>
                      <w:sz w:val="22"/>
                      <w:szCs w:val="22"/>
                    </w:rPr>
                    <w:t>34</w:t>
                  </w:r>
                </w:p>
              </w:tc>
            </w:tr>
            <w:tr w:rsidR="006E25C7" w:rsidRPr="006E25C7" w14:paraId="5DC0D83F" w14:textId="77777777" w:rsidTr="00642E60">
              <w:trPr>
                <w:trHeight w:val="560"/>
                <w:jc w:val="center"/>
              </w:trPr>
              <w:tc>
                <w:tcPr>
                  <w:tcW w:w="760" w:type="dxa"/>
                  <w:tcBorders>
                    <w:top w:val="nil"/>
                    <w:left w:val="single" w:sz="4" w:space="0" w:color="auto"/>
                    <w:bottom w:val="single" w:sz="4" w:space="0" w:color="auto"/>
                    <w:right w:val="single" w:sz="4" w:space="0" w:color="auto"/>
                  </w:tcBorders>
                  <w:shd w:val="clear" w:color="auto" w:fill="auto"/>
                  <w:noWrap/>
                  <w:hideMark/>
                </w:tcPr>
                <w:p w14:paraId="3744A15B" w14:textId="77777777" w:rsidR="00642E60" w:rsidRPr="006E25C7" w:rsidRDefault="00642E60" w:rsidP="00642E60">
                  <w:pPr>
                    <w:keepNext w:val="0"/>
                    <w:spacing w:before="0"/>
                    <w:rPr>
                      <w:rFonts w:cs="Arial"/>
                      <w:color w:val="auto"/>
                      <w:sz w:val="22"/>
                      <w:szCs w:val="22"/>
                    </w:rPr>
                  </w:pPr>
                  <w:r w:rsidRPr="006E25C7">
                    <w:rPr>
                      <w:rFonts w:cs="Arial"/>
                      <w:color w:val="auto"/>
                      <w:sz w:val="22"/>
                      <w:szCs w:val="22"/>
                    </w:rPr>
                    <w:t>H1Kg</w:t>
                  </w:r>
                </w:p>
              </w:tc>
              <w:tc>
                <w:tcPr>
                  <w:tcW w:w="3660" w:type="dxa"/>
                  <w:tcBorders>
                    <w:top w:val="nil"/>
                    <w:left w:val="nil"/>
                    <w:bottom w:val="single" w:sz="4" w:space="0" w:color="auto"/>
                    <w:right w:val="single" w:sz="4" w:space="0" w:color="auto"/>
                  </w:tcBorders>
                  <w:shd w:val="clear" w:color="auto" w:fill="auto"/>
                  <w:hideMark/>
                </w:tcPr>
                <w:p w14:paraId="5EEEE3B8" w14:textId="77777777" w:rsidR="00642E60" w:rsidRPr="006E25C7" w:rsidRDefault="00642E60" w:rsidP="00642E60">
                  <w:pPr>
                    <w:keepNext w:val="0"/>
                    <w:spacing w:before="0"/>
                    <w:rPr>
                      <w:rFonts w:cs="Arial"/>
                      <w:color w:val="auto"/>
                      <w:sz w:val="22"/>
                      <w:szCs w:val="22"/>
                    </w:rPr>
                  </w:pPr>
                  <w:r w:rsidRPr="006E25C7">
                    <w:rPr>
                      <w:rFonts w:cs="Arial"/>
                      <w:color w:val="auto"/>
                      <w:sz w:val="22"/>
                      <w:szCs w:val="22"/>
                    </w:rPr>
                    <w:t>Land behind 126 Skegby Road, Kirkby-In-Ashfield</w:t>
                  </w:r>
                </w:p>
              </w:tc>
              <w:tc>
                <w:tcPr>
                  <w:tcW w:w="1460" w:type="dxa"/>
                  <w:tcBorders>
                    <w:top w:val="nil"/>
                    <w:left w:val="nil"/>
                    <w:bottom w:val="single" w:sz="4" w:space="0" w:color="auto"/>
                    <w:right w:val="single" w:sz="4" w:space="0" w:color="auto"/>
                  </w:tcBorders>
                  <w:shd w:val="clear" w:color="auto" w:fill="auto"/>
                  <w:noWrap/>
                  <w:hideMark/>
                </w:tcPr>
                <w:p w14:paraId="0DA2E483" w14:textId="77777777" w:rsidR="00642E60" w:rsidRPr="006E25C7" w:rsidRDefault="00642E60" w:rsidP="00642E60">
                  <w:pPr>
                    <w:keepNext w:val="0"/>
                    <w:spacing w:before="0"/>
                    <w:jc w:val="center"/>
                    <w:rPr>
                      <w:rFonts w:cs="Arial"/>
                      <w:color w:val="auto"/>
                      <w:sz w:val="22"/>
                      <w:szCs w:val="22"/>
                    </w:rPr>
                  </w:pPr>
                  <w:r w:rsidRPr="006E25C7">
                    <w:rPr>
                      <w:rFonts w:cs="Arial"/>
                      <w:color w:val="auto"/>
                      <w:sz w:val="22"/>
                      <w:szCs w:val="22"/>
                    </w:rPr>
                    <w:t>G</w:t>
                  </w:r>
                </w:p>
              </w:tc>
              <w:tc>
                <w:tcPr>
                  <w:tcW w:w="1600" w:type="dxa"/>
                  <w:tcBorders>
                    <w:top w:val="nil"/>
                    <w:left w:val="nil"/>
                    <w:bottom w:val="single" w:sz="4" w:space="0" w:color="auto"/>
                    <w:right w:val="single" w:sz="4" w:space="0" w:color="auto"/>
                  </w:tcBorders>
                  <w:shd w:val="clear" w:color="auto" w:fill="auto"/>
                  <w:noWrap/>
                  <w:hideMark/>
                </w:tcPr>
                <w:p w14:paraId="3D2520D3" w14:textId="77777777" w:rsidR="00642E60" w:rsidRPr="006E25C7" w:rsidRDefault="00642E60" w:rsidP="00642E60">
                  <w:pPr>
                    <w:keepNext w:val="0"/>
                    <w:spacing w:before="0"/>
                    <w:jc w:val="center"/>
                    <w:rPr>
                      <w:rFonts w:cs="Arial"/>
                      <w:color w:val="auto"/>
                      <w:sz w:val="22"/>
                      <w:szCs w:val="22"/>
                    </w:rPr>
                  </w:pPr>
                  <w:r w:rsidRPr="006E25C7">
                    <w:rPr>
                      <w:rFonts w:cs="Arial"/>
                      <w:color w:val="auto"/>
                      <w:sz w:val="22"/>
                      <w:szCs w:val="22"/>
                    </w:rPr>
                    <w:t>No</w:t>
                  </w:r>
                </w:p>
              </w:tc>
              <w:tc>
                <w:tcPr>
                  <w:tcW w:w="1220" w:type="dxa"/>
                  <w:tcBorders>
                    <w:top w:val="nil"/>
                    <w:left w:val="nil"/>
                    <w:bottom w:val="single" w:sz="4" w:space="0" w:color="auto"/>
                    <w:right w:val="single" w:sz="4" w:space="0" w:color="auto"/>
                  </w:tcBorders>
                  <w:shd w:val="clear" w:color="auto" w:fill="auto"/>
                  <w:noWrap/>
                  <w:hideMark/>
                </w:tcPr>
                <w:p w14:paraId="54691113" w14:textId="77777777" w:rsidR="00642E60" w:rsidRPr="006E25C7" w:rsidRDefault="00642E60" w:rsidP="00642E60">
                  <w:pPr>
                    <w:keepNext w:val="0"/>
                    <w:spacing w:before="0"/>
                    <w:jc w:val="right"/>
                    <w:rPr>
                      <w:rFonts w:cs="Arial"/>
                      <w:color w:val="auto"/>
                      <w:sz w:val="22"/>
                      <w:szCs w:val="22"/>
                    </w:rPr>
                  </w:pPr>
                  <w:r w:rsidRPr="006E25C7">
                    <w:rPr>
                      <w:rFonts w:cs="Arial"/>
                      <w:color w:val="auto"/>
                      <w:sz w:val="22"/>
                      <w:szCs w:val="22"/>
                    </w:rPr>
                    <w:t>15</w:t>
                  </w:r>
                </w:p>
              </w:tc>
            </w:tr>
            <w:tr w:rsidR="006E25C7" w:rsidRPr="006E25C7" w14:paraId="1B0E325B" w14:textId="77777777" w:rsidTr="00642E60">
              <w:trPr>
                <w:trHeight w:val="280"/>
                <w:jc w:val="center"/>
              </w:trPr>
              <w:tc>
                <w:tcPr>
                  <w:tcW w:w="760" w:type="dxa"/>
                  <w:tcBorders>
                    <w:top w:val="nil"/>
                    <w:left w:val="single" w:sz="4" w:space="0" w:color="auto"/>
                    <w:bottom w:val="single" w:sz="4" w:space="0" w:color="auto"/>
                    <w:right w:val="single" w:sz="4" w:space="0" w:color="auto"/>
                  </w:tcBorders>
                  <w:shd w:val="clear" w:color="auto" w:fill="auto"/>
                  <w:noWrap/>
                  <w:hideMark/>
                </w:tcPr>
                <w:p w14:paraId="4A34DAA1" w14:textId="77777777" w:rsidR="00642E60" w:rsidRPr="006E25C7" w:rsidRDefault="00642E60" w:rsidP="00642E60">
                  <w:pPr>
                    <w:keepNext w:val="0"/>
                    <w:spacing w:before="0"/>
                    <w:rPr>
                      <w:rFonts w:cs="Arial"/>
                      <w:color w:val="auto"/>
                      <w:sz w:val="22"/>
                      <w:szCs w:val="22"/>
                    </w:rPr>
                  </w:pPr>
                  <w:r w:rsidRPr="006E25C7">
                    <w:rPr>
                      <w:rFonts w:cs="Arial"/>
                      <w:color w:val="auto"/>
                      <w:sz w:val="22"/>
                      <w:szCs w:val="22"/>
                    </w:rPr>
                    <w:t>H1Kh</w:t>
                  </w:r>
                </w:p>
              </w:tc>
              <w:tc>
                <w:tcPr>
                  <w:tcW w:w="3660" w:type="dxa"/>
                  <w:tcBorders>
                    <w:top w:val="nil"/>
                    <w:left w:val="nil"/>
                    <w:bottom w:val="single" w:sz="4" w:space="0" w:color="auto"/>
                    <w:right w:val="single" w:sz="4" w:space="0" w:color="auto"/>
                  </w:tcBorders>
                  <w:shd w:val="clear" w:color="auto" w:fill="auto"/>
                  <w:hideMark/>
                </w:tcPr>
                <w:p w14:paraId="68B421FC" w14:textId="77777777" w:rsidR="00642E60" w:rsidRPr="006E25C7" w:rsidRDefault="00642E60" w:rsidP="00642E60">
                  <w:pPr>
                    <w:keepNext w:val="0"/>
                    <w:spacing w:before="0"/>
                    <w:rPr>
                      <w:rFonts w:cs="Arial"/>
                      <w:color w:val="auto"/>
                      <w:sz w:val="22"/>
                      <w:szCs w:val="22"/>
                    </w:rPr>
                  </w:pPr>
                  <w:r w:rsidRPr="006E25C7">
                    <w:rPr>
                      <w:rFonts w:cs="Arial"/>
                      <w:color w:val="auto"/>
                      <w:sz w:val="22"/>
                      <w:szCs w:val="22"/>
                    </w:rPr>
                    <w:t>Land Off Hucknall Road, Newstead</w:t>
                  </w:r>
                </w:p>
              </w:tc>
              <w:tc>
                <w:tcPr>
                  <w:tcW w:w="1460" w:type="dxa"/>
                  <w:tcBorders>
                    <w:top w:val="nil"/>
                    <w:left w:val="nil"/>
                    <w:bottom w:val="single" w:sz="4" w:space="0" w:color="auto"/>
                    <w:right w:val="single" w:sz="4" w:space="0" w:color="auto"/>
                  </w:tcBorders>
                  <w:shd w:val="clear" w:color="auto" w:fill="auto"/>
                  <w:noWrap/>
                  <w:hideMark/>
                </w:tcPr>
                <w:p w14:paraId="6188B608" w14:textId="77777777" w:rsidR="00642E60" w:rsidRPr="006E25C7" w:rsidRDefault="00642E60" w:rsidP="00642E60">
                  <w:pPr>
                    <w:keepNext w:val="0"/>
                    <w:spacing w:before="0"/>
                    <w:jc w:val="center"/>
                    <w:rPr>
                      <w:rFonts w:cs="Arial"/>
                      <w:color w:val="auto"/>
                      <w:sz w:val="22"/>
                      <w:szCs w:val="22"/>
                    </w:rPr>
                  </w:pPr>
                  <w:r w:rsidRPr="006E25C7">
                    <w:rPr>
                      <w:rFonts w:cs="Arial"/>
                      <w:color w:val="auto"/>
                      <w:sz w:val="22"/>
                      <w:szCs w:val="22"/>
                    </w:rPr>
                    <w:t>G</w:t>
                  </w:r>
                </w:p>
              </w:tc>
              <w:tc>
                <w:tcPr>
                  <w:tcW w:w="1600" w:type="dxa"/>
                  <w:tcBorders>
                    <w:top w:val="nil"/>
                    <w:left w:val="nil"/>
                    <w:bottom w:val="single" w:sz="4" w:space="0" w:color="auto"/>
                    <w:right w:val="single" w:sz="4" w:space="0" w:color="auto"/>
                  </w:tcBorders>
                  <w:shd w:val="clear" w:color="auto" w:fill="auto"/>
                  <w:noWrap/>
                  <w:hideMark/>
                </w:tcPr>
                <w:p w14:paraId="54BC49EA" w14:textId="77777777" w:rsidR="00642E60" w:rsidRPr="006E25C7" w:rsidRDefault="00642E60" w:rsidP="00642E60">
                  <w:pPr>
                    <w:keepNext w:val="0"/>
                    <w:spacing w:before="0"/>
                    <w:jc w:val="center"/>
                    <w:rPr>
                      <w:rFonts w:cs="Arial"/>
                      <w:color w:val="auto"/>
                      <w:sz w:val="22"/>
                      <w:szCs w:val="22"/>
                    </w:rPr>
                  </w:pPr>
                  <w:r w:rsidRPr="006E25C7">
                    <w:rPr>
                      <w:rFonts w:cs="Arial"/>
                      <w:color w:val="auto"/>
                      <w:sz w:val="22"/>
                      <w:szCs w:val="22"/>
                    </w:rPr>
                    <w:t>No</w:t>
                  </w:r>
                </w:p>
              </w:tc>
              <w:tc>
                <w:tcPr>
                  <w:tcW w:w="1220" w:type="dxa"/>
                  <w:tcBorders>
                    <w:top w:val="nil"/>
                    <w:left w:val="nil"/>
                    <w:bottom w:val="single" w:sz="4" w:space="0" w:color="auto"/>
                    <w:right w:val="single" w:sz="4" w:space="0" w:color="auto"/>
                  </w:tcBorders>
                  <w:shd w:val="clear" w:color="auto" w:fill="auto"/>
                  <w:noWrap/>
                  <w:hideMark/>
                </w:tcPr>
                <w:p w14:paraId="566C7D42" w14:textId="77777777" w:rsidR="00642E60" w:rsidRPr="006E25C7" w:rsidRDefault="00642E60" w:rsidP="00642E60">
                  <w:pPr>
                    <w:keepNext w:val="0"/>
                    <w:spacing w:before="0"/>
                    <w:jc w:val="right"/>
                    <w:rPr>
                      <w:rFonts w:cs="Arial"/>
                      <w:color w:val="auto"/>
                      <w:sz w:val="22"/>
                      <w:szCs w:val="22"/>
                    </w:rPr>
                  </w:pPr>
                  <w:r w:rsidRPr="006E25C7">
                    <w:rPr>
                      <w:rFonts w:cs="Arial"/>
                      <w:color w:val="auto"/>
                      <w:sz w:val="22"/>
                      <w:szCs w:val="22"/>
                    </w:rPr>
                    <w:t>47</w:t>
                  </w:r>
                </w:p>
              </w:tc>
            </w:tr>
            <w:tr w:rsidR="006E25C7" w:rsidRPr="006E25C7" w14:paraId="0C1DD22D" w14:textId="77777777" w:rsidTr="00642E60">
              <w:trPr>
                <w:trHeight w:val="410"/>
                <w:jc w:val="center"/>
              </w:trPr>
              <w:tc>
                <w:tcPr>
                  <w:tcW w:w="760" w:type="dxa"/>
                  <w:tcBorders>
                    <w:top w:val="nil"/>
                    <w:left w:val="single" w:sz="4" w:space="0" w:color="auto"/>
                    <w:bottom w:val="single" w:sz="4" w:space="0" w:color="auto"/>
                    <w:right w:val="single" w:sz="4" w:space="0" w:color="auto"/>
                  </w:tcBorders>
                  <w:shd w:val="clear" w:color="auto" w:fill="auto"/>
                  <w:noWrap/>
                </w:tcPr>
                <w:p w14:paraId="0273B429" w14:textId="34A9C236" w:rsidR="0051086F" w:rsidRPr="006E25C7" w:rsidRDefault="0051086F" w:rsidP="00642E60">
                  <w:pPr>
                    <w:keepNext w:val="0"/>
                    <w:spacing w:before="0"/>
                    <w:rPr>
                      <w:rFonts w:cs="Arial"/>
                      <w:color w:val="auto"/>
                      <w:sz w:val="22"/>
                      <w:szCs w:val="22"/>
                    </w:rPr>
                  </w:pPr>
                  <w:r w:rsidRPr="006E25C7">
                    <w:rPr>
                      <w:rFonts w:cs="Arial"/>
                      <w:color w:val="auto"/>
                      <w:sz w:val="22"/>
                      <w:szCs w:val="22"/>
                    </w:rPr>
                    <w:t>H1Kk</w:t>
                  </w:r>
                </w:p>
              </w:tc>
              <w:tc>
                <w:tcPr>
                  <w:tcW w:w="3660" w:type="dxa"/>
                  <w:tcBorders>
                    <w:top w:val="nil"/>
                    <w:left w:val="nil"/>
                    <w:bottom w:val="single" w:sz="4" w:space="0" w:color="auto"/>
                    <w:right w:val="single" w:sz="4" w:space="0" w:color="auto"/>
                  </w:tcBorders>
                  <w:shd w:val="clear" w:color="auto" w:fill="auto"/>
                </w:tcPr>
                <w:p w14:paraId="2BD34464" w14:textId="3FA69836" w:rsidR="0051086F" w:rsidRPr="006E25C7" w:rsidRDefault="0051086F" w:rsidP="00642E60">
                  <w:pPr>
                    <w:keepNext w:val="0"/>
                    <w:spacing w:before="0"/>
                    <w:rPr>
                      <w:rFonts w:cs="Arial"/>
                      <w:color w:val="auto"/>
                      <w:sz w:val="22"/>
                      <w:szCs w:val="22"/>
                    </w:rPr>
                  </w:pPr>
                  <w:r w:rsidRPr="006E25C7">
                    <w:rPr>
                      <w:rFonts w:cs="Arial"/>
                      <w:color w:val="auto"/>
                      <w:sz w:val="22"/>
                      <w:szCs w:val="22"/>
                    </w:rPr>
                    <w:t>Land off Laburnum Avenue, Kirkby</w:t>
                  </w:r>
                </w:p>
              </w:tc>
              <w:tc>
                <w:tcPr>
                  <w:tcW w:w="1460" w:type="dxa"/>
                  <w:tcBorders>
                    <w:top w:val="nil"/>
                    <w:left w:val="nil"/>
                    <w:bottom w:val="single" w:sz="4" w:space="0" w:color="auto"/>
                    <w:right w:val="single" w:sz="4" w:space="0" w:color="auto"/>
                  </w:tcBorders>
                  <w:shd w:val="clear" w:color="auto" w:fill="auto"/>
                  <w:noWrap/>
                </w:tcPr>
                <w:p w14:paraId="62F36C59" w14:textId="752A1393" w:rsidR="0051086F" w:rsidRPr="006E25C7" w:rsidRDefault="0051086F" w:rsidP="00642E60">
                  <w:pPr>
                    <w:keepNext w:val="0"/>
                    <w:spacing w:before="0"/>
                    <w:jc w:val="center"/>
                    <w:rPr>
                      <w:rFonts w:cs="Arial"/>
                      <w:color w:val="auto"/>
                      <w:sz w:val="22"/>
                      <w:szCs w:val="22"/>
                    </w:rPr>
                  </w:pPr>
                  <w:r w:rsidRPr="006E25C7">
                    <w:rPr>
                      <w:rFonts w:cs="Arial"/>
                      <w:color w:val="auto"/>
                      <w:sz w:val="22"/>
                      <w:szCs w:val="22"/>
                    </w:rPr>
                    <w:t>G</w:t>
                  </w:r>
                </w:p>
              </w:tc>
              <w:tc>
                <w:tcPr>
                  <w:tcW w:w="1600" w:type="dxa"/>
                  <w:tcBorders>
                    <w:top w:val="nil"/>
                    <w:left w:val="nil"/>
                    <w:bottom w:val="single" w:sz="4" w:space="0" w:color="auto"/>
                    <w:right w:val="single" w:sz="4" w:space="0" w:color="auto"/>
                  </w:tcBorders>
                  <w:shd w:val="clear" w:color="auto" w:fill="auto"/>
                  <w:noWrap/>
                </w:tcPr>
                <w:p w14:paraId="2F906FC5" w14:textId="6384B2D0" w:rsidR="0051086F" w:rsidRPr="006E25C7" w:rsidRDefault="0051086F" w:rsidP="00642E60">
                  <w:pPr>
                    <w:keepNext w:val="0"/>
                    <w:spacing w:before="0"/>
                    <w:jc w:val="center"/>
                    <w:rPr>
                      <w:rFonts w:cs="Arial"/>
                      <w:color w:val="auto"/>
                      <w:sz w:val="22"/>
                      <w:szCs w:val="22"/>
                    </w:rPr>
                  </w:pPr>
                  <w:r w:rsidRPr="006E25C7">
                    <w:rPr>
                      <w:rFonts w:cs="Arial"/>
                      <w:color w:val="auto"/>
                      <w:sz w:val="22"/>
                      <w:szCs w:val="22"/>
                    </w:rPr>
                    <w:t>No</w:t>
                  </w:r>
                </w:p>
              </w:tc>
              <w:tc>
                <w:tcPr>
                  <w:tcW w:w="1220" w:type="dxa"/>
                  <w:tcBorders>
                    <w:top w:val="nil"/>
                    <w:left w:val="nil"/>
                    <w:bottom w:val="single" w:sz="4" w:space="0" w:color="auto"/>
                    <w:right w:val="single" w:sz="4" w:space="0" w:color="auto"/>
                  </w:tcBorders>
                  <w:shd w:val="clear" w:color="auto" w:fill="auto"/>
                  <w:noWrap/>
                  <w:vAlign w:val="center"/>
                </w:tcPr>
                <w:p w14:paraId="531C9F73" w14:textId="6CA56640" w:rsidR="0051086F" w:rsidRPr="006E25C7" w:rsidRDefault="0051086F" w:rsidP="00642E60">
                  <w:pPr>
                    <w:keepNext w:val="0"/>
                    <w:spacing w:before="0"/>
                    <w:jc w:val="right"/>
                    <w:rPr>
                      <w:rFonts w:cs="Arial"/>
                      <w:b/>
                      <w:bCs/>
                      <w:color w:val="auto"/>
                      <w:sz w:val="22"/>
                      <w:szCs w:val="22"/>
                    </w:rPr>
                  </w:pPr>
                  <w:r w:rsidRPr="006E25C7">
                    <w:rPr>
                      <w:rFonts w:cs="Arial"/>
                      <w:b/>
                      <w:bCs/>
                      <w:color w:val="auto"/>
                      <w:sz w:val="22"/>
                      <w:szCs w:val="22"/>
                    </w:rPr>
                    <w:t>38</w:t>
                  </w:r>
                </w:p>
              </w:tc>
            </w:tr>
            <w:tr w:rsidR="006E25C7" w:rsidRPr="006E25C7" w14:paraId="10CF3A72" w14:textId="77777777" w:rsidTr="00642E60">
              <w:trPr>
                <w:trHeight w:val="410"/>
                <w:jc w:val="center"/>
              </w:trPr>
              <w:tc>
                <w:tcPr>
                  <w:tcW w:w="760" w:type="dxa"/>
                  <w:tcBorders>
                    <w:top w:val="nil"/>
                    <w:left w:val="single" w:sz="4" w:space="0" w:color="auto"/>
                    <w:bottom w:val="single" w:sz="4" w:space="0" w:color="auto"/>
                    <w:right w:val="single" w:sz="4" w:space="0" w:color="auto"/>
                  </w:tcBorders>
                  <w:shd w:val="clear" w:color="auto" w:fill="auto"/>
                  <w:noWrap/>
                  <w:hideMark/>
                </w:tcPr>
                <w:p w14:paraId="0AAE9DAF" w14:textId="77777777" w:rsidR="00642E60" w:rsidRPr="006E25C7" w:rsidRDefault="00642E60" w:rsidP="00642E60">
                  <w:pPr>
                    <w:keepNext w:val="0"/>
                    <w:spacing w:before="0"/>
                    <w:rPr>
                      <w:rFonts w:cs="Arial"/>
                      <w:color w:val="auto"/>
                      <w:sz w:val="22"/>
                      <w:szCs w:val="22"/>
                    </w:rPr>
                  </w:pPr>
                  <w:r w:rsidRPr="006E25C7">
                    <w:rPr>
                      <w:rFonts w:cs="Arial"/>
                      <w:color w:val="auto"/>
                      <w:sz w:val="22"/>
                      <w:szCs w:val="22"/>
                    </w:rPr>
                    <w:t> </w:t>
                  </w:r>
                </w:p>
              </w:tc>
              <w:tc>
                <w:tcPr>
                  <w:tcW w:w="3660" w:type="dxa"/>
                  <w:tcBorders>
                    <w:top w:val="nil"/>
                    <w:left w:val="nil"/>
                    <w:bottom w:val="single" w:sz="4" w:space="0" w:color="auto"/>
                    <w:right w:val="single" w:sz="4" w:space="0" w:color="auto"/>
                  </w:tcBorders>
                  <w:shd w:val="clear" w:color="auto" w:fill="auto"/>
                  <w:hideMark/>
                </w:tcPr>
                <w:p w14:paraId="67E40722" w14:textId="77777777" w:rsidR="00642E60" w:rsidRPr="006E25C7" w:rsidRDefault="00642E60" w:rsidP="00642E60">
                  <w:pPr>
                    <w:keepNext w:val="0"/>
                    <w:spacing w:before="0"/>
                    <w:rPr>
                      <w:rFonts w:cs="Arial"/>
                      <w:color w:val="auto"/>
                      <w:sz w:val="22"/>
                      <w:szCs w:val="22"/>
                    </w:rPr>
                  </w:pPr>
                  <w:r w:rsidRPr="006E25C7">
                    <w:rPr>
                      <w:rFonts w:cs="Arial"/>
                      <w:color w:val="auto"/>
                      <w:sz w:val="22"/>
                      <w:szCs w:val="22"/>
                    </w:rPr>
                    <w:t> </w:t>
                  </w:r>
                </w:p>
              </w:tc>
              <w:tc>
                <w:tcPr>
                  <w:tcW w:w="1460" w:type="dxa"/>
                  <w:tcBorders>
                    <w:top w:val="nil"/>
                    <w:left w:val="nil"/>
                    <w:bottom w:val="single" w:sz="4" w:space="0" w:color="auto"/>
                    <w:right w:val="single" w:sz="4" w:space="0" w:color="auto"/>
                  </w:tcBorders>
                  <w:shd w:val="clear" w:color="auto" w:fill="auto"/>
                  <w:noWrap/>
                  <w:hideMark/>
                </w:tcPr>
                <w:p w14:paraId="31F284E9" w14:textId="77777777" w:rsidR="00642E60" w:rsidRPr="006E25C7" w:rsidRDefault="00642E60" w:rsidP="00642E60">
                  <w:pPr>
                    <w:keepNext w:val="0"/>
                    <w:spacing w:before="0"/>
                    <w:jc w:val="center"/>
                    <w:rPr>
                      <w:rFonts w:cs="Arial"/>
                      <w:color w:val="auto"/>
                      <w:sz w:val="22"/>
                      <w:szCs w:val="22"/>
                    </w:rPr>
                  </w:pPr>
                  <w:r w:rsidRPr="006E25C7">
                    <w:rPr>
                      <w:rFonts w:cs="Arial"/>
                      <w:color w:val="auto"/>
                      <w:sz w:val="22"/>
                      <w:szCs w:val="22"/>
                    </w:rPr>
                    <w:t> </w:t>
                  </w:r>
                </w:p>
              </w:tc>
              <w:tc>
                <w:tcPr>
                  <w:tcW w:w="1600" w:type="dxa"/>
                  <w:tcBorders>
                    <w:top w:val="nil"/>
                    <w:left w:val="nil"/>
                    <w:bottom w:val="single" w:sz="4" w:space="0" w:color="auto"/>
                    <w:right w:val="single" w:sz="4" w:space="0" w:color="auto"/>
                  </w:tcBorders>
                  <w:shd w:val="clear" w:color="auto" w:fill="auto"/>
                  <w:noWrap/>
                  <w:hideMark/>
                </w:tcPr>
                <w:p w14:paraId="3FE1A527" w14:textId="77777777" w:rsidR="00642E60" w:rsidRPr="006E25C7" w:rsidRDefault="00642E60" w:rsidP="00642E60">
                  <w:pPr>
                    <w:keepNext w:val="0"/>
                    <w:spacing w:before="0"/>
                    <w:jc w:val="center"/>
                    <w:rPr>
                      <w:rFonts w:cs="Arial"/>
                      <w:color w:val="auto"/>
                      <w:sz w:val="22"/>
                      <w:szCs w:val="22"/>
                    </w:rPr>
                  </w:pPr>
                  <w:r w:rsidRPr="006E25C7">
                    <w:rPr>
                      <w:rFonts w:cs="Arial"/>
                      <w:color w:val="auto"/>
                      <w:sz w:val="22"/>
                      <w:szCs w:val="22"/>
                    </w:rPr>
                    <w:t> </w:t>
                  </w:r>
                </w:p>
              </w:tc>
              <w:tc>
                <w:tcPr>
                  <w:tcW w:w="1220" w:type="dxa"/>
                  <w:tcBorders>
                    <w:top w:val="nil"/>
                    <w:left w:val="nil"/>
                    <w:bottom w:val="single" w:sz="4" w:space="0" w:color="auto"/>
                    <w:right w:val="single" w:sz="4" w:space="0" w:color="auto"/>
                  </w:tcBorders>
                  <w:shd w:val="clear" w:color="auto" w:fill="auto"/>
                  <w:noWrap/>
                  <w:vAlign w:val="center"/>
                  <w:hideMark/>
                </w:tcPr>
                <w:p w14:paraId="4E89A016" w14:textId="62FCAC71" w:rsidR="00642E60" w:rsidRPr="006E25C7" w:rsidRDefault="00642E60" w:rsidP="00642E60">
                  <w:pPr>
                    <w:keepNext w:val="0"/>
                    <w:spacing w:before="0"/>
                    <w:jc w:val="right"/>
                    <w:rPr>
                      <w:rFonts w:cs="Arial"/>
                      <w:b/>
                      <w:bCs/>
                      <w:color w:val="auto"/>
                      <w:sz w:val="22"/>
                      <w:szCs w:val="22"/>
                    </w:rPr>
                  </w:pPr>
                  <w:r w:rsidRPr="006E25C7">
                    <w:rPr>
                      <w:rFonts w:cs="Arial"/>
                      <w:b/>
                      <w:bCs/>
                      <w:color w:val="auto"/>
                      <w:sz w:val="22"/>
                      <w:szCs w:val="22"/>
                    </w:rPr>
                    <w:t>5</w:t>
                  </w:r>
                  <w:r w:rsidR="0051086F" w:rsidRPr="006E25C7">
                    <w:rPr>
                      <w:rFonts w:cs="Arial"/>
                      <w:b/>
                      <w:bCs/>
                      <w:color w:val="auto"/>
                      <w:sz w:val="22"/>
                      <w:szCs w:val="22"/>
                    </w:rPr>
                    <w:t>42</w:t>
                  </w:r>
                </w:p>
              </w:tc>
            </w:tr>
          </w:tbl>
          <w:p w14:paraId="49565B36" w14:textId="77777777" w:rsidR="008048E1" w:rsidRPr="006E25C7" w:rsidRDefault="008048E1" w:rsidP="008B5F49">
            <w:pPr>
              <w:pStyle w:val="Policy"/>
              <w:spacing w:after="0" w:line="240" w:lineRule="auto"/>
              <w:ind w:left="447" w:right="284"/>
              <w:rPr>
                <w:rStyle w:val="Normal1"/>
                <w:bCs/>
                <w:u w:val="single"/>
              </w:rPr>
            </w:pPr>
          </w:p>
          <w:p w14:paraId="656044B0" w14:textId="77777777" w:rsidR="0015118D" w:rsidRPr="006E25C7" w:rsidRDefault="0015118D" w:rsidP="008B5F49">
            <w:pPr>
              <w:pStyle w:val="Policy"/>
              <w:spacing w:after="0" w:line="240" w:lineRule="auto"/>
              <w:ind w:left="447" w:right="284"/>
              <w:rPr>
                <w:rStyle w:val="Normal1"/>
                <w:bCs/>
                <w:u w:val="single"/>
              </w:rPr>
            </w:pPr>
          </w:p>
          <w:p w14:paraId="7CD7DA95" w14:textId="0FC0754A" w:rsidR="003C7E62" w:rsidRPr="006E25C7" w:rsidRDefault="003C7E62" w:rsidP="008B5F49">
            <w:pPr>
              <w:pStyle w:val="Policy"/>
              <w:spacing w:after="0" w:line="240" w:lineRule="auto"/>
              <w:ind w:left="447" w:right="284"/>
              <w:rPr>
                <w:rStyle w:val="Normal1"/>
                <w:rFonts w:cs="Arial"/>
                <w:bCs/>
                <w:u w:val="single"/>
              </w:rPr>
            </w:pPr>
            <w:r w:rsidRPr="006E25C7">
              <w:rPr>
                <w:rStyle w:val="Normal1"/>
                <w:rFonts w:cs="Arial"/>
                <w:bCs/>
                <w:u w:val="single"/>
              </w:rPr>
              <w:t>Sutton Area</w:t>
            </w:r>
          </w:p>
          <w:p w14:paraId="436E4105" w14:textId="77777777" w:rsidR="00642E60" w:rsidRPr="006E25C7" w:rsidRDefault="00642E60" w:rsidP="008B5F49">
            <w:pPr>
              <w:pStyle w:val="Policy"/>
              <w:spacing w:after="0" w:line="240" w:lineRule="auto"/>
              <w:ind w:left="306" w:right="284" w:firstLine="141"/>
              <w:rPr>
                <w:rStyle w:val="Normal1"/>
                <w:bCs/>
                <w:highlight w:val="yellow"/>
                <w:u w:val="single"/>
              </w:rPr>
            </w:pPr>
          </w:p>
          <w:tbl>
            <w:tblPr>
              <w:tblW w:w="8700" w:type="dxa"/>
              <w:jc w:val="center"/>
              <w:tblLook w:val="04A0" w:firstRow="1" w:lastRow="0" w:firstColumn="1" w:lastColumn="0" w:noHBand="0" w:noVBand="1"/>
            </w:tblPr>
            <w:tblGrid>
              <w:gridCol w:w="889"/>
              <w:gridCol w:w="3447"/>
              <w:gridCol w:w="1460"/>
              <w:gridCol w:w="1600"/>
              <w:gridCol w:w="1304"/>
            </w:tblGrid>
            <w:tr w:rsidR="006E25C7" w:rsidRPr="006E25C7" w14:paraId="487E3F8E" w14:textId="77777777" w:rsidTr="00BA5209">
              <w:trPr>
                <w:trHeight w:val="840"/>
                <w:jc w:val="center"/>
              </w:trPr>
              <w:tc>
                <w:tcPr>
                  <w:tcW w:w="760" w:type="dxa"/>
                  <w:tcBorders>
                    <w:top w:val="single" w:sz="4" w:space="0" w:color="auto"/>
                    <w:left w:val="single" w:sz="4" w:space="0" w:color="auto"/>
                    <w:bottom w:val="single" w:sz="4" w:space="0" w:color="auto"/>
                    <w:right w:val="single" w:sz="4" w:space="0" w:color="auto"/>
                  </w:tcBorders>
                  <w:shd w:val="clear" w:color="000000" w:fill="D9D9D9"/>
                  <w:hideMark/>
                </w:tcPr>
                <w:p w14:paraId="622480AD" w14:textId="77777777" w:rsidR="00BA5209" w:rsidRPr="006E25C7" w:rsidRDefault="00BA5209" w:rsidP="00BA5209">
                  <w:pPr>
                    <w:keepNext w:val="0"/>
                    <w:spacing w:before="0"/>
                    <w:rPr>
                      <w:rFonts w:cs="Arial"/>
                      <w:color w:val="auto"/>
                      <w:sz w:val="22"/>
                      <w:szCs w:val="22"/>
                    </w:rPr>
                  </w:pPr>
                  <w:r w:rsidRPr="006E25C7">
                    <w:rPr>
                      <w:rFonts w:cs="Arial"/>
                      <w:color w:val="auto"/>
                      <w:sz w:val="22"/>
                      <w:szCs w:val="22"/>
                    </w:rPr>
                    <w:t>Site Ref.</w:t>
                  </w:r>
                </w:p>
              </w:tc>
              <w:tc>
                <w:tcPr>
                  <w:tcW w:w="3660" w:type="dxa"/>
                  <w:tcBorders>
                    <w:top w:val="single" w:sz="4" w:space="0" w:color="auto"/>
                    <w:left w:val="nil"/>
                    <w:bottom w:val="single" w:sz="4" w:space="0" w:color="auto"/>
                    <w:right w:val="single" w:sz="4" w:space="0" w:color="auto"/>
                  </w:tcBorders>
                  <w:shd w:val="clear" w:color="000000" w:fill="D9D9D9"/>
                  <w:hideMark/>
                </w:tcPr>
                <w:p w14:paraId="2D6963C3" w14:textId="77777777" w:rsidR="00BA5209" w:rsidRPr="006E25C7" w:rsidRDefault="00BA5209" w:rsidP="00BA5209">
                  <w:pPr>
                    <w:keepNext w:val="0"/>
                    <w:spacing w:before="0"/>
                    <w:rPr>
                      <w:rFonts w:cs="Arial"/>
                      <w:color w:val="auto"/>
                      <w:sz w:val="22"/>
                      <w:szCs w:val="22"/>
                    </w:rPr>
                  </w:pPr>
                  <w:r w:rsidRPr="006E25C7">
                    <w:rPr>
                      <w:rFonts w:cs="Arial"/>
                      <w:color w:val="auto"/>
                      <w:sz w:val="22"/>
                      <w:szCs w:val="22"/>
                    </w:rPr>
                    <w:t>Site Name</w:t>
                  </w:r>
                </w:p>
              </w:tc>
              <w:tc>
                <w:tcPr>
                  <w:tcW w:w="1460" w:type="dxa"/>
                  <w:tcBorders>
                    <w:top w:val="single" w:sz="4" w:space="0" w:color="auto"/>
                    <w:left w:val="nil"/>
                    <w:bottom w:val="single" w:sz="4" w:space="0" w:color="auto"/>
                    <w:right w:val="single" w:sz="4" w:space="0" w:color="auto"/>
                  </w:tcBorders>
                  <w:shd w:val="clear" w:color="000000" w:fill="D9D9D9"/>
                  <w:hideMark/>
                </w:tcPr>
                <w:p w14:paraId="3F24ED6E" w14:textId="77777777" w:rsidR="00BA5209" w:rsidRPr="006E25C7" w:rsidRDefault="00BA5209" w:rsidP="00BA5209">
                  <w:pPr>
                    <w:keepNext w:val="0"/>
                    <w:spacing w:before="0"/>
                    <w:jc w:val="center"/>
                    <w:rPr>
                      <w:rFonts w:cs="Arial"/>
                      <w:color w:val="auto"/>
                      <w:sz w:val="22"/>
                      <w:szCs w:val="22"/>
                    </w:rPr>
                  </w:pPr>
                  <w:r w:rsidRPr="006E25C7">
                    <w:rPr>
                      <w:rFonts w:cs="Arial"/>
                      <w:color w:val="auto"/>
                      <w:sz w:val="22"/>
                      <w:szCs w:val="22"/>
                    </w:rPr>
                    <w:t>Greenfield/ Brownfield</w:t>
                  </w:r>
                </w:p>
              </w:tc>
              <w:tc>
                <w:tcPr>
                  <w:tcW w:w="1600" w:type="dxa"/>
                  <w:tcBorders>
                    <w:top w:val="single" w:sz="4" w:space="0" w:color="auto"/>
                    <w:left w:val="nil"/>
                    <w:bottom w:val="single" w:sz="4" w:space="0" w:color="auto"/>
                    <w:right w:val="single" w:sz="4" w:space="0" w:color="auto"/>
                  </w:tcBorders>
                  <w:shd w:val="clear" w:color="000000" w:fill="D9D9D9"/>
                  <w:hideMark/>
                </w:tcPr>
                <w:p w14:paraId="06B57AA4" w14:textId="77777777" w:rsidR="00BA5209" w:rsidRPr="006E25C7" w:rsidRDefault="00BA5209" w:rsidP="00BA5209">
                  <w:pPr>
                    <w:keepNext w:val="0"/>
                    <w:spacing w:before="0"/>
                    <w:jc w:val="center"/>
                    <w:rPr>
                      <w:rFonts w:cs="Arial"/>
                      <w:color w:val="auto"/>
                      <w:sz w:val="22"/>
                      <w:szCs w:val="22"/>
                    </w:rPr>
                  </w:pPr>
                  <w:r w:rsidRPr="006E25C7">
                    <w:rPr>
                      <w:rFonts w:cs="Arial"/>
                      <w:color w:val="auto"/>
                      <w:sz w:val="22"/>
                      <w:szCs w:val="22"/>
                    </w:rPr>
                    <w:t>Planning Permission*</w:t>
                  </w:r>
                </w:p>
              </w:tc>
              <w:tc>
                <w:tcPr>
                  <w:tcW w:w="1220" w:type="dxa"/>
                  <w:tcBorders>
                    <w:top w:val="single" w:sz="4" w:space="0" w:color="auto"/>
                    <w:left w:val="nil"/>
                    <w:bottom w:val="single" w:sz="4" w:space="0" w:color="auto"/>
                    <w:right w:val="single" w:sz="4" w:space="0" w:color="auto"/>
                  </w:tcBorders>
                  <w:shd w:val="clear" w:color="000000" w:fill="D9D9D9"/>
                  <w:hideMark/>
                </w:tcPr>
                <w:p w14:paraId="7B2EABB5" w14:textId="77777777" w:rsidR="00BA5209" w:rsidRPr="006E25C7" w:rsidRDefault="00BA5209" w:rsidP="00BA5209">
                  <w:pPr>
                    <w:keepNext w:val="0"/>
                    <w:spacing w:before="0"/>
                    <w:rPr>
                      <w:rFonts w:cs="Arial"/>
                      <w:color w:val="auto"/>
                      <w:sz w:val="22"/>
                      <w:szCs w:val="22"/>
                    </w:rPr>
                  </w:pPr>
                  <w:r w:rsidRPr="006E25C7">
                    <w:rPr>
                      <w:rFonts w:cs="Arial"/>
                      <w:color w:val="auto"/>
                      <w:sz w:val="22"/>
                      <w:szCs w:val="22"/>
                    </w:rPr>
                    <w:t>Potential Yield (Dwellings)</w:t>
                  </w:r>
                </w:p>
              </w:tc>
            </w:tr>
            <w:tr w:rsidR="006E25C7" w:rsidRPr="006E25C7" w14:paraId="65A38250" w14:textId="77777777" w:rsidTr="00BA5209">
              <w:trPr>
                <w:trHeight w:val="280"/>
                <w:jc w:val="center"/>
              </w:trPr>
              <w:tc>
                <w:tcPr>
                  <w:tcW w:w="760" w:type="dxa"/>
                  <w:tcBorders>
                    <w:top w:val="nil"/>
                    <w:left w:val="single" w:sz="4" w:space="0" w:color="auto"/>
                    <w:bottom w:val="single" w:sz="4" w:space="0" w:color="auto"/>
                    <w:right w:val="single" w:sz="4" w:space="0" w:color="auto"/>
                  </w:tcBorders>
                  <w:shd w:val="clear" w:color="auto" w:fill="auto"/>
                  <w:noWrap/>
                  <w:hideMark/>
                </w:tcPr>
                <w:p w14:paraId="2E590DB8" w14:textId="77777777" w:rsidR="00BA5209" w:rsidRPr="006E25C7" w:rsidRDefault="00BA5209" w:rsidP="00BA5209">
                  <w:pPr>
                    <w:keepNext w:val="0"/>
                    <w:spacing w:before="0"/>
                    <w:rPr>
                      <w:rFonts w:cs="Arial"/>
                      <w:color w:val="auto"/>
                      <w:sz w:val="22"/>
                      <w:szCs w:val="22"/>
                    </w:rPr>
                  </w:pPr>
                  <w:r w:rsidRPr="006E25C7">
                    <w:rPr>
                      <w:rFonts w:cs="Arial"/>
                      <w:color w:val="auto"/>
                      <w:sz w:val="22"/>
                      <w:szCs w:val="22"/>
                    </w:rPr>
                    <w:t>H1Sa</w:t>
                  </w:r>
                </w:p>
              </w:tc>
              <w:tc>
                <w:tcPr>
                  <w:tcW w:w="3660" w:type="dxa"/>
                  <w:tcBorders>
                    <w:top w:val="nil"/>
                    <w:left w:val="nil"/>
                    <w:bottom w:val="single" w:sz="4" w:space="0" w:color="auto"/>
                    <w:right w:val="single" w:sz="4" w:space="0" w:color="auto"/>
                  </w:tcBorders>
                  <w:shd w:val="clear" w:color="auto" w:fill="auto"/>
                  <w:hideMark/>
                </w:tcPr>
                <w:p w14:paraId="29700B3C" w14:textId="77777777" w:rsidR="00BA5209" w:rsidRPr="006E25C7" w:rsidRDefault="00BA5209" w:rsidP="00BA5209">
                  <w:pPr>
                    <w:keepNext w:val="0"/>
                    <w:spacing w:before="0"/>
                    <w:rPr>
                      <w:rFonts w:cs="Arial"/>
                      <w:color w:val="auto"/>
                      <w:sz w:val="22"/>
                      <w:szCs w:val="22"/>
                    </w:rPr>
                  </w:pPr>
                  <w:r w:rsidRPr="006E25C7">
                    <w:rPr>
                      <w:rFonts w:cs="Arial"/>
                      <w:color w:val="auto"/>
                      <w:sz w:val="22"/>
                      <w:szCs w:val="22"/>
                    </w:rPr>
                    <w:t>Rear 211 Alfreton Road</w:t>
                  </w:r>
                </w:p>
              </w:tc>
              <w:tc>
                <w:tcPr>
                  <w:tcW w:w="1460" w:type="dxa"/>
                  <w:tcBorders>
                    <w:top w:val="nil"/>
                    <w:left w:val="nil"/>
                    <w:bottom w:val="single" w:sz="4" w:space="0" w:color="auto"/>
                    <w:right w:val="single" w:sz="4" w:space="0" w:color="auto"/>
                  </w:tcBorders>
                  <w:shd w:val="clear" w:color="auto" w:fill="auto"/>
                  <w:noWrap/>
                  <w:hideMark/>
                </w:tcPr>
                <w:p w14:paraId="4A6BC9E6" w14:textId="77777777" w:rsidR="00BA5209" w:rsidRPr="006E25C7" w:rsidRDefault="00BA5209" w:rsidP="00BA5209">
                  <w:pPr>
                    <w:keepNext w:val="0"/>
                    <w:spacing w:before="0"/>
                    <w:jc w:val="center"/>
                    <w:rPr>
                      <w:rFonts w:cs="Arial"/>
                      <w:color w:val="auto"/>
                      <w:sz w:val="22"/>
                      <w:szCs w:val="22"/>
                    </w:rPr>
                  </w:pPr>
                  <w:r w:rsidRPr="006E25C7">
                    <w:rPr>
                      <w:rFonts w:cs="Arial"/>
                      <w:color w:val="auto"/>
                      <w:sz w:val="22"/>
                      <w:szCs w:val="22"/>
                    </w:rPr>
                    <w:t>G</w:t>
                  </w:r>
                </w:p>
              </w:tc>
              <w:tc>
                <w:tcPr>
                  <w:tcW w:w="1600" w:type="dxa"/>
                  <w:tcBorders>
                    <w:top w:val="nil"/>
                    <w:left w:val="nil"/>
                    <w:bottom w:val="single" w:sz="4" w:space="0" w:color="auto"/>
                    <w:right w:val="single" w:sz="4" w:space="0" w:color="auto"/>
                  </w:tcBorders>
                  <w:shd w:val="clear" w:color="auto" w:fill="auto"/>
                  <w:noWrap/>
                  <w:hideMark/>
                </w:tcPr>
                <w:p w14:paraId="242D52E0" w14:textId="77777777" w:rsidR="00BA5209" w:rsidRPr="006E25C7" w:rsidRDefault="00BA5209" w:rsidP="00BA5209">
                  <w:pPr>
                    <w:keepNext w:val="0"/>
                    <w:spacing w:before="0"/>
                    <w:jc w:val="center"/>
                    <w:rPr>
                      <w:rFonts w:cs="Arial"/>
                      <w:color w:val="auto"/>
                      <w:sz w:val="22"/>
                      <w:szCs w:val="22"/>
                    </w:rPr>
                  </w:pPr>
                  <w:r w:rsidRPr="006E25C7">
                    <w:rPr>
                      <w:rFonts w:cs="Arial"/>
                      <w:color w:val="auto"/>
                      <w:sz w:val="22"/>
                      <w:szCs w:val="22"/>
                    </w:rPr>
                    <w:t>Yes</w:t>
                  </w:r>
                </w:p>
              </w:tc>
              <w:tc>
                <w:tcPr>
                  <w:tcW w:w="1220" w:type="dxa"/>
                  <w:tcBorders>
                    <w:top w:val="nil"/>
                    <w:left w:val="nil"/>
                    <w:bottom w:val="single" w:sz="4" w:space="0" w:color="auto"/>
                    <w:right w:val="single" w:sz="4" w:space="0" w:color="auto"/>
                  </w:tcBorders>
                  <w:shd w:val="clear" w:color="auto" w:fill="auto"/>
                  <w:noWrap/>
                  <w:hideMark/>
                </w:tcPr>
                <w:p w14:paraId="79D11870" w14:textId="77777777" w:rsidR="00BA5209" w:rsidRPr="006E25C7" w:rsidRDefault="00BA5209" w:rsidP="00BA5209">
                  <w:pPr>
                    <w:keepNext w:val="0"/>
                    <w:spacing w:before="0"/>
                    <w:jc w:val="right"/>
                    <w:rPr>
                      <w:rFonts w:cs="Arial"/>
                      <w:color w:val="auto"/>
                      <w:sz w:val="22"/>
                      <w:szCs w:val="22"/>
                    </w:rPr>
                  </w:pPr>
                  <w:r w:rsidRPr="006E25C7">
                    <w:rPr>
                      <w:rFonts w:cs="Arial"/>
                      <w:color w:val="auto"/>
                      <w:sz w:val="22"/>
                      <w:szCs w:val="22"/>
                    </w:rPr>
                    <w:t>110</w:t>
                  </w:r>
                </w:p>
              </w:tc>
            </w:tr>
            <w:tr w:rsidR="006E25C7" w:rsidRPr="006E25C7" w14:paraId="4B4EA742" w14:textId="77777777" w:rsidTr="00BA5209">
              <w:trPr>
                <w:trHeight w:val="840"/>
                <w:jc w:val="center"/>
              </w:trPr>
              <w:tc>
                <w:tcPr>
                  <w:tcW w:w="760" w:type="dxa"/>
                  <w:tcBorders>
                    <w:top w:val="nil"/>
                    <w:left w:val="single" w:sz="4" w:space="0" w:color="auto"/>
                    <w:bottom w:val="single" w:sz="4" w:space="0" w:color="auto"/>
                    <w:right w:val="single" w:sz="4" w:space="0" w:color="auto"/>
                  </w:tcBorders>
                  <w:shd w:val="clear" w:color="auto" w:fill="auto"/>
                  <w:noWrap/>
                  <w:hideMark/>
                </w:tcPr>
                <w:p w14:paraId="4CCB1A31" w14:textId="77777777" w:rsidR="00BA5209" w:rsidRPr="006E25C7" w:rsidRDefault="00BA5209" w:rsidP="00BA5209">
                  <w:pPr>
                    <w:keepNext w:val="0"/>
                    <w:spacing w:before="0"/>
                    <w:rPr>
                      <w:rFonts w:cs="Arial"/>
                      <w:color w:val="auto"/>
                      <w:sz w:val="22"/>
                      <w:szCs w:val="22"/>
                    </w:rPr>
                  </w:pPr>
                  <w:r w:rsidRPr="006E25C7">
                    <w:rPr>
                      <w:rFonts w:cs="Arial"/>
                      <w:color w:val="auto"/>
                      <w:sz w:val="22"/>
                      <w:szCs w:val="22"/>
                    </w:rPr>
                    <w:t>H1Sb</w:t>
                  </w:r>
                </w:p>
              </w:tc>
              <w:tc>
                <w:tcPr>
                  <w:tcW w:w="3660" w:type="dxa"/>
                  <w:tcBorders>
                    <w:top w:val="nil"/>
                    <w:left w:val="nil"/>
                    <w:bottom w:val="single" w:sz="4" w:space="0" w:color="auto"/>
                    <w:right w:val="single" w:sz="4" w:space="0" w:color="auto"/>
                  </w:tcBorders>
                  <w:shd w:val="clear" w:color="auto" w:fill="auto"/>
                  <w:hideMark/>
                </w:tcPr>
                <w:p w14:paraId="26B8AF8E" w14:textId="77777777" w:rsidR="00BA5209" w:rsidRPr="006E25C7" w:rsidRDefault="00BA5209" w:rsidP="00BA5209">
                  <w:pPr>
                    <w:keepNext w:val="0"/>
                    <w:spacing w:before="0"/>
                    <w:rPr>
                      <w:rFonts w:cs="Arial"/>
                      <w:color w:val="auto"/>
                      <w:sz w:val="22"/>
                      <w:szCs w:val="22"/>
                    </w:rPr>
                  </w:pPr>
                  <w:r w:rsidRPr="006E25C7">
                    <w:rPr>
                      <w:rFonts w:cs="Arial"/>
                      <w:color w:val="auto"/>
                      <w:sz w:val="22"/>
                      <w:szCs w:val="22"/>
                    </w:rPr>
                    <w:t>South of Vision West Nottinghamshire College, Cauldwell Road, Sutton-In-Ashfield</w:t>
                  </w:r>
                </w:p>
              </w:tc>
              <w:tc>
                <w:tcPr>
                  <w:tcW w:w="1460" w:type="dxa"/>
                  <w:tcBorders>
                    <w:top w:val="nil"/>
                    <w:left w:val="nil"/>
                    <w:bottom w:val="single" w:sz="4" w:space="0" w:color="auto"/>
                    <w:right w:val="single" w:sz="4" w:space="0" w:color="auto"/>
                  </w:tcBorders>
                  <w:shd w:val="clear" w:color="auto" w:fill="auto"/>
                  <w:noWrap/>
                  <w:hideMark/>
                </w:tcPr>
                <w:p w14:paraId="1633A7B1" w14:textId="77777777" w:rsidR="00BA5209" w:rsidRPr="006E25C7" w:rsidRDefault="00BA5209" w:rsidP="00BA5209">
                  <w:pPr>
                    <w:keepNext w:val="0"/>
                    <w:spacing w:before="0"/>
                    <w:jc w:val="center"/>
                    <w:rPr>
                      <w:rFonts w:cs="Arial"/>
                      <w:color w:val="auto"/>
                      <w:sz w:val="22"/>
                      <w:szCs w:val="22"/>
                    </w:rPr>
                  </w:pPr>
                  <w:r w:rsidRPr="006E25C7">
                    <w:rPr>
                      <w:rFonts w:cs="Arial"/>
                      <w:color w:val="auto"/>
                      <w:sz w:val="22"/>
                      <w:szCs w:val="22"/>
                    </w:rPr>
                    <w:t>G</w:t>
                  </w:r>
                </w:p>
              </w:tc>
              <w:tc>
                <w:tcPr>
                  <w:tcW w:w="1600" w:type="dxa"/>
                  <w:tcBorders>
                    <w:top w:val="nil"/>
                    <w:left w:val="nil"/>
                    <w:bottom w:val="single" w:sz="4" w:space="0" w:color="auto"/>
                    <w:right w:val="single" w:sz="4" w:space="0" w:color="auto"/>
                  </w:tcBorders>
                  <w:shd w:val="clear" w:color="auto" w:fill="auto"/>
                  <w:noWrap/>
                  <w:hideMark/>
                </w:tcPr>
                <w:p w14:paraId="56B4E141" w14:textId="77777777" w:rsidR="00BA5209" w:rsidRPr="006E25C7" w:rsidRDefault="00BA5209" w:rsidP="00BA5209">
                  <w:pPr>
                    <w:keepNext w:val="0"/>
                    <w:spacing w:before="0"/>
                    <w:jc w:val="center"/>
                    <w:rPr>
                      <w:rFonts w:cs="Arial"/>
                      <w:color w:val="auto"/>
                      <w:sz w:val="22"/>
                      <w:szCs w:val="22"/>
                    </w:rPr>
                  </w:pPr>
                  <w:r w:rsidRPr="006E25C7">
                    <w:rPr>
                      <w:rFonts w:cs="Arial"/>
                      <w:color w:val="auto"/>
                      <w:sz w:val="22"/>
                      <w:szCs w:val="22"/>
                    </w:rPr>
                    <w:t>No</w:t>
                  </w:r>
                </w:p>
              </w:tc>
              <w:tc>
                <w:tcPr>
                  <w:tcW w:w="1220" w:type="dxa"/>
                  <w:tcBorders>
                    <w:top w:val="nil"/>
                    <w:left w:val="nil"/>
                    <w:bottom w:val="single" w:sz="4" w:space="0" w:color="auto"/>
                    <w:right w:val="single" w:sz="4" w:space="0" w:color="auto"/>
                  </w:tcBorders>
                  <w:shd w:val="clear" w:color="auto" w:fill="auto"/>
                  <w:noWrap/>
                  <w:hideMark/>
                </w:tcPr>
                <w:p w14:paraId="74325E0A" w14:textId="77777777" w:rsidR="00BA5209" w:rsidRPr="006E25C7" w:rsidRDefault="00BA5209" w:rsidP="00BA5209">
                  <w:pPr>
                    <w:keepNext w:val="0"/>
                    <w:spacing w:before="0"/>
                    <w:jc w:val="right"/>
                    <w:rPr>
                      <w:rFonts w:cs="Arial"/>
                      <w:color w:val="auto"/>
                      <w:sz w:val="22"/>
                      <w:szCs w:val="22"/>
                    </w:rPr>
                  </w:pPr>
                  <w:r w:rsidRPr="006E25C7">
                    <w:rPr>
                      <w:rFonts w:cs="Arial"/>
                      <w:color w:val="auto"/>
                      <w:sz w:val="22"/>
                      <w:szCs w:val="22"/>
                    </w:rPr>
                    <w:t>208</w:t>
                  </w:r>
                </w:p>
              </w:tc>
            </w:tr>
            <w:tr w:rsidR="006E25C7" w:rsidRPr="006E25C7" w14:paraId="50C3E2F7" w14:textId="77777777" w:rsidTr="00BA5209">
              <w:trPr>
                <w:trHeight w:val="280"/>
                <w:jc w:val="center"/>
              </w:trPr>
              <w:tc>
                <w:tcPr>
                  <w:tcW w:w="760" w:type="dxa"/>
                  <w:tcBorders>
                    <w:top w:val="nil"/>
                    <w:left w:val="single" w:sz="4" w:space="0" w:color="auto"/>
                    <w:bottom w:val="single" w:sz="4" w:space="0" w:color="auto"/>
                    <w:right w:val="single" w:sz="4" w:space="0" w:color="auto"/>
                  </w:tcBorders>
                  <w:shd w:val="clear" w:color="auto" w:fill="auto"/>
                  <w:noWrap/>
                  <w:hideMark/>
                </w:tcPr>
                <w:p w14:paraId="2373721C" w14:textId="77777777" w:rsidR="00BA5209" w:rsidRPr="00B94708" w:rsidRDefault="00BA5209" w:rsidP="00BA5209">
                  <w:pPr>
                    <w:keepNext w:val="0"/>
                    <w:spacing w:before="0"/>
                    <w:rPr>
                      <w:rFonts w:cs="Arial"/>
                      <w:color w:val="auto"/>
                      <w:sz w:val="22"/>
                      <w:szCs w:val="22"/>
                    </w:rPr>
                  </w:pPr>
                  <w:r w:rsidRPr="00B94708">
                    <w:rPr>
                      <w:rFonts w:cs="Arial"/>
                      <w:color w:val="auto"/>
                      <w:sz w:val="22"/>
                      <w:szCs w:val="22"/>
                    </w:rPr>
                    <w:t>H1Sc</w:t>
                  </w:r>
                </w:p>
              </w:tc>
              <w:tc>
                <w:tcPr>
                  <w:tcW w:w="3660" w:type="dxa"/>
                  <w:tcBorders>
                    <w:top w:val="nil"/>
                    <w:left w:val="nil"/>
                    <w:bottom w:val="single" w:sz="4" w:space="0" w:color="auto"/>
                    <w:right w:val="single" w:sz="4" w:space="0" w:color="auto"/>
                  </w:tcBorders>
                  <w:shd w:val="clear" w:color="auto" w:fill="auto"/>
                  <w:hideMark/>
                </w:tcPr>
                <w:p w14:paraId="1EED5B90" w14:textId="77777777" w:rsidR="00BA5209" w:rsidRPr="00B94708" w:rsidRDefault="00BA5209" w:rsidP="00BA5209">
                  <w:pPr>
                    <w:keepNext w:val="0"/>
                    <w:spacing w:before="0"/>
                    <w:rPr>
                      <w:rFonts w:cs="Arial"/>
                      <w:color w:val="auto"/>
                      <w:sz w:val="22"/>
                      <w:szCs w:val="22"/>
                    </w:rPr>
                  </w:pPr>
                  <w:r w:rsidRPr="00B94708">
                    <w:rPr>
                      <w:rFonts w:cs="Arial"/>
                      <w:color w:val="auto"/>
                      <w:sz w:val="22"/>
                      <w:szCs w:val="22"/>
                    </w:rPr>
                    <w:t>West of Fisher Close, Skegby</w:t>
                  </w:r>
                </w:p>
              </w:tc>
              <w:tc>
                <w:tcPr>
                  <w:tcW w:w="1460" w:type="dxa"/>
                  <w:tcBorders>
                    <w:top w:val="nil"/>
                    <w:left w:val="nil"/>
                    <w:bottom w:val="single" w:sz="4" w:space="0" w:color="auto"/>
                    <w:right w:val="single" w:sz="4" w:space="0" w:color="auto"/>
                  </w:tcBorders>
                  <w:shd w:val="clear" w:color="auto" w:fill="auto"/>
                  <w:noWrap/>
                  <w:hideMark/>
                </w:tcPr>
                <w:p w14:paraId="12DE706B" w14:textId="77777777" w:rsidR="00BA5209" w:rsidRPr="00B94708" w:rsidRDefault="00BA5209" w:rsidP="00BA5209">
                  <w:pPr>
                    <w:keepNext w:val="0"/>
                    <w:spacing w:before="0"/>
                    <w:jc w:val="center"/>
                    <w:rPr>
                      <w:rFonts w:cs="Arial"/>
                      <w:color w:val="auto"/>
                      <w:sz w:val="22"/>
                      <w:szCs w:val="22"/>
                    </w:rPr>
                  </w:pPr>
                  <w:r w:rsidRPr="00B94708">
                    <w:rPr>
                      <w:rFonts w:cs="Arial"/>
                      <w:color w:val="auto"/>
                      <w:sz w:val="22"/>
                      <w:szCs w:val="22"/>
                    </w:rPr>
                    <w:t>G</w:t>
                  </w:r>
                </w:p>
              </w:tc>
              <w:tc>
                <w:tcPr>
                  <w:tcW w:w="1600" w:type="dxa"/>
                  <w:tcBorders>
                    <w:top w:val="nil"/>
                    <w:left w:val="nil"/>
                    <w:bottom w:val="single" w:sz="4" w:space="0" w:color="auto"/>
                    <w:right w:val="single" w:sz="4" w:space="0" w:color="auto"/>
                  </w:tcBorders>
                  <w:shd w:val="clear" w:color="auto" w:fill="auto"/>
                  <w:noWrap/>
                  <w:hideMark/>
                </w:tcPr>
                <w:p w14:paraId="7A8B68D2" w14:textId="77777777" w:rsidR="00BA5209" w:rsidRPr="00B94708" w:rsidRDefault="00BA5209" w:rsidP="00BA5209">
                  <w:pPr>
                    <w:keepNext w:val="0"/>
                    <w:spacing w:before="0"/>
                    <w:jc w:val="center"/>
                    <w:rPr>
                      <w:rFonts w:cs="Arial"/>
                      <w:color w:val="auto"/>
                      <w:sz w:val="22"/>
                      <w:szCs w:val="22"/>
                    </w:rPr>
                  </w:pPr>
                  <w:r w:rsidRPr="00B94708">
                    <w:rPr>
                      <w:rFonts w:cs="Arial"/>
                      <w:color w:val="auto"/>
                      <w:sz w:val="22"/>
                      <w:szCs w:val="22"/>
                    </w:rPr>
                    <w:t>Yes</w:t>
                  </w:r>
                </w:p>
              </w:tc>
              <w:tc>
                <w:tcPr>
                  <w:tcW w:w="1220" w:type="dxa"/>
                  <w:tcBorders>
                    <w:top w:val="nil"/>
                    <w:left w:val="nil"/>
                    <w:bottom w:val="single" w:sz="4" w:space="0" w:color="auto"/>
                    <w:right w:val="single" w:sz="4" w:space="0" w:color="auto"/>
                  </w:tcBorders>
                  <w:shd w:val="clear" w:color="auto" w:fill="auto"/>
                  <w:noWrap/>
                  <w:hideMark/>
                </w:tcPr>
                <w:p w14:paraId="51414A15" w14:textId="77777777" w:rsidR="00BA5209" w:rsidRPr="00B94708" w:rsidRDefault="00BA5209" w:rsidP="00BA5209">
                  <w:pPr>
                    <w:keepNext w:val="0"/>
                    <w:spacing w:before="0"/>
                    <w:jc w:val="right"/>
                    <w:rPr>
                      <w:rFonts w:cs="Arial"/>
                      <w:color w:val="auto"/>
                      <w:sz w:val="22"/>
                      <w:szCs w:val="22"/>
                    </w:rPr>
                  </w:pPr>
                  <w:r w:rsidRPr="00B94708">
                    <w:rPr>
                      <w:rFonts w:cs="Arial"/>
                      <w:color w:val="auto"/>
                      <w:sz w:val="22"/>
                      <w:szCs w:val="22"/>
                    </w:rPr>
                    <w:t>84</w:t>
                  </w:r>
                </w:p>
              </w:tc>
            </w:tr>
            <w:tr w:rsidR="006E25C7" w:rsidRPr="006E25C7" w14:paraId="171C900E" w14:textId="77777777" w:rsidTr="00BA5209">
              <w:trPr>
                <w:trHeight w:val="560"/>
                <w:jc w:val="center"/>
              </w:trPr>
              <w:tc>
                <w:tcPr>
                  <w:tcW w:w="760" w:type="dxa"/>
                  <w:tcBorders>
                    <w:top w:val="nil"/>
                    <w:left w:val="single" w:sz="4" w:space="0" w:color="auto"/>
                    <w:bottom w:val="single" w:sz="4" w:space="0" w:color="auto"/>
                    <w:right w:val="single" w:sz="4" w:space="0" w:color="auto"/>
                  </w:tcBorders>
                  <w:shd w:val="clear" w:color="auto" w:fill="auto"/>
                  <w:noWrap/>
                  <w:hideMark/>
                </w:tcPr>
                <w:p w14:paraId="05E707AF" w14:textId="77777777" w:rsidR="00BA5209" w:rsidRPr="00B94708" w:rsidRDefault="00BA5209" w:rsidP="00BA5209">
                  <w:pPr>
                    <w:keepNext w:val="0"/>
                    <w:spacing w:before="0"/>
                    <w:rPr>
                      <w:rFonts w:cs="Arial"/>
                      <w:color w:val="auto"/>
                      <w:sz w:val="22"/>
                      <w:szCs w:val="22"/>
                    </w:rPr>
                  </w:pPr>
                  <w:r w:rsidRPr="00B94708">
                    <w:rPr>
                      <w:rFonts w:cs="Arial"/>
                      <w:color w:val="auto"/>
                      <w:sz w:val="22"/>
                      <w:szCs w:val="22"/>
                    </w:rPr>
                    <w:t>H1Sd</w:t>
                  </w:r>
                </w:p>
              </w:tc>
              <w:tc>
                <w:tcPr>
                  <w:tcW w:w="3660" w:type="dxa"/>
                  <w:tcBorders>
                    <w:top w:val="nil"/>
                    <w:left w:val="nil"/>
                    <w:bottom w:val="single" w:sz="4" w:space="0" w:color="auto"/>
                    <w:right w:val="single" w:sz="4" w:space="0" w:color="auto"/>
                  </w:tcBorders>
                  <w:shd w:val="clear" w:color="auto" w:fill="auto"/>
                  <w:hideMark/>
                </w:tcPr>
                <w:p w14:paraId="0B1E71E9" w14:textId="4E462A25" w:rsidR="00BA5209" w:rsidRPr="00B94708" w:rsidRDefault="00BA5209" w:rsidP="00BA5209">
                  <w:pPr>
                    <w:keepNext w:val="0"/>
                    <w:spacing w:before="0"/>
                    <w:rPr>
                      <w:rFonts w:cs="Arial"/>
                      <w:color w:val="auto"/>
                      <w:sz w:val="22"/>
                      <w:szCs w:val="22"/>
                    </w:rPr>
                  </w:pPr>
                  <w:r w:rsidRPr="00B94708">
                    <w:rPr>
                      <w:rFonts w:cs="Arial"/>
                      <w:color w:val="auto"/>
                      <w:sz w:val="22"/>
                      <w:szCs w:val="22"/>
                    </w:rPr>
                    <w:t>Adj Oakham Business Park, off Hamilton Road</w:t>
                  </w:r>
                  <w:r w:rsidR="00304995" w:rsidRPr="00B94708">
                    <w:rPr>
                      <w:rFonts w:cs="Arial"/>
                      <w:color w:val="auto"/>
                      <w:sz w:val="22"/>
                      <w:szCs w:val="22"/>
                    </w:rPr>
                    <w:t xml:space="preserve"> </w:t>
                  </w:r>
                </w:p>
              </w:tc>
              <w:tc>
                <w:tcPr>
                  <w:tcW w:w="1460" w:type="dxa"/>
                  <w:tcBorders>
                    <w:top w:val="nil"/>
                    <w:left w:val="nil"/>
                    <w:bottom w:val="single" w:sz="4" w:space="0" w:color="auto"/>
                    <w:right w:val="single" w:sz="4" w:space="0" w:color="auto"/>
                  </w:tcBorders>
                  <w:shd w:val="clear" w:color="auto" w:fill="auto"/>
                  <w:noWrap/>
                  <w:hideMark/>
                </w:tcPr>
                <w:p w14:paraId="2A04A700" w14:textId="77777777" w:rsidR="00BA5209" w:rsidRPr="00B94708" w:rsidRDefault="00BA5209" w:rsidP="00BA5209">
                  <w:pPr>
                    <w:keepNext w:val="0"/>
                    <w:spacing w:before="0"/>
                    <w:jc w:val="center"/>
                    <w:rPr>
                      <w:rFonts w:cs="Arial"/>
                      <w:color w:val="auto"/>
                      <w:sz w:val="22"/>
                      <w:szCs w:val="22"/>
                    </w:rPr>
                  </w:pPr>
                  <w:r w:rsidRPr="00B94708">
                    <w:rPr>
                      <w:rFonts w:cs="Arial"/>
                      <w:color w:val="auto"/>
                      <w:sz w:val="22"/>
                      <w:szCs w:val="22"/>
                    </w:rPr>
                    <w:t>G</w:t>
                  </w:r>
                </w:p>
              </w:tc>
              <w:tc>
                <w:tcPr>
                  <w:tcW w:w="1600" w:type="dxa"/>
                  <w:tcBorders>
                    <w:top w:val="nil"/>
                    <w:left w:val="nil"/>
                    <w:bottom w:val="single" w:sz="4" w:space="0" w:color="auto"/>
                    <w:right w:val="single" w:sz="4" w:space="0" w:color="auto"/>
                  </w:tcBorders>
                  <w:shd w:val="clear" w:color="auto" w:fill="auto"/>
                  <w:noWrap/>
                  <w:hideMark/>
                </w:tcPr>
                <w:p w14:paraId="0F877D0D" w14:textId="77777777" w:rsidR="00BA5209" w:rsidRPr="00B94708" w:rsidRDefault="00BA5209" w:rsidP="00BA5209">
                  <w:pPr>
                    <w:keepNext w:val="0"/>
                    <w:spacing w:before="0"/>
                    <w:jc w:val="center"/>
                    <w:rPr>
                      <w:rFonts w:cs="Arial"/>
                      <w:color w:val="auto"/>
                      <w:sz w:val="22"/>
                      <w:szCs w:val="22"/>
                    </w:rPr>
                  </w:pPr>
                  <w:r w:rsidRPr="00B94708">
                    <w:rPr>
                      <w:rFonts w:cs="Arial"/>
                      <w:color w:val="auto"/>
                      <w:sz w:val="22"/>
                      <w:szCs w:val="22"/>
                    </w:rPr>
                    <w:t>No</w:t>
                  </w:r>
                </w:p>
              </w:tc>
              <w:tc>
                <w:tcPr>
                  <w:tcW w:w="1220" w:type="dxa"/>
                  <w:tcBorders>
                    <w:top w:val="nil"/>
                    <w:left w:val="nil"/>
                    <w:bottom w:val="single" w:sz="4" w:space="0" w:color="auto"/>
                    <w:right w:val="single" w:sz="4" w:space="0" w:color="auto"/>
                  </w:tcBorders>
                  <w:shd w:val="clear" w:color="auto" w:fill="auto"/>
                  <w:noWrap/>
                  <w:hideMark/>
                </w:tcPr>
                <w:p w14:paraId="5BD50B3A" w14:textId="77777777" w:rsidR="00BA5209" w:rsidRPr="00B94708" w:rsidRDefault="00BA5209" w:rsidP="00BA5209">
                  <w:pPr>
                    <w:keepNext w:val="0"/>
                    <w:spacing w:before="0"/>
                    <w:jc w:val="right"/>
                    <w:rPr>
                      <w:rFonts w:cs="Arial"/>
                      <w:color w:val="auto"/>
                      <w:sz w:val="22"/>
                      <w:szCs w:val="22"/>
                    </w:rPr>
                  </w:pPr>
                  <w:r w:rsidRPr="00B94708">
                    <w:rPr>
                      <w:rFonts w:cs="Arial"/>
                      <w:color w:val="auto"/>
                      <w:sz w:val="22"/>
                      <w:szCs w:val="22"/>
                    </w:rPr>
                    <w:t>225</w:t>
                  </w:r>
                </w:p>
              </w:tc>
            </w:tr>
            <w:tr w:rsidR="006E25C7" w:rsidRPr="006E25C7" w14:paraId="5C5C5CAA" w14:textId="77777777" w:rsidTr="00BA5209">
              <w:trPr>
                <w:trHeight w:val="280"/>
                <w:jc w:val="center"/>
              </w:trPr>
              <w:tc>
                <w:tcPr>
                  <w:tcW w:w="760" w:type="dxa"/>
                  <w:tcBorders>
                    <w:top w:val="nil"/>
                    <w:left w:val="single" w:sz="4" w:space="0" w:color="auto"/>
                    <w:bottom w:val="single" w:sz="4" w:space="0" w:color="auto"/>
                    <w:right w:val="single" w:sz="4" w:space="0" w:color="auto"/>
                  </w:tcBorders>
                  <w:shd w:val="clear" w:color="auto" w:fill="auto"/>
                  <w:noWrap/>
                  <w:hideMark/>
                </w:tcPr>
                <w:p w14:paraId="3DCF36B6" w14:textId="77777777" w:rsidR="00BA5209" w:rsidRPr="006E25C7" w:rsidRDefault="00BA5209" w:rsidP="00BA5209">
                  <w:pPr>
                    <w:keepNext w:val="0"/>
                    <w:spacing w:before="0"/>
                    <w:rPr>
                      <w:rFonts w:cs="Arial"/>
                      <w:color w:val="auto"/>
                      <w:sz w:val="22"/>
                      <w:szCs w:val="22"/>
                    </w:rPr>
                  </w:pPr>
                  <w:r w:rsidRPr="006E25C7">
                    <w:rPr>
                      <w:rFonts w:cs="Arial"/>
                      <w:color w:val="auto"/>
                      <w:sz w:val="22"/>
                      <w:szCs w:val="22"/>
                    </w:rPr>
                    <w:t>H1Se</w:t>
                  </w:r>
                </w:p>
              </w:tc>
              <w:tc>
                <w:tcPr>
                  <w:tcW w:w="3660" w:type="dxa"/>
                  <w:tcBorders>
                    <w:top w:val="nil"/>
                    <w:left w:val="nil"/>
                    <w:bottom w:val="single" w:sz="4" w:space="0" w:color="auto"/>
                    <w:right w:val="single" w:sz="4" w:space="0" w:color="auto"/>
                  </w:tcBorders>
                  <w:shd w:val="clear" w:color="auto" w:fill="auto"/>
                  <w:hideMark/>
                </w:tcPr>
                <w:p w14:paraId="5172C4D9" w14:textId="77777777" w:rsidR="00BA5209" w:rsidRPr="006E25C7" w:rsidRDefault="00BA5209" w:rsidP="00BA5209">
                  <w:pPr>
                    <w:keepNext w:val="0"/>
                    <w:spacing w:before="0"/>
                    <w:rPr>
                      <w:rFonts w:cs="Arial"/>
                      <w:color w:val="auto"/>
                      <w:sz w:val="22"/>
                      <w:szCs w:val="22"/>
                    </w:rPr>
                  </w:pPr>
                  <w:r w:rsidRPr="006E25C7">
                    <w:rPr>
                      <w:rFonts w:cs="Arial"/>
                      <w:color w:val="auto"/>
                      <w:sz w:val="22"/>
                      <w:szCs w:val="22"/>
                    </w:rPr>
                    <w:t>Priestic Road</w:t>
                  </w:r>
                </w:p>
              </w:tc>
              <w:tc>
                <w:tcPr>
                  <w:tcW w:w="1460" w:type="dxa"/>
                  <w:tcBorders>
                    <w:top w:val="nil"/>
                    <w:left w:val="nil"/>
                    <w:bottom w:val="single" w:sz="4" w:space="0" w:color="auto"/>
                    <w:right w:val="single" w:sz="4" w:space="0" w:color="auto"/>
                  </w:tcBorders>
                  <w:shd w:val="clear" w:color="auto" w:fill="auto"/>
                  <w:noWrap/>
                  <w:hideMark/>
                </w:tcPr>
                <w:p w14:paraId="3AF6A5C7" w14:textId="77777777" w:rsidR="00BA5209" w:rsidRPr="006E25C7" w:rsidRDefault="00BA5209" w:rsidP="00BA5209">
                  <w:pPr>
                    <w:keepNext w:val="0"/>
                    <w:spacing w:before="0"/>
                    <w:jc w:val="center"/>
                    <w:rPr>
                      <w:rFonts w:cs="Arial"/>
                      <w:color w:val="auto"/>
                      <w:sz w:val="22"/>
                      <w:szCs w:val="22"/>
                    </w:rPr>
                  </w:pPr>
                  <w:r w:rsidRPr="006E25C7">
                    <w:rPr>
                      <w:rFonts w:cs="Arial"/>
                      <w:color w:val="auto"/>
                      <w:sz w:val="22"/>
                      <w:szCs w:val="22"/>
                    </w:rPr>
                    <w:t>G</w:t>
                  </w:r>
                </w:p>
              </w:tc>
              <w:tc>
                <w:tcPr>
                  <w:tcW w:w="1600" w:type="dxa"/>
                  <w:tcBorders>
                    <w:top w:val="nil"/>
                    <w:left w:val="nil"/>
                    <w:bottom w:val="single" w:sz="4" w:space="0" w:color="auto"/>
                    <w:right w:val="single" w:sz="4" w:space="0" w:color="auto"/>
                  </w:tcBorders>
                  <w:shd w:val="clear" w:color="auto" w:fill="auto"/>
                  <w:noWrap/>
                  <w:hideMark/>
                </w:tcPr>
                <w:p w14:paraId="2342A12E" w14:textId="77777777" w:rsidR="00BA5209" w:rsidRPr="006E25C7" w:rsidRDefault="00BA5209" w:rsidP="00BA5209">
                  <w:pPr>
                    <w:keepNext w:val="0"/>
                    <w:spacing w:before="0"/>
                    <w:jc w:val="center"/>
                    <w:rPr>
                      <w:rFonts w:cs="Arial"/>
                      <w:color w:val="auto"/>
                      <w:sz w:val="22"/>
                      <w:szCs w:val="22"/>
                    </w:rPr>
                  </w:pPr>
                  <w:r w:rsidRPr="006E25C7">
                    <w:rPr>
                      <w:rFonts w:cs="Arial"/>
                      <w:color w:val="auto"/>
                      <w:sz w:val="22"/>
                      <w:szCs w:val="22"/>
                    </w:rPr>
                    <w:t>No</w:t>
                  </w:r>
                </w:p>
              </w:tc>
              <w:tc>
                <w:tcPr>
                  <w:tcW w:w="1220" w:type="dxa"/>
                  <w:tcBorders>
                    <w:top w:val="nil"/>
                    <w:left w:val="nil"/>
                    <w:bottom w:val="single" w:sz="4" w:space="0" w:color="auto"/>
                    <w:right w:val="single" w:sz="4" w:space="0" w:color="auto"/>
                  </w:tcBorders>
                  <w:shd w:val="clear" w:color="auto" w:fill="auto"/>
                  <w:noWrap/>
                  <w:hideMark/>
                </w:tcPr>
                <w:p w14:paraId="4E2E2C0A" w14:textId="77777777" w:rsidR="00BA5209" w:rsidRPr="006E25C7" w:rsidRDefault="00BA5209" w:rsidP="00BA5209">
                  <w:pPr>
                    <w:keepNext w:val="0"/>
                    <w:spacing w:before="0"/>
                    <w:jc w:val="right"/>
                    <w:rPr>
                      <w:rFonts w:cs="Arial"/>
                      <w:color w:val="auto"/>
                      <w:sz w:val="22"/>
                      <w:szCs w:val="22"/>
                    </w:rPr>
                  </w:pPr>
                  <w:r w:rsidRPr="006E25C7">
                    <w:rPr>
                      <w:rFonts w:cs="Arial"/>
                      <w:color w:val="auto"/>
                      <w:sz w:val="22"/>
                      <w:szCs w:val="22"/>
                    </w:rPr>
                    <w:t>19</w:t>
                  </w:r>
                </w:p>
              </w:tc>
            </w:tr>
            <w:tr w:rsidR="006E25C7" w:rsidRPr="006E25C7" w14:paraId="35613843" w14:textId="77777777" w:rsidTr="00BA5209">
              <w:trPr>
                <w:trHeight w:val="280"/>
                <w:jc w:val="center"/>
              </w:trPr>
              <w:tc>
                <w:tcPr>
                  <w:tcW w:w="760" w:type="dxa"/>
                  <w:tcBorders>
                    <w:top w:val="nil"/>
                    <w:left w:val="single" w:sz="4" w:space="0" w:color="auto"/>
                    <w:bottom w:val="single" w:sz="4" w:space="0" w:color="auto"/>
                    <w:right w:val="single" w:sz="4" w:space="0" w:color="auto"/>
                  </w:tcBorders>
                  <w:shd w:val="clear" w:color="auto" w:fill="auto"/>
                  <w:noWrap/>
                  <w:hideMark/>
                </w:tcPr>
                <w:p w14:paraId="5E5BC836" w14:textId="77777777" w:rsidR="00BA5209" w:rsidRPr="006E25C7" w:rsidRDefault="00BA5209" w:rsidP="00BA5209">
                  <w:pPr>
                    <w:keepNext w:val="0"/>
                    <w:spacing w:before="0"/>
                    <w:rPr>
                      <w:rFonts w:cs="Arial"/>
                      <w:color w:val="auto"/>
                      <w:sz w:val="22"/>
                      <w:szCs w:val="22"/>
                    </w:rPr>
                  </w:pPr>
                  <w:r w:rsidRPr="006E25C7">
                    <w:rPr>
                      <w:rFonts w:cs="Arial"/>
                      <w:color w:val="auto"/>
                      <w:sz w:val="22"/>
                      <w:szCs w:val="22"/>
                    </w:rPr>
                    <w:t>H1Sf</w:t>
                  </w:r>
                </w:p>
              </w:tc>
              <w:tc>
                <w:tcPr>
                  <w:tcW w:w="3660" w:type="dxa"/>
                  <w:tcBorders>
                    <w:top w:val="nil"/>
                    <w:left w:val="nil"/>
                    <w:bottom w:val="single" w:sz="4" w:space="0" w:color="auto"/>
                    <w:right w:val="single" w:sz="4" w:space="0" w:color="auto"/>
                  </w:tcBorders>
                  <w:shd w:val="clear" w:color="auto" w:fill="auto"/>
                  <w:hideMark/>
                </w:tcPr>
                <w:p w14:paraId="021CB363" w14:textId="77777777" w:rsidR="00BA5209" w:rsidRPr="006E25C7" w:rsidRDefault="00BA5209" w:rsidP="00BA5209">
                  <w:pPr>
                    <w:keepNext w:val="0"/>
                    <w:spacing w:before="0"/>
                    <w:rPr>
                      <w:rFonts w:cs="Arial"/>
                      <w:color w:val="auto"/>
                      <w:sz w:val="22"/>
                      <w:szCs w:val="22"/>
                    </w:rPr>
                  </w:pPr>
                  <w:r w:rsidRPr="006E25C7">
                    <w:rPr>
                      <w:rFonts w:cs="Arial"/>
                      <w:color w:val="auto"/>
                      <w:sz w:val="22"/>
                      <w:szCs w:val="22"/>
                    </w:rPr>
                    <w:t>Rear 23 Beck Lane, Skegby</w:t>
                  </w:r>
                </w:p>
              </w:tc>
              <w:tc>
                <w:tcPr>
                  <w:tcW w:w="1460" w:type="dxa"/>
                  <w:tcBorders>
                    <w:top w:val="nil"/>
                    <w:left w:val="nil"/>
                    <w:bottom w:val="single" w:sz="4" w:space="0" w:color="auto"/>
                    <w:right w:val="single" w:sz="4" w:space="0" w:color="auto"/>
                  </w:tcBorders>
                  <w:shd w:val="clear" w:color="auto" w:fill="auto"/>
                  <w:noWrap/>
                  <w:hideMark/>
                </w:tcPr>
                <w:p w14:paraId="221A826E" w14:textId="77777777" w:rsidR="00BA5209" w:rsidRPr="006E25C7" w:rsidRDefault="00BA5209" w:rsidP="00BA5209">
                  <w:pPr>
                    <w:keepNext w:val="0"/>
                    <w:spacing w:before="0"/>
                    <w:jc w:val="center"/>
                    <w:rPr>
                      <w:rFonts w:cs="Arial"/>
                      <w:color w:val="auto"/>
                      <w:sz w:val="22"/>
                      <w:szCs w:val="22"/>
                    </w:rPr>
                  </w:pPr>
                  <w:r w:rsidRPr="006E25C7">
                    <w:rPr>
                      <w:rFonts w:cs="Arial"/>
                      <w:color w:val="auto"/>
                      <w:sz w:val="22"/>
                      <w:szCs w:val="22"/>
                    </w:rPr>
                    <w:t>G</w:t>
                  </w:r>
                </w:p>
              </w:tc>
              <w:tc>
                <w:tcPr>
                  <w:tcW w:w="1600" w:type="dxa"/>
                  <w:tcBorders>
                    <w:top w:val="nil"/>
                    <w:left w:val="nil"/>
                    <w:bottom w:val="single" w:sz="4" w:space="0" w:color="auto"/>
                    <w:right w:val="single" w:sz="4" w:space="0" w:color="auto"/>
                  </w:tcBorders>
                  <w:shd w:val="clear" w:color="auto" w:fill="auto"/>
                  <w:noWrap/>
                  <w:hideMark/>
                </w:tcPr>
                <w:p w14:paraId="6E0A88E8" w14:textId="77777777" w:rsidR="00BA5209" w:rsidRPr="006E25C7" w:rsidRDefault="00BA5209" w:rsidP="00BA5209">
                  <w:pPr>
                    <w:keepNext w:val="0"/>
                    <w:spacing w:before="0"/>
                    <w:jc w:val="center"/>
                    <w:rPr>
                      <w:rFonts w:cs="Arial"/>
                      <w:color w:val="auto"/>
                      <w:sz w:val="22"/>
                      <w:szCs w:val="22"/>
                    </w:rPr>
                  </w:pPr>
                  <w:r w:rsidRPr="006E25C7">
                    <w:rPr>
                      <w:rFonts w:cs="Arial"/>
                      <w:color w:val="auto"/>
                      <w:sz w:val="22"/>
                      <w:szCs w:val="22"/>
                    </w:rPr>
                    <w:t>No</w:t>
                  </w:r>
                </w:p>
              </w:tc>
              <w:tc>
                <w:tcPr>
                  <w:tcW w:w="1220" w:type="dxa"/>
                  <w:tcBorders>
                    <w:top w:val="nil"/>
                    <w:left w:val="nil"/>
                    <w:bottom w:val="single" w:sz="4" w:space="0" w:color="auto"/>
                    <w:right w:val="single" w:sz="4" w:space="0" w:color="auto"/>
                  </w:tcBorders>
                  <w:shd w:val="clear" w:color="auto" w:fill="auto"/>
                  <w:noWrap/>
                  <w:hideMark/>
                </w:tcPr>
                <w:p w14:paraId="2533200C" w14:textId="77777777" w:rsidR="00BA5209" w:rsidRPr="006E25C7" w:rsidRDefault="00BA5209" w:rsidP="00BA5209">
                  <w:pPr>
                    <w:keepNext w:val="0"/>
                    <w:spacing w:before="0"/>
                    <w:jc w:val="right"/>
                    <w:rPr>
                      <w:rFonts w:cs="Arial"/>
                      <w:color w:val="auto"/>
                      <w:sz w:val="22"/>
                      <w:szCs w:val="22"/>
                    </w:rPr>
                  </w:pPr>
                  <w:r w:rsidRPr="006E25C7">
                    <w:rPr>
                      <w:rFonts w:cs="Arial"/>
                      <w:color w:val="auto"/>
                      <w:sz w:val="22"/>
                      <w:szCs w:val="22"/>
                    </w:rPr>
                    <w:t>23</w:t>
                  </w:r>
                </w:p>
              </w:tc>
            </w:tr>
            <w:tr w:rsidR="006E25C7" w:rsidRPr="006E25C7" w14:paraId="1E1406B4" w14:textId="77777777" w:rsidTr="00BA5209">
              <w:trPr>
                <w:trHeight w:val="560"/>
                <w:jc w:val="center"/>
              </w:trPr>
              <w:tc>
                <w:tcPr>
                  <w:tcW w:w="760" w:type="dxa"/>
                  <w:tcBorders>
                    <w:top w:val="nil"/>
                    <w:left w:val="single" w:sz="4" w:space="0" w:color="auto"/>
                    <w:bottom w:val="single" w:sz="4" w:space="0" w:color="auto"/>
                    <w:right w:val="single" w:sz="4" w:space="0" w:color="auto"/>
                  </w:tcBorders>
                  <w:shd w:val="clear" w:color="auto" w:fill="auto"/>
                  <w:noWrap/>
                  <w:hideMark/>
                </w:tcPr>
                <w:p w14:paraId="6DB83C40" w14:textId="77777777" w:rsidR="00BA5209" w:rsidRPr="006E25C7" w:rsidRDefault="00BA5209" w:rsidP="00BA5209">
                  <w:pPr>
                    <w:keepNext w:val="0"/>
                    <w:spacing w:before="0"/>
                    <w:rPr>
                      <w:rFonts w:cs="Arial"/>
                      <w:color w:val="auto"/>
                      <w:sz w:val="22"/>
                      <w:szCs w:val="22"/>
                    </w:rPr>
                  </w:pPr>
                  <w:r w:rsidRPr="006E25C7">
                    <w:rPr>
                      <w:rFonts w:cs="Arial"/>
                      <w:color w:val="auto"/>
                      <w:sz w:val="22"/>
                      <w:szCs w:val="22"/>
                    </w:rPr>
                    <w:t>H1Sg</w:t>
                  </w:r>
                </w:p>
              </w:tc>
              <w:tc>
                <w:tcPr>
                  <w:tcW w:w="3660" w:type="dxa"/>
                  <w:tcBorders>
                    <w:top w:val="nil"/>
                    <w:left w:val="nil"/>
                    <w:bottom w:val="single" w:sz="4" w:space="0" w:color="auto"/>
                    <w:right w:val="single" w:sz="4" w:space="0" w:color="auto"/>
                  </w:tcBorders>
                  <w:shd w:val="clear" w:color="auto" w:fill="auto"/>
                  <w:hideMark/>
                </w:tcPr>
                <w:p w14:paraId="4FEC6241" w14:textId="77777777" w:rsidR="00BA5209" w:rsidRPr="006E25C7" w:rsidRDefault="00BA5209" w:rsidP="00BA5209">
                  <w:pPr>
                    <w:keepNext w:val="0"/>
                    <w:spacing w:before="0"/>
                    <w:rPr>
                      <w:rFonts w:cs="Arial"/>
                      <w:color w:val="auto"/>
                      <w:sz w:val="22"/>
                      <w:szCs w:val="22"/>
                    </w:rPr>
                  </w:pPr>
                  <w:r w:rsidRPr="006E25C7">
                    <w:rPr>
                      <w:rFonts w:cs="Arial"/>
                      <w:color w:val="auto"/>
                      <w:sz w:val="22"/>
                      <w:szCs w:val="22"/>
                    </w:rPr>
                    <w:t>Former Miner's Welfare Sports Ground, Stanton Hill</w:t>
                  </w:r>
                </w:p>
              </w:tc>
              <w:tc>
                <w:tcPr>
                  <w:tcW w:w="1460" w:type="dxa"/>
                  <w:tcBorders>
                    <w:top w:val="nil"/>
                    <w:left w:val="nil"/>
                    <w:bottom w:val="single" w:sz="4" w:space="0" w:color="auto"/>
                    <w:right w:val="single" w:sz="4" w:space="0" w:color="auto"/>
                  </w:tcBorders>
                  <w:shd w:val="clear" w:color="auto" w:fill="auto"/>
                  <w:noWrap/>
                  <w:hideMark/>
                </w:tcPr>
                <w:p w14:paraId="3A822CF5" w14:textId="77777777" w:rsidR="00BA5209" w:rsidRPr="006E25C7" w:rsidRDefault="00BA5209" w:rsidP="00BA5209">
                  <w:pPr>
                    <w:keepNext w:val="0"/>
                    <w:spacing w:before="0"/>
                    <w:jc w:val="center"/>
                    <w:rPr>
                      <w:rFonts w:cs="Arial"/>
                      <w:color w:val="auto"/>
                      <w:sz w:val="22"/>
                      <w:szCs w:val="22"/>
                    </w:rPr>
                  </w:pPr>
                  <w:r w:rsidRPr="006E25C7">
                    <w:rPr>
                      <w:rFonts w:cs="Arial"/>
                      <w:color w:val="auto"/>
                      <w:sz w:val="22"/>
                      <w:szCs w:val="22"/>
                    </w:rPr>
                    <w:t>G</w:t>
                  </w:r>
                </w:p>
              </w:tc>
              <w:tc>
                <w:tcPr>
                  <w:tcW w:w="1600" w:type="dxa"/>
                  <w:tcBorders>
                    <w:top w:val="nil"/>
                    <w:left w:val="nil"/>
                    <w:bottom w:val="single" w:sz="4" w:space="0" w:color="auto"/>
                    <w:right w:val="single" w:sz="4" w:space="0" w:color="auto"/>
                  </w:tcBorders>
                  <w:shd w:val="clear" w:color="auto" w:fill="auto"/>
                  <w:noWrap/>
                  <w:hideMark/>
                </w:tcPr>
                <w:p w14:paraId="2F038893" w14:textId="77777777" w:rsidR="00BA5209" w:rsidRPr="006E25C7" w:rsidRDefault="00BA5209" w:rsidP="00BA5209">
                  <w:pPr>
                    <w:keepNext w:val="0"/>
                    <w:spacing w:before="0"/>
                    <w:jc w:val="center"/>
                    <w:rPr>
                      <w:rFonts w:cs="Arial"/>
                      <w:color w:val="auto"/>
                      <w:sz w:val="22"/>
                      <w:szCs w:val="22"/>
                    </w:rPr>
                  </w:pPr>
                  <w:r w:rsidRPr="006E25C7">
                    <w:rPr>
                      <w:rFonts w:cs="Arial"/>
                      <w:color w:val="auto"/>
                      <w:sz w:val="22"/>
                      <w:szCs w:val="22"/>
                    </w:rPr>
                    <w:t>No</w:t>
                  </w:r>
                </w:p>
              </w:tc>
              <w:tc>
                <w:tcPr>
                  <w:tcW w:w="1220" w:type="dxa"/>
                  <w:tcBorders>
                    <w:top w:val="nil"/>
                    <w:left w:val="nil"/>
                    <w:bottom w:val="single" w:sz="4" w:space="0" w:color="auto"/>
                    <w:right w:val="single" w:sz="4" w:space="0" w:color="auto"/>
                  </w:tcBorders>
                  <w:shd w:val="clear" w:color="auto" w:fill="auto"/>
                  <w:noWrap/>
                  <w:hideMark/>
                </w:tcPr>
                <w:p w14:paraId="359B3383" w14:textId="77777777" w:rsidR="00BA5209" w:rsidRPr="006E25C7" w:rsidRDefault="00BA5209" w:rsidP="00BA5209">
                  <w:pPr>
                    <w:keepNext w:val="0"/>
                    <w:spacing w:before="0"/>
                    <w:jc w:val="right"/>
                    <w:rPr>
                      <w:rFonts w:cs="Arial"/>
                      <w:color w:val="auto"/>
                      <w:sz w:val="22"/>
                      <w:szCs w:val="22"/>
                    </w:rPr>
                  </w:pPr>
                  <w:r w:rsidRPr="006E25C7">
                    <w:rPr>
                      <w:rFonts w:cs="Arial"/>
                      <w:color w:val="auto"/>
                      <w:sz w:val="22"/>
                      <w:szCs w:val="22"/>
                    </w:rPr>
                    <w:t>85</w:t>
                  </w:r>
                </w:p>
              </w:tc>
            </w:tr>
            <w:tr w:rsidR="006E25C7" w:rsidRPr="006E25C7" w14:paraId="189D96F0" w14:textId="77777777" w:rsidTr="00BA5209">
              <w:trPr>
                <w:trHeight w:val="280"/>
                <w:jc w:val="center"/>
              </w:trPr>
              <w:tc>
                <w:tcPr>
                  <w:tcW w:w="760" w:type="dxa"/>
                  <w:tcBorders>
                    <w:top w:val="nil"/>
                    <w:left w:val="single" w:sz="4" w:space="0" w:color="auto"/>
                    <w:bottom w:val="single" w:sz="4" w:space="0" w:color="auto"/>
                    <w:right w:val="single" w:sz="4" w:space="0" w:color="auto"/>
                  </w:tcBorders>
                  <w:shd w:val="clear" w:color="auto" w:fill="auto"/>
                  <w:noWrap/>
                  <w:hideMark/>
                </w:tcPr>
                <w:p w14:paraId="0151E044" w14:textId="77777777" w:rsidR="00BA5209" w:rsidRPr="006E25C7" w:rsidRDefault="00BA5209" w:rsidP="00BA5209">
                  <w:pPr>
                    <w:keepNext w:val="0"/>
                    <w:spacing w:before="0"/>
                    <w:rPr>
                      <w:rFonts w:cs="Arial"/>
                      <w:color w:val="auto"/>
                      <w:sz w:val="22"/>
                      <w:szCs w:val="22"/>
                    </w:rPr>
                  </w:pPr>
                  <w:r w:rsidRPr="006E25C7">
                    <w:rPr>
                      <w:rFonts w:cs="Arial"/>
                      <w:color w:val="auto"/>
                      <w:sz w:val="22"/>
                      <w:szCs w:val="22"/>
                    </w:rPr>
                    <w:t>H1Sh</w:t>
                  </w:r>
                </w:p>
              </w:tc>
              <w:tc>
                <w:tcPr>
                  <w:tcW w:w="3660" w:type="dxa"/>
                  <w:tcBorders>
                    <w:top w:val="nil"/>
                    <w:left w:val="nil"/>
                    <w:bottom w:val="single" w:sz="4" w:space="0" w:color="auto"/>
                    <w:right w:val="single" w:sz="4" w:space="0" w:color="auto"/>
                  </w:tcBorders>
                  <w:shd w:val="clear" w:color="auto" w:fill="auto"/>
                  <w:hideMark/>
                </w:tcPr>
                <w:p w14:paraId="3D153F02" w14:textId="77777777" w:rsidR="00BA5209" w:rsidRPr="006E25C7" w:rsidRDefault="00BA5209" w:rsidP="00BA5209">
                  <w:pPr>
                    <w:keepNext w:val="0"/>
                    <w:spacing w:before="0"/>
                    <w:rPr>
                      <w:rFonts w:cs="Arial"/>
                      <w:color w:val="auto"/>
                      <w:sz w:val="22"/>
                      <w:szCs w:val="22"/>
                    </w:rPr>
                  </w:pPr>
                  <w:r w:rsidRPr="006E25C7">
                    <w:rPr>
                      <w:rFonts w:cs="Arial"/>
                      <w:color w:val="auto"/>
                      <w:sz w:val="22"/>
                      <w:szCs w:val="22"/>
                    </w:rPr>
                    <w:t>Pasture Farm, Alfreton Road</w:t>
                  </w:r>
                </w:p>
              </w:tc>
              <w:tc>
                <w:tcPr>
                  <w:tcW w:w="1460" w:type="dxa"/>
                  <w:tcBorders>
                    <w:top w:val="nil"/>
                    <w:left w:val="nil"/>
                    <w:bottom w:val="single" w:sz="4" w:space="0" w:color="auto"/>
                    <w:right w:val="single" w:sz="4" w:space="0" w:color="auto"/>
                  </w:tcBorders>
                  <w:shd w:val="clear" w:color="auto" w:fill="auto"/>
                  <w:noWrap/>
                  <w:hideMark/>
                </w:tcPr>
                <w:p w14:paraId="731F134E" w14:textId="77777777" w:rsidR="00BA5209" w:rsidRPr="006E25C7" w:rsidRDefault="00BA5209" w:rsidP="00BA5209">
                  <w:pPr>
                    <w:keepNext w:val="0"/>
                    <w:spacing w:before="0"/>
                    <w:jc w:val="center"/>
                    <w:rPr>
                      <w:rFonts w:cs="Arial"/>
                      <w:color w:val="auto"/>
                      <w:sz w:val="22"/>
                      <w:szCs w:val="22"/>
                    </w:rPr>
                  </w:pPr>
                  <w:r w:rsidRPr="006E25C7">
                    <w:rPr>
                      <w:rFonts w:cs="Arial"/>
                      <w:color w:val="auto"/>
                      <w:sz w:val="22"/>
                      <w:szCs w:val="22"/>
                    </w:rPr>
                    <w:t>G</w:t>
                  </w:r>
                </w:p>
              </w:tc>
              <w:tc>
                <w:tcPr>
                  <w:tcW w:w="1600" w:type="dxa"/>
                  <w:tcBorders>
                    <w:top w:val="nil"/>
                    <w:left w:val="nil"/>
                    <w:bottom w:val="single" w:sz="4" w:space="0" w:color="auto"/>
                    <w:right w:val="single" w:sz="4" w:space="0" w:color="auto"/>
                  </w:tcBorders>
                  <w:shd w:val="clear" w:color="auto" w:fill="auto"/>
                  <w:noWrap/>
                  <w:hideMark/>
                </w:tcPr>
                <w:p w14:paraId="0A348C01" w14:textId="77777777" w:rsidR="00BA5209" w:rsidRPr="006E25C7" w:rsidRDefault="00BA5209" w:rsidP="00BA5209">
                  <w:pPr>
                    <w:keepNext w:val="0"/>
                    <w:spacing w:before="0"/>
                    <w:jc w:val="center"/>
                    <w:rPr>
                      <w:rFonts w:cs="Arial"/>
                      <w:color w:val="auto"/>
                      <w:sz w:val="22"/>
                      <w:szCs w:val="22"/>
                    </w:rPr>
                  </w:pPr>
                  <w:r w:rsidRPr="006E25C7">
                    <w:rPr>
                      <w:rFonts w:cs="Arial"/>
                      <w:color w:val="auto"/>
                      <w:sz w:val="22"/>
                      <w:szCs w:val="22"/>
                    </w:rPr>
                    <w:t>No</w:t>
                  </w:r>
                </w:p>
              </w:tc>
              <w:tc>
                <w:tcPr>
                  <w:tcW w:w="1220" w:type="dxa"/>
                  <w:tcBorders>
                    <w:top w:val="nil"/>
                    <w:left w:val="nil"/>
                    <w:bottom w:val="single" w:sz="4" w:space="0" w:color="auto"/>
                    <w:right w:val="single" w:sz="4" w:space="0" w:color="auto"/>
                  </w:tcBorders>
                  <w:shd w:val="clear" w:color="auto" w:fill="auto"/>
                  <w:noWrap/>
                  <w:hideMark/>
                </w:tcPr>
                <w:p w14:paraId="1CEBAECC" w14:textId="77777777" w:rsidR="00BA5209" w:rsidRPr="006E25C7" w:rsidRDefault="00BA5209" w:rsidP="00BA5209">
                  <w:pPr>
                    <w:keepNext w:val="0"/>
                    <w:spacing w:before="0"/>
                    <w:jc w:val="right"/>
                    <w:rPr>
                      <w:rFonts w:cs="Arial"/>
                      <w:color w:val="auto"/>
                      <w:sz w:val="22"/>
                      <w:szCs w:val="22"/>
                    </w:rPr>
                  </w:pPr>
                  <w:r w:rsidRPr="006E25C7">
                    <w:rPr>
                      <w:rFonts w:cs="Arial"/>
                      <w:color w:val="auto"/>
                      <w:sz w:val="22"/>
                      <w:szCs w:val="22"/>
                    </w:rPr>
                    <w:t>34</w:t>
                  </w:r>
                </w:p>
              </w:tc>
            </w:tr>
            <w:tr w:rsidR="006E25C7" w:rsidRPr="006E25C7" w14:paraId="47C0526B" w14:textId="77777777" w:rsidTr="00BA5209">
              <w:trPr>
                <w:trHeight w:val="280"/>
                <w:jc w:val="center"/>
              </w:trPr>
              <w:tc>
                <w:tcPr>
                  <w:tcW w:w="760" w:type="dxa"/>
                  <w:tcBorders>
                    <w:top w:val="nil"/>
                    <w:left w:val="single" w:sz="4" w:space="0" w:color="auto"/>
                    <w:bottom w:val="single" w:sz="4" w:space="0" w:color="auto"/>
                    <w:right w:val="single" w:sz="4" w:space="0" w:color="auto"/>
                  </w:tcBorders>
                  <w:shd w:val="clear" w:color="auto" w:fill="auto"/>
                  <w:noWrap/>
                  <w:hideMark/>
                </w:tcPr>
                <w:p w14:paraId="70B42BF5" w14:textId="77777777" w:rsidR="00BA5209" w:rsidRPr="006E25C7" w:rsidRDefault="00BA5209" w:rsidP="00BA5209">
                  <w:pPr>
                    <w:keepNext w:val="0"/>
                    <w:spacing w:before="0"/>
                    <w:rPr>
                      <w:rFonts w:cs="Arial"/>
                      <w:color w:val="auto"/>
                      <w:sz w:val="22"/>
                      <w:szCs w:val="22"/>
                    </w:rPr>
                  </w:pPr>
                  <w:r w:rsidRPr="006E25C7">
                    <w:rPr>
                      <w:rFonts w:cs="Arial"/>
                      <w:color w:val="auto"/>
                      <w:sz w:val="22"/>
                      <w:szCs w:val="22"/>
                    </w:rPr>
                    <w:t>H1Si</w:t>
                  </w:r>
                </w:p>
              </w:tc>
              <w:tc>
                <w:tcPr>
                  <w:tcW w:w="3660" w:type="dxa"/>
                  <w:tcBorders>
                    <w:top w:val="nil"/>
                    <w:left w:val="nil"/>
                    <w:bottom w:val="single" w:sz="4" w:space="0" w:color="auto"/>
                    <w:right w:val="single" w:sz="4" w:space="0" w:color="auto"/>
                  </w:tcBorders>
                  <w:shd w:val="clear" w:color="auto" w:fill="auto"/>
                  <w:hideMark/>
                </w:tcPr>
                <w:p w14:paraId="4B074DBD" w14:textId="77777777" w:rsidR="00BA5209" w:rsidRPr="006E25C7" w:rsidRDefault="00BA5209" w:rsidP="00BA5209">
                  <w:pPr>
                    <w:keepNext w:val="0"/>
                    <w:spacing w:before="0"/>
                    <w:rPr>
                      <w:rFonts w:cs="Arial"/>
                      <w:color w:val="auto"/>
                      <w:sz w:val="22"/>
                      <w:szCs w:val="22"/>
                    </w:rPr>
                  </w:pPr>
                  <w:r w:rsidRPr="006E25C7">
                    <w:rPr>
                      <w:rFonts w:cs="Arial"/>
                      <w:color w:val="auto"/>
                      <w:sz w:val="22"/>
                      <w:szCs w:val="22"/>
                    </w:rPr>
                    <w:t>Rear Kingsmill Hospital</w:t>
                  </w:r>
                </w:p>
              </w:tc>
              <w:tc>
                <w:tcPr>
                  <w:tcW w:w="1460" w:type="dxa"/>
                  <w:tcBorders>
                    <w:top w:val="nil"/>
                    <w:left w:val="nil"/>
                    <w:bottom w:val="single" w:sz="4" w:space="0" w:color="auto"/>
                    <w:right w:val="single" w:sz="4" w:space="0" w:color="auto"/>
                  </w:tcBorders>
                  <w:shd w:val="clear" w:color="auto" w:fill="auto"/>
                  <w:noWrap/>
                  <w:hideMark/>
                </w:tcPr>
                <w:p w14:paraId="723E2FB0" w14:textId="77777777" w:rsidR="00BA5209" w:rsidRPr="006E25C7" w:rsidRDefault="00BA5209" w:rsidP="00BA5209">
                  <w:pPr>
                    <w:keepNext w:val="0"/>
                    <w:spacing w:before="0"/>
                    <w:jc w:val="center"/>
                    <w:rPr>
                      <w:rFonts w:cs="Arial"/>
                      <w:color w:val="auto"/>
                      <w:sz w:val="22"/>
                      <w:szCs w:val="22"/>
                    </w:rPr>
                  </w:pPr>
                  <w:r w:rsidRPr="006E25C7">
                    <w:rPr>
                      <w:rFonts w:cs="Arial"/>
                      <w:color w:val="auto"/>
                      <w:sz w:val="22"/>
                      <w:szCs w:val="22"/>
                    </w:rPr>
                    <w:t>G</w:t>
                  </w:r>
                </w:p>
              </w:tc>
              <w:tc>
                <w:tcPr>
                  <w:tcW w:w="1600" w:type="dxa"/>
                  <w:tcBorders>
                    <w:top w:val="nil"/>
                    <w:left w:val="nil"/>
                    <w:bottom w:val="single" w:sz="4" w:space="0" w:color="auto"/>
                    <w:right w:val="single" w:sz="4" w:space="0" w:color="auto"/>
                  </w:tcBorders>
                  <w:shd w:val="clear" w:color="auto" w:fill="auto"/>
                  <w:noWrap/>
                  <w:hideMark/>
                </w:tcPr>
                <w:p w14:paraId="56B85F95" w14:textId="77777777" w:rsidR="00BA5209" w:rsidRPr="006E25C7" w:rsidRDefault="00BA5209" w:rsidP="00BA5209">
                  <w:pPr>
                    <w:keepNext w:val="0"/>
                    <w:spacing w:before="0"/>
                    <w:jc w:val="center"/>
                    <w:rPr>
                      <w:rFonts w:cs="Arial"/>
                      <w:color w:val="auto"/>
                      <w:sz w:val="22"/>
                      <w:szCs w:val="22"/>
                    </w:rPr>
                  </w:pPr>
                  <w:r w:rsidRPr="006E25C7">
                    <w:rPr>
                      <w:rFonts w:cs="Arial"/>
                      <w:color w:val="auto"/>
                      <w:sz w:val="22"/>
                      <w:szCs w:val="22"/>
                    </w:rPr>
                    <w:t>No</w:t>
                  </w:r>
                </w:p>
              </w:tc>
              <w:tc>
                <w:tcPr>
                  <w:tcW w:w="1220" w:type="dxa"/>
                  <w:tcBorders>
                    <w:top w:val="nil"/>
                    <w:left w:val="nil"/>
                    <w:bottom w:val="single" w:sz="4" w:space="0" w:color="auto"/>
                    <w:right w:val="single" w:sz="4" w:space="0" w:color="auto"/>
                  </w:tcBorders>
                  <w:shd w:val="clear" w:color="auto" w:fill="auto"/>
                  <w:noWrap/>
                  <w:hideMark/>
                </w:tcPr>
                <w:p w14:paraId="7A37BFA7" w14:textId="77777777" w:rsidR="00BA5209" w:rsidRPr="006E25C7" w:rsidRDefault="00BA5209" w:rsidP="00BA5209">
                  <w:pPr>
                    <w:keepNext w:val="0"/>
                    <w:spacing w:before="0"/>
                    <w:jc w:val="right"/>
                    <w:rPr>
                      <w:rFonts w:cs="Arial"/>
                      <w:color w:val="auto"/>
                      <w:sz w:val="22"/>
                      <w:szCs w:val="22"/>
                    </w:rPr>
                  </w:pPr>
                  <w:r w:rsidRPr="006E25C7">
                    <w:rPr>
                      <w:rFonts w:cs="Arial"/>
                      <w:color w:val="auto"/>
                      <w:sz w:val="22"/>
                      <w:szCs w:val="22"/>
                    </w:rPr>
                    <w:t>264</w:t>
                  </w:r>
                </w:p>
              </w:tc>
            </w:tr>
            <w:tr w:rsidR="006E25C7" w:rsidRPr="006E25C7" w14:paraId="4CEB247E" w14:textId="77777777" w:rsidTr="00BA5209">
              <w:trPr>
                <w:trHeight w:val="280"/>
                <w:jc w:val="center"/>
              </w:trPr>
              <w:tc>
                <w:tcPr>
                  <w:tcW w:w="760" w:type="dxa"/>
                  <w:tcBorders>
                    <w:top w:val="nil"/>
                    <w:left w:val="single" w:sz="4" w:space="0" w:color="auto"/>
                    <w:bottom w:val="single" w:sz="4" w:space="0" w:color="auto"/>
                    <w:right w:val="single" w:sz="4" w:space="0" w:color="auto"/>
                  </w:tcBorders>
                  <w:shd w:val="clear" w:color="auto" w:fill="auto"/>
                  <w:noWrap/>
                  <w:hideMark/>
                </w:tcPr>
                <w:p w14:paraId="3826AA50" w14:textId="77777777" w:rsidR="00BA5209" w:rsidRPr="006E25C7" w:rsidRDefault="00BA5209" w:rsidP="00BA5209">
                  <w:pPr>
                    <w:keepNext w:val="0"/>
                    <w:spacing w:before="0"/>
                    <w:rPr>
                      <w:rFonts w:cs="Arial"/>
                      <w:color w:val="auto"/>
                      <w:sz w:val="22"/>
                      <w:szCs w:val="22"/>
                    </w:rPr>
                  </w:pPr>
                  <w:r w:rsidRPr="006E25C7">
                    <w:rPr>
                      <w:rFonts w:cs="Arial"/>
                      <w:color w:val="auto"/>
                      <w:sz w:val="22"/>
                      <w:szCs w:val="22"/>
                    </w:rPr>
                    <w:t>H1Sj</w:t>
                  </w:r>
                </w:p>
              </w:tc>
              <w:tc>
                <w:tcPr>
                  <w:tcW w:w="3660" w:type="dxa"/>
                  <w:tcBorders>
                    <w:top w:val="nil"/>
                    <w:left w:val="nil"/>
                    <w:bottom w:val="single" w:sz="4" w:space="0" w:color="auto"/>
                    <w:right w:val="single" w:sz="4" w:space="0" w:color="auto"/>
                  </w:tcBorders>
                  <w:shd w:val="clear" w:color="auto" w:fill="auto"/>
                  <w:hideMark/>
                </w:tcPr>
                <w:p w14:paraId="3E6097EE" w14:textId="77777777" w:rsidR="00BA5209" w:rsidRPr="006E25C7" w:rsidRDefault="00BA5209" w:rsidP="00BA5209">
                  <w:pPr>
                    <w:keepNext w:val="0"/>
                    <w:spacing w:before="0"/>
                    <w:rPr>
                      <w:rFonts w:cs="Arial"/>
                      <w:color w:val="auto"/>
                      <w:sz w:val="22"/>
                      <w:szCs w:val="22"/>
                    </w:rPr>
                  </w:pPr>
                  <w:r w:rsidRPr="006E25C7">
                    <w:rPr>
                      <w:rFonts w:cs="Arial"/>
                      <w:color w:val="auto"/>
                      <w:sz w:val="22"/>
                      <w:szCs w:val="22"/>
                    </w:rPr>
                    <w:t>Clegg Hill Drive, Huthwaite</w:t>
                  </w:r>
                </w:p>
              </w:tc>
              <w:tc>
                <w:tcPr>
                  <w:tcW w:w="1460" w:type="dxa"/>
                  <w:tcBorders>
                    <w:top w:val="nil"/>
                    <w:left w:val="nil"/>
                    <w:bottom w:val="single" w:sz="4" w:space="0" w:color="auto"/>
                    <w:right w:val="single" w:sz="4" w:space="0" w:color="auto"/>
                  </w:tcBorders>
                  <w:shd w:val="clear" w:color="auto" w:fill="auto"/>
                  <w:noWrap/>
                  <w:hideMark/>
                </w:tcPr>
                <w:p w14:paraId="1AB14946" w14:textId="77777777" w:rsidR="00BA5209" w:rsidRPr="006E25C7" w:rsidRDefault="00BA5209" w:rsidP="00BA5209">
                  <w:pPr>
                    <w:keepNext w:val="0"/>
                    <w:spacing w:before="0"/>
                    <w:jc w:val="center"/>
                    <w:rPr>
                      <w:rFonts w:cs="Arial"/>
                      <w:color w:val="auto"/>
                      <w:sz w:val="22"/>
                      <w:szCs w:val="22"/>
                    </w:rPr>
                  </w:pPr>
                  <w:r w:rsidRPr="006E25C7">
                    <w:rPr>
                      <w:rFonts w:cs="Arial"/>
                      <w:color w:val="auto"/>
                      <w:sz w:val="22"/>
                      <w:szCs w:val="22"/>
                    </w:rPr>
                    <w:t>G</w:t>
                  </w:r>
                </w:p>
              </w:tc>
              <w:tc>
                <w:tcPr>
                  <w:tcW w:w="1600" w:type="dxa"/>
                  <w:tcBorders>
                    <w:top w:val="nil"/>
                    <w:left w:val="nil"/>
                    <w:bottom w:val="single" w:sz="4" w:space="0" w:color="auto"/>
                    <w:right w:val="single" w:sz="4" w:space="0" w:color="auto"/>
                  </w:tcBorders>
                  <w:shd w:val="clear" w:color="auto" w:fill="auto"/>
                  <w:noWrap/>
                  <w:hideMark/>
                </w:tcPr>
                <w:p w14:paraId="1E54C4AB" w14:textId="77777777" w:rsidR="00BA5209" w:rsidRPr="006E25C7" w:rsidRDefault="00BA5209" w:rsidP="00BA5209">
                  <w:pPr>
                    <w:keepNext w:val="0"/>
                    <w:spacing w:before="0"/>
                    <w:jc w:val="center"/>
                    <w:rPr>
                      <w:rFonts w:cs="Arial"/>
                      <w:color w:val="auto"/>
                      <w:sz w:val="22"/>
                      <w:szCs w:val="22"/>
                    </w:rPr>
                  </w:pPr>
                  <w:r w:rsidRPr="006E25C7">
                    <w:rPr>
                      <w:rFonts w:cs="Arial"/>
                      <w:color w:val="auto"/>
                      <w:sz w:val="22"/>
                      <w:szCs w:val="22"/>
                    </w:rPr>
                    <w:t>No</w:t>
                  </w:r>
                </w:p>
              </w:tc>
              <w:tc>
                <w:tcPr>
                  <w:tcW w:w="1220" w:type="dxa"/>
                  <w:tcBorders>
                    <w:top w:val="nil"/>
                    <w:left w:val="nil"/>
                    <w:bottom w:val="single" w:sz="4" w:space="0" w:color="auto"/>
                    <w:right w:val="single" w:sz="4" w:space="0" w:color="auto"/>
                  </w:tcBorders>
                  <w:shd w:val="clear" w:color="auto" w:fill="auto"/>
                  <w:noWrap/>
                  <w:hideMark/>
                </w:tcPr>
                <w:p w14:paraId="35099D7A" w14:textId="77777777" w:rsidR="00BA5209" w:rsidRPr="006E25C7" w:rsidRDefault="00BA5209" w:rsidP="00BA5209">
                  <w:pPr>
                    <w:keepNext w:val="0"/>
                    <w:spacing w:before="0"/>
                    <w:jc w:val="right"/>
                    <w:rPr>
                      <w:rFonts w:cs="Arial"/>
                      <w:color w:val="auto"/>
                      <w:sz w:val="22"/>
                      <w:szCs w:val="22"/>
                    </w:rPr>
                  </w:pPr>
                  <w:r w:rsidRPr="006E25C7">
                    <w:rPr>
                      <w:rFonts w:cs="Arial"/>
                      <w:color w:val="auto"/>
                      <w:sz w:val="22"/>
                      <w:szCs w:val="22"/>
                    </w:rPr>
                    <w:t>104</w:t>
                  </w:r>
                </w:p>
              </w:tc>
            </w:tr>
            <w:tr w:rsidR="006E25C7" w:rsidRPr="006E25C7" w14:paraId="0FF1C182" w14:textId="77777777" w:rsidTr="00BA5209">
              <w:trPr>
                <w:trHeight w:val="560"/>
                <w:jc w:val="center"/>
              </w:trPr>
              <w:tc>
                <w:tcPr>
                  <w:tcW w:w="760" w:type="dxa"/>
                  <w:tcBorders>
                    <w:top w:val="nil"/>
                    <w:left w:val="single" w:sz="4" w:space="0" w:color="auto"/>
                    <w:bottom w:val="single" w:sz="4" w:space="0" w:color="auto"/>
                    <w:right w:val="single" w:sz="4" w:space="0" w:color="auto"/>
                  </w:tcBorders>
                  <w:shd w:val="clear" w:color="auto" w:fill="auto"/>
                  <w:noWrap/>
                  <w:hideMark/>
                </w:tcPr>
                <w:p w14:paraId="73E3C113" w14:textId="77777777" w:rsidR="00BA5209" w:rsidRPr="006E25C7" w:rsidRDefault="00BA5209" w:rsidP="00BA5209">
                  <w:pPr>
                    <w:keepNext w:val="0"/>
                    <w:spacing w:before="0"/>
                    <w:rPr>
                      <w:rFonts w:cs="Arial"/>
                      <w:color w:val="auto"/>
                      <w:sz w:val="22"/>
                      <w:szCs w:val="22"/>
                    </w:rPr>
                  </w:pPr>
                  <w:r w:rsidRPr="006E25C7">
                    <w:rPr>
                      <w:rFonts w:cs="Arial"/>
                      <w:color w:val="auto"/>
                      <w:sz w:val="22"/>
                      <w:szCs w:val="22"/>
                    </w:rPr>
                    <w:t>H1Sk</w:t>
                  </w:r>
                </w:p>
              </w:tc>
              <w:tc>
                <w:tcPr>
                  <w:tcW w:w="3660" w:type="dxa"/>
                  <w:tcBorders>
                    <w:top w:val="nil"/>
                    <w:left w:val="nil"/>
                    <w:bottom w:val="single" w:sz="4" w:space="0" w:color="auto"/>
                    <w:right w:val="single" w:sz="4" w:space="0" w:color="auto"/>
                  </w:tcBorders>
                  <w:shd w:val="clear" w:color="auto" w:fill="auto"/>
                  <w:hideMark/>
                </w:tcPr>
                <w:p w14:paraId="0372E4CD" w14:textId="77777777" w:rsidR="00BA5209" w:rsidRPr="006E25C7" w:rsidRDefault="00BA5209" w:rsidP="00BA5209">
                  <w:pPr>
                    <w:keepNext w:val="0"/>
                    <w:spacing w:before="0"/>
                    <w:rPr>
                      <w:rFonts w:cs="Arial"/>
                      <w:color w:val="auto"/>
                      <w:sz w:val="22"/>
                      <w:szCs w:val="22"/>
                    </w:rPr>
                  </w:pPr>
                  <w:r w:rsidRPr="006E25C7">
                    <w:rPr>
                      <w:rFonts w:cs="Arial"/>
                      <w:color w:val="auto"/>
                      <w:sz w:val="22"/>
                      <w:szCs w:val="22"/>
                    </w:rPr>
                    <w:t>Sunnyside Farm, Blackwell Road, Huthwaite</w:t>
                  </w:r>
                </w:p>
              </w:tc>
              <w:tc>
                <w:tcPr>
                  <w:tcW w:w="1460" w:type="dxa"/>
                  <w:tcBorders>
                    <w:top w:val="nil"/>
                    <w:left w:val="nil"/>
                    <w:bottom w:val="single" w:sz="4" w:space="0" w:color="auto"/>
                    <w:right w:val="single" w:sz="4" w:space="0" w:color="auto"/>
                  </w:tcBorders>
                  <w:shd w:val="clear" w:color="auto" w:fill="auto"/>
                  <w:noWrap/>
                  <w:hideMark/>
                </w:tcPr>
                <w:p w14:paraId="69C0395A" w14:textId="77777777" w:rsidR="00BA5209" w:rsidRPr="006E25C7" w:rsidRDefault="00BA5209" w:rsidP="00BA5209">
                  <w:pPr>
                    <w:keepNext w:val="0"/>
                    <w:spacing w:before="0"/>
                    <w:jc w:val="center"/>
                    <w:rPr>
                      <w:rFonts w:cs="Arial"/>
                      <w:color w:val="auto"/>
                      <w:sz w:val="22"/>
                      <w:szCs w:val="22"/>
                    </w:rPr>
                  </w:pPr>
                  <w:r w:rsidRPr="006E25C7">
                    <w:rPr>
                      <w:rFonts w:cs="Arial"/>
                      <w:color w:val="auto"/>
                      <w:sz w:val="22"/>
                      <w:szCs w:val="22"/>
                    </w:rPr>
                    <w:t>G</w:t>
                  </w:r>
                </w:p>
              </w:tc>
              <w:tc>
                <w:tcPr>
                  <w:tcW w:w="1600" w:type="dxa"/>
                  <w:tcBorders>
                    <w:top w:val="nil"/>
                    <w:left w:val="nil"/>
                    <w:bottom w:val="single" w:sz="4" w:space="0" w:color="auto"/>
                    <w:right w:val="single" w:sz="4" w:space="0" w:color="auto"/>
                  </w:tcBorders>
                  <w:shd w:val="clear" w:color="auto" w:fill="auto"/>
                  <w:noWrap/>
                  <w:hideMark/>
                </w:tcPr>
                <w:p w14:paraId="0E652A55" w14:textId="77777777" w:rsidR="00BA5209" w:rsidRPr="006E25C7" w:rsidRDefault="00BA5209" w:rsidP="00BA5209">
                  <w:pPr>
                    <w:keepNext w:val="0"/>
                    <w:spacing w:before="0"/>
                    <w:jc w:val="center"/>
                    <w:rPr>
                      <w:rFonts w:cs="Arial"/>
                      <w:color w:val="auto"/>
                      <w:sz w:val="22"/>
                      <w:szCs w:val="22"/>
                    </w:rPr>
                  </w:pPr>
                  <w:r w:rsidRPr="006E25C7">
                    <w:rPr>
                      <w:rFonts w:cs="Arial"/>
                      <w:color w:val="auto"/>
                      <w:sz w:val="22"/>
                      <w:szCs w:val="22"/>
                    </w:rPr>
                    <w:t>No</w:t>
                  </w:r>
                </w:p>
              </w:tc>
              <w:tc>
                <w:tcPr>
                  <w:tcW w:w="1220" w:type="dxa"/>
                  <w:tcBorders>
                    <w:top w:val="nil"/>
                    <w:left w:val="nil"/>
                    <w:bottom w:val="single" w:sz="4" w:space="0" w:color="auto"/>
                    <w:right w:val="single" w:sz="4" w:space="0" w:color="auto"/>
                  </w:tcBorders>
                  <w:shd w:val="clear" w:color="auto" w:fill="auto"/>
                  <w:noWrap/>
                  <w:hideMark/>
                </w:tcPr>
                <w:p w14:paraId="5A15C34A" w14:textId="77777777" w:rsidR="00BA5209" w:rsidRPr="006E25C7" w:rsidRDefault="00BA5209" w:rsidP="00BA5209">
                  <w:pPr>
                    <w:keepNext w:val="0"/>
                    <w:spacing w:before="0"/>
                    <w:jc w:val="right"/>
                    <w:rPr>
                      <w:rFonts w:cs="Arial"/>
                      <w:color w:val="auto"/>
                      <w:sz w:val="22"/>
                      <w:szCs w:val="22"/>
                    </w:rPr>
                  </w:pPr>
                  <w:r w:rsidRPr="006E25C7">
                    <w:rPr>
                      <w:rFonts w:cs="Arial"/>
                      <w:color w:val="auto"/>
                      <w:sz w:val="22"/>
                      <w:szCs w:val="22"/>
                    </w:rPr>
                    <w:t>283</w:t>
                  </w:r>
                </w:p>
              </w:tc>
            </w:tr>
            <w:tr w:rsidR="006E25C7" w:rsidRPr="006E25C7" w14:paraId="74188C90" w14:textId="77777777" w:rsidTr="00BA5209">
              <w:trPr>
                <w:trHeight w:val="280"/>
                <w:jc w:val="center"/>
              </w:trPr>
              <w:tc>
                <w:tcPr>
                  <w:tcW w:w="760" w:type="dxa"/>
                  <w:tcBorders>
                    <w:top w:val="nil"/>
                    <w:left w:val="single" w:sz="4" w:space="0" w:color="auto"/>
                    <w:bottom w:val="single" w:sz="4" w:space="0" w:color="auto"/>
                    <w:right w:val="single" w:sz="4" w:space="0" w:color="auto"/>
                  </w:tcBorders>
                  <w:shd w:val="clear" w:color="auto" w:fill="auto"/>
                  <w:noWrap/>
                  <w:hideMark/>
                </w:tcPr>
                <w:p w14:paraId="4899409D" w14:textId="77777777" w:rsidR="00BA5209" w:rsidRPr="006E25C7" w:rsidRDefault="00BA5209" w:rsidP="00BA5209">
                  <w:pPr>
                    <w:keepNext w:val="0"/>
                    <w:spacing w:before="0"/>
                    <w:rPr>
                      <w:rFonts w:cs="Arial"/>
                      <w:color w:val="auto"/>
                      <w:sz w:val="22"/>
                      <w:szCs w:val="22"/>
                    </w:rPr>
                  </w:pPr>
                  <w:r w:rsidRPr="006E25C7">
                    <w:rPr>
                      <w:rFonts w:cs="Arial"/>
                      <w:color w:val="auto"/>
                      <w:sz w:val="22"/>
                      <w:szCs w:val="22"/>
                    </w:rPr>
                    <w:t>H1Sl</w:t>
                  </w:r>
                </w:p>
              </w:tc>
              <w:tc>
                <w:tcPr>
                  <w:tcW w:w="3660" w:type="dxa"/>
                  <w:tcBorders>
                    <w:top w:val="nil"/>
                    <w:left w:val="nil"/>
                    <w:bottom w:val="single" w:sz="4" w:space="0" w:color="auto"/>
                    <w:right w:val="single" w:sz="4" w:space="0" w:color="auto"/>
                  </w:tcBorders>
                  <w:shd w:val="clear" w:color="auto" w:fill="auto"/>
                  <w:hideMark/>
                </w:tcPr>
                <w:p w14:paraId="3A509D34" w14:textId="77777777" w:rsidR="00BA5209" w:rsidRPr="006E25C7" w:rsidRDefault="00BA5209" w:rsidP="00BA5209">
                  <w:pPr>
                    <w:keepNext w:val="0"/>
                    <w:spacing w:before="0"/>
                    <w:rPr>
                      <w:rFonts w:cs="Arial"/>
                      <w:color w:val="auto"/>
                      <w:sz w:val="22"/>
                      <w:szCs w:val="22"/>
                    </w:rPr>
                  </w:pPr>
                  <w:r w:rsidRPr="006E25C7">
                    <w:rPr>
                      <w:rFonts w:cs="Arial"/>
                      <w:color w:val="auto"/>
                      <w:sz w:val="22"/>
                      <w:szCs w:val="22"/>
                    </w:rPr>
                    <w:t>North of Fackley Road, Teversal</w:t>
                  </w:r>
                </w:p>
              </w:tc>
              <w:tc>
                <w:tcPr>
                  <w:tcW w:w="1460" w:type="dxa"/>
                  <w:tcBorders>
                    <w:top w:val="nil"/>
                    <w:left w:val="nil"/>
                    <w:bottom w:val="single" w:sz="4" w:space="0" w:color="auto"/>
                    <w:right w:val="single" w:sz="4" w:space="0" w:color="auto"/>
                  </w:tcBorders>
                  <w:shd w:val="clear" w:color="auto" w:fill="auto"/>
                  <w:noWrap/>
                  <w:hideMark/>
                </w:tcPr>
                <w:p w14:paraId="41ABA962" w14:textId="77777777" w:rsidR="00BA5209" w:rsidRPr="006E25C7" w:rsidRDefault="00BA5209" w:rsidP="00BA5209">
                  <w:pPr>
                    <w:keepNext w:val="0"/>
                    <w:spacing w:before="0"/>
                    <w:jc w:val="center"/>
                    <w:rPr>
                      <w:rFonts w:cs="Arial"/>
                      <w:color w:val="auto"/>
                      <w:sz w:val="22"/>
                      <w:szCs w:val="22"/>
                    </w:rPr>
                  </w:pPr>
                  <w:r w:rsidRPr="006E25C7">
                    <w:rPr>
                      <w:rFonts w:cs="Arial"/>
                      <w:color w:val="auto"/>
                      <w:sz w:val="22"/>
                      <w:szCs w:val="22"/>
                    </w:rPr>
                    <w:t>G</w:t>
                  </w:r>
                </w:p>
              </w:tc>
              <w:tc>
                <w:tcPr>
                  <w:tcW w:w="1600" w:type="dxa"/>
                  <w:tcBorders>
                    <w:top w:val="nil"/>
                    <w:left w:val="nil"/>
                    <w:bottom w:val="single" w:sz="4" w:space="0" w:color="auto"/>
                    <w:right w:val="single" w:sz="4" w:space="0" w:color="auto"/>
                  </w:tcBorders>
                  <w:shd w:val="clear" w:color="auto" w:fill="auto"/>
                  <w:noWrap/>
                  <w:hideMark/>
                </w:tcPr>
                <w:p w14:paraId="718DF81B" w14:textId="77777777" w:rsidR="00BA5209" w:rsidRPr="006E25C7" w:rsidRDefault="00BA5209" w:rsidP="00BA5209">
                  <w:pPr>
                    <w:keepNext w:val="0"/>
                    <w:spacing w:before="0"/>
                    <w:jc w:val="center"/>
                    <w:rPr>
                      <w:rFonts w:cs="Arial"/>
                      <w:color w:val="auto"/>
                      <w:sz w:val="22"/>
                      <w:szCs w:val="22"/>
                    </w:rPr>
                  </w:pPr>
                  <w:r w:rsidRPr="006E25C7">
                    <w:rPr>
                      <w:rFonts w:cs="Arial"/>
                      <w:color w:val="auto"/>
                      <w:sz w:val="22"/>
                      <w:szCs w:val="22"/>
                    </w:rPr>
                    <w:t>No</w:t>
                  </w:r>
                </w:p>
              </w:tc>
              <w:tc>
                <w:tcPr>
                  <w:tcW w:w="1220" w:type="dxa"/>
                  <w:tcBorders>
                    <w:top w:val="nil"/>
                    <w:left w:val="nil"/>
                    <w:bottom w:val="single" w:sz="4" w:space="0" w:color="auto"/>
                    <w:right w:val="single" w:sz="4" w:space="0" w:color="auto"/>
                  </w:tcBorders>
                  <w:shd w:val="clear" w:color="auto" w:fill="auto"/>
                  <w:noWrap/>
                  <w:hideMark/>
                </w:tcPr>
                <w:p w14:paraId="6E740609" w14:textId="77777777" w:rsidR="00BA5209" w:rsidRPr="006E25C7" w:rsidRDefault="00BA5209" w:rsidP="00BA5209">
                  <w:pPr>
                    <w:keepNext w:val="0"/>
                    <w:spacing w:before="0"/>
                    <w:jc w:val="right"/>
                    <w:rPr>
                      <w:rFonts w:cs="Arial"/>
                      <w:color w:val="auto"/>
                      <w:sz w:val="22"/>
                      <w:szCs w:val="22"/>
                    </w:rPr>
                  </w:pPr>
                  <w:r w:rsidRPr="006E25C7">
                    <w:rPr>
                      <w:rFonts w:cs="Arial"/>
                      <w:color w:val="auto"/>
                      <w:sz w:val="22"/>
                      <w:szCs w:val="22"/>
                    </w:rPr>
                    <w:t>124</w:t>
                  </w:r>
                </w:p>
              </w:tc>
            </w:tr>
            <w:tr w:rsidR="006E25C7" w:rsidRPr="006E25C7" w14:paraId="41FE081E" w14:textId="77777777" w:rsidTr="00BA5209">
              <w:trPr>
                <w:trHeight w:val="280"/>
                <w:jc w:val="center"/>
              </w:trPr>
              <w:tc>
                <w:tcPr>
                  <w:tcW w:w="760" w:type="dxa"/>
                  <w:tcBorders>
                    <w:top w:val="nil"/>
                    <w:left w:val="single" w:sz="4" w:space="0" w:color="auto"/>
                    <w:bottom w:val="single" w:sz="4" w:space="0" w:color="auto"/>
                    <w:right w:val="single" w:sz="4" w:space="0" w:color="auto"/>
                  </w:tcBorders>
                  <w:shd w:val="clear" w:color="auto" w:fill="auto"/>
                  <w:noWrap/>
                  <w:hideMark/>
                </w:tcPr>
                <w:p w14:paraId="6CD575E8" w14:textId="77777777" w:rsidR="00BA5209" w:rsidRPr="006E25C7" w:rsidRDefault="00BA5209" w:rsidP="00BA5209">
                  <w:pPr>
                    <w:keepNext w:val="0"/>
                    <w:spacing w:before="0"/>
                    <w:rPr>
                      <w:rFonts w:cs="Arial"/>
                      <w:color w:val="auto"/>
                      <w:sz w:val="22"/>
                      <w:szCs w:val="22"/>
                    </w:rPr>
                  </w:pPr>
                  <w:r w:rsidRPr="006E25C7">
                    <w:rPr>
                      <w:rFonts w:cs="Arial"/>
                      <w:color w:val="auto"/>
                      <w:sz w:val="22"/>
                      <w:szCs w:val="22"/>
                    </w:rPr>
                    <w:t>H1Sm</w:t>
                  </w:r>
                </w:p>
              </w:tc>
              <w:tc>
                <w:tcPr>
                  <w:tcW w:w="3660" w:type="dxa"/>
                  <w:tcBorders>
                    <w:top w:val="nil"/>
                    <w:left w:val="nil"/>
                    <w:bottom w:val="single" w:sz="4" w:space="0" w:color="auto"/>
                    <w:right w:val="single" w:sz="4" w:space="0" w:color="auto"/>
                  </w:tcBorders>
                  <w:shd w:val="clear" w:color="auto" w:fill="auto"/>
                  <w:hideMark/>
                </w:tcPr>
                <w:p w14:paraId="54194063" w14:textId="77777777" w:rsidR="00BA5209" w:rsidRPr="006E25C7" w:rsidRDefault="00BA5209" w:rsidP="00BA5209">
                  <w:pPr>
                    <w:keepNext w:val="0"/>
                    <w:spacing w:before="0"/>
                    <w:rPr>
                      <w:rFonts w:cs="Arial"/>
                      <w:color w:val="auto"/>
                      <w:sz w:val="22"/>
                      <w:szCs w:val="22"/>
                    </w:rPr>
                  </w:pPr>
                  <w:r w:rsidRPr="006E25C7">
                    <w:rPr>
                      <w:rFonts w:cs="Arial"/>
                      <w:color w:val="auto"/>
                      <w:sz w:val="22"/>
                      <w:szCs w:val="22"/>
                    </w:rPr>
                    <w:t>Land adjacent 88 High Hazels Drive</w:t>
                  </w:r>
                </w:p>
              </w:tc>
              <w:tc>
                <w:tcPr>
                  <w:tcW w:w="1460" w:type="dxa"/>
                  <w:tcBorders>
                    <w:top w:val="nil"/>
                    <w:left w:val="nil"/>
                    <w:bottom w:val="single" w:sz="4" w:space="0" w:color="auto"/>
                    <w:right w:val="single" w:sz="4" w:space="0" w:color="auto"/>
                  </w:tcBorders>
                  <w:shd w:val="clear" w:color="auto" w:fill="auto"/>
                  <w:noWrap/>
                  <w:hideMark/>
                </w:tcPr>
                <w:p w14:paraId="67C80096" w14:textId="77777777" w:rsidR="00BA5209" w:rsidRPr="006E25C7" w:rsidRDefault="00BA5209" w:rsidP="00BA5209">
                  <w:pPr>
                    <w:keepNext w:val="0"/>
                    <w:spacing w:before="0"/>
                    <w:jc w:val="center"/>
                    <w:rPr>
                      <w:rFonts w:cs="Arial"/>
                      <w:color w:val="auto"/>
                      <w:sz w:val="22"/>
                      <w:szCs w:val="22"/>
                    </w:rPr>
                  </w:pPr>
                  <w:r w:rsidRPr="006E25C7">
                    <w:rPr>
                      <w:rFonts w:cs="Arial"/>
                      <w:color w:val="auto"/>
                      <w:sz w:val="22"/>
                      <w:szCs w:val="22"/>
                    </w:rPr>
                    <w:t>G</w:t>
                  </w:r>
                </w:p>
              </w:tc>
              <w:tc>
                <w:tcPr>
                  <w:tcW w:w="1600" w:type="dxa"/>
                  <w:tcBorders>
                    <w:top w:val="nil"/>
                    <w:left w:val="nil"/>
                    <w:bottom w:val="single" w:sz="4" w:space="0" w:color="auto"/>
                    <w:right w:val="single" w:sz="4" w:space="0" w:color="auto"/>
                  </w:tcBorders>
                  <w:shd w:val="clear" w:color="auto" w:fill="auto"/>
                  <w:noWrap/>
                  <w:hideMark/>
                </w:tcPr>
                <w:p w14:paraId="7ECB6689" w14:textId="77777777" w:rsidR="00BA5209" w:rsidRPr="006E25C7" w:rsidRDefault="00BA5209" w:rsidP="00BA5209">
                  <w:pPr>
                    <w:keepNext w:val="0"/>
                    <w:spacing w:before="0"/>
                    <w:jc w:val="center"/>
                    <w:rPr>
                      <w:rFonts w:cs="Arial"/>
                      <w:color w:val="auto"/>
                      <w:sz w:val="22"/>
                      <w:szCs w:val="22"/>
                    </w:rPr>
                  </w:pPr>
                  <w:r w:rsidRPr="006E25C7">
                    <w:rPr>
                      <w:rFonts w:cs="Arial"/>
                      <w:color w:val="auto"/>
                      <w:sz w:val="22"/>
                      <w:szCs w:val="22"/>
                    </w:rPr>
                    <w:t>No</w:t>
                  </w:r>
                </w:p>
              </w:tc>
              <w:tc>
                <w:tcPr>
                  <w:tcW w:w="1220" w:type="dxa"/>
                  <w:tcBorders>
                    <w:top w:val="nil"/>
                    <w:left w:val="nil"/>
                    <w:bottom w:val="single" w:sz="4" w:space="0" w:color="auto"/>
                    <w:right w:val="single" w:sz="4" w:space="0" w:color="auto"/>
                  </w:tcBorders>
                  <w:shd w:val="clear" w:color="auto" w:fill="auto"/>
                  <w:noWrap/>
                  <w:hideMark/>
                </w:tcPr>
                <w:p w14:paraId="5C299320" w14:textId="77777777" w:rsidR="00BA5209" w:rsidRPr="006E25C7" w:rsidRDefault="00BA5209" w:rsidP="00BA5209">
                  <w:pPr>
                    <w:keepNext w:val="0"/>
                    <w:spacing w:before="0"/>
                    <w:jc w:val="right"/>
                    <w:rPr>
                      <w:rFonts w:cs="Arial"/>
                      <w:color w:val="auto"/>
                      <w:sz w:val="22"/>
                      <w:szCs w:val="22"/>
                    </w:rPr>
                  </w:pPr>
                  <w:r w:rsidRPr="006E25C7">
                    <w:rPr>
                      <w:rFonts w:cs="Arial"/>
                      <w:color w:val="auto"/>
                      <w:sz w:val="22"/>
                      <w:szCs w:val="22"/>
                    </w:rPr>
                    <w:t>11</w:t>
                  </w:r>
                </w:p>
              </w:tc>
            </w:tr>
            <w:tr w:rsidR="006E25C7" w:rsidRPr="006E25C7" w14:paraId="72E266E8" w14:textId="77777777" w:rsidTr="00BA5209">
              <w:trPr>
                <w:trHeight w:val="560"/>
                <w:jc w:val="center"/>
              </w:trPr>
              <w:tc>
                <w:tcPr>
                  <w:tcW w:w="760" w:type="dxa"/>
                  <w:tcBorders>
                    <w:top w:val="nil"/>
                    <w:left w:val="single" w:sz="4" w:space="0" w:color="auto"/>
                    <w:bottom w:val="single" w:sz="4" w:space="0" w:color="auto"/>
                    <w:right w:val="single" w:sz="4" w:space="0" w:color="auto"/>
                  </w:tcBorders>
                  <w:shd w:val="clear" w:color="auto" w:fill="auto"/>
                  <w:noWrap/>
                  <w:hideMark/>
                </w:tcPr>
                <w:p w14:paraId="498A4A67" w14:textId="77777777" w:rsidR="00BA5209" w:rsidRPr="006E25C7" w:rsidRDefault="00BA5209" w:rsidP="00BA5209">
                  <w:pPr>
                    <w:keepNext w:val="0"/>
                    <w:spacing w:before="0"/>
                    <w:rPr>
                      <w:rFonts w:cs="Arial"/>
                      <w:color w:val="auto"/>
                      <w:sz w:val="22"/>
                      <w:szCs w:val="22"/>
                    </w:rPr>
                  </w:pPr>
                  <w:r w:rsidRPr="006E25C7">
                    <w:rPr>
                      <w:rFonts w:cs="Arial"/>
                      <w:color w:val="auto"/>
                      <w:sz w:val="22"/>
                      <w:szCs w:val="22"/>
                    </w:rPr>
                    <w:t>H1Sn</w:t>
                  </w:r>
                </w:p>
              </w:tc>
              <w:tc>
                <w:tcPr>
                  <w:tcW w:w="3660" w:type="dxa"/>
                  <w:tcBorders>
                    <w:top w:val="nil"/>
                    <w:left w:val="nil"/>
                    <w:bottom w:val="single" w:sz="4" w:space="0" w:color="auto"/>
                    <w:right w:val="single" w:sz="4" w:space="0" w:color="auto"/>
                  </w:tcBorders>
                  <w:shd w:val="clear" w:color="auto" w:fill="auto"/>
                  <w:hideMark/>
                </w:tcPr>
                <w:p w14:paraId="595533A6" w14:textId="77777777" w:rsidR="00BA5209" w:rsidRPr="006E25C7" w:rsidRDefault="00BA5209" w:rsidP="00BA5209">
                  <w:pPr>
                    <w:keepNext w:val="0"/>
                    <w:spacing w:before="0"/>
                    <w:rPr>
                      <w:rFonts w:cs="Arial"/>
                      <w:color w:val="auto"/>
                      <w:sz w:val="22"/>
                      <w:szCs w:val="22"/>
                    </w:rPr>
                  </w:pPr>
                  <w:r w:rsidRPr="006E25C7">
                    <w:rPr>
                      <w:rFonts w:cs="Arial"/>
                      <w:color w:val="auto"/>
                      <w:sz w:val="22"/>
                      <w:szCs w:val="22"/>
                    </w:rPr>
                    <w:t>Adj Molyneux Farm, Fackley Road, Teversal</w:t>
                  </w:r>
                </w:p>
              </w:tc>
              <w:tc>
                <w:tcPr>
                  <w:tcW w:w="1460" w:type="dxa"/>
                  <w:tcBorders>
                    <w:top w:val="nil"/>
                    <w:left w:val="nil"/>
                    <w:bottom w:val="single" w:sz="4" w:space="0" w:color="auto"/>
                    <w:right w:val="single" w:sz="4" w:space="0" w:color="auto"/>
                  </w:tcBorders>
                  <w:shd w:val="clear" w:color="auto" w:fill="auto"/>
                  <w:noWrap/>
                  <w:hideMark/>
                </w:tcPr>
                <w:p w14:paraId="34AB462A" w14:textId="77777777" w:rsidR="00BA5209" w:rsidRPr="006E25C7" w:rsidRDefault="00BA5209" w:rsidP="00BA5209">
                  <w:pPr>
                    <w:keepNext w:val="0"/>
                    <w:spacing w:before="0"/>
                    <w:jc w:val="center"/>
                    <w:rPr>
                      <w:rFonts w:cs="Arial"/>
                      <w:color w:val="auto"/>
                      <w:sz w:val="22"/>
                      <w:szCs w:val="22"/>
                    </w:rPr>
                  </w:pPr>
                  <w:r w:rsidRPr="006E25C7">
                    <w:rPr>
                      <w:rFonts w:cs="Arial"/>
                      <w:color w:val="auto"/>
                      <w:sz w:val="22"/>
                      <w:szCs w:val="22"/>
                    </w:rPr>
                    <w:t>G</w:t>
                  </w:r>
                </w:p>
              </w:tc>
              <w:tc>
                <w:tcPr>
                  <w:tcW w:w="1600" w:type="dxa"/>
                  <w:tcBorders>
                    <w:top w:val="nil"/>
                    <w:left w:val="nil"/>
                    <w:bottom w:val="single" w:sz="4" w:space="0" w:color="auto"/>
                    <w:right w:val="single" w:sz="4" w:space="0" w:color="auto"/>
                  </w:tcBorders>
                  <w:shd w:val="clear" w:color="auto" w:fill="auto"/>
                  <w:noWrap/>
                  <w:hideMark/>
                </w:tcPr>
                <w:p w14:paraId="29AF9173" w14:textId="77777777" w:rsidR="00BA5209" w:rsidRPr="006E25C7" w:rsidRDefault="00BA5209" w:rsidP="00BA5209">
                  <w:pPr>
                    <w:keepNext w:val="0"/>
                    <w:spacing w:before="0"/>
                    <w:jc w:val="center"/>
                    <w:rPr>
                      <w:rFonts w:cs="Arial"/>
                      <w:color w:val="auto"/>
                      <w:sz w:val="22"/>
                      <w:szCs w:val="22"/>
                    </w:rPr>
                  </w:pPr>
                  <w:r w:rsidRPr="006E25C7">
                    <w:rPr>
                      <w:rFonts w:cs="Arial"/>
                      <w:color w:val="auto"/>
                      <w:sz w:val="22"/>
                      <w:szCs w:val="22"/>
                    </w:rPr>
                    <w:t>No</w:t>
                  </w:r>
                </w:p>
              </w:tc>
              <w:tc>
                <w:tcPr>
                  <w:tcW w:w="1220" w:type="dxa"/>
                  <w:tcBorders>
                    <w:top w:val="nil"/>
                    <w:left w:val="nil"/>
                    <w:bottom w:val="single" w:sz="4" w:space="0" w:color="auto"/>
                    <w:right w:val="single" w:sz="4" w:space="0" w:color="auto"/>
                  </w:tcBorders>
                  <w:shd w:val="clear" w:color="auto" w:fill="auto"/>
                  <w:noWrap/>
                  <w:hideMark/>
                </w:tcPr>
                <w:p w14:paraId="4F6BBA99" w14:textId="77777777" w:rsidR="00BA5209" w:rsidRPr="006E25C7" w:rsidRDefault="00BA5209" w:rsidP="00BA5209">
                  <w:pPr>
                    <w:keepNext w:val="0"/>
                    <w:spacing w:before="0"/>
                    <w:jc w:val="right"/>
                    <w:rPr>
                      <w:rFonts w:cs="Arial"/>
                      <w:color w:val="auto"/>
                      <w:sz w:val="22"/>
                      <w:szCs w:val="22"/>
                    </w:rPr>
                  </w:pPr>
                  <w:r w:rsidRPr="006E25C7">
                    <w:rPr>
                      <w:rFonts w:cs="Arial"/>
                      <w:color w:val="auto"/>
                      <w:sz w:val="22"/>
                      <w:szCs w:val="22"/>
                    </w:rPr>
                    <w:t>14</w:t>
                  </w:r>
                </w:p>
              </w:tc>
            </w:tr>
            <w:tr w:rsidR="006E25C7" w:rsidRPr="006E25C7" w14:paraId="7048E037" w14:textId="77777777" w:rsidTr="00BA5209">
              <w:trPr>
                <w:trHeight w:val="280"/>
                <w:jc w:val="center"/>
              </w:trPr>
              <w:tc>
                <w:tcPr>
                  <w:tcW w:w="760" w:type="dxa"/>
                  <w:tcBorders>
                    <w:top w:val="nil"/>
                    <w:left w:val="single" w:sz="4" w:space="0" w:color="auto"/>
                    <w:bottom w:val="single" w:sz="4" w:space="0" w:color="auto"/>
                    <w:right w:val="single" w:sz="4" w:space="0" w:color="auto"/>
                  </w:tcBorders>
                  <w:shd w:val="clear" w:color="auto" w:fill="auto"/>
                  <w:noWrap/>
                  <w:hideMark/>
                </w:tcPr>
                <w:p w14:paraId="7292BEA0" w14:textId="77777777" w:rsidR="00BA5209" w:rsidRPr="006E25C7" w:rsidRDefault="00BA5209" w:rsidP="00BA5209">
                  <w:pPr>
                    <w:keepNext w:val="0"/>
                    <w:spacing w:before="0"/>
                    <w:rPr>
                      <w:rFonts w:cs="Arial"/>
                      <w:color w:val="auto"/>
                      <w:sz w:val="22"/>
                      <w:szCs w:val="22"/>
                    </w:rPr>
                  </w:pPr>
                  <w:r w:rsidRPr="006E25C7">
                    <w:rPr>
                      <w:rFonts w:cs="Arial"/>
                      <w:color w:val="auto"/>
                      <w:sz w:val="22"/>
                      <w:szCs w:val="22"/>
                    </w:rPr>
                    <w:t>H1So</w:t>
                  </w:r>
                </w:p>
              </w:tc>
              <w:tc>
                <w:tcPr>
                  <w:tcW w:w="3660" w:type="dxa"/>
                  <w:tcBorders>
                    <w:top w:val="nil"/>
                    <w:left w:val="nil"/>
                    <w:bottom w:val="single" w:sz="4" w:space="0" w:color="auto"/>
                    <w:right w:val="single" w:sz="4" w:space="0" w:color="auto"/>
                  </w:tcBorders>
                  <w:shd w:val="clear" w:color="auto" w:fill="auto"/>
                  <w:hideMark/>
                </w:tcPr>
                <w:p w14:paraId="02A7F325" w14:textId="77777777" w:rsidR="00BA5209" w:rsidRPr="006E25C7" w:rsidRDefault="00BA5209" w:rsidP="00BA5209">
                  <w:pPr>
                    <w:keepNext w:val="0"/>
                    <w:spacing w:before="0"/>
                    <w:rPr>
                      <w:rFonts w:cs="Arial"/>
                      <w:color w:val="auto"/>
                      <w:sz w:val="22"/>
                      <w:szCs w:val="22"/>
                    </w:rPr>
                  </w:pPr>
                  <w:r w:rsidRPr="006E25C7">
                    <w:rPr>
                      <w:rFonts w:cs="Arial"/>
                      <w:color w:val="auto"/>
                      <w:sz w:val="22"/>
                      <w:szCs w:val="22"/>
                    </w:rPr>
                    <w:t>Off Fackley Road, Teversal</w:t>
                  </w:r>
                </w:p>
              </w:tc>
              <w:tc>
                <w:tcPr>
                  <w:tcW w:w="1460" w:type="dxa"/>
                  <w:tcBorders>
                    <w:top w:val="nil"/>
                    <w:left w:val="nil"/>
                    <w:bottom w:val="single" w:sz="4" w:space="0" w:color="auto"/>
                    <w:right w:val="single" w:sz="4" w:space="0" w:color="auto"/>
                  </w:tcBorders>
                  <w:shd w:val="clear" w:color="auto" w:fill="auto"/>
                  <w:noWrap/>
                  <w:hideMark/>
                </w:tcPr>
                <w:p w14:paraId="00277F07" w14:textId="77777777" w:rsidR="00BA5209" w:rsidRPr="006E25C7" w:rsidRDefault="00BA5209" w:rsidP="00BA5209">
                  <w:pPr>
                    <w:keepNext w:val="0"/>
                    <w:spacing w:before="0"/>
                    <w:jc w:val="center"/>
                    <w:rPr>
                      <w:rFonts w:cs="Arial"/>
                      <w:color w:val="auto"/>
                      <w:sz w:val="22"/>
                      <w:szCs w:val="22"/>
                    </w:rPr>
                  </w:pPr>
                  <w:r w:rsidRPr="006E25C7">
                    <w:rPr>
                      <w:rFonts w:cs="Arial"/>
                      <w:color w:val="auto"/>
                      <w:sz w:val="22"/>
                      <w:szCs w:val="22"/>
                    </w:rPr>
                    <w:t>G</w:t>
                  </w:r>
                </w:p>
              </w:tc>
              <w:tc>
                <w:tcPr>
                  <w:tcW w:w="1600" w:type="dxa"/>
                  <w:tcBorders>
                    <w:top w:val="nil"/>
                    <w:left w:val="nil"/>
                    <w:bottom w:val="single" w:sz="4" w:space="0" w:color="auto"/>
                    <w:right w:val="single" w:sz="4" w:space="0" w:color="auto"/>
                  </w:tcBorders>
                  <w:shd w:val="clear" w:color="auto" w:fill="auto"/>
                  <w:noWrap/>
                  <w:hideMark/>
                </w:tcPr>
                <w:p w14:paraId="0640E5F2" w14:textId="77777777" w:rsidR="00BA5209" w:rsidRPr="006E25C7" w:rsidRDefault="00BA5209" w:rsidP="00BA5209">
                  <w:pPr>
                    <w:keepNext w:val="0"/>
                    <w:spacing w:before="0"/>
                    <w:jc w:val="center"/>
                    <w:rPr>
                      <w:rFonts w:cs="Arial"/>
                      <w:color w:val="auto"/>
                      <w:sz w:val="22"/>
                      <w:szCs w:val="22"/>
                    </w:rPr>
                  </w:pPr>
                  <w:r w:rsidRPr="006E25C7">
                    <w:rPr>
                      <w:rFonts w:cs="Arial"/>
                      <w:color w:val="auto"/>
                      <w:sz w:val="22"/>
                      <w:szCs w:val="22"/>
                    </w:rPr>
                    <w:t>No</w:t>
                  </w:r>
                </w:p>
              </w:tc>
              <w:tc>
                <w:tcPr>
                  <w:tcW w:w="1220" w:type="dxa"/>
                  <w:tcBorders>
                    <w:top w:val="nil"/>
                    <w:left w:val="nil"/>
                    <w:bottom w:val="single" w:sz="4" w:space="0" w:color="auto"/>
                    <w:right w:val="single" w:sz="4" w:space="0" w:color="auto"/>
                  </w:tcBorders>
                  <w:shd w:val="clear" w:color="auto" w:fill="auto"/>
                  <w:noWrap/>
                  <w:hideMark/>
                </w:tcPr>
                <w:p w14:paraId="02C23A72" w14:textId="77777777" w:rsidR="00BA5209" w:rsidRPr="006E25C7" w:rsidRDefault="00BA5209" w:rsidP="00BA5209">
                  <w:pPr>
                    <w:keepNext w:val="0"/>
                    <w:spacing w:before="0"/>
                    <w:jc w:val="right"/>
                    <w:rPr>
                      <w:rFonts w:cs="Arial"/>
                      <w:color w:val="auto"/>
                      <w:sz w:val="22"/>
                      <w:szCs w:val="22"/>
                    </w:rPr>
                  </w:pPr>
                  <w:r w:rsidRPr="006E25C7">
                    <w:rPr>
                      <w:rFonts w:cs="Arial"/>
                      <w:color w:val="auto"/>
                      <w:sz w:val="22"/>
                      <w:szCs w:val="22"/>
                    </w:rPr>
                    <w:t>12</w:t>
                  </w:r>
                </w:p>
              </w:tc>
            </w:tr>
            <w:tr w:rsidR="006E25C7" w:rsidRPr="006E25C7" w14:paraId="48108E3A" w14:textId="77777777" w:rsidTr="00BA5209">
              <w:trPr>
                <w:trHeight w:val="280"/>
                <w:jc w:val="center"/>
              </w:trPr>
              <w:tc>
                <w:tcPr>
                  <w:tcW w:w="760" w:type="dxa"/>
                  <w:tcBorders>
                    <w:top w:val="nil"/>
                    <w:left w:val="single" w:sz="4" w:space="0" w:color="auto"/>
                    <w:bottom w:val="single" w:sz="4" w:space="0" w:color="auto"/>
                    <w:right w:val="single" w:sz="4" w:space="0" w:color="auto"/>
                  </w:tcBorders>
                  <w:shd w:val="clear" w:color="auto" w:fill="auto"/>
                  <w:noWrap/>
                  <w:hideMark/>
                </w:tcPr>
                <w:p w14:paraId="36CEA14E" w14:textId="77777777" w:rsidR="00BA5209" w:rsidRPr="006E25C7" w:rsidRDefault="00BA5209" w:rsidP="00BA5209">
                  <w:pPr>
                    <w:keepNext w:val="0"/>
                    <w:spacing w:before="0"/>
                    <w:rPr>
                      <w:rFonts w:cs="Arial"/>
                      <w:color w:val="auto"/>
                      <w:sz w:val="22"/>
                      <w:szCs w:val="22"/>
                    </w:rPr>
                  </w:pPr>
                  <w:r w:rsidRPr="006E25C7">
                    <w:rPr>
                      <w:rFonts w:cs="Arial"/>
                      <w:color w:val="auto"/>
                      <w:sz w:val="22"/>
                      <w:szCs w:val="22"/>
                    </w:rPr>
                    <w:t>H1Sq</w:t>
                  </w:r>
                </w:p>
              </w:tc>
              <w:tc>
                <w:tcPr>
                  <w:tcW w:w="3660" w:type="dxa"/>
                  <w:tcBorders>
                    <w:top w:val="nil"/>
                    <w:left w:val="nil"/>
                    <w:bottom w:val="single" w:sz="4" w:space="0" w:color="auto"/>
                    <w:right w:val="single" w:sz="4" w:space="0" w:color="auto"/>
                  </w:tcBorders>
                  <w:shd w:val="clear" w:color="auto" w:fill="auto"/>
                  <w:hideMark/>
                </w:tcPr>
                <w:p w14:paraId="300F006F" w14:textId="77777777" w:rsidR="00BA5209" w:rsidRPr="006E25C7" w:rsidRDefault="00BA5209" w:rsidP="00BA5209">
                  <w:pPr>
                    <w:keepNext w:val="0"/>
                    <w:spacing w:before="0"/>
                    <w:rPr>
                      <w:rFonts w:cs="Arial"/>
                      <w:color w:val="auto"/>
                      <w:sz w:val="22"/>
                      <w:szCs w:val="22"/>
                    </w:rPr>
                  </w:pPr>
                  <w:r w:rsidRPr="006E25C7">
                    <w:rPr>
                      <w:rFonts w:cs="Arial"/>
                      <w:color w:val="auto"/>
                      <w:sz w:val="22"/>
                      <w:szCs w:val="22"/>
                    </w:rPr>
                    <w:t>Hardwick Lane Recreation Ground</w:t>
                  </w:r>
                </w:p>
              </w:tc>
              <w:tc>
                <w:tcPr>
                  <w:tcW w:w="1460" w:type="dxa"/>
                  <w:tcBorders>
                    <w:top w:val="nil"/>
                    <w:left w:val="nil"/>
                    <w:bottom w:val="single" w:sz="4" w:space="0" w:color="auto"/>
                    <w:right w:val="single" w:sz="4" w:space="0" w:color="auto"/>
                  </w:tcBorders>
                  <w:shd w:val="clear" w:color="auto" w:fill="auto"/>
                  <w:noWrap/>
                  <w:hideMark/>
                </w:tcPr>
                <w:p w14:paraId="4A9066A9" w14:textId="77777777" w:rsidR="00BA5209" w:rsidRPr="006E25C7" w:rsidRDefault="00BA5209" w:rsidP="00BA5209">
                  <w:pPr>
                    <w:keepNext w:val="0"/>
                    <w:spacing w:before="0"/>
                    <w:jc w:val="center"/>
                    <w:rPr>
                      <w:rFonts w:cs="Arial"/>
                      <w:color w:val="auto"/>
                      <w:sz w:val="22"/>
                      <w:szCs w:val="22"/>
                    </w:rPr>
                  </w:pPr>
                  <w:r w:rsidRPr="006E25C7">
                    <w:rPr>
                      <w:rFonts w:cs="Arial"/>
                      <w:color w:val="auto"/>
                      <w:sz w:val="22"/>
                      <w:szCs w:val="22"/>
                    </w:rPr>
                    <w:t>G</w:t>
                  </w:r>
                </w:p>
              </w:tc>
              <w:tc>
                <w:tcPr>
                  <w:tcW w:w="1600" w:type="dxa"/>
                  <w:tcBorders>
                    <w:top w:val="nil"/>
                    <w:left w:val="nil"/>
                    <w:bottom w:val="single" w:sz="4" w:space="0" w:color="auto"/>
                    <w:right w:val="single" w:sz="4" w:space="0" w:color="auto"/>
                  </w:tcBorders>
                  <w:shd w:val="clear" w:color="auto" w:fill="auto"/>
                  <w:noWrap/>
                  <w:hideMark/>
                </w:tcPr>
                <w:p w14:paraId="20BF2E0C" w14:textId="77777777" w:rsidR="00BA5209" w:rsidRPr="006E25C7" w:rsidRDefault="00BA5209" w:rsidP="00BA5209">
                  <w:pPr>
                    <w:keepNext w:val="0"/>
                    <w:spacing w:before="0"/>
                    <w:jc w:val="center"/>
                    <w:rPr>
                      <w:rFonts w:cs="Arial"/>
                      <w:color w:val="auto"/>
                      <w:sz w:val="22"/>
                      <w:szCs w:val="22"/>
                    </w:rPr>
                  </w:pPr>
                  <w:r w:rsidRPr="006E25C7">
                    <w:rPr>
                      <w:rFonts w:cs="Arial"/>
                      <w:color w:val="auto"/>
                      <w:sz w:val="22"/>
                      <w:szCs w:val="22"/>
                    </w:rPr>
                    <w:t>No</w:t>
                  </w:r>
                </w:p>
              </w:tc>
              <w:tc>
                <w:tcPr>
                  <w:tcW w:w="1220" w:type="dxa"/>
                  <w:tcBorders>
                    <w:top w:val="nil"/>
                    <w:left w:val="nil"/>
                    <w:bottom w:val="single" w:sz="4" w:space="0" w:color="auto"/>
                    <w:right w:val="single" w:sz="4" w:space="0" w:color="auto"/>
                  </w:tcBorders>
                  <w:shd w:val="clear" w:color="auto" w:fill="auto"/>
                  <w:noWrap/>
                  <w:hideMark/>
                </w:tcPr>
                <w:p w14:paraId="6156553A" w14:textId="77777777" w:rsidR="00BA5209" w:rsidRPr="006E25C7" w:rsidRDefault="00BA5209" w:rsidP="00BA5209">
                  <w:pPr>
                    <w:keepNext w:val="0"/>
                    <w:spacing w:before="0"/>
                    <w:jc w:val="right"/>
                    <w:rPr>
                      <w:rFonts w:cs="Arial"/>
                      <w:color w:val="auto"/>
                      <w:sz w:val="22"/>
                      <w:szCs w:val="22"/>
                    </w:rPr>
                  </w:pPr>
                  <w:r w:rsidRPr="006E25C7">
                    <w:rPr>
                      <w:rFonts w:cs="Arial"/>
                      <w:color w:val="auto"/>
                      <w:sz w:val="22"/>
                      <w:szCs w:val="22"/>
                    </w:rPr>
                    <w:t>40</w:t>
                  </w:r>
                </w:p>
              </w:tc>
            </w:tr>
            <w:tr w:rsidR="006E25C7" w:rsidRPr="006E25C7" w14:paraId="7C47A8BD" w14:textId="77777777" w:rsidTr="00BA5209">
              <w:trPr>
                <w:trHeight w:val="280"/>
                <w:jc w:val="center"/>
              </w:trPr>
              <w:tc>
                <w:tcPr>
                  <w:tcW w:w="760" w:type="dxa"/>
                  <w:tcBorders>
                    <w:top w:val="nil"/>
                    <w:left w:val="single" w:sz="4" w:space="0" w:color="auto"/>
                    <w:bottom w:val="single" w:sz="4" w:space="0" w:color="auto"/>
                    <w:right w:val="single" w:sz="4" w:space="0" w:color="auto"/>
                  </w:tcBorders>
                  <w:shd w:val="clear" w:color="auto" w:fill="auto"/>
                  <w:noWrap/>
                  <w:hideMark/>
                </w:tcPr>
                <w:p w14:paraId="3E2D2016" w14:textId="77777777" w:rsidR="00BA5209" w:rsidRPr="006E25C7" w:rsidRDefault="00BA5209" w:rsidP="00BA5209">
                  <w:pPr>
                    <w:keepNext w:val="0"/>
                    <w:spacing w:before="0"/>
                    <w:rPr>
                      <w:rFonts w:cs="Arial"/>
                      <w:color w:val="auto"/>
                      <w:sz w:val="22"/>
                      <w:szCs w:val="22"/>
                    </w:rPr>
                  </w:pPr>
                  <w:r w:rsidRPr="006E25C7">
                    <w:rPr>
                      <w:rFonts w:cs="Arial"/>
                      <w:color w:val="auto"/>
                      <w:sz w:val="22"/>
                      <w:szCs w:val="22"/>
                    </w:rPr>
                    <w:t>H1Sr</w:t>
                  </w:r>
                </w:p>
              </w:tc>
              <w:tc>
                <w:tcPr>
                  <w:tcW w:w="3660" w:type="dxa"/>
                  <w:tcBorders>
                    <w:top w:val="nil"/>
                    <w:left w:val="nil"/>
                    <w:bottom w:val="single" w:sz="4" w:space="0" w:color="auto"/>
                    <w:right w:val="single" w:sz="4" w:space="0" w:color="auto"/>
                  </w:tcBorders>
                  <w:shd w:val="clear" w:color="auto" w:fill="auto"/>
                  <w:hideMark/>
                </w:tcPr>
                <w:p w14:paraId="6434BDBD" w14:textId="77777777" w:rsidR="00BA5209" w:rsidRPr="006E25C7" w:rsidRDefault="00BA5209" w:rsidP="00BA5209">
                  <w:pPr>
                    <w:keepNext w:val="0"/>
                    <w:spacing w:before="0"/>
                    <w:rPr>
                      <w:rFonts w:cs="Arial"/>
                      <w:color w:val="auto"/>
                      <w:sz w:val="22"/>
                      <w:szCs w:val="22"/>
                    </w:rPr>
                  </w:pPr>
                  <w:r w:rsidRPr="006E25C7">
                    <w:rPr>
                      <w:rFonts w:cs="Arial"/>
                      <w:color w:val="auto"/>
                      <w:sz w:val="22"/>
                      <w:szCs w:val="22"/>
                    </w:rPr>
                    <w:t>Land off Clare Road</w:t>
                  </w:r>
                </w:p>
              </w:tc>
              <w:tc>
                <w:tcPr>
                  <w:tcW w:w="1460" w:type="dxa"/>
                  <w:tcBorders>
                    <w:top w:val="nil"/>
                    <w:left w:val="nil"/>
                    <w:bottom w:val="single" w:sz="4" w:space="0" w:color="auto"/>
                    <w:right w:val="single" w:sz="4" w:space="0" w:color="auto"/>
                  </w:tcBorders>
                  <w:shd w:val="clear" w:color="auto" w:fill="auto"/>
                  <w:noWrap/>
                  <w:hideMark/>
                </w:tcPr>
                <w:p w14:paraId="565FDC04" w14:textId="77777777" w:rsidR="00BA5209" w:rsidRPr="006E25C7" w:rsidRDefault="00BA5209" w:rsidP="00BA5209">
                  <w:pPr>
                    <w:keepNext w:val="0"/>
                    <w:spacing w:before="0"/>
                    <w:jc w:val="center"/>
                    <w:rPr>
                      <w:rFonts w:cs="Arial"/>
                      <w:color w:val="auto"/>
                      <w:sz w:val="22"/>
                      <w:szCs w:val="22"/>
                    </w:rPr>
                  </w:pPr>
                  <w:r w:rsidRPr="006E25C7">
                    <w:rPr>
                      <w:rFonts w:cs="Arial"/>
                      <w:color w:val="auto"/>
                      <w:sz w:val="22"/>
                      <w:szCs w:val="22"/>
                    </w:rPr>
                    <w:t>G</w:t>
                  </w:r>
                </w:p>
              </w:tc>
              <w:tc>
                <w:tcPr>
                  <w:tcW w:w="1600" w:type="dxa"/>
                  <w:tcBorders>
                    <w:top w:val="nil"/>
                    <w:left w:val="nil"/>
                    <w:bottom w:val="single" w:sz="4" w:space="0" w:color="auto"/>
                    <w:right w:val="single" w:sz="4" w:space="0" w:color="auto"/>
                  </w:tcBorders>
                  <w:shd w:val="clear" w:color="auto" w:fill="auto"/>
                  <w:noWrap/>
                  <w:hideMark/>
                </w:tcPr>
                <w:p w14:paraId="368875EC" w14:textId="77777777" w:rsidR="00BA5209" w:rsidRPr="006E25C7" w:rsidRDefault="00BA5209" w:rsidP="00BA5209">
                  <w:pPr>
                    <w:keepNext w:val="0"/>
                    <w:spacing w:before="0"/>
                    <w:jc w:val="center"/>
                    <w:rPr>
                      <w:rFonts w:cs="Arial"/>
                      <w:color w:val="auto"/>
                      <w:sz w:val="22"/>
                      <w:szCs w:val="22"/>
                    </w:rPr>
                  </w:pPr>
                  <w:r w:rsidRPr="006E25C7">
                    <w:rPr>
                      <w:rFonts w:cs="Arial"/>
                      <w:color w:val="auto"/>
                      <w:sz w:val="22"/>
                      <w:szCs w:val="22"/>
                    </w:rPr>
                    <w:t>Yes</w:t>
                  </w:r>
                </w:p>
              </w:tc>
              <w:tc>
                <w:tcPr>
                  <w:tcW w:w="1220" w:type="dxa"/>
                  <w:tcBorders>
                    <w:top w:val="nil"/>
                    <w:left w:val="nil"/>
                    <w:bottom w:val="single" w:sz="4" w:space="0" w:color="auto"/>
                    <w:right w:val="single" w:sz="4" w:space="0" w:color="auto"/>
                  </w:tcBorders>
                  <w:shd w:val="clear" w:color="auto" w:fill="auto"/>
                  <w:noWrap/>
                  <w:hideMark/>
                </w:tcPr>
                <w:p w14:paraId="2C20AADD" w14:textId="77777777" w:rsidR="00BA5209" w:rsidRPr="006E25C7" w:rsidRDefault="00BA5209" w:rsidP="00BA5209">
                  <w:pPr>
                    <w:keepNext w:val="0"/>
                    <w:spacing w:before="0"/>
                    <w:jc w:val="right"/>
                    <w:rPr>
                      <w:rFonts w:cs="Arial"/>
                      <w:color w:val="auto"/>
                      <w:sz w:val="22"/>
                      <w:szCs w:val="22"/>
                    </w:rPr>
                  </w:pPr>
                  <w:r w:rsidRPr="006E25C7">
                    <w:rPr>
                      <w:rFonts w:cs="Arial"/>
                      <w:color w:val="auto"/>
                      <w:sz w:val="22"/>
                      <w:szCs w:val="22"/>
                    </w:rPr>
                    <w:t>69</w:t>
                  </w:r>
                </w:p>
              </w:tc>
            </w:tr>
            <w:tr w:rsidR="006E25C7" w:rsidRPr="006E25C7" w14:paraId="27AE940F" w14:textId="77777777" w:rsidTr="00BA5209">
              <w:trPr>
                <w:trHeight w:val="560"/>
                <w:jc w:val="center"/>
              </w:trPr>
              <w:tc>
                <w:tcPr>
                  <w:tcW w:w="760" w:type="dxa"/>
                  <w:tcBorders>
                    <w:top w:val="nil"/>
                    <w:left w:val="single" w:sz="4" w:space="0" w:color="auto"/>
                    <w:bottom w:val="single" w:sz="4" w:space="0" w:color="auto"/>
                    <w:right w:val="single" w:sz="4" w:space="0" w:color="auto"/>
                  </w:tcBorders>
                  <w:shd w:val="clear" w:color="auto" w:fill="auto"/>
                  <w:noWrap/>
                  <w:hideMark/>
                </w:tcPr>
                <w:p w14:paraId="64214D4C" w14:textId="77777777" w:rsidR="00BA5209" w:rsidRPr="006E25C7" w:rsidRDefault="00BA5209" w:rsidP="00BA5209">
                  <w:pPr>
                    <w:keepNext w:val="0"/>
                    <w:spacing w:before="0"/>
                    <w:rPr>
                      <w:rFonts w:cs="Arial"/>
                      <w:color w:val="auto"/>
                      <w:sz w:val="22"/>
                      <w:szCs w:val="22"/>
                    </w:rPr>
                  </w:pPr>
                  <w:r w:rsidRPr="006E25C7">
                    <w:rPr>
                      <w:rFonts w:cs="Arial"/>
                      <w:color w:val="auto"/>
                      <w:sz w:val="22"/>
                      <w:szCs w:val="22"/>
                    </w:rPr>
                    <w:t>H1Ss</w:t>
                  </w:r>
                </w:p>
              </w:tc>
              <w:tc>
                <w:tcPr>
                  <w:tcW w:w="3660" w:type="dxa"/>
                  <w:tcBorders>
                    <w:top w:val="nil"/>
                    <w:left w:val="nil"/>
                    <w:bottom w:val="single" w:sz="4" w:space="0" w:color="auto"/>
                    <w:right w:val="single" w:sz="4" w:space="0" w:color="auto"/>
                  </w:tcBorders>
                  <w:shd w:val="clear" w:color="auto" w:fill="auto"/>
                  <w:hideMark/>
                </w:tcPr>
                <w:p w14:paraId="6C9F5983" w14:textId="7227ADC5" w:rsidR="00BA5209" w:rsidRPr="006E25C7" w:rsidRDefault="00BA5209" w:rsidP="00BA5209">
                  <w:pPr>
                    <w:keepNext w:val="0"/>
                    <w:spacing w:before="0"/>
                    <w:rPr>
                      <w:rFonts w:cs="Arial"/>
                      <w:color w:val="auto"/>
                      <w:sz w:val="22"/>
                      <w:szCs w:val="22"/>
                    </w:rPr>
                  </w:pPr>
                  <w:r w:rsidRPr="006E25C7">
                    <w:rPr>
                      <w:rFonts w:cs="Arial"/>
                      <w:color w:val="auto"/>
                      <w:sz w:val="22"/>
                      <w:szCs w:val="22"/>
                    </w:rPr>
                    <w:t xml:space="preserve">Land </w:t>
                  </w:r>
                  <w:r w:rsidR="00B02175">
                    <w:rPr>
                      <w:rFonts w:cs="Arial"/>
                      <w:color w:val="auto"/>
                      <w:sz w:val="22"/>
                      <w:szCs w:val="22"/>
                    </w:rPr>
                    <w:t>E</w:t>
                  </w:r>
                  <w:r w:rsidR="00B02175">
                    <w:rPr>
                      <w:sz w:val="22"/>
                      <w:szCs w:val="22"/>
                    </w:rPr>
                    <w:t>ast</w:t>
                  </w:r>
                  <w:r w:rsidRPr="006E25C7">
                    <w:rPr>
                      <w:rFonts w:cs="Arial"/>
                      <w:color w:val="auto"/>
                      <w:sz w:val="22"/>
                      <w:szCs w:val="22"/>
                    </w:rPr>
                    <w:t xml:space="preserve"> of A6075 Beck Lane, Skegby </w:t>
                  </w:r>
                </w:p>
              </w:tc>
              <w:tc>
                <w:tcPr>
                  <w:tcW w:w="1460" w:type="dxa"/>
                  <w:tcBorders>
                    <w:top w:val="nil"/>
                    <w:left w:val="nil"/>
                    <w:bottom w:val="single" w:sz="4" w:space="0" w:color="auto"/>
                    <w:right w:val="single" w:sz="4" w:space="0" w:color="auto"/>
                  </w:tcBorders>
                  <w:shd w:val="clear" w:color="auto" w:fill="auto"/>
                  <w:noWrap/>
                  <w:hideMark/>
                </w:tcPr>
                <w:p w14:paraId="3839EEED" w14:textId="77777777" w:rsidR="00BA5209" w:rsidRPr="006E25C7" w:rsidRDefault="00BA5209" w:rsidP="00BA5209">
                  <w:pPr>
                    <w:keepNext w:val="0"/>
                    <w:spacing w:before="0"/>
                    <w:jc w:val="center"/>
                    <w:rPr>
                      <w:rFonts w:cs="Arial"/>
                      <w:color w:val="auto"/>
                      <w:sz w:val="22"/>
                      <w:szCs w:val="22"/>
                    </w:rPr>
                  </w:pPr>
                  <w:r w:rsidRPr="006E25C7">
                    <w:rPr>
                      <w:rFonts w:cs="Arial"/>
                      <w:color w:val="auto"/>
                      <w:sz w:val="22"/>
                      <w:szCs w:val="22"/>
                    </w:rPr>
                    <w:t>G</w:t>
                  </w:r>
                </w:p>
              </w:tc>
              <w:tc>
                <w:tcPr>
                  <w:tcW w:w="1600" w:type="dxa"/>
                  <w:tcBorders>
                    <w:top w:val="nil"/>
                    <w:left w:val="nil"/>
                    <w:bottom w:val="single" w:sz="4" w:space="0" w:color="auto"/>
                    <w:right w:val="single" w:sz="4" w:space="0" w:color="auto"/>
                  </w:tcBorders>
                  <w:shd w:val="clear" w:color="auto" w:fill="auto"/>
                  <w:noWrap/>
                  <w:hideMark/>
                </w:tcPr>
                <w:p w14:paraId="218FC926" w14:textId="77777777" w:rsidR="00BA5209" w:rsidRPr="006E25C7" w:rsidRDefault="00BA5209" w:rsidP="00BA5209">
                  <w:pPr>
                    <w:keepNext w:val="0"/>
                    <w:spacing w:before="0"/>
                    <w:jc w:val="center"/>
                    <w:rPr>
                      <w:rFonts w:cs="Arial"/>
                      <w:color w:val="auto"/>
                      <w:sz w:val="22"/>
                      <w:szCs w:val="22"/>
                    </w:rPr>
                  </w:pPr>
                  <w:r w:rsidRPr="006E25C7">
                    <w:rPr>
                      <w:rFonts w:cs="Arial"/>
                      <w:color w:val="auto"/>
                      <w:sz w:val="22"/>
                      <w:szCs w:val="22"/>
                    </w:rPr>
                    <w:t>No</w:t>
                  </w:r>
                </w:p>
              </w:tc>
              <w:tc>
                <w:tcPr>
                  <w:tcW w:w="1220" w:type="dxa"/>
                  <w:tcBorders>
                    <w:top w:val="nil"/>
                    <w:left w:val="nil"/>
                    <w:bottom w:val="single" w:sz="4" w:space="0" w:color="auto"/>
                    <w:right w:val="single" w:sz="4" w:space="0" w:color="auto"/>
                  </w:tcBorders>
                  <w:shd w:val="clear" w:color="auto" w:fill="auto"/>
                  <w:noWrap/>
                  <w:hideMark/>
                </w:tcPr>
                <w:p w14:paraId="2424827C" w14:textId="77777777" w:rsidR="00BA5209" w:rsidRPr="006E25C7" w:rsidRDefault="00BA5209" w:rsidP="00BA5209">
                  <w:pPr>
                    <w:keepNext w:val="0"/>
                    <w:spacing w:before="0"/>
                    <w:jc w:val="right"/>
                    <w:rPr>
                      <w:rFonts w:cs="Arial"/>
                      <w:color w:val="auto"/>
                      <w:sz w:val="22"/>
                      <w:szCs w:val="22"/>
                    </w:rPr>
                  </w:pPr>
                  <w:r w:rsidRPr="006E25C7">
                    <w:rPr>
                      <w:rFonts w:cs="Arial"/>
                      <w:color w:val="auto"/>
                      <w:sz w:val="22"/>
                      <w:szCs w:val="22"/>
                    </w:rPr>
                    <w:t>212</w:t>
                  </w:r>
                </w:p>
              </w:tc>
            </w:tr>
            <w:tr w:rsidR="006E25C7" w:rsidRPr="006E25C7" w14:paraId="71CC9BC0" w14:textId="77777777" w:rsidTr="00BA5209">
              <w:trPr>
                <w:trHeight w:val="560"/>
                <w:jc w:val="center"/>
              </w:trPr>
              <w:tc>
                <w:tcPr>
                  <w:tcW w:w="760" w:type="dxa"/>
                  <w:tcBorders>
                    <w:top w:val="nil"/>
                    <w:left w:val="single" w:sz="4" w:space="0" w:color="auto"/>
                    <w:bottom w:val="single" w:sz="4" w:space="0" w:color="auto"/>
                    <w:right w:val="single" w:sz="4" w:space="0" w:color="auto"/>
                  </w:tcBorders>
                  <w:shd w:val="clear" w:color="auto" w:fill="auto"/>
                  <w:noWrap/>
                  <w:hideMark/>
                </w:tcPr>
                <w:p w14:paraId="6F72C216" w14:textId="77777777" w:rsidR="00BA5209" w:rsidRPr="006E25C7" w:rsidRDefault="00BA5209" w:rsidP="00BA5209">
                  <w:pPr>
                    <w:keepNext w:val="0"/>
                    <w:spacing w:before="0"/>
                    <w:rPr>
                      <w:rFonts w:cs="Arial"/>
                      <w:color w:val="auto"/>
                      <w:sz w:val="22"/>
                      <w:szCs w:val="22"/>
                    </w:rPr>
                  </w:pPr>
                  <w:r w:rsidRPr="006E25C7">
                    <w:rPr>
                      <w:rFonts w:cs="Arial"/>
                      <w:color w:val="auto"/>
                      <w:sz w:val="22"/>
                      <w:szCs w:val="22"/>
                    </w:rPr>
                    <w:t>H1St</w:t>
                  </w:r>
                </w:p>
              </w:tc>
              <w:tc>
                <w:tcPr>
                  <w:tcW w:w="3660" w:type="dxa"/>
                  <w:tcBorders>
                    <w:top w:val="nil"/>
                    <w:left w:val="nil"/>
                    <w:bottom w:val="single" w:sz="4" w:space="0" w:color="auto"/>
                    <w:right w:val="single" w:sz="4" w:space="0" w:color="auto"/>
                  </w:tcBorders>
                  <w:shd w:val="clear" w:color="auto" w:fill="auto"/>
                  <w:hideMark/>
                </w:tcPr>
                <w:p w14:paraId="208CC081" w14:textId="77777777" w:rsidR="00BA5209" w:rsidRPr="006E25C7" w:rsidRDefault="00BA5209" w:rsidP="00BA5209">
                  <w:pPr>
                    <w:keepNext w:val="0"/>
                    <w:spacing w:before="0"/>
                    <w:rPr>
                      <w:rFonts w:cs="Arial"/>
                      <w:color w:val="auto"/>
                      <w:sz w:val="22"/>
                      <w:szCs w:val="22"/>
                    </w:rPr>
                  </w:pPr>
                  <w:r w:rsidRPr="006E25C7">
                    <w:rPr>
                      <w:rFonts w:cs="Arial"/>
                      <w:color w:val="auto"/>
                      <w:sz w:val="22"/>
                      <w:szCs w:val="22"/>
                    </w:rPr>
                    <w:t>Land off Blackwell Road/Main Street, Huthwaite</w:t>
                  </w:r>
                </w:p>
              </w:tc>
              <w:tc>
                <w:tcPr>
                  <w:tcW w:w="1460" w:type="dxa"/>
                  <w:tcBorders>
                    <w:top w:val="nil"/>
                    <w:left w:val="nil"/>
                    <w:bottom w:val="single" w:sz="4" w:space="0" w:color="auto"/>
                    <w:right w:val="single" w:sz="4" w:space="0" w:color="auto"/>
                  </w:tcBorders>
                  <w:shd w:val="clear" w:color="auto" w:fill="auto"/>
                  <w:noWrap/>
                  <w:hideMark/>
                </w:tcPr>
                <w:p w14:paraId="52C1C7BD" w14:textId="77777777" w:rsidR="00BA5209" w:rsidRPr="006E25C7" w:rsidRDefault="00BA5209" w:rsidP="00BA5209">
                  <w:pPr>
                    <w:keepNext w:val="0"/>
                    <w:spacing w:before="0"/>
                    <w:jc w:val="center"/>
                    <w:rPr>
                      <w:rFonts w:cs="Arial"/>
                      <w:color w:val="auto"/>
                      <w:sz w:val="22"/>
                      <w:szCs w:val="22"/>
                    </w:rPr>
                  </w:pPr>
                  <w:r w:rsidRPr="006E25C7">
                    <w:rPr>
                      <w:rFonts w:cs="Arial"/>
                      <w:color w:val="auto"/>
                      <w:sz w:val="22"/>
                      <w:szCs w:val="22"/>
                    </w:rPr>
                    <w:t>G</w:t>
                  </w:r>
                </w:p>
              </w:tc>
              <w:tc>
                <w:tcPr>
                  <w:tcW w:w="1600" w:type="dxa"/>
                  <w:tcBorders>
                    <w:top w:val="nil"/>
                    <w:left w:val="nil"/>
                    <w:bottom w:val="single" w:sz="4" w:space="0" w:color="auto"/>
                    <w:right w:val="single" w:sz="4" w:space="0" w:color="auto"/>
                  </w:tcBorders>
                  <w:shd w:val="clear" w:color="auto" w:fill="auto"/>
                  <w:noWrap/>
                  <w:hideMark/>
                </w:tcPr>
                <w:p w14:paraId="6F18844F" w14:textId="77777777" w:rsidR="00BA5209" w:rsidRPr="006E25C7" w:rsidRDefault="00BA5209" w:rsidP="00BA5209">
                  <w:pPr>
                    <w:keepNext w:val="0"/>
                    <w:spacing w:before="0"/>
                    <w:jc w:val="center"/>
                    <w:rPr>
                      <w:rFonts w:cs="Arial"/>
                      <w:color w:val="auto"/>
                      <w:sz w:val="22"/>
                      <w:szCs w:val="22"/>
                    </w:rPr>
                  </w:pPr>
                  <w:r w:rsidRPr="006E25C7">
                    <w:rPr>
                      <w:rFonts w:cs="Arial"/>
                      <w:color w:val="auto"/>
                      <w:sz w:val="22"/>
                      <w:szCs w:val="22"/>
                    </w:rPr>
                    <w:t>No</w:t>
                  </w:r>
                </w:p>
              </w:tc>
              <w:tc>
                <w:tcPr>
                  <w:tcW w:w="1220" w:type="dxa"/>
                  <w:tcBorders>
                    <w:top w:val="nil"/>
                    <w:left w:val="nil"/>
                    <w:bottom w:val="single" w:sz="4" w:space="0" w:color="auto"/>
                    <w:right w:val="single" w:sz="4" w:space="0" w:color="auto"/>
                  </w:tcBorders>
                  <w:shd w:val="clear" w:color="auto" w:fill="auto"/>
                  <w:noWrap/>
                  <w:hideMark/>
                </w:tcPr>
                <w:p w14:paraId="1A98C50F" w14:textId="77777777" w:rsidR="00BA5209" w:rsidRPr="006E25C7" w:rsidRDefault="00BA5209" w:rsidP="00BA5209">
                  <w:pPr>
                    <w:keepNext w:val="0"/>
                    <w:spacing w:before="0"/>
                    <w:jc w:val="right"/>
                    <w:rPr>
                      <w:rFonts w:cs="Arial"/>
                      <w:color w:val="auto"/>
                      <w:sz w:val="22"/>
                      <w:szCs w:val="22"/>
                    </w:rPr>
                  </w:pPr>
                  <w:r w:rsidRPr="006E25C7">
                    <w:rPr>
                      <w:rFonts w:cs="Arial"/>
                      <w:color w:val="auto"/>
                      <w:sz w:val="22"/>
                      <w:szCs w:val="22"/>
                    </w:rPr>
                    <w:t>99</w:t>
                  </w:r>
                </w:p>
              </w:tc>
            </w:tr>
            <w:tr w:rsidR="006E25C7" w:rsidRPr="006E25C7" w14:paraId="3DE42B82" w14:textId="77777777" w:rsidTr="00BA5209">
              <w:trPr>
                <w:trHeight w:val="280"/>
                <w:jc w:val="center"/>
              </w:trPr>
              <w:tc>
                <w:tcPr>
                  <w:tcW w:w="760" w:type="dxa"/>
                  <w:tcBorders>
                    <w:top w:val="nil"/>
                    <w:left w:val="single" w:sz="4" w:space="0" w:color="auto"/>
                    <w:bottom w:val="single" w:sz="4" w:space="0" w:color="auto"/>
                    <w:right w:val="single" w:sz="4" w:space="0" w:color="auto"/>
                  </w:tcBorders>
                  <w:shd w:val="clear" w:color="auto" w:fill="auto"/>
                  <w:noWrap/>
                  <w:hideMark/>
                </w:tcPr>
                <w:p w14:paraId="518003A5" w14:textId="77777777" w:rsidR="00BA5209" w:rsidRPr="006E25C7" w:rsidRDefault="00BA5209" w:rsidP="00BA5209">
                  <w:pPr>
                    <w:keepNext w:val="0"/>
                    <w:spacing w:before="0"/>
                    <w:rPr>
                      <w:rFonts w:cs="Arial"/>
                      <w:color w:val="auto"/>
                      <w:sz w:val="22"/>
                      <w:szCs w:val="22"/>
                    </w:rPr>
                  </w:pPr>
                  <w:r w:rsidRPr="006E25C7">
                    <w:rPr>
                      <w:rFonts w:cs="Arial"/>
                      <w:color w:val="auto"/>
                      <w:sz w:val="22"/>
                      <w:szCs w:val="22"/>
                    </w:rPr>
                    <w:t>H1Su</w:t>
                  </w:r>
                </w:p>
              </w:tc>
              <w:tc>
                <w:tcPr>
                  <w:tcW w:w="3660" w:type="dxa"/>
                  <w:tcBorders>
                    <w:top w:val="nil"/>
                    <w:left w:val="nil"/>
                    <w:bottom w:val="single" w:sz="4" w:space="0" w:color="auto"/>
                    <w:right w:val="single" w:sz="4" w:space="0" w:color="auto"/>
                  </w:tcBorders>
                  <w:shd w:val="clear" w:color="auto" w:fill="auto"/>
                  <w:hideMark/>
                </w:tcPr>
                <w:p w14:paraId="3718A430" w14:textId="77777777" w:rsidR="00BA5209" w:rsidRPr="006E25C7" w:rsidRDefault="00BA5209" w:rsidP="00BA5209">
                  <w:pPr>
                    <w:keepNext w:val="0"/>
                    <w:spacing w:before="0"/>
                    <w:rPr>
                      <w:rFonts w:cs="Arial"/>
                      <w:color w:val="auto"/>
                      <w:sz w:val="22"/>
                      <w:szCs w:val="22"/>
                    </w:rPr>
                  </w:pPr>
                  <w:r w:rsidRPr="006E25C7">
                    <w:rPr>
                      <w:rFonts w:cs="Arial"/>
                      <w:color w:val="auto"/>
                      <w:sz w:val="22"/>
                      <w:szCs w:val="22"/>
                    </w:rPr>
                    <w:t>Rear 113 to 139 Beck Lane, Skegby</w:t>
                  </w:r>
                </w:p>
              </w:tc>
              <w:tc>
                <w:tcPr>
                  <w:tcW w:w="1460" w:type="dxa"/>
                  <w:tcBorders>
                    <w:top w:val="nil"/>
                    <w:left w:val="nil"/>
                    <w:bottom w:val="single" w:sz="4" w:space="0" w:color="auto"/>
                    <w:right w:val="single" w:sz="4" w:space="0" w:color="auto"/>
                  </w:tcBorders>
                  <w:shd w:val="clear" w:color="auto" w:fill="auto"/>
                  <w:noWrap/>
                  <w:hideMark/>
                </w:tcPr>
                <w:p w14:paraId="475F97B5" w14:textId="77777777" w:rsidR="00BA5209" w:rsidRPr="006E25C7" w:rsidRDefault="00BA5209" w:rsidP="00BA5209">
                  <w:pPr>
                    <w:keepNext w:val="0"/>
                    <w:spacing w:before="0"/>
                    <w:jc w:val="center"/>
                    <w:rPr>
                      <w:rFonts w:cs="Arial"/>
                      <w:color w:val="auto"/>
                      <w:sz w:val="22"/>
                      <w:szCs w:val="22"/>
                    </w:rPr>
                  </w:pPr>
                  <w:r w:rsidRPr="006E25C7">
                    <w:rPr>
                      <w:rFonts w:cs="Arial"/>
                      <w:color w:val="auto"/>
                      <w:sz w:val="22"/>
                      <w:szCs w:val="22"/>
                    </w:rPr>
                    <w:t>G</w:t>
                  </w:r>
                </w:p>
              </w:tc>
              <w:tc>
                <w:tcPr>
                  <w:tcW w:w="1600" w:type="dxa"/>
                  <w:tcBorders>
                    <w:top w:val="nil"/>
                    <w:left w:val="nil"/>
                    <w:bottom w:val="single" w:sz="4" w:space="0" w:color="auto"/>
                    <w:right w:val="single" w:sz="4" w:space="0" w:color="auto"/>
                  </w:tcBorders>
                  <w:shd w:val="clear" w:color="auto" w:fill="auto"/>
                  <w:noWrap/>
                  <w:hideMark/>
                </w:tcPr>
                <w:p w14:paraId="394BE587" w14:textId="77777777" w:rsidR="00BA5209" w:rsidRPr="006E25C7" w:rsidRDefault="00BA5209" w:rsidP="00BA5209">
                  <w:pPr>
                    <w:keepNext w:val="0"/>
                    <w:spacing w:before="0"/>
                    <w:jc w:val="center"/>
                    <w:rPr>
                      <w:rFonts w:cs="Arial"/>
                      <w:color w:val="auto"/>
                      <w:sz w:val="22"/>
                      <w:szCs w:val="22"/>
                    </w:rPr>
                  </w:pPr>
                  <w:r w:rsidRPr="006E25C7">
                    <w:rPr>
                      <w:rFonts w:cs="Arial"/>
                      <w:color w:val="auto"/>
                      <w:sz w:val="22"/>
                      <w:szCs w:val="22"/>
                    </w:rPr>
                    <w:t>No</w:t>
                  </w:r>
                </w:p>
              </w:tc>
              <w:tc>
                <w:tcPr>
                  <w:tcW w:w="1220" w:type="dxa"/>
                  <w:tcBorders>
                    <w:top w:val="nil"/>
                    <w:left w:val="nil"/>
                    <w:bottom w:val="single" w:sz="4" w:space="0" w:color="auto"/>
                    <w:right w:val="single" w:sz="4" w:space="0" w:color="auto"/>
                  </w:tcBorders>
                  <w:shd w:val="clear" w:color="auto" w:fill="auto"/>
                  <w:noWrap/>
                  <w:hideMark/>
                </w:tcPr>
                <w:p w14:paraId="2FB13FAA" w14:textId="77777777" w:rsidR="00BA5209" w:rsidRPr="006E25C7" w:rsidRDefault="00BA5209" w:rsidP="00BA5209">
                  <w:pPr>
                    <w:keepNext w:val="0"/>
                    <w:spacing w:before="0"/>
                    <w:jc w:val="right"/>
                    <w:rPr>
                      <w:rFonts w:cs="Arial"/>
                      <w:color w:val="auto"/>
                      <w:sz w:val="22"/>
                      <w:szCs w:val="22"/>
                    </w:rPr>
                  </w:pPr>
                  <w:r w:rsidRPr="006E25C7">
                    <w:rPr>
                      <w:rFonts w:cs="Arial"/>
                      <w:color w:val="auto"/>
                      <w:sz w:val="22"/>
                      <w:szCs w:val="22"/>
                    </w:rPr>
                    <w:t>100</w:t>
                  </w:r>
                </w:p>
              </w:tc>
            </w:tr>
            <w:tr w:rsidR="006E25C7" w:rsidRPr="006E25C7" w14:paraId="4842E688" w14:textId="77777777" w:rsidTr="00BA5209">
              <w:trPr>
                <w:trHeight w:val="560"/>
                <w:jc w:val="center"/>
              </w:trPr>
              <w:tc>
                <w:tcPr>
                  <w:tcW w:w="760" w:type="dxa"/>
                  <w:tcBorders>
                    <w:top w:val="nil"/>
                    <w:left w:val="single" w:sz="4" w:space="0" w:color="auto"/>
                    <w:bottom w:val="single" w:sz="4" w:space="0" w:color="auto"/>
                    <w:right w:val="single" w:sz="4" w:space="0" w:color="auto"/>
                  </w:tcBorders>
                  <w:shd w:val="clear" w:color="auto" w:fill="auto"/>
                  <w:noWrap/>
                  <w:hideMark/>
                </w:tcPr>
                <w:p w14:paraId="7565F064" w14:textId="77777777" w:rsidR="00BA5209" w:rsidRPr="006E25C7" w:rsidRDefault="00BA5209" w:rsidP="00BA5209">
                  <w:pPr>
                    <w:keepNext w:val="0"/>
                    <w:spacing w:before="0"/>
                    <w:rPr>
                      <w:rFonts w:cs="Arial"/>
                      <w:color w:val="auto"/>
                      <w:sz w:val="22"/>
                      <w:szCs w:val="22"/>
                    </w:rPr>
                  </w:pPr>
                  <w:r w:rsidRPr="006E25C7">
                    <w:rPr>
                      <w:rFonts w:cs="Arial"/>
                      <w:color w:val="auto"/>
                      <w:sz w:val="22"/>
                      <w:szCs w:val="22"/>
                    </w:rPr>
                    <w:t>H1Sw</w:t>
                  </w:r>
                </w:p>
              </w:tc>
              <w:tc>
                <w:tcPr>
                  <w:tcW w:w="3660" w:type="dxa"/>
                  <w:tcBorders>
                    <w:top w:val="nil"/>
                    <w:left w:val="nil"/>
                    <w:bottom w:val="single" w:sz="4" w:space="0" w:color="auto"/>
                    <w:right w:val="single" w:sz="4" w:space="0" w:color="auto"/>
                  </w:tcBorders>
                  <w:shd w:val="clear" w:color="auto" w:fill="auto"/>
                  <w:hideMark/>
                </w:tcPr>
                <w:p w14:paraId="62C4282F" w14:textId="77777777" w:rsidR="00BA5209" w:rsidRPr="006E25C7" w:rsidRDefault="00BA5209" w:rsidP="00BA5209">
                  <w:pPr>
                    <w:keepNext w:val="0"/>
                    <w:spacing w:before="0"/>
                    <w:rPr>
                      <w:rFonts w:cs="Arial"/>
                      <w:color w:val="auto"/>
                      <w:sz w:val="22"/>
                      <w:szCs w:val="22"/>
                    </w:rPr>
                  </w:pPr>
                  <w:r w:rsidRPr="006E25C7">
                    <w:rPr>
                      <w:rFonts w:cs="Arial"/>
                      <w:color w:val="auto"/>
                      <w:sz w:val="22"/>
                      <w:szCs w:val="22"/>
                    </w:rPr>
                    <w:t>Off Gillcroft Street/St Andrews Street &amp; Vere Avenue, Skegby</w:t>
                  </w:r>
                </w:p>
              </w:tc>
              <w:tc>
                <w:tcPr>
                  <w:tcW w:w="1460" w:type="dxa"/>
                  <w:tcBorders>
                    <w:top w:val="nil"/>
                    <w:left w:val="nil"/>
                    <w:bottom w:val="single" w:sz="4" w:space="0" w:color="auto"/>
                    <w:right w:val="single" w:sz="4" w:space="0" w:color="auto"/>
                  </w:tcBorders>
                  <w:shd w:val="clear" w:color="auto" w:fill="auto"/>
                  <w:noWrap/>
                  <w:hideMark/>
                </w:tcPr>
                <w:p w14:paraId="1A4676A8" w14:textId="77777777" w:rsidR="00BA5209" w:rsidRPr="006E25C7" w:rsidRDefault="00BA5209" w:rsidP="00BA5209">
                  <w:pPr>
                    <w:keepNext w:val="0"/>
                    <w:spacing w:before="0"/>
                    <w:jc w:val="center"/>
                    <w:rPr>
                      <w:rFonts w:cs="Arial"/>
                      <w:color w:val="auto"/>
                      <w:sz w:val="22"/>
                      <w:szCs w:val="22"/>
                    </w:rPr>
                  </w:pPr>
                  <w:r w:rsidRPr="006E25C7">
                    <w:rPr>
                      <w:rFonts w:cs="Arial"/>
                      <w:color w:val="auto"/>
                      <w:sz w:val="22"/>
                      <w:szCs w:val="22"/>
                    </w:rPr>
                    <w:t>G</w:t>
                  </w:r>
                </w:p>
              </w:tc>
              <w:tc>
                <w:tcPr>
                  <w:tcW w:w="1600" w:type="dxa"/>
                  <w:tcBorders>
                    <w:top w:val="nil"/>
                    <w:left w:val="nil"/>
                    <w:bottom w:val="single" w:sz="4" w:space="0" w:color="auto"/>
                    <w:right w:val="single" w:sz="4" w:space="0" w:color="auto"/>
                  </w:tcBorders>
                  <w:shd w:val="clear" w:color="auto" w:fill="auto"/>
                  <w:noWrap/>
                  <w:hideMark/>
                </w:tcPr>
                <w:p w14:paraId="1C42CDDF" w14:textId="77777777" w:rsidR="00BA5209" w:rsidRPr="006E25C7" w:rsidRDefault="00BA5209" w:rsidP="00BA5209">
                  <w:pPr>
                    <w:keepNext w:val="0"/>
                    <w:spacing w:before="0"/>
                    <w:jc w:val="center"/>
                    <w:rPr>
                      <w:rFonts w:cs="Arial"/>
                      <w:color w:val="auto"/>
                      <w:sz w:val="22"/>
                      <w:szCs w:val="22"/>
                    </w:rPr>
                  </w:pPr>
                  <w:r w:rsidRPr="006E25C7">
                    <w:rPr>
                      <w:rFonts w:cs="Arial"/>
                      <w:color w:val="auto"/>
                      <w:sz w:val="22"/>
                      <w:szCs w:val="22"/>
                    </w:rPr>
                    <w:t>Yes</w:t>
                  </w:r>
                </w:p>
              </w:tc>
              <w:tc>
                <w:tcPr>
                  <w:tcW w:w="1220" w:type="dxa"/>
                  <w:tcBorders>
                    <w:top w:val="nil"/>
                    <w:left w:val="nil"/>
                    <w:bottom w:val="single" w:sz="4" w:space="0" w:color="auto"/>
                    <w:right w:val="single" w:sz="4" w:space="0" w:color="auto"/>
                  </w:tcBorders>
                  <w:shd w:val="clear" w:color="auto" w:fill="auto"/>
                  <w:noWrap/>
                  <w:hideMark/>
                </w:tcPr>
                <w:p w14:paraId="49E09863" w14:textId="77777777" w:rsidR="00BA5209" w:rsidRPr="006E25C7" w:rsidRDefault="00BA5209" w:rsidP="00BA5209">
                  <w:pPr>
                    <w:keepNext w:val="0"/>
                    <w:spacing w:before="0"/>
                    <w:jc w:val="right"/>
                    <w:rPr>
                      <w:rFonts w:cs="Arial"/>
                      <w:color w:val="auto"/>
                      <w:sz w:val="22"/>
                      <w:szCs w:val="22"/>
                    </w:rPr>
                  </w:pPr>
                  <w:r w:rsidRPr="006E25C7">
                    <w:rPr>
                      <w:rFonts w:cs="Arial"/>
                      <w:color w:val="auto"/>
                      <w:sz w:val="22"/>
                      <w:szCs w:val="22"/>
                    </w:rPr>
                    <w:t>206</w:t>
                  </w:r>
                </w:p>
              </w:tc>
            </w:tr>
            <w:tr w:rsidR="006E25C7" w:rsidRPr="006E25C7" w14:paraId="00585FBF" w14:textId="77777777" w:rsidTr="00BA5209">
              <w:trPr>
                <w:trHeight w:val="280"/>
                <w:jc w:val="center"/>
              </w:trPr>
              <w:tc>
                <w:tcPr>
                  <w:tcW w:w="760" w:type="dxa"/>
                  <w:tcBorders>
                    <w:top w:val="nil"/>
                    <w:left w:val="single" w:sz="4" w:space="0" w:color="auto"/>
                    <w:bottom w:val="single" w:sz="4" w:space="0" w:color="auto"/>
                    <w:right w:val="single" w:sz="4" w:space="0" w:color="auto"/>
                  </w:tcBorders>
                  <w:shd w:val="clear" w:color="auto" w:fill="auto"/>
                  <w:noWrap/>
                  <w:hideMark/>
                </w:tcPr>
                <w:p w14:paraId="4992BDB5" w14:textId="77777777" w:rsidR="00BA5209" w:rsidRPr="006E25C7" w:rsidRDefault="00BA5209" w:rsidP="00BA5209">
                  <w:pPr>
                    <w:keepNext w:val="0"/>
                    <w:spacing w:before="0"/>
                    <w:rPr>
                      <w:rFonts w:cs="Arial"/>
                      <w:color w:val="auto"/>
                      <w:sz w:val="22"/>
                      <w:szCs w:val="22"/>
                    </w:rPr>
                  </w:pPr>
                  <w:r w:rsidRPr="006E25C7">
                    <w:rPr>
                      <w:rFonts w:cs="Arial"/>
                      <w:color w:val="auto"/>
                      <w:sz w:val="22"/>
                      <w:szCs w:val="22"/>
                    </w:rPr>
                    <w:t>H1Sx</w:t>
                  </w:r>
                </w:p>
              </w:tc>
              <w:tc>
                <w:tcPr>
                  <w:tcW w:w="3660" w:type="dxa"/>
                  <w:tcBorders>
                    <w:top w:val="nil"/>
                    <w:left w:val="nil"/>
                    <w:bottom w:val="single" w:sz="4" w:space="0" w:color="auto"/>
                    <w:right w:val="single" w:sz="4" w:space="0" w:color="auto"/>
                  </w:tcBorders>
                  <w:shd w:val="clear" w:color="auto" w:fill="auto"/>
                  <w:hideMark/>
                </w:tcPr>
                <w:p w14:paraId="1D849B7A" w14:textId="77777777" w:rsidR="00BA5209" w:rsidRPr="006E25C7" w:rsidRDefault="00BA5209" w:rsidP="00BA5209">
                  <w:pPr>
                    <w:keepNext w:val="0"/>
                    <w:spacing w:before="0"/>
                    <w:rPr>
                      <w:rFonts w:cs="Arial"/>
                      <w:color w:val="auto"/>
                      <w:sz w:val="22"/>
                      <w:szCs w:val="22"/>
                    </w:rPr>
                  </w:pPr>
                  <w:r w:rsidRPr="006E25C7">
                    <w:rPr>
                      <w:rFonts w:cs="Arial"/>
                      <w:color w:val="auto"/>
                      <w:sz w:val="22"/>
                      <w:szCs w:val="22"/>
                    </w:rPr>
                    <w:t>rear 249, 251 Alfreton Road</w:t>
                  </w:r>
                </w:p>
              </w:tc>
              <w:tc>
                <w:tcPr>
                  <w:tcW w:w="1460" w:type="dxa"/>
                  <w:tcBorders>
                    <w:top w:val="nil"/>
                    <w:left w:val="nil"/>
                    <w:bottom w:val="single" w:sz="4" w:space="0" w:color="auto"/>
                    <w:right w:val="single" w:sz="4" w:space="0" w:color="auto"/>
                  </w:tcBorders>
                  <w:shd w:val="clear" w:color="auto" w:fill="auto"/>
                  <w:noWrap/>
                  <w:hideMark/>
                </w:tcPr>
                <w:p w14:paraId="034D5F2E" w14:textId="77777777" w:rsidR="00BA5209" w:rsidRPr="006E25C7" w:rsidRDefault="00BA5209" w:rsidP="00BA5209">
                  <w:pPr>
                    <w:keepNext w:val="0"/>
                    <w:spacing w:before="0"/>
                    <w:jc w:val="center"/>
                    <w:rPr>
                      <w:rFonts w:cs="Arial"/>
                      <w:color w:val="auto"/>
                      <w:sz w:val="22"/>
                      <w:szCs w:val="22"/>
                    </w:rPr>
                  </w:pPr>
                  <w:r w:rsidRPr="006E25C7">
                    <w:rPr>
                      <w:rFonts w:cs="Arial"/>
                      <w:color w:val="auto"/>
                      <w:sz w:val="22"/>
                      <w:szCs w:val="22"/>
                    </w:rPr>
                    <w:t>G</w:t>
                  </w:r>
                </w:p>
              </w:tc>
              <w:tc>
                <w:tcPr>
                  <w:tcW w:w="1600" w:type="dxa"/>
                  <w:tcBorders>
                    <w:top w:val="nil"/>
                    <w:left w:val="nil"/>
                    <w:bottom w:val="single" w:sz="4" w:space="0" w:color="auto"/>
                    <w:right w:val="single" w:sz="4" w:space="0" w:color="auto"/>
                  </w:tcBorders>
                  <w:shd w:val="clear" w:color="auto" w:fill="auto"/>
                  <w:noWrap/>
                  <w:hideMark/>
                </w:tcPr>
                <w:p w14:paraId="4A49229B" w14:textId="77777777" w:rsidR="00BA5209" w:rsidRPr="006E25C7" w:rsidRDefault="00BA5209" w:rsidP="00BA5209">
                  <w:pPr>
                    <w:keepNext w:val="0"/>
                    <w:spacing w:before="0"/>
                    <w:jc w:val="center"/>
                    <w:rPr>
                      <w:rFonts w:cs="Arial"/>
                      <w:color w:val="auto"/>
                      <w:sz w:val="22"/>
                      <w:szCs w:val="22"/>
                    </w:rPr>
                  </w:pPr>
                  <w:r w:rsidRPr="006E25C7">
                    <w:rPr>
                      <w:rFonts w:cs="Arial"/>
                      <w:color w:val="auto"/>
                      <w:sz w:val="22"/>
                      <w:szCs w:val="22"/>
                    </w:rPr>
                    <w:t>Yes</w:t>
                  </w:r>
                </w:p>
              </w:tc>
              <w:tc>
                <w:tcPr>
                  <w:tcW w:w="1220" w:type="dxa"/>
                  <w:tcBorders>
                    <w:top w:val="nil"/>
                    <w:left w:val="nil"/>
                    <w:bottom w:val="single" w:sz="4" w:space="0" w:color="auto"/>
                    <w:right w:val="single" w:sz="4" w:space="0" w:color="auto"/>
                  </w:tcBorders>
                  <w:shd w:val="clear" w:color="auto" w:fill="auto"/>
                  <w:noWrap/>
                  <w:hideMark/>
                </w:tcPr>
                <w:p w14:paraId="72C1654E" w14:textId="77777777" w:rsidR="00BA5209" w:rsidRPr="006E25C7" w:rsidRDefault="00BA5209" w:rsidP="00BA5209">
                  <w:pPr>
                    <w:keepNext w:val="0"/>
                    <w:spacing w:before="0"/>
                    <w:jc w:val="right"/>
                    <w:rPr>
                      <w:rFonts w:cs="Arial"/>
                      <w:color w:val="auto"/>
                      <w:sz w:val="22"/>
                      <w:szCs w:val="22"/>
                    </w:rPr>
                  </w:pPr>
                  <w:r w:rsidRPr="006E25C7">
                    <w:rPr>
                      <w:rFonts w:cs="Arial"/>
                      <w:color w:val="auto"/>
                      <w:sz w:val="22"/>
                      <w:szCs w:val="22"/>
                    </w:rPr>
                    <w:t>43</w:t>
                  </w:r>
                </w:p>
              </w:tc>
            </w:tr>
            <w:tr w:rsidR="006E25C7" w:rsidRPr="006E25C7" w14:paraId="4E5D7EBE" w14:textId="77777777" w:rsidTr="00BA5209">
              <w:trPr>
                <w:trHeight w:val="280"/>
                <w:jc w:val="center"/>
              </w:trPr>
              <w:tc>
                <w:tcPr>
                  <w:tcW w:w="760" w:type="dxa"/>
                  <w:tcBorders>
                    <w:top w:val="nil"/>
                    <w:left w:val="single" w:sz="4" w:space="0" w:color="auto"/>
                    <w:bottom w:val="single" w:sz="4" w:space="0" w:color="auto"/>
                    <w:right w:val="single" w:sz="4" w:space="0" w:color="auto"/>
                  </w:tcBorders>
                  <w:shd w:val="clear" w:color="auto" w:fill="auto"/>
                  <w:noWrap/>
                  <w:hideMark/>
                </w:tcPr>
                <w:p w14:paraId="595DBFFB" w14:textId="77777777" w:rsidR="00BA5209" w:rsidRPr="006E25C7" w:rsidRDefault="00BA5209" w:rsidP="00BA5209">
                  <w:pPr>
                    <w:keepNext w:val="0"/>
                    <w:spacing w:before="0"/>
                    <w:rPr>
                      <w:rFonts w:cs="Arial"/>
                      <w:color w:val="auto"/>
                      <w:sz w:val="22"/>
                      <w:szCs w:val="22"/>
                    </w:rPr>
                  </w:pPr>
                  <w:r w:rsidRPr="006E25C7">
                    <w:rPr>
                      <w:rFonts w:cs="Arial"/>
                      <w:color w:val="auto"/>
                      <w:sz w:val="22"/>
                      <w:szCs w:val="22"/>
                    </w:rPr>
                    <w:t>H1Sy</w:t>
                  </w:r>
                </w:p>
              </w:tc>
              <w:tc>
                <w:tcPr>
                  <w:tcW w:w="3660" w:type="dxa"/>
                  <w:tcBorders>
                    <w:top w:val="nil"/>
                    <w:left w:val="nil"/>
                    <w:bottom w:val="single" w:sz="4" w:space="0" w:color="auto"/>
                    <w:right w:val="single" w:sz="4" w:space="0" w:color="auto"/>
                  </w:tcBorders>
                  <w:shd w:val="clear" w:color="auto" w:fill="auto"/>
                  <w:hideMark/>
                </w:tcPr>
                <w:p w14:paraId="7C9AF6B8" w14:textId="77777777" w:rsidR="00BA5209" w:rsidRPr="006E25C7" w:rsidRDefault="00BA5209" w:rsidP="00BA5209">
                  <w:pPr>
                    <w:keepNext w:val="0"/>
                    <w:spacing w:before="0"/>
                    <w:rPr>
                      <w:rFonts w:cs="Arial"/>
                      <w:color w:val="auto"/>
                      <w:sz w:val="22"/>
                      <w:szCs w:val="22"/>
                    </w:rPr>
                  </w:pPr>
                  <w:r w:rsidRPr="006E25C7">
                    <w:rPr>
                      <w:rFonts w:cs="Arial"/>
                      <w:color w:val="auto"/>
                      <w:sz w:val="22"/>
                      <w:szCs w:val="22"/>
                    </w:rPr>
                    <w:t>off Brand Lane, Stanton Hill</w:t>
                  </w:r>
                </w:p>
              </w:tc>
              <w:tc>
                <w:tcPr>
                  <w:tcW w:w="1460" w:type="dxa"/>
                  <w:tcBorders>
                    <w:top w:val="nil"/>
                    <w:left w:val="nil"/>
                    <w:bottom w:val="single" w:sz="4" w:space="0" w:color="auto"/>
                    <w:right w:val="single" w:sz="4" w:space="0" w:color="auto"/>
                  </w:tcBorders>
                  <w:shd w:val="clear" w:color="auto" w:fill="auto"/>
                  <w:noWrap/>
                  <w:hideMark/>
                </w:tcPr>
                <w:p w14:paraId="5FF7E6B4" w14:textId="77777777" w:rsidR="00BA5209" w:rsidRPr="006E25C7" w:rsidRDefault="00BA5209" w:rsidP="00BA5209">
                  <w:pPr>
                    <w:keepNext w:val="0"/>
                    <w:spacing w:before="0"/>
                    <w:jc w:val="center"/>
                    <w:rPr>
                      <w:rFonts w:cs="Arial"/>
                      <w:color w:val="auto"/>
                      <w:sz w:val="22"/>
                      <w:szCs w:val="22"/>
                    </w:rPr>
                  </w:pPr>
                  <w:r w:rsidRPr="006E25C7">
                    <w:rPr>
                      <w:rFonts w:cs="Arial"/>
                      <w:color w:val="auto"/>
                      <w:sz w:val="22"/>
                      <w:szCs w:val="22"/>
                    </w:rPr>
                    <w:t>G</w:t>
                  </w:r>
                </w:p>
              </w:tc>
              <w:tc>
                <w:tcPr>
                  <w:tcW w:w="1600" w:type="dxa"/>
                  <w:tcBorders>
                    <w:top w:val="nil"/>
                    <w:left w:val="nil"/>
                    <w:bottom w:val="single" w:sz="4" w:space="0" w:color="auto"/>
                    <w:right w:val="single" w:sz="4" w:space="0" w:color="auto"/>
                  </w:tcBorders>
                  <w:shd w:val="clear" w:color="auto" w:fill="auto"/>
                  <w:noWrap/>
                  <w:hideMark/>
                </w:tcPr>
                <w:p w14:paraId="445A7CF4" w14:textId="77777777" w:rsidR="00BA5209" w:rsidRPr="006E25C7" w:rsidRDefault="00BA5209" w:rsidP="00BA5209">
                  <w:pPr>
                    <w:keepNext w:val="0"/>
                    <w:spacing w:before="0"/>
                    <w:jc w:val="center"/>
                    <w:rPr>
                      <w:rFonts w:cs="Arial"/>
                      <w:color w:val="auto"/>
                      <w:sz w:val="22"/>
                      <w:szCs w:val="22"/>
                    </w:rPr>
                  </w:pPr>
                  <w:r w:rsidRPr="006E25C7">
                    <w:rPr>
                      <w:rFonts w:cs="Arial"/>
                      <w:color w:val="auto"/>
                      <w:sz w:val="22"/>
                      <w:szCs w:val="22"/>
                    </w:rPr>
                    <w:t>Yes</w:t>
                  </w:r>
                </w:p>
              </w:tc>
              <w:tc>
                <w:tcPr>
                  <w:tcW w:w="1220" w:type="dxa"/>
                  <w:tcBorders>
                    <w:top w:val="nil"/>
                    <w:left w:val="nil"/>
                    <w:bottom w:val="single" w:sz="4" w:space="0" w:color="auto"/>
                    <w:right w:val="single" w:sz="4" w:space="0" w:color="auto"/>
                  </w:tcBorders>
                  <w:shd w:val="clear" w:color="auto" w:fill="auto"/>
                  <w:noWrap/>
                  <w:hideMark/>
                </w:tcPr>
                <w:p w14:paraId="5E787641" w14:textId="77777777" w:rsidR="00BA5209" w:rsidRPr="006E25C7" w:rsidRDefault="00BA5209" w:rsidP="00BA5209">
                  <w:pPr>
                    <w:keepNext w:val="0"/>
                    <w:spacing w:before="0"/>
                    <w:jc w:val="right"/>
                    <w:rPr>
                      <w:rFonts w:cs="Arial"/>
                      <w:color w:val="auto"/>
                      <w:sz w:val="22"/>
                      <w:szCs w:val="22"/>
                    </w:rPr>
                  </w:pPr>
                  <w:r w:rsidRPr="006E25C7">
                    <w:rPr>
                      <w:rFonts w:cs="Arial"/>
                      <w:color w:val="auto"/>
                      <w:sz w:val="22"/>
                      <w:szCs w:val="22"/>
                    </w:rPr>
                    <w:t>71</w:t>
                  </w:r>
                </w:p>
              </w:tc>
            </w:tr>
            <w:tr w:rsidR="006E25C7" w:rsidRPr="006E25C7" w14:paraId="58FF23EE" w14:textId="77777777" w:rsidTr="00BA5209">
              <w:trPr>
                <w:trHeight w:val="560"/>
                <w:jc w:val="center"/>
              </w:trPr>
              <w:tc>
                <w:tcPr>
                  <w:tcW w:w="760" w:type="dxa"/>
                  <w:tcBorders>
                    <w:top w:val="nil"/>
                    <w:left w:val="single" w:sz="4" w:space="0" w:color="auto"/>
                    <w:bottom w:val="single" w:sz="4" w:space="0" w:color="auto"/>
                    <w:right w:val="single" w:sz="4" w:space="0" w:color="auto"/>
                  </w:tcBorders>
                  <w:shd w:val="clear" w:color="auto" w:fill="auto"/>
                  <w:noWrap/>
                  <w:hideMark/>
                </w:tcPr>
                <w:p w14:paraId="73D424C6" w14:textId="77777777" w:rsidR="00BA5209" w:rsidRPr="006E25C7" w:rsidRDefault="00BA5209" w:rsidP="00BA5209">
                  <w:pPr>
                    <w:keepNext w:val="0"/>
                    <w:spacing w:before="0"/>
                    <w:rPr>
                      <w:rFonts w:cs="Arial"/>
                      <w:color w:val="auto"/>
                      <w:sz w:val="22"/>
                      <w:szCs w:val="22"/>
                    </w:rPr>
                  </w:pPr>
                  <w:r w:rsidRPr="006E25C7">
                    <w:rPr>
                      <w:rFonts w:cs="Arial"/>
                      <w:color w:val="auto"/>
                      <w:sz w:val="22"/>
                      <w:szCs w:val="22"/>
                    </w:rPr>
                    <w:t>H1Sz</w:t>
                  </w:r>
                </w:p>
              </w:tc>
              <w:tc>
                <w:tcPr>
                  <w:tcW w:w="3660" w:type="dxa"/>
                  <w:tcBorders>
                    <w:top w:val="nil"/>
                    <w:left w:val="nil"/>
                    <w:bottom w:val="single" w:sz="4" w:space="0" w:color="auto"/>
                    <w:right w:val="single" w:sz="4" w:space="0" w:color="auto"/>
                  </w:tcBorders>
                  <w:shd w:val="clear" w:color="auto" w:fill="auto"/>
                  <w:hideMark/>
                </w:tcPr>
                <w:p w14:paraId="2C93B365" w14:textId="77777777" w:rsidR="00BA5209" w:rsidRPr="006E25C7" w:rsidRDefault="00BA5209" w:rsidP="00BA5209">
                  <w:pPr>
                    <w:keepNext w:val="0"/>
                    <w:spacing w:before="0"/>
                    <w:rPr>
                      <w:rFonts w:cs="Arial"/>
                      <w:color w:val="auto"/>
                      <w:sz w:val="22"/>
                      <w:szCs w:val="22"/>
                    </w:rPr>
                  </w:pPr>
                  <w:r w:rsidRPr="006E25C7">
                    <w:rPr>
                      <w:rFonts w:cs="Arial"/>
                      <w:color w:val="auto"/>
                      <w:sz w:val="22"/>
                      <w:szCs w:val="22"/>
                    </w:rPr>
                    <w:t>Junction of Outram Street/Park Street</w:t>
                  </w:r>
                </w:p>
              </w:tc>
              <w:tc>
                <w:tcPr>
                  <w:tcW w:w="1460" w:type="dxa"/>
                  <w:tcBorders>
                    <w:top w:val="nil"/>
                    <w:left w:val="nil"/>
                    <w:bottom w:val="single" w:sz="4" w:space="0" w:color="auto"/>
                    <w:right w:val="single" w:sz="4" w:space="0" w:color="auto"/>
                  </w:tcBorders>
                  <w:shd w:val="clear" w:color="auto" w:fill="auto"/>
                  <w:noWrap/>
                  <w:hideMark/>
                </w:tcPr>
                <w:p w14:paraId="39560016" w14:textId="77777777" w:rsidR="00BA5209" w:rsidRPr="006E25C7" w:rsidRDefault="00BA5209" w:rsidP="00BA5209">
                  <w:pPr>
                    <w:keepNext w:val="0"/>
                    <w:spacing w:before="0"/>
                    <w:jc w:val="center"/>
                    <w:rPr>
                      <w:rFonts w:cs="Arial"/>
                      <w:color w:val="auto"/>
                      <w:sz w:val="22"/>
                      <w:szCs w:val="22"/>
                    </w:rPr>
                  </w:pPr>
                  <w:r w:rsidRPr="006E25C7">
                    <w:rPr>
                      <w:rFonts w:cs="Arial"/>
                      <w:color w:val="auto"/>
                      <w:sz w:val="22"/>
                      <w:szCs w:val="22"/>
                    </w:rPr>
                    <w:t>B</w:t>
                  </w:r>
                </w:p>
              </w:tc>
              <w:tc>
                <w:tcPr>
                  <w:tcW w:w="1600" w:type="dxa"/>
                  <w:tcBorders>
                    <w:top w:val="nil"/>
                    <w:left w:val="nil"/>
                    <w:bottom w:val="single" w:sz="4" w:space="0" w:color="auto"/>
                    <w:right w:val="single" w:sz="4" w:space="0" w:color="auto"/>
                  </w:tcBorders>
                  <w:shd w:val="clear" w:color="auto" w:fill="auto"/>
                  <w:noWrap/>
                  <w:hideMark/>
                </w:tcPr>
                <w:p w14:paraId="334E1007" w14:textId="77777777" w:rsidR="00BA5209" w:rsidRPr="006E25C7" w:rsidRDefault="00BA5209" w:rsidP="00BA5209">
                  <w:pPr>
                    <w:keepNext w:val="0"/>
                    <w:spacing w:before="0"/>
                    <w:jc w:val="center"/>
                    <w:rPr>
                      <w:rFonts w:cs="Arial"/>
                      <w:color w:val="auto"/>
                      <w:sz w:val="22"/>
                      <w:szCs w:val="22"/>
                    </w:rPr>
                  </w:pPr>
                  <w:r w:rsidRPr="006E25C7">
                    <w:rPr>
                      <w:rFonts w:cs="Arial"/>
                      <w:color w:val="auto"/>
                      <w:sz w:val="22"/>
                      <w:szCs w:val="22"/>
                    </w:rPr>
                    <w:t>Yes</w:t>
                  </w:r>
                </w:p>
              </w:tc>
              <w:tc>
                <w:tcPr>
                  <w:tcW w:w="1220" w:type="dxa"/>
                  <w:tcBorders>
                    <w:top w:val="nil"/>
                    <w:left w:val="nil"/>
                    <w:bottom w:val="single" w:sz="4" w:space="0" w:color="auto"/>
                    <w:right w:val="single" w:sz="4" w:space="0" w:color="auto"/>
                  </w:tcBorders>
                  <w:shd w:val="clear" w:color="auto" w:fill="auto"/>
                  <w:noWrap/>
                  <w:hideMark/>
                </w:tcPr>
                <w:p w14:paraId="54C9B3AF" w14:textId="77777777" w:rsidR="00BA5209" w:rsidRPr="006E25C7" w:rsidRDefault="00BA5209" w:rsidP="00BA5209">
                  <w:pPr>
                    <w:keepNext w:val="0"/>
                    <w:spacing w:before="0"/>
                    <w:jc w:val="right"/>
                    <w:rPr>
                      <w:rFonts w:cs="Arial"/>
                      <w:color w:val="auto"/>
                      <w:sz w:val="22"/>
                      <w:szCs w:val="22"/>
                    </w:rPr>
                  </w:pPr>
                  <w:r w:rsidRPr="006E25C7">
                    <w:rPr>
                      <w:rFonts w:cs="Arial"/>
                      <w:color w:val="auto"/>
                      <w:sz w:val="22"/>
                      <w:szCs w:val="22"/>
                    </w:rPr>
                    <w:t>24</w:t>
                  </w:r>
                </w:p>
              </w:tc>
            </w:tr>
            <w:tr w:rsidR="006E25C7" w:rsidRPr="006E25C7" w14:paraId="62901036" w14:textId="77777777" w:rsidTr="00BA5209">
              <w:trPr>
                <w:trHeight w:val="280"/>
                <w:jc w:val="center"/>
              </w:trPr>
              <w:tc>
                <w:tcPr>
                  <w:tcW w:w="760" w:type="dxa"/>
                  <w:tcBorders>
                    <w:top w:val="nil"/>
                    <w:left w:val="single" w:sz="4" w:space="0" w:color="auto"/>
                    <w:bottom w:val="single" w:sz="4" w:space="0" w:color="auto"/>
                    <w:right w:val="single" w:sz="4" w:space="0" w:color="auto"/>
                  </w:tcBorders>
                  <w:shd w:val="clear" w:color="auto" w:fill="auto"/>
                  <w:noWrap/>
                  <w:hideMark/>
                </w:tcPr>
                <w:p w14:paraId="4F1235C1" w14:textId="77777777" w:rsidR="00BA5209" w:rsidRPr="006E25C7" w:rsidRDefault="00BA5209" w:rsidP="00BA5209">
                  <w:pPr>
                    <w:keepNext w:val="0"/>
                    <w:spacing w:before="0"/>
                    <w:rPr>
                      <w:rFonts w:cs="Arial"/>
                      <w:color w:val="auto"/>
                      <w:sz w:val="22"/>
                      <w:szCs w:val="22"/>
                    </w:rPr>
                  </w:pPr>
                  <w:r w:rsidRPr="006E25C7">
                    <w:rPr>
                      <w:rFonts w:cs="Arial"/>
                      <w:color w:val="auto"/>
                      <w:sz w:val="22"/>
                      <w:szCs w:val="22"/>
                    </w:rPr>
                    <w:t>H1Saa</w:t>
                  </w:r>
                </w:p>
              </w:tc>
              <w:tc>
                <w:tcPr>
                  <w:tcW w:w="3660" w:type="dxa"/>
                  <w:tcBorders>
                    <w:top w:val="nil"/>
                    <w:left w:val="nil"/>
                    <w:bottom w:val="single" w:sz="4" w:space="0" w:color="auto"/>
                    <w:right w:val="single" w:sz="4" w:space="0" w:color="auto"/>
                  </w:tcBorders>
                  <w:shd w:val="clear" w:color="auto" w:fill="auto"/>
                  <w:hideMark/>
                </w:tcPr>
                <w:p w14:paraId="08A51438" w14:textId="77777777" w:rsidR="00BA5209" w:rsidRPr="006E25C7" w:rsidRDefault="00BA5209" w:rsidP="00BA5209">
                  <w:pPr>
                    <w:keepNext w:val="0"/>
                    <w:spacing w:before="0"/>
                    <w:rPr>
                      <w:rFonts w:cs="Arial"/>
                      <w:color w:val="auto"/>
                      <w:sz w:val="22"/>
                      <w:szCs w:val="22"/>
                    </w:rPr>
                  </w:pPr>
                  <w:r w:rsidRPr="006E25C7">
                    <w:rPr>
                      <w:rFonts w:cs="Arial"/>
                      <w:color w:val="auto"/>
                      <w:sz w:val="22"/>
                      <w:szCs w:val="22"/>
                    </w:rPr>
                    <w:t>Land at, Beck Lane, Skegby</w:t>
                  </w:r>
                </w:p>
              </w:tc>
              <w:tc>
                <w:tcPr>
                  <w:tcW w:w="1460" w:type="dxa"/>
                  <w:tcBorders>
                    <w:top w:val="nil"/>
                    <w:left w:val="nil"/>
                    <w:bottom w:val="single" w:sz="4" w:space="0" w:color="auto"/>
                    <w:right w:val="single" w:sz="4" w:space="0" w:color="auto"/>
                  </w:tcBorders>
                  <w:shd w:val="clear" w:color="auto" w:fill="auto"/>
                  <w:noWrap/>
                  <w:hideMark/>
                </w:tcPr>
                <w:p w14:paraId="4005596C" w14:textId="77777777" w:rsidR="00BA5209" w:rsidRPr="006E25C7" w:rsidRDefault="00BA5209" w:rsidP="00BA5209">
                  <w:pPr>
                    <w:keepNext w:val="0"/>
                    <w:spacing w:before="0"/>
                    <w:jc w:val="center"/>
                    <w:rPr>
                      <w:rFonts w:cs="Arial"/>
                      <w:color w:val="auto"/>
                      <w:sz w:val="22"/>
                      <w:szCs w:val="22"/>
                    </w:rPr>
                  </w:pPr>
                  <w:r w:rsidRPr="006E25C7">
                    <w:rPr>
                      <w:rFonts w:cs="Arial"/>
                      <w:color w:val="auto"/>
                      <w:sz w:val="22"/>
                      <w:szCs w:val="22"/>
                    </w:rPr>
                    <w:t>G</w:t>
                  </w:r>
                </w:p>
              </w:tc>
              <w:tc>
                <w:tcPr>
                  <w:tcW w:w="1600" w:type="dxa"/>
                  <w:tcBorders>
                    <w:top w:val="nil"/>
                    <w:left w:val="nil"/>
                    <w:bottom w:val="single" w:sz="4" w:space="0" w:color="auto"/>
                    <w:right w:val="single" w:sz="4" w:space="0" w:color="auto"/>
                  </w:tcBorders>
                  <w:shd w:val="clear" w:color="auto" w:fill="auto"/>
                  <w:noWrap/>
                  <w:hideMark/>
                </w:tcPr>
                <w:p w14:paraId="28445D1A" w14:textId="77777777" w:rsidR="00BA5209" w:rsidRPr="006E25C7" w:rsidRDefault="00BA5209" w:rsidP="00BA5209">
                  <w:pPr>
                    <w:keepNext w:val="0"/>
                    <w:spacing w:before="0"/>
                    <w:jc w:val="center"/>
                    <w:rPr>
                      <w:rFonts w:cs="Arial"/>
                      <w:color w:val="auto"/>
                      <w:sz w:val="22"/>
                      <w:szCs w:val="22"/>
                    </w:rPr>
                  </w:pPr>
                  <w:r w:rsidRPr="006E25C7">
                    <w:rPr>
                      <w:rFonts w:cs="Arial"/>
                      <w:color w:val="auto"/>
                      <w:sz w:val="22"/>
                      <w:szCs w:val="22"/>
                    </w:rPr>
                    <w:t>Yes</w:t>
                  </w:r>
                </w:p>
              </w:tc>
              <w:tc>
                <w:tcPr>
                  <w:tcW w:w="1220" w:type="dxa"/>
                  <w:tcBorders>
                    <w:top w:val="nil"/>
                    <w:left w:val="nil"/>
                    <w:bottom w:val="single" w:sz="4" w:space="0" w:color="auto"/>
                    <w:right w:val="single" w:sz="4" w:space="0" w:color="auto"/>
                  </w:tcBorders>
                  <w:shd w:val="clear" w:color="auto" w:fill="auto"/>
                  <w:noWrap/>
                  <w:hideMark/>
                </w:tcPr>
                <w:p w14:paraId="61B47241" w14:textId="77777777" w:rsidR="00BA5209" w:rsidRPr="006E25C7" w:rsidRDefault="00BA5209" w:rsidP="00BA5209">
                  <w:pPr>
                    <w:keepNext w:val="0"/>
                    <w:spacing w:before="0"/>
                    <w:jc w:val="right"/>
                    <w:rPr>
                      <w:rFonts w:cs="Arial"/>
                      <w:color w:val="auto"/>
                      <w:sz w:val="22"/>
                      <w:szCs w:val="22"/>
                    </w:rPr>
                  </w:pPr>
                  <w:r w:rsidRPr="006E25C7">
                    <w:rPr>
                      <w:rFonts w:cs="Arial"/>
                      <w:color w:val="auto"/>
                      <w:sz w:val="22"/>
                      <w:szCs w:val="22"/>
                    </w:rPr>
                    <w:t>322</w:t>
                  </w:r>
                </w:p>
              </w:tc>
            </w:tr>
            <w:tr w:rsidR="006E25C7" w:rsidRPr="006E25C7" w14:paraId="354D4B01" w14:textId="77777777" w:rsidTr="00BA5209">
              <w:trPr>
                <w:trHeight w:val="280"/>
                <w:jc w:val="center"/>
              </w:trPr>
              <w:tc>
                <w:tcPr>
                  <w:tcW w:w="760" w:type="dxa"/>
                  <w:tcBorders>
                    <w:top w:val="nil"/>
                    <w:left w:val="single" w:sz="4" w:space="0" w:color="auto"/>
                    <w:bottom w:val="single" w:sz="4" w:space="0" w:color="auto"/>
                    <w:right w:val="single" w:sz="4" w:space="0" w:color="auto"/>
                  </w:tcBorders>
                  <w:shd w:val="clear" w:color="auto" w:fill="auto"/>
                  <w:noWrap/>
                  <w:hideMark/>
                </w:tcPr>
                <w:p w14:paraId="4BCAD756" w14:textId="77777777" w:rsidR="00BA5209" w:rsidRPr="006E25C7" w:rsidRDefault="00BA5209" w:rsidP="00BA5209">
                  <w:pPr>
                    <w:keepNext w:val="0"/>
                    <w:spacing w:before="0"/>
                    <w:rPr>
                      <w:rFonts w:cs="Arial"/>
                      <w:color w:val="auto"/>
                      <w:sz w:val="22"/>
                      <w:szCs w:val="22"/>
                    </w:rPr>
                  </w:pPr>
                  <w:r w:rsidRPr="006E25C7">
                    <w:rPr>
                      <w:rFonts w:cs="Arial"/>
                      <w:color w:val="auto"/>
                      <w:sz w:val="22"/>
                      <w:szCs w:val="22"/>
                    </w:rPr>
                    <w:t>H1Sac</w:t>
                  </w:r>
                </w:p>
              </w:tc>
              <w:tc>
                <w:tcPr>
                  <w:tcW w:w="3660" w:type="dxa"/>
                  <w:tcBorders>
                    <w:top w:val="nil"/>
                    <w:left w:val="nil"/>
                    <w:bottom w:val="single" w:sz="4" w:space="0" w:color="auto"/>
                    <w:right w:val="single" w:sz="4" w:space="0" w:color="auto"/>
                  </w:tcBorders>
                  <w:shd w:val="clear" w:color="auto" w:fill="auto"/>
                  <w:hideMark/>
                </w:tcPr>
                <w:p w14:paraId="3FB3D16A" w14:textId="77777777" w:rsidR="00BA5209" w:rsidRPr="006E25C7" w:rsidRDefault="00BA5209" w:rsidP="00BA5209">
                  <w:pPr>
                    <w:keepNext w:val="0"/>
                    <w:spacing w:before="0"/>
                    <w:rPr>
                      <w:rFonts w:cs="Arial"/>
                      <w:color w:val="auto"/>
                      <w:sz w:val="22"/>
                      <w:szCs w:val="22"/>
                    </w:rPr>
                  </w:pPr>
                  <w:r w:rsidRPr="006E25C7">
                    <w:rPr>
                      <w:rFonts w:cs="Arial"/>
                      <w:color w:val="auto"/>
                      <w:sz w:val="22"/>
                      <w:szCs w:val="22"/>
                    </w:rPr>
                    <w:t>The Quarry, 57, Stoneyford Road</w:t>
                  </w:r>
                </w:p>
              </w:tc>
              <w:tc>
                <w:tcPr>
                  <w:tcW w:w="1460" w:type="dxa"/>
                  <w:tcBorders>
                    <w:top w:val="nil"/>
                    <w:left w:val="nil"/>
                    <w:bottom w:val="single" w:sz="4" w:space="0" w:color="auto"/>
                    <w:right w:val="single" w:sz="4" w:space="0" w:color="auto"/>
                  </w:tcBorders>
                  <w:shd w:val="clear" w:color="auto" w:fill="auto"/>
                  <w:noWrap/>
                  <w:hideMark/>
                </w:tcPr>
                <w:p w14:paraId="70759ACF" w14:textId="77777777" w:rsidR="00BA5209" w:rsidRPr="006E25C7" w:rsidRDefault="00BA5209" w:rsidP="00BA5209">
                  <w:pPr>
                    <w:keepNext w:val="0"/>
                    <w:spacing w:before="0"/>
                    <w:jc w:val="center"/>
                    <w:rPr>
                      <w:rFonts w:cs="Arial"/>
                      <w:color w:val="auto"/>
                      <w:sz w:val="22"/>
                      <w:szCs w:val="22"/>
                    </w:rPr>
                  </w:pPr>
                  <w:r w:rsidRPr="006E25C7">
                    <w:rPr>
                      <w:rFonts w:cs="Arial"/>
                      <w:color w:val="auto"/>
                      <w:sz w:val="22"/>
                      <w:szCs w:val="22"/>
                    </w:rPr>
                    <w:t>G</w:t>
                  </w:r>
                </w:p>
              </w:tc>
              <w:tc>
                <w:tcPr>
                  <w:tcW w:w="1600" w:type="dxa"/>
                  <w:tcBorders>
                    <w:top w:val="nil"/>
                    <w:left w:val="nil"/>
                    <w:bottom w:val="single" w:sz="4" w:space="0" w:color="auto"/>
                    <w:right w:val="single" w:sz="4" w:space="0" w:color="auto"/>
                  </w:tcBorders>
                  <w:shd w:val="clear" w:color="auto" w:fill="auto"/>
                  <w:noWrap/>
                  <w:hideMark/>
                </w:tcPr>
                <w:p w14:paraId="6AC0E617" w14:textId="77777777" w:rsidR="00BA5209" w:rsidRPr="006E25C7" w:rsidRDefault="00BA5209" w:rsidP="00BA5209">
                  <w:pPr>
                    <w:keepNext w:val="0"/>
                    <w:spacing w:before="0"/>
                    <w:jc w:val="center"/>
                    <w:rPr>
                      <w:rFonts w:cs="Arial"/>
                      <w:color w:val="auto"/>
                      <w:sz w:val="22"/>
                      <w:szCs w:val="22"/>
                    </w:rPr>
                  </w:pPr>
                  <w:r w:rsidRPr="006E25C7">
                    <w:rPr>
                      <w:rFonts w:cs="Arial"/>
                      <w:color w:val="auto"/>
                      <w:sz w:val="22"/>
                      <w:szCs w:val="22"/>
                    </w:rPr>
                    <w:t>Yes</w:t>
                  </w:r>
                </w:p>
              </w:tc>
              <w:tc>
                <w:tcPr>
                  <w:tcW w:w="1220" w:type="dxa"/>
                  <w:tcBorders>
                    <w:top w:val="nil"/>
                    <w:left w:val="nil"/>
                    <w:bottom w:val="single" w:sz="4" w:space="0" w:color="auto"/>
                    <w:right w:val="single" w:sz="4" w:space="0" w:color="auto"/>
                  </w:tcBorders>
                  <w:shd w:val="clear" w:color="auto" w:fill="auto"/>
                  <w:noWrap/>
                  <w:hideMark/>
                </w:tcPr>
                <w:p w14:paraId="0547F9F8" w14:textId="77777777" w:rsidR="00BA5209" w:rsidRPr="006E25C7" w:rsidRDefault="00BA5209" w:rsidP="00BA5209">
                  <w:pPr>
                    <w:keepNext w:val="0"/>
                    <w:spacing w:before="0"/>
                    <w:jc w:val="right"/>
                    <w:rPr>
                      <w:rFonts w:cs="Arial"/>
                      <w:color w:val="auto"/>
                      <w:sz w:val="22"/>
                      <w:szCs w:val="22"/>
                    </w:rPr>
                  </w:pPr>
                  <w:r w:rsidRPr="006E25C7">
                    <w:rPr>
                      <w:rFonts w:cs="Arial"/>
                      <w:color w:val="auto"/>
                      <w:sz w:val="22"/>
                      <w:szCs w:val="22"/>
                    </w:rPr>
                    <w:t>47</w:t>
                  </w:r>
                </w:p>
              </w:tc>
            </w:tr>
            <w:tr w:rsidR="006E25C7" w:rsidRPr="006E25C7" w14:paraId="6220E8FA" w14:textId="77777777" w:rsidTr="00BA5209">
              <w:trPr>
                <w:trHeight w:val="560"/>
                <w:jc w:val="center"/>
              </w:trPr>
              <w:tc>
                <w:tcPr>
                  <w:tcW w:w="760" w:type="dxa"/>
                  <w:tcBorders>
                    <w:top w:val="nil"/>
                    <w:left w:val="single" w:sz="4" w:space="0" w:color="auto"/>
                    <w:bottom w:val="single" w:sz="4" w:space="0" w:color="auto"/>
                    <w:right w:val="single" w:sz="4" w:space="0" w:color="auto"/>
                  </w:tcBorders>
                  <w:shd w:val="clear" w:color="auto" w:fill="auto"/>
                  <w:noWrap/>
                  <w:hideMark/>
                </w:tcPr>
                <w:p w14:paraId="714329C5" w14:textId="77777777" w:rsidR="00BA5209" w:rsidRPr="006E25C7" w:rsidRDefault="00BA5209" w:rsidP="00BA5209">
                  <w:pPr>
                    <w:keepNext w:val="0"/>
                    <w:spacing w:before="0"/>
                    <w:rPr>
                      <w:rFonts w:cs="Arial"/>
                      <w:color w:val="auto"/>
                      <w:sz w:val="22"/>
                      <w:szCs w:val="22"/>
                    </w:rPr>
                  </w:pPr>
                  <w:r w:rsidRPr="006E25C7">
                    <w:rPr>
                      <w:rFonts w:cs="Arial"/>
                      <w:color w:val="auto"/>
                      <w:sz w:val="22"/>
                      <w:szCs w:val="22"/>
                    </w:rPr>
                    <w:t>H1Sad</w:t>
                  </w:r>
                </w:p>
              </w:tc>
              <w:tc>
                <w:tcPr>
                  <w:tcW w:w="3660" w:type="dxa"/>
                  <w:tcBorders>
                    <w:top w:val="nil"/>
                    <w:left w:val="nil"/>
                    <w:bottom w:val="single" w:sz="4" w:space="0" w:color="auto"/>
                    <w:right w:val="single" w:sz="4" w:space="0" w:color="auto"/>
                  </w:tcBorders>
                  <w:shd w:val="clear" w:color="auto" w:fill="auto"/>
                  <w:hideMark/>
                </w:tcPr>
                <w:p w14:paraId="38A6648D" w14:textId="77777777" w:rsidR="00BA5209" w:rsidRPr="006E25C7" w:rsidRDefault="00BA5209" w:rsidP="00BA5209">
                  <w:pPr>
                    <w:keepNext w:val="0"/>
                    <w:spacing w:before="0"/>
                    <w:rPr>
                      <w:rFonts w:cs="Arial"/>
                      <w:color w:val="auto"/>
                      <w:sz w:val="22"/>
                      <w:szCs w:val="22"/>
                    </w:rPr>
                  </w:pPr>
                  <w:r w:rsidRPr="006E25C7">
                    <w:rPr>
                      <w:rFonts w:cs="Arial"/>
                      <w:color w:val="auto"/>
                      <w:sz w:val="22"/>
                      <w:szCs w:val="22"/>
                    </w:rPr>
                    <w:t>The Pattern House, Crossley Avenue, Huthwaite</w:t>
                  </w:r>
                </w:p>
              </w:tc>
              <w:tc>
                <w:tcPr>
                  <w:tcW w:w="1460" w:type="dxa"/>
                  <w:tcBorders>
                    <w:top w:val="nil"/>
                    <w:left w:val="nil"/>
                    <w:bottom w:val="single" w:sz="4" w:space="0" w:color="auto"/>
                    <w:right w:val="single" w:sz="4" w:space="0" w:color="auto"/>
                  </w:tcBorders>
                  <w:shd w:val="clear" w:color="auto" w:fill="auto"/>
                  <w:noWrap/>
                  <w:hideMark/>
                </w:tcPr>
                <w:p w14:paraId="626C43F8" w14:textId="77777777" w:rsidR="00BA5209" w:rsidRPr="006E25C7" w:rsidRDefault="00BA5209" w:rsidP="00BA5209">
                  <w:pPr>
                    <w:keepNext w:val="0"/>
                    <w:spacing w:before="0"/>
                    <w:jc w:val="center"/>
                    <w:rPr>
                      <w:rFonts w:cs="Arial"/>
                      <w:color w:val="auto"/>
                      <w:sz w:val="22"/>
                      <w:szCs w:val="22"/>
                    </w:rPr>
                  </w:pPr>
                  <w:r w:rsidRPr="006E25C7">
                    <w:rPr>
                      <w:rFonts w:cs="Arial"/>
                      <w:color w:val="auto"/>
                      <w:sz w:val="22"/>
                      <w:szCs w:val="22"/>
                    </w:rPr>
                    <w:t>B</w:t>
                  </w:r>
                </w:p>
              </w:tc>
              <w:tc>
                <w:tcPr>
                  <w:tcW w:w="1600" w:type="dxa"/>
                  <w:tcBorders>
                    <w:top w:val="nil"/>
                    <w:left w:val="nil"/>
                    <w:bottom w:val="single" w:sz="4" w:space="0" w:color="auto"/>
                    <w:right w:val="single" w:sz="4" w:space="0" w:color="auto"/>
                  </w:tcBorders>
                  <w:shd w:val="clear" w:color="auto" w:fill="auto"/>
                  <w:noWrap/>
                  <w:hideMark/>
                </w:tcPr>
                <w:p w14:paraId="6E787D9F" w14:textId="77777777" w:rsidR="00BA5209" w:rsidRPr="006E25C7" w:rsidRDefault="00BA5209" w:rsidP="00BA5209">
                  <w:pPr>
                    <w:keepNext w:val="0"/>
                    <w:spacing w:before="0"/>
                    <w:jc w:val="center"/>
                    <w:rPr>
                      <w:rFonts w:cs="Arial"/>
                      <w:color w:val="auto"/>
                      <w:sz w:val="22"/>
                      <w:szCs w:val="22"/>
                    </w:rPr>
                  </w:pPr>
                  <w:r w:rsidRPr="006E25C7">
                    <w:rPr>
                      <w:rFonts w:cs="Arial"/>
                      <w:color w:val="auto"/>
                      <w:sz w:val="22"/>
                      <w:szCs w:val="22"/>
                    </w:rPr>
                    <w:t>Yes</w:t>
                  </w:r>
                </w:p>
              </w:tc>
              <w:tc>
                <w:tcPr>
                  <w:tcW w:w="1220" w:type="dxa"/>
                  <w:tcBorders>
                    <w:top w:val="nil"/>
                    <w:left w:val="nil"/>
                    <w:bottom w:val="single" w:sz="4" w:space="0" w:color="auto"/>
                    <w:right w:val="single" w:sz="4" w:space="0" w:color="auto"/>
                  </w:tcBorders>
                  <w:shd w:val="clear" w:color="auto" w:fill="auto"/>
                  <w:noWrap/>
                  <w:hideMark/>
                </w:tcPr>
                <w:p w14:paraId="1F78389F" w14:textId="77777777" w:rsidR="00BA5209" w:rsidRPr="006E25C7" w:rsidRDefault="00BA5209" w:rsidP="00BA5209">
                  <w:pPr>
                    <w:keepNext w:val="0"/>
                    <w:spacing w:before="0"/>
                    <w:jc w:val="right"/>
                    <w:rPr>
                      <w:rFonts w:cs="Arial"/>
                      <w:color w:val="auto"/>
                      <w:sz w:val="22"/>
                      <w:szCs w:val="22"/>
                    </w:rPr>
                  </w:pPr>
                  <w:r w:rsidRPr="006E25C7">
                    <w:rPr>
                      <w:rFonts w:cs="Arial"/>
                      <w:color w:val="auto"/>
                      <w:sz w:val="22"/>
                      <w:szCs w:val="22"/>
                    </w:rPr>
                    <w:t>23</w:t>
                  </w:r>
                </w:p>
              </w:tc>
            </w:tr>
            <w:tr w:rsidR="006E25C7" w:rsidRPr="006E25C7" w14:paraId="0DA7D928" w14:textId="77777777" w:rsidTr="00BA5209">
              <w:trPr>
                <w:trHeight w:val="280"/>
                <w:jc w:val="center"/>
              </w:trPr>
              <w:tc>
                <w:tcPr>
                  <w:tcW w:w="760" w:type="dxa"/>
                  <w:tcBorders>
                    <w:top w:val="nil"/>
                    <w:left w:val="single" w:sz="4" w:space="0" w:color="auto"/>
                    <w:bottom w:val="single" w:sz="4" w:space="0" w:color="auto"/>
                    <w:right w:val="single" w:sz="4" w:space="0" w:color="auto"/>
                  </w:tcBorders>
                  <w:shd w:val="clear" w:color="auto" w:fill="auto"/>
                  <w:noWrap/>
                  <w:hideMark/>
                </w:tcPr>
                <w:p w14:paraId="2396A806" w14:textId="77777777" w:rsidR="00BA5209" w:rsidRPr="006E25C7" w:rsidRDefault="00BA5209" w:rsidP="00BA5209">
                  <w:pPr>
                    <w:keepNext w:val="0"/>
                    <w:spacing w:before="0"/>
                    <w:rPr>
                      <w:rFonts w:cs="Arial"/>
                      <w:color w:val="auto"/>
                      <w:sz w:val="22"/>
                      <w:szCs w:val="22"/>
                    </w:rPr>
                  </w:pPr>
                  <w:r w:rsidRPr="006E25C7">
                    <w:rPr>
                      <w:rFonts w:cs="Arial"/>
                      <w:color w:val="auto"/>
                      <w:sz w:val="22"/>
                      <w:szCs w:val="22"/>
                    </w:rPr>
                    <w:t>H1Sae</w:t>
                  </w:r>
                </w:p>
              </w:tc>
              <w:tc>
                <w:tcPr>
                  <w:tcW w:w="3660" w:type="dxa"/>
                  <w:tcBorders>
                    <w:top w:val="nil"/>
                    <w:left w:val="nil"/>
                    <w:bottom w:val="single" w:sz="4" w:space="0" w:color="auto"/>
                    <w:right w:val="single" w:sz="4" w:space="0" w:color="auto"/>
                  </w:tcBorders>
                  <w:shd w:val="clear" w:color="auto" w:fill="auto"/>
                  <w:hideMark/>
                </w:tcPr>
                <w:p w14:paraId="65B8A28D" w14:textId="77777777" w:rsidR="00BA5209" w:rsidRPr="006E25C7" w:rsidRDefault="00BA5209" w:rsidP="00BA5209">
                  <w:pPr>
                    <w:keepNext w:val="0"/>
                    <w:spacing w:before="0"/>
                    <w:rPr>
                      <w:rFonts w:cs="Arial"/>
                      <w:color w:val="auto"/>
                      <w:sz w:val="22"/>
                      <w:szCs w:val="22"/>
                    </w:rPr>
                  </w:pPr>
                  <w:r w:rsidRPr="006E25C7">
                    <w:rPr>
                      <w:rFonts w:cs="Arial"/>
                      <w:color w:val="auto"/>
                      <w:sz w:val="22"/>
                      <w:szCs w:val="22"/>
                    </w:rPr>
                    <w:t>Ashland Road West</w:t>
                  </w:r>
                </w:p>
              </w:tc>
              <w:tc>
                <w:tcPr>
                  <w:tcW w:w="1460" w:type="dxa"/>
                  <w:tcBorders>
                    <w:top w:val="nil"/>
                    <w:left w:val="nil"/>
                    <w:bottom w:val="single" w:sz="4" w:space="0" w:color="auto"/>
                    <w:right w:val="single" w:sz="4" w:space="0" w:color="auto"/>
                  </w:tcBorders>
                  <w:shd w:val="clear" w:color="auto" w:fill="auto"/>
                  <w:noWrap/>
                  <w:hideMark/>
                </w:tcPr>
                <w:p w14:paraId="7740FA26" w14:textId="77777777" w:rsidR="00BA5209" w:rsidRPr="006E25C7" w:rsidRDefault="00BA5209" w:rsidP="00BA5209">
                  <w:pPr>
                    <w:keepNext w:val="0"/>
                    <w:spacing w:before="0"/>
                    <w:jc w:val="center"/>
                    <w:rPr>
                      <w:rFonts w:cs="Arial"/>
                      <w:color w:val="auto"/>
                      <w:sz w:val="22"/>
                      <w:szCs w:val="22"/>
                    </w:rPr>
                  </w:pPr>
                  <w:r w:rsidRPr="006E25C7">
                    <w:rPr>
                      <w:rFonts w:cs="Arial"/>
                      <w:color w:val="auto"/>
                      <w:sz w:val="22"/>
                      <w:szCs w:val="22"/>
                    </w:rPr>
                    <w:t>G</w:t>
                  </w:r>
                </w:p>
              </w:tc>
              <w:tc>
                <w:tcPr>
                  <w:tcW w:w="1600" w:type="dxa"/>
                  <w:tcBorders>
                    <w:top w:val="nil"/>
                    <w:left w:val="nil"/>
                    <w:bottom w:val="single" w:sz="4" w:space="0" w:color="auto"/>
                    <w:right w:val="single" w:sz="4" w:space="0" w:color="auto"/>
                  </w:tcBorders>
                  <w:shd w:val="clear" w:color="auto" w:fill="auto"/>
                  <w:noWrap/>
                  <w:hideMark/>
                </w:tcPr>
                <w:p w14:paraId="12C97879" w14:textId="77777777" w:rsidR="00BA5209" w:rsidRPr="006E25C7" w:rsidRDefault="00BA5209" w:rsidP="00BA5209">
                  <w:pPr>
                    <w:keepNext w:val="0"/>
                    <w:spacing w:before="0"/>
                    <w:jc w:val="center"/>
                    <w:rPr>
                      <w:rFonts w:cs="Arial"/>
                      <w:color w:val="auto"/>
                      <w:sz w:val="22"/>
                      <w:szCs w:val="22"/>
                    </w:rPr>
                  </w:pPr>
                  <w:r w:rsidRPr="006E25C7">
                    <w:rPr>
                      <w:rFonts w:cs="Arial"/>
                      <w:color w:val="auto"/>
                      <w:sz w:val="22"/>
                      <w:szCs w:val="22"/>
                    </w:rPr>
                    <w:t>Yes</w:t>
                  </w:r>
                </w:p>
              </w:tc>
              <w:tc>
                <w:tcPr>
                  <w:tcW w:w="1220" w:type="dxa"/>
                  <w:tcBorders>
                    <w:top w:val="nil"/>
                    <w:left w:val="nil"/>
                    <w:bottom w:val="single" w:sz="4" w:space="0" w:color="auto"/>
                    <w:right w:val="single" w:sz="4" w:space="0" w:color="auto"/>
                  </w:tcBorders>
                  <w:shd w:val="clear" w:color="auto" w:fill="auto"/>
                  <w:noWrap/>
                  <w:hideMark/>
                </w:tcPr>
                <w:p w14:paraId="561F6663" w14:textId="77777777" w:rsidR="00BA5209" w:rsidRPr="006E25C7" w:rsidRDefault="00BA5209" w:rsidP="00BA5209">
                  <w:pPr>
                    <w:keepNext w:val="0"/>
                    <w:spacing w:before="0"/>
                    <w:jc w:val="right"/>
                    <w:rPr>
                      <w:rFonts w:cs="Arial"/>
                      <w:color w:val="auto"/>
                      <w:sz w:val="22"/>
                      <w:szCs w:val="22"/>
                    </w:rPr>
                  </w:pPr>
                  <w:r w:rsidRPr="006E25C7">
                    <w:rPr>
                      <w:rFonts w:cs="Arial"/>
                      <w:color w:val="auto"/>
                      <w:sz w:val="22"/>
                      <w:szCs w:val="22"/>
                    </w:rPr>
                    <w:t>300</w:t>
                  </w:r>
                </w:p>
              </w:tc>
            </w:tr>
            <w:tr w:rsidR="006E25C7" w:rsidRPr="006E25C7" w14:paraId="12A649E4" w14:textId="77777777" w:rsidTr="00BA5209">
              <w:trPr>
                <w:trHeight w:val="280"/>
                <w:jc w:val="center"/>
              </w:trPr>
              <w:tc>
                <w:tcPr>
                  <w:tcW w:w="760" w:type="dxa"/>
                  <w:tcBorders>
                    <w:top w:val="nil"/>
                    <w:left w:val="single" w:sz="4" w:space="0" w:color="auto"/>
                    <w:bottom w:val="single" w:sz="4" w:space="0" w:color="auto"/>
                    <w:right w:val="single" w:sz="4" w:space="0" w:color="auto"/>
                  </w:tcBorders>
                  <w:shd w:val="clear" w:color="auto" w:fill="auto"/>
                  <w:noWrap/>
                  <w:hideMark/>
                </w:tcPr>
                <w:p w14:paraId="7B428A4D" w14:textId="77777777" w:rsidR="00BA5209" w:rsidRPr="006E25C7" w:rsidRDefault="00BA5209" w:rsidP="00BA5209">
                  <w:pPr>
                    <w:keepNext w:val="0"/>
                    <w:spacing w:before="0"/>
                    <w:rPr>
                      <w:rFonts w:cs="Arial"/>
                      <w:color w:val="auto"/>
                      <w:sz w:val="22"/>
                      <w:szCs w:val="22"/>
                    </w:rPr>
                  </w:pPr>
                  <w:r w:rsidRPr="006E25C7">
                    <w:rPr>
                      <w:rFonts w:cs="Arial"/>
                      <w:color w:val="auto"/>
                      <w:sz w:val="22"/>
                      <w:szCs w:val="22"/>
                    </w:rPr>
                    <w:t>H1Saf</w:t>
                  </w:r>
                </w:p>
              </w:tc>
              <w:tc>
                <w:tcPr>
                  <w:tcW w:w="3660" w:type="dxa"/>
                  <w:tcBorders>
                    <w:top w:val="nil"/>
                    <w:left w:val="nil"/>
                    <w:bottom w:val="single" w:sz="4" w:space="0" w:color="auto"/>
                    <w:right w:val="single" w:sz="4" w:space="0" w:color="auto"/>
                  </w:tcBorders>
                  <w:shd w:val="clear" w:color="auto" w:fill="auto"/>
                  <w:hideMark/>
                </w:tcPr>
                <w:p w14:paraId="42C0A3B5" w14:textId="77777777" w:rsidR="00BA5209" w:rsidRPr="006E25C7" w:rsidRDefault="00BA5209" w:rsidP="00BA5209">
                  <w:pPr>
                    <w:keepNext w:val="0"/>
                    <w:spacing w:before="0"/>
                    <w:rPr>
                      <w:rFonts w:cs="Arial"/>
                      <w:color w:val="auto"/>
                      <w:sz w:val="22"/>
                      <w:szCs w:val="22"/>
                    </w:rPr>
                  </w:pPr>
                  <w:r w:rsidRPr="006E25C7">
                    <w:rPr>
                      <w:rFonts w:cs="Arial"/>
                      <w:color w:val="auto"/>
                      <w:sz w:val="22"/>
                      <w:szCs w:val="22"/>
                    </w:rPr>
                    <w:t>North of Midland Road</w:t>
                  </w:r>
                </w:p>
              </w:tc>
              <w:tc>
                <w:tcPr>
                  <w:tcW w:w="1460" w:type="dxa"/>
                  <w:tcBorders>
                    <w:top w:val="nil"/>
                    <w:left w:val="nil"/>
                    <w:bottom w:val="single" w:sz="4" w:space="0" w:color="auto"/>
                    <w:right w:val="single" w:sz="4" w:space="0" w:color="auto"/>
                  </w:tcBorders>
                  <w:shd w:val="clear" w:color="auto" w:fill="auto"/>
                  <w:noWrap/>
                  <w:hideMark/>
                </w:tcPr>
                <w:p w14:paraId="73553AC8" w14:textId="77777777" w:rsidR="00BA5209" w:rsidRPr="006E25C7" w:rsidRDefault="00BA5209" w:rsidP="00BA5209">
                  <w:pPr>
                    <w:keepNext w:val="0"/>
                    <w:spacing w:before="0"/>
                    <w:jc w:val="center"/>
                    <w:rPr>
                      <w:rFonts w:cs="Arial"/>
                      <w:color w:val="auto"/>
                      <w:sz w:val="22"/>
                      <w:szCs w:val="22"/>
                    </w:rPr>
                  </w:pPr>
                  <w:r w:rsidRPr="006E25C7">
                    <w:rPr>
                      <w:rFonts w:cs="Arial"/>
                      <w:color w:val="auto"/>
                      <w:sz w:val="22"/>
                      <w:szCs w:val="22"/>
                    </w:rPr>
                    <w:t>G</w:t>
                  </w:r>
                </w:p>
              </w:tc>
              <w:tc>
                <w:tcPr>
                  <w:tcW w:w="1600" w:type="dxa"/>
                  <w:tcBorders>
                    <w:top w:val="nil"/>
                    <w:left w:val="nil"/>
                    <w:bottom w:val="single" w:sz="4" w:space="0" w:color="auto"/>
                    <w:right w:val="single" w:sz="4" w:space="0" w:color="auto"/>
                  </w:tcBorders>
                  <w:shd w:val="clear" w:color="auto" w:fill="auto"/>
                  <w:noWrap/>
                  <w:hideMark/>
                </w:tcPr>
                <w:p w14:paraId="27BCF74E" w14:textId="77777777" w:rsidR="00BA5209" w:rsidRPr="006E25C7" w:rsidRDefault="00BA5209" w:rsidP="00BA5209">
                  <w:pPr>
                    <w:keepNext w:val="0"/>
                    <w:spacing w:before="0"/>
                    <w:jc w:val="center"/>
                    <w:rPr>
                      <w:rFonts w:cs="Arial"/>
                      <w:color w:val="auto"/>
                      <w:sz w:val="22"/>
                      <w:szCs w:val="22"/>
                    </w:rPr>
                  </w:pPr>
                  <w:r w:rsidRPr="006E25C7">
                    <w:rPr>
                      <w:rFonts w:cs="Arial"/>
                      <w:color w:val="auto"/>
                      <w:sz w:val="22"/>
                      <w:szCs w:val="22"/>
                    </w:rPr>
                    <w:t>Yes</w:t>
                  </w:r>
                </w:p>
              </w:tc>
              <w:tc>
                <w:tcPr>
                  <w:tcW w:w="1220" w:type="dxa"/>
                  <w:tcBorders>
                    <w:top w:val="nil"/>
                    <w:left w:val="nil"/>
                    <w:bottom w:val="single" w:sz="4" w:space="0" w:color="auto"/>
                    <w:right w:val="single" w:sz="4" w:space="0" w:color="auto"/>
                  </w:tcBorders>
                  <w:shd w:val="clear" w:color="auto" w:fill="auto"/>
                  <w:noWrap/>
                  <w:hideMark/>
                </w:tcPr>
                <w:p w14:paraId="17682D80" w14:textId="77777777" w:rsidR="00BA5209" w:rsidRPr="006E25C7" w:rsidRDefault="00BA5209" w:rsidP="00BA5209">
                  <w:pPr>
                    <w:keepNext w:val="0"/>
                    <w:spacing w:before="0"/>
                    <w:jc w:val="right"/>
                    <w:rPr>
                      <w:rFonts w:cs="Arial"/>
                      <w:color w:val="auto"/>
                      <w:sz w:val="22"/>
                      <w:szCs w:val="22"/>
                    </w:rPr>
                  </w:pPr>
                  <w:r w:rsidRPr="006E25C7">
                    <w:rPr>
                      <w:rFonts w:cs="Arial"/>
                      <w:color w:val="auto"/>
                      <w:sz w:val="22"/>
                      <w:szCs w:val="22"/>
                    </w:rPr>
                    <w:t>20</w:t>
                  </w:r>
                </w:p>
              </w:tc>
            </w:tr>
            <w:tr w:rsidR="006E25C7" w:rsidRPr="006E25C7" w14:paraId="17030924" w14:textId="77777777" w:rsidTr="00BA5209">
              <w:trPr>
                <w:trHeight w:val="560"/>
                <w:jc w:val="center"/>
              </w:trPr>
              <w:tc>
                <w:tcPr>
                  <w:tcW w:w="760" w:type="dxa"/>
                  <w:tcBorders>
                    <w:top w:val="nil"/>
                    <w:left w:val="single" w:sz="4" w:space="0" w:color="auto"/>
                    <w:bottom w:val="single" w:sz="4" w:space="0" w:color="auto"/>
                    <w:right w:val="single" w:sz="4" w:space="0" w:color="auto"/>
                  </w:tcBorders>
                  <w:shd w:val="clear" w:color="auto" w:fill="auto"/>
                  <w:noWrap/>
                  <w:hideMark/>
                </w:tcPr>
                <w:p w14:paraId="106D60C2" w14:textId="77777777" w:rsidR="00BA5209" w:rsidRPr="006E25C7" w:rsidRDefault="00BA5209" w:rsidP="00BA5209">
                  <w:pPr>
                    <w:keepNext w:val="0"/>
                    <w:spacing w:before="0"/>
                    <w:rPr>
                      <w:rFonts w:cs="Arial"/>
                      <w:color w:val="auto"/>
                      <w:sz w:val="22"/>
                      <w:szCs w:val="22"/>
                    </w:rPr>
                  </w:pPr>
                  <w:r w:rsidRPr="006E25C7">
                    <w:rPr>
                      <w:rFonts w:cs="Arial"/>
                      <w:color w:val="auto"/>
                      <w:sz w:val="22"/>
                      <w:szCs w:val="22"/>
                    </w:rPr>
                    <w:t>H1Sag</w:t>
                  </w:r>
                </w:p>
              </w:tc>
              <w:tc>
                <w:tcPr>
                  <w:tcW w:w="3660" w:type="dxa"/>
                  <w:tcBorders>
                    <w:top w:val="nil"/>
                    <w:left w:val="nil"/>
                    <w:bottom w:val="single" w:sz="4" w:space="0" w:color="auto"/>
                    <w:right w:val="single" w:sz="4" w:space="0" w:color="auto"/>
                  </w:tcBorders>
                  <w:shd w:val="clear" w:color="auto" w:fill="auto"/>
                  <w:hideMark/>
                </w:tcPr>
                <w:p w14:paraId="4F25BD67" w14:textId="77777777" w:rsidR="00BA5209" w:rsidRPr="006E25C7" w:rsidRDefault="00BA5209" w:rsidP="00BA5209">
                  <w:pPr>
                    <w:keepNext w:val="0"/>
                    <w:spacing w:before="0"/>
                    <w:rPr>
                      <w:rFonts w:cs="Arial"/>
                      <w:color w:val="auto"/>
                      <w:sz w:val="22"/>
                      <w:szCs w:val="22"/>
                    </w:rPr>
                  </w:pPr>
                  <w:r w:rsidRPr="006E25C7">
                    <w:rPr>
                      <w:rFonts w:cs="Arial"/>
                      <w:color w:val="auto"/>
                      <w:sz w:val="22"/>
                      <w:szCs w:val="22"/>
                    </w:rPr>
                    <w:t>Quantum clothing Site, North Street, Huthwaite</w:t>
                  </w:r>
                </w:p>
              </w:tc>
              <w:tc>
                <w:tcPr>
                  <w:tcW w:w="1460" w:type="dxa"/>
                  <w:tcBorders>
                    <w:top w:val="nil"/>
                    <w:left w:val="nil"/>
                    <w:bottom w:val="single" w:sz="4" w:space="0" w:color="auto"/>
                    <w:right w:val="single" w:sz="4" w:space="0" w:color="auto"/>
                  </w:tcBorders>
                  <w:shd w:val="clear" w:color="auto" w:fill="auto"/>
                  <w:noWrap/>
                  <w:hideMark/>
                </w:tcPr>
                <w:p w14:paraId="75E00AD5" w14:textId="77777777" w:rsidR="00BA5209" w:rsidRPr="006E25C7" w:rsidRDefault="00BA5209" w:rsidP="00BA5209">
                  <w:pPr>
                    <w:keepNext w:val="0"/>
                    <w:spacing w:before="0"/>
                    <w:jc w:val="center"/>
                    <w:rPr>
                      <w:rFonts w:cs="Arial"/>
                      <w:color w:val="auto"/>
                      <w:sz w:val="22"/>
                      <w:szCs w:val="22"/>
                    </w:rPr>
                  </w:pPr>
                  <w:r w:rsidRPr="006E25C7">
                    <w:rPr>
                      <w:rFonts w:cs="Arial"/>
                      <w:color w:val="auto"/>
                      <w:sz w:val="22"/>
                      <w:szCs w:val="22"/>
                    </w:rPr>
                    <w:t>B</w:t>
                  </w:r>
                </w:p>
              </w:tc>
              <w:tc>
                <w:tcPr>
                  <w:tcW w:w="1600" w:type="dxa"/>
                  <w:tcBorders>
                    <w:top w:val="nil"/>
                    <w:left w:val="nil"/>
                    <w:bottom w:val="single" w:sz="4" w:space="0" w:color="auto"/>
                    <w:right w:val="single" w:sz="4" w:space="0" w:color="auto"/>
                  </w:tcBorders>
                  <w:shd w:val="clear" w:color="auto" w:fill="auto"/>
                  <w:noWrap/>
                  <w:hideMark/>
                </w:tcPr>
                <w:p w14:paraId="2F0C753B" w14:textId="77777777" w:rsidR="00BA5209" w:rsidRPr="006E25C7" w:rsidRDefault="00BA5209" w:rsidP="00BA5209">
                  <w:pPr>
                    <w:keepNext w:val="0"/>
                    <w:spacing w:before="0"/>
                    <w:jc w:val="center"/>
                    <w:rPr>
                      <w:rFonts w:cs="Arial"/>
                      <w:color w:val="auto"/>
                      <w:sz w:val="22"/>
                      <w:szCs w:val="22"/>
                    </w:rPr>
                  </w:pPr>
                  <w:r w:rsidRPr="006E25C7">
                    <w:rPr>
                      <w:rFonts w:cs="Arial"/>
                      <w:color w:val="auto"/>
                      <w:sz w:val="22"/>
                      <w:szCs w:val="22"/>
                    </w:rPr>
                    <w:t>No</w:t>
                  </w:r>
                </w:p>
              </w:tc>
              <w:tc>
                <w:tcPr>
                  <w:tcW w:w="1220" w:type="dxa"/>
                  <w:tcBorders>
                    <w:top w:val="nil"/>
                    <w:left w:val="nil"/>
                    <w:bottom w:val="single" w:sz="4" w:space="0" w:color="auto"/>
                    <w:right w:val="single" w:sz="4" w:space="0" w:color="auto"/>
                  </w:tcBorders>
                  <w:shd w:val="clear" w:color="auto" w:fill="auto"/>
                  <w:noWrap/>
                  <w:hideMark/>
                </w:tcPr>
                <w:p w14:paraId="0BFA28FC" w14:textId="77777777" w:rsidR="00BA5209" w:rsidRPr="006E25C7" w:rsidRDefault="00BA5209" w:rsidP="00BA5209">
                  <w:pPr>
                    <w:keepNext w:val="0"/>
                    <w:spacing w:before="0"/>
                    <w:jc w:val="right"/>
                    <w:rPr>
                      <w:rFonts w:cs="Arial"/>
                      <w:color w:val="auto"/>
                      <w:sz w:val="22"/>
                      <w:szCs w:val="22"/>
                    </w:rPr>
                  </w:pPr>
                  <w:r w:rsidRPr="006E25C7">
                    <w:rPr>
                      <w:rFonts w:cs="Arial"/>
                      <w:color w:val="auto"/>
                      <w:sz w:val="22"/>
                      <w:szCs w:val="22"/>
                    </w:rPr>
                    <w:t>71</w:t>
                  </w:r>
                </w:p>
              </w:tc>
            </w:tr>
            <w:tr w:rsidR="006E25C7" w:rsidRPr="006E25C7" w14:paraId="086224B0" w14:textId="77777777" w:rsidTr="00BA5209">
              <w:trPr>
                <w:trHeight w:val="560"/>
                <w:jc w:val="center"/>
              </w:trPr>
              <w:tc>
                <w:tcPr>
                  <w:tcW w:w="760" w:type="dxa"/>
                  <w:tcBorders>
                    <w:top w:val="nil"/>
                    <w:left w:val="single" w:sz="4" w:space="0" w:color="auto"/>
                    <w:bottom w:val="single" w:sz="4" w:space="0" w:color="auto"/>
                    <w:right w:val="single" w:sz="4" w:space="0" w:color="auto"/>
                  </w:tcBorders>
                  <w:shd w:val="clear" w:color="auto" w:fill="auto"/>
                  <w:noWrap/>
                  <w:hideMark/>
                </w:tcPr>
                <w:p w14:paraId="6A826964" w14:textId="77777777" w:rsidR="00BA5209" w:rsidRPr="006E25C7" w:rsidRDefault="00BA5209" w:rsidP="00BA5209">
                  <w:pPr>
                    <w:keepNext w:val="0"/>
                    <w:spacing w:before="0"/>
                    <w:rPr>
                      <w:rFonts w:cs="Arial"/>
                      <w:color w:val="auto"/>
                      <w:sz w:val="22"/>
                      <w:szCs w:val="22"/>
                    </w:rPr>
                  </w:pPr>
                  <w:r w:rsidRPr="006E25C7">
                    <w:rPr>
                      <w:rFonts w:cs="Arial"/>
                      <w:color w:val="auto"/>
                      <w:sz w:val="22"/>
                      <w:szCs w:val="22"/>
                    </w:rPr>
                    <w:t>H1Sah</w:t>
                  </w:r>
                </w:p>
              </w:tc>
              <w:tc>
                <w:tcPr>
                  <w:tcW w:w="3660" w:type="dxa"/>
                  <w:tcBorders>
                    <w:top w:val="nil"/>
                    <w:left w:val="nil"/>
                    <w:bottom w:val="nil"/>
                    <w:right w:val="nil"/>
                  </w:tcBorders>
                  <w:shd w:val="clear" w:color="auto" w:fill="auto"/>
                  <w:hideMark/>
                </w:tcPr>
                <w:p w14:paraId="28120DD3" w14:textId="77777777" w:rsidR="00BA5209" w:rsidRPr="006E25C7" w:rsidRDefault="00BA5209" w:rsidP="00BA5209">
                  <w:pPr>
                    <w:keepNext w:val="0"/>
                    <w:spacing w:before="0"/>
                    <w:rPr>
                      <w:rFonts w:cs="Arial"/>
                      <w:color w:val="auto"/>
                      <w:sz w:val="22"/>
                      <w:szCs w:val="22"/>
                    </w:rPr>
                  </w:pPr>
                  <w:r w:rsidRPr="006E25C7">
                    <w:rPr>
                      <w:rFonts w:cs="Arial"/>
                      <w:color w:val="auto"/>
                      <w:sz w:val="22"/>
                      <w:szCs w:val="22"/>
                    </w:rPr>
                    <w:t xml:space="preserve">Land adjacent 208 Mansfield Road, Sutton in Ashfield </w:t>
                  </w:r>
                </w:p>
              </w:tc>
              <w:tc>
                <w:tcPr>
                  <w:tcW w:w="1460" w:type="dxa"/>
                  <w:tcBorders>
                    <w:top w:val="nil"/>
                    <w:left w:val="single" w:sz="4" w:space="0" w:color="auto"/>
                    <w:bottom w:val="single" w:sz="4" w:space="0" w:color="auto"/>
                    <w:right w:val="single" w:sz="4" w:space="0" w:color="auto"/>
                  </w:tcBorders>
                  <w:shd w:val="clear" w:color="auto" w:fill="auto"/>
                  <w:noWrap/>
                  <w:hideMark/>
                </w:tcPr>
                <w:p w14:paraId="57A93217" w14:textId="77777777" w:rsidR="00BA5209" w:rsidRPr="006E25C7" w:rsidRDefault="00BA5209" w:rsidP="00BA5209">
                  <w:pPr>
                    <w:keepNext w:val="0"/>
                    <w:spacing w:before="0"/>
                    <w:jc w:val="center"/>
                    <w:rPr>
                      <w:rFonts w:cs="Arial"/>
                      <w:color w:val="auto"/>
                      <w:sz w:val="22"/>
                      <w:szCs w:val="22"/>
                    </w:rPr>
                  </w:pPr>
                  <w:r w:rsidRPr="006E25C7">
                    <w:rPr>
                      <w:rFonts w:cs="Arial"/>
                      <w:color w:val="auto"/>
                      <w:sz w:val="22"/>
                      <w:szCs w:val="22"/>
                    </w:rPr>
                    <w:t>B</w:t>
                  </w:r>
                </w:p>
              </w:tc>
              <w:tc>
                <w:tcPr>
                  <w:tcW w:w="1600" w:type="dxa"/>
                  <w:tcBorders>
                    <w:top w:val="nil"/>
                    <w:left w:val="nil"/>
                    <w:bottom w:val="single" w:sz="4" w:space="0" w:color="auto"/>
                    <w:right w:val="single" w:sz="4" w:space="0" w:color="auto"/>
                  </w:tcBorders>
                  <w:shd w:val="clear" w:color="auto" w:fill="auto"/>
                  <w:noWrap/>
                  <w:hideMark/>
                </w:tcPr>
                <w:p w14:paraId="10F37F6A" w14:textId="77777777" w:rsidR="00BA5209" w:rsidRPr="006E25C7" w:rsidRDefault="00BA5209" w:rsidP="00BA5209">
                  <w:pPr>
                    <w:keepNext w:val="0"/>
                    <w:spacing w:before="0"/>
                    <w:jc w:val="center"/>
                    <w:rPr>
                      <w:rFonts w:cs="Arial"/>
                      <w:color w:val="auto"/>
                      <w:sz w:val="22"/>
                      <w:szCs w:val="22"/>
                    </w:rPr>
                  </w:pPr>
                  <w:r w:rsidRPr="006E25C7">
                    <w:rPr>
                      <w:rFonts w:cs="Arial"/>
                      <w:color w:val="auto"/>
                      <w:sz w:val="22"/>
                      <w:szCs w:val="22"/>
                    </w:rPr>
                    <w:t>No</w:t>
                  </w:r>
                </w:p>
              </w:tc>
              <w:tc>
                <w:tcPr>
                  <w:tcW w:w="1220" w:type="dxa"/>
                  <w:tcBorders>
                    <w:top w:val="nil"/>
                    <w:left w:val="nil"/>
                    <w:bottom w:val="single" w:sz="4" w:space="0" w:color="auto"/>
                    <w:right w:val="single" w:sz="4" w:space="0" w:color="auto"/>
                  </w:tcBorders>
                  <w:shd w:val="clear" w:color="auto" w:fill="auto"/>
                  <w:noWrap/>
                  <w:hideMark/>
                </w:tcPr>
                <w:p w14:paraId="686BBDED" w14:textId="77777777" w:rsidR="00BA5209" w:rsidRPr="006E25C7" w:rsidRDefault="00BA5209" w:rsidP="00BA5209">
                  <w:pPr>
                    <w:keepNext w:val="0"/>
                    <w:spacing w:before="0"/>
                    <w:jc w:val="right"/>
                    <w:rPr>
                      <w:rFonts w:cs="Arial"/>
                      <w:color w:val="auto"/>
                      <w:sz w:val="22"/>
                      <w:szCs w:val="22"/>
                    </w:rPr>
                  </w:pPr>
                  <w:r w:rsidRPr="006E25C7">
                    <w:rPr>
                      <w:rFonts w:cs="Arial"/>
                      <w:color w:val="auto"/>
                      <w:sz w:val="22"/>
                      <w:szCs w:val="22"/>
                    </w:rPr>
                    <w:t>36</w:t>
                  </w:r>
                </w:p>
              </w:tc>
            </w:tr>
            <w:tr w:rsidR="006E25C7" w:rsidRPr="006E25C7" w14:paraId="5CE6B300" w14:textId="77777777" w:rsidTr="001770A9">
              <w:trPr>
                <w:trHeight w:val="453"/>
                <w:jc w:val="center"/>
              </w:trPr>
              <w:tc>
                <w:tcPr>
                  <w:tcW w:w="760" w:type="dxa"/>
                  <w:tcBorders>
                    <w:top w:val="nil"/>
                    <w:left w:val="single" w:sz="4" w:space="0" w:color="auto"/>
                    <w:bottom w:val="single" w:sz="4" w:space="0" w:color="auto"/>
                    <w:right w:val="single" w:sz="4" w:space="0" w:color="auto"/>
                  </w:tcBorders>
                  <w:shd w:val="clear" w:color="auto" w:fill="auto"/>
                  <w:noWrap/>
                  <w:hideMark/>
                </w:tcPr>
                <w:p w14:paraId="38262385" w14:textId="77777777" w:rsidR="00BA5209" w:rsidRPr="006E25C7" w:rsidRDefault="00BA5209" w:rsidP="00BA5209">
                  <w:pPr>
                    <w:keepNext w:val="0"/>
                    <w:spacing w:before="0"/>
                    <w:rPr>
                      <w:rFonts w:cs="Arial"/>
                      <w:color w:val="auto"/>
                      <w:sz w:val="22"/>
                      <w:szCs w:val="22"/>
                    </w:rPr>
                  </w:pPr>
                  <w:r w:rsidRPr="006E25C7">
                    <w:rPr>
                      <w:rFonts w:cs="Arial"/>
                      <w:color w:val="auto"/>
                      <w:sz w:val="22"/>
                      <w:szCs w:val="22"/>
                    </w:rPr>
                    <w:t> </w:t>
                  </w:r>
                </w:p>
              </w:tc>
              <w:tc>
                <w:tcPr>
                  <w:tcW w:w="3660" w:type="dxa"/>
                  <w:tcBorders>
                    <w:top w:val="single" w:sz="4" w:space="0" w:color="auto"/>
                    <w:left w:val="nil"/>
                    <w:bottom w:val="single" w:sz="4" w:space="0" w:color="auto"/>
                    <w:right w:val="single" w:sz="4" w:space="0" w:color="auto"/>
                  </w:tcBorders>
                  <w:shd w:val="clear" w:color="auto" w:fill="auto"/>
                  <w:hideMark/>
                </w:tcPr>
                <w:p w14:paraId="2A2D65E8" w14:textId="77777777" w:rsidR="00BA5209" w:rsidRPr="006E25C7" w:rsidRDefault="00BA5209" w:rsidP="00BA5209">
                  <w:pPr>
                    <w:keepNext w:val="0"/>
                    <w:spacing w:before="0"/>
                    <w:rPr>
                      <w:rFonts w:cs="Arial"/>
                      <w:color w:val="auto"/>
                      <w:sz w:val="22"/>
                      <w:szCs w:val="22"/>
                    </w:rPr>
                  </w:pPr>
                  <w:r w:rsidRPr="006E25C7">
                    <w:rPr>
                      <w:rFonts w:cs="Arial"/>
                      <w:color w:val="auto"/>
                      <w:sz w:val="22"/>
                      <w:szCs w:val="22"/>
                    </w:rPr>
                    <w:t> </w:t>
                  </w:r>
                </w:p>
              </w:tc>
              <w:tc>
                <w:tcPr>
                  <w:tcW w:w="1460" w:type="dxa"/>
                  <w:tcBorders>
                    <w:top w:val="nil"/>
                    <w:left w:val="nil"/>
                    <w:bottom w:val="single" w:sz="4" w:space="0" w:color="auto"/>
                    <w:right w:val="single" w:sz="4" w:space="0" w:color="auto"/>
                  </w:tcBorders>
                  <w:shd w:val="clear" w:color="auto" w:fill="auto"/>
                  <w:noWrap/>
                  <w:hideMark/>
                </w:tcPr>
                <w:p w14:paraId="2AAB3ECA" w14:textId="77777777" w:rsidR="00BA5209" w:rsidRPr="006E25C7" w:rsidRDefault="00BA5209" w:rsidP="00BA5209">
                  <w:pPr>
                    <w:keepNext w:val="0"/>
                    <w:spacing w:before="0"/>
                    <w:jc w:val="center"/>
                    <w:rPr>
                      <w:rFonts w:cs="Arial"/>
                      <w:color w:val="auto"/>
                      <w:sz w:val="22"/>
                      <w:szCs w:val="22"/>
                    </w:rPr>
                  </w:pPr>
                  <w:r w:rsidRPr="006E25C7">
                    <w:rPr>
                      <w:rFonts w:cs="Arial"/>
                      <w:color w:val="auto"/>
                      <w:sz w:val="22"/>
                      <w:szCs w:val="22"/>
                    </w:rPr>
                    <w:t> </w:t>
                  </w:r>
                </w:p>
              </w:tc>
              <w:tc>
                <w:tcPr>
                  <w:tcW w:w="1600" w:type="dxa"/>
                  <w:tcBorders>
                    <w:top w:val="nil"/>
                    <w:left w:val="nil"/>
                    <w:bottom w:val="single" w:sz="4" w:space="0" w:color="auto"/>
                    <w:right w:val="single" w:sz="4" w:space="0" w:color="auto"/>
                  </w:tcBorders>
                  <w:shd w:val="clear" w:color="auto" w:fill="auto"/>
                  <w:noWrap/>
                  <w:hideMark/>
                </w:tcPr>
                <w:p w14:paraId="06948621" w14:textId="77777777" w:rsidR="00BA5209" w:rsidRPr="006E25C7" w:rsidRDefault="00BA5209" w:rsidP="00BA5209">
                  <w:pPr>
                    <w:keepNext w:val="0"/>
                    <w:spacing w:before="0"/>
                    <w:jc w:val="center"/>
                    <w:rPr>
                      <w:rFonts w:cs="Arial"/>
                      <w:color w:val="auto"/>
                      <w:sz w:val="22"/>
                      <w:szCs w:val="22"/>
                    </w:rPr>
                  </w:pPr>
                  <w:r w:rsidRPr="006E25C7">
                    <w:rPr>
                      <w:rFonts w:cs="Arial"/>
                      <w:color w:val="auto"/>
                      <w:sz w:val="22"/>
                      <w:szCs w:val="22"/>
                    </w:rPr>
                    <w:t> </w:t>
                  </w:r>
                </w:p>
              </w:tc>
              <w:tc>
                <w:tcPr>
                  <w:tcW w:w="1220" w:type="dxa"/>
                  <w:tcBorders>
                    <w:top w:val="nil"/>
                    <w:left w:val="nil"/>
                    <w:bottom w:val="single" w:sz="4" w:space="0" w:color="auto"/>
                    <w:right w:val="single" w:sz="4" w:space="0" w:color="auto"/>
                  </w:tcBorders>
                  <w:shd w:val="clear" w:color="auto" w:fill="auto"/>
                  <w:noWrap/>
                  <w:hideMark/>
                </w:tcPr>
                <w:p w14:paraId="0AEA630D" w14:textId="77777777" w:rsidR="00BA5209" w:rsidRPr="006E25C7" w:rsidRDefault="00BA5209" w:rsidP="00BA5209">
                  <w:pPr>
                    <w:keepNext w:val="0"/>
                    <w:spacing w:before="0"/>
                    <w:jc w:val="right"/>
                    <w:rPr>
                      <w:rFonts w:cs="Arial"/>
                      <w:b/>
                      <w:bCs/>
                      <w:color w:val="auto"/>
                      <w:sz w:val="22"/>
                      <w:szCs w:val="22"/>
                    </w:rPr>
                  </w:pPr>
                  <w:r w:rsidRPr="006E25C7">
                    <w:rPr>
                      <w:rFonts w:cs="Arial"/>
                      <w:b/>
                      <w:bCs/>
                      <w:color w:val="auto"/>
                      <w:sz w:val="22"/>
                      <w:szCs w:val="22"/>
                    </w:rPr>
                    <w:t>3283</w:t>
                  </w:r>
                </w:p>
              </w:tc>
            </w:tr>
          </w:tbl>
          <w:p w14:paraId="49A864B9" w14:textId="77777777" w:rsidR="00642E60" w:rsidRPr="006E25C7" w:rsidRDefault="00642E60" w:rsidP="008B5F49">
            <w:pPr>
              <w:pStyle w:val="Policy"/>
              <w:spacing w:after="0" w:line="240" w:lineRule="auto"/>
              <w:ind w:left="306" w:right="284" w:firstLine="141"/>
              <w:rPr>
                <w:rStyle w:val="Normal1"/>
                <w:rFonts w:cs="Arial"/>
                <w:bCs/>
                <w:highlight w:val="yellow"/>
                <w:u w:val="single"/>
              </w:rPr>
            </w:pPr>
          </w:p>
          <w:p w14:paraId="60531056" w14:textId="77777777" w:rsidR="001770A9" w:rsidRDefault="001770A9" w:rsidP="008B5F49">
            <w:pPr>
              <w:pStyle w:val="Policy"/>
              <w:spacing w:after="0" w:line="240" w:lineRule="auto"/>
              <w:ind w:left="306" w:right="284" w:firstLine="141"/>
              <w:rPr>
                <w:rStyle w:val="Normal1"/>
                <w:rFonts w:cs="Arial"/>
                <w:bCs/>
                <w:u w:val="single"/>
              </w:rPr>
            </w:pPr>
          </w:p>
          <w:p w14:paraId="2AAA22DA" w14:textId="77777777" w:rsidR="001770A9" w:rsidRDefault="001770A9" w:rsidP="008B5F49">
            <w:pPr>
              <w:pStyle w:val="Policy"/>
              <w:spacing w:after="0" w:line="240" w:lineRule="auto"/>
              <w:ind w:left="306" w:right="284" w:firstLine="141"/>
              <w:rPr>
                <w:rStyle w:val="Normal1"/>
                <w:rFonts w:cs="Arial"/>
                <w:bCs/>
                <w:u w:val="single"/>
              </w:rPr>
            </w:pPr>
          </w:p>
          <w:p w14:paraId="33FBB9D7" w14:textId="77777777" w:rsidR="001770A9" w:rsidRDefault="001770A9" w:rsidP="008B5F49">
            <w:pPr>
              <w:pStyle w:val="Policy"/>
              <w:spacing w:after="0" w:line="240" w:lineRule="auto"/>
              <w:ind w:left="306" w:right="284" w:firstLine="141"/>
              <w:rPr>
                <w:rStyle w:val="Normal1"/>
                <w:rFonts w:cs="Arial"/>
                <w:bCs/>
                <w:u w:val="single"/>
              </w:rPr>
            </w:pPr>
          </w:p>
          <w:p w14:paraId="5991CC1F" w14:textId="77777777" w:rsidR="001770A9" w:rsidRDefault="001770A9" w:rsidP="008B5F49">
            <w:pPr>
              <w:pStyle w:val="Policy"/>
              <w:spacing w:after="0" w:line="240" w:lineRule="auto"/>
              <w:ind w:left="306" w:right="284" w:firstLine="141"/>
              <w:rPr>
                <w:rStyle w:val="Normal1"/>
                <w:rFonts w:cs="Arial"/>
                <w:bCs/>
                <w:u w:val="single"/>
              </w:rPr>
            </w:pPr>
          </w:p>
          <w:p w14:paraId="34CE00F2" w14:textId="77777777" w:rsidR="001770A9" w:rsidRDefault="001770A9" w:rsidP="008B5F49">
            <w:pPr>
              <w:pStyle w:val="Policy"/>
              <w:spacing w:after="0" w:line="240" w:lineRule="auto"/>
              <w:ind w:left="306" w:right="284" w:firstLine="141"/>
              <w:rPr>
                <w:rStyle w:val="Normal1"/>
                <w:rFonts w:cs="Arial"/>
                <w:bCs/>
                <w:u w:val="single"/>
              </w:rPr>
            </w:pPr>
          </w:p>
          <w:p w14:paraId="50471B38" w14:textId="77777777" w:rsidR="001770A9" w:rsidRDefault="001770A9" w:rsidP="008B5F49">
            <w:pPr>
              <w:pStyle w:val="Policy"/>
              <w:spacing w:after="0" w:line="240" w:lineRule="auto"/>
              <w:ind w:left="306" w:right="284" w:firstLine="141"/>
              <w:rPr>
                <w:rStyle w:val="Normal1"/>
                <w:rFonts w:cs="Arial"/>
                <w:bCs/>
                <w:u w:val="single"/>
              </w:rPr>
            </w:pPr>
          </w:p>
          <w:p w14:paraId="44891855" w14:textId="77777777" w:rsidR="001770A9" w:rsidRDefault="001770A9" w:rsidP="008B5F49">
            <w:pPr>
              <w:pStyle w:val="Policy"/>
              <w:spacing w:after="0" w:line="240" w:lineRule="auto"/>
              <w:ind w:left="306" w:right="284" w:firstLine="141"/>
              <w:rPr>
                <w:rStyle w:val="Normal1"/>
                <w:rFonts w:cs="Arial"/>
                <w:bCs/>
                <w:u w:val="single"/>
              </w:rPr>
            </w:pPr>
          </w:p>
          <w:p w14:paraId="2CD43D6E" w14:textId="52EC0BAF" w:rsidR="003C7E62" w:rsidRPr="006E25C7" w:rsidRDefault="003C7E62" w:rsidP="008B5F49">
            <w:pPr>
              <w:pStyle w:val="Policy"/>
              <w:spacing w:after="0" w:line="240" w:lineRule="auto"/>
              <w:ind w:left="306" w:right="284" w:firstLine="141"/>
              <w:rPr>
                <w:rStyle w:val="Normal1"/>
                <w:rFonts w:cs="Arial"/>
                <w:bCs/>
                <w:u w:val="single"/>
              </w:rPr>
            </w:pPr>
            <w:r w:rsidRPr="006E25C7">
              <w:rPr>
                <w:rStyle w:val="Normal1"/>
                <w:rFonts w:cs="Arial"/>
                <w:bCs/>
                <w:u w:val="single"/>
              </w:rPr>
              <w:t xml:space="preserve">Selston </w:t>
            </w:r>
            <w:r w:rsidR="003B0537" w:rsidRPr="006E25C7">
              <w:rPr>
                <w:rStyle w:val="Normal1"/>
                <w:rFonts w:cs="Arial"/>
                <w:bCs/>
                <w:u w:val="single"/>
              </w:rPr>
              <w:t>J</w:t>
            </w:r>
            <w:r w:rsidR="003B0537" w:rsidRPr="006E25C7">
              <w:rPr>
                <w:rStyle w:val="Normal1"/>
                <w:bCs/>
                <w:u w:val="single"/>
              </w:rPr>
              <w:t xml:space="preserve">acksdale and Underwood </w:t>
            </w:r>
            <w:r w:rsidRPr="006E25C7">
              <w:rPr>
                <w:rStyle w:val="Normal1"/>
                <w:rFonts w:cs="Arial"/>
                <w:bCs/>
                <w:u w:val="single"/>
              </w:rPr>
              <w:t>Area</w:t>
            </w:r>
          </w:p>
          <w:p w14:paraId="5838EE3C" w14:textId="77777777" w:rsidR="00BA5209" w:rsidRPr="006E25C7" w:rsidRDefault="00BA5209" w:rsidP="008B5F49">
            <w:pPr>
              <w:pStyle w:val="Policy"/>
              <w:spacing w:after="0" w:line="240" w:lineRule="auto"/>
              <w:ind w:left="0" w:right="284"/>
              <w:rPr>
                <w:rStyle w:val="Heading10"/>
                <w:rFonts w:cs="Arial"/>
                <w:color w:val="auto"/>
              </w:rPr>
            </w:pPr>
          </w:p>
          <w:tbl>
            <w:tblPr>
              <w:tblW w:w="8700" w:type="dxa"/>
              <w:jc w:val="center"/>
              <w:tblLook w:val="04A0" w:firstRow="1" w:lastRow="0" w:firstColumn="1" w:lastColumn="0" w:noHBand="0" w:noVBand="1"/>
            </w:tblPr>
            <w:tblGrid>
              <w:gridCol w:w="767"/>
              <w:gridCol w:w="3569"/>
              <w:gridCol w:w="1460"/>
              <w:gridCol w:w="1600"/>
              <w:gridCol w:w="1304"/>
            </w:tblGrid>
            <w:tr w:rsidR="006E25C7" w:rsidRPr="006E25C7" w14:paraId="34E384EE" w14:textId="77777777" w:rsidTr="00BA5209">
              <w:trPr>
                <w:trHeight w:val="840"/>
                <w:jc w:val="center"/>
              </w:trPr>
              <w:tc>
                <w:tcPr>
                  <w:tcW w:w="760" w:type="dxa"/>
                  <w:tcBorders>
                    <w:top w:val="single" w:sz="4" w:space="0" w:color="auto"/>
                    <w:left w:val="single" w:sz="4" w:space="0" w:color="auto"/>
                    <w:bottom w:val="single" w:sz="4" w:space="0" w:color="auto"/>
                    <w:right w:val="single" w:sz="4" w:space="0" w:color="auto"/>
                  </w:tcBorders>
                  <w:shd w:val="clear" w:color="000000" w:fill="D9D9D9"/>
                  <w:hideMark/>
                </w:tcPr>
                <w:p w14:paraId="32C4B534" w14:textId="77777777" w:rsidR="00BA5209" w:rsidRPr="006E25C7" w:rsidRDefault="00BA5209" w:rsidP="00BA5209">
                  <w:pPr>
                    <w:keepNext w:val="0"/>
                    <w:spacing w:before="0"/>
                    <w:rPr>
                      <w:rFonts w:cs="Arial"/>
                      <w:color w:val="auto"/>
                      <w:sz w:val="22"/>
                      <w:szCs w:val="22"/>
                    </w:rPr>
                  </w:pPr>
                  <w:r w:rsidRPr="006E25C7">
                    <w:rPr>
                      <w:rFonts w:cs="Arial"/>
                      <w:color w:val="auto"/>
                      <w:sz w:val="22"/>
                      <w:szCs w:val="22"/>
                    </w:rPr>
                    <w:t>Site Ref.</w:t>
                  </w:r>
                </w:p>
              </w:tc>
              <w:tc>
                <w:tcPr>
                  <w:tcW w:w="3660" w:type="dxa"/>
                  <w:tcBorders>
                    <w:top w:val="single" w:sz="4" w:space="0" w:color="auto"/>
                    <w:left w:val="nil"/>
                    <w:bottom w:val="single" w:sz="4" w:space="0" w:color="auto"/>
                    <w:right w:val="single" w:sz="4" w:space="0" w:color="auto"/>
                  </w:tcBorders>
                  <w:shd w:val="clear" w:color="000000" w:fill="D9D9D9"/>
                  <w:hideMark/>
                </w:tcPr>
                <w:p w14:paraId="3F686368" w14:textId="77777777" w:rsidR="00BA5209" w:rsidRPr="006E25C7" w:rsidRDefault="00BA5209" w:rsidP="00BA5209">
                  <w:pPr>
                    <w:keepNext w:val="0"/>
                    <w:spacing w:before="0"/>
                    <w:rPr>
                      <w:rFonts w:cs="Arial"/>
                      <w:color w:val="auto"/>
                      <w:sz w:val="22"/>
                      <w:szCs w:val="22"/>
                    </w:rPr>
                  </w:pPr>
                  <w:r w:rsidRPr="006E25C7">
                    <w:rPr>
                      <w:rFonts w:cs="Arial"/>
                      <w:color w:val="auto"/>
                      <w:sz w:val="22"/>
                      <w:szCs w:val="22"/>
                    </w:rPr>
                    <w:t>Site Name</w:t>
                  </w:r>
                </w:p>
              </w:tc>
              <w:tc>
                <w:tcPr>
                  <w:tcW w:w="1460" w:type="dxa"/>
                  <w:tcBorders>
                    <w:top w:val="single" w:sz="4" w:space="0" w:color="auto"/>
                    <w:left w:val="nil"/>
                    <w:bottom w:val="single" w:sz="4" w:space="0" w:color="auto"/>
                    <w:right w:val="single" w:sz="4" w:space="0" w:color="auto"/>
                  </w:tcBorders>
                  <w:shd w:val="clear" w:color="000000" w:fill="D9D9D9"/>
                  <w:hideMark/>
                </w:tcPr>
                <w:p w14:paraId="22BA6C9E" w14:textId="77777777" w:rsidR="00BA5209" w:rsidRPr="006E25C7" w:rsidRDefault="00BA5209" w:rsidP="00BA5209">
                  <w:pPr>
                    <w:keepNext w:val="0"/>
                    <w:spacing w:before="0"/>
                    <w:jc w:val="center"/>
                    <w:rPr>
                      <w:rFonts w:cs="Arial"/>
                      <w:color w:val="auto"/>
                      <w:sz w:val="22"/>
                      <w:szCs w:val="22"/>
                    </w:rPr>
                  </w:pPr>
                  <w:r w:rsidRPr="006E25C7">
                    <w:rPr>
                      <w:rFonts w:cs="Arial"/>
                      <w:color w:val="auto"/>
                      <w:sz w:val="22"/>
                      <w:szCs w:val="22"/>
                    </w:rPr>
                    <w:t>Greenfield/ Brownfield</w:t>
                  </w:r>
                </w:p>
              </w:tc>
              <w:tc>
                <w:tcPr>
                  <w:tcW w:w="1600" w:type="dxa"/>
                  <w:tcBorders>
                    <w:top w:val="single" w:sz="4" w:space="0" w:color="auto"/>
                    <w:left w:val="nil"/>
                    <w:bottom w:val="single" w:sz="4" w:space="0" w:color="auto"/>
                    <w:right w:val="single" w:sz="4" w:space="0" w:color="auto"/>
                  </w:tcBorders>
                  <w:shd w:val="clear" w:color="000000" w:fill="D9D9D9"/>
                  <w:hideMark/>
                </w:tcPr>
                <w:p w14:paraId="64E5A916" w14:textId="77777777" w:rsidR="00BA5209" w:rsidRPr="006E25C7" w:rsidRDefault="00BA5209" w:rsidP="00BA5209">
                  <w:pPr>
                    <w:keepNext w:val="0"/>
                    <w:spacing w:before="0"/>
                    <w:jc w:val="center"/>
                    <w:rPr>
                      <w:rFonts w:cs="Arial"/>
                      <w:color w:val="auto"/>
                      <w:sz w:val="22"/>
                      <w:szCs w:val="22"/>
                    </w:rPr>
                  </w:pPr>
                  <w:r w:rsidRPr="006E25C7">
                    <w:rPr>
                      <w:rFonts w:cs="Arial"/>
                      <w:color w:val="auto"/>
                      <w:sz w:val="22"/>
                      <w:szCs w:val="22"/>
                    </w:rPr>
                    <w:t>Planning Permission*</w:t>
                  </w:r>
                </w:p>
              </w:tc>
              <w:tc>
                <w:tcPr>
                  <w:tcW w:w="1220" w:type="dxa"/>
                  <w:tcBorders>
                    <w:top w:val="single" w:sz="4" w:space="0" w:color="auto"/>
                    <w:left w:val="nil"/>
                    <w:bottom w:val="single" w:sz="4" w:space="0" w:color="auto"/>
                    <w:right w:val="single" w:sz="4" w:space="0" w:color="auto"/>
                  </w:tcBorders>
                  <w:shd w:val="clear" w:color="000000" w:fill="D9D9D9"/>
                  <w:hideMark/>
                </w:tcPr>
                <w:p w14:paraId="599499F7" w14:textId="77777777" w:rsidR="00BA5209" w:rsidRPr="006E25C7" w:rsidRDefault="00BA5209" w:rsidP="00BA5209">
                  <w:pPr>
                    <w:keepNext w:val="0"/>
                    <w:spacing w:before="0"/>
                    <w:rPr>
                      <w:rFonts w:cs="Arial"/>
                      <w:color w:val="auto"/>
                      <w:sz w:val="22"/>
                      <w:szCs w:val="22"/>
                    </w:rPr>
                  </w:pPr>
                  <w:r w:rsidRPr="006E25C7">
                    <w:rPr>
                      <w:rFonts w:cs="Arial"/>
                      <w:color w:val="auto"/>
                      <w:sz w:val="22"/>
                      <w:szCs w:val="22"/>
                    </w:rPr>
                    <w:t>Potential Yield (Dwellings)</w:t>
                  </w:r>
                </w:p>
              </w:tc>
            </w:tr>
            <w:tr w:rsidR="006E25C7" w:rsidRPr="006E25C7" w14:paraId="4BD5BE6B" w14:textId="77777777" w:rsidTr="00BA5209">
              <w:trPr>
                <w:trHeight w:val="560"/>
                <w:jc w:val="center"/>
              </w:trPr>
              <w:tc>
                <w:tcPr>
                  <w:tcW w:w="760" w:type="dxa"/>
                  <w:tcBorders>
                    <w:top w:val="nil"/>
                    <w:left w:val="single" w:sz="4" w:space="0" w:color="auto"/>
                    <w:bottom w:val="single" w:sz="4" w:space="0" w:color="auto"/>
                    <w:right w:val="single" w:sz="4" w:space="0" w:color="auto"/>
                  </w:tcBorders>
                  <w:shd w:val="clear" w:color="auto" w:fill="auto"/>
                  <w:noWrap/>
                  <w:hideMark/>
                </w:tcPr>
                <w:p w14:paraId="176F5D07" w14:textId="77777777" w:rsidR="00BA5209" w:rsidRPr="006E25C7" w:rsidRDefault="00BA5209" w:rsidP="00BA5209">
                  <w:pPr>
                    <w:keepNext w:val="0"/>
                    <w:spacing w:before="0"/>
                    <w:rPr>
                      <w:rFonts w:cs="Arial"/>
                      <w:color w:val="auto"/>
                      <w:sz w:val="22"/>
                      <w:szCs w:val="22"/>
                    </w:rPr>
                  </w:pPr>
                  <w:r w:rsidRPr="006E25C7">
                    <w:rPr>
                      <w:rFonts w:cs="Arial"/>
                      <w:color w:val="auto"/>
                      <w:sz w:val="22"/>
                      <w:szCs w:val="22"/>
                    </w:rPr>
                    <w:t>H1Va</w:t>
                  </w:r>
                </w:p>
              </w:tc>
              <w:tc>
                <w:tcPr>
                  <w:tcW w:w="3660" w:type="dxa"/>
                  <w:tcBorders>
                    <w:top w:val="nil"/>
                    <w:left w:val="nil"/>
                    <w:bottom w:val="single" w:sz="4" w:space="0" w:color="auto"/>
                    <w:right w:val="single" w:sz="4" w:space="0" w:color="auto"/>
                  </w:tcBorders>
                  <w:shd w:val="clear" w:color="auto" w:fill="auto"/>
                  <w:hideMark/>
                </w:tcPr>
                <w:p w14:paraId="2650A2B9" w14:textId="77777777" w:rsidR="00BA5209" w:rsidRPr="006E25C7" w:rsidRDefault="00BA5209" w:rsidP="00BA5209">
                  <w:pPr>
                    <w:keepNext w:val="0"/>
                    <w:spacing w:before="0"/>
                    <w:rPr>
                      <w:rFonts w:cs="Arial"/>
                      <w:color w:val="auto"/>
                      <w:sz w:val="22"/>
                      <w:szCs w:val="22"/>
                    </w:rPr>
                  </w:pPr>
                  <w:r w:rsidRPr="006E25C7">
                    <w:rPr>
                      <w:rFonts w:cs="Arial"/>
                      <w:color w:val="auto"/>
                      <w:sz w:val="22"/>
                      <w:szCs w:val="22"/>
                    </w:rPr>
                    <w:t>Land at Plainspot Farm, New Brinsley, Underwood</w:t>
                  </w:r>
                </w:p>
              </w:tc>
              <w:tc>
                <w:tcPr>
                  <w:tcW w:w="1460" w:type="dxa"/>
                  <w:tcBorders>
                    <w:top w:val="nil"/>
                    <w:left w:val="nil"/>
                    <w:bottom w:val="single" w:sz="4" w:space="0" w:color="auto"/>
                    <w:right w:val="single" w:sz="4" w:space="0" w:color="auto"/>
                  </w:tcBorders>
                  <w:shd w:val="clear" w:color="auto" w:fill="auto"/>
                  <w:noWrap/>
                  <w:hideMark/>
                </w:tcPr>
                <w:p w14:paraId="7E7F4A20" w14:textId="77777777" w:rsidR="00BA5209" w:rsidRPr="006E25C7" w:rsidRDefault="00BA5209" w:rsidP="00BA5209">
                  <w:pPr>
                    <w:keepNext w:val="0"/>
                    <w:spacing w:before="0"/>
                    <w:jc w:val="center"/>
                    <w:rPr>
                      <w:rFonts w:cs="Arial"/>
                      <w:color w:val="auto"/>
                      <w:sz w:val="22"/>
                      <w:szCs w:val="22"/>
                    </w:rPr>
                  </w:pPr>
                  <w:r w:rsidRPr="006E25C7">
                    <w:rPr>
                      <w:rFonts w:cs="Arial"/>
                      <w:color w:val="auto"/>
                      <w:sz w:val="22"/>
                      <w:szCs w:val="22"/>
                    </w:rPr>
                    <w:t>G</w:t>
                  </w:r>
                </w:p>
              </w:tc>
              <w:tc>
                <w:tcPr>
                  <w:tcW w:w="1600" w:type="dxa"/>
                  <w:tcBorders>
                    <w:top w:val="nil"/>
                    <w:left w:val="nil"/>
                    <w:bottom w:val="single" w:sz="4" w:space="0" w:color="auto"/>
                    <w:right w:val="single" w:sz="4" w:space="0" w:color="auto"/>
                  </w:tcBorders>
                  <w:shd w:val="clear" w:color="auto" w:fill="auto"/>
                  <w:noWrap/>
                  <w:hideMark/>
                </w:tcPr>
                <w:p w14:paraId="744BB34B" w14:textId="77777777" w:rsidR="00BA5209" w:rsidRPr="006E25C7" w:rsidRDefault="00BA5209" w:rsidP="00BA5209">
                  <w:pPr>
                    <w:keepNext w:val="0"/>
                    <w:spacing w:before="0"/>
                    <w:jc w:val="center"/>
                    <w:rPr>
                      <w:rFonts w:cs="Arial"/>
                      <w:color w:val="auto"/>
                      <w:sz w:val="22"/>
                      <w:szCs w:val="22"/>
                    </w:rPr>
                  </w:pPr>
                  <w:r w:rsidRPr="006E25C7">
                    <w:rPr>
                      <w:rFonts w:cs="Arial"/>
                      <w:color w:val="auto"/>
                      <w:sz w:val="22"/>
                      <w:szCs w:val="22"/>
                    </w:rPr>
                    <w:t>No</w:t>
                  </w:r>
                </w:p>
              </w:tc>
              <w:tc>
                <w:tcPr>
                  <w:tcW w:w="1220" w:type="dxa"/>
                  <w:tcBorders>
                    <w:top w:val="nil"/>
                    <w:left w:val="nil"/>
                    <w:bottom w:val="single" w:sz="4" w:space="0" w:color="auto"/>
                    <w:right w:val="single" w:sz="4" w:space="0" w:color="auto"/>
                  </w:tcBorders>
                  <w:shd w:val="clear" w:color="auto" w:fill="auto"/>
                  <w:noWrap/>
                  <w:hideMark/>
                </w:tcPr>
                <w:p w14:paraId="172A4640" w14:textId="77777777" w:rsidR="00BA5209" w:rsidRPr="006E25C7" w:rsidRDefault="00BA5209" w:rsidP="00BA5209">
                  <w:pPr>
                    <w:keepNext w:val="0"/>
                    <w:spacing w:before="0"/>
                    <w:jc w:val="right"/>
                    <w:rPr>
                      <w:rFonts w:cs="Arial"/>
                      <w:color w:val="auto"/>
                      <w:sz w:val="22"/>
                      <w:szCs w:val="22"/>
                    </w:rPr>
                  </w:pPr>
                  <w:r w:rsidRPr="006E25C7">
                    <w:rPr>
                      <w:rFonts w:cs="Arial"/>
                      <w:color w:val="auto"/>
                      <w:sz w:val="22"/>
                      <w:szCs w:val="22"/>
                    </w:rPr>
                    <w:t>42</w:t>
                  </w:r>
                </w:p>
              </w:tc>
            </w:tr>
            <w:tr w:rsidR="006E25C7" w:rsidRPr="006E25C7" w14:paraId="74943E25" w14:textId="77777777" w:rsidTr="00BA5209">
              <w:trPr>
                <w:trHeight w:val="280"/>
                <w:jc w:val="center"/>
              </w:trPr>
              <w:tc>
                <w:tcPr>
                  <w:tcW w:w="760" w:type="dxa"/>
                  <w:tcBorders>
                    <w:top w:val="nil"/>
                    <w:left w:val="single" w:sz="4" w:space="0" w:color="auto"/>
                    <w:bottom w:val="single" w:sz="4" w:space="0" w:color="auto"/>
                    <w:right w:val="single" w:sz="4" w:space="0" w:color="auto"/>
                  </w:tcBorders>
                  <w:shd w:val="clear" w:color="auto" w:fill="auto"/>
                  <w:noWrap/>
                  <w:hideMark/>
                </w:tcPr>
                <w:p w14:paraId="61F6FF69" w14:textId="77777777" w:rsidR="00BA5209" w:rsidRPr="006E25C7" w:rsidRDefault="00BA5209" w:rsidP="00BA5209">
                  <w:pPr>
                    <w:keepNext w:val="0"/>
                    <w:spacing w:before="0"/>
                    <w:rPr>
                      <w:rFonts w:cs="Arial"/>
                      <w:color w:val="auto"/>
                      <w:sz w:val="22"/>
                      <w:szCs w:val="22"/>
                    </w:rPr>
                  </w:pPr>
                  <w:r w:rsidRPr="006E25C7">
                    <w:rPr>
                      <w:rFonts w:cs="Arial"/>
                      <w:color w:val="auto"/>
                      <w:sz w:val="22"/>
                      <w:szCs w:val="22"/>
                    </w:rPr>
                    <w:t>H1Vb</w:t>
                  </w:r>
                </w:p>
              </w:tc>
              <w:tc>
                <w:tcPr>
                  <w:tcW w:w="3660" w:type="dxa"/>
                  <w:tcBorders>
                    <w:top w:val="nil"/>
                    <w:left w:val="nil"/>
                    <w:bottom w:val="single" w:sz="4" w:space="0" w:color="auto"/>
                    <w:right w:val="single" w:sz="4" w:space="0" w:color="auto"/>
                  </w:tcBorders>
                  <w:shd w:val="clear" w:color="auto" w:fill="auto"/>
                  <w:hideMark/>
                </w:tcPr>
                <w:p w14:paraId="5BB1589A" w14:textId="77777777" w:rsidR="00BA5209" w:rsidRPr="006E25C7" w:rsidRDefault="00BA5209" w:rsidP="00BA5209">
                  <w:pPr>
                    <w:keepNext w:val="0"/>
                    <w:spacing w:before="0"/>
                    <w:rPr>
                      <w:rFonts w:cs="Arial"/>
                      <w:color w:val="auto"/>
                      <w:sz w:val="22"/>
                      <w:szCs w:val="22"/>
                    </w:rPr>
                  </w:pPr>
                  <w:r w:rsidRPr="006E25C7">
                    <w:rPr>
                      <w:rFonts w:cs="Arial"/>
                      <w:color w:val="auto"/>
                      <w:sz w:val="22"/>
                      <w:szCs w:val="22"/>
                    </w:rPr>
                    <w:t>Off Westdale Road, Jacksdale</w:t>
                  </w:r>
                </w:p>
              </w:tc>
              <w:tc>
                <w:tcPr>
                  <w:tcW w:w="1460" w:type="dxa"/>
                  <w:tcBorders>
                    <w:top w:val="nil"/>
                    <w:left w:val="nil"/>
                    <w:bottom w:val="single" w:sz="4" w:space="0" w:color="auto"/>
                    <w:right w:val="single" w:sz="4" w:space="0" w:color="auto"/>
                  </w:tcBorders>
                  <w:shd w:val="clear" w:color="auto" w:fill="auto"/>
                  <w:noWrap/>
                  <w:hideMark/>
                </w:tcPr>
                <w:p w14:paraId="3DA0F6A5" w14:textId="77777777" w:rsidR="00BA5209" w:rsidRPr="006E25C7" w:rsidRDefault="00BA5209" w:rsidP="00BA5209">
                  <w:pPr>
                    <w:keepNext w:val="0"/>
                    <w:spacing w:before="0"/>
                    <w:jc w:val="center"/>
                    <w:rPr>
                      <w:rFonts w:cs="Arial"/>
                      <w:color w:val="auto"/>
                      <w:sz w:val="22"/>
                      <w:szCs w:val="22"/>
                    </w:rPr>
                  </w:pPr>
                  <w:r w:rsidRPr="006E25C7">
                    <w:rPr>
                      <w:rFonts w:cs="Arial"/>
                      <w:color w:val="auto"/>
                      <w:sz w:val="22"/>
                      <w:szCs w:val="22"/>
                    </w:rPr>
                    <w:t>G</w:t>
                  </w:r>
                </w:p>
              </w:tc>
              <w:tc>
                <w:tcPr>
                  <w:tcW w:w="1600" w:type="dxa"/>
                  <w:tcBorders>
                    <w:top w:val="nil"/>
                    <w:left w:val="nil"/>
                    <w:bottom w:val="single" w:sz="4" w:space="0" w:color="auto"/>
                    <w:right w:val="single" w:sz="4" w:space="0" w:color="auto"/>
                  </w:tcBorders>
                  <w:shd w:val="clear" w:color="auto" w:fill="auto"/>
                  <w:noWrap/>
                  <w:hideMark/>
                </w:tcPr>
                <w:p w14:paraId="6322E497" w14:textId="77777777" w:rsidR="00BA5209" w:rsidRPr="006E25C7" w:rsidRDefault="00BA5209" w:rsidP="00BA5209">
                  <w:pPr>
                    <w:keepNext w:val="0"/>
                    <w:spacing w:before="0"/>
                    <w:jc w:val="center"/>
                    <w:rPr>
                      <w:rFonts w:cs="Arial"/>
                      <w:color w:val="auto"/>
                      <w:sz w:val="22"/>
                      <w:szCs w:val="22"/>
                    </w:rPr>
                  </w:pPr>
                  <w:r w:rsidRPr="006E25C7">
                    <w:rPr>
                      <w:rFonts w:cs="Arial"/>
                      <w:color w:val="auto"/>
                      <w:sz w:val="22"/>
                      <w:szCs w:val="22"/>
                    </w:rPr>
                    <w:t>No</w:t>
                  </w:r>
                </w:p>
              </w:tc>
              <w:tc>
                <w:tcPr>
                  <w:tcW w:w="1220" w:type="dxa"/>
                  <w:tcBorders>
                    <w:top w:val="nil"/>
                    <w:left w:val="nil"/>
                    <w:bottom w:val="single" w:sz="4" w:space="0" w:color="auto"/>
                    <w:right w:val="single" w:sz="4" w:space="0" w:color="auto"/>
                  </w:tcBorders>
                  <w:shd w:val="clear" w:color="auto" w:fill="auto"/>
                  <w:noWrap/>
                  <w:hideMark/>
                </w:tcPr>
                <w:p w14:paraId="4CA86E17" w14:textId="77777777" w:rsidR="00BA5209" w:rsidRPr="006E25C7" w:rsidRDefault="00BA5209" w:rsidP="00BA5209">
                  <w:pPr>
                    <w:keepNext w:val="0"/>
                    <w:spacing w:before="0"/>
                    <w:jc w:val="right"/>
                    <w:rPr>
                      <w:rFonts w:cs="Arial"/>
                      <w:color w:val="auto"/>
                      <w:sz w:val="22"/>
                      <w:szCs w:val="22"/>
                    </w:rPr>
                  </w:pPr>
                  <w:r w:rsidRPr="006E25C7">
                    <w:rPr>
                      <w:rFonts w:cs="Arial"/>
                      <w:color w:val="auto"/>
                      <w:sz w:val="22"/>
                      <w:szCs w:val="22"/>
                    </w:rPr>
                    <w:t>49</w:t>
                  </w:r>
                </w:p>
              </w:tc>
            </w:tr>
            <w:tr w:rsidR="006E25C7" w:rsidRPr="006E25C7" w14:paraId="3B4250E2" w14:textId="77777777" w:rsidTr="00BA5209">
              <w:trPr>
                <w:trHeight w:val="280"/>
                <w:jc w:val="center"/>
              </w:trPr>
              <w:tc>
                <w:tcPr>
                  <w:tcW w:w="760" w:type="dxa"/>
                  <w:tcBorders>
                    <w:top w:val="nil"/>
                    <w:left w:val="single" w:sz="4" w:space="0" w:color="auto"/>
                    <w:bottom w:val="single" w:sz="4" w:space="0" w:color="auto"/>
                    <w:right w:val="single" w:sz="4" w:space="0" w:color="auto"/>
                  </w:tcBorders>
                  <w:shd w:val="clear" w:color="auto" w:fill="auto"/>
                  <w:noWrap/>
                  <w:hideMark/>
                </w:tcPr>
                <w:p w14:paraId="762110D1" w14:textId="77777777" w:rsidR="00BA5209" w:rsidRPr="006E25C7" w:rsidRDefault="00BA5209" w:rsidP="00BA5209">
                  <w:pPr>
                    <w:keepNext w:val="0"/>
                    <w:spacing w:before="0"/>
                    <w:rPr>
                      <w:rFonts w:cs="Arial"/>
                      <w:color w:val="auto"/>
                      <w:sz w:val="22"/>
                      <w:szCs w:val="22"/>
                    </w:rPr>
                  </w:pPr>
                  <w:r w:rsidRPr="006E25C7">
                    <w:rPr>
                      <w:rFonts w:cs="Arial"/>
                      <w:color w:val="auto"/>
                      <w:sz w:val="22"/>
                      <w:szCs w:val="22"/>
                    </w:rPr>
                    <w:t>H1Vc</w:t>
                  </w:r>
                </w:p>
              </w:tc>
              <w:tc>
                <w:tcPr>
                  <w:tcW w:w="3660" w:type="dxa"/>
                  <w:tcBorders>
                    <w:top w:val="nil"/>
                    <w:left w:val="nil"/>
                    <w:bottom w:val="single" w:sz="4" w:space="0" w:color="auto"/>
                    <w:right w:val="single" w:sz="4" w:space="0" w:color="auto"/>
                  </w:tcBorders>
                  <w:shd w:val="clear" w:color="auto" w:fill="auto"/>
                  <w:hideMark/>
                </w:tcPr>
                <w:p w14:paraId="6D8F1A09" w14:textId="77777777" w:rsidR="00BA5209" w:rsidRPr="006E25C7" w:rsidRDefault="00BA5209" w:rsidP="00BA5209">
                  <w:pPr>
                    <w:keepNext w:val="0"/>
                    <w:spacing w:before="0"/>
                    <w:rPr>
                      <w:rFonts w:cs="Arial"/>
                      <w:color w:val="auto"/>
                      <w:sz w:val="22"/>
                      <w:szCs w:val="22"/>
                    </w:rPr>
                  </w:pPr>
                  <w:r w:rsidRPr="006E25C7">
                    <w:rPr>
                      <w:rFonts w:cs="Arial"/>
                      <w:color w:val="auto"/>
                      <w:sz w:val="22"/>
                      <w:szCs w:val="22"/>
                    </w:rPr>
                    <w:t>Land adj. Bull &amp; Butcher PH, Selston</w:t>
                  </w:r>
                </w:p>
              </w:tc>
              <w:tc>
                <w:tcPr>
                  <w:tcW w:w="1460" w:type="dxa"/>
                  <w:tcBorders>
                    <w:top w:val="nil"/>
                    <w:left w:val="nil"/>
                    <w:bottom w:val="single" w:sz="4" w:space="0" w:color="auto"/>
                    <w:right w:val="single" w:sz="4" w:space="0" w:color="auto"/>
                  </w:tcBorders>
                  <w:shd w:val="clear" w:color="auto" w:fill="auto"/>
                  <w:noWrap/>
                  <w:hideMark/>
                </w:tcPr>
                <w:p w14:paraId="25E6ABB4" w14:textId="77777777" w:rsidR="00BA5209" w:rsidRPr="006E25C7" w:rsidRDefault="00BA5209" w:rsidP="00BA5209">
                  <w:pPr>
                    <w:keepNext w:val="0"/>
                    <w:spacing w:before="0"/>
                    <w:jc w:val="center"/>
                    <w:rPr>
                      <w:rFonts w:cs="Arial"/>
                      <w:color w:val="auto"/>
                      <w:sz w:val="22"/>
                      <w:szCs w:val="22"/>
                    </w:rPr>
                  </w:pPr>
                  <w:r w:rsidRPr="006E25C7">
                    <w:rPr>
                      <w:rFonts w:cs="Arial"/>
                      <w:color w:val="auto"/>
                      <w:sz w:val="22"/>
                      <w:szCs w:val="22"/>
                    </w:rPr>
                    <w:t>G</w:t>
                  </w:r>
                </w:p>
              </w:tc>
              <w:tc>
                <w:tcPr>
                  <w:tcW w:w="1600" w:type="dxa"/>
                  <w:tcBorders>
                    <w:top w:val="nil"/>
                    <w:left w:val="nil"/>
                    <w:bottom w:val="single" w:sz="4" w:space="0" w:color="auto"/>
                    <w:right w:val="single" w:sz="4" w:space="0" w:color="auto"/>
                  </w:tcBorders>
                  <w:shd w:val="clear" w:color="auto" w:fill="auto"/>
                  <w:noWrap/>
                  <w:hideMark/>
                </w:tcPr>
                <w:p w14:paraId="1D55E98A" w14:textId="77777777" w:rsidR="00BA5209" w:rsidRPr="006E25C7" w:rsidRDefault="00BA5209" w:rsidP="00BA5209">
                  <w:pPr>
                    <w:keepNext w:val="0"/>
                    <w:spacing w:before="0"/>
                    <w:jc w:val="center"/>
                    <w:rPr>
                      <w:rFonts w:cs="Arial"/>
                      <w:color w:val="auto"/>
                      <w:sz w:val="22"/>
                      <w:szCs w:val="22"/>
                    </w:rPr>
                  </w:pPr>
                  <w:r w:rsidRPr="006E25C7">
                    <w:rPr>
                      <w:rFonts w:cs="Arial"/>
                      <w:color w:val="auto"/>
                      <w:sz w:val="22"/>
                      <w:szCs w:val="22"/>
                    </w:rPr>
                    <w:t>No</w:t>
                  </w:r>
                </w:p>
              </w:tc>
              <w:tc>
                <w:tcPr>
                  <w:tcW w:w="1220" w:type="dxa"/>
                  <w:tcBorders>
                    <w:top w:val="nil"/>
                    <w:left w:val="nil"/>
                    <w:bottom w:val="single" w:sz="4" w:space="0" w:color="auto"/>
                    <w:right w:val="single" w:sz="4" w:space="0" w:color="auto"/>
                  </w:tcBorders>
                  <w:shd w:val="clear" w:color="auto" w:fill="auto"/>
                  <w:noWrap/>
                  <w:hideMark/>
                </w:tcPr>
                <w:p w14:paraId="03ED221C" w14:textId="77777777" w:rsidR="00BA5209" w:rsidRPr="006E25C7" w:rsidRDefault="00BA5209" w:rsidP="00BA5209">
                  <w:pPr>
                    <w:keepNext w:val="0"/>
                    <w:spacing w:before="0"/>
                    <w:jc w:val="right"/>
                    <w:rPr>
                      <w:rFonts w:cs="Arial"/>
                      <w:color w:val="auto"/>
                      <w:sz w:val="22"/>
                      <w:szCs w:val="22"/>
                    </w:rPr>
                  </w:pPr>
                  <w:r w:rsidRPr="006E25C7">
                    <w:rPr>
                      <w:rFonts w:cs="Arial"/>
                      <w:color w:val="auto"/>
                      <w:sz w:val="22"/>
                      <w:szCs w:val="22"/>
                    </w:rPr>
                    <w:t>149</w:t>
                  </w:r>
                </w:p>
              </w:tc>
            </w:tr>
            <w:tr w:rsidR="006E25C7" w:rsidRPr="006E25C7" w14:paraId="3A36D300" w14:textId="77777777" w:rsidTr="00BA5209">
              <w:trPr>
                <w:trHeight w:val="280"/>
                <w:jc w:val="center"/>
              </w:trPr>
              <w:tc>
                <w:tcPr>
                  <w:tcW w:w="760" w:type="dxa"/>
                  <w:tcBorders>
                    <w:top w:val="nil"/>
                    <w:left w:val="single" w:sz="4" w:space="0" w:color="auto"/>
                    <w:bottom w:val="single" w:sz="4" w:space="0" w:color="auto"/>
                    <w:right w:val="single" w:sz="4" w:space="0" w:color="auto"/>
                  </w:tcBorders>
                  <w:shd w:val="clear" w:color="auto" w:fill="auto"/>
                  <w:noWrap/>
                  <w:hideMark/>
                </w:tcPr>
                <w:p w14:paraId="7A25B73A" w14:textId="77777777" w:rsidR="00BA5209" w:rsidRPr="006E25C7" w:rsidRDefault="00BA5209" w:rsidP="00BA5209">
                  <w:pPr>
                    <w:keepNext w:val="0"/>
                    <w:spacing w:before="0"/>
                    <w:rPr>
                      <w:rFonts w:cs="Arial"/>
                      <w:color w:val="auto"/>
                      <w:sz w:val="22"/>
                      <w:szCs w:val="22"/>
                    </w:rPr>
                  </w:pPr>
                  <w:r w:rsidRPr="006E25C7">
                    <w:rPr>
                      <w:rFonts w:cs="Arial"/>
                      <w:color w:val="auto"/>
                      <w:sz w:val="22"/>
                      <w:szCs w:val="22"/>
                    </w:rPr>
                    <w:t>H1Vd</w:t>
                  </w:r>
                </w:p>
              </w:tc>
              <w:tc>
                <w:tcPr>
                  <w:tcW w:w="3660" w:type="dxa"/>
                  <w:tcBorders>
                    <w:top w:val="nil"/>
                    <w:left w:val="nil"/>
                    <w:bottom w:val="single" w:sz="4" w:space="0" w:color="auto"/>
                    <w:right w:val="single" w:sz="4" w:space="0" w:color="auto"/>
                  </w:tcBorders>
                  <w:shd w:val="clear" w:color="auto" w:fill="auto"/>
                  <w:hideMark/>
                </w:tcPr>
                <w:p w14:paraId="13F33711" w14:textId="77777777" w:rsidR="00BA5209" w:rsidRPr="006E25C7" w:rsidRDefault="00BA5209" w:rsidP="00BA5209">
                  <w:pPr>
                    <w:keepNext w:val="0"/>
                    <w:spacing w:before="0"/>
                    <w:rPr>
                      <w:rFonts w:cs="Arial"/>
                      <w:color w:val="auto"/>
                      <w:sz w:val="22"/>
                      <w:szCs w:val="22"/>
                    </w:rPr>
                  </w:pPr>
                  <w:r w:rsidRPr="006E25C7">
                    <w:rPr>
                      <w:rFonts w:cs="Arial"/>
                      <w:color w:val="auto"/>
                      <w:sz w:val="22"/>
                      <w:szCs w:val="22"/>
                    </w:rPr>
                    <w:t>Adj 149 Stoney Lane, Selston</w:t>
                  </w:r>
                </w:p>
              </w:tc>
              <w:tc>
                <w:tcPr>
                  <w:tcW w:w="1460" w:type="dxa"/>
                  <w:tcBorders>
                    <w:top w:val="nil"/>
                    <w:left w:val="nil"/>
                    <w:bottom w:val="single" w:sz="4" w:space="0" w:color="auto"/>
                    <w:right w:val="single" w:sz="4" w:space="0" w:color="auto"/>
                  </w:tcBorders>
                  <w:shd w:val="clear" w:color="auto" w:fill="auto"/>
                  <w:noWrap/>
                  <w:hideMark/>
                </w:tcPr>
                <w:p w14:paraId="7494388D" w14:textId="77777777" w:rsidR="00BA5209" w:rsidRPr="006E25C7" w:rsidRDefault="00BA5209" w:rsidP="00BA5209">
                  <w:pPr>
                    <w:keepNext w:val="0"/>
                    <w:spacing w:before="0"/>
                    <w:jc w:val="center"/>
                    <w:rPr>
                      <w:rFonts w:cs="Arial"/>
                      <w:color w:val="auto"/>
                      <w:sz w:val="22"/>
                      <w:szCs w:val="22"/>
                    </w:rPr>
                  </w:pPr>
                  <w:r w:rsidRPr="006E25C7">
                    <w:rPr>
                      <w:rFonts w:cs="Arial"/>
                      <w:color w:val="auto"/>
                      <w:sz w:val="22"/>
                      <w:szCs w:val="22"/>
                    </w:rPr>
                    <w:t>G/B</w:t>
                  </w:r>
                </w:p>
              </w:tc>
              <w:tc>
                <w:tcPr>
                  <w:tcW w:w="1600" w:type="dxa"/>
                  <w:tcBorders>
                    <w:top w:val="nil"/>
                    <w:left w:val="nil"/>
                    <w:bottom w:val="single" w:sz="4" w:space="0" w:color="auto"/>
                    <w:right w:val="single" w:sz="4" w:space="0" w:color="auto"/>
                  </w:tcBorders>
                  <w:shd w:val="clear" w:color="auto" w:fill="auto"/>
                  <w:noWrap/>
                  <w:hideMark/>
                </w:tcPr>
                <w:p w14:paraId="754A6DF5" w14:textId="77777777" w:rsidR="00BA5209" w:rsidRPr="006E25C7" w:rsidRDefault="00BA5209" w:rsidP="00BA5209">
                  <w:pPr>
                    <w:keepNext w:val="0"/>
                    <w:spacing w:before="0"/>
                    <w:jc w:val="center"/>
                    <w:rPr>
                      <w:rFonts w:cs="Arial"/>
                      <w:color w:val="auto"/>
                      <w:sz w:val="22"/>
                      <w:szCs w:val="22"/>
                    </w:rPr>
                  </w:pPr>
                  <w:r w:rsidRPr="006E25C7">
                    <w:rPr>
                      <w:rFonts w:cs="Arial"/>
                      <w:color w:val="auto"/>
                      <w:sz w:val="22"/>
                      <w:szCs w:val="22"/>
                    </w:rPr>
                    <w:t>No</w:t>
                  </w:r>
                </w:p>
              </w:tc>
              <w:tc>
                <w:tcPr>
                  <w:tcW w:w="1220" w:type="dxa"/>
                  <w:tcBorders>
                    <w:top w:val="nil"/>
                    <w:left w:val="nil"/>
                    <w:bottom w:val="single" w:sz="4" w:space="0" w:color="auto"/>
                    <w:right w:val="single" w:sz="4" w:space="0" w:color="auto"/>
                  </w:tcBorders>
                  <w:shd w:val="clear" w:color="auto" w:fill="auto"/>
                  <w:noWrap/>
                  <w:hideMark/>
                </w:tcPr>
                <w:p w14:paraId="43695035" w14:textId="77777777" w:rsidR="00BA5209" w:rsidRPr="006E25C7" w:rsidRDefault="00BA5209" w:rsidP="00BA5209">
                  <w:pPr>
                    <w:keepNext w:val="0"/>
                    <w:spacing w:before="0"/>
                    <w:jc w:val="right"/>
                    <w:rPr>
                      <w:rFonts w:cs="Arial"/>
                      <w:color w:val="auto"/>
                      <w:sz w:val="22"/>
                      <w:szCs w:val="22"/>
                    </w:rPr>
                  </w:pPr>
                  <w:r w:rsidRPr="006E25C7">
                    <w:rPr>
                      <w:rFonts w:cs="Arial"/>
                      <w:color w:val="auto"/>
                      <w:sz w:val="22"/>
                      <w:szCs w:val="22"/>
                    </w:rPr>
                    <w:t>6</w:t>
                  </w:r>
                </w:p>
              </w:tc>
            </w:tr>
            <w:tr w:rsidR="006E25C7" w:rsidRPr="006E25C7" w14:paraId="73E8DCE8" w14:textId="77777777" w:rsidTr="00BA5209">
              <w:trPr>
                <w:trHeight w:val="560"/>
                <w:jc w:val="center"/>
              </w:trPr>
              <w:tc>
                <w:tcPr>
                  <w:tcW w:w="760" w:type="dxa"/>
                  <w:tcBorders>
                    <w:top w:val="nil"/>
                    <w:left w:val="single" w:sz="4" w:space="0" w:color="auto"/>
                    <w:bottom w:val="single" w:sz="4" w:space="0" w:color="auto"/>
                    <w:right w:val="single" w:sz="4" w:space="0" w:color="auto"/>
                  </w:tcBorders>
                  <w:shd w:val="clear" w:color="auto" w:fill="auto"/>
                  <w:noWrap/>
                  <w:hideMark/>
                </w:tcPr>
                <w:p w14:paraId="6449875B" w14:textId="77777777" w:rsidR="00BA5209" w:rsidRPr="006E25C7" w:rsidRDefault="00BA5209" w:rsidP="00BA5209">
                  <w:pPr>
                    <w:keepNext w:val="0"/>
                    <w:spacing w:before="0"/>
                    <w:rPr>
                      <w:rFonts w:cs="Arial"/>
                      <w:color w:val="auto"/>
                      <w:sz w:val="22"/>
                      <w:szCs w:val="22"/>
                    </w:rPr>
                  </w:pPr>
                  <w:r w:rsidRPr="006E25C7">
                    <w:rPr>
                      <w:rFonts w:cs="Arial"/>
                      <w:color w:val="auto"/>
                      <w:sz w:val="22"/>
                      <w:szCs w:val="22"/>
                    </w:rPr>
                    <w:t>H1Ve</w:t>
                  </w:r>
                </w:p>
              </w:tc>
              <w:tc>
                <w:tcPr>
                  <w:tcW w:w="3660" w:type="dxa"/>
                  <w:tcBorders>
                    <w:top w:val="nil"/>
                    <w:left w:val="nil"/>
                    <w:bottom w:val="single" w:sz="4" w:space="0" w:color="auto"/>
                    <w:right w:val="single" w:sz="4" w:space="0" w:color="auto"/>
                  </w:tcBorders>
                  <w:shd w:val="clear" w:color="auto" w:fill="auto"/>
                  <w:hideMark/>
                </w:tcPr>
                <w:p w14:paraId="73DA9E86" w14:textId="77777777" w:rsidR="00BA5209" w:rsidRPr="006E25C7" w:rsidRDefault="00BA5209" w:rsidP="00BA5209">
                  <w:pPr>
                    <w:keepNext w:val="0"/>
                    <w:spacing w:before="0"/>
                    <w:rPr>
                      <w:rFonts w:cs="Arial"/>
                      <w:color w:val="auto"/>
                      <w:sz w:val="22"/>
                      <w:szCs w:val="22"/>
                    </w:rPr>
                  </w:pPr>
                  <w:r w:rsidRPr="006E25C7">
                    <w:rPr>
                      <w:rFonts w:cs="Arial"/>
                      <w:color w:val="auto"/>
                      <w:sz w:val="22"/>
                      <w:szCs w:val="22"/>
                    </w:rPr>
                    <w:t>Land off Park Lane/ South West M1, Selston</w:t>
                  </w:r>
                </w:p>
              </w:tc>
              <w:tc>
                <w:tcPr>
                  <w:tcW w:w="1460" w:type="dxa"/>
                  <w:tcBorders>
                    <w:top w:val="nil"/>
                    <w:left w:val="nil"/>
                    <w:bottom w:val="single" w:sz="4" w:space="0" w:color="auto"/>
                    <w:right w:val="single" w:sz="4" w:space="0" w:color="auto"/>
                  </w:tcBorders>
                  <w:shd w:val="clear" w:color="auto" w:fill="auto"/>
                  <w:noWrap/>
                  <w:hideMark/>
                </w:tcPr>
                <w:p w14:paraId="25006D2C" w14:textId="77777777" w:rsidR="00BA5209" w:rsidRPr="006E25C7" w:rsidRDefault="00BA5209" w:rsidP="00BA5209">
                  <w:pPr>
                    <w:keepNext w:val="0"/>
                    <w:spacing w:before="0"/>
                    <w:jc w:val="center"/>
                    <w:rPr>
                      <w:rFonts w:cs="Arial"/>
                      <w:color w:val="auto"/>
                      <w:sz w:val="22"/>
                      <w:szCs w:val="22"/>
                    </w:rPr>
                  </w:pPr>
                  <w:r w:rsidRPr="006E25C7">
                    <w:rPr>
                      <w:rFonts w:cs="Arial"/>
                      <w:color w:val="auto"/>
                      <w:sz w:val="22"/>
                      <w:szCs w:val="22"/>
                    </w:rPr>
                    <w:t>G</w:t>
                  </w:r>
                </w:p>
              </w:tc>
              <w:tc>
                <w:tcPr>
                  <w:tcW w:w="1600" w:type="dxa"/>
                  <w:tcBorders>
                    <w:top w:val="nil"/>
                    <w:left w:val="nil"/>
                    <w:bottom w:val="single" w:sz="4" w:space="0" w:color="auto"/>
                    <w:right w:val="single" w:sz="4" w:space="0" w:color="auto"/>
                  </w:tcBorders>
                  <w:shd w:val="clear" w:color="auto" w:fill="auto"/>
                  <w:noWrap/>
                  <w:hideMark/>
                </w:tcPr>
                <w:p w14:paraId="1C68F971" w14:textId="77777777" w:rsidR="00BA5209" w:rsidRPr="006E25C7" w:rsidRDefault="00BA5209" w:rsidP="00BA5209">
                  <w:pPr>
                    <w:keepNext w:val="0"/>
                    <w:spacing w:before="0"/>
                    <w:jc w:val="center"/>
                    <w:rPr>
                      <w:rFonts w:cs="Arial"/>
                      <w:color w:val="auto"/>
                      <w:sz w:val="22"/>
                      <w:szCs w:val="22"/>
                    </w:rPr>
                  </w:pPr>
                  <w:r w:rsidRPr="006E25C7">
                    <w:rPr>
                      <w:rFonts w:cs="Arial"/>
                      <w:color w:val="auto"/>
                      <w:sz w:val="22"/>
                      <w:szCs w:val="22"/>
                    </w:rPr>
                    <w:t>No</w:t>
                  </w:r>
                </w:p>
              </w:tc>
              <w:tc>
                <w:tcPr>
                  <w:tcW w:w="1220" w:type="dxa"/>
                  <w:tcBorders>
                    <w:top w:val="nil"/>
                    <w:left w:val="nil"/>
                    <w:bottom w:val="single" w:sz="4" w:space="0" w:color="auto"/>
                    <w:right w:val="single" w:sz="4" w:space="0" w:color="auto"/>
                  </w:tcBorders>
                  <w:shd w:val="clear" w:color="auto" w:fill="auto"/>
                  <w:noWrap/>
                  <w:hideMark/>
                </w:tcPr>
                <w:p w14:paraId="02363055" w14:textId="77777777" w:rsidR="00BA5209" w:rsidRPr="006E25C7" w:rsidRDefault="00BA5209" w:rsidP="00BA5209">
                  <w:pPr>
                    <w:keepNext w:val="0"/>
                    <w:spacing w:before="0"/>
                    <w:jc w:val="right"/>
                    <w:rPr>
                      <w:rFonts w:cs="Arial"/>
                      <w:color w:val="auto"/>
                      <w:sz w:val="22"/>
                      <w:szCs w:val="22"/>
                    </w:rPr>
                  </w:pPr>
                  <w:r w:rsidRPr="006E25C7">
                    <w:rPr>
                      <w:rFonts w:cs="Arial"/>
                      <w:color w:val="auto"/>
                      <w:sz w:val="22"/>
                      <w:szCs w:val="22"/>
                    </w:rPr>
                    <w:t>169</w:t>
                  </w:r>
                </w:p>
              </w:tc>
            </w:tr>
            <w:tr w:rsidR="006E25C7" w:rsidRPr="006E25C7" w14:paraId="22EA77AE" w14:textId="77777777" w:rsidTr="00B94708">
              <w:trPr>
                <w:trHeight w:val="560"/>
                <w:jc w:val="center"/>
              </w:trPr>
              <w:tc>
                <w:tcPr>
                  <w:tcW w:w="760" w:type="dxa"/>
                  <w:tcBorders>
                    <w:top w:val="nil"/>
                    <w:left w:val="single" w:sz="4" w:space="0" w:color="auto"/>
                    <w:bottom w:val="single" w:sz="4" w:space="0" w:color="auto"/>
                    <w:right w:val="single" w:sz="4" w:space="0" w:color="auto"/>
                  </w:tcBorders>
                  <w:shd w:val="clear" w:color="auto" w:fill="auto"/>
                  <w:noWrap/>
                  <w:hideMark/>
                </w:tcPr>
                <w:p w14:paraId="476F9AAF" w14:textId="77777777" w:rsidR="00BA5209" w:rsidRPr="006E25C7" w:rsidRDefault="00BA5209" w:rsidP="00BA5209">
                  <w:pPr>
                    <w:keepNext w:val="0"/>
                    <w:spacing w:before="0"/>
                    <w:rPr>
                      <w:rFonts w:cs="Arial"/>
                      <w:color w:val="auto"/>
                      <w:sz w:val="22"/>
                      <w:szCs w:val="22"/>
                    </w:rPr>
                  </w:pPr>
                  <w:r w:rsidRPr="006E25C7">
                    <w:rPr>
                      <w:rFonts w:cs="Arial"/>
                      <w:color w:val="auto"/>
                      <w:sz w:val="22"/>
                      <w:szCs w:val="22"/>
                    </w:rPr>
                    <w:t>H1Vg</w:t>
                  </w:r>
                </w:p>
              </w:tc>
              <w:tc>
                <w:tcPr>
                  <w:tcW w:w="3660" w:type="dxa"/>
                  <w:tcBorders>
                    <w:top w:val="nil"/>
                    <w:left w:val="nil"/>
                    <w:bottom w:val="single" w:sz="4" w:space="0" w:color="auto"/>
                    <w:right w:val="single" w:sz="4" w:space="0" w:color="auto"/>
                  </w:tcBorders>
                  <w:shd w:val="clear" w:color="auto" w:fill="auto"/>
                  <w:hideMark/>
                </w:tcPr>
                <w:p w14:paraId="1F8DF36F" w14:textId="77777777" w:rsidR="00BA5209" w:rsidRPr="006E25C7" w:rsidRDefault="00BA5209" w:rsidP="00BA5209">
                  <w:pPr>
                    <w:keepNext w:val="0"/>
                    <w:spacing w:before="0"/>
                    <w:rPr>
                      <w:rFonts w:cs="Arial"/>
                      <w:color w:val="auto"/>
                      <w:sz w:val="22"/>
                      <w:szCs w:val="22"/>
                    </w:rPr>
                  </w:pPr>
                  <w:r w:rsidRPr="006E25C7">
                    <w:rPr>
                      <w:rFonts w:cs="Arial"/>
                      <w:color w:val="auto"/>
                      <w:sz w:val="22"/>
                      <w:szCs w:val="22"/>
                    </w:rPr>
                    <w:t>Land North of Larch Close, Underwood</w:t>
                  </w:r>
                </w:p>
              </w:tc>
              <w:tc>
                <w:tcPr>
                  <w:tcW w:w="1460" w:type="dxa"/>
                  <w:tcBorders>
                    <w:top w:val="nil"/>
                    <w:left w:val="nil"/>
                    <w:bottom w:val="single" w:sz="4" w:space="0" w:color="auto"/>
                    <w:right w:val="single" w:sz="4" w:space="0" w:color="auto"/>
                  </w:tcBorders>
                  <w:shd w:val="clear" w:color="auto" w:fill="auto"/>
                  <w:noWrap/>
                  <w:hideMark/>
                </w:tcPr>
                <w:p w14:paraId="23C0A438" w14:textId="77777777" w:rsidR="00BA5209" w:rsidRPr="00B94708" w:rsidRDefault="00BA5209" w:rsidP="00BA5209">
                  <w:pPr>
                    <w:keepNext w:val="0"/>
                    <w:spacing w:before="0"/>
                    <w:jc w:val="center"/>
                    <w:rPr>
                      <w:rFonts w:cs="Arial"/>
                      <w:color w:val="auto"/>
                      <w:sz w:val="22"/>
                      <w:szCs w:val="22"/>
                    </w:rPr>
                  </w:pPr>
                  <w:r w:rsidRPr="00B94708">
                    <w:rPr>
                      <w:rFonts w:cs="Arial"/>
                      <w:color w:val="auto"/>
                      <w:sz w:val="22"/>
                      <w:szCs w:val="22"/>
                    </w:rPr>
                    <w:t>G/B</w:t>
                  </w:r>
                </w:p>
              </w:tc>
              <w:tc>
                <w:tcPr>
                  <w:tcW w:w="1600" w:type="dxa"/>
                  <w:tcBorders>
                    <w:top w:val="nil"/>
                    <w:left w:val="nil"/>
                    <w:bottom w:val="single" w:sz="4" w:space="0" w:color="auto"/>
                    <w:right w:val="single" w:sz="4" w:space="0" w:color="auto"/>
                  </w:tcBorders>
                  <w:shd w:val="clear" w:color="auto" w:fill="auto"/>
                  <w:noWrap/>
                  <w:hideMark/>
                </w:tcPr>
                <w:p w14:paraId="3068C958" w14:textId="77777777" w:rsidR="00BA5209" w:rsidRPr="00B94708" w:rsidRDefault="00BA5209" w:rsidP="00BA5209">
                  <w:pPr>
                    <w:keepNext w:val="0"/>
                    <w:spacing w:before="0"/>
                    <w:jc w:val="center"/>
                    <w:rPr>
                      <w:rFonts w:cs="Arial"/>
                      <w:color w:val="auto"/>
                      <w:sz w:val="22"/>
                      <w:szCs w:val="22"/>
                    </w:rPr>
                  </w:pPr>
                  <w:r w:rsidRPr="00B94708">
                    <w:rPr>
                      <w:rFonts w:cs="Arial"/>
                      <w:color w:val="auto"/>
                      <w:sz w:val="22"/>
                      <w:szCs w:val="22"/>
                    </w:rPr>
                    <w:t>No</w:t>
                  </w:r>
                </w:p>
              </w:tc>
              <w:tc>
                <w:tcPr>
                  <w:tcW w:w="1220" w:type="dxa"/>
                  <w:tcBorders>
                    <w:top w:val="nil"/>
                    <w:left w:val="nil"/>
                    <w:bottom w:val="single" w:sz="4" w:space="0" w:color="auto"/>
                    <w:right w:val="single" w:sz="4" w:space="0" w:color="auto"/>
                  </w:tcBorders>
                  <w:shd w:val="clear" w:color="auto" w:fill="auto"/>
                  <w:noWrap/>
                  <w:hideMark/>
                </w:tcPr>
                <w:p w14:paraId="3F00F602" w14:textId="77777777" w:rsidR="00BA5209" w:rsidRPr="00B94708" w:rsidRDefault="00BA5209" w:rsidP="00BA5209">
                  <w:pPr>
                    <w:keepNext w:val="0"/>
                    <w:spacing w:before="0"/>
                    <w:jc w:val="right"/>
                    <w:rPr>
                      <w:rFonts w:cs="Arial"/>
                      <w:color w:val="auto"/>
                      <w:sz w:val="22"/>
                      <w:szCs w:val="22"/>
                    </w:rPr>
                  </w:pPr>
                  <w:r w:rsidRPr="00B94708">
                    <w:rPr>
                      <w:rFonts w:cs="Arial"/>
                      <w:color w:val="auto"/>
                      <w:sz w:val="22"/>
                      <w:szCs w:val="22"/>
                    </w:rPr>
                    <w:t>52</w:t>
                  </w:r>
                </w:p>
              </w:tc>
            </w:tr>
            <w:tr w:rsidR="006E25C7" w:rsidRPr="006E25C7" w14:paraId="59D3AFFD" w14:textId="77777777" w:rsidTr="00BA5209">
              <w:trPr>
                <w:trHeight w:val="560"/>
                <w:jc w:val="center"/>
              </w:trPr>
              <w:tc>
                <w:tcPr>
                  <w:tcW w:w="760" w:type="dxa"/>
                  <w:tcBorders>
                    <w:top w:val="nil"/>
                    <w:left w:val="single" w:sz="4" w:space="0" w:color="auto"/>
                    <w:bottom w:val="single" w:sz="4" w:space="0" w:color="auto"/>
                    <w:right w:val="single" w:sz="4" w:space="0" w:color="auto"/>
                  </w:tcBorders>
                  <w:shd w:val="clear" w:color="auto" w:fill="auto"/>
                  <w:noWrap/>
                  <w:hideMark/>
                </w:tcPr>
                <w:p w14:paraId="17FE1698" w14:textId="77777777" w:rsidR="00BA5209" w:rsidRPr="006E25C7" w:rsidRDefault="00BA5209" w:rsidP="00BA5209">
                  <w:pPr>
                    <w:keepNext w:val="0"/>
                    <w:spacing w:before="0"/>
                    <w:rPr>
                      <w:rFonts w:cs="Arial"/>
                      <w:color w:val="auto"/>
                      <w:sz w:val="22"/>
                      <w:szCs w:val="22"/>
                    </w:rPr>
                  </w:pPr>
                  <w:r w:rsidRPr="006E25C7">
                    <w:rPr>
                      <w:rFonts w:cs="Arial"/>
                      <w:color w:val="auto"/>
                      <w:sz w:val="22"/>
                      <w:szCs w:val="22"/>
                    </w:rPr>
                    <w:t>H1Vh</w:t>
                  </w:r>
                </w:p>
              </w:tc>
              <w:tc>
                <w:tcPr>
                  <w:tcW w:w="3660" w:type="dxa"/>
                  <w:tcBorders>
                    <w:top w:val="nil"/>
                    <w:left w:val="nil"/>
                    <w:bottom w:val="single" w:sz="4" w:space="0" w:color="auto"/>
                    <w:right w:val="single" w:sz="4" w:space="0" w:color="auto"/>
                  </w:tcBorders>
                  <w:shd w:val="clear" w:color="auto" w:fill="auto"/>
                  <w:hideMark/>
                </w:tcPr>
                <w:p w14:paraId="09B58A88" w14:textId="77777777" w:rsidR="00BA5209" w:rsidRPr="006E25C7" w:rsidRDefault="00BA5209" w:rsidP="00BA5209">
                  <w:pPr>
                    <w:keepNext w:val="0"/>
                    <w:spacing w:before="0"/>
                    <w:rPr>
                      <w:rFonts w:cs="Arial"/>
                      <w:color w:val="auto"/>
                      <w:sz w:val="22"/>
                      <w:szCs w:val="22"/>
                    </w:rPr>
                  </w:pPr>
                  <w:r w:rsidRPr="006E25C7">
                    <w:rPr>
                      <w:rFonts w:cs="Arial"/>
                      <w:color w:val="auto"/>
                      <w:sz w:val="22"/>
                      <w:szCs w:val="22"/>
                    </w:rPr>
                    <w:t>Rear of 64-82 Church Lane, Underwood</w:t>
                  </w:r>
                </w:p>
              </w:tc>
              <w:tc>
                <w:tcPr>
                  <w:tcW w:w="1460" w:type="dxa"/>
                  <w:tcBorders>
                    <w:top w:val="nil"/>
                    <w:left w:val="nil"/>
                    <w:bottom w:val="single" w:sz="4" w:space="0" w:color="auto"/>
                    <w:right w:val="single" w:sz="4" w:space="0" w:color="auto"/>
                  </w:tcBorders>
                  <w:shd w:val="clear" w:color="auto" w:fill="auto"/>
                  <w:noWrap/>
                  <w:hideMark/>
                </w:tcPr>
                <w:p w14:paraId="1490378F" w14:textId="77777777" w:rsidR="00BA5209" w:rsidRPr="006E25C7" w:rsidRDefault="00BA5209" w:rsidP="00BA5209">
                  <w:pPr>
                    <w:keepNext w:val="0"/>
                    <w:spacing w:before="0"/>
                    <w:jc w:val="center"/>
                    <w:rPr>
                      <w:rFonts w:cs="Arial"/>
                      <w:color w:val="auto"/>
                      <w:sz w:val="22"/>
                      <w:szCs w:val="22"/>
                    </w:rPr>
                  </w:pPr>
                  <w:r w:rsidRPr="006E25C7">
                    <w:rPr>
                      <w:rFonts w:cs="Arial"/>
                      <w:color w:val="auto"/>
                      <w:sz w:val="22"/>
                      <w:szCs w:val="22"/>
                    </w:rPr>
                    <w:t>G</w:t>
                  </w:r>
                </w:p>
              </w:tc>
              <w:tc>
                <w:tcPr>
                  <w:tcW w:w="1600" w:type="dxa"/>
                  <w:tcBorders>
                    <w:top w:val="nil"/>
                    <w:left w:val="nil"/>
                    <w:bottom w:val="single" w:sz="4" w:space="0" w:color="auto"/>
                    <w:right w:val="single" w:sz="4" w:space="0" w:color="auto"/>
                  </w:tcBorders>
                  <w:shd w:val="clear" w:color="auto" w:fill="auto"/>
                  <w:noWrap/>
                  <w:hideMark/>
                </w:tcPr>
                <w:p w14:paraId="7BB02C9B" w14:textId="77777777" w:rsidR="00BA5209" w:rsidRPr="006E25C7" w:rsidRDefault="00BA5209" w:rsidP="00BA5209">
                  <w:pPr>
                    <w:keepNext w:val="0"/>
                    <w:spacing w:before="0"/>
                    <w:jc w:val="center"/>
                    <w:rPr>
                      <w:rFonts w:cs="Arial"/>
                      <w:color w:val="auto"/>
                      <w:sz w:val="22"/>
                      <w:szCs w:val="22"/>
                    </w:rPr>
                  </w:pPr>
                  <w:r w:rsidRPr="006E25C7">
                    <w:rPr>
                      <w:rFonts w:cs="Arial"/>
                      <w:color w:val="auto"/>
                      <w:sz w:val="22"/>
                      <w:szCs w:val="22"/>
                    </w:rPr>
                    <w:t>No</w:t>
                  </w:r>
                </w:p>
              </w:tc>
              <w:tc>
                <w:tcPr>
                  <w:tcW w:w="1220" w:type="dxa"/>
                  <w:tcBorders>
                    <w:top w:val="nil"/>
                    <w:left w:val="nil"/>
                    <w:bottom w:val="single" w:sz="4" w:space="0" w:color="auto"/>
                    <w:right w:val="single" w:sz="4" w:space="0" w:color="auto"/>
                  </w:tcBorders>
                  <w:shd w:val="clear" w:color="auto" w:fill="auto"/>
                  <w:noWrap/>
                  <w:hideMark/>
                </w:tcPr>
                <w:p w14:paraId="30AC3756" w14:textId="77777777" w:rsidR="00BA5209" w:rsidRPr="006E25C7" w:rsidRDefault="00BA5209" w:rsidP="00BA5209">
                  <w:pPr>
                    <w:keepNext w:val="0"/>
                    <w:spacing w:before="0"/>
                    <w:jc w:val="right"/>
                    <w:rPr>
                      <w:rFonts w:cs="Arial"/>
                      <w:color w:val="auto"/>
                      <w:sz w:val="22"/>
                      <w:szCs w:val="22"/>
                    </w:rPr>
                  </w:pPr>
                  <w:r w:rsidRPr="006E25C7">
                    <w:rPr>
                      <w:rFonts w:cs="Arial"/>
                      <w:color w:val="auto"/>
                      <w:sz w:val="22"/>
                      <w:szCs w:val="22"/>
                    </w:rPr>
                    <w:t>10</w:t>
                  </w:r>
                </w:p>
              </w:tc>
            </w:tr>
            <w:tr w:rsidR="006E25C7" w:rsidRPr="006E25C7" w14:paraId="6939019D" w14:textId="77777777" w:rsidTr="00BA5209">
              <w:trPr>
                <w:trHeight w:val="280"/>
                <w:jc w:val="center"/>
              </w:trPr>
              <w:tc>
                <w:tcPr>
                  <w:tcW w:w="760" w:type="dxa"/>
                  <w:tcBorders>
                    <w:top w:val="nil"/>
                    <w:left w:val="single" w:sz="4" w:space="0" w:color="auto"/>
                    <w:bottom w:val="single" w:sz="4" w:space="0" w:color="auto"/>
                    <w:right w:val="single" w:sz="4" w:space="0" w:color="auto"/>
                  </w:tcBorders>
                  <w:shd w:val="clear" w:color="auto" w:fill="auto"/>
                  <w:noWrap/>
                  <w:hideMark/>
                </w:tcPr>
                <w:p w14:paraId="29135D45" w14:textId="77777777" w:rsidR="00BA5209" w:rsidRPr="006E25C7" w:rsidRDefault="00BA5209" w:rsidP="00BA5209">
                  <w:pPr>
                    <w:keepNext w:val="0"/>
                    <w:spacing w:before="0"/>
                    <w:rPr>
                      <w:rFonts w:cs="Arial"/>
                      <w:color w:val="auto"/>
                      <w:sz w:val="22"/>
                      <w:szCs w:val="22"/>
                    </w:rPr>
                  </w:pPr>
                  <w:r w:rsidRPr="006E25C7">
                    <w:rPr>
                      <w:rFonts w:cs="Arial"/>
                      <w:color w:val="auto"/>
                      <w:sz w:val="22"/>
                      <w:szCs w:val="22"/>
                    </w:rPr>
                    <w:t>H1Vi</w:t>
                  </w:r>
                </w:p>
              </w:tc>
              <w:tc>
                <w:tcPr>
                  <w:tcW w:w="3660" w:type="dxa"/>
                  <w:tcBorders>
                    <w:top w:val="nil"/>
                    <w:left w:val="nil"/>
                    <w:bottom w:val="single" w:sz="4" w:space="0" w:color="auto"/>
                    <w:right w:val="single" w:sz="4" w:space="0" w:color="auto"/>
                  </w:tcBorders>
                  <w:shd w:val="clear" w:color="auto" w:fill="auto"/>
                  <w:hideMark/>
                </w:tcPr>
                <w:p w14:paraId="66EDEA2B" w14:textId="0E16BCE4" w:rsidR="00BA5209" w:rsidRPr="006E25C7" w:rsidRDefault="00BA5209" w:rsidP="00BA5209">
                  <w:pPr>
                    <w:keepNext w:val="0"/>
                    <w:spacing w:before="0"/>
                    <w:rPr>
                      <w:rFonts w:cs="Arial"/>
                      <w:color w:val="auto"/>
                      <w:sz w:val="22"/>
                      <w:szCs w:val="22"/>
                    </w:rPr>
                  </w:pPr>
                  <w:r w:rsidRPr="006E25C7">
                    <w:rPr>
                      <w:rFonts w:cs="Arial"/>
                      <w:color w:val="auto"/>
                      <w:sz w:val="22"/>
                      <w:szCs w:val="22"/>
                    </w:rPr>
                    <w:t>Westdale Road</w:t>
                  </w:r>
                  <w:r w:rsidR="00D61EA6" w:rsidRPr="006E25C7">
                    <w:rPr>
                      <w:rFonts w:cs="Arial"/>
                      <w:color w:val="auto"/>
                      <w:sz w:val="22"/>
                      <w:szCs w:val="22"/>
                    </w:rPr>
                    <w:t>/Rutland Road</w:t>
                  </w:r>
                  <w:r w:rsidRPr="006E25C7">
                    <w:rPr>
                      <w:rFonts w:cs="Arial"/>
                      <w:color w:val="auto"/>
                      <w:sz w:val="22"/>
                      <w:szCs w:val="22"/>
                    </w:rPr>
                    <w:t>, Jacksdale</w:t>
                  </w:r>
                </w:p>
              </w:tc>
              <w:tc>
                <w:tcPr>
                  <w:tcW w:w="1460" w:type="dxa"/>
                  <w:tcBorders>
                    <w:top w:val="nil"/>
                    <w:left w:val="nil"/>
                    <w:bottom w:val="single" w:sz="4" w:space="0" w:color="auto"/>
                    <w:right w:val="single" w:sz="4" w:space="0" w:color="auto"/>
                  </w:tcBorders>
                  <w:shd w:val="clear" w:color="auto" w:fill="auto"/>
                  <w:noWrap/>
                  <w:hideMark/>
                </w:tcPr>
                <w:p w14:paraId="503D661C" w14:textId="77777777" w:rsidR="00BA5209" w:rsidRPr="006E25C7" w:rsidRDefault="00BA5209" w:rsidP="00BA5209">
                  <w:pPr>
                    <w:keepNext w:val="0"/>
                    <w:spacing w:before="0"/>
                    <w:jc w:val="center"/>
                    <w:rPr>
                      <w:rFonts w:cs="Arial"/>
                      <w:color w:val="auto"/>
                      <w:sz w:val="22"/>
                      <w:szCs w:val="22"/>
                    </w:rPr>
                  </w:pPr>
                  <w:r w:rsidRPr="006E25C7">
                    <w:rPr>
                      <w:rFonts w:cs="Arial"/>
                      <w:color w:val="auto"/>
                      <w:sz w:val="22"/>
                      <w:szCs w:val="22"/>
                    </w:rPr>
                    <w:t>G</w:t>
                  </w:r>
                </w:p>
              </w:tc>
              <w:tc>
                <w:tcPr>
                  <w:tcW w:w="1600" w:type="dxa"/>
                  <w:tcBorders>
                    <w:top w:val="nil"/>
                    <w:left w:val="nil"/>
                    <w:bottom w:val="single" w:sz="4" w:space="0" w:color="auto"/>
                    <w:right w:val="single" w:sz="4" w:space="0" w:color="auto"/>
                  </w:tcBorders>
                  <w:shd w:val="clear" w:color="auto" w:fill="auto"/>
                  <w:noWrap/>
                  <w:hideMark/>
                </w:tcPr>
                <w:p w14:paraId="5E832EFD" w14:textId="77777777" w:rsidR="00BA5209" w:rsidRPr="006E25C7" w:rsidRDefault="00BA5209" w:rsidP="00BA5209">
                  <w:pPr>
                    <w:keepNext w:val="0"/>
                    <w:spacing w:before="0"/>
                    <w:jc w:val="center"/>
                    <w:rPr>
                      <w:rFonts w:cs="Arial"/>
                      <w:color w:val="auto"/>
                      <w:sz w:val="22"/>
                      <w:szCs w:val="22"/>
                    </w:rPr>
                  </w:pPr>
                  <w:r w:rsidRPr="006E25C7">
                    <w:rPr>
                      <w:rFonts w:cs="Arial"/>
                      <w:color w:val="auto"/>
                      <w:sz w:val="22"/>
                      <w:szCs w:val="22"/>
                    </w:rPr>
                    <w:t>No</w:t>
                  </w:r>
                </w:p>
              </w:tc>
              <w:tc>
                <w:tcPr>
                  <w:tcW w:w="1220" w:type="dxa"/>
                  <w:tcBorders>
                    <w:top w:val="nil"/>
                    <w:left w:val="nil"/>
                    <w:bottom w:val="single" w:sz="4" w:space="0" w:color="auto"/>
                    <w:right w:val="single" w:sz="4" w:space="0" w:color="auto"/>
                  </w:tcBorders>
                  <w:shd w:val="clear" w:color="auto" w:fill="auto"/>
                  <w:noWrap/>
                  <w:hideMark/>
                </w:tcPr>
                <w:p w14:paraId="69AE928C" w14:textId="77777777" w:rsidR="00BA5209" w:rsidRPr="006E25C7" w:rsidRDefault="00BA5209" w:rsidP="00BA5209">
                  <w:pPr>
                    <w:keepNext w:val="0"/>
                    <w:spacing w:before="0"/>
                    <w:jc w:val="right"/>
                    <w:rPr>
                      <w:rFonts w:cs="Arial"/>
                      <w:color w:val="auto"/>
                      <w:sz w:val="22"/>
                      <w:szCs w:val="22"/>
                    </w:rPr>
                  </w:pPr>
                  <w:r w:rsidRPr="006E25C7">
                    <w:rPr>
                      <w:rFonts w:cs="Arial"/>
                      <w:color w:val="auto"/>
                      <w:sz w:val="22"/>
                      <w:szCs w:val="22"/>
                    </w:rPr>
                    <w:t>22</w:t>
                  </w:r>
                </w:p>
              </w:tc>
            </w:tr>
            <w:tr w:rsidR="0018227C" w:rsidRPr="006E25C7" w14:paraId="383F6D78" w14:textId="77777777" w:rsidTr="00BA5209">
              <w:trPr>
                <w:trHeight w:val="280"/>
                <w:jc w:val="center"/>
              </w:trPr>
              <w:tc>
                <w:tcPr>
                  <w:tcW w:w="760" w:type="dxa"/>
                  <w:tcBorders>
                    <w:top w:val="nil"/>
                    <w:left w:val="single" w:sz="4" w:space="0" w:color="auto"/>
                    <w:bottom w:val="single" w:sz="4" w:space="0" w:color="auto"/>
                    <w:right w:val="single" w:sz="4" w:space="0" w:color="auto"/>
                  </w:tcBorders>
                  <w:shd w:val="clear" w:color="auto" w:fill="auto"/>
                  <w:noWrap/>
                </w:tcPr>
                <w:p w14:paraId="509305B0" w14:textId="718D30D1" w:rsidR="0018227C" w:rsidRPr="006E25C7" w:rsidRDefault="0018227C" w:rsidP="00BA5209">
                  <w:pPr>
                    <w:keepNext w:val="0"/>
                    <w:spacing w:before="0"/>
                    <w:rPr>
                      <w:rFonts w:cs="Arial"/>
                      <w:color w:val="auto"/>
                      <w:sz w:val="22"/>
                      <w:szCs w:val="22"/>
                    </w:rPr>
                  </w:pPr>
                  <w:r>
                    <w:rPr>
                      <w:rFonts w:cs="Arial"/>
                      <w:color w:val="auto"/>
                      <w:sz w:val="22"/>
                      <w:szCs w:val="22"/>
                    </w:rPr>
                    <w:t>H1Vj</w:t>
                  </w:r>
                </w:p>
              </w:tc>
              <w:tc>
                <w:tcPr>
                  <w:tcW w:w="3660" w:type="dxa"/>
                  <w:tcBorders>
                    <w:top w:val="nil"/>
                    <w:left w:val="nil"/>
                    <w:bottom w:val="single" w:sz="4" w:space="0" w:color="auto"/>
                    <w:right w:val="single" w:sz="4" w:space="0" w:color="auto"/>
                  </w:tcBorders>
                  <w:shd w:val="clear" w:color="auto" w:fill="auto"/>
                </w:tcPr>
                <w:p w14:paraId="334E1053" w14:textId="5C109933" w:rsidR="0018227C" w:rsidRPr="006E25C7" w:rsidRDefault="0018227C" w:rsidP="00BA5209">
                  <w:pPr>
                    <w:keepNext w:val="0"/>
                    <w:spacing w:before="0"/>
                    <w:rPr>
                      <w:rFonts w:cs="Arial"/>
                      <w:color w:val="auto"/>
                      <w:sz w:val="22"/>
                      <w:szCs w:val="22"/>
                    </w:rPr>
                  </w:pPr>
                  <w:r>
                    <w:rPr>
                      <w:rFonts w:cs="Arial"/>
                      <w:color w:val="auto"/>
                      <w:sz w:val="22"/>
                      <w:szCs w:val="22"/>
                    </w:rPr>
                    <w:t>Land off Main Road, Jacksdale</w:t>
                  </w:r>
                </w:p>
              </w:tc>
              <w:tc>
                <w:tcPr>
                  <w:tcW w:w="1460" w:type="dxa"/>
                  <w:tcBorders>
                    <w:top w:val="nil"/>
                    <w:left w:val="nil"/>
                    <w:bottom w:val="single" w:sz="4" w:space="0" w:color="auto"/>
                    <w:right w:val="single" w:sz="4" w:space="0" w:color="auto"/>
                  </w:tcBorders>
                  <w:shd w:val="clear" w:color="auto" w:fill="auto"/>
                  <w:noWrap/>
                </w:tcPr>
                <w:p w14:paraId="54D4FC65" w14:textId="03D21791" w:rsidR="0018227C" w:rsidRPr="006E25C7" w:rsidRDefault="0018227C" w:rsidP="00BA5209">
                  <w:pPr>
                    <w:keepNext w:val="0"/>
                    <w:spacing w:before="0"/>
                    <w:jc w:val="center"/>
                    <w:rPr>
                      <w:rFonts w:cs="Arial"/>
                      <w:color w:val="auto"/>
                      <w:sz w:val="22"/>
                      <w:szCs w:val="22"/>
                    </w:rPr>
                  </w:pPr>
                  <w:r>
                    <w:rPr>
                      <w:rFonts w:cs="Arial"/>
                      <w:color w:val="auto"/>
                      <w:sz w:val="22"/>
                      <w:szCs w:val="22"/>
                    </w:rPr>
                    <w:t>G</w:t>
                  </w:r>
                </w:p>
              </w:tc>
              <w:tc>
                <w:tcPr>
                  <w:tcW w:w="1600" w:type="dxa"/>
                  <w:tcBorders>
                    <w:top w:val="nil"/>
                    <w:left w:val="nil"/>
                    <w:bottom w:val="single" w:sz="4" w:space="0" w:color="auto"/>
                    <w:right w:val="single" w:sz="4" w:space="0" w:color="auto"/>
                  </w:tcBorders>
                  <w:shd w:val="clear" w:color="auto" w:fill="auto"/>
                  <w:noWrap/>
                </w:tcPr>
                <w:p w14:paraId="09E38A08" w14:textId="569B518E" w:rsidR="0018227C" w:rsidRPr="006E25C7" w:rsidRDefault="0018227C" w:rsidP="00BA5209">
                  <w:pPr>
                    <w:keepNext w:val="0"/>
                    <w:spacing w:before="0"/>
                    <w:jc w:val="center"/>
                    <w:rPr>
                      <w:rFonts w:cs="Arial"/>
                      <w:color w:val="auto"/>
                      <w:sz w:val="22"/>
                      <w:szCs w:val="22"/>
                    </w:rPr>
                  </w:pPr>
                  <w:r>
                    <w:rPr>
                      <w:rFonts w:cs="Arial"/>
                      <w:color w:val="auto"/>
                      <w:sz w:val="22"/>
                      <w:szCs w:val="22"/>
                    </w:rPr>
                    <w:t>No</w:t>
                  </w:r>
                </w:p>
              </w:tc>
              <w:tc>
                <w:tcPr>
                  <w:tcW w:w="1220" w:type="dxa"/>
                  <w:tcBorders>
                    <w:top w:val="nil"/>
                    <w:left w:val="nil"/>
                    <w:bottom w:val="single" w:sz="4" w:space="0" w:color="auto"/>
                    <w:right w:val="single" w:sz="4" w:space="0" w:color="auto"/>
                  </w:tcBorders>
                  <w:shd w:val="clear" w:color="auto" w:fill="auto"/>
                  <w:noWrap/>
                </w:tcPr>
                <w:p w14:paraId="7933187D" w14:textId="22900D1B" w:rsidR="0018227C" w:rsidRPr="0018227C" w:rsidRDefault="0018227C" w:rsidP="00BA5209">
                  <w:pPr>
                    <w:keepNext w:val="0"/>
                    <w:spacing w:before="0"/>
                    <w:jc w:val="right"/>
                    <w:rPr>
                      <w:rFonts w:cs="Arial"/>
                      <w:color w:val="auto"/>
                      <w:sz w:val="22"/>
                      <w:szCs w:val="22"/>
                    </w:rPr>
                  </w:pPr>
                  <w:r w:rsidRPr="0018227C">
                    <w:rPr>
                      <w:rFonts w:cs="Arial"/>
                      <w:color w:val="auto"/>
                      <w:sz w:val="22"/>
                      <w:szCs w:val="22"/>
                    </w:rPr>
                    <w:t>81</w:t>
                  </w:r>
                </w:p>
              </w:tc>
            </w:tr>
            <w:tr w:rsidR="006E25C7" w:rsidRPr="006E25C7" w14:paraId="0A16FFB5" w14:textId="77777777" w:rsidTr="00BA5209">
              <w:trPr>
                <w:trHeight w:val="280"/>
                <w:jc w:val="center"/>
              </w:trPr>
              <w:tc>
                <w:tcPr>
                  <w:tcW w:w="760" w:type="dxa"/>
                  <w:tcBorders>
                    <w:top w:val="nil"/>
                    <w:left w:val="single" w:sz="4" w:space="0" w:color="auto"/>
                    <w:bottom w:val="single" w:sz="4" w:space="0" w:color="auto"/>
                    <w:right w:val="single" w:sz="4" w:space="0" w:color="auto"/>
                  </w:tcBorders>
                  <w:shd w:val="clear" w:color="auto" w:fill="auto"/>
                  <w:noWrap/>
                  <w:hideMark/>
                </w:tcPr>
                <w:p w14:paraId="4AFFCE6F" w14:textId="77777777" w:rsidR="00BA5209" w:rsidRPr="006E25C7" w:rsidRDefault="00BA5209" w:rsidP="00BA5209">
                  <w:pPr>
                    <w:keepNext w:val="0"/>
                    <w:spacing w:before="0"/>
                    <w:rPr>
                      <w:rFonts w:cs="Arial"/>
                      <w:color w:val="auto"/>
                      <w:sz w:val="22"/>
                      <w:szCs w:val="22"/>
                    </w:rPr>
                  </w:pPr>
                  <w:r w:rsidRPr="006E25C7">
                    <w:rPr>
                      <w:rFonts w:cs="Arial"/>
                      <w:color w:val="auto"/>
                      <w:sz w:val="22"/>
                      <w:szCs w:val="22"/>
                    </w:rPr>
                    <w:t> </w:t>
                  </w:r>
                </w:p>
              </w:tc>
              <w:tc>
                <w:tcPr>
                  <w:tcW w:w="3660" w:type="dxa"/>
                  <w:tcBorders>
                    <w:top w:val="nil"/>
                    <w:left w:val="nil"/>
                    <w:bottom w:val="single" w:sz="4" w:space="0" w:color="auto"/>
                    <w:right w:val="single" w:sz="4" w:space="0" w:color="auto"/>
                  </w:tcBorders>
                  <w:shd w:val="clear" w:color="auto" w:fill="auto"/>
                  <w:hideMark/>
                </w:tcPr>
                <w:p w14:paraId="529F4F77" w14:textId="77777777" w:rsidR="00BA5209" w:rsidRPr="006E25C7" w:rsidRDefault="00BA5209" w:rsidP="00BA5209">
                  <w:pPr>
                    <w:keepNext w:val="0"/>
                    <w:spacing w:before="0"/>
                    <w:rPr>
                      <w:rFonts w:cs="Arial"/>
                      <w:color w:val="auto"/>
                      <w:sz w:val="22"/>
                      <w:szCs w:val="22"/>
                    </w:rPr>
                  </w:pPr>
                  <w:r w:rsidRPr="006E25C7">
                    <w:rPr>
                      <w:rFonts w:cs="Arial"/>
                      <w:color w:val="auto"/>
                      <w:sz w:val="22"/>
                      <w:szCs w:val="22"/>
                    </w:rPr>
                    <w:t> </w:t>
                  </w:r>
                </w:p>
              </w:tc>
              <w:tc>
                <w:tcPr>
                  <w:tcW w:w="1460" w:type="dxa"/>
                  <w:tcBorders>
                    <w:top w:val="nil"/>
                    <w:left w:val="nil"/>
                    <w:bottom w:val="single" w:sz="4" w:space="0" w:color="auto"/>
                    <w:right w:val="single" w:sz="4" w:space="0" w:color="auto"/>
                  </w:tcBorders>
                  <w:shd w:val="clear" w:color="auto" w:fill="auto"/>
                  <w:noWrap/>
                  <w:hideMark/>
                </w:tcPr>
                <w:p w14:paraId="44B86B96" w14:textId="77777777" w:rsidR="00BA5209" w:rsidRPr="006E25C7" w:rsidRDefault="00BA5209" w:rsidP="00BA5209">
                  <w:pPr>
                    <w:keepNext w:val="0"/>
                    <w:spacing w:before="0"/>
                    <w:jc w:val="center"/>
                    <w:rPr>
                      <w:rFonts w:cs="Arial"/>
                      <w:color w:val="auto"/>
                      <w:sz w:val="22"/>
                      <w:szCs w:val="22"/>
                    </w:rPr>
                  </w:pPr>
                  <w:r w:rsidRPr="006E25C7">
                    <w:rPr>
                      <w:rFonts w:cs="Arial"/>
                      <w:color w:val="auto"/>
                      <w:sz w:val="22"/>
                      <w:szCs w:val="22"/>
                    </w:rPr>
                    <w:t> </w:t>
                  </w:r>
                </w:p>
              </w:tc>
              <w:tc>
                <w:tcPr>
                  <w:tcW w:w="1600" w:type="dxa"/>
                  <w:tcBorders>
                    <w:top w:val="nil"/>
                    <w:left w:val="nil"/>
                    <w:bottom w:val="single" w:sz="4" w:space="0" w:color="auto"/>
                    <w:right w:val="single" w:sz="4" w:space="0" w:color="auto"/>
                  </w:tcBorders>
                  <w:shd w:val="clear" w:color="auto" w:fill="auto"/>
                  <w:noWrap/>
                  <w:hideMark/>
                </w:tcPr>
                <w:p w14:paraId="72042DC9" w14:textId="77777777" w:rsidR="00BA5209" w:rsidRPr="006E25C7" w:rsidRDefault="00BA5209" w:rsidP="00BA5209">
                  <w:pPr>
                    <w:keepNext w:val="0"/>
                    <w:spacing w:before="0"/>
                    <w:jc w:val="center"/>
                    <w:rPr>
                      <w:rFonts w:cs="Arial"/>
                      <w:color w:val="auto"/>
                      <w:sz w:val="22"/>
                      <w:szCs w:val="22"/>
                    </w:rPr>
                  </w:pPr>
                  <w:r w:rsidRPr="006E25C7">
                    <w:rPr>
                      <w:rFonts w:cs="Arial"/>
                      <w:color w:val="auto"/>
                      <w:sz w:val="22"/>
                      <w:szCs w:val="22"/>
                    </w:rPr>
                    <w:t> </w:t>
                  </w:r>
                </w:p>
              </w:tc>
              <w:tc>
                <w:tcPr>
                  <w:tcW w:w="1220" w:type="dxa"/>
                  <w:tcBorders>
                    <w:top w:val="nil"/>
                    <w:left w:val="nil"/>
                    <w:bottom w:val="single" w:sz="4" w:space="0" w:color="auto"/>
                    <w:right w:val="single" w:sz="4" w:space="0" w:color="auto"/>
                  </w:tcBorders>
                  <w:shd w:val="clear" w:color="auto" w:fill="auto"/>
                  <w:noWrap/>
                  <w:hideMark/>
                </w:tcPr>
                <w:p w14:paraId="255D5F1F" w14:textId="47B86A87" w:rsidR="00BA5209" w:rsidRPr="006E25C7" w:rsidRDefault="0018227C" w:rsidP="00BA5209">
                  <w:pPr>
                    <w:keepNext w:val="0"/>
                    <w:spacing w:before="0"/>
                    <w:jc w:val="right"/>
                    <w:rPr>
                      <w:rFonts w:cs="Arial"/>
                      <w:b/>
                      <w:bCs/>
                      <w:color w:val="auto"/>
                      <w:sz w:val="22"/>
                      <w:szCs w:val="22"/>
                    </w:rPr>
                  </w:pPr>
                  <w:r>
                    <w:rPr>
                      <w:rFonts w:cs="Arial"/>
                      <w:b/>
                      <w:bCs/>
                      <w:color w:val="auto"/>
                      <w:sz w:val="22"/>
                      <w:szCs w:val="22"/>
                    </w:rPr>
                    <w:t>580</w:t>
                  </w:r>
                </w:p>
              </w:tc>
            </w:tr>
          </w:tbl>
          <w:p w14:paraId="0DA0E0D0" w14:textId="77777777" w:rsidR="00BA5209" w:rsidRPr="006E25C7" w:rsidRDefault="00BA5209" w:rsidP="008B5F49">
            <w:pPr>
              <w:pStyle w:val="Policy"/>
              <w:spacing w:after="0" w:line="240" w:lineRule="auto"/>
              <w:ind w:left="0" w:right="284"/>
              <w:rPr>
                <w:rStyle w:val="Heading10"/>
                <w:rFonts w:cs="Arial"/>
                <w:color w:val="auto"/>
              </w:rPr>
            </w:pPr>
          </w:p>
          <w:p w14:paraId="19ADCB16" w14:textId="243C6F60" w:rsidR="00211171" w:rsidRPr="006E25C7" w:rsidRDefault="00211171" w:rsidP="00BA6CF7">
            <w:pPr>
              <w:pStyle w:val="Policy"/>
              <w:spacing w:after="0" w:line="240" w:lineRule="auto"/>
              <w:ind w:left="596" w:right="284" w:hanging="171"/>
              <w:rPr>
                <w:rStyle w:val="Heading10"/>
                <w:rFonts w:cs="Arial"/>
                <w:b w:val="0"/>
                <w:bCs/>
                <w:color w:val="auto"/>
              </w:rPr>
            </w:pPr>
            <w:r w:rsidRPr="006E25C7">
              <w:rPr>
                <w:rStyle w:val="Heading10"/>
                <w:rFonts w:cs="Arial"/>
                <w:b w:val="0"/>
                <w:color w:val="auto"/>
              </w:rPr>
              <w:t>*</w:t>
            </w:r>
            <w:r w:rsidRPr="006E25C7">
              <w:rPr>
                <w:rStyle w:val="Heading10"/>
                <w:rFonts w:cs="Arial"/>
                <w:color w:val="auto"/>
              </w:rPr>
              <w:t xml:space="preserve"> </w:t>
            </w:r>
            <w:r w:rsidRPr="006E25C7">
              <w:rPr>
                <w:rStyle w:val="Heading10"/>
                <w:rFonts w:cs="Arial"/>
                <w:b w:val="0"/>
                <w:bCs/>
                <w:color w:val="auto"/>
              </w:rPr>
              <w:t>Sites with planning permission at 31</w:t>
            </w:r>
            <w:r w:rsidRPr="006E25C7">
              <w:rPr>
                <w:rStyle w:val="Heading10"/>
                <w:rFonts w:cs="Arial"/>
                <w:b w:val="0"/>
                <w:bCs/>
                <w:color w:val="auto"/>
                <w:vertAlign w:val="superscript"/>
              </w:rPr>
              <w:t>st</w:t>
            </w:r>
            <w:r w:rsidRPr="006E25C7">
              <w:rPr>
                <w:rStyle w:val="Heading10"/>
                <w:rFonts w:cs="Arial"/>
                <w:b w:val="0"/>
                <w:bCs/>
                <w:color w:val="auto"/>
              </w:rPr>
              <w:t xml:space="preserve"> </w:t>
            </w:r>
            <w:r w:rsidR="0051086F" w:rsidRPr="006E25C7">
              <w:rPr>
                <w:rStyle w:val="Heading10"/>
                <w:rFonts w:cs="Arial"/>
                <w:b w:val="0"/>
                <w:bCs/>
                <w:color w:val="auto"/>
              </w:rPr>
              <w:t>August</w:t>
            </w:r>
            <w:r w:rsidR="00BA5209" w:rsidRPr="006E25C7">
              <w:rPr>
                <w:rStyle w:val="Heading10"/>
                <w:rFonts w:cs="Arial"/>
                <w:b w:val="0"/>
                <w:bCs/>
                <w:color w:val="auto"/>
              </w:rPr>
              <w:t xml:space="preserve"> 2023</w:t>
            </w:r>
          </w:p>
        </w:tc>
      </w:tr>
      <w:bookmarkEnd w:id="191"/>
      <w:tr w:rsidR="0081756B" w:rsidRPr="003C7E62" w14:paraId="186ACE07" w14:textId="77777777" w:rsidTr="000339D2">
        <w:tc>
          <w:tcPr>
            <w:tcW w:w="2122" w:type="dxa"/>
          </w:tcPr>
          <w:p w14:paraId="23F6B4A0" w14:textId="77777777" w:rsidR="0081756B" w:rsidRPr="00DA5747" w:rsidRDefault="0081756B" w:rsidP="000032A9">
            <w:pPr>
              <w:pStyle w:val="Policy"/>
              <w:spacing w:after="0" w:line="240" w:lineRule="auto"/>
              <w:ind w:left="360" w:right="284" w:hanging="360"/>
              <w:rPr>
                <w:sz w:val="20"/>
              </w:rPr>
            </w:pPr>
            <w:r w:rsidRPr="00DA5747">
              <w:rPr>
                <w:rFonts w:cs="Arial"/>
                <w:bCs/>
                <w:sz w:val="20"/>
              </w:rPr>
              <w:t>E</w:t>
            </w:r>
            <w:r w:rsidRPr="00DA5747">
              <w:rPr>
                <w:bCs/>
                <w:sz w:val="20"/>
              </w:rPr>
              <w:t>vide</w:t>
            </w:r>
            <w:r w:rsidRPr="00DA5747">
              <w:rPr>
                <w:sz w:val="20"/>
              </w:rPr>
              <w:t>nce Base</w:t>
            </w:r>
          </w:p>
          <w:p w14:paraId="7D3715A0" w14:textId="54678F71" w:rsidR="0081756B" w:rsidRPr="00DA5747" w:rsidRDefault="0081756B" w:rsidP="000032A9">
            <w:pPr>
              <w:pStyle w:val="Policy"/>
              <w:spacing w:after="0" w:line="240" w:lineRule="auto"/>
              <w:ind w:left="0" w:right="284"/>
              <w:rPr>
                <w:rFonts w:cs="Arial"/>
                <w:sz w:val="20"/>
              </w:rPr>
            </w:pPr>
          </w:p>
        </w:tc>
        <w:tc>
          <w:tcPr>
            <w:tcW w:w="7366" w:type="dxa"/>
            <w:gridSpan w:val="2"/>
          </w:tcPr>
          <w:p w14:paraId="38662780" w14:textId="292B63DF" w:rsidR="0081756B" w:rsidRPr="003E1FF0" w:rsidRDefault="0081756B" w:rsidP="00874A98">
            <w:pPr>
              <w:pStyle w:val="Policy"/>
              <w:numPr>
                <w:ilvl w:val="0"/>
                <w:numId w:val="126"/>
              </w:numPr>
              <w:tabs>
                <w:tab w:val="clear" w:pos="680"/>
                <w:tab w:val="left" w:pos="315"/>
              </w:tabs>
              <w:spacing w:after="0" w:line="240" w:lineRule="auto"/>
              <w:ind w:left="173" w:right="284" w:hanging="173"/>
              <w:rPr>
                <w:rFonts w:cs="Arial"/>
                <w:b/>
                <w:sz w:val="20"/>
              </w:rPr>
            </w:pPr>
            <w:r w:rsidRPr="00DA5747">
              <w:rPr>
                <w:rFonts w:cs="Arial"/>
                <w:bCs/>
                <w:sz w:val="20"/>
              </w:rPr>
              <w:t>S</w:t>
            </w:r>
            <w:r w:rsidRPr="00DA5747">
              <w:rPr>
                <w:sz w:val="20"/>
              </w:rPr>
              <w:t>trategic Housing and Economic Land Availability Assessment (SHELAA)</w:t>
            </w:r>
            <w:r w:rsidR="006E25C7">
              <w:rPr>
                <w:sz w:val="20"/>
              </w:rPr>
              <w:t>.</w:t>
            </w:r>
            <w:r w:rsidRPr="00DA5747">
              <w:rPr>
                <w:sz w:val="20"/>
              </w:rPr>
              <w:t xml:space="preserve"> </w:t>
            </w:r>
            <w:r w:rsidRPr="0074669E">
              <w:rPr>
                <w:sz w:val="20"/>
              </w:rPr>
              <w:t>Ashfield D</w:t>
            </w:r>
            <w:r w:rsidR="006E25C7">
              <w:rPr>
                <w:sz w:val="20"/>
              </w:rPr>
              <w:t xml:space="preserve">istrict </w:t>
            </w:r>
            <w:r w:rsidRPr="0074669E">
              <w:rPr>
                <w:sz w:val="20"/>
              </w:rPr>
              <w:t>C</w:t>
            </w:r>
            <w:r w:rsidR="006E25C7">
              <w:rPr>
                <w:sz w:val="20"/>
              </w:rPr>
              <w:t>ouncil</w:t>
            </w:r>
          </w:p>
          <w:p w14:paraId="45F7CB93" w14:textId="5915C343" w:rsidR="003E1FF0" w:rsidRPr="006E25C7" w:rsidRDefault="003E1FF0" w:rsidP="00874A98">
            <w:pPr>
              <w:pStyle w:val="Policy"/>
              <w:numPr>
                <w:ilvl w:val="0"/>
                <w:numId w:val="126"/>
              </w:numPr>
              <w:tabs>
                <w:tab w:val="clear" w:pos="680"/>
                <w:tab w:val="left" w:pos="315"/>
              </w:tabs>
              <w:spacing w:after="0" w:line="240" w:lineRule="auto"/>
              <w:ind w:left="173" w:right="284" w:hanging="173"/>
              <w:rPr>
                <w:rFonts w:cs="Arial"/>
                <w:b/>
                <w:sz w:val="20"/>
              </w:rPr>
            </w:pPr>
            <w:bookmarkStart w:id="193" w:name="_Hlk141349879"/>
            <w:r w:rsidRPr="006E25C7">
              <w:rPr>
                <w:sz w:val="20"/>
              </w:rPr>
              <w:t>Background Paper 1:</w:t>
            </w:r>
            <w:r w:rsidR="005A0919" w:rsidRPr="006E25C7">
              <w:t xml:space="preserve"> </w:t>
            </w:r>
            <w:r w:rsidR="005A0919" w:rsidRPr="006E25C7">
              <w:rPr>
                <w:sz w:val="20"/>
              </w:rPr>
              <w:t>Spatial Strategy and Site Section 2023</w:t>
            </w:r>
            <w:bookmarkEnd w:id="193"/>
            <w:r w:rsidR="005A0919" w:rsidRPr="006E25C7">
              <w:rPr>
                <w:sz w:val="20"/>
              </w:rPr>
              <w:t>, Ashfield District Council</w:t>
            </w:r>
          </w:p>
          <w:p w14:paraId="04C4C133" w14:textId="428A1617" w:rsidR="00B40389" w:rsidRPr="00B40389" w:rsidRDefault="00F86477" w:rsidP="00874A98">
            <w:pPr>
              <w:pStyle w:val="Policy"/>
              <w:numPr>
                <w:ilvl w:val="0"/>
                <w:numId w:val="126"/>
              </w:numPr>
              <w:tabs>
                <w:tab w:val="clear" w:pos="680"/>
                <w:tab w:val="left" w:pos="315"/>
              </w:tabs>
              <w:spacing w:after="0" w:line="240" w:lineRule="auto"/>
              <w:ind w:left="173" w:right="284" w:hanging="173"/>
              <w:rPr>
                <w:rFonts w:cs="Arial"/>
                <w:b/>
                <w:sz w:val="20"/>
              </w:rPr>
            </w:pPr>
            <w:r w:rsidRPr="0074669E">
              <w:rPr>
                <w:bCs/>
                <w:sz w:val="20"/>
              </w:rPr>
              <w:t>Backgro</w:t>
            </w:r>
            <w:r w:rsidR="0074669E" w:rsidRPr="0074669E">
              <w:rPr>
                <w:bCs/>
                <w:sz w:val="20"/>
              </w:rPr>
              <w:t>u</w:t>
            </w:r>
            <w:r w:rsidRPr="0074669E">
              <w:rPr>
                <w:bCs/>
                <w:sz w:val="20"/>
              </w:rPr>
              <w:t>nd</w:t>
            </w:r>
            <w:r w:rsidR="0074669E">
              <w:rPr>
                <w:bCs/>
                <w:sz w:val="20"/>
              </w:rPr>
              <w:t xml:space="preserve"> </w:t>
            </w:r>
            <w:r w:rsidRPr="0074669E">
              <w:rPr>
                <w:bCs/>
                <w:sz w:val="20"/>
              </w:rPr>
              <w:t>Paper</w:t>
            </w:r>
            <w:r w:rsidR="0074669E">
              <w:rPr>
                <w:bCs/>
                <w:sz w:val="20"/>
              </w:rPr>
              <w:t xml:space="preserve"> </w:t>
            </w:r>
            <w:r w:rsidRPr="0074669E">
              <w:rPr>
                <w:bCs/>
                <w:sz w:val="20"/>
              </w:rPr>
              <w:t>2</w:t>
            </w:r>
            <w:r w:rsidR="007075B1">
              <w:rPr>
                <w:bCs/>
                <w:sz w:val="20"/>
              </w:rPr>
              <w:t>:</w:t>
            </w:r>
            <w:r w:rsidRPr="0074669E">
              <w:rPr>
                <w:bCs/>
                <w:sz w:val="20"/>
              </w:rPr>
              <w:t xml:space="preserve"> Housing</w:t>
            </w:r>
            <w:r w:rsidR="007075B1">
              <w:rPr>
                <w:bCs/>
                <w:sz w:val="20"/>
              </w:rPr>
              <w:t xml:space="preserve"> </w:t>
            </w:r>
            <w:r w:rsidR="007075B1" w:rsidRPr="00B94708">
              <w:rPr>
                <w:bCs/>
                <w:sz w:val="20"/>
              </w:rPr>
              <w:t>202</w:t>
            </w:r>
            <w:r w:rsidR="00B94708" w:rsidRPr="00B94708">
              <w:rPr>
                <w:bCs/>
                <w:sz w:val="20"/>
              </w:rPr>
              <w:t>3</w:t>
            </w:r>
            <w:r w:rsidR="007075B1" w:rsidRPr="00B94708">
              <w:rPr>
                <w:bCs/>
                <w:sz w:val="20"/>
              </w:rPr>
              <w:t>,</w:t>
            </w:r>
            <w:r w:rsidRPr="0074669E">
              <w:rPr>
                <w:bCs/>
                <w:sz w:val="20"/>
              </w:rPr>
              <w:t xml:space="preserve"> Ashfield District Council</w:t>
            </w:r>
            <w:r w:rsidR="007075B1">
              <w:rPr>
                <w:bCs/>
                <w:sz w:val="20"/>
              </w:rPr>
              <w:t>.</w:t>
            </w:r>
          </w:p>
          <w:p w14:paraId="45458E24" w14:textId="35044F91" w:rsidR="00B40389" w:rsidRPr="00B40389" w:rsidRDefault="00B40389" w:rsidP="00874A98">
            <w:pPr>
              <w:pStyle w:val="Policy"/>
              <w:numPr>
                <w:ilvl w:val="0"/>
                <w:numId w:val="126"/>
              </w:numPr>
              <w:tabs>
                <w:tab w:val="clear" w:pos="680"/>
                <w:tab w:val="left" w:pos="315"/>
              </w:tabs>
              <w:spacing w:after="0" w:line="240" w:lineRule="auto"/>
              <w:ind w:left="173" w:right="284" w:hanging="173"/>
              <w:rPr>
                <w:rFonts w:cs="Arial"/>
                <w:bCs/>
                <w:color w:val="0070C0"/>
                <w:sz w:val="20"/>
              </w:rPr>
            </w:pPr>
            <w:r w:rsidRPr="006E25C7">
              <w:rPr>
                <w:rFonts w:cs="Arial"/>
                <w:bCs/>
                <w:sz w:val="20"/>
              </w:rPr>
              <w:t>Sustainability Appraisal, 2023. WSP UK Limited.</w:t>
            </w:r>
          </w:p>
        </w:tc>
      </w:tr>
      <w:tr w:rsidR="0081756B" w:rsidRPr="0026790A" w14:paraId="6DD03C6C" w14:textId="77777777" w:rsidTr="000339D2">
        <w:tc>
          <w:tcPr>
            <w:tcW w:w="2122" w:type="dxa"/>
          </w:tcPr>
          <w:p w14:paraId="522BD287" w14:textId="68AAF909" w:rsidR="0081756B" w:rsidRPr="00DA5747" w:rsidRDefault="0081756B" w:rsidP="000032A9">
            <w:pPr>
              <w:pStyle w:val="Pa31"/>
              <w:spacing w:after="0" w:line="240" w:lineRule="auto"/>
              <w:ind w:right="284"/>
              <w:rPr>
                <w:rFonts w:eastAsia="Arial" w:cs="Arial"/>
                <w:bCs/>
                <w:sz w:val="20"/>
                <w:szCs w:val="20"/>
                <w:lang w:eastAsia="en-US"/>
              </w:rPr>
            </w:pPr>
            <w:r w:rsidRPr="00DA5747">
              <w:rPr>
                <w:rFonts w:eastAsia="Arial" w:cs="Arial"/>
                <w:bCs/>
                <w:sz w:val="20"/>
                <w:szCs w:val="20"/>
                <w:lang w:eastAsia="en-US"/>
              </w:rPr>
              <w:t>National Planning Policy and Guidance</w:t>
            </w:r>
          </w:p>
        </w:tc>
        <w:tc>
          <w:tcPr>
            <w:tcW w:w="7366" w:type="dxa"/>
            <w:gridSpan w:val="2"/>
          </w:tcPr>
          <w:p w14:paraId="0220CD94" w14:textId="38305FB8" w:rsidR="0081756B" w:rsidRPr="00DA5747" w:rsidRDefault="0081756B" w:rsidP="00874A98">
            <w:pPr>
              <w:keepNext w:val="0"/>
              <w:numPr>
                <w:ilvl w:val="0"/>
                <w:numId w:val="119"/>
              </w:numPr>
              <w:tabs>
                <w:tab w:val="left" w:pos="680"/>
                <w:tab w:val="left" w:pos="1133"/>
                <w:tab w:val="left" w:pos="2267"/>
              </w:tabs>
              <w:spacing w:before="0" w:after="160" w:line="252" w:lineRule="auto"/>
              <w:ind w:left="173" w:right="284" w:hanging="173"/>
              <w:contextualSpacing/>
              <w:rPr>
                <w:rFonts w:eastAsia="Arial" w:cs="Arial"/>
                <w:bCs/>
                <w:sz w:val="20"/>
              </w:rPr>
            </w:pPr>
            <w:r w:rsidRPr="00DA5747">
              <w:rPr>
                <w:rFonts w:eastAsia="Arial" w:cs="Arial"/>
                <w:bCs/>
                <w:color w:val="auto"/>
                <w:sz w:val="20"/>
                <w:lang w:eastAsia="en-US"/>
              </w:rPr>
              <w:t>NPP</w:t>
            </w:r>
            <w:r w:rsidR="004173E0">
              <w:rPr>
                <w:rFonts w:eastAsia="Arial" w:cs="Arial"/>
                <w:bCs/>
                <w:color w:val="auto"/>
                <w:sz w:val="20"/>
                <w:lang w:eastAsia="en-US"/>
              </w:rPr>
              <w:t>F</w:t>
            </w:r>
            <w:r w:rsidRPr="00DA5747">
              <w:rPr>
                <w:rFonts w:eastAsia="Arial" w:cs="Arial"/>
                <w:bCs/>
                <w:color w:val="auto"/>
                <w:sz w:val="20"/>
                <w:lang w:eastAsia="en-US"/>
              </w:rPr>
              <w:t xml:space="preserve"> 202</w:t>
            </w:r>
            <w:r w:rsidR="004173E0">
              <w:rPr>
                <w:rFonts w:eastAsia="Arial" w:cs="Arial"/>
                <w:bCs/>
                <w:color w:val="auto"/>
                <w:sz w:val="20"/>
                <w:lang w:eastAsia="en-US"/>
              </w:rPr>
              <w:t>3</w:t>
            </w:r>
            <w:r w:rsidRPr="00DA5747">
              <w:rPr>
                <w:rFonts w:eastAsia="Arial" w:cs="Arial"/>
                <w:bCs/>
                <w:color w:val="auto"/>
                <w:sz w:val="20"/>
                <w:lang w:eastAsia="en-US"/>
              </w:rPr>
              <w:t xml:space="preserve">, Part 2: Achieving </w:t>
            </w:r>
            <w:r w:rsidRPr="00DA5747">
              <w:rPr>
                <w:rFonts w:eastAsia="Arial" w:cs="Arial"/>
                <w:bCs/>
                <w:sz w:val="20"/>
              </w:rPr>
              <w:t>s</w:t>
            </w:r>
            <w:r w:rsidRPr="00DA5747">
              <w:rPr>
                <w:rFonts w:eastAsia="Arial" w:cs="Arial"/>
                <w:bCs/>
                <w:color w:val="auto"/>
                <w:sz w:val="20"/>
                <w:lang w:eastAsia="en-US"/>
              </w:rPr>
              <w:t xml:space="preserve">ustainable </w:t>
            </w:r>
            <w:r w:rsidRPr="00DA5747">
              <w:rPr>
                <w:rFonts w:eastAsia="Arial" w:cs="Arial"/>
                <w:bCs/>
                <w:sz w:val="20"/>
              </w:rPr>
              <w:t>d</w:t>
            </w:r>
            <w:r w:rsidRPr="00DA5747">
              <w:rPr>
                <w:rFonts w:eastAsia="Arial" w:cs="Arial"/>
                <w:bCs/>
                <w:color w:val="auto"/>
                <w:sz w:val="20"/>
                <w:lang w:eastAsia="en-US"/>
              </w:rPr>
              <w:t>evelopment.</w:t>
            </w:r>
          </w:p>
          <w:p w14:paraId="3F7B4B2E" w14:textId="2C0A949F" w:rsidR="0081756B" w:rsidRPr="00DA5747" w:rsidRDefault="0081756B" w:rsidP="00874A98">
            <w:pPr>
              <w:keepNext w:val="0"/>
              <w:numPr>
                <w:ilvl w:val="0"/>
                <w:numId w:val="119"/>
              </w:numPr>
              <w:tabs>
                <w:tab w:val="left" w:pos="680"/>
                <w:tab w:val="left" w:pos="1133"/>
                <w:tab w:val="left" w:pos="2267"/>
              </w:tabs>
              <w:spacing w:before="0" w:after="160" w:line="252" w:lineRule="auto"/>
              <w:ind w:left="173" w:right="284" w:hanging="173"/>
              <w:contextualSpacing/>
              <w:rPr>
                <w:rFonts w:eastAsia="Arial" w:cs="Arial"/>
                <w:bCs/>
                <w:sz w:val="20"/>
              </w:rPr>
            </w:pPr>
            <w:r w:rsidRPr="00DA5747">
              <w:rPr>
                <w:rFonts w:eastAsia="Arial" w:cs="Arial"/>
                <w:bCs/>
                <w:color w:val="auto"/>
                <w:sz w:val="20"/>
                <w:lang w:eastAsia="en-US"/>
              </w:rPr>
              <w:t>NPPF 202</w:t>
            </w:r>
            <w:r w:rsidR="004173E0">
              <w:rPr>
                <w:rFonts w:eastAsia="Arial" w:cs="Arial"/>
                <w:bCs/>
                <w:color w:val="auto"/>
                <w:sz w:val="20"/>
                <w:lang w:eastAsia="en-US"/>
              </w:rPr>
              <w:t>3</w:t>
            </w:r>
            <w:r w:rsidRPr="00DA5747">
              <w:rPr>
                <w:rFonts w:eastAsia="Arial" w:cs="Arial"/>
                <w:bCs/>
                <w:color w:val="auto"/>
                <w:sz w:val="20"/>
                <w:lang w:eastAsia="en-US"/>
              </w:rPr>
              <w:t xml:space="preserve">, Part </w:t>
            </w:r>
            <w:r w:rsidRPr="00DA5747">
              <w:rPr>
                <w:rFonts w:eastAsia="Arial" w:cs="Arial"/>
                <w:bCs/>
                <w:sz w:val="20"/>
              </w:rPr>
              <w:t>5: Delivering a sufficient supply of homes</w:t>
            </w:r>
            <w:r w:rsidR="00B40389">
              <w:rPr>
                <w:rFonts w:eastAsia="Arial" w:cs="Arial"/>
                <w:bCs/>
                <w:sz w:val="20"/>
              </w:rPr>
              <w:t>.</w:t>
            </w:r>
          </w:p>
          <w:p w14:paraId="78000830" w14:textId="34E9A3E4" w:rsidR="0081756B" w:rsidRPr="00DA5747" w:rsidRDefault="0081756B" w:rsidP="00874A98">
            <w:pPr>
              <w:keepNext w:val="0"/>
              <w:numPr>
                <w:ilvl w:val="0"/>
                <w:numId w:val="119"/>
              </w:numPr>
              <w:tabs>
                <w:tab w:val="left" w:pos="680"/>
                <w:tab w:val="left" w:pos="1133"/>
                <w:tab w:val="left" w:pos="2267"/>
              </w:tabs>
              <w:spacing w:before="0" w:after="160" w:line="252" w:lineRule="auto"/>
              <w:ind w:left="173" w:right="284" w:hanging="173"/>
              <w:contextualSpacing/>
              <w:rPr>
                <w:rFonts w:eastAsia="Arial" w:cs="Arial"/>
                <w:bCs/>
                <w:sz w:val="20"/>
              </w:rPr>
            </w:pPr>
            <w:r w:rsidRPr="00DA5747">
              <w:rPr>
                <w:rFonts w:eastAsia="Arial" w:cs="Arial"/>
                <w:bCs/>
                <w:sz w:val="20"/>
              </w:rPr>
              <w:t>Planning Practice Guidance: Effective use of land</w:t>
            </w:r>
            <w:r w:rsidR="00B40389">
              <w:rPr>
                <w:rFonts w:eastAsia="Arial" w:cs="Arial"/>
                <w:bCs/>
                <w:sz w:val="20"/>
              </w:rPr>
              <w:t>.</w:t>
            </w:r>
          </w:p>
          <w:p w14:paraId="34472089" w14:textId="3DC9A952" w:rsidR="0081756B" w:rsidRPr="00DA5747" w:rsidRDefault="0081756B" w:rsidP="00874A98">
            <w:pPr>
              <w:keepNext w:val="0"/>
              <w:numPr>
                <w:ilvl w:val="0"/>
                <w:numId w:val="119"/>
              </w:numPr>
              <w:tabs>
                <w:tab w:val="left" w:pos="680"/>
                <w:tab w:val="left" w:pos="1133"/>
                <w:tab w:val="left" w:pos="2267"/>
              </w:tabs>
              <w:spacing w:before="0" w:after="160" w:line="252" w:lineRule="auto"/>
              <w:ind w:left="173" w:right="284" w:hanging="173"/>
              <w:contextualSpacing/>
              <w:rPr>
                <w:rFonts w:eastAsia="Arial" w:cs="Arial"/>
                <w:bCs/>
                <w:sz w:val="20"/>
              </w:rPr>
            </w:pPr>
            <w:r w:rsidRPr="00DA5747">
              <w:rPr>
                <w:rFonts w:eastAsia="Arial" w:cs="Arial"/>
                <w:bCs/>
                <w:sz w:val="20"/>
              </w:rPr>
              <w:t xml:space="preserve">Planning Practice Guidance: </w:t>
            </w:r>
            <w:r w:rsidRPr="00DA5747">
              <w:rPr>
                <w:sz w:val="20"/>
              </w:rPr>
              <w:t>Housing and Economic Land Availability Assessment</w:t>
            </w:r>
            <w:r w:rsidR="00DA5747" w:rsidRPr="00DA5747">
              <w:rPr>
                <w:sz w:val="20"/>
              </w:rPr>
              <w:t>.</w:t>
            </w:r>
          </w:p>
          <w:p w14:paraId="76386D91" w14:textId="34DC9E5E" w:rsidR="0081756B" w:rsidRPr="00DA5747" w:rsidRDefault="0081756B" w:rsidP="00874A98">
            <w:pPr>
              <w:keepNext w:val="0"/>
              <w:numPr>
                <w:ilvl w:val="0"/>
                <w:numId w:val="119"/>
              </w:numPr>
              <w:tabs>
                <w:tab w:val="left" w:pos="680"/>
                <w:tab w:val="left" w:pos="1133"/>
                <w:tab w:val="left" w:pos="2267"/>
              </w:tabs>
              <w:spacing w:before="0" w:after="160" w:line="252" w:lineRule="auto"/>
              <w:ind w:left="173" w:right="284" w:hanging="173"/>
              <w:contextualSpacing/>
              <w:rPr>
                <w:rFonts w:cs="Arial"/>
                <w:b/>
                <w:sz w:val="20"/>
              </w:rPr>
            </w:pPr>
            <w:r w:rsidRPr="00DA5747">
              <w:rPr>
                <w:rFonts w:eastAsia="Arial" w:cs="Arial"/>
                <w:bCs/>
                <w:sz w:val="20"/>
              </w:rPr>
              <w:t xml:space="preserve">Planning Practice Guidance: </w:t>
            </w:r>
            <w:r w:rsidRPr="00DA5747">
              <w:rPr>
                <w:sz w:val="20"/>
              </w:rPr>
              <w:t>Housing supply and delivery</w:t>
            </w:r>
            <w:r w:rsidR="00DA5747" w:rsidRPr="00DA5747">
              <w:rPr>
                <w:sz w:val="20"/>
              </w:rPr>
              <w:t xml:space="preserve"> as of </w:t>
            </w:r>
            <w:r w:rsidR="00B40389" w:rsidRPr="006E25C7">
              <w:rPr>
                <w:color w:val="auto"/>
                <w:sz w:val="20"/>
              </w:rPr>
              <w:t>July 2019.</w:t>
            </w:r>
          </w:p>
        </w:tc>
      </w:tr>
      <w:bookmarkEnd w:id="192"/>
    </w:tbl>
    <w:p w14:paraId="546E98F1" w14:textId="605279CF" w:rsidR="003C7E62" w:rsidRPr="00236F84" w:rsidRDefault="003C7E62" w:rsidP="003C7E62">
      <w:pPr>
        <w:tabs>
          <w:tab w:val="left" w:pos="1134"/>
        </w:tabs>
        <w:rPr>
          <w:rFonts w:cs="Arial"/>
          <w:szCs w:val="24"/>
          <w:u w:val="single"/>
        </w:rPr>
      </w:pPr>
    </w:p>
    <w:p w14:paraId="4A61BBF5" w14:textId="0D773A49" w:rsidR="002F5056" w:rsidRPr="003C7E62" w:rsidRDefault="002F5056" w:rsidP="00874A98">
      <w:pPr>
        <w:pStyle w:val="ListParagraph"/>
        <w:numPr>
          <w:ilvl w:val="1"/>
          <w:numId w:val="92"/>
        </w:numPr>
        <w:autoSpaceDE w:val="0"/>
        <w:autoSpaceDN w:val="0"/>
        <w:adjustRightInd w:val="0"/>
        <w:spacing w:after="0" w:line="240" w:lineRule="auto"/>
        <w:ind w:left="851" w:hanging="851"/>
        <w:rPr>
          <w:rFonts w:ascii="Arial" w:hAnsi="Arial" w:cs="Arial"/>
          <w:sz w:val="22"/>
        </w:rPr>
      </w:pPr>
      <w:r w:rsidRPr="00236F84">
        <w:rPr>
          <w:rFonts w:ascii="Arial" w:hAnsi="Arial" w:cs="Arial"/>
          <w:szCs w:val="24"/>
        </w:rPr>
        <w:t>Potential housing allocations have been selected from a ‘pool’ of sites which are assessed as being ‘available’, ‘suitable’ and ‘deliverable’ in the Strategic Housing Land and Economic Availability Assessment (SHELAA). The Sustainability Appraisal (SA) has further assessed these sites. The purpose of the SA is to promote sustainable development through the efficient use of existing infrastructure, whilst protecting landscape and biodiversity assets and facilitating social and economic benefit. The SA is therefore an essential tool in the selection of deliverable sites and provides part of the evidence base for the housing site</w:t>
      </w:r>
      <w:r w:rsidRPr="003C7E62">
        <w:rPr>
          <w:rFonts w:ascii="Arial" w:hAnsi="Arial" w:cs="Arial"/>
        </w:rPr>
        <w:t xml:space="preserve"> allocations. Further details on the approach to allocating sites can be found in the Council’s </w:t>
      </w:r>
      <w:r w:rsidR="009E1A64" w:rsidRPr="00823C79">
        <w:rPr>
          <w:rFonts w:ascii="Arial" w:hAnsi="Arial" w:cs="Arial"/>
          <w:color w:val="auto"/>
        </w:rPr>
        <w:t>Background Paper 1: Spatial Strategy and Site Section 2023</w:t>
      </w:r>
      <w:r w:rsidRPr="00823C79">
        <w:rPr>
          <w:rFonts w:ascii="Arial" w:hAnsi="Arial" w:cs="Arial"/>
          <w:color w:val="auto"/>
        </w:rPr>
        <w:t>.</w:t>
      </w:r>
    </w:p>
    <w:p w14:paraId="22747D4C" w14:textId="77777777" w:rsidR="002F5056" w:rsidRPr="003C7E62" w:rsidRDefault="002F5056" w:rsidP="002F5056">
      <w:pPr>
        <w:autoSpaceDE w:val="0"/>
        <w:autoSpaceDN w:val="0"/>
        <w:adjustRightInd w:val="0"/>
        <w:ind w:left="600"/>
        <w:rPr>
          <w:rStyle w:val="Normal1"/>
          <w:rFonts w:cs="Arial"/>
          <w:spacing w:val="-1"/>
          <w:szCs w:val="24"/>
        </w:rPr>
      </w:pPr>
    </w:p>
    <w:p w14:paraId="69F79789" w14:textId="2DF9478F" w:rsidR="002F5056" w:rsidRPr="003C7E62" w:rsidRDefault="002F5056" w:rsidP="00874A98">
      <w:pPr>
        <w:pStyle w:val="ListParagraph"/>
        <w:numPr>
          <w:ilvl w:val="1"/>
          <w:numId w:val="92"/>
        </w:numPr>
        <w:autoSpaceDE w:val="0"/>
        <w:autoSpaceDN w:val="0"/>
        <w:adjustRightInd w:val="0"/>
        <w:spacing w:after="0" w:line="240" w:lineRule="auto"/>
        <w:ind w:left="851" w:hanging="851"/>
        <w:rPr>
          <w:rStyle w:val="Normal1"/>
          <w:rFonts w:cs="Arial"/>
          <w:spacing w:val="-1"/>
          <w:szCs w:val="24"/>
        </w:rPr>
      </w:pPr>
      <w:r w:rsidRPr="003C7E62">
        <w:rPr>
          <w:rStyle w:val="Normal1"/>
          <w:rFonts w:cs="Arial"/>
          <w:szCs w:val="24"/>
        </w:rPr>
        <w:t>Allocations include sites both with and without planning permission.  Where these are under construction, only the remaining dwellings have been identified in Policy H1</w:t>
      </w:r>
      <w:r w:rsidR="00823C79">
        <w:rPr>
          <w:rStyle w:val="Normal1"/>
          <w:rFonts w:cs="Arial"/>
          <w:szCs w:val="24"/>
        </w:rPr>
        <w:t>.</w:t>
      </w:r>
      <w:r w:rsidRPr="003C7E62">
        <w:rPr>
          <w:rStyle w:val="Normal1"/>
          <w:rFonts w:cs="Arial"/>
          <w:szCs w:val="24"/>
        </w:rPr>
        <w:t xml:space="preserve"> </w:t>
      </w:r>
      <w:r w:rsidRPr="006D4F49">
        <w:rPr>
          <w:rStyle w:val="Normal1"/>
          <w:rFonts w:cs="Arial"/>
          <w:szCs w:val="24"/>
        </w:rPr>
        <w:t>Appendix 2</w:t>
      </w:r>
      <w:r w:rsidRPr="003C7E62">
        <w:rPr>
          <w:rStyle w:val="Normal1"/>
          <w:rFonts w:cs="Arial"/>
          <w:szCs w:val="24"/>
        </w:rPr>
        <w:t xml:space="preserve"> illustrates the anticipated delivery of housing on each site over the plan period, together with a summary of small site provision.</w:t>
      </w:r>
    </w:p>
    <w:p w14:paraId="5A7D552F" w14:textId="77777777" w:rsidR="002F5056" w:rsidRPr="00263F59" w:rsidRDefault="002F5056" w:rsidP="002F5056">
      <w:pPr>
        <w:autoSpaceDE w:val="0"/>
        <w:autoSpaceDN w:val="0"/>
        <w:adjustRightInd w:val="0"/>
        <w:ind w:left="600"/>
        <w:rPr>
          <w:rFonts w:eastAsia="Arial" w:cs="Arial"/>
          <w:color w:val="auto"/>
          <w:szCs w:val="24"/>
        </w:rPr>
      </w:pPr>
    </w:p>
    <w:p w14:paraId="00A37632" w14:textId="77777777" w:rsidR="00715560" w:rsidRPr="00823C79" w:rsidRDefault="00715560" w:rsidP="00715560">
      <w:pPr>
        <w:tabs>
          <w:tab w:val="left" w:pos="1134"/>
        </w:tabs>
        <w:rPr>
          <w:rFonts w:cs="Arial"/>
          <w:b/>
          <w:bCs/>
          <w:color w:val="auto"/>
          <w:szCs w:val="24"/>
          <w:u w:val="single"/>
        </w:rPr>
      </w:pPr>
      <w:bookmarkStart w:id="194" w:name="_Hlk78286855"/>
      <w:bookmarkEnd w:id="188"/>
      <w:r w:rsidRPr="00823C79">
        <w:rPr>
          <w:rFonts w:cs="Arial"/>
          <w:b/>
          <w:bCs/>
          <w:color w:val="auto"/>
          <w:szCs w:val="24"/>
          <w:u w:val="single"/>
        </w:rPr>
        <w:t>Housing Allocations in the Hucknall Area</w:t>
      </w:r>
    </w:p>
    <w:p w14:paraId="19FA193C" w14:textId="77777777" w:rsidR="00715560" w:rsidRPr="00823C79" w:rsidRDefault="00715560" w:rsidP="00715560">
      <w:pPr>
        <w:autoSpaceDE w:val="0"/>
        <w:autoSpaceDN w:val="0"/>
        <w:adjustRightInd w:val="0"/>
        <w:rPr>
          <w:rFonts w:cs="Arial"/>
          <w:b/>
          <w:bCs/>
          <w:color w:val="auto"/>
          <w:szCs w:val="24"/>
        </w:rPr>
      </w:pPr>
    </w:p>
    <w:p w14:paraId="2AA6C7B3" w14:textId="77777777" w:rsidR="00715560" w:rsidRPr="00823C79" w:rsidRDefault="00715560" w:rsidP="00874A98">
      <w:pPr>
        <w:pStyle w:val="ListParagraph"/>
        <w:numPr>
          <w:ilvl w:val="1"/>
          <w:numId w:val="92"/>
        </w:numPr>
        <w:autoSpaceDE w:val="0"/>
        <w:autoSpaceDN w:val="0"/>
        <w:adjustRightInd w:val="0"/>
        <w:spacing w:after="0" w:line="240" w:lineRule="auto"/>
        <w:ind w:left="851" w:hanging="851"/>
        <w:rPr>
          <w:rFonts w:ascii="Arial" w:eastAsia="Calibri" w:hAnsi="Arial" w:cs="Arial"/>
          <w:bCs/>
          <w:color w:val="auto"/>
          <w:szCs w:val="24"/>
        </w:rPr>
      </w:pPr>
      <w:r w:rsidRPr="00823C79">
        <w:rPr>
          <w:rFonts w:ascii="Arial" w:hAnsi="Arial" w:cs="Arial"/>
          <w:b/>
          <w:bCs/>
          <w:color w:val="auto"/>
          <w:szCs w:val="24"/>
          <w:lang w:eastAsia="en-GB"/>
        </w:rPr>
        <w:t>Site H1Ha: Seven Stars PH, West Street /Ogle Street, Hucknall</w:t>
      </w:r>
      <w:r w:rsidRPr="00823C79">
        <w:rPr>
          <w:rFonts w:ascii="Arial" w:eastAsia="Calibri" w:hAnsi="Arial" w:cs="Arial"/>
          <w:color w:val="auto"/>
          <w:szCs w:val="24"/>
        </w:rPr>
        <w:t xml:space="preserve"> This brownfield site is located within the main urban area of Hucknall. The Public House is identified as a Local Heritage Asset and could be converted into residential accommodation. The remainder of</w:t>
      </w:r>
      <w:r w:rsidRPr="00823C79">
        <w:rPr>
          <w:rFonts w:ascii="Arial" w:eastAsia="Arial" w:hAnsi="Arial" w:cs="Arial"/>
          <w:color w:val="auto"/>
          <w:szCs w:val="24"/>
        </w:rPr>
        <w:t xml:space="preserve"> </w:t>
      </w:r>
      <w:r w:rsidRPr="00823C79">
        <w:rPr>
          <w:rFonts w:ascii="Arial" w:eastAsia="Calibri" w:hAnsi="Arial" w:cs="Arial"/>
          <w:color w:val="auto"/>
          <w:szCs w:val="24"/>
        </w:rPr>
        <w:t xml:space="preserve">the site is suitable for residential development subject to good quality design.  </w:t>
      </w:r>
      <w:r w:rsidRPr="00823C79">
        <w:rPr>
          <w:rFonts w:ascii="Arial" w:eastAsia="Arial" w:hAnsi="Arial" w:cs="Arial"/>
          <w:color w:val="auto"/>
          <w:szCs w:val="24"/>
        </w:rPr>
        <w:t xml:space="preserve">Due to previous site uses, contamination may be present and there is also evidence of some surface water flooding within the boundary of the site. </w:t>
      </w:r>
      <w:bookmarkStart w:id="195" w:name="_Hlk80191631"/>
      <w:r w:rsidRPr="00823C79">
        <w:rPr>
          <w:rFonts w:ascii="Arial" w:eastAsia="Calibri" w:hAnsi="Arial" w:cs="Arial"/>
          <w:color w:val="auto"/>
          <w:szCs w:val="24"/>
        </w:rPr>
        <w:t>The site has been identified as being available, potentially suitable, and potentially achievable in the SHELAA (Ref. HK009</w:t>
      </w:r>
      <w:bookmarkEnd w:id="195"/>
      <w:r w:rsidRPr="00823C79">
        <w:rPr>
          <w:rFonts w:ascii="Arial" w:eastAsia="Calibri" w:hAnsi="Arial" w:cs="Arial"/>
          <w:color w:val="auto"/>
          <w:szCs w:val="24"/>
        </w:rPr>
        <w:t>)</w:t>
      </w:r>
    </w:p>
    <w:p w14:paraId="5B47E625" w14:textId="77777777" w:rsidR="00715560" w:rsidRPr="00715560" w:rsidRDefault="00715560" w:rsidP="00715560">
      <w:pPr>
        <w:autoSpaceDE w:val="0"/>
        <w:autoSpaceDN w:val="0"/>
        <w:adjustRightInd w:val="0"/>
        <w:rPr>
          <w:rFonts w:eastAsia="Arial" w:cs="Arial"/>
          <w:b/>
          <w:bCs/>
          <w:color w:val="4472C4" w:themeColor="accent1"/>
          <w:szCs w:val="24"/>
        </w:rPr>
      </w:pPr>
    </w:p>
    <w:p w14:paraId="7054FFE7" w14:textId="4C10E731" w:rsidR="00715560" w:rsidRPr="002D2782" w:rsidRDefault="00715560" w:rsidP="00874A98">
      <w:pPr>
        <w:pStyle w:val="ListParagraph"/>
        <w:numPr>
          <w:ilvl w:val="1"/>
          <w:numId w:val="92"/>
        </w:numPr>
        <w:autoSpaceDE w:val="0"/>
        <w:autoSpaceDN w:val="0"/>
        <w:adjustRightInd w:val="0"/>
        <w:spacing w:after="0" w:line="240" w:lineRule="auto"/>
        <w:ind w:left="851" w:hanging="851"/>
        <w:rPr>
          <w:rStyle w:val="Normal1"/>
          <w:rFonts w:cs="Arial"/>
          <w:iCs/>
          <w:strike/>
          <w:color w:val="auto"/>
          <w:szCs w:val="24"/>
        </w:rPr>
      </w:pPr>
      <w:r w:rsidRPr="002D2782">
        <w:rPr>
          <w:rStyle w:val="Normal1"/>
          <w:rFonts w:cs="Arial"/>
          <w:b/>
          <w:bCs/>
          <w:iCs/>
          <w:color w:val="auto"/>
          <w:szCs w:val="24"/>
        </w:rPr>
        <w:t>Site H1Hb:</w:t>
      </w:r>
      <w:r w:rsidRPr="002D2782">
        <w:rPr>
          <w:rFonts w:ascii="Arial" w:hAnsi="Arial" w:cs="Arial"/>
          <w:color w:val="auto"/>
          <w:szCs w:val="24"/>
        </w:rPr>
        <w:t xml:space="preserve"> </w:t>
      </w:r>
      <w:r w:rsidRPr="002D2782">
        <w:rPr>
          <w:rStyle w:val="Normal1"/>
          <w:rFonts w:cs="Arial"/>
          <w:b/>
          <w:bCs/>
          <w:iCs/>
          <w:color w:val="auto"/>
          <w:szCs w:val="24"/>
        </w:rPr>
        <w:t>Linby Boarding Kennels, East of Church Lane, Hucknall.</w:t>
      </w:r>
      <w:r w:rsidRPr="002D2782">
        <w:rPr>
          <w:rFonts w:ascii="Arial" w:hAnsi="Arial" w:cs="Arial"/>
          <w:color w:val="auto"/>
          <w:szCs w:val="24"/>
        </w:rPr>
        <w:t xml:space="preserve"> This mixed brownfield/greenfield site </w:t>
      </w:r>
      <w:r w:rsidRPr="002D2782">
        <w:rPr>
          <w:rFonts w:ascii="Arial" w:eastAsia="Calibri" w:hAnsi="Arial" w:cs="Arial"/>
          <w:color w:val="auto"/>
          <w:szCs w:val="24"/>
        </w:rPr>
        <w:t>has been identified as being available, potentially suitable, and achievable in the SHELAA (Ref. HK013).</w:t>
      </w:r>
      <w:r w:rsidRPr="002D2782">
        <w:rPr>
          <w:rStyle w:val="Normal1"/>
          <w:rFonts w:cs="Arial"/>
          <w:iCs/>
          <w:color w:val="auto"/>
          <w:szCs w:val="24"/>
        </w:rPr>
        <w:t xml:space="preserve"> </w:t>
      </w:r>
      <w:r w:rsidRPr="002D2782">
        <w:rPr>
          <w:rFonts w:ascii="Arial" w:hAnsi="Arial" w:cs="Arial"/>
          <w:color w:val="auto"/>
          <w:szCs w:val="24"/>
        </w:rPr>
        <w:t xml:space="preserve">The northern section has the benefit of outline planning permission for 9 dwellings at the time of writing. </w:t>
      </w:r>
      <w:r w:rsidRPr="002D2782">
        <w:rPr>
          <w:rStyle w:val="Normal1"/>
          <w:rFonts w:cs="Arial"/>
          <w:color w:val="auto"/>
          <w:szCs w:val="24"/>
        </w:rPr>
        <w:t xml:space="preserve">The site is located adjacent to the existing urban area </w:t>
      </w:r>
      <w:r w:rsidR="009D77EE" w:rsidRPr="002D2782">
        <w:rPr>
          <w:rStyle w:val="Normal1"/>
          <w:rFonts w:cs="Arial"/>
          <w:color w:val="auto"/>
          <w:szCs w:val="24"/>
        </w:rPr>
        <w:t xml:space="preserve">of Hucknall </w:t>
      </w:r>
      <w:r w:rsidRPr="002D2782">
        <w:rPr>
          <w:rStyle w:val="Normal1"/>
          <w:rFonts w:cs="Arial"/>
          <w:color w:val="auto"/>
          <w:szCs w:val="24"/>
        </w:rPr>
        <w:t>on land previously designated as Green Belt, and is contained by Church Lane to the west, and Hayden Lane to the east.</w:t>
      </w:r>
      <w:r w:rsidRPr="002D2782">
        <w:rPr>
          <w:rStyle w:val="Normal1"/>
          <w:rFonts w:cs="Arial"/>
          <w:iCs/>
          <w:color w:val="auto"/>
          <w:szCs w:val="24"/>
        </w:rPr>
        <w:t xml:space="preserve"> Church Lane is a narrow rural road that will require upgrading prior to development.</w:t>
      </w:r>
      <w:r w:rsidR="00694FCA" w:rsidRPr="002D2782">
        <w:rPr>
          <w:rStyle w:val="Normal1"/>
          <w:rFonts w:cs="Arial"/>
          <w:iCs/>
          <w:color w:val="auto"/>
          <w:szCs w:val="24"/>
        </w:rPr>
        <w:t xml:space="preserve">  </w:t>
      </w:r>
    </w:p>
    <w:p w14:paraId="07EA3D01" w14:textId="77777777" w:rsidR="00715560" w:rsidRPr="00823C79" w:rsidRDefault="00715560" w:rsidP="00715560">
      <w:pPr>
        <w:autoSpaceDE w:val="0"/>
        <w:autoSpaceDN w:val="0"/>
        <w:adjustRightInd w:val="0"/>
        <w:rPr>
          <w:rStyle w:val="Normal1"/>
          <w:rFonts w:cs="Arial"/>
          <w:iCs/>
          <w:color w:val="auto"/>
          <w:szCs w:val="24"/>
        </w:rPr>
      </w:pPr>
    </w:p>
    <w:p w14:paraId="6F58BE01" w14:textId="5E58731D" w:rsidR="007D2106" w:rsidRPr="00823C79" w:rsidRDefault="00715560" w:rsidP="00874A98">
      <w:pPr>
        <w:pStyle w:val="ListParagraph"/>
        <w:numPr>
          <w:ilvl w:val="1"/>
          <w:numId w:val="92"/>
        </w:numPr>
        <w:autoSpaceDE w:val="0"/>
        <w:autoSpaceDN w:val="0"/>
        <w:adjustRightInd w:val="0"/>
        <w:spacing w:after="0" w:line="240" w:lineRule="auto"/>
        <w:ind w:left="851" w:hanging="851"/>
        <w:rPr>
          <w:rStyle w:val="Normal1"/>
          <w:rFonts w:cs="Arial"/>
          <w:iCs/>
          <w:color w:val="auto"/>
          <w:szCs w:val="24"/>
        </w:rPr>
      </w:pPr>
      <w:r w:rsidRPr="00823C79">
        <w:rPr>
          <w:rStyle w:val="Normal1"/>
          <w:rFonts w:cs="Arial"/>
          <w:iCs/>
          <w:color w:val="auto"/>
          <w:szCs w:val="24"/>
        </w:rPr>
        <w:t xml:space="preserve">A Local </w:t>
      </w:r>
      <w:r w:rsidR="001F122D" w:rsidRPr="00823C79">
        <w:rPr>
          <w:rStyle w:val="Normal1"/>
          <w:rFonts w:cs="Arial"/>
          <w:iCs/>
          <w:color w:val="auto"/>
          <w:szCs w:val="24"/>
        </w:rPr>
        <w:t>W</w:t>
      </w:r>
      <w:r w:rsidRPr="00823C79">
        <w:rPr>
          <w:rStyle w:val="Normal1"/>
          <w:rFonts w:cs="Arial"/>
          <w:iCs/>
          <w:color w:val="auto"/>
          <w:szCs w:val="24"/>
        </w:rPr>
        <w:t xml:space="preserve">ildlife </w:t>
      </w:r>
      <w:r w:rsidR="001F122D" w:rsidRPr="00823C79">
        <w:rPr>
          <w:rStyle w:val="Normal1"/>
          <w:rFonts w:cs="Arial"/>
          <w:iCs/>
          <w:color w:val="auto"/>
          <w:szCs w:val="24"/>
        </w:rPr>
        <w:t>S</w:t>
      </w:r>
      <w:r w:rsidRPr="00823C79">
        <w:rPr>
          <w:rStyle w:val="Normal1"/>
          <w:rFonts w:cs="Arial"/>
          <w:iCs/>
          <w:color w:val="auto"/>
          <w:szCs w:val="24"/>
        </w:rPr>
        <w:t>ite is located adjacent to the site to the north</w:t>
      </w:r>
      <w:r w:rsidR="007D2106" w:rsidRPr="00823C79">
        <w:rPr>
          <w:rStyle w:val="Normal1"/>
          <w:rFonts w:cs="Arial"/>
          <w:iCs/>
          <w:color w:val="auto"/>
          <w:szCs w:val="24"/>
        </w:rPr>
        <w:t xml:space="preserve">, </w:t>
      </w:r>
      <w:r w:rsidRPr="00823C79">
        <w:rPr>
          <w:rStyle w:val="Normal1"/>
          <w:rFonts w:cs="Arial"/>
          <w:iCs/>
          <w:color w:val="auto"/>
          <w:szCs w:val="24"/>
        </w:rPr>
        <w:t xml:space="preserve">within Gedling </w:t>
      </w:r>
      <w:r w:rsidR="007D2106" w:rsidRPr="00823C79">
        <w:rPr>
          <w:rStyle w:val="Normal1"/>
          <w:rFonts w:cs="Arial"/>
          <w:iCs/>
          <w:color w:val="auto"/>
          <w:szCs w:val="24"/>
        </w:rPr>
        <w:t>Borough,</w:t>
      </w:r>
      <w:r w:rsidRPr="00823C79">
        <w:rPr>
          <w:rStyle w:val="Normal1"/>
          <w:rFonts w:cs="Arial"/>
          <w:iCs/>
          <w:color w:val="auto"/>
          <w:szCs w:val="24"/>
        </w:rPr>
        <w:t xml:space="preserve"> </w:t>
      </w:r>
      <w:r w:rsidR="00F54961" w:rsidRPr="00823C79">
        <w:rPr>
          <w:rStyle w:val="Normal1"/>
          <w:rFonts w:cs="Arial"/>
          <w:iCs/>
          <w:color w:val="auto"/>
          <w:szCs w:val="24"/>
        </w:rPr>
        <w:t>and</w:t>
      </w:r>
      <w:r w:rsidRPr="00823C79">
        <w:rPr>
          <w:rStyle w:val="Normal1"/>
          <w:rFonts w:cs="Arial"/>
          <w:iCs/>
          <w:color w:val="auto"/>
          <w:szCs w:val="24"/>
        </w:rPr>
        <w:t xml:space="preserve"> any potential development will need to take into account the scope to avoid or mitigate any impacts on biodiversity.  </w:t>
      </w:r>
      <w:r w:rsidR="007D2106" w:rsidRPr="00823C79">
        <w:rPr>
          <w:rStyle w:val="Normal1"/>
          <w:rFonts w:cs="Arial"/>
          <w:iCs/>
          <w:color w:val="auto"/>
          <w:szCs w:val="24"/>
        </w:rPr>
        <w:t xml:space="preserve">There is also a small area of high and medium risk surface water to the south-eastern part of the site which will require mitigation. </w:t>
      </w:r>
    </w:p>
    <w:p w14:paraId="3A7E12F1" w14:textId="77777777" w:rsidR="007D2106" w:rsidRPr="007D2106" w:rsidRDefault="007D2106" w:rsidP="007D2106">
      <w:pPr>
        <w:pStyle w:val="ListParagraph"/>
        <w:rPr>
          <w:rStyle w:val="Normal1"/>
          <w:rFonts w:cs="Arial"/>
          <w:iCs/>
          <w:color w:val="4472C4" w:themeColor="accent1"/>
          <w:szCs w:val="24"/>
        </w:rPr>
      </w:pPr>
    </w:p>
    <w:p w14:paraId="4C8B958A" w14:textId="37AE86B2" w:rsidR="00715560" w:rsidRPr="00A80D1B" w:rsidRDefault="00715560" w:rsidP="00874A98">
      <w:pPr>
        <w:pStyle w:val="ListParagraph"/>
        <w:numPr>
          <w:ilvl w:val="1"/>
          <w:numId w:val="92"/>
        </w:numPr>
        <w:autoSpaceDE w:val="0"/>
        <w:autoSpaceDN w:val="0"/>
        <w:adjustRightInd w:val="0"/>
        <w:spacing w:after="0" w:line="240" w:lineRule="auto"/>
        <w:ind w:left="851" w:hanging="851"/>
        <w:rPr>
          <w:rStyle w:val="Normal1"/>
          <w:b/>
          <w:bCs/>
          <w:iCs/>
          <w:color w:val="auto"/>
        </w:rPr>
      </w:pPr>
      <w:r w:rsidRPr="00694FCA">
        <w:rPr>
          <w:rStyle w:val="Normal1"/>
          <w:rFonts w:cs="Arial"/>
          <w:iCs/>
          <w:color w:val="auto"/>
          <w:szCs w:val="24"/>
        </w:rPr>
        <w:t>The site adjoins Linby Conservation Area in Gedling Borough to the North</w:t>
      </w:r>
      <w:r w:rsidR="005372F6" w:rsidRPr="00694FCA">
        <w:rPr>
          <w:rStyle w:val="Normal1"/>
          <w:rFonts w:cs="Arial"/>
          <w:iCs/>
          <w:color w:val="auto"/>
          <w:szCs w:val="24"/>
        </w:rPr>
        <w:t xml:space="preserve"> and forms part of the visual influence area of the conservation area, which is the setting for the Grade II* </w:t>
      </w:r>
      <w:r w:rsidR="001F122D" w:rsidRPr="00694FCA">
        <w:rPr>
          <w:rStyle w:val="Normal1"/>
          <w:rFonts w:cs="Arial"/>
          <w:iCs/>
          <w:color w:val="auto"/>
          <w:szCs w:val="24"/>
        </w:rPr>
        <w:t xml:space="preserve">Listed </w:t>
      </w:r>
      <w:r w:rsidR="005372F6" w:rsidRPr="00694FCA">
        <w:rPr>
          <w:rStyle w:val="Normal1"/>
          <w:rFonts w:cs="Arial"/>
          <w:iCs/>
          <w:color w:val="auto"/>
          <w:szCs w:val="24"/>
        </w:rPr>
        <w:t>Church of St Michael</w:t>
      </w:r>
      <w:r w:rsidR="007D2106" w:rsidRPr="00694FCA">
        <w:rPr>
          <w:rStyle w:val="Normal1"/>
          <w:rFonts w:cs="Arial"/>
          <w:iCs/>
          <w:color w:val="auto"/>
          <w:szCs w:val="24"/>
        </w:rPr>
        <w:t>.</w:t>
      </w:r>
      <w:r w:rsidR="005372F6" w:rsidRPr="00694FCA">
        <w:rPr>
          <w:rStyle w:val="Normal1"/>
          <w:rFonts w:cs="Arial"/>
          <w:iCs/>
          <w:color w:val="auto"/>
          <w:szCs w:val="24"/>
        </w:rPr>
        <w:t xml:space="preserve">  Consideration will need to be given to this aspect and the layout of the site prior to submitting a planning application.  In addition, given the sites location on the periphery of a medieval village and the </w:t>
      </w:r>
      <w:r w:rsidR="0061128F" w:rsidRPr="00694FCA">
        <w:rPr>
          <w:rStyle w:val="Normal1"/>
          <w:rFonts w:cs="Arial"/>
          <w:iCs/>
          <w:color w:val="auto"/>
          <w:szCs w:val="24"/>
        </w:rPr>
        <w:t>existence</w:t>
      </w:r>
      <w:r w:rsidR="005372F6" w:rsidRPr="00694FCA">
        <w:rPr>
          <w:rStyle w:val="Normal1"/>
          <w:rFonts w:cs="Arial"/>
          <w:iCs/>
          <w:color w:val="auto"/>
          <w:szCs w:val="24"/>
        </w:rPr>
        <w:t xml:space="preserve"> of medieval terracing to the north, the presence of medieval remains cannot be completely ruled out.  </w:t>
      </w:r>
      <w:r w:rsidR="0061128F" w:rsidRPr="00694FCA">
        <w:rPr>
          <w:rStyle w:val="Normal1"/>
          <w:rFonts w:cs="Arial"/>
          <w:iCs/>
          <w:color w:val="auto"/>
          <w:szCs w:val="24"/>
        </w:rPr>
        <w:t xml:space="preserve">Further archaeological evaluation work will be required, beginning with a Desk Based Assessment (DBA), </w:t>
      </w:r>
      <w:r w:rsidR="0061128F" w:rsidRPr="00694FCA">
        <w:rPr>
          <w:rFonts w:ascii="Arial" w:hAnsi="Arial" w:cs="Arial"/>
          <w:color w:val="auto"/>
        </w:rPr>
        <w:t>to ascertain the extent and level of survival of archaeological remains within the site</w:t>
      </w:r>
      <w:r w:rsidR="0061128F" w:rsidRPr="00694FCA">
        <w:rPr>
          <w:rStyle w:val="Normal1"/>
          <w:rFonts w:cs="Arial"/>
          <w:iCs/>
          <w:color w:val="auto"/>
          <w:szCs w:val="24"/>
        </w:rPr>
        <w:t>.  Depending on the results of the DBA further archaeological investigations may be warranted, including a geophysical survey and targeted trial trenching, where necessary.  This work will inform the need for mitigation.</w:t>
      </w:r>
    </w:p>
    <w:p w14:paraId="20CF1E3B" w14:textId="77777777" w:rsidR="00A80D1B" w:rsidRPr="00A80D1B" w:rsidRDefault="00A80D1B" w:rsidP="00A80D1B">
      <w:pPr>
        <w:pStyle w:val="ListParagraph"/>
        <w:rPr>
          <w:rStyle w:val="Normal1"/>
          <w:b/>
          <w:bCs/>
          <w:iCs/>
          <w:color w:val="auto"/>
        </w:rPr>
      </w:pPr>
    </w:p>
    <w:p w14:paraId="540B19E0" w14:textId="085F00E3" w:rsidR="007D2106" w:rsidRPr="004A218C" w:rsidRDefault="00A80D1B" w:rsidP="00874A98">
      <w:pPr>
        <w:pStyle w:val="ListParagraph"/>
        <w:numPr>
          <w:ilvl w:val="1"/>
          <w:numId w:val="92"/>
        </w:numPr>
        <w:autoSpaceDE w:val="0"/>
        <w:autoSpaceDN w:val="0"/>
        <w:adjustRightInd w:val="0"/>
        <w:spacing w:after="0" w:line="240" w:lineRule="auto"/>
        <w:ind w:left="851" w:hanging="851"/>
        <w:rPr>
          <w:rStyle w:val="Normal1"/>
          <w:b/>
          <w:bCs/>
          <w:iCs/>
          <w:color w:val="auto"/>
        </w:rPr>
      </w:pPr>
      <w:bookmarkStart w:id="196" w:name="_Hlk148605597"/>
      <w:r w:rsidRPr="004A218C">
        <w:rPr>
          <w:rStyle w:val="Normal1"/>
          <w:iCs/>
          <w:color w:val="auto"/>
        </w:rPr>
        <w:t xml:space="preserve">To support the Council’s Playing Pitch Strategy (2023) and the long-term future of sports provision in Hucknall, there will be a requirement for a cricket/junior football pitch to be provided on the site.  Hucknall Cricket Club which adjoins the site to the south have a good club infrastructure and facilities, however they lack the </w:t>
      </w:r>
      <w:r w:rsidR="007E68C4" w:rsidRPr="004A218C">
        <w:rPr>
          <w:rStyle w:val="Normal1"/>
          <w:iCs/>
          <w:color w:val="auto"/>
        </w:rPr>
        <w:t xml:space="preserve">pitches needed </w:t>
      </w:r>
      <w:r w:rsidRPr="004A218C">
        <w:rPr>
          <w:rStyle w:val="Normal1"/>
          <w:iCs/>
          <w:color w:val="auto"/>
        </w:rPr>
        <w:t>to ex</w:t>
      </w:r>
      <w:r w:rsidR="007E68C4" w:rsidRPr="004A218C">
        <w:rPr>
          <w:rStyle w:val="Normal1"/>
          <w:iCs/>
          <w:color w:val="auto"/>
        </w:rPr>
        <w:t>pand</w:t>
      </w:r>
      <w:r w:rsidRPr="004A218C">
        <w:rPr>
          <w:rStyle w:val="Normal1"/>
          <w:iCs/>
          <w:color w:val="auto"/>
        </w:rPr>
        <w:t xml:space="preserve"> and grow.  At the time of writing the club is using pitches outside of the district to facilitate demand.  </w:t>
      </w:r>
    </w:p>
    <w:p w14:paraId="63E8918D" w14:textId="77777777" w:rsidR="0044521A" w:rsidRPr="004A218C" w:rsidRDefault="0044521A" w:rsidP="0044521A">
      <w:pPr>
        <w:pStyle w:val="ListParagraph"/>
        <w:rPr>
          <w:rStyle w:val="Normal1"/>
          <w:b/>
          <w:bCs/>
          <w:iCs/>
          <w:color w:val="auto"/>
        </w:rPr>
      </w:pPr>
    </w:p>
    <w:p w14:paraId="7CD9F16B" w14:textId="7797CF3C" w:rsidR="0044521A" w:rsidRPr="004A218C" w:rsidRDefault="0044521A" w:rsidP="00874A98">
      <w:pPr>
        <w:pStyle w:val="ListParagraph"/>
        <w:numPr>
          <w:ilvl w:val="1"/>
          <w:numId w:val="92"/>
        </w:numPr>
        <w:ind w:left="851" w:hanging="851"/>
        <w:rPr>
          <w:rStyle w:val="Normal1"/>
          <w:rFonts w:cs="Arial"/>
          <w:color w:val="auto"/>
          <w:spacing w:val="-1"/>
          <w:szCs w:val="24"/>
        </w:rPr>
      </w:pPr>
      <w:bookmarkStart w:id="197" w:name="_Hlk148604869"/>
      <w:r w:rsidRPr="004A218C">
        <w:rPr>
          <w:rStyle w:val="Normal1"/>
          <w:rFonts w:cs="Arial"/>
          <w:iCs/>
          <w:color w:val="auto"/>
          <w:szCs w:val="24"/>
        </w:rPr>
        <w:t>A c</w:t>
      </w:r>
      <w:r w:rsidRPr="004A218C">
        <w:rPr>
          <w:rFonts w:ascii="Arial" w:eastAsia="Arial" w:hAnsi="Arial" w:cs="Arial"/>
          <w:color w:val="auto"/>
          <w:spacing w:val="-1"/>
          <w:szCs w:val="24"/>
        </w:rPr>
        <w:t xml:space="preserve">oncise </w:t>
      </w:r>
      <w:r w:rsidR="004A218C" w:rsidRPr="004A218C">
        <w:rPr>
          <w:rFonts w:ascii="Arial" w:eastAsia="Arial" w:hAnsi="Arial" w:cs="Arial"/>
          <w:color w:val="auto"/>
          <w:spacing w:val="-1"/>
          <w:szCs w:val="24"/>
        </w:rPr>
        <w:t>masterplan</w:t>
      </w:r>
      <w:r w:rsidRPr="004A218C">
        <w:rPr>
          <w:rFonts w:ascii="Arial" w:eastAsia="Arial" w:hAnsi="Arial" w:cs="Arial"/>
          <w:color w:val="auto"/>
          <w:spacing w:val="-1"/>
          <w:szCs w:val="24"/>
        </w:rPr>
        <w:t xml:space="preserve"> will be available</w:t>
      </w:r>
      <w:r w:rsidR="006E20EE" w:rsidRPr="004A218C">
        <w:rPr>
          <w:rFonts w:ascii="Arial" w:eastAsia="Arial" w:hAnsi="Arial" w:cs="Arial"/>
          <w:color w:val="auto"/>
          <w:spacing w:val="-1"/>
          <w:szCs w:val="24"/>
        </w:rPr>
        <w:t xml:space="preserve"> to identify</w:t>
      </w:r>
      <w:r w:rsidRPr="004A218C">
        <w:rPr>
          <w:rFonts w:ascii="Arial" w:eastAsia="Arial" w:hAnsi="Arial" w:cs="Arial"/>
          <w:color w:val="auto"/>
          <w:spacing w:val="-1"/>
          <w:szCs w:val="24"/>
        </w:rPr>
        <w:t xml:space="preserve"> essential requirements expected by the Council, and provide more detailed advice and guidance specific to the site.</w:t>
      </w:r>
      <w:bookmarkEnd w:id="197"/>
    </w:p>
    <w:bookmarkEnd w:id="196"/>
    <w:p w14:paraId="2223909E" w14:textId="77777777" w:rsidR="007E68C4" w:rsidRPr="004A218C" w:rsidRDefault="007E68C4" w:rsidP="007E68C4">
      <w:pPr>
        <w:autoSpaceDE w:val="0"/>
        <w:autoSpaceDN w:val="0"/>
        <w:adjustRightInd w:val="0"/>
        <w:rPr>
          <w:rStyle w:val="Normal1"/>
          <w:b/>
          <w:bCs/>
          <w:iCs/>
          <w:color w:val="auto"/>
        </w:rPr>
      </w:pPr>
    </w:p>
    <w:p w14:paraId="345B06F8" w14:textId="77777777" w:rsidR="003420AD" w:rsidRPr="001012CC" w:rsidRDefault="00715560" w:rsidP="00874A98">
      <w:pPr>
        <w:pStyle w:val="ListParagraph"/>
        <w:numPr>
          <w:ilvl w:val="1"/>
          <w:numId w:val="92"/>
        </w:numPr>
        <w:autoSpaceDE w:val="0"/>
        <w:autoSpaceDN w:val="0"/>
        <w:adjustRightInd w:val="0"/>
        <w:spacing w:after="0" w:line="240" w:lineRule="auto"/>
        <w:ind w:left="851" w:hanging="851"/>
        <w:rPr>
          <w:rStyle w:val="Normal1"/>
          <w:rFonts w:eastAsia="Calibri" w:cs="Arial"/>
          <w:bCs/>
          <w:color w:val="auto"/>
          <w:szCs w:val="24"/>
        </w:rPr>
      </w:pPr>
      <w:bookmarkStart w:id="198" w:name="_Hlk77846563"/>
      <w:r w:rsidRPr="004A218C">
        <w:rPr>
          <w:rStyle w:val="Normal1"/>
          <w:rFonts w:cs="Arial"/>
          <w:b/>
          <w:bCs/>
          <w:iCs/>
          <w:color w:val="auto"/>
          <w:szCs w:val="24"/>
        </w:rPr>
        <w:t>Site H1Hc:</w:t>
      </w:r>
      <w:bookmarkEnd w:id="198"/>
      <w:r w:rsidRPr="004A218C">
        <w:rPr>
          <w:rStyle w:val="Normal1"/>
          <w:b/>
          <w:bCs/>
          <w:iCs/>
          <w:color w:val="auto"/>
        </w:rPr>
        <w:t xml:space="preserve"> </w:t>
      </w:r>
      <w:r w:rsidRPr="004A218C">
        <w:rPr>
          <w:rStyle w:val="Normal1"/>
          <w:b/>
          <w:bCs/>
          <w:color w:val="auto"/>
        </w:rPr>
        <w:t>Land north of A611 / South of Broomhill Farm, Hucknall.</w:t>
      </w:r>
      <w:r w:rsidRPr="004A218C">
        <w:rPr>
          <w:rStyle w:val="Normal1"/>
          <w:rFonts w:cs="Arial"/>
          <w:b/>
          <w:bCs/>
          <w:iCs/>
          <w:color w:val="auto"/>
          <w:szCs w:val="24"/>
        </w:rPr>
        <w:t xml:space="preserve"> </w:t>
      </w:r>
      <w:r w:rsidRPr="004A218C">
        <w:rPr>
          <w:rStyle w:val="Normal1"/>
          <w:rFonts w:cs="Arial"/>
          <w:iCs/>
          <w:color w:val="auto"/>
          <w:szCs w:val="24"/>
        </w:rPr>
        <w:t>This is an amalgamation of 4 parcels of land submitted individually for assessment through the SHLAA (ref. HK016</w:t>
      </w:r>
      <w:r w:rsidRPr="004A218C">
        <w:rPr>
          <w:rStyle w:val="Normal1"/>
          <w:rFonts w:cs="Arial"/>
          <w:color w:val="auto"/>
          <w:szCs w:val="24"/>
        </w:rPr>
        <w:t>, HK034, HK043, HK050). As a whole</w:t>
      </w:r>
      <w:r w:rsidR="00246975" w:rsidRPr="004A218C">
        <w:rPr>
          <w:rStyle w:val="Normal1"/>
          <w:rFonts w:cs="Arial"/>
          <w:color w:val="auto"/>
          <w:szCs w:val="24"/>
        </w:rPr>
        <w:t xml:space="preserve"> (SHELAA ref. HK051)</w:t>
      </w:r>
      <w:r w:rsidRPr="004A218C">
        <w:rPr>
          <w:rStyle w:val="Normal1"/>
          <w:rFonts w:cs="Arial"/>
          <w:color w:val="auto"/>
          <w:szCs w:val="24"/>
        </w:rPr>
        <w:t xml:space="preserve">, it has been assessed as being available, potentially suitable, and potentially achievable. The site is located adjacent to the existing urban area on land previously designated as Green Belt. The site is well contained by the A611 </w:t>
      </w:r>
      <w:r w:rsidRPr="001012CC">
        <w:rPr>
          <w:rStyle w:val="Normal1"/>
          <w:rFonts w:cs="Arial"/>
          <w:color w:val="auto"/>
          <w:szCs w:val="24"/>
        </w:rPr>
        <w:t xml:space="preserve">Hucknall by-pass and the estimated yield has been reduced to allow for a buffer between the road and new development. </w:t>
      </w:r>
    </w:p>
    <w:p w14:paraId="23272592" w14:textId="77777777" w:rsidR="003420AD" w:rsidRPr="001012CC" w:rsidRDefault="003420AD" w:rsidP="003420AD">
      <w:pPr>
        <w:pStyle w:val="ListParagraph"/>
        <w:rPr>
          <w:rStyle w:val="Normal1"/>
          <w:rFonts w:cs="Arial"/>
          <w:color w:val="auto"/>
          <w:szCs w:val="24"/>
        </w:rPr>
      </w:pPr>
    </w:p>
    <w:p w14:paraId="21F4A946" w14:textId="514FBAA1" w:rsidR="00715560" w:rsidRPr="001012CC" w:rsidRDefault="00715560" w:rsidP="00874A98">
      <w:pPr>
        <w:pStyle w:val="ListParagraph"/>
        <w:numPr>
          <w:ilvl w:val="1"/>
          <w:numId w:val="92"/>
        </w:numPr>
        <w:autoSpaceDE w:val="0"/>
        <w:autoSpaceDN w:val="0"/>
        <w:adjustRightInd w:val="0"/>
        <w:spacing w:after="0" w:line="240" w:lineRule="auto"/>
        <w:ind w:left="851" w:hanging="851"/>
        <w:rPr>
          <w:rFonts w:ascii="Arial" w:eastAsia="Calibri" w:hAnsi="Arial" w:cs="Arial"/>
          <w:bCs/>
          <w:strike/>
          <w:color w:val="auto"/>
          <w:szCs w:val="24"/>
        </w:rPr>
      </w:pPr>
      <w:r w:rsidRPr="001012CC">
        <w:rPr>
          <w:rStyle w:val="Normal1"/>
          <w:rFonts w:cs="Arial"/>
          <w:color w:val="auto"/>
          <w:szCs w:val="24"/>
        </w:rPr>
        <w:t>The</w:t>
      </w:r>
      <w:r w:rsidRPr="001012CC">
        <w:rPr>
          <w:rFonts w:ascii="Arial" w:hAnsi="Arial" w:cs="Arial"/>
          <w:color w:val="auto"/>
          <w:szCs w:val="24"/>
        </w:rPr>
        <w:t xml:space="preserve"> allocation is located within an SSSI Impact Risk Zone and includes a Local Wildlife Site within the site boundary</w:t>
      </w:r>
      <w:r w:rsidR="003420AD" w:rsidRPr="001012CC">
        <w:rPr>
          <w:rFonts w:ascii="Arial" w:hAnsi="Arial" w:cs="Arial"/>
          <w:color w:val="auto"/>
          <w:szCs w:val="24"/>
        </w:rPr>
        <w:t>,</w:t>
      </w:r>
      <w:r w:rsidR="003420AD" w:rsidRPr="001012CC">
        <w:rPr>
          <w:rStyle w:val="Normal1"/>
          <w:rFonts w:cs="Arial"/>
          <w:iCs/>
          <w:color w:val="auto"/>
          <w:szCs w:val="24"/>
        </w:rPr>
        <w:t xml:space="preserve"> </w:t>
      </w:r>
      <w:bookmarkStart w:id="199" w:name="_Hlk148605681"/>
      <w:r w:rsidR="003420AD" w:rsidRPr="001012CC">
        <w:rPr>
          <w:rStyle w:val="Normal1"/>
          <w:rFonts w:cs="Arial"/>
          <w:iCs/>
          <w:color w:val="auto"/>
          <w:szCs w:val="24"/>
        </w:rPr>
        <w:t>any potential development will need to take into account the scope to avoid or mitigate any impacts on biodiversity.</w:t>
      </w:r>
      <w:r w:rsidRPr="001012CC">
        <w:rPr>
          <w:rFonts w:ascii="Arial" w:hAnsi="Arial" w:cs="Arial"/>
          <w:color w:val="auto"/>
          <w:szCs w:val="24"/>
        </w:rPr>
        <w:t xml:space="preserve"> </w:t>
      </w:r>
      <w:bookmarkEnd w:id="199"/>
      <w:r w:rsidRPr="001012CC">
        <w:rPr>
          <w:rFonts w:ascii="Arial" w:hAnsi="Arial" w:cs="Arial"/>
          <w:color w:val="auto"/>
          <w:szCs w:val="24"/>
        </w:rPr>
        <w:t>The site is within Flood Zone 1, however, Farley Brook runs to the south and south</w:t>
      </w:r>
      <w:r w:rsidR="00F54961" w:rsidRPr="001012CC">
        <w:rPr>
          <w:rFonts w:ascii="Arial" w:hAnsi="Arial" w:cs="Arial"/>
          <w:color w:val="auto"/>
          <w:szCs w:val="24"/>
        </w:rPr>
        <w:t>-</w:t>
      </w:r>
      <w:r w:rsidRPr="001012CC">
        <w:rPr>
          <w:rFonts w:ascii="Arial" w:hAnsi="Arial" w:cs="Arial"/>
          <w:color w:val="auto"/>
          <w:szCs w:val="24"/>
        </w:rPr>
        <w:t>west of the Hucknall Bypass. Primary access to the site will be taken from the A611 with a secondary access from Nottingham Road.</w:t>
      </w:r>
      <w:r w:rsidRPr="001012CC">
        <w:rPr>
          <w:rFonts w:ascii="Arial" w:eastAsia="Calibri" w:hAnsi="Arial" w:cs="Arial"/>
          <w:color w:val="auto"/>
          <w:szCs w:val="24"/>
        </w:rPr>
        <w:t xml:space="preserve"> </w:t>
      </w:r>
      <w:bookmarkStart w:id="200" w:name="_Hlk147310370"/>
    </w:p>
    <w:p w14:paraId="414B11E1" w14:textId="77777777" w:rsidR="003420AD" w:rsidRPr="001012CC" w:rsidRDefault="003420AD" w:rsidP="003420AD">
      <w:pPr>
        <w:pStyle w:val="ListParagraph"/>
        <w:rPr>
          <w:rFonts w:ascii="Arial" w:eastAsia="Calibri" w:hAnsi="Arial" w:cs="Arial"/>
          <w:bCs/>
          <w:color w:val="auto"/>
          <w:szCs w:val="24"/>
        </w:rPr>
      </w:pPr>
    </w:p>
    <w:p w14:paraId="2909EA16" w14:textId="056A9FA5" w:rsidR="003420AD" w:rsidRPr="001012CC" w:rsidRDefault="003420AD" w:rsidP="00874A98">
      <w:pPr>
        <w:pStyle w:val="ListParagraph"/>
        <w:numPr>
          <w:ilvl w:val="1"/>
          <w:numId w:val="92"/>
        </w:numPr>
        <w:autoSpaceDE w:val="0"/>
        <w:autoSpaceDN w:val="0"/>
        <w:adjustRightInd w:val="0"/>
        <w:spacing w:after="0" w:line="240" w:lineRule="auto"/>
        <w:ind w:left="851" w:hanging="851"/>
        <w:rPr>
          <w:rFonts w:ascii="Arial" w:eastAsia="Calibri" w:hAnsi="Arial" w:cs="Arial"/>
          <w:bCs/>
          <w:color w:val="auto"/>
          <w:szCs w:val="24"/>
        </w:rPr>
      </w:pPr>
      <w:bookmarkStart w:id="201" w:name="_Hlk148605722"/>
      <w:r w:rsidRPr="001012CC">
        <w:rPr>
          <w:rFonts w:ascii="Arial" w:eastAsia="Calibri" w:hAnsi="Arial" w:cs="Arial"/>
          <w:bCs/>
          <w:color w:val="auto"/>
          <w:szCs w:val="24"/>
        </w:rPr>
        <w:t>There will be a requirement for the supply of allotment</w:t>
      </w:r>
      <w:r w:rsidR="001012CC">
        <w:rPr>
          <w:rFonts w:ascii="Arial" w:eastAsia="Calibri" w:hAnsi="Arial" w:cs="Arial"/>
          <w:bCs/>
          <w:color w:val="auto"/>
          <w:szCs w:val="24"/>
        </w:rPr>
        <w:t>s</w:t>
      </w:r>
      <w:r w:rsidRPr="001012CC">
        <w:rPr>
          <w:rFonts w:ascii="Arial" w:eastAsia="Calibri" w:hAnsi="Arial" w:cs="Arial"/>
          <w:bCs/>
          <w:color w:val="auto"/>
          <w:szCs w:val="24"/>
        </w:rPr>
        <w:t xml:space="preserve"> on the site to serve the demand for allotments within the Hucknall area. </w:t>
      </w:r>
    </w:p>
    <w:p w14:paraId="08448520" w14:textId="77777777" w:rsidR="0044521A" w:rsidRPr="001012CC" w:rsidRDefault="0044521A" w:rsidP="0044521A">
      <w:pPr>
        <w:pStyle w:val="ListParagraph"/>
        <w:spacing w:after="0" w:line="240" w:lineRule="auto"/>
        <w:rPr>
          <w:rFonts w:ascii="Arial" w:eastAsia="Calibri" w:hAnsi="Arial" w:cs="Arial"/>
          <w:bCs/>
          <w:color w:val="auto"/>
          <w:szCs w:val="24"/>
        </w:rPr>
      </w:pPr>
    </w:p>
    <w:p w14:paraId="7D2F0521" w14:textId="2965D673" w:rsidR="0044521A" w:rsidRPr="004A218C" w:rsidRDefault="0044521A" w:rsidP="00874A98">
      <w:pPr>
        <w:pStyle w:val="ListParagraph"/>
        <w:numPr>
          <w:ilvl w:val="1"/>
          <w:numId w:val="92"/>
        </w:numPr>
        <w:spacing w:after="0" w:line="240" w:lineRule="auto"/>
        <w:ind w:left="851" w:hanging="851"/>
        <w:rPr>
          <w:rFonts w:ascii="Arial" w:eastAsia="Arial" w:hAnsi="Arial" w:cs="Arial"/>
          <w:color w:val="auto"/>
          <w:spacing w:val="-1"/>
          <w:szCs w:val="24"/>
        </w:rPr>
      </w:pPr>
      <w:r w:rsidRPr="004A218C">
        <w:rPr>
          <w:rStyle w:val="Normal1"/>
          <w:rFonts w:cs="Arial"/>
          <w:iCs/>
          <w:color w:val="auto"/>
          <w:szCs w:val="24"/>
        </w:rPr>
        <w:t>A c</w:t>
      </w:r>
      <w:r w:rsidRPr="004A218C">
        <w:rPr>
          <w:rFonts w:ascii="Arial" w:eastAsia="Arial" w:hAnsi="Arial" w:cs="Arial"/>
          <w:color w:val="auto"/>
          <w:spacing w:val="-1"/>
          <w:szCs w:val="24"/>
        </w:rPr>
        <w:t xml:space="preserve">oncise </w:t>
      </w:r>
      <w:r w:rsidR="004A218C" w:rsidRPr="004A218C">
        <w:rPr>
          <w:rFonts w:ascii="Arial" w:eastAsia="Arial" w:hAnsi="Arial" w:cs="Arial"/>
          <w:color w:val="auto"/>
          <w:spacing w:val="-1"/>
          <w:szCs w:val="24"/>
        </w:rPr>
        <w:t>masterplan</w:t>
      </w:r>
      <w:r w:rsidRPr="004A218C">
        <w:rPr>
          <w:rFonts w:ascii="Arial" w:eastAsia="Arial" w:hAnsi="Arial" w:cs="Arial"/>
          <w:color w:val="auto"/>
          <w:spacing w:val="-1"/>
          <w:szCs w:val="24"/>
        </w:rPr>
        <w:t xml:space="preserve"> will be available</w:t>
      </w:r>
      <w:r w:rsidR="006E20EE" w:rsidRPr="004A218C">
        <w:rPr>
          <w:rFonts w:ascii="Arial" w:eastAsia="Arial" w:hAnsi="Arial" w:cs="Arial"/>
          <w:color w:val="auto"/>
          <w:spacing w:val="-1"/>
          <w:szCs w:val="24"/>
        </w:rPr>
        <w:t xml:space="preserve"> to identify</w:t>
      </w:r>
      <w:r w:rsidRPr="004A218C">
        <w:rPr>
          <w:rFonts w:ascii="Arial" w:eastAsia="Arial" w:hAnsi="Arial" w:cs="Arial"/>
          <w:color w:val="auto"/>
          <w:spacing w:val="-1"/>
          <w:szCs w:val="24"/>
        </w:rPr>
        <w:t xml:space="preserve"> essential requirements expected by the Council, and provide more detailed advice and guidance specific to the site.</w:t>
      </w:r>
    </w:p>
    <w:bookmarkEnd w:id="200"/>
    <w:bookmarkEnd w:id="201"/>
    <w:p w14:paraId="420EA99D" w14:textId="77777777" w:rsidR="00715560" w:rsidRPr="0044521A" w:rsidRDefault="00715560" w:rsidP="00715560">
      <w:pPr>
        <w:autoSpaceDE w:val="0"/>
        <w:autoSpaceDN w:val="0"/>
        <w:adjustRightInd w:val="0"/>
        <w:rPr>
          <w:rStyle w:val="Normal1"/>
          <w:rFonts w:cs="Arial"/>
          <w:bCs/>
          <w:iCs/>
          <w:color w:val="auto"/>
          <w:szCs w:val="24"/>
        </w:rPr>
      </w:pPr>
    </w:p>
    <w:p w14:paraId="109DE62A" w14:textId="1BA2DE90" w:rsidR="00694FCA" w:rsidRPr="004A218C" w:rsidRDefault="00715560" w:rsidP="00874A98">
      <w:pPr>
        <w:pStyle w:val="ListParagraph"/>
        <w:numPr>
          <w:ilvl w:val="1"/>
          <w:numId w:val="92"/>
        </w:numPr>
        <w:autoSpaceDE w:val="0"/>
        <w:autoSpaceDN w:val="0"/>
        <w:adjustRightInd w:val="0"/>
        <w:spacing w:after="0" w:line="240" w:lineRule="auto"/>
        <w:ind w:left="851" w:hanging="851"/>
        <w:rPr>
          <w:rFonts w:ascii="Arial" w:eastAsia="Arial" w:hAnsi="Arial" w:cs="Arial"/>
          <w:iCs/>
          <w:strike/>
          <w:color w:val="auto"/>
          <w:szCs w:val="24"/>
        </w:rPr>
      </w:pPr>
      <w:bookmarkStart w:id="202" w:name="_Hlk148952139"/>
      <w:r w:rsidRPr="004A218C">
        <w:rPr>
          <w:rStyle w:val="Normal1"/>
          <w:rFonts w:cs="Arial"/>
          <w:b/>
          <w:bCs/>
          <w:iCs/>
          <w:color w:val="auto"/>
          <w:szCs w:val="24"/>
        </w:rPr>
        <w:t xml:space="preserve">Site H1Hd: </w:t>
      </w:r>
      <w:r w:rsidRPr="004A218C">
        <w:rPr>
          <w:rStyle w:val="Normal1"/>
          <w:b/>
          <w:bCs/>
          <w:color w:val="auto"/>
        </w:rPr>
        <w:t>Land adjoining Stubbing Wood Farm, Watnall Road, Hucknall.</w:t>
      </w:r>
      <w:r w:rsidRPr="004A218C">
        <w:rPr>
          <w:rStyle w:val="Normal1"/>
          <w:rFonts w:cs="Arial"/>
          <w:b/>
          <w:bCs/>
          <w:iCs/>
          <w:color w:val="auto"/>
          <w:szCs w:val="24"/>
        </w:rPr>
        <w:t xml:space="preserve"> </w:t>
      </w:r>
      <w:r w:rsidRPr="004A218C">
        <w:rPr>
          <w:rStyle w:val="Normal1"/>
          <w:rFonts w:cs="Arial"/>
          <w:iCs/>
          <w:color w:val="auto"/>
          <w:szCs w:val="24"/>
        </w:rPr>
        <w:t xml:space="preserve">This is a greenfield site which has been assessed as available, potentially suitable, and achievable in the SHELAA (ref. HK022). The site is located adjacent to the existing urban area </w:t>
      </w:r>
      <w:r w:rsidR="009D77EE" w:rsidRPr="004A218C">
        <w:rPr>
          <w:rStyle w:val="Normal1"/>
          <w:rFonts w:cs="Arial"/>
          <w:iCs/>
          <w:color w:val="auto"/>
          <w:szCs w:val="24"/>
        </w:rPr>
        <w:t xml:space="preserve">of Hucknall </w:t>
      </w:r>
      <w:r w:rsidRPr="004A218C">
        <w:rPr>
          <w:rStyle w:val="Normal1"/>
          <w:rFonts w:cs="Arial"/>
          <w:iCs/>
          <w:color w:val="auto"/>
          <w:szCs w:val="24"/>
        </w:rPr>
        <w:t xml:space="preserve">on land previously designated as Green Belt and extends to the boundary with Broxtowe Borough in the west.  The site is well contained by Watnall </w:t>
      </w:r>
      <w:r w:rsidR="001F122D" w:rsidRPr="004A218C">
        <w:rPr>
          <w:rStyle w:val="Normal1"/>
          <w:rFonts w:cs="Arial"/>
          <w:iCs/>
          <w:color w:val="auto"/>
          <w:szCs w:val="24"/>
        </w:rPr>
        <w:t>R</w:t>
      </w:r>
      <w:r w:rsidRPr="004A218C">
        <w:rPr>
          <w:rStyle w:val="Normal1"/>
          <w:rFonts w:cs="Arial"/>
          <w:iCs/>
          <w:color w:val="auto"/>
          <w:szCs w:val="24"/>
        </w:rPr>
        <w:t xml:space="preserve">oad and existing residential development to the north and east, and a water course to the west. </w:t>
      </w:r>
    </w:p>
    <w:p w14:paraId="22635147" w14:textId="77777777" w:rsidR="00715560" w:rsidRPr="004A218C" w:rsidRDefault="00715560" w:rsidP="00F54961">
      <w:pPr>
        <w:pStyle w:val="ListParagraph"/>
        <w:autoSpaceDE w:val="0"/>
        <w:autoSpaceDN w:val="0"/>
        <w:adjustRightInd w:val="0"/>
        <w:spacing w:after="0" w:line="240" w:lineRule="auto"/>
        <w:ind w:left="851"/>
        <w:rPr>
          <w:rStyle w:val="Normal1"/>
          <w:rFonts w:cs="Arial"/>
          <w:b/>
          <w:bCs/>
          <w:iCs/>
          <w:color w:val="auto"/>
          <w:szCs w:val="24"/>
        </w:rPr>
      </w:pPr>
    </w:p>
    <w:p w14:paraId="5731CE75" w14:textId="5E6DBE37" w:rsidR="00715560" w:rsidRPr="00694FCA" w:rsidRDefault="00715560" w:rsidP="00874A98">
      <w:pPr>
        <w:pStyle w:val="ListParagraph"/>
        <w:numPr>
          <w:ilvl w:val="1"/>
          <w:numId w:val="92"/>
        </w:numPr>
        <w:autoSpaceDE w:val="0"/>
        <w:autoSpaceDN w:val="0"/>
        <w:adjustRightInd w:val="0"/>
        <w:spacing w:after="0" w:line="240" w:lineRule="auto"/>
        <w:ind w:left="851" w:hanging="851"/>
        <w:rPr>
          <w:rStyle w:val="Normal1"/>
          <w:rFonts w:cs="Arial"/>
          <w:iCs/>
          <w:color w:val="auto"/>
          <w:szCs w:val="24"/>
        </w:rPr>
      </w:pPr>
      <w:r w:rsidRPr="004A218C">
        <w:rPr>
          <w:rStyle w:val="Normal1"/>
          <w:rFonts w:cs="Arial"/>
          <w:iCs/>
          <w:color w:val="auto"/>
          <w:szCs w:val="24"/>
        </w:rPr>
        <w:t>The site</w:t>
      </w:r>
      <w:r w:rsidRPr="00694FCA">
        <w:rPr>
          <w:rStyle w:val="Normal1"/>
          <w:rFonts w:cs="Arial"/>
          <w:iCs/>
          <w:color w:val="auto"/>
          <w:szCs w:val="24"/>
        </w:rPr>
        <w:t xml:space="preserve"> </w:t>
      </w:r>
      <w:r w:rsidR="00F54961" w:rsidRPr="00694FCA">
        <w:rPr>
          <w:rStyle w:val="Normal1"/>
          <w:rFonts w:cs="Arial"/>
          <w:iCs/>
          <w:color w:val="auto"/>
          <w:szCs w:val="24"/>
        </w:rPr>
        <w:t xml:space="preserve">will </w:t>
      </w:r>
      <w:r w:rsidRPr="00694FCA">
        <w:rPr>
          <w:rStyle w:val="Normal1"/>
          <w:rFonts w:cs="Arial"/>
          <w:iCs/>
          <w:color w:val="auto"/>
          <w:szCs w:val="24"/>
        </w:rPr>
        <w:t xml:space="preserve">require a master-planned access strategy with 2 points of access onto Long Lane and Lancaster Road. The main road corridor should be looped suitable for buses and interconnected throughout. </w:t>
      </w:r>
      <w:r w:rsidR="00A47CB1" w:rsidRPr="00694FCA">
        <w:rPr>
          <w:rStyle w:val="Normal1"/>
          <w:rFonts w:cs="Arial"/>
          <w:iCs/>
          <w:color w:val="auto"/>
          <w:szCs w:val="24"/>
        </w:rPr>
        <w:t>The southern part of the site close to Watnall Road identifies a significant area at a high risk of surface flooding. Consequently, mitigation measures will be required.  Severn Trent have also identified that network improvements to the foul sewers is likely to be required.</w:t>
      </w:r>
    </w:p>
    <w:p w14:paraId="2CCA4B27" w14:textId="77777777" w:rsidR="00715560" w:rsidRPr="00694FCA" w:rsidRDefault="00715560" w:rsidP="00F54961">
      <w:pPr>
        <w:pStyle w:val="ListParagraph"/>
        <w:autoSpaceDE w:val="0"/>
        <w:autoSpaceDN w:val="0"/>
        <w:adjustRightInd w:val="0"/>
        <w:spacing w:after="0" w:line="240" w:lineRule="auto"/>
        <w:ind w:left="851"/>
        <w:rPr>
          <w:rStyle w:val="Normal1"/>
          <w:rFonts w:cs="Arial"/>
          <w:iCs/>
          <w:color w:val="auto"/>
          <w:szCs w:val="24"/>
        </w:rPr>
      </w:pPr>
    </w:p>
    <w:p w14:paraId="2EB4A04B" w14:textId="77777777" w:rsidR="001F122D" w:rsidRPr="00694FCA" w:rsidRDefault="00715560" w:rsidP="00874A98">
      <w:pPr>
        <w:pStyle w:val="ListParagraph"/>
        <w:numPr>
          <w:ilvl w:val="1"/>
          <w:numId w:val="92"/>
        </w:numPr>
        <w:autoSpaceDE w:val="0"/>
        <w:autoSpaceDN w:val="0"/>
        <w:adjustRightInd w:val="0"/>
        <w:spacing w:after="0" w:line="240" w:lineRule="auto"/>
        <w:ind w:left="851" w:hanging="851"/>
        <w:rPr>
          <w:rStyle w:val="Normal1"/>
          <w:rFonts w:cs="Arial"/>
          <w:iCs/>
          <w:color w:val="auto"/>
          <w:szCs w:val="24"/>
        </w:rPr>
      </w:pPr>
      <w:r w:rsidRPr="00694FCA">
        <w:rPr>
          <w:rStyle w:val="Normal1"/>
          <w:rFonts w:cs="Arial"/>
          <w:iCs/>
          <w:color w:val="auto"/>
          <w:szCs w:val="24"/>
        </w:rPr>
        <w:t>Starth Wood adjacent to part of the site is identified as an ancient and semi natural woodland</w:t>
      </w:r>
      <w:r w:rsidR="00F54961" w:rsidRPr="00694FCA">
        <w:rPr>
          <w:rStyle w:val="Normal1"/>
          <w:rFonts w:cs="Arial"/>
          <w:iCs/>
          <w:color w:val="auto"/>
          <w:szCs w:val="24"/>
        </w:rPr>
        <w:t xml:space="preserve"> and i</w:t>
      </w:r>
      <w:r w:rsidRPr="00694FCA">
        <w:rPr>
          <w:rStyle w:val="Normal1"/>
          <w:rFonts w:cs="Arial"/>
          <w:iCs/>
          <w:color w:val="auto"/>
          <w:szCs w:val="24"/>
        </w:rPr>
        <w:t xml:space="preserve">t is also a Local Wildlife Site. Any potential development will need to take into account the scope to avoid or mitigate any impacts on biodiversity.   </w:t>
      </w:r>
    </w:p>
    <w:p w14:paraId="62762C5F" w14:textId="77777777" w:rsidR="001F122D" w:rsidRPr="00694FCA" w:rsidRDefault="001F122D" w:rsidP="001F122D">
      <w:pPr>
        <w:pStyle w:val="ListParagraph"/>
        <w:rPr>
          <w:rStyle w:val="Normal1"/>
          <w:rFonts w:cs="Arial"/>
          <w:iCs/>
          <w:color w:val="auto"/>
          <w:szCs w:val="24"/>
        </w:rPr>
      </w:pPr>
    </w:p>
    <w:p w14:paraId="7E7FB836" w14:textId="77E65385" w:rsidR="00715560" w:rsidRPr="00694FCA" w:rsidRDefault="005D5D1D" w:rsidP="00874A98">
      <w:pPr>
        <w:pStyle w:val="ListParagraph"/>
        <w:numPr>
          <w:ilvl w:val="1"/>
          <w:numId w:val="92"/>
        </w:numPr>
        <w:autoSpaceDE w:val="0"/>
        <w:autoSpaceDN w:val="0"/>
        <w:adjustRightInd w:val="0"/>
        <w:spacing w:after="0" w:line="240" w:lineRule="auto"/>
        <w:ind w:left="851" w:hanging="851"/>
        <w:rPr>
          <w:rFonts w:ascii="Arial" w:eastAsia="Arial" w:hAnsi="Arial" w:cs="Arial"/>
          <w:iCs/>
          <w:color w:val="auto"/>
          <w:szCs w:val="24"/>
        </w:rPr>
      </w:pPr>
      <w:r w:rsidRPr="00694FCA">
        <w:rPr>
          <w:rStyle w:val="Normal1"/>
          <w:rFonts w:cs="Arial"/>
          <w:iCs/>
          <w:color w:val="auto"/>
          <w:szCs w:val="24"/>
        </w:rPr>
        <w:t xml:space="preserve">The </w:t>
      </w:r>
      <w:r w:rsidR="00715560" w:rsidRPr="00694FCA">
        <w:rPr>
          <w:rStyle w:val="Normal1"/>
          <w:rFonts w:cs="Arial"/>
          <w:iCs/>
          <w:color w:val="auto"/>
          <w:szCs w:val="24"/>
        </w:rPr>
        <w:t xml:space="preserve">Grade II Listed ‘Hucknall Battle </w:t>
      </w:r>
      <w:r w:rsidR="001770A9" w:rsidRPr="00694FCA">
        <w:rPr>
          <w:rStyle w:val="Normal1"/>
          <w:rFonts w:cs="Arial"/>
          <w:iCs/>
          <w:color w:val="auto"/>
          <w:szCs w:val="24"/>
        </w:rPr>
        <w:t>Headquarters</w:t>
      </w:r>
      <w:r w:rsidR="00715560" w:rsidRPr="00694FCA">
        <w:rPr>
          <w:rStyle w:val="Normal1"/>
          <w:rFonts w:cs="Arial"/>
          <w:iCs/>
          <w:color w:val="auto"/>
          <w:szCs w:val="24"/>
        </w:rPr>
        <w:t xml:space="preserve">’ to Hucknall aerodrome is located </w:t>
      </w:r>
      <w:r w:rsidRPr="00694FCA">
        <w:rPr>
          <w:rStyle w:val="Normal1"/>
          <w:rFonts w:cs="Arial"/>
          <w:iCs/>
          <w:color w:val="auto"/>
          <w:szCs w:val="24"/>
        </w:rPr>
        <w:t xml:space="preserve">to the northeast </w:t>
      </w:r>
      <w:r w:rsidR="00715560" w:rsidRPr="00694FCA">
        <w:rPr>
          <w:rStyle w:val="Normal1"/>
          <w:rFonts w:cs="Arial"/>
          <w:iCs/>
          <w:color w:val="auto"/>
          <w:szCs w:val="24"/>
        </w:rPr>
        <w:t>of the site</w:t>
      </w:r>
      <w:r w:rsidRPr="00694FCA">
        <w:rPr>
          <w:rStyle w:val="Normal1"/>
          <w:rFonts w:cs="Arial"/>
          <w:iCs/>
          <w:color w:val="auto"/>
          <w:szCs w:val="24"/>
        </w:rPr>
        <w:t xml:space="preserve">, </w:t>
      </w:r>
      <w:r w:rsidR="00CA5351" w:rsidRPr="00694FCA">
        <w:rPr>
          <w:rStyle w:val="Normal1"/>
          <w:rFonts w:cs="Arial"/>
          <w:iCs/>
          <w:color w:val="auto"/>
          <w:szCs w:val="24"/>
        </w:rPr>
        <w:t xml:space="preserve">which </w:t>
      </w:r>
      <w:r w:rsidRPr="00694FCA">
        <w:rPr>
          <w:rFonts w:ascii="Arial" w:hAnsi="Arial" w:cs="Arial"/>
          <w:color w:val="auto"/>
        </w:rPr>
        <w:t>comprises a below-ground command post and tunnel with a three-storey above ground observation tower.</w:t>
      </w:r>
      <w:r w:rsidR="00715560" w:rsidRPr="00694FCA">
        <w:rPr>
          <w:rStyle w:val="Normal1"/>
          <w:rFonts w:cs="Arial"/>
          <w:iCs/>
          <w:color w:val="auto"/>
          <w:szCs w:val="24"/>
        </w:rPr>
        <w:t xml:space="preserve"> </w:t>
      </w:r>
      <w:r w:rsidRPr="00694FCA">
        <w:rPr>
          <w:rFonts w:ascii="Arial" w:hAnsi="Arial" w:cs="Arial"/>
          <w:color w:val="auto"/>
        </w:rPr>
        <w:t xml:space="preserve">The asset sits on high ground, surrounded by residential development and farmland. The open fields to the southwest and the tower’s prominent position provide an understanding of its purpose as a lookout point. The </w:t>
      </w:r>
      <w:r w:rsidR="00CA5351" w:rsidRPr="00694FCA">
        <w:rPr>
          <w:rFonts w:ascii="Arial" w:hAnsi="Arial" w:cs="Arial"/>
          <w:color w:val="auto"/>
        </w:rPr>
        <w:t xml:space="preserve">Battle </w:t>
      </w:r>
      <w:r w:rsidRPr="00694FCA">
        <w:rPr>
          <w:rFonts w:ascii="Arial" w:hAnsi="Arial" w:cs="Arial"/>
          <w:color w:val="auto"/>
        </w:rPr>
        <w:t xml:space="preserve">Headquarters must be preserved </w:t>
      </w:r>
      <w:r w:rsidR="00CA5351" w:rsidRPr="00694FCA">
        <w:rPr>
          <w:rFonts w:ascii="Arial" w:hAnsi="Arial" w:cs="Arial"/>
          <w:color w:val="auto"/>
        </w:rPr>
        <w:t>in situ</w:t>
      </w:r>
      <w:r w:rsidRPr="00694FCA">
        <w:rPr>
          <w:rFonts w:ascii="Arial" w:hAnsi="Arial" w:cs="Arial"/>
          <w:color w:val="auto"/>
        </w:rPr>
        <w:t xml:space="preserve"> with an </w:t>
      </w:r>
      <w:r w:rsidR="009D77EE" w:rsidRPr="00694FCA">
        <w:rPr>
          <w:rFonts w:ascii="Arial" w:hAnsi="Arial" w:cs="Arial"/>
          <w:color w:val="auto"/>
        </w:rPr>
        <w:t xml:space="preserve">agreed </w:t>
      </w:r>
      <w:r w:rsidRPr="00694FCA">
        <w:rPr>
          <w:rFonts w:ascii="Arial" w:hAnsi="Arial" w:cs="Arial"/>
          <w:color w:val="auto"/>
        </w:rPr>
        <w:t xml:space="preserve">appropriate buffer around the tower. Investigations will also be required </w:t>
      </w:r>
      <w:r w:rsidR="009D77EE" w:rsidRPr="00694FCA">
        <w:rPr>
          <w:rFonts w:ascii="Arial" w:hAnsi="Arial" w:cs="Arial"/>
          <w:color w:val="auto"/>
        </w:rPr>
        <w:t xml:space="preserve">to </w:t>
      </w:r>
      <w:r w:rsidR="00CA5351" w:rsidRPr="00694FCA">
        <w:rPr>
          <w:rFonts w:ascii="Arial" w:hAnsi="Arial" w:cs="Arial"/>
          <w:color w:val="auto"/>
        </w:rPr>
        <w:t xml:space="preserve">understand the </w:t>
      </w:r>
      <w:r w:rsidRPr="00694FCA">
        <w:rPr>
          <w:rFonts w:ascii="Arial" w:hAnsi="Arial" w:cs="Arial"/>
          <w:color w:val="auto"/>
        </w:rPr>
        <w:t xml:space="preserve">extent of subterranean chambers </w:t>
      </w:r>
      <w:r w:rsidR="00CA5351" w:rsidRPr="00694FCA">
        <w:rPr>
          <w:rFonts w:ascii="Arial" w:hAnsi="Arial" w:cs="Arial"/>
          <w:color w:val="auto"/>
        </w:rPr>
        <w:t>beneath</w:t>
      </w:r>
      <w:r w:rsidRPr="00694FCA">
        <w:rPr>
          <w:rFonts w:ascii="Arial" w:hAnsi="Arial" w:cs="Arial"/>
          <w:color w:val="auto"/>
        </w:rPr>
        <w:t xml:space="preserve"> the tower</w:t>
      </w:r>
      <w:r w:rsidR="00CA5351" w:rsidRPr="00694FCA">
        <w:rPr>
          <w:rFonts w:ascii="Arial" w:hAnsi="Arial" w:cs="Arial"/>
          <w:color w:val="auto"/>
        </w:rPr>
        <w:t>.</w:t>
      </w:r>
    </w:p>
    <w:p w14:paraId="3424B299" w14:textId="77777777" w:rsidR="009D77EE" w:rsidRPr="00694FCA" w:rsidRDefault="009D77EE" w:rsidP="009D77EE">
      <w:pPr>
        <w:pStyle w:val="ListParagraph"/>
        <w:rPr>
          <w:rStyle w:val="Normal1"/>
          <w:rFonts w:cs="Arial"/>
          <w:iCs/>
          <w:color w:val="auto"/>
          <w:szCs w:val="24"/>
        </w:rPr>
      </w:pPr>
    </w:p>
    <w:p w14:paraId="1250247D" w14:textId="77777777" w:rsidR="002D5B3C" w:rsidRDefault="009D77EE" w:rsidP="00874A98">
      <w:pPr>
        <w:pStyle w:val="ListParagraph"/>
        <w:numPr>
          <w:ilvl w:val="1"/>
          <w:numId w:val="92"/>
        </w:numPr>
        <w:autoSpaceDE w:val="0"/>
        <w:autoSpaceDN w:val="0"/>
        <w:adjustRightInd w:val="0"/>
        <w:spacing w:after="0" w:line="240" w:lineRule="auto"/>
        <w:ind w:left="851" w:hanging="851"/>
        <w:rPr>
          <w:rStyle w:val="Normal1"/>
          <w:rFonts w:cs="Arial"/>
          <w:b/>
          <w:bCs/>
          <w:iCs/>
          <w:color w:val="auto"/>
        </w:rPr>
      </w:pPr>
      <w:r w:rsidRPr="00694FCA">
        <w:rPr>
          <w:rFonts w:ascii="Arial" w:hAnsi="Arial" w:cs="Arial"/>
          <w:color w:val="auto"/>
        </w:rPr>
        <w:t xml:space="preserve">Within the north of the site, there is a high potential for buried archaeological remains associated with the Battle Headquarters. The southern portion of the site has a low to moderate potential for buried archaeology. </w:t>
      </w:r>
      <w:r w:rsidR="0061128F" w:rsidRPr="00694FCA">
        <w:rPr>
          <w:rStyle w:val="Normal1"/>
          <w:rFonts w:cs="Arial"/>
          <w:iCs/>
          <w:color w:val="auto"/>
          <w:szCs w:val="24"/>
        </w:rPr>
        <w:t xml:space="preserve">Further archaeological evaluation work will be required, beginning with a Desk Based Assessment (DBA), </w:t>
      </w:r>
      <w:r w:rsidR="0061128F" w:rsidRPr="00694FCA">
        <w:rPr>
          <w:rFonts w:ascii="Arial" w:hAnsi="Arial" w:cs="Arial"/>
          <w:color w:val="auto"/>
        </w:rPr>
        <w:t>to ascertain the extent and level of survival of archaeological remains within the site</w:t>
      </w:r>
      <w:r w:rsidR="0061128F" w:rsidRPr="00694FCA">
        <w:rPr>
          <w:rStyle w:val="Normal1"/>
          <w:rFonts w:cs="Arial"/>
          <w:iCs/>
          <w:color w:val="auto"/>
          <w:szCs w:val="24"/>
        </w:rPr>
        <w:t xml:space="preserve">.  Depending on the results of the DBA further archaeological investigations </w:t>
      </w:r>
      <w:r w:rsidR="0061128F" w:rsidRPr="001012CC">
        <w:rPr>
          <w:rStyle w:val="Normal1"/>
          <w:rFonts w:cs="Arial"/>
          <w:iCs/>
          <w:color w:val="auto"/>
          <w:szCs w:val="24"/>
        </w:rPr>
        <w:t xml:space="preserve">may be warranted, including a geophysical survey and targeted trial trenching, where necessary.  </w:t>
      </w:r>
      <w:r w:rsidRPr="001012CC">
        <w:rPr>
          <w:rFonts w:ascii="Arial" w:hAnsi="Arial" w:cs="Arial"/>
          <w:color w:val="auto"/>
        </w:rPr>
        <w:t>In particular, ground-penetrating radar is recommended, along with a metal detecting survey, in the vicinity of the military infrastructure.</w:t>
      </w:r>
      <w:r w:rsidR="0061128F" w:rsidRPr="001012CC">
        <w:rPr>
          <w:rFonts w:ascii="Arial" w:hAnsi="Arial" w:cs="Arial"/>
          <w:color w:val="auto"/>
        </w:rPr>
        <w:t xml:space="preserve"> </w:t>
      </w:r>
      <w:r w:rsidR="0061128F" w:rsidRPr="001012CC">
        <w:rPr>
          <w:rStyle w:val="Normal1"/>
          <w:rFonts w:cs="Arial"/>
          <w:iCs/>
          <w:color w:val="auto"/>
          <w:szCs w:val="24"/>
        </w:rPr>
        <w:t>This work will inform the need for mitigation</w:t>
      </w:r>
      <w:r w:rsidR="00694FCA" w:rsidRPr="001012CC">
        <w:rPr>
          <w:rStyle w:val="Normal1"/>
          <w:rFonts w:cs="Arial"/>
          <w:iCs/>
          <w:color w:val="auto"/>
          <w:szCs w:val="24"/>
        </w:rPr>
        <w:t>.</w:t>
      </w:r>
    </w:p>
    <w:p w14:paraId="27948356" w14:textId="77777777" w:rsidR="002D5B3C" w:rsidRPr="002D5B3C" w:rsidRDefault="002D5B3C" w:rsidP="002D5B3C">
      <w:pPr>
        <w:pStyle w:val="ListParagraph"/>
        <w:rPr>
          <w:rFonts w:ascii="Arial" w:eastAsia="Calibri" w:hAnsi="Arial" w:cs="Arial"/>
          <w:szCs w:val="24"/>
        </w:rPr>
      </w:pPr>
    </w:p>
    <w:p w14:paraId="36D2876E" w14:textId="20B31C44" w:rsidR="00177166" w:rsidRPr="002D5B3C" w:rsidRDefault="00177166" w:rsidP="00874A98">
      <w:pPr>
        <w:pStyle w:val="ListParagraph"/>
        <w:numPr>
          <w:ilvl w:val="1"/>
          <w:numId w:val="92"/>
        </w:numPr>
        <w:autoSpaceDE w:val="0"/>
        <w:autoSpaceDN w:val="0"/>
        <w:adjustRightInd w:val="0"/>
        <w:spacing w:after="0" w:line="240" w:lineRule="auto"/>
        <w:ind w:left="851" w:hanging="851"/>
        <w:rPr>
          <w:rFonts w:ascii="Arial" w:eastAsia="Arial" w:hAnsi="Arial" w:cs="Arial"/>
          <w:b/>
          <w:bCs/>
          <w:iCs/>
          <w:color w:val="auto"/>
        </w:rPr>
      </w:pPr>
      <w:r w:rsidRPr="002D5B3C">
        <w:rPr>
          <w:rFonts w:ascii="Arial" w:eastAsia="Calibri" w:hAnsi="Arial" w:cs="Arial"/>
          <w:szCs w:val="24"/>
        </w:rPr>
        <w:t>It is proposed that development is sited away from the Listed heritage asset which will be enhanced with greater visibility and interpretation, and new buffer planting will complement the existing green infrastructure at Starth Wood and create a green corridor. A concise masterplan will be available to identify essential requirements expected by the Council and provide more detailed advice and guidance specific to the site.</w:t>
      </w:r>
    </w:p>
    <w:p w14:paraId="026B1E82" w14:textId="77777777" w:rsidR="00177166" w:rsidRDefault="00177166" w:rsidP="00177166">
      <w:pPr>
        <w:pStyle w:val="ListParagraph"/>
        <w:autoSpaceDE w:val="0"/>
        <w:autoSpaceDN w:val="0"/>
        <w:adjustRightInd w:val="0"/>
        <w:spacing w:after="0" w:line="240" w:lineRule="auto"/>
        <w:ind w:left="851"/>
        <w:rPr>
          <w:rFonts w:ascii="Arial" w:eastAsia="Calibri" w:hAnsi="Arial" w:cs="Arial"/>
          <w:szCs w:val="24"/>
        </w:rPr>
      </w:pPr>
    </w:p>
    <w:p w14:paraId="421A1598" w14:textId="2AB90B5E" w:rsidR="00715560" w:rsidRPr="00694FCA" w:rsidRDefault="00694FCA" w:rsidP="00874A98">
      <w:pPr>
        <w:pStyle w:val="ListParagraph"/>
        <w:numPr>
          <w:ilvl w:val="1"/>
          <w:numId w:val="92"/>
        </w:numPr>
        <w:autoSpaceDE w:val="0"/>
        <w:autoSpaceDN w:val="0"/>
        <w:adjustRightInd w:val="0"/>
        <w:spacing w:after="0" w:line="240" w:lineRule="auto"/>
        <w:ind w:left="851" w:hanging="851"/>
        <w:rPr>
          <w:rStyle w:val="Normal1"/>
          <w:color w:val="auto"/>
        </w:rPr>
      </w:pPr>
      <w:bookmarkStart w:id="203" w:name="_Hlk141354405"/>
      <w:bookmarkEnd w:id="202"/>
      <w:r>
        <w:rPr>
          <w:rStyle w:val="Normal1"/>
          <w:rFonts w:cs="Arial"/>
          <w:b/>
          <w:bCs/>
          <w:iCs/>
          <w:color w:val="auto"/>
          <w:szCs w:val="24"/>
        </w:rPr>
        <w:t>S</w:t>
      </w:r>
      <w:r w:rsidRPr="00694FCA">
        <w:rPr>
          <w:rStyle w:val="Normal1"/>
          <w:rFonts w:cs="Arial"/>
          <w:b/>
          <w:bCs/>
          <w:iCs/>
          <w:color w:val="auto"/>
          <w:szCs w:val="24"/>
        </w:rPr>
        <w:t>ites H1He to H1Hn</w:t>
      </w:r>
      <w:r>
        <w:rPr>
          <w:rStyle w:val="Normal1"/>
          <w:rFonts w:cs="Arial"/>
          <w:b/>
          <w:bCs/>
          <w:iCs/>
          <w:color w:val="auto"/>
          <w:szCs w:val="24"/>
        </w:rPr>
        <w:t xml:space="preserve"> (inclusive)</w:t>
      </w:r>
      <w:r w:rsidRPr="00694FCA">
        <w:rPr>
          <w:rStyle w:val="Normal1"/>
          <w:rFonts w:cs="Arial"/>
          <w:iCs/>
          <w:color w:val="auto"/>
          <w:szCs w:val="24"/>
        </w:rPr>
        <w:t xml:space="preserve"> </w:t>
      </w:r>
      <w:r w:rsidR="00801826" w:rsidRPr="00694FCA">
        <w:rPr>
          <w:rStyle w:val="Normal1"/>
          <w:rFonts w:cs="Arial"/>
          <w:iCs/>
          <w:color w:val="auto"/>
          <w:szCs w:val="24"/>
        </w:rPr>
        <w:t>The remaining Hucknall area housing allocations</w:t>
      </w:r>
      <w:bookmarkEnd w:id="203"/>
      <w:r>
        <w:rPr>
          <w:rStyle w:val="Normal1"/>
          <w:rFonts w:cs="Arial"/>
          <w:b/>
          <w:bCs/>
          <w:iCs/>
          <w:color w:val="auto"/>
          <w:szCs w:val="24"/>
        </w:rPr>
        <w:t xml:space="preserve"> </w:t>
      </w:r>
      <w:r w:rsidR="00715560" w:rsidRPr="00694FCA">
        <w:rPr>
          <w:rStyle w:val="Normal1"/>
          <w:rFonts w:cs="Arial"/>
          <w:iCs/>
          <w:color w:val="auto"/>
          <w:szCs w:val="24"/>
        </w:rPr>
        <w:t xml:space="preserve">all have the benefit of planning permission at the time of writing. Further details on these sites can be found in the Housing Trajectory in Appendix 2 which gives information on the type of permission, </w:t>
      </w:r>
      <w:r w:rsidR="003815D0" w:rsidRPr="00694FCA">
        <w:rPr>
          <w:rStyle w:val="Normal1"/>
          <w:rFonts w:cs="Arial"/>
          <w:iCs/>
          <w:color w:val="auto"/>
          <w:szCs w:val="24"/>
        </w:rPr>
        <w:t xml:space="preserve">planning </w:t>
      </w:r>
      <w:r w:rsidR="00715560" w:rsidRPr="00694FCA">
        <w:rPr>
          <w:rStyle w:val="Normal1"/>
          <w:rFonts w:cs="Arial"/>
          <w:iCs/>
          <w:color w:val="auto"/>
          <w:szCs w:val="24"/>
        </w:rPr>
        <w:t xml:space="preserve">application reference and estimated delivery timescales. </w:t>
      </w:r>
    </w:p>
    <w:p w14:paraId="70F27C86" w14:textId="77777777" w:rsidR="003F17DD" w:rsidRPr="00694FCA" w:rsidRDefault="003F17DD" w:rsidP="003F17DD">
      <w:pPr>
        <w:pStyle w:val="ListParagraph"/>
        <w:rPr>
          <w:rStyle w:val="Normal1"/>
          <w:color w:val="auto"/>
        </w:rPr>
      </w:pPr>
    </w:p>
    <w:p w14:paraId="19D73AAB" w14:textId="2F7F2183" w:rsidR="003F17DD" w:rsidRPr="004B4158" w:rsidRDefault="003F17DD" w:rsidP="00874A98">
      <w:pPr>
        <w:pStyle w:val="ListParagraph"/>
        <w:numPr>
          <w:ilvl w:val="1"/>
          <w:numId w:val="92"/>
        </w:numPr>
        <w:autoSpaceDE w:val="0"/>
        <w:autoSpaceDN w:val="0"/>
        <w:adjustRightInd w:val="0"/>
        <w:spacing w:after="0" w:line="240" w:lineRule="auto"/>
        <w:ind w:left="851" w:hanging="851"/>
        <w:rPr>
          <w:rStyle w:val="Normal1"/>
          <w:color w:val="auto"/>
        </w:rPr>
      </w:pPr>
      <w:r w:rsidRPr="004B4158">
        <w:rPr>
          <w:rStyle w:val="Normal1"/>
          <w:b/>
          <w:bCs/>
          <w:color w:val="auto"/>
        </w:rPr>
        <w:t>Site H1Ca</w:t>
      </w:r>
      <w:r w:rsidRPr="004B4158">
        <w:rPr>
          <w:rStyle w:val="Normal1"/>
          <w:color w:val="auto"/>
        </w:rPr>
        <w:t xml:space="preserve"> has planning permission for a 73 bedroom care home (C2 class).  </w:t>
      </w:r>
      <w:r w:rsidR="0052141C" w:rsidRPr="004B4158">
        <w:rPr>
          <w:rStyle w:val="Normal1"/>
          <w:color w:val="auto"/>
        </w:rPr>
        <w:t>P</w:t>
      </w:r>
      <w:r w:rsidR="000F44BC" w:rsidRPr="004B4158">
        <w:rPr>
          <w:rStyle w:val="Normal1"/>
          <w:color w:val="auto"/>
        </w:rPr>
        <w:t>lanning practice</w:t>
      </w:r>
      <w:r w:rsidR="0052141C" w:rsidRPr="004B4158">
        <w:rPr>
          <w:rStyle w:val="Normal1"/>
          <w:color w:val="auto"/>
        </w:rPr>
        <w:t xml:space="preserve"> guidance</w:t>
      </w:r>
      <w:r w:rsidR="0052141C" w:rsidRPr="004B4158">
        <w:rPr>
          <w:rStyle w:val="FootnoteReference"/>
          <w:rFonts w:ascii="Arial" w:eastAsia="Arial" w:hAnsi="Arial"/>
          <w:color w:val="auto"/>
        </w:rPr>
        <w:footnoteReference w:id="89"/>
      </w:r>
      <w:r w:rsidR="0052141C" w:rsidRPr="004B4158">
        <w:rPr>
          <w:rStyle w:val="Normal1"/>
          <w:color w:val="auto"/>
        </w:rPr>
        <w:t xml:space="preserve"> is clear that residential institutions in Use Class C2 should count towards overall housing land supply.</w:t>
      </w:r>
      <w:r w:rsidR="00AC122B" w:rsidRPr="004B4158">
        <w:rPr>
          <w:rStyle w:val="Normal1"/>
          <w:color w:val="auto"/>
        </w:rPr>
        <w:t xml:space="preserve"> In determining the dwelling equivalent for the purposes of the housing trajectory in Appendix 2, and the overall supply in </w:t>
      </w:r>
      <w:r w:rsidR="00AC122B" w:rsidRPr="0056594F">
        <w:rPr>
          <w:rStyle w:val="Normal1"/>
          <w:color w:val="auto"/>
        </w:rPr>
        <w:t xml:space="preserve">Table </w:t>
      </w:r>
      <w:r w:rsidR="0056594F" w:rsidRPr="0056594F">
        <w:rPr>
          <w:rStyle w:val="Normal1"/>
          <w:color w:val="auto"/>
        </w:rPr>
        <w:t>2</w:t>
      </w:r>
      <w:r w:rsidR="00AC122B" w:rsidRPr="004B4158">
        <w:rPr>
          <w:rStyle w:val="Normal1"/>
          <w:color w:val="auto"/>
        </w:rPr>
        <w:t xml:space="preserve">, a ratio of 1 dwelling for every 1.8 bedrooms has been applied as set out in the </w:t>
      </w:r>
      <w:hyperlink r:id="rId31" w:history="1">
        <w:r w:rsidR="00AC122B" w:rsidRPr="004B4158">
          <w:rPr>
            <w:rStyle w:val="Hyperlink"/>
            <w:rFonts w:ascii="Arial" w:eastAsia="Arial" w:hAnsi="Arial"/>
            <w:color w:val="auto"/>
          </w:rPr>
          <w:t>Housing Delivery Test Rule Book</w:t>
        </w:r>
      </w:hyperlink>
      <w:r w:rsidR="00AC122B" w:rsidRPr="004B4158">
        <w:rPr>
          <w:rStyle w:val="Normal1"/>
          <w:color w:val="auto"/>
        </w:rPr>
        <w:t xml:space="preserve">. </w:t>
      </w:r>
    </w:p>
    <w:p w14:paraId="1665EE28" w14:textId="77777777" w:rsidR="00715560" w:rsidRPr="00694FCA" w:rsidRDefault="00715560" w:rsidP="00A47CB1">
      <w:pPr>
        <w:autoSpaceDE w:val="0"/>
        <w:autoSpaceDN w:val="0"/>
        <w:adjustRightInd w:val="0"/>
        <w:rPr>
          <w:rStyle w:val="Normal1"/>
          <w:b/>
          <w:bCs/>
          <w:color w:val="auto"/>
          <w:u w:val="single"/>
        </w:rPr>
      </w:pPr>
      <w:r w:rsidRPr="00276170">
        <w:rPr>
          <w:rStyle w:val="Normal1"/>
          <w:b/>
          <w:bCs/>
          <w:iCs/>
          <w:color w:val="auto"/>
          <w:u w:val="single"/>
        </w:rPr>
        <w:t xml:space="preserve">Housing Allocations </w:t>
      </w:r>
      <w:r w:rsidRPr="00694FCA">
        <w:rPr>
          <w:rStyle w:val="Normal1"/>
          <w:b/>
          <w:bCs/>
          <w:iCs/>
          <w:color w:val="auto"/>
          <w:u w:val="single"/>
        </w:rPr>
        <w:t>in the Kirkby Area</w:t>
      </w:r>
      <w:bookmarkEnd w:id="194"/>
    </w:p>
    <w:p w14:paraId="5F6E254F" w14:textId="77777777" w:rsidR="00715560" w:rsidRPr="00694FCA" w:rsidRDefault="00715560" w:rsidP="00A47CB1">
      <w:pPr>
        <w:pStyle w:val="ListParagraph"/>
        <w:autoSpaceDE w:val="0"/>
        <w:autoSpaceDN w:val="0"/>
        <w:adjustRightInd w:val="0"/>
        <w:spacing w:after="0" w:line="240" w:lineRule="auto"/>
        <w:ind w:left="851"/>
        <w:rPr>
          <w:rStyle w:val="Normal1"/>
          <w:iCs/>
          <w:color w:val="auto"/>
        </w:rPr>
      </w:pPr>
    </w:p>
    <w:p w14:paraId="1F9A2B0E" w14:textId="37AA91CD" w:rsidR="00715560" w:rsidRPr="00694FCA" w:rsidRDefault="00715560" w:rsidP="00874A98">
      <w:pPr>
        <w:pStyle w:val="ListParagraph"/>
        <w:numPr>
          <w:ilvl w:val="1"/>
          <w:numId w:val="92"/>
        </w:numPr>
        <w:autoSpaceDE w:val="0"/>
        <w:autoSpaceDN w:val="0"/>
        <w:adjustRightInd w:val="0"/>
        <w:spacing w:after="0" w:line="240" w:lineRule="auto"/>
        <w:ind w:left="851" w:hanging="851"/>
        <w:rPr>
          <w:rStyle w:val="Normal1"/>
          <w:iCs/>
          <w:color w:val="auto"/>
        </w:rPr>
      </w:pPr>
      <w:r w:rsidRPr="00694FCA">
        <w:rPr>
          <w:rStyle w:val="Normal1"/>
          <w:b/>
          <w:bCs/>
          <w:iCs/>
          <w:color w:val="auto"/>
        </w:rPr>
        <w:t>H1Ka: Beacon Farm, Derby Road, Kirkby-In Ashfield</w:t>
      </w:r>
      <w:r w:rsidRPr="00694FCA">
        <w:rPr>
          <w:rStyle w:val="Normal1"/>
          <w:iCs/>
          <w:color w:val="auto"/>
        </w:rPr>
        <w:t>.  This greenfield/</w:t>
      </w:r>
      <w:r w:rsidR="000A56D7" w:rsidRPr="00694FCA">
        <w:rPr>
          <w:rStyle w:val="Normal1"/>
          <w:iCs/>
          <w:color w:val="auto"/>
        </w:rPr>
        <w:t xml:space="preserve"> </w:t>
      </w:r>
      <w:r w:rsidRPr="00694FCA">
        <w:rPr>
          <w:rStyle w:val="Normal1"/>
          <w:iCs/>
          <w:color w:val="auto"/>
        </w:rPr>
        <w:t>brownfield site</w:t>
      </w:r>
      <w:r w:rsidR="000A56D7" w:rsidRPr="00694FCA">
        <w:rPr>
          <w:rStyle w:val="Normal1"/>
          <w:iCs/>
          <w:color w:val="auto"/>
        </w:rPr>
        <w:t xml:space="preserve"> has been assessed as available, potentially suitable and potentially achievable in the SHELAA (ref. KA002). It</w:t>
      </w:r>
      <w:r w:rsidRPr="00694FCA">
        <w:rPr>
          <w:rStyle w:val="Normal1"/>
          <w:iCs/>
          <w:color w:val="auto"/>
        </w:rPr>
        <w:t xml:space="preserve"> is </w:t>
      </w:r>
      <w:r w:rsidRPr="00694FCA">
        <w:rPr>
          <w:rStyle w:val="Normal1"/>
          <w:rFonts w:cs="Arial"/>
          <w:iCs/>
          <w:color w:val="auto"/>
          <w:szCs w:val="24"/>
        </w:rPr>
        <w:t>located adjacent to the existing urban area on land previously designated as Green Belt</w:t>
      </w:r>
      <w:r w:rsidR="000A56D7" w:rsidRPr="00694FCA">
        <w:rPr>
          <w:rStyle w:val="Normal1"/>
          <w:rFonts w:cs="Arial"/>
          <w:iCs/>
          <w:color w:val="auto"/>
          <w:szCs w:val="24"/>
        </w:rPr>
        <w:t xml:space="preserve"> and</w:t>
      </w:r>
      <w:r w:rsidRPr="00694FCA">
        <w:rPr>
          <w:rStyle w:val="Normal1"/>
          <w:rFonts w:cs="Arial"/>
          <w:iCs/>
          <w:color w:val="auto"/>
          <w:szCs w:val="24"/>
        </w:rPr>
        <w:t xml:space="preserve"> is currently occupied by a single dwelling and several redundant poultry farm buildings, alongside</w:t>
      </w:r>
      <w:r w:rsidRPr="00694FCA">
        <w:rPr>
          <w:rStyle w:val="Normal1"/>
          <w:rFonts w:cs="Arial"/>
          <w:color w:val="auto"/>
          <w:szCs w:val="24"/>
        </w:rPr>
        <w:t xml:space="preserve"> a large, grassed area and remnants of a hard standing to the south of the site. The site is well contained by mature trees and hedgerows to the north (beyond which is the narrow one-way Balls Lane) and west (beyond which is existing residential development), with Derby Road (A611) forming the eastern boundary. The southern boundary abuts existing residential development.</w:t>
      </w:r>
    </w:p>
    <w:p w14:paraId="55EADE25" w14:textId="77777777" w:rsidR="000A56D7" w:rsidRPr="00694FCA" w:rsidRDefault="000A56D7" w:rsidP="000A56D7">
      <w:pPr>
        <w:pStyle w:val="ListParagraph"/>
        <w:autoSpaceDE w:val="0"/>
        <w:autoSpaceDN w:val="0"/>
        <w:adjustRightInd w:val="0"/>
        <w:spacing w:after="0" w:line="240" w:lineRule="auto"/>
        <w:ind w:left="851"/>
        <w:rPr>
          <w:rStyle w:val="Normal1"/>
          <w:rFonts w:cs="Arial"/>
          <w:color w:val="auto"/>
          <w:szCs w:val="24"/>
        </w:rPr>
      </w:pPr>
    </w:p>
    <w:p w14:paraId="11E76760" w14:textId="77777777" w:rsidR="000A56D7" w:rsidRPr="00694FCA" w:rsidRDefault="00715560" w:rsidP="00874A98">
      <w:pPr>
        <w:pStyle w:val="ListParagraph"/>
        <w:numPr>
          <w:ilvl w:val="1"/>
          <w:numId w:val="92"/>
        </w:numPr>
        <w:autoSpaceDE w:val="0"/>
        <w:autoSpaceDN w:val="0"/>
        <w:adjustRightInd w:val="0"/>
        <w:spacing w:after="0" w:line="240" w:lineRule="auto"/>
        <w:ind w:left="851" w:hanging="851"/>
        <w:rPr>
          <w:rStyle w:val="Normal1"/>
          <w:iCs/>
          <w:color w:val="auto"/>
        </w:rPr>
      </w:pPr>
      <w:r w:rsidRPr="00694FCA">
        <w:rPr>
          <w:rStyle w:val="Normal1"/>
          <w:iCs/>
          <w:color w:val="auto"/>
        </w:rPr>
        <w:t xml:space="preserve">There is likely </w:t>
      </w:r>
      <w:r w:rsidR="000A56D7" w:rsidRPr="00694FCA">
        <w:rPr>
          <w:rStyle w:val="Normal1"/>
          <w:iCs/>
          <w:color w:val="auto"/>
        </w:rPr>
        <w:t xml:space="preserve">to be </w:t>
      </w:r>
      <w:r w:rsidRPr="00694FCA">
        <w:rPr>
          <w:rStyle w:val="Normal1"/>
          <w:iCs/>
          <w:color w:val="auto"/>
        </w:rPr>
        <w:t>existence of some land contamination. A railway tunnel runs beneath the most southern part of the site, and a parcel of land around this area was formerly used for railway maintenance operations. The majority of site was used as poultry farm since c.1960.</w:t>
      </w:r>
    </w:p>
    <w:p w14:paraId="78728C61" w14:textId="5ADAAB38" w:rsidR="00715560" w:rsidRPr="00694FCA" w:rsidRDefault="00715560" w:rsidP="000A56D7">
      <w:pPr>
        <w:autoSpaceDE w:val="0"/>
        <w:autoSpaceDN w:val="0"/>
        <w:adjustRightInd w:val="0"/>
        <w:rPr>
          <w:rStyle w:val="Normal1"/>
          <w:iCs/>
          <w:color w:val="auto"/>
          <w:szCs w:val="22"/>
        </w:rPr>
      </w:pPr>
      <w:r w:rsidRPr="00694FCA">
        <w:rPr>
          <w:rStyle w:val="Normal1"/>
          <w:iCs/>
          <w:color w:val="auto"/>
          <w:szCs w:val="22"/>
        </w:rPr>
        <w:t xml:space="preserve"> </w:t>
      </w:r>
    </w:p>
    <w:p w14:paraId="5D804C57" w14:textId="77777777" w:rsidR="00715560" w:rsidRPr="00694FCA" w:rsidRDefault="00715560" w:rsidP="00874A98">
      <w:pPr>
        <w:pStyle w:val="ListParagraph"/>
        <w:numPr>
          <w:ilvl w:val="1"/>
          <w:numId w:val="92"/>
        </w:numPr>
        <w:autoSpaceDE w:val="0"/>
        <w:autoSpaceDN w:val="0"/>
        <w:adjustRightInd w:val="0"/>
        <w:spacing w:after="0" w:line="240" w:lineRule="auto"/>
        <w:ind w:left="851" w:hanging="851"/>
        <w:rPr>
          <w:rStyle w:val="Normal1"/>
          <w:iCs/>
          <w:color w:val="auto"/>
        </w:rPr>
      </w:pPr>
      <w:r w:rsidRPr="00694FCA">
        <w:rPr>
          <w:rStyle w:val="Normal1"/>
          <w:iCs/>
          <w:color w:val="auto"/>
        </w:rPr>
        <w:t>Potential access will require significant highway improvements on the A611 in the form of signalised dedicated right turn lane into the site, which will require road widening into the site and reduce yield. Access is also likely to require Traffic Regulation Order (TRO) to reduce speed limit.</w:t>
      </w:r>
    </w:p>
    <w:p w14:paraId="56919559" w14:textId="77777777" w:rsidR="00D33EF1" w:rsidRPr="00D33EF1" w:rsidRDefault="00D33EF1" w:rsidP="00D33EF1">
      <w:pPr>
        <w:pStyle w:val="ListParagraph"/>
        <w:rPr>
          <w:rStyle w:val="Normal1"/>
          <w:iCs/>
          <w:color w:val="4472C4" w:themeColor="accent1"/>
        </w:rPr>
      </w:pPr>
    </w:p>
    <w:p w14:paraId="5EB4BBB2" w14:textId="0EE339CE" w:rsidR="00D33EF1" w:rsidRPr="00694FCA" w:rsidRDefault="00D33EF1" w:rsidP="00874A98">
      <w:pPr>
        <w:pStyle w:val="ListParagraph"/>
        <w:numPr>
          <w:ilvl w:val="1"/>
          <w:numId w:val="92"/>
        </w:numPr>
        <w:autoSpaceDE w:val="0"/>
        <w:autoSpaceDN w:val="0"/>
        <w:adjustRightInd w:val="0"/>
        <w:spacing w:after="0" w:line="240" w:lineRule="auto"/>
        <w:ind w:left="851" w:hanging="851"/>
        <w:rPr>
          <w:rStyle w:val="Normal1"/>
          <w:iCs/>
          <w:color w:val="auto"/>
        </w:rPr>
      </w:pPr>
      <w:bookmarkStart w:id="204" w:name="_Hlk141865641"/>
      <w:r w:rsidRPr="00694FCA">
        <w:rPr>
          <w:rStyle w:val="Normal1"/>
          <w:iCs/>
          <w:color w:val="auto"/>
        </w:rPr>
        <w:t>The site lies with 400m of the Sherwood Forest possible potential Special Protection Area (ppSPA).  Mitigation will be necessary to demonstrate that development can be delivered with no adverse impact on the integrity of the ppSPA.  Policy EV4: Green Infrastructure, Biodiversity and Geodiversity provides further</w:t>
      </w:r>
      <w:r w:rsidR="00B147B2" w:rsidRPr="00694FCA">
        <w:rPr>
          <w:rStyle w:val="Normal1"/>
          <w:iCs/>
          <w:color w:val="auto"/>
        </w:rPr>
        <w:t xml:space="preserve"> details.</w:t>
      </w:r>
      <w:r w:rsidRPr="00694FCA">
        <w:rPr>
          <w:rStyle w:val="Normal1"/>
          <w:iCs/>
          <w:color w:val="auto"/>
        </w:rPr>
        <w:t xml:space="preserve"> </w:t>
      </w:r>
    </w:p>
    <w:bookmarkEnd w:id="204"/>
    <w:p w14:paraId="1DB54CF6" w14:textId="56ACCBE9" w:rsidR="00715560" w:rsidRPr="00694FCA" w:rsidRDefault="00715560" w:rsidP="006F69C6">
      <w:pPr>
        <w:autoSpaceDE w:val="0"/>
        <w:autoSpaceDN w:val="0"/>
        <w:adjustRightInd w:val="0"/>
        <w:rPr>
          <w:rFonts w:eastAsia="Arial"/>
          <w:iCs/>
          <w:color w:val="auto"/>
          <w:szCs w:val="22"/>
        </w:rPr>
      </w:pPr>
      <w:r w:rsidRPr="00694FCA">
        <w:rPr>
          <w:rStyle w:val="Normal1"/>
          <w:iCs/>
          <w:color w:val="auto"/>
          <w:szCs w:val="22"/>
        </w:rPr>
        <w:t xml:space="preserve"> </w:t>
      </w:r>
    </w:p>
    <w:p w14:paraId="4F564C9D" w14:textId="5C345E8B" w:rsidR="00715560" w:rsidRPr="00694FCA" w:rsidRDefault="00715560" w:rsidP="00874A98">
      <w:pPr>
        <w:pStyle w:val="ListParagraph"/>
        <w:numPr>
          <w:ilvl w:val="1"/>
          <w:numId w:val="92"/>
        </w:numPr>
        <w:autoSpaceDE w:val="0"/>
        <w:autoSpaceDN w:val="0"/>
        <w:adjustRightInd w:val="0"/>
        <w:spacing w:after="0" w:line="240" w:lineRule="auto"/>
        <w:ind w:left="851" w:hanging="851"/>
        <w:rPr>
          <w:rStyle w:val="Normal1"/>
          <w:iCs/>
          <w:color w:val="auto"/>
        </w:rPr>
      </w:pPr>
      <w:r w:rsidRPr="00694FCA">
        <w:rPr>
          <w:rStyle w:val="Normal1"/>
          <w:b/>
          <w:bCs/>
          <w:iCs/>
          <w:color w:val="auto"/>
        </w:rPr>
        <w:t>H1Kc: Land at Doles Lane, Kirkby-In Ashfield</w:t>
      </w:r>
      <w:r w:rsidRPr="00694FCA">
        <w:rPr>
          <w:rStyle w:val="Normal1"/>
          <w:iCs/>
          <w:color w:val="auto"/>
        </w:rPr>
        <w:t xml:space="preserve">. This </w:t>
      </w:r>
      <w:r w:rsidR="00951D2E">
        <w:rPr>
          <w:rStyle w:val="Normal1"/>
          <w:iCs/>
          <w:color w:val="auto"/>
        </w:rPr>
        <w:t>brow</w:t>
      </w:r>
      <w:r w:rsidRPr="00694FCA">
        <w:rPr>
          <w:rStyle w:val="Normal1"/>
          <w:iCs/>
          <w:color w:val="auto"/>
        </w:rPr>
        <w:t xml:space="preserve">nfield site </w:t>
      </w:r>
      <w:r w:rsidR="004C0CAB" w:rsidRPr="00694FCA">
        <w:rPr>
          <w:rStyle w:val="Normal1"/>
          <w:iCs/>
          <w:color w:val="auto"/>
        </w:rPr>
        <w:t xml:space="preserve">has been assessed as available, potentially suitable, and potentially achievable in the SHELAA (ref. KA011). It </w:t>
      </w:r>
      <w:r w:rsidRPr="00694FCA">
        <w:rPr>
          <w:rStyle w:val="Normal1"/>
          <w:iCs/>
          <w:color w:val="auto"/>
        </w:rPr>
        <w:t>is located adjacent to the urban area of Kirkby, with residential development adjoining the eastern boundary, Kirkby bridleway 1 to the north (also Mowlands farm access), and field boundaries to the west and south.</w:t>
      </w:r>
    </w:p>
    <w:p w14:paraId="29C81EF1" w14:textId="77777777" w:rsidR="006F69C6" w:rsidRPr="004C0CAB" w:rsidRDefault="006F69C6" w:rsidP="004C0CAB">
      <w:pPr>
        <w:rPr>
          <w:rFonts w:eastAsia="Arial"/>
        </w:rPr>
      </w:pPr>
    </w:p>
    <w:p w14:paraId="1A89B638" w14:textId="347F7FBC" w:rsidR="00C02B74" w:rsidRPr="00694FCA" w:rsidRDefault="00715560" w:rsidP="00874A98">
      <w:pPr>
        <w:pStyle w:val="ListParagraph"/>
        <w:numPr>
          <w:ilvl w:val="1"/>
          <w:numId w:val="92"/>
        </w:numPr>
        <w:autoSpaceDE w:val="0"/>
        <w:autoSpaceDN w:val="0"/>
        <w:adjustRightInd w:val="0"/>
        <w:spacing w:after="0" w:line="240" w:lineRule="auto"/>
        <w:ind w:left="851" w:hanging="851"/>
        <w:rPr>
          <w:rStyle w:val="Normal1"/>
          <w:iCs/>
          <w:color w:val="auto"/>
        </w:rPr>
      </w:pPr>
      <w:r w:rsidRPr="00694FCA">
        <w:rPr>
          <w:rStyle w:val="Normal1"/>
          <w:iCs/>
          <w:color w:val="auto"/>
        </w:rPr>
        <w:t xml:space="preserve">There is likely existence of contamination on the site which was formerly the location of Mowlands County Secondary and Primary Schools. The land was extensively covered </w:t>
      </w:r>
      <w:r w:rsidR="004C0CAB" w:rsidRPr="00694FCA">
        <w:rPr>
          <w:rStyle w:val="Normal1"/>
          <w:iCs/>
          <w:color w:val="auto"/>
        </w:rPr>
        <w:t>by</w:t>
      </w:r>
      <w:r w:rsidRPr="00694FCA">
        <w:rPr>
          <w:rStyle w:val="Normal1"/>
          <w:iCs/>
          <w:color w:val="auto"/>
        </w:rPr>
        <w:t xml:space="preserve"> buildings, however reclamation work was undertaken in 1980 and it has since greened over. Seven Trent Water have assessed the potential impact on surface water sewer infrastructure and have identified that network improvements are likely to be required as part of any future development scheme.</w:t>
      </w:r>
      <w:bookmarkStart w:id="205" w:name="_Hlk80611935"/>
    </w:p>
    <w:p w14:paraId="189AB8ED" w14:textId="77777777" w:rsidR="009D77EE" w:rsidRPr="00694FCA" w:rsidRDefault="009D77EE" w:rsidP="009D77EE">
      <w:pPr>
        <w:pStyle w:val="ListParagraph"/>
        <w:rPr>
          <w:rStyle w:val="Normal1"/>
          <w:iCs/>
          <w:color w:val="auto"/>
        </w:rPr>
      </w:pPr>
    </w:p>
    <w:p w14:paraId="64283644" w14:textId="56B4FD25" w:rsidR="009D77EE" w:rsidRPr="00694FCA" w:rsidRDefault="009D77EE" w:rsidP="00874A98">
      <w:pPr>
        <w:pStyle w:val="ListParagraph"/>
        <w:numPr>
          <w:ilvl w:val="1"/>
          <w:numId w:val="92"/>
        </w:numPr>
        <w:autoSpaceDE w:val="0"/>
        <w:autoSpaceDN w:val="0"/>
        <w:adjustRightInd w:val="0"/>
        <w:spacing w:after="0" w:line="240" w:lineRule="auto"/>
        <w:ind w:left="851" w:hanging="851"/>
        <w:rPr>
          <w:rStyle w:val="Normal1"/>
          <w:rFonts w:cs="Arial"/>
          <w:b/>
          <w:bCs/>
          <w:iCs/>
          <w:color w:val="auto"/>
        </w:rPr>
      </w:pPr>
      <w:r w:rsidRPr="00694FCA">
        <w:rPr>
          <w:rStyle w:val="Normal1"/>
          <w:iCs/>
          <w:color w:val="auto"/>
        </w:rPr>
        <w:t xml:space="preserve">The site </w:t>
      </w:r>
      <w:r w:rsidR="00D63005" w:rsidRPr="00694FCA">
        <w:rPr>
          <w:rStyle w:val="Normal1"/>
          <w:iCs/>
          <w:color w:val="auto"/>
        </w:rPr>
        <w:t xml:space="preserve">lies to the northwest of </w:t>
      </w:r>
      <w:r w:rsidRPr="00694FCA">
        <w:rPr>
          <w:rStyle w:val="Normal1"/>
          <w:iCs/>
          <w:color w:val="auto"/>
        </w:rPr>
        <w:t xml:space="preserve">Kirkby Cross Conservation Area, Market Cross Scheduled Monument, and No 2 &amp; 6 Church Street and adjoining stable Grade II Listed Building. </w:t>
      </w:r>
      <w:r w:rsidR="00D63005" w:rsidRPr="00694FCA">
        <w:rPr>
          <w:rStyle w:val="Normal1"/>
          <w:iCs/>
          <w:color w:val="auto"/>
        </w:rPr>
        <w:t>D</w:t>
      </w:r>
      <w:r w:rsidRPr="00694FCA">
        <w:rPr>
          <w:rStyle w:val="Normal1"/>
          <w:iCs/>
          <w:color w:val="auto"/>
        </w:rPr>
        <w:t xml:space="preserve">evelopment </w:t>
      </w:r>
      <w:r w:rsidR="00D63005" w:rsidRPr="00694FCA">
        <w:rPr>
          <w:rStyle w:val="Normal1"/>
          <w:iCs/>
          <w:color w:val="auto"/>
        </w:rPr>
        <w:t xml:space="preserve">must be </w:t>
      </w:r>
      <w:r w:rsidRPr="00694FCA">
        <w:rPr>
          <w:rStyle w:val="Normal1"/>
          <w:iCs/>
          <w:color w:val="auto"/>
        </w:rPr>
        <w:t>sensitive</w:t>
      </w:r>
      <w:r w:rsidR="00D63005" w:rsidRPr="00694FCA">
        <w:rPr>
          <w:rStyle w:val="Normal1"/>
          <w:iCs/>
          <w:color w:val="auto"/>
        </w:rPr>
        <w:t xml:space="preserve">ly </w:t>
      </w:r>
      <w:r w:rsidRPr="00694FCA">
        <w:rPr>
          <w:rStyle w:val="Normal1"/>
          <w:iCs/>
          <w:color w:val="auto"/>
        </w:rPr>
        <w:t>design</w:t>
      </w:r>
      <w:r w:rsidR="00D63005" w:rsidRPr="00694FCA">
        <w:rPr>
          <w:rStyle w:val="Normal1"/>
          <w:iCs/>
          <w:color w:val="auto"/>
        </w:rPr>
        <w:t>ed</w:t>
      </w:r>
      <w:r w:rsidRPr="00694FCA">
        <w:rPr>
          <w:rStyle w:val="Normal1"/>
          <w:iCs/>
          <w:color w:val="auto"/>
        </w:rPr>
        <w:t xml:space="preserve"> and/or suitable tree screening along the southern boundary of the site, i</w:t>
      </w:r>
      <w:r w:rsidR="00D63005" w:rsidRPr="00694FCA">
        <w:rPr>
          <w:rStyle w:val="Normal1"/>
          <w:iCs/>
          <w:color w:val="auto"/>
        </w:rPr>
        <w:t xml:space="preserve">n order to mitigate any potential </w:t>
      </w:r>
      <w:r w:rsidRPr="00694FCA">
        <w:rPr>
          <w:rStyle w:val="Normal1"/>
          <w:iCs/>
          <w:color w:val="auto"/>
        </w:rPr>
        <w:t>harm the significance or setting of the asset</w:t>
      </w:r>
      <w:r w:rsidR="00D63005" w:rsidRPr="00694FCA">
        <w:rPr>
          <w:rStyle w:val="Normal1"/>
          <w:iCs/>
          <w:color w:val="auto"/>
        </w:rPr>
        <w:t>s</w:t>
      </w:r>
      <w:r w:rsidRPr="00694FCA">
        <w:rPr>
          <w:rStyle w:val="Normal1"/>
          <w:iCs/>
          <w:color w:val="auto"/>
        </w:rPr>
        <w:t xml:space="preserve">.  It is also likely that buried archaeological remains could survive within the site and therefore </w:t>
      </w:r>
      <w:r w:rsidR="003A37B3" w:rsidRPr="00694FCA">
        <w:rPr>
          <w:rStyle w:val="Normal1"/>
          <w:iCs/>
          <w:color w:val="auto"/>
        </w:rPr>
        <w:t>f</w:t>
      </w:r>
      <w:r w:rsidR="003A37B3" w:rsidRPr="00694FCA">
        <w:rPr>
          <w:rStyle w:val="Normal1"/>
          <w:rFonts w:cs="Arial"/>
          <w:iCs/>
          <w:color w:val="auto"/>
          <w:szCs w:val="24"/>
        </w:rPr>
        <w:t xml:space="preserve">urther archaeological evaluation work will be required, beginning with a Desk Based Assessment (DBA), </w:t>
      </w:r>
      <w:r w:rsidR="003A37B3" w:rsidRPr="00694FCA">
        <w:rPr>
          <w:rFonts w:ascii="Arial" w:hAnsi="Arial" w:cs="Arial"/>
          <w:color w:val="auto"/>
        </w:rPr>
        <w:t>to ascertain the extent and level of survival of archaeological remains within the site</w:t>
      </w:r>
      <w:r w:rsidR="003A37B3" w:rsidRPr="00694FCA">
        <w:rPr>
          <w:rStyle w:val="Normal1"/>
          <w:rFonts w:cs="Arial"/>
          <w:iCs/>
          <w:color w:val="auto"/>
          <w:szCs w:val="24"/>
        </w:rPr>
        <w:t xml:space="preserve">.  Depending on the results of the DBA further archaeological investigations may be warranted, including a geophysical survey and targeted trial trenching, where necessary. This work will inform the need for mitigation   </w:t>
      </w:r>
    </w:p>
    <w:p w14:paraId="3020542B" w14:textId="77777777" w:rsidR="00C02B74" w:rsidRPr="00694FCA" w:rsidRDefault="00C02B74" w:rsidP="003A37B3">
      <w:pPr>
        <w:pStyle w:val="ListParagraph"/>
        <w:ind w:left="851" w:hanging="851"/>
        <w:rPr>
          <w:rStyle w:val="Normal1"/>
          <w:iCs/>
          <w:color w:val="auto"/>
        </w:rPr>
      </w:pPr>
    </w:p>
    <w:bookmarkEnd w:id="205"/>
    <w:p w14:paraId="531E877F" w14:textId="189C8D0F" w:rsidR="00715560" w:rsidRPr="00694FCA" w:rsidRDefault="00C02B74" w:rsidP="00874A98">
      <w:pPr>
        <w:pStyle w:val="ListParagraph"/>
        <w:numPr>
          <w:ilvl w:val="1"/>
          <w:numId w:val="92"/>
        </w:numPr>
        <w:autoSpaceDE w:val="0"/>
        <w:autoSpaceDN w:val="0"/>
        <w:adjustRightInd w:val="0"/>
        <w:spacing w:after="0" w:line="240" w:lineRule="auto"/>
        <w:ind w:left="851" w:hanging="851"/>
        <w:rPr>
          <w:rStyle w:val="Normal1"/>
          <w:iCs/>
          <w:color w:val="auto"/>
        </w:rPr>
      </w:pPr>
      <w:r w:rsidRPr="00694FCA">
        <w:rPr>
          <w:rStyle w:val="Normal1"/>
          <w:b/>
          <w:bCs/>
          <w:iCs/>
          <w:color w:val="auto"/>
        </w:rPr>
        <w:t>H1Kd: Off Walesby Drive</w:t>
      </w:r>
      <w:r w:rsidRPr="00694FCA">
        <w:rPr>
          <w:rStyle w:val="Normal1"/>
          <w:iCs/>
          <w:color w:val="auto"/>
        </w:rPr>
        <w:t xml:space="preserve"> This greenfield site has been assessed as potentially available, potentially suitable, and achievable in the SHELAA (ref. KA012). It is located adjacent to the urban area of Kirkby, with residential development adjoining the southern boundary. There has been a resolution to grant detailed planning permission on this site, subject to the signing of a Section 106 legal agreement between the developer and the Council. </w:t>
      </w:r>
    </w:p>
    <w:p w14:paraId="7C5731A9" w14:textId="77777777" w:rsidR="00C02B74" w:rsidRPr="00C02B74" w:rsidRDefault="00C02B74" w:rsidP="00C02B74">
      <w:pPr>
        <w:autoSpaceDE w:val="0"/>
        <w:autoSpaceDN w:val="0"/>
        <w:adjustRightInd w:val="0"/>
        <w:rPr>
          <w:rStyle w:val="Normal1"/>
          <w:iCs/>
          <w:color w:val="4472C4" w:themeColor="accent1"/>
        </w:rPr>
      </w:pPr>
    </w:p>
    <w:p w14:paraId="49CEEA85" w14:textId="651181B0" w:rsidR="00715560" w:rsidRPr="00694FCA" w:rsidRDefault="00715560" w:rsidP="00874A98">
      <w:pPr>
        <w:pStyle w:val="ListParagraph"/>
        <w:numPr>
          <w:ilvl w:val="1"/>
          <w:numId w:val="92"/>
        </w:numPr>
        <w:autoSpaceDE w:val="0"/>
        <w:autoSpaceDN w:val="0"/>
        <w:adjustRightInd w:val="0"/>
        <w:spacing w:after="0" w:line="240" w:lineRule="auto"/>
        <w:ind w:left="851" w:hanging="851"/>
        <w:rPr>
          <w:rFonts w:ascii="Arial" w:eastAsia="Arial" w:hAnsi="Arial" w:cs="Arial"/>
          <w:color w:val="auto"/>
          <w:szCs w:val="24"/>
        </w:rPr>
      </w:pPr>
      <w:r w:rsidRPr="00694FCA">
        <w:rPr>
          <w:rStyle w:val="Normal1"/>
          <w:b/>
          <w:bCs/>
          <w:iCs/>
          <w:color w:val="auto"/>
        </w:rPr>
        <w:t>H1Ke: Land off Diamond Avenue, Kirkby-In-Ashfield</w:t>
      </w:r>
      <w:r w:rsidRPr="00694FCA">
        <w:rPr>
          <w:rStyle w:val="Normal1"/>
          <w:iCs/>
          <w:color w:val="auto"/>
        </w:rPr>
        <w:t xml:space="preserve"> This greenfield site</w:t>
      </w:r>
      <w:r w:rsidR="004C0CAB" w:rsidRPr="00694FCA">
        <w:rPr>
          <w:color w:val="auto"/>
        </w:rPr>
        <w:t xml:space="preserve"> </w:t>
      </w:r>
      <w:r w:rsidR="004C0CAB" w:rsidRPr="00694FCA">
        <w:rPr>
          <w:rStyle w:val="Normal1"/>
          <w:iCs/>
          <w:color w:val="auto"/>
        </w:rPr>
        <w:t>it has been assessed in the SHELAA (ref. KA026) as available, potentially suitable, and achievable. It</w:t>
      </w:r>
      <w:r w:rsidRPr="00694FCA">
        <w:rPr>
          <w:rStyle w:val="Normal1"/>
          <w:iCs/>
          <w:color w:val="auto"/>
        </w:rPr>
        <w:t xml:space="preserve"> is located within the Main</w:t>
      </w:r>
      <w:r w:rsidRPr="00694FCA">
        <w:rPr>
          <w:rFonts w:ascii="Arial" w:hAnsi="Arial" w:cs="Arial"/>
          <w:color w:val="auto"/>
          <w:szCs w:val="24"/>
        </w:rPr>
        <w:t xml:space="preserve"> Urban Area of Kirkby and is surrounded by existing residential development. The site contains several trees</w:t>
      </w:r>
      <w:r w:rsidRPr="00694FCA">
        <w:rPr>
          <w:rFonts w:ascii="Arial" w:hAnsi="Arial" w:cs="Arial"/>
          <w:b/>
          <w:color w:val="auto"/>
          <w:szCs w:val="24"/>
        </w:rPr>
        <w:t xml:space="preserve"> </w:t>
      </w:r>
      <w:r w:rsidRPr="00694FCA">
        <w:rPr>
          <w:rFonts w:ascii="Arial" w:hAnsi="Arial" w:cs="Arial"/>
          <w:bCs/>
          <w:color w:val="auto"/>
          <w:szCs w:val="24"/>
        </w:rPr>
        <w:t xml:space="preserve">and would require an appropriate design scheme that protects those of retention. The site has good access to the public highway and </w:t>
      </w:r>
      <w:r w:rsidR="004C0CAB" w:rsidRPr="00694FCA">
        <w:rPr>
          <w:rFonts w:ascii="Arial" w:hAnsi="Arial" w:cs="Arial"/>
          <w:bCs/>
          <w:color w:val="auto"/>
          <w:szCs w:val="24"/>
        </w:rPr>
        <w:t>has previously benefitted from residential planning permission.</w:t>
      </w:r>
    </w:p>
    <w:p w14:paraId="28D82209" w14:textId="77777777" w:rsidR="00715560" w:rsidRPr="00694FCA" w:rsidRDefault="00715560" w:rsidP="00715560">
      <w:pPr>
        <w:rPr>
          <w:rFonts w:eastAsia="Calibri" w:cs="Arial"/>
          <w:b/>
          <w:bCs/>
          <w:color w:val="auto"/>
          <w:szCs w:val="24"/>
        </w:rPr>
      </w:pPr>
    </w:p>
    <w:p w14:paraId="5D374C82" w14:textId="77777777" w:rsidR="00EC658F" w:rsidRPr="00694FCA" w:rsidRDefault="00715560" w:rsidP="00874A98">
      <w:pPr>
        <w:pStyle w:val="ListParagraph"/>
        <w:numPr>
          <w:ilvl w:val="1"/>
          <w:numId w:val="92"/>
        </w:numPr>
        <w:autoSpaceDE w:val="0"/>
        <w:autoSpaceDN w:val="0"/>
        <w:adjustRightInd w:val="0"/>
        <w:spacing w:after="0" w:line="240" w:lineRule="auto"/>
        <w:ind w:left="851" w:hanging="851"/>
        <w:rPr>
          <w:rFonts w:ascii="Arial" w:hAnsi="Arial" w:cs="Arial"/>
          <w:color w:val="auto"/>
          <w:szCs w:val="24"/>
        </w:rPr>
      </w:pPr>
      <w:r w:rsidRPr="00694FCA">
        <w:rPr>
          <w:rFonts w:ascii="Arial" w:eastAsia="Calibri" w:hAnsi="Arial" w:cs="Arial"/>
          <w:b/>
          <w:bCs/>
          <w:color w:val="auto"/>
          <w:szCs w:val="24"/>
        </w:rPr>
        <w:t>H1Kg: Land to the rear of 126 Skegby Road, Kirkby-In-Ashfield</w:t>
      </w:r>
      <w:r w:rsidRPr="00694FCA">
        <w:rPr>
          <w:rFonts w:ascii="Arial" w:hAnsi="Arial" w:cs="Arial"/>
          <w:color w:val="auto"/>
          <w:szCs w:val="24"/>
        </w:rPr>
        <w:t xml:space="preserve"> This greenfield site </w:t>
      </w:r>
      <w:r w:rsidR="00F95176" w:rsidRPr="00694FCA">
        <w:rPr>
          <w:rFonts w:ascii="Arial" w:hAnsi="Arial" w:cs="Arial"/>
          <w:color w:val="auto"/>
          <w:szCs w:val="24"/>
        </w:rPr>
        <w:t xml:space="preserve">has been assessed as available, potentially suitable, and achievable in the SHELAA (ref. KA038). It </w:t>
      </w:r>
      <w:r w:rsidRPr="00694FCA">
        <w:rPr>
          <w:rFonts w:ascii="Arial" w:hAnsi="Arial" w:cs="Arial"/>
          <w:color w:val="auto"/>
          <w:szCs w:val="24"/>
        </w:rPr>
        <w:t>is located within the Main Urban Area at Annesley and is surrounded by existing residential development to the west, south and east, with a primary school to the north. The site</w:t>
      </w:r>
      <w:r w:rsidRPr="00694FCA">
        <w:rPr>
          <w:rFonts w:ascii="Arial" w:eastAsia="Calibri" w:hAnsi="Arial" w:cs="Arial"/>
          <w:color w:val="auto"/>
          <w:szCs w:val="24"/>
        </w:rPr>
        <w:t xml:space="preserve"> will require highway infrastructure improvements related to access and visibility </w:t>
      </w:r>
      <w:r w:rsidRPr="00694FCA">
        <w:rPr>
          <w:rFonts w:ascii="Arial" w:hAnsi="Arial" w:cs="Arial"/>
          <w:color w:val="auto"/>
          <w:szCs w:val="24"/>
        </w:rPr>
        <w:t>which may be mitigated without the need for third party land. There have been incidents of surface water flooding within the site boundary</w:t>
      </w:r>
      <w:r w:rsidR="00F95176" w:rsidRPr="00694FCA">
        <w:rPr>
          <w:rFonts w:ascii="Arial" w:hAnsi="Arial" w:cs="Arial"/>
          <w:color w:val="auto"/>
          <w:szCs w:val="24"/>
        </w:rPr>
        <w:t xml:space="preserve"> which will require mitigation.</w:t>
      </w:r>
    </w:p>
    <w:p w14:paraId="0A64AAAF" w14:textId="0EA9C411" w:rsidR="00715560" w:rsidRPr="00F11371" w:rsidRDefault="00715560" w:rsidP="00F11371">
      <w:pPr>
        <w:autoSpaceDE w:val="0"/>
        <w:autoSpaceDN w:val="0"/>
        <w:adjustRightInd w:val="0"/>
        <w:rPr>
          <w:rFonts w:cs="Arial"/>
          <w:color w:val="4472C4" w:themeColor="accent1"/>
          <w:szCs w:val="24"/>
        </w:rPr>
      </w:pPr>
    </w:p>
    <w:p w14:paraId="52F4C18E" w14:textId="32326AB0" w:rsidR="00715560" w:rsidRPr="00694FCA" w:rsidRDefault="00715560" w:rsidP="00874A98">
      <w:pPr>
        <w:pStyle w:val="ListParagraph"/>
        <w:numPr>
          <w:ilvl w:val="1"/>
          <w:numId w:val="92"/>
        </w:numPr>
        <w:autoSpaceDE w:val="0"/>
        <w:autoSpaceDN w:val="0"/>
        <w:adjustRightInd w:val="0"/>
        <w:spacing w:after="0" w:line="240" w:lineRule="auto"/>
        <w:ind w:left="851" w:hanging="851"/>
        <w:rPr>
          <w:rFonts w:ascii="Arial" w:eastAsia="Calibri" w:hAnsi="Arial" w:cs="Arial"/>
          <w:color w:val="auto"/>
          <w:szCs w:val="24"/>
        </w:rPr>
      </w:pPr>
      <w:bookmarkStart w:id="206" w:name="_Hlk83927941"/>
      <w:r w:rsidRPr="00694FCA">
        <w:rPr>
          <w:rFonts w:ascii="Arial" w:eastAsia="Calibri" w:hAnsi="Arial" w:cs="Arial"/>
          <w:b/>
          <w:bCs/>
          <w:color w:val="auto"/>
          <w:szCs w:val="24"/>
        </w:rPr>
        <w:t>H1Kh: Land Off Hucknall Road, Newstead</w:t>
      </w:r>
      <w:r w:rsidRPr="00694FCA">
        <w:rPr>
          <w:rFonts w:ascii="Arial" w:eastAsia="Calibri" w:hAnsi="Arial" w:cs="Arial"/>
          <w:color w:val="auto"/>
          <w:szCs w:val="24"/>
        </w:rPr>
        <w:t xml:space="preserve">. </w:t>
      </w:r>
      <w:bookmarkEnd w:id="206"/>
      <w:r w:rsidRPr="00694FCA">
        <w:rPr>
          <w:rFonts w:ascii="Arial" w:eastAsia="Calibri" w:hAnsi="Arial" w:cs="Arial"/>
          <w:color w:val="auto"/>
          <w:szCs w:val="24"/>
        </w:rPr>
        <w:t>This greenfield site</w:t>
      </w:r>
      <w:r w:rsidR="00EC658F" w:rsidRPr="00694FCA">
        <w:rPr>
          <w:rFonts w:ascii="Arial" w:eastAsia="Calibri" w:hAnsi="Arial" w:cs="Arial"/>
          <w:color w:val="auto"/>
          <w:szCs w:val="24"/>
        </w:rPr>
        <w:t xml:space="preserve"> has been assessed as available, potentially suitable, and potentially achievable in the SHELAA (ref. KA046). It</w:t>
      </w:r>
      <w:r w:rsidRPr="00694FCA">
        <w:rPr>
          <w:rFonts w:ascii="Arial" w:eastAsia="Calibri" w:hAnsi="Arial" w:cs="Arial"/>
          <w:color w:val="auto"/>
          <w:szCs w:val="24"/>
        </w:rPr>
        <w:t xml:space="preserve"> is located adjacent to the existing urban area of Newstead village on land previously designated as part of the Green Belt. It is well contained by Hazelford Way to the north, Hucknall Road to the west, existing residential development to the east, and a </w:t>
      </w:r>
      <w:r w:rsidR="00EC658F" w:rsidRPr="00694FCA">
        <w:rPr>
          <w:rFonts w:ascii="Arial" w:eastAsia="Calibri" w:hAnsi="Arial" w:cs="Arial"/>
          <w:color w:val="auto"/>
          <w:szCs w:val="24"/>
        </w:rPr>
        <w:t>play</w:t>
      </w:r>
      <w:r w:rsidRPr="00694FCA">
        <w:rPr>
          <w:rFonts w:ascii="Arial" w:eastAsia="Calibri" w:hAnsi="Arial" w:cs="Arial"/>
          <w:color w:val="auto"/>
          <w:szCs w:val="24"/>
        </w:rPr>
        <w:t xml:space="preserve"> area to the south.  The substantial Annesley Forest plantation to the west will provide a strong defensible long-term boundary for the green belt in this area.</w:t>
      </w:r>
    </w:p>
    <w:p w14:paraId="5333A5AC" w14:textId="77777777" w:rsidR="00EC658F" w:rsidRPr="00694FCA" w:rsidRDefault="00EC658F" w:rsidP="00EC658F">
      <w:pPr>
        <w:pStyle w:val="ListParagraph"/>
        <w:autoSpaceDE w:val="0"/>
        <w:autoSpaceDN w:val="0"/>
        <w:adjustRightInd w:val="0"/>
        <w:spacing w:after="0" w:line="240" w:lineRule="auto"/>
        <w:ind w:left="851"/>
        <w:rPr>
          <w:rFonts w:ascii="Arial" w:eastAsia="Calibri" w:hAnsi="Arial" w:cs="Arial"/>
          <w:color w:val="auto"/>
          <w:szCs w:val="24"/>
        </w:rPr>
      </w:pPr>
    </w:p>
    <w:p w14:paraId="7D1D332A" w14:textId="7C20F37E" w:rsidR="00F11371" w:rsidRPr="00694FCA" w:rsidRDefault="00715560" w:rsidP="00874A98">
      <w:pPr>
        <w:pStyle w:val="ListParagraph"/>
        <w:numPr>
          <w:ilvl w:val="1"/>
          <w:numId w:val="92"/>
        </w:numPr>
        <w:autoSpaceDE w:val="0"/>
        <w:autoSpaceDN w:val="0"/>
        <w:adjustRightInd w:val="0"/>
        <w:spacing w:after="0" w:line="240" w:lineRule="auto"/>
        <w:ind w:left="851" w:hanging="851"/>
        <w:rPr>
          <w:rFonts w:ascii="Arial" w:eastAsia="Calibri" w:hAnsi="Arial" w:cs="Arial"/>
          <w:color w:val="auto"/>
          <w:szCs w:val="24"/>
        </w:rPr>
      </w:pPr>
      <w:r w:rsidRPr="00694FCA">
        <w:rPr>
          <w:rFonts w:ascii="Arial" w:eastAsia="Calibri" w:hAnsi="Arial" w:cs="Arial"/>
          <w:color w:val="auto"/>
          <w:szCs w:val="24"/>
        </w:rPr>
        <w:t xml:space="preserve">The site </w:t>
      </w:r>
      <w:r w:rsidR="00EC658F" w:rsidRPr="00694FCA">
        <w:rPr>
          <w:rFonts w:ascii="Arial" w:eastAsia="Calibri" w:hAnsi="Arial" w:cs="Arial"/>
          <w:color w:val="auto"/>
          <w:szCs w:val="24"/>
        </w:rPr>
        <w:t>has</w:t>
      </w:r>
      <w:r w:rsidRPr="00694FCA">
        <w:rPr>
          <w:rFonts w:ascii="Arial" w:eastAsia="Calibri" w:hAnsi="Arial" w:cs="Arial"/>
          <w:color w:val="auto"/>
          <w:szCs w:val="24"/>
        </w:rPr>
        <w:t xml:space="preserve"> extensive tree cover with open grassed areas, and the land slopes steeply in parts (southwards from Hazelford Way) and westwards from Tilford Road. It is likely that levelling may be necessary in order to accommodate a residential development. Part of the side was formerly used as railway sidings and there is also likely to be colliery spoil made ground,  meaning potential for contamination at this site. As such it will be necessary to undertake investigations to identify the nature of any contamination. A subsequent risk assessment will determine what remediation is required to enable the site to be developed.</w:t>
      </w:r>
    </w:p>
    <w:p w14:paraId="0E9CAB9F" w14:textId="77777777" w:rsidR="005B3F83" w:rsidRPr="00694FCA" w:rsidRDefault="005B3F83" w:rsidP="005B3F83">
      <w:pPr>
        <w:pStyle w:val="ListParagraph"/>
        <w:rPr>
          <w:rFonts w:ascii="Arial" w:eastAsia="Calibri" w:hAnsi="Arial" w:cs="Arial"/>
          <w:color w:val="auto"/>
          <w:szCs w:val="24"/>
        </w:rPr>
      </w:pPr>
    </w:p>
    <w:p w14:paraId="321C9C15" w14:textId="607F78EE" w:rsidR="005B3F83" w:rsidRPr="00694FCA" w:rsidRDefault="005B3F83" w:rsidP="00874A98">
      <w:pPr>
        <w:pStyle w:val="ListParagraph"/>
        <w:numPr>
          <w:ilvl w:val="1"/>
          <w:numId w:val="92"/>
        </w:numPr>
        <w:autoSpaceDE w:val="0"/>
        <w:autoSpaceDN w:val="0"/>
        <w:adjustRightInd w:val="0"/>
        <w:spacing w:after="0" w:line="240" w:lineRule="auto"/>
        <w:ind w:left="851" w:hanging="851"/>
        <w:rPr>
          <w:rFonts w:ascii="Arial" w:eastAsia="Calibri" w:hAnsi="Arial" w:cs="Arial"/>
          <w:color w:val="auto"/>
          <w:szCs w:val="24"/>
        </w:rPr>
      </w:pPr>
      <w:r w:rsidRPr="00694FCA">
        <w:rPr>
          <w:rFonts w:ascii="Arial" w:eastAsia="Calibri" w:hAnsi="Arial" w:cs="Arial"/>
          <w:b/>
          <w:bCs/>
          <w:color w:val="auto"/>
          <w:szCs w:val="24"/>
        </w:rPr>
        <w:t>H1Kk: Land off Laburnum Avenue</w:t>
      </w:r>
      <w:r w:rsidRPr="00694FCA">
        <w:rPr>
          <w:rFonts w:ascii="Arial" w:eastAsia="Calibri" w:hAnsi="Arial" w:cs="Arial"/>
          <w:color w:val="auto"/>
          <w:szCs w:val="24"/>
        </w:rPr>
        <w:t xml:space="preserve">.  This site has a resolution to approve Full planning permission for 38 dwellings subject to the signing of a s106 legal agreement for agreed developer contributions.  </w:t>
      </w:r>
    </w:p>
    <w:p w14:paraId="658E4893" w14:textId="77777777" w:rsidR="00F11371" w:rsidRPr="00694FCA" w:rsidRDefault="00F11371" w:rsidP="00F11371">
      <w:pPr>
        <w:pStyle w:val="ListParagraph"/>
        <w:rPr>
          <w:rFonts w:ascii="Arial" w:eastAsia="Calibri" w:hAnsi="Arial" w:cs="Arial"/>
          <w:color w:val="auto"/>
          <w:szCs w:val="24"/>
        </w:rPr>
      </w:pPr>
    </w:p>
    <w:p w14:paraId="7CF01DED" w14:textId="03222281" w:rsidR="00715560" w:rsidRPr="00694FCA" w:rsidRDefault="0044521A" w:rsidP="00874A98">
      <w:pPr>
        <w:pStyle w:val="ListParagraph"/>
        <w:numPr>
          <w:ilvl w:val="1"/>
          <w:numId w:val="92"/>
        </w:numPr>
        <w:autoSpaceDE w:val="0"/>
        <w:autoSpaceDN w:val="0"/>
        <w:adjustRightInd w:val="0"/>
        <w:spacing w:after="0" w:line="240" w:lineRule="auto"/>
        <w:ind w:left="851" w:hanging="851"/>
        <w:rPr>
          <w:rFonts w:ascii="Arial" w:eastAsia="Calibri" w:hAnsi="Arial" w:cs="Arial"/>
          <w:color w:val="auto"/>
          <w:szCs w:val="24"/>
        </w:rPr>
      </w:pPr>
      <w:r>
        <w:rPr>
          <w:rFonts w:ascii="Arial" w:eastAsia="Calibri" w:hAnsi="Arial" w:cs="Arial"/>
          <w:b/>
          <w:bCs/>
          <w:color w:val="auto"/>
        </w:rPr>
        <w:t>S</w:t>
      </w:r>
      <w:r w:rsidRPr="00694FCA">
        <w:rPr>
          <w:rFonts w:ascii="Arial" w:eastAsia="Calibri" w:hAnsi="Arial" w:cs="Arial"/>
          <w:b/>
          <w:bCs/>
          <w:color w:val="auto"/>
        </w:rPr>
        <w:t>ites H1Kb, H1Kd and H1Kf</w:t>
      </w:r>
      <w:r>
        <w:rPr>
          <w:rFonts w:ascii="Arial" w:eastAsia="Calibri" w:hAnsi="Arial" w:cs="Arial"/>
          <w:b/>
          <w:bCs/>
          <w:color w:val="auto"/>
        </w:rPr>
        <w:t>.</w:t>
      </w:r>
      <w:r w:rsidRPr="00694FCA">
        <w:rPr>
          <w:rFonts w:ascii="Arial" w:eastAsia="Calibri" w:hAnsi="Arial" w:cs="Arial"/>
          <w:color w:val="auto"/>
        </w:rPr>
        <w:t xml:space="preserve"> </w:t>
      </w:r>
      <w:r>
        <w:rPr>
          <w:rFonts w:ascii="Arial" w:eastAsia="Calibri" w:hAnsi="Arial" w:cs="Arial"/>
          <w:color w:val="auto"/>
        </w:rPr>
        <w:t xml:space="preserve"> </w:t>
      </w:r>
      <w:r w:rsidR="00F11371" w:rsidRPr="00694FCA">
        <w:rPr>
          <w:rStyle w:val="Normal1"/>
          <w:rFonts w:cs="Arial"/>
          <w:iCs/>
          <w:color w:val="auto"/>
          <w:szCs w:val="24"/>
        </w:rPr>
        <w:t>The remaining Kirkby area housing allocations</w:t>
      </w:r>
      <w:r w:rsidR="00F11371" w:rsidRPr="00694FCA">
        <w:rPr>
          <w:rStyle w:val="Normal1"/>
          <w:rFonts w:cs="Arial"/>
          <w:b/>
          <w:bCs/>
          <w:iCs/>
          <w:color w:val="auto"/>
          <w:szCs w:val="24"/>
        </w:rPr>
        <w:t xml:space="preserve"> </w:t>
      </w:r>
      <w:r w:rsidR="00715560" w:rsidRPr="00694FCA">
        <w:rPr>
          <w:rFonts w:ascii="Arial" w:eastAsia="Calibri" w:hAnsi="Arial" w:cs="Arial"/>
          <w:color w:val="auto"/>
        </w:rPr>
        <w:t xml:space="preserve">have the benefit of planning permission at the time of writing. Further details on these sites can be found in the Housing Trajectory in Appendix 2 which gives information on the type of permission, application reference and estimated delivery timescales. </w:t>
      </w:r>
    </w:p>
    <w:p w14:paraId="22B916AB" w14:textId="77777777" w:rsidR="00715560" w:rsidRPr="00EC658F" w:rsidRDefault="00715560" w:rsidP="00715560">
      <w:pPr>
        <w:rPr>
          <w:rFonts w:eastAsia="Calibri" w:cs="Arial"/>
          <w:color w:val="4472C4" w:themeColor="accent1"/>
          <w:szCs w:val="24"/>
        </w:rPr>
      </w:pPr>
    </w:p>
    <w:p w14:paraId="31A7647B" w14:textId="77777777" w:rsidR="00715560" w:rsidRPr="00694FCA" w:rsidRDefault="00715560" w:rsidP="00715560">
      <w:pPr>
        <w:rPr>
          <w:rStyle w:val="Heading10"/>
          <w:rFonts w:cs="Arial"/>
          <w:b w:val="0"/>
          <w:bCs/>
          <w:color w:val="auto"/>
          <w:szCs w:val="24"/>
          <w:u w:val="single"/>
        </w:rPr>
      </w:pPr>
      <w:r w:rsidRPr="00694FCA">
        <w:rPr>
          <w:rStyle w:val="Heading10"/>
          <w:rFonts w:cs="Arial"/>
          <w:bCs/>
          <w:color w:val="auto"/>
          <w:szCs w:val="24"/>
          <w:u w:val="single"/>
        </w:rPr>
        <w:t xml:space="preserve">Housing Allocations in the Sutton Area </w:t>
      </w:r>
    </w:p>
    <w:p w14:paraId="59B95C77" w14:textId="77777777" w:rsidR="00715560" w:rsidRPr="00694FCA" w:rsidRDefault="00715560" w:rsidP="0027552A">
      <w:pPr>
        <w:autoSpaceDE w:val="0"/>
        <w:autoSpaceDN w:val="0"/>
        <w:adjustRightInd w:val="0"/>
        <w:rPr>
          <w:rFonts w:eastAsia="Calibri" w:cs="Arial"/>
          <w:bCs/>
          <w:color w:val="auto"/>
          <w:highlight w:val="yellow"/>
        </w:rPr>
      </w:pPr>
    </w:p>
    <w:p w14:paraId="371D21F7" w14:textId="603DD8E4" w:rsidR="00715560" w:rsidRPr="0056594F" w:rsidRDefault="00715560" w:rsidP="00874A98">
      <w:pPr>
        <w:pStyle w:val="ListParagraph"/>
        <w:numPr>
          <w:ilvl w:val="1"/>
          <w:numId w:val="92"/>
        </w:numPr>
        <w:autoSpaceDE w:val="0"/>
        <w:autoSpaceDN w:val="0"/>
        <w:adjustRightInd w:val="0"/>
        <w:spacing w:after="0" w:line="240" w:lineRule="auto"/>
        <w:ind w:left="851" w:hanging="851"/>
        <w:rPr>
          <w:rFonts w:ascii="Arial" w:hAnsi="Arial" w:cs="Arial"/>
          <w:color w:val="auto"/>
          <w:szCs w:val="24"/>
        </w:rPr>
      </w:pPr>
      <w:r w:rsidRPr="0056594F">
        <w:rPr>
          <w:rFonts w:ascii="Arial" w:eastAsia="Calibri" w:hAnsi="Arial" w:cs="Arial"/>
          <w:b/>
          <w:color w:val="auto"/>
        </w:rPr>
        <w:t xml:space="preserve">Site H1Sb: South of </w:t>
      </w:r>
      <w:r w:rsidR="00C7390D" w:rsidRPr="0056594F">
        <w:rPr>
          <w:rFonts w:ascii="Arial" w:eastAsia="Calibri" w:hAnsi="Arial" w:cs="Arial"/>
          <w:b/>
          <w:color w:val="auto"/>
        </w:rPr>
        <w:t xml:space="preserve">Vision </w:t>
      </w:r>
      <w:r w:rsidRPr="0056594F">
        <w:rPr>
          <w:rFonts w:ascii="Arial" w:eastAsia="Calibri" w:hAnsi="Arial" w:cs="Arial"/>
          <w:b/>
          <w:color w:val="auto"/>
        </w:rPr>
        <w:t>West Notts College, Cauldwell Road, Mansfield</w:t>
      </w:r>
      <w:r w:rsidRPr="0056594F">
        <w:rPr>
          <w:rFonts w:ascii="Arial" w:eastAsia="Calibri" w:hAnsi="Arial" w:cs="Arial"/>
          <w:bCs/>
          <w:color w:val="auto"/>
        </w:rPr>
        <w:t>. This greenfield site</w:t>
      </w:r>
      <w:r w:rsidR="00C7390D" w:rsidRPr="0056594F">
        <w:rPr>
          <w:rFonts w:ascii="Arial" w:hAnsi="Arial" w:cs="Arial"/>
          <w:color w:val="auto"/>
          <w:szCs w:val="24"/>
        </w:rPr>
        <w:t xml:space="preserve"> </w:t>
      </w:r>
      <w:r w:rsidR="00C7390D" w:rsidRPr="0056594F">
        <w:rPr>
          <w:rFonts w:ascii="Arial" w:eastAsia="Calibri" w:hAnsi="Arial" w:cs="Arial"/>
          <w:color w:val="auto"/>
          <w:szCs w:val="24"/>
        </w:rPr>
        <w:t>has been assessed as available, potentially suitable, and achievable in the SHELAA</w:t>
      </w:r>
      <w:r w:rsidR="00C7390D" w:rsidRPr="0056594F">
        <w:rPr>
          <w:rFonts w:ascii="Arial" w:eastAsia="Calibri" w:hAnsi="Arial" w:cs="Arial"/>
          <w:b/>
          <w:bCs/>
          <w:color w:val="auto"/>
          <w:szCs w:val="24"/>
        </w:rPr>
        <w:t xml:space="preserve"> </w:t>
      </w:r>
      <w:r w:rsidR="00C7390D" w:rsidRPr="0056594F">
        <w:rPr>
          <w:rFonts w:ascii="Arial" w:hAnsi="Arial" w:cs="Arial"/>
          <w:color w:val="auto"/>
          <w:szCs w:val="24"/>
        </w:rPr>
        <w:t>(ref. S0009).</w:t>
      </w:r>
      <w:r w:rsidRPr="0056594F">
        <w:rPr>
          <w:rFonts w:ascii="Arial" w:eastAsia="Calibri" w:hAnsi="Arial" w:cs="Arial"/>
          <w:bCs/>
          <w:color w:val="auto"/>
        </w:rPr>
        <w:t xml:space="preserve"> </w:t>
      </w:r>
      <w:r w:rsidR="00C7390D" w:rsidRPr="0056594F">
        <w:rPr>
          <w:rFonts w:ascii="Arial" w:eastAsia="Calibri" w:hAnsi="Arial" w:cs="Arial"/>
          <w:bCs/>
          <w:color w:val="auto"/>
        </w:rPr>
        <w:t xml:space="preserve">It </w:t>
      </w:r>
      <w:r w:rsidRPr="0056594F">
        <w:rPr>
          <w:rFonts w:ascii="Arial" w:eastAsia="Calibri" w:hAnsi="Arial" w:cs="Arial"/>
          <w:bCs/>
          <w:color w:val="auto"/>
        </w:rPr>
        <w:t>is located adjacent to the Mansfield urban area south of West Notts College</w:t>
      </w:r>
      <w:r w:rsidR="00C7390D" w:rsidRPr="0056594F">
        <w:rPr>
          <w:rFonts w:ascii="Arial" w:eastAsia="Calibri" w:hAnsi="Arial" w:cs="Arial"/>
          <w:bCs/>
          <w:color w:val="auto"/>
        </w:rPr>
        <w:t xml:space="preserve"> and</w:t>
      </w:r>
      <w:r w:rsidRPr="0056594F">
        <w:rPr>
          <w:rFonts w:ascii="Arial" w:eastAsia="Calibri" w:hAnsi="Arial" w:cs="Arial"/>
          <w:bCs/>
          <w:color w:val="auto"/>
        </w:rPr>
        <w:t xml:space="preserve"> is well co</w:t>
      </w:r>
      <w:r w:rsidRPr="0056594F">
        <w:rPr>
          <w:rFonts w:ascii="Arial" w:hAnsi="Arial" w:cs="Arial"/>
          <w:bCs/>
          <w:color w:val="auto"/>
          <w:szCs w:val="24"/>
        </w:rPr>
        <w:t>ntained by the A617 (MARR route) to the south, Derby Road to the west, Cauldwell Road to the north and Nottingham Road to the east. Some surface water</w:t>
      </w:r>
      <w:r w:rsidRPr="0056594F">
        <w:rPr>
          <w:rFonts w:ascii="Arial" w:hAnsi="Arial" w:cs="Arial"/>
          <w:color w:val="auto"/>
          <w:szCs w:val="24"/>
        </w:rPr>
        <w:t xml:space="preserve"> flooding has been recorded on areas of the site. Appropriate on-site green space will be required to help minimise potential recreational disturbance at Thieves Wood which forms part of the Sherwood Forest possible potential Special Protection Area (ppSPA). A small section of the sites is located within Mansfield District Council area. The yield of 208 is based on land located within Ashfield District only. </w:t>
      </w:r>
    </w:p>
    <w:p w14:paraId="73ACC74F" w14:textId="77777777" w:rsidR="00715560" w:rsidRPr="0056594F" w:rsidRDefault="00715560" w:rsidP="00715560">
      <w:pPr>
        <w:rPr>
          <w:rFonts w:cs="Arial"/>
          <w:b/>
          <w:color w:val="auto"/>
          <w:szCs w:val="24"/>
        </w:rPr>
      </w:pPr>
    </w:p>
    <w:p w14:paraId="1D213FA6" w14:textId="4EFC2D29" w:rsidR="00725295" w:rsidRPr="00694FCA" w:rsidRDefault="00715560" w:rsidP="00874A98">
      <w:pPr>
        <w:pStyle w:val="ListParagraph"/>
        <w:numPr>
          <w:ilvl w:val="1"/>
          <w:numId w:val="92"/>
        </w:numPr>
        <w:autoSpaceDE w:val="0"/>
        <w:autoSpaceDN w:val="0"/>
        <w:adjustRightInd w:val="0"/>
        <w:spacing w:after="0" w:line="240" w:lineRule="auto"/>
        <w:ind w:left="851" w:hanging="851"/>
        <w:rPr>
          <w:rFonts w:ascii="Arial" w:eastAsia="Calibri" w:hAnsi="Arial" w:cs="Arial"/>
          <w:color w:val="auto"/>
          <w:szCs w:val="24"/>
        </w:rPr>
      </w:pPr>
      <w:r w:rsidRPr="0056594F">
        <w:rPr>
          <w:rFonts w:ascii="Arial" w:eastAsia="Calibri" w:hAnsi="Arial" w:cs="Arial"/>
          <w:b/>
          <w:bCs/>
          <w:color w:val="auto"/>
          <w:szCs w:val="24"/>
        </w:rPr>
        <w:t xml:space="preserve">Site H1Sd: Adj Oakham Business Park, off Hamilton Road, Sutton-In-Ashfield. </w:t>
      </w:r>
      <w:r w:rsidRPr="0056594F">
        <w:rPr>
          <w:rFonts w:ascii="Arial" w:eastAsia="Calibri" w:hAnsi="Arial" w:cs="Arial"/>
          <w:color w:val="auto"/>
          <w:szCs w:val="24"/>
        </w:rPr>
        <w:t>This greenfield site</w:t>
      </w:r>
      <w:r w:rsidR="00725295" w:rsidRPr="0056594F">
        <w:rPr>
          <w:rFonts w:ascii="Arial" w:hAnsi="Arial" w:cs="Arial"/>
          <w:color w:val="auto"/>
        </w:rPr>
        <w:t xml:space="preserve"> </w:t>
      </w:r>
      <w:r w:rsidR="00725295" w:rsidRPr="0056594F">
        <w:rPr>
          <w:rFonts w:ascii="Arial" w:eastAsia="Calibri" w:hAnsi="Arial" w:cs="Arial"/>
          <w:color w:val="auto"/>
          <w:szCs w:val="24"/>
        </w:rPr>
        <w:t>has been asse</w:t>
      </w:r>
      <w:r w:rsidR="00725295" w:rsidRPr="00694FCA">
        <w:rPr>
          <w:rFonts w:ascii="Arial" w:eastAsia="Calibri" w:hAnsi="Arial" w:cs="Arial"/>
          <w:color w:val="auto"/>
          <w:szCs w:val="24"/>
        </w:rPr>
        <w:t xml:space="preserve">ssed as available, potentially suitable, and potentially achievable in the SHELAA (Refs SA016, SA044). It </w:t>
      </w:r>
      <w:r w:rsidRPr="00694FCA">
        <w:rPr>
          <w:rFonts w:ascii="Arial" w:eastAsia="Calibri" w:hAnsi="Arial" w:cs="Arial"/>
          <w:color w:val="auto"/>
          <w:szCs w:val="24"/>
        </w:rPr>
        <w:t>is located adjacent to the existing urban area of Mansfield</w:t>
      </w:r>
      <w:r w:rsidR="00725295" w:rsidRPr="00694FCA">
        <w:rPr>
          <w:rFonts w:ascii="Arial" w:eastAsia="Calibri" w:hAnsi="Arial" w:cs="Arial"/>
          <w:color w:val="auto"/>
          <w:szCs w:val="24"/>
        </w:rPr>
        <w:t xml:space="preserve"> and</w:t>
      </w:r>
      <w:r w:rsidRPr="00694FCA">
        <w:rPr>
          <w:rFonts w:ascii="Arial" w:eastAsia="Calibri" w:hAnsi="Arial" w:cs="Arial"/>
          <w:color w:val="auto"/>
          <w:szCs w:val="24"/>
        </w:rPr>
        <w:t xml:space="preserve"> comprises an agricultural field which includes a former railway cutting and is enclosed by employment development to north and east, a railway with Kingsmill reservoir beyond to the west, and countryside with employment development beyond to the south.</w:t>
      </w:r>
      <w:r w:rsidR="006B5518">
        <w:rPr>
          <w:rFonts w:ascii="Arial" w:eastAsia="Calibri" w:hAnsi="Arial" w:cs="Arial"/>
          <w:color w:val="auto"/>
          <w:szCs w:val="24"/>
        </w:rPr>
        <w:t xml:space="preserve"> </w:t>
      </w:r>
    </w:p>
    <w:p w14:paraId="1568509E" w14:textId="77777777" w:rsidR="00F02EAA" w:rsidRPr="00694FCA" w:rsidRDefault="00F02EAA" w:rsidP="00F02EAA">
      <w:pPr>
        <w:pStyle w:val="ListParagraph"/>
        <w:rPr>
          <w:rFonts w:ascii="Arial" w:eastAsia="Calibri" w:hAnsi="Arial" w:cs="Arial"/>
          <w:color w:val="auto"/>
          <w:szCs w:val="24"/>
        </w:rPr>
      </w:pPr>
    </w:p>
    <w:p w14:paraId="022A1DC5" w14:textId="697F7D11" w:rsidR="006D08C6" w:rsidRPr="00694FCA" w:rsidRDefault="00F02EAA" w:rsidP="00874A98">
      <w:pPr>
        <w:pStyle w:val="ListParagraph"/>
        <w:numPr>
          <w:ilvl w:val="1"/>
          <w:numId w:val="92"/>
        </w:numPr>
        <w:autoSpaceDE w:val="0"/>
        <w:autoSpaceDN w:val="0"/>
        <w:adjustRightInd w:val="0"/>
        <w:spacing w:after="0" w:line="240" w:lineRule="auto"/>
        <w:ind w:left="851" w:hanging="851"/>
        <w:rPr>
          <w:rFonts w:ascii="Arial" w:eastAsia="Calibri" w:hAnsi="Arial" w:cs="Arial"/>
          <w:color w:val="auto"/>
          <w:szCs w:val="24"/>
        </w:rPr>
      </w:pPr>
      <w:r w:rsidRPr="00694FCA">
        <w:rPr>
          <w:rFonts w:ascii="Arial" w:eastAsia="Calibri" w:hAnsi="Arial" w:cs="Arial"/>
          <w:color w:val="auto"/>
          <w:szCs w:val="24"/>
        </w:rPr>
        <w:t>The site is located c.240m north of Hamilton Hill Scheduled Monume</w:t>
      </w:r>
      <w:r w:rsidR="006D08C6" w:rsidRPr="00694FCA">
        <w:rPr>
          <w:rFonts w:ascii="Arial" w:eastAsia="Calibri" w:hAnsi="Arial" w:cs="Arial"/>
          <w:color w:val="auto"/>
          <w:szCs w:val="24"/>
        </w:rPr>
        <w:t>n</w:t>
      </w:r>
      <w:r w:rsidRPr="00694FCA">
        <w:rPr>
          <w:rFonts w:ascii="Arial" w:eastAsia="Calibri" w:hAnsi="Arial" w:cs="Arial"/>
          <w:color w:val="auto"/>
          <w:szCs w:val="24"/>
        </w:rPr>
        <w:t>t</w:t>
      </w:r>
      <w:r w:rsidR="006D08C6" w:rsidRPr="00694FCA">
        <w:rPr>
          <w:rFonts w:ascii="Arial" w:eastAsia="Calibri" w:hAnsi="Arial" w:cs="Arial"/>
          <w:color w:val="auto"/>
          <w:szCs w:val="24"/>
        </w:rPr>
        <w:t xml:space="preserve"> </w:t>
      </w:r>
      <w:r w:rsidRPr="00694FCA">
        <w:rPr>
          <w:rFonts w:ascii="Arial" w:eastAsia="Calibri" w:hAnsi="Arial" w:cs="Arial"/>
          <w:color w:val="auto"/>
          <w:szCs w:val="24"/>
        </w:rPr>
        <w:t>and</w:t>
      </w:r>
      <w:r w:rsidR="006D08C6" w:rsidRPr="00694FCA">
        <w:rPr>
          <w:rFonts w:ascii="Arial" w:eastAsia="Calibri" w:hAnsi="Arial" w:cs="Arial"/>
          <w:color w:val="auto"/>
          <w:szCs w:val="24"/>
        </w:rPr>
        <w:t xml:space="preserve"> </w:t>
      </w:r>
      <w:r w:rsidRPr="00694FCA">
        <w:rPr>
          <w:rFonts w:ascii="Arial" w:eastAsia="Calibri" w:hAnsi="Arial" w:cs="Arial"/>
          <w:color w:val="auto"/>
          <w:szCs w:val="24"/>
        </w:rPr>
        <w:t>contribut</w:t>
      </w:r>
      <w:r w:rsidR="006D08C6" w:rsidRPr="00694FCA">
        <w:rPr>
          <w:rFonts w:ascii="Arial" w:eastAsia="Calibri" w:hAnsi="Arial" w:cs="Arial"/>
          <w:color w:val="auto"/>
          <w:szCs w:val="24"/>
        </w:rPr>
        <w:t xml:space="preserve">es positively </w:t>
      </w:r>
      <w:r w:rsidRPr="00694FCA">
        <w:rPr>
          <w:rFonts w:ascii="Arial" w:eastAsia="Calibri" w:hAnsi="Arial" w:cs="Arial"/>
          <w:color w:val="auto"/>
          <w:szCs w:val="24"/>
        </w:rPr>
        <w:t xml:space="preserve">to the asset’s historical rural setting. </w:t>
      </w:r>
      <w:r w:rsidR="006D08C6" w:rsidRPr="00694FCA">
        <w:rPr>
          <w:rFonts w:ascii="Arial" w:eastAsia="Calibri" w:hAnsi="Arial" w:cs="Arial"/>
          <w:color w:val="auto"/>
          <w:szCs w:val="24"/>
        </w:rPr>
        <w:t xml:space="preserve"> </w:t>
      </w:r>
      <w:r w:rsidR="006D08C6" w:rsidRPr="00694FCA">
        <w:rPr>
          <w:rFonts w:ascii="Arial" w:hAnsi="Arial" w:cs="Arial"/>
          <w:color w:val="auto"/>
        </w:rPr>
        <w:t>Due to the proximity of the site to the asset and the relatively flat topography of the area, site lines are direct and careful building design needs to be undertaken to reduce any potential harm.  The most sensitive area is the western end of the site, which allows direct views of Kings Mill Reservoir from Hamilton Hill.  Any development in this area should not obstruct these views</w:t>
      </w:r>
      <w:r w:rsidR="006D08C6" w:rsidRPr="00694FCA">
        <w:rPr>
          <w:color w:val="auto"/>
        </w:rPr>
        <w:t xml:space="preserve">. </w:t>
      </w:r>
    </w:p>
    <w:p w14:paraId="24C4B18F" w14:textId="77777777" w:rsidR="006D08C6" w:rsidRPr="00694FCA" w:rsidRDefault="006D08C6" w:rsidP="006D08C6">
      <w:pPr>
        <w:pStyle w:val="ListParagraph"/>
        <w:rPr>
          <w:rFonts w:ascii="Arial" w:eastAsia="Calibri" w:hAnsi="Arial" w:cs="Arial"/>
          <w:color w:val="auto"/>
          <w:szCs w:val="24"/>
        </w:rPr>
      </w:pPr>
    </w:p>
    <w:p w14:paraId="34BF0DE3" w14:textId="340814B2" w:rsidR="00304995" w:rsidRPr="0056594F" w:rsidRDefault="006D08C6" w:rsidP="00874A98">
      <w:pPr>
        <w:pStyle w:val="ListParagraph"/>
        <w:numPr>
          <w:ilvl w:val="1"/>
          <w:numId w:val="92"/>
        </w:numPr>
        <w:autoSpaceDE w:val="0"/>
        <w:autoSpaceDN w:val="0"/>
        <w:adjustRightInd w:val="0"/>
        <w:spacing w:after="0" w:line="240" w:lineRule="auto"/>
        <w:ind w:left="851" w:hanging="851"/>
        <w:rPr>
          <w:rFonts w:ascii="Arial" w:eastAsia="Calibri" w:hAnsi="Arial" w:cs="Arial"/>
          <w:color w:val="auto"/>
          <w:szCs w:val="24"/>
        </w:rPr>
      </w:pPr>
      <w:bookmarkStart w:id="207" w:name="_Hlk147224342"/>
      <w:r w:rsidRPr="00694FCA">
        <w:rPr>
          <w:rFonts w:ascii="Arial" w:eastAsia="Calibri" w:hAnsi="Arial" w:cs="Arial"/>
          <w:color w:val="auto"/>
          <w:szCs w:val="24"/>
        </w:rPr>
        <w:t>There is also a m</w:t>
      </w:r>
      <w:r w:rsidR="00F02EAA" w:rsidRPr="00694FCA">
        <w:rPr>
          <w:rFonts w:ascii="Arial" w:eastAsia="Calibri" w:hAnsi="Arial" w:cs="Arial"/>
          <w:color w:val="auto"/>
          <w:szCs w:val="24"/>
        </w:rPr>
        <w:t>oderate potential for archaeological remain</w:t>
      </w:r>
      <w:r w:rsidRPr="00694FCA">
        <w:rPr>
          <w:rFonts w:ascii="Arial" w:eastAsia="Calibri" w:hAnsi="Arial" w:cs="Arial"/>
          <w:color w:val="auto"/>
          <w:szCs w:val="24"/>
        </w:rPr>
        <w:t xml:space="preserve"> on the site</w:t>
      </w:r>
      <w:r w:rsidR="00F02EAA" w:rsidRPr="00694FCA">
        <w:rPr>
          <w:rFonts w:ascii="Arial" w:eastAsia="Calibri" w:hAnsi="Arial" w:cs="Arial"/>
          <w:color w:val="auto"/>
          <w:szCs w:val="24"/>
        </w:rPr>
        <w:t xml:space="preserve">. </w:t>
      </w:r>
      <w:r w:rsidR="003A37B3" w:rsidRPr="00694FCA">
        <w:rPr>
          <w:rStyle w:val="Normal1"/>
          <w:rFonts w:cs="Arial"/>
          <w:iCs/>
          <w:color w:val="auto"/>
          <w:szCs w:val="24"/>
        </w:rPr>
        <w:t xml:space="preserve">Further archaeological evaluation work will be required, beginning with a Desk Based Assessment (DBA), </w:t>
      </w:r>
      <w:r w:rsidR="003A37B3" w:rsidRPr="00694FCA">
        <w:rPr>
          <w:rFonts w:ascii="Arial" w:hAnsi="Arial" w:cs="Arial"/>
          <w:color w:val="auto"/>
        </w:rPr>
        <w:t>to ascertain the extent and level of survival of archaeological remains within the site</w:t>
      </w:r>
      <w:r w:rsidR="003A37B3" w:rsidRPr="00694FCA">
        <w:rPr>
          <w:rStyle w:val="Normal1"/>
          <w:rFonts w:cs="Arial"/>
          <w:iCs/>
          <w:color w:val="auto"/>
          <w:szCs w:val="24"/>
        </w:rPr>
        <w:t>.  Depending on the results of the DBA further archaeological investigations may be warranted, including a geophysical survey and targeted trial trenching, where necessary.  This work will inform the need for mitigation</w:t>
      </w:r>
      <w:bookmarkEnd w:id="207"/>
      <w:r w:rsidR="0056594F">
        <w:rPr>
          <w:rStyle w:val="Normal1"/>
          <w:rFonts w:cs="Arial"/>
          <w:iCs/>
          <w:color w:val="auto"/>
          <w:szCs w:val="24"/>
        </w:rPr>
        <w:t>.</w:t>
      </w:r>
    </w:p>
    <w:p w14:paraId="4E48CB59" w14:textId="77777777" w:rsidR="00304995" w:rsidRPr="00304995" w:rsidRDefault="00304995" w:rsidP="00304995">
      <w:pPr>
        <w:autoSpaceDE w:val="0"/>
        <w:autoSpaceDN w:val="0"/>
        <w:adjustRightInd w:val="0"/>
        <w:rPr>
          <w:rFonts w:eastAsia="Calibri" w:cs="Arial"/>
          <w:color w:val="4472C4" w:themeColor="accent1"/>
          <w:szCs w:val="24"/>
        </w:rPr>
      </w:pPr>
    </w:p>
    <w:p w14:paraId="2E71B1F4" w14:textId="77777777" w:rsidR="00715560" w:rsidRPr="00694FCA" w:rsidRDefault="00715560" w:rsidP="00874A98">
      <w:pPr>
        <w:pStyle w:val="ListParagraph"/>
        <w:numPr>
          <w:ilvl w:val="1"/>
          <w:numId w:val="92"/>
        </w:numPr>
        <w:autoSpaceDE w:val="0"/>
        <w:autoSpaceDN w:val="0"/>
        <w:adjustRightInd w:val="0"/>
        <w:spacing w:after="0" w:line="240" w:lineRule="auto"/>
        <w:ind w:left="851" w:hanging="851"/>
        <w:rPr>
          <w:rFonts w:ascii="Arial" w:eastAsia="Calibri" w:hAnsi="Arial" w:cs="Arial"/>
          <w:color w:val="auto"/>
          <w:szCs w:val="24"/>
        </w:rPr>
      </w:pPr>
      <w:r w:rsidRPr="00694FCA">
        <w:rPr>
          <w:rFonts w:ascii="Arial" w:eastAsia="Calibri" w:hAnsi="Arial" w:cs="Arial"/>
          <w:color w:val="auto"/>
          <w:szCs w:val="24"/>
        </w:rPr>
        <w:t>There is the likely existence of contamination and land stability issues on the site which will require investigation.</w:t>
      </w:r>
    </w:p>
    <w:p w14:paraId="45F0F02D" w14:textId="77777777" w:rsidR="00715560" w:rsidRPr="00694FCA" w:rsidRDefault="00715560" w:rsidP="00715560">
      <w:pPr>
        <w:autoSpaceDE w:val="0"/>
        <w:autoSpaceDN w:val="0"/>
        <w:adjustRightInd w:val="0"/>
        <w:rPr>
          <w:rStyle w:val="Heading10"/>
          <w:rFonts w:cs="Arial"/>
          <w:color w:val="auto"/>
          <w:szCs w:val="24"/>
        </w:rPr>
      </w:pPr>
    </w:p>
    <w:p w14:paraId="473AD30D" w14:textId="64727692" w:rsidR="00715560" w:rsidRPr="00694FCA" w:rsidRDefault="00715560" w:rsidP="00874A98">
      <w:pPr>
        <w:pStyle w:val="ListParagraph"/>
        <w:numPr>
          <w:ilvl w:val="1"/>
          <w:numId w:val="92"/>
        </w:numPr>
        <w:autoSpaceDE w:val="0"/>
        <w:autoSpaceDN w:val="0"/>
        <w:adjustRightInd w:val="0"/>
        <w:spacing w:after="0" w:line="240" w:lineRule="auto"/>
        <w:ind w:left="851" w:hanging="851"/>
        <w:rPr>
          <w:rFonts w:ascii="Arial" w:eastAsia="Calibri" w:hAnsi="Arial" w:cs="Arial"/>
          <w:bCs/>
          <w:color w:val="auto"/>
        </w:rPr>
      </w:pPr>
      <w:r w:rsidRPr="0056594F">
        <w:rPr>
          <w:rFonts w:ascii="Arial" w:eastAsia="Calibri" w:hAnsi="Arial" w:cs="Arial"/>
          <w:b/>
          <w:bCs/>
          <w:color w:val="auto"/>
        </w:rPr>
        <w:t xml:space="preserve">Site H1Se </w:t>
      </w:r>
      <w:r w:rsidRPr="0056594F">
        <w:rPr>
          <w:rFonts w:ascii="Arial" w:eastAsia="Calibri" w:hAnsi="Arial" w:cs="Arial"/>
          <w:b/>
          <w:color w:val="auto"/>
        </w:rPr>
        <w:t>Priestic Road Road/ Northern View, Sutton</w:t>
      </w:r>
      <w:r w:rsidRPr="0056594F">
        <w:rPr>
          <w:rFonts w:ascii="Arial" w:eastAsia="Calibri" w:hAnsi="Arial" w:cs="Arial"/>
          <w:bCs/>
          <w:color w:val="auto"/>
        </w:rPr>
        <w:t>. This brownfield site is located within the main urban area of Sutton and has previously</w:t>
      </w:r>
      <w:r w:rsidRPr="00694FCA">
        <w:rPr>
          <w:rFonts w:ascii="Arial" w:eastAsia="Calibri" w:hAnsi="Arial" w:cs="Arial"/>
          <w:bCs/>
          <w:color w:val="auto"/>
        </w:rPr>
        <w:t xml:space="preserve"> had the benefit of outline planning permission. The site is a former railway cutting and licenced landfill which is surrounded by residential development. Contamination is suspected</w:t>
      </w:r>
      <w:r w:rsidR="00067782" w:rsidRPr="00694FCA">
        <w:rPr>
          <w:rFonts w:ascii="Arial" w:eastAsia="Calibri" w:hAnsi="Arial" w:cs="Arial"/>
          <w:bCs/>
          <w:color w:val="auto"/>
        </w:rPr>
        <w:t xml:space="preserve"> as a consequence of</w:t>
      </w:r>
      <w:r w:rsidRPr="00694FCA">
        <w:rPr>
          <w:rFonts w:ascii="Arial" w:eastAsia="Calibri" w:hAnsi="Arial" w:cs="Arial"/>
          <w:bCs/>
          <w:color w:val="auto"/>
        </w:rPr>
        <w:t xml:space="preserve"> previous uses. There is evidence of surface water flooding within the boundary of the site, particularly along the northern boundary. The site has been assessed as available, potentially suitable, and potentially achievable in the SHELAA (ref. SA017).</w:t>
      </w:r>
    </w:p>
    <w:p w14:paraId="36BF785C" w14:textId="77777777" w:rsidR="00715560" w:rsidRPr="00694FCA" w:rsidRDefault="00715560" w:rsidP="00C7390D">
      <w:pPr>
        <w:pStyle w:val="ListParagraph"/>
        <w:autoSpaceDE w:val="0"/>
        <w:autoSpaceDN w:val="0"/>
        <w:adjustRightInd w:val="0"/>
        <w:spacing w:after="0" w:line="240" w:lineRule="auto"/>
        <w:ind w:left="851"/>
        <w:rPr>
          <w:rFonts w:ascii="Arial" w:eastAsia="Calibri" w:hAnsi="Arial" w:cs="Arial"/>
          <w:bCs/>
          <w:color w:val="auto"/>
          <w:highlight w:val="yellow"/>
        </w:rPr>
      </w:pPr>
    </w:p>
    <w:p w14:paraId="6FC0EE80" w14:textId="77777777" w:rsidR="007E644A" w:rsidRPr="00694FCA" w:rsidRDefault="00715560" w:rsidP="00874A98">
      <w:pPr>
        <w:pStyle w:val="ListParagraph"/>
        <w:numPr>
          <w:ilvl w:val="1"/>
          <w:numId w:val="92"/>
        </w:numPr>
        <w:autoSpaceDE w:val="0"/>
        <w:autoSpaceDN w:val="0"/>
        <w:adjustRightInd w:val="0"/>
        <w:spacing w:after="0" w:line="240" w:lineRule="auto"/>
        <w:ind w:left="851" w:hanging="851"/>
        <w:rPr>
          <w:rFonts w:ascii="Arial" w:eastAsia="Calibri" w:hAnsi="Arial" w:cs="Arial"/>
          <w:bCs/>
          <w:color w:val="auto"/>
        </w:rPr>
      </w:pPr>
      <w:r w:rsidRPr="00694FCA">
        <w:rPr>
          <w:rFonts w:ascii="Arial" w:eastAsia="Calibri" w:hAnsi="Arial" w:cs="Arial"/>
          <w:b/>
          <w:color w:val="auto"/>
        </w:rPr>
        <w:t>Site H1Sf: Rear 23 Beck Lane, Skegby</w:t>
      </w:r>
      <w:r w:rsidRPr="00694FCA">
        <w:rPr>
          <w:rFonts w:ascii="Arial" w:eastAsia="Calibri" w:hAnsi="Arial" w:cs="Arial"/>
          <w:bCs/>
          <w:color w:val="auto"/>
        </w:rPr>
        <w:t xml:space="preserve">. This brownfield/greenfield site </w:t>
      </w:r>
      <w:r w:rsidR="00C7390D" w:rsidRPr="00694FCA">
        <w:rPr>
          <w:rFonts w:ascii="Arial" w:eastAsia="Calibri" w:hAnsi="Arial" w:cs="Arial"/>
          <w:bCs/>
          <w:color w:val="auto"/>
        </w:rPr>
        <w:t xml:space="preserve">has been assessed as available, potentially suitable, and achievable in the SHELAA (ref. SA022). It </w:t>
      </w:r>
      <w:r w:rsidRPr="00694FCA">
        <w:rPr>
          <w:rFonts w:ascii="Arial" w:eastAsia="Calibri" w:hAnsi="Arial" w:cs="Arial"/>
          <w:bCs/>
          <w:color w:val="auto"/>
        </w:rPr>
        <w:t>is located adjacent to the urban area of Sutton and comprises a paddock with an industrial style building. The site is contained by existing residential development in the south, Beck Lane to the east, and mature hedgerows to the west and north.</w:t>
      </w:r>
      <w:r w:rsidR="007E644A" w:rsidRPr="00694FCA">
        <w:rPr>
          <w:rFonts w:ascii="Arial" w:eastAsia="Calibri" w:hAnsi="Arial" w:cs="Arial"/>
          <w:bCs/>
          <w:color w:val="auto"/>
        </w:rPr>
        <w:t xml:space="preserve">  </w:t>
      </w:r>
    </w:p>
    <w:p w14:paraId="578AA6CD" w14:textId="77777777" w:rsidR="007E644A" w:rsidRPr="00694FCA" w:rsidRDefault="007E644A" w:rsidP="007E644A">
      <w:pPr>
        <w:pStyle w:val="ListParagraph"/>
        <w:rPr>
          <w:rFonts w:ascii="Arial" w:eastAsia="Calibri" w:hAnsi="Arial" w:cs="Arial"/>
          <w:bCs/>
          <w:color w:val="auto"/>
        </w:rPr>
      </w:pPr>
    </w:p>
    <w:p w14:paraId="07B07478" w14:textId="09FB1B1C" w:rsidR="003A37B3" w:rsidRPr="00694FCA" w:rsidRDefault="007E644A" w:rsidP="00874A98">
      <w:pPr>
        <w:pStyle w:val="ListParagraph"/>
        <w:numPr>
          <w:ilvl w:val="1"/>
          <w:numId w:val="92"/>
        </w:numPr>
        <w:autoSpaceDE w:val="0"/>
        <w:autoSpaceDN w:val="0"/>
        <w:adjustRightInd w:val="0"/>
        <w:spacing w:after="0" w:line="240" w:lineRule="auto"/>
        <w:ind w:left="851" w:hanging="851"/>
        <w:rPr>
          <w:rStyle w:val="Normal1"/>
          <w:rFonts w:ascii="Calibri" w:eastAsia="Calibri" w:hAnsi="Calibri" w:cs="Arial"/>
          <w:bCs/>
          <w:color w:val="auto"/>
        </w:rPr>
      </w:pPr>
      <w:r w:rsidRPr="00694FCA">
        <w:rPr>
          <w:rFonts w:ascii="Arial" w:eastAsia="Calibri" w:hAnsi="Arial" w:cs="Arial"/>
          <w:bCs/>
          <w:color w:val="auto"/>
        </w:rPr>
        <w:t>Dalestorth</w:t>
      </w:r>
      <w:r w:rsidRPr="00694FCA">
        <w:rPr>
          <w:rFonts w:ascii="Arial" w:hAnsi="Arial" w:cs="Arial"/>
          <w:color w:val="auto"/>
          <w:szCs w:val="24"/>
        </w:rPr>
        <w:t xml:space="preserve"> House, a Grade II Listed Building, is located c.26m to the south-east of the site.</w:t>
      </w:r>
      <w:r w:rsidRPr="00694FCA">
        <w:rPr>
          <w:color w:val="auto"/>
        </w:rPr>
        <w:t xml:space="preserve"> </w:t>
      </w:r>
      <w:r w:rsidRPr="00694FCA">
        <w:rPr>
          <w:rFonts w:ascii="Arial" w:hAnsi="Arial" w:cs="Arial"/>
          <w:color w:val="auto"/>
        </w:rPr>
        <w:t xml:space="preserve">Trees should be planted along the road boundary to help maintain a green approach to the asset and mitigate harm.  There is also a moderate potential for the survival of archaeological remains within the site. Consequently, </w:t>
      </w:r>
      <w:r w:rsidR="003A37B3" w:rsidRPr="00694FCA">
        <w:rPr>
          <w:rFonts w:ascii="Arial" w:hAnsi="Arial" w:cs="Arial"/>
          <w:color w:val="auto"/>
        </w:rPr>
        <w:t>f</w:t>
      </w:r>
      <w:r w:rsidR="003A37B3" w:rsidRPr="00694FCA">
        <w:rPr>
          <w:rStyle w:val="Normal1"/>
          <w:rFonts w:cs="Arial"/>
          <w:iCs/>
          <w:color w:val="auto"/>
          <w:szCs w:val="24"/>
        </w:rPr>
        <w:t xml:space="preserve">urther archaeological evaluation work will be required, beginning with a Desk Based Assessment (DBA), </w:t>
      </w:r>
      <w:r w:rsidR="003A37B3" w:rsidRPr="00694FCA">
        <w:rPr>
          <w:rFonts w:ascii="Arial" w:hAnsi="Arial" w:cs="Arial"/>
          <w:color w:val="auto"/>
        </w:rPr>
        <w:t>to ascertain the extent and level of survival of archaeological remains within the site</w:t>
      </w:r>
      <w:r w:rsidR="003A37B3" w:rsidRPr="00694FCA">
        <w:rPr>
          <w:rStyle w:val="Normal1"/>
          <w:rFonts w:cs="Arial"/>
          <w:iCs/>
          <w:color w:val="auto"/>
          <w:szCs w:val="24"/>
        </w:rPr>
        <w:t>.  Depending on the results of the DBA further archaeological investigations may be warranted, including a geophysical survey and targeted trial trenching, where necessary.  This work will inform the need for mitigation</w:t>
      </w:r>
      <w:r w:rsidR="00694FCA">
        <w:rPr>
          <w:rStyle w:val="Normal1"/>
          <w:rFonts w:cs="Arial"/>
          <w:iCs/>
          <w:color w:val="auto"/>
          <w:szCs w:val="24"/>
        </w:rPr>
        <w:t>.</w:t>
      </w:r>
    </w:p>
    <w:p w14:paraId="609C4975" w14:textId="77777777" w:rsidR="003A37B3" w:rsidRPr="00694FCA" w:rsidRDefault="003A37B3" w:rsidP="003A37B3">
      <w:pPr>
        <w:autoSpaceDE w:val="0"/>
        <w:autoSpaceDN w:val="0"/>
        <w:adjustRightInd w:val="0"/>
        <w:rPr>
          <w:rFonts w:eastAsia="Calibri" w:cs="Arial"/>
          <w:bCs/>
          <w:color w:val="auto"/>
        </w:rPr>
      </w:pPr>
    </w:p>
    <w:p w14:paraId="5AE86B54" w14:textId="5F474509" w:rsidR="00715560" w:rsidRPr="00694FCA" w:rsidRDefault="00715560" w:rsidP="00874A98">
      <w:pPr>
        <w:pStyle w:val="ListParagraph"/>
        <w:numPr>
          <w:ilvl w:val="1"/>
          <w:numId w:val="92"/>
        </w:numPr>
        <w:autoSpaceDE w:val="0"/>
        <w:autoSpaceDN w:val="0"/>
        <w:adjustRightInd w:val="0"/>
        <w:spacing w:after="0" w:line="240" w:lineRule="auto"/>
        <w:ind w:left="851" w:hanging="851"/>
        <w:rPr>
          <w:rFonts w:cs="Arial"/>
          <w:color w:val="auto"/>
          <w:szCs w:val="24"/>
        </w:rPr>
      </w:pPr>
      <w:r w:rsidRPr="00694FCA">
        <w:rPr>
          <w:rFonts w:ascii="Arial" w:eastAsia="Calibri" w:hAnsi="Arial" w:cs="Arial"/>
          <w:bCs/>
          <w:color w:val="auto"/>
        </w:rPr>
        <w:t xml:space="preserve">There is likely existence of contamination from a former </w:t>
      </w:r>
      <w:r w:rsidR="000B2137" w:rsidRPr="00694FCA">
        <w:rPr>
          <w:rFonts w:ascii="Arial" w:eastAsia="Calibri" w:hAnsi="Arial" w:cs="Arial"/>
          <w:bCs/>
          <w:color w:val="auto"/>
        </w:rPr>
        <w:t>horticultural</w:t>
      </w:r>
      <w:r w:rsidRPr="00694FCA">
        <w:rPr>
          <w:rFonts w:ascii="Arial" w:eastAsia="Calibri" w:hAnsi="Arial" w:cs="Arial"/>
          <w:bCs/>
          <w:color w:val="auto"/>
        </w:rPr>
        <w:t xml:space="preserve"> nursery which was historically located on the south-eastern part of site. </w:t>
      </w:r>
    </w:p>
    <w:p w14:paraId="76D0A861" w14:textId="77777777" w:rsidR="007E644A" w:rsidRPr="00694FCA" w:rsidRDefault="007E644A" w:rsidP="007E644A">
      <w:pPr>
        <w:pStyle w:val="ListParagraph"/>
        <w:autoSpaceDE w:val="0"/>
        <w:autoSpaceDN w:val="0"/>
        <w:adjustRightInd w:val="0"/>
        <w:spacing w:after="0" w:line="240" w:lineRule="auto"/>
        <w:ind w:left="851"/>
        <w:rPr>
          <w:rFonts w:cs="Arial"/>
          <w:color w:val="auto"/>
          <w:szCs w:val="24"/>
        </w:rPr>
      </w:pPr>
    </w:p>
    <w:p w14:paraId="216A5B32" w14:textId="66363217" w:rsidR="00715560" w:rsidRPr="00694FCA" w:rsidRDefault="00715560" w:rsidP="00874A98">
      <w:pPr>
        <w:pStyle w:val="ListParagraph"/>
        <w:numPr>
          <w:ilvl w:val="1"/>
          <w:numId w:val="92"/>
        </w:numPr>
        <w:autoSpaceDE w:val="0"/>
        <w:autoSpaceDN w:val="0"/>
        <w:adjustRightInd w:val="0"/>
        <w:spacing w:after="0" w:line="240" w:lineRule="auto"/>
        <w:ind w:left="851" w:hanging="851"/>
        <w:rPr>
          <w:rFonts w:ascii="Arial" w:eastAsia="Calibri" w:hAnsi="Arial" w:cs="Arial"/>
          <w:bCs/>
          <w:color w:val="auto"/>
        </w:rPr>
      </w:pPr>
      <w:r w:rsidRPr="00694FCA">
        <w:rPr>
          <w:rFonts w:ascii="Arial" w:eastAsia="Calibri" w:hAnsi="Arial" w:cs="Arial"/>
          <w:b/>
          <w:color w:val="auto"/>
        </w:rPr>
        <w:t>Site H1Sg: Former Miner's Welfare Sports Ground, Stanton Hill, Sutton-In-Ashfield.</w:t>
      </w:r>
      <w:r w:rsidRPr="00694FCA">
        <w:rPr>
          <w:rFonts w:ascii="Arial" w:eastAsia="Calibri" w:hAnsi="Arial" w:cs="Arial"/>
          <w:bCs/>
          <w:color w:val="auto"/>
        </w:rPr>
        <w:t xml:space="preserve"> This brownfield/greenfield site </w:t>
      </w:r>
      <w:r w:rsidR="00B63B5F" w:rsidRPr="00694FCA">
        <w:rPr>
          <w:rFonts w:ascii="Arial" w:eastAsia="Calibri" w:hAnsi="Arial" w:cs="Arial"/>
          <w:bCs/>
          <w:color w:val="auto"/>
        </w:rPr>
        <w:t xml:space="preserve">has been assessed as available, potentially suitable, and achievable in the SHELAA (ref.SA023). It </w:t>
      </w:r>
      <w:r w:rsidRPr="00694FCA">
        <w:rPr>
          <w:rFonts w:ascii="Arial" w:eastAsia="Calibri" w:hAnsi="Arial" w:cs="Arial"/>
          <w:bCs/>
          <w:color w:val="auto"/>
        </w:rPr>
        <w:t>is located adjacent to the urban area of Sutton and comprises</w:t>
      </w:r>
      <w:bookmarkStart w:id="208" w:name="_Hlk80621276"/>
      <w:r w:rsidRPr="00694FCA">
        <w:rPr>
          <w:rFonts w:ascii="Arial" w:eastAsia="Calibri" w:hAnsi="Arial" w:cs="Arial"/>
          <w:bCs/>
          <w:color w:val="auto"/>
        </w:rPr>
        <w:t xml:space="preserve"> a combination of rough scrubland and a small hardstanding associated with the previous use of the site. The site is contained by a combination of existing residential development, proposed residential development (H1Sw) which has planning permission, a mature tree belt and allotments to north-west.</w:t>
      </w:r>
    </w:p>
    <w:p w14:paraId="06EC8143" w14:textId="77777777" w:rsidR="00451E82" w:rsidRPr="00694FCA" w:rsidRDefault="00451E82" w:rsidP="00451E82">
      <w:pPr>
        <w:pStyle w:val="ListParagraph"/>
        <w:autoSpaceDE w:val="0"/>
        <w:autoSpaceDN w:val="0"/>
        <w:adjustRightInd w:val="0"/>
        <w:spacing w:after="0" w:line="240" w:lineRule="auto"/>
        <w:ind w:left="851"/>
        <w:rPr>
          <w:rFonts w:ascii="Arial" w:eastAsia="Calibri" w:hAnsi="Arial" w:cs="Arial"/>
          <w:bCs/>
          <w:color w:val="auto"/>
        </w:rPr>
      </w:pPr>
    </w:p>
    <w:p w14:paraId="0839534D" w14:textId="1A0D2FB9" w:rsidR="00715560" w:rsidRPr="00694FCA" w:rsidRDefault="00715560" w:rsidP="00874A98">
      <w:pPr>
        <w:pStyle w:val="ListParagraph"/>
        <w:numPr>
          <w:ilvl w:val="1"/>
          <w:numId w:val="92"/>
        </w:numPr>
        <w:autoSpaceDE w:val="0"/>
        <w:autoSpaceDN w:val="0"/>
        <w:adjustRightInd w:val="0"/>
        <w:spacing w:after="0" w:line="240" w:lineRule="auto"/>
        <w:ind w:left="851" w:hanging="851"/>
        <w:rPr>
          <w:rFonts w:ascii="Arial" w:eastAsia="Calibri" w:hAnsi="Arial" w:cs="Arial"/>
          <w:bCs/>
          <w:color w:val="auto"/>
        </w:rPr>
      </w:pPr>
      <w:r w:rsidRPr="00694FCA">
        <w:rPr>
          <w:rFonts w:ascii="Arial" w:eastAsia="Calibri" w:hAnsi="Arial" w:cs="Arial"/>
          <w:bCs/>
          <w:color w:val="auto"/>
        </w:rPr>
        <w:t>Stanton Hill Grasslands Local Wildlife Site is located in the south-east of the site and, as such, any potential development will need to take into account the scope to avoid or mitigate the impacts on biodiversity.</w:t>
      </w:r>
    </w:p>
    <w:bookmarkEnd w:id="208"/>
    <w:p w14:paraId="405A606A" w14:textId="77777777" w:rsidR="00715560" w:rsidRPr="00694FCA" w:rsidRDefault="00715560" w:rsidP="00451E82">
      <w:pPr>
        <w:pStyle w:val="ListParagraph"/>
        <w:autoSpaceDE w:val="0"/>
        <w:autoSpaceDN w:val="0"/>
        <w:adjustRightInd w:val="0"/>
        <w:spacing w:after="0" w:line="240" w:lineRule="auto"/>
        <w:ind w:left="851"/>
        <w:rPr>
          <w:rFonts w:ascii="Arial" w:eastAsia="Calibri" w:hAnsi="Arial" w:cs="Arial"/>
          <w:bCs/>
          <w:color w:val="auto"/>
        </w:rPr>
      </w:pPr>
    </w:p>
    <w:p w14:paraId="6631A14A" w14:textId="780ECB95" w:rsidR="00715560" w:rsidRPr="00694FCA" w:rsidRDefault="00715560" w:rsidP="00874A98">
      <w:pPr>
        <w:pStyle w:val="ListParagraph"/>
        <w:numPr>
          <w:ilvl w:val="1"/>
          <w:numId w:val="92"/>
        </w:numPr>
        <w:autoSpaceDE w:val="0"/>
        <w:autoSpaceDN w:val="0"/>
        <w:adjustRightInd w:val="0"/>
        <w:spacing w:after="0" w:line="240" w:lineRule="auto"/>
        <w:ind w:left="851" w:hanging="851"/>
        <w:rPr>
          <w:rFonts w:ascii="Arial" w:eastAsia="Calibri" w:hAnsi="Arial" w:cs="Arial"/>
          <w:color w:val="auto"/>
          <w:szCs w:val="24"/>
        </w:rPr>
      </w:pPr>
      <w:r w:rsidRPr="00694FCA">
        <w:rPr>
          <w:rFonts w:ascii="Arial" w:eastAsia="Calibri" w:hAnsi="Arial" w:cs="Arial"/>
          <w:b/>
          <w:color w:val="auto"/>
        </w:rPr>
        <w:t>Site H1Sh: Pasture Farm, Alfreton Road, Sutton-In-Ashfield</w:t>
      </w:r>
      <w:r w:rsidRPr="00694FCA">
        <w:rPr>
          <w:rFonts w:ascii="Arial" w:eastAsia="Calibri" w:hAnsi="Arial" w:cs="Arial"/>
          <w:bCs/>
          <w:color w:val="auto"/>
        </w:rPr>
        <w:t>. This greenfield site</w:t>
      </w:r>
      <w:r w:rsidR="00F801C4" w:rsidRPr="00694FCA">
        <w:rPr>
          <w:rFonts w:eastAsia="Calibri" w:cs="Arial"/>
          <w:color w:val="auto"/>
          <w:szCs w:val="24"/>
        </w:rPr>
        <w:t xml:space="preserve"> </w:t>
      </w:r>
      <w:r w:rsidR="00F801C4" w:rsidRPr="00694FCA">
        <w:rPr>
          <w:rFonts w:ascii="Arial" w:eastAsia="Calibri" w:hAnsi="Arial" w:cs="Arial"/>
          <w:color w:val="auto"/>
          <w:szCs w:val="24"/>
        </w:rPr>
        <w:t>has been assessed as available, potentially suitable, and potentially achievable in the SHELAA</w:t>
      </w:r>
      <w:r w:rsidR="00F801C4" w:rsidRPr="00694FCA">
        <w:rPr>
          <w:rFonts w:ascii="Arial" w:eastAsia="Calibri" w:hAnsi="Arial" w:cs="Arial"/>
          <w:b/>
          <w:bCs/>
          <w:color w:val="auto"/>
          <w:szCs w:val="24"/>
        </w:rPr>
        <w:t xml:space="preserve"> </w:t>
      </w:r>
      <w:r w:rsidR="00F801C4" w:rsidRPr="00694FCA">
        <w:rPr>
          <w:rFonts w:ascii="Arial" w:eastAsia="Calibri" w:hAnsi="Arial" w:cs="Arial"/>
          <w:color w:val="auto"/>
          <w:szCs w:val="24"/>
        </w:rPr>
        <w:t>(ref.SA025). It</w:t>
      </w:r>
      <w:r w:rsidRPr="00694FCA">
        <w:rPr>
          <w:rFonts w:ascii="Arial" w:eastAsia="Calibri" w:hAnsi="Arial" w:cs="Arial"/>
          <w:bCs/>
          <w:color w:val="auto"/>
        </w:rPr>
        <w:t xml:space="preserve"> is located within the urban area of Sutton and comprises grazing land with several mature trees. The site is well contained by residential development to the north, employment land and buildings to the east, the A38 duel carriageway to the south, and The Snipe Public House to the west.</w:t>
      </w:r>
    </w:p>
    <w:p w14:paraId="6AA515F4" w14:textId="77777777" w:rsidR="00F801C4" w:rsidRPr="00694FCA" w:rsidRDefault="00F801C4" w:rsidP="00F801C4">
      <w:pPr>
        <w:autoSpaceDE w:val="0"/>
        <w:autoSpaceDN w:val="0"/>
        <w:adjustRightInd w:val="0"/>
        <w:rPr>
          <w:rFonts w:eastAsia="Calibri" w:cs="Arial"/>
          <w:color w:val="auto"/>
          <w:szCs w:val="24"/>
        </w:rPr>
      </w:pPr>
    </w:p>
    <w:p w14:paraId="74A857AF" w14:textId="77777777" w:rsidR="00D32197" w:rsidRDefault="00715560" w:rsidP="00874A98">
      <w:pPr>
        <w:pStyle w:val="ListParagraph"/>
        <w:numPr>
          <w:ilvl w:val="1"/>
          <w:numId w:val="92"/>
        </w:numPr>
        <w:autoSpaceDE w:val="0"/>
        <w:autoSpaceDN w:val="0"/>
        <w:adjustRightInd w:val="0"/>
        <w:spacing w:after="0" w:line="240" w:lineRule="auto"/>
        <w:ind w:left="851" w:hanging="851"/>
        <w:rPr>
          <w:rFonts w:ascii="Arial" w:eastAsia="Calibri" w:hAnsi="Arial" w:cs="Arial"/>
          <w:color w:val="auto"/>
          <w:szCs w:val="24"/>
        </w:rPr>
      </w:pPr>
      <w:r w:rsidRPr="00694FCA">
        <w:rPr>
          <w:rFonts w:ascii="Arial" w:eastAsia="Calibri" w:hAnsi="Arial" w:cs="Arial"/>
          <w:bCs/>
          <w:color w:val="auto"/>
        </w:rPr>
        <w:t>There are likely ground stability issues with approximately 60% of the site falling within a Coal</w:t>
      </w:r>
      <w:r w:rsidRPr="00694FCA">
        <w:rPr>
          <w:rFonts w:ascii="Arial" w:eastAsia="Calibri" w:hAnsi="Arial" w:cs="Arial"/>
          <w:color w:val="auto"/>
          <w:szCs w:val="24"/>
        </w:rPr>
        <w:t xml:space="preserve"> high risk area. A geological fault line is also indicated across centre of site (south-west to north-east). Possibility of land contamination associated with former farm buildings originally located in the west of the site. As such further investigation will be required prior to a scheme of development.</w:t>
      </w:r>
    </w:p>
    <w:p w14:paraId="7938DDB1" w14:textId="77777777" w:rsidR="00D32197" w:rsidRPr="00D32197" w:rsidRDefault="00D32197" w:rsidP="00D32197">
      <w:pPr>
        <w:pStyle w:val="ListParagraph"/>
        <w:rPr>
          <w:rFonts w:eastAsia="Calibri" w:cs="Arial"/>
          <w:b/>
          <w:bCs/>
          <w:color w:val="auto"/>
        </w:rPr>
      </w:pPr>
    </w:p>
    <w:p w14:paraId="6FF64F4C" w14:textId="45875A84" w:rsidR="00715560" w:rsidRPr="00D32197" w:rsidRDefault="00715560" w:rsidP="00874A98">
      <w:pPr>
        <w:pStyle w:val="ListParagraph"/>
        <w:numPr>
          <w:ilvl w:val="1"/>
          <w:numId w:val="92"/>
        </w:numPr>
        <w:autoSpaceDE w:val="0"/>
        <w:autoSpaceDN w:val="0"/>
        <w:adjustRightInd w:val="0"/>
        <w:spacing w:after="0" w:line="240" w:lineRule="auto"/>
        <w:ind w:left="851" w:hanging="851"/>
        <w:rPr>
          <w:rFonts w:ascii="Arial" w:eastAsia="Calibri" w:hAnsi="Arial" w:cs="Arial"/>
          <w:color w:val="auto"/>
          <w:szCs w:val="24"/>
        </w:rPr>
      </w:pPr>
      <w:r w:rsidRPr="00D32197">
        <w:rPr>
          <w:rFonts w:ascii="Arial" w:eastAsia="Calibri" w:hAnsi="Arial" w:cs="Arial"/>
          <w:b/>
          <w:bCs/>
          <w:color w:val="auto"/>
        </w:rPr>
        <w:t>Site H1Si: North of Kingsmill Hospital</w:t>
      </w:r>
      <w:r w:rsidRPr="00D32197">
        <w:rPr>
          <w:rFonts w:ascii="Arial" w:eastAsia="Calibri" w:hAnsi="Arial" w:cs="Arial"/>
          <w:bCs/>
          <w:color w:val="auto"/>
        </w:rPr>
        <w:t xml:space="preserve">. This greenfield site </w:t>
      </w:r>
      <w:r w:rsidR="00BA1248" w:rsidRPr="00D32197">
        <w:rPr>
          <w:rFonts w:ascii="Arial" w:eastAsia="Calibri" w:hAnsi="Arial" w:cs="Arial"/>
          <w:bCs/>
          <w:color w:val="auto"/>
        </w:rPr>
        <w:t xml:space="preserve">has been assessed as potentially deliverable in the SHELAA (ref. SA033). It </w:t>
      </w:r>
      <w:r w:rsidRPr="00D32197">
        <w:rPr>
          <w:rFonts w:ascii="Arial" w:eastAsia="Calibri" w:hAnsi="Arial" w:cs="Arial"/>
          <w:bCs/>
          <w:color w:val="auto"/>
        </w:rPr>
        <w:t xml:space="preserve">is located adjacent to the main urban area of Sutton. It is well contained by built form on three sides and is well connected to Sutton and Mansfield in terms of services and facilities, including public transport. Any development proposal for this site will need to retain an open break between Sutton and Mansfield Urban Area, which could be achieved through the incorporation of public open space. The </w:t>
      </w:r>
      <w:r w:rsidR="006F381B" w:rsidRPr="00D32197">
        <w:rPr>
          <w:rFonts w:ascii="Arial" w:eastAsia="Calibri" w:hAnsi="Arial" w:cs="Arial"/>
          <w:bCs/>
          <w:color w:val="auto"/>
        </w:rPr>
        <w:t>site</w:t>
      </w:r>
      <w:r w:rsidRPr="00D32197">
        <w:rPr>
          <w:rFonts w:ascii="Arial" w:eastAsia="Calibri" w:hAnsi="Arial" w:cs="Arial"/>
          <w:bCs/>
          <w:color w:val="auto"/>
        </w:rPr>
        <w:t xml:space="preserve"> falls within the SSSI Impact Risk Zone for Teversal Pastures. There is evidence of surface water flooding within the site boundary. </w:t>
      </w:r>
    </w:p>
    <w:p w14:paraId="1721200E" w14:textId="77777777" w:rsidR="006F381B" w:rsidRPr="006F381B" w:rsidRDefault="006F381B" w:rsidP="006F381B">
      <w:pPr>
        <w:pStyle w:val="ListParagraph"/>
        <w:rPr>
          <w:rFonts w:ascii="Arial" w:eastAsia="Calibri" w:hAnsi="Arial" w:cs="Arial"/>
          <w:bCs/>
        </w:rPr>
      </w:pPr>
    </w:p>
    <w:p w14:paraId="31937679" w14:textId="60E5E154" w:rsidR="003A37B3" w:rsidRPr="0044521A" w:rsidRDefault="006F381B" w:rsidP="00874A98">
      <w:pPr>
        <w:pStyle w:val="ListParagraph"/>
        <w:numPr>
          <w:ilvl w:val="1"/>
          <w:numId w:val="92"/>
        </w:numPr>
        <w:autoSpaceDE w:val="0"/>
        <w:autoSpaceDN w:val="0"/>
        <w:adjustRightInd w:val="0"/>
        <w:spacing w:after="0" w:line="240" w:lineRule="auto"/>
        <w:ind w:left="851" w:hanging="851"/>
        <w:rPr>
          <w:rStyle w:val="Normal1"/>
          <w:rFonts w:ascii="Calibri" w:eastAsia="Calibri" w:hAnsi="Calibri" w:cs="Arial"/>
          <w:bCs/>
          <w:color w:val="auto"/>
        </w:rPr>
      </w:pPr>
      <w:r w:rsidRPr="00694FCA">
        <w:rPr>
          <w:rFonts w:ascii="Arial" w:hAnsi="Arial" w:cs="Arial"/>
          <w:color w:val="auto"/>
        </w:rPr>
        <w:t xml:space="preserve">The site is located across the road from the Grade II Listed Dalestorth House, c. 55m to the south.  The trees to the south of Skegby Lane should be retained and supplemented where necessary in order to provide an important green buffer between the site and the asset.  In addition, depending on the scale of proposed development within the northern and the eastern fields, </w:t>
      </w:r>
      <w:r w:rsidR="003A37B3" w:rsidRPr="00694FCA">
        <w:rPr>
          <w:rStyle w:val="Normal1"/>
          <w:rFonts w:cs="Arial"/>
          <w:iCs/>
          <w:color w:val="auto"/>
          <w:szCs w:val="24"/>
        </w:rPr>
        <w:t xml:space="preserve">further archaeological evaluation work may be required, beginning with a Desk Based Assessment (DBA), </w:t>
      </w:r>
      <w:r w:rsidR="003A37B3" w:rsidRPr="00694FCA">
        <w:rPr>
          <w:rFonts w:ascii="Arial" w:hAnsi="Arial" w:cs="Arial"/>
          <w:color w:val="auto"/>
        </w:rPr>
        <w:t>to ascertain the extent and level of survival of archaeological remains within the site</w:t>
      </w:r>
      <w:r w:rsidR="003A37B3" w:rsidRPr="00694FCA">
        <w:rPr>
          <w:rStyle w:val="Normal1"/>
          <w:rFonts w:cs="Arial"/>
          <w:iCs/>
          <w:color w:val="auto"/>
          <w:szCs w:val="24"/>
        </w:rPr>
        <w:t>.  Depending on the results of the DBA further archaeological investigations may be warranted, including a geophysical survey and targeted trial trenching, where necessary.  This work will inform the need for mitigation</w:t>
      </w:r>
      <w:r w:rsidR="0044521A">
        <w:rPr>
          <w:rStyle w:val="Normal1"/>
          <w:rFonts w:cs="Arial"/>
          <w:iCs/>
          <w:color w:val="auto"/>
          <w:szCs w:val="24"/>
        </w:rPr>
        <w:t>.</w:t>
      </w:r>
    </w:p>
    <w:p w14:paraId="21D3DF6B" w14:textId="77777777" w:rsidR="0044521A" w:rsidRPr="0044521A" w:rsidRDefault="0044521A" w:rsidP="0044521A">
      <w:pPr>
        <w:pStyle w:val="ListParagraph"/>
        <w:rPr>
          <w:rStyle w:val="Normal1"/>
          <w:rFonts w:ascii="Calibri" w:eastAsia="Calibri" w:hAnsi="Calibri" w:cs="Arial"/>
          <w:bCs/>
          <w:color w:val="auto"/>
        </w:rPr>
      </w:pPr>
    </w:p>
    <w:p w14:paraId="6653398E" w14:textId="6FDECD33" w:rsidR="0044521A" w:rsidRPr="001012CC" w:rsidRDefault="0044521A" w:rsidP="00874A98">
      <w:pPr>
        <w:pStyle w:val="ListParagraph"/>
        <w:numPr>
          <w:ilvl w:val="1"/>
          <w:numId w:val="92"/>
        </w:numPr>
        <w:spacing w:after="0" w:line="240" w:lineRule="auto"/>
        <w:ind w:left="851" w:hanging="851"/>
        <w:rPr>
          <w:rStyle w:val="Normal1"/>
          <w:rFonts w:cs="Arial"/>
          <w:color w:val="auto"/>
          <w:spacing w:val="-1"/>
          <w:szCs w:val="24"/>
        </w:rPr>
      </w:pPr>
      <w:r w:rsidRPr="001012CC">
        <w:rPr>
          <w:rStyle w:val="Normal1"/>
          <w:rFonts w:cs="Arial"/>
          <w:iCs/>
          <w:color w:val="auto"/>
          <w:szCs w:val="24"/>
        </w:rPr>
        <w:t>A c</w:t>
      </w:r>
      <w:r w:rsidRPr="001012CC">
        <w:rPr>
          <w:rFonts w:ascii="Arial" w:eastAsia="Arial" w:hAnsi="Arial" w:cs="Arial"/>
          <w:color w:val="auto"/>
          <w:spacing w:val="-1"/>
          <w:szCs w:val="24"/>
        </w:rPr>
        <w:t xml:space="preserve">oncise </w:t>
      </w:r>
      <w:r w:rsidR="00037BA4" w:rsidRPr="001012CC">
        <w:rPr>
          <w:rFonts w:ascii="Arial" w:eastAsia="Arial" w:hAnsi="Arial" w:cs="Arial"/>
          <w:color w:val="auto"/>
          <w:spacing w:val="-1"/>
          <w:szCs w:val="24"/>
        </w:rPr>
        <w:t>masterplan</w:t>
      </w:r>
      <w:r w:rsidRPr="001012CC">
        <w:rPr>
          <w:rFonts w:ascii="Arial" w:eastAsia="Arial" w:hAnsi="Arial" w:cs="Arial"/>
          <w:color w:val="auto"/>
          <w:spacing w:val="-1"/>
          <w:szCs w:val="24"/>
        </w:rPr>
        <w:t xml:space="preserve"> will be available</w:t>
      </w:r>
      <w:r w:rsidR="00D32197" w:rsidRPr="001012CC">
        <w:rPr>
          <w:rFonts w:ascii="Arial" w:eastAsia="Arial" w:hAnsi="Arial" w:cs="Arial"/>
          <w:color w:val="auto"/>
          <w:spacing w:val="-1"/>
          <w:szCs w:val="24"/>
        </w:rPr>
        <w:t xml:space="preserve"> to identify</w:t>
      </w:r>
      <w:r w:rsidRPr="001012CC">
        <w:rPr>
          <w:rFonts w:ascii="Arial" w:eastAsia="Arial" w:hAnsi="Arial" w:cs="Arial"/>
          <w:color w:val="auto"/>
          <w:spacing w:val="-1"/>
          <w:szCs w:val="24"/>
        </w:rPr>
        <w:t xml:space="preserve"> essential requirements expected by the Council, and provide more detailed advice and guidance specific to the site.</w:t>
      </w:r>
    </w:p>
    <w:p w14:paraId="594C753D" w14:textId="77777777" w:rsidR="003A37B3" w:rsidRPr="00694FCA" w:rsidRDefault="003A37B3" w:rsidP="003A37B3">
      <w:pPr>
        <w:autoSpaceDE w:val="0"/>
        <w:autoSpaceDN w:val="0"/>
        <w:adjustRightInd w:val="0"/>
        <w:rPr>
          <w:rFonts w:eastAsia="Calibri" w:cs="Arial"/>
          <w:bCs/>
          <w:color w:val="auto"/>
        </w:rPr>
      </w:pPr>
    </w:p>
    <w:p w14:paraId="41127686" w14:textId="35FBFB59" w:rsidR="00715560" w:rsidRPr="00694FCA" w:rsidRDefault="00715560" w:rsidP="00874A98">
      <w:pPr>
        <w:pStyle w:val="ListParagraph"/>
        <w:numPr>
          <w:ilvl w:val="1"/>
          <w:numId w:val="92"/>
        </w:numPr>
        <w:autoSpaceDE w:val="0"/>
        <w:autoSpaceDN w:val="0"/>
        <w:adjustRightInd w:val="0"/>
        <w:spacing w:after="0" w:line="240" w:lineRule="auto"/>
        <w:ind w:left="851" w:hanging="851"/>
        <w:rPr>
          <w:rFonts w:ascii="Arial" w:eastAsia="Calibri" w:hAnsi="Arial" w:cs="Arial"/>
          <w:bCs/>
          <w:color w:val="auto"/>
        </w:rPr>
      </w:pPr>
      <w:r w:rsidRPr="00694FCA">
        <w:rPr>
          <w:rFonts w:ascii="Arial" w:eastAsia="Calibri" w:hAnsi="Arial" w:cs="Arial"/>
          <w:b/>
          <w:color w:val="auto"/>
        </w:rPr>
        <w:t>Site H1Sj Clegg Hill Drive, Huthwaite</w:t>
      </w:r>
      <w:r w:rsidRPr="00694FCA">
        <w:rPr>
          <w:rFonts w:ascii="Arial" w:eastAsia="Calibri" w:hAnsi="Arial" w:cs="Arial"/>
          <w:bCs/>
          <w:color w:val="auto"/>
        </w:rPr>
        <w:t>. This greenfield site</w:t>
      </w:r>
      <w:r w:rsidR="00BA1248" w:rsidRPr="00694FCA">
        <w:rPr>
          <w:rFonts w:ascii="Arial" w:hAnsi="Arial" w:cs="Arial"/>
          <w:color w:val="auto"/>
        </w:rPr>
        <w:t xml:space="preserve"> </w:t>
      </w:r>
      <w:r w:rsidR="00BA1248" w:rsidRPr="00694FCA">
        <w:rPr>
          <w:rFonts w:ascii="Arial" w:eastAsia="Calibri" w:hAnsi="Arial" w:cs="Arial"/>
          <w:bCs/>
          <w:color w:val="auto"/>
        </w:rPr>
        <w:t xml:space="preserve">It is considered to be potentially deliverable in the SHELAA (ref. SA041). It </w:t>
      </w:r>
      <w:r w:rsidRPr="00694FCA">
        <w:rPr>
          <w:rFonts w:ascii="Arial" w:eastAsia="Calibri" w:hAnsi="Arial" w:cs="Arial"/>
          <w:bCs/>
          <w:color w:val="auto"/>
        </w:rPr>
        <w:t xml:space="preserve">is located adjacent to the urban area of Sutton and is well contained by existing residential development to the north, south and west, with neighbours including a shooting club and a boarding kennels. Records indicate that surface water flooding occurs within the site boundary. Level changes occur on Chesterfield Road where the access road has been proposed. The existing recreation ground off Pennine Close is of poor quality and development of this site will provide an opportunity to deliver an improved facility as part of a well-designed scheme. </w:t>
      </w:r>
    </w:p>
    <w:p w14:paraId="1EE64CE4" w14:textId="77777777" w:rsidR="00BA1248" w:rsidRPr="00694FCA" w:rsidRDefault="00BA1248" w:rsidP="00BA1248">
      <w:pPr>
        <w:autoSpaceDE w:val="0"/>
        <w:autoSpaceDN w:val="0"/>
        <w:adjustRightInd w:val="0"/>
        <w:rPr>
          <w:rFonts w:eastAsia="Calibri" w:cs="Arial"/>
          <w:bCs/>
          <w:color w:val="auto"/>
        </w:rPr>
      </w:pPr>
    </w:p>
    <w:p w14:paraId="1A0B12E2" w14:textId="7CA720F2" w:rsidR="00715560" w:rsidRPr="004B4158" w:rsidRDefault="00715560" w:rsidP="00874A98">
      <w:pPr>
        <w:pStyle w:val="ListParagraph"/>
        <w:numPr>
          <w:ilvl w:val="1"/>
          <w:numId w:val="92"/>
        </w:numPr>
        <w:autoSpaceDE w:val="0"/>
        <w:autoSpaceDN w:val="0"/>
        <w:adjustRightInd w:val="0"/>
        <w:spacing w:after="0" w:line="240" w:lineRule="auto"/>
        <w:ind w:left="851" w:hanging="851"/>
        <w:rPr>
          <w:rFonts w:eastAsia="Calibri" w:cs="Arial"/>
          <w:color w:val="auto"/>
          <w:szCs w:val="24"/>
        </w:rPr>
      </w:pPr>
      <w:bookmarkStart w:id="209" w:name="_Hlk80287214"/>
      <w:r w:rsidRPr="004B4158">
        <w:rPr>
          <w:rFonts w:ascii="Arial" w:eastAsia="Calibri" w:hAnsi="Arial" w:cs="Arial"/>
          <w:b/>
          <w:bCs/>
          <w:color w:val="auto"/>
        </w:rPr>
        <w:t xml:space="preserve">Site H1Sk: </w:t>
      </w:r>
      <w:bookmarkEnd w:id="209"/>
      <w:r w:rsidRPr="004B4158">
        <w:rPr>
          <w:rFonts w:ascii="Arial" w:eastAsia="Calibri" w:hAnsi="Arial" w:cs="Arial"/>
          <w:b/>
          <w:bCs/>
          <w:color w:val="auto"/>
        </w:rPr>
        <w:t xml:space="preserve">Sunnyside Farm, Blackwell Road, Huthwaite.  </w:t>
      </w:r>
      <w:r w:rsidRPr="004B4158">
        <w:rPr>
          <w:rFonts w:ascii="Arial" w:eastAsia="Calibri" w:hAnsi="Arial" w:cs="Arial"/>
          <w:bCs/>
          <w:color w:val="auto"/>
        </w:rPr>
        <w:t>This greenfield site</w:t>
      </w:r>
      <w:r w:rsidR="00694FCA" w:rsidRPr="004B4158">
        <w:rPr>
          <w:rFonts w:ascii="Arial" w:eastAsia="Calibri" w:hAnsi="Arial" w:cs="Arial"/>
          <w:bCs/>
          <w:color w:val="auto"/>
        </w:rPr>
        <w:t xml:space="preserve">, which has been </w:t>
      </w:r>
      <w:r w:rsidR="00E84CD9" w:rsidRPr="004B4158">
        <w:rPr>
          <w:rFonts w:ascii="Arial" w:eastAsia="Calibri" w:hAnsi="Arial" w:cs="Arial"/>
          <w:color w:val="auto"/>
          <w:szCs w:val="24"/>
        </w:rPr>
        <w:t>assessed as available, potentially suitable, and potentially achievable in the SHELAA</w:t>
      </w:r>
      <w:r w:rsidR="00E84CD9" w:rsidRPr="004B4158">
        <w:rPr>
          <w:rFonts w:ascii="Arial" w:eastAsia="Calibri" w:hAnsi="Arial" w:cs="Arial"/>
          <w:b/>
          <w:bCs/>
          <w:color w:val="auto"/>
          <w:szCs w:val="24"/>
        </w:rPr>
        <w:t xml:space="preserve"> </w:t>
      </w:r>
      <w:r w:rsidR="00E84CD9" w:rsidRPr="004B4158">
        <w:rPr>
          <w:rFonts w:ascii="Arial" w:eastAsia="Calibri" w:hAnsi="Arial" w:cs="Arial"/>
          <w:color w:val="auto"/>
          <w:szCs w:val="24"/>
        </w:rPr>
        <w:t>(ref.SA057). It</w:t>
      </w:r>
      <w:r w:rsidRPr="004B4158">
        <w:rPr>
          <w:rFonts w:ascii="Arial" w:eastAsia="Calibri" w:hAnsi="Arial" w:cs="Arial"/>
          <w:bCs/>
          <w:color w:val="auto"/>
        </w:rPr>
        <w:t xml:space="preserve"> is located adjacent to the urban area of Huthwaite at two points; to the north at Strawberry Bank (residential</w:t>
      </w:r>
      <w:r w:rsidRPr="004B4158">
        <w:rPr>
          <w:rFonts w:ascii="Arial" w:eastAsia="Calibri" w:hAnsi="Arial" w:cs="Arial"/>
          <w:color w:val="auto"/>
          <w:szCs w:val="24"/>
        </w:rPr>
        <w:t xml:space="preserve"> development), and to the south at Blackwell Road (employment development).  The site slopes steeply in the north and the estimated yield from this site has been reduced to take this into account.</w:t>
      </w:r>
      <w:r w:rsidR="00E84CD9" w:rsidRPr="004B4158">
        <w:rPr>
          <w:rFonts w:ascii="Arial" w:eastAsia="Calibri" w:hAnsi="Arial" w:cs="Arial"/>
          <w:color w:val="auto"/>
          <w:szCs w:val="24"/>
        </w:rPr>
        <w:t xml:space="preserve"> </w:t>
      </w:r>
    </w:p>
    <w:p w14:paraId="57FDC51B" w14:textId="77777777" w:rsidR="004B4158" w:rsidRPr="004B4158" w:rsidRDefault="004B4158" w:rsidP="004B4158">
      <w:pPr>
        <w:autoSpaceDE w:val="0"/>
        <w:autoSpaceDN w:val="0"/>
        <w:adjustRightInd w:val="0"/>
        <w:rPr>
          <w:rFonts w:eastAsia="Calibri" w:cs="Arial"/>
          <w:color w:val="auto"/>
          <w:szCs w:val="24"/>
        </w:rPr>
      </w:pPr>
    </w:p>
    <w:p w14:paraId="35E01BBA" w14:textId="0FA9C6D0" w:rsidR="00715560" w:rsidRPr="009E34A6" w:rsidRDefault="00715560" w:rsidP="00874A98">
      <w:pPr>
        <w:pStyle w:val="ListParagraph"/>
        <w:numPr>
          <w:ilvl w:val="1"/>
          <w:numId w:val="92"/>
        </w:numPr>
        <w:autoSpaceDE w:val="0"/>
        <w:autoSpaceDN w:val="0"/>
        <w:adjustRightInd w:val="0"/>
        <w:spacing w:after="0" w:line="240" w:lineRule="auto"/>
        <w:ind w:left="851" w:hanging="851"/>
        <w:rPr>
          <w:rFonts w:ascii="Arial" w:eastAsia="Calibri" w:hAnsi="Arial" w:cs="Arial"/>
          <w:color w:val="auto"/>
        </w:rPr>
      </w:pPr>
      <w:r w:rsidRPr="009E34A6">
        <w:rPr>
          <w:rFonts w:ascii="Arial" w:eastAsia="Calibri" w:hAnsi="Arial" w:cs="Arial"/>
          <w:color w:val="auto"/>
        </w:rPr>
        <w:t xml:space="preserve">There is likely existence of contamination on part of the site </w:t>
      </w:r>
      <w:r w:rsidR="00E84CD9" w:rsidRPr="009E34A6">
        <w:rPr>
          <w:rFonts w:ascii="Arial" w:eastAsia="Calibri" w:hAnsi="Arial" w:cs="Arial"/>
          <w:color w:val="auto"/>
        </w:rPr>
        <w:t>from</w:t>
      </w:r>
      <w:r w:rsidRPr="009E34A6">
        <w:rPr>
          <w:rFonts w:ascii="Arial" w:eastAsia="Calibri" w:hAnsi="Arial" w:cs="Arial"/>
          <w:color w:val="auto"/>
        </w:rPr>
        <w:t xml:space="preserve"> a former Brick Yard and filled clay pits in centre of site. A former Colliery and Spoil Tip is </w:t>
      </w:r>
      <w:r w:rsidR="00E84CD9" w:rsidRPr="009E34A6">
        <w:rPr>
          <w:rFonts w:ascii="Arial" w:eastAsia="Calibri" w:hAnsi="Arial" w:cs="Arial"/>
          <w:color w:val="auto"/>
        </w:rPr>
        <w:t>also located</w:t>
      </w:r>
      <w:r w:rsidRPr="009E34A6">
        <w:rPr>
          <w:rFonts w:ascii="Arial" w:eastAsia="Calibri" w:hAnsi="Arial" w:cs="Arial"/>
          <w:color w:val="auto"/>
        </w:rPr>
        <w:t xml:space="preserve"> on the southern part of the site. Ground stability issues are likely, with geological fault lines across centre of site and northern part of site.  The southern part of the site is largely located in a Coal High Risk Area. As such, topsoil testing and geotechnical investigations will be required.</w:t>
      </w:r>
      <w:r w:rsidR="00E84CD9" w:rsidRPr="009E34A6">
        <w:rPr>
          <w:color w:val="auto"/>
        </w:rPr>
        <w:t xml:space="preserve"> </w:t>
      </w:r>
      <w:r w:rsidR="00E84CD9" w:rsidRPr="009E34A6">
        <w:rPr>
          <w:rFonts w:ascii="Arial" w:eastAsia="Calibri" w:hAnsi="Arial" w:cs="Arial"/>
          <w:color w:val="auto"/>
        </w:rPr>
        <w:t>There are also limited areas of high and low risk surface water flows which will require mitigation.</w:t>
      </w:r>
    </w:p>
    <w:p w14:paraId="71948E2D" w14:textId="77777777" w:rsidR="00715560" w:rsidRPr="009E34A6" w:rsidRDefault="00715560" w:rsidP="00E84CD9">
      <w:pPr>
        <w:pStyle w:val="ListParagraph"/>
        <w:autoSpaceDE w:val="0"/>
        <w:autoSpaceDN w:val="0"/>
        <w:adjustRightInd w:val="0"/>
        <w:spacing w:after="0" w:line="240" w:lineRule="auto"/>
        <w:ind w:left="851"/>
        <w:rPr>
          <w:rFonts w:ascii="Arial" w:eastAsia="Calibri" w:hAnsi="Arial" w:cs="Arial"/>
          <w:color w:val="auto"/>
        </w:rPr>
      </w:pPr>
    </w:p>
    <w:p w14:paraId="6B1F4BDB" w14:textId="30C429D5" w:rsidR="00715560" w:rsidRPr="00037BA4" w:rsidRDefault="00715560" w:rsidP="00874A98">
      <w:pPr>
        <w:pStyle w:val="ListParagraph"/>
        <w:numPr>
          <w:ilvl w:val="1"/>
          <w:numId w:val="92"/>
        </w:numPr>
        <w:autoSpaceDE w:val="0"/>
        <w:autoSpaceDN w:val="0"/>
        <w:adjustRightInd w:val="0"/>
        <w:spacing w:after="0" w:line="240" w:lineRule="auto"/>
        <w:ind w:left="851" w:hanging="851"/>
        <w:rPr>
          <w:rStyle w:val="Heading10"/>
          <w:rFonts w:cs="Arial"/>
          <w:b w:val="0"/>
          <w:bCs/>
          <w:color w:val="auto"/>
          <w:szCs w:val="24"/>
        </w:rPr>
      </w:pPr>
      <w:r w:rsidRPr="00037BA4">
        <w:rPr>
          <w:rFonts w:ascii="Arial" w:eastAsia="Calibri" w:hAnsi="Arial" w:cs="Arial"/>
          <w:color w:val="auto"/>
        </w:rPr>
        <w:t xml:space="preserve">Right of way Sutton in Ashfield Footpath 29 crosses the site from east to west. Local Wildlife </w:t>
      </w:r>
      <w:r w:rsidR="003420AD" w:rsidRPr="00037BA4">
        <w:rPr>
          <w:rFonts w:ascii="Arial" w:eastAsia="Calibri" w:hAnsi="Arial" w:cs="Arial"/>
          <w:color w:val="auto"/>
        </w:rPr>
        <w:t>S</w:t>
      </w:r>
      <w:r w:rsidRPr="00037BA4">
        <w:rPr>
          <w:rFonts w:ascii="Arial" w:eastAsia="Calibri" w:hAnsi="Arial" w:cs="Arial"/>
          <w:color w:val="auto"/>
        </w:rPr>
        <w:t xml:space="preserve">ites, </w:t>
      </w:r>
      <w:r w:rsidR="00E84CD9" w:rsidRPr="00037BA4">
        <w:rPr>
          <w:rFonts w:ascii="Arial" w:eastAsia="Calibri" w:hAnsi="Arial" w:cs="Arial"/>
          <w:color w:val="auto"/>
        </w:rPr>
        <w:t>(</w:t>
      </w:r>
      <w:r w:rsidRPr="00037BA4">
        <w:rPr>
          <w:rFonts w:ascii="Arial" w:eastAsia="Calibri" w:hAnsi="Arial" w:cs="Arial"/>
          <w:color w:val="auto"/>
        </w:rPr>
        <w:t>Huthwaite Grassland, Strawberry Bank Meadow and Blackwell Road Grassland</w:t>
      </w:r>
      <w:r w:rsidR="00E84CD9" w:rsidRPr="00037BA4">
        <w:rPr>
          <w:rFonts w:ascii="Arial" w:eastAsia="Calibri" w:hAnsi="Arial" w:cs="Arial"/>
          <w:color w:val="auto"/>
        </w:rPr>
        <w:t>)</w:t>
      </w:r>
      <w:r w:rsidRPr="00037BA4">
        <w:rPr>
          <w:rStyle w:val="Heading10"/>
          <w:rFonts w:cs="Arial"/>
          <w:b w:val="0"/>
          <w:bCs/>
          <w:color w:val="auto"/>
          <w:szCs w:val="24"/>
        </w:rPr>
        <w:t xml:space="preserve"> are located on the site</w:t>
      </w:r>
      <w:r w:rsidR="00E84CD9" w:rsidRPr="00037BA4">
        <w:rPr>
          <w:rStyle w:val="Heading10"/>
          <w:rFonts w:cs="Arial"/>
          <w:b w:val="0"/>
          <w:bCs/>
          <w:color w:val="auto"/>
          <w:szCs w:val="24"/>
        </w:rPr>
        <w:t>, with a further 3 LWS adjacent to the site</w:t>
      </w:r>
      <w:r w:rsidRPr="00037BA4">
        <w:rPr>
          <w:rStyle w:val="Heading10"/>
          <w:rFonts w:cs="Arial"/>
          <w:b w:val="0"/>
          <w:bCs/>
          <w:color w:val="auto"/>
          <w:szCs w:val="24"/>
        </w:rPr>
        <w:t>.</w:t>
      </w:r>
      <w:r w:rsidRPr="00037BA4">
        <w:rPr>
          <w:rFonts w:ascii="Arial" w:hAnsi="Arial" w:cs="Arial"/>
          <w:b/>
          <w:bCs/>
          <w:color w:val="auto"/>
          <w:szCs w:val="24"/>
        </w:rPr>
        <w:t xml:space="preserve"> </w:t>
      </w:r>
      <w:r w:rsidRPr="00037BA4">
        <w:rPr>
          <w:rStyle w:val="Heading10"/>
          <w:rFonts w:cs="Arial"/>
          <w:b w:val="0"/>
          <w:bCs/>
          <w:color w:val="auto"/>
          <w:szCs w:val="24"/>
        </w:rPr>
        <w:t>Any potential development will need to take into account the scope to avoid or mitigate any impacts on biodiversity.</w:t>
      </w:r>
      <w:r w:rsidR="003420AD" w:rsidRPr="00037BA4">
        <w:rPr>
          <w:rStyle w:val="Heading10"/>
          <w:rFonts w:cs="Arial"/>
          <w:b w:val="0"/>
          <w:bCs/>
          <w:color w:val="auto"/>
          <w:szCs w:val="24"/>
        </w:rPr>
        <w:t xml:space="preserve">  </w:t>
      </w:r>
      <w:bookmarkStart w:id="210" w:name="_Hlk148606275"/>
      <w:r w:rsidR="00B02175" w:rsidRPr="00037BA4">
        <w:rPr>
          <w:rStyle w:val="Heading10"/>
          <w:rFonts w:cs="Arial"/>
          <w:b w:val="0"/>
          <w:bCs/>
          <w:color w:val="auto"/>
          <w:szCs w:val="24"/>
        </w:rPr>
        <w:t>Mature hedgerows and trees are an important characteristic of the site and form a number of boundaries, these should be retained wherever possible.</w:t>
      </w:r>
      <w:r w:rsidR="003420AD" w:rsidRPr="00037BA4">
        <w:rPr>
          <w:rStyle w:val="Heading10"/>
          <w:rFonts w:cs="Arial"/>
          <w:b w:val="0"/>
          <w:bCs/>
          <w:color w:val="auto"/>
          <w:szCs w:val="24"/>
        </w:rPr>
        <w:t xml:space="preserve"> </w:t>
      </w:r>
    </w:p>
    <w:p w14:paraId="243FC3D2" w14:textId="77777777" w:rsidR="00B02175" w:rsidRPr="00037BA4" w:rsidRDefault="00B02175" w:rsidP="00B02175">
      <w:pPr>
        <w:pStyle w:val="ListParagraph"/>
        <w:rPr>
          <w:rStyle w:val="Heading10"/>
          <w:rFonts w:cs="Arial"/>
          <w:b w:val="0"/>
          <w:bCs/>
          <w:color w:val="auto"/>
          <w:szCs w:val="24"/>
        </w:rPr>
      </w:pPr>
    </w:p>
    <w:p w14:paraId="7002533A" w14:textId="06FE189D" w:rsidR="00B02175" w:rsidRPr="001012CC" w:rsidRDefault="00B02175" w:rsidP="00874A98">
      <w:pPr>
        <w:pStyle w:val="ListParagraph"/>
        <w:numPr>
          <w:ilvl w:val="1"/>
          <w:numId w:val="92"/>
        </w:numPr>
        <w:autoSpaceDE w:val="0"/>
        <w:autoSpaceDN w:val="0"/>
        <w:adjustRightInd w:val="0"/>
        <w:spacing w:after="0" w:line="240" w:lineRule="auto"/>
        <w:ind w:left="851" w:hanging="851"/>
        <w:rPr>
          <w:rStyle w:val="Heading10"/>
          <w:rFonts w:cs="Arial"/>
          <w:b w:val="0"/>
          <w:bCs/>
          <w:color w:val="auto"/>
          <w:szCs w:val="24"/>
        </w:rPr>
      </w:pPr>
      <w:r w:rsidRPr="00037BA4">
        <w:rPr>
          <w:rStyle w:val="Heading10"/>
          <w:rFonts w:cs="Arial"/>
          <w:b w:val="0"/>
          <w:bCs/>
          <w:color w:val="auto"/>
          <w:szCs w:val="24"/>
        </w:rPr>
        <w:t xml:space="preserve">There is a potential for buried archaeological remains within the site, as such a Desk Based Assessment (DBA) should be carried out to ascertain the extent and level of survival of archaeological remains.  Depending on the results of the DBA further archaeological investigations may be warranted, including a geophysical survey and targeted trial trenching, where necessary.  This work will inform the </w:t>
      </w:r>
      <w:r w:rsidRPr="001012CC">
        <w:rPr>
          <w:rStyle w:val="Heading10"/>
          <w:rFonts w:cs="Arial"/>
          <w:b w:val="0"/>
          <w:bCs/>
          <w:color w:val="auto"/>
          <w:szCs w:val="24"/>
        </w:rPr>
        <w:t>need for mitigation.</w:t>
      </w:r>
    </w:p>
    <w:bookmarkEnd w:id="210"/>
    <w:p w14:paraId="2A800DC3" w14:textId="77777777" w:rsidR="0044521A" w:rsidRPr="001012CC" w:rsidRDefault="0044521A" w:rsidP="0044521A">
      <w:pPr>
        <w:pStyle w:val="ListParagraph"/>
        <w:rPr>
          <w:rStyle w:val="Heading10"/>
          <w:rFonts w:cs="Arial"/>
          <w:b w:val="0"/>
          <w:bCs/>
          <w:color w:val="auto"/>
          <w:szCs w:val="24"/>
        </w:rPr>
      </w:pPr>
    </w:p>
    <w:p w14:paraId="03ECEEFE" w14:textId="46A6FE28" w:rsidR="00B84A30" w:rsidRPr="001012CC" w:rsidRDefault="0044521A" w:rsidP="00874A98">
      <w:pPr>
        <w:pStyle w:val="ListParagraph"/>
        <w:numPr>
          <w:ilvl w:val="1"/>
          <w:numId w:val="92"/>
        </w:numPr>
        <w:spacing w:after="0" w:line="240" w:lineRule="auto"/>
        <w:ind w:left="851" w:hanging="851"/>
        <w:rPr>
          <w:rStyle w:val="Heading10"/>
          <w:rFonts w:cs="Arial"/>
          <w:b w:val="0"/>
          <w:bCs/>
          <w:color w:val="auto"/>
          <w:szCs w:val="24"/>
        </w:rPr>
      </w:pPr>
      <w:r w:rsidRPr="001012CC">
        <w:rPr>
          <w:rStyle w:val="Normal1"/>
          <w:rFonts w:cs="Arial"/>
          <w:iCs/>
          <w:color w:val="auto"/>
          <w:szCs w:val="24"/>
        </w:rPr>
        <w:t>A c</w:t>
      </w:r>
      <w:r w:rsidRPr="001012CC">
        <w:rPr>
          <w:rFonts w:ascii="Arial" w:eastAsia="Arial" w:hAnsi="Arial" w:cs="Arial"/>
          <w:color w:val="auto"/>
          <w:spacing w:val="-1"/>
          <w:szCs w:val="24"/>
        </w:rPr>
        <w:t xml:space="preserve">oncise </w:t>
      </w:r>
      <w:r w:rsidR="00037BA4" w:rsidRPr="001012CC">
        <w:rPr>
          <w:rFonts w:ascii="Arial" w:eastAsia="Arial" w:hAnsi="Arial" w:cs="Arial"/>
          <w:color w:val="auto"/>
          <w:spacing w:val="-1"/>
          <w:szCs w:val="24"/>
        </w:rPr>
        <w:t>masterplan</w:t>
      </w:r>
      <w:r w:rsidRPr="001012CC">
        <w:rPr>
          <w:rFonts w:ascii="Arial" w:eastAsia="Arial" w:hAnsi="Arial" w:cs="Arial"/>
          <w:color w:val="auto"/>
          <w:spacing w:val="-1"/>
          <w:szCs w:val="24"/>
        </w:rPr>
        <w:t xml:space="preserve"> will be available</w:t>
      </w:r>
      <w:r w:rsidR="00353F70" w:rsidRPr="001012CC">
        <w:rPr>
          <w:rFonts w:ascii="Arial" w:eastAsia="Arial" w:hAnsi="Arial" w:cs="Arial"/>
          <w:color w:val="auto"/>
          <w:spacing w:val="-1"/>
          <w:szCs w:val="24"/>
        </w:rPr>
        <w:t xml:space="preserve"> to identify</w:t>
      </w:r>
      <w:r w:rsidRPr="001012CC">
        <w:rPr>
          <w:rFonts w:ascii="Arial" w:eastAsia="Arial" w:hAnsi="Arial" w:cs="Arial"/>
          <w:color w:val="auto"/>
          <w:spacing w:val="-1"/>
          <w:szCs w:val="24"/>
        </w:rPr>
        <w:t xml:space="preserve"> essential requirements expected by the Council, and provide more detailed advice and guidance specific to the site.</w:t>
      </w:r>
    </w:p>
    <w:p w14:paraId="416CBF1F" w14:textId="77777777" w:rsidR="00B84A30" w:rsidRPr="00E84CD9" w:rsidRDefault="00B84A30" w:rsidP="00B84A30">
      <w:pPr>
        <w:pStyle w:val="ListParagraph"/>
        <w:autoSpaceDE w:val="0"/>
        <w:autoSpaceDN w:val="0"/>
        <w:adjustRightInd w:val="0"/>
        <w:spacing w:after="0" w:line="240" w:lineRule="auto"/>
        <w:ind w:left="851"/>
        <w:rPr>
          <w:rStyle w:val="Heading10"/>
          <w:rFonts w:cs="Arial"/>
          <w:b w:val="0"/>
          <w:bCs/>
          <w:color w:val="4472C4" w:themeColor="accent1"/>
          <w:szCs w:val="24"/>
        </w:rPr>
      </w:pPr>
    </w:p>
    <w:p w14:paraId="7D68E45D" w14:textId="0F014762" w:rsidR="00715560" w:rsidRPr="009E34A6" w:rsidRDefault="00715560" w:rsidP="00874A98">
      <w:pPr>
        <w:pStyle w:val="ListParagraph"/>
        <w:numPr>
          <w:ilvl w:val="1"/>
          <w:numId w:val="92"/>
        </w:numPr>
        <w:autoSpaceDE w:val="0"/>
        <w:autoSpaceDN w:val="0"/>
        <w:adjustRightInd w:val="0"/>
        <w:spacing w:after="0" w:line="240" w:lineRule="auto"/>
        <w:ind w:left="851" w:hanging="851"/>
        <w:rPr>
          <w:rFonts w:ascii="Arial" w:eastAsia="Calibri" w:hAnsi="Arial" w:cs="Arial"/>
          <w:color w:val="auto"/>
          <w:szCs w:val="24"/>
        </w:rPr>
      </w:pPr>
      <w:r w:rsidRPr="0056594F">
        <w:rPr>
          <w:rFonts w:ascii="Arial" w:eastAsia="Calibri" w:hAnsi="Arial" w:cs="Arial"/>
          <w:b/>
          <w:bCs/>
          <w:color w:val="auto"/>
        </w:rPr>
        <w:t xml:space="preserve">Site </w:t>
      </w:r>
      <w:r w:rsidRPr="0056594F">
        <w:rPr>
          <w:rFonts w:ascii="Arial" w:eastAsia="Calibri" w:hAnsi="Arial" w:cs="Arial"/>
          <w:b/>
          <w:color w:val="auto"/>
        </w:rPr>
        <w:t xml:space="preserve">H1Sl: North of Fackley Road, Teversal. </w:t>
      </w:r>
      <w:r w:rsidRPr="0056594F">
        <w:rPr>
          <w:rFonts w:ascii="Arial" w:eastAsia="Calibri" w:hAnsi="Arial" w:cs="Arial"/>
          <w:color w:val="auto"/>
        </w:rPr>
        <w:t>Th</w:t>
      </w:r>
      <w:r w:rsidR="00833322" w:rsidRPr="0056594F">
        <w:rPr>
          <w:rFonts w:ascii="Arial" w:eastAsia="Calibri" w:hAnsi="Arial" w:cs="Arial"/>
          <w:color w:val="auto"/>
        </w:rPr>
        <w:t>is</w:t>
      </w:r>
      <w:r w:rsidRPr="009E34A6">
        <w:rPr>
          <w:rFonts w:ascii="Arial" w:eastAsia="Calibri" w:hAnsi="Arial" w:cs="Arial"/>
          <w:color w:val="auto"/>
        </w:rPr>
        <w:t xml:space="preserve"> greenfield site</w:t>
      </w:r>
      <w:r w:rsidR="00833322" w:rsidRPr="009E34A6">
        <w:rPr>
          <w:rFonts w:ascii="Arial" w:eastAsia="Calibri" w:hAnsi="Arial" w:cs="Arial"/>
          <w:color w:val="auto"/>
        </w:rPr>
        <w:t xml:space="preserve"> has been assessed as available, potentially suitable, and potentially achievable in the SHELAA (ref.SA058). It</w:t>
      </w:r>
      <w:r w:rsidRPr="009E34A6">
        <w:rPr>
          <w:rFonts w:ascii="Arial" w:eastAsia="Calibri" w:hAnsi="Arial" w:cs="Arial"/>
          <w:color w:val="auto"/>
        </w:rPr>
        <w:t xml:space="preserve"> is located adjacent to existing residential development in the small settlement of Fackley, being separated from the main urban area at Skegby predominantly by a livery stables and golf driving range. The southern site boundary is formed by a water course and mature tree belt, with hedgerows to the north</w:t>
      </w:r>
      <w:r w:rsidR="00833322" w:rsidRPr="009E34A6">
        <w:rPr>
          <w:rFonts w:ascii="Arial" w:eastAsia="Calibri" w:hAnsi="Arial" w:cs="Arial"/>
          <w:color w:val="auto"/>
        </w:rPr>
        <w:t>-</w:t>
      </w:r>
      <w:r w:rsidRPr="009E34A6">
        <w:rPr>
          <w:rFonts w:ascii="Arial" w:eastAsia="Calibri" w:hAnsi="Arial" w:cs="Arial"/>
          <w:color w:val="auto"/>
        </w:rPr>
        <w:t>east and north</w:t>
      </w:r>
      <w:r w:rsidR="00833322" w:rsidRPr="009E34A6">
        <w:rPr>
          <w:rFonts w:ascii="Arial" w:eastAsia="Calibri" w:hAnsi="Arial" w:cs="Arial"/>
          <w:color w:val="auto"/>
        </w:rPr>
        <w:t>-</w:t>
      </w:r>
      <w:r w:rsidRPr="009E34A6">
        <w:rPr>
          <w:rFonts w:ascii="Arial" w:eastAsia="Calibri" w:hAnsi="Arial" w:cs="Arial"/>
          <w:color w:val="auto"/>
        </w:rPr>
        <w:t>west (beyond which are sports pitches), and residential development to the south</w:t>
      </w:r>
      <w:r w:rsidR="00833322" w:rsidRPr="009E34A6">
        <w:rPr>
          <w:rFonts w:ascii="Arial" w:eastAsia="Calibri" w:hAnsi="Arial" w:cs="Arial"/>
          <w:color w:val="auto"/>
        </w:rPr>
        <w:t>-</w:t>
      </w:r>
      <w:r w:rsidRPr="009E34A6">
        <w:rPr>
          <w:rFonts w:ascii="Arial" w:eastAsia="Calibri" w:hAnsi="Arial" w:cs="Arial"/>
          <w:color w:val="auto"/>
        </w:rPr>
        <w:t>west.</w:t>
      </w:r>
      <w:r w:rsidR="00833322" w:rsidRPr="009E34A6">
        <w:rPr>
          <w:rFonts w:eastAsia="Calibri" w:cs="Arial"/>
          <w:color w:val="auto"/>
          <w:szCs w:val="24"/>
        </w:rPr>
        <w:t xml:space="preserve"> </w:t>
      </w:r>
      <w:r w:rsidR="00833322" w:rsidRPr="009E34A6">
        <w:rPr>
          <w:rFonts w:ascii="Arial" w:eastAsia="Calibri" w:hAnsi="Arial" w:cs="Arial"/>
          <w:color w:val="auto"/>
          <w:szCs w:val="24"/>
        </w:rPr>
        <w:t>There is an opportunity to provide wider community benefits in the way of improvements/redevelopment of the adjacent sports facilities.</w:t>
      </w:r>
    </w:p>
    <w:p w14:paraId="3C0DC6FC" w14:textId="77777777" w:rsidR="00715560" w:rsidRPr="009E34A6" w:rsidRDefault="00715560" w:rsidP="00833322">
      <w:pPr>
        <w:pStyle w:val="ListParagraph"/>
        <w:autoSpaceDE w:val="0"/>
        <w:autoSpaceDN w:val="0"/>
        <w:adjustRightInd w:val="0"/>
        <w:spacing w:after="0" w:line="240" w:lineRule="auto"/>
        <w:ind w:left="851"/>
        <w:rPr>
          <w:rFonts w:ascii="Arial" w:eastAsia="Calibri" w:hAnsi="Arial" w:cs="Arial"/>
          <w:b/>
          <w:color w:val="auto"/>
        </w:rPr>
      </w:pPr>
    </w:p>
    <w:p w14:paraId="1B49A9B2" w14:textId="510DC0E3" w:rsidR="00715560" w:rsidRPr="009E34A6" w:rsidRDefault="00715560" w:rsidP="00874A98">
      <w:pPr>
        <w:pStyle w:val="ListParagraph"/>
        <w:numPr>
          <w:ilvl w:val="1"/>
          <w:numId w:val="92"/>
        </w:numPr>
        <w:autoSpaceDE w:val="0"/>
        <w:autoSpaceDN w:val="0"/>
        <w:adjustRightInd w:val="0"/>
        <w:spacing w:after="0" w:line="240" w:lineRule="auto"/>
        <w:ind w:left="851" w:hanging="851"/>
        <w:rPr>
          <w:rFonts w:ascii="Arial" w:eastAsia="Calibri" w:hAnsi="Arial" w:cs="Arial"/>
          <w:color w:val="auto"/>
        </w:rPr>
      </w:pPr>
      <w:r w:rsidRPr="009E34A6">
        <w:rPr>
          <w:rFonts w:ascii="Arial" w:eastAsia="Calibri" w:hAnsi="Arial" w:cs="Arial"/>
          <w:color w:val="auto"/>
        </w:rPr>
        <w:t xml:space="preserve">Surface water flooding </w:t>
      </w:r>
      <w:r w:rsidR="00833322" w:rsidRPr="009E34A6">
        <w:rPr>
          <w:rFonts w:ascii="Arial" w:eastAsia="Calibri" w:hAnsi="Arial" w:cs="Arial"/>
          <w:color w:val="auto"/>
        </w:rPr>
        <w:t xml:space="preserve">has been </w:t>
      </w:r>
      <w:r w:rsidRPr="009E34A6">
        <w:rPr>
          <w:rFonts w:ascii="Arial" w:eastAsia="Calibri" w:hAnsi="Arial" w:cs="Arial"/>
          <w:color w:val="auto"/>
        </w:rPr>
        <w:t>identified on the site which will require mitigation.</w:t>
      </w:r>
      <w:r w:rsidR="00833322" w:rsidRPr="009E34A6">
        <w:rPr>
          <w:rFonts w:ascii="Arial" w:eastAsia="Calibri" w:hAnsi="Arial" w:cs="Arial"/>
          <w:color w:val="auto"/>
        </w:rPr>
        <w:t xml:space="preserve"> </w:t>
      </w:r>
      <w:r w:rsidRPr="009E34A6">
        <w:rPr>
          <w:rFonts w:ascii="Arial" w:eastAsia="Calibri" w:hAnsi="Arial" w:cs="Arial"/>
          <w:color w:val="auto"/>
        </w:rPr>
        <w:t>Right of way Sutton in Ashfield footpath 97 adjoins the north</w:t>
      </w:r>
      <w:r w:rsidR="00833322" w:rsidRPr="009E34A6">
        <w:rPr>
          <w:rFonts w:ascii="Arial" w:eastAsia="Calibri" w:hAnsi="Arial" w:cs="Arial"/>
          <w:color w:val="auto"/>
        </w:rPr>
        <w:t>-</w:t>
      </w:r>
      <w:r w:rsidRPr="009E34A6">
        <w:rPr>
          <w:rFonts w:ascii="Arial" w:eastAsia="Calibri" w:hAnsi="Arial" w:cs="Arial"/>
          <w:color w:val="auto"/>
        </w:rPr>
        <w:t>west boundary of the site running between Crompton Street and Coppywood Close.</w:t>
      </w:r>
      <w:r w:rsidRPr="009E34A6">
        <w:rPr>
          <w:rFonts w:eastAsia="Calibri" w:cs="Arial"/>
          <w:color w:val="auto"/>
        </w:rPr>
        <w:t xml:space="preserve">  </w:t>
      </w:r>
    </w:p>
    <w:p w14:paraId="73FFD1F3" w14:textId="77777777" w:rsidR="00715560" w:rsidRPr="009E34A6" w:rsidRDefault="00715560" w:rsidP="00833322">
      <w:pPr>
        <w:pStyle w:val="ListParagraph"/>
        <w:autoSpaceDE w:val="0"/>
        <w:autoSpaceDN w:val="0"/>
        <w:adjustRightInd w:val="0"/>
        <w:spacing w:after="0" w:line="240" w:lineRule="auto"/>
        <w:ind w:left="851"/>
        <w:rPr>
          <w:rFonts w:ascii="Arial" w:eastAsia="Calibri" w:hAnsi="Arial" w:cs="Arial"/>
          <w:color w:val="auto"/>
        </w:rPr>
      </w:pPr>
    </w:p>
    <w:p w14:paraId="2EAC0314" w14:textId="19D8248F" w:rsidR="00715560" w:rsidRPr="009E34A6" w:rsidRDefault="00715560" w:rsidP="00874A98">
      <w:pPr>
        <w:pStyle w:val="ListParagraph"/>
        <w:numPr>
          <w:ilvl w:val="1"/>
          <w:numId w:val="92"/>
        </w:numPr>
        <w:autoSpaceDE w:val="0"/>
        <w:autoSpaceDN w:val="0"/>
        <w:adjustRightInd w:val="0"/>
        <w:spacing w:after="0" w:line="240" w:lineRule="auto"/>
        <w:ind w:left="851" w:hanging="851"/>
        <w:rPr>
          <w:rFonts w:ascii="Arial" w:eastAsia="Calibri" w:hAnsi="Arial" w:cs="Arial"/>
          <w:color w:val="auto"/>
          <w:szCs w:val="24"/>
        </w:rPr>
      </w:pPr>
      <w:r w:rsidRPr="009E34A6">
        <w:rPr>
          <w:rFonts w:ascii="Arial" w:eastAsia="Calibri" w:hAnsi="Arial" w:cs="Arial"/>
          <w:color w:val="auto"/>
        </w:rPr>
        <w:t>Site lies with the Teversal, Stanton Hill and Skegby Neighbourhood Plan area - Particular regard</w:t>
      </w:r>
      <w:r w:rsidRPr="009E34A6">
        <w:rPr>
          <w:rFonts w:ascii="Arial" w:eastAsia="Calibri" w:hAnsi="Arial" w:cs="Arial"/>
          <w:color w:val="auto"/>
          <w:szCs w:val="24"/>
        </w:rPr>
        <w:t xml:space="preserve"> should be had to Policy NP4: Protecting the Landscape Character, which identifies this area as a sensitive open gap between Teversal and Stanton Hill.  Development is required to maintain this sense of openness.</w:t>
      </w:r>
    </w:p>
    <w:p w14:paraId="292BBA8B" w14:textId="77777777" w:rsidR="00715560" w:rsidRPr="009E34A6" w:rsidRDefault="00715560" w:rsidP="00715560">
      <w:pPr>
        <w:autoSpaceDE w:val="0"/>
        <w:autoSpaceDN w:val="0"/>
        <w:adjustRightInd w:val="0"/>
        <w:rPr>
          <w:rStyle w:val="Heading10"/>
          <w:rFonts w:cs="Arial"/>
          <w:color w:val="auto"/>
          <w:szCs w:val="24"/>
        </w:rPr>
      </w:pPr>
    </w:p>
    <w:p w14:paraId="457C3979" w14:textId="4C227F64" w:rsidR="00715560" w:rsidRPr="009E34A6" w:rsidRDefault="00715560" w:rsidP="00874A98">
      <w:pPr>
        <w:pStyle w:val="ListParagraph"/>
        <w:numPr>
          <w:ilvl w:val="1"/>
          <w:numId w:val="92"/>
        </w:numPr>
        <w:autoSpaceDE w:val="0"/>
        <w:autoSpaceDN w:val="0"/>
        <w:adjustRightInd w:val="0"/>
        <w:spacing w:after="0" w:line="240" w:lineRule="auto"/>
        <w:ind w:left="851" w:hanging="851"/>
        <w:rPr>
          <w:rFonts w:ascii="Arial" w:eastAsia="Calibri" w:hAnsi="Arial" w:cs="Arial"/>
          <w:color w:val="auto"/>
        </w:rPr>
      </w:pPr>
      <w:r w:rsidRPr="009E34A6">
        <w:rPr>
          <w:rFonts w:ascii="Arial" w:eastAsia="Calibri" w:hAnsi="Arial" w:cs="Arial"/>
          <w:b/>
          <w:color w:val="auto"/>
        </w:rPr>
        <w:t xml:space="preserve">Site H1Sm: Land adjacent 88 High Hazels Drive, Sutton-In-Ashfield. </w:t>
      </w:r>
      <w:bookmarkStart w:id="211" w:name="_Hlk80707004"/>
      <w:r w:rsidRPr="009E34A6">
        <w:rPr>
          <w:rFonts w:ascii="Arial" w:eastAsia="Calibri" w:hAnsi="Arial" w:cs="Arial"/>
          <w:color w:val="auto"/>
        </w:rPr>
        <w:t xml:space="preserve">This greenfield site </w:t>
      </w:r>
      <w:r w:rsidR="00190F62" w:rsidRPr="009E34A6">
        <w:rPr>
          <w:rFonts w:ascii="Arial" w:eastAsia="Calibri" w:hAnsi="Arial" w:cs="Arial"/>
          <w:color w:val="auto"/>
        </w:rPr>
        <w:t xml:space="preserve">has been assessed as available, potentially suitable, and potentially achievable in the SHELAA (ref. SA061). It </w:t>
      </w:r>
      <w:r w:rsidRPr="009E34A6">
        <w:rPr>
          <w:rFonts w:ascii="Arial" w:eastAsia="Calibri" w:hAnsi="Arial" w:cs="Arial"/>
          <w:color w:val="auto"/>
        </w:rPr>
        <w:t xml:space="preserve">is located within the urban area </w:t>
      </w:r>
      <w:bookmarkEnd w:id="211"/>
      <w:r w:rsidRPr="009E34A6">
        <w:rPr>
          <w:rFonts w:ascii="Arial" w:eastAsia="Calibri" w:hAnsi="Arial" w:cs="Arial"/>
          <w:color w:val="auto"/>
        </w:rPr>
        <w:t>at Huthwaite and is well contained on all sides by existing residential development. It is a relatively small parcel of overgrown scrubland and was formerly allotment gardens in use until around 1959.</w:t>
      </w:r>
      <w:r w:rsidRPr="009E34A6">
        <w:rPr>
          <w:rFonts w:ascii="Arial" w:eastAsia="Calibri" w:hAnsi="Arial" w:cs="Arial"/>
          <w:b/>
          <w:color w:val="auto"/>
        </w:rPr>
        <w:t xml:space="preserve"> </w:t>
      </w:r>
      <w:r w:rsidRPr="009E34A6">
        <w:rPr>
          <w:rFonts w:ascii="Arial" w:eastAsia="Calibri" w:hAnsi="Arial" w:cs="Arial"/>
          <w:color w:val="auto"/>
        </w:rPr>
        <w:t>There is potential for contamination of topsoil as a result of the site’s former use and as such this will need to be tested. The site has previously been granted outline planning permission for residential development in 2014, although this has since lapsed.</w:t>
      </w:r>
    </w:p>
    <w:p w14:paraId="4142FB63" w14:textId="77777777" w:rsidR="00715560" w:rsidRPr="009E34A6" w:rsidRDefault="00715560" w:rsidP="00AA5581">
      <w:pPr>
        <w:pStyle w:val="ListParagraph"/>
        <w:autoSpaceDE w:val="0"/>
        <w:autoSpaceDN w:val="0"/>
        <w:adjustRightInd w:val="0"/>
        <w:spacing w:after="0" w:line="240" w:lineRule="auto"/>
        <w:ind w:left="851"/>
        <w:rPr>
          <w:rFonts w:ascii="Arial" w:eastAsia="Calibri" w:hAnsi="Arial" w:cs="Arial"/>
          <w:b/>
          <w:color w:val="auto"/>
        </w:rPr>
      </w:pPr>
    </w:p>
    <w:p w14:paraId="6A2264C8" w14:textId="516406E3" w:rsidR="000852BF" w:rsidRPr="009E34A6" w:rsidRDefault="00715560" w:rsidP="00874A98">
      <w:pPr>
        <w:pStyle w:val="ListParagraph"/>
        <w:numPr>
          <w:ilvl w:val="1"/>
          <w:numId w:val="92"/>
        </w:numPr>
        <w:autoSpaceDE w:val="0"/>
        <w:autoSpaceDN w:val="0"/>
        <w:adjustRightInd w:val="0"/>
        <w:spacing w:after="0" w:line="240" w:lineRule="auto"/>
        <w:ind w:left="851" w:hanging="851"/>
        <w:rPr>
          <w:rFonts w:ascii="Arial" w:eastAsia="Calibri" w:hAnsi="Arial" w:cs="Arial"/>
          <w:color w:val="auto"/>
          <w:szCs w:val="24"/>
        </w:rPr>
      </w:pPr>
      <w:r w:rsidRPr="009E34A6">
        <w:rPr>
          <w:rFonts w:ascii="Arial" w:eastAsia="Calibri" w:hAnsi="Arial" w:cs="Arial"/>
          <w:b/>
          <w:color w:val="auto"/>
        </w:rPr>
        <w:t>Site</w:t>
      </w:r>
      <w:r w:rsidRPr="009E34A6">
        <w:rPr>
          <w:rStyle w:val="Heading10"/>
          <w:rFonts w:cs="Arial"/>
          <w:color w:val="auto"/>
          <w:szCs w:val="24"/>
        </w:rPr>
        <w:t xml:space="preserve"> H1Sn: Adj Molyneux Farm, Fackley Road, Teversal</w:t>
      </w:r>
      <w:bookmarkStart w:id="212" w:name="_Hlk80286824"/>
      <w:r w:rsidRPr="009E34A6">
        <w:rPr>
          <w:rStyle w:val="Heading10"/>
          <w:rFonts w:cs="Arial"/>
          <w:bCs/>
          <w:color w:val="auto"/>
          <w:szCs w:val="24"/>
        </w:rPr>
        <w:t xml:space="preserve">. </w:t>
      </w:r>
      <w:r w:rsidRPr="009E34A6">
        <w:rPr>
          <w:rFonts w:ascii="Arial" w:hAnsi="Arial" w:cs="Arial"/>
          <w:color w:val="auto"/>
          <w:szCs w:val="24"/>
        </w:rPr>
        <w:t>This</w:t>
      </w:r>
      <w:r w:rsidRPr="009E34A6">
        <w:rPr>
          <w:rFonts w:ascii="Arial" w:eastAsia="Calibri" w:hAnsi="Arial" w:cs="Arial"/>
          <w:color w:val="auto"/>
          <w:szCs w:val="24"/>
        </w:rPr>
        <w:t xml:space="preserve"> greenfield site </w:t>
      </w:r>
      <w:r w:rsidR="00E95C72" w:rsidRPr="009E34A6">
        <w:rPr>
          <w:rFonts w:ascii="Arial" w:eastAsia="Calibri" w:hAnsi="Arial" w:cs="Arial"/>
          <w:color w:val="auto"/>
          <w:szCs w:val="24"/>
        </w:rPr>
        <w:t>has been assessed as available, potentially suitable, and achievable in the SHELAA (</w:t>
      </w:r>
      <w:r w:rsidR="00E95C72" w:rsidRPr="009E34A6">
        <w:rPr>
          <w:rStyle w:val="Heading10"/>
          <w:rFonts w:cs="Arial"/>
          <w:b w:val="0"/>
          <w:bCs/>
          <w:color w:val="auto"/>
          <w:szCs w:val="24"/>
        </w:rPr>
        <w:t>ref. SA064). It</w:t>
      </w:r>
      <w:r w:rsidR="00E95C72" w:rsidRPr="009E34A6">
        <w:rPr>
          <w:rStyle w:val="Heading10"/>
          <w:rFonts w:cs="Arial"/>
          <w:color w:val="auto"/>
          <w:szCs w:val="24"/>
        </w:rPr>
        <w:t xml:space="preserve"> </w:t>
      </w:r>
      <w:r w:rsidRPr="009E34A6">
        <w:rPr>
          <w:rFonts w:ascii="Arial" w:eastAsia="Calibri" w:hAnsi="Arial" w:cs="Arial"/>
          <w:color w:val="auto"/>
          <w:szCs w:val="24"/>
        </w:rPr>
        <w:t>is located adjacent to existing residential development in the small settlement of Fackley and is currently used for grazing horses. The site is enclosed by hedgerows, with residential curtilages adjacent to the north and western boundaries.</w:t>
      </w:r>
      <w:r w:rsidR="00A13D7B" w:rsidRPr="009E34A6">
        <w:rPr>
          <w:rFonts w:ascii="Arial" w:eastAsia="Calibri" w:hAnsi="Arial" w:cs="Arial"/>
          <w:color w:val="auto"/>
          <w:szCs w:val="24"/>
        </w:rPr>
        <w:t xml:space="preserve"> This site should be brought forward as part of a comprehensive development with site H1So to the east, in order to enable an acceptable access strategy and highway design. </w:t>
      </w:r>
    </w:p>
    <w:p w14:paraId="44813FE5" w14:textId="77777777" w:rsidR="000852BF" w:rsidRPr="009E34A6" w:rsidRDefault="000852BF" w:rsidP="000852BF">
      <w:pPr>
        <w:pStyle w:val="ListParagraph"/>
        <w:rPr>
          <w:rFonts w:ascii="Arial" w:eastAsia="Calibri" w:hAnsi="Arial" w:cs="Arial"/>
          <w:color w:val="auto"/>
          <w:szCs w:val="24"/>
        </w:rPr>
      </w:pPr>
    </w:p>
    <w:p w14:paraId="7F8DD2C2" w14:textId="77777777" w:rsidR="00506E84" w:rsidRPr="009E34A6" w:rsidRDefault="00715560" w:rsidP="00874A98">
      <w:pPr>
        <w:pStyle w:val="ListParagraph"/>
        <w:numPr>
          <w:ilvl w:val="1"/>
          <w:numId w:val="92"/>
        </w:numPr>
        <w:autoSpaceDE w:val="0"/>
        <w:autoSpaceDN w:val="0"/>
        <w:adjustRightInd w:val="0"/>
        <w:spacing w:after="0" w:line="240" w:lineRule="auto"/>
        <w:ind w:left="851" w:hanging="851"/>
        <w:rPr>
          <w:rFonts w:ascii="Arial" w:eastAsia="Calibri" w:hAnsi="Arial" w:cs="Arial"/>
          <w:color w:val="auto"/>
          <w:szCs w:val="24"/>
        </w:rPr>
      </w:pPr>
      <w:r w:rsidRPr="009E34A6">
        <w:rPr>
          <w:rFonts w:ascii="Arial" w:eastAsia="Calibri" w:hAnsi="Arial" w:cs="Arial"/>
          <w:color w:val="auto"/>
          <w:szCs w:val="24"/>
        </w:rPr>
        <w:t>There is likely colliery spoil adjacent to southwest boundary, and small watercourse shown along north-east boundary. A geological fault line is shown along north-east boundary of site.</w:t>
      </w:r>
      <w:r w:rsidR="000852BF" w:rsidRPr="009E34A6">
        <w:rPr>
          <w:rFonts w:ascii="Arial" w:eastAsia="Calibri" w:hAnsi="Arial" w:cs="Arial"/>
          <w:color w:val="auto"/>
          <w:szCs w:val="24"/>
        </w:rPr>
        <w:t xml:space="preserve"> </w:t>
      </w:r>
      <w:r w:rsidRPr="009E34A6">
        <w:rPr>
          <w:rFonts w:ascii="Arial" w:eastAsia="Calibri" w:hAnsi="Arial" w:cs="Arial"/>
          <w:color w:val="auto"/>
          <w:szCs w:val="24"/>
        </w:rPr>
        <w:t>A significant part of the site to the north</w:t>
      </w:r>
      <w:r w:rsidR="00E95C72" w:rsidRPr="009E34A6">
        <w:rPr>
          <w:rFonts w:ascii="Arial" w:eastAsia="Calibri" w:hAnsi="Arial" w:cs="Arial"/>
          <w:color w:val="auto"/>
          <w:szCs w:val="24"/>
        </w:rPr>
        <w:t>-</w:t>
      </w:r>
      <w:r w:rsidRPr="009E34A6">
        <w:rPr>
          <w:rFonts w:ascii="Arial" w:eastAsia="Calibri" w:hAnsi="Arial" w:cs="Arial"/>
          <w:color w:val="auto"/>
          <w:szCs w:val="24"/>
        </w:rPr>
        <w:t xml:space="preserve">east is subject surface water flows which will require mitigation. </w:t>
      </w:r>
    </w:p>
    <w:p w14:paraId="7EDB5C13" w14:textId="77777777" w:rsidR="00506E84" w:rsidRPr="009E34A6" w:rsidRDefault="00506E84" w:rsidP="00506E84">
      <w:pPr>
        <w:pStyle w:val="ListParagraph"/>
        <w:rPr>
          <w:rFonts w:eastAsia="Calibri" w:cs="Arial"/>
          <w:color w:val="auto"/>
          <w:szCs w:val="24"/>
        </w:rPr>
      </w:pPr>
    </w:p>
    <w:bookmarkEnd w:id="212"/>
    <w:p w14:paraId="415E77E1" w14:textId="0D1F0ED3" w:rsidR="00715560" w:rsidRPr="009E34A6" w:rsidRDefault="00715560" w:rsidP="00874A98">
      <w:pPr>
        <w:pStyle w:val="ListParagraph"/>
        <w:numPr>
          <w:ilvl w:val="1"/>
          <w:numId w:val="92"/>
        </w:numPr>
        <w:autoSpaceDE w:val="0"/>
        <w:autoSpaceDN w:val="0"/>
        <w:adjustRightInd w:val="0"/>
        <w:spacing w:after="0" w:line="240" w:lineRule="auto"/>
        <w:ind w:left="851" w:hanging="851"/>
        <w:rPr>
          <w:rFonts w:eastAsia="Calibri"/>
          <w:color w:val="auto"/>
        </w:rPr>
      </w:pPr>
      <w:r w:rsidRPr="009E34A6">
        <w:rPr>
          <w:rFonts w:ascii="Arial" w:eastAsia="Calibri" w:hAnsi="Arial" w:cs="Arial"/>
          <w:b/>
          <w:color w:val="auto"/>
        </w:rPr>
        <w:t>Site H1So: Off Fackley Road, Teversal</w:t>
      </w:r>
      <w:r w:rsidR="002F433C" w:rsidRPr="009E34A6">
        <w:rPr>
          <w:rFonts w:ascii="Arial" w:eastAsia="Calibri" w:hAnsi="Arial" w:cs="Arial"/>
          <w:b/>
          <w:color w:val="auto"/>
        </w:rPr>
        <w:t>.</w:t>
      </w:r>
      <w:r w:rsidRPr="009E34A6">
        <w:rPr>
          <w:rFonts w:eastAsia="Calibri"/>
          <w:b/>
          <w:color w:val="auto"/>
        </w:rPr>
        <w:t xml:space="preserve"> </w:t>
      </w:r>
      <w:r w:rsidRPr="009E34A6">
        <w:rPr>
          <w:rFonts w:ascii="Arial" w:eastAsia="Calibri" w:hAnsi="Arial" w:cs="Arial"/>
          <w:color w:val="auto"/>
          <w:szCs w:val="24"/>
        </w:rPr>
        <w:t>This greenfield site</w:t>
      </w:r>
      <w:r w:rsidR="007A55F3" w:rsidRPr="009E34A6">
        <w:rPr>
          <w:rFonts w:ascii="Arial" w:eastAsia="Calibri" w:hAnsi="Arial" w:cs="Arial"/>
          <w:color w:val="auto"/>
          <w:szCs w:val="24"/>
        </w:rPr>
        <w:t xml:space="preserve"> The site has been assessed as available, potentially suitable, and achievable in the SHELAA (ref.SA065)</w:t>
      </w:r>
      <w:r w:rsidR="007A55F3" w:rsidRPr="009E34A6">
        <w:rPr>
          <w:rFonts w:ascii="Arial" w:eastAsia="Calibri" w:hAnsi="Arial" w:cs="Arial"/>
          <w:b/>
          <w:color w:val="auto"/>
        </w:rPr>
        <w:t xml:space="preserve">. </w:t>
      </w:r>
      <w:r w:rsidR="007A55F3" w:rsidRPr="009E34A6">
        <w:rPr>
          <w:rFonts w:ascii="Arial" w:eastAsia="Calibri" w:hAnsi="Arial" w:cs="Arial"/>
          <w:color w:val="auto"/>
        </w:rPr>
        <w:t>It</w:t>
      </w:r>
      <w:r w:rsidRPr="009E34A6">
        <w:rPr>
          <w:rFonts w:ascii="Arial" w:eastAsia="Calibri" w:hAnsi="Arial" w:cs="Arial"/>
          <w:color w:val="auto"/>
          <w:szCs w:val="24"/>
        </w:rPr>
        <w:t xml:space="preserve"> is located adjacent to existing residential development in the small settlement of Fackley</w:t>
      </w:r>
      <w:r w:rsidR="002F433C" w:rsidRPr="009E34A6">
        <w:rPr>
          <w:rFonts w:ascii="Arial" w:eastAsia="Calibri" w:hAnsi="Arial" w:cs="Arial"/>
          <w:color w:val="auto"/>
          <w:szCs w:val="24"/>
        </w:rPr>
        <w:t>,</w:t>
      </w:r>
      <w:r w:rsidRPr="009E34A6">
        <w:rPr>
          <w:rFonts w:ascii="Arial" w:eastAsia="Calibri" w:hAnsi="Arial" w:cs="Arial"/>
          <w:color w:val="auto"/>
          <w:szCs w:val="24"/>
        </w:rPr>
        <w:t xml:space="preserve"> is currently used for grazing horses</w:t>
      </w:r>
      <w:r w:rsidR="002F433C" w:rsidRPr="009E34A6">
        <w:rPr>
          <w:rFonts w:ascii="Arial" w:eastAsia="Calibri" w:hAnsi="Arial" w:cs="Arial"/>
          <w:color w:val="auto"/>
          <w:szCs w:val="24"/>
        </w:rPr>
        <w:t>, and is enclosed by hedgerows</w:t>
      </w:r>
      <w:r w:rsidRPr="009E34A6">
        <w:rPr>
          <w:rFonts w:ascii="Arial" w:eastAsia="Calibri" w:hAnsi="Arial" w:cs="Arial"/>
          <w:color w:val="auto"/>
          <w:szCs w:val="24"/>
        </w:rPr>
        <w:t>.</w:t>
      </w:r>
      <w:r w:rsidR="002F433C" w:rsidRPr="009E34A6">
        <w:rPr>
          <w:rFonts w:ascii="Arial" w:eastAsia="Calibri" w:hAnsi="Arial" w:cs="Arial"/>
          <w:color w:val="auto"/>
          <w:szCs w:val="24"/>
        </w:rPr>
        <w:t xml:space="preserve"> This site should be brought forward as part of a comprehensive development with site H1Sn to the east, in order to enable an acceptable access strategy and highway design. </w:t>
      </w:r>
    </w:p>
    <w:p w14:paraId="1BAE810F" w14:textId="77777777" w:rsidR="00C23F30" w:rsidRPr="009E34A6" w:rsidRDefault="00C23F30" w:rsidP="00C23F30">
      <w:pPr>
        <w:autoSpaceDE w:val="0"/>
        <w:autoSpaceDN w:val="0"/>
        <w:adjustRightInd w:val="0"/>
        <w:rPr>
          <w:rFonts w:eastAsia="Calibri" w:cs="Arial"/>
          <w:color w:val="auto"/>
          <w:szCs w:val="24"/>
        </w:rPr>
      </w:pPr>
    </w:p>
    <w:p w14:paraId="3CC0CFEE" w14:textId="6ADEC2AF" w:rsidR="00715560" w:rsidRPr="009E34A6" w:rsidRDefault="00715560" w:rsidP="00874A98">
      <w:pPr>
        <w:pStyle w:val="ListParagraph"/>
        <w:numPr>
          <w:ilvl w:val="1"/>
          <w:numId w:val="92"/>
        </w:numPr>
        <w:autoSpaceDE w:val="0"/>
        <w:autoSpaceDN w:val="0"/>
        <w:adjustRightInd w:val="0"/>
        <w:spacing w:after="0" w:line="240" w:lineRule="auto"/>
        <w:ind w:left="851" w:hanging="851"/>
        <w:rPr>
          <w:rFonts w:ascii="Arial" w:eastAsia="Calibri" w:hAnsi="Arial" w:cs="Arial"/>
          <w:color w:val="auto"/>
          <w:szCs w:val="24"/>
        </w:rPr>
      </w:pPr>
      <w:r w:rsidRPr="009E34A6">
        <w:rPr>
          <w:rFonts w:ascii="Arial" w:eastAsia="Calibri" w:hAnsi="Arial" w:cs="Arial"/>
          <w:color w:val="auto"/>
          <w:szCs w:val="24"/>
        </w:rPr>
        <w:t>A geological fault line is shown along south-west boundary of site.</w:t>
      </w:r>
      <w:r w:rsidR="00C23F30" w:rsidRPr="009E34A6">
        <w:rPr>
          <w:rFonts w:ascii="Arial" w:eastAsia="Calibri" w:hAnsi="Arial" w:cs="Arial"/>
          <w:color w:val="auto"/>
          <w:szCs w:val="24"/>
        </w:rPr>
        <w:t xml:space="preserve"> </w:t>
      </w:r>
      <w:r w:rsidRPr="009E34A6">
        <w:rPr>
          <w:rFonts w:ascii="Arial" w:eastAsia="Calibri" w:hAnsi="Arial" w:cs="Arial"/>
          <w:color w:val="auto"/>
          <w:szCs w:val="24"/>
        </w:rPr>
        <w:t xml:space="preserve">The whole site is subject </w:t>
      </w:r>
      <w:r w:rsidR="00C23F30" w:rsidRPr="009E34A6">
        <w:rPr>
          <w:rFonts w:ascii="Arial" w:eastAsia="Calibri" w:hAnsi="Arial" w:cs="Arial"/>
          <w:color w:val="auto"/>
          <w:szCs w:val="24"/>
        </w:rPr>
        <w:t xml:space="preserve">to </w:t>
      </w:r>
      <w:r w:rsidRPr="009E34A6">
        <w:rPr>
          <w:rFonts w:ascii="Arial" w:eastAsia="Calibri" w:hAnsi="Arial" w:cs="Arial"/>
          <w:color w:val="auto"/>
          <w:szCs w:val="24"/>
        </w:rPr>
        <w:t xml:space="preserve">surface water flows which will require advice from the Lead Local Flood Authority and mitigation. </w:t>
      </w:r>
    </w:p>
    <w:p w14:paraId="7EDFB306" w14:textId="77777777" w:rsidR="00C23F30" w:rsidRPr="009E34A6" w:rsidRDefault="00C23F30" w:rsidP="00C23F30">
      <w:pPr>
        <w:autoSpaceDE w:val="0"/>
        <w:autoSpaceDN w:val="0"/>
        <w:adjustRightInd w:val="0"/>
        <w:rPr>
          <w:rFonts w:eastAsia="Calibri" w:cs="Arial"/>
          <w:color w:val="auto"/>
          <w:szCs w:val="24"/>
        </w:rPr>
      </w:pPr>
    </w:p>
    <w:p w14:paraId="0AF575EF" w14:textId="77777777" w:rsidR="00ED27CF" w:rsidRDefault="00715560" w:rsidP="00874A98">
      <w:pPr>
        <w:pStyle w:val="ListParagraph"/>
        <w:numPr>
          <w:ilvl w:val="1"/>
          <w:numId w:val="92"/>
        </w:numPr>
        <w:autoSpaceDE w:val="0"/>
        <w:autoSpaceDN w:val="0"/>
        <w:adjustRightInd w:val="0"/>
        <w:spacing w:after="0" w:line="240" w:lineRule="auto"/>
        <w:ind w:left="851" w:hanging="851"/>
        <w:rPr>
          <w:rStyle w:val="Heading10"/>
          <w:rFonts w:cs="Arial"/>
          <w:b w:val="0"/>
          <w:bCs/>
          <w:color w:val="auto"/>
          <w:szCs w:val="24"/>
        </w:rPr>
      </w:pPr>
      <w:bookmarkStart w:id="213" w:name="_Hlk83829767"/>
      <w:r w:rsidRPr="009E34A6">
        <w:rPr>
          <w:rStyle w:val="Heading10"/>
          <w:rFonts w:cs="Arial"/>
          <w:color w:val="auto"/>
          <w:szCs w:val="24"/>
        </w:rPr>
        <w:t>Site H1Sq: Hardwick Lane Recreation Ground, Sutton-In-Ashfield.</w:t>
      </w:r>
      <w:r w:rsidRPr="009E34A6">
        <w:rPr>
          <w:rStyle w:val="Heading10"/>
          <w:rFonts w:cs="Arial"/>
          <w:b w:val="0"/>
          <w:bCs/>
          <w:color w:val="auto"/>
          <w:szCs w:val="24"/>
        </w:rPr>
        <w:t xml:space="preserve"> </w:t>
      </w:r>
      <w:r w:rsidRPr="009E34A6">
        <w:rPr>
          <w:rStyle w:val="Heading10"/>
          <w:rFonts w:cs="Arial"/>
          <w:b w:val="0"/>
          <w:bCs/>
          <w:color w:val="auto"/>
        </w:rPr>
        <w:t xml:space="preserve">This greenfield site </w:t>
      </w:r>
      <w:r w:rsidR="004C3552" w:rsidRPr="009E34A6">
        <w:rPr>
          <w:rStyle w:val="Heading10"/>
          <w:rFonts w:cs="Arial"/>
          <w:b w:val="0"/>
          <w:bCs/>
          <w:color w:val="auto"/>
        </w:rPr>
        <w:t xml:space="preserve">The site has been assessed as </w:t>
      </w:r>
      <w:bookmarkStart w:id="214" w:name="_Hlk80621742"/>
      <w:r w:rsidR="004C3552" w:rsidRPr="009E34A6">
        <w:rPr>
          <w:rStyle w:val="Heading10"/>
          <w:rFonts w:cs="Arial"/>
          <w:b w:val="0"/>
          <w:bCs/>
          <w:color w:val="auto"/>
        </w:rPr>
        <w:t xml:space="preserve">available, potentially suitable, and achievable </w:t>
      </w:r>
      <w:bookmarkEnd w:id="214"/>
      <w:r w:rsidR="004C3552" w:rsidRPr="009E34A6">
        <w:rPr>
          <w:rStyle w:val="Heading10"/>
          <w:rFonts w:cs="Arial"/>
          <w:b w:val="0"/>
          <w:bCs/>
          <w:color w:val="auto"/>
        </w:rPr>
        <w:t>in the SHELAA (ref.SA069)</w:t>
      </w:r>
      <w:r w:rsidR="004C3552" w:rsidRPr="009E34A6">
        <w:rPr>
          <w:rStyle w:val="Heading10"/>
          <w:rFonts w:cs="Arial"/>
          <w:b w:val="0"/>
          <w:bCs/>
          <w:color w:val="auto"/>
          <w:szCs w:val="24"/>
        </w:rPr>
        <w:t xml:space="preserve">. It </w:t>
      </w:r>
      <w:r w:rsidRPr="009E34A6">
        <w:rPr>
          <w:rStyle w:val="Heading10"/>
          <w:rFonts w:cs="Arial"/>
          <w:b w:val="0"/>
          <w:bCs/>
          <w:color w:val="auto"/>
        </w:rPr>
        <w:t>is located within the urban area of Sutton, and is surrounded by existing residential development to the south and west, with retail to the east, and employment to the north. The site is currently used as a recreation ground and has good access to a wide range of services.</w:t>
      </w:r>
      <w:bookmarkEnd w:id="213"/>
      <w:r w:rsidR="004C3552" w:rsidRPr="009E34A6">
        <w:rPr>
          <w:rStyle w:val="Heading10"/>
          <w:rFonts w:cs="Arial"/>
          <w:b w:val="0"/>
          <w:bCs/>
          <w:color w:val="auto"/>
        </w:rPr>
        <w:t xml:space="preserve"> </w:t>
      </w:r>
      <w:r w:rsidRPr="009E34A6">
        <w:rPr>
          <w:rStyle w:val="Heading10"/>
          <w:rFonts w:cs="Arial"/>
          <w:b w:val="0"/>
          <w:bCs/>
          <w:color w:val="auto"/>
          <w:szCs w:val="24"/>
        </w:rPr>
        <w:t>Severn Trent have identified that network improvements to accommodate surface water is likely to be required.</w:t>
      </w:r>
    </w:p>
    <w:p w14:paraId="05BA0381" w14:textId="77777777" w:rsidR="00ED27CF" w:rsidRPr="00ED27CF" w:rsidRDefault="00ED27CF" w:rsidP="00ED27CF">
      <w:pPr>
        <w:pStyle w:val="ListParagraph"/>
        <w:rPr>
          <w:rStyle w:val="Heading10"/>
          <w:rFonts w:cs="Arial"/>
          <w:color w:val="auto"/>
          <w:szCs w:val="24"/>
        </w:rPr>
      </w:pPr>
    </w:p>
    <w:p w14:paraId="5E475591" w14:textId="742D5A7D" w:rsidR="00715560" w:rsidRPr="00ED27CF" w:rsidRDefault="00715560" w:rsidP="00874A98">
      <w:pPr>
        <w:pStyle w:val="ListParagraph"/>
        <w:numPr>
          <w:ilvl w:val="1"/>
          <w:numId w:val="92"/>
        </w:numPr>
        <w:autoSpaceDE w:val="0"/>
        <w:autoSpaceDN w:val="0"/>
        <w:adjustRightInd w:val="0"/>
        <w:spacing w:after="0" w:line="240" w:lineRule="auto"/>
        <w:ind w:left="851" w:hanging="851"/>
        <w:rPr>
          <w:rStyle w:val="Heading10"/>
          <w:rFonts w:cs="Arial"/>
          <w:b w:val="0"/>
          <w:bCs/>
          <w:color w:val="auto"/>
          <w:szCs w:val="24"/>
        </w:rPr>
      </w:pPr>
      <w:r w:rsidRPr="00ED27CF">
        <w:rPr>
          <w:rStyle w:val="Heading10"/>
          <w:rFonts w:cs="Arial"/>
          <w:color w:val="auto"/>
          <w:szCs w:val="24"/>
        </w:rPr>
        <w:t xml:space="preserve">Site H1Ss: Land </w:t>
      </w:r>
      <w:r w:rsidR="00B02175" w:rsidRPr="00ED27CF">
        <w:rPr>
          <w:rStyle w:val="Heading10"/>
          <w:rFonts w:cs="Arial"/>
          <w:color w:val="auto"/>
          <w:szCs w:val="24"/>
        </w:rPr>
        <w:t>E</w:t>
      </w:r>
      <w:r w:rsidRPr="00ED27CF">
        <w:rPr>
          <w:rStyle w:val="Heading10"/>
          <w:rFonts w:cs="Arial"/>
          <w:color w:val="auto"/>
          <w:szCs w:val="24"/>
        </w:rPr>
        <w:t>ast of A6075 Beck Lane, Skegby</w:t>
      </w:r>
      <w:r w:rsidRPr="00ED27CF">
        <w:rPr>
          <w:rStyle w:val="Heading10"/>
          <w:rFonts w:cs="Arial"/>
          <w:b w:val="0"/>
          <w:bCs/>
          <w:color w:val="auto"/>
          <w:szCs w:val="24"/>
        </w:rPr>
        <w:t xml:space="preserve">. </w:t>
      </w:r>
      <w:r w:rsidRPr="00ED27CF">
        <w:rPr>
          <w:rStyle w:val="Heading10"/>
          <w:b w:val="0"/>
          <w:bCs/>
          <w:color w:val="auto"/>
        </w:rPr>
        <w:t xml:space="preserve">This greenfield site </w:t>
      </w:r>
      <w:r w:rsidR="00EF69FE" w:rsidRPr="00ED27CF">
        <w:rPr>
          <w:rStyle w:val="Heading10"/>
          <w:b w:val="0"/>
          <w:bCs/>
          <w:color w:val="auto"/>
        </w:rPr>
        <w:t>has been assessed as available, potentially suitable, and potentially achievable in the SHELAA (ref.SA074)</w:t>
      </w:r>
      <w:r w:rsidR="00EF69FE" w:rsidRPr="00ED27CF">
        <w:rPr>
          <w:rStyle w:val="Heading10"/>
          <w:rFonts w:cs="Arial"/>
          <w:b w:val="0"/>
          <w:bCs/>
          <w:color w:val="auto"/>
          <w:szCs w:val="24"/>
        </w:rPr>
        <w:t xml:space="preserve">. It </w:t>
      </w:r>
      <w:r w:rsidRPr="00ED27CF">
        <w:rPr>
          <w:rStyle w:val="Heading10"/>
          <w:b w:val="0"/>
          <w:bCs/>
          <w:color w:val="auto"/>
        </w:rPr>
        <w:t xml:space="preserve">is located close to the existing urban area of Skegby, directly opposite </w:t>
      </w:r>
      <w:r w:rsidR="002D54C4" w:rsidRPr="00ED27CF">
        <w:rPr>
          <w:rStyle w:val="Heading10"/>
          <w:b w:val="0"/>
          <w:bCs/>
          <w:color w:val="auto"/>
        </w:rPr>
        <w:t>housing site</w:t>
      </w:r>
      <w:r w:rsidRPr="00ED27CF">
        <w:rPr>
          <w:rStyle w:val="Heading10"/>
          <w:b w:val="0"/>
          <w:bCs/>
          <w:color w:val="auto"/>
        </w:rPr>
        <w:t xml:space="preserve"> allocation H1Saa which currently has planning permission for residential development.</w:t>
      </w:r>
      <w:r w:rsidR="004B4158" w:rsidRPr="00ED27CF">
        <w:rPr>
          <w:rStyle w:val="Heading10"/>
          <w:b w:val="0"/>
          <w:bCs/>
          <w:color w:val="auto"/>
        </w:rPr>
        <w:t xml:space="preserve">  </w:t>
      </w:r>
    </w:p>
    <w:p w14:paraId="2DE96A3A" w14:textId="77777777" w:rsidR="002D54C4" w:rsidRPr="009E34A6" w:rsidRDefault="002D54C4" w:rsidP="002D54C4">
      <w:pPr>
        <w:autoSpaceDE w:val="0"/>
        <w:autoSpaceDN w:val="0"/>
        <w:adjustRightInd w:val="0"/>
        <w:rPr>
          <w:rStyle w:val="Heading10"/>
          <w:b w:val="0"/>
          <w:bCs/>
          <w:color w:val="auto"/>
        </w:rPr>
      </w:pPr>
    </w:p>
    <w:p w14:paraId="387B804D" w14:textId="5C908D3C" w:rsidR="00715560" w:rsidRPr="009E34A6" w:rsidRDefault="002D54C4" w:rsidP="00874A98">
      <w:pPr>
        <w:pStyle w:val="ListParagraph"/>
        <w:numPr>
          <w:ilvl w:val="1"/>
          <w:numId w:val="92"/>
        </w:numPr>
        <w:autoSpaceDE w:val="0"/>
        <w:autoSpaceDN w:val="0"/>
        <w:adjustRightInd w:val="0"/>
        <w:spacing w:after="0" w:line="240" w:lineRule="auto"/>
        <w:ind w:left="851" w:hanging="851"/>
        <w:rPr>
          <w:rStyle w:val="Heading10"/>
          <w:rFonts w:cs="Arial"/>
          <w:b w:val="0"/>
          <w:bCs/>
          <w:color w:val="auto"/>
          <w:szCs w:val="24"/>
        </w:rPr>
      </w:pPr>
      <w:r w:rsidRPr="009E34A6">
        <w:rPr>
          <w:rStyle w:val="Heading10"/>
          <w:rFonts w:cs="Arial"/>
          <w:b w:val="0"/>
          <w:bCs/>
          <w:color w:val="auto"/>
          <w:szCs w:val="24"/>
        </w:rPr>
        <w:t>T</w:t>
      </w:r>
      <w:r w:rsidR="00715560" w:rsidRPr="009E34A6">
        <w:rPr>
          <w:rStyle w:val="Heading10"/>
          <w:rFonts w:cs="Arial"/>
          <w:b w:val="0"/>
          <w:bCs/>
          <w:color w:val="auto"/>
          <w:szCs w:val="24"/>
        </w:rPr>
        <w:t xml:space="preserve">he site </w:t>
      </w:r>
      <w:r w:rsidRPr="009E34A6">
        <w:rPr>
          <w:rStyle w:val="Heading10"/>
          <w:rFonts w:cs="Arial"/>
          <w:b w:val="0"/>
          <w:bCs/>
          <w:color w:val="auto"/>
          <w:szCs w:val="24"/>
        </w:rPr>
        <w:t>will require</w:t>
      </w:r>
      <w:r w:rsidR="00715560" w:rsidRPr="009E34A6">
        <w:rPr>
          <w:rStyle w:val="Heading10"/>
          <w:rFonts w:cs="Arial"/>
          <w:b w:val="0"/>
          <w:bCs/>
          <w:color w:val="auto"/>
          <w:szCs w:val="24"/>
        </w:rPr>
        <w:t xml:space="preserve"> at least 2 points of access, to assist with dispersing concentration of traffic flows. Future mitigation at key junctions along the MARR will be high cost engineering works and </w:t>
      </w:r>
      <w:r w:rsidRPr="009E34A6">
        <w:rPr>
          <w:rStyle w:val="Heading10"/>
          <w:rFonts w:cs="Arial"/>
          <w:b w:val="0"/>
          <w:bCs/>
          <w:color w:val="auto"/>
          <w:szCs w:val="24"/>
        </w:rPr>
        <w:t>are likely to</w:t>
      </w:r>
      <w:r w:rsidR="00715560" w:rsidRPr="009E34A6">
        <w:rPr>
          <w:rStyle w:val="Heading10"/>
          <w:rFonts w:cs="Arial"/>
          <w:b w:val="0"/>
          <w:bCs/>
          <w:color w:val="auto"/>
          <w:szCs w:val="24"/>
        </w:rPr>
        <w:t xml:space="preserve"> require acquisition of third party land.</w:t>
      </w:r>
    </w:p>
    <w:p w14:paraId="6BACEE4F" w14:textId="77777777" w:rsidR="00B84A30" w:rsidRPr="009E34A6" w:rsidRDefault="00B84A30" w:rsidP="00B84A30">
      <w:pPr>
        <w:autoSpaceDE w:val="0"/>
        <w:autoSpaceDN w:val="0"/>
        <w:adjustRightInd w:val="0"/>
        <w:rPr>
          <w:rStyle w:val="Heading10"/>
          <w:rFonts w:cs="Arial"/>
          <w:b w:val="0"/>
          <w:bCs/>
          <w:color w:val="auto"/>
          <w:szCs w:val="24"/>
        </w:rPr>
      </w:pPr>
    </w:p>
    <w:p w14:paraId="39A3DF37" w14:textId="00E4DA2B" w:rsidR="00715560" w:rsidRPr="009E34A6" w:rsidRDefault="00A70150" w:rsidP="00874A98">
      <w:pPr>
        <w:pStyle w:val="ListParagraph"/>
        <w:numPr>
          <w:ilvl w:val="1"/>
          <w:numId w:val="92"/>
        </w:numPr>
        <w:autoSpaceDE w:val="0"/>
        <w:autoSpaceDN w:val="0"/>
        <w:adjustRightInd w:val="0"/>
        <w:spacing w:after="0" w:line="240" w:lineRule="auto"/>
        <w:ind w:left="851" w:hanging="851"/>
        <w:rPr>
          <w:rStyle w:val="Heading10"/>
          <w:rFonts w:cs="Arial"/>
          <w:b w:val="0"/>
          <w:bCs/>
          <w:color w:val="auto"/>
          <w:szCs w:val="24"/>
        </w:rPr>
      </w:pPr>
      <w:bookmarkStart w:id="215" w:name="_Hlk148606329"/>
      <w:r w:rsidRPr="00037BA4">
        <w:rPr>
          <w:rStyle w:val="Heading10"/>
          <w:rFonts w:cs="Arial"/>
          <w:b w:val="0"/>
          <w:bCs/>
          <w:color w:val="auto"/>
          <w:szCs w:val="24"/>
        </w:rPr>
        <w:t xml:space="preserve">Right of way Sutton in Ashfield Footpath 73 crosses the site from east to west. </w:t>
      </w:r>
      <w:bookmarkEnd w:id="215"/>
      <w:r w:rsidR="00715560" w:rsidRPr="00037BA4">
        <w:rPr>
          <w:rStyle w:val="Heading10"/>
          <w:rFonts w:cs="Arial"/>
          <w:b w:val="0"/>
          <w:bCs/>
          <w:color w:val="auto"/>
          <w:szCs w:val="24"/>
        </w:rPr>
        <w:t>There is an</w:t>
      </w:r>
      <w:r w:rsidR="00715560" w:rsidRPr="009E34A6">
        <w:rPr>
          <w:rStyle w:val="Heading10"/>
          <w:rFonts w:cs="Arial"/>
          <w:b w:val="0"/>
          <w:bCs/>
          <w:color w:val="auto"/>
          <w:szCs w:val="24"/>
        </w:rPr>
        <w:t xml:space="preserve"> area of high risk surface water flooding over and adjacent to the access track to Ashfields Farm, and areas of surface water on other parts of the site which will require mitigation.</w:t>
      </w:r>
      <w:r w:rsidR="002D54C4" w:rsidRPr="009E34A6">
        <w:rPr>
          <w:rStyle w:val="Heading10"/>
          <w:rFonts w:cs="Arial"/>
          <w:b w:val="0"/>
          <w:bCs/>
          <w:color w:val="auto"/>
          <w:szCs w:val="24"/>
        </w:rPr>
        <w:t xml:space="preserve"> </w:t>
      </w:r>
      <w:r w:rsidR="00715560" w:rsidRPr="009E34A6">
        <w:rPr>
          <w:rStyle w:val="Heading10"/>
          <w:rFonts w:cs="Arial"/>
          <w:b w:val="0"/>
          <w:bCs/>
          <w:color w:val="auto"/>
          <w:szCs w:val="24"/>
        </w:rPr>
        <w:t>Severn Trent have</w:t>
      </w:r>
      <w:r w:rsidR="002D54C4" w:rsidRPr="009E34A6">
        <w:rPr>
          <w:rStyle w:val="Heading10"/>
          <w:rFonts w:cs="Arial"/>
          <w:b w:val="0"/>
          <w:bCs/>
          <w:color w:val="auto"/>
          <w:szCs w:val="24"/>
        </w:rPr>
        <w:t xml:space="preserve"> also</w:t>
      </w:r>
      <w:r w:rsidR="00715560" w:rsidRPr="009E34A6">
        <w:rPr>
          <w:rStyle w:val="Heading10"/>
          <w:rFonts w:cs="Arial"/>
          <w:b w:val="0"/>
          <w:bCs/>
          <w:color w:val="auto"/>
          <w:szCs w:val="24"/>
        </w:rPr>
        <w:t xml:space="preserve"> identified that network improvements to accommodate surface water is likely to be required.</w:t>
      </w:r>
    </w:p>
    <w:p w14:paraId="589EA5CA" w14:textId="77777777" w:rsidR="00CB5290" w:rsidRPr="009E34A6" w:rsidRDefault="00CB5290" w:rsidP="00CB5290">
      <w:pPr>
        <w:pStyle w:val="ListParagraph"/>
        <w:rPr>
          <w:rStyle w:val="Heading10"/>
          <w:rFonts w:cs="Arial"/>
          <w:b w:val="0"/>
          <w:bCs/>
          <w:color w:val="auto"/>
          <w:szCs w:val="24"/>
        </w:rPr>
      </w:pPr>
    </w:p>
    <w:p w14:paraId="57947732" w14:textId="5A14D94D" w:rsidR="00715560" w:rsidRPr="001012CC" w:rsidRDefault="00CB5290" w:rsidP="00874A98">
      <w:pPr>
        <w:pStyle w:val="ListParagraph"/>
        <w:numPr>
          <w:ilvl w:val="1"/>
          <w:numId w:val="92"/>
        </w:numPr>
        <w:autoSpaceDE w:val="0"/>
        <w:autoSpaceDN w:val="0"/>
        <w:adjustRightInd w:val="0"/>
        <w:spacing w:after="0" w:line="240" w:lineRule="auto"/>
        <w:ind w:left="851" w:hanging="851"/>
        <w:rPr>
          <w:rStyle w:val="Normal1"/>
          <w:rFonts w:cs="Arial"/>
          <w:bCs/>
          <w:color w:val="auto"/>
          <w:szCs w:val="24"/>
        </w:rPr>
      </w:pPr>
      <w:r w:rsidRPr="009E34A6">
        <w:rPr>
          <w:rStyle w:val="Heading10"/>
          <w:rFonts w:cs="Arial"/>
          <w:b w:val="0"/>
          <w:bCs/>
          <w:color w:val="auto"/>
          <w:szCs w:val="24"/>
        </w:rPr>
        <w:t xml:space="preserve">There is a high potential for buried archaeological remains within the site. Consequently, </w:t>
      </w:r>
      <w:r w:rsidR="003A37B3" w:rsidRPr="009E34A6">
        <w:rPr>
          <w:rStyle w:val="Normal1"/>
          <w:rFonts w:cs="Arial"/>
          <w:iCs/>
          <w:color w:val="auto"/>
          <w:szCs w:val="24"/>
        </w:rPr>
        <w:t xml:space="preserve">further archaeological evaluation work is required, beginning with a Desk Based Assessment (DBA).  Depending on the results of the DBA further archaeological investigations may be warranted, including a geophysical survey </w:t>
      </w:r>
      <w:r w:rsidR="003A37B3" w:rsidRPr="001012CC">
        <w:rPr>
          <w:rStyle w:val="Normal1"/>
          <w:rFonts w:cs="Arial"/>
          <w:iCs/>
          <w:color w:val="auto"/>
          <w:szCs w:val="24"/>
        </w:rPr>
        <w:t>and targeted trial trenching, where necessary.  This work will inform the need for mitigation.</w:t>
      </w:r>
    </w:p>
    <w:p w14:paraId="36BEB748" w14:textId="77777777" w:rsidR="004143A2" w:rsidRPr="001012CC" w:rsidRDefault="004143A2" w:rsidP="004143A2">
      <w:pPr>
        <w:pStyle w:val="ListParagraph"/>
        <w:rPr>
          <w:rStyle w:val="Normal1"/>
          <w:rFonts w:cs="Arial"/>
          <w:bCs/>
          <w:color w:val="auto"/>
          <w:szCs w:val="24"/>
        </w:rPr>
      </w:pPr>
    </w:p>
    <w:p w14:paraId="54DCD405" w14:textId="08750A4E" w:rsidR="004143A2" w:rsidRPr="001012CC" w:rsidRDefault="004143A2" w:rsidP="00874A98">
      <w:pPr>
        <w:pStyle w:val="ListParagraph"/>
        <w:numPr>
          <w:ilvl w:val="1"/>
          <w:numId w:val="92"/>
        </w:numPr>
        <w:spacing w:after="0" w:line="240" w:lineRule="auto"/>
        <w:ind w:left="851" w:hanging="851"/>
        <w:rPr>
          <w:rStyle w:val="Normal1"/>
          <w:rFonts w:cs="Arial"/>
          <w:color w:val="auto"/>
          <w:spacing w:val="-1"/>
          <w:szCs w:val="24"/>
        </w:rPr>
      </w:pPr>
      <w:r w:rsidRPr="001012CC">
        <w:rPr>
          <w:rStyle w:val="Normal1"/>
          <w:rFonts w:cs="Arial"/>
          <w:iCs/>
          <w:color w:val="auto"/>
          <w:szCs w:val="24"/>
        </w:rPr>
        <w:t>A c</w:t>
      </w:r>
      <w:r w:rsidRPr="001012CC">
        <w:rPr>
          <w:rFonts w:ascii="Arial" w:eastAsia="Arial" w:hAnsi="Arial" w:cs="Arial"/>
          <w:color w:val="auto"/>
          <w:spacing w:val="-1"/>
          <w:szCs w:val="24"/>
        </w:rPr>
        <w:t xml:space="preserve">oncise </w:t>
      </w:r>
      <w:r w:rsidR="00037BA4" w:rsidRPr="001012CC">
        <w:rPr>
          <w:rFonts w:ascii="Arial" w:eastAsia="Arial" w:hAnsi="Arial" w:cs="Arial"/>
          <w:color w:val="auto"/>
          <w:spacing w:val="-1"/>
          <w:szCs w:val="24"/>
        </w:rPr>
        <w:t>masterplan</w:t>
      </w:r>
      <w:r w:rsidRPr="001012CC">
        <w:rPr>
          <w:rFonts w:ascii="Arial" w:eastAsia="Arial" w:hAnsi="Arial" w:cs="Arial"/>
          <w:color w:val="auto"/>
          <w:spacing w:val="-1"/>
          <w:szCs w:val="24"/>
        </w:rPr>
        <w:t xml:space="preserve"> will be available</w:t>
      </w:r>
      <w:r w:rsidR="00ED27CF" w:rsidRPr="001012CC">
        <w:rPr>
          <w:rFonts w:ascii="Arial" w:eastAsia="Arial" w:hAnsi="Arial" w:cs="Arial"/>
          <w:color w:val="auto"/>
          <w:spacing w:val="-1"/>
          <w:szCs w:val="24"/>
        </w:rPr>
        <w:t xml:space="preserve"> to identify</w:t>
      </w:r>
      <w:r w:rsidRPr="001012CC">
        <w:rPr>
          <w:rFonts w:ascii="Arial" w:eastAsia="Arial" w:hAnsi="Arial" w:cs="Arial"/>
          <w:color w:val="auto"/>
          <w:spacing w:val="-1"/>
          <w:szCs w:val="24"/>
        </w:rPr>
        <w:t xml:space="preserve"> essential requirements expected by the Council, and provide more detailed advice and guidance specific to the site.</w:t>
      </w:r>
    </w:p>
    <w:p w14:paraId="69A7D061" w14:textId="77777777" w:rsidR="003A37B3" w:rsidRPr="009E34A6" w:rsidRDefault="003A37B3" w:rsidP="003A37B3">
      <w:pPr>
        <w:autoSpaceDE w:val="0"/>
        <w:autoSpaceDN w:val="0"/>
        <w:adjustRightInd w:val="0"/>
        <w:rPr>
          <w:rStyle w:val="Heading10"/>
          <w:rFonts w:cs="Arial"/>
          <w:b w:val="0"/>
          <w:bCs/>
          <w:color w:val="auto"/>
          <w:szCs w:val="24"/>
        </w:rPr>
      </w:pPr>
    </w:p>
    <w:p w14:paraId="208E2C49" w14:textId="41A6AB96" w:rsidR="00715560" w:rsidRPr="009E34A6" w:rsidRDefault="00715560" w:rsidP="00874A98">
      <w:pPr>
        <w:pStyle w:val="ListParagraph"/>
        <w:numPr>
          <w:ilvl w:val="1"/>
          <w:numId w:val="92"/>
        </w:numPr>
        <w:autoSpaceDE w:val="0"/>
        <w:autoSpaceDN w:val="0"/>
        <w:adjustRightInd w:val="0"/>
        <w:spacing w:after="0" w:line="240" w:lineRule="auto"/>
        <w:ind w:left="851" w:hanging="851"/>
        <w:rPr>
          <w:rFonts w:ascii="Arial" w:eastAsia="Arial" w:hAnsi="Arial" w:cs="Arial"/>
          <w:color w:val="auto"/>
          <w:spacing w:val="-1"/>
          <w:szCs w:val="24"/>
        </w:rPr>
      </w:pPr>
      <w:r w:rsidRPr="009E34A6">
        <w:rPr>
          <w:rStyle w:val="Heading10"/>
          <w:rFonts w:cs="Arial"/>
          <w:color w:val="auto"/>
          <w:szCs w:val="24"/>
        </w:rPr>
        <w:t>Site H1St: Land off Blackwell Road/Main Street, Huthwaite</w:t>
      </w:r>
      <w:r w:rsidRPr="009E34A6">
        <w:rPr>
          <w:rStyle w:val="Heading10"/>
          <w:rFonts w:cs="Arial"/>
          <w:b w:val="0"/>
          <w:bCs/>
          <w:color w:val="auto"/>
          <w:szCs w:val="24"/>
        </w:rPr>
        <w:t>.</w:t>
      </w:r>
      <w:r w:rsidRPr="009E34A6">
        <w:rPr>
          <w:rStyle w:val="Heading10"/>
          <w:rFonts w:cs="Arial"/>
          <w:b w:val="0"/>
          <w:bCs/>
          <w:color w:val="auto"/>
        </w:rPr>
        <w:t xml:space="preserve"> This greenfield site is located</w:t>
      </w:r>
      <w:r w:rsidRPr="009E34A6">
        <w:rPr>
          <w:rFonts w:ascii="Arial" w:eastAsia="Calibri" w:hAnsi="Arial" w:cs="Arial"/>
          <w:color w:val="auto"/>
          <w:szCs w:val="24"/>
        </w:rPr>
        <w:t xml:space="preserve"> adjacent to the urban area of Sutton and has been assessed as deliverable in the SHLAA (ref. SA082). The site is well contained by development to the north, south and east, and access to the public highway can be achieved via Blackwell Road or Main Street.</w:t>
      </w:r>
      <w:r w:rsidRPr="009E34A6">
        <w:rPr>
          <w:rFonts w:ascii="Arial" w:hAnsi="Arial" w:cs="Arial"/>
          <w:color w:val="auto"/>
          <w:szCs w:val="24"/>
        </w:rPr>
        <w:t xml:space="preserve"> </w:t>
      </w:r>
      <w:r w:rsidRPr="009E34A6">
        <w:rPr>
          <w:rFonts w:ascii="Arial" w:eastAsia="Calibri" w:hAnsi="Arial" w:cs="Arial"/>
          <w:color w:val="auto"/>
          <w:szCs w:val="24"/>
        </w:rPr>
        <w:t>Due to previous site uses</w:t>
      </w:r>
      <w:r w:rsidRPr="009E34A6">
        <w:rPr>
          <w:rFonts w:ascii="Arial" w:hAnsi="Arial" w:cs="Arial"/>
          <w:color w:val="auto"/>
          <w:szCs w:val="24"/>
        </w:rPr>
        <w:t xml:space="preserve"> (b</w:t>
      </w:r>
      <w:r w:rsidRPr="009E34A6">
        <w:rPr>
          <w:rFonts w:ascii="Arial" w:eastAsia="Calibri" w:hAnsi="Arial" w:cs="Arial"/>
          <w:color w:val="auto"/>
          <w:szCs w:val="24"/>
        </w:rPr>
        <w:t xml:space="preserve">rick yard and scrap storage areas) contamination may be present and there is also evidence of some surface water flooding within the boundary of the site. The site includes 10 Main Street, a Local Heritage Asset. </w:t>
      </w:r>
    </w:p>
    <w:p w14:paraId="32116399" w14:textId="77777777" w:rsidR="00007935" w:rsidRPr="009E34A6" w:rsidRDefault="00007935" w:rsidP="00007935">
      <w:pPr>
        <w:autoSpaceDE w:val="0"/>
        <w:autoSpaceDN w:val="0"/>
        <w:adjustRightInd w:val="0"/>
        <w:rPr>
          <w:rFonts w:eastAsia="Arial" w:cs="Arial"/>
          <w:color w:val="auto"/>
          <w:spacing w:val="-1"/>
          <w:szCs w:val="24"/>
        </w:rPr>
      </w:pPr>
    </w:p>
    <w:p w14:paraId="3C5DEF53" w14:textId="228EDC5F" w:rsidR="00007935" w:rsidRPr="009E34A6" w:rsidRDefault="00715560" w:rsidP="00874A98">
      <w:pPr>
        <w:pStyle w:val="ListParagraph"/>
        <w:numPr>
          <w:ilvl w:val="1"/>
          <w:numId w:val="92"/>
        </w:numPr>
        <w:autoSpaceDE w:val="0"/>
        <w:autoSpaceDN w:val="0"/>
        <w:adjustRightInd w:val="0"/>
        <w:spacing w:after="0" w:line="240" w:lineRule="auto"/>
        <w:ind w:left="851" w:hanging="851"/>
        <w:rPr>
          <w:rStyle w:val="Heading10"/>
          <w:b w:val="0"/>
          <w:bCs/>
          <w:color w:val="auto"/>
        </w:rPr>
      </w:pPr>
      <w:r w:rsidRPr="009E34A6">
        <w:rPr>
          <w:rStyle w:val="Heading10"/>
          <w:rFonts w:cs="Arial"/>
          <w:color w:val="auto"/>
          <w:szCs w:val="24"/>
        </w:rPr>
        <w:t xml:space="preserve">Site H1Su: </w:t>
      </w:r>
      <w:r w:rsidRPr="009E34A6">
        <w:rPr>
          <w:rStyle w:val="Heading10"/>
          <w:color w:val="auto"/>
        </w:rPr>
        <w:t>Rear 113 to 139 Beck Lane, Skegby</w:t>
      </w:r>
      <w:r w:rsidRPr="009E34A6">
        <w:rPr>
          <w:rStyle w:val="Heading10"/>
          <w:b w:val="0"/>
          <w:bCs/>
          <w:color w:val="auto"/>
        </w:rPr>
        <w:t xml:space="preserve">. This greenfield site </w:t>
      </w:r>
      <w:r w:rsidR="002B6AC7" w:rsidRPr="009E34A6">
        <w:rPr>
          <w:rStyle w:val="Heading10"/>
          <w:rFonts w:cs="Arial"/>
          <w:b w:val="0"/>
          <w:bCs/>
          <w:color w:val="auto"/>
          <w:szCs w:val="24"/>
        </w:rPr>
        <w:t xml:space="preserve">has been assessed as </w:t>
      </w:r>
      <w:r w:rsidR="00007935" w:rsidRPr="009E34A6">
        <w:rPr>
          <w:rStyle w:val="Heading10"/>
          <w:rFonts w:cs="Arial"/>
          <w:b w:val="0"/>
          <w:bCs/>
          <w:color w:val="auto"/>
          <w:szCs w:val="24"/>
        </w:rPr>
        <w:t xml:space="preserve">potentially </w:t>
      </w:r>
      <w:r w:rsidR="002B6AC7" w:rsidRPr="009E34A6">
        <w:rPr>
          <w:rStyle w:val="Heading10"/>
          <w:rFonts w:cs="Arial"/>
          <w:b w:val="0"/>
          <w:bCs/>
          <w:color w:val="auto"/>
          <w:szCs w:val="24"/>
        </w:rPr>
        <w:t xml:space="preserve">available, potentially suitable, and achievable in the SHELAA (ref.SA084). It </w:t>
      </w:r>
      <w:r w:rsidRPr="009E34A6">
        <w:rPr>
          <w:rStyle w:val="Heading10"/>
          <w:b w:val="0"/>
          <w:bCs/>
          <w:color w:val="auto"/>
        </w:rPr>
        <w:t xml:space="preserve">is located close to the existing urban area of Skegby, directly north of site allocation H1Saa which currently has planning permission for residential development. The site comprises an agricultural field, with rough grassland and scrub to the east. One building is presently on site. </w:t>
      </w:r>
      <w:r w:rsidR="00007935" w:rsidRPr="009E34A6">
        <w:rPr>
          <w:rStyle w:val="Heading10"/>
          <w:b w:val="0"/>
          <w:bCs/>
          <w:color w:val="auto"/>
        </w:rPr>
        <w:t>Right of Way Sutton in Ashfield Footpath 1 crosses the centre of the site from west to east.</w:t>
      </w:r>
    </w:p>
    <w:p w14:paraId="0945AFE2" w14:textId="7AB31BB7" w:rsidR="00715560" w:rsidRPr="009E34A6" w:rsidRDefault="00715560" w:rsidP="00007935">
      <w:pPr>
        <w:pStyle w:val="ListParagraph"/>
        <w:autoSpaceDE w:val="0"/>
        <w:autoSpaceDN w:val="0"/>
        <w:adjustRightInd w:val="0"/>
        <w:spacing w:after="0" w:line="240" w:lineRule="auto"/>
        <w:ind w:left="851"/>
        <w:rPr>
          <w:rStyle w:val="Heading10"/>
          <w:b w:val="0"/>
          <w:bCs/>
          <w:color w:val="auto"/>
        </w:rPr>
      </w:pPr>
    </w:p>
    <w:p w14:paraId="312F1FE9" w14:textId="77777777" w:rsidR="00715560" w:rsidRPr="009E34A6" w:rsidRDefault="00715560" w:rsidP="00874A98">
      <w:pPr>
        <w:pStyle w:val="ListParagraph"/>
        <w:numPr>
          <w:ilvl w:val="1"/>
          <w:numId w:val="92"/>
        </w:numPr>
        <w:autoSpaceDE w:val="0"/>
        <w:autoSpaceDN w:val="0"/>
        <w:adjustRightInd w:val="0"/>
        <w:spacing w:after="0" w:line="240" w:lineRule="auto"/>
        <w:ind w:left="851" w:hanging="851"/>
        <w:rPr>
          <w:rStyle w:val="Heading10"/>
          <w:b w:val="0"/>
          <w:bCs/>
          <w:color w:val="auto"/>
        </w:rPr>
      </w:pPr>
      <w:r w:rsidRPr="009E34A6">
        <w:rPr>
          <w:rStyle w:val="Heading10"/>
          <w:b w:val="0"/>
          <w:bCs/>
          <w:color w:val="auto"/>
        </w:rPr>
        <w:t>There are access constraint which will need to be resolved. Access may be possible via the adjacent site signalised junction (subject to capacity figures).  A developer would be expected to increase the connectivity of the site via cycleways/footways and also potentially dissipate a percentage of this site traffic onto the service road to the front of 113-139, providing it meets the public highway.</w:t>
      </w:r>
    </w:p>
    <w:p w14:paraId="0751C053" w14:textId="77777777" w:rsidR="00715560" w:rsidRPr="009E34A6" w:rsidRDefault="00715560" w:rsidP="00007935">
      <w:pPr>
        <w:pStyle w:val="ListParagraph"/>
        <w:autoSpaceDE w:val="0"/>
        <w:autoSpaceDN w:val="0"/>
        <w:adjustRightInd w:val="0"/>
        <w:spacing w:after="0" w:line="240" w:lineRule="auto"/>
        <w:ind w:left="851"/>
        <w:rPr>
          <w:rStyle w:val="Heading10"/>
          <w:b w:val="0"/>
          <w:bCs/>
          <w:color w:val="auto"/>
        </w:rPr>
      </w:pPr>
    </w:p>
    <w:p w14:paraId="664BD8C3" w14:textId="77777777" w:rsidR="00715560" w:rsidRPr="009E34A6" w:rsidRDefault="00715560" w:rsidP="00874A98">
      <w:pPr>
        <w:pStyle w:val="ListParagraph"/>
        <w:numPr>
          <w:ilvl w:val="1"/>
          <w:numId w:val="92"/>
        </w:numPr>
        <w:autoSpaceDE w:val="0"/>
        <w:autoSpaceDN w:val="0"/>
        <w:adjustRightInd w:val="0"/>
        <w:spacing w:after="0" w:line="240" w:lineRule="auto"/>
        <w:ind w:left="851" w:hanging="851"/>
        <w:rPr>
          <w:rStyle w:val="Heading10"/>
          <w:b w:val="0"/>
          <w:bCs/>
          <w:color w:val="auto"/>
        </w:rPr>
      </w:pPr>
      <w:r w:rsidRPr="009E34A6">
        <w:rPr>
          <w:rStyle w:val="Heading10"/>
          <w:rFonts w:cs="Arial"/>
          <w:b w:val="0"/>
          <w:bCs/>
          <w:color w:val="auto"/>
          <w:szCs w:val="24"/>
        </w:rPr>
        <w:t>Severn Trent have identified that network improvements to accommodate surface water is likely to be required.</w:t>
      </w:r>
    </w:p>
    <w:p w14:paraId="0F94DBC0" w14:textId="77777777" w:rsidR="00B84A30" w:rsidRPr="00B84A30" w:rsidRDefault="00B84A30" w:rsidP="00B84A30">
      <w:pPr>
        <w:pStyle w:val="ListParagraph"/>
        <w:rPr>
          <w:rStyle w:val="Heading10"/>
          <w:b w:val="0"/>
          <w:bCs/>
          <w:color w:val="4472C4" w:themeColor="accent1"/>
        </w:rPr>
      </w:pPr>
    </w:p>
    <w:p w14:paraId="2487FA2A" w14:textId="5D030684" w:rsidR="00B84A30" w:rsidRPr="00333A85" w:rsidRDefault="00333A85" w:rsidP="00874A98">
      <w:pPr>
        <w:pStyle w:val="ListParagraph"/>
        <w:numPr>
          <w:ilvl w:val="1"/>
          <w:numId w:val="92"/>
        </w:numPr>
        <w:ind w:left="851" w:hanging="851"/>
        <w:rPr>
          <w:rStyle w:val="Heading10"/>
          <w:b w:val="0"/>
          <w:bCs/>
          <w:color w:val="auto"/>
        </w:rPr>
      </w:pPr>
      <w:r w:rsidRPr="00333A85">
        <w:rPr>
          <w:rStyle w:val="Heading10"/>
          <w:color w:val="auto"/>
        </w:rPr>
        <w:t>Site H1Sag: Quantum Clothing Site, North Stre</w:t>
      </w:r>
      <w:r w:rsidR="00B02175">
        <w:rPr>
          <w:rStyle w:val="Heading10"/>
          <w:color w:val="auto"/>
        </w:rPr>
        <w:t>e</w:t>
      </w:r>
      <w:r w:rsidRPr="00333A85">
        <w:rPr>
          <w:rStyle w:val="Heading10"/>
          <w:color w:val="auto"/>
        </w:rPr>
        <w:t>t, Huthwaite.</w:t>
      </w:r>
      <w:r w:rsidRPr="00333A85">
        <w:rPr>
          <w:rStyle w:val="Heading10"/>
          <w:b w:val="0"/>
          <w:bCs/>
          <w:color w:val="auto"/>
        </w:rPr>
        <w:t xml:space="preserve"> This brownfield site has been identified through the Brownfield register (BFR14) and is located within the Main Urban Area. The former textiles factory has been demolished and there is a current planning application for residential development pending.</w:t>
      </w:r>
    </w:p>
    <w:p w14:paraId="009C504C" w14:textId="77777777" w:rsidR="00B84A30" w:rsidRPr="00333A85" w:rsidRDefault="00B84A30" w:rsidP="00B84A30">
      <w:pPr>
        <w:pStyle w:val="ListParagraph"/>
        <w:rPr>
          <w:rStyle w:val="Heading10"/>
          <w:b w:val="0"/>
          <w:bCs/>
          <w:color w:val="auto"/>
          <w:highlight w:val="yellow"/>
        </w:rPr>
      </w:pPr>
    </w:p>
    <w:p w14:paraId="74AF354A" w14:textId="327CD1DF" w:rsidR="00B84A30" w:rsidRPr="00333A85" w:rsidRDefault="00333A85" w:rsidP="00874A98">
      <w:pPr>
        <w:pStyle w:val="ListParagraph"/>
        <w:numPr>
          <w:ilvl w:val="1"/>
          <w:numId w:val="92"/>
        </w:numPr>
        <w:autoSpaceDE w:val="0"/>
        <w:autoSpaceDN w:val="0"/>
        <w:adjustRightInd w:val="0"/>
        <w:ind w:left="851" w:hanging="851"/>
        <w:rPr>
          <w:rStyle w:val="Heading10"/>
          <w:b w:val="0"/>
          <w:bCs/>
          <w:color w:val="auto"/>
        </w:rPr>
      </w:pPr>
      <w:r w:rsidRPr="00333A85">
        <w:rPr>
          <w:rStyle w:val="Heading10"/>
          <w:color w:val="auto"/>
        </w:rPr>
        <w:t xml:space="preserve">Site H1Sah: Land adjacent to 208 Mansfield Road, Sutton. </w:t>
      </w:r>
      <w:r w:rsidRPr="00333A85">
        <w:rPr>
          <w:rStyle w:val="Heading10"/>
          <w:b w:val="0"/>
          <w:bCs/>
          <w:color w:val="auto"/>
        </w:rPr>
        <w:t>This brownfield site has been identified through the Brownfield register (BFR14) and is located within the Main Urban Area. The former textiles factory has been demolished and there is a current planning application for residential development pending.</w:t>
      </w:r>
    </w:p>
    <w:p w14:paraId="06C79BEB" w14:textId="77777777" w:rsidR="00715560" w:rsidRPr="00007935" w:rsidRDefault="00715560" w:rsidP="00007935">
      <w:pPr>
        <w:pStyle w:val="ListParagraph"/>
        <w:autoSpaceDE w:val="0"/>
        <w:autoSpaceDN w:val="0"/>
        <w:adjustRightInd w:val="0"/>
        <w:spacing w:after="0" w:line="240" w:lineRule="auto"/>
        <w:ind w:left="851"/>
        <w:rPr>
          <w:rStyle w:val="Heading10"/>
          <w:b w:val="0"/>
          <w:bCs/>
          <w:color w:val="4472C4" w:themeColor="accent1"/>
        </w:rPr>
      </w:pPr>
    </w:p>
    <w:p w14:paraId="4864EFA2" w14:textId="7CFD0BC9" w:rsidR="00715560" w:rsidRPr="009E34A6" w:rsidRDefault="00760BD2" w:rsidP="00874A98">
      <w:pPr>
        <w:pStyle w:val="ListParagraph"/>
        <w:numPr>
          <w:ilvl w:val="1"/>
          <w:numId w:val="92"/>
        </w:numPr>
        <w:autoSpaceDE w:val="0"/>
        <w:autoSpaceDN w:val="0"/>
        <w:adjustRightInd w:val="0"/>
        <w:spacing w:after="0" w:line="240" w:lineRule="auto"/>
        <w:ind w:left="851" w:hanging="851"/>
        <w:rPr>
          <w:rFonts w:eastAsia="Arial" w:cs="Arial"/>
          <w:bCs/>
          <w:iCs/>
          <w:color w:val="auto"/>
          <w:szCs w:val="24"/>
        </w:rPr>
      </w:pPr>
      <w:bookmarkStart w:id="216" w:name="_Hlk129862958"/>
      <w:r w:rsidRPr="009E34A6">
        <w:rPr>
          <w:rStyle w:val="Normal1"/>
          <w:rFonts w:cs="Arial"/>
          <w:iCs/>
          <w:color w:val="auto"/>
          <w:szCs w:val="24"/>
        </w:rPr>
        <w:t>The remaining Sutton area housing allocations</w:t>
      </w:r>
      <w:r w:rsidRPr="009E34A6">
        <w:rPr>
          <w:rStyle w:val="Heading10"/>
          <w:bCs/>
          <w:color w:val="auto"/>
        </w:rPr>
        <w:t xml:space="preserve"> </w:t>
      </w:r>
      <w:r w:rsidR="00715560" w:rsidRPr="009E34A6">
        <w:rPr>
          <w:rStyle w:val="Heading10"/>
          <w:bCs/>
          <w:color w:val="auto"/>
        </w:rPr>
        <w:t>Sites H1S</w:t>
      </w:r>
      <w:r w:rsidRPr="009E34A6">
        <w:rPr>
          <w:rStyle w:val="Heading10"/>
          <w:bCs/>
          <w:color w:val="auto"/>
        </w:rPr>
        <w:t>a, H1Sc, H1Sr, and H1Sw</w:t>
      </w:r>
      <w:r w:rsidR="00715560" w:rsidRPr="009E34A6">
        <w:rPr>
          <w:rStyle w:val="Heading10"/>
          <w:bCs/>
          <w:color w:val="auto"/>
        </w:rPr>
        <w:t xml:space="preserve"> to H1Sa</w:t>
      </w:r>
      <w:r w:rsidRPr="009E34A6">
        <w:rPr>
          <w:rStyle w:val="Heading10"/>
          <w:bCs/>
          <w:color w:val="auto"/>
        </w:rPr>
        <w:t>f</w:t>
      </w:r>
      <w:r w:rsidR="00715560" w:rsidRPr="009E34A6">
        <w:rPr>
          <w:rStyle w:val="Heading10"/>
          <w:bCs/>
          <w:color w:val="auto"/>
        </w:rPr>
        <w:t xml:space="preserve"> inclusive</w:t>
      </w:r>
      <w:r w:rsidR="00715560" w:rsidRPr="009E34A6">
        <w:rPr>
          <w:rStyle w:val="Heading10"/>
          <w:b w:val="0"/>
          <w:color w:val="auto"/>
        </w:rPr>
        <w:t xml:space="preserve"> all have the benefit of planning permission at the</w:t>
      </w:r>
      <w:r w:rsidR="00715560" w:rsidRPr="009E34A6">
        <w:rPr>
          <w:rStyle w:val="Heading10"/>
          <w:bCs/>
          <w:color w:val="auto"/>
        </w:rPr>
        <w:t xml:space="preserve"> </w:t>
      </w:r>
      <w:r w:rsidR="00715560" w:rsidRPr="009E34A6">
        <w:rPr>
          <w:rStyle w:val="Heading10"/>
          <w:b w:val="0"/>
          <w:color w:val="auto"/>
        </w:rPr>
        <w:t>time of</w:t>
      </w:r>
      <w:r w:rsidR="00715560" w:rsidRPr="009E34A6">
        <w:rPr>
          <w:rStyle w:val="Normal1"/>
          <w:rFonts w:cs="Arial"/>
          <w:bCs/>
          <w:color w:val="auto"/>
          <w:szCs w:val="24"/>
        </w:rPr>
        <w:t xml:space="preserve"> writing. Further details on these sites can be found in the Housing Trajectory in Appendix 2 which gives information on the type of permission, application reference and estimated delivery timescales. </w:t>
      </w:r>
    </w:p>
    <w:bookmarkEnd w:id="216"/>
    <w:p w14:paraId="634A07C5" w14:textId="77777777" w:rsidR="00715560" w:rsidRPr="009E34A6" w:rsidRDefault="00715560" w:rsidP="00715560">
      <w:pPr>
        <w:rPr>
          <w:rFonts w:eastAsia="Calibri" w:cs="Arial"/>
          <w:b/>
          <w:color w:val="auto"/>
          <w:szCs w:val="24"/>
        </w:rPr>
      </w:pPr>
    </w:p>
    <w:p w14:paraId="27C83C66" w14:textId="77777777" w:rsidR="00715560" w:rsidRPr="009E34A6" w:rsidRDefault="00715560" w:rsidP="00715560">
      <w:pPr>
        <w:rPr>
          <w:rFonts w:eastAsia="Calibri" w:cs="Arial"/>
          <w:b/>
          <w:bCs/>
          <w:color w:val="auto"/>
          <w:szCs w:val="24"/>
          <w:u w:val="single"/>
        </w:rPr>
      </w:pPr>
      <w:r w:rsidRPr="009E34A6">
        <w:rPr>
          <w:rFonts w:eastAsia="Calibri" w:cs="Arial"/>
          <w:b/>
          <w:bCs/>
          <w:color w:val="auto"/>
          <w:szCs w:val="24"/>
          <w:u w:val="single"/>
        </w:rPr>
        <w:t>Selston, Jacksdale, Underwood Area</w:t>
      </w:r>
    </w:p>
    <w:p w14:paraId="47C1F018" w14:textId="77777777" w:rsidR="00715560" w:rsidRPr="009E34A6" w:rsidRDefault="00715560" w:rsidP="00715560">
      <w:pPr>
        <w:rPr>
          <w:rFonts w:eastAsia="Calibri" w:cs="Arial"/>
          <w:b/>
          <w:bCs/>
          <w:color w:val="auto"/>
          <w:szCs w:val="24"/>
        </w:rPr>
      </w:pPr>
    </w:p>
    <w:p w14:paraId="171DD165" w14:textId="47095C4A" w:rsidR="00715560" w:rsidRPr="009E34A6" w:rsidRDefault="00715560" w:rsidP="00874A98">
      <w:pPr>
        <w:pStyle w:val="ListParagraph"/>
        <w:numPr>
          <w:ilvl w:val="1"/>
          <w:numId w:val="92"/>
        </w:numPr>
        <w:autoSpaceDE w:val="0"/>
        <w:autoSpaceDN w:val="0"/>
        <w:adjustRightInd w:val="0"/>
        <w:spacing w:after="0" w:line="240" w:lineRule="auto"/>
        <w:ind w:left="851" w:hanging="851"/>
        <w:rPr>
          <w:rFonts w:ascii="Arial" w:eastAsia="Calibri" w:hAnsi="Arial" w:cs="Arial"/>
          <w:b/>
          <w:bCs/>
          <w:color w:val="auto"/>
          <w:szCs w:val="24"/>
        </w:rPr>
      </w:pPr>
      <w:r w:rsidRPr="009E34A6">
        <w:rPr>
          <w:rFonts w:ascii="Arial" w:eastAsia="Calibri" w:hAnsi="Arial" w:cs="Arial"/>
          <w:b/>
          <w:bCs/>
          <w:color w:val="auto"/>
          <w:szCs w:val="24"/>
        </w:rPr>
        <w:t>H1Va: Land at Plainspot Farm, New Brinsley, Underwood</w:t>
      </w:r>
      <w:r w:rsidRPr="009E34A6">
        <w:rPr>
          <w:rFonts w:ascii="Arial" w:eastAsia="Calibri" w:hAnsi="Arial" w:cs="Arial"/>
          <w:color w:val="auto"/>
          <w:szCs w:val="24"/>
        </w:rPr>
        <w:t>. This greenfield site</w:t>
      </w:r>
      <w:r w:rsidR="00317A1D" w:rsidRPr="009E34A6">
        <w:rPr>
          <w:rFonts w:ascii="Arial" w:eastAsia="Calibri" w:hAnsi="Arial" w:cs="Arial"/>
          <w:color w:val="auto"/>
          <w:szCs w:val="24"/>
        </w:rPr>
        <w:t xml:space="preserve"> has been assessed as available, potentially suitable, and potentially achievable in the SHELAA (ref. SJU001). It</w:t>
      </w:r>
      <w:r w:rsidRPr="009E34A6">
        <w:rPr>
          <w:rFonts w:ascii="Arial" w:eastAsia="Calibri" w:hAnsi="Arial" w:cs="Arial"/>
          <w:color w:val="auto"/>
          <w:szCs w:val="24"/>
        </w:rPr>
        <w:t xml:space="preserve"> is located adjacent to the Named Settlement of Brinsley on land previously designated as green belt. The site abuts the district boundary with Broxtowe Borough and comprises agricultural fields.</w:t>
      </w:r>
      <w:r w:rsidR="00317A1D" w:rsidRPr="009E34A6">
        <w:rPr>
          <w:rFonts w:ascii="Arial" w:eastAsia="Calibri" w:hAnsi="Arial" w:cs="Arial"/>
          <w:b/>
          <w:bCs/>
          <w:color w:val="auto"/>
          <w:szCs w:val="24"/>
        </w:rPr>
        <w:t xml:space="preserve"> </w:t>
      </w:r>
      <w:r w:rsidRPr="009E34A6">
        <w:rPr>
          <w:rFonts w:ascii="Arial" w:eastAsia="Calibri" w:hAnsi="Arial" w:cs="Arial"/>
          <w:color w:val="auto"/>
          <w:szCs w:val="24"/>
        </w:rPr>
        <w:t>Right of way Selston footpath 39 is within the site and follows the south-eastern boundary.</w:t>
      </w:r>
    </w:p>
    <w:p w14:paraId="4CC5FCF1" w14:textId="77777777" w:rsidR="004C557A" w:rsidRPr="009E34A6" w:rsidRDefault="004C557A" w:rsidP="004C557A">
      <w:pPr>
        <w:pStyle w:val="ListParagraph"/>
        <w:autoSpaceDE w:val="0"/>
        <w:autoSpaceDN w:val="0"/>
        <w:adjustRightInd w:val="0"/>
        <w:spacing w:after="0" w:line="240" w:lineRule="auto"/>
        <w:ind w:left="851"/>
        <w:rPr>
          <w:rFonts w:ascii="Arial" w:eastAsia="Calibri" w:hAnsi="Arial" w:cs="Arial"/>
          <w:b/>
          <w:bCs/>
          <w:color w:val="auto"/>
          <w:szCs w:val="24"/>
        </w:rPr>
      </w:pPr>
    </w:p>
    <w:p w14:paraId="30A9C346" w14:textId="7FF58C64" w:rsidR="00715560" w:rsidRPr="009E34A6" w:rsidRDefault="00715560" w:rsidP="00874A98">
      <w:pPr>
        <w:pStyle w:val="ListParagraph"/>
        <w:numPr>
          <w:ilvl w:val="1"/>
          <w:numId w:val="92"/>
        </w:numPr>
        <w:autoSpaceDE w:val="0"/>
        <w:autoSpaceDN w:val="0"/>
        <w:adjustRightInd w:val="0"/>
        <w:spacing w:after="0" w:line="240" w:lineRule="auto"/>
        <w:ind w:left="851" w:hanging="851"/>
        <w:rPr>
          <w:rFonts w:ascii="Arial" w:eastAsia="Calibri" w:hAnsi="Arial" w:cs="Arial"/>
          <w:color w:val="auto"/>
          <w:szCs w:val="24"/>
        </w:rPr>
      </w:pPr>
      <w:r w:rsidRPr="009E34A6">
        <w:rPr>
          <w:rFonts w:ascii="Arial" w:eastAsia="Calibri" w:hAnsi="Arial" w:cs="Arial"/>
          <w:color w:val="auto"/>
          <w:szCs w:val="24"/>
        </w:rPr>
        <w:t xml:space="preserve">Primary </w:t>
      </w:r>
      <w:r w:rsidR="00317A1D" w:rsidRPr="009E34A6">
        <w:rPr>
          <w:rFonts w:ascii="Arial" w:eastAsia="Calibri" w:hAnsi="Arial" w:cs="Arial"/>
          <w:color w:val="auto"/>
          <w:szCs w:val="24"/>
        </w:rPr>
        <w:t xml:space="preserve">vehicular </w:t>
      </w:r>
      <w:r w:rsidRPr="009E34A6">
        <w:rPr>
          <w:rFonts w:ascii="Arial" w:eastAsia="Calibri" w:hAnsi="Arial" w:cs="Arial"/>
          <w:color w:val="auto"/>
          <w:szCs w:val="24"/>
        </w:rPr>
        <w:t>access should be formed off Main St, Broxtowe with new turning facility provided for Francis St</w:t>
      </w:r>
      <w:r w:rsidR="00317A1D" w:rsidRPr="009E34A6">
        <w:rPr>
          <w:rFonts w:ascii="Arial" w:eastAsia="Calibri" w:hAnsi="Arial" w:cs="Arial"/>
          <w:color w:val="auto"/>
          <w:szCs w:val="24"/>
        </w:rPr>
        <w:t>reet</w:t>
      </w:r>
      <w:r w:rsidRPr="009E34A6">
        <w:rPr>
          <w:rFonts w:ascii="Arial" w:eastAsia="Calibri" w:hAnsi="Arial" w:cs="Arial"/>
          <w:color w:val="auto"/>
          <w:szCs w:val="24"/>
        </w:rPr>
        <w:t>.</w:t>
      </w:r>
      <w:r w:rsidR="00317A1D" w:rsidRPr="009E34A6">
        <w:rPr>
          <w:rFonts w:ascii="Arial" w:eastAsia="Calibri" w:hAnsi="Arial" w:cs="Arial"/>
          <w:color w:val="auto"/>
          <w:szCs w:val="24"/>
        </w:rPr>
        <w:t xml:space="preserve"> </w:t>
      </w:r>
      <w:r w:rsidRPr="009E34A6">
        <w:rPr>
          <w:rFonts w:ascii="Arial" w:eastAsia="Calibri" w:hAnsi="Arial" w:cs="Arial"/>
          <w:color w:val="auto"/>
          <w:szCs w:val="24"/>
        </w:rPr>
        <w:t>There are likely ground stability issues, with a potential former mine entry at the entrance off Frances Street. A small area of low risk surface water flooding has been identified, which will require mitigation. Severn Trent have also identified that network improvements to accommodate surface water is likely to be required.</w:t>
      </w:r>
    </w:p>
    <w:p w14:paraId="7BB5292C" w14:textId="77777777" w:rsidR="00715560" w:rsidRPr="0021731E" w:rsidRDefault="00715560" w:rsidP="0021731E">
      <w:pPr>
        <w:pStyle w:val="ListParagraph"/>
        <w:autoSpaceDE w:val="0"/>
        <w:autoSpaceDN w:val="0"/>
        <w:adjustRightInd w:val="0"/>
        <w:spacing w:after="0" w:line="240" w:lineRule="auto"/>
        <w:ind w:left="851"/>
        <w:rPr>
          <w:rFonts w:ascii="Arial" w:eastAsia="Calibri" w:hAnsi="Arial" w:cs="Arial"/>
          <w:color w:val="4472C4" w:themeColor="accent1"/>
          <w:szCs w:val="24"/>
        </w:rPr>
      </w:pPr>
    </w:p>
    <w:p w14:paraId="4B7C7CFA" w14:textId="16CB7F4A" w:rsidR="00715560" w:rsidRPr="009E34A6" w:rsidRDefault="00715560" w:rsidP="00874A98">
      <w:pPr>
        <w:pStyle w:val="ListParagraph"/>
        <w:numPr>
          <w:ilvl w:val="1"/>
          <w:numId w:val="92"/>
        </w:numPr>
        <w:autoSpaceDE w:val="0"/>
        <w:autoSpaceDN w:val="0"/>
        <w:adjustRightInd w:val="0"/>
        <w:spacing w:after="0" w:line="240" w:lineRule="auto"/>
        <w:ind w:left="851" w:hanging="851"/>
        <w:rPr>
          <w:rFonts w:ascii="Arial" w:eastAsia="Calibri" w:hAnsi="Arial" w:cs="Arial"/>
          <w:color w:val="auto"/>
          <w:szCs w:val="24"/>
        </w:rPr>
      </w:pPr>
      <w:r w:rsidRPr="0056594F">
        <w:rPr>
          <w:rFonts w:ascii="Arial" w:eastAsia="Calibri" w:hAnsi="Arial" w:cs="Arial"/>
          <w:b/>
          <w:bCs/>
          <w:color w:val="auto"/>
          <w:szCs w:val="24"/>
        </w:rPr>
        <w:t>H1Vb: Off Westdale Road, Jacksdale</w:t>
      </w:r>
      <w:r w:rsidRPr="0056594F">
        <w:rPr>
          <w:rFonts w:ascii="Arial" w:eastAsia="Calibri" w:hAnsi="Arial" w:cs="Arial"/>
          <w:color w:val="auto"/>
          <w:szCs w:val="24"/>
        </w:rPr>
        <w:t xml:space="preserve"> This</w:t>
      </w:r>
      <w:r w:rsidRPr="009E34A6">
        <w:rPr>
          <w:rFonts w:ascii="Arial" w:eastAsia="Calibri" w:hAnsi="Arial" w:cs="Arial"/>
          <w:color w:val="auto"/>
          <w:szCs w:val="24"/>
        </w:rPr>
        <w:t xml:space="preserve"> greenfield site</w:t>
      </w:r>
      <w:r w:rsidR="00317A1D" w:rsidRPr="009E34A6">
        <w:rPr>
          <w:rFonts w:ascii="Arial" w:eastAsia="Calibri" w:hAnsi="Arial" w:cs="Arial"/>
          <w:color w:val="auto"/>
          <w:szCs w:val="24"/>
        </w:rPr>
        <w:t xml:space="preserve"> has been assessed as available, potentially suitable, and potentially achievable in the SHELAA (ref. SJU003). It</w:t>
      </w:r>
      <w:r w:rsidRPr="009E34A6">
        <w:rPr>
          <w:rFonts w:ascii="Arial" w:eastAsia="Calibri" w:hAnsi="Arial" w:cs="Arial"/>
          <w:color w:val="auto"/>
          <w:szCs w:val="24"/>
        </w:rPr>
        <w:t xml:space="preserve"> is located within the Named Settlement of Jacksdale and forms a logical infill.  The site is located within a residential area and has reasonable access to a range of services. Th</w:t>
      </w:r>
      <w:r w:rsidR="0021731E" w:rsidRPr="009E34A6">
        <w:rPr>
          <w:rFonts w:ascii="Arial" w:eastAsia="Calibri" w:hAnsi="Arial" w:cs="Arial"/>
          <w:color w:val="auto"/>
          <w:szCs w:val="24"/>
        </w:rPr>
        <w:t>is</w:t>
      </w:r>
      <w:r w:rsidRPr="009E34A6">
        <w:rPr>
          <w:rFonts w:ascii="Arial" w:eastAsia="Calibri" w:hAnsi="Arial" w:cs="Arial"/>
          <w:color w:val="auto"/>
          <w:szCs w:val="24"/>
        </w:rPr>
        <w:t xml:space="preserve"> is an area where potential land stability and other safety risks associated with former coal mining are likely, for example areas of suspected shallow coal mining, recorded mine entries and areas of former surface mining. There is evidence of some surface water flooding within the boundary of the site</w:t>
      </w:r>
      <w:r w:rsidR="0021731E" w:rsidRPr="009E34A6">
        <w:rPr>
          <w:rFonts w:ascii="Arial" w:eastAsia="Calibri" w:hAnsi="Arial" w:cs="Arial"/>
          <w:color w:val="auto"/>
          <w:szCs w:val="24"/>
        </w:rPr>
        <w:t>.</w:t>
      </w:r>
    </w:p>
    <w:p w14:paraId="5B00916C" w14:textId="77777777" w:rsidR="00715560" w:rsidRPr="009E34A6" w:rsidRDefault="00715560" w:rsidP="0021731E">
      <w:pPr>
        <w:autoSpaceDE w:val="0"/>
        <w:autoSpaceDN w:val="0"/>
        <w:adjustRightInd w:val="0"/>
        <w:rPr>
          <w:rFonts w:eastAsia="Calibri" w:cs="Arial"/>
          <w:color w:val="auto"/>
          <w:szCs w:val="24"/>
        </w:rPr>
      </w:pPr>
    </w:p>
    <w:p w14:paraId="3FD7C97B" w14:textId="3A889426" w:rsidR="00715560" w:rsidRPr="009E34A6" w:rsidRDefault="00715560" w:rsidP="00874A98">
      <w:pPr>
        <w:pStyle w:val="ListParagraph"/>
        <w:numPr>
          <w:ilvl w:val="1"/>
          <w:numId w:val="92"/>
        </w:numPr>
        <w:autoSpaceDE w:val="0"/>
        <w:autoSpaceDN w:val="0"/>
        <w:adjustRightInd w:val="0"/>
        <w:spacing w:after="0" w:line="240" w:lineRule="auto"/>
        <w:ind w:left="851" w:hanging="851"/>
        <w:rPr>
          <w:rFonts w:ascii="Arial" w:eastAsia="Calibri" w:hAnsi="Arial" w:cs="Arial"/>
          <w:color w:val="auto"/>
          <w:szCs w:val="24"/>
        </w:rPr>
      </w:pPr>
      <w:r w:rsidRPr="009E34A6">
        <w:rPr>
          <w:rFonts w:ascii="Arial" w:eastAsia="Calibri" w:hAnsi="Arial" w:cs="Arial"/>
          <w:b/>
          <w:bCs/>
          <w:color w:val="auto"/>
          <w:szCs w:val="24"/>
        </w:rPr>
        <w:t>H1Vc: Land adj. Bull &amp; Butcher PH, Selston</w:t>
      </w:r>
      <w:r w:rsidRPr="009E34A6">
        <w:rPr>
          <w:rFonts w:ascii="Arial" w:eastAsia="Calibri" w:hAnsi="Arial" w:cs="Arial"/>
          <w:color w:val="auto"/>
          <w:szCs w:val="24"/>
        </w:rPr>
        <w:t xml:space="preserve">. This greenfield site </w:t>
      </w:r>
      <w:r w:rsidR="00805F11" w:rsidRPr="009E34A6">
        <w:rPr>
          <w:rFonts w:ascii="Arial" w:eastAsia="Calibri" w:hAnsi="Arial" w:cs="Arial"/>
          <w:color w:val="auto"/>
          <w:szCs w:val="24"/>
        </w:rPr>
        <w:t xml:space="preserve">has been assessed as potentially available, potentially suitable, and potentially achievable in the SHELAA (ref. SJU014). It </w:t>
      </w:r>
      <w:r w:rsidRPr="009E34A6">
        <w:rPr>
          <w:rFonts w:ascii="Arial" w:eastAsia="Calibri" w:hAnsi="Arial" w:cs="Arial"/>
          <w:color w:val="auto"/>
          <w:szCs w:val="24"/>
        </w:rPr>
        <w:t xml:space="preserve">is located adjacent to the existing built area of Selston on land previously designated as Green Belt. The site is well contained by existing residential development to the west and </w:t>
      </w:r>
      <w:r w:rsidR="000F2744" w:rsidRPr="009E34A6">
        <w:rPr>
          <w:rFonts w:ascii="Arial" w:eastAsia="Calibri" w:hAnsi="Arial" w:cs="Arial"/>
          <w:color w:val="auto"/>
          <w:szCs w:val="24"/>
        </w:rPr>
        <w:t>east and</w:t>
      </w:r>
      <w:r w:rsidRPr="009E34A6">
        <w:rPr>
          <w:rFonts w:ascii="Arial" w:eastAsia="Calibri" w:hAnsi="Arial" w:cs="Arial"/>
          <w:color w:val="auto"/>
          <w:szCs w:val="24"/>
        </w:rPr>
        <w:t xml:space="preserve"> has the potential capacity to deliver a small amount of commercial development. The site is in an area where potential land stability and other safety risks associated with former coal mining are likely, for example areas of suspected shallow coal mining, recorded mine entries and areas of former surface mining. There is evidence of some surface water flooding within the boundary of the site.</w:t>
      </w:r>
    </w:p>
    <w:p w14:paraId="0008AA7A" w14:textId="77777777" w:rsidR="00715560" w:rsidRPr="009E34A6" w:rsidRDefault="00715560" w:rsidP="00805F11">
      <w:pPr>
        <w:pStyle w:val="ListParagraph"/>
        <w:autoSpaceDE w:val="0"/>
        <w:autoSpaceDN w:val="0"/>
        <w:adjustRightInd w:val="0"/>
        <w:spacing w:after="0" w:line="240" w:lineRule="auto"/>
        <w:ind w:left="851"/>
        <w:rPr>
          <w:rFonts w:ascii="Arial" w:eastAsia="Calibri" w:hAnsi="Arial" w:cs="Arial"/>
          <w:color w:val="auto"/>
        </w:rPr>
      </w:pPr>
    </w:p>
    <w:p w14:paraId="6FBBD091" w14:textId="1347FDD5" w:rsidR="00715560" w:rsidRPr="009E34A6" w:rsidRDefault="00715560" w:rsidP="00874A98">
      <w:pPr>
        <w:pStyle w:val="ListParagraph"/>
        <w:numPr>
          <w:ilvl w:val="1"/>
          <w:numId w:val="92"/>
        </w:numPr>
        <w:autoSpaceDE w:val="0"/>
        <w:autoSpaceDN w:val="0"/>
        <w:adjustRightInd w:val="0"/>
        <w:spacing w:after="0" w:line="240" w:lineRule="auto"/>
        <w:ind w:left="851" w:hanging="851"/>
        <w:rPr>
          <w:rFonts w:ascii="Arial" w:eastAsia="Calibri" w:hAnsi="Arial" w:cs="Arial"/>
          <w:color w:val="auto"/>
          <w:szCs w:val="24"/>
        </w:rPr>
      </w:pPr>
      <w:r w:rsidRPr="009E34A6">
        <w:rPr>
          <w:rFonts w:ascii="Arial" w:eastAsia="Calibri" w:hAnsi="Arial" w:cs="Arial"/>
          <w:b/>
          <w:bCs/>
          <w:color w:val="auto"/>
          <w:szCs w:val="24"/>
        </w:rPr>
        <w:t>H1Vd: Adj 149 Stoney Lane, Selston</w:t>
      </w:r>
      <w:r w:rsidRPr="009E34A6">
        <w:rPr>
          <w:rFonts w:ascii="Arial" w:eastAsia="Calibri" w:hAnsi="Arial" w:cs="Arial"/>
          <w:color w:val="auto"/>
          <w:szCs w:val="24"/>
        </w:rPr>
        <w:t>. This is a small greenfield site</w:t>
      </w:r>
      <w:r w:rsidR="004C1505" w:rsidRPr="009E34A6">
        <w:rPr>
          <w:rFonts w:ascii="Arial" w:eastAsia="Calibri" w:hAnsi="Arial" w:cs="Arial"/>
          <w:color w:val="auto"/>
          <w:szCs w:val="24"/>
        </w:rPr>
        <w:t xml:space="preserve"> has been assessed as available, potentially suitable, and potentially achievable in the SHELAA (ref. SJU016). It is </w:t>
      </w:r>
      <w:r w:rsidRPr="009E34A6">
        <w:rPr>
          <w:rFonts w:ascii="Arial" w:eastAsia="Calibri" w:hAnsi="Arial" w:cs="Arial"/>
          <w:color w:val="auto"/>
          <w:szCs w:val="24"/>
        </w:rPr>
        <w:t>located adjacent to the existing built area of Selston on land previously designated as Green Belt</w:t>
      </w:r>
      <w:r w:rsidR="004C1505" w:rsidRPr="009E34A6">
        <w:rPr>
          <w:rFonts w:ascii="Arial" w:eastAsia="Calibri" w:hAnsi="Arial" w:cs="Arial"/>
          <w:color w:val="auto"/>
          <w:szCs w:val="24"/>
        </w:rPr>
        <w:t xml:space="preserve"> and contains several sheds and outbuildings associated with a small holding.  The site is well contained by a mature hedgerow to the west and south, by residential development to the east, and agricultural buildings to the north.</w:t>
      </w:r>
    </w:p>
    <w:p w14:paraId="27DA9A93" w14:textId="77777777" w:rsidR="003E3324" w:rsidRPr="003E3324" w:rsidRDefault="003E3324" w:rsidP="003E3324">
      <w:pPr>
        <w:pStyle w:val="ListParagraph"/>
        <w:autoSpaceDE w:val="0"/>
        <w:autoSpaceDN w:val="0"/>
        <w:adjustRightInd w:val="0"/>
        <w:spacing w:after="0" w:line="240" w:lineRule="auto"/>
        <w:ind w:left="851"/>
        <w:rPr>
          <w:rFonts w:ascii="Arial" w:eastAsia="Calibri" w:hAnsi="Arial" w:cs="Arial"/>
          <w:color w:val="4472C4" w:themeColor="accent1"/>
          <w:szCs w:val="24"/>
        </w:rPr>
      </w:pPr>
    </w:p>
    <w:p w14:paraId="4D5E1CFE" w14:textId="4E4FB615" w:rsidR="004C1505" w:rsidRPr="009E34A6" w:rsidRDefault="003E3324" w:rsidP="00874A98">
      <w:pPr>
        <w:pStyle w:val="ListParagraph"/>
        <w:numPr>
          <w:ilvl w:val="1"/>
          <w:numId w:val="92"/>
        </w:numPr>
        <w:autoSpaceDE w:val="0"/>
        <w:autoSpaceDN w:val="0"/>
        <w:adjustRightInd w:val="0"/>
        <w:spacing w:after="0" w:line="240" w:lineRule="auto"/>
        <w:ind w:left="851" w:hanging="851"/>
        <w:rPr>
          <w:rFonts w:ascii="Arial" w:eastAsia="Arial" w:hAnsi="Arial" w:cs="Arial"/>
          <w:color w:val="auto"/>
          <w:szCs w:val="24"/>
        </w:rPr>
      </w:pPr>
      <w:r w:rsidRPr="009E34A6">
        <w:rPr>
          <w:rFonts w:ascii="Arial" w:eastAsia="Calibri" w:hAnsi="Arial" w:cs="Arial"/>
          <w:color w:val="auto"/>
          <w:szCs w:val="24"/>
        </w:rPr>
        <w:t>There is likely existence of contamination due to previous land uses and a former tramway which</w:t>
      </w:r>
      <w:r w:rsidRPr="009E34A6">
        <w:rPr>
          <w:rFonts w:ascii="Arial" w:eastAsia="Arial" w:hAnsi="Arial" w:cs="Arial"/>
          <w:color w:val="auto"/>
          <w:szCs w:val="24"/>
        </w:rPr>
        <w:t xml:space="preserve"> ran along the north-western site boundary. There are also likely to be some ground stability issues as the site is located within a high risk coal area. A small area in the north of the site is subject to medium risk of surface water flooding.</w:t>
      </w:r>
    </w:p>
    <w:p w14:paraId="230D395B" w14:textId="77777777" w:rsidR="004C1505" w:rsidRPr="009E34A6" w:rsidRDefault="004C1505" w:rsidP="003E3324">
      <w:pPr>
        <w:pStyle w:val="ListParagraph"/>
        <w:autoSpaceDE w:val="0"/>
        <w:autoSpaceDN w:val="0"/>
        <w:adjustRightInd w:val="0"/>
        <w:spacing w:after="0" w:line="240" w:lineRule="auto"/>
        <w:ind w:left="0"/>
        <w:rPr>
          <w:rFonts w:ascii="Arial" w:eastAsia="Arial" w:hAnsi="Arial" w:cs="Arial"/>
          <w:color w:val="auto"/>
          <w:szCs w:val="24"/>
        </w:rPr>
      </w:pPr>
    </w:p>
    <w:p w14:paraId="133D3527" w14:textId="731017D8" w:rsidR="00715560" w:rsidRPr="009E34A6" w:rsidRDefault="00715560" w:rsidP="00874A98">
      <w:pPr>
        <w:pStyle w:val="ListParagraph"/>
        <w:numPr>
          <w:ilvl w:val="1"/>
          <w:numId w:val="92"/>
        </w:numPr>
        <w:autoSpaceDE w:val="0"/>
        <w:autoSpaceDN w:val="0"/>
        <w:adjustRightInd w:val="0"/>
        <w:spacing w:after="0" w:line="240" w:lineRule="auto"/>
        <w:ind w:left="851" w:hanging="851"/>
        <w:rPr>
          <w:rFonts w:ascii="Arial" w:eastAsia="Calibri" w:hAnsi="Arial" w:cs="Arial"/>
          <w:color w:val="auto"/>
        </w:rPr>
      </w:pPr>
      <w:r w:rsidRPr="0056594F">
        <w:rPr>
          <w:rFonts w:ascii="Arial" w:eastAsia="Calibri" w:hAnsi="Arial" w:cs="Arial"/>
          <w:b/>
          <w:bCs/>
          <w:color w:val="auto"/>
          <w:szCs w:val="24"/>
        </w:rPr>
        <w:t>H1Ve: Land off Park Lane/ South West M1, Selston</w:t>
      </w:r>
      <w:r w:rsidRPr="0056594F">
        <w:rPr>
          <w:rFonts w:ascii="Arial" w:eastAsia="Calibri" w:hAnsi="Arial" w:cs="Arial"/>
          <w:color w:val="auto"/>
          <w:szCs w:val="24"/>
        </w:rPr>
        <w:t>.</w:t>
      </w:r>
      <w:r w:rsidRPr="0056594F">
        <w:rPr>
          <w:rFonts w:ascii="Arial" w:eastAsia="Calibri" w:hAnsi="Arial" w:cs="Arial"/>
          <w:color w:val="auto"/>
        </w:rPr>
        <w:t xml:space="preserve"> This</w:t>
      </w:r>
      <w:r w:rsidRPr="009E34A6">
        <w:rPr>
          <w:rFonts w:ascii="Arial" w:eastAsia="Calibri" w:hAnsi="Arial" w:cs="Arial"/>
          <w:color w:val="auto"/>
        </w:rPr>
        <w:t xml:space="preserve"> greenfield site </w:t>
      </w:r>
      <w:r w:rsidR="005068CB" w:rsidRPr="009E34A6">
        <w:rPr>
          <w:rFonts w:ascii="Arial" w:eastAsia="Calibri" w:hAnsi="Arial" w:cs="Arial"/>
          <w:color w:val="auto"/>
          <w:szCs w:val="24"/>
        </w:rPr>
        <w:t xml:space="preserve">has been assessed as available, potentially suitable, and potentially achievable in the SHELAA (refs. SJU018, SJU020). It </w:t>
      </w:r>
      <w:r w:rsidRPr="009E34A6">
        <w:rPr>
          <w:rFonts w:ascii="Arial" w:eastAsia="Calibri" w:hAnsi="Arial" w:cs="Arial"/>
          <w:color w:val="auto"/>
        </w:rPr>
        <w:t>is located adjacent to the existing built area of Selston on land previously designated as Green Belt. The site is well contained by the M1 motorway to the east and existing residential development to the west.</w:t>
      </w:r>
      <w:r w:rsidRPr="009E34A6">
        <w:rPr>
          <w:rFonts w:ascii="Arial" w:eastAsia="Calibri" w:hAnsi="Arial" w:cs="Arial"/>
          <w:color w:val="auto"/>
          <w:szCs w:val="24"/>
        </w:rPr>
        <w:t xml:space="preserve"> Due to the proximity of the M1 motorway a noise impact assessment will be required to inform mitigation measures for development proposals where necessary. Contamination is suspected due to previous uses. The site also lies within an SSSI Impact Risk Zone. There is evidence of some surface water flooding within the site boundary.</w:t>
      </w:r>
    </w:p>
    <w:p w14:paraId="38CE8FCF" w14:textId="77777777" w:rsidR="00715560" w:rsidRPr="00DA78DE" w:rsidRDefault="00715560" w:rsidP="001A2C49">
      <w:pPr>
        <w:autoSpaceDE w:val="0"/>
        <w:autoSpaceDN w:val="0"/>
        <w:adjustRightInd w:val="0"/>
        <w:rPr>
          <w:rFonts w:eastAsia="Calibri" w:cs="Arial"/>
          <w:color w:val="4472C4" w:themeColor="accent1"/>
          <w:szCs w:val="24"/>
        </w:rPr>
      </w:pPr>
    </w:p>
    <w:p w14:paraId="676FBE54" w14:textId="3DF2CACF" w:rsidR="00715560" w:rsidRPr="0053674B" w:rsidRDefault="00715560" w:rsidP="00874A98">
      <w:pPr>
        <w:pStyle w:val="ListParagraph"/>
        <w:numPr>
          <w:ilvl w:val="1"/>
          <w:numId w:val="92"/>
        </w:numPr>
        <w:autoSpaceDE w:val="0"/>
        <w:autoSpaceDN w:val="0"/>
        <w:adjustRightInd w:val="0"/>
        <w:spacing w:after="0" w:line="240" w:lineRule="auto"/>
        <w:ind w:left="851" w:hanging="851"/>
        <w:rPr>
          <w:rFonts w:ascii="Arial" w:eastAsia="Calibri" w:hAnsi="Arial" w:cs="Arial"/>
          <w:color w:val="auto"/>
          <w:szCs w:val="24"/>
        </w:rPr>
      </w:pPr>
      <w:bookmarkStart w:id="217" w:name="_Hlk148607002"/>
      <w:r w:rsidRPr="0053674B">
        <w:rPr>
          <w:rFonts w:ascii="Arial" w:eastAsia="Calibri" w:hAnsi="Arial" w:cs="Arial"/>
          <w:b/>
          <w:bCs/>
          <w:color w:val="auto"/>
          <w:szCs w:val="24"/>
        </w:rPr>
        <w:t>H1Vg: Land North of Larch Close, Underwood.</w:t>
      </w:r>
      <w:r w:rsidRPr="0053674B">
        <w:rPr>
          <w:rFonts w:ascii="Arial" w:eastAsia="Calibri" w:hAnsi="Arial" w:cs="Arial"/>
          <w:color w:val="auto"/>
          <w:szCs w:val="24"/>
        </w:rPr>
        <w:t xml:space="preserve"> </w:t>
      </w:r>
      <w:r w:rsidRPr="0053674B">
        <w:rPr>
          <w:rFonts w:ascii="Arial" w:eastAsia="Calibri" w:hAnsi="Arial" w:cs="Arial"/>
          <w:color w:val="auto"/>
        </w:rPr>
        <w:t xml:space="preserve">This </w:t>
      </w:r>
      <w:r w:rsidR="004143A2" w:rsidRPr="0053674B">
        <w:rPr>
          <w:rFonts w:ascii="Arial" w:eastAsia="Calibri" w:hAnsi="Arial" w:cs="Arial"/>
          <w:color w:val="auto"/>
        </w:rPr>
        <w:t xml:space="preserve">is predominantly a </w:t>
      </w:r>
      <w:r w:rsidRPr="0053674B">
        <w:rPr>
          <w:rFonts w:ascii="Arial" w:eastAsia="Calibri" w:hAnsi="Arial" w:cs="Arial"/>
          <w:color w:val="auto"/>
        </w:rPr>
        <w:t>greenfield site</w:t>
      </w:r>
      <w:r w:rsidR="00DA78DE" w:rsidRPr="0053674B">
        <w:rPr>
          <w:rFonts w:ascii="Arial" w:eastAsia="Calibri" w:hAnsi="Arial" w:cs="Arial"/>
          <w:color w:val="auto"/>
          <w:szCs w:val="24"/>
        </w:rPr>
        <w:t xml:space="preserve"> has been assessed as available, potentially suitable, and achievable in the SHELAA (ref. SJU031</w:t>
      </w:r>
      <w:r w:rsidR="004143A2" w:rsidRPr="0053674B">
        <w:rPr>
          <w:rFonts w:ascii="Arial" w:eastAsia="Calibri" w:hAnsi="Arial" w:cs="Arial"/>
          <w:color w:val="auto"/>
          <w:szCs w:val="24"/>
        </w:rPr>
        <w:t xml:space="preserve"> &amp; SJU043</w:t>
      </w:r>
      <w:r w:rsidR="00DA78DE" w:rsidRPr="0053674B">
        <w:rPr>
          <w:rFonts w:ascii="Arial" w:eastAsia="Calibri" w:hAnsi="Arial" w:cs="Arial"/>
          <w:color w:val="auto"/>
          <w:szCs w:val="24"/>
        </w:rPr>
        <w:t>). It</w:t>
      </w:r>
      <w:r w:rsidRPr="0053674B">
        <w:rPr>
          <w:rFonts w:ascii="Arial" w:eastAsia="Calibri" w:hAnsi="Arial" w:cs="Arial"/>
          <w:color w:val="auto"/>
        </w:rPr>
        <w:t xml:space="preserve"> is located adjacent to the existing built area of Underwood on land previously designated as Green Belt, and is well contained by trees/mature hedgerows, with existing residential development to the south</w:t>
      </w:r>
      <w:r w:rsidR="00DA78DE" w:rsidRPr="0053674B">
        <w:rPr>
          <w:rFonts w:ascii="Arial" w:eastAsia="Calibri" w:hAnsi="Arial" w:cs="Arial"/>
          <w:color w:val="auto"/>
        </w:rPr>
        <w:t>-</w:t>
      </w:r>
      <w:r w:rsidRPr="0053674B">
        <w:rPr>
          <w:rFonts w:ascii="Arial" w:eastAsia="Calibri" w:hAnsi="Arial" w:cs="Arial"/>
          <w:color w:val="auto"/>
        </w:rPr>
        <w:t>west. The site currently comprises stables, a manege, grazing</w:t>
      </w:r>
      <w:r w:rsidR="004143A2" w:rsidRPr="0053674B">
        <w:rPr>
          <w:rFonts w:ascii="Arial" w:eastAsia="Calibri" w:hAnsi="Arial" w:cs="Arial"/>
          <w:color w:val="auto"/>
        </w:rPr>
        <w:t xml:space="preserve"> land, </w:t>
      </w:r>
      <w:r w:rsidRPr="0053674B">
        <w:rPr>
          <w:rFonts w:ascii="Arial" w:eastAsia="Calibri" w:hAnsi="Arial" w:cs="Arial"/>
          <w:color w:val="auto"/>
        </w:rPr>
        <w:t>area</w:t>
      </w:r>
      <w:r w:rsidR="004143A2" w:rsidRPr="0053674B">
        <w:rPr>
          <w:rFonts w:ascii="Arial" w:eastAsia="Calibri" w:hAnsi="Arial" w:cs="Arial"/>
          <w:color w:val="auto"/>
        </w:rPr>
        <w:t>s</w:t>
      </w:r>
      <w:r w:rsidRPr="0053674B">
        <w:rPr>
          <w:rFonts w:ascii="Arial" w:eastAsia="Calibri" w:hAnsi="Arial" w:cs="Arial"/>
          <w:color w:val="auto"/>
        </w:rPr>
        <w:t xml:space="preserve"> of heavy tree cover in the north</w:t>
      </w:r>
      <w:r w:rsidR="004143A2" w:rsidRPr="0053674B">
        <w:rPr>
          <w:rFonts w:ascii="Arial" w:eastAsia="Calibri" w:hAnsi="Arial" w:cs="Arial"/>
          <w:color w:val="auto"/>
        </w:rPr>
        <w:t xml:space="preserve"> and a dwelling (99 Mansfield Road)</w:t>
      </w:r>
      <w:r w:rsidRPr="0053674B">
        <w:rPr>
          <w:rFonts w:ascii="Arial" w:eastAsia="Calibri" w:hAnsi="Arial" w:cs="Arial"/>
          <w:color w:val="auto"/>
        </w:rPr>
        <w:t>. The estimated yield from this site has been reduced to account for retention of mature trees of significance.</w:t>
      </w:r>
      <w:r w:rsidR="00DA78DE" w:rsidRPr="0053674B">
        <w:rPr>
          <w:rFonts w:ascii="Arial" w:eastAsia="Calibri" w:hAnsi="Arial" w:cs="Arial"/>
          <w:color w:val="auto"/>
        </w:rPr>
        <w:t xml:space="preserve"> </w:t>
      </w:r>
    </w:p>
    <w:p w14:paraId="3DCB582E" w14:textId="77777777" w:rsidR="00DA78DE" w:rsidRPr="009E34A6" w:rsidRDefault="00DA78DE" w:rsidP="00DA78DE">
      <w:pPr>
        <w:autoSpaceDE w:val="0"/>
        <w:autoSpaceDN w:val="0"/>
        <w:adjustRightInd w:val="0"/>
        <w:rPr>
          <w:rFonts w:eastAsia="Calibri" w:cs="Arial"/>
          <w:color w:val="auto"/>
          <w:szCs w:val="24"/>
          <w:highlight w:val="yellow"/>
        </w:rPr>
      </w:pPr>
    </w:p>
    <w:p w14:paraId="37D10F7B" w14:textId="5176E288" w:rsidR="00715560" w:rsidRDefault="00715560" w:rsidP="00874A98">
      <w:pPr>
        <w:pStyle w:val="ListParagraph"/>
        <w:numPr>
          <w:ilvl w:val="1"/>
          <w:numId w:val="92"/>
        </w:numPr>
        <w:autoSpaceDE w:val="0"/>
        <w:autoSpaceDN w:val="0"/>
        <w:adjustRightInd w:val="0"/>
        <w:spacing w:after="0" w:line="240" w:lineRule="auto"/>
        <w:ind w:left="851" w:hanging="851"/>
        <w:rPr>
          <w:rFonts w:ascii="Arial" w:eastAsia="Calibri" w:hAnsi="Arial" w:cs="Arial"/>
          <w:color w:val="auto"/>
          <w:szCs w:val="24"/>
        </w:rPr>
      </w:pPr>
      <w:r w:rsidRPr="0053674B">
        <w:rPr>
          <w:rFonts w:ascii="Arial" w:eastAsia="Calibri" w:hAnsi="Arial" w:cs="Arial"/>
          <w:color w:val="auto"/>
          <w:szCs w:val="24"/>
        </w:rPr>
        <w:t xml:space="preserve">There is likely existence of contamination from a small spoil tip which will require investigation. Problems with ground gas are known to have existed </w:t>
      </w:r>
      <w:r w:rsidR="0053674B">
        <w:rPr>
          <w:rFonts w:ascii="Arial" w:eastAsia="Calibri" w:hAnsi="Arial" w:cs="Arial"/>
          <w:color w:val="auto"/>
          <w:szCs w:val="24"/>
        </w:rPr>
        <w:t>on</w:t>
      </w:r>
      <w:r w:rsidRPr="0053674B">
        <w:rPr>
          <w:rFonts w:ascii="Arial" w:eastAsia="Calibri" w:hAnsi="Arial" w:cs="Arial"/>
          <w:color w:val="auto"/>
          <w:szCs w:val="24"/>
        </w:rPr>
        <w:t xml:space="preserve"> the site and as such the risk of any ground gas migrating onto the site will need to be investigated further.</w:t>
      </w:r>
      <w:r w:rsidR="00DA78DE" w:rsidRPr="0053674B">
        <w:rPr>
          <w:rFonts w:ascii="Arial" w:eastAsia="Calibri" w:hAnsi="Arial" w:cs="Arial"/>
          <w:color w:val="auto"/>
          <w:szCs w:val="24"/>
        </w:rPr>
        <w:t xml:space="preserve"> </w:t>
      </w:r>
      <w:r w:rsidRPr="0053674B">
        <w:rPr>
          <w:rFonts w:ascii="Arial" w:eastAsia="Calibri" w:hAnsi="Arial" w:cs="Arial"/>
          <w:color w:val="auto"/>
          <w:szCs w:val="24"/>
        </w:rPr>
        <w:t>An area of low risk surface water flooding has been identified, which will require mitigation.</w:t>
      </w:r>
    </w:p>
    <w:p w14:paraId="44E80BF7" w14:textId="77777777" w:rsidR="0053674B" w:rsidRPr="0053674B" w:rsidRDefault="0053674B" w:rsidP="0053674B">
      <w:pPr>
        <w:pStyle w:val="ListParagraph"/>
        <w:rPr>
          <w:rFonts w:ascii="Arial" w:eastAsia="Calibri" w:hAnsi="Arial" w:cs="Arial"/>
          <w:color w:val="auto"/>
          <w:szCs w:val="24"/>
        </w:rPr>
      </w:pPr>
    </w:p>
    <w:p w14:paraId="116A7339" w14:textId="717A083E" w:rsidR="0053674B" w:rsidRPr="0053674B" w:rsidRDefault="0053674B" w:rsidP="00874A98">
      <w:pPr>
        <w:pStyle w:val="ListParagraph"/>
        <w:numPr>
          <w:ilvl w:val="1"/>
          <w:numId w:val="92"/>
        </w:numPr>
        <w:autoSpaceDE w:val="0"/>
        <w:autoSpaceDN w:val="0"/>
        <w:adjustRightInd w:val="0"/>
        <w:spacing w:after="0" w:line="240" w:lineRule="auto"/>
        <w:ind w:left="851" w:hanging="851"/>
        <w:rPr>
          <w:rFonts w:ascii="Arial" w:eastAsia="Calibri" w:hAnsi="Arial" w:cs="Arial"/>
          <w:color w:val="auto"/>
          <w:szCs w:val="24"/>
        </w:rPr>
      </w:pPr>
      <w:r w:rsidRPr="0053674B">
        <w:rPr>
          <w:rFonts w:ascii="Arial" w:eastAsia="Arial" w:hAnsi="Arial" w:cs="Arial"/>
          <w:bCs/>
          <w:iCs/>
          <w:color w:val="auto"/>
          <w:szCs w:val="24"/>
        </w:rPr>
        <w:t>There are existing highways issues in the wider area, primarily concerning heavy goods vehicles cutting through the narrow Sandhills Road (to the south of the site) coming from further north and heading towards the M1 motorway Junction 27. This arises from the inability of the junction at Alfreton Road/ Mansfield Road to enable turning of large vehicles. Development of this site will need to offer the benefit of improving the highway network in this location by providing a new high category link road which will also benefit local residents.</w:t>
      </w:r>
    </w:p>
    <w:bookmarkEnd w:id="217"/>
    <w:p w14:paraId="77238CD0" w14:textId="77777777" w:rsidR="00715560" w:rsidRPr="0053674B" w:rsidRDefault="00715560" w:rsidP="00DA78DE">
      <w:pPr>
        <w:pStyle w:val="ListParagraph"/>
        <w:autoSpaceDE w:val="0"/>
        <w:autoSpaceDN w:val="0"/>
        <w:adjustRightInd w:val="0"/>
        <w:spacing w:after="0" w:line="240" w:lineRule="auto"/>
        <w:ind w:left="851"/>
        <w:rPr>
          <w:rFonts w:ascii="Arial" w:eastAsia="Calibri" w:hAnsi="Arial" w:cs="Arial"/>
          <w:color w:val="auto"/>
          <w:szCs w:val="24"/>
        </w:rPr>
      </w:pPr>
    </w:p>
    <w:p w14:paraId="29DE03DF" w14:textId="709286ED" w:rsidR="00715560" w:rsidRPr="009E34A6" w:rsidRDefault="00715560" w:rsidP="00874A98">
      <w:pPr>
        <w:pStyle w:val="ListParagraph"/>
        <w:numPr>
          <w:ilvl w:val="1"/>
          <w:numId w:val="92"/>
        </w:numPr>
        <w:autoSpaceDE w:val="0"/>
        <w:autoSpaceDN w:val="0"/>
        <w:adjustRightInd w:val="0"/>
        <w:spacing w:after="0" w:line="240" w:lineRule="auto"/>
        <w:ind w:left="851" w:hanging="851"/>
        <w:rPr>
          <w:rFonts w:ascii="Arial" w:eastAsia="Calibri" w:hAnsi="Arial" w:cs="Arial"/>
          <w:color w:val="auto"/>
          <w:szCs w:val="24"/>
        </w:rPr>
      </w:pPr>
      <w:r w:rsidRPr="009E34A6">
        <w:rPr>
          <w:rFonts w:ascii="Arial" w:eastAsia="Calibri" w:hAnsi="Arial" w:cs="Arial"/>
          <w:b/>
          <w:bCs/>
          <w:color w:val="auto"/>
          <w:szCs w:val="24"/>
        </w:rPr>
        <w:t>H1Vh: Rear of 64-82 Church Lane, Underwood</w:t>
      </w:r>
      <w:r w:rsidRPr="009E34A6">
        <w:rPr>
          <w:rFonts w:ascii="Arial" w:eastAsia="Calibri" w:hAnsi="Arial" w:cs="Arial"/>
          <w:color w:val="auto"/>
          <w:szCs w:val="24"/>
        </w:rPr>
        <w:t>. This greenfield site</w:t>
      </w:r>
      <w:r w:rsidR="001A2C49" w:rsidRPr="009E34A6">
        <w:rPr>
          <w:rFonts w:ascii="Arial" w:eastAsia="Calibri" w:hAnsi="Arial" w:cs="Arial"/>
          <w:color w:val="auto"/>
          <w:szCs w:val="24"/>
        </w:rPr>
        <w:t xml:space="preserve"> has been assessed as available, potentially suitable, and achievable in the SHELAA (ref. SJU032). It</w:t>
      </w:r>
      <w:r w:rsidRPr="009E34A6">
        <w:rPr>
          <w:rFonts w:ascii="Arial" w:eastAsia="Calibri" w:hAnsi="Arial" w:cs="Arial"/>
          <w:color w:val="auto"/>
          <w:szCs w:val="24"/>
        </w:rPr>
        <w:t xml:space="preserve"> is located within the settlement of Underwood. The site contains several mature trees and there is evidence of some surface water flooding on the western boundary. The relatively low approximate site yield takes account of the potential need to accommodate trees worthy of retention.</w:t>
      </w:r>
    </w:p>
    <w:p w14:paraId="454742AD" w14:textId="77777777" w:rsidR="00715560" w:rsidRPr="009E34A6" w:rsidRDefault="00715560" w:rsidP="001A2C49">
      <w:pPr>
        <w:pStyle w:val="ListParagraph"/>
        <w:autoSpaceDE w:val="0"/>
        <w:autoSpaceDN w:val="0"/>
        <w:adjustRightInd w:val="0"/>
        <w:spacing w:after="0" w:line="240" w:lineRule="auto"/>
        <w:ind w:left="851"/>
        <w:rPr>
          <w:rFonts w:ascii="Arial" w:eastAsia="Calibri" w:hAnsi="Arial" w:cs="Arial"/>
          <w:color w:val="auto"/>
          <w:szCs w:val="24"/>
        </w:rPr>
      </w:pPr>
    </w:p>
    <w:p w14:paraId="76E6A1C6" w14:textId="645D03BA" w:rsidR="00715560" w:rsidRPr="009E34A6" w:rsidRDefault="00715560" w:rsidP="00874A98">
      <w:pPr>
        <w:pStyle w:val="ListParagraph"/>
        <w:numPr>
          <w:ilvl w:val="1"/>
          <w:numId w:val="92"/>
        </w:numPr>
        <w:autoSpaceDE w:val="0"/>
        <w:autoSpaceDN w:val="0"/>
        <w:adjustRightInd w:val="0"/>
        <w:spacing w:after="0" w:line="240" w:lineRule="auto"/>
        <w:ind w:left="851" w:hanging="851"/>
        <w:rPr>
          <w:rFonts w:ascii="Arial" w:eastAsia="Calibri" w:hAnsi="Arial" w:cs="Arial"/>
          <w:color w:val="auto"/>
          <w:szCs w:val="24"/>
        </w:rPr>
      </w:pPr>
      <w:r w:rsidRPr="009E34A6">
        <w:rPr>
          <w:rFonts w:ascii="Arial" w:eastAsia="Calibri" w:hAnsi="Arial" w:cs="Arial"/>
          <w:b/>
          <w:bCs/>
          <w:color w:val="auto"/>
          <w:szCs w:val="24"/>
        </w:rPr>
        <w:t>H1Vi: Westdale Road</w:t>
      </w:r>
      <w:r w:rsidR="004C557A" w:rsidRPr="009E34A6">
        <w:rPr>
          <w:rFonts w:ascii="Arial" w:eastAsia="Calibri" w:hAnsi="Arial" w:cs="Arial"/>
          <w:b/>
          <w:bCs/>
          <w:color w:val="auto"/>
          <w:szCs w:val="24"/>
        </w:rPr>
        <w:t>/Rutland Road</w:t>
      </w:r>
      <w:r w:rsidRPr="009E34A6">
        <w:rPr>
          <w:rFonts w:ascii="Arial" w:eastAsia="Calibri" w:hAnsi="Arial" w:cs="Arial"/>
          <w:b/>
          <w:bCs/>
          <w:color w:val="auto"/>
          <w:szCs w:val="24"/>
        </w:rPr>
        <w:t>, Jacksdale</w:t>
      </w:r>
      <w:r w:rsidR="00DA78DE" w:rsidRPr="009E34A6">
        <w:rPr>
          <w:rFonts w:ascii="Arial" w:eastAsia="Calibri" w:hAnsi="Arial" w:cs="Arial"/>
          <w:b/>
          <w:bCs/>
          <w:color w:val="auto"/>
          <w:szCs w:val="24"/>
        </w:rPr>
        <w:t>.</w:t>
      </w:r>
      <w:r w:rsidRPr="009E34A6">
        <w:rPr>
          <w:rFonts w:ascii="Arial" w:eastAsia="Calibri" w:hAnsi="Arial" w:cs="Arial"/>
          <w:color w:val="auto"/>
          <w:szCs w:val="24"/>
        </w:rPr>
        <w:t xml:space="preserve"> This greenfield site is located within the Named Settlement of Jacksdale and forms a logical infill. The site is located within a residential area and has reasonable access to a range of services. The site is an area where potential land stability and other safety risks associated with former coal mining are likely, for example areas of suspected shallow coal mining, recorded mine entries and areas of former surface mining. There is evidence of some surface water flooding within the boundary of the site. </w:t>
      </w:r>
    </w:p>
    <w:p w14:paraId="08D912BB" w14:textId="77777777" w:rsidR="00715560" w:rsidRPr="009E34A6" w:rsidRDefault="00715560" w:rsidP="001A2C49">
      <w:pPr>
        <w:pStyle w:val="ListParagraph"/>
        <w:autoSpaceDE w:val="0"/>
        <w:autoSpaceDN w:val="0"/>
        <w:adjustRightInd w:val="0"/>
        <w:spacing w:after="0" w:line="240" w:lineRule="auto"/>
        <w:ind w:left="851"/>
        <w:rPr>
          <w:rFonts w:ascii="Arial" w:eastAsia="Calibri" w:hAnsi="Arial" w:cs="Arial"/>
          <w:color w:val="auto"/>
          <w:szCs w:val="24"/>
        </w:rPr>
      </w:pPr>
    </w:p>
    <w:p w14:paraId="631BEEA6" w14:textId="77777777" w:rsidR="003A449B" w:rsidRPr="003A449B" w:rsidRDefault="00715560" w:rsidP="00620751">
      <w:pPr>
        <w:pStyle w:val="ListParagraph"/>
        <w:numPr>
          <w:ilvl w:val="1"/>
          <w:numId w:val="92"/>
        </w:numPr>
        <w:autoSpaceDE w:val="0"/>
        <w:autoSpaceDN w:val="0"/>
        <w:adjustRightInd w:val="0"/>
        <w:spacing w:after="0" w:line="240" w:lineRule="auto"/>
        <w:ind w:left="851" w:hanging="851"/>
        <w:rPr>
          <w:rFonts w:ascii="Arial" w:eastAsia="Calibri" w:hAnsi="Arial" w:cs="Arial"/>
          <w:color w:val="4472C4" w:themeColor="accent1"/>
          <w:szCs w:val="24"/>
        </w:rPr>
      </w:pPr>
      <w:r w:rsidRPr="003A449B">
        <w:rPr>
          <w:rFonts w:ascii="Arial" w:eastAsia="Calibri" w:hAnsi="Arial" w:cs="Arial"/>
          <w:color w:val="auto"/>
          <w:szCs w:val="24"/>
        </w:rPr>
        <w:t>The site has been assessed as potentially available, potentially suitable, and potentially achievable in the SHELAA (ref. SJU035).</w:t>
      </w:r>
    </w:p>
    <w:p w14:paraId="419F5203" w14:textId="77777777" w:rsidR="003A449B" w:rsidRPr="003A449B" w:rsidRDefault="003A449B" w:rsidP="003A449B">
      <w:pPr>
        <w:pStyle w:val="ListParagraph"/>
        <w:rPr>
          <w:rFonts w:ascii="Arial" w:eastAsia="Calibri" w:hAnsi="Arial" w:cs="Arial"/>
          <w:b/>
          <w:bCs/>
          <w:color w:val="4472C4" w:themeColor="accent1"/>
          <w:szCs w:val="24"/>
        </w:rPr>
      </w:pPr>
    </w:p>
    <w:p w14:paraId="5BBD7448" w14:textId="713D98CD" w:rsidR="003A449B" w:rsidRPr="003A449B" w:rsidRDefault="003A449B" w:rsidP="00620751">
      <w:pPr>
        <w:pStyle w:val="ListParagraph"/>
        <w:numPr>
          <w:ilvl w:val="1"/>
          <w:numId w:val="92"/>
        </w:numPr>
        <w:autoSpaceDE w:val="0"/>
        <w:autoSpaceDN w:val="0"/>
        <w:adjustRightInd w:val="0"/>
        <w:spacing w:after="0" w:line="240" w:lineRule="auto"/>
        <w:ind w:left="851" w:hanging="851"/>
        <w:rPr>
          <w:rFonts w:ascii="Arial" w:eastAsia="Calibri" w:hAnsi="Arial" w:cs="Arial"/>
          <w:color w:val="auto"/>
          <w:szCs w:val="24"/>
        </w:rPr>
      </w:pPr>
      <w:r w:rsidRPr="003A449B">
        <w:rPr>
          <w:rFonts w:ascii="Arial" w:eastAsia="Calibri" w:hAnsi="Arial" w:cs="Arial"/>
          <w:b/>
          <w:bCs/>
          <w:color w:val="auto"/>
          <w:szCs w:val="24"/>
        </w:rPr>
        <w:t>H1Vj: Land off Main Road, Jacksdale</w:t>
      </w:r>
      <w:r w:rsidRPr="003A449B">
        <w:rPr>
          <w:rFonts w:ascii="Arial" w:eastAsia="Calibri" w:hAnsi="Arial" w:cs="Arial"/>
          <w:color w:val="auto"/>
          <w:szCs w:val="24"/>
        </w:rPr>
        <w:t xml:space="preserve">.  This site has a resolution to approve Full planning permission for 81 dwellings subject to the signing of a s106 legal agreement for agreed developer contributions.  </w:t>
      </w:r>
    </w:p>
    <w:p w14:paraId="7722A1AC" w14:textId="77777777" w:rsidR="00715560" w:rsidRPr="009E34A6" w:rsidRDefault="00715560" w:rsidP="00263F59">
      <w:pPr>
        <w:pStyle w:val="ListParagraph"/>
        <w:spacing w:after="0" w:line="240" w:lineRule="auto"/>
        <w:rPr>
          <w:rFonts w:eastAsia="Arial" w:cs="Arial"/>
          <w:iCs/>
          <w:color w:val="auto"/>
          <w:szCs w:val="24"/>
        </w:rPr>
      </w:pPr>
    </w:p>
    <w:p w14:paraId="355EE249" w14:textId="0A7A001F" w:rsidR="00236F84" w:rsidRPr="0056594F" w:rsidRDefault="001A2C49" w:rsidP="00874A98">
      <w:pPr>
        <w:pStyle w:val="ListParagraph"/>
        <w:numPr>
          <w:ilvl w:val="1"/>
          <w:numId w:val="92"/>
        </w:numPr>
        <w:autoSpaceDE w:val="0"/>
        <w:autoSpaceDN w:val="0"/>
        <w:adjustRightInd w:val="0"/>
        <w:spacing w:after="0" w:line="240" w:lineRule="auto"/>
        <w:ind w:left="851" w:hanging="851"/>
        <w:rPr>
          <w:rFonts w:ascii="Arial" w:eastAsia="Arial" w:hAnsi="Arial" w:cs="Arial"/>
          <w:b/>
          <w:bCs/>
          <w:iCs/>
          <w:color w:val="auto"/>
          <w:szCs w:val="24"/>
        </w:rPr>
      </w:pPr>
      <w:r w:rsidRPr="0056594F">
        <w:rPr>
          <w:rStyle w:val="Heading10"/>
          <w:bCs/>
          <w:color w:val="auto"/>
        </w:rPr>
        <w:t xml:space="preserve">Site H1Vf Main Road Underwood </w:t>
      </w:r>
      <w:r w:rsidRPr="0056594F">
        <w:rPr>
          <w:rStyle w:val="Heading10"/>
          <w:b w:val="0"/>
          <w:color w:val="auto"/>
        </w:rPr>
        <w:t xml:space="preserve">was included as a housing site allocation in the previous version of the draft Local Plan. However, this now has the benefit of planning </w:t>
      </w:r>
      <w:r w:rsidR="00DA78DE" w:rsidRPr="0056594F">
        <w:rPr>
          <w:rStyle w:val="Heading10"/>
          <w:b w:val="0"/>
          <w:color w:val="auto"/>
        </w:rPr>
        <w:t>approval</w:t>
      </w:r>
      <w:r w:rsidRPr="0056594F">
        <w:rPr>
          <w:rStyle w:val="Heading10"/>
          <w:b w:val="0"/>
          <w:color w:val="auto"/>
        </w:rPr>
        <w:t xml:space="preserve"> for 8 dwellings and as such is included within the summarised ‘small’ sites with planning permission, summarised in </w:t>
      </w:r>
      <w:r w:rsidRPr="0056594F">
        <w:rPr>
          <w:rStyle w:val="Normal1"/>
          <w:rFonts w:cs="Arial"/>
          <w:bCs/>
          <w:color w:val="auto"/>
          <w:szCs w:val="24"/>
        </w:rPr>
        <w:t>the Housing Trajectory in Appendix 2.</w:t>
      </w:r>
      <w:r w:rsidR="00DA78DE" w:rsidRPr="0056594F">
        <w:rPr>
          <w:rStyle w:val="Normal1"/>
          <w:rFonts w:cs="Arial"/>
          <w:bCs/>
          <w:color w:val="auto"/>
          <w:szCs w:val="24"/>
        </w:rPr>
        <w:t xml:space="preserve"> </w:t>
      </w:r>
    </w:p>
    <w:p w14:paraId="7BC30D80" w14:textId="77777777" w:rsidR="00263F59" w:rsidRPr="00263F59" w:rsidRDefault="00263F59" w:rsidP="00263F59">
      <w:pPr>
        <w:pStyle w:val="ListParagraph"/>
        <w:autoSpaceDE w:val="0"/>
        <w:autoSpaceDN w:val="0"/>
        <w:adjustRightInd w:val="0"/>
        <w:spacing w:after="0" w:line="240" w:lineRule="auto"/>
        <w:ind w:left="851"/>
        <w:rPr>
          <w:rFonts w:ascii="Arial" w:eastAsia="Arial" w:hAnsi="Arial" w:cs="Arial"/>
          <w:b/>
          <w:bCs/>
          <w:iCs/>
          <w:color w:val="auto"/>
          <w:szCs w:val="24"/>
        </w:rPr>
      </w:pPr>
    </w:p>
    <w:p w14:paraId="3E8CE4EA" w14:textId="77777777" w:rsidR="004C557A" w:rsidRPr="004152F0" w:rsidRDefault="004C557A" w:rsidP="004152F0">
      <w:pPr>
        <w:rPr>
          <w:rFonts w:eastAsia="Arial"/>
        </w:rPr>
      </w:pPr>
    </w:p>
    <w:p w14:paraId="0F3591B6" w14:textId="5F64F160" w:rsidR="00036685" w:rsidRPr="00995322" w:rsidRDefault="006977E7" w:rsidP="00995322">
      <w:pPr>
        <w:pStyle w:val="Heading2"/>
        <w:jc w:val="left"/>
        <w:rPr>
          <w:rFonts w:eastAsia="Arial"/>
          <w:sz w:val="28"/>
          <w:szCs w:val="28"/>
        </w:rPr>
      </w:pPr>
      <w:bookmarkStart w:id="218" w:name="_Toc145511588"/>
      <w:r w:rsidRPr="00995322">
        <w:rPr>
          <w:rFonts w:eastAsia="Arial"/>
          <w:sz w:val="28"/>
          <w:szCs w:val="28"/>
        </w:rPr>
        <w:t xml:space="preserve">Policy </w:t>
      </w:r>
      <w:r w:rsidR="00036685" w:rsidRPr="00995322">
        <w:rPr>
          <w:rFonts w:eastAsia="Arial"/>
          <w:sz w:val="28"/>
          <w:szCs w:val="28"/>
        </w:rPr>
        <w:t>H2: Provision for Gypsies, Travellers and Travelling Showpeople</w:t>
      </w:r>
      <w:bookmarkEnd w:id="218"/>
    </w:p>
    <w:p w14:paraId="6844B67F" w14:textId="77777777" w:rsidR="00036685" w:rsidRPr="004152F0" w:rsidRDefault="00036685" w:rsidP="004152F0">
      <w:pPr>
        <w:rPr>
          <w:rFonts w:eastAsia="Arial"/>
        </w:rPr>
      </w:pPr>
    </w:p>
    <w:p w14:paraId="2F1A193A" w14:textId="34E9E22D" w:rsidR="00036685" w:rsidRPr="00F31667" w:rsidRDefault="00036685" w:rsidP="00874A98">
      <w:pPr>
        <w:pStyle w:val="ListParagraph"/>
        <w:numPr>
          <w:ilvl w:val="1"/>
          <w:numId w:val="92"/>
        </w:numPr>
        <w:autoSpaceDE w:val="0"/>
        <w:autoSpaceDN w:val="0"/>
        <w:adjustRightInd w:val="0"/>
        <w:spacing w:after="0" w:line="240" w:lineRule="auto"/>
        <w:ind w:left="851" w:hanging="851"/>
        <w:rPr>
          <w:rFonts w:ascii="Arial" w:eastAsia="Arial" w:hAnsi="Arial" w:cs="Arial"/>
          <w:szCs w:val="24"/>
          <w:lang w:eastAsia="en-GB"/>
        </w:rPr>
      </w:pPr>
      <w:r w:rsidRPr="00F31667">
        <w:rPr>
          <w:rFonts w:ascii="Arial" w:eastAsia="Arial" w:hAnsi="Arial" w:cs="Arial"/>
          <w:szCs w:val="24"/>
          <w:lang w:eastAsia="en-GB"/>
        </w:rPr>
        <w:t xml:space="preserve">Policy H2 </w:t>
      </w:r>
      <w:r w:rsidR="000E5311">
        <w:rPr>
          <w:rFonts w:ascii="Arial" w:eastAsia="Arial" w:hAnsi="Arial" w:cs="Arial"/>
          <w:szCs w:val="24"/>
          <w:lang w:eastAsia="en-GB"/>
        </w:rPr>
        <w:t>will be used to determine</w:t>
      </w:r>
      <w:r w:rsidRPr="00F31667">
        <w:rPr>
          <w:rFonts w:ascii="Arial" w:eastAsia="Arial" w:hAnsi="Arial" w:cs="Arial"/>
          <w:szCs w:val="24"/>
          <w:lang w:eastAsia="en-GB"/>
        </w:rPr>
        <w:t xml:space="preserve"> planning applications for traveller pitches/sites and Showpeople’s Plots/yards</w:t>
      </w:r>
      <w:r w:rsidR="000E5311">
        <w:rPr>
          <w:rFonts w:ascii="Arial" w:eastAsia="Arial" w:hAnsi="Arial" w:cs="Arial"/>
          <w:szCs w:val="24"/>
          <w:lang w:eastAsia="en-GB"/>
        </w:rPr>
        <w:t xml:space="preserve"> and </w:t>
      </w:r>
      <w:r w:rsidRPr="00F31667">
        <w:rPr>
          <w:rFonts w:ascii="Arial" w:eastAsia="Arial" w:hAnsi="Arial" w:cs="Arial"/>
          <w:szCs w:val="24"/>
          <w:lang w:eastAsia="en-GB"/>
        </w:rPr>
        <w:t>set out criteria to guide the process of future site identification.</w:t>
      </w:r>
    </w:p>
    <w:p w14:paraId="4D0A60B9" w14:textId="77777777" w:rsidR="00236F84" w:rsidRPr="00236F84" w:rsidRDefault="00236F84" w:rsidP="00236F84">
      <w:pPr>
        <w:keepNext w:val="0"/>
        <w:spacing w:before="0" w:after="160" w:line="252" w:lineRule="auto"/>
        <w:jc w:val="both"/>
        <w:rPr>
          <w:rFonts w:eastAsia="Calibri"/>
          <w:b/>
          <w:bCs/>
          <w:color w:val="auto"/>
          <w:szCs w:val="22"/>
        </w:rPr>
      </w:pPr>
    </w:p>
    <w:tbl>
      <w:tblPr>
        <w:tblStyle w:val="TableGrid12"/>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663"/>
        <w:gridCol w:w="6956"/>
      </w:tblGrid>
      <w:tr w:rsidR="00236F84" w:rsidRPr="00236F84" w14:paraId="46585160" w14:textId="77777777" w:rsidTr="00DA5747">
        <w:tc>
          <w:tcPr>
            <w:tcW w:w="9742" w:type="dxa"/>
            <w:gridSpan w:val="2"/>
          </w:tcPr>
          <w:p w14:paraId="5BF90A48" w14:textId="77777777" w:rsidR="00DA5747" w:rsidRDefault="00DA5747" w:rsidP="00DA5747">
            <w:pPr>
              <w:keepNext w:val="0"/>
              <w:tabs>
                <w:tab w:val="left" w:pos="4530"/>
              </w:tabs>
              <w:spacing w:before="0"/>
              <w:jc w:val="left"/>
              <w:rPr>
                <w:b/>
                <w:bCs/>
                <w:color w:val="auto"/>
              </w:rPr>
            </w:pPr>
          </w:p>
          <w:p w14:paraId="0155B1BD" w14:textId="77777777" w:rsidR="00DA5747" w:rsidRDefault="00236F84" w:rsidP="00DA5747">
            <w:pPr>
              <w:keepNext w:val="0"/>
              <w:tabs>
                <w:tab w:val="left" w:pos="4530"/>
              </w:tabs>
              <w:spacing w:before="0"/>
              <w:jc w:val="left"/>
              <w:rPr>
                <w:b/>
                <w:bCs/>
                <w:color w:val="auto"/>
              </w:rPr>
            </w:pPr>
            <w:r w:rsidRPr="00236F84">
              <w:rPr>
                <w:b/>
                <w:bCs/>
                <w:color w:val="auto"/>
              </w:rPr>
              <w:t>Policy H2: Provision for Gypsies, Travellers and Travelling Showpeople</w:t>
            </w:r>
          </w:p>
          <w:p w14:paraId="222D7E70" w14:textId="7C0C5CEC" w:rsidR="00DA5747" w:rsidRPr="00236F84" w:rsidRDefault="00DA5747" w:rsidP="00DA5747">
            <w:pPr>
              <w:keepNext w:val="0"/>
              <w:tabs>
                <w:tab w:val="left" w:pos="4530"/>
              </w:tabs>
              <w:spacing w:before="0"/>
              <w:jc w:val="left"/>
              <w:rPr>
                <w:b/>
                <w:bCs/>
                <w:color w:val="auto"/>
              </w:rPr>
            </w:pPr>
          </w:p>
        </w:tc>
      </w:tr>
      <w:tr w:rsidR="00236F84" w:rsidRPr="00236F84" w14:paraId="47B8EF95" w14:textId="77777777" w:rsidTr="00DA5747">
        <w:tc>
          <w:tcPr>
            <w:tcW w:w="2689" w:type="dxa"/>
          </w:tcPr>
          <w:p w14:paraId="45369CAD" w14:textId="77777777" w:rsidR="00236F84" w:rsidRPr="00236F84" w:rsidRDefault="00236F84" w:rsidP="00FF3EAD">
            <w:pPr>
              <w:keepNext w:val="0"/>
              <w:spacing w:before="0" w:after="160" w:line="252" w:lineRule="auto"/>
              <w:jc w:val="left"/>
              <w:rPr>
                <w:color w:val="auto"/>
              </w:rPr>
            </w:pPr>
            <w:r w:rsidRPr="00236F84">
              <w:rPr>
                <w:color w:val="auto"/>
              </w:rPr>
              <w:t>Strategic Objectives</w:t>
            </w:r>
          </w:p>
        </w:tc>
        <w:tc>
          <w:tcPr>
            <w:tcW w:w="7053" w:type="dxa"/>
          </w:tcPr>
          <w:p w14:paraId="5B2579A7" w14:textId="77777777" w:rsidR="00236F84" w:rsidRPr="00236F84" w:rsidRDefault="00236F84" w:rsidP="00FF3EAD">
            <w:pPr>
              <w:keepNext w:val="0"/>
              <w:spacing w:before="0" w:after="160" w:line="252" w:lineRule="auto"/>
              <w:jc w:val="left"/>
              <w:rPr>
                <w:color w:val="auto"/>
              </w:rPr>
            </w:pPr>
            <w:r w:rsidRPr="00236F84">
              <w:rPr>
                <w:color w:val="auto"/>
              </w:rPr>
              <w:t xml:space="preserve">SO1, SO2, SO3, SO5, SO12, SO14. </w:t>
            </w:r>
          </w:p>
        </w:tc>
      </w:tr>
      <w:tr w:rsidR="00236F84" w:rsidRPr="00236F84" w14:paraId="792A5EC1" w14:textId="77777777" w:rsidTr="00DA5747">
        <w:tc>
          <w:tcPr>
            <w:tcW w:w="9742" w:type="dxa"/>
            <w:gridSpan w:val="2"/>
            <w:shd w:val="clear" w:color="auto" w:fill="F7CAAC"/>
          </w:tcPr>
          <w:p w14:paraId="1CCC00E5" w14:textId="77777777" w:rsidR="00236F84" w:rsidRPr="00236F84" w:rsidRDefault="00236F84" w:rsidP="00FF3EAD">
            <w:pPr>
              <w:keepNext w:val="0"/>
              <w:spacing w:before="0"/>
              <w:jc w:val="left"/>
              <w:rPr>
                <w:color w:val="auto"/>
              </w:rPr>
            </w:pPr>
          </w:p>
          <w:p w14:paraId="594B1BE5" w14:textId="77777777" w:rsidR="00236F84" w:rsidRPr="00236F84" w:rsidRDefault="00236F84" w:rsidP="00874A98">
            <w:pPr>
              <w:keepNext w:val="0"/>
              <w:numPr>
                <w:ilvl w:val="0"/>
                <w:numId w:val="265"/>
              </w:numPr>
              <w:spacing w:before="0"/>
              <w:contextualSpacing/>
              <w:jc w:val="left"/>
              <w:rPr>
                <w:color w:val="auto"/>
              </w:rPr>
            </w:pPr>
            <w:r w:rsidRPr="00236F84">
              <w:rPr>
                <w:color w:val="auto"/>
              </w:rPr>
              <w:t xml:space="preserve">When determining planning applications for Gypsy, Traveller and Travelling Showpeople sites, the Council will consider the following: </w:t>
            </w:r>
          </w:p>
          <w:p w14:paraId="3179FDB4" w14:textId="77777777" w:rsidR="00236F84" w:rsidRPr="00236F84" w:rsidRDefault="00236F84" w:rsidP="00FF3EAD">
            <w:pPr>
              <w:keepNext w:val="0"/>
              <w:spacing w:before="0" w:after="160" w:line="252" w:lineRule="auto"/>
              <w:ind w:left="360"/>
              <w:contextualSpacing/>
              <w:jc w:val="left"/>
              <w:rPr>
                <w:color w:val="auto"/>
              </w:rPr>
            </w:pPr>
          </w:p>
          <w:p w14:paraId="3006B03E" w14:textId="77777777" w:rsidR="00236F84" w:rsidRPr="00236F84" w:rsidRDefault="00236F84" w:rsidP="00874A98">
            <w:pPr>
              <w:keepNext w:val="0"/>
              <w:numPr>
                <w:ilvl w:val="0"/>
                <w:numId w:val="266"/>
              </w:numPr>
              <w:spacing w:before="0"/>
              <w:contextualSpacing/>
              <w:jc w:val="left"/>
              <w:rPr>
                <w:color w:val="auto"/>
              </w:rPr>
            </w:pPr>
            <w:r w:rsidRPr="00236F84">
              <w:rPr>
                <w:color w:val="auto"/>
              </w:rPr>
              <w:t xml:space="preserve">The proposed occupants must meet the definition of Gypsy, Traveller, or Travelling Showpeople as defined by national policy. </w:t>
            </w:r>
          </w:p>
          <w:p w14:paraId="0BA409CD" w14:textId="77777777" w:rsidR="00236F84" w:rsidRPr="00236F84" w:rsidRDefault="00236F84" w:rsidP="00874A98">
            <w:pPr>
              <w:keepNext w:val="0"/>
              <w:numPr>
                <w:ilvl w:val="0"/>
                <w:numId w:val="266"/>
              </w:numPr>
              <w:spacing w:before="0"/>
              <w:contextualSpacing/>
              <w:jc w:val="left"/>
              <w:rPr>
                <w:color w:val="auto"/>
              </w:rPr>
            </w:pPr>
            <w:r w:rsidRPr="00236F84">
              <w:rPr>
                <w:color w:val="auto"/>
              </w:rPr>
              <w:t>Development of all Traveller sites in the Green Belt are considered to be inappropriate development.</w:t>
            </w:r>
          </w:p>
          <w:p w14:paraId="2F18B7B1" w14:textId="77777777" w:rsidR="00236F84" w:rsidRPr="00236F84" w:rsidRDefault="00236F84" w:rsidP="00FF3EAD">
            <w:pPr>
              <w:keepNext w:val="0"/>
              <w:spacing w:before="0" w:after="160" w:line="252" w:lineRule="auto"/>
              <w:ind w:left="360"/>
              <w:contextualSpacing/>
              <w:jc w:val="left"/>
              <w:rPr>
                <w:color w:val="auto"/>
              </w:rPr>
            </w:pPr>
          </w:p>
          <w:p w14:paraId="624BE04F" w14:textId="77777777" w:rsidR="00236F84" w:rsidRPr="00236F84" w:rsidRDefault="00236F84" w:rsidP="00874A98">
            <w:pPr>
              <w:keepNext w:val="0"/>
              <w:numPr>
                <w:ilvl w:val="0"/>
                <w:numId w:val="265"/>
              </w:numPr>
              <w:spacing w:before="0"/>
              <w:contextualSpacing/>
              <w:jc w:val="left"/>
              <w:rPr>
                <w:color w:val="auto"/>
              </w:rPr>
            </w:pPr>
            <w:r w:rsidRPr="00236F84">
              <w:rPr>
                <w:color w:val="auto"/>
              </w:rPr>
              <w:t>The following criteria will be used to guide the process of future site identification, and to help inform decisions on planning applications:</w:t>
            </w:r>
          </w:p>
          <w:p w14:paraId="13E91CD4" w14:textId="77777777" w:rsidR="00236F84" w:rsidRPr="00236F84" w:rsidRDefault="00236F84" w:rsidP="00FF3EAD">
            <w:pPr>
              <w:keepNext w:val="0"/>
              <w:spacing w:before="0" w:after="160" w:line="252" w:lineRule="auto"/>
              <w:ind w:left="360"/>
              <w:contextualSpacing/>
              <w:jc w:val="left"/>
              <w:rPr>
                <w:color w:val="auto"/>
              </w:rPr>
            </w:pPr>
          </w:p>
          <w:p w14:paraId="371A414C" w14:textId="5639E4B3" w:rsidR="00236F84" w:rsidRPr="00236F84" w:rsidRDefault="00236F84" w:rsidP="00874A98">
            <w:pPr>
              <w:keepNext w:val="0"/>
              <w:numPr>
                <w:ilvl w:val="0"/>
                <w:numId w:val="267"/>
              </w:numPr>
              <w:spacing w:before="0"/>
              <w:contextualSpacing/>
              <w:jc w:val="left"/>
              <w:rPr>
                <w:color w:val="auto"/>
              </w:rPr>
            </w:pPr>
            <w:r w:rsidRPr="00236F84">
              <w:rPr>
                <w:color w:val="auto"/>
              </w:rPr>
              <w:t>Development will not lead to the loss, or adverse impact on, heritage assets, nature conservation, biodiversity sites or the best and most versatile agricultural land;</w:t>
            </w:r>
          </w:p>
          <w:p w14:paraId="0547BFA1" w14:textId="77777777" w:rsidR="00236F84" w:rsidRPr="00236F84" w:rsidRDefault="00236F84" w:rsidP="00874A98">
            <w:pPr>
              <w:keepNext w:val="0"/>
              <w:numPr>
                <w:ilvl w:val="0"/>
                <w:numId w:val="267"/>
              </w:numPr>
              <w:spacing w:before="0"/>
              <w:contextualSpacing/>
              <w:jc w:val="left"/>
              <w:rPr>
                <w:color w:val="auto"/>
              </w:rPr>
            </w:pPr>
            <w:r w:rsidRPr="00236F84">
              <w:rPr>
                <w:color w:val="auto"/>
              </w:rPr>
              <w:t>The site should be served, or be capable of being served by adequate sewerage disposal methods and mains water;</w:t>
            </w:r>
          </w:p>
          <w:p w14:paraId="2C8F2DC0" w14:textId="77777777" w:rsidR="00236F84" w:rsidRPr="00236F84" w:rsidRDefault="00236F84" w:rsidP="00874A98">
            <w:pPr>
              <w:keepNext w:val="0"/>
              <w:numPr>
                <w:ilvl w:val="0"/>
                <w:numId w:val="267"/>
              </w:numPr>
              <w:spacing w:before="0"/>
              <w:contextualSpacing/>
              <w:jc w:val="left"/>
              <w:rPr>
                <w:color w:val="auto"/>
              </w:rPr>
            </w:pPr>
            <w:r w:rsidRPr="00236F84">
              <w:rPr>
                <w:color w:val="auto"/>
              </w:rPr>
              <w:t>The site has safe and convenient pedestrian and vehicular access to the highway network, and adequate space for vehicle parking, turning and servicing;</w:t>
            </w:r>
          </w:p>
          <w:p w14:paraId="0BDAE350" w14:textId="77777777" w:rsidR="00236F84" w:rsidRPr="00236F84" w:rsidRDefault="00236F84" w:rsidP="00874A98">
            <w:pPr>
              <w:keepNext w:val="0"/>
              <w:numPr>
                <w:ilvl w:val="0"/>
                <w:numId w:val="267"/>
              </w:numPr>
              <w:spacing w:before="0"/>
              <w:contextualSpacing/>
              <w:jc w:val="left"/>
              <w:rPr>
                <w:color w:val="auto"/>
              </w:rPr>
            </w:pPr>
            <w:r w:rsidRPr="00236F84">
              <w:rPr>
                <w:color w:val="auto"/>
              </w:rPr>
              <w:t>The site will offer a suitable level of residential amenity to any proposed occupiers and have no adverse impact on the amenity of nearby residents or other neighbouring land uses;</w:t>
            </w:r>
          </w:p>
          <w:p w14:paraId="674F2F41" w14:textId="77777777" w:rsidR="00236F84" w:rsidRPr="00236F84" w:rsidRDefault="00236F84" w:rsidP="00874A98">
            <w:pPr>
              <w:keepNext w:val="0"/>
              <w:numPr>
                <w:ilvl w:val="0"/>
                <w:numId w:val="267"/>
              </w:numPr>
              <w:spacing w:before="0"/>
              <w:contextualSpacing/>
              <w:jc w:val="left"/>
              <w:rPr>
                <w:color w:val="auto"/>
              </w:rPr>
            </w:pPr>
            <w:r w:rsidRPr="00236F84">
              <w:rPr>
                <w:color w:val="auto"/>
              </w:rPr>
              <w:t>The site is capable of being designed to ensure that it would not have a significant adverse effect on visual amenity;</w:t>
            </w:r>
          </w:p>
          <w:p w14:paraId="63D4BD7B" w14:textId="77777777" w:rsidR="00236F84" w:rsidRPr="00236F84" w:rsidRDefault="00236F84" w:rsidP="00874A98">
            <w:pPr>
              <w:keepNext w:val="0"/>
              <w:numPr>
                <w:ilvl w:val="0"/>
                <w:numId w:val="267"/>
              </w:numPr>
              <w:spacing w:before="0"/>
              <w:contextualSpacing/>
              <w:jc w:val="left"/>
              <w:rPr>
                <w:color w:val="auto"/>
              </w:rPr>
            </w:pPr>
            <w:r w:rsidRPr="00236F84">
              <w:rPr>
                <w:color w:val="auto"/>
              </w:rPr>
              <w:t>In the case of any development proposal which raises the issue of flood risk, regard will be had to advice contained in national and local policy/guidance. Where flooding is found to be an issue, the Council will require the completion of a site specific Flood Risk Assessment;</w:t>
            </w:r>
          </w:p>
          <w:p w14:paraId="737614F6" w14:textId="77777777" w:rsidR="00236F84" w:rsidRPr="00236F84" w:rsidRDefault="00236F84" w:rsidP="00874A98">
            <w:pPr>
              <w:keepNext w:val="0"/>
              <w:numPr>
                <w:ilvl w:val="0"/>
                <w:numId w:val="267"/>
              </w:numPr>
              <w:spacing w:before="0"/>
              <w:contextualSpacing/>
              <w:jc w:val="left"/>
              <w:rPr>
                <w:color w:val="auto"/>
              </w:rPr>
            </w:pPr>
            <w:r w:rsidRPr="00236F84">
              <w:rPr>
                <w:color w:val="auto"/>
              </w:rPr>
              <w:t>Proposed sites in rural areas should respect the scale of, and not dominate, the nearest settled community, and avoid placing an undue pressure on the local infrastructure.</w:t>
            </w:r>
          </w:p>
          <w:p w14:paraId="140F162F" w14:textId="77777777" w:rsidR="00236F84" w:rsidRPr="00236F84" w:rsidRDefault="00236F84" w:rsidP="00874A98">
            <w:pPr>
              <w:keepNext w:val="0"/>
              <w:numPr>
                <w:ilvl w:val="0"/>
                <w:numId w:val="267"/>
              </w:numPr>
              <w:spacing w:before="0"/>
              <w:contextualSpacing/>
              <w:jc w:val="left"/>
              <w:rPr>
                <w:color w:val="auto"/>
              </w:rPr>
            </w:pPr>
            <w:r w:rsidRPr="00236F84">
              <w:rPr>
                <w:color w:val="auto"/>
              </w:rPr>
              <w:t>Proposed sites will not have an adverse impact on public rights of way.</w:t>
            </w:r>
          </w:p>
          <w:p w14:paraId="21D2C372" w14:textId="77777777" w:rsidR="00236F84" w:rsidRPr="00236F84" w:rsidRDefault="00236F84" w:rsidP="00FF3EAD">
            <w:pPr>
              <w:keepNext w:val="0"/>
              <w:spacing w:before="0" w:after="160" w:line="252" w:lineRule="auto"/>
              <w:ind w:left="360"/>
              <w:contextualSpacing/>
              <w:jc w:val="left"/>
              <w:rPr>
                <w:color w:val="auto"/>
              </w:rPr>
            </w:pPr>
          </w:p>
          <w:p w14:paraId="1B0BAC1B" w14:textId="77777777" w:rsidR="003E2B7C" w:rsidRDefault="00236F84" w:rsidP="00874A98">
            <w:pPr>
              <w:keepNext w:val="0"/>
              <w:numPr>
                <w:ilvl w:val="0"/>
                <w:numId w:val="265"/>
              </w:numPr>
              <w:spacing w:before="0"/>
              <w:contextualSpacing/>
              <w:jc w:val="left"/>
              <w:rPr>
                <w:color w:val="auto"/>
              </w:rPr>
            </w:pPr>
            <w:r w:rsidRPr="00236F84">
              <w:rPr>
                <w:color w:val="auto"/>
              </w:rPr>
              <w:t>New traveller site development in open countryside that is away from existing settlements or outside areas allocated in the plan will be very strictly limited. Any planning permission granted in the countryside will restrict the construction of permanent built structures to small amenity blocks associated with each pitch and to small buildings for appropriate associated business use.</w:t>
            </w:r>
          </w:p>
          <w:p w14:paraId="2DA0B2FF" w14:textId="532A5BAC" w:rsidR="00236F84" w:rsidRPr="00236F84" w:rsidRDefault="00236F84" w:rsidP="00FF3EAD">
            <w:pPr>
              <w:keepNext w:val="0"/>
              <w:spacing w:before="0"/>
              <w:ind w:left="360"/>
              <w:contextualSpacing/>
              <w:jc w:val="left"/>
              <w:rPr>
                <w:color w:val="auto"/>
              </w:rPr>
            </w:pPr>
            <w:r w:rsidRPr="00236F84">
              <w:rPr>
                <w:color w:val="auto"/>
              </w:rPr>
              <w:t xml:space="preserve"> </w:t>
            </w:r>
          </w:p>
          <w:p w14:paraId="1BC0519F" w14:textId="02930F99" w:rsidR="00236F84" w:rsidRDefault="00236F84" w:rsidP="00874A98">
            <w:pPr>
              <w:keepNext w:val="0"/>
              <w:numPr>
                <w:ilvl w:val="0"/>
                <w:numId w:val="265"/>
              </w:numPr>
              <w:spacing w:before="0"/>
              <w:contextualSpacing/>
              <w:jc w:val="left"/>
              <w:rPr>
                <w:color w:val="auto"/>
              </w:rPr>
            </w:pPr>
            <w:r w:rsidRPr="00236F84">
              <w:rPr>
                <w:color w:val="auto"/>
              </w:rPr>
              <w:t>Existing authorised permanent gypsy/</w:t>
            </w:r>
            <w:r w:rsidR="009D1815" w:rsidRPr="00236F84">
              <w:rPr>
                <w:color w:val="auto"/>
              </w:rPr>
              <w:t>traveller and</w:t>
            </w:r>
            <w:r w:rsidRPr="00236F84">
              <w:rPr>
                <w:color w:val="auto"/>
              </w:rPr>
              <w:t xml:space="preserve"> travelling showperson’s sites will be safeguarded from alternative development, unless the site is no longer required to meet any identified traveller needs, or it is demonstrated the site is no longer suitable for such a use. Any new site subsequently granted permanent planning permission for gypsy/traveller or travelling showperson’s accommodation will also be safeguarded in accordance with this policy.</w:t>
            </w:r>
          </w:p>
          <w:p w14:paraId="563CE502" w14:textId="746D2F66" w:rsidR="00823DBE" w:rsidRPr="00823DBE" w:rsidRDefault="00823DBE" w:rsidP="00FF3EAD">
            <w:pPr>
              <w:keepNext w:val="0"/>
              <w:spacing w:before="0"/>
              <w:ind w:left="360"/>
              <w:contextualSpacing/>
              <w:jc w:val="left"/>
              <w:rPr>
                <w:color w:val="auto"/>
              </w:rPr>
            </w:pPr>
          </w:p>
        </w:tc>
      </w:tr>
      <w:tr w:rsidR="00236F84" w:rsidRPr="00236F84" w14:paraId="409EBA48" w14:textId="77777777" w:rsidTr="00DA5747">
        <w:tc>
          <w:tcPr>
            <w:tcW w:w="2689" w:type="dxa"/>
          </w:tcPr>
          <w:p w14:paraId="69821AEE" w14:textId="77777777" w:rsidR="00236F84" w:rsidRPr="00236F84" w:rsidRDefault="00236F84" w:rsidP="000032A9">
            <w:pPr>
              <w:keepNext w:val="0"/>
              <w:spacing w:before="0" w:after="160" w:line="252" w:lineRule="auto"/>
              <w:jc w:val="left"/>
              <w:rPr>
                <w:color w:val="auto"/>
                <w:sz w:val="20"/>
                <w:szCs w:val="20"/>
              </w:rPr>
            </w:pPr>
            <w:r w:rsidRPr="00236F84">
              <w:rPr>
                <w:color w:val="auto"/>
                <w:sz w:val="20"/>
                <w:szCs w:val="20"/>
              </w:rPr>
              <w:t>Evidence Base</w:t>
            </w:r>
          </w:p>
        </w:tc>
        <w:tc>
          <w:tcPr>
            <w:tcW w:w="7053" w:type="dxa"/>
          </w:tcPr>
          <w:p w14:paraId="26298580" w14:textId="77777777" w:rsidR="00B40389" w:rsidRPr="009E34A6" w:rsidRDefault="00236F84" w:rsidP="00874A98">
            <w:pPr>
              <w:keepNext w:val="0"/>
              <w:numPr>
                <w:ilvl w:val="0"/>
                <w:numId w:val="263"/>
              </w:numPr>
              <w:spacing w:before="0"/>
              <w:contextualSpacing/>
              <w:jc w:val="left"/>
              <w:rPr>
                <w:bCs/>
                <w:color w:val="auto"/>
                <w:sz w:val="20"/>
                <w:szCs w:val="20"/>
              </w:rPr>
            </w:pPr>
            <w:r w:rsidRPr="009E34A6">
              <w:rPr>
                <w:bCs/>
                <w:color w:val="auto"/>
                <w:sz w:val="20"/>
                <w:szCs w:val="20"/>
              </w:rPr>
              <w:t>Greater Nottingham and Ashfield District Council Gypsy and Traveller Accommodation Assessment, 2021 - RRR Consultancy Ltd.</w:t>
            </w:r>
          </w:p>
          <w:p w14:paraId="7D910CA3" w14:textId="4C59A55C" w:rsidR="00236F84" w:rsidRPr="009E34A6" w:rsidRDefault="00B40389" w:rsidP="00874A98">
            <w:pPr>
              <w:keepNext w:val="0"/>
              <w:numPr>
                <w:ilvl w:val="0"/>
                <w:numId w:val="263"/>
              </w:numPr>
              <w:spacing w:before="0"/>
              <w:contextualSpacing/>
              <w:jc w:val="left"/>
              <w:rPr>
                <w:bCs/>
                <w:color w:val="auto"/>
                <w:sz w:val="20"/>
                <w:szCs w:val="20"/>
              </w:rPr>
            </w:pPr>
            <w:r w:rsidRPr="009E34A6">
              <w:rPr>
                <w:color w:val="auto"/>
                <w:sz w:val="20"/>
                <w:szCs w:val="20"/>
              </w:rPr>
              <w:t>Sustainability Appraisal, 2023. WSP UK Limited.</w:t>
            </w:r>
          </w:p>
        </w:tc>
      </w:tr>
      <w:tr w:rsidR="00236F84" w:rsidRPr="00236F84" w14:paraId="11995E68" w14:textId="77777777" w:rsidTr="00DA5747">
        <w:tc>
          <w:tcPr>
            <w:tcW w:w="2689" w:type="dxa"/>
          </w:tcPr>
          <w:p w14:paraId="245D39BE" w14:textId="77777777" w:rsidR="00236F84" w:rsidRPr="00236F84" w:rsidRDefault="00236F84" w:rsidP="000032A9">
            <w:pPr>
              <w:keepNext w:val="0"/>
              <w:spacing w:before="0" w:after="160" w:line="252" w:lineRule="auto"/>
              <w:jc w:val="left"/>
              <w:rPr>
                <w:color w:val="auto"/>
                <w:sz w:val="20"/>
                <w:szCs w:val="20"/>
              </w:rPr>
            </w:pPr>
            <w:r w:rsidRPr="00236F84">
              <w:rPr>
                <w:color w:val="auto"/>
                <w:sz w:val="20"/>
                <w:szCs w:val="20"/>
              </w:rPr>
              <w:t>National Planning Policy and Guidance</w:t>
            </w:r>
          </w:p>
        </w:tc>
        <w:tc>
          <w:tcPr>
            <w:tcW w:w="7053" w:type="dxa"/>
          </w:tcPr>
          <w:p w14:paraId="277D02D8" w14:textId="77777777" w:rsidR="00236F84" w:rsidRPr="009E34A6" w:rsidRDefault="00236F84" w:rsidP="00874A98">
            <w:pPr>
              <w:keepNext w:val="0"/>
              <w:numPr>
                <w:ilvl w:val="0"/>
                <w:numId w:val="264"/>
              </w:numPr>
              <w:spacing w:before="0"/>
              <w:contextualSpacing/>
              <w:jc w:val="left"/>
              <w:rPr>
                <w:color w:val="auto"/>
                <w:sz w:val="20"/>
                <w:szCs w:val="20"/>
              </w:rPr>
            </w:pPr>
            <w:r w:rsidRPr="009E34A6">
              <w:rPr>
                <w:color w:val="auto"/>
                <w:sz w:val="20"/>
                <w:szCs w:val="20"/>
              </w:rPr>
              <w:t>Planning Policy for Traveller Sites, 2015 -  DCLG</w:t>
            </w:r>
          </w:p>
          <w:p w14:paraId="01E2E3A0" w14:textId="36416EF1" w:rsidR="00236F84" w:rsidRPr="009E34A6" w:rsidRDefault="00236F84" w:rsidP="00874A98">
            <w:pPr>
              <w:keepNext w:val="0"/>
              <w:numPr>
                <w:ilvl w:val="0"/>
                <w:numId w:val="264"/>
              </w:numPr>
              <w:spacing w:before="0"/>
              <w:contextualSpacing/>
              <w:jc w:val="left"/>
              <w:rPr>
                <w:color w:val="auto"/>
                <w:sz w:val="20"/>
                <w:szCs w:val="20"/>
              </w:rPr>
            </w:pPr>
            <w:r w:rsidRPr="009E34A6">
              <w:rPr>
                <w:color w:val="auto"/>
                <w:sz w:val="20"/>
                <w:szCs w:val="20"/>
              </w:rPr>
              <w:t>NPPF 202</w:t>
            </w:r>
            <w:r w:rsidR="004173E0" w:rsidRPr="009E34A6">
              <w:rPr>
                <w:color w:val="auto"/>
                <w:sz w:val="20"/>
                <w:szCs w:val="20"/>
              </w:rPr>
              <w:t>3</w:t>
            </w:r>
            <w:r w:rsidRPr="009E34A6">
              <w:rPr>
                <w:color w:val="auto"/>
                <w:sz w:val="20"/>
                <w:szCs w:val="20"/>
              </w:rPr>
              <w:t>, Part 2: Achieving sustainable development.</w:t>
            </w:r>
          </w:p>
          <w:p w14:paraId="78432BB7" w14:textId="37592734" w:rsidR="00236F84" w:rsidRPr="009E34A6" w:rsidRDefault="00236F84" w:rsidP="00874A98">
            <w:pPr>
              <w:keepNext w:val="0"/>
              <w:numPr>
                <w:ilvl w:val="0"/>
                <w:numId w:val="264"/>
              </w:numPr>
              <w:spacing w:before="0"/>
              <w:contextualSpacing/>
              <w:jc w:val="left"/>
              <w:rPr>
                <w:color w:val="auto"/>
                <w:sz w:val="20"/>
                <w:szCs w:val="20"/>
              </w:rPr>
            </w:pPr>
            <w:r w:rsidRPr="009E34A6">
              <w:rPr>
                <w:color w:val="auto"/>
                <w:sz w:val="20"/>
                <w:szCs w:val="20"/>
              </w:rPr>
              <w:t>NPPF 202</w:t>
            </w:r>
            <w:r w:rsidR="004173E0" w:rsidRPr="009E34A6">
              <w:rPr>
                <w:color w:val="auto"/>
                <w:sz w:val="20"/>
                <w:szCs w:val="20"/>
              </w:rPr>
              <w:t>3</w:t>
            </w:r>
            <w:r w:rsidRPr="009E34A6">
              <w:rPr>
                <w:color w:val="auto"/>
                <w:sz w:val="20"/>
                <w:szCs w:val="20"/>
              </w:rPr>
              <w:t>, Part 5: Delivering a sufficient supply of homes</w:t>
            </w:r>
          </w:p>
          <w:p w14:paraId="43F10D55" w14:textId="19717C21" w:rsidR="00236F84" w:rsidRPr="009E34A6" w:rsidRDefault="00236F84" w:rsidP="00874A98">
            <w:pPr>
              <w:keepNext w:val="0"/>
              <w:numPr>
                <w:ilvl w:val="0"/>
                <w:numId w:val="264"/>
              </w:numPr>
              <w:spacing w:before="0"/>
              <w:contextualSpacing/>
              <w:jc w:val="left"/>
              <w:rPr>
                <w:color w:val="auto"/>
                <w:sz w:val="20"/>
                <w:szCs w:val="20"/>
              </w:rPr>
            </w:pPr>
            <w:r w:rsidRPr="009E34A6">
              <w:rPr>
                <w:color w:val="auto"/>
                <w:sz w:val="20"/>
                <w:szCs w:val="20"/>
              </w:rPr>
              <w:t>Planning Practice Guidance: Housing and Economic Land Availability Assessment</w:t>
            </w:r>
            <w:r w:rsidR="00B40389" w:rsidRPr="009E34A6">
              <w:rPr>
                <w:color w:val="auto"/>
                <w:sz w:val="20"/>
                <w:szCs w:val="20"/>
              </w:rPr>
              <w:t xml:space="preserve"> as at July 2019.</w:t>
            </w:r>
          </w:p>
        </w:tc>
      </w:tr>
    </w:tbl>
    <w:p w14:paraId="43C77E2B" w14:textId="77777777" w:rsidR="00236F84" w:rsidRPr="00236F84" w:rsidRDefault="00236F84" w:rsidP="00236F84">
      <w:pPr>
        <w:keepNext w:val="0"/>
        <w:spacing w:before="0" w:after="160" w:line="252" w:lineRule="auto"/>
        <w:jc w:val="both"/>
        <w:rPr>
          <w:rFonts w:eastAsia="Calibri"/>
          <w:color w:val="auto"/>
          <w:szCs w:val="22"/>
        </w:rPr>
      </w:pPr>
    </w:p>
    <w:p w14:paraId="0B717F52" w14:textId="650D5D85" w:rsidR="00036685" w:rsidRPr="00550BB9" w:rsidRDefault="00036685" w:rsidP="00874A98">
      <w:pPr>
        <w:pStyle w:val="ListParagraph"/>
        <w:numPr>
          <w:ilvl w:val="1"/>
          <w:numId w:val="92"/>
        </w:numPr>
        <w:autoSpaceDE w:val="0"/>
        <w:autoSpaceDN w:val="0"/>
        <w:adjustRightInd w:val="0"/>
        <w:spacing w:after="0" w:line="240" w:lineRule="auto"/>
        <w:ind w:left="851" w:hanging="851"/>
        <w:rPr>
          <w:rFonts w:ascii="Arial" w:eastAsia="Arial" w:hAnsi="Arial" w:cs="Arial"/>
          <w:spacing w:val="-1"/>
          <w:szCs w:val="20"/>
          <w:lang w:eastAsia="en-GB"/>
        </w:rPr>
      </w:pPr>
      <w:r w:rsidRPr="00F31667">
        <w:rPr>
          <w:rFonts w:ascii="Arial" w:eastAsia="Arial" w:hAnsi="Arial" w:cs="Arial"/>
          <w:b/>
          <w:szCs w:val="20"/>
          <w:lang w:eastAsia="en-GB"/>
        </w:rPr>
        <w:t>H2:2</w:t>
      </w:r>
      <w:r w:rsidRPr="00F31667">
        <w:rPr>
          <w:rFonts w:ascii="Arial" w:eastAsia="Arial" w:hAnsi="Arial" w:cs="Arial"/>
          <w:szCs w:val="20"/>
          <w:lang w:eastAsia="en-GB"/>
        </w:rPr>
        <w:t xml:space="preserve"> sets out criteria to guide broad locations for any future requirements arising from evidence adopted by the Council. T</w:t>
      </w:r>
      <w:r w:rsidRPr="00F31667">
        <w:rPr>
          <w:rFonts w:ascii="Arial" w:hAnsi="Arial" w:cs="Arial"/>
          <w:szCs w:val="24"/>
          <w:lang w:eastAsia="en-GB"/>
        </w:rPr>
        <w:t>he assessment of accommodation need</w:t>
      </w:r>
      <w:r w:rsidRPr="00F31667">
        <w:rPr>
          <w:rFonts w:ascii="Arial" w:eastAsia="Arial" w:hAnsi="Arial" w:cs="Arial"/>
          <w:szCs w:val="24"/>
          <w:vertAlign w:val="superscript"/>
          <w:lang w:eastAsia="en-GB"/>
        </w:rPr>
        <w:footnoteReference w:id="90"/>
      </w:r>
      <w:r w:rsidRPr="00F31667">
        <w:rPr>
          <w:rFonts w:ascii="Arial" w:hAnsi="Arial" w:cs="Arial"/>
          <w:szCs w:val="24"/>
          <w:lang w:eastAsia="en-GB"/>
        </w:rPr>
        <w:t xml:space="preserve"> will be subject to regular monitoring and update, with a review every five years. Where necessary t</w:t>
      </w:r>
      <w:r w:rsidRPr="00F31667">
        <w:rPr>
          <w:rFonts w:ascii="Arial" w:eastAsia="Arial" w:hAnsi="Arial" w:cs="Arial"/>
          <w:szCs w:val="20"/>
          <w:lang w:eastAsia="en-GB"/>
        </w:rPr>
        <w:t xml:space="preserve">he Council will seek to secure any future allocations based on this information through a review of the Local Plan or a Gypsy and Traveller DPD. The </w:t>
      </w:r>
      <w:r w:rsidRPr="00F31667">
        <w:rPr>
          <w:rFonts w:ascii="Arial" w:eastAsia="Arial" w:hAnsi="Arial" w:cs="Arial"/>
          <w:spacing w:val="-1"/>
          <w:szCs w:val="20"/>
          <w:lang w:eastAsia="en-GB"/>
        </w:rPr>
        <w:t>policy</w:t>
      </w:r>
      <w:r w:rsidRPr="00F31667">
        <w:rPr>
          <w:rFonts w:ascii="Arial" w:eastAsia="Arial" w:hAnsi="Arial" w:cs="Arial"/>
          <w:szCs w:val="20"/>
          <w:lang w:eastAsia="en-GB"/>
        </w:rPr>
        <w:t xml:space="preserve"> facilitates provision of Gypsy and Traveller sites in accordance with sustainable development principles and criteria set out in H2:2 will also guide decision making on planning applications. These criteria are not intended to be an exhaustive list and are cross-cutting with other policies in this document.</w:t>
      </w:r>
    </w:p>
    <w:p w14:paraId="30876327" w14:textId="77777777" w:rsidR="00036685" w:rsidRPr="00F31667" w:rsidRDefault="00036685" w:rsidP="00874A98">
      <w:pPr>
        <w:pStyle w:val="ListParagraph"/>
        <w:numPr>
          <w:ilvl w:val="1"/>
          <w:numId w:val="92"/>
        </w:numPr>
        <w:autoSpaceDE w:val="0"/>
        <w:autoSpaceDN w:val="0"/>
        <w:adjustRightInd w:val="0"/>
        <w:spacing w:after="0" w:line="240" w:lineRule="auto"/>
        <w:ind w:left="851" w:hanging="851"/>
        <w:rPr>
          <w:rFonts w:ascii="Arial" w:eastAsia="Arial" w:hAnsi="Arial" w:cs="Arial"/>
          <w:szCs w:val="20"/>
          <w:lang w:eastAsia="en-GB"/>
        </w:rPr>
      </w:pPr>
      <w:r w:rsidRPr="00F31667">
        <w:rPr>
          <w:rFonts w:ascii="Arial" w:eastAsia="Arial" w:hAnsi="Arial" w:cs="Arial"/>
          <w:szCs w:val="20"/>
          <w:lang w:eastAsia="en-GB"/>
        </w:rPr>
        <w:t xml:space="preserve">Travelling Showpeople do not in general share the same culture or traditions as Gypsies and Travellers. Due to the nature of their business, sites often need to accommodate large amounts of fairground equipment to enable storage when not in use and for maintenance. These require much larger plots, rather than pitches, and can have a greater impact on the surrounding area both visually and in terms of noise.  </w:t>
      </w:r>
    </w:p>
    <w:p w14:paraId="54F39AEB" w14:textId="77777777" w:rsidR="00036685" w:rsidRPr="00F31667" w:rsidRDefault="00036685" w:rsidP="00823DBE">
      <w:pPr>
        <w:autoSpaceDE w:val="0"/>
        <w:autoSpaceDN w:val="0"/>
        <w:adjustRightInd w:val="0"/>
        <w:spacing w:before="0"/>
        <w:rPr>
          <w:rFonts w:eastAsia="Arial" w:cs="Arial"/>
        </w:rPr>
      </w:pPr>
    </w:p>
    <w:p w14:paraId="208B1BB7" w14:textId="77777777" w:rsidR="00036685" w:rsidRPr="00F31667" w:rsidRDefault="00036685" w:rsidP="00874A98">
      <w:pPr>
        <w:pStyle w:val="ListParagraph"/>
        <w:numPr>
          <w:ilvl w:val="1"/>
          <w:numId w:val="92"/>
        </w:numPr>
        <w:autoSpaceDE w:val="0"/>
        <w:autoSpaceDN w:val="0"/>
        <w:adjustRightInd w:val="0"/>
        <w:spacing w:after="0" w:line="240" w:lineRule="auto"/>
        <w:ind w:left="851" w:hanging="851"/>
        <w:rPr>
          <w:rFonts w:ascii="Arial" w:eastAsia="Arial" w:hAnsi="Arial" w:cs="Arial"/>
          <w:spacing w:val="-1"/>
          <w:szCs w:val="20"/>
          <w:lang w:eastAsia="en-GB"/>
        </w:rPr>
      </w:pPr>
      <w:r w:rsidRPr="00F31667">
        <w:rPr>
          <w:rFonts w:ascii="Arial" w:eastAsia="Arial" w:hAnsi="Arial" w:cs="Arial"/>
          <w:szCs w:val="20"/>
          <w:lang w:eastAsia="en-GB"/>
        </w:rPr>
        <w:t xml:space="preserve">With reference to flood risk, it should be noted that caravans, mobile homes and park homes intended for permanent residential use are classified as highly vulnerable in flooding terms and should not be permitted in Flood Zone 3. This approach is supported by Policy </w:t>
      </w:r>
      <w:r w:rsidRPr="0074669E">
        <w:rPr>
          <w:rFonts w:ascii="Arial" w:eastAsia="Arial" w:hAnsi="Arial" w:cs="Arial"/>
          <w:szCs w:val="20"/>
          <w:lang w:eastAsia="en-GB"/>
        </w:rPr>
        <w:t>CC3</w:t>
      </w:r>
      <w:r w:rsidRPr="00F31667">
        <w:rPr>
          <w:rFonts w:ascii="Arial" w:eastAsia="Arial" w:hAnsi="Arial" w:cs="Arial"/>
          <w:szCs w:val="20"/>
          <w:lang w:eastAsia="en-GB"/>
        </w:rPr>
        <w:t xml:space="preserve"> which requires development to meet the sequential test set out in the Technical Guidance to the NPPF.</w:t>
      </w:r>
    </w:p>
    <w:p w14:paraId="13B2F601" w14:textId="77777777" w:rsidR="00036685" w:rsidRPr="00F31667" w:rsidRDefault="00036685" w:rsidP="00823DBE">
      <w:pPr>
        <w:autoSpaceDE w:val="0"/>
        <w:autoSpaceDN w:val="0"/>
        <w:adjustRightInd w:val="0"/>
        <w:spacing w:before="0"/>
        <w:rPr>
          <w:rFonts w:eastAsia="Arial" w:cs="Arial"/>
        </w:rPr>
      </w:pPr>
    </w:p>
    <w:p w14:paraId="53943285" w14:textId="38DD5BA7" w:rsidR="00036685" w:rsidRPr="00F31667" w:rsidRDefault="00036685" w:rsidP="00874A98">
      <w:pPr>
        <w:pStyle w:val="ListParagraph"/>
        <w:numPr>
          <w:ilvl w:val="1"/>
          <w:numId w:val="92"/>
        </w:numPr>
        <w:autoSpaceDE w:val="0"/>
        <w:autoSpaceDN w:val="0"/>
        <w:adjustRightInd w:val="0"/>
        <w:spacing w:after="0" w:line="240" w:lineRule="auto"/>
        <w:ind w:left="851" w:hanging="851"/>
        <w:rPr>
          <w:rFonts w:ascii="Arial" w:eastAsia="Arial" w:hAnsi="Arial" w:cs="Arial"/>
          <w:spacing w:val="-1"/>
          <w:szCs w:val="20"/>
          <w:lang w:eastAsia="en-GB"/>
        </w:rPr>
      </w:pPr>
      <w:r w:rsidRPr="00F31667">
        <w:rPr>
          <w:rFonts w:ascii="Arial" w:eastAsia="Arial" w:hAnsi="Arial" w:cs="Arial"/>
          <w:szCs w:val="20"/>
          <w:lang w:eastAsia="en-GB"/>
        </w:rPr>
        <w:t xml:space="preserve">Policies </w:t>
      </w:r>
      <w:r w:rsidRPr="00EF521C">
        <w:rPr>
          <w:rFonts w:ascii="Arial" w:eastAsia="Arial" w:hAnsi="Arial" w:cs="Arial"/>
          <w:szCs w:val="20"/>
          <w:lang w:eastAsia="en-GB"/>
        </w:rPr>
        <w:t>EV4, EV</w:t>
      </w:r>
      <w:r w:rsidR="00EF521C" w:rsidRPr="00EF521C">
        <w:rPr>
          <w:rFonts w:ascii="Arial" w:eastAsia="Arial" w:hAnsi="Arial" w:cs="Arial"/>
          <w:szCs w:val="20"/>
          <w:lang w:eastAsia="en-GB"/>
        </w:rPr>
        <w:t>8</w:t>
      </w:r>
      <w:r w:rsidRPr="00EF521C">
        <w:rPr>
          <w:rFonts w:ascii="Arial" w:eastAsia="Arial" w:hAnsi="Arial" w:cs="Arial"/>
          <w:szCs w:val="20"/>
          <w:lang w:eastAsia="en-GB"/>
        </w:rPr>
        <w:t xml:space="preserve"> and EV</w:t>
      </w:r>
      <w:r w:rsidR="00EF521C" w:rsidRPr="00EF521C">
        <w:rPr>
          <w:rFonts w:ascii="Arial" w:eastAsia="Arial" w:hAnsi="Arial" w:cs="Arial"/>
          <w:szCs w:val="20"/>
          <w:lang w:eastAsia="en-GB"/>
        </w:rPr>
        <w:t>9</w:t>
      </w:r>
      <w:r w:rsidRPr="00F31667">
        <w:rPr>
          <w:rFonts w:ascii="Arial" w:eastAsia="Arial" w:hAnsi="Arial" w:cs="Arial"/>
          <w:szCs w:val="20"/>
          <w:lang w:eastAsia="en-GB"/>
        </w:rPr>
        <w:t xml:space="preserve"> refer to nature conservation and biodiversity, high quality agricultural land and heritage assets in more detail. </w:t>
      </w:r>
    </w:p>
    <w:p w14:paraId="7762EDF5" w14:textId="77777777" w:rsidR="00036685" w:rsidRPr="00F31667" w:rsidRDefault="00036685" w:rsidP="00823DBE">
      <w:pPr>
        <w:autoSpaceDE w:val="0"/>
        <w:autoSpaceDN w:val="0"/>
        <w:adjustRightInd w:val="0"/>
        <w:spacing w:before="0"/>
        <w:rPr>
          <w:rFonts w:eastAsia="Arial" w:cs="Arial"/>
        </w:rPr>
      </w:pPr>
    </w:p>
    <w:p w14:paraId="294FC172" w14:textId="77777777" w:rsidR="00036685" w:rsidRPr="00F31667" w:rsidRDefault="00036685" w:rsidP="00874A98">
      <w:pPr>
        <w:pStyle w:val="ListParagraph"/>
        <w:numPr>
          <w:ilvl w:val="1"/>
          <w:numId w:val="92"/>
        </w:numPr>
        <w:autoSpaceDE w:val="0"/>
        <w:autoSpaceDN w:val="0"/>
        <w:adjustRightInd w:val="0"/>
        <w:spacing w:after="0" w:line="240" w:lineRule="auto"/>
        <w:ind w:left="851" w:hanging="851"/>
        <w:rPr>
          <w:rFonts w:ascii="Arial" w:eastAsia="Arial" w:hAnsi="Arial" w:cs="Arial"/>
          <w:spacing w:val="-1"/>
          <w:szCs w:val="20"/>
          <w:lang w:eastAsia="en-GB"/>
        </w:rPr>
      </w:pPr>
      <w:r w:rsidRPr="00F31667">
        <w:rPr>
          <w:rFonts w:ascii="Arial" w:eastAsia="Arial" w:hAnsi="Arial" w:cs="Arial"/>
          <w:szCs w:val="20"/>
          <w:lang w:eastAsia="en-GB"/>
        </w:rPr>
        <w:t xml:space="preserve">In general terms the Council will look favourably upon applications that: </w:t>
      </w:r>
    </w:p>
    <w:p w14:paraId="73BD0C8D" w14:textId="77777777" w:rsidR="00036685" w:rsidRPr="00F31667" w:rsidRDefault="00036685" w:rsidP="00823DBE">
      <w:pPr>
        <w:keepLines/>
        <w:tabs>
          <w:tab w:val="left" w:pos="680"/>
        </w:tabs>
        <w:suppressAutoHyphens/>
        <w:spacing w:before="0"/>
        <w:ind w:right="56"/>
        <w:textAlignment w:val="baseline"/>
        <w:rPr>
          <w:rFonts w:eastAsia="Arial" w:cs="Arial"/>
        </w:rPr>
      </w:pPr>
    </w:p>
    <w:p w14:paraId="36976AC5" w14:textId="09E07015" w:rsidR="00036685" w:rsidRPr="00F31667" w:rsidRDefault="00036685" w:rsidP="00BA29ED">
      <w:pPr>
        <w:keepNext w:val="0"/>
        <w:keepLines/>
        <w:numPr>
          <w:ilvl w:val="0"/>
          <w:numId w:val="127"/>
        </w:numPr>
        <w:tabs>
          <w:tab w:val="left" w:pos="680"/>
        </w:tabs>
        <w:suppressAutoHyphens/>
        <w:spacing w:before="0"/>
        <w:ind w:left="1151" w:right="57" w:hanging="357"/>
        <w:textAlignment w:val="baseline"/>
        <w:rPr>
          <w:rFonts w:eastAsia="Arial" w:cs="Arial"/>
        </w:rPr>
      </w:pPr>
      <w:r w:rsidRPr="00F31667">
        <w:rPr>
          <w:rFonts w:eastAsia="Arial" w:cs="Arial"/>
        </w:rPr>
        <w:t xml:space="preserve">involve the development of </w:t>
      </w:r>
      <w:r w:rsidR="009D1815" w:rsidRPr="00F31667">
        <w:rPr>
          <w:rFonts w:eastAsia="Arial" w:cs="Arial"/>
        </w:rPr>
        <w:t>previously developed</w:t>
      </w:r>
      <w:r w:rsidRPr="00F31667">
        <w:rPr>
          <w:rFonts w:eastAsia="Arial" w:cs="Arial"/>
        </w:rPr>
        <w:t xml:space="preserve"> untidy or derelict land;</w:t>
      </w:r>
    </w:p>
    <w:p w14:paraId="4F6D1EB1" w14:textId="77777777" w:rsidR="007303DD" w:rsidRDefault="00036685" w:rsidP="00BA29ED">
      <w:pPr>
        <w:keepNext w:val="0"/>
        <w:keepLines/>
        <w:numPr>
          <w:ilvl w:val="0"/>
          <w:numId w:val="127"/>
        </w:numPr>
        <w:tabs>
          <w:tab w:val="left" w:pos="680"/>
        </w:tabs>
        <w:suppressAutoHyphens/>
        <w:spacing w:before="0"/>
        <w:ind w:left="1151" w:right="57" w:hanging="357"/>
        <w:textAlignment w:val="baseline"/>
        <w:rPr>
          <w:rFonts w:eastAsia="Arial" w:cs="Arial"/>
        </w:rPr>
      </w:pPr>
      <w:r w:rsidRPr="00F31667">
        <w:rPr>
          <w:rFonts w:eastAsia="Arial" w:cs="Arial"/>
        </w:rPr>
        <w:t>are well planned or soft landscaped in such a way as to positively enhance the environment and increase its openness;</w:t>
      </w:r>
    </w:p>
    <w:p w14:paraId="7D3B416B" w14:textId="309B432F" w:rsidR="00036685" w:rsidRPr="007303DD" w:rsidRDefault="00036685" w:rsidP="00BA29ED">
      <w:pPr>
        <w:keepNext w:val="0"/>
        <w:keepLines/>
        <w:numPr>
          <w:ilvl w:val="0"/>
          <w:numId w:val="127"/>
        </w:numPr>
        <w:tabs>
          <w:tab w:val="left" w:pos="680"/>
        </w:tabs>
        <w:suppressAutoHyphens/>
        <w:spacing w:before="0"/>
        <w:ind w:left="1151" w:right="57" w:hanging="357"/>
        <w:textAlignment w:val="baseline"/>
        <w:rPr>
          <w:rFonts w:eastAsia="Arial" w:cs="Arial"/>
        </w:rPr>
      </w:pPr>
      <w:r w:rsidRPr="007303DD">
        <w:rPr>
          <w:rFonts w:eastAsia="Arial" w:cs="Arial"/>
        </w:rPr>
        <w:t>ensure adequate landscaping and play areas for children;</w:t>
      </w:r>
    </w:p>
    <w:p w14:paraId="6549A805" w14:textId="77777777" w:rsidR="00036685" w:rsidRPr="00F31667" w:rsidRDefault="00036685" w:rsidP="00BA29ED">
      <w:pPr>
        <w:keepNext w:val="0"/>
        <w:keepLines/>
        <w:numPr>
          <w:ilvl w:val="0"/>
          <w:numId w:val="127"/>
        </w:numPr>
        <w:tabs>
          <w:tab w:val="left" w:pos="680"/>
        </w:tabs>
        <w:suppressAutoHyphens/>
        <w:spacing w:before="0"/>
        <w:ind w:left="1151" w:right="57" w:hanging="357"/>
        <w:textAlignment w:val="baseline"/>
        <w:rPr>
          <w:rFonts w:eastAsia="Arial" w:cs="Arial"/>
        </w:rPr>
      </w:pPr>
      <w:r w:rsidRPr="00F31667">
        <w:rPr>
          <w:rFonts w:eastAsia="Arial" w:cs="Arial"/>
        </w:rPr>
        <w:t>Do not enclose a site with so much hard landscaping, high walls or fences that the impression may be given that the site and its occupants are deliberately isolated from the rest of the community.</w:t>
      </w:r>
    </w:p>
    <w:p w14:paraId="55BFB549" w14:textId="77777777" w:rsidR="00036685" w:rsidRPr="00F31667" w:rsidRDefault="00036685" w:rsidP="00823DBE">
      <w:pPr>
        <w:autoSpaceDE w:val="0"/>
        <w:autoSpaceDN w:val="0"/>
        <w:adjustRightInd w:val="0"/>
        <w:spacing w:before="0"/>
        <w:rPr>
          <w:rFonts w:eastAsia="Arial" w:cs="Arial"/>
        </w:rPr>
      </w:pPr>
    </w:p>
    <w:p w14:paraId="369A99D2" w14:textId="77777777" w:rsidR="00036685" w:rsidRPr="00F31667" w:rsidRDefault="00036685" w:rsidP="00874A98">
      <w:pPr>
        <w:pStyle w:val="ListParagraph"/>
        <w:numPr>
          <w:ilvl w:val="1"/>
          <w:numId w:val="92"/>
        </w:numPr>
        <w:autoSpaceDE w:val="0"/>
        <w:autoSpaceDN w:val="0"/>
        <w:adjustRightInd w:val="0"/>
        <w:spacing w:after="0" w:line="240" w:lineRule="auto"/>
        <w:ind w:left="851" w:hanging="851"/>
        <w:rPr>
          <w:rFonts w:ascii="Arial" w:eastAsia="Arial" w:hAnsi="Arial" w:cs="Arial"/>
          <w:spacing w:val="-1"/>
          <w:szCs w:val="20"/>
          <w:lang w:eastAsia="en-GB"/>
        </w:rPr>
      </w:pPr>
      <w:r w:rsidRPr="00F31667">
        <w:rPr>
          <w:rFonts w:ascii="Arial" w:eastAsia="Arial" w:hAnsi="Arial" w:cs="Arial"/>
          <w:szCs w:val="20"/>
          <w:lang w:eastAsia="en-GB"/>
        </w:rPr>
        <w:t xml:space="preserve">The use of planning conditions or obligations should be considered in order to overcome planning objections to particular proposals, for example: </w:t>
      </w:r>
    </w:p>
    <w:p w14:paraId="640BE122" w14:textId="77777777" w:rsidR="00036685" w:rsidRPr="00F31667" w:rsidRDefault="00036685" w:rsidP="00823DBE">
      <w:pPr>
        <w:keepLines/>
        <w:tabs>
          <w:tab w:val="left" w:pos="680"/>
        </w:tabs>
        <w:suppressAutoHyphens/>
        <w:spacing w:before="0"/>
        <w:ind w:right="56"/>
        <w:textAlignment w:val="baseline"/>
        <w:rPr>
          <w:rFonts w:eastAsia="Arial" w:cs="Arial"/>
        </w:rPr>
      </w:pPr>
    </w:p>
    <w:p w14:paraId="36C8B902" w14:textId="77777777" w:rsidR="00036685" w:rsidRPr="00F31667" w:rsidRDefault="00036685" w:rsidP="00BA29ED">
      <w:pPr>
        <w:keepNext w:val="0"/>
        <w:keepLines/>
        <w:numPr>
          <w:ilvl w:val="0"/>
          <w:numId w:val="128"/>
        </w:numPr>
        <w:tabs>
          <w:tab w:val="left" w:pos="680"/>
        </w:tabs>
        <w:suppressAutoHyphens/>
        <w:spacing w:before="0"/>
        <w:ind w:left="1151" w:right="57" w:hanging="357"/>
        <w:textAlignment w:val="baseline"/>
        <w:rPr>
          <w:rFonts w:eastAsia="Arial" w:cs="Arial"/>
        </w:rPr>
      </w:pPr>
      <w:r w:rsidRPr="00F31667">
        <w:rPr>
          <w:rFonts w:eastAsia="Arial" w:cs="Arial"/>
        </w:rPr>
        <w:t>limiting which parts of a site may be used for any business operations, in order to minimise the visual impact and limit the effect of noise;</w:t>
      </w:r>
    </w:p>
    <w:p w14:paraId="4D6E4B88" w14:textId="03B283C6" w:rsidR="00036685" w:rsidRPr="00F31667" w:rsidRDefault="00036685" w:rsidP="00BA29ED">
      <w:pPr>
        <w:keepNext w:val="0"/>
        <w:keepLines/>
        <w:numPr>
          <w:ilvl w:val="0"/>
          <w:numId w:val="128"/>
        </w:numPr>
        <w:tabs>
          <w:tab w:val="left" w:pos="680"/>
        </w:tabs>
        <w:suppressAutoHyphens/>
        <w:spacing w:before="0"/>
        <w:ind w:left="1151" w:right="57" w:hanging="357"/>
        <w:textAlignment w:val="baseline"/>
        <w:rPr>
          <w:rFonts w:eastAsia="Arial" w:cs="Arial"/>
        </w:rPr>
      </w:pPr>
      <w:r w:rsidRPr="00F31667">
        <w:rPr>
          <w:rFonts w:eastAsia="Arial" w:cs="Arial"/>
        </w:rPr>
        <w:t xml:space="preserve">specifying the number of </w:t>
      </w:r>
      <w:r w:rsidR="009D1815" w:rsidRPr="00F31667">
        <w:rPr>
          <w:rFonts w:eastAsia="Arial" w:cs="Arial"/>
        </w:rPr>
        <w:t>days,</w:t>
      </w:r>
      <w:r w:rsidRPr="00F31667">
        <w:rPr>
          <w:rFonts w:eastAsia="Arial" w:cs="Arial"/>
        </w:rPr>
        <w:t xml:space="preserve"> the site can be occupied by more than the allowed number of caravans (which permits visitors and allows attendance at family or community events); </w:t>
      </w:r>
    </w:p>
    <w:p w14:paraId="1B547707" w14:textId="77777777" w:rsidR="00036685" w:rsidRPr="00F31667" w:rsidRDefault="00036685" w:rsidP="00BA29ED">
      <w:pPr>
        <w:keepNext w:val="0"/>
        <w:keepLines/>
        <w:numPr>
          <w:ilvl w:val="0"/>
          <w:numId w:val="128"/>
        </w:numPr>
        <w:tabs>
          <w:tab w:val="left" w:pos="680"/>
        </w:tabs>
        <w:suppressAutoHyphens/>
        <w:spacing w:before="0"/>
        <w:ind w:left="1151" w:right="57" w:hanging="357"/>
        <w:textAlignment w:val="baseline"/>
        <w:rPr>
          <w:rFonts w:eastAsia="Arial" w:cs="Arial"/>
        </w:rPr>
      </w:pPr>
      <w:r w:rsidRPr="00F31667">
        <w:rPr>
          <w:rFonts w:eastAsia="Arial" w:cs="Arial"/>
        </w:rPr>
        <w:t>limiting the maximum number of days for which caravans might be permitted to stay on a transit site.</w:t>
      </w:r>
    </w:p>
    <w:p w14:paraId="1266FA1F" w14:textId="77777777" w:rsidR="00036685" w:rsidRPr="00F31667" w:rsidRDefault="00036685" w:rsidP="00036685">
      <w:pPr>
        <w:autoSpaceDE w:val="0"/>
        <w:autoSpaceDN w:val="0"/>
        <w:adjustRightInd w:val="0"/>
        <w:rPr>
          <w:rFonts w:eastAsia="Arial" w:cs="Arial"/>
          <w:spacing w:val="-1"/>
        </w:rPr>
      </w:pPr>
    </w:p>
    <w:p w14:paraId="470D3D9B" w14:textId="3CAF1C47" w:rsidR="002B1A0E" w:rsidRPr="00823DBE" w:rsidRDefault="00036685" w:rsidP="00874A98">
      <w:pPr>
        <w:pStyle w:val="ListParagraph"/>
        <w:numPr>
          <w:ilvl w:val="1"/>
          <w:numId w:val="92"/>
        </w:numPr>
        <w:autoSpaceDE w:val="0"/>
        <w:autoSpaceDN w:val="0"/>
        <w:adjustRightInd w:val="0"/>
        <w:spacing w:after="0" w:line="240" w:lineRule="auto"/>
        <w:ind w:left="851" w:hanging="851"/>
        <w:contextualSpacing w:val="0"/>
        <w:rPr>
          <w:rFonts w:ascii="Arial" w:eastAsia="Arial" w:hAnsi="Arial" w:cs="Arial"/>
          <w:szCs w:val="24"/>
          <w:lang w:eastAsia="en-GB"/>
        </w:rPr>
      </w:pPr>
      <w:r w:rsidRPr="00F31667">
        <w:rPr>
          <w:rFonts w:ascii="Arial" w:hAnsi="Arial" w:cs="Arial"/>
          <w:b/>
          <w:szCs w:val="20"/>
          <w:lang w:eastAsia="en-GB"/>
        </w:rPr>
        <w:t xml:space="preserve">H2:3 </w:t>
      </w:r>
      <w:r w:rsidRPr="00F31667">
        <w:rPr>
          <w:rFonts w:ascii="Arial" w:eastAsia="Arial" w:hAnsi="Arial" w:cs="Arial"/>
          <w:szCs w:val="20"/>
          <w:lang w:eastAsia="en-GB"/>
        </w:rPr>
        <w:t>seeks to limit development very strictly in the open countryside in accordance with national policy</w:t>
      </w:r>
      <w:r w:rsidRPr="00F31667">
        <w:rPr>
          <w:rFonts w:ascii="Arial" w:eastAsia="Arial" w:hAnsi="Arial" w:cs="Arial"/>
          <w:szCs w:val="20"/>
          <w:vertAlign w:val="superscript"/>
          <w:lang w:eastAsia="en-GB"/>
        </w:rPr>
        <w:footnoteReference w:id="91"/>
      </w:r>
      <w:r w:rsidRPr="00F31667">
        <w:rPr>
          <w:rFonts w:ascii="Arial" w:eastAsia="Arial" w:hAnsi="Arial" w:cs="Arial"/>
          <w:szCs w:val="20"/>
          <w:lang w:eastAsia="en-GB"/>
        </w:rPr>
        <w:t>. However, where the District has an identified unmet pitch or plot need, the Council will apply a presumption in favour of development for sustainably located proposals outside of the Green Belt. This presumption will only apply where there is an unmet need identified within an up-to-date Traveller Accommodation Assessment for Ashfield District.</w:t>
      </w:r>
    </w:p>
    <w:p w14:paraId="24DCAE6E" w14:textId="77777777" w:rsidR="00823DBE" w:rsidRPr="00823DBE" w:rsidRDefault="00823DBE" w:rsidP="00823DBE">
      <w:pPr>
        <w:pStyle w:val="ListParagraph"/>
        <w:autoSpaceDE w:val="0"/>
        <w:autoSpaceDN w:val="0"/>
        <w:adjustRightInd w:val="0"/>
        <w:spacing w:after="0" w:line="240" w:lineRule="auto"/>
        <w:ind w:left="851"/>
        <w:contextualSpacing w:val="0"/>
        <w:rPr>
          <w:rFonts w:ascii="Arial" w:eastAsia="Arial" w:hAnsi="Arial" w:cs="Arial"/>
          <w:szCs w:val="24"/>
          <w:lang w:eastAsia="en-GB"/>
        </w:rPr>
      </w:pPr>
    </w:p>
    <w:p w14:paraId="13062D1D" w14:textId="4053A221" w:rsidR="00B525B4" w:rsidRDefault="00036685" w:rsidP="00874A98">
      <w:pPr>
        <w:pStyle w:val="ListParagraph"/>
        <w:numPr>
          <w:ilvl w:val="1"/>
          <w:numId w:val="92"/>
        </w:numPr>
        <w:autoSpaceDE w:val="0"/>
        <w:autoSpaceDN w:val="0"/>
        <w:adjustRightInd w:val="0"/>
        <w:spacing w:after="0" w:line="240" w:lineRule="auto"/>
        <w:ind w:left="851" w:hanging="851"/>
        <w:contextualSpacing w:val="0"/>
        <w:rPr>
          <w:rFonts w:ascii="Arial" w:eastAsia="Arial" w:hAnsi="Arial" w:cs="Arial"/>
          <w:szCs w:val="24"/>
          <w:lang w:eastAsia="en-GB"/>
        </w:rPr>
      </w:pPr>
      <w:r w:rsidRPr="002B1A0E">
        <w:rPr>
          <w:rFonts w:ascii="Arial" w:hAnsi="Arial" w:cs="Arial"/>
          <w:b/>
          <w:szCs w:val="24"/>
        </w:rPr>
        <w:t>H2:4</w:t>
      </w:r>
      <w:r w:rsidRPr="002B1A0E">
        <w:rPr>
          <w:rFonts w:ascii="Arial" w:eastAsia="Arial" w:hAnsi="Arial" w:cs="Arial"/>
          <w:szCs w:val="24"/>
        </w:rPr>
        <w:t xml:space="preserve"> of this policy safeguards both existing and future authorised gypsy/traveller or travelling showperson’s sites. It aims to ensure that the permitted use is not lost through the grant of any subsequent planning permission, or relaxation of planning conditions which may allow alternative types of development or uses. It is important that sites are retained to meet identified traveller needs within the District, and any wider unmet needs under the Duty to Co-operate. </w:t>
      </w:r>
    </w:p>
    <w:p w14:paraId="30878A58" w14:textId="7578D056" w:rsidR="002B1A0E" w:rsidRDefault="002B1A0E" w:rsidP="002B1A0E">
      <w:pPr>
        <w:pStyle w:val="ListParagraph"/>
        <w:autoSpaceDE w:val="0"/>
        <w:autoSpaceDN w:val="0"/>
        <w:adjustRightInd w:val="0"/>
        <w:spacing w:after="0" w:line="240" w:lineRule="auto"/>
        <w:ind w:left="851"/>
        <w:rPr>
          <w:rFonts w:ascii="Arial" w:hAnsi="Arial" w:cs="Arial"/>
          <w:b/>
          <w:szCs w:val="24"/>
        </w:rPr>
      </w:pPr>
    </w:p>
    <w:p w14:paraId="36DD5746" w14:textId="1F342495" w:rsidR="008F4010" w:rsidRDefault="008F4010" w:rsidP="002B1A0E">
      <w:pPr>
        <w:pStyle w:val="ListParagraph"/>
        <w:autoSpaceDE w:val="0"/>
        <w:autoSpaceDN w:val="0"/>
        <w:adjustRightInd w:val="0"/>
        <w:spacing w:after="0" w:line="240" w:lineRule="auto"/>
        <w:ind w:left="851"/>
        <w:rPr>
          <w:rFonts w:ascii="Arial" w:hAnsi="Arial" w:cs="Arial"/>
          <w:b/>
          <w:szCs w:val="24"/>
        </w:rPr>
      </w:pPr>
    </w:p>
    <w:p w14:paraId="3C09A461" w14:textId="4437A752" w:rsidR="003E2B7C" w:rsidRPr="00995322" w:rsidRDefault="003E2B7C" w:rsidP="00995322">
      <w:pPr>
        <w:pStyle w:val="Heading2"/>
        <w:jc w:val="left"/>
        <w:rPr>
          <w:rFonts w:eastAsia="Arial"/>
          <w:sz w:val="28"/>
          <w:szCs w:val="28"/>
        </w:rPr>
      </w:pPr>
      <w:bookmarkStart w:id="219" w:name="_Toc145511589"/>
      <w:bookmarkStart w:id="220" w:name="_Hlk82608557"/>
      <w:r w:rsidRPr="00995322">
        <w:rPr>
          <w:rStyle w:val="Heading10"/>
          <w:b/>
          <w:color w:val="auto"/>
          <w:sz w:val="28"/>
          <w:szCs w:val="28"/>
        </w:rPr>
        <w:t xml:space="preserve">Policy H2a: </w:t>
      </w:r>
      <w:r w:rsidR="00993E9F" w:rsidRPr="00995322">
        <w:rPr>
          <w:rStyle w:val="Heading10"/>
          <w:b/>
          <w:color w:val="auto"/>
          <w:sz w:val="28"/>
          <w:szCs w:val="28"/>
        </w:rPr>
        <w:t xml:space="preserve">Gypsy, Traveller and </w:t>
      </w:r>
      <w:r w:rsidRPr="00995322">
        <w:rPr>
          <w:rStyle w:val="Heading10"/>
          <w:b/>
          <w:color w:val="auto"/>
          <w:sz w:val="28"/>
          <w:szCs w:val="28"/>
        </w:rPr>
        <w:t>Travelling Showpeople</w:t>
      </w:r>
      <w:r w:rsidRPr="00995322">
        <w:rPr>
          <w:rFonts w:eastAsia="Arial"/>
          <w:sz w:val="28"/>
          <w:szCs w:val="28"/>
        </w:rPr>
        <w:t xml:space="preserve"> Site Allocations</w:t>
      </w:r>
      <w:bookmarkEnd w:id="219"/>
    </w:p>
    <w:bookmarkEnd w:id="220"/>
    <w:p w14:paraId="4ED1DFC3" w14:textId="046674E9" w:rsidR="003E2B7C" w:rsidRPr="00151A37" w:rsidRDefault="003E2B7C" w:rsidP="00151A37">
      <w:pPr>
        <w:rPr>
          <w:rFonts w:eastAsia="Arial"/>
        </w:rPr>
      </w:pPr>
      <w:r w:rsidRPr="00151A37">
        <w:rPr>
          <w:rFonts w:eastAsia="Arial"/>
        </w:rPr>
        <w:t xml:space="preserve"> </w:t>
      </w:r>
    </w:p>
    <w:p w14:paraId="699FB994" w14:textId="490CAD01" w:rsidR="003E2B7C" w:rsidRPr="009E34A6" w:rsidRDefault="003E2B7C" w:rsidP="00874A98">
      <w:pPr>
        <w:pStyle w:val="ListParagraph"/>
        <w:numPr>
          <w:ilvl w:val="1"/>
          <w:numId w:val="92"/>
        </w:numPr>
        <w:autoSpaceDE w:val="0"/>
        <w:autoSpaceDN w:val="0"/>
        <w:adjustRightInd w:val="0"/>
        <w:spacing w:after="0" w:line="240" w:lineRule="auto"/>
        <w:ind w:left="851" w:hanging="851"/>
        <w:rPr>
          <w:rFonts w:eastAsia="Arial"/>
          <w:color w:val="auto"/>
        </w:rPr>
      </w:pPr>
      <w:r w:rsidRPr="006D4F49">
        <w:rPr>
          <w:rStyle w:val="Normal1"/>
          <w:rFonts w:cs="Arial"/>
          <w:szCs w:val="24"/>
        </w:rPr>
        <w:t xml:space="preserve">Policy H2a </w:t>
      </w:r>
      <w:r w:rsidRPr="006D4F49">
        <w:rPr>
          <w:rFonts w:ascii="Arial" w:eastAsia="Arial" w:hAnsi="Arial" w:cs="Arial"/>
          <w:szCs w:val="24"/>
        </w:rPr>
        <w:t>allocates sites for use by</w:t>
      </w:r>
      <w:r w:rsidR="00993E9F">
        <w:rPr>
          <w:rFonts w:ascii="Arial" w:eastAsia="Arial" w:hAnsi="Arial" w:cs="Arial"/>
          <w:szCs w:val="24"/>
        </w:rPr>
        <w:t xml:space="preserve"> </w:t>
      </w:r>
      <w:r w:rsidRPr="006D4F49">
        <w:rPr>
          <w:rFonts w:ascii="Arial" w:eastAsia="Arial" w:hAnsi="Arial" w:cs="Arial"/>
          <w:szCs w:val="24"/>
        </w:rPr>
        <w:t xml:space="preserve">the </w:t>
      </w:r>
      <w:r w:rsidR="00993E9F" w:rsidRPr="009E34A6">
        <w:rPr>
          <w:rFonts w:ascii="Arial" w:eastAsia="Arial" w:hAnsi="Arial" w:cs="Arial"/>
          <w:color w:val="auto"/>
          <w:szCs w:val="24"/>
        </w:rPr>
        <w:t xml:space="preserve">Gypsy, Traveller and </w:t>
      </w:r>
      <w:r w:rsidRPr="009E34A6">
        <w:rPr>
          <w:rFonts w:ascii="Arial" w:eastAsia="Arial" w:hAnsi="Arial" w:cs="Arial"/>
          <w:color w:val="auto"/>
          <w:szCs w:val="24"/>
        </w:rPr>
        <w:t xml:space="preserve">Travelling showperson community </w:t>
      </w:r>
      <w:r w:rsidR="00993E9F" w:rsidRPr="009E34A6">
        <w:rPr>
          <w:rFonts w:ascii="Arial" w:eastAsia="Arial" w:hAnsi="Arial" w:cs="Arial"/>
          <w:color w:val="auto"/>
          <w:szCs w:val="24"/>
        </w:rPr>
        <w:t xml:space="preserve">to provide </w:t>
      </w:r>
      <w:r w:rsidRPr="009E34A6">
        <w:rPr>
          <w:rFonts w:ascii="Arial" w:eastAsia="Arial" w:hAnsi="Arial" w:cs="Arial"/>
          <w:color w:val="auto"/>
          <w:szCs w:val="24"/>
        </w:rPr>
        <w:t>the assessed need identified in Strategic Policy S</w:t>
      </w:r>
      <w:r w:rsidR="00B906EC">
        <w:rPr>
          <w:rFonts w:ascii="Arial" w:eastAsia="Arial" w:hAnsi="Arial" w:cs="Arial"/>
          <w:color w:val="auto"/>
          <w:szCs w:val="24"/>
        </w:rPr>
        <w:t>7</w:t>
      </w:r>
      <w:r w:rsidRPr="009E34A6">
        <w:rPr>
          <w:rFonts w:ascii="Arial" w:eastAsia="Arial" w:hAnsi="Arial" w:cs="Arial"/>
          <w:color w:val="auto"/>
          <w:szCs w:val="24"/>
        </w:rPr>
        <w:t>.</w:t>
      </w:r>
    </w:p>
    <w:p w14:paraId="7499DEBC" w14:textId="77777777" w:rsidR="003E2B7C" w:rsidRPr="006D4F49" w:rsidRDefault="003E2B7C" w:rsidP="003E2B7C">
      <w:pPr>
        <w:autoSpaceDE w:val="0"/>
        <w:autoSpaceDN w:val="0"/>
        <w:adjustRightInd w:val="0"/>
        <w:rPr>
          <w:rFonts w:eastAsia="Arial"/>
        </w:rPr>
      </w:pPr>
    </w:p>
    <w:tbl>
      <w:tblPr>
        <w:tblStyle w:val="ReportTable1"/>
        <w:tblW w:w="0" w:type="auto"/>
        <w:tblLook w:val="04A0" w:firstRow="1" w:lastRow="0" w:firstColumn="1" w:lastColumn="0" w:noHBand="0" w:noVBand="1"/>
      </w:tblPr>
      <w:tblGrid>
        <w:gridCol w:w="2660"/>
        <w:gridCol w:w="6828"/>
      </w:tblGrid>
      <w:tr w:rsidR="003E2B7C" w:rsidRPr="006D4F49" w14:paraId="1AF424E6" w14:textId="77777777" w:rsidTr="009D0F2B">
        <w:tc>
          <w:tcPr>
            <w:tcW w:w="9488" w:type="dxa"/>
            <w:gridSpan w:val="2"/>
          </w:tcPr>
          <w:p w14:paraId="2CF3AB02" w14:textId="3F357E0E" w:rsidR="003E2B7C" w:rsidRPr="006D4F49" w:rsidRDefault="003E2B7C" w:rsidP="003E2B7C">
            <w:pPr>
              <w:pStyle w:val="Heading"/>
              <w:spacing w:before="120" w:after="120"/>
              <w:rPr>
                <w:rStyle w:val="Heading10"/>
                <w:rFonts w:cs="Arial"/>
                <w:b/>
                <w:color w:val="000000" w:themeColor="text1"/>
              </w:rPr>
            </w:pPr>
            <w:r w:rsidRPr="006D4F49">
              <w:rPr>
                <w:rStyle w:val="Heading10"/>
                <w:rFonts w:cs="Arial"/>
                <w:b/>
                <w:color w:val="000000" w:themeColor="text1"/>
              </w:rPr>
              <w:t>Policy H</w:t>
            </w:r>
            <w:r w:rsidR="00522445" w:rsidRPr="006D4F49">
              <w:rPr>
                <w:rStyle w:val="Heading10"/>
                <w:rFonts w:cs="Arial"/>
                <w:b/>
                <w:color w:val="000000" w:themeColor="text1"/>
              </w:rPr>
              <w:t>2</w:t>
            </w:r>
            <w:r w:rsidR="00522445" w:rsidRPr="006D4F49">
              <w:rPr>
                <w:rStyle w:val="Heading10"/>
                <w:b/>
                <w:color w:val="000000" w:themeColor="text1"/>
              </w:rPr>
              <w:t>a</w:t>
            </w:r>
            <w:r w:rsidRPr="006D4F49">
              <w:rPr>
                <w:rStyle w:val="Heading10"/>
                <w:rFonts w:cs="Arial"/>
                <w:b/>
                <w:color w:val="000000" w:themeColor="text1"/>
              </w:rPr>
              <w:t xml:space="preserve">:  </w:t>
            </w:r>
            <w:bookmarkStart w:id="221" w:name="_Hlk146198742"/>
            <w:r w:rsidR="0051278A" w:rsidRPr="009E34A6">
              <w:rPr>
                <w:rStyle w:val="Heading10"/>
                <w:rFonts w:cs="Arial"/>
                <w:b/>
                <w:color w:val="auto"/>
              </w:rPr>
              <w:t>G</w:t>
            </w:r>
            <w:r w:rsidR="0051278A" w:rsidRPr="009E34A6">
              <w:rPr>
                <w:rStyle w:val="Heading10"/>
                <w:b/>
                <w:color w:val="auto"/>
              </w:rPr>
              <w:t xml:space="preserve">ypsy, Traveller and </w:t>
            </w:r>
            <w:r w:rsidR="00522445" w:rsidRPr="009E34A6">
              <w:rPr>
                <w:rFonts w:cs="Arial"/>
                <w:bCs/>
                <w:color w:val="auto"/>
              </w:rPr>
              <w:t xml:space="preserve">Travelling </w:t>
            </w:r>
            <w:r w:rsidR="00522445" w:rsidRPr="006D4F49">
              <w:rPr>
                <w:rFonts w:cs="Arial"/>
                <w:bCs/>
                <w:color w:val="000000" w:themeColor="text1"/>
              </w:rPr>
              <w:t>Showpeople</w:t>
            </w:r>
            <w:r w:rsidR="00522445" w:rsidRPr="006D4F49">
              <w:rPr>
                <w:rFonts w:cs="Arial"/>
                <w:color w:val="000000" w:themeColor="text1"/>
              </w:rPr>
              <w:t xml:space="preserve"> Site Allocations</w:t>
            </w:r>
            <w:bookmarkEnd w:id="221"/>
          </w:p>
        </w:tc>
      </w:tr>
      <w:tr w:rsidR="003E2B7C" w:rsidRPr="006D4F49" w14:paraId="37D64707" w14:textId="77777777" w:rsidTr="009D0F2B">
        <w:tc>
          <w:tcPr>
            <w:tcW w:w="2660" w:type="dxa"/>
          </w:tcPr>
          <w:p w14:paraId="233855BC" w14:textId="77777777" w:rsidR="003E2B7C" w:rsidRPr="006D4F49" w:rsidRDefault="003E2B7C" w:rsidP="003E2B7C">
            <w:pPr>
              <w:pStyle w:val="Heading"/>
              <w:spacing w:before="40" w:after="40"/>
              <w:rPr>
                <w:rStyle w:val="Heading10"/>
                <w:rFonts w:cs="Arial"/>
                <w:bCs/>
                <w:color w:val="000000" w:themeColor="text1"/>
              </w:rPr>
            </w:pPr>
            <w:r w:rsidRPr="006D4F49">
              <w:rPr>
                <w:rStyle w:val="Heading10"/>
                <w:rFonts w:cs="Arial"/>
                <w:bCs/>
                <w:color w:val="000000" w:themeColor="text1"/>
              </w:rPr>
              <w:t>Strategic Objectives</w:t>
            </w:r>
          </w:p>
        </w:tc>
        <w:tc>
          <w:tcPr>
            <w:tcW w:w="6828" w:type="dxa"/>
          </w:tcPr>
          <w:p w14:paraId="433DE064" w14:textId="77777777" w:rsidR="003E2B7C" w:rsidRPr="006D4F49" w:rsidRDefault="003E2B7C" w:rsidP="003E2B7C">
            <w:pPr>
              <w:pStyle w:val="Heading"/>
              <w:spacing w:before="40" w:after="40"/>
              <w:rPr>
                <w:rStyle w:val="Heading10"/>
                <w:rFonts w:cs="Arial"/>
                <w:bCs/>
                <w:color w:val="000000" w:themeColor="text1"/>
              </w:rPr>
            </w:pPr>
            <w:r w:rsidRPr="006D4F49">
              <w:rPr>
                <w:rStyle w:val="Heading10"/>
                <w:rFonts w:cs="Arial"/>
                <w:bCs/>
                <w:color w:val="000000" w:themeColor="text1"/>
              </w:rPr>
              <w:t>SO3, SO5, SO11, SO12, SO13</w:t>
            </w:r>
          </w:p>
        </w:tc>
      </w:tr>
      <w:tr w:rsidR="003E2B7C" w:rsidRPr="006D4F49" w14:paraId="1B54B75B" w14:textId="77777777" w:rsidTr="00380F63">
        <w:trPr>
          <w:trHeight w:val="1190"/>
        </w:trPr>
        <w:tc>
          <w:tcPr>
            <w:tcW w:w="9488" w:type="dxa"/>
            <w:gridSpan w:val="2"/>
            <w:shd w:val="clear" w:color="auto" w:fill="FFCC99"/>
          </w:tcPr>
          <w:p w14:paraId="1778244B" w14:textId="77777777" w:rsidR="00D52CC1" w:rsidRDefault="00D52CC1" w:rsidP="00D52CC1">
            <w:pPr>
              <w:pStyle w:val="Policy"/>
              <w:spacing w:after="0" w:line="240" w:lineRule="auto"/>
              <w:ind w:left="455" w:right="284"/>
              <w:rPr>
                <w:rStyle w:val="Normal1"/>
                <w:rFonts w:cs="Arial"/>
                <w:bCs/>
              </w:rPr>
            </w:pPr>
          </w:p>
          <w:p w14:paraId="7FFAE508" w14:textId="2338FB5C" w:rsidR="003E2B7C" w:rsidRPr="006D4F49" w:rsidRDefault="000E5311" w:rsidP="00D52CC1">
            <w:pPr>
              <w:pStyle w:val="Policy"/>
              <w:spacing w:after="0" w:line="240" w:lineRule="auto"/>
              <w:ind w:left="455" w:right="284"/>
              <w:rPr>
                <w:rStyle w:val="Normal1"/>
                <w:rFonts w:cs="Arial"/>
                <w:bCs/>
              </w:rPr>
            </w:pPr>
            <w:r w:rsidRPr="006D4F49">
              <w:rPr>
                <w:rStyle w:val="Normal1"/>
                <w:rFonts w:cs="Arial"/>
                <w:bCs/>
              </w:rPr>
              <w:t>D</w:t>
            </w:r>
            <w:r w:rsidR="003E2B7C" w:rsidRPr="006D4F49">
              <w:rPr>
                <w:rStyle w:val="Normal1"/>
                <w:rFonts w:cs="Arial"/>
                <w:bCs/>
              </w:rPr>
              <w:t xml:space="preserve">evelopment </w:t>
            </w:r>
            <w:r w:rsidRPr="006D4F49">
              <w:rPr>
                <w:rStyle w:val="Normal1"/>
                <w:rFonts w:cs="Arial"/>
                <w:bCs/>
              </w:rPr>
              <w:t xml:space="preserve">of plots </w:t>
            </w:r>
            <w:r w:rsidR="00D52CC1" w:rsidRPr="009E34A6">
              <w:rPr>
                <w:rStyle w:val="Normal1"/>
                <w:rFonts w:cs="Arial"/>
                <w:bCs/>
              </w:rPr>
              <w:t>f</w:t>
            </w:r>
            <w:r w:rsidR="00D52CC1" w:rsidRPr="009E34A6">
              <w:rPr>
                <w:rStyle w:val="Normal1"/>
                <w:bCs/>
              </w:rPr>
              <w:t xml:space="preserve">or </w:t>
            </w:r>
            <w:r w:rsidRPr="009E34A6">
              <w:rPr>
                <w:rStyle w:val="Normal1"/>
                <w:rFonts w:cs="Arial"/>
                <w:bCs/>
              </w:rPr>
              <w:t>Travelling Showpeople</w:t>
            </w:r>
            <w:r w:rsidR="00D52CC1" w:rsidRPr="009E34A6">
              <w:rPr>
                <w:rStyle w:val="Normal1"/>
                <w:rFonts w:cs="Arial"/>
                <w:bCs/>
              </w:rPr>
              <w:t>’</w:t>
            </w:r>
            <w:r w:rsidR="00D52CC1" w:rsidRPr="009E34A6">
              <w:rPr>
                <w:rStyle w:val="Normal1"/>
                <w:bCs/>
              </w:rPr>
              <w:t>s accommodation</w:t>
            </w:r>
            <w:r w:rsidRPr="009E34A6">
              <w:rPr>
                <w:rStyle w:val="Normal1"/>
                <w:rFonts w:cs="Arial"/>
                <w:bCs/>
              </w:rPr>
              <w:t xml:space="preserve"> </w:t>
            </w:r>
            <w:r w:rsidR="003E2B7C" w:rsidRPr="006D4F49">
              <w:rPr>
                <w:rStyle w:val="Normal1"/>
                <w:rFonts w:cs="Arial"/>
                <w:bCs/>
              </w:rPr>
              <w:t>will be permitted on the sites listed below as shown on the Policies Map.</w:t>
            </w:r>
          </w:p>
          <w:p w14:paraId="57316010" w14:textId="77777777" w:rsidR="003E2B7C" w:rsidRPr="006D4F49" w:rsidRDefault="003E2B7C" w:rsidP="003E2B7C">
            <w:pPr>
              <w:pStyle w:val="Policy"/>
              <w:spacing w:after="0" w:line="240" w:lineRule="auto"/>
              <w:ind w:left="0" w:right="284"/>
              <w:rPr>
                <w:rStyle w:val="Normal1"/>
                <w:rFonts w:cs="Arial"/>
                <w:bCs/>
              </w:rPr>
            </w:pPr>
          </w:p>
          <w:tbl>
            <w:tblPr>
              <w:tblStyle w:val="ReportTable1"/>
              <w:tblW w:w="8102" w:type="dxa"/>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950"/>
              <w:gridCol w:w="2908"/>
              <w:gridCol w:w="1366"/>
              <w:gridCol w:w="1488"/>
              <w:gridCol w:w="1390"/>
            </w:tblGrid>
            <w:tr w:rsidR="003E2B7C" w:rsidRPr="006D4F49" w14:paraId="380BF7C4" w14:textId="77777777" w:rsidTr="00D52CC1">
              <w:trPr>
                <w:trHeight w:val="916"/>
                <w:jc w:val="center"/>
              </w:trPr>
              <w:tc>
                <w:tcPr>
                  <w:tcW w:w="950" w:type="dxa"/>
                  <w:shd w:val="clear" w:color="auto" w:fill="D9D9D9"/>
                  <w:hideMark/>
                </w:tcPr>
                <w:p w14:paraId="2F9B8F17" w14:textId="77777777" w:rsidR="003E2B7C" w:rsidRPr="006D4F49" w:rsidRDefault="003E2B7C" w:rsidP="00D52CC1">
                  <w:pPr>
                    <w:ind w:hanging="38"/>
                    <w:rPr>
                      <w:rFonts w:cs="Arial"/>
                      <w:b/>
                      <w:bCs/>
                      <w:color w:val="000000"/>
                      <w:sz w:val="22"/>
                    </w:rPr>
                  </w:pPr>
                  <w:r w:rsidRPr="006D4F49">
                    <w:rPr>
                      <w:rFonts w:cs="Arial"/>
                      <w:b/>
                      <w:bCs/>
                      <w:color w:val="000000"/>
                      <w:sz w:val="22"/>
                    </w:rPr>
                    <w:t>Site Ref.</w:t>
                  </w:r>
                </w:p>
              </w:tc>
              <w:tc>
                <w:tcPr>
                  <w:tcW w:w="2908" w:type="dxa"/>
                  <w:shd w:val="clear" w:color="auto" w:fill="D9D9D9"/>
                  <w:hideMark/>
                </w:tcPr>
                <w:p w14:paraId="7DCD2FD5" w14:textId="77777777" w:rsidR="003E2B7C" w:rsidRPr="006D4F49" w:rsidRDefault="003E2B7C" w:rsidP="003E2B7C">
                  <w:pPr>
                    <w:rPr>
                      <w:rFonts w:cs="Arial"/>
                      <w:b/>
                      <w:bCs/>
                      <w:color w:val="000000"/>
                      <w:sz w:val="22"/>
                    </w:rPr>
                  </w:pPr>
                  <w:r w:rsidRPr="006D4F49">
                    <w:rPr>
                      <w:rFonts w:cs="Arial"/>
                      <w:b/>
                      <w:bCs/>
                      <w:color w:val="000000"/>
                      <w:sz w:val="22"/>
                    </w:rPr>
                    <w:t>Site Name</w:t>
                  </w:r>
                </w:p>
              </w:tc>
              <w:tc>
                <w:tcPr>
                  <w:tcW w:w="1366" w:type="dxa"/>
                  <w:shd w:val="clear" w:color="auto" w:fill="D9D9D9"/>
                  <w:hideMark/>
                </w:tcPr>
                <w:p w14:paraId="43B0ED59" w14:textId="77777777" w:rsidR="003E2B7C" w:rsidRPr="006D4F49" w:rsidRDefault="003E2B7C" w:rsidP="009D0F2B">
                  <w:pPr>
                    <w:rPr>
                      <w:rFonts w:cs="Arial"/>
                      <w:b/>
                      <w:bCs/>
                      <w:color w:val="000000"/>
                      <w:sz w:val="22"/>
                    </w:rPr>
                  </w:pPr>
                  <w:r w:rsidRPr="006D4F49">
                    <w:rPr>
                      <w:rFonts w:cs="Arial"/>
                      <w:b/>
                      <w:bCs/>
                      <w:color w:val="000000"/>
                      <w:sz w:val="22"/>
                    </w:rPr>
                    <w:t>Greenfield/ Brownfield</w:t>
                  </w:r>
                </w:p>
              </w:tc>
              <w:tc>
                <w:tcPr>
                  <w:tcW w:w="1488" w:type="dxa"/>
                  <w:shd w:val="clear" w:color="auto" w:fill="D9D9D9"/>
                </w:tcPr>
                <w:p w14:paraId="758E499E" w14:textId="77777777" w:rsidR="003E2B7C" w:rsidRPr="006D4F49" w:rsidRDefault="003E2B7C" w:rsidP="003E2B7C">
                  <w:pPr>
                    <w:jc w:val="center"/>
                    <w:rPr>
                      <w:rFonts w:cs="Arial"/>
                      <w:b/>
                      <w:bCs/>
                      <w:color w:val="000000"/>
                      <w:sz w:val="22"/>
                    </w:rPr>
                  </w:pPr>
                  <w:r w:rsidRPr="006D4F49">
                    <w:rPr>
                      <w:rFonts w:cs="Arial"/>
                      <w:b/>
                      <w:bCs/>
                      <w:color w:val="000000"/>
                      <w:sz w:val="22"/>
                    </w:rPr>
                    <w:t>Planning Permission*</w:t>
                  </w:r>
                </w:p>
              </w:tc>
              <w:tc>
                <w:tcPr>
                  <w:tcW w:w="1390" w:type="dxa"/>
                  <w:shd w:val="clear" w:color="auto" w:fill="D9D9D9"/>
                  <w:hideMark/>
                </w:tcPr>
                <w:p w14:paraId="6EAB2DE1" w14:textId="517647A7" w:rsidR="003E2B7C" w:rsidRPr="006D4F49" w:rsidRDefault="003E2B7C" w:rsidP="003E2B7C">
                  <w:pPr>
                    <w:jc w:val="center"/>
                    <w:rPr>
                      <w:rFonts w:cs="Arial"/>
                      <w:b/>
                      <w:bCs/>
                      <w:color w:val="000000"/>
                      <w:sz w:val="22"/>
                    </w:rPr>
                  </w:pPr>
                  <w:r w:rsidRPr="006D4F49">
                    <w:rPr>
                      <w:rFonts w:cs="Arial"/>
                      <w:b/>
                      <w:bCs/>
                      <w:color w:val="000000"/>
                      <w:sz w:val="22"/>
                    </w:rPr>
                    <w:t>Potential Yield (</w:t>
                  </w:r>
                  <w:r w:rsidR="000F38FD" w:rsidRPr="006D4F49">
                    <w:rPr>
                      <w:rFonts w:cs="Arial"/>
                      <w:b/>
                      <w:bCs/>
                      <w:color w:val="000000"/>
                      <w:sz w:val="22"/>
                    </w:rPr>
                    <w:t>plots</w:t>
                  </w:r>
                  <w:r w:rsidRPr="006D4F49">
                    <w:rPr>
                      <w:rFonts w:cs="Arial"/>
                      <w:b/>
                      <w:bCs/>
                      <w:color w:val="000000"/>
                      <w:sz w:val="22"/>
                    </w:rPr>
                    <w:t>)</w:t>
                  </w:r>
                </w:p>
              </w:tc>
            </w:tr>
            <w:tr w:rsidR="003E2B7C" w:rsidRPr="006D4F49" w14:paraId="09238ECB" w14:textId="77777777" w:rsidTr="00D52CC1">
              <w:trPr>
                <w:trHeight w:val="630"/>
                <w:jc w:val="center"/>
              </w:trPr>
              <w:tc>
                <w:tcPr>
                  <w:tcW w:w="950" w:type="dxa"/>
                  <w:noWrap/>
                </w:tcPr>
                <w:p w14:paraId="3E2CEAC0" w14:textId="7A5F48B0" w:rsidR="003E2B7C" w:rsidRPr="0067043F" w:rsidRDefault="003E2B7C" w:rsidP="0067043F">
                  <w:r w:rsidRPr="006D4F49">
                    <w:t>H</w:t>
                  </w:r>
                  <w:r w:rsidR="000F38FD" w:rsidRPr="006D4F49">
                    <w:t>2a(a)</w:t>
                  </w:r>
                </w:p>
              </w:tc>
              <w:tc>
                <w:tcPr>
                  <w:tcW w:w="2908" w:type="dxa"/>
                </w:tcPr>
                <w:p w14:paraId="5C36ABB4" w14:textId="0B36DD22" w:rsidR="003E2B7C" w:rsidRPr="006D4F49" w:rsidRDefault="000E5311" w:rsidP="003E2B7C">
                  <w:pPr>
                    <w:rPr>
                      <w:rFonts w:cs="Arial"/>
                      <w:color w:val="000000"/>
                      <w:sz w:val="22"/>
                    </w:rPr>
                  </w:pPr>
                  <w:r w:rsidRPr="006D4F49">
                    <w:rPr>
                      <w:rFonts w:cs="Arial"/>
                      <w:color w:val="000000"/>
                      <w:sz w:val="22"/>
                    </w:rPr>
                    <w:t>L</w:t>
                  </w:r>
                  <w:r w:rsidRPr="006D4F49">
                    <w:rPr>
                      <w:color w:val="000000"/>
                      <w:sz w:val="22"/>
                    </w:rPr>
                    <w:t>and off Park Lane (Phase 2), Kirkby-in-Ashfield</w:t>
                  </w:r>
                </w:p>
              </w:tc>
              <w:tc>
                <w:tcPr>
                  <w:tcW w:w="1366" w:type="dxa"/>
                </w:tcPr>
                <w:p w14:paraId="3865FE12" w14:textId="7BDC0B49" w:rsidR="003E2B7C" w:rsidRPr="006D4F49" w:rsidRDefault="000F38FD" w:rsidP="003E2B7C">
                  <w:pPr>
                    <w:jc w:val="center"/>
                    <w:rPr>
                      <w:rFonts w:cs="Arial"/>
                      <w:color w:val="000000"/>
                      <w:sz w:val="22"/>
                    </w:rPr>
                  </w:pPr>
                  <w:r w:rsidRPr="006D4F49">
                    <w:rPr>
                      <w:rFonts w:cs="Arial"/>
                      <w:color w:val="000000"/>
                      <w:sz w:val="22"/>
                    </w:rPr>
                    <w:t>G</w:t>
                  </w:r>
                </w:p>
              </w:tc>
              <w:tc>
                <w:tcPr>
                  <w:tcW w:w="1488" w:type="dxa"/>
                </w:tcPr>
                <w:p w14:paraId="3BD0BEAC" w14:textId="2203A50C" w:rsidR="003E2B7C" w:rsidRPr="006D4F49" w:rsidRDefault="000F38FD" w:rsidP="003E2B7C">
                  <w:pPr>
                    <w:jc w:val="center"/>
                    <w:rPr>
                      <w:rFonts w:cs="Arial"/>
                      <w:color w:val="000000"/>
                      <w:sz w:val="22"/>
                    </w:rPr>
                  </w:pPr>
                  <w:r w:rsidRPr="006D4F49">
                    <w:rPr>
                      <w:rFonts w:cs="Arial"/>
                      <w:color w:val="000000"/>
                      <w:sz w:val="22"/>
                    </w:rPr>
                    <w:t>Yes</w:t>
                  </w:r>
                </w:p>
              </w:tc>
              <w:tc>
                <w:tcPr>
                  <w:tcW w:w="1390" w:type="dxa"/>
                  <w:noWrap/>
                </w:tcPr>
                <w:p w14:paraId="522FA6EC" w14:textId="41A79FE5" w:rsidR="003E2B7C" w:rsidRPr="006D4F49" w:rsidRDefault="000F38FD" w:rsidP="003E2B7C">
                  <w:pPr>
                    <w:jc w:val="right"/>
                    <w:rPr>
                      <w:rFonts w:cs="Arial"/>
                      <w:color w:val="000000"/>
                      <w:sz w:val="22"/>
                    </w:rPr>
                  </w:pPr>
                  <w:r w:rsidRPr="006D4F49">
                    <w:rPr>
                      <w:rFonts w:cs="Arial"/>
                      <w:color w:val="000000"/>
                      <w:sz w:val="22"/>
                    </w:rPr>
                    <w:t>7</w:t>
                  </w:r>
                </w:p>
              </w:tc>
            </w:tr>
            <w:tr w:rsidR="003E2B7C" w:rsidRPr="006D4F49" w14:paraId="1929D69A" w14:textId="77777777" w:rsidTr="00D52CC1">
              <w:trPr>
                <w:trHeight w:val="680"/>
                <w:jc w:val="center"/>
              </w:trPr>
              <w:tc>
                <w:tcPr>
                  <w:tcW w:w="950" w:type="dxa"/>
                  <w:noWrap/>
                </w:tcPr>
                <w:p w14:paraId="3429BA2B" w14:textId="54B0D0E8" w:rsidR="003E2B7C" w:rsidRPr="006D4F49" w:rsidRDefault="003E2B7C" w:rsidP="003E2B7C">
                  <w:pPr>
                    <w:rPr>
                      <w:rFonts w:cs="Arial"/>
                      <w:color w:val="000000"/>
                      <w:sz w:val="22"/>
                    </w:rPr>
                  </w:pPr>
                  <w:r w:rsidRPr="00BA29ED">
                    <w:rPr>
                      <w:rFonts w:cs="Arial"/>
                      <w:color w:val="000000"/>
                      <w:szCs w:val="24"/>
                    </w:rPr>
                    <w:t>H</w:t>
                  </w:r>
                  <w:r w:rsidR="000F38FD" w:rsidRPr="00BA29ED">
                    <w:rPr>
                      <w:rFonts w:cs="Arial"/>
                      <w:color w:val="000000"/>
                      <w:szCs w:val="24"/>
                    </w:rPr>
                    <w:t>2a(b)</w:t>
                  </w:r>
                </w:p>
              </w:tc>
              <w:tc>
                <w:tcPr>
                  <w:tcW w:w="2908" w:type="dxa"/>
                </w:tcPr>
                <w:p w14:paraId="3FD7D4D8" w14:textId="09C3787E" w:rsidR="003E2B7C" w:rsidRPr="006D4F49" w:rsidRDefault="000E5311" w:rsidP="003E2B7C">
                  <w:pPr>
                    <w:rPr>
                      <w:rFonts w:cs="Arial"/>
                      <w:color w:val="000000"/>
                      <w:sz w:val="22"/>
                    </w:rPr>
                  </w:pPr>
                  <w:r w:rsidRPr="006D4F49">
                    <w:rPr>
                      <w:rFonts w:cs="Arial"/>
                      <w:color w:val="000000"/>
                      <w:sz w:val="22"/>
                    </w:rPr>
                    <w:t>L</w:t>
                  </w:r>
                  <w:r w:rsidRPr="006D4F49">
                    <w:rPr>
                      <w:color w:val="000000"/>
                      <w:sz w:val="22"/>
                    </w:rPr>
                    <w:t>and off Park Lane (Phase 3), Kirkby-in-Ashfield</w:t>
                  </w:r>
                </w:p>
              </w:tc>
              <w:tc>
                <w:tcPr>
                  <w:tcW w:w="1366" w:type="dxa"/>
                </w:tcPr>
                <w:p w14:paraId="560D3869" w14:textId="43A9EAA0" w:rsidR="003E2B7C" w:rsidRPr="006D4F49" w:rsidRDefault="000F38FD" w:rsidP="003E2B7C">
                  <w:pPr>
                    <w:jc w:val="center"/>
                    <w:rPr>
                      <w:rFonts w:cs="Arial"/>
                      <w:color w:val="000000"/>
                      <w:sz w:val="22"/>
                    </w:rPr>
                  </w:pPr>
                  <w:r w:rsidRPr="006D4F49">
                    <w:rPr>
                      <w:rFonts w:cs="Arial"/>
                      <w:color w:val="000000"/>
                      <w:sz w:val="22"/>
                    </w:rPr>
                    <w:t>G</w:t>
                  </w:r>
                </w:p>
              </w:tc>
              <w:tc>
                <w:tcPr>
                  <w:tcW w:w="1488" w:type="dxa"/>
                </w:tcPr>
                <w:p w14:paraId="5439FB18" w14:textId="116295B7" w:rsidR="003E2B7C" w:rsidRPr="006D4F49" w:rsidRDefault="000F38FD" w:rsidP="003E2B7C">
                  <w:pPr>
                    <w:jc w:val="center"/>
                    <w:rPr>
                      <w:rFonts w:cs="Arial"/>
                      <w:color w:val="000000"/>
                      <w:sz w:val="22"/>
                    </w:rPr>
                  </w:pPr>
                  <w:r w:rsidRPr="006D4F49">
                    <w:rPr>
                      <w:rFonts w:cs="Arial"/>
                      <w:color w:val="000000"/>
                      <w:sz w:val="22"/>
                    </w:rPr>
                    <w:t>No</w:t>
                  </w:r>
                </w:p>
              </w:tc>
              <w:tc>
                <w:tcPr>
                  <w:tcW w:w="1390" w:type="dxa"/>
                  <w:noWrap/>
                </w:tcPr>
                <w:p w14:paraId="4F62B796" w14:textId="56ADDFF1" w:rsidR="003E2B7C" w:rsidRPr="006D4F49" w:rsidRDefault="000F38FD" w:rsidP="003E2B7C">
                  <w:pPr>
                    <w:jc w:val="right"/>
                    <w:rPr>
                      <w:rFonts w:cs="Arial"/>
                      <w:color w:val="000000"/>
                      <w:sz w:val="22"/>
                    </w:rPr>
                  </w:pPr>
                  <w:r w:rsidRPr="006D4F49">
                    <w:rPr>
                      <w:rFonts w:cs="Arial"/>
                      <w:color w:val="000000"/>
                      <w:sz w:val="22"/>
                    </w:rPr>
                    <w:t>7</w:t>
                  </w:r>
                </w:p>
              </w:tc>
            </w:tr>
            <w:tr w:rsidR="003E2B7C" w:rsidRPr="006D4F49" w14:paraId="35FBC6EF" w14:textId="77777777" w:rsidTr="00D52CC1">
              <w:trPr>
                <w:trHeight w:val="589"/>
                <w:jc w:val="center"/>
              </w:trPr>
              <w:tc>
                <w:tcPr>
                  <w:tcW w:w="950" w:type="dxa"/>
                  <w:noWrap/>
                </w:tcPr>
                <w:p w14:paraId="751A9501" w14:textId="65ED44C8" w:rsidR="003E2B7C" w:rsidRPr="006D4F49" w:rsidRDefault="003E2B7C" w:rsidP="003E2B7C">
                  <w:pPr>
                    <w:rPr>
                      <w:rFonts w:cs="Arial"/>
                      <w:color w:val="000000"/>
                      <w:sz w:val="22"/>
                    </w:rPr>
                  </w:pPr>
                </w:p>
              </w:tc>
              <w:tc>
                <w:tcPr>
                  <w:tcW w:w="2908" w:type="dxa"/>
                </w:tcPr>
                <w:p w14:paraId="17D33702" w14:textId="03EAE8AF" w:rsidR="003E2B7C" w:rsidRPr="006D4F49" w:rsidRDefault="003E2B7C" w:rsidP="003E2B7C">
                  <w:pPr>
                    <w:rPr>
                      <w:rFonts w:cs="Arial"/>
                      <w:color w:val="000000"/>
                      <w:sz w:val="22"/>
                    </w:rPr>
                  </w:pPr>
                </w:p>
              </w:tc>
              <w:tc>
                <w:tcPr>
                  <w:tcW w:w="1366" w:type="dxa"/>
                </w:tcPr>
                <w:p w14:paraId="1CF21415" w14:textId="208E088E" w:rsidR="003E2B7C" w:rsidRPr="006D4F49" w:rsidRDefault="003E2B7C" w:rsidP="003E2B7C">
                  <w:pPr>
                    <w:jc w:val="center"/>
                    <w:rPr>
                      <w:rFonts w:cs="Arial"/>
                      <w:color w:val="000000"/>
                      <w:sz w:val="22"/>
                    </w:rPr>
                  </w:pPr>
                </w:p>
              </w:tc>
              <w:tc>
                <w:tcPr>
                  <w:tcW w:w="1488" w:type="dxa"/>
                </w:tcPr>
                <w:p w14:paraId="0DF920A1" w14:textId="200FFDF3" w:rsidR="003E2B7C" w:rsidRPr="006D4F49" w:rsidRDefault="003E2B7C" w:rsidP="003E2B7C">
                  <w:pPr>
                    <w:jc w:val="center"/>
                    <w:rPr>
                      <w:rFonts w:cs="Arial"/>
                      <w:color w:val="000000"/>
                      <w:sz w:val="22"/>
                    </w:rPr>
                  </w:pPr>
                </w:p>
              </w:tc>
              <w:tc>
                <w:tcPr>
                  <w:tcW w:w="1390" w:type="dxa"/>
                  <w:noWrap/>
                </w:tcPr>
                <w:p w14:paraId="29658067" w14:textId="15E585BA" w:rsidR="003E2B7C" w:rsidRPr="006D4F49" w:rsidRDefault="000F38FD" w:rsidP="003E2B7C">
                  <w:pPr>
                    <w:jc w:val="right"/>
                    <w:rPr>
                      <w:rFonts w:cs="Arial"/>
                      <w:b/>
                      <w:bCs/>
                      <w:color w:val="000000"/>
                      <w:sz w:val="22"/>
                    </w:rPr>
                  </w:pPr>
                  <w:r w:rsidRPr="006D4F49">
                    <w:rPr>
                      <w:rFonts w:cs="Arial"/>
                      <w:b/>
                      <w:bCs/>
                      <w:color w:val="000000"/>
                      <w:sz w:val="22"/>
                    </w:rPr>
                    <w:t>14</w:t>
                  </w:r>
                </w:p>
              </w:tc>
            </w:tr>
          </w:tbl>
          <w:p w14:paraId="72A4443A" w14:textId="77777777" w:rsidR="003E2B7C" w:rsidRPr="005865A9" w:rsidRDefault="003E2B7C" w:rsidP="000F38FD">
            <w:pPr>
              <w:pStyle w:val="Policy"/>
              <w:spacing w:after="0" w:line="240" w:lineRule="auto"/>
              <w:ind w:left="0" w:right="284"/>
              <w:rPr>
                <w:rStyle w:val="Heading10"/>
                <w:rFonts w:cs="Arial"/>
                <w:color w:val="auto"/>
              </w:rPr>
            </w:pPr>
          </w:p>
          <w:p w14:paraId="48CACB79" w14:textId="319BB203" w:rsidR="00D52CC1" w:rsidRPr="005865A9" w:rsidRDefault="00D52CC1" w:rsidP="00D52CC1">
            <w:pPr>
              <w:pStyle w:val="Policy"/>
              <w:spacing w:after="0" w:line="240" w:lineRule="auto"/>
              <w:ind w:left="455" w:right="284"/>
              <w:rPr>
                <w:rStyle w:val="Normal1"/>
                <w:rFonts w:cs="Arial"/>
                <w:bCs/>
              </w:rPr>
            </w:pPr>
            <w:r w:rsidRPr="005865A9">
              <w:rPr>
                <w:rStyle w:val="Normal1"/>
                <w:rFonts w:cs="Arial"/>
                <w:bCs/>
              </w:rPr>
              <w:t>Development of pi</w:t>
            </w:r>
            <w:r w:rsidRPr="005865A9">
              <w:rPr>
                <w:rStyle w:val="Normal1"/>
                <w:bCs/>
              </w:rPr>
              <w:t>tches</w:t>
            </w:r>
            <w:r w:rsidRPr="005865A9">
              <w:rPr>
                <w:rStyle w:val="Normal1"/>
                <w:rFonts w:cs="Arial"/>
                <w:bCs/>
              </w:rPr>
              <w:t xml:space="preserve"> for Gypsy /Traveller </w:t>
            </w:r>
            <w:r w:rsidR="00FF68BA" w:rsidRPr="005865A9">
              <w:rPr>
                <w:rStyle w:val="Normal1"/>
                <w:rFonts w:cs="Arial"/>
                <w:bCs/>
              </w:rPr>
              <w:t>accommodation</w:t>
            </w:r>
            <w:r w:rsidRPr="005865A9">
              <w:rPr>
                <w:rStyle w:val="Normal1"/>
                <w:rFonts w:cs="Arial"/>
                <w:bCs/>
              </w:rPr>
              <w:t xml:space="preserve"> will be permitted on the site listed below as shown on the Policies Map.</w:t>
            </w:r>
          </w:p>
          <w:p w14:paraId="18E51D71" w14:textId="77777777" w:rsidR="00FF68BA" w:rsidRPr="005865A9" w:rsidRDefault="00FF68BA" w:rsidP="00D52CC1">
            <w:pPr>
              <w:pStyle w:val="Policy"/>
              <w:spacing w:after="0" w:line="240" w:lineRule="auto"/>
              <w:ind w:left="455" w:right="284"/>
              <w:rPr>
                <w:rStyle w:val="Normal1"/>
                <w:rFonts w:cs="Arial"/>
                <w:bCs/>
              </w:rPr>
            </w:pPr>
          </w:p>
          <w:tbl>
            <w:tblPr>
              <w:tblStyle w:val="ReportTable1"/>
              <w:tblW w:w="8102" w:type="dxa"/>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950"/>
              <w:gridCol w:w="2908"/>
              <w:gridCol w:w="1366"/>
              <w:gridCol w:w="1488"/>
              <w:gridCol w:w="1390"/>
            </w:tblGrid>
            <w:tr w:rsidR="005865A9" w:rsidRPr="005865A9" w14:paraId="11377221" w14:textId="77777777" w:rsidTr="009E0014">
              <w:trPr>
                <w:trHeight w:val="916"/>
                <w:jc w:val="center"/>
              </w:trPr>
              <w:tc>
                <w:tcPr>
                  <w:tcW w:w="950" w:type="dxa"/>
                  <w:shd w:val="clear" w:color="auto" w:fill="D9D9D9"/>
                  <w:hideMark/>
                </w:tcPr>
                <w:p w14:paraId="08FAA693" w14:textId="77777777" w:rsidR="00FF68BA" w:rsidRPr="005865A9" w:rsidRDefault="00FF68BA" w:rsidP="00FF68BA">
                  <w:pPr>
                    <w:ind w:hanging="38"/>
                    <w:rPr>
                      <w:rFonts w:cs="Arial"/>
                      <w:b/>
                      <w:bCs/>
                      <w:color w:val="auto"/>
                      <w:sz w:val="22"/>
                    </w:rPr>
                  </w:pPr>
                  <w:r w:rsidRPr="005865A9">
                    <w:rPr>
                      <w:rFonts w:cs="Arial"/>
                      <w:b/>
                      <w:bCs/>
                      <w:color w:val="auto"/>
                      <w:sz w:val="22"/>
                    </w:rPr>
                    <w:t>Site Ref.</w:t>
                  </w:r>
                </w:p>
              </w:tc>
              <w:tc>
                <w:tcPr>
                  <w:tcW w:w="2908" w:type="dxa"/>
                  <w:shd w:val="clear" w:color="auto" w:fill="D9D9D9"/>
                  <w:hideMark/>
                </w:tcPr>
                <w:p w14:paraId="12D4FB05" w14:textId="77777777" w:rsidR="00FF68BA" w:rsidRPr="005865A9" w:rsidRDefault="00FF68BA" w:rsidP="00FF68BA">
                  <w:pPr>
                    <w:rPr>
                      <w:rFonts w:cs="Arial"/>
                      <w:b/>
                      <w:bCs/>
                      <w:color w:val="auto"/>
                      <w:sz w:val="22"/>
                    </w:rPr>
                  </w:pPr>
                  <w:r w:rsidRPr="005865A9">
                    <w:rPr>
                      <w:rFonts w:cs="Arial"/>
                      <w:b/>
                      <w:bCs/>
                      <w:color w:val="auto"/>
                      <w:sz w:val="22"/>
                    </w:rPr>
                    <w:t>Site Name</w:t>
                  </w:r>
                </w:p>
              </w:tc>
              <w:tc>
                <w:tcPr>
                  <w:tcW w:w="1366" w:type="dxa"/>
                  <w:shd w:val="clear" w:color="auto" w:fill="D9D9D9"/>
                  <w:hideMark/>
                </w:tcPr>
                <w:p w14:paraId="0FAEA957" w14:textId="77777777" w:rsidR="00FF68BA" w:rsidRPr="005865A9" w:rsidRDefault="00FF68BA" w:rsidP="00FF68BA">
                  <w:pPr>
                    <w:rPr>
                      <w:rFonts w:cs="Arial"/>
                      <w:b/>
                      <w:bCs/>
                      <w:color w:val="auto"/>
                      <w:sz w:val="22"/>
                    </w:rPr>
                  </w:pPr>
                  <w:r w:rsidRPr="005865A9">
                    <w:rPr>
                      <w:rFonts w:cs="Arial"/>
                      <w:b/>
                      <w:bCs/>
                      <w:color w:val="auto"/>
                      <w:sz w:val="22"/>
                    </w:rPr>
                    <w:t>Greenfield/ Brownfield</w:t>
                  </w:r>
                </w:p>
              </w:tc>
              <w:tc>
                <w:tcPr>
                  <w:tcW w:w="1488" w:type="dxa"/>
                  <w:shd w:val="clear" w:color="auto" w:fill="D9D9D9"/>
                </w:tcPr>
                <w:p w14:paraId="3AA31CC3" w14:textId="77777777" w:rsidR="00FF68BA" w:rsidRPr="005865A9" w:rsidRDefault="00FF68BA" w:rsidP="00FF68BA">
                  <w:pPr>
                    <w:jc w:val="center"/>
                    <w:rPr>
                      <w:rFonts w:cs="Arial"/>
                      <w:b/>
                      <w:bCs/>
                      <w:color w:val="auto"/>
                      <w:sz w:val="22"/>
                    </w:rPr>
                  </w:pPr>
                  <w:r w:rsidRPr="005865A9">
                    <w:rPr>
                      <w:rFonts w:cs="Arial"/>
                      <w:b/>
                      <w:bCs/>
                      <w:color w:val="auto"/>
                      <w:sz w:val="22"/>
                    </w:rPr>
                    <w:t>Planning Permission*</w:t>
                  </w:r>
                </w:p>
              </w:tc>
              <w:tc>
                <w:tcPr>
                  <w:tcW w:w="1390" w:type="dxa"/>
                  <w:shd w:val="clear" w:color="auto" w:fill="D9D9D9"/>
                  <w:hideMark/>
                </w:tcPr>
                <w:p w14:paraId="1E933A7C" w14:textId="77777777" w:rsidR="00FF68BA" w:rsidRPr="005865A9" w:rsidRDefault="00FF68BA" w:rsidP="00FF68BA">
                  <w:pPr>
                    <w:jc w:val="center"/>
                    <w:rPr>
                      <w:rFonts w:cs="Arial"/>
                      <w:b/>
                      <w:bCs/>
                      <w:color w:val="auto"/>
                      <w:sz w:val="22"/>
                    </w:rPr>
                  </w:pPr>
                  <w:r w:rsidRPr="005865A9">
                    <w:rPr>
                      <w:rFonts w:cs="Arial"/>
                      <w:b/>
                      <w:bCs/>
                      <w:color w:val="auto"/>
                      <w:sz w:val="22"/>
                    </w:rPr>
                    <w:t>Potential Yield (plots)</w:t>
                  </w:r>
                </w:p>
              </w:tc>
            </w:tr>
            <w:tr w:rsidR="005865A9" w:rsidRPr="005865A9" w14:paraId="15EE2FFD" w14:textId="77777777" w:rsidTr="009E0014">
              <w:trPr>
                <w:trHeight w:val="630"/>
                <w:jc w:val="center"/>
              </w:trPr>
              <w:tc>
                <w:tcPr>
                  <w:tcW w:w="950" w:type="dxa"/>
                  <w:noWrap/>
                </w:tcPr>
                <w:p w14:paraId="17220F9E" w14:textId="1A1BC843" w:rsidR="00FF68BA" w:rsidRPr="005865A9" w:rsidRDefault="00FF68BA" w:rsidP="00FF68BA">
                  <w:pPr>
                    <w:rPr>
                      <w:color w:val="auto"/>
                    </w:rPr>
                  </w:pPr>
                  <w:r w:rsidRPr="005865A9">
                    <w:rPr>
                      <w:color w:val="auto"/>
                    </w:rPr>
                    <w:t>H2a(c)</w:t>
                  </w:r>
                </w:p>
              </w:tc>
              <w:tc>
                <w:tcPr>
                  <w:tcW w:w="2908" w:type="dxa"/>
                </w:tcPr>
                <w:p w14:paraId="10BDD9A6" w14:textId="282C1FB3" w:rsidR="00FF68BA" w:rsidRPr="005865A9" w:rsidRDefault="00FF68BA" w:rsidP="00FF68BA">
                  <w:pPr>
                    <w:rPr>
                      <w:rFonts w:cs="Arial"/>
                      <w:color w:val="auto"/>
                      <w:sz w:val="22"/>
                    </w:rPr>
                  </w:pPr>
                  <w:r w:rsidRPr="005865A9">
                    <w:rPr>
                      <w:rFonts w:cs="Arial"/>
                      <w:color w:val="auto"/>
                      <w:sz w:val="22"/>
                    </w:rPr>
                    <w:t>L</w:t>
                  </w:r>
                  <w:r w:rsidRPr="005865A9">
                    <w:rPr>
                      <w:color w:val="auto"/>
                      <w:sz w:val="22"/>
                    </w:rPr>
                    <w:t xml:space="preserve">and </w:t>
                  </w:r>
                  <w:r w:rsidR="006D2EDD" w:rsidRPr="005865A9">
                    <w:rPr>
                      <w:color w:val="auto"/>
                      <w:sz w:val="22"/>
                    </w:rPr>
                    <w:t xml:space="preserve">East of </w:t>
                  </w:r>
                  <w:r w:rsidRPr="005865A9">
                    <w:rPr>
                      <w:color w:val="auto"/>
                      <w:sz w:val="22"/>
                    </w:rPr>
                    <w:t>Park Lane, Kirkby-in-Ashfield</w:t>
                  </w:r>
                </w:p>
              </w:tc>
              <w:tc>
                <w:tcPr>
                  <w:tcW w:w="1366" w:type="dxa"/>
                </w:tcPr>
                <w:p w14:paraId="5E536016" w14:textId="77777777" w:rsidR="00FF68BA" w:rsidRPr="005865A9" w:rsidRDefault="00FF68BA" w:rsidP="00FF68BA">
                  <w:pPr>
                    <w:jc w:val="center"/>
                    <w:rPr>
                      <w:rFonts w:cs="Arial"/>
                      <w:color w:val="auto"/>
                      <w:sz w:val="22"/>
                    </w:rPr>
                  </w:pPr>
                  <w:r w:rsidRPr="005865A9">
                    <w:rPr>
                      <w:rFonts w:cs="Arial"/>
                      <w:color w:val="auto"/>
                      <w:sz w:val="22"/>
                    </w:rPr>
                    <w:t>G</w:t>
                  </w:r>
                </w:p>
              </w:tc>
              <w:tc>
                <w:tcPr>
                  <w:tcW w:w="1488" w:type="dxa"/>
                </w:tcPr>
                <w:p w14:paraId="3F9A2155" w14:textId="77777777" w:rsidR="00FF68BA" w:rsidRPr="005865A9" w:rsidRDefault="00FF68BA" w:rsidP="00FF68BA">
                  <w:pPr>
                    <w:jc w:val="center"/>
                    <w:rPr>
                      <w:rFonts w:cs="Arial"/>
                      <w:color w:val="auto"/>
                      <w:sz w:val="22"/>
                    </w:rPr>
                  </w:pPr>
                  <w:r w:rsidRPr="005865A9">
                    <w:rPr>
                      <w:rFonts w:cs="Arial"/>
                      <w:color w:val="auto"/>
                      <w:sz w:val="22"/>
                    </w:rPr>
                    <w:t>Yes</w:t>
                  </w:r>
                </w:p>
              </w:tc>
              <w:tc>
                <w:tcPr>
                  <w:tcW w:w="1390" w:type="dxa"/>
                  <w:noWrap/>
                </w:tcPr>
                <w:p w14:paraId="16FD7E97" w14:textId="0F141C29" w:rsidR="00FF68BA" w:rsidRPr="005865A9" w:rsidRDefault="00FF68BA" w:rsidP="00FF68BA">
                  <w:pPr>
                    <w:jc w:val="right"/>
                    <w:rPr>
                      <w:rFonts w:cs="Arial"/>
                      <w:color w:val="auto"/>
                      <w:sz w:val="22"/>
                    </w:rPr>
                  </w:pPr>
                  <w:r w:rsidRPr="005865A9">
                    <w:rPr>
                      <w:rFonts w:cs="Arial"/>
                      <w:color w:val="auto"/>
                      <w:sz w:val="22"/>
                    </w:rPr>
                    <w:t>4</w:t>
                  </w:r>
                </w:p>
              </w:tc>
            </w:tr>
          </w:tbl>
          <w:p w14:paraId="2C4A042F" w14:textId="77777777" w:rsidR="00D52CC1" w:rsidRPr="005865A9" w:rsidRDefault="00D52CC1" w:rsidP="000F38FD">
            <w:pPr>
              <w:pStyle w:val="Policy"/>
              <w:spacing w:after="0" w:line="240" w:lineRule="auto"/>
              <w:ind w:left="0" w:right="284"/>
              <w:rPr>
                <w:rStyle w:val="Heading10"/>
                <w:color w:val="auto"/>
              </w:rPr>
            </w:pPr>
          </w:p>
          <w:p w14:paraId="2A65B81B" w14:textId="3028CFB0" w:rsidR="00D52CC1" w:rsidRPr="006D4F49" w:rsidRDefault="00D52CC1" w:rsidP="000F38FD">
            <w:pPr>
              <w:pStyle w:val="Policy"/>
              <w:spacing w:after="0" w:line="240" w:lineRule="auto"/>
              <w:ind w:left="0" w:right="284"/>
              <w:rPr>
                <w:rStyle w:val="Heading10"/>
                <w:rFonts w:cs="Arial"/>
                <w:color w:val="0070C0"/>
              </w:rPr>
            </w:pPr>
          </w:p>
        </w:tc>
      </w:tr>
    </w:tbl>
    <w:tbl>
      <w:tblPr>
        <w:tblStyle w:val="TableGrid12"/>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663"/>
        <w:gridCol w:w="6825"/>
      </w:tblGrid>
      <w:tr w:rsidR="008D7963" w:rsidRPr="006D4F49" w14:paraId="014E06E3" w14:textId="77777777" w:rsidTr="008D7963">
        <w:tc>
          <w:tcPr>
            <w:tcW w:w="2663" w:type="dxa"/>
          </w:tcPr>
          <w:p w14:paraId="4A43324B" w14:textId="77777777" w:rsidR="008D7963" w:rsidRPr="006D4F49" w:rsidRDefault="008D7963" w:rsidP="003B5395">
            <w:pPr>
              <w:keepNext w:val="0"/>
              <w:spacing w:before="0" w:after="160" w:line="252" w:lineRule="auto"/>
              <w:jc w:val="left"/>
              <w:rPr>
                <w:color w:val="auto"/>
                <w:sz w:val="20"/>
                <w:szCs w:val="20"/>
              </w:rPr>
            </w:pPr>
            <w:r w:rsidRPr="006D4F49">
              <w:rPr>
                <w:color w:val="auto"/>
                <w:sz w:val="20"/>
                <w:szCs w:val="20"/>
              </w:rPr>
              <w:t>Evidence Base</w:t>
            </w:r>
          </w:p>
        </w:tc>
        <w:tc>
          <w:tcPr>
            <w:tcW w:w="6825" w:type="dxa"/>
          </w:tcPr>
          <w:p w14:paraId="0EED4403" w14:textId="77777777" w:rsidR="008D7963" w:rsidRPr="009E34A6" w:rsidRDefault="008D7963" w:rsidP="00874A98">
            <w:pPr>
              <w:keepNext w:val="0"/>
              <w:numPr>
                <w:ilvl w:val="0"/>
                <w:numId w:val="263"/>
              </w:numPr>
              <w:spacing w:before="0"/>
              <w:contextualSpacing/>
              <w:jc w:val="left"/>
              <w:rPr>
                <w:bCs/>
                <w:color w:val="auto"/>
                <w:sz w:val="20"/>
                <w:szCs w:val="20"/>
              </w:rPr>
            </w:pPr>
            <w:r w:rsidRPr="009E34A6">
              <w:rPr>
                <w:bCs/>
                <w:color w:val="auto"/>
                <w:sz w:val="20"/>
                <w:szCs w:val="20"/>
              </w:rPr>
              <w:t>Greater Nottingham and Ashfield District Council Gypsy and Traveller Accommodation Assessment, 2021 - RRR Consultancy Ltd.</w:t>
            </w:r>
          </w:p>
          <w:p w14:paraId="3F56D59F" w14:textId="3731188F" w:rsidR="008D7963" w:rsidRPr="009E34A6" w:rsidRDefault="00B40389" w:rsidP="00874A98">
            <w:pPr>
              <w:keepNext w:val="0"/>
              <w:numPr>
                <w:ilvl w:val="0"/>
                <w:numId w:val="263"/>
              </w:numPr>
              <w:spacing w:before="0"/>
              <w:contextualSpacing/>
              <w:jc w:val="left"/>
              <w:rPr>
                <w:rFonts w:eastAsia="Arial"/>
                <w:bCs/>
                <w:color w:val="auto"/>
                <w:sz w:val="20"/>
                <w:szCs w:val="20"/>
              </w:rPr>
            </w:pPr>
            <w:r w:rsidRPr="009E34A6">
              <w:rPr>
                <w:color w:val="auto"/>
                <w:sz w:val="20"/>
                <w:szCs w:val="20"/>
              </w:rPr>
              <w:t>Sustainability Appraisal, 2023. WSP UK Limited.</w:t>
            </w:r>
          </w:p>
        </w:tc>
      </w:tr>
      <w:tr w:rsidR="008D7963" w:rsidRPr="006D4F49" w14:paraId="3B38EC91" w14:textId="77777777" w:rsidTr="008D7963">
        <w:tc>
          <w:tcPr>
            <w:tcW w:w="2663" w:type="dxa"/>
          </w:tcPr>
          <w:p w14:paraId="296AE8F0" w14:textId="77777777" w:rsidR="008D7963" w:rsidRPr="006D4F49" w:rsidRDefault="008D7963" w:rsidP="003B5395">
            <w:pPr>
              <w:keepNext w:val="0"/>
              <w:spacing w:before="0" w:after="160" w:line="252" w:lineRule="auto"/>
              <w:jc w:val="left"/>
              <w:rPr>
                <w:color w:val="auto"/>
                <w:sz w:val="20"/>
                <w:szCs w:val="20"/>
              </w:rPr>
            </w:pPr>
            <w:r w:rsidRPr="006D4F49">
              <w:rPr>
                <w:color w:val="auto"/>
                <w:sz w:val="20"/>
                <w:szCs w:val="20"/>
              </w:rPr>
              <w:t>National Planning Policy and Guidance</w:t>
            </w:r>
          </w:p>
        </w:tc>
        <w:tc>
          <w:tcPr>
            <w:tcW w:w="6825" w:type="dxa"/>
          </w:tcPr>
          <w:p w14:paraId="05771B0E" w14:textId="7385D38B" w:rsidR="008D7963" w:rsidRPr="009E34A6" w:rsidRDefault="008D7963" w:rsidP="00874A98">
            <w:pPr>
              <w:keepNext w:val="0"/>
              <w:numPr>
                <w:ilvl w:val="0"/>
                <w:numId w:val="264"/>
              </w:numPr>
              <w:spacing w:before="0"/>
              <w:contextualSpacing/>
              <w:jc w:val="left"/>
              <w:rPr>
                <w:color w:val="auto"/>
                <w:sz w:val="20"/>
                <w:szCs w:val="20"/>
              </w:rPr>
            </w:pPr>
            <w:r w:rsidRPr="009E34A6">
              <w:rPr>
                <w:color w:val="auto"/>
                <w:sz w:val="20"/>
                <w:szCs w:val="20"/>
              </w:rPr>
              <w:t>Planning Policy for Traveller Sites, 2015 - DCLG</w:t>
            </w:r>
          </w:p>
          <w:p w14:paraId="45559B39" w14:textId="6046FC10" w:rsidR="008D7963" w:rsidRPr="009E34A6" w:rsidRDefault="008D7963" w:rsidP="00874A98">
            <w:pPr>
              <w:keepNext w:val="0"/>
              <w:numPr>
                <w:ilvl w:val="0"/>
                <w:numId w:val="264"/>
              </w:numPr>
              <w:spacing w:before="0"/>
              <w:contextualSpacing/>
              <w:jc w:val="left"/>
              <w:rPr>
                <w:color w:val="auto"/>
                <w:sz w:val="20"/>
                <w:szCs w:val="20"/>
              </w:rPr>
            </w:pPr>
            <w:r w:rsidRPr="009E34A6">
              <w:rPr>
                <w:color w:val="auto"/>
                <w:sz w:val="20"/>
                <w:szCs w:val="20"/>
              </w:rPr>
              <w:t>NPPF 202</w:t>
            </w:r>
            <w:r w:rsidR="004173E0" w:rsidRPr="009E34A6">
              <w:rPr>
                <w:color w:val="auto"/>
                <w:sz w:val="20"/>
                <w:szCs w:val="20"/>
              </w:rPr>
              <w:t>3</w:t>
            </w:r>
            <w:r w:rsidRPr="009E34A6">
              <w:rPr>
                <w:color w:val="auto"/>
                <w:sz w:val="20"/>
                <w:szCs w:val="20"/>
              </w:rPr>
              <w:t>, Part 2: Achieving sustainable development.</w:t>
            </w:r>
          </w:p>
          <w:p w14:paraId="0030C592" w14:textId="39A5F6C0" w:rsidR="008D7963" w:rsidRPr="009E34A6" w:rsidRDefault="008D7963" w:rsidP="00874A98">
            <w:pPr>
              <w:keepNext w:val="0"/>
              <w:numPr>
                <w:ilvl w:val="0"/>
                <w:numId w:val="264"/>
              </w:numPr>
              <w:spacing w:before="0"/>
              <w:contextualSpacing/>
              <w:jc w:val="left"/>
              <w:rPr>
                <w:color w:val="auto"/>
                <w:sz w:val="20"/>
                <w:szCs w:val="20"/>
              </w:rPr>
            </w:pPr>
            <w:r w:rsidRPr="009E34A6">
              <w:rPr>
                <w:color w:val="auto"/>
                <w:sz w:val="20"/>
                <w:szCs w:val="20"/>
              </w:rPr>
              <w:t>NPPF 202</w:t>
            </w:r>
            <w:r w:rsidR="004173E0" w:rsidRPr="009E34A6">
              <w:rPr>
                <w:color w:val="auto"/>
                <w:sz w:val="20"/>
                <w:szCs w:val="20"/>
              </w:rPr>
              <w:t>3</w:t>
            </w:r>
            <w:r w:rsidRPr="009E34A6">
              <w:rPr>
                <w:color w:val="auto"/>
                <w:sz w:val="20"/>
                <w:szCs w:val="20"/>
              </w:rPr>
              <w:t>, Part 5: Delivering a sufficient supply of homes</w:t>
            </w:r>
          </w:p>
          <w:p w14:paraId="163C6BBD" w14:textId="77777777" w:rsidR="008D7963" w:rsidRDefault="008D7963" w:rsidP="00874A98">
            <w:pPr>
              <w:keepNext w:val="0"/>
              <w:numPr>
                <w:ilvl w:val="0"/>
                <w:numId w:val="264"/>
              </w:numPr>
              <w:spacing w:before="0"/>
              <w:contextualSpacing/>
              <w:jc w:val="left"/>
              <w:rPr>
                <w:color w:val="auto"/>
                <w:sz w:val="20"/>
                <w:szCs w:val="20"/>
              </w:rPr>
            </w:pPr>
            <w:r w:rsidRPr="009E34A6">
              <w:rPr>
                <w:color w:val="auto"/>
                <w:sz w:val="20"/>
                <w:szCs w:val="20"/>
              </w:rPr>
              <w:t>Planning Practice Guidance: Housing and Economic Land Availability Assessment</w:t>
            </w:r>
            <w:r w:rsidR="00B40389" w:rsidRPr="009E34A6">
              <w:rPr>
                <w:color w:val="auto"/>
                <w:sz w:val="20"/>
                <w:szCs w:val="20"/>
              </w:rPr>
              <w:t xml:space="preserve"> as at July 2019.</w:t>
            </w:r>
          </w:p>
          <w:p w14:paraId="6A182463" w14:textId="4ECC9BAE" w:rsidR="009E34A6" w:rsidRPr="009E34A6" w:rsidRDefault="009E34A6" w:rsidP="009E34A6">
            <w:pPr>
              <w:keepNext w:val="0"/>
              <w:spacing w:before="0"/>
              <w:ind w:left="360"/>
              <w:contextualSpacing/>
              <w:jc w:val="left"/>
              <w:rPr>
                <w:color w:val="auto"/>
                <w:sz w:val="20"/>
                <w:szCs w:val="20"/>
              </w:rPr>
            </w:pPr>
          </w:p>
        </w:tc>
      </w:tr>
    </w:tbl>
    <w:p w14:paraId="0B5AB2AE" w14:textId="4C406432" w:rsidR="003E2B7C" w:rsidRPr="006D4F49" w:rsidRDefault="003E2B7C" w:rsidP="003E2B7C">
      <w:pPr>
        <w:rPr>
          <w:rFonts w:eastAsia="Arial"/>
        </w:rPr>
      </w:pPr>
    </w:p>
    <w:p w14:paraId="6287651F" w14:textId="13DC6CAE" w:rsidR="005703EA" w:rsidRPr="009E34A6" w:rsidRDefault="006802A3" w:rsidP="00874A98">
      <w:pPr>
        <w:pStyle w:val="ListParagraph"/>
        <w:numPr>
          <w:ilvl w:val="1"/>
          <w:numId w:val="92"/>
        </w:numPr>
        <w:autoSpaceDE w:val="0"/>
        <w:autoSpaceDN w:val="0"/>
        <w:adjustRightInd w:val="0"/>
        <w:spacing w:after="0" w:line="240" w:lineRule="auto"/>
        <w:ind w:left="851" w:hanging="851"/>
        <w:rPr>
          <w:color w:val="auto"/>
        </w:rPr>
      </w:pPr>
      <w:r w:rsidRPr="006D4F49">
        <w:rPr>
          <w:rFonts w:ascii="Arial" w:eastAsia="Calibri" w:hAnsi="Arial" w:cs="Arial"/>
          <w:color w:val="auto"/>
        </w:rPr>
        <w:t xml:space="preserve">Policy H2a meets the full </w:t>
      </w:r>
      <w:r w:rsidRPr="009E34A6">
        <w:rPr>
          <w:rFonts w:ascii="Arial" w:eastAsia="Calibri" w:hAnsi="Arial" w:cs="Arial"/>
          <w:color w:val="auto"/>
        </w:rPr>
        <w:t xml:space="preserve">assessed need of 14 additional plots for Travelling Showpeople accommodation over the plan period, </w:t>
      </w:r>
      <w:r w:rsidR="002A39C8" w:rsidRPr="009E34A6">
        <w:rPr>
          <w:rFonts w:ascii="Arial" w:eastAsia="Calibri" w:hAnsi="Arial" w:cs="Arial"/>
          <w:color w:val="auto"/>
        </w:rPr>
        <w:t xml:space="preserve">and 4 pitches </w:t>
      </w:r>
      <w:r w:rsidRPr="009E34A6">
        <w:rPr>
          <w:rFonts w:ascii="Arial" w:eastAsia="Calibri" w:hAnsi="Arial" w:cs="Arial"/>
          <w:color w:val="auto"/>
        </w:rPr>
        <w:t xml:space="preserve">to meet the future needs of Gypsys and Travellers in the District. </w:t>
      </w:r>
      <w:r w:rsidR="00171539" w:rsidRPr="009E34A6">
        <w:rPr>
          <w:rFonts w:ascii="Arial" w:hAnsi="Arial" w:cs="Arial"/>
          <w:color w:val="auto"/>
        </w:rPr>
        <w:t xml:space="preserve">It is acknowledged that the assessed need figure does not represent a ‘cap’ on the level of development and as such </w:t>
      </w:r>
      <w:r w:rsidR="00B11EBA" w:rsidRPr="009E34A6">
        <w:rPr>
          <w:rFonts w:ascii="Arial" w:hAnsi="Arial" w:cs="Arial"/>
          <w:color w:val="auto"/>
        </w:rPr>
        <w:t>c</w:t>
      </w:r>
      <w:r w:rsidR="00090543" w:rsidRPr="009E34A6">
        <w:rPr>
          <w:rFonts w:ascii="Arial" w:hAnsi="Arial" w:cs="Arial"/>
          <w:color w:val="auto"/>
        </w:rPr>
        <w:t xml:space="preserve">riteria based policy H2 </w:t>
      </w:r>
      <w:r w:rsidR="00171539" w:rsidRPr="009E34A6">
        <w:rPr>
          <w:rFonts w:ascii="Arial" w:hAnsi="Arial" w:cs="Arial"/>
          <w:color w:val="auto"/>
        </w:rPr>
        <w:t>will guide future planning decisions and/or additional land allocations.</w:t>
      </w:r>
    </w:p>
    <w:p w14:paraId="7D848CCD" w14:textId="77777777" w:rsidR="005703EA" w:rsidRPr="009E34A6" w:rsidRDefault="005703EA" w:rsidP="005703EA">
      <w:pPr>
        <w:pStyle w:val="ListParagraph"/>
        <w:autoSpaceDE w:val="0"/>
        <w:autoSpaceDN w:val="0"/>
        <w:adjustRightInd w:val="0"/>
        <w:spacing w:after="0" w:line="240" w:lineRule="auto"/>
        <w:ind w:left="851"/>
        <w:rPr>
          <w:color w:val="auto"/>
        </w:rPr>
      </w:pPr>
    </w:p>
    <w:p w14:paraId="6009C500" w14:textId="452B21F3" w:rsidR="005703EA" w:rsidRPr="009E34A6" w:rsidRDefault="005703EA" w:rsidP="00874A98">
      <w:pPr>
        <w:pStyle w:val="ListParagraph"/>
        <w:numPr>
          <w:ilvl w:val="1"/>
          <w:numId w:val="92"/>
        </w:numPr>
        <w:autoSpaceDE w:val="0"/>
        <w:autoSpaceDN w:val="0"/>
        <w:adjustRightInd w:val="0"/>
        <w:spacing w:after="0" w:line="240" w:lineRule="auto"/>
        <w:ind w:left="851" w:hanging="851"/>
        <w:rPr>
          <w:rFonts w:ascii="Arial" w:hAnsi="Arial" w:cs="Arial"/>
          <w:color w:val="auto"/>
        </w:rPr>
      </w:pPr>
      <w:r w:rsidRPr="009E34A6">
        <w:rPr>
          <w:rFonts w:ascii="Arial" w:hAnsi="Arial" w:cs="Arial"/>
          <w:color w:val="auto"/>
        </w:rPr>
        <w:t xml:space="preserve">It is proposed that the Council monitors the longer-term need for pitches and plots in </w:t>
      </w:r>
      <w:r w:rsidR="00B11EBA" w:rsidRPr="009E34A6">
        <w:rPr>
          <w:rFonts w:ascii="Arial" w:hAnsi="Arial" w:cs="Arial"/>
          <w:color w:val="auto"/>
        </w:rPr>
        <w:t xml:space="preserve">respect </w:t>
      </w:r>
      <w:r w:rsidRPr="009E34A6">
        <w:rPr>
          <w:rFonts w:ascii="Arial" w:hAnsi="Arial" w:cs="Arial"/>
          <w:color w:val="auto"/>
        </w:rPr>
        <w:t xml:space="preserve">of </w:t>
      </w:r>
      <w:r w:rsidR="00B11EBA" w:rsidRPr="009E34A6">
        <w:rPr>
          <w:rFonts w:ascii="Arial" w:hAnsi="Arial" w:cs="Arial"/>
          <w:color w:val="auto"/>
        </w:rPr>
        <w:t xml:space="preserve">any </w:t>
      </w:r>
      <w:r w:rsidRPr="009E34A6">
        <w:rPr>
          <w:rFonts w:ascii="Arial" w:hAnsi="Arial" w:cs="Arial"/>
          <w:color w:val="auto"/>
        </w:rPr>
        <w:t>updated turnover rates and sites granted planning permission which will count towards meeting the longer-term need.</w:t>
      </w:r>
    </w:p>
    <w:p w14:paraId="71EAF8DA" w14:textId="77777777" w:rsidR="009E34A6" w:rsidRDefault="009E34A6" w:rsidP="00CF681C">
      <w:pPr>
        <w:rPr>
          <w:rFonts w:eastAsia="Arial"/>
        </w:rPr>
      </w:pPr>
      <w:bookmarkStart w:id="222" w:name="_Toc500408777"/>
      <w:bookmarkStart w:id="223" w:name="_Toc145511590"/>
      <w:bookmarkStart w:id="224" w:name="_Hlk79123872"/>
    </w:p>
    <w:p w14:paraId="1E800A9D" w14:textId="77777777" w:rsidR="00E40772" w:rsidRPr="00CF681C" w:rsidRDefault="00E40772" w:rsidP="00CF681C">
      <w:pPr>
        <w:rPr>
          <w:rFonts w:eastAsia="Arial"/>
        </w:rPr>
      </w:pPr>
    </w:p>
    <w:p w14:paraId="22EF68B4" w14:textId="60C7F410" w:rsidR="002B1A0E" w:rsidRPr="00995322" w:rsidRDefault="006977E7" w:rsidP="00995322">
      <w:pPr>
        <w:pStyle w:val="Heading2"/>
        <w:jc w:val="left"/>
        <w:rPr>
          <w:rFonts w:eastAsia="Arial"/>
          <w:sz w:val="28"/>
          <w:szCs w:val="28"/>
        </w:rPr>
      </w:pPr>
      <w:r w:rsidRPr="00995322">
        <w:rPr>
          <w:rFonts w:eastAsia="Arial"/>
          <w:sz w:val="28"/>
          <w:szCs w:val="28"/>
        </w:rPr>
        <w:t xml:space="preserve">Policy </w:t>
      </w:r>
      <w:r w:rsidR="002B1A0E" w:rsidRPr="00995322">
        <w:rPr>
          <w:rFonts w:eastAsia="Arial"/>
          <w:sz w:val="28"/>
          <w:szCs w:val="28"/>
        </w:rPr>
        <w:t>H3: Affordable Housing</w:t>
      </w:r>
      <w:bookmarkEnd w:id="222"/>
      <w:bookmarkEnd w:id="223"/>
    </w:p>
    <w:p w14:paraId="55908ABF" w14:textId="77777777" w:rsidR="002B1A0E" w:rsidRPr="00263F59" w:rsidRDefault="002B1A0E" w:rsidP="00823DBE">
      <w:pPr>
        <w:keepNext w:val="0"/>
        <w:autoSpaceDE w:val="0"/>
        <w:autoSpaceDN w:val="0"/>
        <w:adjustRightInd w:val="0"/>
        <w:spacing w:before="0"/>
        <w:rPr>
          <w:rFonts w:eastAsia="Arial" w:cs="Arial"/>
          <w:b/>
          <w:bCs/>
          <w:iCs/>
          <w:color w:val="auto"/>
          <w:szCs w:val="24"/>
        </w:rPr>
      </w:pPr>
    </w:p>
    <w:p w14:paraId="53734A81" w14:textId="3557D137" w:rsidR="00503B33" w:rsidRPr="009E34A6" w:rsidRDefault="00503B33" w:rsidP="00874A98">
      <w:pPr>
        <w:pStyle w:val="ListParagraph"/>
        <w:numPr>
          <w:ilvl w:val="1"/>
          <w:numId w:val="92"/>
        </w:numPr>
        <w:autoSpaceDE w:val="0"/>
        <w:autoSpaceDN w:val="0"/>
        <w:adjustRightInd w:val="0"/>
        <w:spacing w:after="0" w:line="240" w:lineRule="auto"/>
        <w:ind w:left="851" w:hanging="851"/>
        <w:rPr>
          <w:rFonts w:ascii="Arial" w:eastAsia="Arial" w:hAnsi="Arial" w:cs="Arial"/>
          <w:color w:val="auto"/>
          <w:szCs w:val="24"/>
          <w:lang w:eastAsia="en-GB"/>
        </w:rPr>
      </w:pPr>
      <w:r w:rsidRPr="009E34A6">
        <w:rPr>
          <w:rFonts w:ascii="Arial" w:eastAsia="Arial" w:hAnsi="Arial" w:cs="Arial"/>
          <w:color w:val="auto"/>
          <w:szCs w:val="24"/>
        </w:rPr>
        <w:t>Policy H3 set out the require</w:t>
      </w:r>
      <w:r w:rsidR="00B857EA">
        <w:rPr>
          <w:rFonts w:ascii="Arial" w:eastAsia="Arial" w:hAnsi="Arial" w:cs="Arial"/>
          <w:color w:val="auto"/>
          <w:szCs w:val="24"/>
        </w:rPr>
        <w:t>ment</w:t>
      </w:r>
      <w:r w:rsidRPr="009E34A6">
        <w:rPr>
          <w:rFonts w:ascii="Arial" w:eastAsia="Arial" w:hAnsi="Arial" w:cs="Arial"/>
          <w:color w:val="auto"/>
          <w:szCs w:val="24"/>
        </w:rPr>
        <w:t xml:space="preserve"> for affordable housing within Ashfield. Affordable housing is housing for sale or rent for those whose needs are not met by the market. The NPPF breaks this down into defined types including affordable housing for rent, starter homes, discounted market sales housing and other affordable routes to home ownership.</w:t>
      </w:r>
    </w:p>
    <w:p w14:paraId="7C9D2B3B" w14:textId="77777777" w:rsidR="00503B33" w:rsidRPr="00503B33" w:rsidRDefault="00503B33" w:rsidP="00503B33">
      <w:pPr>
        <w:keepNext w:val="0"/>
        <w:spacing w:before="0"/>
        <w:ind w:left="720"/>
        <w:contextualSpacing/>
        <w:rPr>
          <w:rFonts w:eastAsia="Arial" w:cs="Arial"/>
          <w:b/>
          <w:color w:val="auto"/>
          <w:szCs w:val="24"/>
        </w:rPr>
      </w:pPr>
    </w:p>
    <w:tbl>
      <w:tblPr>
        <w:tblStyle w:val="ReportTable1"/>
        <w:tblW w:w="9072" w:type="dxa"/>
        <w:jc w:val="center"/>
        <w:tblLayout w:type="fixed"/>
        <w:tblLook w:val="04A0" w:firstRow="1" w:lastRow="0" w:firstColumn="1" w:lastColumn="0" w:noHBand="0" w:noVBand="1"/>
      </w:tblPr>
      <w:tblGrid>
        <w:gridCol w:w="2693"/>
        <w:gridCol w:w="80"/>
        <w:gridCol w:w="6299"/>
      </w:tblGrid>
      <w:tr w:rsidR="00503B33" w:rsidRPr="00503B33" w14:paraId="7B5BE040" w14:textId="77777777" w:rsidTr="00892508">
        <w:trPr>
          <w:trHeight w:val="421"/>
          <w:jc w:val="center"/>
        </w:trPr>
        <w:tc>
          <w:tcPr>
            <w:tcW w:w="9072" w:type="dxa"/>
            <w:gridSpan w:val="3"/>
          </w:tcPr>
          <w:p w14:paraId="34907391" w14:textId="77777777" w:rsidR="00503B33" w:rsidRPr="009E34A6" w:rsidRDefault="00503B33" w:rsidP="00503B33">
            <w:pPr>
              <w:keepNext w:val="0"/>
              <w:tabs>
                <w:tab w:val="left" w:pos="680"/>
              </w:tabs>
              <w:spacing w:before="0"/>
              <w:rPr>
                <w:rFonts w:eastAsia="Arial"/>
                <w:b/>
                <w:bCs/>
                <w:color w:val="auto"/>
                <w:spacing w:val="-1"/>
              </w:rPr>
            </w:pPr>
            <w:bookmarkStart w:id="225" w:name="_Hlk139530911"/>
          </w:p>
          <w:p w14:paraId="24AE4257" w14:textId="77777777" w:rsidR="00503B33" w:rsidRPr="009E34A6" w:rsidRDefault="00503B33" w:rsidP="00503B33">
            <w:pPr>
              <w:keepNext w:val="0"/>
              <w:tabs>
                <w:tab w:val="left" w:pos="680"/>
              </w:tabs>
              <w:spacing w:before="0"/>
              <w:rPr>
                <w:rFonts w:eastAsia="Arial"/>
                <w:b/>
                <w:bCs/>
                <w:color w:val="auto"/>
                <w:spacing w:val="-1"/>
              </w:rPr>
            </w:pPr>
            <w:r w:rsidRPr="009E34A6">
              <w:rPr>
                <w:rFonts w:eastAsia="Arial"/>
                <w:b/>
                <w:bCs/>
                <w:color w:val="auto"/>
                <w:spacing w:val="-1"/>
              </w:rPr>
              <w:t xml:space="preserve">Policy H3: Affordable Housing </w:t>
            </w:r>
          </w:p>
          <w:p w14:paraId="4C33D414" w14:textId="77777777" w:rsidR="00503B33" w:rsidRPr="009E34A6" w:rsidRDefault="00503B33" w:rsidP="00503B33">
            <w:pPr>
              <w:keepNext w:val="0"/>
              <w:tabs>
                <w:tab w:val="left" w:pos="680"/>
              </w:tabs>
              <w:spacing w:before="0"/>
              <w:rPr>
                <w:rFonts w:eastAsia="Arial"/>
                <w:b/>
                <w:bCs/>
                <w:color w:val="auto"/>
                <w:spacing w:val="-1"/>
              </w:rPr>
            </w:pPr>
          </w:p>
        </w:tc>
      </w:tr>
      <w:tr w:rsidR="00503B33" w:rsidRPr="00503B33" w14:paraId="0F7BCDA6" w14:textId="77777777" w:rsidTr="00892508">
        <w:trPr>
          <w:jc w:val="center"/>
        </w:trPr>
        <w:tc>
          <w:tcPr>
            <w:tcW w:w="2773" w:type="dxa"/>
            <w:gridSpan w:val="2"/>
          </w:tcPr>
          <w:p w14:paraId="0EB6E10D" w14:textId="77777777" w:rsidR="00503B33" w:rsidRPr="00503B33" w:rsidRDefault="00503B33" w:rsidP="00503B33">
            <w:pPr>
              <w:keepNext w:val="0"/>
              <w:tabs>
                <w:tab w:val="left" w:pos="680"/>
              </w:tabs>
              <w:spacing w:before="0"/>
              <w:rPr>
                <w:rFonts w:eastAsia="Arial"/>
                <w:color w:val="auto"/>
              </w:rPr>
            </w:pPr>
            <w:r w:rsidRPr="00503B33">
              <w:rPr>
                <w:rFonts w:eastAsia="Arial"/>
                <w:color w:val="auto"/>
              </w:rPr>
              <w:t>Strategic Objectives</w:t>
            </w:r>
          </w:p>
        </w:tc>
        <w:tc>
          <w:tcPr>
            <w:tcW w:w="6299" w:type="dxa"/>
          </w:tcPr>
          <w:p w14:paraId="18E4757C" w14:textId="77777777" w:rsidR="00503B33" w:rsidRPr="00503B33" w:rsidRDefault="00503B33" w:rsidP="00503B33">
            <w:pPr>
              <w:keepNext w:val="0"/>
              <w:tabs>
                <w:tab w:val="left" w:pos="680"/>
              </w:tabs>
              <w:spacing w:before="40" w:after="40"/>
              <w:rPr>
                <w:rFonts w:eastAsia="Arial"/>
                <w:color w:val="auto"/>
              </w:rPr>
            </w:pPr>
            <w:r w:rsidRPr="00503B33">
              <w:rPr>
                <w:rFonts w:eastAsia="Arial"/>
                <w:color w:val="auto"/>
              </w:rPr>
              <w:t>SO1, SO2, SO3, SO5, SO12.</w:t>
            </w:r>
          </w:p>
        </w:tc>
      </w:tr>
      <w:tr w:rsidR="00503B33" w:rsidRPr="00503B33" w14:paraId="26DE495E" w14:textId="77777777" w:rsidTr="00892508">
        <w:trPr>
          <w:jc w:val="center"/>
        </w:trPr>
        <w:tc>
          <w:tcPr>
            <w:tcW w:w="9072" w:type="dxa"/>
            <w:gridSpan w:val="3"/>
            <w:shd w:val="clear" w:color="auto" w:fill="FFCC99"/>
          </w:tcPr>
          <w:p w14:paraId="1B8D043E" w14:textId="77777777" w:rsidR="00503B33" w:rsidRPr="00503B33" w:rsidRDefault="00503B33" w:rsidP="00503B33">
            <w:pPr>
              <w:keepNext w:val="0"/>
              <w:autoSpaceDE w:val="0"/>
              <w:autoSpaceDN w:val="0"/>
              <w:adjustRightInd w:val="0"/>
              <w:spacing w:before="0"/>
              <w:ind w:left="317"/>
              <w:rPr>
                <w:color w:val="auto"/>
                <w:szCs w:val="24"/>
              </w:rPr>
            </w:pPr>
          </w:p>
          <w:p w14:paraId="0BE87513" w14:textId="362F8A28" w:rsidR="00503B33" w:rsidRPr="009E34A6" w:rsidRDefault="00503B33" w:rsidP="00874A98">
            <w:pPr>
              <w:keepNext w:val="0"/>
              <w:numPr>
                <w:ilvl w:val="0"/>
                <w:numId w:val="231"/>
              </w:numPr>
              <w:autoSpaceDE w:val="0"/>
              <w:autoSpaceDN w:val="0"/>
              <w:adjustRightInd w:val="0"/>
              <w:spacing w:before="0"/>
              <w:ind w:left="357" w:right="284" w:hanging="357"/>
              <w:rPr>
                <w:rFonts w:cs="Arial"/>
                <w:color w:val="auto"/>
                <w:szCs w:val="24"/>
              </w:rPr>
            </w:pPr>
            <w:r w:rsidRPr="00503B33">
              <w:rPr>
                <w:color w:val="auto"/>
                <w:szCs w:val="24"/>
              </w:rPr>
              <w:t xml:space="preserve">Affordable housing contributions will be required on new housing </w:t>
            </w:r>
            <w:r w:rsidRPr="009E34A6">
              <w:rPr>
                <w:color w:val="auto"/>
                <w:szCs w:val="24"/>
              </w:rPr>
              <w:t xml:space="preserve">developments </w:t>
            </w:r>
            <w:r w:rsidR="00C706B6" w:rsidRPr="009E34A6">
              <w:rPr>
                <w:color w:val="auto"/>
                <w:szCs w:val="24"/>
              </w:rPr>
              <w:t xml:space="preserve">of 10 or more dwellings or 0.5 ha or more, </w:t>
            </w:r>
            <w:r w:rsidRPr="009E34A6">
              <w:rPr>
                <w:color w:val="auto"/>
                <w:szCs w:val="24"/>
              </w:rPr>
              <w:t>other than where affordable housing requirements are excluded by national planning policy</w:t>
            </w:r>
            <w:r w:rsidR="00C706B6" w:rsidRPr="009E34A6">
              <w:rPr>
                <w:color w:val="auto"/>
                <w:szCs w:val="24"/>
              </w:rPr>
              <w:t xml:space="preserve">, as </w:t>
            </w:r>
            <w:r w:rsidR="00C706B6" w:rsidRPr="009E34A6">
              <w:rPr>
                <w:rFonts w:cs="Arial"/>
                <w:color w:val="auto"/>
                <w:szCs w:val="24"/>
              </w:rPr>
              <w:t>follows:</w:t>
            </w:r>
          </w:p>
          <w:p w14:paraId="2067E256" w14:textId="7EF5BD03" w:rsidR="00AB3521" w:rsidRPr="009E34A6" w:rsidRDefault="00410812" w:rsidP="00874A98">
            <w:pPr>
              <w:pStyle w:val="ListParagraph"/>
              <w:numPr>
                <w:ilvl w:val="0"/>
                <w:numId w:val="329"/>
              </w:numPr>
              <w:autoSpaceDE w:val="0"/>
              <w:autoSpaceDN w:val="0"/>
              <w:adjustRightInd w:val="0"/>
              <w:ind w:left="1440" w:right="284" w:hanging="284"/>
              <w:rPr>
                <w:rFonts w:ascii="Arial" w:hAnsi="Arial" w:cs="Arial"/>
                <w:color w:val="auto"/>
                <w:szCs w:val="24"/>
              </w:rPr>
            </w:pPr>
            <w:r w:rsidRPr="009E34A6">
              <w:rPr>
                <w:rFonts w:ascii="Arial" w:hAnsi="Arial" w:cs="Arial"/>
                <w:color w:val="auto"/>
                <w:szCs w:val="24"/>
              </w:rPr>
              <w:t xml:space="preserve">A minimum of </w:t>
            </w:r>
            <w:r w:rsidR="00C706B6" w:rsidRPr="009E34A6">
              <w:rPr>
                <w:rFonts w:ascii="Arial" w:hAnsi="Arial" w:cs="Arial"/>
                <w:color w:val="auto"/>
                <w:szCs w:val="24"/>
              </w:rPr>
              <w:t>25% affordable housing on greenfield sites</w:t>
            </w:r>
            <w:r w:rsidRPr="009E34A6">
              <w:rPr>
                <w:rFonts w:ascii="Arial" w:hAnsi="Arial" w:cs="Arial"/>
                <w:color w:val="auto"/>
                <w:szCs w:val="24"/>
              </w:rPr>
              <w:t>,</w:t>
            </w:r>
            <w:r w:rsidR="00C706B6" w:rsidRPr="009E34A6">
              <w:rPr>
                <w:rFonts w:ascii="Arial" w:hAnsi="Arial" w:cs="Arial"/>
                <w:color w:val="auto"/>
                <w:szCs w:val="24"/>
              </w:rPr>
              <w:t xml:space="preserve"> and</w:t>
            </w:r>
          </w:p>
          <w:p w14:paraId="540884E9" w14:textId="2D807655" w:rsidR="00C706B6" w:rsidRPr="009E34A6" w:rsidRDefault="00410812" w:rsidP="00874A98">
            <w:pPr>
              <w:pStyle w:val="ListParagraph"/>
              <w:numPr>
                <w:ilvl w:val="0"/>
                <w:numId w:val="329"/>
              </w:numPr>
              <w:autoSpaceDE w:val="0"/>
              <w:autoSpaceDN w:val="0"/>
              <w:adjustRightInd w:val="0"/>
              <w:ind w:left="1440" w:right="284" w:hanging="284"/>
              <w:rPr>
                <w:rFonts w:ascii="Arial" w:hAnsi="Arial" w:cs="Arial"/>
                <w:color w:val="auto"/>
                <w:szCs w:val="24"/>
              </w:rPr>
            </w:pPr>
            <w:r w:rsidRPr="009E34A6">
              <w:rPr>
                <w:rFonts w:ascii="Arial" w:hAnsi="Arial" w:cs="Arial"/>
                <w:color w:val="auto"/>
                <w:szCs w:val="24"/>
              </w:rPr>
              <w:t xml:space="preserve">A minimum </w:t>
            </w:r>
            <w:r w:rsidR="007E3707" w:rsidRPr="009E34A6">
              <w:rPr>
                <w:rFonts w:ascii="Arial" w:hAnsi="Arial" w:cs="Arial"/>
                <w:color w:val="auto"/>
                <w:szCs w:val="24"/>
              </w:rPr>
              <w:t xml:space="preserve">of </w:t>
            </w:r>
            <w:r w:rsidR="00C706B6" w:rsidRPr="009E34A6">
              <w:rPr>
                <w:rFonts w:ascii="Arial" w:hAnsi="Arial" w:cs="Arial"/>
                <w:color w:val="auto"/>
                <w:szCs w:val="24"/>
              </w:rPr>
              <w:t>10% affordable housing on brownfield sites</w:t>
            </w:r>
          </w:p>
          <w:p w14:paraId="48E05677" w14:textId="2947D4B1" w:rsidR="00AB3521" w:rsidRPr="009E34A6" w:rsidRDefault="00503B33" w:rsidP="00874A98">
            <w:pPr>
              <w:keepNext w:val="0"/>
              <w:numPr>
                <w:ilvl w:val="0"/>
                <w:numId w:val="231"/>
              </w:numPr>
              <w:autoSpaceDE w:val="0"/>
              <w:autoSpaceDN w:val="0"/>
              <w:adjustRightInd w:val="0"/>
              <w:spacing w:before="0"/>
              <w:ind w:left="357" w:right="284" w:hanging="357"/>
              <w:rPr>
                <w:color w:val="auto"/>
                <w:szCs w:val="24"/>
              </w:rPr>
            </w:pPr>
            <w:r w:rsidRPr="009E34A6">
              <w:rPr>
                <w:color w:val="auto"/>
                <w:szCs w:val="24"/>
              </w:rPr>
              <w:t>Of the affordable dwellings provided, the tenure mix should be identified through discussions with the local authority</w:t>
            </w:r>
            <w:r w:rsidR="00AB3521" w:rsidRPr="009E34A6">
              <w:rPr>
                <w:color w:val="auto"/>
                <w:szCs w:val="24"/>
              </w:rPr>
              <w:t>,</w:t>
            </w:r>
            <w:r w:rsidRPr="009E34A6">
              <w:rPr>
                <w:color w:val="auto"/>
                <w:szCs w:val="24"/>
              </w:rPr>
              <w:t xml:space="preserve"> and informed by the latest Government guidance and the evidence from the Council’s Housing Need Assessment. The starting point for discussions will be based on delivery of</w:t>
            </w:r>
            <w:r w:rsidR="00AB3521" w:rsidRPr="009E34A6">
              <w:rPr>
                <w:color w:val="auto"/>
                <w:szCs w:val="24"/>
              </w:rPr>
              <w:t>:</w:t>
            </w:r>
          </w:p>
          <w:p w14:paraId="72BFC040" w14:textId="77777777" w:rsidR="00AB3521" w:rsidRPr="009E34A6" w:rsidRDefault="00AB3521" w:rsidP="00AB3521">
            <w:pPr>
              <w:keepNext w:val="0"/>
              <w:autoSpaceDE w:val="0"/>
              <w:autoSpaceDN w:val="0"/>
              <w:adjustRightInd w:val="0"/>
              <w:spacing w:before="0"/>
              <w:ind w:left="357" w:right="284"/>
              <w:rPr>
                <w:color w:val="auto"/>
                <w:szCs w:val="24"/>
              </w:rPr>
            </w:pPr>
          </w:p>
          <w:p w14:paraId="0C4F4425" w14:textId="53E7393D" w:rsidR="00AB3521" w:rsidRPr="009E34A6" w:rsidRDefault="00503B33" w:rsidP="00874A98">
            <w:pPr>
              <w:pStyle w:val="ListParagraph"/>
              <w:numPr>
                <w:ilvl w:val="0"/>
                <w:numId w:val="330"/>
              </w:numPr>
              <w:autoSpaceDE w:val="0"/>
              <w:autoSpaceDN w:val="0"/>
              <w:adjustRightInd w:val="0"/>
              <w:ind w:left="1440" w:right="284" w:hanging="284"/>
              <w:rPr>
                <w:rFonts w:ascii="Arial" w:hAnsi="Arial" w:cs="Arial"/>
                <w:color w:val="auto"/>
                <w:szCs w:val="24"/>
              </w:rPr>
            </w:pPr>
            <w:r w:rsidRPr="009E34A6">
              <w:rPr>
                <w:rFonts w:ascii="Arial" w:hAnsi="Arial" w:cs="Arial"/>
                <w:color w:val="auto"/>
                <w:szCs w:val="24"/>
              </w:rPr>
              <w:t xml:space="preserve">25% </w:t>
            </w:r>
            <w:r w:rsidR="00B2365E" w:rsidRPr="009E34A6">
              <w:rPr>
                <w:rFonts w:ascii="Arial" w:hAnsi="Arial" w:cs="Arial"/>
                <w:color w:val="auto"/>
                <w:szCs w:val="24"/>
              </w:rPr>
              <w:t>S</w:t>
            </w:r>
            <w:r w:rsidRPr="009E34A6">
              <w:rPr>
                <w:rFonts w:ascii="Arial" w:hAnsi="Arial" w:cs="Arial"/>
                <w:color w:val="auto"/>
                <w:szCs w:val="24"/>
              </w:rPr>
              <w:t>hared ownership,</w:t>
            </w:r>
          </w:p>
          <w:p w14:paraId="10E53983" w14:textId="4A8BE80D" w:rsidR="00AB3521" w:rsidRPr="009E34A6" w:rsidRDefault="00503B33" w:rsidP="00874A98">
            <w:pPr>
              <w:pStyle w:val="ListParagraph"/>
              <w:numPr>
                <w:ilvl w:val="0"/>
                <w:numId w:val="330"/>
              </w:numPr>
              <w:autoSpaceDE w:val="0"/>
              <w:autoSpaceDN w:val="0"/>
              <w:adjustRightInd w:val="0"/>
              <w:ind w:left="1440" w:right="284" w:hanging="284"/>
              <w:rPr>
                <w:rFonts w:ascii="Arial" w:hAnsi="Arial" w:cs="Arial"/>
                <w:color w:val="auto"/>
                <w:szCs w:val="24"/>
              </w:rPr>
            </w:pPr>
            <w:r w:rsidRPr="009E34A6">
              <w:rPr>
                <w:rFonts w:ascii="Arial" w:hAnsi="Arial" w:cs="Arial"/>
                <w:color w:val="auto"/>
                <w:szCs w:val="24"/>
              </w:rPr>
              <w:t>25% Social Rents</w:t>
            </w:r>
            <w:r w:rsidR="00AB3521" w:rsidRPr="009E34A6">
              <w:rPr>
                <w:rFonts w:ascii="Arial" w:hAnsi="Arial" w:cs="Arial"/>
                <w:color w:val="auto"/>
                <w:szCs w:val="24"/>
              </w:rPr>
              <w:t>,</w:t>
            </w:r>
            <w:r w:rsidRPr="009E34A6">
              <w:rPr>
                <w:rFonts w:ascii="Arial" w:hAnsi="Arial" w:cs="Arial"/>
                <w:color w:val="auto"/>
                <w:szCs w:val="24"/>
              </w:rPr>
              <w:t xml:space="preserve"> and</w:t>
            </w:r>
          </w:p>
          <w:p w14:paraId="02C70465" w14:textId="44DC17DA" w:rsidR="00503B33" w:rsidRPr="009E34A6" w:rsidRDefault="00503B33" w:rsidP="00874A98">
            <w:pPr>
              <w:pStyle w:val="ListParagraph"/>
              <w:numPr>
                <w:ilvl w:val="0"/>
                <w:numId w:val="330"/>
              </w:numPr>
              <w:autoSpaceDE w:val="0"/>
              <w:autoSpaceDN w:val="0"/>
              <w:adjustRightInd w:val="0"/>
              <w:ind w:left="1440" w:right="284" w:hanging="284"/>
              <w:rPr>
                <w:rFonts w:ascii="Arial" w:hAnsi="Arial" w:cs="Arial"/>
                <w:color w:val="auto"/>
                <w:szCs w:val="24"/>
              </w:rPr>
            </w:pPr>
            <w:r w:rsidRPr="009E34A6">
              <w:rPr>
                <w:rFonts w:ascii="Arial" w:hAnsi="Arial" w:cs="Arial"/>
                <w:color w:val="auto"/>
                <w:szCs w:val="24"/>
              </w:rPr>
              <w:t>50% Affordable Rents.</w:t>
            </w:r>
          </w:p>
          <w:p w14:paraId="50C854CC" w14:textId="66749DA0" w:rsidR="00503B33" w:rsidRPr="009E34A6" w:rsidRDefault="00503B33" w:rsidP="00874A98">
            <w:pPr>
              <w:keepNext w:val="0"/>
              <w:numPr>
                <w:ilvl w:val="0"/>
                <w:numId w:val="231"/>
              </w:numPr>
              <w:autoSpaceDE w:val="0"/>
              <w:autoSpaceDN w:val="0"/>
              <w:adjustRightInd w:val="0"/>
              <w:spacing w:before="0"/>
              <w:ind w:left="425" w:right="284" w:hanging="357"/>
              <w:rPr>
                <w:color w:val="auto"/>
                <w:szCs w:val="24"/>
              </w:rPr>
            </w:pPr>
            <w:r w:rsidRPr="009E34A6">
              <w:rPr>
                <w:color w:val="auto"/>
                <w:szCs w:val="24"/>
              </w:rPr>
              <w:t xml:space="preserve">Affordable housing should be delivered on site and integrated with market housing. Off-site commuted sums of an equivalent value may be made in lieu of on-site provision (in total or in part) where on-site provision is satisfactorily demonstrated to be </w:t>
            </w:r>
            <w:r w:rsidR="00A24804" w:rsidRPr="009E34A6">
              <w:rPr>
                <w:color w:val="auto"/>
                <w:szCs w:val="24"/>
              </w:rPr>
              <w:t>unwarranted,</w:t>
            </w:r>
            <w:r w:rsidRPr="009E34A6">
              <w:rPr>
                <w:color w:val="auto"/>
                <w:szCs w:val="24"/>
              </w:rPr>
              <w:t xml:space="preserve"> or where such off-site contributions can be shown to contribute to the successful development of other affordable housing and</w:t>
            </w:r>
            <w:r w:rsidR="00A24804" w:rsidRPr="009E34A6">
              <w:rPr>
                <w:color w:val="auto"/>
                <w:szCs w:val="24"/>
              </w:rPr>
              <w:t>/</w:t>
            </w:r>
            <w:r w:rsidRPr="009E34A6">
              <w:rPr>
                <w:color w:val="auto"/>
                <w:szCs w:val="24"/>
              </w:rPr>
              <w:t>or regeneration schemes within the district.</w:t>
            </w:r>
          </w:p>
          <w:p w14:paraId="306A03A8" w14:textId="77777777" w:rsidR="00503B33" w:rsidRPr="009E34A6" w:rsidRDefault="00503B33" w:rsidP="00503B33">
            <w:pPr>
              <w:keepNext w:val="0"/>
              <w:autoSpaceDE w:val="0"/>
              <w:autoSpaceDN w:val="0"/>
              <w:adjustRightInd w:val="0"/>
              <w:spacing w:before="0"/>
              <w:ind w:left="425" w:right="284"/>
              <w:rPr>
                <w:color w:val="auto"/>
                <w:szCs w:val="24"/>
              </w:rPr>
            </w:pPr>
          </w:p>
          <w:p w14:paraId="6E1B0CEF" w14:textId="006EFF0A" w:rsidR="00503B33" w:rsidRPr="009E34A6" w:rsidRDefault="00503B33" w:rsidP="00874A98">
            <w:pPr>
              <w:keepNext w:val="0"/>
              <w:numPr>
                <w:ilvl w:val="0"/>
                <w:numId w:val="231"/>
              </w:numPr>
              <w:autoSpaceDE w:val="0"/>
              <w:autoSpaceDN w:val="0"/>
              <w:adjustRightInd w:val="0"/>
              <w:spacing w:before="0"/>
              <w:ind w:left="425" w:right="284" w:hanging="357"/>
              <w:rPr>
                <w:color w:val="auto"/>
                <w:szCs w:val="24"/>
              </w:rPr>
            </w:pPr>
            <w:r w:rsidRPr="009E34A6">
              <w:rPr>
                <w:color w:val="auto"/>
                <w:szCs w:val="24"/>
              </w:rPr>
              <w:t>Proposals that do not meet the policy requirements must provide a clear justification supported by an independent viability assessment that a different level or mix of affordable housing is required to make the development viable. It must be satisfactorily demonstrated to the Council that any alternatives approach will contribute towards creating mixed and balance communities.</w:t>
            </w:r>
          </w:p>
          <w:p w14:paraId="1ECC22EA" w14:textId="77777777" w:rsidR="00503B33" w:rsidRPr="009E34A6" w:rsidRDefault="00503B33" w:rsidP="00503B33">
            <w:pPr>
              <w:keepNext w:val="0"/>
              <w:autoSpaceDE w:val="0"/>
              <w:autoSpaceDN w:val="0"/>
              <w:adjustRightInd w:val="0"/>
              <w:spacing w:before="0"/>
              <w:ind w:right="284"/>
              <w:rPr>
                <w:color w:val="auto"/>
                <w:szCs w:val="24"/>
              </w:rPr>
            </w:pPr>
          </w:p>
          <w:p w14:paraId="49EBC6F3" w14:textId="77777777" w:rsidR="00503B33" w:rsidRDefault="00503B33" w:rsidP="00874A98">
            <w:pPr>
              <w:keepNext w:val="0"/>
              <w:numPr>
                <w:ilvl w:val="0"/>
                <w:numId w:val="231"/>
              </w:numPr>
              <w:autoSpaceDE w:val="0"/>
              <w:autoSpaceDN w:val="0"/>
              <w:adjustRightInd w:val="0"/>
              <w:spacing w:before="0"/>
              <w:ind w:left="425" w:right="284" w:hanging="357"/>
              <w:rPr>
                <w:color w:val="auto"/>
                <w:szCs w:val="24"/>
              </w:rPr>
            </w:pPr>
            <w:r w:rsidRPr="00503B33">
              <w:rPr>
                <w:color w:val="auto"/>
                <w:szCs w:val="24"/>
              </w:rPr>
              <w:t>Developers are expected to make efficient use of land and attempts to artificially reduce the scale of development to below the threshold for providing affordable housing will not be acceptable.</w:t>
            </w:r>
          </w:p>
          <w:p w14:paraId="55793B21" w14:textId="5E59CABD" w:rsidR="00E40772" w:rsidRPr="00503B33" w:rsidRDefault="00E40772" w:rsidP="00E40772">
            <w:pPr>
              <w:keepNext w:val="0"/>
              <w:autoSpaceDE w:val="0"/>
              <w:autoSpaceDN w:val="0"/>
              <w:adjustRightInd w:val="0"/>
              <w:spacing w:before="0"/>
              <w:ind w:right="284"/>
              <w:rPr>
                <w:color w:val="auto"/>
                <w:szCs w:val="24"/>
              </w:rPr>
            </w:pPr>
          </w:p>
        </w:tc>
      </w:tr>
      <w:tr w:rsidR="00503B33" w:rsidRPr="00503B33" w14:paraId="778AC887" w14:textId="77777777" w:rsidTr="00892508">
        <w:trPr>
          <w:jc w:val="center"/>
        </w:trPr>
        <w:tc>
          <w:tcPr>
            <w:tcW w:w="2693" w:type="dxa"/>
          </w:tcPr>
          <w:p w14:paraId="38B14F99" w14:textId="77777777" w:rsidR="00503B33" w:rsidRPr="00503B33" w:rsidRDefault="00503B33" w:rsidP="00503B33">
            <w:pPr>
              <w:keepNext w:val="0"/>
              <w:tabs>
                <w:tab w:val="left" w:pos="680"/>
                <w:tab w:val="left" w:pos="1133"/>
                <w:tab w:val="left" w:pos="2267"/>
              </w:tabs>
              <w:spacing w:before="0"/>
              <w:ind w:right="284"/>
              <w:rPr>
                <w:rFonts w:eastAsia="Arial"/>
                <w:color w:val="C45911"/>
                <w:szCs w:val="24"/>
              </w:rPr>
            </w:pPr>
            <w:r w:rsidRPr="00503B33">
              <w:rPr>
                <w:rFonts w:eastAsia="Arial"/>
                <w:iCs/>
                <w:color w:val="auto"/>
                <w:sz w:val="20"/>
              </w:rPr>
              <w:t>Evidence Base</w:t>
            </w:r>
          </w:p>
        </w:tc>
        <w:tc>
          <w:tcPr>
            <w:tcW w:w="6379" w:type="dxa"/>
            <w:gridSpan w:val="2"/>
          </w:tcPr>
          <w:p w14:paraId="230AC914" w14:textId="17A0DC2C" w:rsidR="00503B33" w:rsidRPr="009E34A6" w:rsidRDefault="00503B33" w:rsidP="00874A98">
            <w:pPr>
              <w:keepNext w:val="0"/>
              <w:numPr>
                <w:ilvl w:val="0"/>
                <w:numId w:val="93"/>
              </w:numPr>
              <w:spacing w:before="0"/>
              <w:contextualSpacing/>
              <w:rPr>
                <w:rFonts w:eastAsia="Calibri"/>
                <w:color w:val="auto"/>
                <w:sz w:val="20"/>
              </w:rPr>
            </w:pPr>
            <w:r w:rsidRPr="009E34A6">
              <w:rPr>
                <w:rFonts w:eastAsia="Calibri"/>
                <w:color w:val="auto"/>
                <w:sz w:val="20"/>
              </w:rPr>
              <w:t>Greater Nottingham &amp; Ashfield Housing Needs Assessment Final Report 2020 - Iceni Projects Limited on behalf of the Greater Nottingham Planning Partnership.</w:t>
            </w:r>
          </w:p>
          <w:p w14:paraId="6FD0D75C" w14:textId="77777777" w:rsidR="00503B33" w:rsidRPr="009E34A6" w:rsidRDefault="00503B33" w:rsidP="00874A98">
            <w:pPr>
              <w:keepNext w:val="0"/>
              <w:numPr>
                <w:ilvl w:val="0"/>
                <w:numId w:val="93"/>
              </w:numPr>
              <w:spacing w:before="0" w:after="160" w:line="252" w:lineRule="auto"/>
              <w:contextualSpacing/>
              <w:jc w:val="both"/>
              <w:rPr>
                <w:rFonts w:eastAsia="Calibri"/>
                <w:color w:val="auto"/>
                <w:sz w:val="20"/>
              </w:rPr>
            </w:pPr>
            <w:r w:rsidRPr="009E34A6">
              <w:rPr>
                <w:rFonts w:eastAsia="Calibri"/>
                <w:color w:val="auto"/>
                <w:sz w:val="20"/>
              </w:rPr>
              <w:t>First Homes Assessment 2022, Iceni Projects Limited on behalf of the Greater Nottingham Planning Partnership.</w:t>
            </w:r>
          </w:p>
          <w:p w14:paraId="39E2CF1F" w14:textId="77777777" w:rsidR="00503B33" w:rsidRPr="009E34A6" w:rsidRDefault="00503B33" w:rsidP="00874A98">
            <w:pPr>
              <w:keepNext w:val="0"/>
              <w:numPr>
                <w:ilvl w:val="0"/>
                <w:numId w:val="93"/>
              </w:numPr>
              <w:spacing w:before="0" w:after="160" w:line="252" w:lineRule="auto"/>
              <w:contextualSpacing/>
              <w:jc w:val="both"/>
              <w:rPr>
                <w:rFonts w:eastAsia="Calibri"/>
                <w:color w:val="auto"/>
                <w:sz w:val="20"/>
              </w:rPr>
            </w:pPr>
            <w:r w:rsidRPr="009E34A6">
              <w:rPr>
                <w:rFonts w:eastAsia="Calibri"/>
                <w:color w:val="auto"/>
                <w:sz w:val="20"/>
              </w:rPr>
              <w:t>Ashfield District Council Whole Plan Viability Assessment March 2023, Nationwide CIL Services.</w:t>
            </w:r>
          </w:p>
          <w:p w14:paraId="4D30A4EA" w14:textId="77777777" w:rsidR="00503B33" w:rsidRPr="009E34A6" w:rsidRDefault="00503B33" w:rsidP="00874A98">
            <w:pPr>
              <w:keepNext w:val="0"/>
              <w:numPr>
                <w:ilvl w:val="0"/>
                <w:numId w:val="93"/>
              </w:numPr>
              <w:spacing w:before="0" w:after="160" w:line="252" w:lineRule="auto"/>
              <w:contextualSpacing/>
              <w:rPr>
                <w:rFonts w:eastAsia="Calibri"/>
                <w:color w:val="auto"/>
                <w:sz w:val="20"/>
              </w:rPr>
            </w:pPr>
            <w:r w:rsidRPr="009E34A6">
              <w:rPr>
                <w:rFonts w:eastAsia="Calibri"/>
                <w:color w:val="auto"/>
                <w:sz w:val="20"/>
              </w:rPr>
              <w:t>Ashfield Affordable housing delivery strategy 2021 to 2023 including actions 2023 to 2025.</w:t>
            </w:r>
          </w:p>
          <w:p w14:paraId="5E3377E1" w14:textId="77777777" w:rsidR="00503B33" w:rsidRPr="009E34A6" w:rsidRDefault="00503B33" w:rsidP="00874A98">
            <w:pPr>
              <w:keepNext w:val="0"/>
              <w:numPr>
                <w:ilvl w:val="0"/>
                <w:numId w:val="93"/>
              </w:numPr>
              <w:spacing w:before="0" w:after="160" w:line="252" w:lineRule="auto"/>
              <w:contextualSpacing/>
              <w:jc w:val="both"/>
              <w:rPr>
                <w:rFonts w:eastAsia="Calibri"/>
                <w:color w:val="auto"/>
                <w:sz w:val="20"/>
              </w:rPr>
            </w:pPr>
            <w:r w:rsidRPr="009E34A6">
              <w:rPr>
                <w:rFonts w:eastAsia="Calibri"/>
                <w:color w:val="auto"/>
                <w:sz w:val="20"/>
              </w:rPr>
              <w:t>S</w:t>
            </w:r>
            <w:r w:rsidRPr="009E34A6">
              <w:rPr>
                <w:rFonts w:eastAsia="Arial"/>
                <w:color w:val="auto"/>
                <w:sz w:val="20"/>
              </w:rPr>
              <w:t>ustainability Appraisal, 2023. WSP UK Limited.</w:t>
            </w:r>
            <w:r w:rsidRPr="009E34A6">
              <w:rPr>
                <w:rFonts w:eastAsia="Arial"/>
                <w:color w:val="auto"/>
                <w:szCs w:val="24"/>
              </w:rPr>
              <w:t xml:space="preserve"> </w:t>
            </w:r>
          </w:p>
        </w:tc>
      </w:tr>
      <w:tr w:rsidR="00503B33" w:rsidRPr="00503B33" w14:paraId="3DAC6E03" w14:textId="77777777" w:rsidTr="00892508">
        <w:trPr>
          <w:jc w:val="center"/>
        </w:trPr>
        <w:tc>
          <w:tcPr>
            <w:tcW w:w="2693" w:type="dxa"/>
          </w:tcPr>
          <w:p w14:paraId="223BE26C" w14:textId="77777777" w:rsidR="00503B33" w:rsidRPr="00503B33" w:rsidRDefault="00503B33" w:rsidP="00503B33">
            <w:pPr>
              <w:keepNext w:val="0"/>
              <w:tabs>
                <w:tab w:val="left" w:pos="680"/>
                <w:tab w:val="left" w:pos="1133"/>
                <w:tab w:val="left" w:pos="2267"/>
              </w:tabs>
              <w:spacing w:before="0"/>
              <w:ind w:right="284"/>
              <w:rPr>
                <w:rFonts w:eastAsia="Arial"/>
                <w:color w:val="auto"/>
                <w:sz w:val="22"/>
              </w:rPr>
            </w:pPr>
            <w:r w:rsidRPr="00503B33">
              <w:rPr>
                <w:rFonts w:eastAsia="Arial"/>
                <w:iCs/>
                <w:color w:val="auto"/>
                <w:sz w:val="20"/>
              </w:rPr>
              <w:t xml:space="preserve">National Planning Policy and Guidance </w:t>
            </w:r>
          </w:p>
        </w:tc>
        <w:tc>
          <w:tcPr>
            <w:tcW w:w="6379" w:type="dxa"/>
            <w:gridSpan w:val="2"/>
          </w:tcPr>
          <w:p w14:paraId="6E6A1AFB" w14:textId="7A4FA0F5" w:rsidR="00503B33" w:rsidRPr="009E34A6" w:rsidRDefault="00503B33" w:rsidP="00874A98">
            <w:pPr>
              <w:keepNext w:val="0"/>
              <w:numPr>
                <w:ilvl w:val="0"/>
                <w:numId w:val="94"/>
              </w:numPr>
              <w:spacing w:before="0"/>
              <w:contextualSpacing/>
              <w:rPr>
                <w:rFonts w:eastAsia="Calibri"/>
                <w:color w:val="auto"/>
                <w:sz w:val="20"/>
              </w:rPr>
            </w:pPr>
            <w:r w:rsidRPr="009E34A6">
              <w:rPr>
                <w:rFonts w:eastAsia="Calibri"/>
                <w:color w:val="auto"/>
                <w:sz w:val="20"/>
              </w:rPr>
              <w:t>NPPF 202</w:t>
            </w:r>
            <w:r w:rsidR="004173E0" w:rsidRPr="009E34A6">
              <w:rPr>
                <w:rFonts w:eastAsia="Calibri"/>
                <w:color w:val="auto"/>
                <w:sz w:val="20"/>
              </w:rPr>
              <w:t>3</w:t>
            </w:r>
            <w:r w:rsidRPr="009E34A6">
              <w:rPr>
                <w:rFonts w:eastAsia="Calibri"/>
                <w:color w:val="auto"/>
                <w:sz w:val="20"/>
              </w:rPr>
              <w:t>, Part 2: Achieving sustainable development.</w:t>
            </w:r>
          </w:p>
          <w:p w14:paraId="7799EF8A" w14:textId="0C12FF1D" w:rsidR="00503B33" w:rsidRPr="009E34A6" w:rsidRDefault="00503B33" w:rsidP="00874A98">
            <w:pPr>
              <w:keepNext w:val="0"/>
              <w:numPr>
                <w:ilvl w:val="0"/>
                <w:numId w:val="94"/>
              </w:numPr>
              <w:spacing w:before="0"/>
              <w:contextualSpacing/>
              <w:rPr>
                <w:rFonts w:eastAsia="Calibri"/>
                <w:color w:val="auto"/>
                <w:sz w:val="20"/>
              </w:rPr>
            </w:pPr>
            <w:r w:rsidRPr="009E34A6">
              <w:rPr>
                <w:rFonts w:eastAsia="Calibri"/>
                <w:color w:val="auto"/>
                <w:sz w:val="20"/>
              </w:rPr>
              <w:t>NPPF 202</w:t>
            </w:r>
            <w:r w:rsidR="004173E0" w:rsidRPr="009E34A6">
              <w:rPr>
                <w:rFonts w:eastAsia="Calibri"/>
                <w:color w:val="auto"/>
                <w:sz w:val="20"/>
              </w:rPr>
              <w:t>3</w:t>
            </w:r>
            <w:r w:rsidRPr="009E34A6">
              <w:rPr>
                <w:rFonts w:eastAsia="Calibri"/>
                <w:color w:val="auto"/>
                <w:sz w:val="20"/>
              </w:rPr>
              <w:t>, Part 5: Delivering a sufficient supply of homes.</w:t>
            </w:r>
          </w:p>
          <w:p w14:paraId="678771BF" w14:textId="77777777" w:rsidR="00503B33" w:rsidRPr="009E34A6" w:rsidRDefault="00503B33" w:rsidP="00874A98">
            <w:pPr>
              <w:keepNext w:val="0"/>
              <w:numPr>
                <w:ilvl w:val="0"/>
                <w:numId w:val="94"/>
              </w:numPr>
              <w:spacing w:before="0"/>
              <w:contextualSpacing/>
              <w:rPr>
                <w:rFonts w:eastAsia="Calibri"/>
                <w:color w:val="auto"/>
                <w:sz w:val="20"/>
              </w:rPr>
            </w:pPr>
            <w:r w:rsidRPr="009E34A6">
              <w:rPr>
                <w:rFonts w:eastAsia="Calibri"/>
                <w:color w:val="auto"/>
                <w:sz w:val="20"/>
              </w:rPr>
              <w:t>Planning Practice Guidance: First Homes as of December 2021.</w:t>
            </w:r>
          </w:p>
          <w:p w14:paraId="5223ACE3" w14:textId="77777777" w:rsidR="00503B33" w:rsidRPr="009E34A6" w:rsidRDefault="00503B33" w:rsidP="00874A98">
            <w:pPr>
              <w:keepNext w:val="0"/>
              <w:numPr>
                <w:ilvl w:val="0"/>
                <w:numId w:val="94"/>
              </w:numPr>
              <w:spacing w:before="0" w:after="160" w:line="252" w:lineRule="auto"/>
              <w:contextualSpacing/>
              <w:rPr>
                <w:rFonts w:eastAsia="Calibri"/>
                <w:color w:val="auto"/>
                <w:sz w:val="20"/>
              </w:rPr>
            </w:pPr>
            <w:r w:rsidRPr="009E34A6">
              <w:rPr>
                <w:rFonts w:eastAsia="Calibri"/>
                <w:color w:val="auto"/>
                <w:sz w:val="20"/>
              </w:rPr>
              <w:t>Planning Practice Guidance Housing and economic needs assessment as at December 2020.</w:t>
            </w:r>
          </w:p>
        </w:tc>
      </w:tr>
    </w:tbl>
    <w:p w14:paraId="1B0531FF" w14:textId="77777777" w:rsidR="00503B33" w:rsidRDefault="00503B33" w:rsidP="00503B33">
      <w:pPr>
        <w:keepNext w:val="0"/>
        <w:spacing w:before="0"/>
        <w:contextualSpacing/>
        <w:rPr>
          <w:rFonts w:cs="Arial"/>
          <w:color w:val="auto"/>
          <w:szCs w:val="24"/>
          <w:lang w:eastAsia="en-US"/>
        </w:rPr>
      </w:pPr>
    </w:p>
    <w:p w14:paraId="026AC859" w14:textId="77777777" w:rsidR="00E40772" w:rsidRPr="00503B33" w:rsidRDefault="00E40772" w:rsidP="00503B33">
      <w:pPr>
        <w:keepNext w:val="0"/>
        <w:spacing w:before="0"/>
        <w:contextualSpacing/>
        <w:rPr>
          <w:rFonts w:cs="Arial"/>
          <w:color w:val="auto"/>
          <w:szCs w:val="24"/>
          <w:lang w:eastAsia="en-US"/>
        </w:rPr>
      </w:pPr>
    </w:p>
    <w:bookmarkEnd w:id="225"/>
    <w:p w14:paraId="6739EE72" w14:textId="77777777" w:rsidR="00CE7909" w:rsidRPr="00CE7909" w:rsidRDefault="00CE7909" w:rsidP="00874A98">
      <w:pPr>
        <w:pStyle w:val="ListParagraph"/>
        <w:numPr>
          <w:ilvl w:val="1"/>
          <w:numId w:val="92"/>
        </w:numPr>
        <w:autoSpaceDE w:val="0"/>
        <w:autoSpaceDN w:val="0"/>
        <w:adjustRightInd w:val="0"/>
        <w:spacing w:after="0" w:line="240" w:lineRule="auto"/>
        <w:ind w:left="851" w:hanging="851"/>
        <w:rPr>
          <w:rFonts w:ascii="Arial" w:eastAsia="Arial" w:hAnsi="Arial" w:cs="Arial"/>
          <w:szCs w:val="24"/>
          <w:lang w:eastAsia="en-GB"/>
        </w:rPr>
      </w:pPr>
      <w:r w:rsidRPr="00CE7909">
        <w:rPr>
          <w:rFonts w:ascii="Arial" w:eastAsia="Arial" w:hAnsi="Arial" w:cs="Arial"/>
          <w:szCs w:val="24"/>
        </w:rPr>
        <w:t>The role of affordable housing is to meet local housing needs which are not being met by the market.  It is a reflection of the difference between local housing prices and household income.  New residential developments should provide for a proportion of affordable housing to contribute towards delivering a wide choice of high quality homes and create sustainable, inclusive and mixed communities.</w:t>
      </w:r>
    </w:p>
    <w:p w14:paraId="347D7464" w14:textId="77777777" w:rsidR="00CE7909" w:rsidRPr="00CE7909" w:rsidRDefault="00CE7909" w:rsidP="00CE7909">
      <w:pPr>
        <w:pStyle w:val="ListParagraph"/>
        <w:spacing w:after="0" w:line="240" w:lineRule="auto"/>
        <w:rPr>
          <w:rFonts w:ascii="Arial" w:eastAsia="Arial" w:hAnsi="Arial" w:cs="Arial"/>
          <w:szCs w:val="24"/>
        </w:rPr>
      </w:pPr>
    </w:p>
    <w:p w14:paraId="6BBABE61" w14:textId="54E5D576" w:rsidR="00CE7909" w:rsidRPr="00CE7909" w:rsidRDefault="00CE7909" w:rsidP="00874A98">
      <w:pPr>
        <w:pStyle w:val="ListParagraph"/>
        <w:numPr>
          <w:ilvl w:val="1"/>
          <w:numId w:val="92"/>
        </w:numPr>
        <w:autoSpaceDE w:val="0"/>
        <w:autoSpaceDN w:val="0"/>
        <w:adjustRightInd w:val="0"/>
        <w:spacing w:after="0" w:line="240" w:lineRule="auto"/>
        <w:ind w:left="851" w:hanging="851"/>
        <w:rPr>
          <w:rFonts w:ascii="Arial" w:eastAsia="Arial" w:hAnsi="Arial" w:cs="Arial"/>
          <w:szCs w:val="24"/>
          <w:lang w:eastAsia="en-GB"/>
        </w:rPr>
      </w:pPr>
      <w:r w:rsidRPr="00CE7909">
        <w:rPr>
          <w:rFonts w:ascii="Arial" w:eastAsia="Arial" w:hAnsi="Arial" w:cs="Arial"/>
          <w:szCs w:val="24"/>
        </w:rPr>
        <w:t>The N</w:t>
      </w:r>
      <w:r w:rsidR="00EF521C">
        <w:rPr>
          <w:rFonts w:ascii="Arial" w:eastAsia="Arial" w:hAnsi="Arial" w:cs="Arial"/>
          <w:szCs w:val="24"/>
        </w:rPr>
        <w:t>PPF</w:t>
      </w:r>
      <w:r w:rsidRPr="00CE7909">
        <w:rPr>
          <w:rFonts w:ascii="Arial" w:eastAsia="Arial" w:hAnsi="Arial" w:cs="Arial"/>
          <w:szCs w:val="24"/>
        </w:rPr>
        <w:t xml:space="preserve"> categorises affordable housing into four main types : </w:t>
      </w:r>
    </w:p>
    <w:p w14:paraId="76267E47" w14:textId="19B55418" w:rsidR="00CE7909" w:rsidRPr="00CE7909" w:rsidRDefault="00CE7909" w:rsidP="00CE7909">
      <w:pPr>
        <w:pStyle w:val="ListParagraph"/>
        <w:spacing w:after="0" w:line="240" w:lineRule="auto"/>
        <w:rPr>
          <w:rFonts w:ascii="Arial" w:eastAsia="Arial" w:hAnsi="Arial" w:cs="Arial"/>
          <w:szCs w:val="24"/>
        </w:rPr>
      </w:pPr>
    </w:p>
    <w:p w14:paraId="68364D07" w14:textId="0635F2DE" w:rsidR="00CE7909" w:rsidRPr="00CE7909" w:rsidRDefault="00CE7909" w:rsidP="00874A98">
      <w:pPr>
        <w:pStyle w:val="ListParagraph"/>
        <w:numPr>
          <w:ilvl w:val="0"/>
          <w:numId w:val="232"/>
        </w:numPr>
        <w:spacing w:after="0" w:line="240" w:lineRule="auto"/>
        <w:rPr>
          <w:rFonts w:ascii="Arial" w:eastAsia="Arial" w:hAnsi="Arial" w:cs="Arial"/>
          <w:szCs w:val="24"/>
        </w:rPr>
      </w:pPr>
      <w:r w:rsidRPr="00CE7909">
        <w:rPr>
          <w:rFonts w:ascii="Arial" w:eastAsia="Arial" w:hAnsi="Arial" w:cs="Arial"/>
          <w:szCs w:val="24"/>
        </w:rPr>
        <w:t xml:space="preserve">Affordable housing for rent: owned and managed by a Council or other Registered Provider which meet the criteria set out by the Government definition of affordable housing for rent.   This will include social rents and affordable rents.   </w:t>
      </w:r>
    </w:p>
    <w:p w14:paraId="5EB2E2A6" w14:textId="77777777" w:rsidR="00CE7909" w:rsidRPr="00CE7909" w:rsidRDefault="00CE7909" w:rsidP="00CE7909">
      <w:pPr>
        <w:pStyle w:val="ListParagraph"/>
        <w:spacing w:after="0" w:line="240" w:lineRule="auto"/>
        <w:ind w:left="1211"/>
        <w:rPr>
          <w:rFonts w:ascii="Arial" w:eastAsia="Arial" w:hAnsi="Arial" w:cs="Arial"/>
          <w:szCs w:val="24"/>
        </w:rPr>
      </w:pPr>
    </w:p>
    <w:p w14:paraId="0E0A885A" w14:textId="77777777" w:rsidR="00CE7909" w:rsidRPr="00CE7909" w:rsidRDefault="00CE7909" w:rsidP="00874A98">
      <w:pPr>
        <w:pStyle w:val="ListParagraph"/>
        <w:numPr>
          <w:ilvl w:val="0"/>
          <w:numId w:val="232"/>
        </w:numPr>
        <w:spacing w:after="0" w:line="240" w:lineRule="auto"/>
        <w:rPr>
          <w:rFonts w:ascii="Arial" w:eastAsia="Arial" w:hAnsi="Arial" w:cs="Arial"/>
          <w:szCs w:val="24"/>
        </w:rPr>
      </w:pPr>
      <w:r w:rsidRPr="00CE7909">
        <w:rPr>
          <w:rFonts w:ascii="Arial" w:eastAsia="Arial" w:hAnsi="Arial" w:cs="Arial"/>
          <w:szCs w:val="24"/>
        </w:rPr>
        <w:t xml:space="preserve">Starter homes: are defined by the Housing and Planning Act 2016.  They are new dwellings which are available for purchase by qualifying first-time buyers and are sold at a discount of at least 20% of the market value, subject to a price cap and with restrictions on sale or letting. </w:t>
      </w:r>
    </w:p>
    <w:p w14:paraId="451D909A" w14:textId="77777777" w:rsidR="00CE7909" w:rsidRPr="00CE7909" w:rsidRDefault="00CE7909" w:rsidP="00CE7909">
      <w:pPr>
        <w:pStyle w:val="ListParagraph"/>
        <w:spacing w:after="0" w:line="240" w:lineRule="auto"/>
        <w:rPr>
          <w:rFonts w:ascii="Arial" w:eastAsia="Arial" w:hAnsi="Arial" w:cs="Arial"/>
          <w:szCs w:val="24"/>
        </w:rPr>
      </w:pPr>
    </w:p>
    <w:p w14:paraId="549192C4" w14:textId="77777777" w:rsidR="00CE7909" w:rsidRPr="00CE7909" w:rsidRDefault="00CE7909" w:rsidP="00874A98">
      <w:pPr>
        <w:pStyle w:val="ListParagraph"/>
        <w:numPr>
          <w:ilvl w:val="0"/>
          <w:numId w:val="232"/>
        </w:numPr>
        <w:spacing w:after="0" w:line="240" w:lineRule="auto"/>
        <w:rPr>
          <w:rFonts w:ascii="Arial" w:eastAsia="Arial" w:hAnsi="Arial" w:cs="Arial"/>
          <w:szCs w:val="24"/>
        </w:rPr>
      </w:pPr>
      <w:r w:rsidRPr="00CE7909">
        <w:rPr>
          <w:rFonts w:ascii="Arial" w:eastAsia="Arial" w:hAnsi="Arial" w:cs="Arial"/>
          <w:szCs w:val="24"/>
        </w:rPr>
        <w:t>Discounted market sales: housing which is sold at a discount of at least 20% below local market value with eligibility determined by local incomes and house prices and with provisions to ensure housing remains at a discount for future eligible households.</w:t>
      </w:r>
    </w:p>
    <w:p w14:paraId="6FB8559F" w14:textId="77777777" w:rsidR="00CE7909" w:rsidRPr="00CE7909" w:rsidRDefault="00CE7909" w:rsidP="00CE7909">
      <w:pPr>
        <w:pStyle w:val="ListParagraph"/>
        <w:spacing w:after="0" w:line="240" w:lineRule="auto"/>
        <w:rPr>
          <w:rFonts w:ascii="Arial" w:eastAsia="Arial" w:hAnsi="Arial" w:cs="Arial"/>
          <w:szCs w:val="24"/>
        </w:rPr>
      </w:pPr>
    </w:p>
    <w:p w14:paraId="5C67E480" w14:textId="08739115" w:rsidR="00CE7909" w:rsidRPr="007966F9" w:rsidRDefault="00CE7909" w:rsidP="00874A98">
      <w:pPr>
        <w:pStyle w:val="ListParagraph"/>
        <w:numPr>
          <w:ilvl w:val="0"/>
          <w:numId w:val="232"/>
        </w:numPr>
        <w:spacing w:after="0" w:line="240" w:lineRule="auto"/>
        <w:rPr>
          <w:rFonts w:ascii="Arial" w:eastAsia="Arial" w:hAnsi="Arial" w:cs="Arial"/>
          <w:color w:val="0070C0"/>
          <w:szCs w:val="24"/>
        </w:rPr>
      </w:pPr>
      <w:r w:rsidRPr="00CE7909">
        <w:rPr>
          <w:rFonts w:ascii="Arial" w:eastAsia="Arial" w:hAnsi="Arial" w:cs="Arial"/>
          <w:szCs w:val="24"/>
        </w:rPr>
        <w:t>Other affordable routes to home ownership: for those who could not achieve home ownership through the market including shared ownership, equity loans, low cost homes for sale and rent to buy.</w:t>
      </w:r>
    </w:p>
    <w:p w14:paraId="7DCE91D0" w14:textId="77777777" w:rsidR="00CE7909" w:rsidRPr="007966F9" w:rsidRDefault="00CE7909" w:rsidP="00CE7909">
      <w:pPr>
        <w:pStyle w:val="ListParagraph"/>
        <w:spacing w:after="0" w:line="240" w:lineRule="auto"/>
        <w:rPr>
          <w:rFonts w:ascii="Arial" w:eastAsia="Arial" w:hAnsi="Arial" w:cs="Arial"/>
          <w:color w:val="0070C0"/>
          <w:szCs w:val="24"/>
        </w:rPr>
      </w:pPr>
    </w:p>
    <w:p w14:paraId="2055AC1D" w14:textId="50717024" w:rsidR="007966F9" w:rsidRPr="009E34A6" w:rsidRDefault="007966F9" w:rsidP="00874A98">
      <w:pPr>
        <w:pStyle w:val="ListParagraph"/>
        <w:numPr>
          <w:ilvl w:val="1"/>
          <w:numId w:val="92"/>
        </w:numPr>
        <w:autoSpaceDE w:val="0"/>
        <w:autoSpaceDN w:val="0"/>
        <w:adjustRightInd w:val="0"/>
        <w:spacing w:after="0" w:line="240" w:lineRule="auto"/>
        <w:ind w:left="851" w:hanging="851"/>
        <w:rPr>
          <w:rFonts w:ascii="Arial" w:eastAsia="Arial" w:hAnsi="Arial" w:cs="Arial"/>
          <w:color w:val="auto"/>
          <w:szCs w:val="24"/>
          <w:lang w:eastAsia="en-GB"/>
        </w:rPr>
      </w:pPr>
      <w:r w:rsidRPr="009E34A6">
        <w:rPr>
          <w:rFonts w:ascii="Arial" w:eastAsia="Arial" w:hAnsi="Arial" w:cs="Arial"/>
          <w:color w:val="auto"/>
          <w:szCs w:val="24"/>
        </w:rPr>
        <w:t xml:space="preserve">The government’s preferred form of discounted market sale housing (category c) is First Homes. First Homes are a specific kind of discounted market sale housing which are discounted by a minimum of 30% against the market value, sold to a person or persons meeting the First Homes eligibility criteria set out in the Planning Practice Guidance and cost no more than £250,000 (outside Greater London). This discount (30%) will apply to any subsequent sales of the property. Under national planning guidance, councils will be required to ensure that at least 25% of all affordable homes delivered through developer contributions will be First Homes. However, the NPPF in paragraph 65 identifies </w:t>
      </w:r>
      <w:bookmarkStart w:id="226" w:name="_Hlk139536785"/>
      <w:r w:rsidRPr="009E34A6">
        <w:rPr>
          <w:rFonts w:ascii="Arial" w:eastAsia="Arial" w:hAnsi="Arial" w:cs="Arial"/>
          <w:color w:val="auto"/>
          <w:szCs w:val="24"/>
        </w:rPr>
        <w:t xml:space="preserve">that at least 10% of all homes delivered on major development sites should be </w:t>
      </w:r>
      <w:r w:rsidRPr="009E34A6">
        <w:rPr>
          <w:rFonts w:ascii="Arial" w:eastAsia="Arial" w:hAnsi="Arial" w:cs="Arial"/>
          <w:i/>
          <w:iCs/>
          <w:color w:val="auto"/>
          <w:szCs w:val="24"/>
        </w:rPr>
        <w:t>“available for affordable home ownership, unless this would exceed the level of affordable housing required in the area, or significantly prejudice the ability to meet the identified affordable housing needs of specific groups.”</w:t>
      </w:r>
    </w:p>
    <w:bookmarkEnd w:id="226"/>
    <w:p w14:paraId="40FD3A96" w14:textId="77777777" w:rsidR="007966F9" w:rsidRPr="007966F9" w:rsidRDefault="007966F9" w:rsidP="007966F9">
      <w:pPr>
        <w:pStyle w:val="ListParagraph"/>
        <w:autoSpaceDE w:val="0"/>
        <w:autoSpaceDN w:val="0"/>
        <w:adjustRightInd w:val="0"/>
        <w:spacing w:after="0" w:line="240" w:lineRule="auto"/>
        <w:ind w:left="851"/>
        <w:rPr>
          <w:rFonts w:ascii="Arial" w:eastAsia="Arial" w:hAnsi="Arial" w:cs="Arial"/>
          <w:color w:val="0070C0"/>
          <w:szCs w:val="24"/>
          <w:lang w:eastAsia="en-GB"/>
        </w:rPr>
      </w:pPr>
    </w:p>
    <w:p w14:paraId="7EBAAD9E" w14:textId="5AC80F7E" w:rsidR="00CE7909" w:rsidRPr="007966F9" w:rsidRDefault="00CE7909" w:rsidP="00874A98">
      <w:pPr>
        <w:pStyle w:val="ListParagraph"/>
        <w:numPr>
          <w:ilvl w:val="1"/>
          <w:numId w:val="92"/>
        </w:numPr>
        <w:autoSpaceDE w:val="0"/>
        <w:autoSpaceDN w:val="0"/>
        <w:adjustRightInd w:val="0"/>
        <w:spacing w:after="0" w:line="240" w:lineRule="auto"/>
        <w:ind w:left="851" w:hanging="851"/>
        <w:rPr>
          <w:rFonts w:ascii="Arial" w:eastAsia="Arial" w:hAnsi="Arial" w:cs="Arial"/>
          <w:szCs w:val="24"/>
          <w:lang w:eastAsia="en-GB"/>
        </w:rPr>
      </w:pPr>
      <w:r w:rsidRPr="007966F9">
        <w:rPr>
          <w:rFonts w:ascii="Arial" w:eastAsia="Arial" w:hAnsi="Arial" w:cs="Arial"/>
          <w:color w:val="auto"/>
          <w:szCs w:val="24"/>
        </w:rPr>
        <w:t xml:space="preserve">The Iceni Housing Need Assessment  identified </w:t>
      </w:r>
      <w:r w:rsidRPr="007966F9">
        <w:rPr>
          <w:rFonts w:ascii="Arial" w:eastAsia="Arial" w:hAnsi="Arial" w:cs="Arial"/>
          <w:szCs w:val="24"/>
        </w:rPr>
        <w:t>a need in Ashfield for rented accommodation of 237 dwellings per annum.  It is also indicated that social rents will be affordable to a greater proportion of households than affordable rents, although some households claiming benefits will be able to access an affordable rent as long as the rent is fully covered by Housing Benefit. Low income working households are likely to benefit most from a social rent.</w:t>
      </w:r>
    </w:p>
    <w:p w14:paraId="70682618" w14:textId="77777777" w:rsidR="00CE7909" w:rsidRPr="007966F9" w:rsidRDefault="00CE7909" w:rsidP="00CE7909">
      <w:pPr>
        <w:pStyle w:val="ListParagraph"/>
        <w:autoSpaceDE w:val="0"/>
        <w:autoSpaceDN w:val="0"/>
        <w:adjustRightInd w:val="0"/>
        <w:spacing w:after="0" w:line="240" w:lineRule="auto"/>
        <w:ind w:left="851"/>
        <w:rPr>
          <w:rFonts w:ascii="Arial" w:eastAsia="Arial" w:hAnsi="Arial" w:cs="Arial"/>
          <w:szCs w:val="24"/>
          <w:lang w:eastAsia="en-GB"/>
        </w:rPr>
      </w:pPr>
    </w:p>
    <w:p w14:paraId="4BFCBC20" w14:textId="688BB0AD" w:rsidR="007966F9" w:rsidRPr="009E34A6" w:rsidRDefault="007966F9" w:rsidP="00874A98">
      <w:pPr>
        <w:pStyle w:val="ListParagraph"/>
        <w:numPr>
          <w:ilvl w:val="1"/>
          <w:numId w:val="92"/>
        </w:numPr>
        <w:autoSpaceDE w:val="0"/>
        <w:autoSpaceDN w:val="0"/>
        <w:adjustRightInd w:val="0"/>
        <w:spacing w:after="0" w:line="240" w:lineRule="auto"/>
        <w:ind w:left="851" w:hanging="851"/>
        <w:rPr>
          <w:rFonts w:ascii="Arial" w:eastAsia="Arial" w:hAnsi="Arial" w:cs="Arial"/>
          <w:color w:val="auto"/>
          <w:szCs w:val="24"/>
          <w:lang w:eastAsia="en-GB"/>
        </w:rPr>
      </w:pPr>
      <w:r w:rsidRPr="007966F9">
        <w:rPr>
          <w:rFonts w:ascii="Arial" w:eastAsia="Arial" w:hAnsi="Arial" w:cs="Arial"/>
          <w:color w:val="000000"/>
          <w:szCs w:val="24"/>
        </w:rPr>
        <w:t xml:space="preserve">In relation to owner occupation the analysis identifies that there are households in Ashfield who are being excluded from this sector. However, the </w:t>
      </w:r>
      <w:r w:rsidRPr="009E34A6">
        <w:rPr>
          <w:rFonts w:ascii="Arial" w:eastAsia="Arial" w:hAnsi="Arial" w:cs="Arial"/>
          <w:color w:val="auto"/>
          <w:szCs w:val="24"/>
        </w:rPr>
        <w:t>analysis identified that a key issue is access to capital (e.g. for deposits, stamp duty, legal costs) as well as potentially mortgage restrictions (e.g. where employment is temporary) rather than simply the cost of housing to buy. Therefore, it recommends that if affordable home ownership is provided shared ownership is the most appropriate option. This is due to the lower deposit requirements and lower overall costs (given that the rent would also be subsidised). In these circumstances, the Council considers that the provision First Homes would significantly prejudice the ability of local people to  meet their housing needs and an emphasis is place</w:t>
      </w:r>
      <w:r w:rsidR="00AB4715">
        <w:rPr>
          <w:rFonts w:ascii="Arial" w:eastAsia="Arial" w:hAnsi="Arial" w:cs="Arial"/>
          <w:color w:val="auto"/>
          <w:szCs w:val="24"/>
        </w:rPr>
        <w:t>d</w:t>
      </w:r>
      <w:r w:rsidRPr="009E34A6">
        <w:rPr>
          <w:rFonts w:ascii="Arial" w:eastAsia="Arial" w:hAnsi="Arial" w:cs="Arial"/>
          <w:color w:val="auto"/>
          <w:szCs w:val="24"/>
        </w:rPr>
        <w:t xml:space="preserve"> on share ownership rather than First Homes. </w:t>
      </w:r>
    </w:p>
    <w:p w14:paraId="39C9FE34" w14:textId="77777777" w:rsidR="007966F9" w:rsidRPr="007966F9" w:rsidRDefault="007966F9" w:rsidP="007966F9">
      <w:pPr>
        <w:pStyle w:val="ListParagraph"/>
        <w:rPr>
          <w:rFonts w:ascii="Arial" w:eastAsia="Arial" w:hAnsi="Arial" w:cs="Arial"/>
          <w:strike/>
          <w:color w:val="000000"/>
          <w:szCs w:val="24"/>
        </w:rPr>
      </w:pPr>
    </w:p>
    <w:p w14:paraId="0AFA257C" w14:textId="27D582D9" w:rsidR="007966F9" w:rsidRPr="009E34A6" w:rsidRDefault="007966F9" w:rsidP="00874A98">
      <w:pPr>
        <w:pStyle w:val="ListParagraph"/>
        <w:numPr>
          <w:ilvl w:val="1"/>
          <w:numId w:val="92"/>
        </w:numPr>
        <w:autoSpaceDE w:val="0"/>
        <w:autoSpaceDN w:val="0"/>
        <w:adjustRightInd w:val="0"/>
        <w:spacing w:after="0" w:line="240" w:lineRule="auto"/>
        <w:ind w:left="851" w:hanging="851"/>
        <w:rPr>
          <w:rFonts w:ascii="Arial" w:eastAsia="Arial" w:hAnsi="Arial" w:cs="Arial"/>
          <w:color w:val="auto"/>
          <w:szCs w:val="24"/>
        </w:rPr>
      </w:pPr>
      <w:bookmarkStart w:id="227" w:name="_Hlk141439378"/>
      <w:r w:rsidRPr="00137673">
        <w:rPr>
          <w:rFonts w:ascii="Arial" w:eastAsia="Arial" w:hAnsi="Arial" w:cs="Arial"/>
          <w:color w:val="000000"/>
          <w:szCs w:val="24"/>
        </w:rPr>
        <w:t xml:space="preserve">What can be provided through private sector development is related to viability and </w:t>
      </w:r>
      <w:r w:rsidRPr="009E34A6">
        <w:rPr>
          <w:rFonts w:ascii="Arial" w:eastAsia="Arial" w:hAnsi="Arial" w:cs="Arial"/>
          <w:color w:val="auto"/>
          <w:szCs w:val="24"/>
        </w:rPr>
        <w:t>the demand for other infrastructure requirements. The current policy is informed by evidence from the Housing Need Study and the Whole Plan Viability Assessment, March 2023. After considering various levels of contributions towards infrastructure, the Assessment recommends that affordable housing on greenfield sites of 25% and brownfield sites of 10%</w:t>
      </w:r>
      <w:r w:rsidR="00137673" w:rsidRPr="009E34A6">
        <w:rPr>
          <w:rFonts w:ascii="Arial" w:eastAsia="Arial" w:hAnsi="Arial" w:cs="Arial"/>
          <w:color w:val="auto"/>
          <w:szCs w:val="24"/>
        </w:rPr>
        <w:t>,</w:t>
      </w:r>
      <w:r w:rsidR="00137673" w:rsidRPr="009E34A6">
        <w:rPr>
          <w:color w:val="auto"/>
        </w:rPr>
        <w:t xml:space="preserve"> </w:t>
      </w:r>
      <w:r w:rsidR="00137673" w:rsidRPr="009E34A6">
        <w:rPr>
          <w:rFonts w:ascii="Arial" w:eastAsia="Arial" w:hAnsi="Arial" w:cs="Arial"/>
          <w:color w:val="auto"/>
          <w:szCs w:val="24"/>
        </w:rPr>
        <w:t>should be taken forward for the whole of the District</w:t>
      </w:r>
      <w:r w:rsidR="00A8235C" w:rsidRPr="009E34A6">
        <w:rPr>
          <w:rFonts w:ascii="Arial" w:eastAsia="Arial" w:hAnsi="Arial" w:cs="Arial"/>
          <w:color w:val="auto"/>
          <w:szCs w:val="24"/>
        </w:rPr>
        <w:t xml:space="preserve">. </w:t>
      </w:r>
      <w:r w:rsidR="00137673" w:rsidRPr="009E34A6">
        <w:rPr>
          <w:rFonts w:ascii="Arial" w:eastAsia="Arial" w:hAnsi="Arial" w:cs="Arial"/>
          <w:color w:val="auto"/>
          <w:szCs w:val="24"/>
        </w:rPr>
        <w:t xml:space="preserve">This is based on a </w:t>
      </w:r>
      <w:r w:rsidRPr="009E34A6">
        <w:rPr>
          <w:rFonts w:ascii="Arial" w:eastAsia="Arial" w:hAnsi="Arial" w:cs="Arial"/>
          <w:color w:val="auto"/>
          <w:szCs w:val="24"/>
        </w:rPr>
        <w:t>tenure mix of 25% low-cost homes, 25% social rents and 50% affordable rents</w:t>
      </w:r>
      <w:r w:rsidR="00137673" w:rsidRPr="009E34A6">
        <w:rPr>
          <w:rFonts w:ascii="Arial" w:eastAsia="Arial" w:hAnsi="Arial" w:cs="Arial"/>
          <w:color w:val="auto"/>
          <w:szCs w:val="24"/>
        </w:rPr>
        <w:t xml:space="preserve"> and the contribution towards the provision of infrastructure set out in the Assessmen</w:t>
      </w:r>
      <w:r w:rsidR="00A8235C" w:rsidRPr="009E34A6">
        <w:rPr>
          <w:rFonts w:ascii="Arial" w:eastAsia="Arial" w:hAnsi="Arial" w:cs="Arial"/>
          <w:color w:val="auto"/>
          <w:szCs w:val="24"/>
        </w:rPr>
        <w:t>t</w:t>
      </w:r>
      <w:r w:rsidRPr="009E34A6">
        <w:rPr>
          <w:rFonts w:ascii="Arial" w:eastAsia="Arial" w:hAnsi="Arial" w:cs="Arial"/>
          <w:color w:val="auto"/>
          <w:szCs w:val="24"/>
        </w:rPr>
        <w:t xml:space="preserve">. </w:t>
      </w:r>
      <w:r w:rsidR="00137673" w:rsidRPr="009E34A6">
        <w:rPr>
          <w:rFonts w:ascii="Arial" w:eastAsia="Arial" w:hAnsi="Arial" w:cs="Arial"/>
          <w:color w:val="auto"/>
          <w:szCs w:val="24"/>
        </w:rPr>
        <w:t xml:space="preserve">The proposed affordable housing requirements reflect a minimum figure </w:t>
      </w:r>
      <w:r w:rsidR="00A8235C" w:rsidRPr="009E34A6">
        <w:rPr>
          <w:rFonts w:ascii="Arial" w:eastAsia="Arial" w:hAnsi="Arial" w:cs="Arial"/>
          <w:color w:val="auto"/>
          <w:szCs w:val="24"/>
        </w:rPr>
        <w:t>as, dependent on the tenure mix or infrastructure contributions, a higher level of affordable housing may be achievable to meet local needs</w:t>
      </w:r>
      <w:r w:rsidR="00137673" w:rsidRPr="009E34A6">
        <w:rPr>
          <w:rFonts w:ascii="Arial" w:eastAsia="Arial" w:hAnsi="Arial" w:cs="Arial"/>
          <w:color w:val="auto"/>
          <w:szCs w:val="24"/>
        </w:rPr>
        <w:t>.</w:t>
      </w:r>
    </w:p>
    <w:bookmarkEnd w:id="227"/>
    <w:p w14:paraId="397CBA93" w14:textId="77777777" w:rsidR="007966F9" w:rsidRPr="005144F2" w:rsidRDefault="007966F9" w:rsidP="00137673">
      <w:pPr>
        <w:autoSpaceDE w:val="0"/>
        <w:autoSpaceDN w:val="0"/>
        <w:adjustRightInd w:val="0"/>
        <w:spacing w:before="0"/>
        <w:ind w:left="851"/>
        <w:contextualSpacing/>
        <w:rPr>
          <w:rFonts w:eastAsia="Arial" w:cs="Arial"/>
          <w:color w:val="000000"/>
          <w:szCs w:val="24"/>
        </w:rPr>
      </w:pPr>
    </w:p>
    <w:p w14:paraId="010E598C" w14:textId="77777777" w:rsidR="007966F9" w:rsidRPr="005144F2" w:rsidRDefault="007966F9" w:rsidP="00874A98">
      <w:pPr>
        <w:numPr>
          <w:ilvl w:val="1"/>
          <w:numId w:val="92"/>
        </w:numPr>
        <w:autoSpaceDE w:val="0"/>
        <w:autoSpaceDN w:val="0"/>
        <w:adjustRightInd w:val="0"/>
        <w:spacing w:before="0"/>
        <w:ind w:left="851" w:hanging="851"/>
        <w:contextualSpacing/>
        <w:rPr>
          <w:rFonts w:eastAsia="Arial" w:cs="Arial"/>
          <w:color w:val="000000"/>
          <w:szCs w:val="24"/>
        </w:rPr>
      </w:pPr>
      <w:r w:rsidRPr="005144F2">
        <w:rPr>
          <w:rFonts w:eastAsia="Arial" w:cs="Arial"/>
          <w:color w:val="000000"/>
          <w:szCs w:val="24"/>
          <w:lang w:eastAsia="en-US"/>
        </w:rPr>
        <w:t xml:space="preserve">Affordable housing should be provided on site as part of sustainable and mixed communities. It should be distributed in an appropriate manner within any development and should avoid an over-concentration in one part of the site, i.e. it should be ‘pepper-potted’ throughout the development and be indistinguishable from the market housing. </w:t>
      </w:r>
    </w:p>
    <w:p w14:paraId="1E8DEF8E" w14:textId="77777777" w:rsidR="007966F9" w:rsidRPr="005144F2" w:rsidRDefault="007966F9" w:rsidP="007966F9">
      <w:pPr>
        <w:ind w:left="720"/>
        <w:contextualSpacing/>
        <w:rPr>
          <w:rFonts w:eastAsia="Arial" w:cs="Arial"/>
          <w:color w:val="000000"/>
          <w:szCs w:val="24"/>
          <w:lang w:eastAsia="en-US"/>
        </w:rPr>
      </w:pPr>
    </w:p>
    <w:p w14:paraId="462BEE0F" w14:textId="3599F9A1" w:rsidR="007966F9" w:rsidRPr="005144F2" w:rsidRDefault="007966F9" w:rsidP="00874A98">
      <w:pPr>
        <w:numPr>
          <w:ilvl w:val="1"/>
          <w:numId w:val="92"/>
        </w:numPr>
        <w:autoSpaceDE w:val="0"/>
        <w:autoSpaceDN w:val="0"/>
        <w:adjustRightInd w:val="0"/>
        <w:ind w:left="851" w:hanging="851"/>
        <w:contextualSpacing/>
        <w:rPr>
          <w:rFonts w:eastAsia="Arial" w:cs="Arial"/>
          <w:color w:val="000000"/>
          <w:szCs w:val="24"/>
        </w:rPr>
      </w:pPr>
      <w:r w:rsidRPr="005144F2">
        <w:rPr>
          <w:rFonts w:eastAsia="Arial" w:cs="Arial"/>
          <w:color w:val="000000"/>
          <w:szCs w:val="24"/>
          <w:lang w:eastAsia="en-US"/>
        </w:rPr>
        <w:t>Under exception circumstances, the Council will consider alternative options</w:t>
      </w:r>
      <w:r w:rsidRPr="005144F2">
        <w:rPr>
          <w:rFonts w:eastAsia="Arial" w:cs="Arial"/>
          <w:color w:val="000000"/>
          <w:szCs w:val="24"/>
          <w:vertAlign w:val="superscript"/>
          <w:lang w:eastAsia="en-US"/>
        </w:rPr>
        <w:footnoteReference w:id="92"/>
      </w:r>
      <w:r w:rsidRPr="005144F2">
        <w:rPr>
          <w:rFonts w:eastAsia="Arial" w:cs="Arial"/>
          <w:color w:val="000000"/>
          <w:szCs w:val="24"/>
          <w:lang w:eastAsia="en-US"/>
        </w:rPr>
        <w:t>. In some instances, off site provision or a financial contribution in lieu of provision may be justifiable or will be preferable, for example to enable the Council to tackle an empty homes problem, or where provision would not result in mixed sustainable communities. This will be of a</w:t>
      </w:r>
      <w:r w:rsidR="009E34A6">
        <w:rPr>
          <w:rFonts w:eastAsia="Arial" w:cs="Arial"/>
          <w:color w:val="000000"/>
          <w:szCs w:val="24"/>
          <w:lang w:eastAsia="en-US"/>
        </w:rPr>
        <w:t>n</w:t>
      </w:r>
      <w:r w:rsidRPr="005144F2">
        <w:rPr>
          <w:rFonts w:eastAsia="Arial" w:cs="Arial"/>
          <w:color w:val="000000"/>
          <w:szCs w:val="24"/>
          <w:lang w:eastAsia="en-US"/>
        </w:rPr>
        <w:t xml:space="preserve"> equivalent value to a viable provision made on-site. </w:t>
      </w:r>
    </w:p>
    <w:p w14:paraId="1E5881C4" w14:textId="77777777" w:rsidR="007966F9" w:rsidRPr="005144F2" w:rsidRDefault="007966F9" w:rsidP="007966F9">
      <w:pPr>
        <w:ind w:left="720"/>
        <w:contextualSpacing/>
        <w:rPr>
          <w:rFonts w:eastAsia="Arial" w:cs="Arial"/>
          <w:color w:val="000000"/>
          <w:szCs w:val="24"/>
          <w:lang w:eastAsia="en-US"/>
        </w:rPr>
      </w:pPr>
    </w:p>
    <w:p w14:paraId="447702EF" w14:textId="77777777" w:rsidR="007966F9" w:rsidRPr="005144F2" w:rsidRDefault="007966F9" w:rsidP="00874A98">
      <w:pPr>
        <w:numPr>
          <w:ilvl w:val="1"/>
          <w:numId w:val="92"/>
        </w:numPr>
        <w:autoSpaceDE w:val="0"/>
        <w:autoSpaceDN w:val="0"/>
        <w:adjustRightInd w:val="0"/>
        <w:ind w:left="851" w:hanging="851"/>
        <w:contextualSpacing/>
        <w:rPr>
          <w:rFonts w:eastAsia="Arial" w:cs="Arial"/>
          <w:color w:val="000000"/>
          <w:szCs w:val="24"/>
        </w:rPr>
      </w:pPr>
      <w:r w:rsidRPr="005144F2">
        <w:rPr>
          <w:rFonts w:eastAsia="Arial" w:cs="Arial"/>
          <w:color w:val="000000"/>
          <w:szCs w:val="24"/>
          <w:lang w:eastAsia="en-US"/>
        </w:rPr>
        <w:t>The Council will seek to ensure that any affordable housing provision (excluding Starter Homes) will remain at an affordable price and be occupied in perpetuity by those in need of affordable housing. In imposing occupancy controls the Council will use planning agreements/ conditions setting out clear eligibility criteria for potential occupants. In any circumstance where this may become impractical, the subsidy will be recycled for alternative affordable housing provision.</w:t>
      </w:r>
    </w:p>
    <w:p w14:paraId="24B876A6" w14:textId="77777777" w:rsidR="007966F9" w:rsidRPr="005144F2" w:rsidRDefault="007966F9" w:rsidP="007966F9">
      <w:pPr>
        <w:ind w:left="720"/>
        <w:contextualSpacing/>
        <w:rPr>
          <w:rFonts w:eastAsia="Arial" w:cs="Arial"/>
          <w:color w:val="000000"/>
          <w:szCs w:val="24"/>
          <w:lang w:eastAsia="en-US"/>
        </w:rPr>
      </w:pPr>
    </w:p>
    <w:p w14:paraId="53AC8064" w14:textId="77777777" w:rsidR="007966F9" w:rsidRPr="005144F2" w:rsidRDefault="007966F9" w:rsidP="00874A98">
      <w:pPr>
        <w:numPr>
          <w:ilvl w:val="1"/>
          <w:numId w:val="92"/>
        </w:numPr>
        <w:autoSpaceDE w:val="0"/>
        <w:autoSpaceDN w:val="0"/>
        <w:adjustRightInd w:val="0"/>
        <w:ind w:left="851" w:hanging="851"/>
        <w:contextualSpacing/>
        <w:rPr>
          <w:rFonts w:eastAsia="Arial" w:cs="Arial"/>
          <w:color w:val="000000"/>
          <w:szCs w:val="24"/>
        </w:rPr>
      </w:pPr>
      <w:r w:rsidRPr="005144F2">
        <w:rPr>
          <w:rFonts w:eastAsia="Arial" w:cs="Arial"/>
          <w:color w:val="000000"/>
          <w:szCs w:val="24"/>
          <w:lang w:eastAsia="en-US"/>
        </w:rPr>
        <w:t>Where a developer considers a site is financially unviable, the applicant will be required to provide a viability appraisal in accordance with Policy SD6 and Planning Practice Guidance on Viability.</w:t>
      </w:r>
    </w:p>
    <w:p w14:paraId="1BC65E1D" w14:textId="77777777" w:rsidR="007966F9" w:rsidRPr="005144F2" w:rsidRDefault="007966F9" w:rsidP="007966F9">
      <w:pPr>
        <w:ind w:left="720"/>
        <w:contextualSpacing/>
        <w:rPr>
          <w:rFonts w:eastAsia="Arial" w:cs="Arial"/>
          <w:color w:val="000000"/>
          <w:szCs w:val="24"/>
          <w:lang w:eastAsia="en-US"/>
        </w:rPr>
      </w:pPr>
    </w:p>
    <w:p w14:paraId="24153396" w14:textId="72A4F760" w:rsidR="007966F9" w:rsidRPr="005144F2" w:rsidRDefault="007966F9" w:rsidP="00874A98">
      <w:pPr>
        <w:numPr>
          <w:ilvl w:val="1"/>
          <w:numId w:val="92"/>
        </w:numPr>
        <w:autoSpaceDE w:val="0"/>
        <w:autoSpaceDN w:val="0"/>
        <w:adjustRightInd w:val="0"/>
        <w:ind w:left="851" w:hanging="851"/>
        <w:contextualSpacing/>
        <w:rPr>
          <w:rFonts w:eastAsia="Arial" w:cs="Arial"/>
          <w:szCs w:val="24"/>
          <w:lang w:eastAsia="en-US"/>
        </w:rPr>
      </w:pPr>
      <w:r w:rsidRPr="005144F2">
        <w:rPr>
          <w:rFonts w:eastAsia="Arial" w:cs="Arial"/>
          <w:color w:val="000000"/>
          <w:szCs w:val="24"/>
          <w:lang w:eastAsia="en-US"/>
        </w:rPr>
        <w:t xml:space="preserve">Currently, national planning policy generally excludes small sites of less than 10 </w:t>
      </w:r>
      <w:r w:rsidR="00BA29ED">
        <w:rPr>
          <w:rFonts w:eastAsia="Arial" w:cs="Arial"/>
          <w:color w:val="000000"/>
          <w:szCs w:val="24"/>
          <w:lang w:eastAsia="en-US"/>
        </w:rPr>
        <w:t>d</w:t>
      </w:r>
      <w:r w:rsidRPr="005144F2">
        <w:rPr>
          <w:rFonts w:eastAsia="Arial" w:cs="Arial"/>
          <w:color w:val="000000"/>
          <w:szCs w:val="24"/>
          <w:lang w:eastAsia="en-US"/>
        </w:rPr>
        <w:t>wellings from contributing towards affordable homes. Any attempt to circumvent</w:t>
      </w:r>
      <w:r w:rsidR="00E40772">
        <w:rPr>
          <w:rFonts w:eastAsia="Arial" w:cs="Arial"/>
          <w:color w:val="000000"/>
          <w:szCs w:val="24"/>
          <w:lang w:eastAsia="en-US"/>
        </w:rPr>
        <w:t xml:space="preserve"> </w:t>
      </w:r>
      <w:r w:rsidR="00BA29ED">
        <w:rPr>
          <w:rFonts w:eastAsia="Arial" w:cs="Arial"/>
          <w:color w:val="000000"/>
          <w:szCs w:val="24"/>
          <w:lang w:eastAsia="en-US"/>
        </w:rPr>
        <w:t xml:space="preserve">the </w:t>
      </w:r>
      <w:r w:rsidRPr="005144F2">
        <w:rPr>
          <w:rFonts w:eastAsia="Arial" w:cs="Arial"/>
          <w:color w:val="000000"/>
          <w:szCs w:val="24"/>
          <w:lang w:eastAsia="en-US"/>
        </w:rPr>
        <w:t>requirement for affordable homes through the inefficient use of sites or subdividing development sites is not acceptable will be resisted.</w:t>
      </w:r>
    </w:p>
    <w:p w14:paraId="5C68CC0B" w14:textId="77777777" w:rsidR="007966F9" w:rsidRDefault="007966F9" w:rsidP="007966F9"/>
    <w:p w14:paraId="64C0D1B0" w14:textId="6F18D0C8" w:rsidR="002B1A0E" w:rsidRPr="00995322" w:rsidRDefault="002B1A0E" w:rsidP="00995322">
      <w:pPr>
        <w:pStyle w:val="Heading2"/>
        <w:jc w:val="left"/>
        <w:rPr>
          <w:rFonts w:eastAsia="Arial"/>
          <w:sz w:val="28"/>
          <w:szCs w:val="28"/>
        </w:rPr>
      </w:pPr>
      <w:bookmarkStart w:id="229" w:name="_Toc145511591"/>
      <w:bookmarkEnd w:id="224"/>
      <w:r w:rsidRPr="00995322">
        <w:rPr>
          <w:rFonts w:eastAsia="Arial"/>
          <w:sz w:val="28"/>
          <w:szCs w:val="28"/>
        </w:rPr>
        <w:t>Policy H4: Rural Exceptions Sites</w:t>
      </w:r>
      <w:bookmarkEnd w:id="229"/>
    </w:p>
    <w:p w14:paraId="30DC0318" w14:textId="77777777" w:rsidR="002B1A0E" w:rsidRPr="002B1A0E" w:rsidRDefault="002B1A0E" w:rsidP="00263F59">
      <w:pPr>
        <w:autoSpaceDE w:val="0"/>
        <w:autoSpaceDN w:val="0"/>
        <w:adjustRightInd w:val="0"/>
        <w:spacing w:before="0"/>
        <w:rPr>
          <w:rFonts w:eastAsia="Arial" w:cs="Arial"/>
          <w:szCs w:val="24"/>
        </w:rPr>
      </w:pPr>
    </w:p>
    <w:p w14:paraId="4AFF655D" w14:textId="6ED9BAD6" w:rsidR="00A81691" w:rsidRPr="009E34A6" w:rsidRDefault="00550BB9" w:rsidP="00874A98">
      <w:pPr>
        <w:pStyle w:val="ListParagraph"/>
        <w:numPr>
          <w:ilvl w:val="1"/>
          <w:numId w:val="92"/>
        </w:numPr>
        <w:autoSpaceDE w:val="0"/>
        <w:autoSpaceDN w:val="0"/>
        <w:adjustRightInd w:val="0"/>
        <w:spacing w:after="0" w:line="240" w:lineRule="auto"/>
        <w:ind w:left="851" w:hanging="851"/>
        <w:rPr>
          <w:rFonts w:ascii="Arial" w:eastAsia="Arial" w:hAnsi="Arial" w:cs="Arial"/>
          <w:szCs w:val="24"/>
          <w:lang w:eastAsia="en-GB"/>
        </w:rPr>
      </w:pPr>
      <w:r w:rsidRPr="009E34A6">
        <w:rPr>
          <w:rFonts w:ascii="Arial" w:hAnsi="Arial" w:cs="Arial"/>
          <w:szCs w:val="24"/>
        </w:rPr>
        <w:t xml:space="preserve">Opportunities for delivery of affordable housing under Policy H3 will be limited where there is less potential for large sites to come forward, typically in the smaller settlements. Any development schemes coming forward under Policy H4 will therefore contribute towards the overall level of affordable housing whilst supporting the District’s more rural communities. </w:t>
      </w:r>
    </w:p>
    <w:p w14:paraId="364784A9" w14:textId="77777777" w:rsidR="009E34A6" w:rsidRPr="009E34A6" w:rsidRDefault="009E34A6" w:rsidP="009E34A6">
      <w:pPr>
        <w:pStyle w:val="ListParagraph"/>
        <w:autoSpaceDE w:val="0"/>
        <w:autoSpaceDN w:val="0"/>
        <w:adjustRightInd w:val="0"/>
        <w:spacing w:after="0" w:line="240" w:lineRule="auto"/>
        <w:ind w:left="851"/>
        <w:rPr>
          <w:rFonts w:ascii="Arial" w:eastAsia="Arial" w:hAnsi="Arial" w:cs="Arial"/>
          <w:szCs w:val="24"/>
          <w:lang w:eastAsia="en-GB"/>
        </w:rPr>
      </w:pPr>
    </w:p>
    <w:tbl>
      <w:tblPr>
        <w:tblStyle w:val="ReportTable1"/>
        <w:tblW w:w="0" w:type="auto"/>
        <w:tblLook w:val="04A0" w:firstRow="1" w:lastRow="0" w:firstColumn="1" w:lastColumn="0" w:noHBand="0" w:noVBand="1"/>
      </w:tblPr>
      <w:tblGrid>
        <w:gridCol w:w="2671"/>
        <w:gridCol w:w="6958"/>
      </w:tblGrid>
      <w:tr w:rsidR="002B1A0E" w:rsidRPr="00F31667" w14:paraId="70FEF49B" w14:textId="77777777" w:rsidTr="00A81691">
        <w:trPr>
          <w:trHeight w:val="463"/>
        </w:trPr>
        <w:tc>
          <w:tcPr>
            <w:tcW w:w="9629" w:type="dxa"/>
            <w:gridSpan w:val="2"/>
          </w:tcPr>
          <w:p w14:paraId="003CA1EC" w14:textId="77777777" w:rsidR="005352FB" w:rsidRDefault="005352FB" w:rsidP="005352FB">
            <w:pPr>
              <w:spacing w:before="0"/>
              <w:rPr>
                <w:rFonts w:cs="Arial"/>
                <w:b/>
                <w:szCs w:val="24"/>
                <w:lang w:val="en"/>
              </w:rPr>
            </w:pPr>
            <w:bookmarkStart w:id="230" w:name="_Hlk79120540"/>
          </w:p>
          <w:p w14:paraId="3960BE38" w14:textId="4A5028DE" w:rsidR="002B1A0E" w:rsidRPr="006977E7" w:rsidRDefault="002B1A0E" w:rsidP="005352FB">
            <w:pPr>
              <w:spacing w:before="0"/>
              <w:rPr>
                <w:rFonts w:cs="Arial"/>
                <w:b/>
                <w:color w:val="auto"/>
                <w:szCs w:val="24"/>
                <w:lang w:val="en"/>
              </w:rPr>
            </w:pPr>
            <w:r w:rsidRPr="006977E7">
              <w:rPr>
                <w:rFonts w:cs="Arial"/>
                <w:b/>
                <w:color w:val="auto"/>
                <w:szCs w:val="24"/>
                <w:lang w:val="en"/>
              </w:rPr>
              <w:t>Policy H4: Rural Exceptions Sites</w:t>
            </w:r>
          </w:p>
          <w:p w14:paraId="0EBC831F" w14:textId="120A8A1A" w:rsidR="005352FB" w:rsidRPr="00F31667" w:rsidRDefault="005352FB" w:rsidP="005352FB">
            <w:pPr>
              <w:spacing w:before="0"/>
              <w:rPr>
                <w:rFonts w:cs="Arial"/>
                <w:b/>
                <w:color w:val="00B0F0"/>
                <w:szCs w:val="24"/>
                <w:lang w:val="en"/>
              </w:rPr>
            </w:pPr>
          </w:p>
        </w:tc>
      </w:tr>
      <w:bookmarkEnd w:id="230"/>
      <w:tr w:rsidR="002B1A0E" w:rsidRPr="00F31667" w14:paraId="019DCF6C" w14:textId="77777777" w:rsidTr="00A81691">
        <w:trPr>
          <w:trHeight w:val="407"/>
        </w:trPr>
        <w:tc>
          <w:tcPr>
            <w:tcW w:w="2671" w:type="dxa"/>
          </w:tcPr>
          <w:p w14:paraId="7FFACEEC" w14:textId="77777777" w:rsidR="002B1A0E" w:rsidRPr="00F31667" w:rsidRDefault="002B1A0E" w:rsidP="002B1A0E">
            <w:pPr>
              <w:spacing w:before="100" w:beforeAutospacing="1" w:after="100" w:afterAutospacing="1"/>
              <w:rPr>
                <w:rFonts w:cs="Arial"/>
                <w:b/>
                <w:szCs w:val="24"/>
                <w:lang w:val="en"/>
              </w:rPr>
            </w:pPr>
            <w:r w:rsidRPr="00F31667">
              <w:rPr>
                <w:rFonts w:cs="Arial"/>
                <w:b/>
                <w:szCs w:val="24"/>
                <w:lang w:val="en"/>
              </w:rPr>
              <w:t>Strategic Objectives</w:t>
            </w:r>
          </w:p>
        </w:tc>
        <w:tc>
          <w:tcPr>
            <w:tcW w:w="6958" w:type="dxa"/>
          </w:tcPr>
          <w:p w14:paraId="53E1343C" w14:textId="77777777" w:rsidR="002B1A0E" w:rsidRPr="00F31667" w:rsidRDefault="002B1A0E" w:rsidP="002B1A0E">
            <w:pPr>
              <w:spacing w:before="100" w:beforeAutospacing="1" w:after="100" w:afterAutospacing="1"/>
              <w:rPr>
                <w:rFonts w:cs="Arial"/>
                <w:b/>
                <w:szCs w:val="24"/>
                <w:lang w:val="en"/>
              </w:rPr>
            </w:pPr>
            <w:r w:rsidRPr="00F31667">
              <w:rPr>
                <w:rFonts w:cs="Arial"/>
                <w:b/>
                <w:szCs w:val="24"/>
                <w:lang w:val="en"/>
              </w:rPr>
              <w:t>SO1, SO2, SO3, SO5, SO12.</w:t>
            </w:r>
          </w:p>
        </w:tc>
      </w:tr>
      <w:tr w:rsidR="002B1A0E" w:rsidRPr="00F31667" w14:paraId="39F4CC22" w14:textId="77777777" w:rsidTr="00A81691">
        <w:trPr>
          <w:trHeight w:val="699"/>
        </w:trPr>
        <w:tc>
          <w:tcPr>
            <w:tcW w:w="9629" w:type="dxa"/>
            <w:gridSpan w:val="2"/>
            <w:shd w:val="clear" w:color="auto" w:fill="FFCC99"/>
          </w:tcPr>
          <w:p w14:paraId="40A396B9" w14:textId="77777777" w:rsidR="00E40772" w:rsidRDefault="00E40772" w:rsidP="00E40772">
            <w:pPr>
              <w:keepNext w:val="0"/>
              <w:autoSpaceDE w:val="0"/>
              <w:autoSpaceDN w:val="0"/>
              <w:adjustRightInd w:val="0"/>
              <w:ind w:right="284"/>
              <w:rPr>
                <w:rFonts w:cs="Arial"/>
                <w:bCs/>
                <w:szCs w:val="24"/>
              </w:rPr>
            </w:pPr>
          </w:p>
          <w:p w14:paraId="1E2B0BBF" w14:textId="1C88A160" w:rsidR="002B1A0E" w:rsidRPr="00B525B4" w:rsidRDefault="002B1A0E" w:rsidP="00874A98">
            <w:pPr>
              <w:keepNext w:val="0"/>
              <w:numPr>
                <w:ilvl w:val="0"/>
                <w:numId w:val="131"/>
              </w:numPr>
              <w:autoSpaceDE w:val="0"/>
              <w:autoSpaceDN w:val="0"/>
              <w:adjustRightInd w:val="0"/>
              <w:ind w:left="425" w:right="284" w:hanging="357"/>
              <w:rPr>
                <w:rFonts w:cs="Arial"/>
                <w:bCs/>
                <w:szCs w:val="24"/>
              </w:rPr>
            </w:pPr>
            <w:r w:rsidRPr="00B525B4">
              <w:rPr>
                <w:rFonts w:cs="Arial"/>
                <w:bCs/>
                <w:szCs w:val="24"/>
              </w:rPr>
              <w:t>As an exception to normal housing policy, the provision of affordable housing immediately adjoining rural settlements* will be permitted provided that:</w:t>
            </w:r>
          </w:p>
          <w:p w14:paraId="746E69FD" w14:textId="77777777" w:rsidR="002B1A0E" w:rsidRPr="00B525B4" w:rsidRDefault="002B1A0E" w:rsidP="002B1A0E">
            <w:pPr>
              <w:autoSpaceDE w:val="0"/>
              <w:autoSpaceDN w:val="0"/>
              <w:adjustRightInd w:val="0"/>
              <w:ind w:left="720"/>
              <w:contextualSpacing/>
              <w:rPr>
                <w:rFonts w:cs="Arial"/>
                <w:bCs/>
                <w:szCs w:val="24"/>
                <w:lang w:val="en"/>
              </w:rPr>
            </w:pPr>
          </w:p>
          <w:p w14:paraId="4AE4FED1" w14:textId="7D225A83" w:rsidR="002B1A0E" w:rsidRPr="00B525B4" w:rsidRDefault="002B1A0E" w:rsidP="00874A98">
            <w:pPr>
              <w:keepNext w:val="0"/>
              <w:numPr>
                <w:ilvl w:val="0"/>
                <w:numId w:val="130"/>
              </w:numPr>
              <w:autoSpaceDE w:val="0"/>
              <w:autoSpaceDN w:val="0"/>
              <w:adjustRightInd w:val="0"/>
              <w:spacing w:before="0" w:line="276" w:lineRule="auto"/>
              <w:ind w:left="1077" w:hanging="357"/>
              <w:rPr>
                <w:rFonts w:cs="Arial"/>
                <w:bCs/>
                <w:szCs w:val="24"/>
              </w:rPr>
            </w:pPr>
            <w:r w:rsidRPr="00B525B4">
              <w:rPr>
                <w:rFonts w:cs="Arial"/>
                <w:bCs/>
                <w:szCs w:val="24"/>
                <w:lang w:val="en"/>
              </w:rPr>
              <w:t xml:space="preserve">Development is of a small scale not exceeding 9 dwellings and consisting of 100% affordable </w:t>
            </w:r>
            <w:r w:rsidR="009D1815" w:rsidRPr="00B525B4">
              <w:rPr>
                <w:rFonts w:cs="Arial"/>
                <w:bCs/>
                <w:szCs w:val="24"/>
                <w:lang w:val="en"/>
              </w:rPr>
              <w:t>housing</w:t>
            </w:r>
            <w:r w:rsidR="009D1815">
              <w:rPr>
                <w:rFonts w:cs="Arial"/>
                <w:bCs/>
                <w:szCs w:val="24"/>
                <w:lang w:val="en"/>
              </w:rPr>
              <w:t>;</w:t>
            </w:r>
          </w:p>
          <w:p w14:paraId="4E10695F" w14:textId="77777777" w:rsidR="002B1A0E" w:rsidRPr="00B525B4" w:rsidRDefault="002B1A0E" w:rsidP="00874A98">
            <w:pPr>
              <w:keepNext w:val="0"/>
              <w:numPr>
                <w:ilvl w:val="0"/>
                <w:numId w:val="130"/>
              </w:numPr>
              <w:autoSpaceDE w:val="0"/>
              <w:autoSpaceDN w:val="0"/>
              <w:adjustRightInd w:val="0"/>
              <w:spacing w:before="0" w:line="276" w:lineRule="auto"/>
              <w:contextualSpacing/>
              <w:rPr>
                <w:rFonts w:cs="Arial"/>
                <w:bCs/>
                <w:szCs w:val="24"/>
                <w:lang w:val="en"/>
              </w:rPr>
            </w:pPr>
            <w:r w:rsidRPr="00B525B4">
              <w:rPr>
                <w:rFonts w:cs="Arial"/>
                <w:bCs/>
                <w:szCs w:val="24"/>
                <w:lang w:val="en"/>
              </w:rPr>
              <w:t>There is robust evidence of local need for affordable housing for people with a local connection to the area;</w:t>
            </w:r>
          </w:p>
          <w:p w14:paraId="66A74C5C" w14:textId="77777777" w:rsidR="002B1A0E" w:rsidRPr="00B525B4" w:rsidRDefault="002B1A0E" w:rsidP="00874A98">
            <w:pPr>
              <w:keepNext w:val="0"/>
              <w:numPr>
                <w:ilvl w:val="0"/>
                <w:numId w:val="130"/>
              </w:numPr>
              <w:autoSpaceDE w:val="0"/>
              <w:autoSpaceDN w:val="0"/>
              <w:adjustRightInd w:val="0"/>
              <w:spacing w:before="0" w:line="276" w:lineRule="auto"/>
              <w:contextualSpacing/>
              <w:rPr>
                <w:rFonts w:cs="Arial"/>
                <w:bCs/>
                <w:szCs w:val="24"/>
              </w:rPr>
            </w:pPr>
            <w:r w:rsidRPr="00B525B4">
              <w:rPr>
                <w:rFonts w:cs="Arial"/>
                <w:bCs/>
                <w:szCs w:val="24"/>
              </w:rPr>
              <w:t>The type of housing provided reflects the nature and scale of the identified need;</w:t>
            </w:r>
          </w:p>
          <w:p w14:paraId="3B294003" w14:textId="77777777" w:rsidR="002B1A0E" w:rsidRPr="00B525B4" w:rsidRDefault="002B1A0E" w:rsidP="00874A98">
            <w:pPr>
              <w:keepNext w:val="0"/>
              <w:numPr>
                <w:ilvl w:val="0"/>
                <w:numId w:val="130"/>
              </w:numPr>
              <w:autoSpaceDE w:val="0"/>
              <w:autoSpaceDN w:val="0"/>
              <w:adjustRightInd w:val="0"/>
              <w:spacing w:before="0" w:line="276" w:lineRule="auto"/>
              <w:contextualSpacing/>
              <w:rPr>
                <w:rFonts w:cs="Arial"/>
                <w:bCs/>
                <w:szCs w:val="24"/>
                <w:lang w:val="en"/>
              </w:rPr>
            </w:pPr>
            <w:r w:rsidRPr="00B525B4">
              <w:rPr>
                <w:rFonts w:cs="Arial"/>
                <w:bCs/>
                <w:szCs w:val="24"/>
              </w:rPr>
              <w:t>Arrangements exist to ensure that the housing will remain affordable in perpetuity</w:t>
            </w:r>
            <w:r w:rsidRPr="00B525B4">
              <w:rPr>
                <w:rFonts w:cs="Arial"/>
                <w:bCs/>
                <w:szCs w:val="24"/>
                <w:lang w:val="en"/>
              </w:rPr>
              <w:t>;</w:t>
            </w:r>
          </w:p>
          <w:p w14:paraId="38897DB8" w14:textId="5B8DC24F" w:rsidR="002B1A0E" w:rsidRPr="00A81691" w:rsidRDefault="002B1A0E" w:rsidP="00874A98">
            <w:pPr>
              <w:keepNext w:val="0"/>
              <w:numPr>
                <w:ilvl w:val="0"/>
                <w:numId w:val="130"/>
              </w:numPr>
              <w:spacing w:before="0" w:line="276" w:lineRule="auto"/>
              <w:rPr>
                <w:rFonts w:cs="Arial"/>
                <w:bCs/>
                <w:lang w:val="en"/>
              </w:rPr>
            </w:pPr>
            <w:r w:rsidRPr="00B525B4">
              <w:rPr>
                <w:rFonts w:cs="Arial"/>
                <w:bCs/>
                <w:lang w:val="en"/>
              </w:rPr>
              <w:t xml:space="preserve">The development site immediately adjoins rural settlements </w:t>
            </w:r>
            <w:r w:rsidRPr="00B525B4">
              <w:rPr>
                <w:rFonts w:cs="Arial"/>
                <w:bCs/>
                <w:szCs w:val="24"/>
                <w:lang w:val="en"/>
              </w:rPr>
              <w:t>and is accessible to services sufficient to support the daily needs of new residents via public transport, walking or cycling.</w:t>
            </w:r>
          </w:p>
          <w:p w14:paraId="68642D9C" w14:textId="77777777" w:rsidR="00A81691" w:rsidRPr="00B525B4" w:rsidRDefault="00A81691" w:rsidP="00A81691">
            <w:pPr>
              <w:keepNext w:val="0"/>
              <w:spacing w:before="0" w:line="276" w:lineRule="auto"/>
              <w:ind w:left="1080"/>
              <w:rPr>
                <w:rFonts w:cs="Arial"/>
                <w:bCs/>
                <w:lang w:val="en"/>
              </w:rPr>
            </w:pPr>
          </w:p>
          <w:p w14:paraId="209BF1F0" w14:textId="77777777" w:rsidR="002B1A0E" w:rsidRPr="00B525B4" w:rsidRDefault="002B1A0E" w:rsidP="00874A98">
            <w:pPr>
              <w:keepNext w:val="0"/>
              <w:numPr>
                <w:ilvl w:val="0"/>
                <w:numId w:val="131"/>
              </w:numPr>
              <w:spacing w:before="100" w:beforeAutospacing="1" w:after="100" w:afterAutospacing="1"/>
              <w:ind w:left="425" w:right="284" w:hanging="357"/>
              <w:contextualSpacing/>
              <w:rPr>
                <w:rFonts w:cs="Arial"/>
                <w:bCs/>
                <w:szCs w:val="24"/>
                <w:lang w:val="en"/>
              </w:rPr>
            </w:pPr>
            <w:r w:rsidRPr="00B525B4">
              <w:rPr>
                <w:rFonts w:cs="Arial"/>
                <w:bCs/>
                <w:szCs w:val="24"/>
                <w:lang w:val="en"/>
              </w:rPr>
              <w:t xml:space="preserve">Proposals for exceptions sites should be capable of management by an appropriate body, e.g., a Registered Social Landlord, Local Authority or any other organisation or body whose principle business is the provision of affordable housing. </w:t>
            </w:r>
          </w:p>
          <w:p w14:paraId="199D5317" w14:textId="77777777" w:rsidR="002B1A0E" w:rsidRPr="00F31667" w:rsidRDefault="002B1A0E" w:rsidP="002B1A0E">
            <w:pPr>
              <w:spacing w:before="100" w:beforeAutospacing="1" w:after="100" w:afterAutospacing="1"/>
              <w:ind w:left="425" w:right="284"/>
              <w:contextualSpacing/>
              <w:rPr>
                <w:rFonts w:cs="Arial"/>
                <w:b/>
                <w:szCs w:val="24"/>
                <w:lang w:val="en"/>
              </w:rPr>
            </w:pPr>
          </w:p>
          <w:p w14:paraId="43895719" w14:textId="77777777" w:rsidR="002B1A0E" w:rsidRPr="00F31667" w:rsidRDefault="002B1A0E" w:rsidP="002B1A0E">
            <w:pPr>
              <w:ind w:left="142" w:hanging="142"/>
              <w:rPr>
                <w:rFonts w:cs="Arial"/>
                <w:sz w:val="20"/>
              </w:rPr>
            </w:pPr>
            <w:r w:rsidRPr="00F31667">
              <w:rPr>
                <w:rFonts w:cs="Arial"/>
                <w:sz w:val="20"/>
                <w:vertAlign w:val="superscript"/>
              </w:rPr>
              <w:t xml:space="preserve">* </w:t>
            </w:r>
            <w:r w:rsidRPr="00F31667">
              <w:rPr>
                <w:rFonts w:cs="Arial"/>
                <w:sz w:val="20"/>
              </w:rPr>
              <w:t xml:space="preserve">‘Named Settlement’ or settlement located within the ‘Remainder of the District’ as identified under Policy </w:t>
            </w:r>
            <w:r w:rsidRPr="00B525B4">
              <w:rPr>
                <w:rFonts w:cs="Arial"/>
                <w:sz w:val="20"/>
              </w:rPr>
              <w:t>S3</w:t>
            </w:r>
            <w:r w:rsidRPr="00F31667">
              <w:rPr>
                <w:rFonts w:cs="Arial"/>
                <w:sz w:val="20"/>
              </w:rPr>
              <w:t xml:space="preserve"> and its immediate surrounds generally associated with that settlement.</w:t>
            </w:r>
          </w:p>
          <w:p w14:paraId="06DF2756" w14:textId="77777777" w:rsidR="002B1A0E" w:rsidRPr="00F31667" w:rsidRDefault="002B1A0E" w:rsidP="002B1A0E">
            <w:pPr>
              <w:rPr>
                <w:rFonts w:cs="Arial"/>
                <w:b/>
                <w:color w:val="00B0F0"/>
                <w:sz w:val="20"/>
                <w:lang w:val="en"/>
              </w:rPr>
            </w:pPr>
          </w:p>
        </w:tc>
      </w:tr>
      <w:tr w:rsidR="002B1A0E" w:rsidRPr="00D77D4A" w14:paraId="576C6E35" w14:textId="77777777" w:rsidTr="00A81691">
        <w:trPr>
          <w:trHeight w:val="699"/>
        </w:trPr>
        <w:tc>
          <w:tcPr>
            <w:tcW w:w="2671" w:type="dxa"/>
          </w:tcPr>
          <w:p w14:paraId="7F480F89" w14:textId="77777777" w:rsidR="002B1A0E" w:rsidRPr="005352FB" w:rsidRDefault="002B1A0E" w:rsidP="005352FB">
            <w:pPr>
              <w:autoSpaceDE w:val="0"/>
              <w:autoSpaceDN w:val="0"/>
              <w:adjustRightInd w:val="0"/>
              <w:spacing w:before="0"/>
              <w:rPr>
                <w:rFonts w:cs="Arial"/>
                <w:sz w:val="20"/>
              </w:rPr>
            </w:pPr>
            <w:r w:rsidRPr="005352FB">
              <w:rPr>
                <w:rFonts w:cs="Arial"/>
                <w:sz w:val="20"/>
              </w:rPr>
              <w:t>Evidence Base</w:t>
            </w:r>
          </w:p>
          <w:p w14:paraId="0A88FD26" w14:textId="77777777" w:rsidR="002B1A0E" w:rsidRPr="005352FB" w:rsidRDefault="002B1A0E" w:rsidP="005352FB">
            <w:pPr>
              <w:autoSpaceDE w:val="0"/>
              <w:autoSpaceDN w:val="0"/>
              <w:adjustRightInd w:val="0"/>
              <w:spacing w:before="0"/>
              <w:rPr>
                <w:rFonts w:cs="Arial"/>
                <w:sz w:val="20"/>
              </w:rPr>
            </w:pPr>
          </w:p>
        </w:tc>
        <w:tc>
          <w:tcPr>
            <w:tcW w:w="6958" w:type="dxa"/>
          </w:tcPr>
          <w:p w14:paraId="15E2259C" w14:textId="77777777" w:rsidR="002B1A0E" w:rsidRPr="00C101EC" w:rsidRDefault="002B1A0E" w:rsidP="00874A98">
            <w:pPr>
              <w:pStyle w:val="ListParagraph"/>
              <w:numPr>
                <w:ilvl w:val="0"/>
                <w:numId w:val="129"/>
              </w:numPr>
              <w:tabs>
                <w:tab w:val="left" w:pos="1133"/>
                <w:tab w:val="left" w:pos="2267"/>
              </w:tabs>
              <w:spacing w:after="0" w:line="240" w:lineRule="auto"/>
              <w:ind w:left="173" w:right="284" w:hanging="173"/>
              <w:rPr>
                <w:rFonts w:ascii="Arial" w:hAnsi="Arial" w:cs="Arial"/>
                <w:color w:val="auto"/>
                <w:sz w:val="20"/>
                <w:szCs w:val="20"/>
                <w:lang w:eastAsia="en-GB"/>
              </w:rPr>
            </w:pPr>
            <w:r w:rsidRPr="00C101EC">
              <w:rPr>
                <w:rFonts w:ascii="Arial" w:hAnsi="Arial" w:cs="Arial"/>
                <w:color w:val="auto"/>
                <w:sz w:val="20"/>
                <w:szCs w:val="20"/>
                <w:lang w:eastAsia="en-GB"/>
              </w:rPr>
              <w:t>Greater Nottingham &amp; Ashfield Housing Needs Assessment Final Report, 2020 – Iceni Projects Ltd</w:t>
            </w:r>
            <w:r w:rsidR="00B40389" w:rsidRPr="00C101EC">
              <w:rPr>
                <w:rFonts w:ascii="Arial" w:hAnsi="Arial" w:cs="Arial"/>
                <w:color w:val="auto"/>
                <w:sz w:val="20"/>
                <w:szCs w:val="20"/>
                <w:lang w:eastAsia="en-GB"/>
              </w:rPr>
              <w:t>.</w:t>
            </w:r>
          </w:p>
          <w:p w14:paraId="44645061" w14:textId="41852148" w:rsidR="00B40389" w:rsidRPr="00C101EC" w:rsidRDefault="00B40389" w:rsidP="00874A98">
            <w:pPr>
              <w:pStyle w:val="ListParagraph"/>
              <w:numPr>
                <w:ilvl w:val="0"/>
                <w:numId w:val="129"/>
              </w:numPr>
              <w:tabs>
                <w:tab w:val="left" w:pos="1133"/>
                <w:tab w:val="left" w:pos="2267"/>
              </w:tabs>
              <w:spacing w:after="0" w:line="240" w:lineRule="auto"/>
              <w:ind w:left="173" w:right="284" w:hanging="173"/>
              <w:rPr>
                <w:rFonts w:ascii="Arial" w:hAnsi="Arial" w:cs="Arial"/>
                <w:color w:val="auto"/>
                <w:sz w:val="20"/>
                <w:szCs w:val="20"/>
                <w:lang w:eastAsia="en-GB"/>
              </w:rPr>
            </w:pPr>
            <w:r w:rsidRPr="00C101EC">
              <w:rPr>
                <w:rFonts w:ascii="Arial" w:hAnsi="Arial" w:cs="Arial"/>
                <w:color w:val="auto"/>
                <w:sz w:val="20"/>
                <w:szCs w:val="20"/>
                <w:lang w:eastAsia="en-GB"/>
              </w:rPr>
              <w:t>Sustainability Appraisal, 2023. WSP UK Limited.</w:t>
            </w:r>
          </w:p>
        </w:tc>
      </w:tr>
      <w:tr w:rsidR="002B1A0E" w:rsidRPr="00D77D4A" w14:paraId="4C09BB29" w14:textId="77777777" w:rsidTr="00A81691">
        <w:trPr>
          <w:trHeight w:val="699"/>
        </w:trPr>
        <w:tc>
          <w:tcPr>
            <w:tcW w:w="2671" w:type="dxa"/>
          </w:tcPr>
          <w:p w14:paraId="75CCC057" w14:textId="77777777" w:rsidR="002B1A0E" w:rsidRPr="005352FB" w:rsidRDefault="002B1A0E" w:rsidP="005352FB">
            <w:pPr>
              <w:autoSpaceDE w:val="0"/>
              <w:autoSpaceDN w:val="0"/>
              <w:adjustRightInd w:val="0"/>
              <w:spacing w:before="0"/>
              <w:rPr>
                <w:rFonts w:cs="Arial"/>
                <w:sz w:val="20"/>
              </w:rPr>
            </w:pPr>
            <w:r w:rsidRPr="005352FB">
              <w:rPr>
                <w:rFonts w:cs="Arial"/>
                <w:sz w:val="20"/>
              </w:rPr>
              <w:t>National Planning Policy and Guidance</w:t>
            </w:r>
          </w:p>
        </w:tc>
        <w:tc>
          <w:tcPr>
            <w:tcW w:w="6958" w:type="dxa"/>
          </w:tcPr>
          <w:p w14:paraId="4AFBC8AF" w14:textId="384E0D9E" w:rsidR="002B1A0E" w:rsidRPr="00C101EC" w:rsidRDefault="002B1A0E" w:rsidP="00874A98">
            <w:pPr>
              <w:keepNext w:val="0"/>
              <w:numPr>
                <w:ilvl w:val="0"/>
                <w:numId w:val="119"/>
              </w:numPr>
              <w:tabs>
                <w:tab w:val="left" w:pos="680"/>
                <w:tab w:val="left" w:pos="1133"/>
                <w:tab w:val="left" w:pos="2267"/>
              </w:tabs>
              <w:spacing w:before="0"/>
              <w:ind w:left="173" w:right="284" w:hanging="173"/>
              <w:contextualSpacing/>
              <w:rPr>
                <w:rFonts w:cs="Arial"/>
                <w:color w:val="auto"/>
                <w:sz w:val="20"/>
              </w:rPr>
            </w:pPr>
            <w:r w:rsidRPr="00C101EC">
              <w:rPr>
                <w:rFonts w:cs="Arial"/>
                <w:color w:val="auto"/>
                <w:sz w:val="20"/>
              </w:rPr>
              <w:t>NPPF 202</w:t>
            </w:r>
            <w:r w:rsidR="004173E0" w:rsidRPr="00C101EC">
              <w:rPr>
                <w:rFonts w:cs="Arial"/>
                <w:color w:val="auto"/>
                <w:sz w:val="20"/>
              </w:rPr>
              <w:t>3</w:t>
            </w:r>
            <w:r w:rsidRPr="00C101EC">
              <w:rPr>
                <w:rFonts w:cs="Arial"/>
                <w:color w:val="auto"/>
                <w:sz w:val="20"/>
              </w:rPr>
              <w:t>, Part 2: Achieving sustainable development.</w:t>
            </w:r>
          </w:p>
          <w:p w14:paraId="384EBDD0" w14:textId="6C180C64" w:rsidR="002B1A0E" w:rsidRPr="00C101EC" w:rsidRDefault="002B1A0E" w:rsidP="00874A98">
            <w:pPr>
              <w:keepNext w:val="0"/>
              <w:numPr>
                <w:ilvl w:val="0"/>
                <w:numId w:val="119"/>
              </w:numPr>
              <w:tabs>
                <w:tab w:val="left" w:pos="680"/>
                <w:tab w:val="left" w:pos="1133"/>
                <w:tab w:val="left" w:pos="2267"/>
              </w:tabs>
              <w:spacing w:before="0"/>
              <w:ind w:left="173" w:right="284" w:hanging="173"/>
              <w:contextualSpacing/>
              <w:rPr>
                <w:rFonts w:cs="Arial"/>
                <w:color w:val="auto"/>
                <w:sz w:val="20"/>
              </w:rPr>
            </w:pPr>
            <w:r w:rsidRPr="00C101EC">
              <w:rPr>
                <w:rFonts w:cs="Arial"/>
                <w:color w:val="auto"/>
                <w:sz w:val="20"/>
              </w:rPr>
              <w:t>NPPF 202</w:t>
            </w:r>
            <w:r w:rsidR="004173E0" w:rsidRPr="00C101EC">
              <w:rPr>
                <w:rFonts w:cs="Arial"/>
                <w:color w:val="auto"/>
                <w:sz w:val="20"/>
              </w:rPr>
              <w:t>3</w:t>
            </w:r>
            <w:r w:rsidRPr="00C101EC">
              <w:rPr>
                <w:rFonts w:cs="Arial"/>
                <w:color w:val="auto"/>
                <w:sz w:val="20"/>
              </w:rPr>
              <w:t>, Part 5: Delivering a sufficient supply of homes</w:t>
            </w:r>
          </w:p>
          <w:p w14:paraId="5AE6319A" w14:textId="5F899A93" w:rsidR="002B1A0E" w:rsidRPr="00C101EC" w:rsidRDefault="002B1A0E" w:rsidP="00874A98">
            <w:pPr>
              <w:keepNext w:val="0"/>
              <w:numPr>
                <w:ilvl w:val="0"/>
                <w:numId w:val="119"/>
              </w:numPr>
              <w:tabs>
                <w:tab w:val="left" w:pos="680"/>
                <w:tab w:val="left" w:pos="1133"/>
                <w:tab w:val="left" w:pos="2267"/>
              </w:tabs>
              <w:spacing w:before="0"/>
              <w:ind w:left="173" w:right="284" w:hanging="173"/>
              <w:contextualSpacing/>
              <w:rPr>
                <w:rFonts w:cs="Arial"/>
                <w:color w:val="auto"/>
                <w:sz w:val="20"/>
              </w:rPr>
            </w:pPr>
            <w:r w:rsidRPr="00C101EC">
              <w:rPr>
                <w:rFonts w:cs="Arial"/>
                <w:color w:val="auto"/>
                <w:sz w:val="20"/>
              </w:rPr>
              <w:t>Planning Practice Guidance: Housing and Economic Land Availability Assessment</w:t>
            </w:r>
            <w:r w:rsidR="00B40389" w:rsidRPr="00C101EC">
              <w:rPr>
                <w:rFonts w:cs="Arial"/>
                <w:color w:val="auto"/>
                <w:sz w:val="20"/>
              </w:rPr>
              <w:t xml:space="preserve"> as at July 2019.</w:t>
            </w:r>
          </w:p>
        </w:tc>
      </w:tr>
    </w:tbl>
    <w:p w14:paraId="2C5DE20C" w14:textId="77777777" w:rsidR="002B1A0E" w:rsidRPr="00F31667" w:rsidRDefault="002B1A0E" w:rsidP="002B1A0E">
      <w:pPr>
        <w:autoSpaceDE w:val="0"/>
        <w:autoSpaceDN w:val="0"/>
        <w:adjustRightInd w:val="0"/>
        <w:ind w:left="794"/>
        <w:rPr>
          <w:rFonts w:cs="Arial"/>
          <w:szCs w:val="24"/>
        </w:rPr>
      </w:pPr>
    </w:p>
    <w:p w14:paraId="667E1CE9" w14:textId="77777777" w:rsidR="002B1A0E" w:rsidRPr="002B1A0E" w:rsidRDefault="002B1A0E" w:rsidP="002B1A0E">
      <w:pPr>
        <w:pStyle w:val="ListParagraph"/>
        <w:autoSpaceDE w:val="0"/>
        <w:autoSpaceDN w:val="0"/>
        <w:adjustRightInd w:val="0"/>
        <w:spacing w:after="0" w:line="240" w:lineRule="auto"/>
        <w:ind w:left="851"/>
        <w:rPr>
          <w:rFonts w:ascii="Arial" w:eastAsia="Arial" w:hAnsi="Arial" w:cs="Arial"/>
          <w:szCs w:val="24"/>
          <w:lang w:eastAsia="en-GB"/>
        </w:rPr>
      </w:pPr>
    </w:p>
    <w:p w14:paraId="12BEBDA8" w14:textId="50C9DA03" w:rsidR="00C9318C" w:rsidRPr="005352FB" w:rsidRDefault="00550BB9" w:rsidP="00874A98">
      <w:pPr>
        <w:pStyle w:val="ListParagraph"/>
        <w:numPr>
          <w:ilvl w:val="1"/>
          <w:numId w:val="92"/>
        </w:numPr>
        <w:autoSpaceDE w:val="0"/>
        <w:autoSpaceDN w:val="0"/>
        <w:adjustRightInd w:val="0"/>
        <w:spacing w:after="0" w:line="240" w:lineRule="auto"/>
        <w:ind w:left="851" w:hanging="851"/>
        <w:rPr>
          <w:rFonts w:ascii="Arial" w:eastAsia="Arial" w:hAnsi="Arial" w:cs="Arial"/>
          <w:szCs w:val="24"/>
          <w:lang w:eastAsia="en-GB"/>
        </w:rPr>
      </w:pPr>
      <w:r w:rsidRPr="00C9318C">
        <w:rPr>
          <w:rFonts w:ascii="Arial" w:hAnsi="Arial" w:cs="Arial"/>
          <w:szCs w:val="24"/>
        </w:rPr>
        <w:t xml:space="preserve">NPPF paragraph 78 requires local planning authorities to be responsive to local circumstances and plan housing development to reflect local needs, including through rural exception sites where appropriate. Rural Exception policies are a key means of providing affordable homes in rural areas and enable small sites, generally on the edges of rural settlements, to be used specifically for affordable housing that would not normally be used for housing due to other policies of restraint. </w:t>
      </w:r>
    </w:p>
    <w:p w14:paraId="6ABD8A8A" w14:textId="77777777" w:rsidR="005352FB" w:rsidRPr="00C9318C" w:rsidRDefault="005352FB" w:rsidP="005352FB">
      <w:pPr>
        <w:pStyle w:val="ListParagraph"/>
        <w:autoSpaceDE w:val="0"/>
        <w:autoSpaceDN w:val="0"/>
        <w:adjustRightInd w:val="0"/>
        <w:spacing w:after="0" w:line="240" w:lineRule="auto"/>
        <w:ind w:left="851"/>
        <w:rPr>
          <w:rFonts w:ascii="Arial" w:eastAsia="Arial" w:hAnsi="Arial" w:cs="Arial"/>
          <w:szCs w:val="24"/>
          <w:lang w:eastAsia="en-GB"/>
        </w:rPr>
      </w:pPr>
    </w:p>
    <w:p w14:paraId="60DAE4CB" w14:textId="4FABCC74" w:rsidR="00C9318C" w:rsidRPr="00C464EB" w:rsidRDefault="00550BB9" w:rsidP="00874A98">
      <w:pPr>
        <w:pStyle w:val="ListParagraph"/>
        <w:numPr>
          <w:ilvl w:val="1"/>
          <w:numId w:val="92"/>
        </w:numPr>
        <w:autoSpaceDE w:val="0"/>
        <w:autoSpaceDN w:val="0"/>
        <w:adjustRightInd w:val="0"/>
        <w:spacing w:after="0" w:line="240" w:lineRule="auto"/>
        <w:ind w:left="851" w:hanging="851"/>
        <w:rPr>
          <w:rFonts w:ascii="Arial" w:eastAsia="Arial" w:hAnsi="Arial" w:cs="Arial"/>
          <w:szCs w:val="24"/>
          <w:lang w:eastAsia="en-GB"/>
        </w:rPr>
      </w:pPr>
      <w:r w:rsidRPr="00C9318C">
        <w:rPr>
          <w:rFonts w:ascii="Arial" w:hAnsi="Arial" w:cs="Arial"/>
          <w:szCs w:val="24"/>
          <w:lang w:val="en"/>
        </w:rPr>
        <w:t>Although the construction of new buildings is considered inappropriate in the Green Belt, limited affordable housing for local community needs under policies set out in the Local Plan is regarded as an exception under NPPF paragraph149.</w:t>
      </w:r>
    </w:p>
    <w:p w14:paraId="0CCF5330" w14:textId="77777777" w:rsidR="00C464EB" w:rsidRPr="00C9318C" w:rsidRDefault="00C464EB" w:rsidP="00C464EB">
      <w:pPr>
        <w:pStyle w:val="ListParagraph"/>
        <w:autoSpaceDE w:val="0"/>
        <w:autoSpaceDN w:val="0"/>
        <w:adjustRightInd w:val="0"/>
        <w:spacing w:after="0" w:line="240" w:lineRule="auto"/>
        <w:ind w:left="851"/>
        <w:rPr>
          <w:rFonts w:ascii="Arial" w:eastAsia="Arial" w:hAnsi="Arial" w:cs="Arial"/>
          <w:szCs w:val="24"/>
          <w:lang w:eastAsia="en-GB"/>
        </w:rPr>
      </w:pPr>
    </w:p>
    <w:p w14:paraId="4B120371" w14:textId="432BCCFF" w:rsidR="00C464EB" w:rsidRPr="00C464EB" w:rsidRDefault="00550BB9" w:rsidP="00874A98">
      <w:pPr>
        <w:pStyle w:val="ListParagraph"/>
        <w:numPr>
          <w:ilvl w:val="1"/>
          <w:numId w:val="92"/>
        </w:numPr>
        <w:autoSpaceDE w:val="0"/>
        <w:autoSpaceDN w:val="0"/>
        <w:adjustRightInd w:val="0"/>
        <w:spacing w:after="0" w:line="240" w:lineRule="auto"/>
        <w:ind w:left="851" w:hanging="851"/>
        <w:rPr>
          <w:rFonts w:ascii="Arial" w:eastAsia="Arial" w:hAnsi="Arial" w:cs="Arial"/>
          <w:szCs w:val="24"/>
          <w:lang w:eastAsia="en-GB"/>
        </w:rPr>
      </w:pPr>
      <w:r w:rsidRPr="00C464EB">
        <w:rPr>
          <w:rFonts w:ascii="Arial" w:hAnsi="Arial" w:cs="Arial"/>
          <w:szCs w:val="24"/>
        </w:rPr>
        <w:t xml:space="preserve">Rural areas can face particular difficulties in securing an adequate supply of land for affordable housing for local needs and are unable to compete against high land prices for private housing developments. Under </w:t>
      </w:r>
      <w:r w:rsidR="00EF521C">
        <w:rPr>
          <w:rFonts w:ascii="Arial" w:hAnsi="Arial" w:cs="Arial"/>
          <w:szCs w:val="24"/>
        </w:rPr>
        <w:t>P</w:t>
      </w:r>
      <w:r w:rsidRPr="00C464EB">
        <w:rPr>
          <w:rFonts w:ascii="Arial" w:hAnsi="Arial" w:cs="Arial"/>
          <w:szCs w:val="24"/>
        </w:rPr>
        <w:t>olicy H4, a landowner provides a site at below housing market value on the basis the land is used to build affordable homes for local people. Landowners commonly have strong multi-generational ties to their communities, are often local employers, and wish to sustain that community for future generations.</w:t>
      </w:r>
    </w:p>
    <w:p w14:paraId="0D1AF253" w14:textId="77777777" w:rsidR="00C464EB" w:rsidRPr="00C464EB" w:rsidRDefault="00C464EB" w:rsidP="00C464EB">
      <w:pPr>
        <w:pStyle w:val="ListParagraph"/>
        <w:rPr>
          <w:rFonts w:cs="Arial"/>
          <w:szCs w:val="24"/>
        </w:rPr>
      </w:pPr>
    </w:p>
    <w:p w14:paraId="4907A86D" w14:textId="4DBF769A" w:rsidR="00C464EB" w:rsidRPr="00C464EB" w:rsidRDefault="00550BB9" w:rsidP="00874A98">
      <w:pPr>
        <w:pStyle w:val="ListParagraph"/>
        <w:numPr>
          <w:ilvl w:val="1"/>
          <w:numId w:val="92"/>
        </w:numPr>
        <w:autoSpaceDE w:val="0"/>
        <w:autoSpaceDN w:val="0"/>
        <w:adjustRightInd w:val="0"/>
        <w:spacing w:after="0" w:line="240" w:lineRule="auto"/>
        <w:ind w:left="851" w:hanging="851"/>
        <w:rPr>
          <w:rFonts w:ascii="Arial" w:eastAsia="Arial" w:hAnsi="Arial" w:cs="Arial"/>
          <w:szCs w:val="24"/>
          <w:lang w:eastAsia="en-GB"/>
        </w:rPr>
      </w:pPr>
      <w:r w:rsidRPr="00C101EC">
        <w:rPr>
          <w:rFonts w:ascii="Arial" w:hAnsi="Arial" w:cs="Arial"/>
          <w:szCs w:val="24"/>
        </w:rPr>
        <w:t xml:space="preserve">The housing market is fairly strong in Ashfield’s rural areas with prices generally higher than comparable properties in </w:t>
      </w:r>
      <w:r w:rsidR="00C101EC" w:rsidRPr="00C101EC">
        <w:rPr>
          <w:rFonts w:ascii="Arial" w:hAnsi="Arial" w:cs="Arial"/>
          <w:szCs w:val="24"/>
        </w:rPr>
        <w:t>Sutton in Ashfield and Kirkby in Ashfield</w:t>
      </w:r>
      <w:r w:rsidRPr="00C101EC">
        <w:rPr>
          <w:rFonts w:ascii="Arial" w:hAnsi="Arial" w:cs="Arial"/>
          <w:vertAlign w:val="superscript"/>
        </w:rPr>
        <w:footnoteReference w:id="93"/>
      </w:r>
      <w:r w:rsidRPr="00C101EC">
        <w:rPr>
          <w:rFonts w:ascii="Arial" w:hAnsi="Arial" w:cs="Arial"/>
          <w:szCs w:val="24"/>
        </w:rPr>
        <w:t>.</w:t>
      </w:r>
      <w:r w:rsidRPr="00C464EB">
        <w:rPr>
          <w:rFonts w:ascii="Arial" w:hAnsi="Arial" w:cs="Arial"/>
          <w:szCs w:val="24"/>
        </w:rPr>
        <w:t xml:space="preserve"> This can cause difficulties for people who want to live close to their families in such areas, and for those whose employment and livelihoods are based within the rural area. It can also push younger people out of the rural areas and lead to an imbalance in the age structure of the rural population.</w:t>
      </w:r>
    </w:p>
    <w:p w14:paraId="45D5412D" w14:textId="77777777" w:rsidR="00C464EB" w:rsidRPr="00C464EB" w:rsidRDefault="00C464EB" w:rsidP="00C464EB">
      <w:pPr>
        <w:pStyle w:val="ListParagraph"/>
        <w:rPr>
          <w:rFonts w:cs="Arial"/>
          <w:szCs w:val="24"/>
        </w:rPr>
      </w:pPr>
    </w:p>
    <w:p w14:paraId="585E5C17" w14:textId="57F3CA07" w:rsidR="00C464EB" w:rsidRPr="00823DBE" w:rsidRDefault="00550BB9" w:rsidP="00874A98">
      <w:pPr>
        <w:pStyle w:val="ListParagraph"/>
        <w:numPr>
          <w:ilvl w:val="1"/>
          <w:numId w:val="92"/>
        </w:numPr>
        <w:autoSpaceDE w:val="0"/>
        <w:autoSpaceDN w:val="0"/>
        <w:adjustRightInd w:val="0"/>
        <w:spacing w:after="0" w:line="240" w:lineRule="auto"/>
        <w:ind w:left="851" w:hanging="851"/>
        <w:rPr>
          <w:rFonts w:ascii="Arial" w:eastAsia="Arial" w:hAnsi="Arial" w:cs="Arial"/>
          <w:szCs w:val="24"/>
          <w:lang w:eastAsia="en-GB"/>
        </w:rPr>
      </w:pPr>
      <w:r w:rsidRPr="00C464EB">
        <w:rPr>
          <w:rFonts w:ascii="Arial" w:hAnsi="Arial" w:cs="Arial"/>
          <w:szCs w:val="24"/>
        </w:rPr>
        <w:t>For the purposes of the rural housing exceptions policy, local need is defined as identified needs in the individual rural settlement or the local area it serves. Before the Local Planning Authority will grant planning permission for affordable housing on a rural exception site, it must be satisfied that there is a genuine need for affordable housing in the locality. To establish that a genuine need does exist, the Local Planning Authority will require evidence from a local level Housing Needs Survey that is sufficiently recent to provide reliable evidence or some other objective proof of local need, proportionate to the scale of the development being proposed.</w:t>
      </w:r>
    </w:p>
    <w:p w14:paraId="3E9A4A2E" w14:textId="77777777" w:rsidR="00823DBE" w:rsidRPr="00823DBE" w:rsidRDefault="00823DBE" w:rsidP="00823DBE">
      <w:pPr>
        <w:autoSpaceDE w:val="0"/>
        <w:autoSpaceDN w:val="0"/>
        <w:adjustRightInd w:val="0"/>
        <w:spacing w:before="0"/>
        <w:rPr>
          <w:rFonts w:eastAsia="Arial" w:cs="Arial"/>
          <w:szCs w:val="24"/>
        </w:rPr>
      </w:pPr>
    </w:p>
    <w:p w14:paraId="45CA83BF" w14:textId="052D1793" w:rsidR="00F55774" w:rsidRPr="00F55774" w:rsidRDefault="00550BB9" w:rsidP="00874A98">
      <w:pPr>
        <w:pStyle w:val="ListParagraph"/>
        <w:numPr>
          <w:ilvl w:val="1"/>
          <w:numId w:val="92"/>
        </w:numPr>
        <w:autoSpaceDE w:val="0"/>
        <w:autoSpaceDN w:val="0"/>
        <w:adjustRightInd w:val="0"/>
        <w:spacing w:after="0" w:line="240" w:lineRule="auto"/>
        <w:ind w:left="851" w:hanging="851"/>
        <w:rPr>
          <w:rFonts w:ascii="Arial" w:eastAsia="Arial" w:hAnsi="Arial" w:cs="Arial"/>
          <w:szCs w:val="24"/>
          <w:lang w:eastAsia="en-GB"/>
        </w:rPr>
      </w:pPr>
      <w:r w:rsidRPr="00C464EB">
        <w:rPr>
          <w:rFonts w:ascii="Arial" w:hAnsi="Arial" w:cs="Arial"/>
          <w:szCs w:val="24"/>
        </w:rPr>
        <w:t>In assigning rural affordable housing, priority will be given to people that have a connection to that settlement and who are unable to afford market housing. Local connections are typically taken to be based on the following:</w:t>
      </w:r>
    </w:p>
    <w:p w14:paraId="2DEE0612" w14:textId="1F6BA5B3" w:rsidR="00F55774" w:rsidRPr="00F55774" w:rsidRDefault="00F55774" w:rsidP="00F55774">
      <w:pPr>
        <w:pStyle w:val="ListParagraph"/>
        <w:autoSpaceDE w:val="0"/>
        <w:autoSpaceDN w:val="0"/>
        <w:adjustRightInd w:val="0"/>
        <w:spacing w:after="0" w:line="240" w:lineRule="auto"/>
        <w:ind w:left="851"/>
        <w:rPr>
          <w:rFonts w:ascii="Arial" w:hAnsi="Arial" w:cs="Arial"/>
          <w:szCs w:val="24"/>
        </w:rPr>
      </w:pPr>
    </w:p>
    <w:p w14:paraId="2EC1DD3F" w14:textId="77777777" w:rsidR="00F55774" w:rsidRPr="00F55774" w:rsidRDefault="00F55774" w:rsidP="00874A98">
      <w:pPr>
        <w:pStyle w:val="ListParagraph"/>
        <w:numPr>
          <w:ilvl w:val="0"/>
          <w:numId w:val="303"/>
        </w:numPr>
        <w:autoSpaceDE w:val="0"/>
        <w:autoSpaceDN w:val="0"/>
        <w:adjustRightInd w:val="0"/>
        <w:spacing w:after="0" w:line="240" w:lineRule="auto"/>
        <w:rPr>
          <w:rFonts w:ascii="Arial" w:eastAsia="Arial" w:hAnsi="Arial" w:cs="Arial"/>
          <w:szCs w:val="24"/>
          <w:lang w:eastAsia="en-GB"/>
        </w:rPr>
      </w:pPr>
      <w:r w:rsidRPr="00F55774">
        <w:rPr>
          <w:rFonts w:ascii="Arial" w:eastAsia="Arial" w:hAnsi="Arial" w:cs="Arial"/>
          <w:szCs w:val="24"/>
          <w:lang w:eastAsia="en-GB"/>
        </w:rPr>
        <w:t>applicant was born in the area  and has lived there for more than 3 years</w:t>
      </w:r>
    </w:p>
    <w:p w14:paraId="54359E61" w14:textId="77777777" w:rsidR="00F55774" w:rsidRPr="00F55774" w:rsidRDefault="00F55774" w:rsidP="00874A98">
      <w:pPr>
        <w:pStyle w:val="ListParagraph"/>
        <w:numPr>
          <w:ilvl w:val="0"/>
          <w:numId w:val="303"/>
        </w:numPr>
        <w:autoSpaceDE w:val="0"/>
        <w:autoSpaceDN w:val="0"/>
        <w:adjustRightInd w:val="0"/>
        <w:spacing w:after="0" w:line="240" w:lineRule="auto"/>
        <w:rPr>
          <w:rFonts w:ascii="Arial" w:eastAsia="Arial" w:hAnsi="Arial" w:cs="Arial"/>
          <w:szCs w:val="24"/>
          <w:lang w:eastAsia="en-GB"/>
        </w:rPr>
      </w:pPr>
      <w:r w:rsidRPr="00F55774">
        <w:rPr>
          <w:rFonts w:ascii="Arial" w:eastAsia="Arial" w:hAnsi="Arial" w:cs="Arial"/>
          <w:szCs w:val="24"/>
        </w:rPr>
        <w:t>applicant lives in the area and has done so for more than 3 years</w:t>
      </w:r>
    </w:p>
    <w:p w14:paraId="3DCB11D1" w14:textId="77777777" w:rsidR="00F55774" w:rsidRPr="00F55774" w:rsidRDefault="00F55774" w:rsidP="00874A98">
      <w:pPr>
        <w:pStyle w:val="ListParagraph"/>
        <w:numPr>
          <w:ilvl w:val="0"/>
          <w:numId w:val="303"/>
        </w:numPr>
        <w:autoSpaceDE w:val="0"/>
        <w:autoSpaceDN w:val="0"/>
        <w:adjustRightInd w:val="0"/>
        <w:spacing w:after="0" w:line="240" w:lineRule="auto"/>
        <w:rPr>
          <w:rFonts w:ascii="Arial" w:eastAsia="Arial" w:hAnsi="Arial" w:cs="Arial"/>
          <w:szCs w:val="24"/>
          <w:lang w:eastAsia="en-GB"/>
        </w:rPr>
      </w:pPr>
      <w:r w:rsidRPr="00F55774">
        <w:rPr>
          <w:rFonts w:ascii="Arial" w:eastAsia="Arial" w:hAnsi="Arial" w:cs="Arial"/>
          <w:szCs w:val="24"/>
        </w:rPr>
        <w:t>applicant used to live in the area for more than 3 years but had to move away because of the lack of affordable housing</w:t>
      </w:r>
    </w:p>
    <w:p w14:paraId="0B95F910" w14:textId="5E6AAF11" w:rsidR="00F55774" w:rsidRPr="00F55774" w:rsidRDefault="00F55774" w:rsidP="00874A98">
      <w:pPr>
        <w:pStyle w:val="ListParagraph"/>
        <w:numPr>
          <w:ilvl w:val="0"/>
          <w:numId w:val="303"/>
        </w:numPr>
        <w:autoSpaceDE w:val="0"/>
        <w:autoSpaceDN w:val="0"/>
        <w:adjustRightInd w:val="0"/>
        <w:spacing w:after="0" w:line="240" w:lineRule="auto"/>
        <w:rPr>
          <w:rFonts w:ascii="Arial" w:eastAsia="Arial" w:hAnsi="Arial" w:cs="Arial"/>
          <w:szCs w:val="24"/>
          <w:lang w:eastAsia="en-GB"/>
        </w:rPr>
      </w:pPr>
      <w:r w:rsidRPr="00F55774">
        <w:rPr>
          <w:rFonts w:ascii="Arial" w:eastAsia="Arial" w:hAnsi="Arial" w:cs="Arial"/>
          <w:szCs w:val="24"/>
        </w:rPr>
        <w:t>applicant has been permanently employed in the area for more than 3 years</w:t>
      </w:r>
    </w:p>
    <w:p w14:paraId="7FC0909A" w14:textId="77777777" w:rsidR="00F55774" w:rsidRPr="00F55774" w:rsidRDefault="00F55774" w:rsidP="00F55774">
      <w:pPr>
        <w:pStyle w:val="ListParagraph"/>
        <w:autoSpaceDE w:val="0"/>
        <w:autoSpaceDN w:val="0"/>
        <w:adjustRightInd w:val="0"/>
        <w:spacing w:after="0" w:line="240" w:lineRule="auto"/>
        <w:ind w:left="851"/>
        <w:rPr>
          <w:rFonts w:ascii="Arial" w:eastAsia="Arial" w:hAnsi="Arial" w:cs="Arial"/>
          <w:szCs w:val="24"/>
          <w:lang w:eastAsia="en-GB"/>
        </w:rPr>
      </w:pPr>
    </w:p>
    <w:p w14:paraId="78B66E92" w14:textId="09BCC590" w:rsidR="00F55774" w:rsidRPr="00F55774" w:rsidRDefault="00550BB9" w:rsidP="00874A98">
      <w:pPr>
        <w:pStyle w:val="ListParagraph"/>
        <w:numPr>
          <w:ilvl w:val="1"/>
          <w:numId w:val="92"/>
        </w:numPr>
        <w:autoSpaceDE w:val="0"/>
        <w:autoSpaceDN w:val="0"/>
        <w:adjustRightInd w:val="0"/>
        <w:spacing w:after="0" w:line="240" w:lineRule="auto"/>
        <w:ind w:left="851" w:hanging="851"/>
        <w:rPr>
          <w:rFonts w:ascii="Arial" w:eastAsia="Arial" w:hAnsi="Arial" w:cs="Arial"/>
          <w:szCs w:val="24"/>
          <w:lang w:eastAsia="en-GB"/>
        </w:rPr>
      </w:pPr>
      <w:r w:rsidRPr="00F55774">
        <w:rPr>
          <w:rFonts w:ascii="Arial" w:hAnsi="Arial" w:cs="Arial"/>
          <w:szCs w:val="24"/>
        </w:rPr>
        <w:t>Although priority is given to applicants with a local connection, if there are still properties remaining, allocation will be opened up to surrounding local areas and then to the whole of the local authority area. This ensures that the homes are occupied by residents as local to the area as possible.</w:t>
      </w:r>
    </w:p>
    <w:p w14:paraId="29F3D5CB" w14:textId="77777777" w:rsidR="00F55774" w:rsidRPr="00F55774" w:rsidRDefault="00F55774" w:rsidP="00F55774">
      <w:pPr>
        <w:pStyle w:val="ListParagraph"/>
        <w:autoSpaceDE w:val="0"/>
        <w:autoSpaceDN w:val="0"/>
        <w:adjustRightInd w:val="0"/>
        <w:spacing w:after="0" w:line="240" w:lineRule="auto"/>
        <w:ind w:left="851"/>
        <w:rPr>
          <w:rFonts w:ascii="Arial" w:eastAsia="Arial" w:hAnsi="Arial" w:cs="Arial"/>
          <w:szCs w:val="24"/>
          <w:lang w:eastAsia="en-GB"/>
        </w:rPr>
      </w:pPr>
    </w:p>
    <w:p w14:paraId="12CF7EA2" w14:textId="29E05008" w:rsidR="006977E7" w:rsidRPr="006D4F49" w:rsidRDefault="00550BB9" w:rsidP="00874A98">
      <w:pPr>
        <w:pStyle w:val="ListParagraph"/>
        <w:numPr>
          <w:ilvl w:val="1"/>
          <w:numId w:val="92"/>
        </w:numPr>
        <w:autoSpaceDE w:val="0"/>
        <w:autoSpaceDN w:val="0"/>
        <w:adjustRightInd w:val="0"/>
        <w:spacing w:after="0" w:line="240" w:lineRule="auto"/>
        <w:ind w:left="851" w:hanging="851"/>
        <w:rPr>
          <w:rFonts w:ascii="Arial" w:eastAsia="Arial" w:hAnsi="Arial" w:cs="Arial"/>
          <w:szCs w:val="24"/>
          <w:lang w:eastAsia="en-GB"/>
        </w:rPr>
      </w:pPr>
      <w:r w:rsidRPr="00F55774">
        <w:rPr>
          <w:rFonts w:ascii="Arial" w:hAnsi="Arial" w:cs="Arial"/>
          <w:szCs w:val="24"/>
        </w:rPr>
        <w:t>Rural Exceptions developments should be small in scale and reflect the dwelling size and tenure identified by the local needs survey, consistent with the provisions of the NPPF. For planning purposes, a ‘small’ site is taken to be one consisting of less than 10 dwellings. In order to minimise visual impact and provide reasonable access to local services and facilities, rural exception sites should be situated within or physically adjoining existing rural settlements and comply with all other relevant policies in the Local Plan</w:t>
      </w:r>
      <w:bookmarkStart w:id="231" w:name="_Toc500408779"/>
      <w:r w:rsidR="006D4F49">
        <w:rPr>
          <w:rFonts w:ascii="Arial" w:hAnsi="Arial" w:cs="Arial"/>
          <w:szCs w:val="24"/>
        </w:rPr>
        <w:t>.</w:t>
      </w:r>
    </w:p>
    <w:p w14:paraId="596BB1C0" w14:textId="77777777" w:rsidR="00A81691" w:rsidRDefault="00A81691" w:rsidP="00AF2E2B">
      <w:pPr>
        <w:rPr>
          <w:rFonts w:eastAsia="Arial"/>
        </w:rPr>
      </w:pPr>
    </w:p>
    <w:p w14:paraId="5C831E59" w14:textId="77777777" w:rsidR="004C67D8" w:rsidRPr="00AF2E2B" w:rsidRDefault="004C67D8" w:rsidP="00AF2E2B">
      <w:pPr>
        <w:rPr>
          <w:rFonts w:eastAsia="Arial"/>
        </w:rPr>
      </w:pPr>
    </w:p>
    <w:p w14:paraId="30DE790A" w14:textId="3D39D682" w:rsidR="00550BB9" w:rsidRPr="00995322" w:rsidRDefault="006977E7" w:rsidP="00995322">
      <w:pPr>
        <w:pStyle w:val="Heading2"/>
        <w:jc w:val="left"/>
        <w:rPr>
          <w:rFonts w:eastAsia="Arial"/>
          <w:sz w:val="28"/>
          <w:szCs w:val="28"/>
        </w:rPr>
      </w:pPr>
      <w:bookmarkStart w:id="232" w:name="_Toc145511592"/>
      <w:r w:rsidRPr="00995322">
        <w:rPr>
          <w:rFonts w:eastAsia="Arial"/>
          <w:sz w:val="28"/>
          <w:szCs w:val="28"/>
        </w:rPr>
        <w:t xml:space="preserve">Policy </w:t>
      </w:r>
      <w:r w:rsidR="005352FB" w:rsidRPr="00995322">
        <w:rPr>
          <w:rFonts w:eastAsia="Arial"/>
          <w:sz w:val="28"/>
          <w:szCs w:val="28"/>
        </w:rPr>
        <w:t>H</w:t>
      </w:r>
      <w:r w:rsidR="00550BB9" w:rsidRPr="00995322">
        <w:rPr>
          <w:rFonts w:eastAsia="Arial"/>
          <w:sz w:val="28"/>
          <w:szCs w:val="28"/>
        </w:rPr>
        <w:t>5: Public Open Space in New Residential Developments</w:t>
      </w:r>
      <w:bookmarkEnd w:id="231"/>
      <w:bookmarkEnd w:id="232"/>
    </w:p>
    <w:p w14:paraId="3D9951B3" w14:textId="77777777" w:rsidR="006977E7" w:rsidRPr="00995322" w:rsidRDefault="006977E7" w:rsidP="00995322">
      <w:pPr>
        <w:rPr>
          <w:rFonts w:eastAsia="Arial"/>
          <w:sz w:val="28"/>
          <w:szCs w:val="28"/>
        </w:rPr>
      </w:pPr>
    </w:p>
    <w:p w14:paraId="32383642" w14:textId="1C5215F5" w:rsidR="00DA3B66" w:rsidRPr="006D4F49" w:rsidRDefault="00550BB9" w:rsidP="00874A98">
      <w:pPr>
        <w:pStyle w:val="ListParagraph"/>
        <w:numPr>
          <w:ilvl w:val="1"/>
          <w:numId w:val="92"/>
        </w:numPr>
        <w:autoSpaceDE w:val="0"/>
        <w:autoSpaceDN w:val="0"/>
        <w:adjustRightInd w:val="0"/>
        <w:spacing w:after="0" w:line="240" w:lineRule="auto"/>
        <w:ind w:left="851" w:hanging="851"/>
        <w:rPr>
          <w:rFonts w:ascii="Arial" w:eastAsia="Arial" w:hAnsi="Arial" w:cs="Arial"/>
        </w:rPr>
      </w:pPr>
      <w:r w:rsidRPr="00041502">
        <w:rPr>
          <w:rFonts w:ascii="Arial" w:hAnsi="Arial" w:cs="Arial"/>
          <w:szCs w:val="24"/>
        </w:rPr>
        <w:t xml:space="preserve">This policy acknowledges the </w:t>
      </w:r>
      <w:r w:rsidRPr="00041502">
        <w:rPr>
          <w:rFonts w:ascii="Arial" w:eastAsia="Arial" w:hAnsi="Arial" w:cs="Arial"/>
        </w:rPr>
        <w:t>important contribution access to good quality public open spaces can make to the health and wellbeing of communities. It requires new residential developments to contribute to green open space provision either by the creation of additional areas or the improvement of existing facilities in the locality</w:t>
      </w:r>
      <w:r w:rsidR="006D4F49">
        <w:rPr>
          <w:rFonts w:ascii="Arial" w:eastAsia="Arial" w:hAnsi="Arial" w:cs="Arial"/>
        </w:rPr>
        <w:t>.</w:t>
      </w:r>
    </w:p>
    <w:p w14:paraId="5AF4351B" w14:textId="702831ED" w:rsidR="00041502" w:rsidRPr="00041502" w:rsidRDefault="00041502" w:rsidP="00041502">
      <w:pPr>
        <w:pStyle w:val="ListParagraph"/>
        <w:autoSpaceDE w:val="0"/>
        <w:autoSpaceDN w:val="0"/>
        <w:adjustRightInd w:val="0"/>
        <w:spacing w:after="0" w:line="240" w:lineRule="auto"/>
        <w:ind w:left="460"/>
        <w:rPr>
          <w:rFonts w:ascii="Arial" w:eastAsia="Arial" w:hAnsi="Arial" w:cs="Arial"/>
        </w:rPr>
      </w:pPr>
    </w:p>
    <w:tbl>
      <w:tblPr>
        <w:tblStyle w:val="TableGrid13"/>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247"/>
        <w:gridCol w:w="7372"/>
      </w:tblGrid>
      <w:tr w:rsidR="00041502" w:rsidRPr="00041502" w14:paraId="5EE6635F" w14:textId="77777777" w:rsidTr="005352FB">
        <w:tc>
          <w:tcPr>
            <w:tcW w:w="9628" w:type="dxa"/>
            <w:gridSpan w:val="2"/>
          </w:tcPr>
          <w:p w14:paraId="23F5B0A6" w14:textId="77777777" w:rsidR="005352FB" w:rsidRDefault="005352FB" w:rsidP="00FF3EAD">
            <w:pPr>
              <w:keepNext w:val="0"/>
              <w:spacing w:before="0"/>
              <w:jc w:val="left"/>
              <w:rPr>
                <w:b/>
                <w:bCs/>
                <w:color w:val="auto"/>
              </w:rPr>
            </w:pPr>
          </w:p>
          <w:p w14:paraId="0715A5FD" w14:textId="7207243E" w:rsidR="00041502" w:rsidRDefault="00041502" w:rsidP="00FF3EAD">
            <w:pPr>
              <w:keepNext w:val="0"/>
              <w:spacing w:before="0"/>
              <w:jc w:val="left"/>
              <w:rPr>
                <w:b/>
                <w:bCs/>
                <w:color w:val="auto"/>
              </w:rPr>
            </w:pPr>
            <w:r w:rsidRPr="00041502">
              <w:rPr>
                <w:b/>
                <w:bCs/>
                <w:color w:val="auto"/>
              </w:rPr>
              <w:t>Policy H5: Public Open Space in New Residential Developments</w:t>
            </w:r>
          </w:p>
          <w:p w14:paraId="7C1F7C09" w14:textId="2FF28CF0" w:rsidR="005352FB" w:rsidRPr="00041502" w:rsidRDefault="005352FB" w:rsidP="00FF3EAD">
            <w:pPr>
              <w:keepNext w:val="0"/>
              <w:spacing w:before="0"/>
              <w:jc w:val="left"/>
              <w:rPr>
                <w:b/>
                <w:bCs/>
                <w:color w:val="auto"/>
              </w:rPr>
            </w:pPr>
          </w:p>
        </w:tc>
      </w:tr>
      <w:tr w:rsidR="00041502" w:rsidRPr="00041502" w14:paraId="109C632E" w14:textId="77777777" w:rsidTr="005352FB">
        <w:tc>
          <w:tcPr>
            <w:tcW w:w="2248" w:type="dxa"/>
          </w:tcPr>
          <w:p w14:paraId="477F2853" w14:textId="77777777" w:rsidR="00041502" w:rsidRPr="00041502" w:rsidRDefault="00041502" w:rsidP="00041502">
            <w:pPr>
              <w:keepNext w:val="0"/>
              <w:spacing w:before="0"/>
              <w:rPr>
                <w:color w:val="auto"/>
              </w:rPr>
            </w:pPr>
            <w:r w:rsidRPr="00041502">
              <w:rPr>
                <w:color w:val="auto"/>
              </w:rPr>
              <w:t>Strategic Objectives</w:t>
            </w:r>
          </w:p>
        </w:tc>
        <w:tc>
          <w:tcPr>
            <w:tcW w:w="7380" w:type="dxa"/>
          </w:tcPr>
          <w:p w14:paraId="743AD8CF" w14:textId="77777777" w:rsidR="00041502" w:rsidRPr="00041502" w:rsidRDefault="00041502" w:rsidP="00FF3EAD">
            <w:pPr>
              <w:keepNext w:val="0"/>
              <w:spacing w:before="0"/>
              <w:jc w:val="left"/>
              <w:rPr>
                <w:color w:val="auto"/>
              </w:rPr>
            </w:pPr>
            <w:r w:rsidRPr="00041502">
              <w:rPr>
                <w:color w:val="auto"/>
              </w:rPr>
              <w:t>SO1, SO2, SO4, SO5, SO7, SO8, SO9, S011, S012, SO14.</w:t>
            </w:r>
          </w:p>
        </w:tc>
      </w:tr>
      <w:tr w:rsidR="00041502" w:rsidRPr="00041502" w14:paraId="25270B6E" w14:textId="77777777" w:rsidTr="005352FB">
        <w:tc>
          <w:tcPr>
            <w:tcW w:w="9628" w:type="dxa"/>
            <w:gridSpan w:val="2"/>
            <w:shd w:val="clear" w:color="auto" w:fill="F7CAAC"/>
          </w:tcPr>
          <w:p w14:paraId="5A95976D" w14:textId="77777777" w:rsidR="00041502" w:rsidRPr="004C67D8" w:rsidRDefault="00041502" w:rsidP="00FF3EAD">
            <w:pPr>
              <w:keepNext w:val="0"/>
              <w:spacing w:before="0"/>
              <w:jc w:val="left"/>
              <w:rPr>
                <w:color w:val="auto"/>
              </w:rPr>
            </w:pPr>
          </w:p>
          <w:p w14:paraId="37DF27E2" w14:textId="77777777" w:rsidR="00041502" w:rsidRPr="004C67D8" w:rsidRDefault="00041502" w:rsidP="00874A98">
            <w:pPr>
              <w:keepNext w:val="0"/>
              <w:numPr>
                <w:ilvl w:val="0"/>
                <w:numId w:val="270"/>
              </w:numPr>
              <w:spacing w:before="0"/>
              <w:contextualSpacing/>
              <w:jc w:val="left"/>
              <w:rPr>
                <w:color w:val="auto"/>
              </w:rPr>
            </w:pPr>
            <w:r w:rsidRPr="004C67D8">
              <w:rPr>
                <w:color w:val="auto"/>
              </w:rPr>
              <w:t>New residential development will be required to provide for public open space according to the following criteria:</w:t>
            </w:r>
          </w:p>
          <w:p w14:paraId="0709E98A" w14:textId="77777777" w:rsidR="00041502" w:rsidRPr="004C67D8" w:rsidRDefault="00041502" w:rsidP="00FF3EAD">
            <w:pPr>
              <w:keepNext w:val="0"/>
              <w:spacing w:before="0"/>
              <w:jc w:val="left"/>
              <w:rPr>
                <w:color w:val="auto"/>
              </w:rPr>
            </w:pPr>
          </w:p>
          <w:p w14:paraId="2250FDD8" w14:textId="77777777" w:rsidR="00041502" w:rsidRPr="004C67D8" w:rsidRDefault="00041502" w:rsidP="00874A98">
            <w:pPr>
              <w:keepNext w:val="0"/>
              <w:numPr>
                <w:ilvl w:val="0"/>
                <w:numId w:val="271"/>
              </w:numPr>
              <w:spacing w:before="0"/>
              <w:contextualSpacing/>
              <w:jc w:val="left"/>
              <w:rPr>
                <w:color w:val="auto"/>
              </w:rPr>
            </w:pPr>
            <w:r w:rsidRPr="004C67D8">
              <w:rPr>
                <w:color w:val="auto"/>
              </w:rPr>
              <w:t>On sites of two hectares or more, a minimum of 10% of the gross housing area will be provided as public open space.</w:t>
            </w:r>
          </w:p>
          <w:p w14:paraId="18270F7A" w14:textId="77777777" w:rsidR="00041502" w:rsidRPr="004C67D8" w:rsidRDefault="00041502" w:rsidP="00FF3EAD">
            <w:pPr>
              <w:keepNext w:val="0"/>
              <w:spacing w:before="0"/>
              <w:ind w:left="720"/>
              <w:contextualSpacing/>
              <w:jc w:val="left"/>
              <w:rPr>
                <w:color w:val="auto"/>
              </w:rPr>
            </w:pPr>
          </w:p>
          <w:p w14:paraId="2D898427" w14:textId="77777777" w:rsidR="00041502" w:rsidRPr="004C67D8" w:rsidRDefault="00041502" w:rsidP="00874A98">
            <w:pPr>
              <w:keepNext w:val="0"/>
              <w:numPr>
                <w:ilvl w:val="0"/>
                <w:numId w:val="271"/>
              </w:numPr>
              <w:spacing w:before="0"/>
              <w:contextualSpacing/>
              <w:jc w:val="left"/>
              <w:rPr>
                <w:color w:val="auto"/>
              </w:rPr>
            </w:pPr>
            <w:r w:rsidRPr="004C67D8">
              <w:rPr>
                <w:color w:val="auto"/>
              </w:rPr>
              <w:t>On sites of less than two hectares and more than five dwellings, the extent of public open space required will be assessed by taking account of house types and the extent and accessibility of the site to existing open space in the locality.</w:t>
            </w:r>
          </w:p>
          <w:p w14:paraId="0F9F94ED" w14:textId="77777777" w:rsidR="00041502" w:rsidRPr="004C67D8" w:rsidRDefault="00041502" w:rsidP="00FF3EAD">
            <w:pPr>
              <w:keepNext w:val="0"/>
              <w:spacing w:before="0"/>
              <w:ind w:left="720"/>
              <w:contextualSpacing/>
              <w:jc w:val="left"/>
              <w:rPr>
                <w:color w:val="auto"/>
              </w:rPr>
            </w:pPr>
          </w:p>
          <w:p w14:paraId="782109E2" w14:textId="77777777" w:rsidR="00041502" w:rsidRPr="004C67D8" w:rsidRDefault="00041502" w:rsidP="00874A98">
            <w:pPr>
              <w:keepNext w:val="0"/>
              <w:numPr>
                <w:ilvl w:val="0"/>
                <w:numId w:val="271"/>
              </w:numPr>
              <w:spacing w:before="0"/>
              <w:contextualSpacing/>
              <w:jc w:val="left"/>
              <w:rPr>
                <w:color w:val="auto"/>
              </w:rPr>
            </w:pPr>
            <w:r w:rsidRPr="004C67D8">
              <w:rPr>
                <w:color w:val="auto"/>
              </w:rPr>
              <w:t>On sites where it is inappropriate to provide new public open space within the site boundary, a planning obligation will be negotiated towards one or a combination of the following:</w:t>
            </w:r>
          </w:p>
          <w:p w14:paraId="26850F60" w14:textId="77777777" w:rsidR="00041502" w:rsidRPr="004C67D8" w:rsidRDefault="00041502" w:rsidP="00FF3EAD">
            <w:pPr>
              <w:keepNext w:val="0"/>
              <w:spacing w:before="0"/>
              <w:jc w:val="left"/>
              <w:rPr>
                <w:color w:val="auto"/>
              </w:rPr>
            </w:pPr>
          </w:p>
          <w:p w14:paraId="59AB9B7B" w14:textId="77777777" w:rsidR="00041502" w:rsidRPr="004C67D8" w:rsidRDefault="00041502" w:rsidP="00874A98">
            <w:pPr>
              <w:keepNext w:val="0"/>
              <w:numPr>
                <w:ilvl w:val="0"/>
                <w:numId w:val="272"/>
              </w:numPr>
              <w:spacing w:before="0"/>
              <w:contextualSpacing/>
              <w:jc w:val="left"/>
              <w:rPr>
                <w:color w:val="auto"/>
              </w:rPr>
            </w:pPr>
            <w:r w:rsidRPr="004C67D8">
              <w:rPr>
                <w:color w:val="auto"/>
              </w:rPr>
              <w:t>improvement of existing public open space provision/improved access to existing open space;</w:t>
            </w:r>
          </w:p>
          <w:p w14:paraId="2778B412" w14:textId="77777777" w:rsidR="00041502" w:rsidRPr="004C67D8" w:rsidRDefault="00041502" w:rsidP="00874A98">
            <w:pPr>
              <w:keepNext w:val="0"/>
              <w:numPr>
                <w:ilvl w:val="0"/>
                <w:numId w:val="272"/>
              </w:numPr>
              <w:spacing w:before="0"/>
              <w:contextualSpacing/>
              <w:jc w:val="left"/>
              <w:rPr>
                <w:color w:val="auto"/>
              </w:rPr>
            </w:pPr>
            <w:r w:rsidRPr="004C67D8">
              <w:rPr>
                <w:color w:val="auto"/>
              </w:rPr>
              <w:t xml:space="preserve">new open space to be provided elsewhere; </w:t>
            </w:r>
          </w:p>
          <w:p w14:paraId="3EDC718F" w14:textId="77777777" w:rsidR="00041502" w:rsidRPr="004C67D8" w:rsidRDefault="00041502" w:rsidP="00874A98">
            <w:pPr>
              <w:keepNext w:val="0"/>
              <w:numPr>
                <w:ilvl w:val="0"/>
                <w:numId w:val="272"/>
              </w:numPr>
              <w:spacing w:before="0"/>
              <w:contextualSpacing/>
              <w:jc w:val="left"/>
              <w:rPr>
                <w:color w:val="auto"/>
              </w:rPr>
            </w:pPr>
            <w:r w:rsidRPr="004C67D8">
              <w:rPr>
                <w:color w:val="auto"/>
              </w:rPr>
              <w:t>town centre and public realm improvements.</w:t>
            </w:r>
          </w:p>
          <w:p w14:paraId="75268C83" w14:textId="77777777" w:rsidR="001F1619" w:rsidRPr="004C67D8" w:rsidRDefault="001F1619" w:rsidP="001F1619">
            <w:pPr>
              <w:keepNext w:val="0"/>
              <w:spacing w:before="0"/>
              <w:ind w:left="1080"/>
              <w:contextualSpacing/>
              <w:jc w:val="left"/>
              <w:rPr>
                <w:color w:val="auto"/>
              </w:rPr>
            </w:pPr>
          </w:p>
          <w:p w14:paraId="09757C6D" w14:textId="437A4CD9" w:rsidR="001F1619" w:rsidRPr="004C67D8" w:rsidRDefault="001F1619" w:rsidP="00874A98">
            <w:pPr>
              <w:keepNext w:val="0"/>
              <w:numPr>
                <w:ilvl w:val="0"/>
                <w:numId w:val="271"/>
              </w:numPr>
              <w:spacing w:before="0"/>
              <w:contextualSpacing/>
              <w:jc w:val="left"/>
              <w:rPr>
                <w:color w:val="auto"/>
              </w:rPr>
            </w:pPr>
            <w:r w:rsidRPr="004C67D8">
              <w:rPr>
                <w:color w:val="auto"/>
              </w:rPr>
              <w:t>Provision must be made for subsequent management and maintenance of new/ improved open space.</w:t>
            </w:r>
          </w:p>
          <w:p w14:paraId="5CA0F014" w14:textId="18DDA0FB" w:rsidR="001F1619" w:rsidRPr="004C67D8" w:rsidRDefault="001F1619" w:rsidP="001F1619">
            <w:pPr>
              <w:keepNext w:val="0"/>
              <w:spacing w:before="0"/>
              <w:ind w:left="720"/>
              <w:contextualSpacing/>
              <w:jc w:val="left"/>
              <w:rPr>
                <w:color w:val="auto"/>
              </w:rPr>
            </w:pPr>
          </w:p>
        </w:tc>
      </w:tr>
      <w:tr w:rsidR="00041502" w:rsidRPr="00041502" w14:paraId="3036AF42" w14:textId="77777777" w:rsidTr="005352FB">
        <w:tc>
          <w:tcPr>
            <w:tcW w:w="2248" w:type="dxa"/>
          </w:tcPr>
          <w:p w14:paraId="65EE3E78" w14:textId="77777777" w:rsidR="00041502" w:rsidRPr="00041502" w:rsidRDefault="00041502" w:rsidP="00041502">
            <w:pPr>
              <w:keepNext w:val="0"/>
              <w:spacing w:before="0"/>
              <w:jc w:val="left"/>
              <w:rPr>
                <w:color w:val="auto"/>
                <w:sz w:val="20"/>
                <w:szCs w:val="20"/>
              </w:rPr>
            </w:pPr>
            <w:r w:rsidRPr="00041502">
              <w:rPr>
                <w:color w:val="auto"/>
                <w:sz w:val="20"/>
                <w:szCs w:val="20"/>
              </w:rPr>
              <w:t>Evidence Base</w:t>
            </w:r>
          </w:p>
        </w:tc>
        <w:tc>
          <w:tcPr>
            <w:tcW w:w="7380" w:type="dxa"/>
          </w:tcPr>
          <w:p w14:paraId="7FDF74AE" w14:textId="2A5F132C" w:rsidR="00041502" w:rsidRPr="004C67D8" w:rsidRDefault="00041502" w:rsidP="00874A98">
            <w:pPr>
              <w:keepNext w:val="0"/>
              <w:numPr>
                <w:ilvl w:val="0"/>
                <w:numId w:val="268"/>
              </w:numPr>
              <w:spacing w:before="0"/>
              <w:contextualSpacing/>
              <w:jc w:val="left"/>
              <w:rPr>
                <w:color w:val="auto"/>
                <w:sz w:val="20"/>
                <w:szCs w:val="20"/>
              </w:rPr>
            </w:pPr>
            <w:r w:rsidRPr="004C67D8">
              <w:rPr>
                <w:color w:val="auto"/>
                <w:sz w:val="20"/>
                <w:szCs w:val="20"/>
              </w:rPr>
              <w:t xml:space="preserve">Ashfield </w:t>
            </w:r>
            <w:r w:rsidR="005B3A0F">
              <w:rPr>
                <w:color w:val="auto"/>
                <w:sz w:val="20"/>
                <w:szCs w:val="20"/>
              </w:rPr>
              <w:t>P</w:t>
            </w:r>
            <w:r w:rsidRPr="004C67D8">
              <w:rPr>
                <w:color w:val="auto"/>
                <w:sz w:val="20"/>
                <w:szCs w:val="20"/>
              </w:rPr>
              <w:t>ublic Open Space Strategy 2016-2026, Ashfield DC.</w:t>
            </w:r>
          </w:p>
          <w:p w14:paraId="12741B93" w14:textId="1B326774" w:rsidR="00041502" w:rsidRPr="004C67D8" w:rsidRDefault="00041502" w:rsidP="00874A98">
            <w:pPr>
              <w:keepNext w:val="0"/>
              <w:numPr>
                <w:ilvl w:val="0"/>
                <w:numId w:val="268"/>
              </w:numPr>
              <w:spacing w:before="0"/>
              <w:contextualSpacing/>
              <w:jc w:val="left"/>
              <w:rPr>
                <w:color w:val="auto"/>
                <w:sz w:val="20"/>
                <w:szCs w:val="20"/>
              </w:rPr>
            </w:pPr>
            <w:r w:rsidRPr="004C67D8">
              <w:rPr>
                <w:color w:val="auto"/>
                <w:sz w:val="20"/>
                <w:szCs w:val="20"/>
              </w:rPr>
              <w:t>Ashfield Playing Pitch Strategy 20</w:t>
            </w:r>
            <w:r w:rsidR="00F906E1">
              <w:rPr>
                <w:color w:val="auto"/>
                <w:sz w:val="20"/>
                <w:szCs w:val="20"/>
              </w:rPr>
              <w:t>23</w:t>
            </w:r>
            <w:r w:rsidRPr="004C67D8">
              <w:rPr>
                <w:color w:val="auto"/>
                <w:sz w:val="20"/>
                <w:szCs w:val="20"/>
              </w:rPr>
              <w:t>-202</w:t>
            </w:r>
            <w:r w:rsidR="00F906E1">
              <w:rPr>
                <w:color w:val="auto"/>
                <w:sz w:val="20"/>
                <w:szCs w:val="20"/>
              </w:rPr>
              <w:t>7</w:t>
            </w:r>
            <w:r w:rsidRPr="004C67D8">
              <w:rPr>
                <w:color w:val="auto"/>
                <w:sz w:val="20"/>
                <w:szCs w:val="20"/>
              </w:rPr>
              <w:t>, Ashfield DC.</w:t>
            </w:r>
          </w:p>
          <w:p w14:paraId="3A8C376A" w14:textId="2D9293CD" w:rsidR="00041502" w:rsidRPr="004C67D8" w:rsidRDefault="00B40389" w:rsidP="00874A98">
            <w:pPr>
              <w:keepNext w:val="0"/>
              <w:numPr>
                <w:ilvl w:val="0"/>
                <w:numId w:val="268"/>
              </w:numPr>
              <w:spacing w:before="0"/>
              <w:contextualSpacing/>
              <w:jc w:val="left"/>
              <w:rPr>
                <w:color w:val="auto"/>
                <w:sz w:val="20"/>
                <w:szCs w:val="20"/>
              </w:rPr>
            </w:pPr>
            <w:r w:rsidRPr="004C67D8">
              <w:rPr>
                <w:color w:val="auto"/>
                <w:sz w:val="20"/>
                <w:szCs w:val="20"/>
              </w:rPr>
              <w:t>Sustainability Appraisal, 2023. WSP UK Limited.</w:t>
            </w:r>
          </w:p>
        </w:tc>
      </w:tr>
      <w:tr w:rsidR="00041502" w:rsidRPr="00041502" w14:paraId="16A20F21" w14:textId="77777777" w:rsidTr="005352FB">
        <w:tc>
          <w:tcPr>
            <w:tcW w:w="2248" w:type="dxa"/>
          </w:tcPr>
          <w:p w14:paraId="3CEE30F9" w14:textId="77777777" w:rsidR="00041502" w:rsidRPr="00041502" w:rsidRDefault="00041502" w:rsidP="00041502">
            <w:pPr>
              <w:keepNext w:val="0"/>
              <w:spacing w:before="0"/>
              <w:jc w:val="left"/>
              <w:rPr>
                <w:color w:val="auto"/>
                <w:sz w:val="20"/>
                <w:szCs w:val="20"/>
              </w:rPr>
            </w:pPr>
            <w:r w:rsidRPr="00041502">
              <w:rPr>
                <w:color w:val="auto"/>
                <w:sz w:val="20"/>
                <w:szCs w:val="20"/>
              </w:rPr>
              <w:t>National Planning Policy and Guidance</w:t>
            </w:r>
          </w:p>
        </w:tc>
        <w:tc>
          <w:tcPr>
            <w:tcW w:w="7380" w:type="dxa"/>
          </w:tcPr>
          <w:p w14:paraId="18D98A90" w14:textId="2A8903BF" w:rsidR="00041502" w:rsidRPr="004C67D8" w:rsidRDefault="00041502" w:rsidP="00874A98">
            <w:pPr>
              <w:keepNext w:val="0"/>
              <w:numPr>
                <w:ilvl w:val="0"/>
                <w:numId w:val="269"/>
              </w:numPr>
              <w:spacing w:before="0"/>
              <w:contextualSpacing/>
              <w:jc w:val="left"/>
              <w:rPr>
                <w:color w:val="auto"/>
                <w:sz w:val="20"/>
                <w:szCs w:val="20"/>
              </w:rPr>
            </w:pPr>
            <w:r w:rsidRPr="004C67D8">
              <w:rPr>
                <w:color w:val="auto"/>
                <w:sz w:val="20"/>
                <w:szCs w:val="20"/>
              </w:rPr>
              <w:t>NPPF 202</w:t>
            </w:r>
            <w:r w:rsidR="004173E0" w:rsidRPr="004C67D8">
              <w:rPr>
                <w:color w:val="auto"/>
                <w:sz w:val="20"/>
                <w:szCs w:val="20"/>
              </w:rPr>
              <w:t>3</w:t>
            </w:r>
            <w:r w:rsidRPr="004C67D8">
              <w:rPr>
                <w:color w:val="auto"/>
                <w:sz w:val="20"/>
                <w:szCs w:val="20"/>
              </w:rPr>
              <w:t>, Part 2: Achieving sustainable development.</w:t>
            </w:r>
          </w:p>
          <w:p w14:paraId="6CA58270" w14:textId="66DC014C" w:rsidR="00041502" w:rsidRPr="004C67D8" w:rsidRDefault="00041502" w:rsidP="00874A98">
            <w:pPr>
              <w:keepNext w:val="0"/>
              <w:numPr>
                <w:ilvl w:val="0"/>
                <w:numId w:val="269"/>
              </w:numPr>
              <w:spacing w:before="0"/>
              <w:contextualSpacing/>
              <w:jc w:val="left"/>
              <w:rPr>
                <w:color w:val="auto"/>
                <w:sz w:val="20"/>
                <w:szCs w:val="20"/>
              </w:rPr>
            </w:pPr>
            <w:r w:rsidRPr="004C67D8">
              <w:rPr>
                <w:color w:val="auto"/>
                <w:sz w:val="20"/>
                <w:szCs w:val="20"/>
              </w:rPr>
              <w:t>NPPF 202</w:t>
            </w:r>
            <w:r w:rsidR="004173E0" w:rsidRPr="004C67D8">
              <w:rPr>
                <w:color w:val="auto"/>
                <w:sz w:val="20"/>
                <w:szCs w:val="20"/>
              </w:rPr>
              <w:t>3</w:t>
            </w:r>
            <w:r w:rsidRPr="004C67D8">
              <w:rPr>
                <w:color w:val="auto"/>
                <w:sz w:val="20"/>
                <w:szCs w:val="20"/>
              </w:rPr>
              <w:t xml:space="preserve">, Part 8: Promoting healthy and safe communities </w:t>
            </w:r>
          </w:p>
          <w:p w14:paraId="2489F182" w14:textId="1C645610" w:rsidR="00041502" w:rsidRPr="004C67D8" w:rsidRDefault="00041502" w:rsidP="00874A98">
            <w:pPr>
              <w:keepNext w:val="0"/>
              <w:numPr>
                <w:ilvl w:val="0"/>
                <w:numId w:val="269"/>
              </w:numPr>
              <w:spacing w:before="0"/>
              <w:contextualSpacing/>
              <w:jc w:val="left"/>
              <w:rPr>
                <w:color w:val="auto"/>
                <w:sz w:val="20"/>
                <w:szCs w:val="20"/>
              </w:rPr>
            </w:pPr>
            <w:r w:rsidRPr="004C67D8">
              <w:rPr>
                <w:color w:val="auto"/>
                <w:sz w:val="20"/>
                <w:szCs w:val="20"/>
              </w:rPr>
              <w:t xml:space="preserve">Planning Practice Guidance: Healthy and safe communities </w:t>
            </w:r>
            <w:r w:rsidR="00B40389" w:rsidRPr="004C67D8">
              <w:rPr>
                <w:color w:val="auto"/>
                <w:sz w:val="20"/>
                <w:szCs w:val="20"/>
              </w:rPr>
              <w:t>as at August 2022.</w:t>
            </w:r>
          </w:p>
          <w:p w14:paraId="5B02D494" w14:textId="4FF6A7AD" w:rsidR="00041502" w:rsidRPr="004C67D8" w:rsidRDefault="00041502" w:rsidP="00874A98">
            <w:pPr>
              <w:keepNext w:val="0"/>
              <w:numPr>
                <w:ilvl w:val="0"/>
                <w:numId w:val="269"/>
              </w:numPr>
              <w:spacing w:before="0"/>
              <w:contextualSpacing/>
              <w:jc w:val="left"/>
              <w:rPr>
                <w:color w:val="auto"/>
                <w:sz w:val="20"/>
                <w:szCs w:val="20"/>
              </w:rPr>
            </w:pPr>
            <w:r w:rsidRPr="004C67D8">
              <w:rPr>
                <w:color w:val="auto"/>
                <w:sz w:val="20"/>
                <w:szCs w:val="20"/>
              </w:rPr>
              <w:t xml:space="preserve">Planning Practice Guidance: Open space, </w:t>
            </w:r>
            <w:r w:rsidR="00B40389" w:rsidRPr="004C67D8">
              <w:rPr>
                <w:color w:val="auto"/>
                <w:sz w:val="20"/>
                <w:szCs w:val="20"/>
              </w:rPr>
              <w:t xml:space="preserve">as at </w:t>
            </w:r>
            <w:r w:rsidRPr="004C67D8">
              <w:rPr>
                <w:color w:val="auto"/>
                <w:sz w:val="20"/>
                <w:szCs w:val="20"/>
              </w:rPr>
              <w:t>Sports and Recreation facilities, public rights of way and local green space</w:t>
            </w:r>
            <w:r w:rsidR="00B40389" w:rsidRPr="004C67D8">
              <w:rPr>
                <w:color w:val="auto"/>
                <w:sz w:val="20"/>
                <w:szCs w:val="20"/>
              </w:rPr>
              <w:t xml:space="preserve"> March 2014.</w:t>
            </w:r>
          </w:p>
        </w:tc>
      </w:tr>
    </w:tbl>
    <w:p w14:paraId="622B24E6" w14:textId="77777777" w:rsidR="00041502" w:rsidRPr="00041502" w:rsidRDefault="00041502" w:rsidP="00041502">
      <w:pPr>
        <w:keepNext w:val="0"/>
        <w:spacing w:before="0" w:after="160" w:line="252" w:lineRule="auto"/>
        <w:jc w:val="both"/>
        <w:rPr>
          <w:rFonts w:eastAsia="Calibri"/>
          <w:color w:val="auto"/>
          <w:szCs w:val="22"/>
        </w:rPr>
      </w:pPr>
    </w:p>
    <w:p w14:paraId="5F25F30D" w14:textId="259F9449" w:rsidR="00C464EB" w:rsidRPr="00865993" w:rsidRDefault="009D57B3" w:rsidP="00874A98">
      <w:pPr>
        <w:pStyle w:val="ListParagraph"/>
        <w:numPr>
          <w:ilvl w:val="1"/>
          <w:numId w:val="92"/>
        </w:numPr>
        <w:autoSpaceDE w:val="0"/>
        <w:autoSpaceDN w:val="0"/>
        <w:adjustRightInd w:val="0"/>
        <w:spacing w:after="0" w:line="240" w:lineRule="auto"/>
        <w:ind w:left="851" w:hanging="851"/>
        <w:rPr>
          <w:rFonts w:ascii="Arial" w:eastAsia="Arial" w:hAnsi="Arial" w:cs="Arial"/>
          <w:spacing w:val="-1"/>
        </w:rPr>
      </w:pPr>
      <w:r w:rsidRPr="00865993">
        <w:rPr>
          <w:rFonts w:ascii="Arial" w:eastAsia="Arial" w:hAnsi="Arial" w:cs="Arial"/>
        </w:rPr>
        <w:t>Provision of Green Infrastructure and public open space plays a vital role in helping to create sustainable communities. Accessible open spaces, sport and recreation facilities are all highly valued assets to Ashfield’s communities and new residential developments should, where appropriate, contribute to open space provision either by the creation of additional areas or the improvement of existing facilities in the locality.</w:t>
      </w:r>
    </w:p>
    <w:p w14:paraId="7608684B" w14:textId="77777777" w:rsidR="00C464EB" w:rsidRPr="00865993" w:rsidRDefault="00C464EB" w:rsidP="00041502">
      <w:pPr>
        <w:pStyle w:val="ListParagraph"/>
        <w:autoSpaceDE w:val="0"/>
        <w:autoSpaceDN w:val="0"/>
        <w:adjustRightInd w:val="0"/>
        <w:spacing w:after="0" w:line="240" w:lineRule="auto"/>
        <w:ind w:left="851"/>
        <w:rPr>
          <w:rFonts w:ascii="Arial" w:eastAsia="Arial" w:hAnsi="Arial" w:cs="Arial"/>
          <w:spacing w:val="-1"/>
        </w:rPr>
      </w:pPr>
    </w:p>
    <w:p w14:paraId="4CD7C336" w14:textId="71C042B1" w:rsidR="00C464EB" w:rsidRPr="00865993" w:rsidRDefault="009D57B3" w:rsidP="00874A98">
      <w:pPr>
        <w:pStyle w:val="ListParagraph"/>
        <w:numPr>
          <w:ilvl w:val="1"/>
          <w:numId w:val="92"/>
        </w:numPr>
        <w:autoSpaceDE w:val="0"/>
        <w:autoSpaceDN w:val="0"/>
        <w:adjustRightInd w:val="0"/>
        <w:spacing w:after="0" w:line="240" w:lineRule="auto"/>
        <w:ind w:left="851" w:hanging="851"/>
        <w:rPr>
          <w:rFonts w:ascii="Arial" w:eastAsia="Arial" w:hAnsi="Arial" w:cs="Arial"/>
          <w:spacing w:val="-1"/>
        </w:rPr>
      </w:pPr>
      <w:r w:rsidRPr="00865993">
        <w:rPr>
          <w:rFonts w:ascii="Arial" w:eastAsia="Arial" w:hAnsi="Arial" w:cs="Arial"/>
        </w:rPr>
        <w:t xml:space="preserve">In providing for new or improved public open space with regard to new development proposals, early discussions with the Council are encouraged in order to secure the right amount and type of open space in locations which provide most benefit to communities and the Green Infrastructure Network.  Further detail </w:t>
      </w:r>
      <w:r w:rsidRPr="005B3A0F">
        <w:rPr>
          <w:rFonts w:ascii="Arial" w:eastAsia="Arial" w:hAnsi="Arial" w:cs="Arial"/>
        </w:rPr>
        <w:t xml:space="preserve">and information on the criteria noted in the </w:t>
      </w:r>
      <w:r w:rsidR="00EF521C" w:rsidRPr="005B3A0F">
        <w:rPr>
          <w:rFonts w:ascii="Arial" w:eastAsia="Arial" w:hAnsi="Arial" w:cs="Arial"/>
        </w:rPr>
        <w:t>P</w:t>
      </w:r>
      <w:r w:rsidRPr="005B3A0F">
        <w:rPr>
          <w:rFonts w:ascii="Arial" w:eastAsia="Arial" w:hAnsi="Arial" w:cs="Arial"/>
        </w:rPr>
        <w:t>olicy may be found in Ashfield District Council’s Public Open Space Strategy, Allotment Strategy, Green Infrastructure and Biodiversity Technical Paper, Playing Pitch Strategy and Town</w:t>
      </w:r>
      <w:r w:rsidRPr="00865993">
        <w:rPr>
          <w:rFonts w:ascii="Arial" w:eastAsia="Arial" w:hAnsi="Arial" w:cs="Arial"/>
        </w:rPr>
        <w:t xml:space="preserve"> Centre Masterplans</w:t>
      </w:r>
      <w:r w:rsidRPr="00865993">
        <w:rPr>
          <w:rStyle w:val="FootnoteReference"/>
          <w:rFonts w:ascii="Arial" w:eastAsia="Arial" w:hAnsi="Arial" w:cs="Arial"/>
        </w:rPr>
        <w:footnoteReference w:id="94"/>
      </w:r>
      <w:r w:rsidRPr="00865993">
        <w:rPr>
          <w:rFonts w:ascii="Arial" w:eastAsia="Arial" w:hAnsi="Arial" w:cs="Arial"/>
        </w:rPr>
        <w:t>.</w:t>
      </w:r>
    </w:p>
    <w:p w14:paraId="0C68C636" w14:textId="77777777" w:rsidR="00C464EB" w:rsidRPr="00865993" w:rsidRDefault="00C464EB" w:rsidP="00041502">
      <w:pPr>
        <w:pStyle w:val="ListParagraph"/>
        <w:spacing w:after="0" w:line="240" w:lineRule="auto"/>
        <w:rPr>
          <w:rFonts w:ascii="Arial" w:eastAsia="Arial" w:hAnsi="Arial" w:cs="Arial"/>
        </w:rPr>
      </w:pPr>
    </w:p>
    <w:p w14:paraId="3BCCAA15" w14:textId="77777777" w:rsidR="00C464EB" w:rsidRPr="00865993" w:rsidRDefault="009D57B3" w:rsidP="00874A98">
      <w:pPr>
        <w:pStyle w:val="ListParagraph"/>
        <w:numPr>
          <w:ilvl w:val="1"/>
          <w:numId w:val="92"/>
        </w:numPr>
        <w:autoSpaceDE w:val="0"/>
        <w:autoSpaceDN w:val="0"/>
        <w:adjustRightInd w:val="0"/>
        <w:spacing w:after="0" w:line="240" w:lineRule="auto"/>
        <w:ind w:left="851" w:hanging="851"/>
        <w:rPr>
          <w:rFonts w:ascii="Arial" w:eastAsia="Arial" w:hAnsi="Arial" w:cs="Arial"/>
          <w:spacing w:val="-1"/>
        </w:rPr>
      </w:pPr>
      <w:r w:rsidRPr="00865993">
        <w:rPr>
          <w:rFonts w:ascii="Arial" w:eastAsia="Arial" w:hAnsi="Arial" w:cs="Arial"/>
        </w:rPr>
        <w:t>The Ashfield Public Open Space Strategy identifies the Council’s aims and objectives for improving the quality and access to open space within the District. It sets out Standards for the provision of informal recreational open space (including parks, amenity green space and green corridors), outdoor sports facilities, play space and natural green space. The Strategy aims to ensure a consistent approach to the planning of open space, enabling the development process to achieve the right type, quantity and quality of open space.</w:t>
      </w:r>
    </w:p>
    <w:p w14:paraId="35A5B4BB" w14:textId="77777777" w:rsidR="00C464EB" w:rsidRPr="00865993" w:rsidRDefault="00C464EB" w:rsidP="00041502">
      <w:pPr>
        <w:pStyle w:val="ListParagraph"/>
        <w:spacing w:after="0" w:line="240" w:lineRule="auto"/>
        <w:rPr>
          <w:rFonts w:ascii="Arial" w:eastAsia="Arial" w:hAnsi="Arial" w:cs="Arial"/>
        </w:rPr>
      </w:pPr>
    </w:p>
    <w:p w14:paraId="6CC3E6D9" w14:textId="44B6957F" w:rsidR="00C464EB" w:rsidRPr="003A0E1A" w:rsidRDefault="009D57B3" w:rsidP="00874A98">
      <w:pPr>
        <w:pStyle w:val="ListParagraph"/>
        <w:numPr>
          <w:ilvl w:val="1"/>
          <w:numId w:val="92"/>
        </w:numPr>
        <w:autoSpaceDE w:val="0"/>
        <w:autoSpaceDN w:val="0"/>
        <w:adjustRightInd w:val="0"/>
        <w:spacing w:after="0" w:line="240" w:lineRule="auto"/>
        <w:ind w:left="851" w:hanging="851"/>
        <w:rPr>
          <w:rFonts w:ascii="Arial" w:eastAsia="Arial" w:hAnsi="Arial" w:cs="Arial"/>
        </w:rPr>
      </w:pPr>
      <w:bookmarkStart w:id="233" w:name="_Hlk117505524"/>
      <w:r w:rsidRPr="002672F8">
        <w:rPr>
          <w:rFonts w:ascii="Arial" w:eastAsia="Arial" w:hAnsi="Arial" w:cs="Arial"/>
        </w:rPr>
        <w:t>Informal recreational open spaces should, wherever possible, link to existing open spaces, rights of way and cycle routes. Where spaces incorporate landscaping and planting, these should be provided in accordance with Polic</w:t>
      </w:r>
      <w:r w:rsidR="006D2FF5" w:rsidRPr="002672F8">
        <w:rPr>
          <w:rFonts w:ascii="Arial" w:eastAsia="Arial" w:hAnsi="Arial" w:cs="Arial"/>
        </w:rPr>
        <w:t>y</w:t>
      </w:r>
      <w:r w:rsidRPr="002672F8">
        <w:rPr>
          <w:rFonts w:ascii="Arial" w:eastAsia="Arial" w:hAnsi="Arial" w:cs="Arial"/>
        </w:rPr>
        <w:t xml:space="preserve"> SD</w:t>
      </w:r>
      <w:r w:rsidR="005352FB" w:rsidRPr="002672F8">
        <w:rPr>
          <w:rFonts w:ascii="Arial" w:eastAsia="Arial" w:hAnsi="Arial" w:cs="Arial"/>
        </w:rPr>
        <w:t>2</w:t>
      </w:r>
      <w:r w:rsidR="006D2FF5" w:rsidRPr="002672F8">
        <w:rPr>
          <w:rFonts w:ascii="Arial" w:eastAsia="Arial" w:hAnsi="Arial" w:cs="Arial"/>
        </w:rPr>
        <w:t>:</w:t>
      </w:r>
      <w:r w:rsidRPr="002672F8">
        <w:rPr>
          <w:rFonts w:ascii="Arial" w:eastAsia="Arial" w:hAnsi="Arial" w:cs="Arial"/>
        </w:rPr>
        <w:t xml:space="preserve"> Design Considerations for Development and, in particular, provide opportunities to </w:t>
      </w:r>
      <w:r w:rsidR="006D2FF5" w:rsidRPr="003A0E1A">
        <w:rPr>
          <w:rFonts w:ascii="Arial" w:eastAsia="Arial" w:hAnsi="Arial" w:cs="Arial"/>
        </w:rPr>
        <w:t>enhance</w:t>
      </w:r>
      <w:r w:rsidR="006D2FF5" w:rsidRPr="002672F8">
        <w:rPr>
          <w:rFonts w:ascii="Arial" w:eastAsia="Arial" w:hAnsi="Arial" w:cs="Arial"/>
        </w:rPr>
        <w:t xml:space="preserve"> </w:t>
      </w:r>
      <w:r w:rsidRPr="003A0E1A">
        <w:rPr>
          <w:rFonts w:ascii="Arial" w:eastAsia="Arial" w:hAnsi="Arial" w:cs="Arial"/>
        </w:rPr>
        <w:t>make a net contribution to</w:t>
      </w:r>
      <w:r w:rsidRPr="002672F8">
        <w:rPr>
          <w:rFonts w:ascii="Arial" w:eastAsia="Arial" w:hAnsi="Arial" w:cs="Arial"/>
        </w:rPr>
        <w:t xml:space="preserve"> tree cover, habitat creation and connectivity to surrounding biodiversity networks.</w:t>
      </w:r>
      <w:r w:rsidR="006D2FF5" w:rsidRPr="002672F8">
        <w:rPr>
          <w:rFonts w:ascii="Arial" w:eastAsia="Arial" w:hAnsi="Arial" w:cs="Arial"/>
        </w:rPr>
        <w:t xml:space="preserve">  </w:t>
      </w:r>
      <w:bookmarkEnd w:id="233"/>
      <w:r w:rsidR="002672F8" w:rsidRPr="003A0E1A">
        <w:rPr>
          <w:rFonts w:ascii="Arial" w:eastAsia="Arial" w:hAnsi="Arial" w:cs="Arial"/>
        </w:rPr>
        <w:t>Biodiversity Net Gain will be required in addition to the provision of open space and is covered by Policy EV4: Green Infrastructure, Biodiversity and Geodiversity.</w:t>
      </w:r>
    </w:p>
    <w:p w14:paraId="2B92103D" w14:textId="77777777" w:rsidR="002672F8" w:rsidRPr="003A0E1A" w:rsidRDefault="002672F8" w:rsidP="003A0E1A">
      <w:pPr>
        <w:pStyle w:val="ListParagraph"/>
        <w:autoSpaceDE w:val="0"/>
        <w:autoSpaceDN w:val="0"/>
        <w:adjustRightInd w:val="0"/>
        <w:spacing w:after="0" w:line="240" w:lineRule="auto"/>
        <w:ind w:left="851"/>
        <w:rPr>
          <w:rFonts w:ascii="Arial" w:eastAsia="Arial" w:hAnsi="Arial" w:cs="Arial"/>
        </w:rPr>
      </w:pPr>
    </w:p>
    <w:p w14:paraId="4F2C9D7F" w14:textId="77777777" w:rsidR="00C464EB" w:rsidRPr="003A0E1A" w:rsidRDefault="009D57B3" w:rsidP="00874A98">
      <w:pPr>
        <w:pStyle w:val="ListParagraph"/>
        <w:numPr>
          <w:ilvl w:val="1"/>
          <w:numId w:val="92"/>
        </w:numPr>
        <w:autoSpaceDE w:val="0"/>
        <w:autoSpaceDN w:val="0"/>
        <w:adjustRightInd w:val="0"/>
        <w:spacing w:after="0" w:line="240" w:lineRule="auto"/>
        <w:ind w:left="851" w:hanging="851"/>
        <w:rPr>
          <w:rFonts w:ascii="Arial" w:eastAsia="Arial" w:hAnsi="Arial" w:cs="Arial"/>
        </w:rPr>
      </w:pPr>
      <w:r w:rsidRPr="003A0E1A">
        <w:rPr>
          <w:rFonts w:ascii="Arial" w:eastAsia="Arial" w:hAnsi="Arial" w:cs="Arial"/>
        </w:rPr>
        <w:t xml:space="preserve">In the future football pitches and other outdoor sports facilities will be concentrated on one or two sites within each area (Hucknall, Kirkby, Rurals and Sutton) in order to provide better quality facilities which where possible meet the relevant national governing body standards.  </w:t>
      </w:r>
    </w:p>
    <w:p w14:paraId="7DA2E9C7" w14:textId="77777777" w:rsidR="00C464EB" w:rsidRPr="003A0E1A" w:rsidRDefault="00C464EB" w:rsidP="003A0E1A">
      <w:pPr>
        <w:pStyle w:val="ListParagraph"/>
        <w:autoSpaceDE w:val="0"/>
        <w:autoSpaceDN w:val="0"/>
        <w:adjustRightInd w:val="0"/>
        <w:spacing w:after="0" w:line="240" w:lineRule="auto"/>
        <w:ind w:left="851"/>
        <w:rPr>
          <w:rFonts w:ascii="Arial" w:eastAsia="Arial" w:hAnsi="Arial" w:cs="Arial"/>
        </w:rPr>
      </w:pPr>
    </w:p>
    <w:p w14:paraId="79AA2AFB" w14:textId="77777777" w:rsidR="00C464EB" w:rsidRPr="003A0E1A" w:rsidRDefault="009D57B3" w:rsidP="00874A98">
      <w:pPr>
        <w:pStyle w:val="ListParagraph"/>
        <w:numPr>
          <w:ilvl w:val="1"/>
          <w:numId w:val="92"/>
        </w:numPr>
        <w:autoSpaceDE w:val="0"/>
        <w:autoSpaceDN w:val="0"/>
        <w:adjustRightInd w:val="0"/>
        <w:spacing w:after="0" w:line="240" w:lineRule="auto"/>
        <w:ind w:left="851" w:hanging="851"/>
        <w:rPr>
          <w:rFonts w:ascii="Arial" w:eastAsia="Arial" w:hAnsi="Arial" w:cs="Arial"/>
        </w:rPr>
      </w:pPr>
      <w:r w:rsidRPr="003A0E1A">
        <w:rPr>
          <w:rFonts w:ascii="Arial" w:eastAsia="Arial" w:hAnsi="Arial" w:cs="Arial"/>
        </w:rPr>
        <w:t>H5:1a)</w:t>
      </w:r>
      <w:r w:rsidRPr="00865993">
        <w:rPr>
          <w:rFonts w:ascii="Arial" w:eastAsia="Arial" w:hAnsi="Arial" w:cs="Arial"/>
        </w:rPr>
        <w:t xml:space="preserve"> Public open space (including informal recreational open space, outdoor sports facilities, play space, cemeteries, allotments, natural spaces, and areas of public realm) are integral to sustainable communities.  Where existing Green Infrastructure and public realm provision is inadequate in terms of providing for the quantity, quality, and accessibility to meet projected needs arising from future occupiers of new development, those occupiers' needs must be met by the new development on-site. </w:t>
      </w:r>
    </w:p>
    <w:p w14:paraId="103FDA98" w14:textId="77777777" w:rsidR="00C464EB" w:rsidRPr="00865993" w:rsidRDefault="00C464EB" w:rsidP="003A0E1A">
      <w:pPr>
        <w:pStyle w:val="ListParagraph"/>
        <w:autoSpaceDE w:val="0"/>
        <w:autoSpaceDN w:val="0"/>
        <w:adjustRightInd w:val="0"/>
        <w:spacing w:after="0" w:line="240" w:lineRule="auto"/>
        <w:ind w:left="851"/>
        <w:rPr>
          <w:rFonts w:ascii="Arial" w:eastAsia="Arial" w:hAnsi="Arial" w:cs="Arial"/>
        </w:rPr>
      </w:pPr>
    </w:p>
    <w:p w14:paraId="0C5A418E" w14:textId="77777777" w:rsidR="00865993" w:rsidRPr="003A0E1A" w:rsidRDefault="009D57B3" w:rsidP="00874A98">
      <w:pPr>
        <w:pStyle w:val="ListParagraph"/>
        <w:numPr>
          <w:ilvl w:val="1"/>
          <w:numId w:val="92"/>
        </w:numPr>
        <w:autoSpaceDE w:val="0"/>
        <w:autoSpaceDN w:val="0"/>
        <w:adjustRightInd w:val="0"/>
        <w:spacing w:after="0" w:line="240" w:lineRule="auto"/>
        <w:ind w:left="851" w:hanging="851"/>
        <w:rPr>
          <w:rFonts w:ascii="Arial" w:eastAsia="Arial" w:hAnsi="Arial" w:cs="Arial"/>
        </w:rPr>
      </w:pPr>
      <w:r w:rsidRPr="003A0E1A">
        <w:rPr>
          <w:rFonts w:ascii="Arial" w:eastAsia="Arial" w:hAnsi="Arial" w:cs="Arial"/>
        </w:rPr>
        <w:t>Provision for subsequent management and maintenance of public open space must also be made.</w:t>
      </w:r>
      <w:r w:rsidRPr="00865993">
        <w:rPr>
          <w:rFonts w:ascii="Arial" w:eastAsia="Arial" w:hAnsi="Arial" w:cs="Arial"/>
        </w:rPr>
        <w:t xml:space="preserve"> Generally, the Council will require an area of land not less than 10% of the gross housing area to be laid out as public open space with associated footpaths, boundary treatment, planting and other features. Specific areas for children’s’ play and young peoples’ areas may be required, depending on whether such provision is needed to meet the standards set out in the Public Open Space Strategy. The area must be well related to dwellings for safety and be of a shape and gradient to facilitate maximum usage and ease of maintenance.</w:t>
      </w:r>
    </w:p>
    <w:p w14:paraId="7D91A685" w14:textId="77777777" w:rsidR="00865993" w:rsidRPr="003A0E1A" w:rsidRDefault="00865993" w:rsidP="003A0E1A">
      <w:pPr>
        <w:pStyle w:val="ListParagraph"/>
        <w:autoSpaceDE w:val="0"/>
        <w:autoSpaceDN w:val="0"/>
        <w:adjustRightInd w:val="0"/>
        <w:spacing w:after="0" w:line="240" w:lineRule="auto"/>
        <w:ind w:left="851"/>
        <w:rPr>
          <w:rFonts w:ascii="Arial" w:eastAsia="Arial" w:hAnsi="Arial" w:cs="Arial"/>
        </w:rPr>
      </w:pPr>
    </w:p>
    <w:p w14:paraId="24D95F32" w14:textId="77777777" w:rsidR="00865993" w:rsidRPr="003A0E1A" w:rsidRDefault="009D57B3" w:rsidP="00874A98">
      <w:pPr>
        <w:pStyle w:val="ListParagraph"/>
        <w:numPr>
          <w:ilvl w:val="1"/>
          <w:numId w:val="92"/>
        </w:numPr>
        <w:autoSpaceDE w:val="0"/>
        <w:autoSpaceDN w:val="0"/>
        <w:adjustRightInd w:val="0"/>
        <w:spacing w:after="0" w:line="240" w:lineRule="auto"/>
        <w:ind w:left="851" w:hanging="851"/>
        <w:rPr>
          <w:rFonts w:ascii="Arial" w:eastAsia="Arial" w:hAnsi="Arial" w:cs="Arial"/>
        </w:rPr>
      </w:pPr>
      <w:r w:rsidRPr="003A0E1A">
        <w:rPr>
          <w:rFonts w:ascii="Arial" w:eastAsia="Arial" w:hAnsi="Arial" w:cs="Arial"/>
        </w:rPr>
        <w:t>H5:1b)</w:t>
      </w:r>
      <w:r w:rsidRPr="00865993">
        <w:rPr>
          <w:rFonts w:ascii="Arial" w:eastAsia="Arial" w:hAnsi="Arial" w:cs="Arial"/>
        </w:rPr>
        <w:t xml:space="preserve"> On some developments, including those with a gross area of less than two hectares and more than five dwellings, it may be inappropriate to require on-site public open space, for example, where small unmanageable sites may result; where proposed development is unlikely to generate the need for public open space; or where such sites may be in close proximity to existing provision.</w:t>
      </w:r>
    </w:p>
    <w:p w14:paraId="4225CF51" w14:textId="77777777" w:rsidR="00865993" w:rsidRPr="003A0E1A" w:rsidRDefault="00865993" w:rsidP="003A0E1A">
      <w:pPr>
        <w:pStyle w:val="ListParagraph"/>
        <w:autoSpaceDE w:val="0"/>
        <w:autoSpaceDN w:val="0"/>
        <w:adjustRightInd w:val="0"/>
        <w:spacing w:after="0" w:line="240" w:lineRule="auto"/>
        <w:ind w:left="851"/>
        <w:rPr>
          <w:rFonts w:ascii="Arial" w:eastAsia="Arial" w:hAnsi="Arial" w:cs="Arial"/>
        </w:rPr>
      </w:pPr>
    </w:p>
    <w:p w14:paraId="22B3A1E9" w14:textId="77777777" w:rsidR="00865993" w:rsidRPr="003A0E1A" w:rsidRDefault="009D57B3" w:rsidP="00874A98">
      <w:pPr>
        <w:pStyle w:val="ListParagraph"/>
        <w:numPr>
          <w:ilvl w:val="1"/>
          <w:numId w:val="92"/>
        </w:numPr>
        <w:autoSpaceDE w:val="0"/>
        <w:autoSpaceDN w:val="0"/>
        <w:adjustRightInd w:val="0"/>
        <w:spacing w:after="0" w:line="240" w:lineRule="auto"/>
        <w:ind w:left="851" w:hanging="851"/>
        <w:rPr>
          <w:rFonts w:ascii="Arial" w:eastAsia="Arial" w:hAnsi="Arial" w:cs="Arial"/>
        </w:rPr>
      </w:pPr>
      <w:r w:rsidRPr="003A0E1A">
        <w:rPr>
          <w:rFonts w:ascii="Arial" w:eastAsia="Arial" w:hAnsi="Arial" w:cs="Arial"/>
        </w:rPr>
        <w:t>H5:1c)</w:t>
      </w:r>
      <w:r w:rsidRPr="00865993">
        <w:rPr>
          <w:rFonts w:ascii="Arial" w:eastAsia="Arial" w:hAnsi="Arial" w:cs="Arial"/>
        </w:rPr>
        <w:t xml:space="preserve"> Where public open space provision on any site is inappropriate, unnecessary, or better provided elsewhere, the Authority will require a financial contribution to facilitate off-site provision. This could take the form of enhancements to existing public open space in the locality or provision of new facilities close by, (including Green Infrastructure projects), in accordance with national guidance and standards, in order to create a more acceptable proposal. </w:t>
      </w:r>
    </w:p>
    <w:p w14:paraId="60571EA4" w14:textId="77777777" w:rsidR="00865993" w:rsidRPr="003A0E1A" w:rsidRDefault="00865993" w:rsidP="003A0E1A">
      <w:pPr>
        <w:pStyle w:val="ListParagraph"/>
        <w:autoSpaceDE w:val="0"/>
        <w:autoSpaceDN w:val="0"/>
        <w:adjustRightInd w:val="0"/>
        <w:spacing w:after="0" w:line="240" w:lineRule="auto"/>
        <w:ind w:left="851"/>
        <w:rPr>
          <w:rFonts w:ascii="Arial" w:eastAsia="Arial" w:hAnsi="Arial" w:cs="Arial"/>
        </w:rPr>
      </w:pPr>
    </w:p>
    <w:p w14:paraId="002EE80A" w14:textId="7E82BD41" w:rsidR="00041502" w:rsidRPr="003A0E1A" w:rsidRDefault="009D57B3" w:rsidP="00874A98">
      <w:pPr>
        <w:pStyle w:val="ListParagraph"/>
        <w:numPr>
          <w:ilvl w:val="1"/>
          <w:numId w:val="92"/>
        </w:numPr>
        <w:autoSpaceDE w:val="0"/>
        <w:autoSpaceDN w:val="0"/>
        <w:adjustRightInd w:val="0"/>
        <w:spacing w:after="0" w:line="240" w:lineRule="auto"/>
        <w:ind w:left="851" w:hanging="851"/>
        <w:rPr>
          <w:rFonts w:ascii="Arial" w:eastAsia="Arial" w:hAnsi="Arial" w:cs="Arial"/>
        </w:rPr>
      </w:pPr>
      <w:r w:rsidRPr="003A0E1A">
        <w:rPr>
          <w:rFonts w:ascii="Arial" w:eastAsia="Arial" w:hAnsi="Arial" w:cs="Arial"/>
        </w:rPr>
        <w:t>It is recognised that small developments of less than six dwellings and certain types of new residential development (such as elderly sheltered accommodation and residential care facilities where residents are unlikely to benefit directly from local public open space provision) have different viability, functional and operational requirements. In such cases neither the provision of public open space nor the payment of a commuted sum will be required.</w:t>
      </w:r>
      <w:r w:rsidR="00041502" w:rsidRPr="003A0E1A">
        <w:rPr>
          <w:rFonts w:ascii="Arial" w:eastAsia="Arial" w:hAnsi="Arial" w:cs="Arial"/>
        </w:rPr>
        <w:t xml:space="preserve"> </w:t>
      </w:r>
    </w:p>
    <w:p w14:paraId="0CDF2D1F" w14:textId="77777777" w:rsidR="00C9018E" w:rsidRPr="003A0E1A" w:rsidRDefault="00C9018E" w:rsidP="003A0E1A">
      <w:pPr>
        <w:pStyle w:val="ListParagraph"/>
        <w:autoSpaceDE w:val="0"/>
        <w:autoSpaceDN w:val="0"/>
        <w:adjustRightInd w:val="0"/>
        <w:spacing w:after="0" w:line="240" w:lineRule="auto"/>
        <w:ind w:left="851"/>
        <w:rPr>
          <w:rFonts w:ascii="Arial" w:eastAsia="Arial" w:hAnsi="Arial" w:cs="Arial"/>
        </w:rPr>
      </w:pPr>
    </w:p>
    <w:p w14:paraId="376E3852" w14:textId="2B041A56" w:rsidR="00F66191" w:rsidRPr="004C67D8" w:rsidRDefault="003E29BB" w:rsidP="00874A98">
      <w:pPr>
        <w:pStyle w:val="ListParagraph"/>
        <w:numPr>
          <w:ilvl w:val="1"/>
          <w:numId w:val="92"/>
        </w:numPr>
        <w:autoSpaceDE w:val="0"/>
        <w:autoSpaceDN w:val="0"/>
        <w:adjustRightInd w:val="0"/>
        <w:spacing w:after="0" w:line="240" w:lineRule="auto"/>
        <w:ind w:left="851" w:hanging="851"/>
        <w:rPr>
          <w:rFonts w:ascii="Arial" w:eastAsia="Arial" w:hAnsi="Arial" w:cs="Arial"/>
          <w:iCs/>
          <w:color w:val="auto"/>
          <w:szCs w:val="24"/>
        </w:rPr>
      </w:pPr>
      <w:bookmarkStart w:id="234" w:name="_Hlk138851508"/>
      <w:r w:rsidRPr="003A0E1A">
        <w:rPr>
          <w:rFonts w:ascii="Arial" w:eastAsia="Arial" w:hAnsi="Arial" w:cs="Arial"/>
        </w:rPr>
        <w:t xml:space="preserve">H5:1d) </w:t>
      </w:r>
      <w:r w:rsidR="00F66191" w:rsidRPr="003A0E1A">
        <w:rPr>
          <w:rFonts w:ascii="Arial" w:eastAsia="Arial" w:hAnsi="Arial" w:cs="Arial"/>
        </w:rPr>
        <w:t xml:space="preserve">It is </w:t>
      </w:r>
      <w:r w:rsidR="00F66191" w:rsidRPr="004C67D8">
        <w:rPr>
          <w:rFonts w:ascii="Arial" w:eastAsia="Arial" w:hAnsi="Arial" w:cs="Arial"/>
          <w:color w:val="auto"/>
        </w:rPr>
        <w:t xml:space="preserve">important that provision is made for the future </w:t>
      </w:r>
      <w:r w:rsidR="00EE55DF" w:rsidRPr="004C67D8">
        <w:rPr>
          <w:rFonts w:ascii="Arial" w:eastAsia="Arial" w:hAnsi="Arial" w:cs="Arial"/>
          <w:color w:val="auto"/>
        </w:rPr>
        <w:t xml:space="preserve">management and </w:t>
      </w:r>
      <w:r w:rsidR="00F66191" w:rsidRPr="004C67D8">
        <w:rPr>
          <w:rFonts w:ascii="Arial" w:eastAsia="Arial" w:hAnsi="Arial" w:cs="Arial"/>
          <w:color w:val="auto"/>
        </w:rPr>
        <w:t>maintenance</w:t>
      </w:r>
      <w:r w:rsidR="00F66191" w:rsidRPr="004C67D8">
        <w:rPr>
          <w:rFonts w:ascii="Arial" w:eastAsia="Arial" w:hAnsi="Arial" w:cs="Arial"/>
          <w:iCs/>
          <w:color w:val="auto"/>
          <w:szCs w:val="24"/>
        </w:rPr>
        <w:t xml:space="preserve"> </w:t>
      </w:r>
      <w:r w:rsidR="00EE55DF" w:rsidRPr="004C67D8">
        <w:rPr>
          <w:rFonts w:ascii="Arial" w:eastAsia="Arial" w:hAnsi="Arial" w:cs="Arial"/>
          <w:iCs/>
          <w:color w:val="auto"/>
          <w:szCs w:val="24"/>
        </w:rPr>
        <w:t xml:space="preserve">of </w:t>
      </w:r>
      <w:r w:rsidR="00F66191" w:rsidRPr="004C67D8">
        <w:rPr>
          <w:rFonts w:ascii="Arial" w:eastAsia="Arial" w:hAnsi="Arial" w:cs="Arial"/>
          <w:iCs/>
          <w:color w:val="auto"/>
          <w:szCs w:val="24"/>
        </w:rPr>
        <w:t xml:space="preserve">new/improved open </w:t>
      </w:r>
      <w:r w:rsidR="00EE55DF" w:rsidRPr="004C67D8">
        <w:rPr>
          <w:rFonts w:ascii="Arial" w:eastAsia="Arial" w:hAnsi="Arial" w:cs="Arial"/>
          <w:iCs/>
          <w:color w:val="auto"/>
          <w:szCs w:val="24"/>
        </w:rPr>
        <w:t xml:space="preserve">space, having due regard to the requirements of biodiversity net gain and climate change, </w:t>
      </w:r>
      <w:r w:rsidR="00F66191" w:rsidRPr="004C67D8">
        <w:rPr>
          <w:rFonts w:ascii="Arial" w:eastAsia="Arial" w:hAnsi="Arial" w:cs="Arial"/>
          <w:iCs/>
          <w:color w:val="auto"/>
          <w:szCs w:val="24"/>
        </w:rPr>
        <w:t xml:space="preserve">otherwise its value will deteriorate.  The future development of open space, which is principally of benefit to the development, is the responsibility of the developer.  Developers will need to demonstrate they have secured an acceptable means of ensuring future maintenance, preferably by way of a management company.  The Council will require full details of any such arrangements before a planning application is determined.  </w:t>
      </w:r>
      <w:r w:rsidR="00EE55DF" w:rsidRPr="004C67D8">
        <w:rPr>
          <w:rFonts w:ascii="Arial" w:eastAsia="Arial" w:hAnsi="Arial" w:cs="Arial"/>
          <w:iCs/>
          <w:color w:val="auto"/>
          <w:szCs w:val="24"/>
        </w:rPr>
        <w:t>In certain circumstances, management by local authority adoption may be acceptable.</w:t>
      </w:r>
    </w:p>
    <w:p w14:paraId="597A96C2" w14:textId="77777777" w:rsidR="00F66191" w:rsidRPr="004C67D8" w:rsidRDefault="00F66191" w:rsidP="00F66191">
      <w:pPr>
        <w:pStyle w:val="ListParagraph"/>
        <w:ind w:left="460"/>
        <w:rPr>
          <w:rFonts w:ascii="Arial" w:eastAsia="Arial" w:hAnsi="Arial" w:cs="Arial"/>
          <w:iCs/>
          <w:color w:val="auto"/>
          <w:szCs w:val="24"/>
        </w:rPr>
      </w:pPr>
    </w:p>
    <w:p w14:paraId="72DC9F99" w14:textId="3CBFCF25" w:rsidR="00041502" w:rsidRPr="00995322" w:rsidRDefault="006977E7" w:rsidP="00995322">
      <w:pPr>
        <w:pStyle w:val="Heading2"/>
        <w:jc w:val="left"/>
        <w:rPr>
          <w:rFonts w:eastAsia="Arial"/>
          <w:sz w:val="28"/>
          <w:szCs w:val="28"/>
        </w:rPr>
      </w:pPr>
      <w:bookmarkStart w:id="235" w:name="_Toc145511593"/>
      <w:bookmarkEnd w:id="234"/>
      <w:r w:rsidRPr="00995322">
        <w:rPr>
          <w:rFonts w:eastAsia="Arial"/>
          <w:sz w:val="28"/>
          <w:szCs w:val="28"/>
        </w:rPr>
        <w:t xml:space="preserve">Policy </w:t>
      </w:r>
      <w:r w:rsidR="00041502" w:rsidRPr="00995322">
        <w:rPr>
          <w:rFonts w:eastAsia="Arial"/>
          <w:sz w:val="28"/>
          <w:szCs w:val="28"/>
        </w:rPr>
        <w:t>H6: Housing Mix</w:t>
      </w:r>
      <w:bookmarkEnd w:id="235"/>
    </w:p>
    <w:p w14:paraId="7B94DEF7" w14:textId="77777777" w:rsidR="00041502" w:rsidRPr="006977E7" w:rsidRDefault="00041502" w:rsidP="006977E7">
      <w:pPr>
        <w:spacing w:before="0"/>
        <w:rPr>
          <w:rFonts w:eastAsia="Arial" w:cs="Arial"/>
          <w:iCs/>
          <w:color w:val="auto"/>
          <w:szCs w:val="24"/>
        </w:rPr>
      </w:pPr>
    </w:p>
    <w:p w14:paraId="4E8FE7B2" w14:textId="561B0AF7" w:rsidR="00041502" w:rsidRPr="00041502" w:rsidRDefault="00041502" w:rsidP="00874A98">
      <w:pPr>
        <w:pStyle w:val="ListParagraph"/>
        <w:numPr>
          <w:ilvl w:val="1"/>
          <w:numId w:val="92"/>
        </w:numPr>
        <w:autoSpaceDE w:val="0"/>
        <w:autoSpaceDN w:val="0"/>
        <w:adjustRightInd w:val="0"/>
        <w:spacing w:after="0" w:line="240" w:lineRule="auto"/>
        <w:ind w:left="851" w:hanging="851"/>
        <w:rPr>
          <w:rFonts w:ascii="Arial" w:eastAsia="Arial" w:hAnsi="Arial" w:cs="Arial"/>
          <w:iCs/>
          <w:color w:val="auto"/>
          <w:szCs w:val="24"/>
        </w:rPr>
      </w:pPr>
      <w:r w:rsidRPr="00041502">
        <w:rPr>
          <w:rFonts w:ascii="Arial" w:eastAsia="Arial" w:hAnsi="Arial" w:cs="Arial"/>
          <w:iCs/>
          <w:color w:val="auto"/>
          <w:szCs w:val="24"/>
        </w:rPr>
        <w:t xml:space="preserve">This policy aims to ensure that housing provision meets the needs of all sectors in the community including families with children, older people and people with </w:t>
      </w:r>
      <w:r>
        <w:rPr>
          <w:rFonts w:ascii="Arial" w:eastAsia="Arial" w:hAnsi="Arial" w:cs="Arial"/>
          <w:iCs/>
          <w:color w:val="auto"/>
          <w:szCs w:val="24"/>
        </w:rPr>
        <w:t>d</w:t>
      </w:r>
      <w:r w:rsidRPr="00041502">
        <w:rPr>
          <w:rFonts w:ascii="Arial" w:eastAsia="Arial" w:hAnsi="Arial" w:cs="Arial"/>
          <w:iCs/>
          <w:color w:val="auto"/>
          <w:szCs w:val="24"/>
        </w:rPr>
        <w:t>isabilities by providing a range of house types and sizes as part of new residential developments.</w:t>
      </w:r>
    </w:p>
    <w:p w14:paraId="5235708A" w14:textId="77777777" w:rsidR="00041502" w:rsidRPr="00041502" w:rsidRDefault="00041502" w:rsidP="00041502">
      <w:pPr>
        <w:keepNext w:val="0"/>
        <w:spacing w:before="0" w:after="160" w:line="252" w:lineRule="auto"/>
        <w:jc w:val="both"/>
        <w:rPr>
          <w:rFonts w:eastAsia="Calibri"/>
          <w:color w:val="auto"/>
          <w:szCs w:val="22"/>
        </w:rPr>
      </w:pPr>
    </w:p>
    <w:tbl>
      <w:tblPr>
        <w:tblStyle w:val="TableGrid14"/>
        <w:tblW w:w="0" w:type="auto"/>
        <w:tblInd w:w="13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410"/>
        <w:gridCol w:w="7077"/>
      </w:tblGrid>
      <w:tr w:rsidR="00041502" w:rsidRPr="00041502" w14:paraId="014B4EE8" w14:textId="77777777" w:rsidTr="00263F59">
        <w:tc>
          <w:tcPr>
            <w:tcW w:w="9487" w:type="dxa"/>
            <w:gridSpan w:val="2"/>
          </w:tcPr>
          <w:p w14:paraId="6FA9278B" w14:textId="77777777" w:rsidR="005352FB" w:rsidRDefault="005352FB" w:rsidP="00FF3EAD">
            <w:pPr>
              <w:keepNext w:val="0"/>
              <w:spacing w:before="0"/>
              <w:jc w:val="left"/>
              <w:rPr>
                <w:b/>
                <w:bCs/>
                <w:color w:val="auto"/>
              </w:rPr>
            </w:pPr>
          </w:p>
          <w:p w14:paraId="1C36D5B5" w14:textId="7EB13773" w:rsidR="00041502" w:rsidRDefault="00041502" w:rsidP="00FF3EAD">
            <w:pPr>
              <w:keepNext w:val="0"/>
              <w:spacing w:before="0"/>
              <w:jc w:val="left"/>
              <w:rPr>
                <w:b/>
                <w:bCs/>
                <w:color w:val="auto"/>
              </w:rPr>
            </w:pPr>
            <w:r w:rsidRPr="00041502">
              <w:rPr>
                <w:b/>
                <w:bCs/>
                <w:color w:val="auto"/>
              </w:rPr>
              <w:t>Policy H6: Housing Mix</w:t>
            </w:r>
          </w:p>
          <w:p w14:paraId="672B4036" w14:textId="40BFE166" w:rsidR="005352FB" w:rsidRPr="00041502" w:rsidRDefault="005352FB" w:rsidP="00FF3EAD">
            <w:pPr>
              <w:keepNext w:val="0"/>
              <w:spacing w:before="0"/>
              <w:jc w:val="left"/>
              <w:rPr>
                <w:b/>
                <w:bCs/>
                <w:color w:val="auto"/>
              </w:rPr>
            </w:pPr>
          </w:p>
        </w:tc>
      </w:tr>
      <w:tr w:rsidR="00041502" w:rsidRPr="00041502" w14:paraId="6ADEC609" w14:textId="77777777" w:rsidTr="00F906E1">
        <w:tc>
          <w:tcPr>
            <w:tcW w:w="2410" w:type="dxa"/>
          </w:tcPr>
          <w:p w14:paraId="411ED45A" w14:textId="77777777" w:rsidR="00041502" w:rsidRPr="00041502" w:rsidRDefault="00041502" w:rsidP="00FF3EAD">
            <w:pPr>
              <w:keepNext w:val="0"/>
              <w:spacing w:before="0"/>
              <w:jc w:val="left"/>
              <w:rPr>
                <w:color w:val="auto"/>
              </w:rPr>
            </w:pPr>
            <w:r w:rsidRPr="00041502">
              <w:rPr>
                <w:color w:val="auto"/>
              </w:rPr>
              <w:t>Strategic Objectives</w:t>
            </w:r>
          </w:p>
        </w:tc>
        <w:tc>
          <w:tcPr>
            <w:tcW w:w="7077" w:type="dxa"/>
          </w:tcPr>
          <w:p w14:paraId="56C551C5" w14:textId="77777777" w:rsidR="00041502" w:rsidRPr="00041502" w:rsidRDefault="00041502" w:rsidP="00FF3EAD">
            <w:pPr>
              <w:keepNext w:val="0"/>
              <w:spacing w:before="0"/>
              <w:jc w:val="left"/>
              <w:rPr>
                <w:color w:val="auto"/>
              </w:rPr>
            </w:pPr>
            <w:r w:rsidRPr="00041502">
              <w:rPr>
                <w:color w:val="auto"/>
              </w:rPr>
              <w:t>SO1, SO2, SO3, SO5, SO7, SO8, SO9.</w:t>
            </w:r>
          </w:p>
        </w:tc>
      </w:tr>
      <w:tr w:rsidR="00041502" w:rsidRPr="00041502" w14:paraId="756BC813" w14:textId="77777777" w:rsidTr="00263F59">
        <w:tc>
          <w:tcPr>
            <w:tcW w:w="9487" w:type="dxa"/>
            <w:gridSpan w:val="2"/>
            <w:shd w:val="clear" w:color="auto" w:fill="F7CAAC"/>
          </w:tcPr>
          <w:p w14:paraId="7F602E71" w14:textId="77777777" w:rsidR="00041502" w:rsidRPr="00041502" w:rsidRDefault="00041502" w:rsidP="00FF3EAD">
            <w:pPr>
              <w:keepNext w:val="0"/>
              <w:spacing w:before="0"/>
              <w:jc w:val="left"/>
              <w:rPr>
                <w:color w:val="auto"/>
              </w:rPr>
            </w:pPr>
          </w:p>
          <w:p w14:paraId="27E2A9E7" w14:textId="77777777" w:rsidR="00041502" w:rsidRPr="00041502" w:rsidRDefault="00041502" w:rsidP="00874A98">
            <w:pPr>
              <w:keepNext w:val="0"/>
              <w:numPr>
                <w:ilvl w:val="0"/>
                <w:numId w:val="275"/>
              </w:numPr>
              <w:spacing w:before="0"/>
              <w:contextualSpacing/>
              <w:jc w:val="left"/>
              <w:rPr>
                <w:color w:val="auto"/>
              </w:rPr>
            </w:pPr>
            <w:r w:rsidRPr="00041502">
              <w:rPr>
                <w:color w:val="auto"/>
              </w:rPr>
              <w:t>Proposals for new residential development should maintain, provide, and contribute to a mix of housing tenures, types and sizes in order to create mixed and balanced communities, having regard to the most up-to date evidence of need.</w:t>
            </w:r>
          </w:p>
          <w:p w14:paraId="3D9CB858" w14:textId="77777777" w:rsidR="00041502" w:rsidRPr="00041502" w:rsidRDefault="00041502" w:rsidP="00FF3EAD">
            <w:pPr>
              <w:keepNext w:val="0"/>
              <w:spacing w:before="0"/>
              <w:ind w:left="360"/>
              <w:contextualSpacing/>
              <w:jc w:val="left"/>
              <w:rPr>
                <w:color w:val="auto"/>
              </w:rPr>
            </w:pPr>
          </w:p>
          <w:p w14:paraId="4058CF00" w14:textId="77777777" w:rsidR="00041502" w:rsidRPr="00041502" w:rsidRDefault="00041502" w:rsidP="00874A98">
            <w:pPr>
              <w:keepNext w:val="0"/>
              <w:numPr>
                <w:ilvl w:val="0"/>
                <w:numId w:val="275"/>
              </w:numPr>
              <w:spacing w:before="0"/>
              <w:contextualSpacing/>
              <w:jc w:val="left"/>
              <w:rPr>
                <w:color w:val="auto"/>
              </w:rPr>
            </w:pPr>
            <w:r w:rsidRPr="00041502">
              <w:rPr>
                <w:color w:val="auto"/>
              </w:rPr>
              <w:t xml:space="preserve">Developments of 10 or more dwellings will be expected to provide 10% of dwellings that are accessible or easily adaptable for occupation by the elderly or people with disabilities (Category 2). </w:t>
            </w:r>
          </w:p>
          <w:p w14:paraId="2A0A1455" w14:textId="77777777" w:rsidR="00041502" w:rsidRPr="00041502" w:rsidRDefault="00041502" w:rsidP="00FF3EAD">
            <w:pPr>
              <w:keepNext w:val="0"/>
              <w:spacing w:before="0"/>
              <w:ind w:left="720"/>
              <w:contextualSpacing/>
              <w:jc w:val="left"/>
              <w:rPr>
                <w:color w:val="auto"/>
              </w:rPr>
            </w:pPr>
          </w:p>
          <w:p w14:paraId="5FBAD8D8" w14:textId="77777777" w:rsidR="00041502" w:rsidRPr="00041502" w:rsidRDefault="00041502" w:rsidP="00874A98">
            <w:pPr>
              <w:keepNext w:val="0"/>
              <w:numPr>
                <w:ilvl w:val="0"/>
                <w:numId w:val="275"/>
              </w:numPr>
              <w:spacing w:before="0"/>
              <w:contextualSpacing/>
              <w:jc w:val="left"/>
              <w:rPr>
                <w:color w:val="auto"/>
              </w:rPr>
            </w:pPr>
            <w:r w:rsidRPr="00041502">
              <w:rPr>
                <w:color w:val="auto"/>
              </w:rPr>
              <w:t xml:space="preserve">The inclusion of self-build and custom-build properties on sites will be encouraged. </w:t>
            </w:r>
          </w:p>
          <w:p w14:paraId="1E1DB9C0" w14:textId="77777777" w:rsidR="00041502" w:rsidRPr="00041502" w:rsidRDefault="00041502" w:rsidP="00FF3EAD">
            <w:pPr>
              <w:keepNext w:val="0"/>
              <w:spacing w:before="0"/>
              <w:jc w:val="left"/>
              <w:rPr>
                <w:color w:val="auto"/>
              </w:rPr>
            </w:pPr>
          </w:p>
        </w:tc>
      </w:tr>
      <w:tr w:rsidR="00041502" w:rsidRPr="00041502" w14:paraId="019F8A3F" w14:textId="77777777" w:rsidTr="00F906E1">
        <w:tc>
          <w:tcPr>
            <w:tcW w:w="2410" w:type="dxa"/>
          </w:tcPr>
          <w:p w14:paraId="42E76C20" w14:textId="77777777" w:rsidR="00041502" w:rsidRPr="00041502" w:rsidRDefault="00041502" w:rsidP="00041502">
            <w:pPr>
              <w:keepNext w:val="0"/>
              <w:spacing w:before="0"/>
              <w:jc w:val="left"/>
              <w:rPr>
                <w:color w:val="auto"/>
                <w:sz w:val="20"/>
                <w:szCs w:val="20"/>
              </w:rPr>
            </w:pPr>
            <w:r w:rsidRPr="00041502">
              <w:rPr>
                <w:color w:val="auto"/>
                <w:sz w:val="20"/>
                <w:szCs w:val="20"/>
              </w:rPr>
              <w:t>Evidence Base</w:t>
            </w:r>
          </w:p>
        </w:tc>
        <w:tc>
          <w:tcPr>
            <w:tcW w:w="7077" w:type="dxa"/>
          </w:tcPr>
          <w:p w14:paraId="432BDEC4" w14:textId="77777777" w:rsidR="00041502" w:rsidRPr="004C67D8" w:rsidRDefault="00041502" w:rsidP="00874A98">
            <w:pPr>
              <w:keepNext w:val="0"/>
              <w:numPr>
                <w:ilvl w:val="0"/>
                <w:numId w:val="273"/>
              </w:numPr>
              <w:spacing w:before="0"/>
              <w:contextualSpacing/>
              <w:jc w:val="left"/>
              <w:rPr>
                <w:color w:val="auto"/>
                <w:sz w:val="20"/>
                <w:szCs w:val="20"/>
              </w:rPr>
            </w:pPr>
            <w:r w:rsidRPr="004C67D8">
              <w:rPr>
                <w:color w:val="auto"/>
                <w:sz w:val="20"/>
                <w:szCs w:val="20"/>
              </w:rPr>
              <w:t>Greater Nottingham &amp; Ashfield Housing Needs Assessment Final Report, 2020 – Iceni Projects Ltd</w:t>
            </w:r>
          </w:p>
          <w:p w14:paraId="050DE890" w14:textId="770805A1" w:rsidR="00041502" w:rsidRPr="004C67D8" w:rsidRDefault="007641C1" w:rsidP="00874A98">
            <w:pPr>
              <w:keepNext w:val="0"/>
              <w:numPr>
                <w:ilvl w:val="0"/>
                <w:numId w:val="273"/>
              </w:numPr>
              <w:spacing w:before="0"/>
              <w:contextualSpacing/>
              <w:jc w:val="left"/>
              <w:rPr>
                <w:color w:val="auto"/>
                <w:sz w:val="20"/>
                <w:szCs w:val="20"/>
              </w:rPr>
            </w:pPr>
            <w:r w:rsidRPr="004C67D8">
              <w:rPr>
                <w:color w:val="auto"/>
                <w:sz w:val="20"/>
                <w:szCs w:val="20"/>
              </w:rPr>
              <w:t>Sustainability Appraisal, 2023. WSP UK Limited.</w:t>
            </w:r>
          </w:p>
        </w:tc>
      </w:tr>
      <w:tr w:rsidR="00041502" w:rsidRPr="00041502" w14:paraId="3BFF0A20" w14:textId="77777777" w:rsidTr="00F906E1">
        <w:tc>
          <w:tcPr>
            <w:tcW w:w="2410" w:type="dxa"/>
          </w:tcPr>
          <w:p w14:paraId="608753A0" w14:textId="77777777" w:rsidR="00041502" w:rsidRPr="00041502" w:rsidRDefault="00041502" w:rsidP="00041502">
            <w:pPr>
              <w:keepNext w:val="0"/>
              <w:spacing w:before="0"/>
              <w:jc w:val="left"/>
              <w:rPr>
                <w:color w:val="auto"/>
                <w:sz w:val="20"/>
                <w:szCs w:val="20"/>
              </w:rPr>
            </w:pPr>
            <w:r w:rsidRPr="00041502">
              <w:rPr>
                <w:color w:val="auto"/>
                <w:sz w:val="20"/>
                <w:szCs w:val="20"/>
              </w:rPr>
              <w:t>National Planning Policy and Guidance</w:t>
            </w:r>
          </w:p>
        </w:tc>
        <w:tc>
          <w:tcPr>
            <w:tcW w:w="7077" w:type="dxa"/>
          </w:tcPr>
          <w:p w14:paraId="429FF891" w14:textId="7E3F93BC" w:rsidR="00041502" w:rsidRPr="004C67D8" w:rsidRDefault="00041502" w:rsidP="00874A98">
            <w:pPr>
              <w:keepNext w:val="0"/>
              <w:numPr>
                <w:ilvl w:val="0"/>
                <w:numId w:val="274"/>
              </w:numPr>
              <w:spacing w:before="0"/>
              <w:contextualSpacing/>
              <w:jc w:val="left"/>
              <w:rPr>
                <w:color w:val="auto"/>
                <w:sz w:val="20"/>
                <w:szCs w:val="20"/>
              </w:rPr>
            </w:pPr>
            <w:r w:rsidRPr="004C67D8">
              <w:rPr>
                <w:color w:val="auto"/>
                <w:sz w:val="20"/>
                <w:szCs w:val="20"/>
              </w:rPr>
              <w:t>NPPF 202</w:t>
            </w:r>
            <w:r w:rsidR="004173E0" w:rsidRPr="004C67D8">
              <w:rPr>
                <w:color w:val="auto"/>
                <w:sz w:val="20"/>
                <w:szCs w:val="20"/>
              </w:rPr>
              <w:t>3</w:t>
            </w:r>
            <w:r w:rsidRPr="004C67D8">
              <w:rPr>
                <w:color w:val="auto"/>
                <w:sz w:val="20"/>
                <w:szCs w:val="20"/>
              </w:rPr>
              <w:t>, Part 2: Achieving sustainable development.</w:t>
            </w:r>
          </w:p>
          <w:p w14:paraId="0E0FB702" w14:textId="5036FC75" w:rsidR="00041502" w:rsidRPr="004C67D8" w:rsidRDefault="00041502" w:rsidP="00874A98">
            <w:pPr>
              <w:keepNext w:val="0"/>
              <w:numPr>
                <w:ilvl w:val="0"/>
                <w:numId w:val="274"/>
              </w:numPr>
              <w:spacing w:before="0"/>
              <w:contextualSpacing/>
              <w:jc w:val="left"/>
              <w:rPr>
                <w:color w:val="auto"/>
                <w:sz w:val="20"/>
                <w:szCs w:val="20"/>
              </w:rPr>
            </w:pPr>
            <w:r w:rsidRPr="004C67D8">
              <w:rPr>
                <w:color w:val="auto"/>
                <w:sz w:val="20"/>
                <w:szCs w:val="20"/>
              </w:rPr>
              <w:t>NPPF 202</w:t>
            </w:r>
            <w:r w:rsidR="004173E0" w:rsidRPr="004C67D8">
              <w:rPr>
                <w:color w:val="auto"/>
                <w:sz w:val="20"/>
                <w:szCs w:val="20"/>
              </w:rPr>
              <w:t>3</w:t>
            </w:r>
            <w:r w:rsidRPr="004C67D8">
              <w:rPr>
                <w:color w:val="auto"/>
                <w:sz w:val="20"/>
                <w:szCs w:val="20"/>
              </w:rPr>
              <w:t>, Part 5: Delivering a sufficient supply of homes</w:t>
            </w:r>
          </w:p>
          <w:p w14:paraId="0BEC8386" w14:textId="05EE5E49" w:rsidR="00041502" w:rsidRPr="004C67D8" w:rsidRDefault="00041502" w:rsidP="00874A98">
            <w:pPr>
              <w:keepNext w:val="0"/>
              <w:numPr>
                <w:ilvl w:val="0"/>
                <w:numId w:val="274"/>
              </w:numPr>
              <w:spacing w:before="0"/>
              <w:contextualSpacing/>
              <w:jc w:val="left"/>
              <w:rPr>
                <w:color w:val="auto"/>
                <w:sz w:val="20"/>
                <w:szCs w:val="20"/>
              </w:rPr>
            </w:pPr>
            <w:bookmarkStart w:id="236" w:name="_Hlk139638477"/>
            <w:r w:rsidRPr="004C67D8">
              <w:rPr>
                <w:color w:val="auto"/>
                <w:sz w:val="20"/>
                <w:szCs w:val="20"/>
              </w:rPr>
              <w:t>Planning Practice Guidance: Housing and economic needs assessment</w:t>
            </w:r>
            <w:r w:rsidR="007641C1" w:rsidRPr="004C67D8">
              <w:rPr>
                <w:color w:val="auto"/>
                <w:sz w:val="20"/>
                <w:szCs w:val="20"/>
              </w:rPr>
              <w:t xml:space="preserve"> as at July 2019.</w:t>
            </w:r>
          </w:p>
          <w:p w14:paraId="0B7E5D36" w14:textId="66CFD723" w:rsidR="00041502" w:rsidRPr="004C67D8" w:rsidRDefault="00041502" w:rsidP="00874A98">
            <w:pPr>
              <w:keepNext w:val="0"/>
              <w:numPr>
                <w:ilvl w:val="0"/>
                <w:numId w:val="274"/>
              </w:numPr>
              <w:spacing w:before="0"/>
              <w:contextualSpacing/>
              <w:jc w:val="left"/>
              <w:rPr>
                <w:color w:val="auto"/>
                <w:sz w:val="20"/>
                <w:szCs w:val="20"/>
              </w:rPr>
            </w:pPr>
            <w:r w:rsidRPr="004C67D8">
              <w:rPr>
                <w:color w:val="auto"/>
                <w:sz w:val="20"/>
                <w:szCs w:val="20"/>
              </w:rPr>
              <w:t>Planning Practice Guidance: Housing needs of different groups</w:t>
            </w:r>
            <w:r w:rsidR="00F906E1">
              <w:rPr>
                <w:color w:val="auto"/>
                <w:sz w:val="20"/>
                <w:szCs w:val="20"/>
              </w:rPr>
              <w:t xml:space="preserve">, </w:t>
            </w:r>
            <w:r w:rsidR="007641C1" w:rsidRPr="004C67D8">
              <w:rPr>
                <w:color w:val="auto"/>
                <w:sz w:val="20"/>
                <w:szCs w:val="20"/>
              </w:rPr>
              <w:t>as at May 2021.</w:t>
            </w:r>
          </w:p>
          <w:p w14:paraId="09CA9692" w14:textId="70EA1749" w:rsidR="00041502" w:rsidRPr="004C67D8" w:rsidRDefault="00041502" w:rsidP="00874A98">
            <w:pPr>
              <w:keepNext w:val="0"/>
              <w:numPr>
                <w:ilvl w:val="0"/>
                <w:numId w:val="274"/>
              </w:numPr>
              <w:spacing w:before="0"/>
              <w:contextualSpacing/>
              <w:jc w:val="left"/>
              <w:rPr>
                <w:color w:val="auto"/>
                <w:sz w:val="20"/>
                <w:szCs w:val="20"/>
              </w:rPr>
            </w:pPr>
            <w:r w:rsidRPr="004C67D8">
              <w:rPr>
                <w:color w:val="auto"/>
                <w:sz w:val="20"/>
                <w:szCs w:val="20"/>
              </w:rPr>
              <w:t>Planning Practice Guidance: Housing for older and disabled people</w:t>
            </w:r>
            <w:r w:rsidR="007641C1" w:rsidRPr="004C67D8">
              <w:rPr>
                <w:color w:val="auto"/>
                <w:sz w:val="20"/>
                <w:szCs w:val="20"/>
              </w:rPr>
              <w:t xml:space="preserve"> as at July 2019.</w:t>
            </w:r>
            <w:bookmarkEnd w:id="236"/>
          </w:p>
        </w:tc>
      </w:tr>
    </w:tbl>
    <w:p w14:paraId="4234321C" w14:textId="77777777" w:rsidR="00041502" w:rsidRPr="00041502" w:rsidRDefault="00041502" w:rsidP="00041502">
      <w:pPr>
        <w:keepNext w:val="0"/>
        <w:spacing w:before="0"/>
        <w:jc w:val="both"/>
        <w:rPr>
          <w:rFonts w:eastAsia="Calibri"/>
          <w:color w:val="auto"/>
          <w:szCs w:val="22"/>
        </w:rPr>
      </w:pPr>
    </w:p>
    <w:p w14:paraId="224C8CA5" w14:textId="6DBC6B82" w:rsidR="00F55774" w:rsidRPr="00F55774" w:rsidRDefault="00AE58B3" w:rsidP="00874A98">
      <w:pPr>
        <w:pStyle w:val="ListParagraph"/>
        <w:numPr>
          <w:ilvl w:val="1"/>
          <w:numId w:val="92"/>
        </w:numPr>
        <w:autoSpaceDE w:val="0"/>
        <w:autoSpaceDN w:val="0"/>
        <w:adjustRightInd w:val="0"/>
        <w:spacing w:after="0" w:line="240" w:lineRule="auto"/>
        <w:ind w:left="851" w:hanging="851"/>
        <w:rPr>
          <w:rFonts w:ascii="Arial" w:eastAsia="Arial" w:hAnsi="Arial" w:cs="Arial"/>
          <w:iCs/>
          <w:color w:val="auto"/>
          <w:szCs w:val="24"/>
        </w:rPr>
      </w:pPr>
      <w:r w:rsidRPr="00F9165A">
        <w:rPr>
          <w:rFonts w:ascii="Arial" w:eastAsia="Arial" w:hAnsi="Arial" w:cs="Arial"/>
          <w:b/>
        </w:rPr>
        <w:t>H6:1</w:t>
      </w:r>
      <w:r w:rsidRPr="00F9165A">
        <w:rPr>
          <w:rFonts w:ascii="Arial" w:eastAsia="Arial" w:hAnsi="Arial" w:cs="Arial"/>
        </w:rPr>
        <w:t xml:space="preserve"> The housing market is dynamic, and it is therefore inappropriate to establish inflexible targets for the mix of dwelling size and type that needs to be provided. Developers are therefore encouraged to discuss with the Council the appropriate mix of house size, type and tenure within any new housing development at an early stage in the application process. Requirements will be informed by the following, along with any additional up-to-date evidence:</w:t>
      </w:r>
    </w:p>
    <w:p w14:paraId="70755BB3" w14:textId="614BDD6F" w:rsidR="00F55774" w:rsidRDefault="00F55774" w:rsidP="00F55774">
      <w:pPr>
        <w:pStyle w:val="ListParagraph"/>
        <w:autoSpaceDE w:val="0"/>
        <w:autoSpaceDN w:val="0"/>
        <w:adjustRightInd w:val="0"/>
        <w:spacing w:after="0" w:line="240" w:lineRule="auto"/>
        <w:ind w:left="851"/>
        <w:rPr>
          <w:rFonts w:ascii="Arial" w:eastAsia="Arial" w:hAnsi="Arial" w:cs="Arial"/>
          <w:b/>
        </w:rPr>
      </w:pPr>
    </w:p>
    <w:p w14:paraId="63E94907" w14:textId="77777777" w:rsidR="00F55774" w:rsidRPr="00F9165A" w:rsidRDefault="00F55774" w:rsidP="00874A98">
      <w:pPr>
        <w:keepNext w:val="0"/>
        <w:keepLines/>
        <w:numPr>
          <w:ilvl w:val="0"/>
          <w:numId w:val="159"/>
        </w:numPr>
        <w:tabs>
          <w:tab w:val="left" w:pos="680"/>
        </w:tabs>
        <w:suppressAutoHyphens/>
        <w:spacing w:before="0"/>
        <w:ind w:right="56"/>
        <w:textAlignment w:val="baseline"/>
        <w:rPr>
          <w:rFonts w:eastAsia="Arial" w:cs="Arial"/>
        </w:rPr>
      </w:pPr>
      <w:r w:rsidRPr="00F9165A">
        <w:rPr>
          <w:rFonts w:eastAsia="Arial" w:cs="Arial"/>
        </w:rPr>
        <w:t xml:space="preserve">Evidence contained within the </w:t>
      </w:r>
      <w:bookmarkStart w:id="237" w:name="_Hlk78371592"/>
      <w:r w:rsidRPr="005B3A0F">
        <w:rPr>
          <w:rFonts w:eastAsia="Arial" w:cs="Arial"/>
        </w:rPr>
        <w:t>Greater Nottingham &amp; Ashfield Housing Needs Assessment</w:t>
      </w:r>
      <w:bookmarkEnd w:id="237"/>
      <w:r w:rsidRPr="005B3A0F">
        <w:rPr>
          <w:rFonts w:eastAsia="Arial" w:cs="Arial"/>
        </w:rPr>
        <w:t xml:space="preserve"> 2020, or subsequent</w:t>
      </w:r>
      <w:r w:rsidRPr="00F9165A">
        <w:rPr>
          <w:rFonts w:eastAsia="Arial" w:cs="Arial"/>
        </w:rPr>
        <w:t xml:space="preserve"> assessment of local housing need;</w:t>
      </w:r>
    </w:p>
    <w:p w14:paraId="07A37653" w14:textId="77777777" w:rsidR="00F55774" w:rsidRPr="00F9165A" w:rsidRDefault="00F55774" w:rsidP="00874A98">
      <w:pPr>
        <w:keepNext w:val="0"/>
        <w:keepLines/>
        <w:numPr>
          <w:ilvl w:val="0"/>
          <w:numId w:val="159"/>
        </w:numPr>
        <w:tabs>
          <w:tab w:val="left" w:pos="680"/>
        </w:tabs>
        <w:suppressAutoHyphens/>
        <w:spacing w:before="0"/>
        <w:ind w:right="56"/>
        <w:textAlignment w:val="baseline"/>
        <w:rPr>
          <w:rFonts w:eastAsia="Arial" w:cs="Arial"/>
        </w:rPr>
      </w:pPr>
      <w:r w:rsidRPr="00F9165A">
        <w:rPr>
          <w:rFonts w:eastAsia="Arial" w:cs="Arial"/>
        </w:rPr>
        <w:t>Local Housing Strategy;</w:t>
      </w:r>
    </w:p>
    <w:p w14:paraId="24FF0D65" w14:textId="77777777" w:rsidR="00F55774" w:rsidRPr="00F9165A" w:rsidRDefault="00F55774" w:rsidP="00874A98">
      <w:pPr>
        <w:keepNext w:val="0"/>
        <w:keepLines/>
        <w:numPr>
          <w:ilvl w:val="0"/>
          <w:numId w:val="159"/>
        </w:numPr>
        <w:tabs>
          <w:tab w:val="left" w:pos="680"/>
        </w:tabs>
        <w:suppressAutoHyphens/>
        <w:spacing w:before="0"/>
        <w:ind w:right="56"/>
        <w:textAlignment w:val="baseline"/>
        <w:rPr>
          <w:rFonts w:eastAsia="Arial" w:cs="Arial"/>
        </w:rPr>
      </w:pPr>
      <w:r w:rsidRPr="00F9165A">
        <w:rPr>
          <w:rFonts w:eastAsia="Arial" w:cs="Arial"/>
        </w:rPr>
        <w:t>Context in relation to site location and existing neighbouring residential development;</w:t>
      </w:r>
    </w:p>
    <w:p w14:paraId="67B19ADB" w14:textId="77777777" w:rsidR="00F55774" w:rsidRPr="00F9165A" w:rsidRDefault="00F55774" w:rsidP="00874A98">
      <w:pPr>
        <w:keepNext w:val="0"/>
        <w:keepLines/>
        <w:numPr>
          <w:ilvl w:val="0"/>
          <w:numId w:val="159"/>
        </w:numPr>
        <w:tabs>
          <w:tab w:val="left" w:pos="680"/>
        </w:tabs>
        <w:suppressAutoHyphens/>
        <w:spacing w:before="0"/>
        <w:ind w:right="56"/>
        <w:textAlignment w:val="baseline"/>
        <w:rPr>
          <w:rFonts w:eastAsia="Arial" w:cs="Arial"/>
        </w:rPr>
      </w:pPr>
      <w:r w:rsidRPr="00F9165A">
        <w:rPr>
          <w:rFonts w:eastAsia="Arial" w:cs="Arial"/>
        </w:rPr>
        <w:t>Site issues and design considerations.</w:t>
      </w:r>
    </w:p>
    <w:p w14:paraId="238EA21F" w14:textId="77777777" w:rsidR="00F55774" w:rsidRPr="00F9165A" w:rsidRDefault="00F55774" w:rsidP="00F55774">
      <w:pPr>
        <w:keepNext w:val="0"/>
        <w:keepLines/>
        <w:tabs>
          <w:tab w:val="left" w:pos="680"/>
        </w:tabs>
        <w:suppressAutoHyphens/>
        <w:spacing w:before="0"/>
        <w:ind w:left="1571" w:right="56"/>
        <w:textAlignment w:val="baseline"/>
        <w:rPr>
          <w:rFonts w:eastAsia="Arial" w:cs="Arial"/>
        </w:rPr>
      </w:pPr>
    </w:p>
    <w:p w14:paraId="331D0050" w14:textId="02E4E5B2" w:rsidR="00F9165A" w:rsidRPr="00F55774" w:rsidRDefault="00AE58B3" w:rsidP="00874A98">
      <w:pPr>
        <w:pStyle w:val="ListParagraph"/>
        <w:numPr>
          <w:ilvl w:val="1"/>
          <w:numId w:val="92"/>
        </w:numPr>
        <w:autoSpaceDE w:val="0"/>
        <w:autoSpaceDN w:val="0"/>
        <w:adjustRightInd w:val="0"/>
        <w:spacing w:after="0" w:line="240" w:lineRule="auto"/>
        <w:ind w:left="851" w:hanging="851"/>
        <w:rPr>
          <w:rFonts w:ascii="Arial" w:eastAsia="Arial" w:hAnsi="Arial" w:cs="Arial"/>
          <w:iCs/>
          <w:color w:val="auto"/>
          <w:szCs w:val="24"/>
        </w:rPr>
      </w:pPr>
      <w:r w:rsidRPr="005B3A0F">
        <w:rPr>
          <w:rFonts w:ascii="Arial" w:hAnsi="Arial" w:cs="Arial"/>
          <w:szCs w:val="24"/>
        </w:rPr>
        <w:t>The</w:t>
      </w:r>
      <w:r w:rsidRPr="005B3A0F">
        <w:rPr>
          <w:rFonts w:ascii="Arial" w:eastAsia="Arial" w:hAnsi="Arial" w:cs="Arial"/>
        </w:rPr>
        <w:t xml:space="preserve"> Greater Nottingham &amp; Ashfield Housing Needs Assessment 2020</w:t>
      </w:r>
      <w:r w:rsidRPr="005B3A0F">
        <w:rPr>
          <w:rFonts w:ascii="Arial" w:hAnsi="Arial" w:cs="Arial"/>
          <w:szCs w:val="24"/>
        </w:rPr>
        <w:t xml:space="preserve"> (HNA)</w:t>
      </w:r>
      <w:r w:rsidRPr="005B3A0F">
        <w:rPr>
          <w:rFonts w:ascii="Arial" w:eastAsiaTheme="minorEastAsia" w:hAnsi="Arial" w:cs="Arial"/>
          <w:kern w:val="24"/>
          <w:szCs w:val="24"/>
        </w:rPr>
        <w:t xml:space="preserve"> </w:t>
      </w:r>
      <w:r w:rsidR="00DF4737" w:rsidRPr="005B3A0F">
        <w:rPr>
          <w:rFonts w:ascii="Arial" w:hAnsi="Arial" w:cs="Arial"/>
          <w:szCs w:val="24"/>
        </w:rPr>
        <w:t>analysis takes into account how people of different ages occupy homes,</w:t>
      </w:r>
      <w:r w:rsidR="00DF4737" w:rsidRPr="00F55774">
        <w:rPr>
          <w:rFonts w:ascii="Arial" w:hAnsi="Arial" w:cs="Arial"/>
          <w:szCs w:val="24"/>
        </w:rPr>
        <w:t xml:space="preserve"> market evidence and modelled outputs.  The analysis has also factored in the projected growth of family households in order to ensure that prospective development responds to the need for family-sized housing in particular areas; and the assessment has also reviewed recent development trends to better understand particular market strengths and identify any gaps in the market</w:t>
      </w:r>
      <w:r w:rsidR="002B78E1" w:rsidRPr="00F55774">
        <w:rPr>
          <w:rFonts w:ascii="Arial" w:hAnsi="Arial" w:cs="Arial"/>
          <w:szCs w:val="24"/>
        </w:rPr>
        <w:t xml:space="preserve">. </w:t>
      </w:r>
    </w:p>
    <w:p w14:paraId="4B226B97" w14:textId="77777777" w:rsidR="00F9165A" w:rsidRPr="00F55774" w:rsidRDefault="00F9165A" w:rsidP="00F9165A">
      <w:pPr>
        <w:pStyle w:val="ListParagraph"/>
        <w:keepLines/>
        <w:suppressAutoHyphens/>
        <w:spacing w:after="0" w:line="240" w:lineRule="auto"/>
        <w:ind w:left="460" w:right="56"/>
        <w:textAlignment w:val="baseline"/>
        <w:rPr>
          <w:rFonts w:ascii="Arial" w:hAnsi="Arial" w:cs="Arial"/>
          <w:szCs w:val="24"/>
        </w:rPr>
      </w:pPr>
    </w:p>
    <w:p w14:paraId="6E54AC34" w14:textId="0D945E8A" w:rsidR="00F9165A" w:rsidRDefault="00AE58B3" w:rsidP="00874A98">
      <w:pPr>
        <w:pStyle w:val="ListParagraph"/>
        <w:numPr>
          <w:ilvl w:val="1"/>
          <w:numId w:val="92"/>
        </w:numPr>
        <w:autoSpaceDE w:val="0"/>
        <w:autoSpaceDN w:val="0"/>
        <w:adjustRightInd w:val="0"/>
        <w:spacing w:after="0" w:line="240" w:lineRule="auto"/>
        <w:ind w:left="851" w:hanging="851"/>
        <w:rPr>
          <w:rFonts w:ascii="Arial" w:hAnsi="Arial" w:cs="Arial"/>
          <w:szCs w:val="24"/>
        </w:rPr>
      </w:pPr>
      <w:r w:rsidRPr="00F55774">
        <w:rPr>
          <w:rFonts w:ascii="Arial" w:eastAsia="Calibri" w:hAnsi="Arial" w:cs="Arial"/>
          <w:szCs w:val="24"/>
        </w:rPr>
        <w:t>Estimates of future requirements</w:t>
      </w:r>
      <w:r w:rsidRPr="00F9165A">
        <w:rPr>
          <w:rFonts w:ascii="Arial" w:eastAsia="Calibri" w:hAnsi="Arial" w:cs="Arial"/>
          <w:szCs w:val="24"/>
        </w:rPr>
        <w:t xml:space="preserve"> by dwelling size are set out in Table </w:t>
      </w:r>
      <w:r w:rsidR="005E25A8">
        <w:rPr>
          <w:rFonts w:ascii="Arial" w:eastAsia="Calibri" w:hAnsi="Arial" w:cs="Arial"/>
          <w:szCs w:val="24"/>
        </w:rPr>
        <w:t>6</w:t>
      </w:r>
      <w:r w:rsidRPr="00F9165A">
        <w:rPr>
          <w:rFonts w:ascii="Arial" w:eastAsia="Calibri" w:hAnsi="Arial" w:cs="Arial"/>
          <w:szCs w:val="24"/>
        </w:rPr>
        <w:t xml:space="preserve"> and</w:t>
      </w:r>
      <w:r w:rsidRPr="00F9165A">
        <w:rPr>
          <w:rFonts w:ascii="Arial" w:hAnsi="Arial" w:cs="Arial"/>
          <w:szCs w:val="24"/>
        </w:rPr>
        <w:t xml:space="preserve"> will be used as a starting point to inform negotiations between the District Council and applicants in determining the appropriate mix of housing on schemes of 10 or more dwellings. </w:t>
      </w:r>
    </w:p>
    <w:p w14:paraId="242EB7D4" w14:textId="77777777" w:rsidR="00F9165A" w:rsidRPr="00F9165A" w:rsidRDefault="00F9165A" w:rsidP="00F9165A">
      <w:pPr>
        <w:pStyle w:val="ListParagraph"/>
        <w:spacing w:after="0" w:line="240" w:lineRule="auto"/>
        <w:rPr>
          <w:rFonts w:ascii="Arial" w:hAnsi="Arial" w:cs="Arial"/>
          <w:szCs w:val="24"/>
        </w:rPr>
      </w:pPr>
    </w:p>
    <w:tbl>
      <w:tblPr>
        <w:tblStyle w:val="ReportTable1"/>
        <w:tblW w:w="4518" w:type="pct"/>
        <w:tblInd w:w="846" w:type="dxa"/>
        <w:tblLook w:val="04A0" w:firstRow="1" w:lastRow="0" w:firstColumn="1" w:lastColumn="0" w:noHBand="0" w:noVBand="1"/>
      </w:tblPr>
      <w:tblGrid>
        <w:gridCol w:w="3255"/>
        <w:gridCol w:w="1281"/>
        <w:gridCol w:w="1382"/>
        <w:gridCol w:w="1382"/>
        <w:gridCol w:w="1401"/>
      </w:tblGrid>
      <w:tr w:rsidR="00F9165A" w:rsidRPr="00126BAD" w14:paraId="7DCA25D0" w14:textId="77777777" w:rsidTr="00E40772">
        <w:tc>
          <w:tcPr>
            <w:tcW w:w="5000" w:type="pct"/>
            <w:gridSpan w:val="5"/>
            <w:shd w:val="clear" w:color="auto" w:fill="D9D9D9"/>
          </w:tcPr>
          <w:p w14:paraId="415F3D94" w14:textId="27A93A79" w:rsidR="00F9165A" w:rsidRPr="00FC4F55" w:rsidRDefault="00F9165A" w:rsidP="00024CB3">
            <w:pPr>
              <w:rPr>
                <w:rFonts w:cs="Arial"/>
                <w:b/>
                <w:szCs w:val="24"/>
              </w:rPr>
            </w:pPr>
            <w:r w:rsidRPr="00FC4F55">
              <w:rPr>
                <w:rFonts w:cs="Arial"/>
                <w:b/>
                <w:szCs w:val="24"/>
              </w:rPr>
              <w:t>Recommended Housing Mix</w:t>
            </w:r>
          </w:p>
        </w:tc>
      </w:tr>
      <w:tr w:rsidR="00F9165A" w:rsidRPr="00126BAD" w14:paraId="522C4FE1" w14:textId="77777777" w:rsidTr="00E40772">
        <w:tc>
          <w:tcPr>
            <w:tcW w:w="1871" w:type="pct"/>
            <w:shd w:val="clear" w:color="auto" w:fill="D9D9D9"/>
          </w:tcPr>
          <w:p w14:paraId="4F198E9A" w14:textId="77777777" w:rsidR="00F9165A" w:rsidRPr="00FC4F55" w:rsidRDefault="00F9165A" w:rsidP="00024CB3">
            <w:pPr>
              <w:rPr>
                <w:rFonts w:cs="Arial"/>
                <w:bCs/>
                <w:szCs w:val="24"/>
              </w:rPr>
            </w:pPr>
            <w:r w:rsidRPr="00FC4F55">
              <w:rPr>
                <w:rFonts w:cs="Arial"/>
                <w:bCs/>
                <w:szCs w:val="24"/>
              </w:rPr>
              <w:t>Housing Type</w:t>
            </w:r>
          </w:p>
        </w:tc>
        <w:tc>
          <w:tcPr>
            <w:tcW w:w="736" w:type="pct"/>
            <w:shd w:val="clear" w:color="auto" w:fill="D9D9D9"/>
          </w:tcPr>
          <w:p w14:paraId="22809578" w14:textId="77777777" w:rsidR="00F9165A" w:rsidRPr="00FC4F55" w:rsidRDefault="00F9165A" w:rsidP="00024CB3">
            <w:pPr>
              <w:jc w:val="center"/>
              <w:rPr>
                <w:rFonts w:cs="Arial"/>
                <w:bCs/>
                <w:szCs w:val="24"/>
              </w:rPr>
            </w:pPr>
            <w:r w:rsidRPr="00FC4F55">
              <w:rPr>
                <w:rFonts w:cs="Arial"/>
                <w:bCs/>
                <w:szCs w:val="24"/>
              </w:rPr>
              <w:t>1 Bed</w:t>
            </w:r>
          </w:p>
        </w:tc>
        <w:tc>
          <w:tcPr>
            <w:tcW w:w="794" w:type="pct"/>
            <w:shd w:val="clear" w:color="auto" w:fill="D9D9D9"/>
          </w:tcPr>
          <w:p w14:paraId="39F2E92C" w14:textId="77777777" w:rsidR="00F9165A" w:rsidRPr="00FC4F55" w:rsidRDefault="00F9165A" w:rsidP="00024CB3">
            <w:pPr>
              <w:jc w:val="center"/>
              <w:rPr>
                <w:rFonts w:cs="Arial"/>
                <w:bCs/>
                <w:szCs w:val="24"/>
              </w:rPr>
            </w:pPr>
            <w:r w:rsidRPr="00FC4F55">
              <w:rPr>
                <w:rFonts w:cs="Arial"/>
                <w:bCs/>
                <w:szCs w:val="24"/>
              </w:rPr>
              <w:t>2 Beds</w:t>
            </w:r>
          </w:p>
        </w:tc>
        <w:tc>
          <w:tcPr>
            <w:tcW w:w="794" w:type="pct"/>
            <w:shd w:val="clear" w:color="auto" w:fill="D9D9D9"/>
          </w:tcPr>
          <w:p w14:paraId="36E808E3" w14:textId="77777777" w:rsidR="00F9165A" w:rsidRPr="00FC4F55" w:rsidRDefault="00F9165A" w:rsidP="00024CB3">
            <w:pPr>
              <w:jc w:val="center"/>
              <w:rPr>
                <w:rFonts w:cs="Arial"/>
                <w:bCs/>
                <w:szCs w:val="24"/>
              </w:rPr>
            </w:pPr>
            <w:r w:rsidRPr="00FC4F55">
              <w:rPr>
                <w:rFonts w:cs="Arial"/>
                <w:bCs/>
                <w:szCs w:val="24"/>
              </w:rPr>
              <w:t>3 Beds</w:t>
            </w:r>
          </w:p>
        </w:tc>
        <w:tc>
          <w:tcPr>
            <w:tcW w:w="792" w:type="pct"/>
            <w:shd w:val="clear" w:color="auto" w:fill="D9D9D9"/>
          </w:tcPr>
          <w:p w14:paraId="7EA9C660" w14:textId="77777777" w:rsidR="00F9165A" w:rsidRPr="00FC4F55" w:rsidRDefault="00F9165A" w:rsidP="00024CB3">
            <w:pPr>
              <w:jc w:val="center"/>
              <w:rPr>
                <w:rFonts w:cs="Arial"/>
                <w:bCs/>
                <w:szCs w:val="24"/>
              </w:rPr>
            </w:pPr>
            <w:r w:rsidRPr="00FC4F55">
              <w:rPr>
                <w:rFonts w:cs="Arial"/>
                <w:bCs/>
                <w:szCs w:val="24"/>
              </w:rPr>
              <w:t>4+ Beds</w:t>
            </w:r>
          </w:p>
        </w:tc>
      </w:tr>
      <w:tr w:rsidR="00F9165A" w:rsidRPr="00126BAD" w14:paraId="5A8573A2" w14:textId="77777777" w:rsidTr="00E40772">
        <w:tc>
          <w:tcPr>
            <w:tcW w:w="1871" w:type="pct"/>
          </w:tcPr>
          <w:p w14:paraId="09014016" w14:textId="77777777" w:rsidR="00F9165A" w:rsidRPr="00FC4F55" w:rsidRDefault="00F9165A" w:rsidP="00024CB3">
            <w:pPr>
              <w:rPr>
                <w:rFonts w:cs="Arial"/>
                <w:szCs w:val="24"/>
              </w:rPr>
            </w:pPr>
            <w:r w:rsidRPr="00FC4F55">
              <w:rPr>
                <w:rFonts w:cs="Arial"/>
                <w:szCs w:val="24"/>
              </w:rPr>
              <w:t>Market</w:t>
            </w:r>
          </w:p>
        </w:tc>
        <w:tc>
          <w:tcPr>
            <w:tcW w:w="736" w:type="pct"/>
          </w:tcPr>
          <w:p w14:paraId="10043B33" w14:textId="77777777" w:rsidR="00F9165A" w:rsidRPr="00FC4F55" w:rsidRDefault="00F9165A" w:rsidP="00024CB3">
            <w:pPr>
              <w:jc w:val="center"/>
              <w:rPr>
                <w:rFonts w:cs="Arial"/>
                <w:szCs w:val="24"/>
              </w:rPr>
            </w:pPr>
            <w:r w:rsidRPr="00FC4F55">
              <w:rPr>
                <w:rFonts w:cs="Arial"/>
                <w:szCs w:val="24"/>
              </w:rPr>
              <w:t>4%</w:t>
            </w:r>
          </w:p>
        </w:tc>
        <w:tc>
          <w:tcPr>
            <w:tcW w:w="794" w:type="pct"/>
          </w:tcPr>
          <w:p w14:paraId="0D5FD7A4" w14:textId="77777777" w:rsidR="00F9165A" w:rsidRPr="00FC4F55" w:rsidRDefault="00F9165A" w:rsidP="00024CB3">
            <w:pPr>
              <w:jc w:val="center"/>
              <w:rPr>
                <w:rFonts w:cs="Arial"/>
                <w:szCs w:val="24"/>
              </w:rPr>
            </w:pPr>
            <w:r w:rsidRPr="00FC4F55">
              <w:rPr>
                <w:rFonts w:cs="Arial"/>
                <w:szCs w:val="24"/>
              </w:rPr>
              <w:t>27%</w:t>
            </w:r>
          </w:p>
        </w:tc>
        <w:tc>
          <w:tcPr>
            <w:tcW w:w="794" w:type="pct"/>
          </w:tcPr>
          <w:p w14:paraId="30E06653" w14:textId="77777777" w:rsidR="00F9165A" w:rsidRPr="00FC4F55" w:rsidRDefault="00F9165A" w:rsidP="00024CB3">
            <w:pPr>
              <w:jc w:val="center"/>
              <w:rPr>
                <w:rFonts w:cs="Arial"/>
                <w:szCs w:val="24"/>
              </w:rPr>
            </w:pPr>
            <w:r w:rsidRPr="00FC4F55">
              <w:rPr>
                <w:rFonts w:cs="Arial"/>
                <w:szCs w:val="24"/>
              </w:rPr>
              <w:t>45%</w:t>
            </w:r>
          </w:p>
        </w:tc>
        <w:tc>
          <w:tcPr>
            <w:tcW w:w="792" w:type="pct"/>
          </w:tcPr>
          <w:p w14:paraId="2BC25D63" w14:textId="77777777" w:rsidR="00F9165A" w:rsidRPr="00FC4F55" w:rsidRDefault="00F9165A" w:rsidP="00024CB3">
            <w:pPr>
              <w:jc w:val="center"/>
              <w:rPr>
                <w:rFonts w:cs="Arial"/>
                <w:szCs w:val="24"/>
              </w:rPr>
            </w:pPr>
            <w:r w:rsidRPr="00FC4F55">
              <w:rPr>
                <w:rFonts w:cs="Arial"/>
                <w:szCs w:val="24"/>
              </w:rPr>
              <w:t>24%</w:t>
            </w:r>
          </w:p>
        </w:tc>
      </w:tr>
      <w:tr w:rsidR="00F9165A" w:rsidRPr="00126BAD" w14:paraId="337169B5" w14:textId="77777777" w:rsidTr="00E40772">
        <w:tc>
          <w:tcPr>
            <w:tcW w:w="1871" w:type="pct"/>
          </w:tcPr>
          <w:p w14:paraId="4CB1F16E" w14:textId="77777777" w:rsidR="00F9165A" w:rsidRPr="00FC4F55" w:rsidRDefault="00F9165A" w:rsidP="00024CB3">
            <w:pPr>
              <w:rPr>
                <w:rFonts w:cs="Arial"/>
                <w:szCs w:val="24"/>
              </w:rPr>
            </w:pPr>
            <w:r w:rsidRPr="00FC4F55">
              <w:rPr>
                <w:rFonts w:cs="Arial"/>
                <w:szCs w:val="24"/>
              </w:rPr>
              <w:t>Affordable Home Ownership</w:t>
            </w:r>
          </w:p>
        </w:tc>
        <w:tc>
          <w:tcPr>
            <w:tcW w:w="736" w:type="pct"/>
          </w:tcPr>
          <w:p w14:paraId="6187F229" w14:textId="77777777" w:rsidR="00F9165A" w:rsidRPr="00FC4F55" w:rsidRDefault="00F9165A" w:rsidP="00024CB3">
            <w:pPr>
              <w:jc w:val="center"/>
              <w:rPr>
                <w:rFonts w:cs="Arial"/>
                <w:szCs w:val="24"/>
              </w:rPr>
            </w:pPr>
            <w:r w:rsidRPr="00FC4F55">
              <w:rPr>
                <w:rFonts w:cs="Arial"/>
                <w:szCs w:val="24"/>
              </w:rPr>
              <w:t>23%</w:t>
            </w:r>
          </w:p>
        </w:tc>
        <w:tc>
          <w:tcPr>
            <w:tcW w:w="794" w:type="pct"/>
          </w:tcPr>
          <w:p w14:paraId="3761E9A2" w14:textId="77777777" w:rsidR="00F9165A" w:rsidRPr="00FC4F55" w:rsidRDefault="00F9165A" w:rsidP="00024CB3">
            <w:pPr>
              <w:jc w:val="center"/>
              <w:rPr>
                <w:rFonts w:cs="Arial"/>
                <w:szCs w:val="24"/>
              </w:rPr>
            </w:pPr>
            <w:r w:rsidRPr="00FC4F55">
              <w:rPr>
                <w:rFonts w:cs="Arial"/>
                <w:szCs w:val="24"/>
              </w:rPr>
              <w:t>38%</w:t>
            </w:r>
          </w:p>
        </w:tc>
        <w:tc>
          <w:tcPr>
            <w:tcW w:w="794" w:type="pct"/>
          </w:tcPr>
          <w:p w14:paraId="424CC46B" w14:textId="77777777" w:rsidR="00F9165A" w:rsidRPr="00FC4F55" w:rsidRDefault="00F9165A" w:rsidP="00024CB3">
            <w:pPr>
              <w:jc w:val="center"/>
              <w:rPr>
                <w:rFonts w:cs="Arial"/>
                <w:szCs w:val="24"/>
              </w:rPr>
            </w:pPr>
            <w:r w:rsidRPr="00FC4F55">
              <w:rPr>
                <w:rFonts w:cs="Arial"/>
                <w:szCs w:val="24"/>
              </w:rPr>
              <w:t>24%</w:t>
            </w:r>
          </w:p>
        </w:tc>
        <w:tc>
          <w:tcPr>
            <w:tcW w:w="792" w:type="pct"/>
          </w:tcPr>
          <w:p w14:paraId="16180B2D" w14:textId="77777777" w:rsidR="00F9165A" w:rsidRPr="00FC4F55" w:rsidRDefault="00F9165A" w:rsidP="00024CB3">
            <w:pPr>
              <w:jc w:val="center"/>
              <w:rPr>
                <w:rFonts w:cs="Arial"/>
                <w:szCs w:val="24"/>
              </w:rPr>
            </w:pPr>
            <w:r w:rsidRPr="00FC4F55">
              <w:rPr>
                <w:rFonts w:cs="Arial"/>
                <w:szCs w:val="24"/>
              </w:rPr>
              <w:t>15%</w:t>
            </w:r>
          </w:p>
        </w:tc>
      </w:tr>
      <w:tr w:rsidR="00F9165A" w:rsidRPr="003C7E62" w14:paraId="727E2E2D" w14:textId="77777777" w:rsidTr="00E40772">
        <w:tc>
          <w:tcPr>
            <w:tcW w:w="1871" w:type="pct"/>
          </w:tcPr>
          <w:p w14:paraId="20F10C9D" w14:textId="77777777" w:rsidR="00F9165A" w:rsidRPr="00FC4F55" w:rsidRDefault="00F9165A" w:rsidP="00024CB3">
            <w:pPr>
              <w:rPr>
                <w:rFonts w:cs="Arial"/>
                <w:szCs w:val="24"/>
              </w:rPr>
            </w:pPr>
            <w:r w:rsidRPr="00FC4F55">
              <w:rPr>
                <w:rFonts w:cs="Arial"/>
                <w:szCs w:val="24"/>
              </w:rPr>
              <w:t>Affordable Rented</w:t>
            </w:r>
          </w:p>
        </w:tc>
        <w:tc>
          <w:tcPr>
            <w:tcW w:w="736" w:type="pct"/>
          </w:tcPr>
          <w:p w14:paraId="5A7D9DED" w14:textId="77777777" w:rsidR="00F9165A" w:rsidRPr="00FC4F55" w:rsidRDefault="00F9165A" w:rsidP="00024CB3">
            <w:pPr>
              <w:jc w:val="center"/>
              <w:rPr>
                <w:rFonts w:cs="Arial"/>
                <w:szCs w:val="24"/>
              </w:rPr>
            </w:pPr>
            <w:r w:rsidRPr="00FC4F55">
              <w:rPr>
                <w:rFonts w:cs="Arial"/>
                <w:szCs w:val="24"/>
              </w:rPr>
              <w:t>35%</w:t>
            </w:r>
          </w:p>
        </w:tc>
        <w:tc>
          <w:tcPr>
            <w:tcW w:w="794" w:type="pct"/>
          </w:tcPr>
          <w:p w14:paraId="20208476" w14:textId="77777777" w:rsidR="00F9165A" w:rsidRPr="00FC4F55" w:rsidRDefault="00F9165A" w:rsidP="00024CB3">
            <w:pPr>
              <w:jc w:val="center"/>
              <w:rPr>
                <w:rFonts w:cs="Arial"/>
                <w:szCs w:val="24"/>
              </w:rPr>
            </w:pPr>
            <w:r w:rsidRPr="00FC4F55">
              <w:rPr>
                <w:rFonts w:cs="Arial"/>
                <w:szCs w:val="24"/>
              </w:rPr>
              <w:t>37%</w:t>
            </w:r>
          </w:p>
        </w:tc>
        <w:tc>
          <w:tcPr>
            <w:tcW w:w="794" w:type="pct"/>
          </w:tcPr>
          <w:p w14:paraId="1A8663E8" w14:textId="77777777" w:rsidR="00F9165A" w:rsidRPr="00FC4F55" w:rsidRDefault="00F9165A" w:rsidP="00024CB3">
            <w:pPr>
              <w:jc w:val="center"/>
              <w:rPr>
                <w:rFonts w:cs="Arial"/>
                <w:szCs w:val="24"/>
              </w:rPr>
            </w:pPr>
            <w:r w:rsidRPr="00FC4F55">
              <w:rPr>
                <w:rFonts w:cs="Arial"/>
                <w:szCs w:val="24"/>
              </w:rPr>
              <w:t>25%</w:t>
            </w:r>
          </w:p>
        </w:tc>
        <w:tc>
          <w:tcPr>
            <w:tcW w:w="792" w:type="pct"/>
          </w:tcPr>
          <w:p w14:paraId="30B3883C" w14:textId="77777777" w:rsidR="00F9165A" w:rsidRPr="00FC4F55" w:rsidRDefault="00F9165A" w:rsidP="00024CB3">
            <w:pPr>
              <w:jc w:val="center"/>
              <w:rPr>
                <w:rFonts w:cs="Arial"/>
                <w:szCs w:val="24"/>
              </w:rPr>
            </w:pPr>
            <w:r w:rsidRPr="00FC4F55">
              <w:rPr>
                <w:rFonts w:cs="Arial"/>
                <w:szCs w:val="24"/>
              </w:rPr>
              <w:t>3%</w:t>
            </w:r>
          </w:p>
        </w:tc>
      </w:tr>
    </w:tbl>
    <w:p w14:paraId="68F9CBA2" w14:textId="7644DAA7" w:rsidR="005E25A8" w:rsidRDefault="00F906E1" w:rsidP="00F906E1">
      <w:pPr>
        <w:pStyle w:val="Heading3"/>
        <w:ind w:firstLine="720"/>
      </w:pPr>
      <w:r>
        <w:t xml:space="preserve">  </w:t>
      </w:r>
      <w:r w:rsidR="005E25A8">
        <w:t>Table 6: Recommended Housing Mix</w:t>
      </w:r>
    </w:p>
    <w:p w14:paraId="4F5FAE24" w14:textId="61F3FF0F" w:rsidR="005E25A8" w:rsidRPr="005E25A8" w:rsidRDefault="005E25A8" w:rsidP="00F906E1">
      <w:pPr>
        <w:spacing w:before="0"/>
        <w:ind w:left="993" w:hanging="142"/>
        <w:rPr>
          <w:rFonts w:eastAsia="Arial"/>
          <w:sz w:val="22"/>
          <w:szCs w:val="22"/>
          <w:lang w:eastAsia="en-US"/>
        </w:rPr>
      </w:pPr>
      <w:r w:rsidRPr="005E25A8">
        <w:rPr>
          <w:rFonts w:eastAsia="Arial"/>
          <w:sz w:val="22"/>
          <w:szCs w:val="22"/>
          <w:lang w:eastAsia="en-US"/>
        </w:rPr>
        <w:t xml:space="preserve">Source: </w:t>
      </w:r>
      <w:r w:rsidRPr="005E25A8">
        <w:rPr>
          <w:rFonts w:eastAsia="Arial" w:cs="Arial"/>
          <w:sz w:val="22"/>
          <w:szCs w:val="22"/>
        </w:rPr>
        <w:t>Greater Nottingham &amp; Ashfield Housing Needs Assessment 2020</w:t>
      </w:r>
    </w:p>
    <w:p w14:paraId="1A028929" w14:textId="77777777" w:rsidR="00F9165A" w:rsidRDefault="00F9165A" w:rsidP="00F9165A">
      <w:pPr>
        <w:pStyle w:val="ListParagraph"/>
        <w:autoSpaceDE w:val="0"/>
        <w:autoSpaceDN w:val="0"/>
        <w:adjustRightInd w:val="0"/>
        <w:spacing w:after="0" w:line="240" w:lineRule="auto"/>
        <w:ind w:left="460"/>
        <w:rPr>
          <w:rFonts w:ascii="Arial" w:hAnsi="Arial" w:cs="Arial"/>
          <w:szCs w:val="24"/>
        </w:rPr>
      </w:pPr>
    </w:p>
    <w:p w14:paraId="2FB4B748" w14:textId="31864A95" w:rsidR="00F55774" w:rsidRPr="00FC4F55" w:rsidRDefault="00DF4737" w:rsidP="00874A98">
      <w:pPr>
        <w:pStyle w:val="ListParagraph"/>
        <w:numPr>
          <w:ilvl w:val="1"/>
          <w:numId w:val="92"/>
        </w:numPr>
        <w:autoSpaceDE w:val="0"/>
        <w:autoSpaceDN w:val="0"/>
        <w:adjustRightInd w:val="0"/>
        <w:spacing w:after="0" w:line="240" w:lineRule="auto"/>
        <w:ind w:left="851" w:hanging="851"/>
        <w:rPr>
          <w:rFonts w:ascii="Arial" w:hAnsi="Arial" w:cs="Arial"/>
          <w:szCs w:val="24"/>
        </w:rPr>
      </w:pPr>
      <w:r w:rsidRPr="00F9165A">
        <w:rPr>
          <w:rFonts w:ascii="Arial" w:hAnsi="Arial" w:cs="Arial"/>
          <w:szCs w:val="24"/>
        </w:rPr>
        <w:t xml:space="preserve">There are instances where adjustments </w:t>
      </w:r>
      <w:r w:rsidR="00AE58B3" w:rsidRPr="00F9165A">
        <w:rPr>
          <w:rFonts w:ascii="Arial" w:hAnsi="Arial" w:cs="Arial"/>
          <w:szCs w:val="24"/>
        </w:rPr>
        <w:t xml:space="preserve">may need to </w:t>
      </w:r>
      <w:r w:rsidRPr="00F9165A">
        <w:rPr>
          <w:rFonts w:ascii="Arial" w:hAnsi="Arial" w:cs="Arial"/>
          <w:szCs w:val="24"/>
        </w:rPr>
        <w:t>be applied according to the local profile of housing, the character of the local area, the sustainability credentials of the site and the viability of providing a particular mix of housing dependent on submarket characteristics</w:t>
      </w:r>
      <w:r w:rsidR="00AE58B3" w:rsidRPr="00F9165A">
        <w:rPr>
          <w:rFonts w:ascii="Arial" w:hAnsi="Arial" w:cs="Arial"/>
          <w:szCs w:val="24"/>
        </w:rPr>
        <w:t xml:space="preserve">. The final mix of housing/types will be subject to negotiation and applicants will be expected to provide robust evidence relating to the identified level of housing need, financial viability or deliverability to </w:t>
      </w:r>
      <w:r w:rsidR="00AE58B3" w:rsidRPr="00FC4F55">
        <w:rPr>
          <w:rFonts w:ascii="Arial" w:hAnsi="Arial" w:cs="Arial"/>
          <w:szCs w:val="24"/>
        </w:rPr>
        <w:t>support their proposals.</w:t>
      </w:r>
    </w:p>
    <w:p w14:paraId="07E81059" w14:textId="77777777" w:rsidR="00DA3B66" w:rsidRPr="00FC4F55" w:rsidRDefault="00DA3B66" w:rsidP="00DA3B66">
      <w:pPr>
        <w:pStyle w:val="ListParagraph"/>
        <w:autoSpaceDE w:val="0"/>
        <w:autoSpaceDN w:val="0"/>
        <w:adjustRightInd w:val="0"/>
        <w:spacing w:after="0" w:line="240" w:lineRule="auto"/>
        <w:ind w:left="851"/>
        <w:rPr>
          <w:rFonts w:ascii="Arial" w:hAnsi="Arial" w:cs="Arial"/>
          <w:szCs w:val="24"/>
        </w:rPr>
      </w:pPr>
    </w:p>
    <w:p w14:paraId="2A59490E" w14:textId="73DAE5F4" w:rsidR="00AE58B3" w:rsidRPr="00FC4F55" w:rsidRDefault="00AE58B3" w:rsidP="00874A98">
      <w:pPr>
        <w:pStyle w:val="ListParagraph"/>
        <w:numPr>
          <w:ilvl w:val="1"/>
          <w:numId w:val="92"/>
        </w:numPr>
        <w:autoSpaceDE w:val="0"/>
        <w:autoSpaceDN w:val="0"/>
        <w:adjustRightInd w:val="0"/>
        <w:spacing w:after="0" w:line="240" w:lineRule="auto"/>
        <w:ind w:left="851" w:hanging="851"/>
        <w:rPr>
          <w:rFonts w:ascii="Arial" w:hAnsi="Arial" w:cs="Arial"/>
          <w:szCs w:val="24"/>
        </w:rPr>
      </w:pPr>
      <w:r w:rsidRPr="00FC4F55">
        <w:rPr>
          <w:rFonts w:ascii="Arial" w:eastAsia="Arial" w:hAnsi="Arial" w:cs="Arial"/>
          <w:b/>
          <w:szCs w:val="24"/>
        </w:rPr>
        <w:t>H6:2</w:t>
      </w:r>
      <w:r w:rsidRPr="00FC4F55">
        <w:rPr>
          <w:rFonts w:ascii="Arial" w:eastAsia="Arial" w:hAnsi="Arial" w:cs="Arial"/>
        </w:rPr>
        <w:t xml:space="preserve"> </w:t>
      </w:r>
      <w:r w:rsidRPr="00FC4F55">
        <w:rPr>
          <w:rFonts w:ascii="Arial" w:hAnsi="Arial" w:cs="Arial"/>
          <w:szCs w:val="24"/>
        </w:rPr>
        <w:t>Greater Nottingham and Ashfield is projected to see a notable increase in the older person population, with the total number of people aged 65 and over projected to increase by 37.8% over the 18 years to 2038. This compares with overall population growth of 10.6% and a modest increase in the Under 65 population of 4.8%.</w:t>
      </w:r>
    </w:p>
    <w:p w14:paraId="3E545AEE" w14:textId="77777777" w:rsidR="00AE58B3" w:rsidRPr="00F55774" w:rsidRDefault="00AE58B3" w:rsidP="00F55774">
      <w:pPr>
        <w:keepNext w:val="0"/>
        <w:spacing w:before="0"/>
        <w:ind w:left="851"/>
        <w:rPr>
          <w:rFonts w:cs="Arial"/>
          <w:szCs w:val="24"/>
        </w:rPr>
      </w:pPr>
    </w:p>
    <w:p w14:paraId="26D2C8EA" w14:textId="212F916A" w:rsidR="00F9165A" w:rsidRPr="00F9165A" w:rsidRDefault="00AE58B3" w:rsidP="00874A98">
      <w:pPr>
        <w:pStyle w:val="ListParagraph"/>
        <w:numPr>
          <w:ilvl w:val="1"/>
          <w:numId w:val="92"/>
        </w:numPr>
        <w:autoSpaceDE w:val="0"/>
        <w:autoSpaceDN w:val="0"/>
        <w:adjustRightInd w:val="0"/>
        <w:spacing w:after="0" w:line="240" w:lineRule="auto"/>
        <w:ind w:left="851" w:hanging="851"/>
        <w:rPr>
          <w:rFonts w:ascii="Arial" w:hAnsi="Arial" w:cs="Arial"/>
          <w:color w:val="auto"/>
          <w:szCs w:val="24"/>
        </w:rPr>
      </w:pPr>
      <w:r w:rsidRPr="00F9165A">
        <w:rPr>
          <w:rFonts w:ascii="Arial" w:hAnsi="Arial" w:cs="Arial"/>
          <w:szCs w:val="24"/>
        </w:rPr>
        <w:t>Projections linked to the standard method show an expected increase of the older population with dementia by 1,044 and those with mobility problems by 2,426 in Ashfield.</w:t>
      </w:r>
    </w:p>
    <w:p w14:paraId="38EA4575" w14:textId="261D1994" w:rsidR="00F9165A" w:rsidRDefault="00F9165A" w:rsidP="00F9165A">
      <w:pPr>
        <w:pStyle w:val="ListParagraph"/>
        <w:ind w:left="460"/>
        <w:rPr>
          <w:rFonts w:ascii="Arial" w:hAnsi="Arial" w:cs="Arial"/>
          <w:color w:val="auto"/>
          <w:szCs w:val="24"/>
        </w:rPr>
      </w:pPr>
    </w:p>
    <w:tbl>
      <w:tblPr>
        <w:tblStyle w:val="ReportTable1"/>
        <w:tblW w:w="8658" w:type="dxa"/>
        <w:tblInd w:w="846" w:type="dxa"/>
        <w:tblLook w:val="04A0" w:firstRow="1" w:lastRow="0" w:firstColumn="1" w:lastColumn="0" w:noHBand="0" w:noVBand="1"/>
      </w:tblPr>
      <w:tblGrid>
        <w:gridCol w:w="1417"/>
        <w:gridCol w:w="1560"/>
        <w:gridCol w:w="1417"/>
        <w:gridCol w:w="1418"/>
        <w:gridCol w:w="1417"/>
        <w:gridCol w:w="1429"/>
      </w:tblGrid>
      <w:tr w:rsidR="00F9165A" w:rsidRPr="00851435" w14:paraId="61465216" w14:textId="77777777" w:rsidTr="00E40772">
        <w:tc>
          <w:tcPr>
            <w:tcW w:w="8658" w:type="dxa"/>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19BCE4D" w14:textId="0E22627A" w:rsidR="00F9165A" w:rsidRPr="00FC4F55" w:rsidRDefault="00F9165A" w:rsidP="00024CB3">
            <w:pPr>
              <w:tabs>
                <w:tab w:val="left" w:pos="720"/>
              </w:tabs>
              <w:spacing w:before="60" w:after="60"/>
              <w:rPr>
                <w:rFonts w:cs="Arial"/>
                <w:b/>
              </w:rPr>
            </w:pPr>
            <w:r w:rsidRPr="00FC4F55">
              <w:rPr>
                <w:rFonts w:cs="Arial"/>
                <w:b/>
              </w:rPr>
              <w:t>Projected Change to Older Population with Disabilities</w:t>
            </w:r>
          </w:p>
        </w:tc>
      </w:tr>
      <w:tr w:rsidR="00F9165A" w:rsidRPr="00851435" w14:paraId="3860F68E" w14:textId="77777777" w:rsidTr="00E40772">
        <w:tc>
          <w:tcPr>
            <w:tcW w:w="1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1C80855" w14:textId="77777777" w:rsidR="00F9165A" w:rsidRPr="00FC4F55" w:rsidRDefault="00F9165A" w:rsidP="00024CB3">
            <w:pPr>
              <w:tabs>
                <w:tab w:val="left" w:pos="720"/>
              </w:tabs>
              <w:spacing w:before="60" w:after="60"/>
              <w:rPr>
                <w:rFonts w:cs="Arial"/>
                <w:b/>
              </w:rPr>
            </w:pPr>
            <w:r w:rsidRPr="00FC4F55">
              <w:rPr>
                <w:rFonts w:cs="Arial"/>
                <w:b/>
              </w:rPr>
              <w:t>Council</w:t>
            </w:r>
          </w:p>
        </w:tc>
        <w:tc>
          <w:tcPr>
            <w:tcW w:w="1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1F485C3" w14:textId="77777777" w:rsidR="00F9165A" w:rsidRPr="00FC4F55" w:rsidRDefault="00F9165A" w:rsidP="00024CB3">
            <w:pPr>
              <w:tabs>
                <w:tab w:val="left" w:pos="720"/>
              </w:tabs>
              <w:spacing w:before="60" w:after="60"/>
              <w:rPr>
                <w:rFonts w:cs="Arial"/>
                <w:b/>
              </w:rPr>
            </w:pPr>
            <w:r w:rsidRPr="00FC4F55">
              <w:rPr>
                <w:rFonts w:cs="Arial"/>
                <w:b/>
              </w:rPr>
              <w:t>Disability</w:t>
            </w:r>
          </w:p>
        </w:tc>
        <w:tc>
          <w:tcPr>
            <w:tcW w:w="1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CBC5E5C" w14:textId="77777777" w:rsidR="00F9165A" w:rsidRPr="00FC4F55" w:rsidRDefault="00F9165A" w:rsidP="00024CB3">
            <w:pPr>
              <w:tabs>
                <w:tab w:val="left" w:pos="720"/>
              </w:tabs>
              <w:spacing w:before="60" w:after="60"/>
              <w:rPr>
                <w:rFonts w:cs="Arial"/>
                <w:b/>
              </w:rPr>
            </w:pPr>
            <w:r w:rsidRPr="00FC4F55">
              <w:rPr>
                <w:rFonts w:cs="Arial"/>
                <w:b/>
              </w:rPr>
              <w:t>2020</w:t>
            </w:r>
          </w:p>
        </w:tc>
        <w:tc>
          <w:tcPr>
            <w:tcW w:w="141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17CC510" w14:textId="77777777" w:rsidR="00F9165A" w:rsidRPr="00FC4F55" w:rsidRDefault="00F9165A" w:rsidP="00024CB3">
            <w:pPr>
              <w:tabs>
                <w:tab w:val="left" w:pos="720"/>
              </w:tabs>
              <w:spacing w:before="60" w:after="60"/>
              <w:rPr>
                <w:rFonts w:cs="Arial"/>
                <w:b/>
              </w:rPr>
            </w:pPr>
            <w:r w:rsidRPr="00FC4F55">
              <w:rPr>
                <w:rFonts w:cs="Arial"/>
                <w:b/>
              </w:rPr>
              <w:t>2038</w:t>
            </w:r>
          </w:p>
        </w:tc>
        <w:tc>
          <w:tcPr>
            <w:tcW w:w="1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AA0E841" w14:textId="77777777" w:rsidR="00F9165A" w:rsidRPr="00FC4F55" w:rsidRDefault="00F9165A" w:rsidP="00024CB3">
            <w:pPr>
              <w:tabs>
                <w:tab w:val="left" w:pos="720"/>
              </w:tabs>
              <w:spacing w:before="60" w:after="60"/>
              <w:rPr>
                <w:rFonts w:cs="Arial"/>
                <w:b/>
              </w:rPr>
            </w:pPr>
            <w:r w:rsidRPr="00FC4F55">
              <w:rPr>
                <w:rFonts w:cs="Arial"/>
                <w:b/>
              </w:rPr>
              <w:t>Change</w:t>
            </w:r>
          </w:p>
        </w:tc>
        <w:tc>
          <w:tcPr>
            <w:tcW w:w="141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9FADF9A" w14:textId="77777777" w:rsidR="00F9165A" w:rsidRPr="00FC4F55" w:rsidRDefault="00F9165A" w:rsidP="00024CB3">
            <w:pPr>
              <w:tabs>
                <w:tab w:val="left" w:pos="720"/>
              </w:tabs>
              <w:spacing w:before="60" w:after="60"/>
              <w:rPr>
                <w:rFonts w:cs="Arial"/>
                <w:b/>
              </w:rPr>
            </w:pPr>
            <w:r w:rsidRPr="00FC4F55">
              <w:rPr>
                <w:rFonts w:cs="Arial"/>
                <w:b/>
              </w:rPr>
              <w:t>% Change</w:t>
            </w:r>
          </w:p>
        </w:tc>
      </w:tr>
      <w:tr w:rsidR="00F9165A" w:rsidRPr="00851435" w14:paraId="1AAD8696" w14:textId="77777777" w:rsidTr="00E40772">
        <w:tc>
          <w:tcPr>
            <w:tcW w:w="1417" w:type="dxa"/>
            <w:vMerge w:val="restart"/>
            <w:tcBorders>
              <w:top w:val="single" w:sz="4" w:space="0" w:color="auto"/>
              <w:left w:val="single" w:sz="4" w:space="0" w:color="auto"/>
              <w:right w:val="single" w:sz="4" w:space="0" w:color="auto"/>
            </w:tcBorders>
            <w:vAlign w:val="center"/>
          </w:tcPr>
          <w:p w14:paraId="7ADF76BB" w14:textId="77777777" w:rsidR="00F9165A" w:rsidRPr="00FC4F55" w:rsidRDefault="00F9165A" w:rsidP="00024CB3">
            <w:pPr>
              <w:tabs>
                <w:tab w:val="left" w:pos="720"/>
              </w:tabs>
              <w:spacing w:before="60" w:after="60"/>
              <w:rPr>
                <w:rFonts w:cs="Arial"/>
                <w:color w:val="000000"/>
              </w:rPr>
            </w:pPr>
            <w:r w:rsidRPr="00FC4F55">
              <w:rPr>
                <w:rFonts w:cs="Arial"/>
                <w:color w:val="000000"/>
              </w:rPr>
              <w:t>Ashfield</w:t>
            </w:r>
          </w:p>
        </w:tc>
        <w:tc>
          <w:tcPr>
            <w:tcW w:w="1560" w:type="dxa"/>
            <w:tcBorders>
              <w:top w:val="single" w:sz="4" w:space="0" w:color="auto"/>
              <w:left w:val="single" w:sz="4" w:space="0" w:color="auto"/>
              <w:bottom w:val="single" w:sz="4" w:space="0" w:color="auto"/>
              <w:right w:val="single" w:sz="4" w:space="0" w:color="auto"/>
            </w:tcBorders>
            <w:hideMark/>
          </w:tcPr>
          <w:p w14:paraId="69DAD945" w14:textId="77777777" w:rsidR="00F9165A" w:rsidRPr="00FC4F55" w:rsidRDefault="00F9165A" w:rsidP="00024CB3">
            <w:pPr>
              <w:tabs>
                <w:tab w:val="left" w:pos="720"/>
              </w:tabs>
              <w:spacing w:before="60" w:after="60"/>
              <w:rPr>
                <w:rFonts w:cs="Arial"/>
              </w:rPr>
            </w:pPr>
            <w:r w:rsidRPr="00FC4F55">
              <w:rPr>
                <w:rFonts w:cs="Arial"/>
                <w:color w:val="000000"/>
              </w:rPr>
              <w:t>Dementia</w:t>
            </w:r>
          </w:p>
        </w:tc>
        <w:tc>
          <w:tcPr>
            <w:tcW w:w="1417" w:type="dxa"/>
            <w:tcBorders>
              <w:top w:val="single" w:sz="4" w:space="0" w:color="auto"/>
              <w:left w:val="single" w:sz="4" w:space="0" w:color="auto"/>
              <w:bottom w:val="single" w:sz="4" w:space="0" w:color="auto"/>
              <w:right w:val="single" w:sz="4" w:space="0" w:color="auto"/>
            </w:tcBorders>
            <w:vAlign w:val="center"/>
            <w:hideMark/>
          </w:tcPr>
          <w:p w14:paraId="0BCE174B" w14:textId="77777777" w:rsidR="00F9165A" w:rsidRPr="00FC4F55" w:rsidRDefault="00F9165A" w:rsidP="00024CB3">
            <w:pPr>
              <w:tabs>
                <w:tab w:val="left" w:pos="720"/>
              </w:tabs>
              <w:spacing w:before="60" w:after="60"/>
              <w:rPr>
                <w:rFonts w:cs="Arial"/>
                <w:color w:val="000000"/>
              </w:rPr>
            </w:pPr>
            <w:r w:rsidRPr="00FC4F55">
              <w:rPr>
                <w:rFonts w:cs="Arial"/>
                <w:color w:val="000000"/>
              </w:rPr>
              <w:t>1,619</w:t>
            </w:r>
          </w:p>
        </w:tc>
        <w:tc>
          <w:tcPr>
            <w:tcW w:w="1418" w:type="dxa"/>
            <w:tcBorders>
              <w:top w:val="single" w:sz="4" w:space="0" w:color="auto"/>
              <w:left w:val="single" w:sz="4" w:space="0" w:color="auto"/>
              <w:bottom w:val="single" w:sz="4" w:space="0" w:color="auto"/>
              <w:right w:val="single" w:sz="4" w:space="0" w:color="auto"/>
            </w:tcBorders>
            <w:vAlign w:val="center"/>
            <w:hideMark/>
          </w:tcPr>
          <w:p w14:paraId="7C6048F2" w14:textId="77777777" w:rsidR="00F9165A" w:rsidRPr="00FC4F55" w:rsidRDefault="00F9165A" w:rsidP="00024CB3">
            <w:pPr>
              <w:tabs>
                <w:tab w:val="left" w:pos="720"/>
              </w:tabs>
              <w:spacing w:before="60" w:after="60"/>
              <w:rPr>
                <w:rFonts w:cs="Arial"/>
                <w:color w:val="000000"/>
              </w:rPr>
            </w:pPr>
            <w:r w:rsidRPr="00FC4F55">
              <w:rPr>
                <w:rFonts w:cs="Arial"/>
                <w:color w:val="000000"/>
              </w:rPr>
              <w:t>2,663</w:t>
            </w:r>
          </w:p>
        </w:tc>
        <w:tc>
          <w:tcPr>
            <w:tcW w:w="1417" w:type="dxa"/>
            <w:tcBorders>
              <w:top w:val="single" w:sz="4" w:space="0" w:color="auto"/>
              <w:left w:val="single" w:sz="4" w:space="0" w:color="auto"/>
              <w:bottom w:val="single" w:sz="4" w:space="0" w:color="auto"/>
              <w:right w:val="single" w:sz="4" w:space="0" w:color="auto"/>
            </w:tcBorders>
            <w:vAlign w:val="center"/>
            <w:hideMark/>
          </w:tcPr>
          <w:p w14:paraId="14DB6EAB" w14:textId="77777777" w:rsidR="00F9165A" w:rsidRPr="00FC4F55" w:rsidRDefault="00F9165A" w:rsidP="00024CB3">
            <w:pPr>
              <w:tabs>
                <w:tab w:val="left" w:pos="720"/>
              </w:tabs>
              <w:spacing w:before="60" w:after="60"/>
              <w:rPr>
                <w:rFonts w:cs="Arial"/>
                <w:color w:val="000000"/>
              </w:rPr>
            </w:pPr>
            <w:r w:rsidRPr="00FC4F55">
              <w:rPr>
                <w:rFonts w:cs="Arial"/>
                <w:color w:val="000000"/>
              </w:rPr>
              <w:t>1,044</w:t>
            </w:r>
          </w:p>
        </w:tc>
        <w:tc>
          <w:tcPr>
            <w:tcW w:w="1418" w:type="dxa"/>
            <w:tcBorders>
              <w:top w:val="single" w:sz="4" w:space="0" w:color="auto"/>
              <w:left w:val="single" w:sz="4" w:space="0" w:color="auto"/>
              <w:bottom w:val="single" w:sz="4" w:space="0" w:color="auto"/>
              <w:right w:val="single" w:sz="4" w:space="0" w:color="auto"/>
            </w:tcBorders>
            <w:vAlign w:val="center"/>
            <w:hideMark/>
          </w:tcPr>
          <w:p w14:paraId="41314840" w14:textId="77777777" w:rsidR="00F9165A" w:rsidRPr="00FC4F55" w:rsidRDefault="00F9165A" w:rsidP="00024CB3">
            <w:pPr>
              <w:tabs>
                <w:tab w:val="left" w:pos="720"/>
              </w:tabs>
              <w:spacing w:before="60" w:after="60"/>
              <w:rPr>
                <w:rFonts w:cs="Arial"/>
                <w:color w:val="000000"/>
              </w:rPr>
            </w:pPr>
            <w:r w:rsidRPr="00FC4F55">
              <w:rPr>
                <w:rFonts w:cs="Arial"/>
                <w:color w:val="000000"/>
              </w:rPr>
              <w:t>64.5%</w:t>
            </w:r>
          </w:p>
        </w:tc>
      </w:tr>
      <w:tr w:rsidR="00F9165A" w:rsidRPr="003C7E62" w14:paraId="6ACBFD49" w14:textId="77777777" w:rsidTr="00E40772">
        <w:tc>
          <w:tcPr>
            <w:tcW w:w="1417" w:type="dxa"/>
            <w:vMerge/>
            <w:tcBorders>
              <w:left w:val="single" w:sz="4" w:space="0" w:color="auto"/>
              <w:bottom w:val="single" w:sz="4" w:space="0" w:color="auto"/>
              <w:right w:val="single" w:sz="4" w:space="0" w:color="auto"/>
            </w:tcBorders>
            <w:vAlign w:val="center"/>
          </w:tcPr>
          <w:p w14:paraId="0E10D8F9" w14:textId="77777777" w:rsidR="00F9165A" w:rsidRPr="00851435" w:rsidRDefault="00F9165A" w:rsidP="00024CB3">
            <w:pPr>
              <w:tabs>
                <w:tab w:val="left" w:pos="720"/>
              </w:tabs>
              <w:spacing w:before="60" w:after="60"/>
              <w:rPr>
                <w:rFonts w:cs="Arial"/>
                <w:color w:val="000000"/>
                <w:highlight w:val="yellow"/>
              </w:rPr>
            </w:pPr>
          </w:p>
        </w:tc>
        <w:tc>
          <w:tcPr>
            <w:tcW w:w="1560" w:type="dxa"/>
            <w:tcBorders>
              <w:top w:val="single" w:sz="4" w:space="0" w:color="auto"/>
              <w:left w:val="single" w:sz="4" w:space="0" w:color="auto"/>
              <w:bottom w:val="single" w:sz="4" w:space="0" w:color="auto"/>
              <w:right w:val="single" w:sz="4" w:space="0" w:color="auto"/>
            </w:tcBorders>
            <w:hideMark/>
          </w:tcPr>
          <w:p w14:paraId="37608FF1" w14:textId="77777777" w:rsidR="00F9165A" w:rsidRPr="00FC4F55" w:rsidRDefault="00F9165A" w:rsidP="00024CB3">
            <w:pPr>
              <w:tabs>
                <w:tab w:val="left" w:pos="720"/>
              </w:tabs>
              <w:spacing w:before="60" w:after="60"/>
              <w:rPr>
                <w:rFonts w:cs="Arial"/>
              </w:rPr>
            </w:pPr>
            <w:r w:rsidRPr="00FC4F55">
              <w:rPr>
                <w:rFonts w:cs="Arial"/>
                <w:color w:val="000000"/>
              </w:rPr>
              <w:t>Mobility problems</w:t>
            </w:r>
          </w:p>
        </w:tc>
        <w:tc>
          <w:tcPr>
            <w:tcW w:w="1417" w:type="dxa"/>
            <w:tcBorders>
              <w:top w:val="single" w:sz="4" w:space="0" w:color="auto"/>
              <w:left w:val="single" w:sz="4" w:space="0" w:color="auto"/>
              <w:bottom w:val="single" w:sz="4" w:space="0" w:color="auto"/>
              <w:right w:val="single" w:sz="4" w:space="0" w:color="auto"/>
            </w:tcBorders>
            <w:vAlign w:val="center"/>
            <w:hideMark/>
          </w:tcPr>
          <w:p w14:paraId="0E7ECEF8" w14:textId="77777777" w:rsidR="00F9165A" w:rsidRPr="00FC4F55" w:rsidRDefault="00F9165A" w:rsidP="00024CB3">
            <w:pPr>
              <w:tabs>
                <w:tab w:val="left" w:pos="720"/>
              </w:tabs>
              <w:spacing w:before="60" w:after="60"/>
              <w:rPr>
                <w:rFonts w:cs="Arial"/>
                <w:color w:val="000000"/>
              </w:rPr>
            </w:pPr>
            <w:r w:rsidRPr="00FC4F55">
              <w:rPr>
                <w:rFonts w:cs="Arial"/>
                <w:color w:val="000000"/>
              </w:rPr>
              <w:t>4,413</w:t>
            </w:r>
          </w:p>
        </w:tc>
        <w:tc>
          <w:tcPr>
            <w:tcW w:w="1418" w:type="dxa"/>
            <w:tcBorders>
              <w:top w:val="single" w:sz="4" w:space="0" w:color="auto"/>
              <w:left w:val="single" w:sz="4" w:space="0" w:color="auto"/>
              <w:bottom w:val="single" w:sz="4" w:space="0" w:color="auto"/>
              <w:right w:val="single" w:sz="4" w:space="0" w:color="auto"/>
            </w:tcBorders>
            <w:vAlign w:val="center"/>
            <w:hideMark/>
          </w:tcPr>
          <w:p w14:paraId="31D6BF56" w14:textId="77777777" w:rsidR="00F9165A" w:rsidRPr="00FC4F55" w:rsidRDefault="00F9165A" w:rsidP="00024CB3">
            <w:pPr>
              <w:tabs>
                <w:tab w:val="left" w:pos="720"/>
              </w:tabs>
              <w:spacing w:before="60" w:after="60"/>
              <w:rPr>
                <w:rFonts w:cs="Arial"/>
                <w:color w:val="000000"/>
              </w:rPr>
            </w:pPr>
            <w:r w:rsidRPr="00FC4F55">
              <w:rPr>
                <w:rFonts w:cs="Arial"/>
                <w:color w:val="000000"/>
              </w:rPr>
              <w:t>6,839</w:t>
            </w:r>
          </w:p>
        </w:tc>
        <w:tc>
          <w:tcPr>
            <w:tcW w:w="1417" w:type="dxa"/>
            <w:tcBorders>
              <w:top w:val="single" w:sz="4" w:space="0" w:color="auto"/>
              <w:left w:val="single" w:sz="4" w:space="0" w:color="auto"/>
              <w:bottom w:val="single" w:sz="4" w:space="0" w:color="auto"/>
              <w:right w:val="single" w:sz="4" w:space="0" w:color="auto"/>
            </w:tcBorders>
            <w:vAlign w:val="center"/>
            <w:hideMark/>
          </w:tcPr>
          <w:p w14:paraId="16770569" w14:textId="77777777" w:rsidR="00F9165A" w:rsidRPr="00FC4F55" w:rsidRDefault="00F9165A" w:rsidP="00024CB3">
            <w:pPr>
              <w:tabs>
                <w:tab w:val="left" w:pos="720"/>
              </w:tabs>
              <w:spacing w:before="60" w:after="60"/>
              <w:rPr>
                <w:rFonts w:cs="Arial"/>
                <w:color w:val="000000"/>
              </w:rPr>
            </w:pPr>
            <w:r w:rsidRPr="00FC4F55">
              <w:rPr>
                <w:rFonts w:cs="Arial"/>
                <w:color w:val="000000"/>
              </w:rPr>
              <w:t>2,426</w:t>
            </w:r>
          </w:p>
        </w:tc>
        <w:tc>
          <w:tcPr>
            <w:tcW w:w="1418" w:type="dxa"/>
            <w:tcBorders>
              <w:top w:val="single" w:sz="4" w:space="0" w:color="auto"/>
              <w:left w:val="single" w:sz="4" w:space="0" w:color="auto"/>
              <w:bottom w:val="single" w:sz="4" w:space="0" w:color="auto"/>
              <w:right w:val="single" w:sz="4" w:space="0" w:color="auto"/>
            </w:tcBorders>
            <w:vAlign w:val="center"/>
            <w:hideMark/>
          </w:tcPr>
          <w:p w14:paraId="6F174557" w14:textId="77777777" w:rsidR="00F9165A" w:rsidRPr="00FC4F55" w:rsidRDefault="00F9165A" w:rsidP="00024CB3">
            <w:pPr>
              <w:tabs>
                <w:tab w:val="left" w:pos="720"/>
              </w:tabs>
              <w:spacing w:before="60" w:after="60"/>
              <w:rPr>
                <w:rFonts w:cs="Arial"/>
                <w:color w:val="000000"/>
              </w:rPr>
            </w:pPr>
            <w:r w:rsidRPr="00FC4F55">
              <w:rPr>
                <w:rFonts w:cs="Arial"/>
                <w:color w:val="000000"/>
              </w:rPr>
              <w:t>55.0%</w:t>
            </w:r>
          </w:p>
        </w:tc>
      </w:tr>
    </w:tbl>
    <w:p w14:paraId="71D19DE5" w14:textId="17E39500" w:rsidR="00B845B1" w:rsidRDefault="00F906E1" w:rsidP="00F906E1">
      <w:pPr>
        <w:pStyle w:val="Heading3"/>
        <w:ind w:firstLine="720"/>
      </w:pPr>
      <w:r>
        <w:t xml:space="preserve">  </w:t>
      </w:r>
      <w:r w:rsidR="00B845B1">
        <w:t xml:space="preserve">Table 7: </w:t>
      </w:r>
      <w:r w:rsidR="00B845B1" w:rsidRPr="00FC4F55">
        <w:t>Projected Change to Older Population with Disabilities</w:t>
      </w:r>
    </w:p>
    <w:p w14:paraId="22DC05CF" w14:textId="77777777" w:rsidR="00B845B1" w:rsidRPr="005E25A8" w:rsidRDefault="00B845B1" w:rsidP="00F906E1">
      <w:pPr>
        <w:spacing w:before="0"/>
        <w:ind w:left="993" w:hanging="142"/>
        <w:rPr>
          <w:rFonts w:eastAsia="Arial"/>
          <w:sz w:val="22"/>
          <w:szCs w:val="22"/>
          <w:lang w:eastAsia="en-US"/>
        </w:rPr>
      </w:pPr>
      <w:r w:rsidRPr="005E25A8">
        <w:rPr>
          <w:rFonts w:eastAsia="Arial"/>
          <w:sz w:val="22"/>
          <w:szCs w:val="22"/>
          <w:lang w:eastAsia="en-US"/>
        </w:rPr>
        <w:t xml:space="preserve">Source: </w:t>
      </w:r>
      <w:r w:rsidRPr="005E25A8">
        <w:rPr>
          <w:rFonts w:eastAsia="Arial" w:cs="Arial"/>
          <w:sz w:val="22"/>
          <w:szCs w:val="22"/>
        </w:rPr>
        <w:t>Greater Nottingham &amp; Ashfield Housing Needs Assessment 2020</w:t>
      </w:r>
    </w:p>
    <w:p w14:paraId="185BEC44" w14:textId="77777777" w:rsidR="00B845B1" w:rsidRPr="00B845B1" w:rsidRDefault="00B845B1" w:rsidP="00F906E1">
      <w:pPr>
        <w:spacing w:before="0"/>
        <w:rPr>
          <w:lang w:eastAsia="en-US"/>
        </w:rPr>
      </w:pPr>
    </w:p>
    <w:p w14:paraId="3DB5D004" w14:textId="02F9F163" w:rsidR="00F9165A" w:rsidRPr="00F9165A" w:rsidRDefault="00AE58B3" w:rsidP="00874A98">
      <w:pPr>
        <w:pStyle w:val="ListParagraph"/>
        <w:numPr>
          <w:ilvl w:val="1"/>
          <w:numId w:val="92"/>
        </w:numPr>
        <w:autoSpaceDE w:val="0"/>
        <w:autoSpaceDN w:val="0"/>
        <w:adjustRightInd w:val="0"/>
        <w:spacing w:after="0" w:line="240" w:lineRule="auto"/>
        <w:ind w:left="851" w:hanging="851"/>
        <w:rPr>
          <w:rFonts w:ascii="Arial" w:hAnsi="Arial" w:cs="Arial"/>
          <w:color w:val="auto"/>
          <w:szCs w:val="24"/>
        </w:rPr>
      </w:pPr>
      <w:r w:rsidRPr="00F9165A">
        <w:rPr>
          <w:rFonts w:ascii="Arial" w:hAnsi="Arial" w:cs="Arial"/>
          <w:szCs w:val="24"/>
        </w:rPr>
        <w:t xml:space="preserve">The analysis also shows that there is a substantial volume of younger adults (aged 65 and under) across the study area with a range of disabilities. Invariably, there will be a combination of those with disabilities and long-term health problems that continue to live at home with family, those who choose to live independently with the possibility of incorporating adaptations into their homes and those who choose to move into supported housing. </w:t>
      </w:r>
    </w:p>
    <w:p w14:paraId="49AE24D4" w14:textId="06A773B2" w:rsidR="00F9165A" w:rsidRDefault="00F9165A" w:rsidP="00F9165A">
      <w:pPr>
        <w:pStyle w:val="ListParagraph"/>
        <w:spacing w:after="0" w:line="240" w:lineRule="auto"/>
        <w:ind w:left="851"/>
        <w:rPr>
          <w:rFonts w:ascii="Arial" w:hAnsi="Arial" w:cs="Arial"/>
          <w:color w:val="auto"/>
          <w:szCs w:val="24"/>
        </w:rPr>
      </w:pPr>
    </w:p>
    <w:tbl>
      <w:tblPr>
        <w:tblStyle w:val="ReportTable1"/>
        <w:tblW w:w="8553" w:type="dxa"/>
        <w:tblInd w:w="846" w:type="dxa"/>
        <w:tblLook w:val="04A0" w:firstRow="1" w:lastRow="0" w:firstColumn="1" w:lastColumn="0" w:noHBand="0" w:noVBand="1"/>
      </w:tblPr>
      <w:tblGrid>
        <w:gridCol w:w="1134"/>
        <w:gridCol w:w="2410"/>
        <w:gridCol w:w="1275"/>
        <w:gridCol w:w="1134"/>
        <w:gridCol w:w="1134"/>
        <w:gridCol w:w="1466"/>
      </w:tblGrid>
      <w:tr w:rsidR="00F9165A" w:rsidRPr="00851435" w14:paraId="67F244BB" w14:textId="77777777" w:rsidTr="00B845B1">
        <w:tc>
          <w:tcPr>
            <w:tcW w:w="8553" w:type="dxa"/>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181B465" w14:textId="5FD93F66" w:rsidR="00F9165A" w:rsidRPr="00FC4F55" w:rsidRDefault="00F9165A" w:rsidP="00024CB3">
            <w:pPr>
              <w:tabs>
                <w:tab w:val="left" w:pos="720"/>
              </w:tabs>
              <w:spacing w:before="60" w:after="60"/>
              <w:rPr>
                <w:rFonts w:cs="Arial"/>
                <w:b/>
              </w:rPr>
            </w:pPr>
            <w:r w:rsidRPr="00FC4F55">
              <w:rPr>
                <w:rFonts w:cs="Arial"/>
                <w:b/>
              </w:rPr>
              <w:t xml:space="preserve">Projected Change to Younger Adults with Disabilities </w:t>
            </w:r>
          </w:p>
        </w:tc>
      </w:tr>
      <w:tr w:rsidR="00F9165A" w:rsidRPr="00851435" w14:paraId="360272C7" w14:textId="77777777" w:rsidTr="00F906E1">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443A30F" w14:textId="77777777" w:rsidR="00F9165A" w:rsidRPr="00FC4F55" w:rsidRDefault="00F9165A" w:rsidP="00024CB3">
            <w:pPr>
              <w:tabs>
                <w:tab w:val="left" w:pos="720"/>
              </w:tabs>
              <w:spacing w:before="60" w:after="60"/>
              <w:rPr>
                <w:rFonts w:cs="Arial"/>
                <w:b/>
              </w:rPr>
            </w:pPr>
            <w:r w:rsidRPr="00FC4F55">
              <w:rPr>
                <w:rFonts w:cs="Arial"/>
                <w:b/>
              </w:rPr>
              <w:t>Council</w:t>
            </w:r>
          </w:p>
        </w:tc>
        <w:tc>
          <w:tcPr>
            <w:tcW w:w="241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1D355AF" w14:textId="77777777" w:rsidR="00F9165A" w:rsidRPr="00FC4F55" w:rsidRDefault="00F9165A" w:rsidP="00024CB3">
            <w:pPr>
              <w:tabs>
                <w:tab w:val="left" w:pos="720"/>
              </w:tabs>
              <w:spacing w:before="60" w:after="60"/>
              <w:rPr>
                <w:rFonts w:cs="Arial"/>
                <w:b/>
              </w:rPr>
            </w:pPr>
            <w:r w:rsidRPr="00FC4F55">
              <w:rPr>
                <w:rFonts w:cs="Arial"/>
                <w:b/>
              </w:rPr>
              <w:t>Disability</w:t>
            </w:r>
          </w:p>
        </w:tc>
        <w:tc>
          <w:tcPr>
            <w:tcW w:w="127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38AEF3E" w14:textId="77777777" w:rsidR="00F9165A" w:rsidRPr="00FC4F55" w:rsidRDefault="00F9165A" w:rsidP="00024CB3">
            <w:pPr>
              <w:tabs>
                <w:tab w:val="left" w:pos="720"/>
              </w:tabs>
              <w:spacing w:before="60" w:after="60"/>
              <w:rPr>
                <w:rFonts w:cs="Arial"/>
                <w:b/>
              </w:rPr>
            </w:pPr>
            <w:r w:rsidRPr="00FC4F55">
              <w:rPr>
                <w:rFonts w:cs="Arial"/>
                <w:b/>
              </w:rPr>
              <w:t>2020</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409011A" w14:textId="77777777" w:rsidR="00F9165A" w:rsidRPr="00FC4F55" w:rsidRDefault="00F9165A" w:rsidP="00024CB3">
            <w:pPr>
              <w:tabs>
                <w:tab w:val="left" w:pos="720"/>
              </w:tabs>
              <w:spacing w:before="60" w:after="60"/>
              <w:rPr>
                <w:rFonts w:cs="Arial"/>
                <w:b/>
              </w:rPr>
            </w:pPr>
            <w:r w:rsidRPr="00FC4F55">
              <w:rPr>
                <w:rFonts w:cs="Arial"/>
                <w:b/>
              </w:rPr>
              <w:t>2038</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87C2BA5" w14:textId="77777777" w:rsidR="00F9165A" w:rsidRPr="00FC4F55" w:rsidRDefault="00F9165A" w:rsidP="00024CB3">
            <w:pPr>
              <w:tabs>
                <w:tab w:val="left" w:pos="720"/>
              </w:tabs>
              <w:spacing w:before="60" w:after="60"/>
              <w:rPr>
                <w:rFonts w:cs="Arial"/>
                <w:b/>
              </w:rPr>
            </w:pPr>
            <w:r w:rsidRPr="00FC4F55">
              <w:rPr>
                <w:rFonts w:cs="Arial"/>
                <w:b/>
              </w:rPr>
              <w:t>Change</w:t>
            </w:r>
          </w:p>
        </w:tc>
        <w:tc>
          <w:tcPr>
            <w:tcW w:w="146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EA333AE" w14:textId="77777777" w:rsidR="00F9165A" w:rsidRPr="00FC4F55" w:rsidRDefault="00F9165A" w:rsidP="00024CB3">
            <w:pPr>
              <w:tabs>
                <w:tab w:val="left" w:pos="720"/>
              </w:tabs>
              <w:spacing w:before="60" w:after="60"/>
              <w:rPr>
                <w:rFonts w:cs="Arial"/>
                <w:b/>
              </w:rPr>
            </w:pPr>
            <w:r w:rsidRPr="00FC4F55">
              <w:rPr>
                <w:rFonts w:cs="Arial"/>
                <w:b/>
              </w:rPr>
              <w:t>% Change</w:t>
            </w:r>
          </w:p>
        </w:tc>
      </w:tr>
      <w:tr w:rsidR="00F9165A" w:rsidRPr="00851435" w14:paraId="296939C8" w14:textId="77777777" w:rsidTr="00F906E1">
        <w:trPr>
          <w:trHeight w:val="690"/>
        </w:trPr>
        <w:tc>
          <w:tcPr>
            <w:tcW w:w="1134" w:type="dxa"/>
            <w:vMerge w:val="restart"/>
            <w:tcBorders>
              <w:top w:val="single" w:sz="4" w:space="0" w:color="auto"/>
              <w:left w:val="single" w:sz="4" w:space="0" w:color="auto"/>
              <w:right w:val="single" w:sz="4" w:space="0" w:color="auto"/>
            </w:tcBorders>
            <w:vAlign w:val="center"/>
          </w:tcPr>
          <w:p w14:paraId="16FA0A99" w14:textId="77777777" w:rsidR="00F9165A" w:rsidRPr="00FC4F55" w:rsidRDefault="00F9165A" w:rsidP="00024CB3">
            <w:pPr>
              <w:spacing w:after="360" w:line="360" w:lineRule="auto"/>
              <w:rPr>
                <w:rFonts w:cs="Arial"/>
              </w:rPr>
            </w:pPr>
            <w:r w:rsidRPr="00FC4F55">
              <w:rPr>
                <w:rFonts w:cs="Arial"/>
              </w:rPr>
              <w:t>Ashfield</w:t>
            </w:r>
          </w:p>
        </w:tc>
        <w:tc>
          <w:tcPr>
            <w:tcW w:w="2410" w:type="dxa"/>
            <w:tcBorders>
              <w:top w:val="single" w:sz="4" w:space="0" w:color="auto"/>
              <w:left w:val="single" w:sz="4" w:space="0" w:color="auto"/>
              <w:bottom w:val="single" w:sz="4" w:space="0" w:color="auto"/>
              <w:right w:val="single" w:sz="4" w:space="0" w:color="auto"/>
            </w:tcBorders>
            <w:vAlign w:val="center"/>
          </w:tcPr>
          <w:p w14:paraId="11753BF1" w14:textId="77777777" w:rsidR="00F9165A" w:rsidRPr="00FC4F55" w:rsidRDefault="00F9165A" w:rsidP="00DA3B66">
            <w:pPr>
              <w:rPr>
                <w:rFonts w:cs="Arial"/>
              </w:rPr>
            </w:pPr>
            <w:r w:rsidRPr="00FC4F55">
              <w:rPr>
                <w:rFonts w:cs="Arial"/>
              </w:rPr>
              <w:t>Impaired Mobility</w:t>
            </w:r>
          </w:p>
        </w:tc>
        <w:tc>
          <w:tcPr>
            <w:tcW w:w="1275" w:type="dxa"/>
            <w:tcBorders>
              <w:top w:val="single" w:sz="4" w:space="0" w:color="auto"/>
              <w:left w:val="single" w:sz="4" w:space="0" w:color="auto"/>
              <w:bottom w:val="single" w:sz="4" w:space="0" w:color="auto"/>
              <w:right w:val="single" w:sz="4" w:space="0" w:color="auto"/>
            </w:tcBorders>
            <w:vAlign w:val="center"/>
          </w:tcPr>
          <w:p w14:paraId="59895468" w14:textId="77777777" w:rsidR="00F9165A" w:rsidRPr="00FC4F55" w:rsidRDefault="00F9165A" w:rsidP="00DA3B66">
            <w:pPr>
              <w:rPr>
                <w:rFonts w:cs="Arial"/>
              </w:rPr>
            </w:pPr>
            <w:r w:rsidRPr="00FC4F55">
              <w:rPr>
                <w:rFonts w:cs="Arial"/>
              </w:rPr>
              <w:t>4,348</w:t>
            </w:r>
          </w:p>
        </w:tc>
        <w:tc>
          <w:tcPr>
            <w:tcW w:w="1134" w:type="dxa"/>
            <w:tcBorders>
              <w:top w:val="single" w:sz="4" w:space="0" w:color="auto"/>
              <w:left w:val="single" w:sz="4" w:space="0" w:color="auto"/>
              <w:bottom w:val="single" w:sz="4" w:space="0" w:color="auto"/>
              <w:right w:val="single" w:sz="4" w:space="0" w:color="auto"/>
            </w:tcBorders>
            <w:vAlign w:val="center"/>
          </w:tcPr>
          <w:p w14:paraId="0477FB0B" w14:textId="77777777" w:rsidR="00F9165A" w:rsidRPr="00FC4F55" w:rsidRDefault="00F9165A" w:rsidP="00DA3B66">
            <w:pPr>
              <w:rPr>
                <w:rFonts w:cs="Arial"/>
              </w:rPr>
            </w:pPr>
            <w:r w:rsidRPr="00FC4F55">
              <w:rPr>
                <w:rFonts w:cs="Arial"/>
              </w:rPr>
              <w:t>4,327</w:t>
            </w:r>
          </w:p>
        </w:tc>
        <w:tc>
          <w:tcPr>
            <w:tcW w:w="1134" w:type="dxa"/>
            <w:tcBorders>
              <w:top w:val="single" w:sz="4" w:space="0" w:color="auto"/>
              <w:left w:val="single" w:sz="4" w:space="0" w:color="auto"/>
              <w:bottom w:val="single" w:sz="4" w:space="0" w:color="auto"/>
              <w:right w:val="single" w:sz="4" w:space="0" w:color="auto"/>
            </w:tcBorders>
            <w:vAlign w:val="center"/>
          </w:tcPr>
          <w:p w14:paraId="09E67FA2" w14:textId="77777777" w:rsidR="00F9165A" w:rsidRPr="00FC4F55" w:rsidRDefault="00F9165A" w:rsidP="00DA3B66">
            <w:pPr>
              <w:rPr>
                <w:rFonts w:cs="Arial"/>
              </w:rPr>
            </w:pPr>
            <w:r w:rsidRPr="00FC4F55">
              <w:rPr>
                <w:rFonts w:cs="Arial"/>
              </w:rPr>
              <w:t>-21</w:t>
            </w:r>
          </w:p>
        </w:tc>
        <w:tc>
          <w:tcPr>
            <w:tcW w:w="1466" w:type="dxa"/>
            <w:tcBorders>
              <w:top w:val="single" w:sz="4" w:space="0" w:color="auto"/>
              <w:left w:val="single" w:sz="4" w:space="0" w:color="auto"/>
              <w:bottom w:val="single" w:sz="4" w:space="0" w:color="auto"/>
              <w:right w:val="single" w:sz="4" w:space="0" w:color="auto"/>
            </w:tcBorders>
            <w:vAlign w:val="center"/>
          </w:tcPr>
          <w:p w14:paraId="6ABB2AE3" w14:textId="77777777" w:rsidR="00F9165A" w:rsidRPr="00FC4F55" w:rsidRDefault="00F9165A" w:rsidP="00DA3B66">
            <w:pPr>
              <w:rPr>
                <w:rFonts w:cs="Arial"/>
              </w:rPr>
            </w:pPr>
            <w:r w:rsidRPr="00FC4F55">
              <w:rPr>
                <w:rFonts w:cs="Arial"/>
              </w:rPr>
              <w:t>-0.5%</w:t>
            </w:r>
          </w:p>
        </w:tc>
      </w:tr>
      <w:tr w:rsidR="00F9165A" w:rsidRPr="00851435" w14:paraId="749FF98C" w14:textId="77777777" w:rsidTr="00F906E1">
        <w:trPr>
          <w:trHeight w:val="690"/>
        </w:trPr>
        <w:tc>
          <w:tcPr>
            <w:tcW w:w="1134" w:type="dxa"/>
            <w:vMerge/>
            <w:tcBorders>
              <w:top w:val="single" w:sz="4" w:space="0" w:color="auto"/>
              <w:left w:val="single" w:sz="4" w:space="0" w:color="auto"/>
              <w:right w:val="single" w:sz="4" w:space="0" w:color="auto"/>
            </w:tcBorders>
            <w:vAlign w:val="center"/>
          </w:tcPr>
          <w:p w14:paraId="44DA7609" w14:textId="77777777" w:rsidR="00F9165A" w:rsidRPr="00851435" w:rsidRDefault="00F9165A" w:rsidP="00024CB3">
            <w:pPr>
              <w:spacing w:after="360" w:line="360" w:lineRule="auto"/>
              <w:rPr>
                <w:rFonts w:cs="Arial"/>
                <w:highlight w:val="yellow"/>
              </w:rPr>
            </w:pPr>
          </w:p>
        </w:tc>
        <w:tc>
          <w:tcPr>
            <w:tcW w:w="2410" w:type="dxa"/>
            <w:tcBorders>
              <w:top w:val="single" w:sz="4" w:space="0" w:color="auto"/>
              <w:left w:val="single" w:sz="4" w:space="0" w:color="auto"/>
              <w:bottom w:val="single" w:sz="4" w:space="0" w:color="auto"/>
              <w:right w:val="single" w:sz="4" w:space="0" w:color="auto"/>
            </w:tcBorders>
            <w:vAlign w:val="center"/>
          </w:tcPr>
          <w:p w14:paraId="0BEF22F2" w14:textId="77777777" w:rsidR="00F9165A" w:rsidRPr="00FC4F55" w:rsidRDefault="00F9165A" w:rsidP="00DA3B66">
            <w:pPr>
              <w:rPr>
                <w:rFonts w:cs="Arial"/>
              </w:rPr>
            </w:pPr>
            <w:r w:rsidRPr="00FC4F55">
              <w:rPr>
                <w:rFonts w:cs="Arial"/>
              </w:rPr>
              <w:t>Common Mental Disorder</w:t>
            </w:r>
          </w:p>
        </w:tc>
        <w:tc>
          <w:tcPr>
            <w:tcW w:w="1275" w:type="dxa"/>
            <w:tcBorders>
              <w:top w:val="single" w:sz="4" w:space="0" w:color="auto"/>
              <w:left w:val="single" w:sz="4" w:space="0" w:color="auto"/>
              <w:bottom w:val="single" w:sz="4" w:space="0" w:color="auto"/>
              <w:right w:val="single" w:sz="4" w:space="0" w:color="auto"/>
            </w:tcBorders>
            <w:vAlign w:val="center"/>
          </w:tcPr>
          <w:p w14:paraId="701C5210" w14:textId="77777777" w:rsidR="00F9165A" w:rsidRPr="00FC4F55" w:rsidRDefault="00F9165A" w:rsidP="00DA3B66">
            <w:pPr>
              <w:rPr>
                <w:rFonts w:cs="Arial"/>
              </w:rPr>
            </w:pPr>
            <w:r w:rsidRPr="00FC4F55">
              <w:rPr>
                <w:rFonts w:cs="Arial"/>
              </w:rPr>
              <w:t>14,529</w:t>
            </w:r>
          </w:p>
        </w:tc>
        <w:tc>
          <w:tcPr>
            <w:tcW w:w="1134" w:type="dxa"/>
            <w:tcBorders>
              <w:top w:val="single" w:sz="4" w:space="0" w:color="auto"/>
              <w:left w:val="single" w:sz="4" w:space="0" w:color="auto"/>
              <w:bottom w:val="single" w:sz="4" w:space="0" w:color="auto"/>
              <w:right w:val="single" w:sz="4" w:space="0" w:color="auto"/>
            </w:tcBorders>
            <w:vAlign w:val="center"/>
          </w:tcPr>
          <w:p w14:paraId="098519D7" w14:textId="77777777" w:rsidR="00F9165A" w:rsidRPr="00FC4F55" w:rsidRDefault="00F9165A" w:rsidP="00DA3B66">
            <w:pPr>
              <w:rPr>
                <w:rFonts w:cs="Arial"/>
              </w:rPr>
            </w:pPr>
            <w:r w:rsidRPr="00FC4F55">
              <w:rPr>
                <w:rFonts w:cs="Arial"/>
              </w:rPr>
              <w:t>15,029</w:t>
            </w:r>
          </w:p>
        </w:tc>
        <w:tc>
          <w:tcPr>
            <w:tcW w:w="1134" w:type="dxa"/>
            <w:tcBorders>
              <w:top w:val="single" w:sz="4" w:space="0" w:color="auto"/>
              <w:left w:val="single" w:sz="4" w:space="0" w:color="auto"/>
              <w:bottom w:val="single" w:sz="4" w:space="0" w:color="auto"/>
              <w:right w:val="single" w:sz="4" w:space="0" w:color="auto"/>
            </w:tcBorders>
            <w:vAlign w:val="center"/>
          </w:tcPr>
          <w:p w14:paraId="523D017B" w14:textId="77777777" w:rsidR="00F9165A" w:rsidRPr="00FC4F55" w:rsidRDefault="00F9165A" w:rsidP="00DA3B66">
            <w:pPr>
              <w:rPr>
                <w:rFonts w:cs="Arial"/>
              </w:rPr>
            </w:pPr>
            <w:r w:rsidRPr="00FC4F55">
              <w:rPr>
                <w:rFonts w:cs="Arial"/>
              </w:rPr>
              <w:t>500</w:t>
            </w:r>
          </w:p>
        </w:tc>
        <w:tc>
          <w:tcPr>
            <w:tcW w:w="1466" w:type="dxa"/>
            <w:tcBorders>
              <w:top w:val="single" w:sz="4" w:space="0" w:color="auto"/>
              <w:left w:val="single" w:sz="4" w:space="0" w:color="auto"/>
              <w:bottom w:val="single" w:sz="4" w:space="0" w:color="auto"/>
              <w:right w:val="single" w:sz="4" w:space="0" w:color="auto"/>
            </w:tcBorders>
            <w:vAlign w:val="center"/>
          </w:tcPr>
          <w:p w14:paraId="096EA441" w14:textId="77777777" w:rsidR="00F9165A" w:rsidRPr="00FC4F55" w:rsidRDefault="00F9165A" w:rsidP="00DA3B66">
            <w:pPr>
              <w:rPr>
                <w:rFonts w:cs="Arial"/>
              </w:rPr>
            </w:pPr>
            <w:r w:rsidRPr="00FC4F55">
              <w:rPr>
                <w:rFonts w:cs="Arial"/>
              </w:rPr>
              <w:t>3.4%</w:t>
            </w:r>
          </w:p>
        </w:tc>
      </w:tr>
      <w:tr w:rsidR="00F9165A" w:rsidRPr="00851435" w14:paraId="5493B56E" w14:textId="77777777" w:rsidTr="00F906E1">
        <w:trPr>
          <w:trHeight w:val="690"/>
        </w:trPr>
        <w:tc>
          <w:tcPr>
            <w:tcW w:w="1134" w:type="dxa"/>
            <w:vMerge/>
            <w:tcBorders>
              <w:left w:val="single" w:sz="4" w:space="0" w:color="auto"/>
              <w:right w:val="single" w:sz="4" w:space="0" w:color="auto"/>
            </w:tcBorders>
            <w:vAlign w:val="center"/>
          </w:tcPr>
          <w:p w14:paraId="383568F2" w14:textId="77777777" w:rsidR="00F9165A" w:rsidRPr="00851435" w:rsidRDefault="00F9165A" w:rsidP="00024CB3">
            <w:pPr>
              <w:spacing w:after="360" w:line="360" w:lineRule="auto"/>
              <w:rPr>
                <w:rFonts w:cs="Arial"/>
                <w:highlight w:val="yellow"/>
              </w:rPr>
            </w:pPr>
          </w:p>
        </w:tc>
        <w:tc>
          <w:tcPr>
            <w:tcW w:w="2410" w:type="dxa"/>
            <w:tcBorders>
              <w:top w:val="single" w:sz="4" w:space="0" w:color="auto"/>
              <w:left w:val="single" w:sz="4" w:space="0" w:color="auto"/>
              <w:bottom w:val="single" w:sz="4" w:space="0" w:color="auto"/>
              <w:right w:val="single" w:sz="4" w:space="0" w:color="auto"/>
            </w:tcBorders>
            <w:vAlign w:val="center"/>
          </w:tcPr>
          <w:p w14:paraId="7407D3C4" w14:textId="77777777" w:rsidR="00F9165A" w:rsidRPr="00FC4F55" w:rsidRDefault="00F9165A" w:rsidP="00DA3B66">
            <w:pPr>
              <w:rPr>
                <w:rFonts w:cs="Arial"/>
              </w:rPr>
            </w:pPr>
            <w:r w:rsidRPr="00FC4F55">
              <w:rPr>
                <w:rFonts w:cs="Arial"/>
              </w:rPr>
              <w:t>Autistic Spectrum Disorders</w:t>
            </w:r>
          </w:p>
        </w:tc>
        <w:tc>
          <w:tcPr>
            <w:tcW w:w="1275" w:type="dxa"/>
            <w:tcBorders>
              <w:top w:val="single" w:sz="4" w:space="0" w:color="auto"/>
              <w:left w:val="single" w:sz="4" w:space="0" w:color="auto"/>
              <w:bottom w:val="single" w:sz="4" w:space="0" w:color="auto"/>
              <w:right w:val="single" w:sz="4" w:space="0" w:color="auto"/>
            </w:tcBorders>
            <w:vAlign w:val="center"/>
          </w:tcPr>
          <w:p w14:paraId="6B540DD2" w14:textId="77777777" w:rsidR="00F9165A" w:rsidRPr="00FC4F55" w:rsidRDefault="00F9165A" w:rsidP="00DA3B66">
            <w:pPr>
              <w:rPr>
                <w:rFonts w:cs="Arial"/>
              </w:rPr>
            </w:pPr>
            <w:r w:rsidRPr="00FC4F55">
              <w:rPr>
                <w:rFonts w:cs="Arial"/>
              </w:rPr>
              <w:t>755</w:t>
            </w:r>
          </w:p>
        </w:tc>
        <w:tc>
          <w:tcPr>
            <w:tcW w:w="1134" w:type="dxa"/>
            <w:tcBorders>
              <w:top w:val="single" w:sz="4" w:space="0" w:color="auto"/>
              <w:left w:val="single" w:sz="4" w:space="0" w:color="auto"/>
              <w:bottom w:val="single" w:sz="4" w:space="0" w:color="auto"/>
              <w:right w:val="single" w:sz="4" w:space="0" w:color="auto"/>
            </w:tcBorders>
            <w:vAlign w:val="center"/>
          </w:tcPr>
          <w:p w14:paraId="12A328CE" w14:textId="77777777" w:rsidR="00F9165A" w:rsidRPr="00FC4F55" w:rsidRDefault="00F9165A" w:rsidP="00DA3B66">
            <w:pPr>
              <w:rPr>
                <w:rFonts w:cs="Arial"/>
              </w:rPr>
            </w:pPr>
            <w:r w:rsidRPr="00FC4F55">
              <w:rPr>
                <w:rFonts w:cs="Arial"/>
              </w:rPr>
              <w:t>779</w:t>
            </w:r>
          </w:p>
        </w:tc>
        <w:tc>
          <w:tcPr>
            <w:tcW w:w="1134" w:type="dxa"/>
            <w:tcBorders>
              <w:top w:val="single" w:sz="4" w:space="0" w:color="auto"/>
              <w:left w:val="single" w:sz="4" w:space="0" w:color="auto"/>
              <w:bottom w:val="single" w:sz="4" w:space="0" w:color="auto"/>
              <w:right w:val="single" w:sz="4" w:space="0" w:color="auto"/>
            </w:tcBorders>
            <w:vAlign w:val="center"/>
          </w:tcPr>
          <w:p w14:paraId="18610F86" w14:textId="77777777" w:rsidR="00F9165A" w:rsidRPr="00FC4F55" w:rsidRDefault="00F9165A" w:rsidP="00DA3B66">
            <w:pPr>
              <w:rPr>
                <w:rFonts w:cs="Arial"/>
              </w:rPr>
            </w:pPr>
            <w:r w:rsidRPr="00FC4F55">
              <w:rPr>
                <w:rFonts w:cs="Arial"/>
              </w:rPr>
              <w:t>24</w:t>
            </w:r>
          </w:p>
        </w:tc>
        <w:tc>
          <w:tcPr>
            <w:tcW w:w="1466" w:type="dxa"/>
            <w:tcBorders>
              <w:top w:val="single" w:sz="4" w:space="0" w:color="auto"/>
              <w:left w:val="single" w:sz="4" w:space="0" w:color="auto"/>
              <w:bottom w:val="single" w:sz="4" w:space="0" w:color="auto"/>
              <w:right w:val="single" w:sz="4" w:space="0" w:color="auto"/>
            </w:tcBorders>
            <w:vAlign w:val="center"/>
          </w:tcPr>
          <w:p w14:paraId="5E9D535B" w14:textId="77777777" w:rsidR="00F9165A" w:rsidRPr="00FC4F55" w:rsidRDefault="00F9165A" w:rsidP="00DA3B66">
            <w:pPr>
              <w:rPr>
                <w:rFonts w:cs="Arial"/>
              </w:rPr>
            </w:pPr>
            <w:r w:rsidRPr="00FC4F55">
              <w:rPr>
                <w:rFonts w:cs="Arial"/>
              </w:rPr>
              <w:t>3.2%</w:t>
            </w:r>
          </w:p>
        </w:tc>
      </w:tr>
      <w:tr w:rsidR="00F9165A" w:rsidRPr="003C7E62" w14:paraId="3EF4A948" w14:textId="77777777" w:rsidTr="00F906E1">
        <w:trPr>
          <w:trHeight w:val="690"/>
        </w:trPr>
        <w:tc>
          <w:tcPr>
            <w:tcW w:w="1134" w:type="dxa"/>
            <w:vMerge/>
            <w:tcBorders>
              <w:left w:val="single" w:sz="4" w:space="0" w:color="auto"/>
              <w:bottom w:val="single" w:sz="4" w:space="0" w:color="auto"/>
              <w:right w:val="single" w:sz="4" w:space="0" w:color="auto"/>
            </w:tcBorders>
            <w:vAlign w:val="center"/>
          </w:tcPr>
          <w:p w14:paraId="41A421F7" w14:textId="77777777" w:rsidR="00F9165A" w:rsidRPr="00851435" w:rsidRDefault="00F9165A" w:rsidP="00024CB3">
            <w:pPr>
              <w:spacing w:after="360" w:line="360" w:lineRule="auto"/>
              <w:rPr>
                <w:rFonts w:cs="Arial"/>
                <w:highlight w:val="yellow"/>
              </w:rPr>
            </w:pPr>
          </w:p>
        </w:tc>
        <w:tc>
          <w:tcPr>
            <w:tcW w:w="2410" w:type="dxa"/>
            <w:tcBorders>
              <w:top w:val="single" w:sz="4" w:space="0" w:color="auto"/>
              <w:left w:val="single" w:sz="4" w:space="0" w:color="auto"/>
              <w:bottom w:val="single" w:sz="4" w:space="0" w:color="auto"/>
              <w:right w:val="single" w:sz="4" w:space="0" w:color="auto"/>
            </w:tcBorders>
            <w:vAlign w:val="center"/>
          </w:tcPr>
          <w:p w14:paraId="50B7D4E0" w14:textId="77777777" w:rsidR="00F9165A" w:rsidRPr="00FC4F55" w:rsidRDefault="00F9165A" w:rsidP="00DA3B66">
            <w:pPr>
              <w:rPr>
                <w:rFonts w:cs="Arial"/>
              </w:rPr>
            </w:pPr>
            <w:r w:rsidRPr="00FC4F55">
              <w:rPr>
                <w:rFonts w:cs="Arial"/>
              </w:rPr>
              <w:t>Learning Disabilities</w:t>
            </w:r>
          </w:p>
        </w:tc>
        <w:tc>
          <w:tcPr>
            <w:tcW w:w="1275" w:type="dxa"/>
            <w:tcBorders>
              <w:top w:val="single" w:sz="4" w:space="0" w:color="auto"/>
              <w:left w:val="single" w:sz="4" w:space="0" w:color="auto"/>
              <w:bottom w:val="single" w:sz="4" w:space="0" w:color="auto"/>
              <w:right w:val="single" w:sz="4" w:space="0" w:color="auto"/>
            </w:tcBorders>
            <w:vAlign w:val="center"/>
          </w:tcPr>
          <w:p w14:paraId="376E6E8A" w14:textId="77777777" w:rsidR="00F9165A" w:rsidRPr="00FC4F55" w:rsidRDefault="00F9165A" w:rsidP="00DA3B66">
            <w:pPr>
              <w:rPr>
                <w:rFonts w:cs="Arial"/>
              </w:rPr>
            </w:pPr>
            <w:r w:rsidRPr="00FC4F55">
              <w:rPr>
                <w:rFonts w:cs="Arial"/>
              </w:rPr>
              <w:t>1,972</w:t>
            </w:r>
          </w:p>
        </w:tc>
        <w:tc>
          <w:tcPr>
            <w:tcW w:w="1134" w:type="dxa"/>
            <w:tcBorders>
              <w:top w:val="single" w:sz="4" w:space="0" w:color="auto"/>
              <w:left w:val="single" w:sz="4" w:space="0" w:color="auto"/>
              <w:bottom w:val="single" w:sz="4" w:space="0" w:color="auto"/>
              <w:right w:val="single" w:sz="4" w:space="0" w:color="auto"/>
            </w:tcBorders>
            <w:vAlign w:val="center"/>
          </w:tcPr>
          <w:p w14:paraId="229383D2" w14:textId="77777777" w:rsidR="00F9165A" w:rsidRPr="00FC4F55" w:rsidRDefault="00F9165A" w:rsidP="00DA3B66">
            <w:pPr>
              <w:rPr>
                <w:rFonts w:cs="Arial"/>
              </w:rPr>
            </w:pPr>
            <w:r w:rsidRPr="00FC4F55">
              <w:rPr>
                <w:rFonts w:cs="Arial"/>
              </w:rPr>
              <w:t>2,056</w:t>
            </w:r>
          </w:p>
        </w:tc>
        <w:tc>
          <w:tcPr>
            <w:tcW w:w="1134" w:type="dxa"/>
            <w:tcBorders>
              <w:top w:val="single" w:sz="4" w:space="0" w:color="auto"/>
              <w:left w:val="single" w:sz="4" w:space="0" w:color="auto"/>
              <w:bottom w:val="single" w:sz="4" w:space="0" w:color="auto"/>
              <w:right w:val="single" w:sz="4" w:space="0" w:color="auto"/>
            </w:tcBorders>
            <w:vAlign w:val="center"/>
          </w:tcPr>
          <w:p w14:paraId="1034C10B" w14:textId="77777777" w:rsidR="00F9165A" w:rsidRPr="00FC4F55" w:rsidRDefault="00F9165A" w:rsidP="00DA3B66">
            <w:pPr>
              <w:rPr>
                <w:rFonts w:cs="Arial"/>
              </w:rPr>
            </w:pPr>
            <w:r w:rsidRPr="00FC4F55">
              <w:rPr>
                <w:rFonts w:cs="Arial"/>
              </w:rPr>
              <w:t>84</w:t>
            </w:r>
          </w:p>
        </w:tc>
        <w:tc>
          <w:tcPr>
            <w:tcW w:w="1466" w:type="dxa"/>
            <w:tcBorders>
              <w:top w:val="single" w:sz="4" w:space="0" w:color="auto"/>
              <w:left w:val="single" w:sz="4" w:space="0" w:color="auto"/>
              <w:bottom w:val="single" w:sz="4" w:space="0" w:color="auto"/>
              <w:right w:val="single" w:sz="4" w:space="0" w:color="auto"/>
            </w:tcBorders>
            <w:vAlign w:val="center"/>
          </w:tcPr>
          <w:p w14:paraId="52DE8DD9" w14:textId="77777777" w:rsidR="00F9165A" w:rsidRPr="00FC4F55" w:rsidRDefault="00F9165A" w:rsidP="00DA3B66">
            <w:pPr>
              <w:rPr>
                <w:rFonts w:cs="Arial"/>
              </w:rPr>
            </w:pPr>
            <w:r w:rsidRPr="00FC4F55">
              <w:rPr>
                <w:rFonts w:cs="Arial"/>
              </w:rPr>
              <w:t>4.3%</w:t>
            </w:r>
          </w:p>
        </w:tc>
      </w:tr>
    </w:tbl>
    <w:p w14:paraId="29327755" w14:textId="15118B24" w:rsidR="00B845B1" w:rsidRDefault="00F906E1" w:rsidP="00F906E1">
      <w:pPr>
        <w:pStyle w:val="Heading3"/>
        <w:ind w:firstLine="720"/>
      </w:pPr>
      <w:r>
        <w:t xml:space="preserve">  </w:t>
      </w:r>
      <w:r w:rsidR="00B845B1">
        <w:t>Table 8:</w:t>
      </w:r>
      <w:r w:rsidR="00B845B1" w:rsidRPr="00B845B1">
        <w:t xml:space="preserve"> </w:t>
      </w:r>
      <w:r w:rsidR="00B845B1" w:rsidRPr="00FC4F55">
        <w:t>Projected Change to Younger Adults with Disabilities</w:t>
      </w:r>
    </w:p>
    <w:p w14:paraId="34EDEF14" w14:textId="77777777" w:rsidR="00B845B1" w:rsidRPr="005E25A8" w:rsidRDefault="00B845B1" w:rsidP="00F906E1">
      <w:pPr>
        <w:spacing w:before="0"/>
        <w:ind w:left="993" w:hanging="142"/>
        <w:rPr>
          <w:rFonts w:eastAsia="Arial"/>
          <w:sz w:val="22"/>
          <w:szCs w:val="22"/>
          <w:lang w:eastAsia="en-US"/>
        </w:rPr>
      </w:pPr>
      <w:r w:rsidRPr="005E25A8">
        <w:rPr>
          <w:rFonts w:eastAsia="Arial"/>
          <w:sz w:val="22"/>
          <w:szCs w:val="22"/>
          <w:lang w:eastAsia="en-US"/>
        </w:rPr>
        <w:t xml:space="preserve">Source: </w:t>
      </w:r>
      <w:r w:rsidRPr="005E25A8">
        <w:rPr>
          <w:rFonts w:eastAsia="Arial" w:cs="Arial"/>
          <w:sz w:val="22"/>
          <w:szCs w:val="22"/>
        </w:rPr>
        <w:t>Greater Nottingham &amp; Ashfield Housing Needs Assessment 2020</w:t>
      </w:r>
    </w:p>
    <w:p w14:paraId="17D0D33B" w14:textId="77777777" w:rsidR="00F9165A" w:rsidRPr="003C7E62" w:rsidRDefault="00F9165A" w:rsidP="00F9165A">
      <w:pPr>
        <w:keepNext w:val="0"/>
        <w:spacing w:before="0"/>
        <w:ind w:left="851"/>
        <w:jc w:val="both"/>
        <w:rPr>
          <w:rFonts w:cs="Arial"/>
          <w:color w:val="auto"/>
          <w:szCs w:val="24"/>
        </w:rPr>
      </w:pPr>
    </w:p>
    <w:p w14:paraId="4640AB1D" w14:textId="77777777" w:rsidR="00F9165A" w:rsidRPr="00F9165A" w:rsidRDefault="00AE58B3" w:rsidP="00874A98">
      <w:pPr>
        <w:pStyle w:val="ListParagraph"/>
        <w:numPr>
          <w:ilvl w:val="1"/>
          <w:numId w:val="92"/>
        </w:numPr>
        <w:autoSpaceDE w:val="0"/>
        <w:autoSpaceDN w:val="0"/>
        <w:adjustRightInd w:val="0"/>
        <w:spacing w:after="0" w:line="240" w:lineRule="auto"/>
        <w:ind w:left="851" w:hanging="851"/>
        <w:rPr>
          <w:rFonts w:ascii="Arial" w:hAnsi="Arial" w:cs="Arial"/>
          <w:color w:val="auto"/>
          <w:szCs w:val="24"/>
        </w:rPr>
      </w:pPr>
      <w:r w:rsidRPr="00F9165A">
        <w:rPr>
          <w:rFonts w:ascii="Arial" w:hAnsi="Arial" w:cs="Arial"/>
          <w:szCs w:val="24"/>
        </w:rPr>
        <w:t>The projected change shown in the number of older persons and younger adults with disabilities provides clear evidence justifying delivering ‘accessible and adaptable’ homes as defined in Part M4(2) of Building Regulations, subject to viability testing and site suitability and, where possible, ‘fully adapted homes’ as defined in Part M4(3) of the same document.</w:t>
      </w:r>
    </w:p>
    <w:p w14:paraId="39F160F6" w14:textId="77777777" w:rsidR="00F9165A" w:rsidRPr="00F9165A" w:rsidRDefault="00F9165A" w:rsidP="00F9165A">
      <w:pPr>
        <w:pStyle w:val="ListParagraph"/>
        <w:spacing w:after="0" w:line="240" w:lineRule="auto"/>
        <w:rPr>
          <w:rFonts w:ascii="Arial" w:hAnsi="Arial" w:cs="Arial"/>
          <w:szCs w:val="24"/>
        </w:rPr>
      </w:pPr>
    </w:p>
    <w:p w14:paraId="5461708C" w14:textId="77777777" w:rsidR="00F9165A" w:rsidRPr="00F9165A" w:rsidRDefault="00AE58B3" w:rsidP="00874A98">
      <w:pPr>
        <w:pStyle w:val="ListParagraph"/>
        <w:numPr>
          <w:ilvl w:val="1"/>
          <w:numId w:val="92"/>
        </w:numPr>
        <w:autoSpaceDE w:val="0"/>
        <w:autoSpaceDN w:val="0"/>
        <w:adjustRightInd w:val="0"/>
        <w:spacing w:after="0" w:line="240" w:lineRule="auto"/>
        <w:ind w:left="851" w:hanging="851"/>
        <w:rPr>
          <w:rFonts w:ascii="Arial" w:hAnsi="Arial" w:cs="Arial"/>
          <w:color w:val="auto"/>
          <w:szCs w:val="24"/>
        </w:rPr>
      </w:pPr>
      <w:r w:rsidRPr="00F9165A">
        <w:rPr>
          <w:rFonts w:ascii="Arial" w:hAnsi="Arial" w:cs="Arial"/>
          <w:szCs w:val="24"/>
        </w:rPr>
        <w:t>The PPG for Housing for Older and Disabled People [63-006] refers only to specialist housing for older people; however, the Council acknowledges the importance of supporting specialist housing schemes for younger adults which could come forward – particularly those aimed at supporting those with autistic spectrum disorders and learning disabilities given these disabilities are expected to see an increase.</w:t>
      </w:r>
    </w:p>
    <w:p w14:paraId="39278167" w14:textId="77777777" w:rsidR="00F9165A" w:rsidRPr="00F9165A" w:rsidRDefault="00F9165A" w:rsidP="00F9165A">
      <w:pPr>
        <w:pStyle w:val="ListParagraph"/>
        <w:spacing w:after="0" w:line="240" w:lineRule="auto"/>
        <w:rPr>
          <w:rFonts w:ascii="Arial" w:hAnsi="Arial" w:cs="Arial"/>
          <w:szCs w:val="24"/>
        </w:rPr>
      </w:pPr>
    </w:p>
    <w:p w14:paraId="059950E4" w14:textId="77777777" w:rsidR="00F9165A" w:rsidRPr="00F9165A" w:rsidRDefault="00AE58B3" w:rsidP="00874A98">
      <w:pPr>
        <w:pStyle w:val="ListParagraph"/>
        <w:numPr>
          <w:ilvl w:val="1"/>
          <w:numId w:val="92"/>
        </w:numPr>
        <w:autoSpaceDE w:val="0"/>
        <w:autoSpaceDN w:val="0"/>
        <w:adjustRightInd w:val="0"/>
        <w:spacing w:after="0" w:line="240" w:lineRule="auto"/>
        <w:ind w:left="851" w:hanging="851"/>
        <w:rPr>
          <w:rFonts w:ascii="Arial" w:hAnsi="Arial" w:cs="Arial"/>
          <w:color w:val="auto"/>
          <w:szCs w:val="24"/>
        </w:rPr>
      </w:pPr>
      <w:r w:rsidRPr="00F9165A">
        <w:rPr>
          <w:rFonts w:ascii="Arial" w:hAnsi="Arial" w:cs="Arial"/>
          <w:szCs w:val="24"/>
        </w:rPr>
        <w:t>In line with the PPG, some older households, particularly those aged over 75, will require specialist housing provision. For Ashfield, the analysis points to a need for 2,463 units of housing with support, and 948 units of housing with care.</w:t>
      </w:r>
    </w:p>
    <w:p w14:paraId="65C0FDD0" w14:textId="77777777" w:rsidR="00F9165A" w:rsidRPr="00F9165A" w:rsidRDefault="00F9165A" w:rsidP="00F9165A">
      <w:pPr>
        <w:pStyle w:val="ListParagraph"/>
        <w:spacing w:after="0" w:line="240" w:lineRule="auto"/>
        <w:rPr>
          <w:rFonts w:ascii="Arial" w:hAnsi="Arial" w:cs="Arial"/>
          <w:szCs w:val="24"/>
        </w:rPr>
      </w:pPr>
    </w:p>
    <w:p w14:paraId="2F70D103" w14:textId="77777777" w:rsidR="00F9165A" w:rsidRPr="00F9165A" w:rsidRDefault="00AE58B3" w:rsidP="00874A98">
      <w:pPr>
        <w:pStyle w:val="ListParagraph"/>
        <w:numPr>
          <w:ilvl w:val="1"/>
          <w:numId w:val="92"/>
        </w:numPr>
        <w:autoSpaceDE w:val="0"/>
        <w:autoSpaceDN w:val="0"/>
        <w:adjustRightInd w:val="0"/>
        <w:spacing w:after="0" w:line="240" w:lineRule="auto"/>
        <w:ind w:left="851" w:hanging="851"/>
        <w:rPr>
          <w:rFonts w:ascii="Arial" w:hAnsi="Arial" w:cs="Arial"/>
          <w:color w:val="auto"/>
          <w:szCs w:val="24"/>
        </w:rPr>
      </w:pPr>
      <w:r w:rsidRPr="00F9165A">
        <w:rPr>
          <w:rFonts w:ascii="Arial" w:hAnsi="Arial" w:cs="Arial"/>
          <w:szCs w:val="24"/>
        </w:rPr>
        <w:t>A need for around 3,203 wheelchair accessible dwellings for wheelchair users across the Greater Nottingham and Ashfield area has been identified, equivalent to 5% of the total housing need identified through the standard method. The Council consider that it would be appropriate to seek provision as part of major new-build schemes, subject to support from viability evidence studies and evaluation on a site-by-site basis.</w:t>
      </w:r>
    </w:p>
    <w:p w14:paraId="160F1DFC" w14:textId="6E357EDD" w:rsidR="00F9165A" w:rsidRDefault="00F9165A" w:rsidP="00F9165A">
      <w:pPr>
        <w:pStyle w:val="ListParagraph"/>
        <w:spacing w:after="0" w:line="240" w:lineRule="auto"/>
        <w:rPr>
          <w:rFonts w:ascii="Arial" w:hAnsi="Arial" w:cs="Arial"/>
          <w:szCs w:val="24"/>
        </w:rPr>
      </w:pPr>
    </w:p>
    <w:p w14:paraId="18656970" w14:textId="77777777" w:rsidR="00F9165A" w:rsidRPr="00F9165A" w:rsidRDefault="00F9165A" w:rsidP="00F9165A">
      <w:pPr>
        <w:keepNext w:val="0"/>
        <w:spacing w:before="0"/>
        <w:rPr>
          <w:rFonts w:cs="Arial"/>
          <w:szCs w:val="24"/>
        </w:rPr>
      </w:pPr>
    </w:p>
    <w:tbl>
      <w:tblPr>
        <w:tblStyle w:val="ReportTable1"/>
        <w:tblW w:w="8647" w:type="dxa"/>
        <w:tblInd w:w="846" w:type="dxa"/>
        <w:tblLayout w:type="fixed"/>
        <w:tblLook w:val="04A0" w:firstRow="1" w:lastRow="0" w:firstColumn="1" w:lastColumn="0" w:noHBand="0" w:noVBand="1"/>
      </w:tblPr>
      <w:tblGrid>
        <w:gridCol w:w="1729"/>
        <w:gridCol w:w="2098"/>
        <w:gridCol w:w="1606"/>
        <w:gridCol w:w="1607"/>
        <w:gridCol w:w="1607"/>
      </w:tblGrid>
      <w:tr w:rsidR="00F9165A" w:rsidRPr="003C7E62" w14:paraId="31CE8002" w14:textId="77777777" w:rsidTr="006977E7">
        <w:tc>
          <w:tcPr>
            <w:tcW w:w="8647"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58A9DA5" w14:textId="3B3E497E" w:rsidR="00F9165A" w:rsidRPr="003C7E62" w:rsidRDefault="00F9165A" w:rsidP="00024CB3">
            <w:pPr>
              <w:tabs>
                <w:tab w:val="left" w:pos="720"/>
              </w:tabs>
              <w:spacing w:before="60" w:after="60"/>
              <w:rPr>
                <w:rFonts w:cs="Arial"/>
                <w:b/>
              </w:rPr>
            </w:pPr>
            <w:r w:rsidRPr="003C7E62">
              <w:rPr>
                <w:rFonts w:cs="Arial"/>
                <w:b/>
              </w:rPr>
              <w:t>The Need for Specialist Accommodation for Older People, 2020-38</w:t>
            </w:r>
          </w:p>
        </w:tc>
      </w:tr>
      <w:tr w:rsidR="00F9165A" w:rsidRPr="003C7E62" w14:paraId="1D2A9C78" w14:textId="77777777" w:rsidTr="006977E7">
        <w:tc>
          <w:tcPr>
            <w:tcW w:w="172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A11A7FD" w14:textId="77777777" w:rsidR="00F9165A" w:rsidRPr="003C7E62" w:rsidRDefault="00F9165A" w:rsidP="00024CB3">
            <w:pPr>
              <w:tabs>
                <w:tab w:val="left" w:pos="720"/>
              </w:tabs>
              <w:spacing w:before="60" w:after="60"/>
              <w:rPr>
                <w:rFonts w:cs="Arial"/>
                <w:b/>
              </w:rPr>
            </w:pPr>
            <w:r w:rsidRPr="003C7E62">
              <w:rPr>
                <w:rFonts w:cs="Arial"/>
                <w:b/>
              </w:rPr>
              <w:t>Council</w:t>
            </w:r>
          </w:p>
        </w:tc>
        <w:tc>
          <w:tcPr>
            <w:tcW w:w="209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26677E3" w14:textId="77777777" w:rsidR="00F9165A" w:rsidRPr="003C7E62" w:rsidRDefault="00F9165A" w:rsidP="00024CB3">
            <w:pPr>
              <w:tabs>
                <w:tab w:val="left" w:pos="720"/>
              </w:tabs>
              <w:spacing w:before="60" w:after="60"/>
              <w:rPr>
                <w:rFonts w:cs="Arial"/>
                <w:b/>
              </w:rPr>
            </w:pPr>
            <w:r w:rsidRPr="003C7E62">
              <w:rPr>
                <w:rFonts w:cs="Arial"/>
                <w:b/>
              </w:rPr>
              <w:t>Accommodation</w:t>
            </w:r>
          </w:p>
        </w:tc>
        <w:tc>
          <w:tcPr>
            <w:tcW w:w="160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0123DA4" w14:textId="77777777" w:rsidR="00F9165A" w:rsidRPr="003C7E62" w:rsidRDefault="00F9165A" w:rsidP="006977E7">
            <w:pPr>
              <w:tabs>
                <w:tab w:val="left" w:pos="720"/>
              </w:tabs>
              <w:spacing w:before="60" w:after="60"/>
              <w:jc w:val="center"/>
              <w:rPr>
                <w:rFonts w:cs="Arial"/>
                <w:b/>
              </w:rPr>
            </w:pPr>
            <w:r w:rsidRPr="003C7E62">
              <w:rPr>
                <w:rFonts w:cs="Arial"/>
                <w:b/>
              </w:rPr>
              <w:t>Rented</w:t>
            </w:r>
          </w:p>
        </w:tc>
        <w:tc>
          <w:tcPr>
            <w:tcW w:w="16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6D3B849" w14:textId="77777777" w:rsidR="00F9165A" w:rsidRPr="003C7E62" w:rsidRDefault="00F9165A" w:rsidP="006977E7">
            <w:pPr>
              <w:tabs>
                <w:tab w:val="left" w:pos="720"/>
              </w:tabs>
              <w:spacing w:before="60" w:after="60"/>
              <w:jc w:val="center"/>
              <w:rPr>
                <w:rFonts w:cs="Arial"/>
                <w:b/>
              </w:rPr>
            </w:pPr>
            <w:r w:rsidRPr="003C7E62">
              <w:rPr>
                <w:rFonts w:cs="Arial"/>
                <w:b/>
              </w:rPr>
              <w:t>Leasehold</w:t>
            </w:r>
          </w:p>
        </w:tc>
        <w:tc>
          <w:tcPr>
            <w:tcW w:w="16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3519E16" w14:textId="77777777" w:rsidR="00F9165A" w:rsidRPr="003C7E62" w:rsidRDefault="00F9165A" w:rsidP="006977E7">
            <w:pPr>
              <w:tabs>
                <w:tab w:val="left" w:pos="720"/>
              </w:tabs>
              <w:spacing w:before="60" w:after="60"/>
              <w:jc w:val="center"/>
              <w:rPr>
                <w:rFonts w:cs="Arial"/>
                <w:b/>
              </w:rPr>
            </w:pPr>
            <w:r w:rsidRPr="003C7E62">
              <w:rPr>
                <w:rFonts w:cs="Arial"/>
                <w:b/>
              </w:rPr>
              <w:t>Total</w:t>
            </w:r>
          </w:p>
        </w:tc>
      </w:tr>
      <w:tr w:rsidR="00F9165A" w:rsidRPr="003C7E62" w14:paraId="7CA5A53D" w14:textId="77777777" w:rsidTr="006977E7">
        <w:tc>
          <w:tcPr>
            <w:tcW w:w="1729" w:type="dxa"/>
            <w:vMerge w:val="restart"/>
            <w:tcBorders>
              <w:top w:val="single" w:sz="4" w:space="0" w:color="auto"/>
              <w:left w:val="single" w:sz="4" w:space="0" w:color="auto"/>
              <w:right w:val="single" w:sz="4" w:space="0" w:color="auto"/>
            </w:tcBorders>
            <w:vAlign w:val="center"/>
          </w:tcPr>
          <w:p w14:paraId="06C15F6B" w14:textId="77777777" w:rsidR="00F9165A" w:rsidRPr="003C7E62" w:rsidRDefault="00F9165A" w:rsidP="00024CB3">
            <w:pPr>
              <w:tabs>
                <w:tab w:val="left" w:pos="720"/>
              </w:tabs>
              <w:spacing w:before="60" w:after="60"/>
              <w:rPr>
                <w:rFonts w:cs="Arial"/>
                <w:color w:val="000000"/>
              </w:rPr>
            </w:pPr>
            <w:r w:rsidRPr="003C7E62">
              <w:rPr>
                <w:rFonts w:cs="Arial"/>
                <w:color w:val="000000"/>
              </w:rPr>
              <w:t>Ashfield</w:t>
            </w:r>
          </w:p>
        </w:tc>
        <w:tc>
          <w:tcPr>
            <w:tcW w:w="2098" w:type="dxa"/>
            <w:tcBorders>
              <w:top w:val="single" w:sz="4" w:space="0" w:color="auto"/>
              <w:left w:val="single" w:sz="4" w:space="0" w:color="auto"/>
              <w:bottom w:val="single" w:sz="4" w:space="0" w:color="auto"/>
              <w:right w:val="single" w:sz="4" w:space="0" w:color="auto"/>
            </w:tcBorders>
            <w:hideMark/>
          </w:tcPr>
          <w:p w14:paraId="43764BB6" w14:textId="77777777" w:rsidR="00F9165A" w:rsidRPr="003C7E62" w:rsidRDefault="00F9165A" w:rsidP="00024CB3">
            <w:pPr>
              <w:tabs>
                <w:tab w:val="left" w:pos="720"/>
              </w:tabs>
              <w:spacing w:before="60" w:after="60"/>
              <w:rPr>
                <w:rFonts w:cs="Arial"/>
              </w:rPr>
            </w:pPr>
            <w:r w:rsidRPr="003C7E62">
              <w:rPr>
                <w:rFonts w:cs="Arial"/>
                <w:color w:val="000000"/>
              </w:rPr>
              <w:t>Housing with Support</w:t>
            </w:r>
          </w:p>
        </w:tc>
        <w:tc>
          <w:tcPr>
            <w:tcW w:w="1606" w:type="dxa"/>
            <w:tcBorders>
              <w:top w:val="single" w:sz="4" w:space="0" w:color="auto"/>
              <w:left w:val="single" w:sz="4" w:space="0" w:color="auto"/>
              <w:bottom w:val="single" w:sz="4" w:space="0" w:color="auto"/>
              <w:right w:val="single" w:sz="4" w:space="0" w:color="auto"/>
            </w:tcBorders>
            <w:vAlign w:val="bottom"/>
          </w:tcPr>
          <w:p w14:paraId="2C4355AB" w14:textId="77777777" w:rsidR="00F9165A" w:rsidRPr="003C7E62" w:rsidRDefault="00F9165A" w:rsidP="00024CB3">
            <w:pPr>
              <w:tabs>
                <w:tab w:val="left" w:pos="720"/>
              </w:tabs>
              <w:spacing w:before="60" w:after="60"/>
              <w:jc w:val="center"/>
              <w:rPr>
                <w:rFonts w:cs="Arial"/>
                <w:color w:val="000000"/>
              </w:rPr>
            </w:pPr>
            <w:r w:rsidRPr="003C7E62">
              <w:rPr>
                <w:rFonts w:cs="Arial"/>
                <w:color w:val="000000"/>
              </w:rPr>
              <w:t>1,037</w:t>
            </w:r>
          </w:p>
        </w:tc>
        <w:tc>
          <w:tcPr>
            <w:tcW w:w="1607" w:type="dxa"/>
            <w:tcBorders>
              <w:top w:val="single" w:sz="4" w:space="0" w:color="auto"/>
              <w:left w:val="single" w:sz="4" w:space="0" w:color="auto"/>
              <w:bottom w:val="single" w:sz="4" w:space="0" w:color="auto"/>
              <w:right w:val="single" w:sz="4" w:space="0" w:color="auto"/>
            </w:tcBorders>
            <w:vAlign w:val="bottom"/>
          </w:tcPr>
          <w:p w14:paraId="2E3A3EB7" w14:textId="77777777" w:rsidR="00F9165A" w:rsidRPr="003C7E62" w:rsidRDefault="00F9165A" w:rsidP="00024CB3">
            <w:pPr>
              <w:tabs>
                <w:tab w:val="left" w:pos="720"/>
              </w:tabs>
              <w:spacing w:before="60" w:after="60"/>
              <w:jc w:val="center"/>
              <w:rPr>
                <w:rFonts w:cs="Arial"/>
                <w:color w:val="000000"/>
              </w:rPr>
            </w:pPr>
            <w:r w:rsidRPr="003C7E62">
              <w:rPr>
                <w:rFonts w:cs="Arial"/>
                <w:color w:val="000000"/>
              </w:rPr>
              <w:t>1,426</w:t>
            </w:r>
          </w:p>
        </w:tc>
        <w:tc>
          <w:tcPr>
            <w:tcW w:w="1607" w:type="dxa"/>
            <w:tcBorders>
              <w:top w:val="single" w:sz="4" w:space="0" w:color="auto"/>
              <w:left w:val="single" w:sz="4" w:space="0" w:color="auto"/>
              <w:bottom w:val="single" w:sz="4" w:space="0" w:color="auto"/>
              <w:right w:val="single" w:sz="4" w:space="0" w:color="auto"/>
            </w:tcBorders>
            <w:vAlign w:val="bottom"/>
          </w:tcPr>
          <w:p w14:paraId="0B84B1CC" w14:textId="77777777" w:rsidR="00F9165A" w:rsidRPr="003C7E62" w:rsidRDefault="00F9165A" w:rsidP="00024CB3">
            <w:pPr>
              <w:tabs>
                <w:tab w:val="left" w:pos="720"/>
              </w:tabs>
              <w:spacing w:before="60" w:after="60"/>
              <w:jc w:val="center"/>
              <w:rPr>
                <w:rFonts w:cs="Arial"/>
                <w:color w:val="000000"/>
              </w:rPr>
            </w:pPr>
            <w:r w:rsidRPr="003C7E62">
              <w:rPr>
                <w:rFonts w:cs="Arial"/>
                <w:color w:val="000000"/>
              </w:rPr>
              <w:t>2,463</w:t>
            </w:r>
          </w:p>
        </w:tc>
      </w:tr>
      <w:tr w:rsidR="00F9165A" w:rsidRPr="003C7E62" w14:paraId="3E68B0D1" w14:textId="77777777" w:rsidTr="006977E7">
        <w:tc>
          <w:tcPr>
            <w:tcW w:w="1729" w:type="dxa"/>
            <w:vMerge/>
            <w:tcBorders>
              <w:left w:val="single" w:sz="4" w:space="0" w:color="auto"/>
              <w:bottom w:val="single" w:sz="4" w:space="0" w:color="auto"/>
              <w:right w:val="single" w:sz="4" w:space="0" w:color="auto"/>
            </w:tcBorders>
            <w:vAlign w:val="center"/>
          </w:tcPr>
          <w:p w14:paraId="79C115F5" w14:textId="77777777" w:rsidR="00F9165A" w:rsidRPr="003C7E62" w:rsidRDefault="00F9165A" w:rsidP="00024CB3">
            <w:pPr>
              <w:tabs>
                <w:tab w:val="left" w:pos="720"/>
              </w:tabs>
              <w:spacing w:before="60" w:after="60"/>
              <w:rPr>
                <w:rFonts w:cs="Arial"/>
                <w:color w:val="000000"/>
              </w:rPr>
            </w:pPr>
          </w:p>
        </w:tc>
        <w:tc>
          <w:tcPr>
            <w:tcW w:w="2098" w:type="dxa"/>
            <w:tcBorders>
              <w:top w:val="single" w:sz="4" w:space="0" w:color="auto"/>
              <w:left w:val="single" w:sz="4" w:space="0" w:color="auto"/>
              <w:bottom w:val="single" w:sz="4" w:space="0" w:color="auto"/>
              <w:right w:val="single" w:sz="4" w:space="0" w:color="auto"/>
            </w:tcBorders>
            <w:hideMark/>
          </w:tcPr>
          <w:p w14:paraId="7F74617E" w14:textId="77777777" w:rsidR="00F9165A" w:rsidRPr="003C7E62" w:rsidRDefault="00F9165A" w:rsidP="00024CB3">
            <w:pPr>
              <w:tabs>
                <w:tab w:val="left" w:pos="720"/>
              </w:tabs>
              <w:spacing w:before="60" w:after="60"/>
              <w:rPr>
                <w:rFonts w:cs="Arial"/>
              </w:rPr>
            </w:pPr>
            <w:r w:rsidRPr="003C7E62">
              <w:rPr>
                <w:rFonts w:cs="Arial"/>
                <w:color w:val="000000"/>
              </w:rPr>
              <w:t>Housing with Care</w:t>
            </w:r>
          </w:p>
        </w:tc>
        <w:tc>
          <w:tcPr>
            <w:tcW w:w="1606" w:type="dxa"/>
            <w:tcBorders>
              <w:top w:val="single" w:sz="4" w:space="0" w:color="auto"/>
              <w:left w:val="single" w:sz="4" w:space="0" w:color="auto"/>
              <w:bottom w:val="single" w:sz="4" w:space="0" w:color="auto"/>
              <w:right w:val="single" w:sz="4" w:space="0" w:color="auto"/>
            </w:tcBorders>
            <w:vAlign w:val="bottom"/>
          </w:tcPr>
          <w:p w14:paraId="2ECD2AF7" w14:textId="77777777" w:rsidR="00F9165A" w:rsidRPr="003C7E62" w:rsidRDefault="00F9165A" w:rsidP="00024CB3">
            <w:pPr>
              <w:tabs>
                <w:tab w:val="left" w:pos="720"/>
              </w:tabs>
              <w:spacing w:before="60" w:after="60"/>
              <w:jc w:val="center"/>
              <w:rPr>
                <w:rFonts w:cs="Arial"/>
                <w:color w:val="000000"/>
              </w:rPr>
            </w:pPr>
            <w:r w:rsidRPr="003C7E62">
              <w:rPr>
                <w:rFonts w:cs="Arial"/>
                <w:color w:val="000000"/>
              </w:rPr>
              <w:t>507</w:t>
            </w:r>
          </w:p>
        </w:tc>
        <w:tc>
          <w:tcPr>
            <w:tcW w:w="1607" w:type="dxa"/>
            <w:tcBorders>
              <w:top w:val="single" w:sz="4" w:space="0" w:color="auto"/>
              <w:left w:val="single" w:sz="4" w:space="0" w:color="auto"/>
              <w:bottom w:val="single" w:sz="4" w:space="0" w:color="auto"/>
              <w:right w:val="single" w:sz="4" w:space="0" w:color="auto"/>
            </w:tcBorders>
            <w:vAlign w:val="bottom"/>
          </w:tcPr>
          <w:p w14:paraId="0FF619E1" w14:textId="77777777" w:rsidR="00F9165A" w:rsidRPr="003C7E62" w:rsidRDefault="00F9165A" w:rsidP="00024CB3">
            <w:pPr>
              <w:tabs>
                <w:tab w:val="left" w:pos="720"/>
              </w:tabs>
              <w:spacing w:before="60" w:after="60"/>
              <w:jc w:val="center"/>
              <w:rPr>
                <w:rFonts w:cs="Arial"/>
                <w:color w:val="000000"/>
              </w:rPr>
            </w:pPr>
            <w:r w:rsidRPr="003C7E62">
              <w:rPr>
                <w:rFonts w:cs="Arial"/>
                <w:color w:val="000000"/>
              </w:rPr>
              <w:t>441</w:t>
            </w:r>
          </w:p>
        </w:tc>
        <w:tc>
          <w:tcPr>
            <w:tcW w:w="1607" w:type="dxa"/>
            <w:tcBorders>
              <w:top w:val="single" w:sz="4" w:space="0" w:color="auto"/>
              <w:left w:val="single" w:sz="4" w:space="0" w:color="auto"/>
              <w:bottom w:val="single" w:sz="4" w:space="0" w:color="auto"/>
              <w:right w:val="single" w:sz="4" w:space="0" w:color="auto"/>
            </w:tcBorders>
            <w:vAlign w:val="bottom"/>
          </w:tcPr>
          <w:p w14:paraId="6F4B7F89" w14:textId="77777777" w:rsidR="00F9165A" w:rsidRPr="003C7E62" w:rsidRDefault="00F9165A" w:rsidP="00024CB3">
            <w:pPr>
              <w:tabs>
                <w:tab w:val="left" w:pos="720"/>
              </w:tabs>
              <w:spacing w:before="60" w:after="60"/>
              <w:jc w:val="center"/>
              <w:rPr>
                <w:rFonts w:cs="Arial"/>
                <w:color w:val="000000"/>
              </w:rPr>
            </w:pPr>
            <w:r w:rsidRPr="003C7E62">
              <w:rPr>
                <w:rFonts w:cs="Arial"/>
                <w:color w:val="000000"/>
              </w:rPr>
              <w:t>948</w:t>
            </w:r>
          </w:p>
        </w:tc>
      </w:tr>
    </w:tbl>
    <w:p w14:paraId="6A77FE58" w14:textId="019F83DE" w:rsidR="00F9165A" w:rsidRDefault="00F906E1" w:rsidP="00F906E1">
      <w:pPr>
        <w:pStyle w:val="Heading3"/>
      </w:pPr>
      <w:r>
        <w:t xml:space="preserve">    </w:t>
      </w:r>
      <w:r w:rsidR="00B845B1">
        <w:t>Table 9:</w:t>
      </w:r>
      <w:r w:rsidR="00B845B1" w:rsidRPr="00B845B1">
        <w:t xml:space="preserve"> </w:t>
      </w:r>
      <w:r w:rsidR="00B845B1" w:rsidRPr="003C7E62">
        <w:t>Need for Specialist Accommodation for Older People, 2020-38</w:t>
      </w:r>
    </w:p>
    <w:p w14:paraId="6B6D77FF" w14:textId="77777777" w:rsidR="00B845B1" w:rsidRPr="005E25A8" w:rsidRDefault="00B845B1" w:rsidP="00F906E1">
      <w:pPr>
        <w:spacing w:before="0"/>
        <w:ind w:left="993" w:hanging="142"/>
        <w:rPr>
          <w:rFonts w:eastAsia="Arial"/>
          <w:sz w:val="22"/>
          <w:szCs w:val="22"/>
          <w:lang w:eastAsia="en-US"/>
        </w:rPr>
      </w:pPr>
      <w:r w:rsidRPr="005E25A8">
        <w:rPr>
          <w:rFonts w:eastAsia="Arial"/>
          <w:sz w:val="22"/>
          <w:szCs w:val="22"/>
          <w:lang w:eastAsia="en-US"/>
        </w:rPr>
        <w:t xml:space="preserve">Source: </w:t>
      </w:r>
      <w:r w:rsidRPr="005E25A8">
        <w:rPr>
          <w:rFonts w:eastAsia="Arial" w:cs="Arial"/>
          <w:sz w:val="22"/>
          <w:szCs w:val="22"/>
        </w:rPr>
        <w:t>Greater Nottingham &amp; Ashfield Housing Needs Assessment 2020</w:t>
      </w:r>
    </w:p>
    <w:p w14:paraId="7BDF7050" w14:textId="77777777" w:rsidR="00B845B1" w:rsidRPr="00B845B1" w:rsidRDefault="00B845B1" w:rsidP="00B845B1">
      <w:pPr>
        <w:rPr>
          <w:lang w:eastAsia="en-US"/>
        </w:rPr>
      </w:pPr>
    </w:p>
    <w:p w14:paraId="228CA0F7" w14:textId="77777777" w:rsidR="00F9165A" w:rsidRPr="00F9165A" w:rsidRDefault="00AE58B3" w:rsidP="00874A98">
      <w:pPr>
        <w:pStyle w:val="ListParagraph"/>
        <w:numPr>
          <w:ilvl w:val="1"/>
          <w:numId w:val="92"/>
        </w:numPr>
        <w:autoSpaceDE w:val="0"/>
        <w:autoSpaceDN w:val="0"/>
        <w:adjustRightInd w:val="0"/>
        <w:spacing w:after="0" w:line="240" w:lineRule="auto"/>
        <w:ind w:left="851" w:hanging="851"/>
        <w:rPr>
          <w:rFonts w:ascii="Arial" w:hAnsi="Arial" w:cs="Arial"/>
          <w:color w:val="auto"/>
          <w:szCs w:val="24"/>
        </w:rPr>
      </w:pPr>
      <w:r w:rsidRPr="00F9165A">
        <w:rPr>
          <w:rFonts w:ascii="Arial" w:hAnsi="Arial" w:cs="Arial"/>
          <w:szCs w:val="24"/>
        </w:rPr>
        <w:t>It is important to support the delivery of specialist housing in particular as a by-product of doing so will be the release of existing mainstream housing, including family housing, for other groups within the community. This may include sheltered housing, retirement schemes and extra care housing</w:t>
      </w:r>
      <w:r w:rsidRPr="00F9165A">
        <w:rPr>
          <w:rFonts w:ascii="Arial" w:eastAsia="Arial" w:hAnsi="Arial" w:cs="Arial"/>
          <w:vertAlign w:val="superscript"/>
        </w:rPr>
        <w:footnoteReference w:id="95"/>
      </w:r>
      <w:r w:rsidRPr="00F9165A">
        <w:rPr>
          <w:rFonts w:ascii="Arial" w:hAnsi="Arial" w:cs="Arial"/>
          <w:szCs w:val="24"/>
        </w:rPr>
        <w:t xml:space="preserve">. It is also considered that the provision of adaptable dwellings will make a valuable contribution towards meeting the future needs of the elderly or those with disabilities, enabling them to stay in their own home if desired.  </w:t>
      </w:r>
      <w:r w:rsidRPr="00F9165A">
        <w:rPr>
          <w:rFonts w:ascii="Arial" w:eastAsia="Calibri" w:hAnsi="Arial" w:cs="Arial"/>
          <w:szCs w:val="24"/>
        </w:rPr>
        <w:t>For many vulnerable older people, having the chance to avoid residential care and live in specially designed housing as tenants or owner-occupiers is an important element in retaining independence and dignity in older age. Many such individuals can be cared for in their own homes, particularly with the development of assistive technology (telecare and telemedicine), use of appropriate aids or adaptations to the dwelling, and new models of housing related care and/or support services.</w:t>
      </w:r>
    </w:p>
    <w:p w14:paraId="0807EEF6" w14:textId="77777777" w:rsidR="00F9165A" w:rsidRPr="00F9165A" w:rsidRDefault="00F9165A" w:rsidP="00F9165A">
      <w:pPr>
        <w:pStyle w:val="ListParagraph"/>
        <w:spacing w:after="0" w:line="240" w:lineRule="auto"/>
        <w:rPr>
          <w:rFonts w:ascii="Arial" w:hAnsi="Arial" w:cs="Arial"/>
          <w:szCs w:val="24"/>
        </w:rPr>
      </w:pPr>
    </w:p>
    <w:p w14:paraId="661E57CC" w14:textId="77777777" w:rsidR="00F9165A" w:rsidRPr="00F9165A" w:rsidRDefault="00AE58B3" w:rsidP="00874A98">
      <w:pPr>
        <w:pStyle w:val="ListParagraph"/>
        <w:numPr>
          <w:ilvl w:val="1"/>
          <w:numId w:val="92"/>
        </w:numPr>
        <w:autoSpaceDE w:val="0"/>
        <w:autoSpaceDN w:val="0"/>
        <w:adjustRightInd w:val="0"/>
        <w:spacing w:after="0" w:line="240" w:lineRule="auto"/>
        <w:ind w:left="851" w:hanging="851"/>
        <w:rPr>
          <w:rFonts w:ascii="Arial" w:hAnsi="Arial" w:cs="Arial"/>
          <w:color w:val="auto"/>
          <w:szCs w:val="24"/>
        </w:rPr>
      </w:pPr>
      <w:r w:rsidRPr="00F9165A">
        <w:rPr>
          <w:rFonts w:ascii="Arial" w:hAnsi="Arial" w:cs="Arial"/>
          <w:szCs w:val="24"/>
        </w:rPr>
        <w:t>In light of the above evidence, the Council will require that 10% of new housing built as part of major housing developments (10 dwellings and over) is accessible and easily adaptable for occupation by the elderly or people with disabilities (to comply with Building Regulations M4 (Category 2). Site specific factors such as vulnerability to flooding and site topography may make it less suitable for M4 (2) compliant dwellings, particularly where</w:t>
      </w:r>
      <w:r w:rsidR="001C256D" w:rsidRPr="00F9165A">
        <w:rPr>
          <w:rFonts w:ascii="Arial" w:hAnsi="Arial" w:cs="Arial"/>
          <w:szCs w:val="24"/>
        </w:rPr>
        <w:t xml:space="preserve"> </w:t>
      </w:r>
      <w:r w:rsidRPr="00F9165A">
        <w:rPr>
          <w:rFonts w:ascii="Arial" w:hAnsi="Arial" w:cs="Arial"/>
          <w:szCs w:val="24"/>
        </w:rPr>
        <w:t>step-free access cannot be achieved or is not viable. Where step-free access is not possible, the requirement will not be applied.</w:t>
      </w:r>
    </w:p>
    <w:p w14:paraId="351B2512" w14:textId="77777777" w:rsidR="00F9165A" w:rsidRPr="00F9165A" w:rsidRDefault="00F9165A" w:rsidP="00F9165A">
      <w:pPr>
        <w:pStyle w:val="ListParagraph"/>
        <w:spacing w:after="0" w:line="240" w:lineRule="auto"/>
        <w:rPr>
          <w:rFonts w:ascii="Arial" w:hAnsi="Arial" w:cs="Arial"/>
          <w:szCs w:val="24"/>
        </w:rPr>
      </w:pPr>
    </w:p>
    <w:p w14:paraId="66F73EEA" w14:textId="77777777" w:rsidR="00F9165A" w:rsidRPr="00F9165A" w:rsidRDefault="00AE58B3" w:rsidP="00874A98">
      <w:pPr>
        <w:pStyle w:val="ListParagraph"/>
        <w:numPr>
          <w:ilvl w:val="1"/>
          <w:numId w:val="92"/>
        </w:numPr>
        <w:autoSpaceDE w:val="0"/>
        <w:autoSpaceDN w:val="0"/>
        <w:adjustRightInd w:val="0"/>
        <w:spacing w:after="0" w:line="240" w:lineRule="auto"/>
        <w:ind w:left="851" w:hanging="851"/>
        <w:rPr>
          <w:rFonts w:ascii="Arial" w:hAnsi="Arial" w:cs="Arial"/>
          <w:color w:val="auto"/>
          <w:szCs w:val="24"/>
        </w:rPr>
      </w:pPr>
      <w:r w:rsidRPr="00F9165A">
        <w:rPr>
          <w:rFonts w:ascii="Arial" w:hAnsi="Arial" w:cs="Arial"/>
          <w:szCs w:val="24"/>
        </w:rPr>
        <w:t>The requirement for 10% adaptable dwellings on large sites will contribute towards future needs for specialist housing.</w:t>
      </w:r>
      <w:r w:rsidRPr="00F9165A">
        <w:rPr>
          <w:rFonts w:ascii="Arial" w:eastAsia="Arial" w:hAnsi="Arial" w:cs="Arial"/>
          <w:b/>
        </w:rPr>
        <w:t xml:space="preserve"> </w:t>
      </w:r>
      <w:r w:rsidRPr="00F9165A">
        <w:rPr>
          <w:rFonts w:ascii="Arial" w:eastAsia="Arial" w:hAnsi="Arial" w:cs="Arial"/>
        </w:rPr>
        <w:t xml:space="preserve">The Council will also </w:t>
      </w:r>
      <w:r w:rsidRPr="00F9165A">
        <w:rPr>
          <w:rFonts w:ascii="Arial" w:eastAsia="Arial" w:hAnsi="Arial" w:cs="Arial"/>
          <w:color w:val="auto"/>
        </w:rPr>
        <w:t xml:space="preserve">encourage </w:t>
      </w:r>
      <w:r w:rsidRPr="00F9165A">
        <w:rPr>
          <w:rFonts w:ascii="Arial" w:eastAsia="Arial" w:hAnsi="Arial" w:cs="Arial"/>
        </w:rPr>
        <w:t xml:space="preserve">proposals which include supported/specialist accommodation and residential institutions, where they are in suitable </w:t>
      </w:r>
      <w:r w:rsidRPr="00F9165A">
        <w:rPr>
          <w:rFonts w:ascii="Arial" w:eastAsia="Arial" w:hAnsi="Arial" w:cs="Arial"/>
          <w:color w:val="auto"/>
        </w:rPr>
        <w:t>locations</w:t>
      </w:r>
      <w:r w:rsidRPr="00F9165A">
        <w:rPr>
          <w:rFonts w:ascii="Arial" w:eastAsia="Arial" w:hAnsi="Arial" w:cs="Arial"/>
          <w:b/>
        </w:rPr>
        <w:t>.</w:t>
      </w:r>
      <w:r w:rsidRPr="00F9165A">
        <w:rPr>
          <w:rFonts w:ascii="Arial" w:eastAsia="Arial" w:hAnsi="Arial" w:cs="Arial"/>
          <w:b/>
          <w:szCs w:val="24"/>
        </w:rPr>
        <w:t xml:space="preserve"> </w:t>
      </w:r>
      <w:r w:rsidRPr="00F9165A">
        <w:rPr>
          <w:rFonts w:ascii="Arial" w:hAnsi="Arial" w:cs="Arial"/>
          <w:szCs w:val="24"/>
        </w:rPr>
        <w:t xml:space="preserve">It is acknowledged that applications for this type of accommodation will contain mainly one-bed and two bed homes. The final mix of housing on such schemes will therefore be determined on a site by site basis according to identified needs in the locality (in consultation with the Council’s Housing Strategy team). </w:t>
      </w:r>
    </w:p>
    <w:p w14:paraId="36358215" w14:textId="77777777" w:rsidR="00F9165A" w:rsidRPr="00F9165A" w:rsidRDefault="00F9165A" w:rsidP="00F9165A">
      <w:pPr>
        <w:pStyle w:val="ListParagraph"/>
        <w:spacing w:after="0" w:line="240" w:lineRule="auto"/>
        <w:rPr>
          <w:rFonts w:ascii="Arial" w:hAnsi="Arial" w:cs="Arial"/>
          <w:szCs w:val="24"/>
        </w:rPr>
      </w:pPr>
    </w:p>
    <w:p w14:paraId="78F4034F" w14:textId="23CB76AA" w:rsidR="00F9165A" w:rsidRPr="00EC5B14" w:rsidRDefault="00AE58B3" w:rsidP="00874A98">
      <w:pPr>
        <w:pStyle w:val="ListParagraph"/>
        <w:numPr>
          <w:ilvl w:val="1"/>
          <w:numId w:val="92"/>
        </w:numPr>
        <w:autoSpaceDE w:val="0"/>
        <w:autoSpaceDN w:val="0"/>
        <w:adjustRightInd w:val="0"/>
        <w:spacing w:after="0" w:line="240" w:lineRule="auto"/>
        <w:ind w:left="851" w:hanging="851"/>
        <w:rPr>
          <w:rFonts w:ascii="Arial" w:hAnsi="Arial" w:cs="Arial"/>
          <w:color w:val="auto"/>
          <w:szCs w:val="24"/>
        </w:rPr>
      </w:pPr>
      <w:r w:rsidRPr="00EC5B14">
        <w:rPr>
          <w:rFonts w:ascii="Arial" w:hAnsi="Arial" w:cs="Arial"/>
          <w:szCs w:val="24"/>
        </w:rPr>
        <w:t xml:space="preserve">The HNA also identifies a need for 1,252 care home bedspaces across Ashfield to 2038.  For the avoidance of doubt, these are additional bedspaces and fall within a C2 use class. Netting off </w:t>
      </w:r>
      <w:r w:rsidR="00EC5B14" w:rsidRPr="00EC5B14">
        <w:rPr>
          <w:rFonts w:ascii="Arial" w:hAnsi="Arial" w:cs="Arial"/>
          <w:szCs w:val="24"/>
        </w:rPr>
        <w:t>9</w:t>
      </w:r>
      <w:r w:rsidRPr="00EC5B14">
        <w:rPr>
          <w:rFonts w:ascii="Arial" w:hAnsi="Arial" w:cs="Arial"/>
          <w:szCs w:val="24"/>
        </w:rPr>
        <w:t>5 new bed spaces delivered 2020-202</w:t>
      </w:r>
      <w:r w:rsidR="00EC5B14" w:rsidRPr="00EC5B14">
        <w:rPr>
          <w:rFonts w:ascii="Arial" w:hAnsi="Arial" w:cs="Arial"/>
          <w:szCs w:val="24"/>
        </w:rPr>
        <w:t>3</w:t>
      </w:r>
      <w:r w:rsidRPr="00EC5B14">
        <w:rPr>
          <w:rFonts w:ascii="Arial" w:hAnsi="Arial" w:cs="Arial"/>
          <w:szCs w:val="24"/>
        </w:rPr>
        <w:t>, the balance of requirement for 202</w:t>
      </w:r>
      <w:r w:rsidR="00EC5B14" w:rsidRPr="00EC5B14">
        <w:rPr>
          <w:rFonts w:ascii="Arial" w:hAnsi="Arial" w:cs="Arial"/>
          <w:szCs w:val="24"/>
        </w:rPr>
        <w:t>3</w:t>
      </w:r>
      <w:r w:rsidRPr="00EC5B14">
        <w:rPr>
          <w:rFonts w:ascii="Arial" w:hAnsi="Arial" w:cs="Arial"/>
          <w:szCs w:val="24"/>
        </w:rPr>
        <w:t xml:space="preserve"> to 2038 will be 11</w:t>
      </w:r>
      <w:r w:rsidR="00EC5B14" w:rsidRPr="00EC5B14">
        <w:rPr>
          <w:rFonts w:ascii="Arial" w:hAnsi="Arial" w:cs="Arial"/>
          <w:szCs w:val="24"/>
        </w:rPr>
        <w:t>4</w:t>
      </w:r>
      <w:r w:rsidRPr="00EC5B14">
        <w:rPr>
          <w:rFonts w:ascii="Arial" w:hAnsi="Arial" w:cs="Arial"/>
          <w:szCs w:val="24"/>
        </w:rPr>
        <w:t>7. As of April 202</w:t>
      </w:r>
      <w:r w:rsidR="00EC5B14" w:rsidRPr="00EC5B14">
        <w:rPr>
          <w:rFonts w:ascii="Arial" w:hAnsi="Arial" w:cs="Arial"/>
          <w:szCs w:val="24"/>
        </w:rPr>
        <w:t>3</w:t>
      </w:r>
      <w:r w:rsidRPr="00EC5B14">
        <w:rPr>
          <w:rFonts w:ascii="Arial" w:hAnsi="Arial" w:cs="Arial"/>
          <w:szCs w:val="24"/>
        </w:rPr>
        <w:t xml:space="preserve">, the District has outstanding planning approvals for an additional </w:t>
      </w:r>
      <w:r w:rsidR="00EC5B14" w:rsidRPr="00EC5B14">
        <w:rPr>
          <w:rFonts w:ascii="Arial" w:hAnsi="Arial" w:cs="Arial"/>
          <w:szCs w:val="24"/>
        </w:rPr>
        <w:t>9</w:t>
      </w:r>
      <w:r w:rsidRPr="00EC5B14">
        <w:rPr>
          <w:rFonts w:ascii="Arial" w:hAnsi="Arial" w:cs="Arial"/>
          <w:szCs w:val="24"/>
        </w:rPr>
        <w:t xml:space="preserve"> bedspaces on C2 schemes which will contribute towards the supply, giving a final requirement for </w:t>
      </w:r>
      <w:r w:rsidRPr="00EC5B14">
        <w:rPr>
          <w:rFonts w:ascii="Arial" w:hAnsi="Arial" w:cs="Arial"/>
          <w:bCs/>
          <w:szCs w:val="24"/>
        </w:rPr>
        <w:t>1,1</w:t>
      </w:r>
      <w:r w:rsidR="00EC5B14" w:rsidRPr="00EC5B14">
        <w:rPr>
          <w:rFonts w:ascii="Arial" w:hAnsi="Arial" w:cs="Arial"/>
          <w:bCs/>
          <w:szCs w:val="24"/>
        </w:rPr>
        <w:t>37</w:t>
      </w:r>
      <w:r w:rsidRPr="00EC5B14">
        <w:rPr>
          <w:rFonts w:ascii="Arial" w:hAnsi="Arial" w:cs="Arial"/>
          <w:b/>
          <w:szCs w:val="24"/>
        </w:rPr>
        <w:t xml:space="preserve"> </w:t>
      </w:r>
      <w:r w:rsidRPr="00EC5B14">
        <w:rPr>
          <w:rFonts w:ascii="Arial" w:hAnsi="Arial" w:cs="Arial"/>
          <w:szCs w:val="24"/>
        </w:rPr>
        <w:t>bedspaces over the remainder of the plan period . Having assessed the hectarage/bedspace ratio of recently delivered C2 schemes in Ashfield, this equates to approximately 6.</w:t>
      </w:r>
      <w:r w:rsidR="00EC5B14" w:rsidRPr="00EC5B14">
        <w:rPr>
          <w:rFonts w:ascii="Arial" w:hAnsi="Arial" w:cs="Arial"/>
          <w:szCs w:val="24"/>
        </w:rPr>
        <w:t>6</w:t>
      </w:r>
      <w:r w:rsidRPr="00EC5B14">
        <w:rPr>
          <w:rFonts w:ascii="Arial" w:hAnsi="Arial" w:cs="Arial"/>
          <w:szCs w:val="24"/>
        </w:rPr>
        <w:t xml:space="preserve"> hectares of land.</w:t>
      </w:r>
    </w:p>
    <w:p w14:paraId="442FDFF7" w14:textId="77777777" w:rsidR="00F9165A" w:rsidRPr="00EC5B14" w:rsidRDefault="00F9165A" w:rsidP="00F9165A">
      <w:pPr>
        <w:pStyle w:val="ListParagraph"/>
        <w:spacing w:after="0" w:line="240" w:lineRule="auto"/>
        <w:rPr>
          <w:rFonts w:ascii="Arial" w:hAnsi="Arial" w:cs="Arial"/>
          <w:szCs w:val="24"/>
        </w:rPr>
      </w:pPr>
    </w:p>
    <w:p w14:paraId="22B41739" w14:textId="72A5A714" w:rsidR="00F9165A" w:rsidRPr="00F9165A" w:rsidRDefault="00AE58B3" w:rsidP="00874A98">
      <w:pPr>
        <w:pStyle w:val="ListParagraph"/>
        <w:numPr>
          <w:ilvl w:val="1"/>
          <w:numId w:val="92"/>
        </w:numPr>
        <w:autoSpaceDE w:val="0"/>
        <w:autoSpaceDN w:val="0"/>
        <w:adjustRightInd w:val="0"/>
        <w:spacing w:after="0" w:line="240" w:lineRule="auto"/>
        <w:ind w:left="851" w:hanging="851"/>
        <w:rPr>
          <w:rFonts w:ascii="Arial" w:hAnsi="Arial" w:cs="Arial"/>
          <w:color w:val="auto"/>
          <w:szCs w:val="24"/>
        </w:rPr>
      </w:pPr>
      <w:r w:rsidRPr="00EC5B14">
        <w:rPr>
          <w:rFonts w:ascii="Arial" w:hAnsi="Arial" w:cs="Arial"/>
          <w:szCs w:val="24"/>
        </w:rPr>
        <w:t>Although the HNA identifies the need for additional C2 schemes to 2038,</w:t>
      </w:r>
      <w:r w:rsidRPr="00F9165A">
        <w:rPr>
          <w:rFonts w:ascii="Arial" w:hAnsi="Arial" w:cs="Arial"/>
          <w:szCs w:val="24"/>
        </w:rPr>
        <w:t xml:space="preserve"> it is considered inappropriate to apportion this need equally as an annual requirement over the plan period. Evidence held by Nottinghamshire County Council </w:t>
      </w:r>
      <w:r w:rsidRPr="00126BAD">
        <w:rPr>
          <w:rFonts w:ascii="Arial" w:hAnsi="Arial" w:cs="Arial"/>
          <w:szCs w:val="24"/>
        </w:rPr>
        <w:t>(NCC</w:t>
      </w:r>
      <w:r w:rsidR="00126BAD" w:rsidRPr="00126BAD">
        <w:rPr>
          <w:rFonts w:ascii="Arial" w:hAnsi="Arial" w:cs="Arial"/>
          <w:szCs w:val="24"/>
        </w:rPr>
        <w:t xml:space="preserve"> Adult Social Care</w:t>
      </w:r>
      <w:r w:rsidRPr="00126BAD">
        <w:rPr>
          <w:rFonts w:ascii="Arial" w:hAnsi="Arial" w:cs="Arial"/>
          <w:szCs w:val="24"/>
        </w:rPr>
        <w:t xml:space="preserve"> Market Position Statement </w:t>
      </w:r>
      <w:r w:rsidRPr="004C67D8">
        <w:rPr>
          <w:rFonts w:ascii="Arial" w:hAnsi="Arial" w:cs="Arial"/>
          <w:color w:val="auto"/>
          <w:szCs w:val="24"/>
        </w:rPr>
        <w:t>20</w:t>
      </w:r>
      <w:r w:rsidR="00126BAD" w:rsidRPr="004C67D8">
        <w:rPr>
          <w:rFonts w:ascii="Arial" w:hAnsi="Arial" w:cs="Arial"/>
          <w:color w:val="auto"/>
          <w:szCs w:val="24"/>
        </w:rPr>
        <w:t>23-</w:t>
      </w:r>
      <w:r w:rsidRPr="004C67D8">
        <w:rPr>
          <w:rFonts w:ascii="Arial" w:hAnsi="Arial" w:cs="Arial"/>
          <w:color w:val="auto"/>
          <w:szCs w:val="24"/>
        </w:rPr>
        <w:t>20</w:t>
      </w:r>
      <w:r w:rsidR="00126BAD" w:rsidRPr="004C67D8">
        <w:rPr>
          <w:rFonts w:ascii="Arial" w:hAnsi="Arial" w:cs="Arial"/>
          <w:color w:val="auto"/>
          <w:szCs w:val="24"/>
        </w:rPr>
        <w:t>25</w:t>
      </w:r>
      <w:r w:rsidRPr="004C67D8">
        <w:rPr>
          <w:rFonts w:ascii="Arial" w:hAnsi="Arial" w:cs="Arial"/>
          <w:color w:val="auto"/>
          <w:szCs w:val="24"/>
        </w:rPr>
        <w:t xml:space="preserve">) </w:t>
      </w:r>
      <w:r w:rsidRPr="00126BAD">
        <w:rPr>
          <w:rFonts w:ascii="Arial" w:hAnsi="Arial" w:cs="Arial"/>
          <w:szCs w:val="24"/>
        </w:rPr>
        <w:t>a</w:t>
      </w:r>
      <w:r w:rsidRPr="00F9165A">
        <w:rPr>
          <w:rFonts w:ascii="Arial" w:hAnsi="Arial" w:cs="Arial"/>
          <w:szCs w:val="24"/>
        </w:rPr>
        <w:t xml:space="preserve">nd information supplied by the Clinical Commissioning Groups (CCGs) indicate a current over-provision of this type of development in Ashfield. </w:t>
      </w:r>
      <w:r w:rsidRPr="00F9165A">
        <w:rPr>
          <w:rFonts w:ascii="Arial" w:hAnsi="Arial" w:cs="Arial"/>
          <w:iCs/>
          <w:szCs w:val="24"/>
        </w:rPr>
        <w:t xml:space="preserve">The strategic direction of both the CCG and the County Council is to support people in their own homes for as long as is possible and feasible rather than placement in a care home. </w:t>
      </w:r>
      <w:r w:rsidRPr="00F9165A">
        <w:rPr>
          <w:rFonts w:ascii="Arial" w:hAnsi="Arial" w:cs="Arial"/>
          <w:szCs w:val="24"/>
        </w:rPr>
        <w:t xml:space="preserve">It is likely therefore, that any new delivery will come forward later in the plan period (anticipated beyond the first 10 years) as demographic changes and market dictates the need demand.  </w:t>
      </w:r>
    </w:p>
    <w:p w14:paraId="71EB9CB4" w14:textId="77777777" w:rsidR="00F9165A" w:rsidRPr="00F9165A" w:rsidRDefault="00F9165A" w:rsidP="00F9165A">
      <w:pPr>
        <w:pStyle w:val="ListParagraph"/>
        <w:spacing w:after="0" w:line="240" w:lineRule="auto"/>
        <w:rPr>
          <w:rFonts w:ascii="Arial" w:hAnsi="Arial" w:cs="Arial"/>
          <w:szCs w:val="24"/>
        </w:rPr>
      </w:pPr>
    </w:p>
    <w:p w14:paraId="45041BD6" w14:textId="3075D4FA" w:rsidR="00F9165A" w:rsidRPr="00F9165A" w:rsidRDefault="00AE58B3" w:rsidP="00874A98">
      <w:pPr>
        <w:pStyle w:val="ListParagraph"/>
        <w:numPr>
          <w:ilvl w:val="1"/>
          <w:numId w:val="92"/>
        </w:numPr>
        <w:autoSpaceDE w:val="0"/>
        <w:autoSpaceDN w:val="0"/>
        <w:adjustRightInd w:val="0"/>
        <w:spacing w:after="0" w:line="240" w:lineRule="auto"/>
        <w:ind w:left="851" w:hanging="851"/>
        <w:rPr>
          <w:rFonts w:ascii="Arial" w:hAnsi="Arial" w:cs="Arial"/>
          <w:color w:val="auto"/>
          <w:szCs w:val="24"/>
        </w:rPr>
      </w:pPr>
      <w:r w:rsidRPr="00F9165A">
        <w:rPr>
          <w:rFonts w:ascii="Arial" w:hAnsi="Arial" w:cs="Arial"/>
          <w:szCs w:val="24"/>
        </w:rPr>
        <w:t>In the light of current evidence, it is not proposed to allocate land specifically for residential care homes</w:t>
      </w:r>
      <w:r w:rsidRPr="00EC5B14">
        <w:rPr>
          <w:rFonts w:ascii="Arial" w:hAnsi="Arial" w:cs="Arial"/>
          <w:color w:val="auto"/>
          <w:szCs w:val="24"/>
        </w:rPr>
        <w:t xml:space="preserve">, </w:t>
      </w:r>
      <w:r w:rsidR="00EC5B14" w:rsidRPr="00EC5B14">
        <w:rPr>
          <w:rFonts w:ascii="Arial" w:hAnsi="Arial" w:cs="Arial"/>
          <w:color w:val="auto"/>
          <w:szCs w:val="24"/>
        </w:rPr>
        <w:t xml:space="preserve">other than those with current planning permission, </w:t>
      </w:r>
      <w:r w:rsidRPr="00F9165A">
        <w:rPr>
          <w:rFonts w:ascii="Arial" w:hAnsi="Arial" w:cs="Arial"/>
          <w:szCs w:val="24"/>
        </w:rPr>
        <w:t xml:space="preserve">but to ensure that a supply of general housing land is provided sufficient to meet the LHN </w:t>
      </w:r>
      <w:r w:rsidRPr="00F9165A">
        <w:rPr>
          <w:rFonts w:ascii="Arial" w:eastAsia="Calibri" w:hAnsi="Arial" w:cs="Arial"/>
          <w:color w:val="auto"/>
          <w:szCs w:val="24"/>
        </w:rPr>
        <w:t>which includes the forecast need from this sector.</w:t>
      </w:r>
    </w:p>
    <w:p w14:paraId="49ACBE54" w14:textId="77777777" w:rsidR="00F9165A" w:rsidRPr="00F9165A" w:rsidRDefault="00F9165A" w:rsidP="00F9165A">
      <w:pPr>
        <w:pStyle w:val="ListParagraph"/>
        <w:spacing w:after="0" w:line="240" w:lineRule="auto"/>
        <w:rPr>
          <w:rFonts w:ascii="Arial" w:eastAsia="Arial" w:hAnsi="Arial" w:cs="Arial"/>
          <w:b/>
          <w:szCs w:val="24"/>
        </w:rPr>
      </w:pPr>
    </w:p>
    <w:p w14:paraId="319A29D5" w14:textId="44DB1566" w:rsidR="00F9165A" w:rsidRPr="00D11CB5" w:rsidRDefault="00AE58B3" w:rsidP="00874A98">
      <w:pPr>
        <w:pStyle w:val="ListParagraph"/>
        <w:numPr>
          <w:ilvl w:val="1"/>
          <w:numId w:val="92"/>
        </w:numPr>
        <w:autoSpaceDE w:val="0"/>
        <w:autoSpaceDN w:val="0"/>
        <w:adjustRightInd w:val="0"/>
        <w:spacing w:after="0" w:line="240" w:lineRule="auto"/>
        <w:ind w:left="851" w:hanging="851"/>
        <w:rPr>
          <w:rFonts w:ascii="Arial" w:hAnsi="Arial" w:cs="Arial"/>
          <w:color w:val="auto"/>
          <w:szCs w:val="24"/>
        </w:rPr>
      </w:pPr>
      <w:r w:rsidRPr="00F9165A">
        <w:rPr>
          <w:rFonts w:ascii="Arial" w:eastAsia="Arial" w:hAnsi="Arial" w:cs="Arial"/>
          <w:b/>
          <w:szCs w:val="24"/>
        </w:rPr>
        <w:t>H6:</w:t>
      </w:r>
      <w:r w:rsidR="00EC780D">
        <w:rPr>
          <w:rFonts w:ascii="Arial" w:eastAsia="Arial" w:hAnsi="Arial" w:cs="Arial"/>
          <w:b/>
          <w:szCs w:val="24"/>
        </w:rPr>
        <w:t>3</w:t>
      </w:r>
      <w:r w:rsidRPr="00F9165A">
        <w:rPr>
          <w:rFonts w:ascii="Arial" w:hAnsi="Arial" w:cs="Arial"/>
          <w:szCs w:val="24"/>
        </w:rPr>
        <w:t xml:space="preserve"> The development of self-build properties by individuals or community groups (including Community Land Trusts) can contribute to meeting the need for additional housing within the District and provide a more diverse housing stock. The Council, working with Mansfield District Council and Newark and Sherwood District Council, have set up a custom/self-build register for the Nottingham Outer Housing Market Area. The level of demand for such sites is monitored against small sites coming forward through the planning application process in an annual monitoring report</w:t>
      </w:r>
      <w:r w:rsidRPr="00F9165A">
        <w:rPr>
          <w:rStyle w:val="FootnoteReference"/>
          <w:rFonts w:ascii="Arial" w:hAnsi="Arial" w:cs="Arial"/>
          <w:szCs w:val="24"/>
        </w:rPr>
        <w:footnoteReference w:id="96"/>
      </w:r>
      <w:r w:rsidRPr="00F9165A">
        <w:rPr>
          <w:rFonts w:ascii="Arial" w:hAnsi="Arial" w:cs="Arial"/>
          <w:szCs w:val="24"/>
        </w:rPr>
        <w:t xml:space="preserve">.  </w:t>
      </w:r>
      <w:r w:rsidRPr="00D11CB5">
        <w:rPr>
          <w:rFonts w:ascii="Arial" w:eastAsia="Calibri" w:hAnsi="Arial" w:cs="Arial"/>
          <w:szCs w:val="24"/>
        </w:rPr>
        <w:t xml:space="preserve">Should demand exceed that which it is possible to accommodate through either voluntary measures or through Council owned sites, an SPD may be required setting out how development sites outside of the Council control can contribute to meeting established demand in line with government policy. </w:t>
      </w:r>
    </w:p>
    <w:p w14:paraId="02439504" w14:textId="231E06A3" w:rsidR="00F9165A" w:rsidRDefault="00F9165A" w:rsidP="00F9165A">
      <w:pPr>
        <w:pStyle w:val="ListParagraph"/>
        <w:spacing w:after="0" w:line="240" w:lineRule="auto"/>
        <w:rPr>
          <w:rFonts w:ascii="Arial" w:eastAsia="Arial" w:hAnsi="Arial" w:cs="Arial"/>
          <w:bCs/>
          <w:iCs/>
          <w:szCs w:val="24"/>
        </w:rPr>
      </w:pPr>
    </w:p>
    <w:p w14:paraId="09B015D2" w14:textId="3E2BA23B" w:rsidR="00B845B1" w:rsidRDefault="00B845B1">
      <w:pPr>
        <w:keepNext w:val="0"/>
        <w:spacing w:before="0"/>
        <w:rPr>
          <w:b/>
          <w:sz w:val="28"/>
          <w:szCs w:val="28"/>
          <w:lang w:eastAsia="en-US"/>
        </w:rPr>
      </w:pPr>
      <w:bookmarkStart w:id="238" w:name="_Toc145511594"/>
    </w:p>
    <w:p w14:paraId="06A7E90C" w14:textId="77777777" w:rsidR="00F906E1" w:rsidRDefault="00F906E1">
      <w:pPr>
        <w:keepNext w:val="0"/>
        <w:spacing w:before="0"/>
        <w:rPr>
          <w:b/>
          <w:sz w:val="28"/>
          <w:szCs w:val="28"/>
          <w:lang w:eastAsia="en-US"/>
        </w:rPr>
      </w:pPr>
    </w:p>
    <w:p w14:paraId="02EB9715" w14:textId="61A17270" w:rsidR="003D483E" w:rsidRPr="00995322" w:rsidRDefault="003D483E" w:rsidP="00995322">
      <w:pPr>
        <w:pStyle w:val="Heading2"/>
        <w:jc w:val="left"/>
        <w:rPr>
          <w:sz w:val="28"/>
          <w:szCs w:val="28"/>
        </w:rPr>
      </w:pPr>
      <w:r w:rsidRPr="00995322">
        <w:rPr>
          <w:sz w:val="28"/>
          <w:szCs w:val="28"/>
        </w:rPr>
        <w:t>Policy H7: Housing Density</w:t>
      </w:r>
      <w:bookmarkEnd w:id="238"/>
    </w:p>
    <w:p w14:paraId="1D927D34" w14:textId="77777777" w:rsidR="003D483E" w:rsidRPr="00F9165A" w:rsidRDefault="003D483E" w:rsidP="00F9165A">
      <w:pPr>
        <w:pStyle w:val="ListParagraph"/>
        <w:spacing w:after="0" w:line="240" w:lineRule="auto"/>
        <w:rPr>
          <w:rFonts w:ascii="Arial" w:eastAsia="Arial" w:hAnsi="Arial" w:cs="Arial"/>
          <w:bCs/>
          <w:iCs/>
          <w:szCs w:val="24"/>
        </w:rPr>
      </w:pPr>
    </w:p>
    <w:p w14:paraId="24B34A90" w14:textId="6A17644D" w:rsidR="00A462AA" w:rsidRPr="006977E7" w:rsidRDefault="00A462AA" w:rsidP="00874A98">
      <w:pPr>
        <w:pStyle w:val="ListParagraph"/>
        <w:numPr>
          <w:ilvl w:val="1"/>
          <w:numId w:val="92"/>
        </w:numPr>
        <w:autoSpaceDE w:val="0"/>
        <w:autoSpaceDN w:val="0"/>
        <w:adjustRightInd w:val="0"/>
        <w:spacing w:after="0" w:line="240" w:lineRule="auto"/>
        <w:ind w:left="851" w:hanging="851"/>
        <w:rPr>
          <w:rFonts w:ascii="Arial" w:hAnsi="Arial" w:cs="Arial"/>
          <w:color w:val="auto"/>
          <w:szCs w:val="24"/>
        </w:rPr>
      </w:pPr>
      <w:r w:rsidRPr="00F9165A">
        <w:rPr>
          <w:rFonts w:ascii="Arial" w:eastAsia="Arial" w:hAnsi="Arial" w:cs="Arial"/>
          <w:bCs/>
          <w:iCs/>
          <w:szCs w:val="24"/>
        </w:rPr>
        <w:t>This policy aims to promote efficient use of land through optimising density, whilst reflecting the specific characteristics of a site and its surrounding area. F</w:t>
      </w:r>
      <w:r w:rsidRPr="00F9165A">
        <w:rPr>
          <w:rFonts w:ascii="Arial" w:hAnsi="Arial" w:cs="Arial"/>
          <w:szCs w:val="24"/>
        </w:rPr>
        <w:t>actors affecting density may include on-site constraints, the type of development proposed, and the level of transport accessibility. Whilst higher densities may be appropriate as part of major developments, or in town centre locations with good public transport and dense urban form, lower densities may be appropriate in established suburban areas or villages, in areas with an open character, or on the edge of settlements.</w:t>
      </w:r>
    </w:p>
    <w:p w14:paraId="41ABB88D" w14:textId="34971D40" w:rsidR="006977E7" w:rsidRDefault="006977E7" w:rsidP="00263F59">
      <w:pPr>
        <w:pStyle w:val="ListParagraph"/>
        <w:spacing w:after="0" w:line="240" w:lineRule="auto"/>
        <w:rPr>
          <w:rFonts w:ascii="Arial" w:hAnsi="Arial" w:cs="Arial"/>
          <w:color w:val="auto"/>
          <w:szCs w:val="24"/>
        </w:rPr>
      </w:pPr>
    </w:p>
    <w:p w14:paraId="448F9B87" w14:textId="77777777" w:rsidR="00B958CB" w:rsidRPr="00B958CB" w:rsidRDefault="00B958CB" w:rsidP="006977E7">
      <w:pPr>
        <w:keepNext w:val="0"/>
        <w:spacing w:before="0"/>
        <w:jc w:val="both"/>
        <w:rPr>
          <w:rFonts w:eastAsia="Calibri"/>
          <w:color w:val="auto"/>
          <w:szCs w:val="22"/>
        </w:rPr>
      </w:pPr>
    </w:p>
    <w:tbl>
      <w:tblPr>
        <w:tblStyle w:val="TableGrid15"/>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526"/>
        <w:gridCol w:w="7093"/>
      </w:tblGrid>
      <w:tr w:rsidR="00B958CB" w:rsidRPr="00B958CB" w14:paraId="5F071F03" w14:textId="77777777" w:rsidTr="005352FB">
        <w:tc>
          <w:tcPr>
            <w:tcW w:w="9742" w:type="dxa"/>
            <w:gridSpan w:val="2"/>
          </w:tcPr>
          <w:p w14:paraId="562BFF14" w14:textId="70E5962D" w:rsidR="00B958CB" w:rsidRDefault="00B958CB" w:rsidP="00FF3EAD">
            <w:pPr>
              <w:keepNext w:val="0"/>
              <w:spacing w:before="0"/>
              <w:jc w:val="left"/>
              <w:rPr>
                <w:b/>
                <w:bCs/>
                <w:color w:val="auto"/>
              </w:rPr>
            </w:pPr>
            <w:r w:rsidRPr="00B958CB">
              <w:rPr>
                <w:b/>
                <w:bCs/>
                <w:color w:val="auto"/>
              </w:rPr>
              <w:t>Policy H7: Housing Density</w:t>
            </w:r>
          </w:p>
          <w:p w14:paraId="544E6860" w14:textId="791C851F" w:rsidR="005352FB" w:rsidRPr="00B958CB" w:rsidRDefault="005352FB" w:rsidP="00FF3EAD">
            <w:pPr>
              <w:keepNext w:val="0"/>
              <w:spacing w:before="0"/>
              <w:jc w:val="left"/>
              <w:rPr>
                <w:b/>
                <w:bCs/>
                <w:color w:val="auto"/>
              </w:rPr>
            </w:pPr>
          </w:p>
        </w:tc>
      </w:tr>
      <w:tr w:rsidR="00B958CB" w:rsidRPr="00B958CB" w14:paraId="29764259" w14:textId="77777777" w:rsidTr="005352FB">
        <w:tc>
          <w:tcPr>
            <w:tcW w:w="2547" w:type="dxa"/>
          </w:tcPr>
          <w:p w14:paraId="2F3DA4C3" w14:textId="77777777" w:rsidR="00B958CB" w:rsidRPr="00B958CB" w:rsidRDefault="00B958CB" w:rsidP="00FF3EAD">
            <w:pPr>
              <w:keepNext w:val="0"/>
              <w:spacing w:before="0"/>
              <w:jc w:val="left"/>
              <w:rPr>
                <w:color w:val="auto"/>
              </w:rPr>
            </w:pPr>
            <w:r w:rsidRPr="00B958CB">
              <w:rPr>
                <w:color w:val="auto"/>
              </w:rPr>
              <w:t>Strategic Objectives</w:t>
            </w:r>
          </w:p>
        </w:tc>
        <w:tc>
          <w:tcPr>
            <w:tcW w:w="7195" w:type="dxa"/>
          </w:tcPr>
          <w:p w14:paraId="6AE68B2E" w14:textId="77777777" w:rsidR="00B958CB" w:rsidRPr="00B958CB" w:rsidRDefault="00B958CB" w:rsidP="00FF3EAD">
            <w:pPr>
              <w:keepNext w:val="0"/>
              <w:spacing w:before="0"/>
              <w:jc w:val="left"/>
              <w:rPr>
                <w:color w:val="auto"/>
              </w:rPr>
            </w:pPr>
            <w:r w:rsidRPr="00B958CB">
              <w:rPr>
                <w:color w:val="auto"/>
              </w:rPr>
              <w:t>SO1, SO2, SO3, SO4, SO5, SO7, SO8, SO9, SO12, SO14.</w:t>
            </w:r>
          </w:p>
        </w:tc>
      </w:tr>
      <w:tr w:rsidR="00B958CB" w:rsidRPr="00B958CB" w14:paraId="2CEB61A8" w14:textId="77777777" w:rsidTr="005352FB">
        <w:tc>
          <w:tcPr>
            <w:tcW w:w="9742" w:type="dxa"/>
            <w:gridSpan w:val="2"/>
            <w:shd w:val="clear" w:color="auto" w:fill="F7CAAC"/>
          </w:tcPr>
          <w:p w14:paraId="38DC13B1" w14:textId="77777777" w:rsidR="00B958CB" w:rsidRPr="00B958CB" w:rsidRDefault="00B958CB" w:rsidP="00FF3EAD">
            <w:pPr>
              <w:keepNext w:val="0"/>
              <w:spacing w:before="0"/>
              <w:jc w:val="left"/>
              <w:rPr>
                <w:rFonts w:cs="Arial"/>
                <w:color w:val="auto"/>
              </w:rPr>
            </w:pPr>
          </w:p>
          <w:p w14:paraId="5FA4FC75" w14:textId="3F23900F" w:rsidR="00B958CB" w:rsidRPr="00B958CB" w:rsidRDefault="00B958CB" w:rsidP="00874A98">
            <w:pPr>
              <w:pStyle w:val="ListParagraph"/>
              <w:numPr>
                <w:ilvl w:val="0"/>
                <w:numId w:val="277"/>
              </w:numPr>
              <w:spacing w:after="0" w:line="240" w:lineRule="auto"/>
              <w:ind w:left="357" w:hanging="357"/>
              <w:jc w:val="left"/>
              <w:rPr>
                <w:rFonts w:ascii="Arial" w:hAnsi="Arial" w:cs="Arial"/>
                <w:color w:val="auto"/>
              </w:rPr>
            </w:pPr>
            <w:r w:rsidRPr="00B958CB">
              <w:rPr>
                <w:rFonts w:ascii="Arial" w:hAnsi="Arial" w:cs="Arial"/>
                <w:color w:val="auto"/>
              </w:rPr>
              <w:t>To promote efficient use of land proposals for housing developments will be expected to optimise density, whilst reflecting the specific characteristics of the site and its surrounding area (in terms of built form and landscape). Proposed residential development on sites of 0.4 hectares or greater</w:t>
            </w:r>
            <w:r w:rsidR="004C67D8">
              <w:rPr>
                <w:rFonts w:ascii="Arial" w:hAnsi="Arial" w:cs="Arial"/>
                <w:color w:val="auto"/>
              </w:rPr>
              <w:t>, w</w:t>
            </w:r>
            <w:r w:rsidRPr="00B958CB">
              <w:rPr>
                <w:rFonts w:ascii="Arial" w:hAnsi="Arial" w:cs="Arial"/>
                <w:color w:val="auto"/>
              </w:rPr>
              <w:t>ill be permitted subject to the following minimum density requirements:</w:t>
            </w:r>
          </w:p>
          <w:p w14:paraId="70197537" w14:textId="7A0A74A2" w:rsidR="00B958CB" w:rsidRPr="00D74E6D" w:rsidRDefault="00B958CB" w:rsidP="00D74E6D">
            <w:pPr>
              <w:rPr>
                <w:rFonts w:cs="Arial"/>
                <w:color w:val="auto"/>
              </w:rPr>
            </w:pPr>
            <w:r w:rsidRPr="00D74E6D">
              <w:rPr>
                <w:rFonts w:cs="Arial"/>
                <w:color w:val="auto"/>
              </w:rPr>
              <w:t xml:space="preserve"> </w:t>
            </w:r>
          </w:p>
          <w:tbl>
            <w:tblPr>
              <w:tblStyle w:val="TableGrid"/>
              <w:tblW w:w="0" w:type="auto"/>
              <w:tblInd w:w="447" w:type="dxa"/>
              <w:tblLook w:val="04A0" w:firstRow="1" w:lastRow="0" w:firstColumn="1" w:lastColumn="0" w:noHBand="0" w:noVBand="1"/>
            </w:tblPr>
            <w:tblGrid>
              <w:gridCol w:w="5954"/>
              <w:gridCol w:w="2835"/>
            </w:tblGrid>
            <w:tr w:rsidR="00D74E6D" w14:paraId="2E51C12C" w14:textId="77777777" w:rsidTr="00D74E6D">
              <w:tc>
                <w:tcPr>
                  <w:tcW w:w="5954" w:type="dxa"/>
                </w:tcPr>
                <w:p w14:paraId="2D639B9D" w14:textId="6FDEE4CF" w:rsidR="00D74E6D" w:rsidRPr="004C67D8" w:rsidRDefault="00D74E6D" w:rsidP="00783C77">
                  <w:pPr>
                    <w:pStyle w:val="ListParagraph"/>
                    <w:spacing w:after="0" w:line="240" w:lineRule="auto"/>
                    <w:ind w:left="0"/>
                    <w:rPr>
                      <w:rFonts w:ascii="Arial" w:hAnsi="Arial" w:cs="Arial"/>
                      <w:color w:val="auto"/>
                    </w:rPr>
                  </w:pPr>
                  <w:r w:rsidRPr="004C67D8">
                    <w:rPr>
                      <w:rFonts w:ascii="Arial" w:hAnsi="Arial" w:cs="Arial"/>
                      <w:color w:val="auto"/>
                    </w:rPr>
                    <w:t>Within 400m of district shopping centres/major public transport nodes</w:t>
                  </w:r>
                </w:p>
              </w:tc>
              <w:tc>
                <w:tcPr>
                  <w:tcW w:w="2835" w:type="dxa"/>
                </w:tcPr>
                <w:p w14:paraId="3280C92E" w14:textId="77777777" w:rsidR="00D74E6D" w:rsidRPr="00D74E6D" w:rsidRDefault="00D74E6D" w:rsidP="00D74E6D">
                  <w:pPr>
                    <w:rPr>
                      <w:rFonts w:cs="Arial"/>
                      <w:color w:val="auto"/>
                    </w:rPr>
                  </w:pPr>
                  <w:r w:rsidRPr="00D74E6D">
                    <w:rPr>
                      <w:rFonts w:cs="Arial"/>
                      <w:color w:val="auto"/>
                    </w:rPr>
                    <w:t>40 dwellings per hectare</w:t>
                  </w:r>
                </w:p>
                <w:p w14:paraId="6155A96E" w14:textId="77777777" w:rsidR="00D74E6D" w:rsidRDefault="00D74E6D" w:rsidP="00783C77">
                  <w:pPr>
                    <w:pStyle w:val="ListParagraph"/>
                    <w:spacing w:after="0" w:line="240" w:lineRule="auto"/>
                    <w:ind w:left="0"/>
                    <w:rPr>
                      <w:rFonts w:ascii="Arial" w:hAnsi="Arial" w:cs="Arial"/>
                      <w:color w:val="auto"/>
                    </w:rPr>
                  </w:pPr>
                </w:p>
              </w:tc>
            </w:tr>
            <w:tr w:rsidR="00D74E6D" w14:paraId="4303AAD7" w14:textId="77777777" w:rsidTr="00D74E6D">
              <w:tc>
                <w:tcPr>
                  <w:tcW w:w="5954" w:type="dxa"/>
                </w:tcPr>
                <w:p w14:paraId="116C7128" w14:textId="0F460705" w:rsidR="00D74E6D" w:rsidRPr="004C67D8" w:rsidRDefault="00D74E6D" w:rsidP="00783C77">
                  <w:pPr>
                    <w:pStyle w:val="ListParagraph"/>
                    <w:spacing w:after="0" w:line="240" w:lineRule="auto"/>
                    <w:ind w:left="0"/>
                    <w:rPr>
                      <w:rFonts w:ascii="Arial" w:hAnsi="Arial" w:cs="Arial"/>
                      <w:color w:val="auto"/>
                    </w:rPr>
                  </w:pPr>
                  <w:r w:rsidRPr="004C67D8">
                    <w:rPr>
                      <w:rFonts w:ascii="Arial" w:hAnsi="Arial" w:cs="Arial"/>
                      <w:color w:val="auto"/>
                    </w:rPr>
                    <w:t xml:space="preserve">Within 1Km of district shopping centres/major public transport nodes   </w:t>
                  </w:r>
                </w:p>
              </w:tc>
              <w:tc>
                <w:tcPr>
                  <w:tcW w:w="2835" w:type="dxa"/>
                </w:tcPr>
                <w:p w14:paraId="083DB98A" w14:textId="7E566FDF" w:rsidR="00D74E6D" w:rsidRDefault="00D74E6D" w:rsidP="00783C77">
                  <w:pPr>
                    <w:pStyle w:val="ListParagraph"/>
                    <w:spacing w:after="0" w:line="240" w:lineRule="auto"/>
                    <w:ind w:left="0"/>
                    <w:rPr>
                      <w:rFonts w:ascii="Arial" w:hAnsi="Arial" w:cs="Arial"/>
                      <w:color w:val="auto"/>
                    </w:rPr>
                  </w:pPr>
                  <w:r w:rsidRPr="00B958CB">
                    <w:rPr>
                      <w:rFonts w:ascii="Arial" w:hAnsi="Arial" w:cs="Arial"/>
                      <w:color w:val="auto"/>
                    </w:rPr>
                    <w:t>34 dwellings per hectare</w:t>
                  </w:r>
                </w:p>
              </w:tc>
            </w:tr>
            <w:tr w:rsidR="00D74E6D" w14:paraId="5FF9A378" w14:textId="77777777" w:rsidTr="00D74E6D">
              <w:tc>
                <w:tcPr>
                  <w:tcW w:w="5954" w:type="dxa"/>
                </w:tcPr>
                <w:p w14:paraId="7EBDCD6C" w14:textId="0AF3BC82" w:rsidR="00D74E6D" w:rsidRPr="004C67D8" w:rsidRDefault="00D74E6D" w:rsidP="00783C77">
                  <w:pPr>
                    <w:pStyle w:val="ListParagraph"/>
                    <w:spacing w:after="0" w:line="240" w:lineRule="auto"/>
                    <w:ind w:left="0"/>
                    <w:rPr>
                      <w:rFonts w:ascii="Arial" w:hAnsi="Arial" w:cs="Arial"/>
                      <w:color w:val="auto"/>
                    </w:rPr>
                  </w:pPr>
                  <w:r w:rsidRPr="004C67D8">
                    <w:rPr>
                      <w:rFonts w:ascii="Arial" w:hAnsi="Arial" w:cs="Arial"/>
                      <w:color w:val="auto"/>
                    </w:rPr>
                    <w:t>Over 1km from district shopping centres/major public transport nodes</w:t>
                  </w:r>
                </w:p>
              </w:tc>
              <w:tc>
                <w:tcPr>
                  <w:tcW w:w="2835" w:type="dxa"/>
                </w:tcPr>
                <w:p w14:paraId="527EA7D6" w14:textId="56F677FC" w:rsidR="00D74E6D" w:rsidRDefault="00D74E6D" w:rsidP="00783C77">
                  <w:pPr>
                    <w:pStyle w:val="ListParagraph"/>
                    <w:spacing w:after="0" w:line="240" w:lineRule="auto"/>
                    <w:ind w:left="0"/>
                    <w:rPr>
                      <w:rFonts w:ascii="Arial" w:hAnsi="Arial" w:cs="Arial"/>
                      <w:color w:val="auto"/>
                    </w:rPr>
                  </w:pPr>
                  <w:r w:rsidRPr="00B958CB">
                    <w:rPr>
                      <w:rFonts w:ascii="Arial" w:hAnsi="Arial" w:cs="Arial"/>
                      <w:color w:val="auto"/>
                    </w:rPr>
                    <w:t>30 dwellings per hectare</w:t>
                  </w:r>
                </w:p>
              </w:tc>
            </w:tr>
          </w:tbl>
          <w:p w14:paraId="2302CB58" w14:textId="77777777" w:rsidR="00783C77" w:rsidRPr="00B958CB" w:rsidRDefault="00783C77" w:rsidP="00783C77">
            <w:pPr>
              <w:pStyle w:val="ListParagraph"/>
              <w:spacing w:after="0" w:line="240" w:lineRule="auto"/>
              <w:ind w:left="717"/>
              <w:jc w:val="left"/>
              <w:rPr>
                <w:rFonts w:ascii="Arial" w:hAnsi="Arial" w:cs="Arial"/>
                <w:color w:val="auto"/>
              </w:rPr>
            </w:pPr>
          </w:p>
          <w:p w14:paraId="5B6E0868" w14:textId="3F73FC5B" w:rsidR="00B958CB" w:rsidRPr="00B958CB" w:rsidRDefault="00B958CB" w:rsidP="00874A98">
            <w:pPr>
              <w:pStyle w:val="ListParagraph"/>
              <w:numPr>
                <w:ilvl w:val="0"/>
                <w:numId w:val="277"/>
              </w:numPr>
              <w:spacing w:after="0" w:line="240" w:lineRule="auto"/>
              <w:ind w:left="357" w:hanging="357"/>
              <w:jc w:val="left"/>
              <w:rPr>
                <w:rFonts w:ascii="Arial" w:hAnsi="Arial" w:cs="Arial"/>
                <w:color w:val="auto"/>
              </w:rPr>
            </w:pPr>
            <w:r w:rsidRPr="00B958CB">
              <w:rPr>
                <w:rFonts w:ascii="Arial" w:hAnsi="Arial" w:cs="Arial"/>
                <w:color w:val="auto"/>
              </w:rPr>
              <w:t>Development schemes on sites delivering greater than 500 dwellings will be expected to provide a range of housing densities throughout the site.</w:t>
            </w:r>
          </w:p>
          <w:p w14:paraId="27456974" w14:textId="77777777" w:rsidR="00B958CB" w:rsidRPr="00B958CB" w:rsidRDefault="00B958CB" w:rsidP="00FF3EAD">
            <w:pPr>
              <w:keepNext w:val="0"/>
              <w:spacing w:before="0"/>
              <w:jc w:val="left"/>
              <w:rPr>
                <w:rFonts w:cs="Arial"/>
                <w:color w:val="auto"/>
              </w:rPr>
            </w:pPr>
          </w:p>
        </w:tc>
      </w:tr>
      <w:tr w:rsidR="00B958CB" w:rsidRPr="00B958CB" w14:paraId="610B0AEF" w14:textId="77777777" w:rsidTr="005352FB">
        <w:tc>
          <w:tcPr>
            <w:tcW w:w="2547" w:type="dxa"/>
          </w:tcPr>
          <w:p w14:paraId="5D0E2DB1" w14:textId="77777777" w:rsidR="00B958CB" w:rsidRPr="00B958CB" w:rsidRDefault="00B958CB" w:rsidP="000032A9">
            <w:pPr>
              <w:keepNext w:val="0"/>
              <w:spacing w:before="0"/>
              <w:jc w:val="left"/>
              <w:rPr>
                <w:color w:val="auto"/>
              </w:rPr>
            </w:pPr>
            <w:r w:rsidRPr="00B958CB">
              <w:rPr>
                <w:color w:val="auto"/>
                <w:sz w:val="20"/>
                <w:szCs w:val="20"/>
              </w:rPr>
              <w:t>Evidence Base</w:t>
            </w:r>
          </w:p>
        </w:tc>
        <w:tc>
          <w:tcPr>
            <w:tcW w:w="7195" w:type="dxa"/>
          </w:tcPr>
          <w:p w14:paraId="03FBB9F8" w14:textId="483F6BD0" w:rsidR="00B958CB" w:rsidRPr="004C67D8" w:rsidRDefault="00B958CB" w:rsidP="00874A98">
            <w:pPr>
              <w:keepNext w:val="0"/>
              <w:numPr>
                <w:ilvl w:val="0"/>
                <w:numId w:val="273"/>
              </w:numPr>
              <w:spacing w:before="0"/>
              <w:contextualSpacing/>
              <w:jc w:val="left"/>
              <w:rPr>
                <w:color w:val="auto"/>
                <w:sz w:val="20"/>
                <w:szCs w:val="20"/>
              </w:rPr>
            </w:pPr>
            <w:r w:rsidRPr="004C67D8">
              <w:rPr>
                <w:color w:val="auto"/>
                <w:sz w:val="20"/>
                <w:szCs w:val="20"/>
              </w:rPr>
              <w:t>Background Paper No 2</w:t>
            </w:r>
            <w:r w:rsidR="00F906E1">
              <w:rPr>
                <w:color w:val="auto"/>
                <w:sz w:val="20"/>
                <w:szCs w:val="20"/>
              </w:rPr>
              <w:t>:</w:t>
            </w:r>
            <w:r w:rsidRPr="004C67D8">
              <w:rPr>
                <w:color w:val="auto"/>
                <w:sz w:val="20"/>
                <w:szCs w:val="20"/>
              </w:rPr>
              <w:t xml:space="preserve"> Housing 202</w:t>
            </w:r>
            <w:r w:rsidR="00D74E6D" w:rsidRPr="004C67D8">
              <w:rPr>
                <w:color w:val="auto"/>
                <w:sz w:val="20"/>
                <w:szCs w:val="20"/>
              </w:rPr>
              <w:t>3</w:t>
            </w:r>
            <w:r w:rsidRPr="004C67D8">
              <w:rPr>
                <w:color w:val="auto"/>
                <w:sz w:val="20"/>
                <w:szCs w:val="20"/>
              </w:rPr>
              <w:t>. Ashfield District Council.</w:t>
            </w:r>
          </w:p>
          <w:p w14:paraId="6B1A0A53" w14:textId="32E85F79" w:rsidR="00B958CB" w:rsidRPr="004C67D8" w:rsidRDefault="00B958CB" w:rsidP="00874A98">
            <w:pPr>
              <w:keepNext w:val="0"/>
              <w:numPr>
                <w:ilvl w:val="0"/>
                <w:numId w:val="273"/>
              </w:numPr>
              <w:spacing w:before="0"/>
              <w:contextualSpacing/>
              <w:jc w:val="left"/>
              <w:rPr>
                <w:color w:val="auto"/>
                <w:sz w:val="20"/>
                <w:szCs w:val="20"/>
              </w:rPr>
            </w:pPr>
            <w:r w:rsidRPr="004C67D8">
              <w:rPr>
                <w:color w:val="auto"/>
                <w:sz w:val="20"/>
                <w:szCs w:val="20"/>
              </w:rPr>
              <w:t>Sustainability Appraisal, 202</w:t>
            </w:r>
            <w:r w:rsidR="007641C1" w:rsidRPr="004C67D8">
              <w:rPr>
                <w:color w:val="auto"/>
                <w:sz w:val="20"/>
                <w:szCs w:val="20"/>
              </w:rPr>
              <w:t>3</w:t>
            </w:r>
            <w:r w:rsidRPr="004C67D8">
              <w:rPr>
                <w:color w:val="auto"/>
                <w:sz w:val="20"/>
                <w:szCs w:val="20"/>
              </w:rPr>
              <w:t xml:space="preserve">.  </w:t>
            </w:r>
            <w:r w:rsidR="007641C1" w:rsidRPr="004C67D8">
              <w:rPr>
                <w:color w:val="auto"/>
                <w:sz w:val="20"/>
                <w:szCs w:val="20"/>
              </w:rPr>
              <w:t>WSP UK Limited</w:t>
            </w:r>
            <w:r w:rsidRPr="004C67D8">
              <w:rPr>
                <w:color w:val="auto"/>
                <w:sz w:val="20"/>
                <w:szCs w:val="20"/>
              </w:rPr>
              <w:t>.</w:t>
            </w:r>
          </w:p>
        </w:tc>
      </w:tr>
      <w:tr w:rsidR="00B958CB" w:rsidRPr="00B958CB" w14:paraId="1FAB22A3" w14:textId="77777777" w:rsidTr="005352FB">
        <w:tc>
          <w:tcPr>
            <w:tcW w:w="2547" w:type="dxa"/>
          </w:tcPr>
          <w:p w14:paraId="7FAF6B88" w14:textId="77777777" w:rsidR="00B958CB" w:rsidRPr="00B958CB" w:rsidRDefault="00B958CB" w:rsidP="000032A9">
            <w:pPr>
              <w:keepNext w:val="0"/>
              <w:spacing w:before="0"/>
              <w:jc w:val="left"/>
              <w:rPr>
                <w:color w:val="auto"/>
              </w:rPr>
            </w:pPr>
            <w:r w:rsidRPr="00B958CB">
              <w:rPr>
                <w:color w:val="auto"/>
                <w:sz w:val="20"/>
                <w:szCs w:val="20"/>
              </w:rPr>
              <w:t>National Planning Policy and Guidance</w:t>
            </w:r>
          </w:p>
        </w:tc>
        <w:tc>
          <w:tcPr>
            <w:tcW w:w="7195" w:type="dxa"/>
          </w:tcPr>
          <w:p w14:paraId="07BD3227" w14:textId="0DAE25BE" w:rsidR="00B958CB" w:rsidRPr="004C67D8" w:rsidRDefault="00B958CB" w:rsidP="00874A98">
            <w:pPr>
              <w:keepNext w:val="0"/>
              <w:numPr>
                <w:ilvl w:val="0"/>
                <w:numId w:val="276"/>
              </w:numPr>
              <w:spacing w:before="0"/>
              <w:contextualSpacing/>
              <w:jc w:val="left"/>
              <w:rPr>
                <w:color w:val="auto"/>
                <w:sz w:val="20"/>
                <w:szCs w:val="20"/>
              </w:rPr>
            </w:pPr>
            <w:r w:rsidRPr="004C67D8">
              <w:rPr>
                <w:color w:val="auto"/>
                <w:sz w:val="20"/>
                <w:szCs w:val="20"/>
              </w:rPr>
              <w:t>NPPF 202</w:t>
            </w:r>
            <w:r w:rsidR="004173E0" w:rsidRPr="004C67D8">
              <w:rPr>
                <w:color w:val="auto"/>
                <w:sz w:val="20"/>
                <w:szCs w:val="20"/>
              </w:rPr>
              <w:t>3</w:t>
            </w:r>
            <w:r w:rsidRPr="004C67D8">
              <w:rPr>
                <w:color w:val="auto"/>
                <w:sz w:val="20"/>
                <w:szCs w:val="20"/>
              </w:rPr>
              <w:t>, Part 2: Achieving sustainable development.</w:t>
            </w:r>
          </w:p>
          <w:p w14:paraId="6CF36EF3" w14:textId="77777777" w:rsidR="00F906E1" w:rsidRDefault="00B958CB" w:rsidP="00772697">
            <w:pPr>
              <w:keepNext w:val="0"/>
              <w:numPr>
                <w:ilvl w:val="0"/>
                <w:numId w:val="276"/>
              </w:numPr>
              <w:spacing w:before="0"/>
              <w:contextualSpacing/>
              <w:jc w:val="left"/>
              <w:rPr>
                <w:color w:val="auto"/>
                <w:sz w:val="20"/>
                <w:szCs w:val="20"/>
              </w:rPr>
            </w:pPr>
            <w:r w:rsidRPr="00F906E1">
              <w:rPr>
                <w:color w:val="auto"/>
                <w:sz w:val="20"/>
                <w:szCs w:val="20"/>
              </w:rPr>
              <w:t>NPPF 202</w:t>
            </w:r>
            <w:r w:rsidR="004173E0" w:rsidRPr="00F906E1">
              <w:rPr>
                <w:color w:val="auto"/>
                <w:sz w:val="20"/>
                <w:szCs w:val="20"/>
              </w:rPr>
              <w:t>3</w:t>
            </w:r>
            <w:r w:rsidRPr="00F906E1">
              <w:rPr>
                <w:color w:val="auto"/>
                <w:sz w:val="20"/>
                <w:szCs w:val="20"/>
              </w:rPr>
              <w:t>, Part 5: Delivering a sufficient supply of homes.</w:t>
            </w:r>
          </w:p>
          <w:p w14:paraId="509F022C" w14:textId="77777777" w:rsidR="00F906E1" w:rsidRDefault="00B958CB" w:rsidP="00F906E1">
            <w:pPr>
              <w:keepNext w:val="0"/>
              <w:numPr>
                <w:ilvl w:val="0"/>
                <w:numId w:val="276"/>
              </w:numPr>
              <w:spacing w:before="0"/>
              <w:contextualSpacing/>
              <w:jc w:val="left"/>
              <w:rPr>
                <w:color w:val="auto"/>
                <w:sz w:val="20"/>
                <w:szCs w:val="20"/>
              </w:rPr>
            </w:pPr>
            <w:r w:rsidRPr="00F906E1">
              <w:rPr>
                <w:color w:val="auto"/>
                <w:sz w:val="20"/>
                <w:szCs w:val="20"/>
              </w:rPr>
              <w:t>NPPF 202</w:t>
            </w:r>
            <w:r w:rsidR="004173E0" w:rsidRPr="00F906E1">
              <w:rPr>
                <w:color w:val="auto"/>
                <w:sz w:val="20"/>
                <w:szCs w:val="20"/>
              </w:rPr>
              <w:t>3</w:t>
            </w:r>
            <w:r w:rsidRPr="00F906E1">
              <w:rPr>
                <w:color w:val="auto"/>
                <w:sz w:val="20"/>
                <w:szCs w:val="20"/>
              </w:rPr>
              <w:t>, Part 11: Making effective use of land.</w:t>
            </w:r>
            <w:bookmarkStart w:id="239" w:name="_Hlk139638601"/>
          </w:p>
          <w:p w14:paraId="47F1BB4C" w14:textId="14C1246C" w:rsidR="00B958CB" w:rsidRPr="004C67D8" w:rsidRDefault="00B958CB" w:rsidP="00F906E1">
            <w:pPr>
              <w:keepNext w:val="0"/>
              <w:numPr>
                <w:ilvl w:val="0"/>
                <w:numId w:val="276"/>
              </w:numPr>
              <w:spacing w:before="0"/>
              <w:contextualSpacing/>
              <w:jc w:val="left"/>
              <w:rPr>
                <w:color w:val="auto"/>
                <w:sz w:val="20"/>
                <w:szCs w:val="20"/>
              </w:rPr>
            </w:pPr>
            <w:r w:rsidRPr="004C67D8">
              <w:rPr>
                <w:color w:val="auto"/>
                <w:sz w:val="20"/>
                <w:szCs w:val="20"/>
              </w:rPr>
              <w:t xml:space="preserve">Planning Practice Guidance: </w:t>
            </w:r>
            <w:r w:rsidR="00BB665C" w:rsidRPr="004C67D8">
              <w:rPr>
                <w:color w:val="auto"/>
                <w:sz w:val="20"/>
                <w:szCs w:val="20"/>
              </w:rPr>
              <w:t>E</w:t>
            </w:r>
            <w:r w:rsidRPr="004C67D8">
              <w:rPr>
                <w:color w:val="auto"/>
                <w:sz w:val="20"/>
                <w:szCs w:val="20"/>
              </w:rPr>
              <w:t xml:space="preserve">ffective use of land as of </w:t>
            </w:r>
            <w:r w:rsidR="007641C1" w:rsidRPr="004C67D8">
              <w:rPr>
                <w:color w:val="auto"/>
                <w:sz w:val="20"/>
                <w:szCs w:val="20"/>
              </w:rPr>
              <w:t>July 2019</w:t>
            </w:r>
            <w:r w:rsidRPr="004C67D8">
              <w:rPr>
                <w:color w:val="auto"/>
                <w:sz w:val="20"/>
                <w:szCs w:val="20"/>
              </w:rPr>
              <w:t>.</w:t>
            </w:r>
            <w:bookmarkEnd w:id="239"/>
          </w:p>
        </w:tc>
      </w:tr>
    </w:tbl>
    <w:p w14:paraId="16554942" w14:textId="77777777" w:rsidR="00F9165A" w:rsidRPr="00B958CB" w:rsidRDefault="00F9165A" w:rsidP="00F9165A">
      <w:pPr>
        <w:pStyle w:val="ListParagraph"/>
        <w:rPr>
          <w:rFonts w:ascii="Arial" w:hAnsi="Arial" w:cs="Arial"/>
          <w:color w:val="auto"/>
          <w:szCs w:val="24"/>
        </w:rPr>
      </w:pPr>
    </w:p>
    <w:p w14:paraId="464247EF" w14:textId="71F2077D" w:rsidR="00B958CB" w:rsidRPr="004C67D8" w:rsidRDefault="00BE2D18" w:rsidP="00874A98">
      <w:pPr>
        <w:pStyle w:val="ListParagraph"/>
        <w:numPr>
          <w:ilvl w:val="1"/>
          <w:numId w:val="92"/>
        </w:numPr>
        <w:autoSpaceDE w:val="0"/>
        <w:autoSpaceDN w:val="0"/>
        <w:adjustRightInd w:val="0"/>
        <w:spacing w:after="0" w:line="240" w:lineRule="auto"/>
        <w:ind w:left="851" w:hanging="851"/>
        <w:rPr>
          <w:rFonts w:ascii="Arial" w:hAnsi="Arial" w:cs="Arial"/>
          <w:color w:val="auto"/>
          <w:szCs w:val="24"/>
        </w:rPr>
      </w:pPr>
      <w:r w:rsidRPr="00B958CB">
        <w:rPr>
          <w:rFonts w:ascii="Arial" w:hAnsi="Arial" w:cs="Arial"/>
          <w:b/>
          <w:bCs/>
          <w:color w:val="000000"/>
          <w:szCs w:val="24"/>
          <w:lang w:val="en-US"/>
        </w:rPr>
        <w:t>H7:1</w:t>
      </w:r>
      <w:r w:rsidRPr="00B958CB">
        <w:rPr>
          <w:rFonts w:ascii="Arial" w:hAnsi="Arial" w:cs="Arial"/>
          <w:color w:val="000000"/>
          <w:szCs w:val="24"/>
          <w:lang w:val="en-US"/>
        </w:rPr>
        <w:t xml:space="preserve"> </w:t>
      </w:r>
      <w:r w:rsidR="00A462AA" w:rsidRPr="00B958CB">
        <w:rPr>
          <w:rFonts w:ascii="Arial" w:eastAsia="Arial" w:hAnsi="Arial" w:cs="Arial"/>
          <w:szCs w:val="24"/>
        </w:rPr>
        <w:t>Developments carried out at a higher density in accordance with this policy will bring more people within walking/cycling distance of the District Shopping Centres, railway stations and tram stops</w:t>
      </w:r>
      <w:r w:rsidR="000128EA" w:rsidRPr="004C67D8">
        <w:rPr>
          <w:rFonts w:ascii="Arial" w:eastAsia="Arial" w:hAnsi="Arial" w:cs="Arial"/>
          <w:color w:val="auto"/>
          <w:szCs w:val="24"/>
        </w:rPr>
        <w:t>, and encourage 'active travel' in general</w:t>
      </w:r>
      <w:r w:rsidR="00A462AA" w:rsidRPr="004C67D8">
        <w:rPr>
          <w:rFonts w:ascii="Arial" w:eastAsia="Arial" w:hAnsi="Arial" w:cs="Arial"/>
          <w:color w:val="auto"/>
          <w:szCs w:val="24"/>
        </w:rPr>
        <w:t xml:space="preserve">. This will </w:t>
      </w:r>
      <w:r w:rsidR="000128EA" w:rsidRPr="004C67D8">
        <w:rPr>
          <w:rFonts w:ascii="Arial" w:eastAsia="Arial" w:hAnsi="Arial" w:cs="Arial"/>
          <w:color w:val="auto"/>
          <w:szCs w:val="24"/>
        </w:rPr>
        <w:t xml:space="preserve">support </w:t>
      </w:r>
      <w:r w:rsidR="00A462AA" w:rsidRPr="004C67D8">
        <w:rPr>
          <w:rFonts w:ascii="Arial" w:eastAsia="Arial" w:hAnsi="Arial" w:cs="Arial"/>
          <w:color w:val="auto"/>
          <w:szCs w:val="24"/>
        </w:rPr>
        <w:t>a subsequent reduction in private car journeys and improved usage of these services. The policy will also assist in encouraging the development of an increased number of smaller and more affordable properties.</w:t>
      </w:r>
    </w:p>
    <w:p w14:paraId="43ECCA4E" w14:textId="77777777" w:rsidR="00B958CB" w:rsidRPr="004C67D8" w:rsidRDefault="00B958CB" w:rsidP="00B958CB">
      <w:pPr>
        <w:pStyle w:val="ListParagraph"/>
        <w:spacing w:after="0" w:line="240" w:lineRule="auto"/>
        <w:ind w:left="851"/>
        <w:rPr>
          <w:rFonts w:ascii="Arial" w:hAnsi="Arial" w:cs="Arial"/>
          <w:color w:val="auto"/>
          <w:szCs w:val="24"/>
        </w:rPr>
      </w:pPr>
    </w:p>
    <w:p w14:paraId="62F2F840" w14:textId="7F7D6015" w:rsidR="00DE5F42" w:rsidRPr="004C67D8" w:rsidRDefault="00A462AA" w:rsidP="00874A98">
      <w:pPr>
        <w:pStyle w:val="ListParagraph"/>
        <w:numPr>
          <w:ilvl w:val="1"/>
          <w:numId w:val="92"/>
        </w:numPr>
        <w:autoSpaceDE w:val="0"/>
        <w:autoSpaceDN w:val="0"/>
        <w:adjustRightInd w:val="0"/>
        <w:spacing w:after="0" w:line="240" w:lineRule="auto"/>
        <w:ind w:left="851" w:hanging="851"/>
        <w:rPr>
          <w:rFonts w:ascii="Arial" w:hAnsi="Arial" w:cs="Arial"/>
          <w:color w:val="auto"/>
          <w:szCs w:val="24"/>
        </w:rPr>
      </w:pPr>
      <w:r w:rsidRPr="004C67D8">
        <w:rPr>
          <w:rFonts w:ascii="Arial" w:hAnsi="Arial" w:cs="Arial"/>
          <w:color w:val="auto"/>
          <w:szCs w:val="24"/>
        </w:rPr>
        <w:t>Walking distances in the two density zones have been established at 400 metres within which it is likely that many people will choose to walk to District Shopping Centres and rail stops, and 1 kilometre within which a smaller but still significant number of people are likely to choose to walk</w:t>
      </w:r>
      <w:r w:rsidR="009B49B5" w:rsidRPr="004C67D8">
        <w:rPr>
          <w:rFonts w:ascii="Arial" w:hAnsi="Arial" w:cs="Arial"/>
          <w:color w:val="auto"/>
          <w:szCs w:val="24"/>
        </w:rPr>
        <w:t>/cycle</w:t>
      </w:r>
      <w:r w:rsidRPr="004C67D8">
        <w:rPr>
          <w:rFonts w:ascii="Arial" w:hAnsi="Arial" w:cs="Arial"/>
          <w:color w:val="auto"/>
          <w:szCs w:val="24"/>
        </w:rPr>
        <w:t>. The 1 kilometre zone is also considered to be the principal catchment of the Public Transport Corridor. Outside of these two zones a higher proportion of people are likely to use a private car rather than walk and as such a lower target density is appropriate.</w:t>
      </w:r>
      <w:r w:rsidR="000C50C7" w:rsidRPr="004C67D8">
        <w:rPr>
          <w:rFonts w:ascii="Arial" w:hAnsi="Arial" w:cs="Arial"/>
          <w:color w:val="auto"/>
          <w:szCs w:val="24"/>
        </w:rPr>
        <w:t xml:space="preserve"> It </w:t>
      </w:r>
      <w:r w:rsidR="00964513" w:rsidRPr="004C67D8">
        <w:rPr>
          <w:rFonts w:ascii="Arial" w:hAnsi="Arial" w:cs="Arial"/>
          <w:color w:val="auto"/>
          <w:szCs w:val="24"/>
        </w:rPr>
        <w:t>must</w:t>
      </w:r>
      <w:r w:rsidR="000C50C7" w:rsidRPr="004C67D8">
        <w:rPr>
          <w:rFonts w:ascii="Arial" w:hAnsi="Arial" w:cs="Arial"/>
          <w:color w:val="auto"/>
          <w:szCs w:val="24"/>
        </w:rPr>
        <w:t xml:space="preserve"> be noted that the </w:t>
      </w:r>
      <w:r w:rsidR="00964513" w:rsidRPr="004C67D8">
        <w:rPr>
          <w:rFonts w:ascii="Arial" w:hAnsi="Arial" w:cs="Arial"/>
          <w:color w:val="auto"/>
          <w:szCs w:val="24"/>
        </w:rPr>
        <w:t>distances involved should be based on actual walking routes, rather than an arbitrary radius (or ‘as the crow flies’).</w:t>
      </w:r>
    </w:p>
    <w:p w14:paraId="711A3F2F" w14:textId="77777777" w:rsidR="00B958CB" w:rsidRPr="004C67D8" w:rsidRDefault="00B958CB" w:rsidP="00331448">
      <w:pPr>
        <w:pStyle w:val="ListParagraph"/>
        <w:spacing w:after="0" w:line="240" w:lineRule="auto"/>
        <w:rPr>
          <w:rFonts w:ascii="Arial" w:hAnsi="Arial" w:cs="Arial"/>
          <w:color w:val="auto"/>
          <w:szCs w:val="24"/>
        </w:rPr>
      </w:pPr>
    </w:p>
    <w:p w14:paraId="00B18212" w14:textId="77777777" w:rsidR="00331448" w:rsidRPr="00331448" w:rsidRDefault="00A462AA" w:rsidP="00874A98">
      <w:pPr>
        <w:pStyle w:val="ListParagraph"/>
        <w:numPr>
          <w:ilvl w:val="1"/>
          <w:numId w:val="92"/>
        </w:numPr>
        <w:autoSpaceDE w:val="0"/>
        <w:autoSpaceDN w:val="0"/>
        <w:adjustRightInd w:val="0"/>
        <w:spacing w:after="0" w:line="240" w:lineRule="auto"/>
        <w:ind w:left="851" w:hanging="851"/>
        <w:rPr>
          <w:rFonts w:ascii="Arial" w:hAnsi="Arial" w:cs="Arial"/>
          <w:color w:val="auto"/>
          <w:szCs w:val="24"/>
        </w:rPr>
      </w:pPr>
      <w:r w:rsidRPr="00331448">
        <w:rPr>
          <w:rFonts w:ascii="Arial" w:eastAsia="Arial" w:hAnsi="Arial" w:cs="Arial"/>
        </w:rPr>
        <w:t>Development densities in all major housing developments should normally be no lower than an average 30 dwellings per hectare (net). Densities below this will need to be justified, taking into account individual site circumstances.</w:t>
      </w:r>
    </w:p>
    <w:p w14:paraId="34D7A20A" w14:textId="275F0D5E" w:rsidR="00331448" w:rsidRDefault="00331448" w:rsidP="00331448">
      <w:pPr>
        <w:pStyle w:val="ListParagraph"/>
        <w:spacing w:after="0" w:line="240" w:lineRule="auto"/>
        <w:rPr>
          <w:rFonts w:ascii="Arial" w:hAnsi="Arial" w:cs="Arial"/>
          <w:szCs w:val="24"/>
        </w:rPr>
      </w:pPr>
    </w:p>
    <w:p w14:paraId="04CE2541" w14:textId="4AD7762C" w:rsidR="00331448" w:rsidRPr="00AC4A0D" w:rsidRDefault="00A462AA" w:rsidP="00874A98">
      <w:pPr>
        <w:pStyle w:val="ListParagraph"/>
        <w:numPr>
          <w:ilvl w:val="1"/>
          <w:numId w:val="92"/>
        </w:numPr>
        <w:autoSpaceDE w:val="0"/>
        <w:autoSpaceDN w:val="0"/>
        <w:adjustRightInd w:val="0"/>
        <w:spacing w:after="0" w:line="240" w:lineRule="auto"/>
        <w:ind w:left="851" w:hanging="851"/>
        <w:rPr>
          <w:rFonts w:ascii="Arial" w:hAnsi="Arial" w:cs="Arial"/>
          <w:color w:val="auto"/>
          <w:szCs w:val="24"/>
        </w:rPr>
      </w:pPr>
      <w:r w:rsidRPr="00331448">
        <w:rPr>
          <w:rFonts w:ascii="Arial" w:hAnsi="Arial" w:cs="Arial"/>
          <w:szCs w:val="24"/>
        </w:rPr>
        <w:t xml:space="preserve">Typical densities achieved on recent housing development across Ashfield are set out </w:t>
      </w:r>
      <w:r w:rsidR="00B845B1">
        <w:rPr>
          <w:rFonts w:ascii="Arial" w:hAnsi="Arial" w:cs="Arial"/>
          <w:szCs w:val="24"/>
        </w:rPr>
        <w:t xml:space="preserve">in Table 10 </w:t>
      </w:r>
      <w:r w:rsidRPr="00331448">
        <w:rPr>
          <w:rFonts w:ascii="Arial" w:hAnsi="Arial" w:cs="Arial"/>
          <w:szCs w:val="24"/>
        </w:rPr>
        <w:t>below. It can be seen that the vast majority of large housing sites delivered over the past 5 years have a density of 30 and above.</w:t>
      </w:r>
      <w:bookmarkStart w:id="240" w:name="_Hlk78383791"/>
    </w:p>
    <w:p w14:paraId="247D014B" w14:textId="72A42C53" w:rsidR="00F906E1" w:rsidRDefault="00F906E1">
      <w:pPr>
        <w:keepNext w:val="0"/>
        <w:spacing w:before="0"/>
        <w:rPr>
          <w:rFonts w:cs="Arial"/>
          <w:color w:val="auto"/>
          <w:szCs w:val="24"/>
        </w:rPr>
      </w:pPr>
      <w:r>
        <w:rPr>
          <w:rFonts w:cs="Arial"/>
          <w:color w:val="auto"/>
          <w:szCs w:val="24"/>
        </w:rPr>
        <w:br w:type="page"/>
      </w:r>
    </w:p>
    <w:p w14:paraId="1F456A7C" w14:textId="77777777" w:rsidR="00AC4A0D" w:rsidRDefault="00AC4A0D" w:rsidP="00AC4A0D">
      <w:pPr>
        <w:rPr>
          <w:rFonts w:cs="Arial"/>
          <w:color w:val="auto"/>
          <w:szCs w:val="24"/>
        </w:rPr>
      </w:pPr>
    </w:p>
    <w:tbl>
      <w:tblPr>
        <w:tblStyle w:val="ReportTable1"/>
        <w:tblW w:w="8788" w:type="dxa"/>
        <w:tblInd w:w="846" w:type="dxa"/>
        <w:tblLook w:val="04A0" w:firstRow="1" w:lastRow="0" w:firstColumn="1" w:lastColumn="0" w:noHBand="0" w:noVBand="1"/>
      </w:tblPr>
      <w:tblGrid>
        <w:gridCol w:w="6520"/>
        <w:gridCol w:w="2268"/>
      </w:tblGrid>
      <w:tr w:rsidR="00AC4A0D" w:rsidRPr="00F31667" w14:paraId="36892CF5" w14:textId="77777777" w:rsidTr="00C30F6A">
        <w:trPr>
          <w:trHeight w:val="652"/>
        </w:trPr>
        <w:tc>
          <w:tcPr>
            <w:tcW w:w="8788" w:type="dxa"/>
            <w:gridSpan w:val="2"/>
            <w:shd w:val="clear" w:color="auto" w:fill="D9D9D9"/>
          </w:tcPr>
          <w:p w14:paraId="1D5A9169" w14:textId="46B90C82" w:rsidR="00AC4A0D" w:rsidRPr="00F31667" w:rsidRDefault="00AC4A0D" w:rsidP="00B04CDB">
            <w:pPr>
              <w:tabs>
                <w:tab w:val="left" w:pos="680"/>
              </w:tabs>
              <w:rPr>
                <w:rFonts w:eastAsia="Arial" w:cs="Arial"/>
              </w:rPr>
            </w:pPr>
            <w:bookmarkStart w:id="241" w:name="_Hlk78383835"/>
            <w:r w:rsidRPr="00F31667">
              <w:rPr>
                <w:rFonts w:eastAsia="Arial" w:cs="Arial"/>
                <w:b/>
              </w:rPr>
              <w:t>Density of recently delivered large housing sites in Ashfield (201</w:t>
            </w:r>
            <w:r>
              <w:rPr>
                <w:rFonts w:eastAsia="Arial" w:cs="Arial"/>
                <w:b/>
              </w:rPr>
              <w:t>1</w:t>
            </w:r>
            <w:r w:rsidRPr="00F31667">
              <w:rPr>
                <w:rFonts w:eastAsia="Arial" w:cs="Arial"/>
                <w:b/>
              </w:rPr>
              <w:t xml:space="preserve"> to 20</w:t>
            </w:r>
            <w:r>
              <w:rPr>
                <w:rFonts w:eastAsia="Arial" w:cs="Arial"/>
                <w:b/>
              </w:rPr>
              <w:t>21</w:t>
            </w:r>
            <w:r w:rsidRPr="00F31667">
              <w:rPr>
                <w:rFonts w:eastAsia="Arial" w:cs="Arial"/>
                <w:b/>
              </w:rPr>
              <w:t>)</w:t>
            </w:r>
          </w:p>
        </w:tc>
      </w:tr>
      <w:tr w:rsidR="00AC4A0D" w:rsidRPr="00F31667" w14:paraId="5F404EE8" w14:textId="77777777" w:rsidTr="00AC4A0D">
        <w:trPr>
          <w:trHeight w:val="417"/>
        </w:trPr>
        <w:tc>
          <w:tcPr>
            <w:tcW w:w="6520" w:type="dxa"/>
          </w:tcPr>
          <w:p w14:paraId="478E753E" w14:textId="77777777" w:rsidR="00AC4A0D" w:rsidRPr="006977E7" w:rsidRDefault="00AC4A0D" w:rsidP="00B04CDB">
            <w:pPr>
              <w:tabs>
                <w:tab w:val="left" w:pos="680"/>
              </w:tabs>
              <w:rPr>
                <w:rFonts w:eastAsia="Arial" w:cs="Arial"/>
                <w:bCs/>
              </w:rPr>
            </w:pPr>
            <w:r w:rsidRPr="006977E7">
              <w:rPr>
                <w:rFonts w:eastAsia="Arial" w:cs="Arial"/>
                <w:bCs/>
              </w:rPr>
              <w:t>Below 30 dwellings per hectare (dph)</w:t>
            </w:r>
          </w:p>
        </w:tc>
        <w:tc>
          <w:tcPr>
            <w:tcW w:w="2268" w:type="dxa"/>
          </w:tcPr>
          <w:p w14:paraId="3F3494E1" w14:textId="77777777" w:rsidR="00AC4A0D" w:rsidRPr="006977E7" w:rsidRDefault="00AC4A0D" w:rsidP="00B04CDB">
            <w:pPr>
              <w:tabs>
                <w:tab w:val="left" w:pos="680"/>
              </w:tabs>
              <w:rPr>
                <w:rFonts w:eastAsia="Arial" w:cs="Arial"/>
                <w:bCs/>
              </w:rPr>
            </w:pPr>
            <w:r w:rsidRPr="006977E7">
              <w:rPr>
                <w:rFonts w:eastAsia="Arial" w:cs="Arial"/>
                <w:bCs/>
              </w:rPr>
              <w:t>19%</w:t>
            </w:r>
          </w:p>
        </w:tc>
      </w:tr>
      <w:tr w:rsidR="00AC4A0D" w:rsidRPr="00F31667" w14:paraId="48BEA572" w14:textId="77777777" w:rsidTr="00AC4A0D">
        <w:trPr>
          <w:trHeight w:val="409"/>
        </w:trPr>
        <w:tc>
          <w:tcPr>
            <w:tcW w:w="6520" w:type="dxa"/>
          </w:tcPr>
          <w:p w14:paraId="41200BF3" w14:textId="77777777" w:rsidR="00AC4A0D" w:rsidRPr="006977E7" w:rsidRDefault="00AC4A0D" w:rsidP="00B04CDB">
            <w:pPr>
              <w:tabs>
                <w:tab w:val="left" w:pos="680"/>
              </w:tabs>
              <w:rPr>
                <w:rFonts w:eastAsia="Arial" w:cs="Arial"/>
                <w:bCs/>
              </w:rPr>
            </w:pPr>
            <w:r w:rsidRPr="006977E7">
              <w:rPr>
                <w:rFonts w:eastAsia="Arial" w:cs="Arial"/>
                <w:bCs/>
              </w:rPr>
              <w:t>Between 30%-50% dwellings per hectare (dph)</w:t>
            </w:r>
          </w:p>
        </w:tc>
        <w:tc>
          <w:tcPr>
            <w:tcW w:w="2268" w:type="dxa"/>
          </w:tcPr>
          <w:p w14:paraId="057731D0" w14:textId="77777777" w:rsidR="00AC4A0D" w:rsidRPr="006977E7" w:rsidRDefault="00AC4A0D" w:rsidP="00B04CDB">
            <w:pPr>
              <w:tabs>
                <w:tab w:val="left" w:pos="680"/>
              </w:tabs>
              <w:rPr>
                <w:rFonts w:eastAsia="Arial" w:cs="Arial"/>
                <w:bCs/>
              </w:rPr>
            </w:pPr>
            <w:r w:rsidRPr="006977E7">
              <w:rPr>
                <w:rFonts w:eastAsia="Arial" w:cs="Arial"/>
                <w:bCs/>
              </w:rPr>
              <w:t>75%</w:t>
            </w:r>
          </w:p>
        </w:tc>
      </w:tr>
      <w:tr w:rsidR="00AC4A0D" w:rsidRPr="00F31667" w14:paraId="5A50D5F3" w14:textId="77777777" w:rsidTr="00C30F6A">
        <w:trPr>
          <w:trHeight w:val="561"/>
        </w:trPr>
        <w:tc>
          <w:tcPr>
            <w:tcW w:w="6520" w:type="dxa"/>
          </w:tcPr>
          <w:p w14:paraId="54DDD8AF" w14:textId="77777777" w:rsidR="00AC4A0D" w:rsidRPr="006977E7" w:rsidRDefault="00AC4A0D" w:rsidP="00B04CDB">
            <w:pPr>
              <w:tabs>
                <w:tab w:val="left" w:pos="680"/>
              </w:tabs>
              <w:rPr>
                <w:rFonts w:eastAsia="Arial" w:cs="Arial"/>
                <w:bCs/>
              </w:rPr>
            </w:pPr>
            <w:r w:rsidRPr="006977E7">
              <w:rPr>
                <w:rFonts w:eastAsia="Arial" w:cs="Arial"/>
                <w:bCs/>
              </w:rPr>
              <w:t>Above 50 dwellings per hectare (dph)</w:t>
            </w:r>
          </w:p>
        </w:tc>
        <w:tc>
          <w:tcPr>
            <w:tcW w:w="2268" w:type="dxa"/>
          </w:tcPr>
          <w:p w14:paraId="5DCE9C58" w14:textId="77777777" w:rsidR="00AC4A0D" w:rsidRPr="006977E7" w:rsidRDefault="00AC4A0D" w:rsidP="00B04CDB">
            <w:pPr>
              <w:tabs>
                <w:tab w:val="left" w:pos="680"/>
              </w:tabs>
              <w:rPr>
                <w:rFonts w:eastAsia="Arial" w:cs="Arial"/>
                <w:bCs/>
              </w:rPr>
            </w:pPr>
            <w:r w:rsidRPr="006977E7">
              <w:rPr>
                <w:rFonts w:eastAsia="Arial" w:cs="Arial"/>
                <w:bCs/>
              </w:rPr>
              <w:t>6%</w:t>
            </w:r>
          </w:p>
        </w:tc>
      </w:tr>
      <w:bookmarkEnd w:id="241"/>
    </w:tbl>
    <w:p w14:paraId="7377EDA0" w14:textId="77777777" w:rsidR="00331448" w:rsidRDefault="00331448" w:rsidP="00331448">
      <w:pPr>
        <w:pStyle w:val="ListParagraph"/>
        <w:spacing w:after="0" w:line="240" w:lineRule="auto"/>
        <w:rPr>
          <w:rFonts w:ascii="Arial" w:hAnsi="Arial" w:cs="Arial"/>
          <w:b/>
          <w:bCs/>
          <w:szCs w:val="24"/>
        </w:rPr>
      </w:pPr>
    </w:p>
    <w:p w14:paraId="50225850" w14:textId="7D24E7DC" w:rsidR="00B845B1" w:rsidRDefault="00F906E1" w:rsidP="00F906E1">
      <w:pPr>
        <w:pStyle w:val="Heading3"/>
        <w:ind w:firstLine="720"/>
      </w:pPr>
      <w:r>
        <w:t xml:space="preserve">  </w:t>
      </w:r>
      <w:r w:rsidR="00B845B1">
        <w:t xml:space="preserve">Table 10: </w:t>
      </w:r>
      <w:r w:rsidR="00B845B1" w:rsidRPr="00F31667">
        <w:t>Density of recently delivered large housing sites in Ashfield</w:t>
      </w:r>
    </w:p>
    <w:p w14:paraId="034DA500" w14:textId="763E836A" w:rsidR="00B845B1" w:rsidRPr="00B845B1" w:rsidRDefault="00B845B1" w:rsidP="00F906E1">
      <w:pPr>
        <w:spacing w:before="0"/>
        <w:ind w:firstLine="851"/>
        <w:rPr>
          <w:sz w:val="22"/>
          <w:szCs w:val="22"/>
          <w:lang w:eastAsia="en-US"/>
        </w:rPr>
      </w:pPr>
      <w:r w:rsidRPr="00B845B1">
        <w:rPr>
          <w:sz w:val="22"/>
          <w:szCs w:val="22"/>
          <w:lang w:eastAsia="en-US"/>
        </w:rPr>
        <w:t>Source: Ashfield District Council</w:t>
      </w:r>
    </w:p>
    <w:p w14:paraId="5C620495" w14:textId="77777777" w:rsidR="00B845B1" w:rsidRDefault="00B845B1" w:rsidP="00B845B1">
      <w:pPr>
        <w:pStyle w:val="ListParagraph"/>
        <w:spacing w:after="0" w:line="240" w:lineRule="auto"/>
        <w:ind w:firstLine="851"/>
        <w:rPr>
          <w:rFonts w:ascii="Arial" w:hAnsi="Arial" w:cs="Arial"/>
          <w:b/>
          <w:bCs/>
          <w:sz w:val="22"/>
        </w:rPr>
      </w:pPr>
    </w:p>
    <w:p w14:paraId="18717214" w14:textId="77777777" w:rsidR="00F906E1" w:rsidRPr="00B845B1" w:rsidRDefault="00F906E1" w:rsidP="00B845B1">
      <w:pPr>
        <w:pStyle w:val="ListParagraph"/>
        <w:spacing w:after="0" w:line="240" w:lineRule="auto"/>
        <w:ind w:firstLine="851"/>
        <w:rPr>
          <w:rFonts w:ascii="Arial" w:hAnsi="Arial" w:cs="Arial"/>
          <w:b/>
          <w:bCs/>
          <w:sz w:val="22"/>
        </w:rPr>
      </w:pPr>
    </w:p>
    <w:p w14:paraId="37C09A9E" w14:textId="05068083" w:rsidR="00331448" w:rsidRPr="004C67D8" w:rsidRDefault="00BE2D18" w:rsidP="00874A98">
      <w:pPr>
        <w:pStyle w:val="ListParagraph"/>
        <w:numPr>
          <w:ilvl w:val="1"/>
          <w:numId w:val="92"/>
        </w:numPr>
        <w:autoSpaceDE w:val="0"/>
        <w:autoSpaceDN w:val="0"/>
        <w:adjustRightInd w:val="0"/>
        <w:spacing w:after="0" w:line="240" w:lineRule="auto"/>
        <w:ind w:left="851" w:hanging="851"/>
        <w:rPr>
          <w:rFonts w:ascii="Arial" w:hAnsi="Arial" w:cs="Arial"/>
          <w:color w:val="auto"/>
          <w:szCs w:val="24"/>
        </w:rPr>
      </w:pPr>
      <w:r w:rsidRPr="004C67D8">
        <w:rPr>
          <w:rFonts w:ascii="Arial" w:hAnsi="Arial" w:cs="Arial"/>
          <w:b/>
          <w:bCs/>
          <w:color w:val="auto"/>
          <w:szCs w:val="24"/>
        </w:rPr>
        <w:t>H7:2</w:t>
      </w:r>
      <w:r w:rsidRPr="004C67D8">
        <w:rPr>
          <w:rFonts w:ascii="Arial" w:hAnsi="Arial" w:cs="Arial"/>
          <w:color w:val="auto"/>
          <w:szCs w:val="24"/>
        </w:rPr>
        <w:t xml:space="preserve"> </w:t>
      </w:r>
      <w:r w:rsidR="00A462AA" w:rsidRPr="004C67D8">
        <w:rPr>
          <w:rFonts w:ascii="Arial" w:hAnsi="Arial" w:cs="Arial"/>
          <w:color w:val="auto"/>
          <w:szCs w:val="24"/>
        </w:rPr>
        <w:t>Major schemes</w:t>
      </w:r>
      <w:r w:rsidRPr="004C67D8">
        <w:rPr>
          <w:rFonts w:ascii="Arial" w:hAnsi="Arial" w:cs="Arial"/>
          <w:color w:val="auto"/>
          <w:szCs w:val="24"/>
        </w:rPr>
        <w:t xml:space="preserve"> of over 500 dwellings </w:t>
      </w:r>
      <w:r w:rsidR="00A462AA" w:rsidRPr="004C67D8">
        <w:rPr>
          <w:rFonts w:ascii="Arial" w:hAnsi="Arial" w:cs="Arial"/>
          <w:color w:val="auto"/>
          <w:szCs w:val="24"/>
        </w:rPr>
        <w:t>should include a range of different housing density areas, to ensure varied character</w:t>
      </w:r>
      <w:r w:rsidRPr="004C67D8">
        <w:rPr>
          <w:rFonts w:ascii="Arial" w:hAnsi="Arial" w:cs="Arial"/>
          <w:color w:val="auto"/>
          <w:szCs w:val="24"/>
        </w:rPr>
        <w:t xml:space="preserve">, </w:t>
      </w:r>
      <w:r w:rsidR="00A462AA" w:rsidRPr="004C67D8">
        <w:rPr>
          <w:rFonts w:ascii="Arial" w:hAnsi="Arial" w:cs="Arial"/>
          <w:color w:val="auto"/>
          <w:szCs w:val="24"/>
        </w:rPr>
        <w:t>appearance,</w:t>
      </w:r>
      <w:r w:rsidRPr="004C67D8">
        <w:rPr>
          <w:rFonts w:ascii="Arial" w:hAnsi="Arial" w:cs="Arial"/>
          <w:color w:val="auto"/>
          <w:szCs w:val="24"/>
        </w:rPr>
        <w:t xml:space="preserve"> and house types</w:t>
      </w:r>
      <w:r w:rsidR="00A462AA" w:rsidRPr="004C67D8">
        <w:rPr>
          <w:rFonts w:ascii="Arial" w:hAnsi="Arial" w:cs="Arial"/>
          <w:color w:val="auto"/>
          <w:szCs w:val="24"/>
        </w:rPr>
        <w:t xml:space="preserve"> in accordance with agreed Masterplans</w:t>
      </w:r>
      <w:r w:rsidR="00DA1C20" w:rsidRPr="004C67D8">
        <w:rPr>
          <w:rFonts w:ascii="Arial" w:hAnsi="Arial" w:cs="Arial"/>
          <w:color w:val="auto"/>
          <w:szCs w:val="24"/>
        </w:rPr>
        <w:t xml:space="preserve"> </w:t>
      </w:r>
      <w:r w:rsidR="00D272EF" w:rsidRPr="004C67D8">
        <w:rPr>
          <w:rFonts w:ascii="Arial" w:hAnsi="Arial" w:cs="Arial"/>
          <w:color w:val="auto"/>
          <w:szCs w:val="24"/>
        </w:rPr>
        <w:t>which facilitate</w:t>
      </w:r>
      <w:r w:rsidR="00DA1C20" w:rsidRPr="004C67D8">
        <w:rPr>
          <w:rFonts w:ascii="Arial" w:hAnsi="Arial" w:cs="Arial"/>
          <w:color w:val="auto"/>
          <w:szCs w:val="24"/>
        </w:rPr>
        <w:t xml:space="preserve"> comprehensive development.</w:t>
      </w:r>
      <w:r w:rsidR="00A462AA" w:rsidRPr="004C67D8">
        <w:rPr>
          <w:rFonts w:ascii="Arial" w:hAnsi="Arial" w:cs="Arial"/>
          <w:color w:val="auto"/>
          <w:szCs w:val="24"/>
        </w:rPr>
        <w:t xml:space="preserve">  </w:t>
      </w:r>
      <w:bookmarkEnd w:id="240"/>
    </w:p>
    <w:p w14:paraId="72F88167" w14:textId="77777777" w:rsidR="00331448" w:rsidRPr="004C67D8" w:rsidRDefault="00331448" w:rsidP="00331448">
      <w:pPr>
        <w:pStyle w:val="ListParagraph"/>
        <w:spacing w:after="0" w:line="240" w:lineRule="auto"/>
        <w:rPr>
          <w:rFonts w:ascii="Arial" w:hAnsi="Arial" w:cs="Arial"/>
          <w:color w:val="auto"/>
          <w:szCs w:val="24"/>
        </w:rPr>
      </w:pPr>
    </w:p>
    <w:p w14:paraId="3E3FAFB9" w14:textId="71241F15" w:rsidR="00331448" w:rsidRPr="00331448" w:rsidRDefault="00A462AA" w:rsidP="00100CF9">
      <w:pPr>
        <w:pStyle w:val="ListParagraph"/>
        <w:numPr>
          <w:ilvl w:val="1"/>
          <w:numId w:val="92"/>
        </w:numPr>
        <w:autoSpaceDE w:val="0"/>
        <w:autoSpaceDN w:val="0"/>
        <w:adjustRightInd w:val="0"/>
        <w:spacing w:after="0"/>
        <w:ind w:left="851" w:hanging="851"/>
        <w:rPr>
          <w:rFonts w:ascii="Arial" w:hAnsi="Arial" w:cs="Arial"/>
          <w:color w:val="auto"/>
          <w:szCs w:val="24"/>
        </w:rPr>
      </w:pPr>
      <w:r w:rsidRPr="004C67D8">
        <w:rPr>
          <w:rFonts w:ascii="Arial" w:hAnsi="Arial" w:cs="Arial"/>
          <w:color w:val="auto"/>
          <w:szCs w:val="24"/>
        </w:rPr>
        <w:t>The density levels set by H</w:t>
      </w:r>
      <w:r w:rsidR="00122DD6" w:rsidRPr="004C67D8">
        <w:rPr>
          <w:rFonts w:ascii="Arial" w:hAnsi="Arial" w:cs="Arial"/>
          <w:color w:val="auto"/>
          <w:szCs w:val="24"/>
        </w:rPr>
        <w:t>7</w:t>
      </w:r>
      <w:r w:rsidRPr="004C67D8">
        <w:rPr>
          <w:rFonts w:ascii="Arial" w:hAnsi="Arial" w:cs="Arial"/>
          <w:color w:val="auto"/>
          <w:szCs w:val="24"/>
        </w:rPr>
        <w:t xml:space="preserve"> are based on the net </w:t>
      </w:r>
      <w:r w:rsidR="00CD44E3" w:rsidRPr="004C67D8">
        <w:rPr>
          <w:rFonts w:ascii="Arial" w:hAnsi="Arial" w:cs="Arial"/>
          <w:color w:val="auto"/>
          <w:szCs w:val="24"/>
        </w:rPr>
        <w:t xml:space="preserve">residential </w:t>
      </w:r>
      <w:r w:rsidRPr="004C67D8">
        <w:rPr>
          <w:rFonts w:ascii="Arial" w:hAnsi="Arial" w:cs="Arial"/>
          <w:color w:val="auto"/>
          <w:szCs w:val="24"/>
        </w:rPr>
        <w:t>developable area of sites which will vary depending on the land taken by open space, infrastructure and facilities. The</w:t>
      </w:r>
      <w:r w:rsidR="00CD44E3" w:rsidRPr="004C67D8">
        <w:rPr>
          <w:rFonts w:ascii="Arial" w:hAnsi="Arial" w:cs="Arial"/>
          <w:color w:val="auto"/>
          <w:szCs w:val="24"/>
        </w:rPr>
        <w:t xml:space="preserve"> standard assumptions </w:t>
      </w:r>
      <w:r w:rsidR="00100CF9">
        <w:rPr>
          <w:rFonts w:ascii="Arial" w:hAnsi="Arial" w:cs="Arial"/>
          <w:color w:val="auto"/>
          <w:szCs w:val="24"/>
        </w:rPr>
        <w:t>for</w:t>
      </w:r>
      <w:r w:rsidR="00CD44E3" w:rsidRPr="004C67D8">
        <w:rPr>
          <w:rFonts w:ascii="Arial" w:hAnsi="Arial" w:cs="Arial"/>
          <w:color w:val="auto"/>
          <w:szCs w:val="24"/>
        </w:rPr>
        <w:t xml:space="preserve"> identify</w:t>
      </w:r>
      <w:r w:rsidR="00100CF9">
        <w:rPr>
          <w:rFonts w:ascii="Arial" w:hAnsi="Arial" w:cs="Arial"/>
          <w:color w:val="auto"/>
          <w:szCs w:val="24"/>
        </w:rPr>
        <w:t>ing</w:t>
      </w:r>
      <w:r w:rsidR="00CD44E3" w:rsidRPr="004C67D8">
        <w:rPr>
          <w:rFonts w:ascii="Arial" w:hAnsi="Arial" w:cs="Arial"/>
          <w:color w:val="auto"/>
          <w:szCs w:val="24"/>
        </w:rPr>
        <w:t xml:space="preserve"> net developable areas are set out in Background Paper 2: Housing and </w:t>
      </w:r>
      <w:r w:rsidRPr="004C67D8">
        <w:rPr>
          <w:rFonts w:ascii="Arial" w:hAnsi="Arial" w:cs="Arial"/>
          <w:color w:val="auto"/>
          <w:szCs w:val="24"/>
        </w:rPr>
        <w:t xml:space="preserve">should be used as a guide. </w:t>
      </w:r>
      <w:r w:rsidRPr="004C67D8">
        <w:rPr>
          <w:rFonts w:ascii="Arial" w:eastAsia="Arial" w:hAnsi="Arial" w:cs="Arial"/>
          <w:color w:val="auto"/>
        </w:rPr>
        <w:t>Net residential density is measured as the number of individual dwelling units per hectare of land developed specifically for housing and directly associated uses. This includes access roads within the site, private garden space</w:t>
      </w:r>
      <w:r w:rsidRPr="00331448">
        <w:rPr>
          <w:rFonts w:ascii="Arial" w:eastAsia="Arial" w:hAnsi="Arial" w:cs="Arial"/>
        </w:rPr>
        <w:t>, car parking and incidental open space/landscaping. It does not include distributor roads, open space serving a wider area, significant landscape buffer areas and other facilities such as schools, shops and community buildings</w:t>
      </w:r>
      <w:r w:rsidR="00331448">
        <w:rPr>
          <w:rFonts w:ascii="Arial" w:eastAsia="Arial" w:hAnsi="Arial" w:cs="Arial"/>
        </w:rPr>
        <w:t>.</w:t>
      </w:r>
    </w:p>
    <w:p w14:paraId="60079616" w14:textId="77777777" w:rsidR="00331448" w:rsidRPr="00331448" w:rsidRDefault="00331448" w:rsidP="00331448">
      <w:pPr>
        <w:pStyle w:val="ListParagraph"/>
        <w:spacing w:after="0" w:line="240" w:lineRule="auto"/>
        <w:ind w:left="851"/>
        <w:rPr>
          <w:rFonts w:ascii="Arial" w:hAnsi="Arial" w:cs="Arial"/>
          <w:color w:val="auto"/>
          <w:szCs w:val="24"/>
        </w:rPr>
      </w:pPr>
    </w:p>
    <w:p w14:paraId="4CBF96CE" w14:textId="094BAB5D" w:rsidR="00331448" w:rsidRPr="00331448" w:rsidRDefault="00A462AA" w:rsidP="00874A98">
      <w:pPr>
        <w:pStyle w:val="ListParagraph"/>
        <w:numPr>
          <w:ilvl w:val="1"/>
          <w:numId w:val="92"/>
        </w:numPr>
        <w:autoSpaceDE w:val="0"/>
        <w:autoSpaceDN w:val="0"/>
        <w:adjustRightInd w:val="0"/>
        <w:spacing w:after="0" w:line="240" w:lineRule="auto"/>
        <w:ind w:left="851" w:hanging="851"/>
        <w:rPr>
          <w:rFonts w:ascii="Arial" w:eastAsia="Arial" w:hAnsi="Arial" w:cs="Arial"/>
        </w:rPr>
      </w:pPr>
      <w:r w:rsidRPr="00331448">
        <w:rPr>
          <w:rFonts w:ascii="Arial" w:eastAsia="Arial" w:hAnsi="Arial" w:cs="Arial"/>
        </w:rPr>
        <w:t>In considering appropriate densities, account will be taken of any relevant local appraisals, plans or strategies, including, but not restricted to</w:t>
      </w:r>
      <w:r w:rsidR="00DF4737" w:rsidRPr="00331448">
        <w:rPr>
          <w:rFonts w:ascii="Arial" w:eastAsia="Arial" w:hAnsi="Arial" w:cs="Arial"/>
        </w:rPr>
        <w:t>:</w:t>
      </w:r>
    </w:p>
    <w:p w14:paraId="36F9B958" w14:textId="77777777" w:rsidR="00331448" w:rsidRPr="00331448" w:rsidRDefault="00331448" w:rsidP="00331448">
      <w:pPr>
        <w:autoSpaceDE w:val="0"/>
        <w:autoSpaceDN w:val="0"/>
        <w:adjustRightInd w:val="0"/>
        <w:spacing w:before="0"/>
        <w:rPr>
          <w:rFonts w:eastAsia="Arial" w:cs="Arial"/>
        </w:rPr>
      </w:pPr>
    </w:p>
    <w:p w14:paraId="65193BC3" w14:textId="77777777" w:rsidR="00A462AA" w:rsidRPr="00331448" w:rsidRDefault="00A462AA" w:rsidP="00874A98">
      <w:pPr>
        <w:pStyle w:val="ListParagraph"/>
        <w:numPr>
          <w:ilvl w:val="0"/>
          <w:numId w:val="160"/>
        </w:numPr>
        <w:autoSpaceDE w:val="0"/>
        <w:autoSpaceDN w:val="0"/>
        <w:adjustRightInd w:val="0"/>
        <w:spacing w:after="0" w:line="240" w:lineRule="auto"/>
        <w:rPr>
          <w:rFonts w:ascii="Arial" w:eastAsia="Arial" w:hAnsi="Arial" w:cs="Arial"/>
          <w:szCs w:val="20"/>
          <w:lang w:eastAsia="en-GB"/>
        </w:rPr>
      </w:pPr>
      <w:r w:rsidRPr="00331448">
        <w:rPr>
          <w:rFonts w:ascii="Arial" w:eastAsia="Arial" w:hAnsi="Arial" w:cs="Arial"/>
          <w:szCs w:val="20"/>
          <w:lang w:eastAsia="en-GB"/>
        </w:rPr>
        <w:t xml:space="preserve">Neighbourhood Plans, </w:t>
      </w:r>
    </w:p>
    <w:p w14:paraId="141692FE" w14:textId="77777777" w:rsidR="00A462AA" w:rsidRPr="00331448" w:rsidRDefault="00A462AA" w:rsidP="00874A98">
      <w:pPr>
        <w:pStyle w:val="ListParagraph"/>
        <w:numPr>
          <w:ilvl w:val="0"/>
          <w:numId w:val="160"/>
        </w:numPr>
        <w:autoSpaceDE w:val="0"/>
        <w:autoSpaceDN w:val="0"/>
        <w:adjustRightInd w:val="0"/>
        <w:spacing w:after="0" w:line="240" w:lineRule="auto"/>
        <w:rPr>
          <w:rFonts w:ascii="Arial" w:eastAsia="Arial" w:hAnsi="Arial" w:cs="Arial"/>
          <w:szCs w:val="20"/>
          <w:lang w:eastAsia="en-GB"/>
        </w:rPr>
      </w:pPr>
      <w:r w:rsidRPr="00331448">
        <w:rPr>
          <w:rFonts w:ascii="Arial" w:eastAsia="Arial" w:hAnsi="Arial" w:cs="Arial"/>
          <w:szCs w:val="20"/>
          <w:lang w:eastAsia="en-GB"/>
        </w:rPr>
        <w:t>Landscape Character Assessments,</w:t>
      </w:r>
    </w:p>
    <w:p w14:paraId="4111C402" w14:textId="77777777" w:rsidR="00A462AA" w:rsidRPr="00331448" w:rsidRDefault="00A462AA" w:rsidP="00874A98">
      <w:pPr>
        <w:pStyle w:val="ListParagraph"/>
        <w:numPr>
          <w:ilvl w:val="0"/>
          <w:numId w:val="160"/>
        </w:numPr>
        <w:autoSpaceDE w:val="0"/>
        <w:autoSpaceDN w:val="0"/>
        <w:adjustRightInd w:val="0"/>
        <w:spacing w:after="0" w:line="240" w:lineRule="auto"/>
        <w:rPr>
          <w:rFonts w:ascii="Arial" w:eastAsia="Arial" w:hAnsi="Arial" w:cs="Arial"/>
          <w:szCs w:val="20"/>
          <w:lang w:eastAsia="en-GB"/>
        </w:rPr>
      </w:pPr>
      <w:r w:rsidRPr="00331448">
        <w:rPr>
          <w:rFonts w:ascii="Arial" w:eastAsia="Arial" w:hAnsi="Arial" w:cs="Arial"/>
          <w:szCs w:val="20"/>
          <w:lang w:eastAsia="en-GB"/>
        </w:rPr>
        <w:t xml:space="preserve">Conservation Area Appraisal or Character Appraisal approved or adopted by the District Council. </w:t>
      </w:r>
    </w:p>
    <w:p w14:paraId="6199613C" w14:textId="77777777" w:rsidR="00A462AA" w:rsidRPr="00331448" w:rsidRDefault="00A462AA" w:rsidP="00331448">
      <w:pPr>
        <w:autoSpaceDE w:val="0"/>
        <w:autoSpaceDN w:val="0"/>
        <w:adjustRightInd w:val="0"/>
        <w:spacing w:before="0"/>
        <w:rPr>
          <w:rFonts w:eastAsia="Arial" w:cs="Arial"/>
        </w:rPr>
      </w:pPr>
    </w:p>
    <w:p w14:paraId="7DDA1DDC" w14:textId="44670437" w:rsidR="00F55774" w:rsidRDefault="00A462AA" w:rsidP="00874A98">
      <w:pPr>
        <w:pStyle w:val="ListParagraph"/>
        <w:numPr>
          <w:ilvl w:val="1"/>
          <w:numId w:val="92"/>
        </w:numPr>
        <w:autoSpaceDE w:val="0"/>
        <w:autoSpaceDN w:val="0"/>
        <w:adjustRightInd w:val="0"/>
        <w:spacing w:after="0" w:line="240" w:lineRule="auto"/>
        <w:ind w:left="851" w:hanging="851"/>
        <w:rPr>
          <w:rFonts w:ascii="Arial" w:eastAsia="Arial" w:hAnsi="Arial" w:cs="Arial"/>
        </w:rPr>
      </w:pPr>
      <w:r w:rsidRPr="00331448">
        <w:rPr>
          <w:rFonts w:ascii="Arial" w:eastAsia="Arial" w:hAnsi="Arial" w:cs="Arial"/>
        </w:rPr>
        <w:t>The Council’s Residential Design Guide Supplementary Planning Document (SPD) gives further useful information.</w:t>
      </w:r>
    </w:p>
    <w:p w14:paraId="3F199290" w14:textId="53187D52" w:rsidR="00F55774" w:rsidRDefault="00F55774" w:rsidP="00F55774">
      <w:pPr>
        <w:pStyle w:val="ListParagraph"/>
        <w:autoSpaceDE w:val="0"/>
        <w:autoSpaceDN w:val="0"/>
        <w:adjustRightInd w:val="0"/>
        <w:spacing w:after="0" w:line="240" w:lineRule="auto"/>
        <w:ind w:left="851"/>
        <w:rPr>
          <w:rFonts w:ascii="Arial" w:eastAsia="Arial" w:hAnsi="Arial" w:cs="Arial"/>
        </w:rPr>
      </w:pPr>
    </w:p>
    <w:p w14:paraId="65667EA8" w14:textId="4C497017" w:rsidR="00F906E1" w:rsidRDefault="00F906E1">
      <w:pPr>
        <w:keepNext w:val="0"/>
        <w:spacing w:before="0"/>
        <w:rPr>
          <w:rFonts w:eastAsia="Arial" w:cs="Arial"/>
          <w:szCs w:val="22"/>
          <w:lang w:eastAsia="en-US"/>
        </w:rPr>
      </w:pPr>
      <w:r>
        <w:rPr>
          <w:rFonts w:eastAsia="Arial" w:cs="Arial"/>
        </w:rPr>
        <w:br w:type="page"/>
      </w:r>
    </w:p>
    <w:p w14:paraId="5E49DF1E" w14:textId="721FD918" w:rsidR="00F55774" w:rsidRPr="00995322" w:rsidRDefault="00F55774" w:rsidP="00995322">
      <w:pPr>
        <w:pStyle w:val="Heading2"/>
        <w:jc w:val="left"/>
        <w:rPr>
          <w:rFonts w:eastAsia="Arial"/>
          <w:sz w:val="28"/>
          <w:szCs w:val="28"/>
        </w:rPr>
      </w:pPr>
      <w:bookmarkStart w:id="242" w:name="_Toc500408782"/>
      <w:bookmarkStart w:id="243" w:name="_Toc145511595"/>
      <w:r w:rsidRPr="00995322">
        <w:rPr>
          <w:rFonts w:eastAsia="Arial"/>
          <w:sz w:val="28"/>
          <w:szCs w:val="28"/>
        </w:rPr>
        <w:t>Policy H8: Houses in Multiple Occupation, Flats and Bedsits</w:t>
      </w:r>
      <w:bookmarkEnd w:id="242"/>
      <w:bookmarkEnd w:id="243"/>
    </w:p>
    <w:p w14:paraId="4AD86887" w14:textId="77777777" w:rsidR="006D4F49" w:rsidRPr="00503C86" w:rsidRDefault="006D4F49" w:rsidP="00503C86">
      <w:pPr>
        <w:rPr>
          <w:rFonts w:eastAsia="Arial"/>
        </w:rPr>
      </w:pPr>
    </w:p>
    <w:p w14:paraId="7BF3B5F3" w14:textId="4F98130D" w:rsidR="00F55774" w:rsidRDefault="009D305A" w:rsidP="00874A98">
      <w:pPr>
        <w:pStyle w:val="ListParagraph"/>
        <w:numPr>
          <w:ilvl w:val="1"/>
          <w:numId w:val="92"/>
        </w:numPr>
        <w:autoSpaceDE w:val="0"/>
        <w:autoSpaceDN w:val="0"/>
        <w:adjustRightInd w:val="0"/>
        <w:spacing w:after="0" w:line="240" w:lineRule="auto"/>
        <w:ind w:left="851" w:hanging="851"/>
        <w:rPr>
          <w:rFonts w:ascii="Arial" w:eastAsia="Arial" w:hAnsi="Arial" w:cs="Arial"/>
        </w:rPr>
      </w:pPr>
      <w:r w:rsidRPr="00F55774">
        <w:rPr>
          <w:rFonts w:ascii="Arial" w:eastAsia="Arial" w:hAnsi="Arial" w:cs="Arial"/>
          <w:bCs/>
          <w:iCs/>
          <w:szCs w:val="24"/>
        </w:rPr>
        <w:t xml:space="preserve">This policy aims to </w:t>
      </w:r>
      <w:r w:rsidRPr="00F55774">
        <w:rPr>
          <w:rFonts w:ascii="Arial" w:eastAsia="Arial" w:hAnsi="Arial" w:cs="Arial"/>
          <w:szCs w:val="24"/>
        </w:rPr>
        <w:t>ensure that an appropriate mix of housing is provided to meet the</w:t>
      </w:r>
      <w:r w:rsidRPr="00F55774">
        <w:rPr>
          <w:rFonts w:ascii="Arial" w:eastAsia="Arial" w:hAnsi="Arial" w:cs="Arial"/>
        </w:rPr>
        <w:t xml:space="preserve"> needs of the District in a way that does not create concentrations of particular types of housing in an area and therefore undermine the creation and maintenance of sustainable, inclusive and mixed communities.</w:t>
      </w:r>
    </w:p>
    <w:p w14:paraId="21A2A045" w14:textId="77777777" w:rsidR="00F55774" w:rsidRPr="00503C86" w:rsidRDefault="00F55774" w:rsidP="00503C86">
      <w:pPr>
        <w:rPr>
          <w:rFonts w:eastAsia="Arial"/>
        </w:rPr>
      </w:pPr>
    </w:p>
    <w:tbl>
      <w:tblPr>
        <w:tblStyle w:val="ReportTable1"/>
        <w:tblW w:w="0" w:type="auto"/>
        <w:tblLook w:val="04A0" w:firstRow="1" w:lastRow="0" w:firstColumn="1" w:lastColumn="0" w:noHBand="0" w:noVBand="1"/>
      </w:tblPr>
      <w:tblGrid>
        <w:gridCol w:w="2547"/>
        <w:gridCol w:w="113"/>
        <w:gridCol w:w="6833"/>
      </w:tblGrid>
      <w:tr w:rsidR="00F55774" w:rsidRPr="009D305A" w14:paraId="50B734D0" w14:textId="77777777" w:rsidTr="00E40772">
        <w:trPr>
          <w:trHeight w:val="421"/>
        </w:trPr>
        <w:tc>
          <w:tcPr>
            <w:tcW w:w="9493" w:type="dxa"/>
            <w:gridSpan w:val="3"/>
          </w:tcPr>
          <w:p w14:paraId="76EB40F1" w14:textId="77777777" w:rsidR="00F55774" w:rsidRDefault="00F55774" w:rsidP="00D726D5">
            <w:pPr>
              <w:keepNext w:val="0"/>
              <w:spacing w:before="0"/>
              <w:rPr>
                <w:rFonts w:cs="Arial"/>
                <w:b/>
                <w:bCs/>
                <w:szCs w:val="24"/>
              </w:rPr>
            </w:pPr>
          </w:p>
          <w:p w14:paraId="3A276180" w14:textId="77777777" w:rsidR="00F55774" w:rsidRDefault="00F55774" w:rsidP="00D726D5">
            <w:pPr>
              <w:keepNext w:val="0"/>
              <w:spacing w:before="0"/>
              <w:rPr>
                <w:rFonts w:cs="Arial"/>
                <w:b/>
                <w:bCs/>
                <w:szCs w:val="24"/>
              </w:rPr>
            </w:pPr>
            <w:r w:rsidRPr="009D305A">
              <w:rPr>
                <w:rFonts w:cs="Arial"/>
                <w:b/>
                <w:bCs/>
                <w:szCs w:val="24"/>
              </w:rPr>
              <w:t>Policy H8: Houses in Multiple Occupation, Flats and Bedsits</w:t>
            </w:r>
          </w:p>
          <w:p w14:paraId="13D44066" w14:textId="77777777" w:rsidR="00F55774" w:rsidRPr="009D305A" w:rsidRDefault="00F55774" w:rsidP="00D726D5">
            <w:pPr>
              <w:keepNext w:val="0"/>
              <w:spacing w:before="0"/>
              <w:rPr>
                <w:rFonts w:cs="Arial"/>
                <w:b/>
                <w:bCs/>
                <w:szCs w:val="24"/>
              </w:rPr>
            </w:pPr>
          </w:p>
        </w:tc>
      </w:tr>
      <w:tr w:rsidR="00F55774" w:rsidRPr="009D305A" w14:paraId="016F6560" w14:textId="77777777" w:rsidTr="00E40772">
        <w:tc>
          <w:tcPr>
            <w:tcW w:w="2660" w:type="dxa"/>
            <w:gridSpan w:val="2"/>
          </w:tcPr>
          <w:p w14:paraId="1F71EC67" w14:textId="77777777" w:rsidR="00F55774" w:rsidRPr="00331448" w:rsidRDefault="00F55774" w:rsidP="00D726D5">
            <w:pPr>
              <w:keepNext w:val="0"/>
              <w:spacing w:before="0"/>
              <w:rPr>
                <w:rFonts w:cs="Arial"/>
                <w:szCs w:val="24"/>
              </w:rPr>
            </w:pPr>
            <w:r w:rsidRPr="00331448">
              <w:rPr>
                <w:rFonts w:cs="Arial"/>
                <w:szCs w:val="24"/>
              </w:rPr>
              <w:t>Strategic Objectives</w:t>
            </w:r>
          </w:p>
        </w:tc>
        <w:tc>
          <w:tcPr>
            <w:tcW w:w="6833" w:type="dxa"/>
          </w:tcPr>
          <w:p w14:paraId="7086E0EA" w14:textId="77777777" w:rsidR="00F55774" w:rsidRPr="00331448" w:rsidRDefault="00F55774" w:rsidP="00D726D5">
            <w:pPr>
              <w:keepNext w:val="0"/>
              <w:spacing w:before="0"/>
              <w:rPr>
                <w:rFonts w:cs="Arial"/>
                <w:szCs w:val="24"/>
              </w:rPr>
            </w:pPr>
            <w:r w:rsidRPr="00331448">
              <w:rPr>
                <w:rFonts w:cs="Arial"/>
                <w:szCs w:val="24"/>
              </w:rPr>
              <w:t xml:space="preserve">SO1, SO2, SO3, SO7, SO8, SO9, SO12, SO14. </w:t>
            </w:r>
          </w:p>
        </w:tc>
      </w:tr>
      <w:tr w:rsidR="00F55774" w:rsidRPr="009D305A" w14:paraId="14F9E5C5" w14:textId="77777777" w:rsidTr="00E40772">
        <w:tc>
          <w:tcPr>
            <w:tcW w:w="9493" w:type="dxa"/>
            <w:gridSpan w:val="3"/>
            <w:shd w:val="clear" w:color="auto" w:fill="F7CAAC" w:themeFill="accent2" w:themeFillTint="66"/>
          </w:tcPr>
          <w:p w14:paraId="2990CACD" w14:textId="77777777" w:rsidR="00F55774" w:rsidRPr="00331448" w:rsidRDefault="00F55774" w:rsidP="00D726D5">
            <w:pPr>
              <w:keepNext w:val="0"/>
              <w:spacing w:before="0"/>
              <w:rPr>
                <w:rFonts w:cs="Arial"/>
                <w:szCs w:val="24"/>
              </w:rPr>
            </w:pPr>
          </w:p>
          <w:p w14:paraId="32C0D36C" w14:textId="6B456020" w:rsidR="00F55774" w:rsidRPr="00331448" w:rsidRDefault="00F55774" w:rsidP="00874A98">
            <w:pPr>
              <w:pStyle w:val="ListParagraph"/>
              <w:numPr>
                <w:ilvl w:val="0"/>
                <w:numId w:val="280"/>
              </w:numPr>
              <w:spacing w:after="0" w:line="240" w:lineRule="auto"/>
              <w:rPr>
                <w:rFonts w:ascii="Arial" w:hAnsi="Arial" w:cs="Arial"/>
                <w:szCs w:val="24"/>
                <w:lang w:val="en-US"/>
              </w:rPr>
            </w:pPr>
            <w:r w:rsidRPr="00331448">
              <w:rPr>
                <w:rFonts w:ascii="Arial" w:hAnsi="Arial" w:cs="Arial"/>
                <w:szCs w:val="24"/>
              </w:rPr>
              <w:t xml:space="preserve">Planning permission for the following development will only be granted where it does not undermine local objectives to create or maintain sustainable, inclusive and mixed communities: </w:t>
            </w:r>
          </w:p>
          <w:p w14:paraId="2A7B9703" w14:textId="77777777" w:rsidR="00F55774" w:rsidRPr="00331448" w:rsidRDefault="00F55774" w:rsidP="00D726D5">
            <w:pPr>
              <w:keepNext w:val="0"/>
              <w:spacing w:before="0"/>
              <w:rPr>
                <w:rFonts w:cs="Arial"/>
                <w:szCs w:val="24"/>
                <w:lang w:val="en-US"/>
              </w:rPr>
            </w:pPr>
          </w:p>
          <w:p w14:paraId="625D15D5" w14:textId="1AA21AEE" w:rsidR="00F55774" w:rsidRPr="004C67D8" w:rsidRDefault="00F55774" w:rsidP="00874A98">
            <w:pPr>
              <w:pStyle w:val="ListParagraph"/>
              <w:numPr>
                <w:ilvl w:val="0"/>
                <w:numId w:val="278"/>
              </w:numPr>
              <w:spacing w:after="0" w:line="240" w:lineRule="auto"/>
              <w:rPr>
                <w:rFonts w:ascii="Arial" w:hAnsi="Arial" w:cs="Arial"/>
                <w:color w:val="auto"/>
                <w:szCs w:val="24"/>
                <w:lang w:val="en-US"/>
              </w:rPr>
            </w:pPr>
            <w:r w:rsidRPr="00331448">
              <w:rPr>
                <w:rFonts w:ascii="Arial" w:hAnsi="Arial" w:cs="Arial"/>
                <w:szCs w:val="24"/>
                <w:lang w:val="en-US"/>
              </w:rPr>
              <w:t>Changes of use and / or the erection of buildings to create new Houses in Multiple Occupation (HMOs)</w:t>
            </w:r>
            <w:r w:rsidR="002003A0">
              <w:rPr>
                <w:rFonts w:ascii="Arial" w:hAnsi="Arial" w:cs="Arial"/>
                <w:szCs w:val="24"/>
                <w:lang w:val="en-US"/>
              </w:rPr>
              <w:t xml:space="preserve">, </w:t>
            </w:r>
            <w:r w:rsidR="002003A0" w:rsidRPr="004C67D8">
              <w:rPr>
                <w:rFonts w:ascii="Arial" w:hAnsi="Arial" w:cs="Arial"/>
                <w:color w:val="auto"/>
                <w:szCs w:val="24"/>
                <w:lang w:val="en-US"/>
              </w:rPr>
              <w:t>flats or bedsits</w:t>
            </w:r>
            <w:r w:rsidRPr="004C67D8">
              <w:rPr>
                <w:rFonts w:ascii="Arial" w:hAnsi="Arial" w:cs="Arial"/>
                <w:color w:val="auto"/>
                <w:szCs w:val="24"/>
                <w:lang w:val="en-US"/>
              </w:rPr>
              <w:t>; and</w:t>
            </w:r>
          </w:p>
          <w:p w14:paraId="281B765E" w14:textId="581C1FB4" w:rsidR="00F55774" w:rsidRDefault="00F55774" w:rsidP="00874A98">
            <w:pPr>
              <w:pStyle w:val="ListParagraph"/>
              <w:numPr>
                <w:ilvl w:val="0"/>
                <w:numId w:val="278"/>
              </w:numPr>
              <w:spacing w:after="0" w:line="240" w:lineRule="auto"/>
              <w:rPr>
                <w:rFonts w:ascii="Arial" w:hAnsi="Arial" w:cs="Arial"/>
                <w:szCs w:val="24"/>
                <w:lang w:val="en-US"/>
              </w:rPr>
            </w:pPr>
            <w:r w:rsidRPr="004C67D8">
              <w:rPr>
                <w:rFonts w:ascii="Arial" w:hAnsi="Arial" w:cs="Arial"/>
                <w:color w:val="auto"/>
                <w:szCs w:val="24"/>
                <w:lang w:val="en-US"/>
              </w:rPr>
              <w:t>Extension / alteration of existing HMOs</w:t>
            </w:r>
            <w:r w:rsidR="002003A0" w:rsidRPr="004C67D8">
              <w:rPr>
                <w:rFonts w:ascii="Arial" w:hAnsi="Arial" w:cs="Arial"/>
                <w:color w:val="auto"/>
                <w:szCs w:val="24"/>
                <w:lang w:val="en-US"/>
              </w:rPr>
              <w:t xml:space="preserve">, flats or bedsits, </w:t>
            </w:r>
            <w:r w:rsidRPr="004C67D8">
              <w:rPr>
                <w:rFonts w:ascii="Arial" w:hAnsi="Arial" w:cs="Arial"/>
                <w:color w:val="auto"/>
                <w:szCs w:val="24"/>
                <w:lang w:val="en-US"/>
              </w:rPr>
              <w:t>including development that facilitates an increase in the number of occupiers / bedspaces</w:t>
            </w:r>
            <w:r w:rsidRPr="00331448">
              <w:rPr>
                <w:rFonts w:ascii="Arial" w:hAnsi="Arial" w:cs="Arial"/>
                <w:szCs w:val="24"/>
                <w:lang w:val="en-US"/>
              </w:rPr>
              <w:t>.</w:t>
            </w:r>
          </w:p>
          <w:p w14:paraId="4098B82F" w14:textId="77777777" w:rsidR="00F55774" w:rsidRPr="009838D1" w:rsidRDefault="00F55774" w:rsidP="00D726D5">
            <w:pPr>
              <w:pStyle w:val="ListParagraph"/>
              <w:spacing w:after="0" w:line="240" w:lineRule="auto"/>
              <w:rPr>
                <w:rFonts w:ascii="Arial" w:hAnsi="Arial" w:cs="Arial"/>
                <w:szCs w:val="24"/>
                <w:lang w:val="en-US"/>
              </w:rPr>
            </w:pPr>
          </w:p>
          <w:p w14:paraId="3DDEBA37" w14:textId="5F85AB9A" w:rsidR="00F55774" w:rsidRPr="004C67D8" w:rsidRDefault="00F55774" w:rsidP="00874A98">
            <w:pPr>
              <w:pStyle w:val="ListParagraph"/>
              <w:numPr>
                <w:ilvl w:val="0"/>
                <w:numId w:val="280"/>
              </w:numPr>
              <w:spacing w:after="0" w:line="240" w:lineRule="auto"/>
              <w:rPr>
                <w:rFonts w:ascii="Arial" w:hAnsi="Arial" w:cs="Arial"/>
                <w:color w:val="auto"/>
                <w:szCs w:val="24"/>
                <w:lang w:val="en-US"/>
              </w:rPr>
            </w:pPr>
            <w:r w:rsidRPr="00331448">
              <w:rPr>
                <w:rFonts w:ascii="Arial" w:hAnsi="Arial" w:cs="Arial"/>
                <w:szCs w:val="24"/>
              </w:rPr>
              <w:t xml:space="preserve">In </w:t>
            </w:r>
            <w:r w:rsidRPr="004C67D8">
              <w:rPr>
                <w:rFonts w:ascii="Arial" w:hAnsi="Arial" w:cs="Arial"/>
                <w:color w:val="auto"/>
                <w:szCs w:val="24"/>
              </w:rPr>
              <w:t xml:space="preserve">assessing the development’s impact, regard will be given to all of the following relevant criteria: </w:t>
            </w:r>
          </w:p>
          <w:p w14:paraId="249AB356" w14:textId="77777777" w:rsidR="00F55774" w:rsidRPr="004C67D8" w:rsidRDefault="00F55774" w:rsidP="00D726D5">
            <w:pPr>
              <w:pStyle w:val="ListParagraph"/>
              <w:spacing w:after="0" w:line="240" w:lineRule="auto"/>
              <w:ind w:left="360"/>
              <w:rPr>
                <w:rFonts w:ascii="Arial" w:hAnsi="Arial" w:cs="Arial"/>
                <w:color w:val="auto"/>
                <w:szCs w:val="24"/>
              </w:rPr>
            </w:pPr>
          </w:p>
          <w:p w14:paraId="5DDEBE89" w14:textId="27DE4622" w:rsidR="00F55774" w:rsidRPr="004C67D8" w:rsidRDefault="007E034D" w:rsidP="00874A98">
            <w:pPr>
              <w:pStyle w:val="ListParagraph"/>
              <w:numPr>
                <w:ilvl w:val="0"/>
                <w:numId w:val="279"/>
              </w:numPr>
              <w:spacing w:after="0" w:line="240" w:lineRule="auto"/>
              <w:rPr>
                <w:rFonts w:ascii="Arial" w:hAnsi="Arial" w:cs="Arial"/>
                <w:color w:val="auto"/>
                <w:szCs w:val="24"/>
              </w:rPr>
            </w:pPr>
            <w:r w:rsidRPr="004C67D8">
              <w:rPr>
                <w:rFonts w:ascii="Arial" w:hAnsi="Arial" w:cs="Arial"/>
                <w:color w:val="auto"/>
                <w:szCs w:val="24"/>
              </w:rPr>
              <w:t>T</w:t>
            </w:r>
            <w:r w:rsidR="002003A0" w:rsidRPr="004C67D8">
              <w:rPr>
                <w:rFonts w:ascii="Arial" w:hAnsi="Arial" w:cs="Arial"/>
                <w:color w:val="auto"/>
                <w:szCs w:val="24"/>
              </w:rPr>
              <w:t>he extent to which it would contribute to the achievement of mixed and balanced communities;</w:t>
            </w:r>
          </w:p>
          <w:p w14:paraId="454074DF" w14:textId="77777777" w:rsidR="00F55774" w:rsidRPr="00331448" w:rsidRDefault="00F55774" w:rsidP="00F647DA">
            <w:pPr>
              <w:pStyle w:val="ListParagraph"/>
              <w:spacing w:after="0" w:line="240" w:lineRule="auto"/>
              <w:rPr>
                <w:rFonts w:ascii="Arial" w:hAnsi="Arial" w:cs="Arial"/>
                <w:szCs w:val="24"/>
              </w:rPr>
            </w:pPr>
          </w:p>
          <w:p w14:paraId="54D06674" w14:textId="7AAD2306" w:rsidR="00F55774" w:rsidRDefault="00F55774" w:rsidP="00874A98">
            <w:pPr>
              <w:pStyle w:val="ListParagraph"/>
              <w:numPr>
                <w:ilvl w:val="0"/>
                <w:numId w:val="279"/>
              </w:numPr>
              <w:spacing w:after="0" w:line="240" w:lineRule="auto"/>
              <w:rPr>
                <w:rFonts w:ascii="Arial" w:hAnsi="Arial" w:cs="Arial"/>
                <w:szCs w:val="24"/>
              </w:rPr>
            </w:pPr>
            <w:r w:rsidRPr="00331448">
              <w:rPr>
                <w:rFonts w:ascii="Arial" w:hAnsi="Arial" w:cs="Arial"/>
                <w:szCs w:val="24"/>
              </w:rPr>
              <w:t xml:space="preserve">The individual characteristics of the building or site and immediate locality; </w:t>
            </w:r>
          </w:p>
          <w:p w14:paraId="5F258FE5" w14:textId="77777777" w:rsidR="00F647DA" w:rsidRPr="00F647DA" w:rsidRDefault="00F647DA" w:rsidP="00F647DA">
            <w:pPr>
              <w:spacing w:before="0"/>
              <w:rPr>
                <w:rFonts w:cs="Arial"/>
                <w:szCs w:val="24"/>
              </w:rPr>
            </w:pPr>
          </w:p>
          <w:p w14:paraId="59F74901" w14:textId="77777777" w:rsidR="00F55774" w:rsidRDefault="00F55774" w:rsidP="00874A98">
            <w:pPr>
              <w:pStyle w:val="ListParagraph"/>
              <w:numPr>
                <w:ilvl w:val="0"/>
                <w:numId w:val="279"/>
              </w:numPr>
              <w:spacing w:after="0" w:line="240" w:lineRule="auto"/>
              <w:rPr>
                <w:rFonts w:ascii="Arial" w:hAnsi="Arial" w:cs="Arial"/>
                <w:szCs w:val="24"/>
              </w:rPr>
            </w:pPr>
            <w:r w:rsidRPr="00331448">
              <w:rPr>
                <w:rFonts w:ascii="Arial" w:hAnsi="Arial" w:cs="Arial"/>
                <w:szCs w:val="24"/>
              </w:rPr>
              <w:t xml:space="preserve">Any evidence of existing HMO and purpose-built accommodation provision within the immediate vicinity of the site that already impacts on local character and amenity; </w:t>
            </w:r>
          </w:p>
          <w:p w14:paraId="7EB89588" w14:textId="77777777" w:rsidR="00F55774" w:rsidRPr="004C67D8" w:rsidRDefault="00F55774" w:rsidP="00F647DA">
            <w:pPr>
              <w:pStyle w:val="ListParagraph"/>
              <w:spacing w:after="0" w:line="240" w:lineRule="auto"/>
              <w:rPr>
                <w:rFonts w:ascii="Arial" w:hAnsi="Arial" w:cs="Arial"/>
                <w:color w:val="auto"/>
                <w:szCs w:val="24"/>
              </w:rPr>
            </w:pPr>
          </w:p>
          <w:p w14:paraId="0A4D915F" w14:textId="2B6DB336" w:rsidR="00F55774" w:rsidRPr="004C67D8" w:rsidRDefault="00F55774" w:rsidP="00874A98">
            <w:pPr>
              <w:pStyle w:val="ListParagraph"/>
              <w:numPr>
                <w:ilvl w:val="0"/>
                <w:numId w:val="279"/>
              </w:numPr>
              <w:spacing w:after="0" w:line="240" w:lineRule="auto"/>
              <w:rPr>
                <w:rFonts w:ascii="Arial" w:hAnsi="Arial" w:cs="Arial"/>
                <w:color w:val="auto"/>
                <w:szCs w:val="24"/>
              </w:rPr>
            </w:pPr>
            <w:r w:rsidRPr="004C67D8">
              <w:rPr>
                <w:rFonts w:ascii="Arial" w:hAnsi="Arial" w:cs="Arial"/>
                <w:color w:val="auto"/>
                <w:szCs w:val="24"/>
              </w:rPr>
              <w:t>The impact the proposed development would have on the character and amenity of the area or site</w:t>
            </w:r>
            <w:r w:rsidR="003556ED" w:rsidRPr="004C67D8">
              <w:rPr>
                <w:rFonts w:ascii="Arial" w:hAnsi="Arial" w:cs="Arial"/>
                <w:color w:val="auto"/>
                <w:szCs w:val="24"/>
              </w:rPr>
              <w:t>,</w:t>
            </w:r>
            <w:r w:rsidRPr="004C67D8">
              <w:rPr>
                <w:rFonts w:ascii="Arial" w:hAnsi="Arial" w:cs="Arial"/>
                <w:color w:val="auto"/>
                <w:szCs w:val="24"/>
              </w:rPr>
              <w:t xml:space="preserve"> having particular regard to the criteria set out in Policies SD</w:t>
            </w:r>
            <w:r w:rsidR="0086757D" w:rsidRPr="004C67D8">
              <w:rPr>
                <w:rFonts w:ascii="Arial" w:hAnsi="Arial" w:cs="Arial"/>
                <w:color w:val="auto"/>
                <w:szCs w:val="24"/>
              </w:rPr>
              <w:t xml:space="preserve">2 </w:t>
            </w:r>
            <w:r w:rsidRPr="004C67D8">
              <w:rPr>
                <w:rFonts w:ascii="Arial" w:hAnsi="Arial" w:cs="Arial"/>
                <w:color w:val="auto"/>
                <w:szCs w:val="24"/>
              </w:rPr>
              <w:t>and SD</w:t>
            </w:r>
            <w:r w:rsidR="0086757D" w:rsidRPr="004C67D8">
              <w:rPr>
                <w:rFonts w:ascii="Arial" w:hAnsi="Arial" w:cs="Arial"/>
                <w:color w:val="auto"/>
                <w:szCs w:val="24"/>
              </w:rPr>
              <w:t>3</w:t>
            </w:r>
            <w:r w:rsidRPr="004C67D8">
              <w:rPr>
                <w:rFonts w:ascii="Arial" w:hAnsi="Arial" w:cs="Arial"/>
                <w:color w:val="auto"/>
                <w:szCs w:val="24"/>
              </w:rPr>
              <w:t>. External staircases and large extensions which reduce the amenities of adjoining occupiers and/or the private amenity space available to future residents to an unacceptable degree will not be supported;</w:t>
            </w:r>
          </w:p>
          <w:p w14:paraId="5CCEB2DD" w14:textId="77777777" w:rsidR="00F55774" w:rsidRPr="004C67D8" w:rsidRDefault="00F55774" w:rsidP="00D726D5">
            <w:pPr>
              <w:spacing w:before="0"/>
              <w:rPr>
                <w:rFonts w:cs="Arial"/>
                <w:color w:val="auto"/>
                <w:szCs w:val="24"/>
              </w:rPr>
            </w:pPr>
          </w:p>
          <w:p w14:paraId="00B0C1D3" w14:textId="6E2B9EEC" w:rsidR="00F55774" w:rsidRPr="004C67D8" w:rsidRDefault="00F55774" w:rsidP="00874A98">
            <w:pPr>
              <w:pStyle w:val="ListParagraph"/>
              <w:numPr>
                <w:ilvl w:val="0"/>
                <w:numId w:val="279"/>
              </w:numPr>
              <w:spacing w:after="0" w:line="240" w:lineRule="auto"/>
              <w:rPr>
                <w:rFonts w:ascii="Arial" w:hAnsi="Arial" w:cs="Arial"/>
                <w:color w:val="auto"/>
                <w:szCs w:val="24"/>
              </w:rPr>
            </w:pPr>
            <w:r w:rsidRPr="004C67D8">
              <w:rPr>
                <w:rFonts w:ascii="Arial" w:hAnsi="Arial" w:cs="Arial"/>
                <w:color w:val="auto"/>
                <w:szCs w:val="24"/>
              </w:rPr>
              <w:t>Whether the proposal would incorporate an appropriate level of car and cycle parking having regard to the location, scale and nature of the development in line with Policy SD</w:t>
            </w:r>
            <w:r w:rsidR="007E034D" w:rsidRPr="004C67D8">
              <w:rPr>
                <w:rFonts w:ascii="Arial" w:hAnsi="Arial" w:cs="Arial"/>
                <w:color w:val="auto"/>
                <w:szCs w:val="24"/>
              </w:rPr>
              <w:t xml:space="preserve">11 </w:t>
            </w:r>
            <w:r w:rsidRPr="004C67D8">
              <w:rPr>
                <w:rFonts w:ascii="Arial" w:hAnsi="Arial" w:cs="Arial"/>
                <w:color w:val="auto"/>
                <w:szCs w:val="24"/>
              </w:rPr>
              <w:t>; and</w:t>
            </w:r>
          </w:p>
          <w:p w14:paraId="18086098" w14:textId="77777777" w:rsidR="00F55774" w:rsidRPr="004C67D8" w:rsidRDefault="00F55774" w:rsidP="00D726D5">
            <w:pPr>
              <w:spacing w:before="0"/>
              <w:rPr>
                <w:rFonts w:cs="Arial"/>
                <w:color w:val="auto"/>
                <w:szCs w:val="24"/>
              </w:rPr>
            </w:pPr>
          </w:p>
          <w:p w14:paraId="146E6FC1" w14:textId="4CE3C26E" w:rsidR="00F55774" w:rsidRPr="004C67D8" w:rsidRDefault="00F55774" w:rsidP="00874A98">
            <w:pPr>
              <w:pStyle w:val="ListParagraph"/>
              <w:numPr>
                <w:ilvl w:val="0"/>
                <w:numId w:val="279"/>
              </w:numPr>
              <w:spacing w:after="0" w:line="240" w:lineRule="auto"/>
              <w:rPr>
                <w:rFonts w:ascii="Arial" w:hAnsi="Arial" w:cs="Arial"/>
                <w:color w:val="auto"/>
                <w:szCs w:val="24"/>
              </w:rPr>
            </w:pPr>
            <w:r w:rsidRPr="004C67D8">
              <w:rPr>
                <w:rFonts w:ascii="Arial" w:hAnsi="Arial" w:cs="Arial"/>
                <w:color w:val="auto"/>
                <w:szCs w:val="24"/>
              </w:rPr>
              <w:t xml:space="preserve">Whether the proposal would result in the positive re-use of an existing vacant building or </w:t>
            </w:r>
            <w:r w:rsidR="003556ED" w:rsidRPr="004C67D8">
              <w:rPr>
                <w:rFonts w:ascii="Arial" w:hAnsi="Arial" w:cs="Arial"/>
                <w:color w:val="auto"/>
                <w:szCs w:val="24"/>
              </w:rPr>
              <w:t xml:space="preserve">disused land in accordance with </w:t>
            </w:r>
            <w:r w:rsidRPr="004C67D8">
              <w:rPr>
                <w:rFonts w:ascii="Arial" w:hAnsi="Arial" w:cs="Arial"/>
                <w:color w:val="auto"/>
                <w:szCs w:val="24"/>
              </w:rPr>
              <w:t>wider regeneration benefits.</w:t>
            </w:r>
          </w:p>
          <w:p w14:paraId="6BC1F77F" w14:textId="77777777" w:rsidR="00F55774" w:rsidRPr="004C67D8" w:rsidRDefault="00F55774" w:rsidP="00D726D5">
            <w:pPr>
              <w:pStyle w:val="ListParagraph"/>
              <w:spacing w:after="0" w:line="240" w:lineRule="auto"/>
              <w:ind w:left="360"/>
              <w:rPr>
                <w:rFonts w:ascii="Arial" w:hAnsi="Arial" w:cs="Arial"/>
                <w:color w:val="auto"/>
                <w:szCs w:val="24"/>
                <w:lang w:val="en-US"/>
              </w:rPr>
            </w:pPr>
          </w:p>
          <w:p w14:paraId="0B40A40F" w14:textId="77777777" w:rsidR="00F55774" w:rsidRPr="00331448" w:rsidRDefault="00F55774" w:rsidP="00874A98">
            <w:pPr>
              <w:pStyle w:val="ListParagraph"/>
              <w:numPr>
                <w:ilvl w:val="0"/>
                <w:numId w:val="280"/>
              </w:numPr>
              <w:spacing w:after="0" w:line="240" w:lineRule="auto"/>
              <w:rPr>
                <w:rFonts w:ascii="Arial" w:hAnsi="Arial" w:cs="Arial"/>
                <w:szCs w:val="24"/>
                <w:lang w:val="en-US"/>
              </w:rPr>
            </w:pPr>
            <w:r w:rsidRPr="004C67D8">
              <w:rPr>
                <w:rFonts w:ascii="Arial" w:hAnsi="Arial" w:cs="Arial"/>
                <w:color w:val="auto"/>
                <w:szCs w:val="24"/>
              </w:rPr>
              <w:t xml:space="preserve">Any planning application for a House of Multiple Occupation (HMO) will be required to produce a HMO Management Plan, as part of the application process, to demonstrate how the proposal is to align </w:t>
            </w:r>
            <w:r w:rsidRPr="00331448">
              <w:rPr>
                <w:rFonts w:ascii="Arial" w:hAnsi="Arial" w:cs="Arial"/>
                <w:szCs w:val="24"/>
              </w:rPr>
              <w:t>with the Management of Houses in Multiple Occupation (England) Regulations 2006.</w:t>
            </w:r>
          </w:p>
          <w:p w14:paraId="49E2984F" w14:textId="77777777" w:rsidR="00F55774" w:rsidRPr="00331448" w:rsidRDefault="00F55774" w:rsidP="00D726D5">
            <w:pPr>
              <w:keepNext w:val="0"/>
              <w:spacing w:before="0"/>
              <w:rPr>
                <w:rFonts w:cs="Arial"/>
                <w:szCs w:val="24"/>
              </w:rPr>
            </w:pPr>
          </w:p>
        </w:tc>
      </w:tr>
      <w:tr w:rsidR="00F55774" w:rsidRPr="009D305A" w14:paraId="1DEB8CB6" w14:textId="77777777" w:rsidTr="00E40772">
        <w:tc>
          <w:tcPr>
            <w:tcW w:w="2547" w:type="dxa"/>
          </w:tcPr>
          <w:p w14:paraId="51F06C97" w14:textId="77777777" w:rsidR="00F55774" w:rsidRPr="000032A9" w:rsidRDefault="00F55774" w:rsidP="00D726D5">
            <w:pPr>
              <w:keepNext w:val="0"/>
              <w:spacing w:before="0"/>
              <w:rPr>
                <w:rFonts w:cs="Arial"/>
                <w:sz w:val="20"/>
              </w:rPr>
            </w:pPr>
            <w:r w:rsidRPr="000032A9">
              <w:rPr>
                <w:rFonts w:cs="Arial"/>
                <w:sz w:val="20"/>
              </w:rPr>
              <w:t>Evidence Base</w:t>
            </w:r>
          </w:p>
          <w:p w14:paraId="0F82B546" w14:textId="77777777" w:rsidR="00F55774" w:rsidRPr="000032A9" w:rsidRDefault="00F55774" w:rsidP="00D726D5">
            <w:pPr>
              <w:keepNext w:val="0"/>
              <w:spacing w:before="0"/>
              <w:rPr>
                <w:rFonts w:cs="Arial"/>
                <w:sz w:val="20"/>
              </w:rPr>
            </w:pPr>
          </w:p>
        </w:tc>
        <w:tc>
          <w:tcPr>
            <w:tcW w:w="6946" w:type="dxa"/>
            <w:gridSpan w:val="2"/>
          </w:tcPr>
          <w:p w14:paraId="64BA2F75" w14:textId="77777777" w:rsidR="00F55774" w:rsidRPr="004C67D8" w:rsidRDefault="00F55774" w:rsidP="00874A98">
            <w:pPr>
              <w:keepNext w:val="0"/>
              <w:numPr>
                <w:ilvl w:val="0"/>
                <w:numId w:val="129"/>
              </w:numPr>
              <w:spacing w:before="0"/>
              <w:ind w:left="459" w:hanging="425"/>
              <w:rPr>
                <w:rFonts w:cs="Arial"/>
                <w:color w:val="auto"/>
                <w:sz w:val="20"/>
              </w:rPr>
            </w:pPr>
            <w:r w:rsidRPr="004C67D8">
              <w:rPr>
                <w:rFonts w:cs="Arial"/>
                <w:color w:val="auto"/>
                <w:sz w:val="20"/>
              </w:rPr>
              <w:t>Greater Nottingham &amp; Ashfield Housing Needs Assessment Final Report, 2020 – Iceni Projects Ltd</w:t>
            </w:r>
            <w:r w:rsidR="007641C1" w:rsidRPr="004C67D8">
              <w:rPr>
                <w:rFonts w:cs="Arial"/>
                <w:color w:val="auto"/>
                <w:sz w:val="20"/>
              </w:rPr>
              <w:t>.</w:t>
            </w:r>
          </w:p>
          <w:p w14:paraId="2470FECC" w14:textId="1BE2D441" w:rsidR="007641C1" w:rsidRPr="004C67D8" w:rsidRDefault="007641C1" w:rsidP="00874A98">
            <w:pPr>
              <w:keepNext w:val="0"/>
              <w:numPr>
                <w:ilvl w:val="0"/>
                <w:numId w:val="129"/>
              </w:numPr>
              <w:spacing w:before="0"/>
              <w:ind w:left="459" w:hanging="425"/>
              <w:rPr>
                <w:rFonts w:cs="Arial"/>
                <w:color w:val="auto"/>
                <w:sz w:val="20"/>
              </w:rPr>
            </w:pPr>
            <w:r w:rsidRPr="004C67D8">
              <w:rPr>
                <w:rFonts w:cs="Arial"/>
                <w:color w:val="auto"/>
                <w:sz w:val="20"/>
              </w:rPr>
              <w:t>Sustainability Appraisal 2023. WSP UK Limited.</w:t>
            </w:r>
          </w:p>
        </w:tc>
      </w:tr>
      <w:tr w:rsidR="00F55774" w:rsidRPr="00F55774" w14:paraId="35410C8F" w14:textId="77777777" w:rsidTr="00E40772">
        <w:tc>
          <w:tcPr>
            <w:tcW w:w="2547" w:type="dxa"/>
          </w:tcPr>
          <w:p w14:paraId="7081E939" w14:textId="77777777" w:rsidR="00F55774" w:rsidRPr="000032A9" w:rsidRDefault="00F55774" w:rsidP="00F55774">
            <w:pPr>
              <w:keepNext w:val="0"/>
              <w:spacing w:before="0"/>
              <w:rPr>
                <w:rFonts w:cs="Arial"/>
                <w:sz w:val="20"/>
              </w:rPr>
            </w:pPr>
            <w:r w:rsidRPr="000032A9">
              <w:rPr>
                <w:rFonts w:cs="Arial"/>
                <w:sz w:val="20"/>
              </w:rPr>
              <w:t>National Planning Policy and Guidance</w:t>
            </w:r>
          </w:p>
        </w:tc>
        <w:tc>
          <w:tcPr>
            <w:tcW w:w="6946" w:type="dxa"/>
            <w:gridSpan w:val="2"/>
          </w:tcPr>
          <w:p w14:paraId="42DD1802" w14:textId="26E1FC1A" w:rsidR="00F55774" w:rsidRPr="004C67D8" w:rsidRDefault="00F55774" w:rsidP="00874A98">
            <w:pPr>
              <w:keepNext w:val="0"/>
              <w:numPr>
                <w:ilvl w:val="0"/>
                <w:numId w:val="119"/>
              </w:numPr>
              <w:spacing w:before="0"/>
              <w:rPr>
                <w:rFonts w:cs="Arial"/>
                <w:color w:val="auto"/>
                <w:sz w:val="20"/>
              </w:rPr>
            </w:pPr>
            <w:r w:rsidRPr="004C67D8">
              <w:rPr>
                <w:rFonts w:cs="Arial"/>
                <w:color w:val="auto"/>
                <w:sz w:val="20"/>
              </w:rPr>
              <w:t>NPPF 202</w:t>
            </w:r>
            <w:r w:rsidR="004173E0" w:rsidRPr="004C67D8">
              <w:rPr>
                <w:rFonts w:cs="Arial"/>
                <w:color w:val="auto"/>
                <w:sz w:val="20"/>
              </w:rPr>
              <w:t>3</w:t>
            </w:r>
            <w:r w:rsidRPr="004C67D8">
              <w:rPr>
                <w:rFonts w:cs="Arial"/>
                <w:color w:val="auto"/>
                <w:sz w:val="20"/>
              </w:rPr>
              <w:t>, Part 2: Achieving sustainable development.</w:t>
            </w:r>
          </w:p>
          <w:p w14:paraId="36EED892" w14:textId="4C53001A" w:rsidR="00F55774" w:rsidRPr="004C67D8" w:rsidRDefault="00F55774" w:rsidP="00874A98">
            <w:pPr>
              <w:keepNext w:val="0"/>
              <w:numPr>
                <w:ilvl w:val="0"/>
                <w:numId w:val="119"/>
              </w:numPr>
              <w:spacing w:before="0"/>
              <w:rPr>
                <w:rFonts w:cs="Arial"/>
                <w:color w:val="auto"/>
                <w:sz w:val="20"/>
              </w:rPr>
            </w:pPr>
            <w:r w:rsidRPr="004C67D8">
              <w:rPr>
                <w:rFonts w:cs="Arial"/>
                <w:color w:val="auto"/>
                <w:sz w:val="20"/>
              </w:rPr>
              <w:t>NPPF 202</w:t>
            </w:r>
            <w:r w:rsidR="004173E0" w:rsidRPr="004C67D8">
              <w:rPr>
                <w:rFonts w:cs="Arial"/>
                <w:color w:val="auto"/>
                <w:sz w:val="20"/>
              </w:rPr>
              <w:t>3</w:t>
            </w:r>
            <w:r w:rsidRPr="004C67D8">
              <w:rPr>
                <w:rFonts w:cs="Arial"/>
                <w:color w:val="auto"/>
                <w:sz w:val="20"/>
              </w:rPr>
              <w:t>, Part 5: Delivering a sufficient supply of homes</w:t>
            </w:r>
          </w:p>
          <w:p w14:paraId="03F73CB3" w14:textId="23E56B3A" w:rsidR="00F55774" w:rsidRPr="004C67D8" w:rsidRDefault="00F55774" w:rsidP="00874A98">
            <w:pPr>
              <w:keepNext w:val="0"/>
              <w:numPr>
                <w:ilvl w:val="0"/>
                <w:numId w:val="119"/>
              </w:numPr>
              <w:spacing w:before="0"/>
              <w:rPr>
                <w:rFonts w:cs="Arial"/>
                <w:color w:val="auto"/>
                <w:sz w:val="20"/>
              </w:rPr>
            </w:pPr>
            <w:r w:rsidRPr="004C67D8">
              <w:rPr>
                <w:rFonts w:cs="Arial"/>
                <w:color w:val="auto"/>
                <w:sz w:val="20"/>
              </w:rPr>
              <w:t>Planning Practice Guidance: Effective use of land</w:t>
            </w:r>
            <w:r w:rsidR="007641C1" w:rsidRPr="004C67D8">
              <w:rPr>
                <w:rFonts w:cs="Arial"/>
                <w:color w:val="auto"/>
                <w:sz w:val="20"/>
              </w:rPr>
              <w:t xml:space="preserve"> as at July 2019.</w:t>
            </w:r>
          </w:p>
          <w:p w14:paraId="3C62CC36" w14:textId="58E5E471" w:rsidR="00F55774" w:rsidRPr="004C67D8" w:rsidRDefault="00F55774" w:rsidP="00874A98">
            <w:pPr>
              <w:keepNext w:val="0"/>
              <w:numPr>
                <w:ilvl w:val="0"/>
                <w:numId w:val="119"/>
              </w:numPr>
              <w:spacing w:before="0"/>
              <w:rPr>
                <w:rFonts w:cs="Arial"/>
                <w:color w:val="auto"/>
                <w:sz w:val="20"/>
              </w:rPr>
            </w:pPr>
            <w:r w:rsidRPr="004C67D8">
              <w:rPr>
                <w:rFonts w:cs="Arial"/>
                <w:color w:val="auto"/>
                <w:sz w:val="20"/>
              </w:rPr>
              <w:t>Planning Practice Guidance: Healthy and safe communities</w:t>
            </w:r>
            <w:r w:rsidR="007641C1" w:rsidRPr="004C67D8">
              <w:rPr>
                <w:rFonts w:cs="Arial"/>
                <w:color w:val="auto"/>
                <w:sz w:val="20"/>
              </w:rPr>
              <w:t xml:space="preserve"> as at August 2022.</w:t>
            </w:r>
          </w:p>
        </w:tc>
      </w:tr>
    </w:tbl>
    <w:p w14:paraId="1B8B94BB" w14:textId="77777777" w:rsidR="00F55774" w:rsidRPr="00F55774" w:rsidRDefault="00F55774" w:rsidP="00F55774">
      <w:pPr>
        <w:keepNext w:val="0"/>
        <w:spacing w:before="0"/>
        <w:rPr>
          <w:rFonts w:cs="Arial"/>
          <w:b/>
          <w:bCs/>
          <w:szCs w:val="24"/>
        </w:rPr>
      </w:pPr>
    </w:p>
    <w:p w14:paraId="1B9774CB" w14:textId="77777777" w:rsidR="00F55774" w:rsidRPr="00F55774" w:rsidRDefault="00F55774" w:rsidP="00F55774">
      <w:pPr>
        <w:pStyle w:val="ListParagraph"/>
        <w:autoSpaceDE w:val="0"/>
        <w:autoSpaceDN w:val="0"/>
        <w:adjustRightInd w:val="0"/>
        <w:spacing w:after="0" w:line="240" w:lineRule="auto"/>
        <w:ind w:left="851"/>
        <w:rPr>
          <w:rFonts w:ascii="Arial" w:eastAsia="Arial" w:hAnsi="Arial" w:cs="Arial"/>
          <w:szCs w:val="24"/>
        </w:rPr>
      </w:pPr>
    </w:p>
    <w:p w14:paraId="672A07C0" w14:textId="5811FD22" w:rsidR="00F55774" w:rsidRPr="00F55774" w:rsidRDefault="00B163E1" w:rsidP="00874A98">
      <w:pPr>
        <w:pStyle w:val="ListParagraph"/>
        <w:numPr>
          <w:ilvl w:val="1"/>
          <w:numId w:val="92"/>
        </w:numPr>
        <w:autoSpaceDE w:val="0"/>
        <w:autoSpaceDN w:val="0"/>
        <w:adjustRightInd w:val="0"/>
        <w:spacing w:after="0" w:line="240" w:lineRule="auto"/>
        <w:ind w:left="851" w:hanging="851"/>
        <w:rPr>
          <w:rFonts w:ascii="Arial" w:eastAsia="Arial" w:hAnsi="Arial" w:cs="Arial"/>
          <w:szCs w:val="24"/>
        </w:rPr>
      </w:pPr>
      <w:r w:rsidRPr="00F55774">
        <w:rPr>
          <w:rFonts w:ascii="Arial" w:eastAsia="Arial" w:hAnsi="Arial" w:cs="Arial"/>
          <w:szCs w:val="24"/>
        </w:rPr>
        <w:t>The conversion of existing residential units to provide houses in multiple occupation, bedsits and flats can provide a needed source of accommodation.  HMOs play an important role in providing accommodation for many groups on lower incomes as well as a large proportion of younger members of the population for whom entry onto the property market as a first-time buyer is becoming increasingly delayed and all those displaced as a result of family change</w:t>
      </w:r>
      <w:r w:rsidR="00F55774" w:rsidRPr="00F55774">
        <w:rPr>
          <w:rFonts w:ascii="Arial" w:eastAsia="Arial" w:hAnsi="Arial" w:cs="Arial"/>
          <w:szCs w:val="24"/>
        </w:rPr>
        <w:t>.</w:t>
      </w:r>
    </w:p>
    <w:p w14:paraId="6BE65367" w14:textId="77777777" w:rsidR="00F55774" w:rsidRPr="00F55774" w:rsidRDefault="00F55774" w:rsidP="00F55774">
      <w:pPr>
        <w:pStyle w:val="ListParagraph"/>
        <w:autoSpaceDE w:val="0"/>
        <w:autoSpaceDN w:val="0"/>
        <w:adjustRightInd w:val="0"/>
        <w:spacing w:after="0" w:line="240" w:lineRule="auto"/>
        <w:ind w:left="851"/>
        <w:rPr>
          <w:rFonts w:ascii="Arial" w:eastAsia="Arial" w:hAnsi="Arial" w:cs="Arial"/>
          <w:szCs w:val="24"/>
        </w:rPr>
      </w:pPr>
    </w:p>
    <w:p w14:paraId="650488E3" w14:textId="77777777" w:rsidR="007E034D" w:rsidRDefault="00B163E1" w:rsidP="00874A98">
      <w:pPr>
        <w:pStyle w:val="ListParagraph"/>
        <w:numPr>
          <w:ilvl w:val="1"/>
          <w:numId w:val="92"/>
        </w:numPr>
        <w:autoSpaceDE w:val="0"/>
        <w:autoSpaceDN w:val="0"/>
        <w:adjustRightInd w:val="0"/>
        <w:spacing w:after="0" w:line="240" w:lineRule="auto"/>
        <w:ind w:left="851" w:hanging="851"/>
        <w:rPr>
          <w:rFonts w:ascii="Arial" w:eastAsia="Arial" w:hAnsi="Arial" w:cs="Arial"/>
          <w:szCs w:val="24"/>
        </w:rPr>
      </w:pPr>
      <w:r w:rsidRPr="00F55774">
        <w:rPr>
          <w:rFonts w:ascii="Arial" w:eastAsia="Arial" w:hAnsi="Arial" w:cs="Arial"/>
          <w:szCs w:val="24"/>
        </w:rPr>
        <w:t>However, where concentrations of such uses develop, this can have a distorting effect on neighbourhoods with many residents not having a long-term stake in the community and some service needs of longer-term residents, such as schools becoming unsustainable.</w:t>
      </w:r>
    </w:p>
    <w:p w14:paraId="7A0469F7" w14:textId="77777777" w:rsidR="007E034D" w:rsidRDefault="007E034D" w:rsidP="007E034D">
      <w:pPr>
        <w:pStyle w:val="ListParagraph"/>
      </w:pPr>
    </w:p>
    <w:p w14:paraId="7C207105" w14:textId="77777777" w:rsidR="007E034D" w:rsidRPr="004C67D8" w:rsidRDefault="007E034D" w:rsidP="00874A98">
      <w:pPr>
        <w:pStyle w:val="ListParagraph"/>
        <w:numPr>
          <w:ilvl w:val="1"/>
          <w:numId w:val="92"/>
        </w:numPr>
        <w:autoSpaceDE w:val="0"/>
        <w:autoSpaceDN w:val="0"/>
        <w:adjustRightInd w:val="0"/>
        <w:spacing w:after="0" w:line="240" w:lineRule="auto"/>
        <w:ind w:left="851" w:hanging="851"/>
        <w:rPr>
          <w:rFonts w:ascii="Arial" w:eastAsia="Arial" w:hAnsi="Arial" w:cs="Arial"/>
          <w:color w:val="auto"/>
          <w:szCs w:val="24"/>
        </w:rPr>
      </w:pPr>
      <w:r w:rsidRPr="004C67D8">
        <w:rPr>
          <w:rFonts w:ascii="Arial" w:hAnsi="Arial" w:cs="Arial"/>
          <w:color w:val="auto"/>
        </w:rPr>
        <w:t>In determining whether the proposal will contribute to the creation of mixed and balanced communities, consideration will be given to the number and location of existing HMOs. A report published by the Government in 2008, “Evidence Gathering: Housing in Multiple Occupation and possible planning responses – Final Report” recognises the impacts that can occur as a result of high concentrations of HMOs. These include:</w:t>
      </w:r>
    </w:p>
    <w:p w14:paraId="039CB7E5" w14:textId="77777777" w:rsidR="007E034D" w:rsidRPr="004C67D8" w:rsidRDefault="007E034D" w:rsidP="007E034D">
      <w:pPr>
        <w:pStyle w:val="ListParagraph"/>
        <w:rPr>
          <w:rFonts w:ascii="Arial" w:hAnsi="Arial" w:cs="Arial"/>
          <w:color w:val="auto"/>
        </w:rPr>
      </w:pPr>
    </w:p>
    <w:p w14:paraId="32BF08DF" w14:textId="77777777" w:rsidR="007E034D" w:rsidRPr="004C67D8" w:rsidRDefault="007E034D" w:rsidP="00874A98">
      <w:pPr>
        <w:pStyle w:val="ListParagraph"/>
        <w:numPr>
          <w:ilvl w:val="0"/>
          <w:numId w:val="332"/>
        </w:numPr>
        <w:autoSpaceDE w:val="0"/>
        <w:autoSpaceDN w:val="0"/>
        <w:adjustRightInd w:val="0"/>
        <w:spacing w:after="0" w:line="240" w:lineRule="auto"/>
        <w:rPr>
          <w:rFonts w:ascii="Arial" w:eastAsia="Arial" w:hAnsi="Arial" w:cs="Arial"/>
          <w:color w:val="auto"/>
          <w:szCs w:val="24"/>
        </w:rPr>
      </w:pPr>
      <w:r w:rsidRPr="004C67D8">
        <w:rPr>
          <w:rFonts w:ascii="Arial" w:hAnsi="Arial" w:cs="Arial"/>
          <w:color w:val="auto"/>
        </w:rPr>
        <w:t>anti-social behaviour,</w:t>
      </w:r>
    </w:p>
    <w:p w14:paraId="4610DD2F" w14:textId="77777777" w:rsidR="007E034D" w:rsidRPr="004C67D8" w:rsidRDefault="007E034D" w:rsidP="00874A98">
      <w:pPr>
        <w:pStyle w:val="ListParagraph"/>
        <w:numPr>
          <w:ilvl w:val="0"/>
          <w:numId w:val="332"/>
        </w:numPr>
        <w:autoSpaceDE w:val="0"/>
        <w:autoSpaceDN w:val="0"/>
        <w:adjustRightInd w:val="0"/>
        <w:spacing w:after="0" w:line="240" w:lineRule="auto"/>
        <w:rPr>
          <w:rFonts w:ascii="Arial" w:eastAsia="Arial" w:hAnsi="Arial" w:cs="Arial"/>
          <w:color w:val="auto"/>
          <w:szCs w:val="24"/>
        </w:rPr>
      </w:pPr>
      <w:r w:rsidRPr="004C67D8">
        <w:rPr>
          <w:rFonts w:ascii="Arial" w:hAnsi="Arial" w:cs="Arial"/>
          <w:color w:val="auto"/>
        </w:rPr>
        <w:t>noise and nuisance;</w:t>
      </w:r>
    </w:p>
    <w:p w14:paraId="7A3B4D9A" w14:textId="77777777" w:rsidR="007E034D" w:rsidRPr="004C67D8" w:rsidRDefault="007E034D" w:rsidP="00874A98">
      <w:pPr>
        <w:pStyle w:val="ListParagraph"/>
        <w:numPr>
          <w:ilvl w:val="0"/>
          <w:numId w:val="332"/>
        </w:numPr>
        <w:autoSpaceDE w:val="0"/>
        <w:autoSpaceDN w:val="0"/>
        <w:adjustRightInd w:val="0"/>
        <w:spacing w:after="0" w:line="240" w:lineRule="auto"/>
        <w:rPr>
          <w:rFonts w:ascii="Arial" w:eastAsia="Arial" w:hAnsi="Arial" w:cs="Arial"/>
          <w:color w:val="auto"/>
          <w:szCs w:val="24"/>
        </w:rPr>
      </w:pPr>
      <w:r w:rsidRPr="004C67D8">
        <w:rPr>
          <w:rFonts w:ascii="Arial" w:hAnsi="Arial" w:cs="Arial"/>
          <w:color w:val="auto"/>
        </w:rPr>
        <w:t>imbalanced and unsustainable communities;</w:t>
      </w:r>
    </w:p>
    <w:p w14:paraId="1B45C2AA" w14:textId="77777777" w:rsidR="007E034D" w:rsidRPr="004C67D8" w:rsidRDefault="007E034D" w:rsidP="00874A98">
      <w:pPr>
        <w:pStyle w:val="ListParagraph"/>
        <w:numPr>
          <w:ilvl w:val="0"/>
          <w:numId w:val="332"/>
        </w:numPr>
        <w:autoSpaceDE w:val="0"/>
        <w:autoSpaceDN w:val="0"/>
        <w:adjustRightInd w:val="0"/>
        <w:spacing w:after="0" w:line="240" w:lineRule="auto"/>
        <w:rPr>
          <w:rFonts w:ascii="Arial" w:eastAsia="Arial" w:hAnsi="Arial" w:cs="Arial"/>
          <w:color w:val="auto"/>
          <w:szCs w:val="24"/>
        </w:rPr>
      </w:pPr>
      <w:r w:rsidRPr="004C67D8">
        <w:rPr>
          <w:rFonts w:ascii="Arial" w:hAnsi="Arial" w:cs="Arial"/>
          <w:color w:val="auto"/>
        </w:rPr>
        <w:t>negative effects on the physical environment and streetscape;</w:t>
      </w:r>
    </w:p>
    <w:p w14:paraId="50F3FAB6" w14:textId="77777777" w:rsidR="007E034D" w:rsidRPr="004C67D8" w:rsidRDefault="007E034D" w:rsidP="00874A98">
      <w:pPr>
        <w:pStyle w:val="ListParagraph"/>
        <w:numPr>
          <w:ilvl w:val="0"/>
          <w:numId w:val="332"/>
        </w:numPr>
        <w:autoSpaceDE w:val="0"/>
        <w:autoSpaceDN w:val="0"/>
        <w:adjustRightInd w:val="0"/>
        <w:spacing w:after="0" w:line="240" w:lineRule="auto"/>
        <w:rPr>
          <w:rFonts w:ascii="Arial" w:eastAsia="Arial" w:hAnsi="Arial" w:cs="Arial"/>
          <w:color w:val="auto"/>
          <w:szCs w:val="24"/>
        </w:rPr>
      </w:pPr>
      <w:r w:rsidRPr="004C67D8">
        <w:rPr>
          <w:rFonts w:ascii="Arial" w:hAnsi="Arial" w:cs="Arial"/>
          <w:color w:val="auto"/>
        </w:rPr>
        <w:t>pressure upon parking provision;</w:t>
      </w:r>
    </w:p>
    <w:p w14:paraId="67E5B825" w14:textId="77777777" w:rsidR="007E034D" w:rsidRPr="004C67D8" w:rsidRDefault="007E034D" w:rsidP="00874A98">
      <w:pPr>
        <w:pStyle w:val="ListParagraph"/>
        <w:numPr>
          <w:ilvl w:val="0"/>
          <w:numId w:val="332"/>
        </w:numPr>
        <w:autoSpaceDE w:val="0"/>
        <w:autoSpaceDN w:val="0"/>
        <w:adjustRightInd w:val="0"/>
        <w:spacing w:after="0" w:line="240" w:lineRule="auto"/>
        <w:rPr>
          <w:rFonts w:ascii="Arial" w:eastAsia="Arial" w:hAnsi="Arial" w:cs="Arial"/>
          <w:color w:val="auto"/>
          <w:szCs w:val="24"/>
        </w:rPr>
      </w:pPr>
      <w:r w:rsidRPr="004C67D8">
        <w:rPr>
          <w:rFonts w:ascii="Arial" w:hAnsi="Arial" w:cs="Arial"/>
          <w:color w:val="auto"/>
        </w:rPr>
        <w:t>increased crime;</w:t>
      </w:r>
    </w:p>
    <w:p w14:paraId="68583288" w14:textId="77777777" w:rsidR="007E034D" w:rsidRPr="004C67D8" w:rsidRDefault="007E034D" w:rsidP="00874A98">
      <w:pPr>
        <w:pStyle w:val="ListParagraph"/>
        <w:numPr>
          <w:ilvl w:val="0"/>
          <w:numId w:val="332"/>
        </w:numPr>
        <w:autoSpaceDE w:val="0"/>
        <w:autoSpaceDN w:val="0"/>
        <w:adjustRightInd w:val="0"/>
        <w:spacing w:after="0" w:line="240" w:lineRule="auto"/>
        <w:rPr>
          <w:rFonts w:ascii="Arial" w:eastAsia="Arial" w:hAnsi="Arial" w:cs="Arial"/>
          <w:color w:val="auto"/>
          <w:szCs w:val="24"/>
        </w:rPr>
      </w:pPr>
      <w:r w:rsidRPr="004C67D8">
        <w:rPr>
          <w:rFonts w:ascii="Arial" w:hAnsi="Arial" w:cs="Arial"/>
          <w:color w:val="auto"/>
        </w:rPr>
        <w:t>pressure upon local facilities;</w:t>
      </w:r>
    </w:p>
    <w:p w14:paraId="75526D81" w14:textId="45446FC8" w:rsidR="00A73757" w:rsidRPr="004C67D8" w:rsidRDefault="007E034D" w:rsidP="00874A98">
      <w:pPr>
        <w:pStyle w:val="ListParagraph"/>
        <w:numPr>
          <w:ilvl w:val="0"/>
          <w:numId w:val="332"/>
        </w:numPr>
        <w:autoSpaceDE w:val="0"/>
        <w:autoSpaceDN w:val="0"/>
        <w:adjustRightInd w:val="0"/>
        <w:spacing w:after="0" w:line="240" w:lineRule="auto"/>
        <w:rPr>
          <w:rFonts w:ascii="Arial" w:eastAsia="Arial" w:hAnsi="Arial" w:cs="Arial"/>
          <w:color w:val="auto"/>
          <w:szCs w:val="24"/>
        </w:rPr>
      </w:pPr>
      <w:r w:rsidRPr="004C67D8">
        <w:rPr>
          <w:rFonts w:ascii="Arial" w:hAnsi="Arial" w:cs="Arial"/>
          <w:color w:val="auto"/>
        </w:rPr>
        <w:t xml:space="preserve">and restructuring of retail, commercial services and recreational facilities to suit the lifestyles of the predominant </w:t>
      </w:r>
      <w:r w:rsidR="00197D3E" w:rsidRPr="004C67D8">
        <w:rPr>
          <w:rFonts w:ascii="Arial" w:hAnsi="Arial" w:cs="Arial"/>
          <w:color w:val="auto"/>
        </w:rPr>
        <w:t>population.</w:t>
      </w:r>
    </w:p>
    <w:p w14:paraId="17D51539" w14:textId="77777777" w:rsidR="006950FA" w:rsidRPr="004C67D8" w:rsidRDefault="006950FA" w:rsidP="006950FA">
      <w:pPr>
        <w:autoSpaceDE w:val="0"/>
        <w:autoSpaceDN w:val="0"/>
        <w:adjustRightInd w:val="0"/>
        <w:rPr>
          <w:rFonts w:eastAsia="Arial" w:cs="Arial"/>
          <w:color w:val="auto"/>
          <w:szCs w:val="24"/>
        </w:rPr>
      </w:pPr>
    </w:p>
    <w:p w14:paraId="49E3F1E3" w14:textId="77777777" w:rsidR="006950FA" w:rsidRPr="004C67D8" w:rsidRDefault="006950FA" w:rsidP="00874A98">
      <w:pPr>
        <w:pStyle w:val="ListParagraph"/>
        <w:numPr>
          <w:ilvl w:val="1"/>
          <w:numId w:val="92"/>
        </w:numPr>
        <w:autoSpaceDE w:val="0"/>
        <w:autoSpaceDN w:val="0"/>
        <w:adjustRightInd w:val="0"/>
        <w:spacing w:after="0" w:line="240" w:lineRule="auto"/>
        <w:ind w:left="851" w:hanging="851"/>
        <w:rPr>
          <w:rFonts w:eastAsia="Arial" w:cs="Arial"/>
          <w:color w:val="auto"/>
        </w:rPr>
      </w:pPr>
      <w:r w:rsidRPr="004C67D8">
        <w:rPr>
          <w:rFonts w:ascii="Arial" w:eastAsia="Arial" w:hAnsi="Arial" w:cs="Arial"/>
          <w:color w:val="auto"/>
        </w:rPr>
        <w:t>HMO developments can raise issues relating to residential amenity and the visual character of the areas, for example, as a result of additional windows, external staircases, parking on and off-site, cycle storage, bin storage and access for rubbish collection etc.</w:t>
      </w:r>
    </w:p>
    <w:p w14:paraId="0C293ED0" w14:textId="77777777" w:rsidR="006950FA" w:rsidRPr="004C67D8" w:rsidRDefault="006950FA" w:rsidP="006950FA">
      <w:pPr>
        <w:pStyle w:val="ListParagraph"/>
        <w:autoSpaceDE w:val="0"/>
        <w:autoSpaceDN w:val="0"/>
        <w:adjustRightInd w:val="0"/>
        <w:spacing w:after="0" w:line="240" w:lineRule="auto"/>
        <w:ind w:left="851"/>
        <w:rPr>
          <w:rFonts w:eastAsia="Arial" w:cs="Arial"/>
          <w:color w:val="auto"/>
        </w:rPr>
      </w:pPr>
    </w:p>
    <w:p w14:paraId="734AA8A4" w14:textId="77777777" w:rsidR="00197D3E" w:rsidRPr="004C67D8" w:rsidRDefault="006950FA" w:rsidP="00874A98">
      <w:pPr>
        <w:pStyle w:val="ListParagraph"/>
        <w:numPr>
          <w:ilvl w:val="1"/>
          <w:numId w:val="92"/>
        </w:numPr>
        <w:autoSpaceDE w:val="0"/>
        <w:autoSpaceDN w:val="0"/>
        <w:adjustRightInd w:val="0"/>
        <w:spacing w:after="0" w:line="240" w:lineRule="auto"/>
        <w:ind w:left="851" w:hanging="851"/>
        <w:rPr>
          <w:rFonts w:ascii="Arial" w:eastAsia="Arial" w:hAnsi="Arial" w:cs="Arial"/>
          <w:color w:val="auto"/>
        </w:rPr>
      </w:pPr>
      <w:r w:rsidRPr="004C67D8">
        <w:rPr>
          <w:rFonts w:ascii="Arial" w:hAnsi="Arial" w:cs="Arial"/>
          <w:color w:val="auto"/>
        </w:rPr>
        <w:t>Where the existing level of such developments in the local area is considered to adversely impact the community, proposals may not be supported unless there are other benefits for the local community, such as the reuse of building or site that has been vacant for a substantial period of time.</w:t>
      </w:r>
    </w:p>
    <w:p w14:paraId="12348BE6" w14:textId="77777777" w:rsidR="00197D3E" w:rsidRPr="004C67D8" w:rsidRDefault="00197D3E" w:rsidP="00197D3E">
      <w:pPr>
        <w:pStyle w:val="ListParagraph"/>
        <w:rPr>
          <w:rFonts w:ascii="Arial" w:eastAsia="Arial" w:hAnsi="Arial" w:cs="Arial"/>
          <w:color w:val="auto"/>
        </w:rPr>
      </w:pPr>
    </w:p>
    <w:p w14:paraId="4D8483EC" w14:textId="6DEC8FA0" w:rsidR="00197D3E" w:rsidRPr="004C67D8" w:rsidRDefault="006950FA" w:rsidP="00874A98">
      <w:pPr>
        <w:pStyle w:val="ListParagraph"/>
        <w:numPr>
          <w:ilvl w:val="1"/>
          <w:numId w:val="92"/>
        </w:numPr>
        <w:autoSpaceDE w:val="0"/>
        <w:autoSpaceDN w:val="0"/>
        <w:adjustRightInd w:val="0"/>
        <w:spacing w:after="0" w:line="240" w:lineRule="auto"/>
        <w:ind w:left="851" w:hanging="851"/>
        <w:rPr>
          <w:rFonts w:ascii="Arial" w:eastAsia="Arial" w:hAnsi="Arial" w:cs="Arial"/>
          <w:color w:val="auto"/>
        </w:rPr>
      </w:pPr>
      <w:r w:rsidRPr="004C67D8">
        <w:rPr>
          <w:rFonts w:ascii="Arial" w:eastAsia="Arial" w:hAnsi="Arial" w:cs="Arial"/>
          <w:color w:val="auto"/>
        </w:rPr>
        <w:t xml:space="preserve">In cases </w:t>
      </w:r>
      <w:r w:rsidR="00C30F6A">
        <w:rPr>
          <w:rFonts w:ascii="Arial" w:eastAsia="Arial" w:hAnsi="Arial" w:cs="Arial"/>
          <w:color w:val="auto"/>
        </w:rPr>
        <w:t>wh</w:t>
      </w:r>
      <w:r w:rsidRPr="004C67D8">
        <w:rPr>
          <w:rFonts w:ascii="Arial" w:eastAsia="Arial" w:hAnsi="Arial" w:cs="Arial"/>
          <w:color w:val="auto"/>
        </w:rPr>
        <w:t>ere a conversion involves substantial alterations to an elevation, careful design which reflects the character of the property and the locality must be achieved. Proposals will only be supported in particular where they conform with Policy SD2 Design Considerations for Development, Policy SD3 Amenity and Policy SD11 Parking Standards. Ashfield’s Residential Design SPD provides further useful information.</w:t>
      </w:r>
    </w:p>
    <w:p w14:paraId="6FC5D7C9" w14:textId="77777777" w:rsidR="00197D3E" w:rsidRPr="004C67D8" w:rsidRDefault="00197D3E" w:rsidP="00197D3E">
      <w:pPr>
        <w:pStyle w:val="ListParagraph"/>
        <w:rPr>
          <w:rFonts w:ascii="Arial" w:eastAsia="Arial" w:hAnsi="Arial" w:cs="Arial"/>
          <w:color w:val="auto"/>
        </w:rPr>
      </w:pPr>
    </w:p>
    <w:p w14:paraId="56513263" w14:textId="77777777" w:rsidR="00197D3E" w:rsidRPr="004C67D8" w:rsidRDefault="006950FA" w:rsidP="00874A98">
      <w:pPr>
        <w:pStyle w:val="ListParagraph"/>
        <w:numPr>
          <w:ilvl w:val="1"/>
          <w:numId w:val="92"/>
        </w:numPr>
        <w:autoSpaceDE w:val="0"/>
        <w:autoSpaceDN w:val="0"/>
        <w:adjustRightInd w:val="0"/>
        <w:spacing w:after="0" w:line="240" w:lineRule="auto"/>
        <w:ind w:left="851" w:hanging="851"/>
        <w:rPr>
          <w:rFonts w:ascii="Arial" w:eastAsia="Arial" w:hAnsi="Arial" w:cs="Arial"/>
          <w:color w:val="auto"/>
        </w:rPr>
      </w:pPr>
      <w:r w:rsidRPr="004C67D8">
        <w:rPr>
          <w:rFonts w:ascii="Arial" w:eastAsia="Arial" w:hAnsi="Arial" w:cs="Arial"/>
          <w:color w:val="auto"/>
        </w:rPr>
        <w:t xml:space="preserve">The Housing Act 2004 introduced licensing for houses in multiple occupation (HMOs). The Act provides a detailed definition of HMOs and sets out standards of management for this type of property. Licensing is mandatory for all HMOs which have three or more storeys and are occupied by five or more persons forming two or more households. </w:t>
      </w:r>
    </w:p>
    <w:p w14:paraId="0406D935" w14:textId="77777777" w:rsidR="00197D3E" w:rsidRPr="004C67D8" w:rsidRDefault="00197D3E" w:rsidP="00197D3E">
      <w:pPr>
        <w:pStyle w:val="ListParagraph"/>
        <w:rPr>
          <w:rFonts w:ascii="Arial" w:hAnsi="Arial" w:cs="Arial"/>
          <w:color w:val="auto"/>
          <w:lang w:val="en"/>
        </w:rPr>
      </w:pPr>
    </w:p>
    <w:p w14:paraId="6573B841" w14:textId="2DC7696D" w:rsidR="008852FB" w:rsidRPr="008852FB" w:rsidRDefault="006950FA" w:rsidP="0066743A">
      <w:pPr>
        <w:pStyle w:val="ListParagraph"/>
        <w:numPr>
          <w:ilvl w:val="1"/>
          <w:numId w:val="92"/>
        </w:numPr>
        <w:autoSpaceDE w:val="0"/>
        <w:autoSpaceDN w:val="0"/>
        <w:adjustRightInd w:val="0"/>
        <w:spacing w:after="0" w:line="240" w:lineRule="auto"/>
        <w:ind w:left="720" w:hanging="851"/>
        <w:rPr>
          <w:rFonts w:eastAsia="Arial" w:cs="Arial"/>
          <w:color w:val="0070C0"/>
          <w:szCs w:val="24"/>
        </w:rPr>
        <w:sectPr w:rsidR="008852FB" w:rsidRPr="008852FB" w:rsidSect="00A73757">
          <w:headerReference w:type="default" r:id="rId32"/>
          <w:pgSz w:w="11906" w:h="16838" w:code="9"/>
          <w:pgMar w:top="1258" w:right="1133" w:bottom="1079" w:left="1134" w:header="709" w:footer="709" w:gutter="0"/>
          <w:cols w:space="708"/>
          <w:docGrid w:linePitch="360"/>
        </w:sectPr>
      </w:pPr>
      <w:r w:rsidRPr="008852FB">
        <w:rPr>
          <w:rFonts w:ascii="Arial" w:hAnsi="Arial" w:cs="Arial"/>
          <w:color w:val="auto"/>
          <w:lang w:val="en"/>
        </w:rPr>
        <w:t xml:space="preserve">All HMOs, regardless of whether they are licensable or not, are subject to legislation about how they are managed. There are two main pieces of management legislation; the first being the </w:t>
      </w:r>
      <w:hyperlink r:id="rId33" w:history="1">
        <w:r w:rsidRPr="008852FB">
          <w:rPr>
            <w:rFonts w:ascii="Arial" w:hAnsi="Arial" w:cs="Arial"/>
            <w:color w:val="auto"/>
            <w:lang w:val="en"/>
          </w:rPr>
          <w:t>Management of Houses in Multiple Occupation (England) Regulations 2006</w:t>
        </w:r>
      </w:hyperlink>
      <w:r w:rsidRPr="008852FB">
        <w:rPr>
          <w:rFonts w:ascii="Arial" w:hAnsi="Arial" w:cs="Arial"/>
          <w:color w:val="auto"/>
          <w:lang w:val="en"/>
        </w:rPr>
        <w:t xml:space="preserve"> and the second the </w:t>
      </w:r>
      <w:hyperlink r:id="rId34" w:history="1">
        <w:r w:rsidRPr="008852FB">
          <w:rPr>
            <w:rFonts w:ascii="Arial" w:hAnsi="Arial" w:cs="Arial"/>
            <w:color w:val="auto"/>
            <w:lang w:val="en"/>
          </w:rPr>
          <w:t>Licensing and Management of Houses in Multiple Occupation (Additional Provisions) (England) Regulations 2007</w:t>
        </w:r>
      </w:hyperlink>
      <w:r w:rsidRPr="008852FB">
        <w:rPr>
          <w:rFonts w:ascii="Arial" w:hAnsi="Arial" w:cs="Arial"/>
          <w:color w:val="auto"/>
          <w:lang w:val="en"/>
        </w:rPr>
        <w:t>.</w:t>
      </w:r>
    </w:p>
    <w:p w14:paraId="55C2E2D6" w14:textId="77777777" w:rsidR="008852FB" w:rsidRPr="008852FB" w:rsidRDefault="008852FB" w:rsidP="008852FB">
      <w:bookmarkStart w:id="244" w:name="_Toc145511596"/>
    </w:p>
    <w:p w14:paraId="56243AF6" w14:textId="77777777" w:rsidR="008852FB" w:rsidRDefault="008852FB" w:rsidP="00165C32">
      <w:pPr>
        <w:pStyle w:val="Heading1"/>
        <w:sectPr w:rsidR="008852FB" w:rsidSect="003157BC">
          <w:headerReference w:type="default" r:id="rId35"/>
          <w:type w:val="continuous"/>
          <w:pgSz w:w="11906" w:h="16838" w:code="9"/>
          <w:pgMar w:top="1258" w:right="1133" w:bottom="1079" w:left="1134" w:header="709" w:footer="709" w:gutter="0"/>
          <w:cols w:space="708"/>
          <w:docGrid w:linePitch="360"/>
        </w:sectPr>
      </w:pPr>
    </w:p>
    <w:p w14:paraId="25788F11" w14:textId="41E05252" w:rsidR="00DA4833" w:rsidRPr="003C7E62" w:rsidRDefault="00DA4833" w:rsidP="00165C32">
      <w:pPr>
        <w:pStyle w:val="Heading1"/>
      </w:pPr>
      <w:r w:rsidRPr="003C7E62">
        <w:t>Chapter 7</w:t>
      </w:r>
      <w:bookmarkEnd w:id="244"/>
    </w:p>
    <w:p w14:paraId="1D154F80" w14:textId="77777777" w:rsidR="00DA4833" w:rsidRPr="00B163E1" w:rsidRDefault="00DA4833" w:rsidP="008008F0">
      <w:pPr>
        <w:keepNext w:val="0"/>
        <w:spacing w:before="0"/>
        <w:rPr>
          <w:rFonts w:cs="Arial"/>
          <w:b/>
          <w:color w:val="auto"/>
          <w:sz w:val="32"/>
          <w:szCs w:val="32"/>
        </w:rPr>
      </w:pPr>
    </w:p>
    <w:p w14:paraId="3A2C47B2" w14:textId="54699919" w:rsidR="00DA4833" w:rsidRPr="006977E7" w:rsidRDefault="005F1B0D" w:rsidP="00851435">
      <w:pPr>
        <w:pStyle w:val="Heading1"/>
      </w:pPr>
      <w:bookmarkStart w:id="245" w:name="_Toc145511597"/>
      <w:bookmarkStart w:id="246" w:name="_Hlk146199492"/>
      <w:r w:rsidRPr="005F1B0D">
        <w:t>Building a strong economy which provides opportunities for local people</w:t>
      </w:r>
      <w:bookmarkEnd w:id="245"/>
    </w:p>
    <w:bookmarkEnd w:id="246"/>
    <w:p w14:paraId="4A0AF16F" w14:textId="20DCFEFA" w:rsidR="00331448" w:rsidRDefault="00331448" w:rsidP="008008F0">
      <w:pPr>
        <w:keepNext w:val="0"/>
        <w:autoSpaceDE w:val="0"/>
        <w:autoSpaceDN w:val="0"/>
        <w:adjustRightInd w:val="0"/>
        <w:spacing w:before="0"/>
        <w:rPr>
          <w:rFonts w:cs="Arial"/>
          <w:b/>
          <w:bCs/>
          <w:szCs w:val="24"/>
        </w:rPr>
      </w:pPr>
    </w:p>
    <w:p w14:paraId="592E7384" w14:textId="0AF0BDB1" w:rsidR="00331448" w:rsidRPr="00C55F46" w:rsidRDefault="00331448" w:rsidP="00C55F46">
      <w:pPr>
        <w:pStyle w:val="Heading2"/>
        <w:jc w:val="left"/>
        <w:rPr>
          <w:sz w:val="28"/>
          <w:szCs w:val="28"/>
        </w:rPr>
      </w:pPr>
      <w:bookmarkStart w:id="247" w:name="_Toc145511598"/>
      <w:r w:rsidRPr="00C55F46">
        <w:rPr>
          <w:rFonts w:eastAsia="Arial"/>
          <w:sz w:val="28"/>
          <w:szCs w:val="28"/>
        </w:rPr>
        <w:t>Policy EM1: Business and Economic Development</w:t>
      </w:r>
      <w:bookmarkEnd w:id="247"/>
    </w:p>
    <w:p w14:paraId="6EBA9DD7" w14:textId="77777777" w:rsidR="00331448" w:rsidRDefault="00331448" w:rsidP="008008F0">
      <w:pPr>
        <w:keepNext w:val="0"/>
        <w:autoSpaceDE w:val="0"/>
        <w:autoSpaceDN w:val="0"/>
        <w:adjustRightInd w:val="0"/>
        <w:spacing w:before="0"/>
        <w:rPr>
          <w:rFonts w:cs="Arial"/>
          <w:b/>
          <w:bCs/>
          <w:szCs w:val="24"/>
        </w:rPr>
      </w:pPr>
    </w:p>
    <w:tbl>
      <w:tblPr>
        <w:tblStyle w:val="ReportTable1"/>
        <w:tblW w:w="9634" w:type="dxa"/>
        <w:tblLook w:val="04A0" w:firstRow="1" w:lastRow="0" w:firstColumn="1" w:lastColumn="0" w:noHBand="0" w:noVBand="1"/>
      </w:tblPr>
      <w:tblGrid>
        <w:gridCol w:w="1980"/>
        <w:gridCol w:w="680"/>
        <w:gridCol w:w="6974"/>
      </w:tblGrid>
      <w:tr w:rsidR="00945E91" w:rsidRPr="00945E91" w14:paraId="5C0B833A" w14:textId="77777777" w:rsidTr="00E40772">
        <w:trPr>
          <w:trHeight w:val="421"/>
        </w:trPr>
        <w:tc>
          <w:tcPr>
            <w:tcW w:w="9634" w:type="dxa"/>
            <w:gridSpan w:val="3"/>
          </w:tcPr>
          <w:p w14:paraId="32AECB01" w14:textId="77777777" w:rsidR="009838D1" w:rsidRDefault="009838D1" w:rsidP="009838D1">
            <w:pPr>
              <w:keepNext w:val="0"/>
              <w:tabs>
                <w:tab w:val="left" w:pos="680"/>
              </w:tabs>
              <w:spacing w:before="0"/>
              <w:rPr>
                <w:rFonts w:eastAsia="Arial"/>
                <w:b/>
                <w:color w:val="auto"/>
                <w:spacing w:val="-1"/>
              </w:rPr>
            </w:pPr>
          </w:p>
          <w:p w14:paraId="24A5B0B5" w14:textId="77777777" w:rsidR="00945E91" w:rsidRDefault="00945E91" w:rsidP="009838D1">
            <w:pPr>
              <w:keepNext w:val="0"/>
              <w:tabs>
                <w:tab w:val="left" w:pos="680"/>
              </w:tabs>
              <w:spacing w:before="0"/>
              <w:rPr>
                <w:rFonts w:eastAsia="Arial"/>
                <w:b/>
                <w:color w:val="auto"/>
                <w:spacing w:val="-1"/>
                <w:szCs w:val="24"/>
              </w:rPr>
            </w:pPr>
            <w:bookmarkStart w:id="248" w:name="_Hlk82187651"/>
            <w:r w:rsidRPr="00331448">
              <w:rPr>
                <w:rFonts w:eastAsia="Arial"/>
                <w:b/>
                <w:color w:val="auto"/>
                <w:spacing w:val="-1"/>
              </w:rPr>
              <w:t xml:space="preserve">Policy EM1: </w:t>
            </w:r>
            <w:r w:rsidRPr="00331448">
              <w:rPr>
                <w:rFonts w:eastAsia="Arial"/>
                <w:b/>
                <w:color w:val="auto"/>
                <w:spacing w:val="-1"/>
                <w:szCs w:val="24"/>
              </w:rPr>
              <w:t>Business and Economic Development</w:t>
            </w:r>
          </w:p>
          <w:bookmarkEnd w:id="248"/>
          <w:p w14:paraId="4157B019" w14:textId="76AEA2BA" w:rsidR="009838D1" w:rsidRPr="00331448" w:rsidRDefault="009838D1" w:rsidP="009838D1">
            <w:pPr>
              <w:keepNext w:val="0"/>
              <w:tabs>
                <w:tab w:val="left" w:pos="680"/>
              </w:tabs>
              <w:spacing w:before="0"/>
              <w:rPr>
                <w:rFonts w:eastAsia="Arial"/>
                <w:b/>
                <w:color w:val="auto"/>
                <w:spacing w:val="-1"/>
              </w:rPr>
            </w:pPr>
          </w:p>
        </w:tc>
      </w:tr>
      <w:tr w:rsidR="00945E91" w:rsidRPr="00945E91" w14:paraId="153B78CD" w14:textId="77777777" w:rsidTr="00E40772">
        <w:tc>
          <w:tcPr>
            <w:tcW w:w="2660" w:type="dxa"/>
            <w:gridSpan w:val="2"/>
          </w:tcPr>
          <w:p w14:paraId="40B6213C" w14:textId="77777777" w:rsidR="00945E91" w:rsidRPr="00945E91" w:rsidRDefault="00945E91" w:rsidP="00945E91">
            <w:pPr>
              <w:keepNext w:val="0"/>
              <w:tabs>
                <w:tab w:val="left" w:pos="680"/>
              </w:tabs>
              <w:spacing w:before="0"/>
              <w:rPr>
                <w:rFonts w:eastAsia="Arial"/>
                <w:bCs/>
                <w:color w:val="auto"/>
              </w:rPr>
            </w:pPr>
            <w:r w:rsidRPr="00945E91">
              <w:rPr>
                <w:rFonts w:eastAsia="Arial"/>
                <w:bCs/>
                <w:color w:val="auto"/>
              </w:rPr>
              <w:t>Strategic Objectives</w:t>
            </w:r>
          </w:p>
        </w:tc>
        <w:tc>
          <w:tcPr>
            <w:tcW w:w="6974" w:type="dxa"/>
          </w:tcPr>
          <w:p w14:paraId="2625DA7B" w14:textId="77777777" w:rsidR="00945E91" w:rsidRPr="00945E91" w:rsidRDefault="00945E91" w:rsidP="00945E91">
            <w:pPr>
              <w:keepNext w:val="0"/>
              <w:tabs>
                <w:tab w:val="left" w:pos="680"/>
              </w:tabs>
              <w:spacing w:before="40" w:after="40"/>
              <w:rPr>
                <w:rFonts w:eastAsia="Arial"/>
                <w:bCs/>
                <w:color w:val="auto"/>
              </w:rPr>
            </w:pPr>
            <w:r w:rsidRPr="00945E91">
              <w:rPr>
                <w:rFonts w:eastAsia="Arial"/>
                <w:bCs/>
                <w:color w:val="auto"/>
              </w:rPr>
              <w:t xml:space="preserve">SO1, SO4, SO5, SO6, SO7, SO8, SO9, SO10, SO12. </w:t>
            </w:r>
          </w:p>
        </w:tc>
      </w:tr>
      <w:tr w:rsidR="00945E91" w:rsidRPr="00945E91" w14:paraId="1A15F826" w14:textId="77777777" w:rsidTr="00E40772">
        <w:tc>
          <w:tcPr>
            <w:tcW w:w="9634" w:type="dxa"/>
            <w:gridSpan w:val="3"/>
            <w:shd w:val="clear" w:color="auto" w:fill="D9E2F3"/>
          </w:tcPr>
          <w:p w14:paraId="25961B54" w14:textId="77777777" w:rsidR="00945E91" w:rsidRPr="00945E91" w:rsidRDefault="00945E91" w:rsidP="005775C8">
            <w:pPr>
              <w:keepNext w:val="0"/>
              <w:spacing w:before="0"/>
              <w:rPr>
                <w:rFonts w:eastAsia="Arial" w:cs="Arial"/>
                <w:bCs/>
                <w:color w:val="auto"/>
              </w:rPr>
            </w:pPr>
          </w:p>
          <w:p w14:paraId="0AA32A9A" w14:textId="77777777" w:rsidR="00945E91" w:rsidRPr="00945E91" w:rsidRDefault="00945E91" w:rsidP="00874A98">
            <w:pPr>
              <w:keepNext w:val="0"/>
              <w:numPr>
                <w:ilvl w:val="0"/>
                <w:numId w:val="132"/>
              </w:numPr>
              <w:tabs>
                <w:tab w:val="left" w:pos="680"/>
                <w:tab w:val="left" w:pos="1133"/>
                <w:tab w:val="left" w:pos="2267"/>
              </w:tabs>
              <w:spacing w:before="0"/>
              <w:ind w:right="284"/>
              <w:rPr>
                <w:rFonts w:eastAsia="Arial"/>
                <w:bCs/>
                <w:color w:val="auto"/>
              </w:rPr>
            </w:pPr>
            <w:r w:rsidRPr="00945E91">
              <w:rPr>
                <w:rFonts w:eastAsia="Arial"/>
                <w:bCs/>
                <w:color w:val="auto"/>
              </w:rPr>
              <w:t xml:space="preserve">The Council will give significant weight to proposals for business development, which provide for, or assist the creation of, new employment opportunities and inward investment.  Business and economic development proposals will be directed towards town centres (where appropriate), employment sites, and employment allocations. </w:t>
            </w:r>
          </w:p>
          <w:p w14:paraId="30A61B8E" w14:textId="77777777" w:rsidR="00945E91" w:rsidRPr="00945E91" w:rsidRDefault="00945E91" w:rsidP="005775C8">
            <w:pPr>
              <w:keepNext w:val="0"/>
              <w:spacing w:before="0"/>
              <w:ind w:left="720"/>
              <w:contextualSpacing/>
              <w:rPr>
                <w:rFonts w:eastAsia="Arial"/>
                <w:bCs/>
                <w:color w:val="auto"/>
              </w:rPr>
            </w:pPr>
          </w:p>
          <w:p w14:paraId="6F7BE69B" w14:textId="725A74BC" w:rsidR="00945E91" w:rsidRPr="00945E91" w:rsidRDefault="00945E91" w:rsidP="00874A98">
            <w:pPr>
              <w:keepNext w:val="0"/>
              <w:numPr>
                <w:ilvl w:val="0"/>
                <w:numId w:val="132"/>
              </w:numPr>
              <w:tabs>
                <w:tab w:val="left" w:pos="680"/>
                <w:tab w:val="left" w:pos="1133"/>
                <w:tab w:val="left" w:pos="2267"/>
              </w:tabs>
              <w:spacing w:before="0"/>
              <w:ind w:left="357" w:right="284"/>
              <w:rPr>
                <w:rFonts w:eastAsia="Arial"/>
                <w:bCs/>
                <w:color w:val="auto"/>
              </w:rPr>
            </w:pPr>
            <w:bookmarkStart w:id="249" w:name="_Hlk82187686"/>
            <w:r w:rsidRPr="00945E91">
              <w:rPr>
                <w:rFonts w:eastAsia="Arial"/>
                <w:bCs/>
                <w:color w:val="auto"/>
              </w:rPr>
              <w:t>The Council will sustain and enhance Ashfield’s employment capacity by supporting the following uses on allocated employment allocations sites and Key Employment Area</w:t>
            </w:r>
            <w:r w:rsidR="009353B1">
              <w:rPr>
                <w:rFonts w:eastAsia="Arial"/>
                <w:bCs/>
                <w:color w:val="auto"/>
              </w:rPr>
              <w:t xml:space="preserve"> as identified on the Policies Map</w:t>
            </w:r>
            <w:r w:rsidRPr="00945E91">
              <w:rPr>
                <w:rFonts w:eastAsia="Arial"/>
                <w:bCs/>
                <w:color w:val="auto"/>
              </w:rPr>
              <w:t xml:space="preserve">: </w:t>
            </w:r>
          </w:p>
          <w:bookmarkEnd w:id="249"/>
          <w:p w14:paraId="7F4AC835" w14:textId="77777777" w:rsidR="00945E91" w:rsidRPr="00945E91" w:rsidRDefault="00945E91" w:rsidP="005775C8">
            <w:pPr>
              <w:keepNext w:val="0"/>
              <w:tabs>
                <w:tab w:val="left" w:pos="680"/>
                <w:tab w:val="left" w:pos="1133"/>
                <w:tab w:val="left" w:pos="2267"/>
              </w:tabs>
              <w:spacing w:before="0"/>
              <w:ind w:left="357" w:right="284"/>
              <w:rPr>
                <w:rFonts w:eastAsia="Arial"/>
                <w:bCs/>
                <w:color w:val="auto"/>
              </w:rPr>
            </w:pPr>
          </w:p>
          <w:p w14:paraId="72EF9BDA" w14:textId="4B2ABBD3" w:rsidR="00945E91" w:rsidRPr="00945E91" w:rsidRDefault="00945E91" w:rsidP="00874A98">
            <w:pPr>
              <w:keepNext w:val="0"/>
              <w:numPr>
                <w:ilvl w:val="0"/>
                <w:numId w:val="135"/>
              </w:numPr>
              <w:tabs>
                <w:tab w:val="left" w:pos="709"/>
              </w:tabs>
              <w:spacing w:before="0" w:after="160" w:line="252" w:lineRule="auto"/>
              <w:contextualSpacing/>
              <w:rPr>
                <w:rFonts w:eastAsia="Arial"/>
                <w:bCs/>
                <w:color w:val="auto"/>
              </w:rPr>
            </w:pPr>
            <w:r w:rsidRPr="00945E91">
              <w:rPr>
                <w:rFonts w:eastAsia="Arial"/>
                <w:bCs/>
                <w:color w:val="auto"/>
              </w:rPr>
              <w:t>Office, light industrial and research and development, general industrial and storage and distribution</w:t>
            </w:r>
            <w:r w:rsidR="00AC45CD">
              <w:rPr>
                <w:rFonts w:eastAsia="Arial"/>
                <w:bCs/>
                <w:color w:val="auto"/>
              </w:rPr>
              <w:t>.</w:t>
            </w:r>
          </w:p>
          <w:p w14:paraId="6D3AEB1C" w14:textId="77777777" w:rsidR="00945E91" w:rsidRPr="00945E91" w:rsidRDefault="00945E91" w:rsidP="005775C8">
            <w:pPr>
              <w:keepNext w:val="0"/>
              <w:tabs>
                <w:tab w:val="left" w:pos="709"/>
              </w:tabs>
              <w:spacing w:before="0"/>
              <w:ind w:left="720"/>
              <w:contextualSpacing/>
              <w:rPr>
                <w:rFonts w:eastAsia="Arial"/>
                <w:bCs/>
                <w:color w:val="auto"/>
              </w:rPr>
            </w:pPr>
          </w:p>
          <w:p w14:paraId="085A8730" w14:textId="2B488337" w:rsidR="00945E91" w:rsidRPr="00945E91" w:rsidRDefault="00945E91" w:rsidP="00874A98">
            <w:pPr>
              <w:keepNext w:val="0"/>
              <w:numPr>
                <w:ilvl w:val="0"/>
                <w:numId w:val="135"/>
              </w:numPr>
              <w:tabs>
                <w:tab w:val="left" w:pos="709"/>
              </w:tabs>
              <w:spacing w:before="0" w:after="160" w:line="252" w:lineRule="auto"/>
              <w:contextualSpacing/>
              <w:rPr>
                <w:rFonts w:eastAsia="Arial"/>
                <w:bCs/>
                <w:color w:val="auto"/>
              </w:rPr>
            </w:pPr>
            <w:r w:rsidRPr="00945E91">
              <w:rPr>
                <w:rFonts w:eastAsia="Arial"/>
                <w:bCs/>
                <w:color w:val="auto"/>
              </w:rPr>
              <w:t>Sui generis uses where it can be demonstrated that the proposal is compatible with the predominant use, is of a scale, nature and form appropriate to the location and there are no other sites/buildings that could meet the use in question</w:t>
            </w:r>
            <w:r w:rsidR="00AC45CD">
              <w:rPr>
                <w:rFonts w:eastAsia="Arial"/>
                <w:bCs/>
                <w:color w:val="auto"/>
              </w:rPr>
              <w:t>.</w:t>
            </w:r>
            <w:r w:rsidRPr="00945E91">
              <w:rPr>
                <w:rFonts w:eastAsia="Arial"/>
                <w:bCs/>
                <w:color w:val="auto"/>
              </w:rPr>
              <w:t xml:space="preserve"> </w:t>
            </w:r>
          </w:p>
          <w:p w14:paraId="1400F337" w14:textId="77777777" w:rsidR="00945E91" w:rsidRPr="00945E91" w:rsidRDefault="00945E91" w:rsidP="005775C8">
            <w:pPr>
              <w:keepNext w:val="0"/>
              <w:spacing w:before="0" w:after="160" w:line="252" w:lineRule="auto"/>
              <w:ind w:left="720"/>
              <w:contextualSpacing/>
              <w:rPr>
                <w:rFonts w:eastAsia="Arial"/>
                <w:bCs/>
                <w:color w:val="auto"/>
              </w:rPr>
            </w:pPr>
          </w:p>
          <w:p w14:paraId="037F2FFE" w14:textId="4F8661D2" w:rsidR="00945E91" w:rsidRPr="00945E91" w:rsidRDefault="00945E91" w:rsidP="00874A98">
            <w:pPr>
              <w:keepNext w:val="0"/>
              <w:numPr>
                <w:ilvl w:val="0"/>
                <w:numId w:val="135"/>
              </w:numPr>
              <w:tabs>
                <w:tab w:val="left" w:pos="709"/>
              </w:tabs>
              <w:spacing w:before="0"/>
              <w:contextualSpacing/>
              <w:rPr>
                <w:rFonts w:eastAsia="Arial"/>
                <w:bCs/>
                <w:color w:val="auto"/>
              </w:rPr>
            </w:pPr>
            <w:r w:rsidRPr="00945E91">
              <w:rPr>
                <w:rFonts w:eastAsia="Arial"/>
                <w:bCs/>
                <w:color w:val="auto"/>
              </w:rPr>
              <w:t xml:space="preserve">Educational or training purposes which will assist in improving skills where: </w:t>
            </w:r>
          </w:p>
          <w:p w14:paraId="4160E0CA" w14:textId="77777777" w:rsidR="00945E91" w:rsidRPr="00945E91" w:rsidRDefault="00945E91" w:rsidP="005775C8">
            <w:pPr>
              <w:keepNext w:val="0"/>
              <w:tabs>
                <w:tab w:val="left" w:pos="680"/>
              </w:tabs>
              <w:spacing w:before="0"/>
              <w:ind w:left="720"/>
              <w:rPr>
                <w:rFonts w:eastAsia="Arial"/>
                <w:bCs/>
                <w:color w:val="auto"/>
              </w:rPr>
            </w:pPr>
          </w:p>
          <w:p w14:paraId="3C9C8418" w14:textId="77777777" w:rsidR="00945E91" w:rsidRPr="00945E91" w:rsidRDefault="00945E91" w:rsidP="00874A98">
            <w:pPr>
              <w:keepNext w:val="0"/>
              <w:numPr>
                <w:ilvl w:val="0"/>
                <w:numId w:val="134"/>
              </w:numPr>
              <w:tabs>
                <w:tab w:val="left" w:pos="680"/>
              </w:tabs>
              <w:spacing w:before="0" w:after="160" w:line="252" w:lineRule="auto"/>
              <w:rPr>
                <w:rFonts w:eastAsia="Arial"/>
                <w:bCs/>
                <w:color w:val="auto"/>
              </w:rPr>
            </w:pPr>
            <w:r w:rsidRPr="00945E91">
              <w:rPr>
                <w:rFonts w:eastAsia="Arial"/>
                <w:bCs/>
                <w:color w:val="auto"/>
              </w:rPr>
              <w:t>it can be demonstrated that no suitable sites are available in town centre;</w:t>
            </w:r>
          </w:p>
          <w:p w14:paraId="5B8456F9" w14:textId="77777777" w:rsidR="00945E91" w:rsidRPr="00945E91" w:rsidRDefault="00945E91" w:rsidP="00874A98">
            <w:pPr>
              <w:keepNext w:val="0"/>
              <w:numPr>
                <w:ilvl w:val="0"/>
                <w:numId w:val="134"/>
              </w:numPr>
              <w:tabs>
                <w:tab w:val="left" w:pos="680"/>
              </w:tabs>
              <w:spacing w:before="0" w:after="160" w:line="252" w:lineRule="auto"/>
              <w:rPr>
                <w:rFonts w:eastAsia="Arial"/>
                <w:bCs/>
                <w:color w:val="auto"/>
              </w:rPr>
            </w:pPr>
            <w:r w:rsidRPr="00945E91">
              <w:rPr>
                <w:rFonts w:eastAsia="Arial"/>
                <w:bCs/>
                <w:color w:val="auto"/>
              </w:rPr>
              <w:t>provision is made for access by a range of means of transport; and</w:t>
            </w:r>
          </w:p>
          <w:p w14:paraId="7F096884" w14:textId="52A0DA15" w:rsidR="00945E91" w:rsidRPr="00945E91" w:rsidRDefault="00945E91" w:rsidP="00874A98">
            <w:pPr>
              <w:keepNext w:val="0"/>
              <w:numPr>
                <w:ilvl w:val="0"/>
                <w:numId w:val="134"/>
              </w:numPr>
              <w:tabs>
                <w:tab w:val="left" w:pos="680"/>
              </w:tabs>
              <w:spacing w:before="0"/>
              <w:rPr>
                <w:rFonts w:eastAsia="Arial"/>
                <w:bCs/>
                <w:color w:val="auto"/>
              </w:rPr>
            </w:pPr>
            <w:r w:rsidRPr="00945E91">
              <w:rPr>
                <w:rFonts w:eastAsia="Arial"/>
                <w:bCs/>
                <w:color w:val="auto"/>
              </w:rPr>
              <w:t>the development would not conflict with the employment function of the estate or area</w:t>
            </w:r>
            <w:r w:rsidR="00AC45CD">
              <w:rPr>
                <w:rFonts w:eastAsia="Arial"/>
                <w:bCs/>
                <w:color w:val="auto"/>
              </w:rPr>
              <w:t>.</w:t>
            </w:r>
          </w:p>
          <w:p w14:paraId="26FB9CE5" w14:textId="77777777" w:rsidR="00945E91" w:rsidRPr="00945E91" w:rsidRDefault="00945E91" w:rsidP="005775C8">
            <w:pPr>
              <w:keepNext w:val="0"/>
              <w:spacing w:before="0"/>
              <w:ind w:left="720"/>
              <w:contextualSpacing/>
              <w:rPr>
                <w:rFonts w:eastAsia="Arial"/>
                <w:bCs/>
                <w:color w:val="auto"/>
              </w:rPr>
            </w:pPr>
          </w:p>
          <w:p w14:paraId="1DBECA4C" w14:textId="7FDB4BD7" w:rsidR="00945E91" w:rsidRPr="00945E91" w:rsidRDefault="00945E91" w:rsidP="00874A98">
            <w:pPr>
              <w:keepNext w:val="0"/>
              <w:numPr>
                <w:ilvl w:val="0"/>
                <w:numId w:val="135"/>
              </w:numPr>
              <w:tabs>
                <w:tab w:val="left" w:pos="709"/>
              </w:tabs>
              <w:spacing w:before="0"/>
              <w:contextualSpacing/>
              <w:rPr>
                <w:rFonts w:eastAsia="Arial"/>
                <w:bCs/>
                <w:color w:val="auto"/>
              </w:rPr>
            </w:pPr>
            <w:r w:rsidRPr="00945E91">
              <w:rPr>
                <w:rFonts w:eastAsia="Arial"/>
                <w:bCs/>
                <w:color w:val="auto"/>
              </w:rPr>
              <w:t>Ancillary uses including workplace nurseries and catering facilities where there is robust justification that it serves the needs of employees on the business park/industrial estate, it does not adversely affect the operations of other industrial uses in the vicinity of  the site and will not result in significant levels of visitor traffic into the business park/estate.</w:t>
            </w:r>
          </w:p>
          <w:p w14:paraId="3B637590" w14:textId="77777777" w:rsidR="00945E91" w:rsidRPr="00945E91" w:rsidRDefault="00945E91" w:rsidP="005775C8">
            <w:pPr>
              <w:keepNext w:val="0"/>
              <w:tabs>
                <w:tab w:val="left" w:pos="709"/>
              </w:tabs>
              <w:spacing w:before="0"/>
              <w:ind w:left="360"/>
              <w:rPr>
                <w:rFonts w:eastAsia="Arial"/>
                <w:bCs/>
                <w:color w:val="auto"/>
              </w:rPr>
            </w:pPr>
          </w:p>
          <w:p w14:paraId="71A1F8BD" w14:textId="77777777" w:rsidR="00945E91" w:rsidRPr="00945E91" w:rsidRDefault="00945E91" w:rsidP="00874A98">
            <w:pPr>
              <w:keepNext w:val="0"/>
              <w:numPr>
                <w:ilvl w:val="0"/>
                <w:numId w:val="132"/>
              </w:numPr>
              <w:tabs>
                <w:tab w:val="left" w:pos="680"/>
                <w:tab w:val="left" w:pos="1133"/>
                <w:tab w:val="left" w:pos="2267"/>
              </w:tabs>
              <w:spacing w:before="0"/>
              <w:ind w:right="284"/>
              <w:rPr>
                <w:rFonts w:eastAsia="Arial"/>
                <w:bCs/>
                <w:color w:val="auto"/>
              </w:rPr>
            </w:pPr>
            <w:r w:rsidRPr="00945E91">
              <w:rPr>
                <w:rFonts w:eastAsia="Arial"/>
                <w:bCs/>
                <w:color w:val="auto"/>
              </w:rPr>
              <w:t>Business start-ups and small scale employment working from home through using part of a dwelling or a building within the curtilage of a dwelling will be supported providing that:</w:t>
            </w:r>
          </w:p>
          <w:p w14:paraId="6DD06C49" w14:textId="77777777" w:rsidR="00945E91" w:rsidRPr="00945E91" w:rsidRDefault="00945E91" w:rsidP="005775C8">
            <w:pPr>
              <w:keepNext w:val="0"/>
              <w:tabs>
                <w:tab w:val="left" w:pos="680"/>
              </w:tabs>
              <w:spacing w:before="0"/>
              <w:rPr>
                <w:rFonts w:eastAsia="Arial"/>
                <w:bCs/>
                <w:color w:val="auto"/>
              </w:rPr>
            </w:pPr>
          </w:p>
          <w:p w14:paraId="6FD70FA6" w14:textId="22F0E2FA" w:rsidR="00945E91" w:rsidRPr="005775C8" w:rsidRDefault="00945E91" w:rsidP="00874A98">
            <w:pPr>
              <w:keepNext w:val="0"/>
              <w:numPr>
                <w:ilvl w:val="0"/>
                <w:numId w:val="133"/>
              </w:numPr>
              <w:tabs>
                <w:tab w:val="left" w:pos="680"/>
              </w:tabs>
              <w:spacing w:before="0"/>
              <w:rPr>
                <w:rFonts w:eastAsia="Arial"/>
                <w:bCs/>
                <w:color w:val="auto"/>
              </w:rPr>
            </w:pPr>
            <w:r w:rsidRPr="00945E91">
              <w:rPr>
                <w:rFonts w:eastAsia="Arial" w:cs="Arial"/>
                <w:bCs/>
                <w:color w:val="auto"/>
                <w:szCs w:val="24"/>
              </w:rPr>
              <w:t>The proposal would not have an unacceptable impact on the amenity of any nearby residential occupiers;</w:t>
            </w:r>
          </w:p>
          <w:p w14:paraId="0E4064BE" w14:textId="77777777" w:rsidR="005775C8" w:rsidRPr="00945E91" w:rsidRDefault="005775C8" w:rsidP="005775C8">
            <w:pPr>
              <w:keepNext w:val="0"/>
              <w:tabs>
                <w:tab w:val="left" w:pos="680"/>
              </w:tabs>
              <w:spacing w:before="0"/>
              <w:ind w:left="720"/>
              <w:rPr>
                <w:rFonts w:eastAsia="Arial"/>
                <w:bCs/>
                <w:color w:val="auto"/>
              </w:rPr>
            </w:pPr>
          </w:p>
          <w:p w14:paraId="28803922" w14:textId="77777777" w:rsidR="00945E91" w:rsidRPr="00945E91" w:rsidRDefault="00945E91" w:rsidP="00874A98">
            <w:pPr>
              <w:keepNext w:val="0"/>
              <w:numPr>
                <w:ilvl w:val="0"/>
                <w:numId w:val="133"/>
              </w:numPr>
              <w:tabs>
                <w:tab w:val="left" w:pos="680"/>
              </w:tabs>
              <w:spacing w:before="0" w:after="160" w:line="252" w:lineRule="auto"/>
              <w:rPr>
                <w:rFonts w:eastAsia="Arial"/>
                <w:bCs/>
                <w:color w:val="auto"/>
              </w:rPr>
            </w:pPr>
            <w:r w:rsidRPr="00945E91">
              <w:rPr>
                <w:rFonts w:eastAsia="Arial" w:cs="Arial"/>
                <w:bCs/>
                <w:color w:val="auto"/>
                <w:szCs w:val="24"/>
              </w:rPr>
              <w:t xml:space="preserve">The direct and indirect effects of the scale of the business activity, including the employment of non-residents at the business, remains incidental to the overall use of the site for residential purposes; </w:t>
            </w:r>
          </w:p>
          <w:p w14:paraId="5A1CA17F" w14:textId="4B8162EA" w:rsidR="00945E91" w:rsidRPr="00945E91" w:rsidRDefault="00945E91" w:rsidP="00874A98">
            <w:pPr>
              <w:keepNext w:val="0"/>
              <w:numPr>
                <w:ilvl w:val="0"/>
                <w:numId w:val="133"/>
              </w:numPr>
              <w:tabs>
                <w:tab w:val="left" w:pos="680"/>
              </w:tabs>
              <w:spacing w:before="0" w:after="160" w:line="252" w:lineRule="auto"/>
              <w:rPr>
                <w:rFonts w:eastAsia="Arial"/>
                <w:bCs/>
                <w:color w:val="auto"/>
              </w:rPr>
            </w:pPr>
            <w:r w:rsidRPr="00945E91">
              <w:rPr>
                <w:rFonts w:eastAsia="Arial" w:cs="Arial"/>
                <w:bCs/>
                <w:color w:val="auto"/>
                <w:szCs w:val="24"/>
              </w:rPr>
              <w:t xml:space="preserve">There </w:t>
            </w:r>
            <w:r w:rsidR="009D1815" w:rsidRPr="00945E91">
              <w:rPr>
                <w:rFonts w:eastAsia="Arial" w:cs="Arial"/>
                <w:bCs/>
                <w:color w:val="auto"/>
                <w:szCs w:val="24"/>
              </w:rPr>
              <w:t>are</w:t>
            </w:r>
            <w:r w:rsidRPr="00945E91">
              <w:rPr>
                <w:rFonts w:eastAsia="Arial" w:cs="Arial"/>
                <w:bCs/>
                <w:color w:val="auto"/>
                <w:szCs w:val="24"/>
              </w:rPr>
              <w:t xml:space="preserve"> no detrimental effects to parking or traffic generation in the area; and</w:t>
            </w:r>
          </w:p>
          <w:p w14:paraId="176C5E4E" w14:textId="77777777" w:rsidR="00945E91" w:rsidRPr="00945E91" w:rsidRDefault="00945E91" w:rsidP="00874A98">
            <w:pPr>
              <w:keepNext w:val="0"/>
              <w:numPr>
                <w:ilvl w:val="0"/>
                <w:numId w:val="133"/>
              </w:numPr>
              <w:tabs>
                <w:tab w:val="left" w:pos="680"/>
              </w:tabs>
              <w:spacing w:before="0" w:after="160" w:line="252" w:lineRule="auto"/>
              <w:rPr>
                <w:rFonts w:eastAsia="Arial"/>
                <w:bCs/>
                <w:color w:val="auto"/>
                <w:sz w:val="20"/>
              </w:rPr>
            </w:pPr>
            <w:r w:rsidRPr="00945E91">
              <w:rPr>
                <w:rFonts w:eastAsia="Arial" w:cs="Arial"/>
                <w:bCs/>
                <w:color w:val="auto"/>
                <w:szCs w:val="24"/>
              </w:rPr>
              <w:t>There are no direct sales from the site to visitors.</w:t>
            </w:r>
          </w:p>
          <w:p w14:paraId="336A8FA8" w14:textId="77777777" w:rsidR="00945E91" w:rsidRPr="00945E91" w:rsidRDefault="00945E91" w:rsidP="005775C8">
            <w:pPr>
              <w:keepNext w:val="0"/>
              <w:tabs>
                <w:tab w:val="left" w:pos="680"/>
              </w:tabs>
              <w:spacing w:before="0"/>
              <w:rPr>
                <w:rFonts w:eastAsia="Arial"/>
                <w:bCs/>
                <w:color w:val="538135"/>
              </w:rPr>
            </w:pPr>
          </w:p>
        </w:tc>
      </w:tr>
      <w:tr w:rsidR="00945E91" w:rsidRPr="00945E91" w14:paraId="32CBB90E" w14:textId="77777777" w:rsidTr="00E40772">
        <w:tc>
          <w:tcPr>
            <w:tcW w:w="1980" w:type="dxa"/>
          </w:tcPr>
          <w:p w14:paraId="57DD94A8" w14:textId="77777777" w:rsidR="00945E91" w:rsidRPr="00F86477" w:rsidRDefault="00945E91" w:rsidP="00F86477">
            <w:pPr>
              <w:keepNext w:val="0"/>
              <w:tabs>
                <w:tab w:val="left" w:pos="680"/>
                <w:tab w:val="left" w:pos="1133"/>
                <w:tab w:val="left" w:pos="2267"/>
              </w:tabs>
              <w:spacing w:before="0"/>
              <w:ind w:right="284"/>
              <w:rPr>
                <w:rFonts w:eastAsia="Arial"/>
                <w:b/>
                <w:color w:val="002060"/>
                <w:szCs w:val="24"/>
              </w:rPr>
            </w:pPr>
            <w:r w:rsidRPr="00F86477">
              <w:rPr>
                <w:rFonts w:eastAsia="Arial"/>
                <w:bCs/>
                <w:color w:val="auto"/>
                <w:sz w:val="20"/>
              </w:rPr>
              <w:t>Evidence base</w:t>
            </w:r>
          </w:p>
        </w:tc>
        <w:tc>
          <w:tcPr>
            <w:tcW w:w="7654" w:type="dxa"/>
            <w:gridSpan w:val="2"/>
          </w:tcPr>
          <w:p w14:paraId="6A9CDC7A" w14:textId="5D150E18" w:rsidR="00945E91" w:rsidRPr="00985BCC" w:rsidRDefault="00945E91" w:rsidP="000032A9">
            <w:pPr>
              <w:keepNext w:val="0"/>
              <w:numPr>
                <w:ilvl w:val="0"/>
                <w:numId w:val="24"/>
              </w:numPr>
              <w:tabs>
                <w:tab w:val="left" w:pos="680"/>
                <w:tab w:val="left" w:pos="1133"/>
                <w:tab w:val="left" w:pos="2267"/>
              </w:tabs>
              <w:spacing w:before="0" w:after="160" w:line="252" w:lineRule="auto"/>
              <w:ind w:right="284"/>
              <w:contextualSpacing/>
              <w:rPr>
                <w:rFonts w:eastAsia="Arial"/>
                <w:bCs/>
                <w:sz w:val="20"/>
              </w:rPr>
            </w:pPr>
            <w:r w:rsidRPr="00985BCC">
              <w:rPr>
                <w:rFonts w:eastAsia="Arial"/>
                <w:bCs/>
                <w:sz w:val="20"/>
              </w:rPr>
              <w:t xml:space="preserve">Background Paper </w:t>
            </w:r>
            <w:r w:rsidR="00A05D94" w:rsidRPr="00985BCC">
              <w:rPr>
                <w:rFonts w:eastAsia="Arial"/>
                <w:bCs/>
                <w:sz w:val="20"/>
              </w:rPr>
              <w:t>No 1:</w:t>
            </w:r>
            <w:r w:rsidRPr="00985BCC">
              <w:rPr>
                <w:rFonts w:eastAsia="Arial"/>
                <w:bCs/>
                <w:sz w:val="20"/>
              </w:rPr>
              <w:t xml:space="preserve"> Spatial Strategy and </w:t>
            </w:r>
            <w:r w:rsidR="005E1157" w:rsidRPr="00985BCC">
              <w:rPr>
                <w:rFonts w:eastAsia="Arial"/>
                <w:bCs/>
                <w:sz w:val="20"/>
              </w:rPr>
              <w:t>Site Selection 2023</w:t>
            </w:r>
            <w:r w:rsidRPr="00985BCC">
              <w:rPr>
                <w:rFonts w:eastAsia="Arial"/>
                <w:bCs/>
                <w:sz w:val="20"/>
              </w:rPr>
              <w:t xml:space="preserve"> Ashfield District Council</w:t>
            </w:r>
          </w:p>
          <w:p w14:paraId="1EC3204B" w14:textId="2EAF1554" w:rsidR="00945E91" w:rsidRPr="00985BCC" w:rsidRDefault="00945E91" w:rsidP="000032A9">
            <w:pPr>
              <w:keepNext w:val="0"/>
              <w:numPr>
                <w:ilvl w:val="0"/>
                <w:numId w:val="24"/>
              </w:numPr>
              <w:tabs>
                <w:tab w:val="left" w:pos="680"/>
                <w:tab w:val="left" w:pos="1133"/>
                <w:tab w:val="left" w:pos="2267"/>
              </w:tabs>
              <w:spacing w:before="0" w:after="160" w:line="252" w:lineRule="auto"/>
              <w:ind w:right="284"/>
              <w:contextualSpacing/>
              <w:rPr>
                <w:rFonts w:eastAsia="Arial"/>
                <w:bCs/>
                <w:sz w:val="20"/>
              </w:rPr>
            </w:pPr>
            <w:r w:rsidRPr="00985BCC">
              <w:rPr>
                <w:rFonts w:eastAsia="Arial"/>
                <w:bCs/>
                <w:sz w:val="20"/>
              </w:rPr>
              <w:t xml:space="preserve">Background Paper </w:t>
            </w:r>
            <w:r w:rsidR="00A05D94" w:rsidRPr="00985BCC">
              <w:rPr>
                <w:rFonts w:eastAsia="Arial"/>
                <w:bCs/>
                <w:sz w:val="20"/>
              </w:rPr>
              <w:t>No 3:</w:t>
            </w:r>
            <w:r w:rsidRPr="00985BCC">
              <w:rPr>
                <w:rFonts w:eastAsia="Arial"/>
                <w:bCs/>
                <w:sz w:val="20"/>
              </w:rPr>
              <w:t xml:space="preserve"> </w:t>
            </w:r>
            <w:r w:rsidR="000032A9" w:rsidRPr="00985BCC">
              <w:rPr>
                <w:rFonts w:eastAsia="Arial"/>
                <w:bCs/>
                <w:sz w:val="20"/>
              </w:rPr>
              <w:t xml:space="preserve">Economy &amp; </w:t>
            </w:r>
            <w:r w:rsidRPr="00985BCC">
              <w:rPr>
                <w:rFonts w:eastAsia="Arial"/>
                <w:bCs/>
                <w:sz w:val="20"/>
              </w:rPr>
              <w:t>Employment Land 202</w:t>
            </w:r>
            <w:r w:rsidR="007641C1" w:rsidRPr="00985BCC">
              <w:rPr>
                <w:rFonts w:eastAsia="Arial"/>
                <w:bCs/>
                <w:sz w:val="20"/>
              </w:rPr>
              <w:t>3</w:t>
            </w:r>
            <w:r w:rsidRPr="00985BCC">
              <w:rPr>
                <w:rFonts w:eastAsia="Arial"/>
                <w:bCs/>
                <w:sz w:val="20"/>
              </w:rPr>
              <w:t>.  Ashfield District Council.</w:t>
            </w:r>
          </w:p>
          <w:p w14:paraId="3EBAAD45" w14:textId="77777777" w:rsidR="00945E91" w:rsidRPr="00985BCC" w:rsidRDefault="00945E91" w:rsidP="000032A9">
            <w:pPr>
              <w:keepNext w:val="0"/>
              <w:numPr>
                <w:ilvl w:val="0"/>
                <w:numId w:val="24"/>
              </w:numPr>
              <w:tabs>
                <w:tab w:val="left" w:pos="680"/>
                <w:tab w:val="left" w:pos="1133"/>
                <w:tab w:val="left" w:pos="2267"/>
              </w:tabs>
              <w:spacing w:before="0" w:after="160" w:line="252" w:lineRule="auto"/>
              <w:ind w:right="284"/>
              <w:contextualSpacing/>
              <w:rPr>
                <w:rFonts w:eastAsia="Arial"/>
                <w:bCs/>
                <w:sz w:val="20"/>
              </w:rPr>
            </w:pPr>
            <w:r w:rsidRPr="00985BCC">
              <w:rPr>
                <w:rFonts w:eastAsia="Arial"/>
                <w:bCs/>
                <w:sz w:val="20"/>
              </w:rPr>
              <w:t>The Nottingham Core HMA and Nottingham Outer HMA Employment Land Needs Study, 2021.  Lichfield.</w:t>
            </w:r>
          </w:p>
          <w:p w14:paraId="1A96099C" w14:textId="757596E6" w:rsidR="00945E91" w:rsidRPr="00985BCC" w:rsidRDefault="00945E91" w:rsidP="000032A9">
            <w:pPr>
              <w:keepNext w:val="0"/>
              <w:numPr>
                <w:ilvl w:val="0"/>
                <w:numId w:val="24"/>
              </w:numPr>
              <w:tabs>
                <w:tab w:val="left" w:pos="680"/>
                <w:tab w:val="left" w:pos="1133"/>
                <w:tab w:val="left" w:pos="2267"/>
              </w:tabs>
              <w:spacing w:before="0" w:after="160" w:line="252" w:lineRule="auto"/>
              <w:ind w:right="284"/>
              <w:contextualSpacing/>
              <w:rPr>
                <w:rFonts w:eastAsia="Arial"/>
                <w:bCs/>
                <w:sz w:val="20"/>
              </w:rPr>
            </w:pPr>
            <w:r w:rsidRPr="00985BCC">
              <w:rPr>
                <w:rFonts w:eastAsia="Arial"/>
                <w:bCs/>
                <w:sz w:val="20"/>
              </w:rPr>
              <w:t>Strategic Housing and Employment Land Availability Assessment 2021</w:t>
            </w:r>
            <w:r w:rsidR="00AE785A">
              <w:rPr>
                <w:rFonts w:eastAsia="Arial"/>
                <w:bCs/>
                <w:sz w:val="20"/>
              </w:rPr>
              <w:t xml:space="preserve"> - 2023</w:t>
            </w:r>
            <w:r w:rsidRPr="00985BCC">
              <w:rPr>
                <w:rFonts w:eastAsia="Arial"/>
                <w:bCs/>
                <w:sz w:val="20"/>
              </w:rPr>
              <w:t>. Ashfield District Council.</w:t>
            </w:r>
          </w:p>
          <w:p w14:paraId="08FB5B79" w14:textId="77777777" w:rsidR="00945E91" w:rsidRPr="00985BCC" w:rsidRDefault="00945E91" w:rsidP="000032A9">
            <w:pPr>
              <w:keepNext w:val="0"/>
              <w:numPr>
                <w:ilvl w:val="0"/>
                <w:numId w:val="24"/>
              </w:numPr>
              <w:tabs>
                <w:tab w:val="left" w:pos="680"/>
                <w:tab w:val="left" w:pos="1133"/>
                <w:tab w:val="left" w:pos="2267"/>
              </w:tabs>
              <w:spacing w:before="0" w:after="160" w:line="252" w:lineRule="auto"/>
              <w:ind w:right="284"/>
              <w:contextualSpacing/>
              <w:rPr>
                <w:rFonts w:eastAsia="Arial"/>
                <w:bCs/>
                <w:sz w:val="20"/>
              </w:rPr>
            </w:pPr>
            <w:r w:rsidRPr="00985BCC">
              <w:rPr>
                <w:rFonts w:eastAsia="Arial"/>
                <w:bCs/>
                <w:sz w:val="20"/>
              </w:rPr>
              <w:t>Ashfield and Mansfield - A Plan for Growth 2016 (Joint Economic Masterplan Update). Ashfield District Council &amp; Mansfield District Council.</w:t>
            </w:r>
          </w:p>
          <w:p w14:paraId="63E2C188" w14:textId="77777777" w:rsidR="007641C1" w:rsidRPr="00985BCC" w:rsidRDefault="007641C1" w:rsidP="00874A98">
            <w:pPr>
              <w:keepNext w:val="0"/>
              <w:numPr>
                <w:ilvl w:val="0"/>
                <w:numId w:val="97"/>
              </w:numPr>
              <w:tabs>
                <w:tab w:val="left" w:pos="680"/>
                <w:tab w:val="left" w:pos="1133"/>
                <w:tab w:val="left" w:pos="2267"/>
              </w:tabs>
              <w:spacing w:before="0" w:after="160" w:line="252" w:lineRule="auto"/>
              <w:ind w:left="357" w:right="284" w:hanging="357"/>
              <w:contextualSpacing/>
              <w:rPr>
                <w:rFonts w:eastAsia="Arial" w:cs="Arial"/>
                <w:bCs/>
                <w:sz w:val="20"/>
                <w:lang w:eastAsia="en-US"/>
              </w:rPr>
            </w:pPr>
            <w:r w:rsidRPr="00985BCC">
              <w:rPr>
                <w:rFonts w:eastAsia="Arial" w:cs="Arial"/>
                <w:bCs/>
                <w:sz w:val="20"/>
                <w:szCs w:val="22"/>
                <w:lang w:eastAsia="en-US"/>
              </w:rPr>
              <w:t>The Nottingham Core HMA and Nottingham Outer HMA Logistics Study 2022, Iceni.</w:t>
            </w:r>
          </w:p>
          <w:p w14:paraId="0D276C41" w14:textId="77777777" w:rsidR="007641C1" w:rsidRPr="00985BCC" w:rsidRDefault="007641C1" w:rsidP="00874A98">
            <w:pPr>
              <w:keepNext w:val="0"/>
              <w:numPr>
                <w:ilvl w:val="0"/>
                <w:numId w:val="97"/>
              </w:numPr>
              <w:tabs>
                <w:tab w:val="left" w:pos="680"/>
                <w:tab w:val="left" w:pos="1133"/>
                <w:tab w:val="left" w:pos="2267"/>
              </w:tabs>
              <w:spacing w:before="0" w:after="160" w:line="252" w:lineRule="auto"/>
              <w:ind w:left="357" w:right="284" w:hanging="357"/>
              <w:contextualSpacing/>
              <w:rPr>
                <w:rFonts w:eastAsia="Arial" w:cs="Arial"/>
                <w:bCs/>
                <w:sz w:val="20"/>
                <w:lang w:eastAsia="en-US"/>
              </w:rPr>
            </w:pPr>
            <w:r w:rsidRPr="00985BCC">
              <w:rPr>
                <w:rFonts w:eastAsia="Arial" w:cs="Arial"/>
                <w:bCs/>
                <w:sz w:val="20"/>
                <w:szCs w:val="22"/>
                <w:lang w:eastAsia="en-US"/>
              </w:rPr>
              <w:t>Greater Nottingham Logistics Background paper 2023.  Ashfield DC, Broxtowe BC, Erewash BC, Gedling BC, Nottingham City, &amp; Rushcliffe BC.</w:t>
            </w:r>
          </w:p>
          <w:p w14:paraId="2DF0F478" w14:textId="60C6AD90" w:rsidR="00945E91" w:rsidRPr="00985BCC" w:rsidRDefault="00945E91" w:rsidP="000032A9">
            <w:pPr>
              <w:keepNext w:val="0"/>
              <w:numPr>
                <w:ilvl w:val="0"/>
                <w:numId w:val="24"/>
              </w:numPr>
              <w:tabs>
                <w:tab w:val="left" w:pos="680"/>
                <w:tab w:val="left" w:pos="1133"/>
                <w:tab w:val="left" w:pos="2267"/>
              </w:tabs>
              <w:spacing w:before="0" w:after="160" w:line="252" w:lineRule="auto"/>
              <w:ind w:right="284"/>
              <w:contextualSpacing/>
              <w:rPr>
                <w:rFonts w:eastAsia="Arial"/>
                <w:bCs/>
                <w:sz w:val="20"/>
              </w:rPr>
            </w:pPr>
            <w:r w:rsidRPr="00985BCC">
              <w:rPr>
                <w:rFonts w:eastAsia="Arial"/>
                <w:bCs/>
                <w:sz w:val="20"/>
              </w:rPr>
              <w:t>Maid Marian Rail Extension Economic Impact Analysis 2020. Lichfields.</w:t>
            </w:r>
          </w:p>
          <w:p w14:paraId="0FDF6C53" w14:textId="77777777" w:rsidR="00945E91" w:rsidRPr="00985BCC" w:rsidRDefault="00945E91" w:rsidP="000032A9">
            <w:pPr>
              <w:keepNext w:val="0"/>
              <w:numPr>
                <w:ilvl w:val="0"/>
                <w:numId w:val="24"/>
              </w:numPr>
              <w:tabs>
                <w:tab w:val="left" w:pos="680"/>
                <w:tab w:val="left" w:pos="1133"/>
                <w:tab w:val="left" w:pos="2267"/>
              </w:tabs>
              <w:spacing w:before="0" w:after="160" w:line="252" w:lineRule="auto"/>
              <w:ind w:right="284"/>
              <w:contextualSpacing/>
              <w:rPr>
                <w:rFonts w:eastAsia="Arial"/>
                <w:bCs/>
                <w:sz w:val="20"/>
              </w:rPr>
            </w:pPr>
            <w:r w:rsidRPr="00985BCC">
              <w:rPr>
                <w:rFonts w:eastAsia="Arial"/>
                <w:bCs/>
                <w:sz w:val="20"/>
              </w:rPr>
              <w:t>Maid Marian Rail Extension - Ashfield Masterplan Report 2020.  Ashfield District Council and Mansfield District Council.</w:t>
            </w:r>
          </w:p>
          <w:p w14:paraId="094B5FA2" w14:textId="77777777" w:rsidR="00945E91" w:rsidRPr="00985BCC" w:rsidRDefault="00945E91" w:rsidP="000032A9">
            <w:pPr>
              <w:keepNext w:val="0"/>
              <w:numPr>
                <w:ilvl w:val="0"/>
                <w:numId w:val="24"/>
              </w:numPr>
              <w:tabs>
                <w:tab w:val="left" w:pos="680"/>
                <w:tab w:val="left" w:pos="1133"/>
                <w:tab w:val="left" w:pos="2267"/>
              </w:tabs>
              <w:spacing w:before="0" w:after="160" w:line="252" w:lineRule="auto"/>
              <w:ind w:right="284"/>
              <w:contextualSpacing/>
              <w:rPr>
                <w:rFonts w:eastAsia="Arial"/>
                <w:bCs/>
                <w:sz w:val="20"/>
              </w:rPr>
            </w:pPr>
            <w:r w:rsidRPr="00985BCC">
              <w:rPr>
                <w:rFonts w:eastAsia="Arial"/>
                <w:bCs/>
                <w:sz w:val="20"/>
              </w:rPr>
              <w:t>D2N2 – the Spark in the UK’s Growth Engine Strategic Economic Plan 2019-2030. D2N2 Local Enterprise Partnership.</w:t>
            </w:r>
          </w:p>
          <w:p w14:paraId="2BA07529" w14:textId="77777777" w:rsidR="00945E91" w:rsidRPr="00985BCC" w:rsidRDefault="00945E91" w:rsidP="000032A9">
            <w:pPr>
              <w:keepNext w:val="0"/>
              <w:numPr>
                <w:ilvl w:val="0"/>
                <w:numId w:val="24"/>
              </w:numPr>
              <w:tabs>
                <w:tab w:val="left" w:pos="680"/>
                <w:tab w:val="left" w:pos="1133"/>
                <w:tab w:val="left" w:pos="2267"/>
              </w:tabs>
              <w:spacing w:before="0" w:after="160" w:line="252" w:lineRule="auto"/>
              <w:ind w:right="284"/>
              <w:contextualSpacing/>
              <w:rPr>
                <w:rFonts w:eastAsia="Arial"/>
                <w:bCs/>
                <w:sz w:val="20"/>
              </w:rPr>
            </w:pPr>
            <w:r w:rsidRPr="00985BCC">
              <w:rPr>
                <w:rFonts w:eastAsia="Arial"/>
                <w:bCs/>
                <w:sz w:val="20"/>
              </w:rPr>
              <w:t>The D2N2 draft Local Industrial Strategy, March 2020. D2N2 Local Enterprise Partnership.</w:t>
            </w:r>
          </w:p>
          <w:p w14:paraId="45BB7F49" w14:textId="77777777" w:rsidR="00945E91" w:rsidRPr="00985BCC" w:rsidRDefault="00945E91" w:rsidP="000032A9">
            <w:pPr>
              <w:keepNext w:val="0"/>
              <w:numPr>
                <w:ilvl w:val="0"/>
                <w:numId w:val="24"/>
              </w:numPr>
              <w:tabs>
                <w:tab w:val="left" w:pos="680"/>
                <w:tab w:val="left" w:pos="1133"/>
                <w:tab w:val="left" w:pos="2267"/>
              </w:tabs>
              <w:spacing w:before="0" w:after="160" w:line="252" w:lineRule="auto"/>
              <w:ind w:right="284"/>
              <w:contextualSpacing/>
              <w:rPr>
                <w:rFonts w:eastAsia="Arial"/>
                <w:bCs/>
                <w:sz w:val="20"/>
              </w:rPr>
            </w:pPr>
            <w:r w:rsidRPr="00985BCC">
              <w:rPr>
                <w:rFonts w:eastAsia="Arial"/>
                <w:bCs/>
                <w:sz w:val="20"/>
              </w:rPr>
              <w:t>D2N2 Local Industrial Strategy Evidence Base - D2N2 Local Enterprise Partnership.</w:t>
            </w:r>
          </w:p>
          <w:p w14:paraId="450EE1BF" w14:textId="77777777" w:rsidR="00945E91" w:rsidRPr="00985BCC" w:rsidRDefault="00945E91" w:rsidP="000032A9">
            <w:pPr>
              <w:keepNext w:val="0"/>
              <w:numPr>
                <w:ilvl w:val="0"/>
                <w:numId w:val="24"/>
              </w:numPr>
              <w:tabs>
                <w:tab w:val="left" w:pos="680"/>
                <w:tab w:val="left" w:pos="1133"/>
                <w:tab w:val="left" w:pos="2267"/>
              </w:tabs>
              <w:spacing w:before="0" w:after="160" w:line="252" w:lineRule="auto"/>
              <w:ind w:right="284"/>
              <w:contextualSpacing/>
              <w:rPr>
                <w:rFonts w:eastAsia="Arial"/>
                <w:bCs/>
                <w:sz w:val="20"/>
              </w:rPr>
            </w:pPr>
            <w:r w:rsidRPr="00985BCC">
              <w:rPr>
                <w:rFonts w:eastAsia="Arial"/>
                <w:bCs/>
                <w:sz w:val="20"/>
              </w:rPr>
              <w:t>Employment Land and Monitoring Report 2020. Ashfield District Council.</w:t>
            </w:r>
          </w:p>
          <w:p w14:paraId="66F72823" w14:textId="35AAFFCA" w:rsidR="00945E91" w:rsidRPr="00F86477" w:rsidRDefault="007641C1" w:rsidP="000032A9">
            <w:pPr>
              <w:keepNext w:val="0"/>
              <w:numPr>
                <w:ilvl w:val="0"/>
                <w:numId w:val="24"/>
              </w:numPr>
              <w:tabs>
                <w:tab w:val="left" w:pos="680"/>
                <w:tab w:val="left" w:pos="1133"/>
                <w:tab w:val="left" w:pos="2267"/>
              </w:tabs>
              <w:spacing w:before="0" w:after="160" w:line="252" w:lineRule="auto"/>
              <w:ind w:right="284"/>
              <w:contextualSpacing/>
              <w:rPr>
                <w:rFonts w:eastAsia="Arial"/>
                <w:bCs/>
                <w:color w:val="auto"/>
                <w:sz w:val="20"/>
              </w:rPr>
            </w:pPr>
            <w:r w:rsidRPr="00985BCC">
              <w:rPr>
                <w:rFonts w:eastAsia="Arial"/>
                <w:bCs/>
                <w:sz w:val="20"/>
              </w:rPr>
              <w:t>Sustainability Appraisal 2023. WSP UK Limited.</w:t>
            </w:r>
          </w:p>
        </w:tc>
      </w:tr>
      <w:tr w:rsidR="00945E91" w:rsidRPr="00945E91" w14:paraId="44825D1D" w14:textId="77777777" w:rsidTr="00E40772">
        <w:tc>
          <w:tcPr>
            <w:tcW w:w="1980" w:type="dxa"/>
          </w:tcPr>
          <w:p w14:paraId="4C872EF8" w14:textId="77777777" w:rsidR="00945E91" w:rsidRPr="00F86477" w:rsidRDefault="00945E91" w:rsidP="00F86477">
            <w:pPr>
              <w:keepNext w:val="0"/>
              <w:tabs>
                <w:tab w:val="left" w:pos="680"/>
                <w:tab w:val="left" w:pos="1133"/>
                <w:tab w:val="left" w:pos="2267"/>
              </w:tabs>
              <w:spacing w:before="0"/>
              <w:ind w:right="284"/>
              <w:rPr>
                <w:rFonts w:eastAsia="Arial"/>
                <w:b/>
                <w:color w:val="538135"/>
                <w:sz w:val="22"/>
                <w:szCs w:val="22"/>
              </w:rPr>
            </w:pPr>
            <w:r w:rsidRPr="00F86477">
              <w:rPr>
                <w:rFonts w:eastAsia="Arial"/>
                <w:bCs/>
                <w:color w:val="auto"/>
                <w:sz w:val="20"/>
              </w:rPr>
              <w:t>National Planning Policy and Guidance</w:t>
            </w:r>
          </w:p>
        </w:tc>
        <w:tc>
          <w:tcPr>
            <w:tcW w:w="7654" w:type="dxa"/>
            <w:gridSpan w:val="2"/>
          </w:tcPr>
          <w:p w14:paraId="7921B49C" w14:textId="1EC0DB91" w:rsidR="00945E91" w:rsidRPr="00F86477" w:rsidRDefault="00945E91" w:rsidP="000032A9">
            <w:pPr>
              <w:keepNext w:val="0"/>
              <w:numPr>
                <w:ilvl w:val="0"/>
                <w:numId w:val="25"/>
              </w:numPr>
              <w:spacing w:before="0" w:after="160" w:line="252" w:lineRule="auto"/>
              <w:contextualSpacing/>
              <w:rPr>
                <w:rFonts w:cs="Arial"/>
                <w:bCs/>
                <w:color w:val="auto"/>
                <w:sz w:val="20"/>
                <w:u w:val="single"/>
              </w:rPr>
            </w:pPr>
            <w:r w:rsidRPr="00F86477">
              <w:rPr>
                <w:rFonts w:eastAsia="Arial"/>
                <w:bCs/>
                <w:color w:val="auto"/>
                <w:sz w:val="20"/>
              </w:rPr>
              <w:t>NPPF 202</w:t>
            </w:r>
            <w:r w:rsidR="004173E0">
              <w:rPr>
                <w:rFonts w:eastAsia="Arial"/>
                <w:bCs/>
                <w:color w:val="auto"/>
                <w:sz w:val="20"/>
              </w:rPr>
              <w:t>3</w:t>
            </w:r>
            <w:r w:rsidRPr="00F86477">
              <w:rPr>
                <w:rFonts w:eastAsia="Arial"/>
                <w:bCs/>
                <w:color w:val="auto"/>
                <w:sz w:val="20"/>
              </w:rPr>
              <w:t>, Part 2: Achieving sustainable development.</w:t>
            </w:r>
          </w:p>
          <w:p w14:paraId="1D1AC0AE" w14:textId="024DCCF4" w:rsidR="00945E91" w:rsidRPr="00F86477" w:rsidRDefault="00945E91" w:rsidP="000032A9">
            <w:pPr>
              <w:keepNext w:val="0"/>
              <w:numPr>
                <w:ilvl w:val="0"/>
                <w:numId w:val="25"/>
              </w:numPr>
              <w:tabs>
                <w:tab w:val="left" w:pos="680"/>
                <w:tab w:val="left" w:pos="1133"/>
                <w:tab w:val="left" w:pos="2267"/>
              </w:tabs>
              <w:spacing w:before="0" w:after="160" w:line="252" w:lineRule="auto"/>
              <w:ind w:right="284"/>
              <w:contextualSpacing/>
              <w:rPr>
                <w:rFonts w:eastAsia="Arial"/>
                <w:bCs/>
                <w:color w:val="auto"/>
                <w:sz w:val="20"/>
              </w:rPr>
            </w:pPr>
            <w:r w:rsidRPr="00F86477">
              <w:rPr>
                <w:rFonts w:eastAsia="Arial"/>
                <w:bCs/>
                <w:color w:val="auto"/>
                <w:sz w:val="20"/>
              </w:rPr>
              <w:t>NPPF 202</w:t>
            </w:r>
            <w:r w:rsidR="004173E0">
              <w:rPr>
                <w:rFonts w:eastAsia="Arial"/>
                <w:bCs/>
                <w:color w:val="auto"/>
                <w:sz w:val="20"/>
              </w:rPr>
              <w:t>3</w:t>
            </w:r>
            <w:r w:rsidRPr="00F86477">
              <w:rPr>
                <w:rFonts w:eastAsia="Arial"/>
                <w:bCs/>
                <w:color w:val="auto"/>
                <w:sz w:val="20"/>
              </w:rPr>
              <w:t xml:space="preserve">, Part 6: </w:t>
            </w:r>
            <w:r w:rsidRPr="00F86477">
              <w:rPr>
                <w:rFonts w:eastAsia="Calibri"/>
                <w:bCs/>
                <w:color w:val="auto"/>
                <w:sz w:val="20"/>
                <w:lang w:eastAsia="en-US"/>
              </w:rPr>
              <w:t>Building a strong, competitive economy.</w:t>
            </w:r>
          </w:p>
          <w:p w14:paraId="265E9E5E" w14:textId="3BF470C6" w:rsidR="00945E91" w:rsidRPr="00F86477" w:rsidRDefault="00945E91" w:rsidP="000032A9">
            <w:pPr>
              <w:keepNext w:val="0"/>
              <w:numPr>
                <w:ilvl w:val="0"/>
                <w:numId w:val="25"/>
              </w:numPr>
              <w:spacing w:before="0" w:after="160" w:line="252" w:lineRule="auto"/>
              <w:contextualSpacing/>
              <w:rPr>
                <w:rFonts w:cs="Arial"/>
                <w:bCs/>
                <w:color w:val="auto"/>
                <w:sz w:val="20"/>
                <w:u w:val="single"/>
              </w:rPr>
            </w:pPr>
            <w:r w:rsidRPr="00F86477">
              <w:rPr>
                <w:rFonts w:eastAsia="Arial"/>
                <w:bCs/>
                <w:color w:val="auto"/>
                <w:sz w:val="20"/>
              </w:rPr>
              <w:t>NPPF 202</w:t>
            </w:r>
            <w:r w:rsidR="004173E0">
              <w:rPr>
                <w:rFonts w:eastAsia="Arial"/>
                <w:bCs/>
                <w:color w:val="auto"/>
                <w:sz w:val="20"/>
              </w:rPr>
              <w:t>3</w:t>
            </w:r>
            <w:r w:rsidRPr="00F86477">
              <w:rPr>
                <w:rFonts w:eastAsia="Arial"/>
                <w:bCs/>
                <w:color w:val="auto"/>
                <w:sz w:val="20"/>
              </w:rPr>
              <w:t xml:space="preserve"> Part 11: Making effective use of land.</w:t>
            </w:r>
          </w:p>
          <w:p w14:paraId="16EE36BF" w14:textId="3EB43C3D" w:rsidR="00945E91" w:rsidRPr="00985BCC" w:rsidRDefault="00945E91" w:rsidP="000032A9">
            <w:pPr>
              <w:keepNext w:val="0"/>
              <w:numPr>
                <w:ilvl w:val="0"/>
                <w:numId w:val="25"/>
              </w:numPr>
              <w:spacing w:before="0" w:after="160" w:line="252" w:lineRule="auto"/>
              <w:contextualSpacing/>
              <w:rPr>
                <w:rFonts w:eastAsia="Calibri"/>
                <w:bCs/>
                <w:sz w:val="20"/>
                <w:lang w:eastAsia="en-US"/>
              </w:rPr>
            </w:pPr>
            <w:r w:rsidRPr="00F86477">
              <w:rPr>
                <w:rFonts w:eastAsia="Calibri"/>
                <w:bCs/>
                <w:color w:val="auto"/>
                <w:sz w:val="20"/>
                <w:lang w:eastAsia="en-US"/>
              </w:rPr>
              <w:t xml:space="preserve">Planning Practice Guidance: Housing and economic land availability assessment as </w:t>
            </w:r>
            <w:r w:rsidR="009D1815" w:rsidRPr="00985BCC">
              <w:rPr>
                <w:rFonts w:eastAsia="Calibri"/>
                <w:bCs/>
                <w:sz w:val="20"/>
                <w:lang w:eastAsia="en-US"/>
              </w:rPr>
              <w:t>of</w:t>
            </w:r>
            <w:r w:rsidRPr="00985BCC">
              <w:rPr>
                <w:rFonts w:eastAsia="Calibri"/>
                <w:bCs/>
                <w:sz w:val="20"/>
                <w:lang w:eastAsia="en-US"/>
              </w:rPr>
              <w:t xml:space="preserve"> </w:t>
            </w:r>
            <w:r w:rsidR="007641C1" w:rsidRPr="00985BCC">
              <w:rPr>
                <w:rFonts w:eastAsia="Calibri"/>
                <w:bCs/>
                <w:sz w:val="20"/>
                <w:lang w:eastAsia="en-US"/>
              </w:rPr>
              <w:t>July 2019</w:t>
            </w:r>
            <w:r w:rsidRPr="00985BCC">
              <w:rPr>
                <w:rFonts w:eastAsia="Calibri"/>
                <w:bCs/>
                <w:sz w:val="20"/>
                <w:lang w:eastAsia="en-US"/>
              </w:rPr>
              <w:t>.</w:t>
            </w:r>
          </w:p>
          <w:p w14:paraId="4BB6F283" w14:textId="0B02AD0D" w:rsidR="00945E91" w:rsidRPr="00F86477" w:rsidRDefault="00945E91" w:rsidP="000032A9">
            <w:pPr>
              <w:keepNext w:val="0"/>
              <w:numPr>
                <w:ilvl w:val="0"/>
                <w:numId w:val="25"/>
              </w:numPr>
              <w:spacing w:before="0" w:after="160" w:line="252" w:lineRule="auto"/>
              <w:contextualSpacing/>
              <w:rPr>
                <w:rFonts w:eastAsia="Calibri"/>
                <w:bCs/>
                <w:color w:val="auto"/>
                <w:sz w:val="20"/>
                <w:lang w:eastAsia="en-US"/>
              </w:rPr>
            </w:pPr>
            <w:r w:rsidRPr="00985BCC">
              <w:rPr>
                <w:rFonts w:eastAsia="Calibri"/>
                <w:bCs/>
                <w:sz w:val="20"/>
                <w:lang w:eastAsia="en-US"/>
              </w:rPr>
              <w:t xml:space="preserve">Planning Practice Guidance: Housing and economic needs assessment as </w:t>
            </w:r>
            <w:r w:rsidR="009D1815" w:rsidRPr="00985BCC">
              <w:rPr>
                <w:rFonts w:eastAsia="Calibri"/>
                <w:bCs/>
                <w:sz w:val="20"/>
                <w:lang w:eastAsia="en-US"/>
              </w:rPr>
              <w:t>of</w:t>
            </w:r>
            <w:r w:rsidR="007641C1" w:rsidRPr="00985BCC">
              <w:rPr>
                <w:rFonts w:eastAsia="Calibri"/>
                <w:bCs/>
                <w:sz w:val="20"/>
                <w:lang w:eastAsia="en-US"/>
              </w:rPr>
              <w:t xml:space="preserve"> July 2019</w:t>
            </w:r>
            <w:r w:rsidRPr="00985BCC">
              <w:rPr>
                <w:rFonts w:eastAsia="Calibri"/>
                <w:bCs/>
                <w:sz w:val="20"/>
                <w:lang w:eastAsia="en-US"/>
              </w:rPr>
              <w:t>.</w:t>
            </w:r>
          </w:p>
        </w:tc>
      </w:tr>
    </w:tbl>
    <w:p w14:paraId="583AECFD" w14:textId="77777777" w:rsidR="00945E91" w:rsidRPr="00945E91" w:rsidRDefault="00945E91" w:rsidP="00945E91">
      <w:pPr>
        <w:keepNext w:val="0"/>
        <w:tabs>
          <w:tab w:val="left" w:pos="680"/>
          <w:tab w:val="left" w:pos="1133"/>
          <w:tab w:val="left" w:pos="2267"/>
        </w:tabs>
        <w:spacing w:before="0"/>
        <w:ind w:right="284"/>
        <w:rPr>
          <w:rFonts w:eastAsia="Arial"/>
          <w:b/>
          <w:color w:val="002060"/>
        </w:rPr>
      </w:pPr>
    </w:p>
    <w:p w14:paraId="67A27C60" w14:textId="77777777" w:rsidR="00945E91" w:rsidRPr="00945E91" w:rsidRDefault="00945E91" w:rsidP="00945E91">
      <w:pPr>
        <w:keepNext w:val="0"/>
        <w:spacing w:before="0"/>
        <w:rPr>
          <w:rFonts w:eastAsia="Arial" w:cs="Arial"/>
          <w:color w:val="auto"/>
        </w:rPr>
      </w:pPr>
    </w:p>
    <w:p w14:paraId="1BE2C8BC" w14:textId="1AF96CBF" w:rsidR="00945E91" w:rsidRDefault="00945E91" w:rsidP="00D01157">
      <w:pPr>
        <w:keepNext w:val="0"/>
        <w:numPr>
          <w:ilvl w:val="1"/>
          <w:numId w:val="28"/>
        </w:numPr>
        <w:tabs>
          <w:tab w:val="clear" w:pos="525"/>
        </w:tabs>
        <w:spacing w:before="0"/>
        <w:ind w:left="709" w:hanging="709"/>
        <w:rPr>
          <w:rFonts w:cs="Arial"/>
          <w:color w:val="auto"/>
          <w:szCs w:val="24"/>
          <w:lang w:eastAsia="en-US"/>
        </w:rPr>
      </w:pPr>
      <w:r w:rsidRPr="00945E91">
        <w:rPr>
          <w:rFonts w:cs="Arial"/>
          <w:color w:val="auto"/>
          <w:szCs w:val="24"/>
          <w:lang w:eastAsia="en-US"/>
        </w:rPr>
        <w:t xml:space="preserve">In ensuring business and economic development across the District successfully contributes to delivering sustainable growth and productivity, the Council will seek to direct development to the most sustainable and appropriate location for the given uses. These locations will include town centres for appropriate office development, Key Employment Areas and other existing employment sites and buildings. The </w:t>
      </w:r>
      <w:r w:rsidR="007D7A4C">
        <w:rPr>
          <w:rFonts w:cs="Arial"/>
          <w:color w:val="auto"/>
          <w:szCs w:val="24"/>
          <w:lang w:eastAsia="en-US"/>
        </w:rPr>
        <w:t>P</w:t>
      </w:r>
      <w:r w:rsidRPr="00945E91">
        <w:rPr>
          <w:rFonts w:cs="Arial"/>
          <w:color w:val="auto"/>
          <w:szCs w:val="24"/>
          <w:lang w:eastAsia="en-US"/>
        </w:rPr>
        <w:t>olicy also recognises the benefits of home working, placing an emphasis on the ability to work or start new business from home.</w:t>
      </w:r>
    </w:p>
    <w:p w14:paraId="1692148F" w14:textId="77777777" w:rsidR="00945E91" w:rsidRDefault="00945E91" w:rsidP="00945E91">
      <w:pPr>
        <w:keepNext w:val="0"/>
        <w:spacing w:before="0"/>
        <w:ind w:left="709"/>
        <w:rPr>
          <w:rFonts w:cs="Arial"/>
          <w:color w:val="auto"/>
          <w:szCs w:val="24"/>
          <w:lang w:eastAsia="en-US"/>
        </w:rPr>
      </w:pPr>
    </w:p>
    <w:p w14:paraId="0CA6FC40" w14:textId="77777777" w:rsidR="00945E91" w:rsidRDefault="00945E91" w:rsidP="00D01157">
      <w:pPr>
        <w:keepNext w:val="0"/>
        <w:numPr>
          <w:ilvl w:val="1"/>
          <w:numId w:val="28"/>
        </w:numPr>
        <w:tabs>
          <w:tab w:val="clear" w:pos="525"/>
        </w:tabs>
        <w:spacing w:before="0"/>
        <w:ind w:left="709" w:hanging="709"/>
        <w:rPr>
          <w:rFonts w:cs="Arial"/>
          <w:color w:val="auto"/>
          <w:szCs w:val="24"/>
          <w:lang w:eastAsia="en-US"/>
        </w:rPr>
      </w:pPr>
      <w:r w:rsidRPr="00945E91">
        <w:rPr>
          <w:rFonts w:eastAsia="Arial" w:cs="Arial"/>
          <w:color w:val="auto"/>
        </w:rPr>
        <w:t>The economic implications of a development proposal will be seen in the context of the evidence and objectives of The Ashfield and Mansfield Joint Economic Masterplan, the D2N2 economic strategy other appropriate evidence from economic analysis of the Ashfield and Mansfield or Greater Nottingham economic area (including any subsequent reviews). The economic significance of any application will depend upon:</w:t>
      </w:r>
    </w:p>
    <w:p w14:paraId="6868CC4A" w14:textId="77777777" w:rsidR="00945E91" w:rsidRPr="00945E91" w:rsidRDefault="00945E91" w:rsidP="00945E91">
      <w:pPr>
        <w:keepNext w:val="0"/>
        <w:autoSpaceDE w:val="0"/>
        <w:autoSpaceDN w:val="0"/>
        <w:adjustRightInd w:val="0"/>
        <w:spacing w:before="0"/>
        <w:rPr>
          <w:rFonts w:eastAsia="Arial" w:cs="Arial"/>
          <w:color w:val="auto"/>
          <w:spacing w:val="-1"/>
        </w:rPr>
      </w:pPr>
    </w:p>
    <w:p w14:paraId="17723124" w14:textId="57E3EF7C" w:rsidR="00945E91" w:rsidRPr="00945E91" w:rsidRDefault="00AC45CD" w:rsidP="00874A98">
      <w:pPr>
        <w:keepNext w:val="0"/>
        <w:numPr>
          <w:ilvl w:val="0"/>
          <w:numId w:val="136"/>
        </w:numPr>
        <w:tabs>
          <w:tab w:val="num" w:pos="360"/>
          <w:tab w:val="left" w:pos="680"/>
        </w:tabs>
        <w:suppressAutoHyphens/>
        <w:spacing w:before="0" w:after="113" w:line="252" w:lineRule="auto"/>
        <w:ind w:right="56"/>
        <w:jc w:val="both"/>
        <w:textAlignment w:val="baseline"/>
        <w:rPr>
          <w:rFonts w:eastAsia="Arial"/>
          <w:color w:val="auto"/>
        </w:rPr>
      </w:pPr>
      <w:r>
        <w:rPr>
          <w:rFonts w:eastAsia="Arial"/>
          <w:color w:val="auto"/>
        </w:rPr>
        <w:t>T</w:t>
      </w:r>
      <w:r w:rsidR="00945E91" w:rsidRPr="00945E91">
        <w:rPr>
          <w:rFonts w:eastAsia="Arial"/>
          <w:color w:val="auto"/>
        </w:rPr>
        <w:t>he scale and location of the proposed development; for example, the creation of ten jobs within a small village location can have a significant impact at a local level</w:t>
      </w:r>
      <w:r>
        <w:rPr>
          <w:rFonts w:eastAsia="Arial"/>
          <w:color w:val="auto"/>
        </w:rPr>
        <w:t>.</w:t>
      </w:r>
    </w:p>
    <w:p w14:paraId="12D3E808" w14:textId="3A1B2CDB" w:rsidR="00945E91" w:rsidRDefault="00AC45CD" w:rsidP="00874A98">
      <w:pPr>
        <w:keepNext w:val="0"/>
        <w:numPr>
          <w:ilvl w:val="0"/>
          <w:numId w:val="136"/>
        </w:numPr>
        <w:tabs>
          <w:tab w:val="num" w:pos="360"/>
          <w:tab w:val="left" w:pos="680"/>
        </w:tabs>
        <w:suppressAutoHyphens/>
        <w:spacing w:before="0"/>
        <w:ind w:right="56"/>
        <w:jc w:val="both"/>
        <w:textAlignment w:val="baseline"/>
        <w:rPr>
          <w:rFonts w:eastAsia="Arial"/>
          <w:color w:val="auto"/>
        </w:rPr>
      </w:pPr>
      <w:r>
        <w:rPr>
          <w:rFonts w:eastAsia="Arial"/>
          <w:color w:val="auto"/>
        </w:rPr>
        <w:t>T</w:t>
      </w:r>
      <w:r w:rsidR="00945E91" w:rsidRPr="00945E91">
        <w:rPr>
          <w:rFonts w:eastAsia="Arial"/>
          <w:color w:val="auto"/>
        </w:rPr>
        <w:t xml:space="preserve">he short, medium or long term implications of the proposal, with a greater weight in favour of applications for long term sustainable development. </w:t>
      </w:r>
    </w:p>
    <w:p w14:paraId="6DC23BFC" w14:textId="77777777" w:rsidR="00945E91" w:rsidRPr="00945E91" w:rsidRDefault="00945E91" w:rsidP="00945E91">
      <w:pPr>
        <w:keepNext w:val="0"/>
        <w:tabs>
          <w:tab w:val="left" w:pos="680"/>
        </w:tabs>
        <w:suppressAutoHyphens/>
        <w:spacing w:before="0"/>
        <w:ind w:left="1040" w:right="56"/>
        <w:jc w:val="both"/>
        <w:textAlignment w:val="baseline"/>
        <w:rPr>
          <w:rFonts w:eastAsia="Arial"/>
          <w:color w:val="auto"/>
        </w:rPr>
      </w:pPr>
    </w:p>
    <w:p w14:paraId="61E4B210" w14:textId="1D8FF45E" w:rsidR="00945E91" w:rsidRPr="00945E91" w:rsidRDefault="00945E91" w:rsidP="00D01157">
      <w:pPr>
        <w:keepNext w:val="0"/>
        <w:numPr>
          <w:ilvl w:val="1"/>
          <w:numId w:val="28"/>
        </w:numPr>
        <w:tabs>
          <w:tab w:val="clear" w:pos="525"/>
        </w:tabs>
        <w:spacing w:before="0"/>
        <w:ind w:left="709" w:hanging="709"/>
        <w:rPr>
          <w:rFonts w:cs="Arial"/>
          <w:color w:val="auto"/>
          <w:szCs w:val="24"/>
          <w:lang w:eastAsia="en-US"/>
        </w:rPr>
      </w:pPr>
      <w:r w:rsidRPr="00945E91">
        <w:rPr>
          <w:rFonts w:eastAsia="Arial" w:cs="Arial"/>
          <w:color w:val="auto"/>
        </w:rPr>
        <w:t>Where appropriate, planning applications should be supported by sufficient information about the positive and negative economic implications of the proposal to enable the Council to make an informed assessment of the potential economic impact.</w:t>
      </w:r>
    </w:p>
    <w:p w14:paraId="369E8AD9" w14:textId="77777777" w:rsidR="00945E91" w:rsidRDefault="00945E91" w:rsidP="00945E91">
      <w:pPr>
        <w:keepNext w:val="0"/>
        <w:spacing w:before="0"/>
        <w:ind w:left="709"/>
        <w:rPr>
          <w:rFonts w:cs="Arial"/>
          <w:color w:val="auto"/>
          <w:szCs w:val="24"/>
          <w:lang w:eastAsia="en-US"/>
        </w:rPr>
      </w:pPr>
    </w:p>
    <w:p w14:paraId="5300B64B" w14:textId="44F24536" w:rsidR="00945E91" w:rsidRPr="00945E91" w:rsidRDefault="00945E91" w:rsidP="00AC45CD">
      <w:pPr>
        <w:keepNext w:val="0"/>
        <w:numPr>
          <w:ilvl w:val="1"/>
          <w:numId w:val="28"/>
        </w:numPr>
        <w:tabs>
          <w:tab w:val="clear" w:pos="525"/>
        </w:tabs>
        <w:spacing w:before="0"/>
        <w:ind w:left="709" w:hanging="709"/>
        <w:rPr>
          <w:rFonts w:cs="Arial"/>
          <w:color w:val="auto"/>
          <w:szCs w:val="24"/>
          <w:lang w:eastAsia="en-US"/>
        </w:rPr>
      </w:pPr>
      <w:r w:rsidRPr="00945E91">
        <w:rPr>
          <w:rFonts w:cs="Arial"/>
          <w:color w:val="auto"/>
          <w:szCs w:val="24"/>
        </w:rPr>
        <w:t xml:space="preserve">Specific industrial parks/estates, identified as Key Employment Areas, </w:t>
      </w:r>
      <w:r w:rsidRPr="00945E91">
        <w:rPr>
          <w:rFonts w:eastAsia="Arial" w:cs="Arial"/>
          <w:color w:val="auto"/>
        </w:rPr>
        <w:t xml:space="preserve">are considered as having a key role in providing for opportunities for jobs and new investment derived from office, </w:t>
      </w:r>
      <w:r w:rsidRPr="00945E91">
        <w:rPr>
          <w:rFonts w:eastAsia="Arial"/>
          <w:bCs/>
          <w:color w:val="auto"/>
        </w:rPr>
        <w:t xml:space="preserve">light industrial and research and development, general industrial and storage and distribution uses.  Together with other employment sites, they will continue to play a crucial role in the economy of the area.  </w:t>
      </w:r>
      <w:r w:rsidRPr="00945E91">
        <w:rPr>
          <w:rFonts w:eastAsia="Arial" w:cs="Arial"/>
          <w:color w:val="auto"/>
        </w:rPr>
        <w:t>These sites can also help to support less-skilled jobs for less-skilled workers in and near deprived areas.  The Policy does allow for flexibility in relation to a number of uses:</w:t>
      </w:r>
    </w:p>
    <w:p w14:paraId="7F30DD24" w14:textId="77777777" w:rsidR="00945E91" w:rsidRPr="00945E91" w:rsidRDefault="00945E91" w:rsidP="00AC45CD">
      <w:pPr>
        <w:keepNext w:val="0"/>
        <w:spacing w:before="0"/>
        <w:rPr>
          <w:rFonts w:cs="Arial"/>
          <w:color w:val="auto"/>
          <w:szCs w:val="24"/>
          <w:lang w:eastAsia="en-US"/>
        </w:rPr>
      </w:pPr>
    </w:p>
    <w:p w14:paraId="0DCED840" w14:textId="77777777" w:rsidR="00945E91" w:rsidRPr="00945E91" w:rsidRDefault="00945E91" w:rsidP="00874A98">
      <w:pPr>
        <w:keepNext w:val="0"/>
        <w:numPr>
          <w:ilvl w:val="0"/>
          <w:numId w:val="137"/>
        </w:numPr>
        <w:autoSpaceDE w:val="0"/>
        <w:autoSpaceDN w:val="0"/>
        <w:adjustRightInd w:val="0"/>
        <w:spacing w:before="0" w:after="160" w:line="252" w:lineRule="auto"/>
        <w:ind w:left="1069"/>
        <w:contextualSpacing/>
        <w:rPr>
          <w:rFonts w:eastAsia="Arial" w:cs="Arial"/>
          <w:color w:val="auto"/>
        </w:rPr>
      </w:pPr>
      <w:r w:rsidRPr="00945E91">
        <w:rPr>
          <w:rFonts w:eastAsia="Arial" w:cs="Arial"/>
          <w:color w:val="auto"/>
        </w:rPr>
        <w:t>While it is anticipated that most of the uses on allocated employment sites or Key Employment Areas will fall within</w:t>
      </w:r>
      <w:r w:rsidRPr="00945E91">
        <w:rPr>
          <w:rFonts w:eastAsia="Calibri"/>
          <w:color w:val="auto"/>
          <w:szCs w:val="22"/>
          <w:lang w:eastAsia="en-US"/>
        </w:rPr>
        <w:t xml:space="preserve"> </w:t>
      </w:r>
      <w:r w:rsidRPr="00945E91">
        <w:rPr>
          <w:rFonts w:eastAsia="Arial" w:cs="Arial"/>
          <w:color w:val="auto"/>
        </w:rPr>
        <w:t xml:space="preserve">office, light industrial and research and development, general industrial and storage and distribution uses, the development of a sui generis employment use may be appropriate where they have similar characteristics. Any such uses will need to be considered against the following considerations: </w:t>
      </w:r>
    </w:p>
    <w:p w14:paraId="534AD5D5" w14:textId="77777777" w:rsidR="00945E91" w:rsidRPr="00945E91" w:rsidRDefault="00945E91" w:rsidP="00AC45CD">
      <w:pPr>
        <w:keepNext w:val="0"/>
        <w:autoSpaceDE w:val="0"/>
        <w:autoSpaceDN w:val="0"/>
        <w:adjustRightInd w:val="0"/>
        <w:spacing w:before="0"/>
        <w:ind w:left="1069"/>
        <w:contextualSpacing/>
        <w:rPr>
          <w:rFonts w:eastAsia="Arial" w:cs="Arial"/>
          <w:color w:val="auto"/>
        </w:rPr>
      </w:pPr>
    </w:p>
    <w:p w14:paraId="78FA2A43" w14:textId="77777777" w:rsidR="00945E91" w:rsidRPr="00945E91" w:rsidRDefault="00945E91" w:rsidP="00874A98">
      <w:pPr>
        <w:keepNext w:val="0"/>
        <w:numPr>
          <w:ilvl w:val="0"/>
          <w:numId w:val="138"/>
        </w:numPr>
        <w:autoSpaceDE w:val="0"/>
        <w:autoSpaceDN w:val="0"/>
        <w:adjustRightInd w:val="0"/>
        <w:spacing w:before="0" w:after="160" w:line="252" w:lineRule="auto"/>
        <w:ind w:left="1429"/>
        <w:contextualSpacing/>
        <w:rPr>
          <w:rFonts w:eastAsia="Arial" w:cs="Arial"/>
          <w:color w:val="auto"/>
        </w:rPr>
      </w:pPr>
      <w:r w:rsidRPr="00945E91">
        <w:rPr>
          <w:rFonts w:eastAsia="Arial" w:cs="Arial"/>
          <w:color w:val="auto"/>
        </w:rPr>
        <w:t>economic implications including the impacts on local  employment, deprived areas, physical regeneration of the area and the local and sub regional economy;</w:t>
      </w:r>
    </w:p>
    <w:p w14:paraId="30343D09" w14:textId="77777777" w:rsidR="00945E91" w:rsidRPr="00945E91" w:rsidRDefault="00945E91" w:rsidP="00D17B5C">
      <w:pPr>
        <w:keepNext w:val="0"/>
        <w:numPr>
          <w:ilvl w:val="0"/>
          <w:numId w:val="138"/>
        </w:numPr>
        <w:autoSpaceDE w:val="0"/>
        <w:autoSpaceDN w:val="0"/>
        <w:adjustRightInd w:val="0"/>
        <w:spacing w:before="0" w:after="160" w:line="252" w:lineRule="auto"/>
        <w:ind w:left="1429"/>
        <w:contextualSpacing/>
        <w:rPr>
          <w:rFonts w:eastAsia="Arial" w:cs="Arial"/>
          <w:color w:val="auto"/>
        </w:rPr>
      </w:pPr>
      <w:r w:rsidRPr="00945E91">
        <w:rPr>
          <w:rFonts w:eastAsia="Arial" w:cs="Arial"/>
          <w:color w:val="auto"/>
        </w:rPr>
        <w:t>compatibility with the future operation of an existing or approved economic development use;</w:t>
      </w:r>
    </w:p>
    <w:p w14:paraId="5F163CF0" w14:textId="77777777" w:rsidR="00945E91" w:rsidRPr="00945E91" w:rsidRDefault="00945E91" w:rsidP="00D17B5C">
      <w:pPr>
        <w:keepNext w:val="0"/>
        <w:numPr>
          <w:ilvl w:val="0"/>
          <w:numId w:val="138"/>
        </w:numPr>
        <w:autoSpaceDE w:val="0"/>
        <w:autoSpaceDN w:val="0"/>
        <w:adjustRightInd w:val="0"/>
        <w:spacing w:before="0" w:after="160" w:line="252" w:lineRule="auto"/>
        <w:ind w:left="1429"/>
        <w:contextualSpacing/>
        <w:rPr>
          <w:rFonts w:eastAsia="Arial" w:cs="Arial"/>
          <w:color w:val="auto"/>
        </w:rPr>
      </w:pPr>
      <w:r w:rsidRPr="00945E91">
        <w:rPr>
          <w:rFonts w:eastAsia="Arial" w:cs="Arial"/>
          <w:color w:val="auto"/>
        </w:rPr>
        <w:t>infrastructure requirements associated with the development and their impact on and off the estate;</w:t>
      </w:r>
    </w:p>
    <w:p w14:paraId="732CA5A4" w14:textId="33D6E210" w:rsidR="00945E91" w:rsidRPr="00945E91" w:rsidRDefault="00945E91" w:rsidP="00D17B5C">
      <w:pPr>
        <w:keepNext w:val="0"/>
        <w:numPr>
          <w:ilvl w:val="0"/>
          <w:numId w:val="138"/>
        </w:numPr>
        <w:autoSpaceDE w:val="0"/>
        <w:autoSpaceDN w:val="0"/>
        <w:adjustRightInd w:val="0"/>
        <w:spacing w:before="0" w:after="160" w:line="252" w:lineRule="auto"/>
        <w:ind w:left="1429"/>
        <w:contextualSpacing/>
        <w:rPr>
          <w:rFonts w:eastAsia="Arial" w:cs="Arial"/>
          <w:color w:val="auto"/>
        </w:rPr>
      </w:pPr>
      <w:r w:rsidRPr="00945E91">
        <w:rPr>
          <w:rFonts w:eastAsia="Arial" w:cs="Arial"/>
          <w:color w:val="auto"/>
        </w:rPr>
        <w:t>whether they are town centre uses and the sequential and/or impact test have been applied;</w:t>
      </w:r>
      <w:r w:rsidR="00AC45CD">
        <w:rPr>
          <w:rFonts w:eastAsia="Arial" w:cs="Arial"/>
          <w:color w:val="auto"/>
        </w:rPr>
        <w:t xml:space="preserve"> and</w:t>
      </w:r>
    </w:p>
    <w:p w14:paraId="12DB7858" w14:textId="77777777" w:rsidR="00945E91" w:rsidRPr="00945E91" w:rsidRDefault="00945E91" w:rsidP="00D17B5C">
      <w:pPr>
        <w:keepNext w:val="0"/>
        <w:numPr>
          <w:ilvl w:val="0"/>
          <w:numId w:val="138"/>
        </w:numPr>
        <w:autoSpaceDE w:val="0"/>
        <w:autoSpaceDN w:val="0"/>
        <w:adjustRightInd w:val="0"/>
        <w:spacing w:before="0" w:after="160" w:line="252" w:lineRule="auto"/>
        <w:ind w:left="1429"/>
        <w:contextualSpacing/>
        <w:rPr>
          <w:rFonts w:eastAsia="Arial" w:cs="Arial"/>
          <w:color w:val="auto"/>
        </w:rPr>
      </w:pPr>
      <w:r w:rsidRPr="00945E91">
        <w:rPr>
          <w:rFonts w:eastAsia="Arial" w:cs="Arial"/>
          <w:color w:val="auto"/>
        </w:rPr>
        <w:t>promotion of skills provision and levels.</w:t>
      </w:r>
    </w:p>
    <w:p w14:paraId="08A493E0" w14:textId="77777777" w:rsidR="00945E91" w:rsidRPr="00945E91" w:rsidRDefault="00945E91" w:rsidP="00945E91">
      <w:pPr>
        <w:keepNext w:val="0"/>
        <w:autoSpaceDE w:val="0"/>
        <w:autoSpaceDN w:val="0"/>
        <w:adjustRightInd w:val="0"/>
        <w:spacing w:before="0"/>
        <w:ind w:left="1069"/>
        <w:contextualSpacing/>
        <w:rPr>
          <w:rFonts w:eastAsia="Arial" w:cs="Arial"/>
          <w:color w:val="auto"/>
        </w:rPr>
      </w:pPr>
    </w:p>
    <w:p w14:paraId="2CC9ABED" w14:textId="77777777" w:rsidR="00945E91" w:rsidRPr="00945E91" w:rsidRDefault="00945E91" w:rsidP="00D17B5C">
      <w:pPr>
        <w:keepNext w:val="0"/>
        <w:numPr>
          <w:ilvl w:val="0"/>
          <w:numId w:val="137"/>
        </w:numPr>
        <w:autoSpaceDE w:val="0"/>
        <w:autoSpaceDN w:val="0"/>
        <w:adjustRightInd w:val="0"/>
        <w:spacing w:before="0" w:after="160" w:line="252" w:lineRule="auto"/>
        <w:ind w:left="1069"/>
        <w:contextualSpacing/>
        <w:rPr>
          <w:rFonts w:eastAsia="Arial" w:cs="Arial"/>
          <w:color w:val="auto"/>
        </w:rPr>
      </w:pPr>
      <w:r w:rsidRPr="00945E91">
        <w:rPr>
          <w:rFonts w:eastAsia="Arial" w:cs="Arial"/>
          <w:color w:val="auto"/>
        </w:rPr>
        <w:t>Meeting education and training infrastructure needs, reflecting the importance to improved education qualification and skills in meeting the future needs of the local economy.</w:t>
      </w:r>
    </w:p>
    <w:p w14:paraId="4FD57BBD" w14:textId="77777777" w:rsidR="00945E91" w:rsidRPr="00945E91" w:rsidRDefault="00945E91" w:rsidP="00D17B5C">
      <w:pPr>
        <w:keepNext w:val="0"/>
        <w:autoSpaceDE w:val="0"/>
        <w:autoSpaceDN w:val="0"/>
        <w:adjustRightInd w:val="0"/>
        <w:spacing w:before="0"/>
        <w:ind w:left="1069"/>
        <w:contextualSpacing/>
        <w:rPr>
          <w:rFonts w:eastAsia="Arial" w:cs="Arial"/>
          <w:color w:val="auto"/>
        </w:rPr>
      </w:pPr>
    </w:p>
    <w:p w14:paraId="4BF8D6EE" w14:textId="55AB41D3" w:rsidR="00945E91" w:rsidRPr="00945E91" w:rsidRDefault="00945E91" w:rsidP="00D17B5C">
      <w:pPr>
        <w:keepNext w:val="0"/>
        <w:numPr>
          <w:ilvl w:val="0"/>
          <w:numId w:val="137"/>
        </w:numPr>
        <w:autoSpaceDE w:val="0"/>
        <w:autoSpaceDN w:val="0"/>
        <w:adjustRightInd w:val="0"/>
        <w:spacing w:before="0" w:after="160" w:line="252" w:lineRule="auto"/>
        <w:ind w:left="1069"/>
        <w:contextualSpacing/>
        <w:rPr>
          <w:rFonts w:eastAsia="Arial" w:cs="Arial"/>
          <w:color w:val="auto"/>
        </w:rPr>
      </w:pPr>
      <w:r w:rsidRPr="00945E91">
        <w:rPr>
          <w:rFonts w:eastAsia="Arial" w:cs="Arial"/>
          <w:color w:val="auto"/>
        </w:rPr>
        <w:t>The provision of ancillary services on these estates where the inten</w:t>
      </w:r>
      <w:r w:rsidR="002C7E16">
        <w:rPr>
          <w:rFonts w:eastAsia="Arial" w:cs="Arial"/>
          <w:color w:val="auto"/>
        </w:rPr>
        <w:t>t</w:t>
      </w:r>
      <w:r w:rsidRPr="00945E91">
        <w:rPr>
          <w:rFonts w:eastAsia="Arial" w:cs="Arial"/>
          <w:color w:val="auto"/>
        </w:rPr>
        <w:t xml:space="preserve">ion is to meet the needs arising from workers on the estates.  However, this does not allow for uses which are directed towards meeting a wider need and results in significant visitors to the estate.  Any applications of this nature will need to demonstrate that the need for ancillary services, arises principally from the estate/business park in question.  </w:t>
      </w:r>
    </w:p>
    <w:p w14:paraId="245A3710" w14:textId="51292F69" w:rsidR="00945E91" w:rsidRDefault="00945E91" w:rsidP="00945E91">
      <w:pPr>
        <w:keepNext w:val="0"/>
        <w:autoSpaceDE w:val="0"/>
        <w:autoSpaceDN w:val="0"/>
        <w:adjustRightInd w:val="0"/>
        <w:spacing w:before="0"/>
        <w:rPr>
          <w:rFonts w:eastAsia="Arial" w:cs="Arial"/>
          <w:color w:val="auto"/>
        </w:rPr>
      </w:pPr>
    </w:p>
    <w:p w14:paraId="5B4B69A3" w14:textId="77777777" w:rsidR="00331448" w:rsidRPr="00945E91" w:rsidRDefault="00331448" w:rsidP="00945E91">
      <w:pPr>
        <w:keepNext w:val="0"/>
        <w:autoSpaceDE w:val="0"/>
        <w:autoSpaceDN w:val="0"/>
        <w:adjustRightInd w:val="0"/>
        <w:spacing w:before="0"/>
        <w:rPr>
          <w:rFonts w:eastAsia="Arial" w:cs="Arial"/>
          <w:color w:val="auto"/>
        </w:rPr>
      </w:pPr>
    </w:p>
    <w:p w14:paraId="33FF290B" w14:textId="142927DF" w:rsidR="00945E91" w:rsidRPr="00C55F46" w:rsidRDefault="00331448" w:rsidP="00C55F46">
      <w:pPr>
        <w:pStyle w:val="Heading2"/>
        <w:jc w:val="left"/>
        <w:rPr>
          <w:rFonts w:eastAsia="Arial"/>
          <w:sz w:val="28"/>
          <w:szCs w:val="28"/>
        </w:rPr>
      </w:pPr>
      <w:bookmarkStart w:id="250" w:name="_Toc145511599"/>
      <w:r w:rsidRPr="00C55F46">
        <w:rPr>
          <w:rFonts w:eastAsia="Arial"/>
          <w:sz w:val="28"/>
          <w:szCs w:val="28"/>
        </w:rPr>
        <w:t>Policy EM2: Employment Land Allocations</w:t>
      </w:r>
      <w:bookmarkEnd w:id="250"/>
    </w:p>
    <w:p w14:paraId="5ED668BB" w14:textId="77DE22E7" w:rsidR="00945E91" w:rsidRDefault="00945E91" w:rsidP="00945E91">
      <w:pPr>
        <w:keepNext w:val="0"/>
        <w:spacing w:before="0"/>
        <w:rPr>
          <w:rFonts w:eastAsia="Arial" w:cs="Arial"/>
          <w:color w:val="auto"/>
        </w:rPr>
      </w:pPr>
    </w:p>
    <w:tbl>
      <w:tblPr>
        <w:tblStyle w:val="TableGrid3"/>
        <w:tblW w:w="9634" w:type="dxa"/>
        <w:tblLook w:val="04A0" w:firstRow="1" w:lastRow="0" w:firstColumn="1" w:lastColumn="0" w:noHBand="0" w:noVBand="1"/>
      </w:tblPr>
      <w:tblGrid>
        <w:gridCol w:w="1980"/>
        <w:gridCol w:w="680"/>
        <w:gridCol w:w="6974"/>
      </w:tblGrid>
      <w:tr w:rsidR="00945E91" w:rsidRPr="00945E91" w14:paraId="64933936" w14:textId="77777777" w:rsidTr="00D17B5C">
        <w:trPr>
          <w:trHeight w:val="421"/>
        </w:trPr>
        <w:tc>
          <w:tcPr>
            <w:tcW w:w="9634" w:type="dxa"/>
            <w:gridSpan w:val="3"/>
          </w:tcPr>
          <w:p w14:paraId="71106641" w14:textId="77777777" w:rsidR="009838D1" w:rsidRDefault="009838D1" w:rsidP="00FF3EAD">
            <w:pPr>
              <w:keepNext w:val="0"/>
              <w:tabs>
                <w:tab w:val="left" w:pos="680"/>
              </w:tabs>
              <w:spacing w:before="0"/>
              <w:jc w:val="left"/>
              <w:rPr>
                <w:rFonts w:eastAsia="Arial"/>
                <w:b/>
                <w:color w:val="auto"/>
                <w:spacing w:val="-1"/>
              </w:rPr>
            </w:pPr>
          </w:p>
          <w:p w14:paraId="16CEBFB5" w14:textId="149D4944" w:rsidR="00945E91" w:rsidRDefault="00945E91" w:rsidP="00FF3EAD">
            <w:pPr>
              <w:keepNext w:val="0"/>
              <w:tabs>
                <w:tab w:val="left" w:pos="680"/>
              </w:tabs>
              <w:spacing w:before="0"/>
              <w:jc w:val="left"/>
              <w:rPr>
                <w:rFonts w:eastAsia="Arial"/>
                <w:b/>
                <w:color w:val="auto"/>
                <w:spacing w:val="-1"/>
              </w:rPr>
            </w:pPr>
            <w:r w:rsidRPr="00331448">
              <w:rPr>
                <w:rFonts w:eastAsia="Arial"/>
                <w:b/>
                <w:color w:val="auto"/>
                <w:spacing w:val="-1"/>
              </w:rPr>
              <w:t>Policy EM2: Employment Land Allocations</w:t>
            </w:r>
          </w:p>
          <w:p w14:paraId="627CB0B0" w14:textId="5EB6685E" w:rsidR="009838D1" w:rsidRPr="00331448" w:rsidRDefault="009838D1" w:rsidP="00FF3EAD">
            <w:pPr>
              <w:keepNext w:val="0"/>
              <w:tabs>
                <w:tab w:val="left" w:pos="680"/>
              </w:tabs>
              <w:spacing w:before="0"/>
              <w:jc w:val="left"/>
              <w:rPr>
                <w:rFonts w:eastAsia="Arial"/>
                <w:b/>
                <w:color w:val="auto"/>
                <w:spacing w:val="-1"/>
              </w:rPr>
            </w:pPr>
          </w:p>
        </w:tc>
      </w:tr>
      <w:tr w:rsidR="00945E91" w:rsidRPr="00945E91" w14:paraId="301E0E55" w14:textId="77777777" w:rsidTr="00D17B5C">
        <w:tc>
          <w:tcPr>
            <w:tcW w:w="2660" w:type="dxa"/>
            <w:gridSpan w:val="2"/>
          </w:tcPr>
          <w:p w14:paraId="7F06AE52" w14:textId="77777777" w:rsidR="00945E91" w:rsidRPr="00945E91" w:rsidRDefault="00945E91" w:rsidP="00FF3EAD">
            <w:pPr>
              <w:keepNext w:val="0"/>
              <w:tabs>
                <w:tab w:val="left" w:pos="680"/>
              </w:tabs>
              <w:spacing w:before="0"/>
              <w:jc w:val="left"/>
              <w:rPr>
                <w:rFonts w:eastAsia="Arial"/>
                <w:bCs/>
                <w:color w:val="auto"/>
              </w:rPr>
            </w:pPr>
            <w:r w:rsidRPr="00945E91">
              <w:rPr>
                <w:rFonts w:eastAsia="Arial"/>
                <w:bCs/>
                <w:color w:val="auto"/>
              </w:rPr>
              <w:t>Strategic Objectives</w:t>
            </w:r>
          </w:p>
        </w:tc>
        <w:tc>
          <w:tcPr>
            <w:tcW w:w="6974" w:type="dxa"/>
          </w:tcPr>
          <w:p w14:paraId="3E5A7A99" w14:textId="77777777" w:rsidR="00945E91" w:rsidRPr="00945E91" w:rsidRDefault="00945E91" w:rsidP="00945E91">
            <w:pPr>
              <w:keepNext w:val="0"/>
              <w:tabs>
                <w:tab w:val="left" w:pos="680"/>
              </w:tabs>
              <w:spacing w:before="40" w:after="40"/>
              <w:rPr>
                <w:rFonts w:eastAsia="Arial"/>
                <w:bCs/>
                <w:color w:val="auto"/>
              </w:rPr>
            </w:pPr>
            <w:r w:rsidRPr="00945E91">
              <w:rPr>
                <w:rFonts w:eastAsia="Arial"/>
                <w:bCs/>
                <w:color w:val="auto"/>
              </w:rPr>
              <w:t xml:space="preserve">SO1, SO4, SO5, SO6, SO7, SO8, SO9, SO10, SO12. </w:t>
            </w:r>
          </w:p>
        </w:tc>
      </w:tr>
      <w:tr w:rsidR="00945E91" w:rsidRPr="00945E91" w14:paraId="17008EFC" w14:textId="77777777" w:rsidTr="00D17B5C">
        <w:tc>
          <w:tcPr>
            <w:tcW w:w="9634" w:type="dxa"/>
            <w:gridSpan w:val="3"/>
            <w:shd w:val="clear" w:color="auto" w:fill="D9E2F3"/>
          </w:tcPr>
          <w:p w14:paraId="0C18A90D" w14:textId="77777777" w:rsidR="00945E91" w:rsidRPr="00945E91" w:rsidRDefault="00945E91" w:rsidP="00945E91">
            <w:pPr>
              <w:keepNext w:val="0"/>
              <w:spacing w:before="0"/>
              <w:rPr>
                <w:rFonts w:eastAsia="Arial" w:cs="Arial"/>
                <w:bCs/>
                <w:color w:val="auto"/>
              </w:rPr>
            </w:pPr>
          </w:p>
          <w:p w14:paraId="34594446" w14:textId="5F5A06F9" w:rsidR="00DC46C4" w:rsidRDefault="00945E91" w:rsidP="00FF3EAD">
            <w:pPr>
              <w:keepNext w:val="0"/>
              <w:spacing w:before="0"/>
              <w:jc w:val="left"/>
              <w:rPr>
                <w:rFonts w:eastAsia="Arial" w:cs="Arial"/>
                <w:bCs/>
                <w:color w:val="auto"/>
              </w:rPr>
            </w:pPr>
            <w:r w:rsidRPr="00945E91">
              <w:rPr>
                <w:rFonts w:eastAsia="Arial" w:cs="Arial"/>
                <w:bCs/>
                <w:color w:val="auto"/>
              </w:rPr>
              <w:t xml:space="preserve">In addition to the employment land identified in </w:t>
            </w:r>
            <w:r w:rsidR="00804383">
              <w:rPr>
                <w:rFonts w:eastAsia="Arial" w:cs="Arial"/>
                <w:bCs/>
                <w:color w:val="auto"/>
              </w:rPr>
              <w:t>Str</w:t>
            </w:r>
            <w:r w:rsidRPr="00945E91">
              <w:rPr>
                <w:rFonts w:eastAsia="Arial" w:cs="Arial"/>
                <w:bCs/>
                <w:color w:val="auto"/>
              </w:rPr>
              <w:t xml:space="preserve">ategic </w:t>
            </w:r>
            <w:r w:rsidR="00804383">
              <w:rPr>
                <w:rFonts w:eastAsia="Arial" w:cs="Arial"/>
                <w:bCs/>
                <w:color w:val="auto"/>
              </w:rPr>
              <w:t>P</w:t>
            </w:r>
            <w:r w:rsidRPr="00945E91">
              <w:rPr>
                <w:rFonts w:eastAsia="Arial" w:cs="Arial"/>
                <w:bCs/>
                <w:color w:val="auto"/>
              </w:rPr>
              <w:t>olic</w:t>
            </w:r>
            <w:r w:rsidR="00804383">
              <w:rPr>
                <w:rFonts w:eastAsia="Arial" w:cs="Arial"/>
                <w:bCs/>
                <w:color w:val="auto"/>
              </w:rPr>
              <w:t>y S6</w:t>
            </w:r>
            <w:r w:rsidRPr="00945E91">
              <w:rPr>
                <w:rFonts w:eastAsia="Arial" w:cs="Arial"/>
                <w:bCs/>
                <w:color w:val="auto"/>
              </w:rPr>
              <w:t xml:space="preserve"> at Junction 27</w:t>
            </w:r>
            <w:r w:rsidR="00804383">
              <w:rPr>
                <w:rFonts w:eastAsia="Arial" w:cs="Arial"/>
                <w:bCs/>
                <w:color w:val="auto"/>
              </w:rPr>
              <w:t xml:space="preserve"> M1 Motorway</w:t>
            </w:r>
            <w:r w:rsidRPr="00945E91">
              <w:rPr>
                <w:rFonts w:eastAsia="Arial" w:cs="Arial"/>
                <w:bCs/>
                <w:color w:val="auto"/>
              </w:rPr>
              <w:t xml:space="preserve">, the following land, as shown on the </w:t>
            </w:r>
            <w:r w:rsidR="005C01D3">
              <w:rPr>
                <w:rFonts w:eastAsia="Arial" w:cs="Arial"/>
                <w:bCs/>
                <w:color w:val="auto"/>
              </w:rPr>
              <w:t>Policies M</w:t>
            </w:r>
            <w:r w:rsidRPr="00945E91">
              <w:rPr>
                <w:rFonts w:eastAsia="Arial" w:cs="Arial"/>
                <w:bCs/>
                <w:color w:val="auto"/>
              </w:rPr>
              <w:t xml:space="preserve">ap, will be allocated for use for office, light industrial, research and development, general industrial and storage/distribution: </w:t>
            </w:r>
          </w:p>
          <w:p w14:paraId="2A8D60AF" w14:textId="77777777" w:rsidR="00DC46C4" w:rsidRPr="00945E91" w:rsidRDefault="00DC46C4" w:rsidP="00945E91">
            <w:pPr>
              <w:keepNext w:val="0"/>
              <w:spacing w:before="0"/>
              <w:rPr>
                <w:rFonts w:eastAsia="Arial" w:cs="Arial"/>
                <w:bCs/>
                <w:color w:val="auto"/>
              </w:rPr>
            </w:pPr>
          </w:p>
          <w:tbl>
            <w:tblPr>
              <w:tblStyle w:val="TableGrid5"/>
              <w:tblW w:w="0" w:type="auto"/>
              <w:tblLook w:val="04A0" w:firstRow="1" w:lastRow="0" w:firstColumn="1" w:lastColumn="0" w:noHBand="0" w:noVBand="1"/>
            </w:tblPr>
            <w:tblGrid>
              <w:gridCol w:w="1293"/>
              <w:gridCol w:w="6085"/>
              <w:gridCol w:w="1683"/>
            </w:tblGrid>
            <w:tr w:rsidR="00DC46C4" w:rsidRPr="00945E91" w14:paraId="3D263999" w14:textId="77777777" w:rsidTr="00DC46C4">
              <w:tc>
                <w:tcPr>
                  <w:tcW w:w="1293" w:type="dxa"/>
                  <w:shd w:val="clear" w:color="auto" w:fill="auto"/>
                </w:tcPr>
                <w:p w14:paraId="5F9D0BB8" w14:textId="77777777" w:rsidR="00DC46C4" w:rsidRPr="00985BCC" w:rsidRDefault="00DC46C4" w:rsidP="00DC46C4">
                  <w:pPr>
                    <w:keepNext w:val="0"/>
                    <w:spacing w:before="0"/>
                  </w:pPr>
                  <w:r w:rsidRPr="00985BCC">
                    <w:rPr>
                      <w:rFonts w:cs="Arial"/>
                      <w:b/>
                      <w:bCs/>
                      <w:sz w:val="22"/>
                    </w:rPr>
                    <w:t>Site Reference</w:t>
                  </w:r>
                </w:p>
              </w:tc>
              <w:tc>
                <w:tcPr>
                  <w:tcW w:w="6085" w:type="dxa"/>
                  <w:shd w:val="clear" w:color="auto" w:fill="auto"/>
                </w:tcPr>
                <w:p w14:paraId="26D77DF8" w14:textId="77777777" w:rsidR="00DC46C4" w:rsidRPr="00985BCC" w:rsidRDefault="00DC46C4" w:rsidP="00DC46C4">
                  <w:pPr>
                    <w:keepNext w:val="0"/>
                    <w:spacing w:before="0"/>
                  </w:pPr>
                  <w:r w:rsidRPr="00985BCC">
                    <w:rPr>
                      <w:rFonts w:cs="Arial"/>
                      <w:b/>
                      <w:bCs/>
                      <w:sz w:val="22"/>
                    </w:rPr>
                    <w:t>Site Name</w:t>
                  </w:r>
                </w:p>
              </w:tc>
              <w:tc>
                <w:tcPr>
                  <w:tcW w:w="1683" w:type="dxa"/>
                  <w:shd w:val="clear" w:color="auto" w:fill="auto"/>
                </w:tcPr>
                <w:p w14:paraId="34084AB1" w14:textId="77777777" w:rsidR="00DC46C4" w:rsidRPr="00985BCC" w:rsidRDefault="00DC46C4" w:rsidP="00DC46C4">
                  <w:pPr>
                    <w:keepNext w:val="0"/>
                    <w:spacing w:before="0"/>
                  </w:pPr>
                  <w:r w:rsidRPr="00985BCC">
                    <w:rPr>
                      <w:b/>
                      <w:bCs/>
                    </w:rPr>
                    <w:t>Approximate net area</w:t>
                  </w:r>
                </w:p>
              </w:tc>
            </w:tr>
            <w:tr w:rsidR="00DC46C4" w:rsidRPr="00945E91" w14:paraId="340FC1E5" w14:textId="77777777" w:rsidTr="00CF681C">
              <w:tc>
                <w:tcPr>
                  <w:tcW w:w="1293" w:type="dxa"/>
                </w:tcPr>
                <w:p w14:paraId="7E7C7F7D" w14:textId="0EA6A633" w:rsidR="00DC46C4" w:rsidRPr="00985BCC" w:rsidRDefault="00DC46C4" w:rsidP="00DC46C4">
                  <w:pPr>
                    <w:keepNext w:val="0"/>
                    <w:spacing w:before="0"/>
                  </w:pPr>
                  <w:r w:rsidRPr="00985BCC">
                    <w:t xml:space="preserve">EM2 </w:t>
                  </w:r>
                  <w:r w:rsidR="003C3146" w:rsidRPr="00985BCC">
                    <w:t>S</w:t>
                  </w:r>
                  <w:r w:rsidRPr="00985BCC">
                    <w:t>1</w:t>
                  </w:r>
                </w:p>
              </w:tc>
              <w:tc>
                <w:tcPr>
                  <w:tcW w:w="6085" w:type="dxa"/>
                </w:tcPr>
                <w:p w14:paraId="0933E79C" w14:textId="77777777" w:rsidR="00DC46C4" w:rsidRPr="00985BCC" w:rsidRDefault="00DC46C4" w:rsidP="00DC46C4">
                  <w:pPr>
                    <w:keepNext w:val="0"/>
                    <w:spacing w:before="0"/>
                  </w:pPr>
                  <w:r w:rsidRPr="00985BCC">
                    <w:t>Castlewood Business Park, Sutton in Ashfield</w:t>
                  </w:r>
                </w:p>
              </w:tc>
              <w:tc>
                <w:tcPr>
                  <w:tcW w:w="1683" w:type="dxa"/>
                  <w:shd w:val="clear" w:color="auto" w:fill="auto"/>
                </w:tcPr>
                <w:p w14:paraId="2748EF44" w14:textId="74D42A40" w:rsidR="00DC46C4" w:rsidRPr="00106B8C" w:rsidRDefault="00AC45CD" w:rsidP="00DC46C4">
                  <w:pPr>
                    <w:keepNext w:val="0"/>
                    <w:spacing w:before="0"/>
                    <w:jc w:val="center"/>
                    <w:rPr>
                      <w:highlight w:val="yellow"/>
                    </w:rPr>
                  </w:pPr>
                  <w:r w:rsidRPr="007B4812">
                    <w:t>2.38</w:t>
                  </w:r>
                </w:p>
              </w:tc>
            </w:tr>
            <w:tr w:rsidR="00DC46C4" w:rsidRPr="00945E91" w14:paraId="7474AB17" w14:textId="77777777" w:rsidTr="00CF681C">
              <w:tc>
                <w:tcPr>
                  <w:tcW w:w="1293" w:type="dxa"/>
                </w:tcPr>
                <w:p w14:paraId="5B8E3EE3" w14:textId="5D653DD0" w:rsidR="00DC46C4" w:rsidRPr="00985BCC" w:rsidRDefault="00DC46C4" w:rsidP="00DC46C4">
                  <w:pPr>
                    <w:keepNext w:val="0"/>
                    <w:spacing w:before="0"/>
                  </w:pPr>
                  <w:r w:rsidRPr="00985BCC">
                    <w:t xml:space="preserve">EM2 </w:t>
                  </w:r>
                  <w:r w:rsidR="003C3146" w:rsidRPr="00985BCC">
                    <w:t>S</w:t>
                  </w:r>
                  <w:r w:rsidRPr="00985BCC">
                    <w:t>2</w:t>
                  </w:r>
                </w:p>
              </w:tc>
              <w:tc>
                <w:tcPr>
                  <w:tcW w:w="6085" w:type="dxa"/>
                </w:tcPr>
                <w:p w14:paraId="7B0F7C5A" w14:textId="77777777" w:rsidR="00DC46C4" w:rsidRPr="00985BCC" w:rsidRDefault="00DC46C4" w:rsidP="00DC46C4">
                  <w:pPr>
                    <w:keepNext w:val="0"/>
                    <w:spacing w:before="0"/>
                  </w:pPr>
                  <w:r w:rsidRPr="00985BCC">
                    <w:t xml:space="preserve">Fulwood Road North, Sutton in Ashfield </w:t>
                  </w:r>
                </w:p>
              </w:tc>
              <w:tc>
                <w:tcPr>
                  <w:tcW w:w="1683" w:type="dxa"/>
                  <w:shd w:val="clear" w:color="auto" w:fill="auto"/>
                </w:tcPr>
                <w:p w14:paraId="1C228C7F" w14:textId="14D2BB7F" w:rsidR="00DC46C4" w:rsidRPr="00106B8C" w:rsidRDefault="00A05AB3" w:rsidP="00DC46C4">
                  <w:pPr>
                    <w:keepNext w:val="0"/>
                    <w:spacing w:before="0"/>
                    <w:jc w:val="center"/>
                    <w:rPr>
                      <w:highlight w:val="yellow"/>
                    </w:rPr>
                  </w:pPr>
                  <w:r w:rsidRPr="007B4812">
                    <w:t>1.37</w:t>
                  </w:r>
                </w:p>
              </w:tc>
            </w:tr>
            <w:tr w:rsidR="00DC46C4" w:rsidRPr="00945E91" w14:paraId="2E8BD098" w14:textId="77777777" w:rsidTr="00CF681C">
              <w:tc>
                <w:tcPr>
                  <w:tcW w:w="1293" w:type="dxa"/>
                </w:tcPr>
                <w:p w14:paraId="3AD49215" w14:textId="1BB3B0AF" w:rsidR="00DC46C4" w:rsidRPr="00985BCC" w:rsidRDefault="00DC46C4" w:rsidP="00DC46C4">
                  <w:pPr>
                    <w:keepNext w:val="0"/>
                    <w:spacing w:before="0"/>
                  </w:pPr>
                  <w:r w:rsidRPr="00985BCC">
                    <w:t xml:space="preserve">EM2 </w:t>
                  </w:r>
                  <w:r w:rsidR="003C3146" w:rsidRPr="00985BCC">
                    <w:t>S</w:t>
                  </w:r>
                  <w:r w:rsidRPr="00985BCC">
                    <w:t>3</w:t>
                  </w:r>
                </w:p>
              </w:tc>
              <w:tc>
                <w:tcPr>
                  <w:tcW w:w="6085" w:type="dxa"/>
                </w:tcPr>
                <w:p w14:paraId="07F50BDF" w14:textId="2E583979" w:rsidR="00DC46C4" w:rsidRPr="00985BCC" w:rsidRDefault="00DC46C4" w:rsidP="00DC46C4">
                  <w:pPr>
                    <w:keepNext w:val="0"/>
                    <w:spacing w:before="0"/>
                  </w:pPr>
                  <w:r w:rsidRPr="00985BCC">
                    <w:t>Hamilton Road</w:t>
                  </w:r>
                  <w:r w:rsidR="003C3146" w:rsidRPr="00985BCC">
                    <w:t>, Sutton in Ashfield</w:t>
                  </w:r>
                </w:p>
              </w:tc>
              <w:tc>
                <w:tcPr>
                  <w:tcW w:w="1683" w:type="dxa"/>
                  <w:shd w:val="clear" w:color="auto" w:fill="auto"/>
                </w:tcPr>
                <w:p w14:paraId="5ED50E20" w14:textId="25F6FC5E" w:rsidR="00DC46C4" w:rsidRPr="00106B8C" w:rsidRDefault="003C3146" w:rsidP="00DC46C4">
                  <w:pPr>
                    <w:keepNext w:val="0"/>
                    <w:spacing w:before="0"/>
                    <w:jc w:val="center"/>
                    <w:rPr>
                      <w:highlight w:val="yellow"/>
                    </w:rPr>
                  </w:pPr>
                  <w:r w:rsidRPr="007B4812">
                    <w:t>3.34</w:t>
                  </w:r>
                </w:p>
              </w:tc>
            </w:tr>
            <w:tr w:rsidR="00DC46C4" w:rsidRPr="00945E91" w14:paraId="0B033104" w14:textId="77777777" w:rsidTr="00CF681C">
              <w:tc>
                <w:tcPr>
                  <w:tcW w:w="1293" w:type="dxa"/>
                </w:tcPr>
                <w:p w14:paraId="746A2DBC" w14:textId="4B46FB49" w:rsidR="00DC46C4" w:rsidRPr="00985BCC" w:rsidRDefault="00DC46C4" w:rsidP="00DC46C4">
                  <w:pPr>
                    <w:keepNext w:val="0"/>
                    <w:spacing w:before="0"/>
                  </w:pPr>
                  <w:r w:rsidRPr="00985BCC">
                    <w:t xml:space="preserve">EM2 </w:t>
                  </w:r>
                  <w:r w:rsidR="003C3146" w:rsidRPr="00985BCC">
                    <w:t>S</w:t>
                  </w:r>
                  <w:r w:rsidR="00EB6F5E" w:rsidRPr="00985BCC">
                    <w:t>4</w:t>
                  </w:r>
                </w:p>
              </w:tc>
              <w:tc>
                <w:tcPr>
                  <w:tcW w:w="6085" w:type="dxa"/>
                </w:tcPr>
                <w:p w14:paraId="28697F95" w14:textId="45778BB3" w:rsidR="00DC46C4" w:rsidRPr="00985BCC" w:rsidRDefault="00DC46C4" w:rsidP="00DC46C4">
                  <w:pPr>
                    <w:keepNext w:val="0"/>
                    <w:spacing w:before="0"/>
                  </w:pPr>
                  <w:r w:rsidRPr="00985BCC">
                    <w:t xml:space="preserve">West of Fulwood, </w:t>
                  </w:r>
                  <w:r w:rsidR="003C3146" w:rsidRPr="00985BCC">
                    <w:t xml:space="preserve">Export Drive, </w:t>
                  </w:r>
                  <w:r w:rsidRPr="00985BCC">
                    <w:t>Sutton in Ashfield</w:t>
                  </w:r>
                </w:p>
              </w:tc>
              <w:tc>
                <w:tcPr>
                  <w:tcW w:w="1683" w:type="dxa"/>
                  <w:shd w:val="clear" w:color="auto" w:fill="auto"/>
                </w:tcPr>
                <w:p w14:paraId="72503B63" w14:textId="169F131C" w:rsidR="00DC46C4" w:rsidRPr="00106B8C" w:rsidRDefault="00A05AB3" w:rsidP="00DC46C4">
                  <w:pPr>
                    <w:keepNext w:val="0"/>
                    <w:spacing w:before="0"/>
                    <w:jc w:val="center"/>
                    <w:rPr>
                      <w:highlight w:val="yellow"/>
                    </w:rPr>
                  </w:pPr>
                  <w:r w:rsidRPr="007B4812">
                    <w:t>5.68</w:t>
                  </w:r>
                </w:p>
              </w:tc>
            </w:tr>
            <w:tr w:rsidR="00DC46C4" w:rsidRPr="00945E91" w14:paraId="414A6606" w14:textId="77777777" w:rsidTr="00CF681C">
              <w:tc>
                <w:tcPr>
                  <w:tcW w:w="1293" w:type="dxa"/>
                </w:tcPr>
                <w:p w14:paraId="147C173C" w14:textId="4F0A6304" w:rsidR="00DC46C4" w:rsidRPr="00985BCC" w:rsidRDefault="00DC46C4" w:rsidP="00DC46C4">
                  <w:pPr>
                    <w:keepNext w:val="0"/>
                    <w:spacing w:before="0"/>
                  </w:pPr>
                  <w:r w:rsidRPr="00985BCC">
                    <w:t xml:space="preserve">EM2 </w:t>
                  </w:r>
                  <w:r w:rsidR="003C3146" w:rsidRPr="00985BCC">
                    <w:t>K</w:t>
                  </w:r>
                  <w:r w:rsidRPr="00985BCC">
                    <w:t>1</w:t>
                  </w:r>
                </w:p>
              </w:tc>
              <w:tc>
                <w:tcPr>
                  <w:tcW w:w="6085" w:type="dxa"/>
                </w:tcPr>
                <w:p w14:paraId="779415C9" w14:textId="77777777" w:rsidR="00DC46C4" w:rsidRPr="00985BCC" w:rsidRDefault="00DC46C4" w:rsidP="00DC46C4">
                  <w:pPr>
                    <w:keepNext w:val="0"/>
                    <w:spacing w:before="0"/>
                  </w:pPr>
                  <w:r w:rsidRPr="00985BCC">
                    <w:t>Kings Mill Road, Kirkby-in-Ashfield</w:t>
                  </w:r>
                </w:p>
              </w:tc>
              <w:tc>
                <w:tcPr>
                  <w:tcW w:w="1683" w:type="dxa"/>
                  <w:shd w:val="clear" w:color="auto" w:fill="auto"/>
                </w:tcPr>
                <w:p w14:paraId="0714BAAE" w14:textId="77777777" w:rsidR="00DC46C4" w:rsidRPr="007B4812" w:rsidRDefault="00DC46C4" w:rsidP="00DC46C4">
                  <w:pPr>
                    <w:keepNext w:val="0"/>
                    <w:spacing w:before="0"/>
                    <w:jc w:val="center"/>
                  </w:pPr>
                  <w:r w:rsidRPr="007B4812">
                    <w:t>1.99</w:t>
                  </w:r>
                </w:p>
              </w:tc>
            </w:tr>
            <w:tr w:rsidR="00DC46C4" w:rsidRPr="00945E91" w14:paraId="618B4611" w14:textId="77777777" w:rsidTr="00CF681C">
              <w:tc>
                <w:tcPr>
                  <w:tcW w:w="1293" w:type="dxa"/>
                </w:tcPr>
                <w:p w14:paraId="5E38D296" w14:textId="06EC5E2B" w:rsidR="00DC46C4" w:rsidRPr="00985BCC" w:rsidRDefault="00DC46C4" w:rsidP="00DC46C4">
                  <w:pPr>
                    <w:keepNext w:val="0"/>
                    <w:spacing w:before="0"/>
                  </w:pPr>
                  <w:r w:rsidRPr="00985BCC">
                    <w:t xml:space="preserve">EM2 </w:t>
                  </w:r>
                  <w:r w:rsidR="003C3146" w:rsidRPr="00985BCC">
                    <w:t>K</w:t>
                  </w:r>
                  <w:r w:rsidRPr="00985BCC">
                    <w:t>2</w:t>
                  </w:r>
                </w:p>
              </w:tc>
              <w:tc>
                <w:tcPr>
                  <w:tcW w:w="6085" w:type="dxa"/>
                </w:tcPr>
                <w:p w14:paraId="44F3BF99" w14:textId="77777777" w:rsidR="00DC46C4" w:rsidRPr="00985BCC" w:rsidRDefault="00DC46C4" w:rsidP="00DC46C4">
                  <w:pPr>
                    <w:keepNext w:val="0"/>
                    <w:spacing w:before="0"/>
                  </w:pPr>
                  <w:r w:rsidRPr="00985BCC">
                    <w:t>Park Lane, Kirkby-in-Ashfield</w:t>
                  </w:r>
                </w:p>
              </w:tc>
              <w:tc>
                <w:tcPr>
                  <w:tcW w:w="1683" w:type="dxa"/>
                  <w:shd w:val="clear" w:color="auto" w:fill="auto"/>
                </w:tcPr>
                <w:p w14:paraId="560A3B21" w14:textId="3B0E3680" w:rsidR="00DC46C4" w:rsidRPr="007B4812" w:rsidRDefault="00DC46C4" w:rsidP="00DC46C4">
                  <w:pPr>
                    <w:keepNext w:val="0"/>
                    <w:spacing w:before="0"/>
                    <w:jc w:val="center"/>
                  </w:pPr>
                  <w:r w:rsidRPr="007B4812">
                    <w:t>1.</w:t>
                  </w:r>
                  <w:r w:rsidR="00AC45CD" w:rsidRPr="007B4812">
                    <w:t>50</w:t>
                  </w:r>
                </w:p>
              </w:tc>
            </w:tr>
            <w:tr w:rsidR="00DC46C4" w:rsidRPr="00945E91" w14:paraId="4E68D320" w14:textId="77777777" w:rsidTr="00CF681C">
              <w:tc>
                <w:tcPr>
                  <w:tcW w:w="1293" w:type="dxa"/>
                </w:tcPr>
                <w:p w14:paraId="370BD54A" w14:textId="5DDD5477" w:rsidR="00DC46C4" w:rsidRPr="00985BCC" w:rsidRDefault="00DC46C4" w:rsidP="00DC46C4">
                  <w:pPr>
                    <w:keepNext w:val="0"/>
                    <w:spacing w:before="0"/>
                  </w:pPr>
                  <w:r w:rsidRPr="00985BCC">
                    <w:t xml:space="preserve">EM2 </w:t>
                  </w:r>
                  <w:r w:rsidR="003C3146" w:rsidRPr="00985BCC">
                    <w:t>K</w:t>
                  </w:r>
                  <w:r w:rsidRPr="00985BCC">
                    <w:t>3</w:t>
                  </w:r>
                </w:p>
              </w:tc>
              <w:tc>
                <w:tcPr>
                  <w:tcW w:w="6085" w:type="dxa"/>
                </w:tcPr>
                <w:p w14:paraId="5C024CED" w14:textId="77777777" w:rsidR="00DC46C4" w:rsidRPr="00985BCC" w:rsidRDefault="00DC46C4" w:rsidP="00DC46C4">
                  <w:pPr>
                    <w:keepNext w:val="0"/>
                    <w:spacing w:before="0"/>
                  </w:pPr>
                  <w:r w:rsidRPr="00985BCC">
                    <w:t>Portland Industrial Park, Kirkby-in-Ashfield</w:t>
                  </w:r>
                </w:p>
              </w:tc>
              <w:tc>
                <w:tcPr>
                  <w:tcW w:w="1683" w:type="dxa"/>
                  <w:shd w:val="clear" w:color="auto" w:fill="auto"/>
                </w:tcPr>
                <w:p w14:paraId="5F4E0027" w14:textId="77777777" w:rsidR="00DC46C4" w:rsidRPr="007B4812" w:rsidRDefault="00DC46C4" w:rsidP="00DC46C4">
                  <w:pPr>
                    <w:keepNext w:val="0"/>
                    <w:spacing w:before="0"/>
                    <w:jc w:val="center"/>
                  </w:pPr>
                  <w:r w:rsidRPr="007B4812">
                    <w:t>1.76</w:t>
                  </w:r>
                </w:p>
              </w:tc>
            </w:tr>
            <w:tr w:rsidR="00A05AB3" w:rsidRPr="00945E91" w14:paraId="6CFB3C68" w14:textId="77777777" w:rsidTr="00CF681C">
              <w:tc>
                <w:tcPr>
                  <w:tcW w:w="1293" w:type="dxa"/>
                </w:tcPr>
                <w:p w14:paraId="1943FB80" w14:textId="3C647FF7" w:rsidR="00A05AB3" w:rsidRPr="00985BCC" w:rsidRDefault="00A05AB3" w:rsidP="00DC46C4">
                  <w:pPr>
                    <w:keepNext w:val="0"/>
                    <w:spacing w:before="0"/>
                  </w:pPr>
                  <w:r w:rsidRPr="00985BCC">
                    <w:t>EM2 K4</w:t>
                  </w:r>
                </w:p>
              </w:tc>
              <w:tc>
                <w:tcPr>
                  <w:tcW w:w="6085" w:type="dxa"/>
                </w:tcPr>
                <w:p w14:paraId="601424AE" w14:textId="4A4D475E" w:rsidR="00A05AB3" w:rsidRPr="00985BCC" w:rsidRDefault="00A05AB3" w:rsidP="00DC46C4">
                  <w:pPr>
                    <w:keepNext w:val="0"/>
                    <w:spacing w:before="0"/>
                  </w:pPr>
                  <w:r w:rsidRPr="00985BCC">
                    <w:t>Land to the East of Lowmoor Road, Kirkby-in-Ashfield</w:t>
                  </w:r>
                </w:p>
              </w:tc>
              <w:tc>
                <w:tcPr>
                  <w:tcW w:w="1683" w:type="dxa"/>
                  <w:shd w:val="clear" w:color="auto" w:fill="auto"/>
                </w:tcPr>
                <w:p w14:paraId="7FD0167A" w14:textId="206667F0" w:rsidR="00A05AB3" w:rsidRPr="007B4812" w:rsidRDefault="00A05AB3" w:rsidP="00DC46C4">
                  <w:pPr>
                    <w:keepNext w:val="0"/>
                    <w:spacing w:before="0"/>
                    <w:jc w:val="center"/>
                  </w:pPr>
                  <w:r w:rsidRPr="007B4812">
                    <w:t>11.11</w:t>
                  </w:r>
                </w:p>
              </w:tc>
            </w:tr>
            <w:tr w:rsidR="00DC46C4" w:rsidRPr="00945E91" w14:paraId="26604994" w14:textId="77777777" w:rsidTr="00CF681C">
              <w:tc>
                <w:tcPr>
                  <w:tcW w:w="1293" w:type="dxa"/>
                </w:tcPr>
                <w:p w14:paraId="26784F3D" w14:textId="4AD455DF" w:rsidR="00DC46C4" w:rsidRPr="00985BCC" w:rsidRDefault="00DC46C4" w:rsidP="00DC46C4">
                  <w:pPr>
                    <w:keepNext w:val="0"/>
                    <w:spacing w:before="0"/>
                  </w:pPr>
                  <w:r w:rsidRPr="00985BCC">
                    <w:t xml:space="preserve">EM2 </w:t>
                  </w:r>
                  <w:r w:rsidR="003C3146" w:rsidRPr="00985BCC">
                    <w:t>H</w:t>
                  </w:r>
                  <w:r w:rsidRPr="00985BCC">
                    <w:t>1</w:t>
                  </w:r>
                </w:p>
              </w:tc>
              <w:tc>
                <w:tcPr>
                  <w:tcW w:w="6085" w:type="dxa"/>
                </w:tcPr>
                <w:p w14:paraId="70849E1D" w14:textId="77777777" w:rsidR="00DC46C4" w:rsidRPr="00985BCC" w:rsidRDefault="00DC46C4" w:rsidP="00DC46C4">
                  <w:pPr>
                    <w:keepNext w:val="0"/>
                    <w:spacing w:before="0"/>
                  </w:pPr>
                  <w:r w:rsidRPr="00985BCC">
                    <w:t>Aerial Way, Hucknall</w:t>
                  </w:r>
                </w:p>
              </w:tc>
              <w:tc>
                <w:tcPr>
                  <w:tcW w:w="1683" w:type="dxa"/>
                  <w:shd w:val="clear" w:color="auto" w:fill="auto"/>
                </w:tcPr>
                <w:p w14:paraId="2AB2BF43" w14:textId="6621F96B" w:rsidR="00DC46C4" w:rsidRPr="00106B8C" w:rsidRDefault="00DC46C4" w:rsidP="00DC46C4">
                  <w:pPr>
                    <w:keepNext w:val="0"/>
                    <w:spacing w:before="0"/>
                    <w:jc w:val="center"/>
                    <w:rPr>
                      <w:highlight w:val="yellow"/>
                    </w:rPr>
                  </w:pPr>
                  <w:r w:rsidRPr="007B4812">
                    <w:t>0.8</w:t>
                  </w:r>
                  <w:r w:rsidR="007B4812" w:rsidRPr="007B4812">
                    <w:t>2</w:t>
                  </w:r>
                </w:p>
              </w:tc>
            </w:tr>
            <w:tr w:rsidR="00DC46C4" w:rsidRPr="00945E91" w14:paraId="5F6B6C43" w14:textId="77777777" w:rsidTr="00CF681C">
              <w:tc>
                <w:tcPr>
                  <w:tcW w:w="1293" w:type="dxa"/>
                </w:tcPr>
                <w:p w14:paraId="096C46E7" w14:textId="0CD9A557" w:rsidR="00DC46C4" w:rsidRPr="00985BCC" w:rsidRDefault="00DC46C4" w:rsidP="00DC46C4">
                  <w:pPr>
                    <w:keepNext w:val="0"/>
                    <w:spacing w:before="0"/>
                  </w:pPr>
                  <w:r w:rsidRPr="00985BCC">
                    <w:t>EM</w:t>
                  </w:r>
                  <w:r w:rsidR="00054236" w:rsidRPr="00985BCC">
                    <w:t>2</w:t>
                  </w:r>
                  <w:r w:rsidRPr="00985BCC">
                    <w:t xml:space="preserve"> </w:t>
                  </w:r>
                  <w:r w:rsidR="003C3146" w:rsidRPr="00985BCC">
                    <w:t>H</w:t>
                  </w:r>
                  <w:r w:rsidR="00B173B0" w:rsidRPr="00985BCC">
                    <w:t xml:space="preserve">2 </w:t>
                  </w:r>
                </w:p>
              </w:tc>
              <w:tc>
                <w:tcPr>
                  <w:tcW w:w="6085" w:type="dxa"/>
                </w:tcPr>
                <w:p w14:paraId="19E8D128" w14:textId="788B4963" w:rsidR="00DC46C4" w:rsidRPr="00985BCC" w:rsidRDefault="00DC46C4" w:rsidP="00DC46C4">
                  <w:pPr>
                    <w:keepNext w:val="0"/>
                    <w:spacing w:before="0"/>
                  </w:pPr>
                  <w:r w:rsidRPr="00985BCC">
                    <w:t>Butlers Hill, Hucknall</w:t>
                  </w:r>
                </w:p>
              </w:tc>
              <w:tc>
                <w:tcPr>
                  <w:tcW w:w="1683" w:type="dxa"/>
                  <w:shd w:val="clear" w:color="auto" w:fill="auto"/>
                </w:tcPr>
                <w:p w14:paraId="13AC98B7" w14:textId="72C5BFC5" w:rsidR="00DC46C4" w:rsidRPr="00106B8C" w:rsidRDefault="0020638E" w:rsidP="00DC46C4">
                  <w:pPr>
                    <w:keepNext w:val="0"/>
                    <w:spacing w:before="0"/>
                    <w:jc w:val="center"/>
                    <w:rPr>
                      <w:highlight w:val="yellow"/>
                    </w:rPr>
                  </w:pPr>
                  <w:r w:rsidRPr="007B4812">
                    <w:t>0.6</w:t>
                  </w:r>
                  <w:r w:rsidR="007B4812">
                    <w:t>0</w:t>
                  </w:r>
                </w:p>
              </w:tc>
            </w:tr>
            <w:tr w:rsidR="00DC46C4" w:rsidRPr="00945E91" w14:paraId="2CBEADB7" w14:textId="77777777" w:rsidTr="00CF681C">
              <w:tc>
                <w:tcPr>
                  <w:tcW w:w="1293" w:type="dxa"/>
                </w:tcPr>
                <w:p w14:paraId="372520A1" w14:textId="14A8AFF5" w:rsidR="00DC46C4" w:rsidRPr="00985BCC" w:rsidRDefault="00DC46C4" w:rsidP="00DC46C4">
                  <w:pPr>
                    <w:keepNext w:val="0"/>
                    <w:spacing w:before="0"/>
                  </w:pPr>
                  <w:r w:rsidRPr="00985BCC">
                    <w:t>EM</w:t>
                  </w:r>
                  <w:r w:rsidR="00054236" w:rsidRPr="00985BCC">
                    <w:t>2</w:t>
                  </w:r>
                  <w:r w:rsidRPr="00985BCC">
                    <w:t xml:space="preserve"> </w:t>
                  </w:r>
                  <w:r w:rsidR="003C3146" w:rsidRPr="00985BCC">
                    <w:t>H</w:t>
                  </w:r>
                  <w:r w:rsidR="00B173B0" w:rsidRPr="00985BCC">
                    <w:t xml:space="preserve">3 </w:t>
                  </w:r>
                </w:p>
              </w:tc>
              <w:tc>
                <w:tcPr>
                  <w:tcW w:w="6085" w:type="dxa"/>
                </w:tcPr>
                <w:p w14:paraId="2661959C" w14:textId="21D01981" w:rsidR="00DC46C4" w:rsidRPr="00985BCC" w:rsidRDefault="003C3146" w:rsidP="00DC46C4">
                  <w:pPr>
                    <w:keepNext w:val="0"/>
                    <w:spacing w:before="0"/>
                  </w:pPr>
                  <w:r w:rsidRPr="00985BCC">
                    <w:t>Harrier Park</w:t>
                  </w:r>
                  <w:r w:rsidR="00DC46C4" w:rsidRPr="00985BCC">
                    <w:t>, Hucknall</w:t>
                  </w:r>
                </w:p>
              </w:tc>
              <w:tc>
                <w:tcPr>
                  <w:tcW w:w="1683" w:type="dxa"/>
                  <w:shd w:val="clear" w:color="auto" w:fill="auto"/>
                </w:tcPr>
                <w:p w14:paraId="08B54257" w14:textId="7BB5B130" w:rsidR="00DC46C4" w:rsidRPr="00106B8C" w:rsidRDefault="0020638E" w:rsidP="00DC46C4">
                  <w:pPr>
                    <w:keepNext w:val="0"/>
                    <w:spacing w:before="0"/>
                    <w:jc w:val="center"/>
                    <w:rPr>
                      <w:highlight w:val="yellow"/>
                    </w:rPr>
                  </w:pPr>
                  <w:r w:rsidRPr="007B4812">
                    <w:t>13.39</w:t>
                  </w:r>
                </w:p>
              </w:tc>
            </w:tr>
            <w:tr w:rsidR="00E14774" w:rsidRPr="00945E91" w14:paraId="1A40D8DF" w14:textId="77777777" w:rsidTr="00DC46C4">
              <w:tc>
                <w:tcPr>
                  <w:tcW w:w="1293" w:type="dxa"/>
                </w:tcPr>
                <w:p w14:paraId="4AD0989D" w14:textId="77777777" w:rsidR="00E14774" w:rsidRPr="00985BCC" w:rsidRDefault="00E14774" w:rsidP="00DC46C4">
                  <w:pPr>
                    <w:keepNext w:val="0"/>
                    <w:spacing w:before="0"/>
                  </w:pPr>
                </w:p>
              </w:tc>
              <w:tc>
                <w:tcPr>
                  <w:tcW w:w="6085" w:type="dxa"/>
                </w:tcPr>
                <w:p w14:paraId="3F7B8B16" w14:textId="016799BF" w:rsidR="00E14774" w:rsidRPr="00E14774" w:rsidRDefault="00E14774" w:rsidP="00DC46C4">
                  <w:pPr>
                    <w:keepNext w:val="0"/>
                    <w:spacing w:before="0"/>
                    <w:rPr>
                      <w:b/>
                      <w:bCs/>
                    </w:rPr>
                  </w:pPr>
                  <w:r w:rsidRPr="00E14774">
                    <w:rPr>
                      <w:b/>
                      <w:bCs/>
                    </w:rPr>
                    <w:t>TOTAL</w:t>
                  </w:r>
                </w:p>
              </w:tc>
              <w:tc>
                <w:tcPr>
                  <w:tcW w:w="1683" w:type="dxa"/>
                </w:tcPr>
                <w:p w14:paraId="0193B2D9" w14:textId="3C00B978" w:rsidR="00E14774" w:rsidRPr="00E14774" w:rsidRDefault="00E14774" w:rsidP="00E14774">
                  <w:pPr>
                    <w:keepNext w:val="0"/>
                    <w:spacing w:before="0"/>
                    <w:jc w:val="center"/>
                    <w:rPr>
                      <w:b/>
                      <w:bCs/>
                    </w:rPr>
                  </w:pPr>
                  <w:r>
                    <w:rPr>
                      <w:b/>
                      <w:bCs/>
                    </w:rPr>
                    <w:t>43.94</w:t>
                  </w:r>
                </w:p>
              </w:tc>
            </w:tr>
          </w:tbl>
          <w:p w14:paraId="2073D6B5" w14:textId="77777777" w:rsidR="00945E91" w:rsidRPr="00945E91" w:rsidRDefault="00945E91" w:rsidP="00945E91">
            <w:pPr>
              <w:keepNext w:val="0"/>
              <w:tabs>
                <w:tab w:val="left" w:pos="680"/>
              </w:tabs>
              <w:spacing w:before="0"/>
              <w:rPr>
                <w:rFonts w:eastAsia="Arial"/>
                <w:bCs/>
                <w:color w:val="538135"/>
              </w:rPr>
            </w:pPr>
          </w:p>
        </w:tc>
      </w:tr>
      <w:tr w:rsidR="00945E91" w:rsidRPr="00945E91" w14:paraId="2E77088E" w14:textId="77777777" w:rsidTr="00D17B5C">
        <w:tc>
          <w:tcPr>
            <w:tcW w:w="1980" w:type="dxa"/>
          </w:tcPr>
          <w:p w14:paraId="0B7A19FD" w14:textId="77777777" w:rsidR="00945E91" w:rsidRPr="00945E91" w:rsidRDefault="00945E91" w:rsidP="000032A9">
            <w:pPr>
              <w:keepNext w:val="0"/>
              <w:tabs>
                <w:tab w:val="left" w:pos="680"/>
                <w:tab w:val="left" w:pos="1133"/>
                <w:tab w:val="left" w:pos="2267"/>
              </w:tabs>
              <w:spacing w:before="0"/>
              <w:ind w:right="284"/>
              <w:rPr>
                <w:rFonts w:eastAsia="Arial"/>
                <w:b/>
                <w:color w:val="002060"/>
                <w:szCs w:val="24"/>
              </w:rPr>
            </w:pPr>
            <w:r w:rsidRPr="00945E91">
              <w:rPr>
                <w:rFonts w:eastAsia="Arial"/>
                <w:bCs/>
                <w:color w:val="auto"/>
                <w:sz w:val="20"/>
              </w:rPr>
              <w:t>Evidence base</w:t>
            </w:r>
          </w:p>
        </w:tc>
        <w:tc>
          <w:tcPr>
            <w:tcW w:w="7654" w:type="dxa"/>
            <w:gridSpan w:val="2"/>
          </w:tcPr>
          <w:p w14:paraId="6643BA7A" w14:textId="6FE1960A" w:rsidR="00945E91" w:rsidRPr="00985BCC" w:rsidRDefault="00945E91" w:rsidP="00A05D94">
            <w:pPr>
              <w:keepNext w:val="0"/>
              <w:numPr>
                <w:ilvl w:val="0"/>
                <w:numId w:val="24"/>
              </w:numPr>
              <w:tabs>
                <w:tab w:val="left" w:pos="680"/>
                <w:tab w:val="left" w:pos="1133"/>
                <w:tab w:val="left" w:pos="2267"/>
              </w:tabs>
              <w:spacing w:before="0" w:after="160" w:line="252" w:lineRule="auto"/>
              <w:ind w:right="284"/>
              <w:contextualSpacing/>
              <w:jc w:val="left"/>
              <w:rPr>
                <w:rFonts w:eastAsia="Arial"/>
                <w:bCs/>
                <w:sz w:val="20"/>
              </w:rPr>
            </w:pPr>
            <w:r w:rsidRPr="00985BCC">
              <w:rPr>
                <w:rFonts w:eastAsia="Arial"/>
                <w:bCs/>
                <w:sz w:val="20"/>
              </w:rPr>
              <w:t xml:space="preserve">Background Paper </w:t>
            </w:r>
            <w:r w:rsidR="00A05D94" w:rsidRPr="00985BCC">
              <w:rPr>
                <w:rFonts w:eastAsia="Arial"/>
                <w:bCs/>
                <w:sz w:val="20"/>
              </w:rPr>
              <w:t>No 1:</w:t>
            </w:r>
            <w:r w:rsidRPr="00985BCC">
              <w:rPr>
                <w:rFonts w:eastAsia="Arial"/>
                <w:bCs/>
                <w:sz w:val="20"/>
              </w:rPr>
              <w:t xml:space="preserve"> Spatial Strategy and </w:t>
            </w:r>
            <w:r w:rsidR="00A32846" w:rsidRPr="00985BCC">
              <w:rPr>
                <w:rFonts w:eastAsia="Arial"/>
                <w:bCs/>
                <w:sz w:val="20"/>
              </w:rPr>
              <w:t>Site Selection 2023</w:t>
            </w:r>
            <w:r w:rsidRPr="00985BCC">
              <w:rPr>
                <w:rFonts w:eastAsia="Arial"/>
                <w:bCs/>
                <w:sz w:val="20"/>
              </w:rPr>
              <w:t>. Ashfield District Council</w:t>
            </w:r>
          </w:p>
          <w:p w14:paraId="4F55C3AB" w14:textId="36415E25" w:rsidR="00945E91" w:rsidRPr="00985BCC" w:rsidRDefault="00945E91" w:rsidP="00A05D94">
            <w:pPr>
              <w:keepNext w:val="0"/>
              <w:numPr>
                <w:ilvl w:val="0"/>
                <w:numId w:val="24"/>
              </w:numPr>
              <w:tabs>
                <w:tab w:val="left" w:pos="680"/>
                <w:tab w:val="left" w:pos="1133"/>
                <w:tab w:val="left" w:pos="2267"/>
              </w:tabs>
              <w:spacing w:before="0" w:after="160" w:line="252" w:lineRule="auto"/>
              <w:ind w:right="284"/>
              <w:contextualSpacing/>
              <w:jc w:val="left"/>
              <w:rPr>
                <w:rFonts w:eastAsia="Arial"/>
                <w:bCs/>
                <w:sz w:val="20"/>
              </w:rPr>
            </w:pPr>
            <w:r w:rsidRPr="00985BCC">
              <w:rPr>
                <w:rFonts w:eastAsia="Arial"/>
                <w:bCs/>
                <w:sz w:val="20"/>
              </w:rPr>
              <w:t xml:space="preserve">Background Paper </w:t>
            </w:r>
            <w:r w:rsidR="00A05D94" w:rsidRPr="00985BCC">
              <w:rPr>
                <w:rFonts w:eastAsia="Arial"/>
                <w:bCs/>
                <w:sz w:val="20"/>
              </w:rPr>
              <w:t>No 3:</w:t>
            </w:r>
            <w:r w:rsidRPr="00985BCC">
              <w:rPr>
                <w:rFonts w:eastAsia="Arial"/>
                <w:bCs/>
                <w:sz w:val="20"/>
              </w:rPr>
              <w:t xml:space="preserve"> </w:t>
            </w:r>
            <w:r w:rsidR="000032A9" w:rsidRPr="00985BCC">
              <w:rPr>
                <w:rFonts w:eastAsia="Arial"/>
                <w:bCs/>
                <w:sz w:val="20"/>
              </w:rPr>
              <w:t xml:space="preserve">Economy &amp; </w:t>
            </w:r>
            <w:r w:rsidRPr="00985BCC">
              <w:rPr>
                <w:rFonts w:eastAsia="Arial"/>
                <w:bCs/>
                <w:sz w:val="20"/>
              </w:rPr>
              <w:t>Employment Land 2021.  Ashfield District Council.</w:t>
            </w:r>
          </w:p>
          <w:p w14:paraId="28405FCC" w14:textId="77777777" w:rsidR="00945E91" w:rsidRPr="00985BCC" w:rsidRDefault="00945E91" w:rsidP="00A05D94">
            <w:pPr>
              <w:keepNext w:val="0"/>
              <w:numPr>
                <w:ilvl w:val="0"/>
                <w:numId w:val="24"/>
              </w:numPr>
              <w:tabs>
                <w:tab w:val="left" w:pos="680"/>
                <w:tab w:val="left" w:pos="1133"/>
                <w:tab w:val="left" w:pos="2267"/>
              </w:tabs>
              <w:spacing w:before="0" w:after="160" w:line="252" w:lineRule="auto"/>
              <w:ind w:right="284"/>
              <w:contextualSpacing/>
              <w:jc w:val="left"/>
              <w:rPr>
                <w:rFonts w:eastAsia="Arial"/>
                <w:bCs/>
                <w:sz w:val="20"/>
              </w:rPr>
            </w:pPr>
            <w:r w:rsidRPr="00985BCC">
              <w:rPr>
                <w:rFonts w:eastAsia="Arial"/>
                <w:bCs/>
                <w:sz w:val="20"/>
              </w:rPr>
              <w:t>The Nottingham Core HMA and Nottingham Outer HMA Employment Land Needs Study, 2021.  Lichfield.</w:t>
            </w:r>
          </w:p>
          <w:p w14:paraId="48A7E56F" w14:textId="5FAC0B58" w:rsidR="00945E91" w:rsidRPr="00985BCC" w:rsidRDefault="00945E91" w:rsidP="00A05D94">
            <w:pPr>
              <w:keepNext w:val="0"/>
              <w:numPr>
                <w:ilvl w:val="0"/>
                <w:numId w:val="24"/>
              </w:numPr>
              <w:tabs>
                <w:tab w:val="left" w:pos="680"/>
                <w:tab w:val="left" w:pos="1133"/>
                <w:tab w:val="left" w:pos="2267"/>
              </w:tabs>
              <w:spacing w:before="0" w:after="160" w:line="252" w:lineRule="auto"/>
              <w:ind w:right="284"/>
              <w:contextualSpacing/>
              <w:jc w:val="left"/>
              <w:rPr>
                <w:rFonts w:eastAsia="Arial"/>
                <w:bCs/>
                <w:sz w:val="20"/>
              </w:rPr>
            </w:pPr>
            <w:r w:rsidRPr="00985BCC">
              <w:rPr>
                <w:rFonts w:eastAsia="Arial"/>
                <w:bCs/>
                <w:sz w:val="20"/>
              </w:rPr>
              <w:t>Strategic Housing and Employment Land Availability Assessment 2021</w:t>
            </w:r>
            <w:r w:rsidR="00AE785A">
              <w:rPr>
                <w:rFonts w:eastAsia="Arial"/>
                <w:bCs/>
                <w:sz w:val="20"/>
              </w:rPr>
              <w:t xml:space="preserve"> - 2023</w:t>
            </w:r>
            <w:r w:rsidRPr="00985BCC">
              <w:rPr>
                <w:rFonts w:eastAsia="Arial"/>
                <w:bCs/>
                <w:sz w:val="20"/>
              </w:rPr>
              <w:t>. Ashfield District Council.</w:t>
            </w:r>
          </w:p>
          <w:p w14:paraId="6C19A25F" w14:textId="2C2219CB" w:rsidR="00945E91" w:rsidRPr="00985BCC" w:rsidRDefault="00945E91" w:rsidP="00A05D94">
            <w:pPr>
              <w:keepNext w:val="0"/>
              <w:numPr>
                <w:ilvl w:val="0"/>
                <w:numId w:val="24"/>
              </w:numPr>
              <w:tabs>
                <w:tab w:val="left" w:pos="680"/>
                <w:tab w:val="left" w:pos="1133"/>
                <w:tab w:val="left" w:pos="2267"/>
              </w:tabs>
              <w:spacing w:before="0" w:after="160" w:line="252" w:lineRule="auto"/>
              <w:ind w:right="284"/>
              <w:contextualSpacing/>
              <w:jc w:val="left"/>
              <w:rPr>
                <w:rFonts w:eastAsia="Arial"/>
                <w:bCs/>
                <w:sz w:val="20"/>
              </w:rPr>
            </w:pPr>
            <w:r w:rsidRPr="00985BCC">
              <w:rPr>
                <w:rFonts w:eastAsia="Arial"/>
                <w:bCs/>
                <w:sz w:val="20"/>
              </w:rPr>
              <w:t>Sustainability Appraisal 202</w:t>
            </w:r>
            <w:r w:rsidR="007641C1" w:rsidRPr="00985BCC">
              <w:rPr>
                <w:rFonts w:eastAsia="Arial"/>
                <w:bCs/>
                <w:sz w:val="20"/>
              </w:rPr>
              <w:t>3</w:t>
            </w:r>
            <w:r w:rsidRPr="00985BCC">
              <w:rPr>
                <w:rFonts w:eastAsia="Arial"/>
                <w:bCs/>
                <w:sz w:val="20"/>
              </w:rPr>
              <w:t xml:space="preserve">, </w:t>
            </w:r>
            <w:r w:rsidR="007641C1" w:rsidRPr="00985BCC">
              <w:rPr>
                <w:rFonts w:eastAsia="Arial"/>
                <w:bCs/>
                <w:sz w:val="20"/>
              </w:rPr>
              <w:t>WSP UK Limited.</w:t>
            </w:r>
          </w:p>
        </w:tc>
      </w:tr>
      <w:tr w:rsidR="00945E91" w:rsidRPr="00945E91" w14:paraId="4B76AFBD" w14:textId="77777777" w:rsidTr="00D17B5C">
        <w:tc>
          <w:tcPr>
            <w:tcW w:w="1980" w:type="dxa"/>
          </w:tcPr>
          <w:p w14:paraId="278FF4BF" w14:textId="77777777" w:rsidR="00945E91" w:rsidRPr="00945E91" w:rsidRDefault="00945E91" w:rsidP="000032A9">
            <w:pPr>
              <w:keepNext w:val="0"/>
              <w:tabs>
                <w:tab w:val="left" w:pos="680"/>
                <w:tab w:val="left" w:pos="1133"/>
                <w:tab w:val="left" w:pos="2267"/>
              </w:tabs>
              <w:spacing w:before="0"/>
              <w:ind w:right="284"/>
              <w:rPr>
                <w:rFonts w:eastAsia="Arial"/>
                <w:b/>
                <w:color w:val="538135"/>
                <w:sz w:val="22"/>
              </w:rPr>
            </w:pPr>
            <w:r w:rsidRPr="00945E91">
              <w:rPr>
                <w:rFonts w:eastAsia="Arial"/>
                <w:bCs/>
                <w:color w:val="auto"/>
                <w:sz w:val="20"/>
              </w:rPr>
              <w:t>National Planning Policy and Guidance</w:t>
            </w:r>
          </w:p>
        </w:tc>
        <w:tc>
          <w:tcPr>
            <w:tcW w:w="7654" w:type="dxa"/>
            <w:gridSpan w:val="2"/>
          </w:tcPr>
          <w:p w14:paraId="58AD0FF6" w14:textId="64E501FE" w:rsidR="00945E91" w:rsidRPr="00985BCC" w:rsidRDefault="00945E91" w:rsidP="00A05D94">
            <w:pPr>
              <w:keepNext w:val="0"/>
              <w:numPr>
                <w:ilvl w:val="0"/>
                <w:numId w:val="25"/>
              </w:numPr>
              <w:spacing w:before="0" w:after="160" w:line="252" w:lineRule="auto"/>
              <w:contextualSpacing/>
              <w:jc w:val="left"/>
              <w:rPr>
                <w:rFonts w:cs="Arial"/>
                <w:bCs/>
                <w:sz w:val="20"/>
                <w:u w:val="single"/>
              </w:rPr>
            </w:pPr>
            <w:r w:rsidRPr="00985BCC">
              <w:rPr>
                <w:rFonts w:eastAsia="Arial"/>
                <w:bCs/>
                <w:sz w:val="20"/>
              </w:rPr>
              <w:t>NPPF 202</w:t>
            </w:r>
            <w:r w:rsidR="004173E0" w:rsidRPr="00985BCC">
              <w:rPr>
                <w:rFonts w:eastAsia="Arial"/>
                <w:bCs/>
                <w:sz w:val="20"/>
              </w:rPr>
              <w:t>3</w:t>
            </w:r>
            <w:r w:rsidRPr="00985BCC">
              <w:rPr>
                <w:rFonts w:eastAsia="Arial"/>
                <w:bCs/>
                <w:sz w:val="20"/>
              </w:rPr>
              <w:t>, Part 2: Achieving sustainable development.</w:t>
            </w:r>
          </w:p>
          <w:p w14:paraId="024A42A3" w14:textId="16C81354" w:rsidR="00945E91" w:rsidRPr="00985BCC" w:rsidRDefault="00945E91" w:rsidP="00A05D94">
            <w:pPr>
              <w:keepNext w:val="0"/>
              <w:numPr>
                <w:ilvl w:val="0"/>
                <w:numId w:val="25"/>
              </w:numPr>
              <w:tabs>
                <w:tab w:val="left" w:pos="680"/>
                <w:tab w:val="left" w:pos="1133"/>
                <w:tab w:val="left" w:pos="2267"/>
              </w:tabs>
              <w:spacing w:before="0" w:after="160" w:line="252" w:lineRule="auto"/>
              <w:ind w:right="284"/>
              <w:contextualSpacing/>
              <w:jc w:val="left"/>
              <w:rPr>
                <w:rFonts w:eastAsia="Arial"/>
                <w:bCs/>
                <w:sz w:val="20"/>
              </w:rPr>
            </w:pPr>
            <w:r w:rsidRPr="00985BCC">
              <w:rPr>
                <w:rFonts w:eastAsia="Arial"/>
                <w:bCs/>
                <w:sz w:val="20"/>
              </w:rPr>
              <w:t>NPPF 202</w:t>
            </w:r>
            <w:r w:rsidR="004173E0" w:rsidRPr="00985BCC">
              <w:rPr>
                <w:rFonts w:eastAsia="Arial"/>
                <w:bCs/>
                <w:sz w:val="20"/>
              </w:rPr>
              <w:t>3</w:t>
            </w:r>
            <w:r w:rsidRPr="00985BCC">
              <w:rPr>
                <w:rFonts w:eastAsia="Arial"/>
                <w:bCs/>
                <w:sz w:val="20"/>
              </w:rPr>
              <w:t xml:space="preserve">, Part 6: </w:t>
            </w:r>
            <w:r w:rsidRPr="00985BCC">
              <w:rPr>
                <w:bCs/>
                <w:sz w:val="20"/>
              </w:rPr>
              <w:t>Building a strong, competitive economy.</w:t>
            </w:r>
          </w:p>
          <w:p w14:paraId="75EB1AC3" w14:textId="79705C4A" w:rsidR="00945E91" w:rsidRPr="00985BCC" w:rsidRDefault="00945E91" w:rsidP="00A05D94">
            <w:pPr>
              <w:keepNext w:val="0"/>
              <w:numPr>
                <w:ilvl w:val="0"/>
                <w:numId w:val="25"/>
              </w:numPr>
              <w:spacing w:before="0" w:after="160" w:line="252" w:lineRule="auto"/>
              <w:contextualSpacing/>
              <w:jc w:val="left"/>
              <w:rPr>
                <w:rFonts w:cs="Arial"/>
                <w:bCs/>
                <w:sz w:val="20"/>
                <w:u w:val="single"/>
              </w:rPr>
            </w:pPr>
            <w:r w:rsidRPr="00985BCC">
              <w:rPr>
                <w:rFonts w:eastAsia="Arial"/>
                <w:bCs/>
                <w:sz w:val="20"/>
              </w:rPr>
              <w:t>NPPF 202</w:t>
            </w:r>
            <w:r w:rsidR="004173E0" w:rsidRPr="00985BCC">
              <w:rPr>
                <w:rFonts w:eastAsia="Arial"/>
                <w:bCs/>
                <w:sz w:val="20"/>
              </w:rPr>
              <w:t>3</w:t>
            </w:r>
            <w:r w:rsidRPr="00985BCC">
              <w:rPr>
                <w:rFonts w:eastAsia="Arial"/>
                <w:bCs/>
                <w:sz w:val="20"/>
              </w:rPr>
              <w:t xml:space="preserve"> Part 11: Making effective use of land.</w:t>
            </w:r>
          </w:p>
          <w:p w14:paraId="576EA9D8" w14:textId="14A03F8E" w:rsidR="00945E91" w:rsidRPr="00985BCC" w:rsidRDefault="00945E91" w:rsidP="00A05D94">
            <w:pPr>
              <w:keepNext w:val="0"/>
              <w:numPr>
                <w:ilvl w:val="0"/>
                <w:numId w:val="25"/>
              </w:numPr>
              <w:spacing w:before="0" w:after="160" w:line="252" w:lineRule="auto"/>
              <w:contextualSpacing/>
              <w:jc w:val="left"/>
              <w:rPr>
                <w:bCs/>
                <w:sz w:val="20"/>
              </w:rPr>
            </w:pPr>
            <w:r w:rsidRPr="00985BCC">
              <w:rPr>
                <w:bCs/>
                <w:sz w:val="20"/>
              </w:rPr>
              <w:t xml:space="preserve">Planning Practice Guidance: Housing and economic land availability assessment as </w:t>
            </w:r>
            <w:r w:rsidR="0020638E" w:rsidRPr="00985BCC">
              <w:rPr>
                <w:bCs/>
                <w:sz w:val="20"/>
              </w:rPr>
              <w:t>at</w:t>
            </w:r>
            <w:r w:rsidRPr="00985BCC">
              <w:rPr>
                <w:bCs/>
                <w:sz w:val="20"/>
              </w:rPr>
              <w:t xml:space="preserve"> </w:t>
            </w:r>
            <w:r w:rsidR="007641C1" w:rsidRPr="00985BCC">
              <w:rPr>
                <w:bCs/>
                <w:sz w:val="20"/>
              </w:rPr>
              <w:t>July 2019</w:t>
            </w:r>
            <w:r w:rsidRPr="00985BCC">
              <w:rPr>
                <w:bCs/>
                <w:sz w:val="20"/>
              </w:rPr>
              <w:t>.</w:t>
            </w:r>
          </w:p>
        </w:tc>
      </w:tr>
    </w:tbl>
    <w:p w14:paraId="1D52D555" w14:textId="77777777" w:rsidR="00945E91" w:rsidRDefault="00945E91" w:rsidP="00945E91">
      <w:pPr>
        <w:pStyle w:val="ListParagraph"/>
        <w:rPr>
          <w:rFonts w:cs="Arial"/>
          <w:color w:val="auto"/>
          <w:szCs w:val="24"/>
        </w:rPr>
      </w:pPr>
    </w:p>
    <w:p w14:paraId="711A73C5" w14:textId="00C473AF" w:rsidR="005759AB" w:rsidRPr="00253BF8" w:rsidRDefault="00265BB0" w:rsidP="00D01157">
      <w:pPr>
        <w:keepNext w:val="0"/>
        <w:numPr>
          <w:ilvl w:val="1"/>
          <w:numId w:val="28"/>
        </w:numPr>
        <w:tabs>
          <w:tab w:val="clear" w:pos="525"/>
        </w:tabs>
        <w:spacing w:before="0"/>
        <w:ind w:left="709" w:hanging="709"/>
        <w:rPr>
          <w:rFonts w:cs="Arial"/>
          <w:color w:val="auto"/>
          <w:szCs w:val="24"/>
          <w:lang w:eastAsia="en-US"/>
        </w:rPr>
      </w:pPr>
      <w:r w:rsidRPr="00265BB0">
        <w:rPr>
          <w:rFonts w:cs="Arial"/>
          <w:color w:val="auto"/>
          <w:szCs w:val="24"/>
          <w:lang w:eastAsia="en-US"/>
        </w:rPr>
        <w:t>The supply of employment land s</w:t>
      </w:r>
      <w:r>
        <w:rPr>
          <w:rFonts w:cs="Arial"/>
          <w:color w:val="auto"/>
          <w:szCs w:val="24"/>
          <w:lang w:eastAsia="en-US"/>
        </w:rPr>
        <w:t>i</w:t>
      </w:r>
      <w:r w:rsidRPr="00265BB0">
        <w:rPr>
          <w:rFonts w:cs="Arial"/>
          <w:color w:val="auto"/>
          <w:szCs w:val="24"/>
          <w:lang w:eastAsia="en-US"/>
        </w:rPr>
        <w:t xml:space="preserve">tes is derived from existing employment land allocations, land submitted for employment purposes through the Strategic Housing </w:t>
      </w:r>
      <w:r w:rsidRPr="00253BF8">
        <w:rPr>
          <w:rFonts w:cs="Arial"/>
          <w:color w:val="auto"/>
          <w:szCs w:val="24"/>
          <w:lang w:eastAsia="en-US"/>
        </w:rPr>
        <w:t xml:space="preserve">and Employment </w:t>
      </w:r>
      <w:r w:rsidR="00727EAC">
        <w:rPr>
          <w:rFonts w:cs="Arial"/>
          <w:color w:val="auto"/>
          <w:szCs w:val="24"/>
          <w:lang w:eastAsia="en-US"/>
        </w:rPr>
        <w:t>L</w:t>
      </w:r>
      <w:r w:rsidRPr="00253BF8">
        <w:rPr>
          <w:rFonts w:cs="Arial"/>
          <w:color w:val="auto"/>
          <w:szCs w:val="24"/>
          <w:lang w:eastAsia="en-US"/>
        </w:rPr>
        <w:t xml:space="preserve">and </w:t>
      </w:r>
      <w:r w:rsidR="00727EAC">
        <w:rPr>
          <w:rFonts w:cs="Arial"/>
          <w:color w:val="auto"/>
          <w:szCs w:val="24"/>
          <w:lang w:eastAsia="en-US"/>
        </w:rPr>
        <w:t xml:space="preserve">Availability </w:t>
      </w:r>
      <w:r w:rsidRPr="00253BF8">
        <w:rPr>
          <w:rFonts w:cs="Arial"/>
          <w:color w:val="auto"/>
          <w:szCs w:val="24"/>
          <w:lang w:eastAsia="en-US"/>
        </w:rPr>
        <w:t xml:space="preserve">Assessment </w:t>
      </w:r>
      <w:r w:rsidR="00727EAC">
        <w:rPr>
          <w:rFonts w:cs="Arial"/>
          <w:color w:val="auto"/>
          <w:szCs w:val="24"/>
          <w:lang w:eastAsia="en-US"/>
        </w:rPr>
        <w:t xml:space="preserve">(SHELAA) </w:t>
      </w:r>
      <w:r w:rsidRPr="00253BF8">
        <w:rPr>
          <w:rFonts w:cs="Arial"/>
          <w:color w:val="auto"/>
          <w:szCs w:val="24"/>
          <w:lang w:eastAsia="en-US"/>
        </w:rPr>
        <w:t xml:space="preserve">and from existing planning permissions. </w:t>
      </w:r>
    </w:p>
    <w:p w14:paraId="6B818DD3" w14:textId="77777777" w:rsidR="005759AB" w:rsidRPr="00253BF8" w:rsidRDefault="005759AB" w:rsidP="005759AB">
      <w:pPr>
        <w:keepNext w:val="0"/>
        <w:spacing w:before="0"/>
        <w:ind w:left="709"/>
        <w:rPr>
          <w:rFonts w:cs="Arial"/>
          <w:color w:val="auto"/>
          <w:szCs w:val="24"/>
          <w:lang w:eastAsia="en-US"/>
        </w:rPr>
      </w:pPr>
    </w:p>
    <w:p w14:paraId="42994663" w14:textId="6370761B" w:rsidR="005759AB" w:rsidRDefault="005759AB" w:rsidP="00D01157">
      <w:pPr>
        <w:keepNext w:val="0"/>
        <w:numPr>
          <w:ilvl w:val="1"/>
          <w:numId w:val="28"/>
        </w:numPr>
        <w:tabs>
          <w:tab w:val="clear" w:pos="525"/>
        </w:tabs>
        <w:spacing w:before="0"/>
        <w:ind w:left="709" w:hanging="709"/>
        <w:rPr>
          <w:rFonts w:cs="Arial"/>
          <w:color w:val="auto"/>
          <w:szCs w:val="24"/>
          <w:lang w:eastAsia="en-US"/>
        </w:rPr>
      </w:pPr>
      <w:bookmarkStart w:id="251" w:name="_Hlk147997510"/>
      <w:bookmarkStart w:id="252" w:name="_Hlk147920853"/>
      <w:r w:rsidRPr="00253BF8">
        <w:rPr>
          <w:rFonts w:eastAsia="Arial" w:cs="Arial"/>
          <w:color w:val="auto"/>
        </w:rPr>
        <w:t xml:space="preserve">The </w:t>
      </w:r>
      <w:r w:rsidR="00253BF8" w:rsidRPr="00253BF8">
        <w:rPr>
          <w:rFonts w:eastAsia="Arial" w:cs="Arial"/>
          <w:color w:val="auto"/>
        </w:rPr>
        <w:t>e</w:t>
      </w:r>
      <w:r w:rsidR="003552FD" w:rsidRPr="00253BF8">
        <w:rPr>
          <w:rFonts w:eastAsia="Arial" w:cs="Arial"/>
          <w:color w:val="auto"/>
        </w:rPr>
        <w:t>mployment land demand under Policy S</w:t>
      </w:r>
      <w:r w:rsidR="00E14774">
        <w:rPr>
          <w:rFonts w:eastAsia="Arial" w:cs="Arial"/>
          <w:color w:val="auto"/>
        </w:rPr>
        <w:t>8</w:t>
      </w:r>
      <w:r w:rsidR="003552FD" w:rsidRPr="00253BF8">
        <w:rPr>
          <w:rFonts w:eastAsia="Arial" w:cs="Arial"/>
          <w:color w:val="auto"/>
        </w:rPr>
        <w:t xml:space="preserve"> requires </w:t>
      </w:r>
      <w:r w:rsidRPr="00253BF8">
        <w:rPr>
          <w:rFonts w:eastAsia="Arial" w:cs="Arial"/>
          <w:color w:val="auto"/>
        </w:rPr>
        <w:t>8</w:t>
      </w:r>
      <w:r w:rsidR="00051133" w:rsidRPr="00253BF8">
        <w:rPr>
          <w:rFonts w:eastAsia="Arial" w:cs="Arial"/>
          <w:color w:val="auto"/>
        </w:rPr>
        <w:t>1</w:t>
      </w:r>
      <w:r w:rsidRPr="00253BF8">
        <w:rPr>
          <w:rFonts w:eastAsia="Arial" w:cs="Arial"/>
          <w:color w:val="auto"/>
        </w:rPr>
        <w:t xml:space="preserve"> ha of employment land from 20</w:t>
      </w:r>
      <w:r w:rsidR="00051133" w:rsidRPr="00253BF8">
        <w:rPr>
          <w:rFonts w:eastAsia="Arial" w:cs="Arial"/>
          <w:color w:val="auto"/>
        </w:rPr>
        <w:t>23</w:t>
      </w:r>
      <w:r w:rsidRPr="00253BF8">
        <w:rPr>
          <w:rFonts w:eastAsia="Arial" w:cs="Arial"/>
          <w:color w:val="auto"/>
        </w:rPr>
        <w:t xml:space="preserve"> to 20</w:t>
      </w:r>
      <w:r w:rsidR="00051133" w:rsidRPr="00253BF8">
        <w:rPr>
          <w:rFonts w:eastAsia="Arial" w:cs="Arial"/>
          <w:color w:val="auto"/>
        </w:rPr>
        <w:t>40</w:t>
      </w:r>
      <w:r w:rsidRPr="00253BF8">
        <w:rPr>
          <w:rFonts w:eastAsia="Arial" w:cs="Arial"/>
          <w:color w:val="auto"/>
        </w:rPr>
        <w:t>.</w:t>
      </w:r>
      <w:r w:rsidRPr="00253BF8">
        <w:rPr>
          <w:rFonts w:cs="Arial"/>
          <w:color w:val="auto"/>
          <w:szCs w:val="24"/>
          <w:lang w:eastAsia="en-US"/>
        </w:rPr>
        <w:t xml:space="preserve">  </w:t>
      </w:r>
      <w:r w:rsidR="003552FD" w:rsidRPr="00253BF8">
        <w:rPr>
          <w:rFonts w:cs="Arial"/>
          <w:color w:val="auto"/>
          <w:szCs w:val="24"/>
          <w:lang w:eastAsia="en-US"/>
        </w:rPr>
        <w:t>T</w:t>
      </w:r>
      <w:r w:rsidR="00253BF8" w:rsidRPr="00253BF8">
        <w:rPr>
          <w:rFonts w:cs="Arial"/>
          <w:color w:val="auto"/>
          <w:szCs w:val="24"/>
          <w:lang w:eastAsia="en-US"/>
        </w:rPr>
        <w:t xml:space="preserve">his </w:t>
      </w:r>
      <w:r w:rsidR="003552FD" w:rsidRPr="00253BF8">
        <w:rPr>
          <w:rFonts w:cs="Arial"/>
          <w:color w:val="auto"/>
          <w:szCs w:val="24"/>
          <w:lang w:eastAsia="en-US"/>
        </w:rPr>
        <w:t>requirement</w:t>
      </w:r>
      <w:r w:rsidR="00253BF8" w:rsidRPr="00253BF8">
        <w:rPr>
          <w:rFonts w:cs="Arial"/>
          <w:color w:val="auto"/>
          <w:szCs w:val="24"/>
          <w:lang w:eastAsia="en-US"/>
        </w:rPr>
        <w:t xml:space="preserve"> will be met by</w:t>
      </w:r>
      <w:r w:rsidRPr="00253BF8">
        <w:rPr>
          <w:rFonts w:cs="Arial"/>
          <w:color w:val="auto"/>
          <w:szCs w:val="24"/>
          <w:lang w:eastAsia="en-US"/>
        </w:rPr>
        <w:t>:</w:t>
      </w:r>
    </w:p>
    <w:p w14:paraId="6DDB7EA8" w14:textId="77777777" w:rsidR="0043727A" w:rsidRDefault="0043727A" w:rsidP="0043727A">
      <w:pPr>
        <w:pStyle w:val="ListParagraph"/>
        <w:rPr>
          <w:rFonts w:cs="Arial"/>
          <w:color w:val="auto"/>
          <w:szCs w:val="24"/>
        </w:rPr>
      </w:pPr>
    </w:p>
    <w:p w14:paraId="3733D7BA" w14:textId="192E312A" w:rsidR="0043727A" w:rsidRPr="00253BF8" w:rsidRDefault="00E14774" w:rsidP="00874A98">
      <w:pPr>
        <w:pStyle w:val="ListParagraph"/>
        <w:numPr>
          <w:ilvl w:val="0"/>
          <w:numId w:val="302"/>
        </w:numPr>
        <w:spacing w:after="0" w:line="240" w:lineRule="auto"/>
        <w:rPr>
          <w:rFonts w:ascii="Arial" w:hAnsi="Arial" w:cs="Arial"/>
          <w:color w:val="auto"/>
          <w:szCs w:val="24"/>
        </w:rPr>
      </w:pPr>
      <w:r>
        <w:rPr>
          <w:rFonts w:ascii="Arial" w:eastAsia="Arial" w:hAnsi="Arial" w:cs="Arial"/>
          <w:color w:val="auto"/>
        </w:rPr>
        <w:t xml:space="preserve">Strategic Policy S6 - </w:t>
      </w:r>
      <w:r w:rsidR="0043727A" w:rsidRPr="00253BF8">
        <w:rPr>
          <w:rFonts w:ascii="Arial" w:eastAsia="Arial" w:hAnsi="Arial" w:cs="Arial"/>
          <w:color w:val="auto"/>
        </w:rPr>
        <w:t>Protecting and allocating approximately 40.92 ha (net developable area) of employment land at the District’s Strategic Employment Area of Sherwood Business Park / M1 Motorway junction 27 as shown on the Policies Map for logistics and distribution.  Part of this allocation is required by High Speed Railway Phase 2b as a compound for the construction of HS2. Consequently, it is unlikely to come forward until the latter stages of the Plan period.</w:t>
      </w:r>
    </w:p>
    <w:p w14:paraId="5AE7BB88" w14:textId="77777777" w:rsidR="0043727A" w:rsidRPr="00253BF8" w:rsidRDefault="0043727A" w:rsidP="0043727A">
      <w:pPr>
        <w:pStyle w:val="ListParagraph"/>
        <w:spacing w:after="0" w:line="240" w:lineRule="auto"/>
        <w:ind w:left="1080"/>
        <w:rPr>
          <w:rFonts w:ascii="Arial" w:hAnsi="Arial" w:cs="Arial"/>
          <w:color w:val="auto"/>
          <w:szCs w:val="24"/>
        </w:rPr>
      </w:pPr>
    </w:p>
    <w:p w14:paraId="07123CC2" w14:textId="24A55CE2" w:rsidR="0043727A" w:rsidRPr="00253BF8" w:rsidRDefault="00E14774" w:rsidP="00874A98">
      <w:pPr>
        <w:pStyle w:val="ListParagraph"/>
        <w:numPr>
          <w:ilvl w:val="0"/>
          <w:numId w:val="302"/>
        </w:numPr>
        <w:spacing w:after="0" w:line="240" w:lineRule="auto"/>
        <w:rPr>
          <w:rFonts w:ascii="Arial" w:hAnsi="Arial" w:cs="Arial"/>
          <w:color w:val="auto"/>
          <w:szCs w:val="24"/>
        </w:rPr>
      </w:pPr>
      <w:r>
        <w:rPr>
          <w:rFonts w:ascii="Arial" w:hAnsi="Arial" w:cs="Arial"/>
          <w:color w:val="auto"/>
          <w:szCs w:val="24"/>
        </w:rPr>
        <w:t>Policy EM2 -</w:t>
      </w:r>
      <w:r w:rsidR="0043727A" w:rsidRPr="00253BF8">
        <w:rPr>
          <w:rFonts w:ascii="Arial" w:hAnsi="Arial" w:cs="Arial"/>
          <w:color w:val="auto"/>
          <w:szCs w:val="24"/>
        </w:rPr>
        <w:t>Two new allocations at Hamilton Road, Sutton in Ashfield comprising approximately 3.34 ha.</w:t>
      </w:r>
    </w:p>
    <w:p w14:paraId="61B1849D" w14:textId="77777777" w:rsidR="0043727A" w:rsidRPr="00253BF8" w:rsidRDefault="0043727A" w:rsidP="0043727A">
      <w:pPr>
        <w:rPr>
          <w:rFonts w:cs="Arial"/>
          <w:color w:val="auto"/>
          <w:szCs w:val="24"/>
        </w:rPr>
      </w:pPr>
    </w:p>
    <w:p w14:paraId="21E2F3EC" w14:textId="52DC80D5" w:rsidR="0043727A" w:rsidRPr="0043727A" w:rsidRDefault="00E14774" w:rsidP="00874A98">
      <w:pPr>
        <w:pStyle w:val="ListParagraph"/>
        <w:numPr>
          <w:ilvl w:val="0"/>
          <w:numId w:val="302"/>
        </w:numPr>
        <w:spacing w:after="0" w:line="240" w:lineRule="auto"/>
        <w:rPr>
          <w:rFonts w:eastAsia="Arial" w:cs="Arial"/>
          <w:color w:val="auto"/>
        </w:rPr>
      </w:pPr>
      <w:r>
        <w:rPr>
          <w:rFonts w:ascii="Arial" w:hAnsi="Arial" w:cs="Arial"/>
          <w:color w:val="auto"/>
          <w:szCs w:val="24"/>
        </w:rPr>
        <w:t xml:space="preserve">Policy EM2 - </w:t>
      </w:r>
      <w:r w:rsidR="0043727A" w:rsidRPr="00253BF8">
        <w:rPr>
          <w:rFonts w:ascii="Arial" w:hAnsi="Arial" w:cs="Arial"/>
          <w:color w:val="auto"/>
          <w:szCs w:val="24"/>
        </w:rPr>
        <w:t>Existing employment land of 40.6</w:t>
      </w:r>
      <w:r w:rsidR="000B0D2F">
        <w:rPr>
          <w:rFonts w:ascii="Arial" w:hAnsi="Arial" w:cs="Arial"/>
          <w:color w:val="auto"/>
          <w:szCs w:val="24"/>
        </w:rPr>
        <w:t>0</w:t>
      </w:r>
      <w:r w:rsidR="0043727A" w:rsidRPr="00253BF8">
        <w:rPr>
          <w:rFonts w:ascii="Arial" w:hAnsi="Arial" w:cs="Arial"/>
          <w:color w:val="auto"/>
          <w:szCs w:val="24"/>
        </w:rPr>
        <w:t xml:space="preserve"> ha (net developable area). This reflects sites allocated under the Ashfield Local Plan Review 2002 for employment land or land which has planning permission for office, light industrial, general industrial or distribution uses.</w:t>
      </w:r>
    </w:p>
    <w:p w14:paraId="39A48474" w14:textId="77777777" w:rsidR="0043727A" w:rsidRPr="0043727A" w:rsidRDefault="0043727A" w:rsidP="0043727A">
      <w:pPr>
        <w:rPr>
          <w:rFonts w:eastAsia="Arial" w:cs="Arial"/>
          <w:color w:val="auto"/>
        </w:rPr>
      </w:pPr>
    </w:p>
    <w:bookmarkEnd w:id="251"/>
    <w:bookmarkEnd w:id="252"/>
    <w:p w14:paraId="0CDBA16C" w14:textId="07B1D8E5" w:rsidR="005759AB" w:rsidRPr="0043727A" w:rsidRDefault="003552FD" w:rsidP="005759AB">
      <w:pPr>
        <w:keepNext w:val="0"/>
        <w:numPr>
          <w:ilvl w:val="1"/>
          <w:numId w:val="28"/>
        </w:numPr>
        <w:tabs>
          <w:tab w:val="clear" w:pos="525"/>
        </w:tabs>
        <w:spacing w:before="0"/>
        <w:ind w:left="709" w:hanging="709"/>
        <w:rPr>
          <w:rFonts w:cs="Arial"/>
          <w:color w:val="auto"/>
          <w:szCs w:val="24"/>
          <w:lang w:eastAsia="en-US"/>
        </w:rPr>
      </w:pPr>
      <w:r w:rsidRPr="0043727A">
        <w:rPr>
          <w:rFonts w:eastAsia="Arial" w:cs="Arial"/>
          <w:color w:val="auto"/>
        </w:rPr>
        <w:t>E</w:t>
      </w:r>
      <w:r w:rsidR="0043727A">
        <w:rPr>
          <w:rFonts w:eastAsia="Arial" w:cs="Arial"/>
          <w:color w:val="auto"/>
        </w:rPr>
        <w:t xml:space="preserve">mployment </w:t>
      </w:r>
      <w:r w:rsidRPr="0043727A">
        <w:rPr>
          <w:rFonts w:eastAsia="Arial" w:cs="Arial"/>
          <w:color w:val="auto"/>
        </w:rPr>
        <w:t>B</w:t>
      </w:r>
      <w:r w:rsidR="0043727A">
        <w:rPr>
          <w:rFonts w:eastAsia="Arial" w:cs="Arial"/>
          <w:color w:val="auto"/>
        </w:rPr>
        <w:t xml:space="preserve">ackground </w:t>
      </w:r>
      <w:r w:rsidRPr="0043727A">
        <w:rPr>
          <w:rFonts w:eastAsia="Arial" w:cs="Arial"/>
          <w:color w:val="auto"/>
        </w:rPr>
        <w:t>P</w:t>
      </w:r>
      <w:r w:rsidR="0043727A">
        <w:rPr>
          <w:rFonts w:eastAsia="Arial" w:cs="Arial"/>
          <w:color w:val="auto"/>
        </w:rPr>
        <w:t>aper</w:t>
      </w:r>
      <w:r w:rsidRPr="0043727A">
        <w:rPr>
          <w:rFonts w:eastAsia="Arial" w:cs="Arial"/>
          <w:color w:val="auto"/>
        </w:rPr>
        <w:t xml:space="preserve"> 3</w:t>
      </w:r>
      <w:r w:rsidR="0043727A">
        <w:rPr>
          <w:rFonts w:eastAsia="Arial" w:cs="Arial"/>
          <w:color w:val="auto"/>
        </w:rPr>
        <w:t xml:space="preserve">: Economy and Employment Land, 2023, </w:t>
      </w:r>
      <w:r w:rsidRPr="0043727A">
        <w:rPr>
          <w:rFonts w:eastAsia="Arial" w:cs="Arial"/>
          <w:color w:val="auto"/>
        </w:rPr>
        <w:t>identifies site</w:t>
      </w:r>
      <w:r w:rsidR="00267BA0">
        <w:rPr>
          <w:rFonts w:eastAsia="Arial" w:cs="Arial"/>
          <w:color w:val="auto"/>
        </w:rPr>
        <w:t xml:space="preserve">s, including those that are strategic, </w:t>
      </w:r>
      <w:r w:rsidRPr="0043727A">
        <w:rPr>
          <w:rFonts w:eastAsia="Arial" w:cs="Arial"/>
          <w:color w:val="auto"/>
        </w:rPr>
        <w:t xml:space="preserve">that are anticipated to </w:t>
      </w:r>
      <w:r w:rsidR="0043727A">
        <w:rPr>
          <w:rFonts w:eastAsia="Arial" w:cs="Arial"/>
          <w:color w:val="auto"/>
        </w:rPr>
        <w:t>meet the demand for employment land from 2023 – 2040.</w:t>
      </w:r>
    </w:p>
    <w:p w14:paraId="3F64EF2C" w14:textId="77777777" w:rsidR="0043727A" w:rsidRDefault="0043727A" w:rsidP="0043727A">
      <w:pPr>
        <w:keepNext w:val="0"/>
        <w:spacing w:before="0"/>
        <w:rPr>
          <w:rFonts w:eastAsia="Arial" w:cs="Arial"/>
          <w:color w:val="auto"/>
        </w:rPr>
      </w:pPr>
    </w:p>
    <w:p w14:paraId="38C80069" w14:textId="77777777" w:rsidR="00D17B5C" w:rsidRDefault="00D17B5C">
      <w:pPr>
        <w:keepNext w:val="0"/>
        <w:spacing w:before="0"/>
        <w:rPr>
          <w:rFonts w:eastAsia="Arial" w:cs="Arial"/>
          <w:b/>
          <w:bCs/>
          <w:iCs/>
          <w:color w:val="auto"/>
          <w:sz w:val="28"/>
          <w:szCs w:val="28"/>
          <w:lang w:eastAsia="en-US"/>
        </w:rPr>
      </w:pPr>
      <w:bookmarkStart w:id="253" w:name="_Toc145511600"/>
      <w:r>
        <w:rPr>
          <w:rFonts w:eastAsia="Arial"/>
        </w:rPr>
        <w:br w:type="page"/>
      </w:r>
    </w:p>
    <w:p w14:paraId="259ED8C3" w14:textId="66B13EED" w:rsidR="004F1BD2" w:rsidRPr="00C55F46" w:rsidRDefault="006977E7" w:rsidP="00C55F46">
      <w:pPr>
        <w:pStyle w:val="Heading2"/>
        <w:jc w:val="left"/>
        <w:rPr>
          <w:rFonts w:eastAsia="Arial"/>
          <w:sz w:val="28"/>
          <w:szCs w:val="28"/>
        </w:rPr>
      </w:pPr>
      <w:r w:rsidRPr="00C55F46">
        <w:rPr>
          <w:rFonts w:eastAsia="Arial"/>
          <w:sz w:val="28"/>
          <w:szCs w:val="28"/>
        </w:rPr>
        <w:t xml:space="preserve">Policy </w:t>
      </w:r>
      <w:r w:rsidR="004F1BD2" w:rsidRPr="00C55F46">
        <w:rPr>
          <w:rFonts w:eastAsia="Arial"/>
          <w:sz w:val="28"/>
          <w:szCs w:val="28"/>
        </w:rPr>
        <w:t xml:space="preserve">EM3: </w:t>
      </w:r>
      <w:r w:rsidR="005A5BB8" w:rsidRPr="00C55F46">
        <w:rPr>
          <w:rFonts w:eastAsia="Arial"/>
          <w:sz w:val="28"/>
          <w:szCs w:val="28"/>
        </w:rPr>
        <w:t>Retention of Employment Sites and Allocations</w:t>
      </w:r>
      <w:bookmarkEnd w:id="253"/>
      <w:r w:rsidR="005A5BB8" w:rsidRPr="00C55F46">
        <w:rPr>
          <w:rFonts w:eastAsia="Arial"/>
          <w:sz w:val="28"/>
          <w:szCs w:val="28"/>
        </w:rPr>
        <w:t xml:space="preserve"> </w:t>
      </w:r>
    </w:p>
    <w:p w14:paraId="02491979" w14:textId="77777777" w:rsidR="00945E91" w:rsidRPr="00EE2AAD" w:rsidRDefault="00945E91" w:rsidP="00945E91">
      <w:pPr>
        <w:keepNext w:val="0"/>
        <w:spacing w:before="0"/>
        <w:rPr>
          <w:rFonts w:eastAsia="Arial" w:cs="Arial"/>
          <w:color w:val="auto"/>
          <w:sz w:val="28"/>
          <w:szCs w:val="28"/>
        </w:rPr>
      </w:pPr>
    </w:p>
    <w:tbl>
      <w:tblPr>
        <w:tblStyle w:val="TableGrid3"/>
        <w:tblW w:w="9634" w:type="dxa"/>
        <w:tblLook w:val="04A0" w:firstRow="1" w:lastRow="0" w:firstColumn="1" w:lastColumn="0" w:noHBand="0" w:noVBand="1"/>
      </w:tblPr>
      <w:tblGrid>
        <w:gridCol w:w="2660"/>
        <w:gridCol w:w="312"/>
        <w:gridCol w:w="6662"/>
      </w:tblGrid>
      <w:tr w:rsidR="00945E91" w:rsidRPr="00945E91" w14:paraId="72D9B538" w14:textId="77777777" w:rsidTr="00D17B5C">
        <w:trPr>
          <w:trHeight w:val="421"/>
        </w:trPr>
        <w:tc>
          <w:tcPr>
            <w:tcW w:w="9634" w:type="dxa"/>
            <w:gridSpan w:val="3"/>
          </w:tcPr>
          <w:p w14:paraId="1742818A" w14:textId="77777777" w:rsidR="009838D1" w:rsidRDefault="009838D1" w:rsidP="00FF3EAD">
            <w:pPr>
              <w:keepNext w:val="0"/>
              <w:tabs>
                <w:tab w:val="left" w:pos="680"/>
              </w:tabs>
              <w:spacing w:before="0"/>
              <w:jc w:val="left"/>
              <w:rPr>
                <w:rFonts w:eastAsia="Arial"/>
                <w:b/>
                <w:color w:val="auto"/>
                <w:spacing w:val="-1"/>
              </w:rPr>
            </w:pPr>
          </w:p>
          <w:p w14:paraId="4BBF449B" w14:textId="6A77F6C3" w:rsidR="00945E91" w:rsidRDefault="00945E91" w:rsidP="00FF3EAD">
            <w:pPr>
              <w:keepNext w:val="0"/>
              <w:tabs>
                <w:tab w:val="left" w:pos="680"/>
              </w:tabs>
              <w:spacing w:before="0"/>
              <w:jc w:val="left"/>
              <w:rPr>
                <w:rFonts w:eastAsia="Arial"/>
                <w:b/>
                <w:color w:val="auto"/>
                <w:spacing w:val="-1"/>
              </w:rPr>
            </w:pPr>
            <w:r w:rsidRPr="00EE2AAD">
              <w:rPr>
                <w:rFonts w:eastAsia="Arial"/>
                <w:b/>
                <w:color w:val="auto"/>
                <w:spacing w:val="-1"/>
              </w:rPr>
              <w:t xml:space="preserve">Policy EM3: Retention of Employment Sites and </w:t>
            </w:r>
            <w:r w:rsidR="005A5BB8" w:rsidRPr="00EE2AAD">
              <w:rPr>
                <w:rFonts w:eastAsia="Arial"/>
                <w:b/>
                <w:color w:val="auto"/>
                <w:spacing w:val="-1"/>
              </w:rPr>
              <w:t>A</w:t>
            </w:r>
            <w:r w:rsidRPr="00EE2AAD">
              <w:rPr>
                <w:rFonts w:eastAsia="Arial"/>
                <w:b/>
                <w:color w:val="auto"/>
                <w:spacing w:val="-1"/>
              </w:rPr>
              <w:t>llocation</w:t>
            </w:r>
            <w:r w:rsidR="005A5BB8" w:rsidRPr="00EE2AAD">
              <w:rPr>
                <w:rFonts w:eastAsia="Arial"/>
                <w:b/>
                <w:color w:val="auto"/>
                <w:spacing w:val="-1"/>
              </w:rPr>
              <w:t>s</w:t>
            </w:r>
          </w:p>
          <w:p w14:paraId="4962EAE2" w14:textId="7EC0F68C" w:rsidR="009838D1" w:rsidRPr="00EE2AAD" w:rsidRDefault="009838D1" w:rsidP="00FF3EAD">
            <w:pPr>
              <w:keepNext w:val="0"/>
              <w:tabs>
                <w:tab w:val="left" w:pos="680"/>
              </w:tabs>
              <w:spacing w:before="0"/>
              <w:jc w:val="left"/>
              <w:rPr>
                <w:rFonts w:eastAsia="Arial"/>
                <w:b/>
                <w:color w:val="1F3864"/>
                <w:spacing w:val="-1"/>
              </w:rPr>
            </w:pPr>
          </w:p>
        </w:tc>
      </w:tr>
      <w:tr w:rsidR="00945E91" w:rsidRPr="00945E91" w14:paraId="2A0424B6" w14:textId="77777777" w:rsidTr="00D17B5C">
        <w:tc>
          <w:tcPr>
            <w:tcW w:w="2660" w:type="dxa"/>
          </w:tcPr>
          <w:p w14:paraId="250A2360" w14:textId="77777777" w:rsidR="00945E91" w:rsidRPr="00945E91" w:rsidRDefault="00945E91" w:rsidP="00FF3EAD">
            <w:pPr>
              <w:keepNext w:val="0"/>
              <w:tabs>
                <w:tab w:val="left" w:pos="680"/>
              </w:tabs>
              <w:spacing w:before="0"/>
              <w:jc w:val="left"/>
              <w:rPr>
                <w:rFonts w:eastAsia="Arial"/>
                <w:bCs/>
                <w:color w:val="auto"/>
              </w:rPr>
            </w:pPr>
            <w:r w:rsidRPr="00945E91">
              <w:rPr>
                <w:rFonts w:eastAsia="Arial"/>
                <w:bCs/>
                <w:color w:val="auto"/>
              </w:rPr>
              <w:t>Strategic Objectives</w:t>
            </w:r>
          </w:p>
        </w:tc>
        <w:tc>
          <w:tcPr>
            <w:tcW w:w="6974" w:type="dxa"/>
            <w:gridSpan w:val="2"/>
          </w:tcPr>
          <w:p w14:paraId="10FBE16F" w14:textId="77777777" w:rsidR="00945E91" w:rsidRPr="00945E91" w:rsidRDefault="00945E91" w:rsidP="00FF3EAD">
            <w:pPr>
              <w:keepNext w:val="0"/>
              <w:tabs>
                <w:tab w:val="left" w:pos="680"/>
              </w:tabs>
              <w:spacing w:before="40" w:after="40"/>
              <w:jc w:val="left"/>
              <w:rPr>
                <w:rFonts w:eastAsia="Arial"/>
                <w:bCs/>
                <w:color w:val="auto"/>
              </w:rPr>
            </w:pPr>
            <w:r w:rsidRPr="00945E91">
              <w:rPr>
                <w:rFonts w:eastAsia="Arial"/>
                <w:bCs/>
                <w:color w:val="auto"/>
              </w:rPr>
              <w:t>SO1, SO2, SO4, SO5, SO6, SO7, SO8, SO9, SO10, SO12.</w:t>
            </w:r>
          </w:p>
        </w:tc>
      </w:tr>
      <w:tr w:rsidR="00945E91" w:rsidRPr="00945E91" w14:paraId="764CC296" w14:textId="77777777" w:rsidTr="00D17B5C">
        <w:tc>
          <w:tcPr>
            <w:tcW w:w="9634" w:type="dxa"/>
            <w:gridSpan w:val="3"/>
            <w:shd w:val="clear" w:color="auto" w:fill="D9E2F3"/>
          </w:tcPr>
          <w:p w14:paraId="7C01153B" w14:textId="77777777" w:rsidR="00945E91" w:rsidRPr="00945E91" w:rsidRDefault="00945E91" w:rsidP="00FF3EAD">
            <w:pPr>
              <w:keepNext w:val="0"/>
              <w:tabs>
                <w:tab w:val="left" w:pos="680"/>
                <w:tab w:val="left" w:pos="1133"/>
                <w:tab w:val="left" w:pos="2267"/>
              </w:tabs>
              <w:spacing w:before="0"/>
              <w:ind w:left="360" w:right="284"/>
              <w:jc w:val="left"/>
              <w:rPr>
                <w:rFonts w:eastAsia="Arial"/>
                <w:b/>
                <w:color w:val="auto"/>
              </w:rPr>
            </w:pPr>
          </w:p>
          <w:p w14:paraId="509884B3" w14:textId="1CA26DE9" w:rsidR="00945E91" w:rsidRPr="00945E91" w:rsidRDefault="00945E91" w:rsidP="00874A98">
            <w:pPr>
              <w:keepNext w:val="0"/>
              <w:numPr>
                <w:ilvl w:val="0"/>
                <w:numId w:val="139"/>
              </w:numPr>
              <w:tabs>
                <w:tab w:val="left" w:pos="680"/>
                <w:tab w:val="left" w:pos="1133"/>
                <w:tab w:val="left" w:pos="2267"/>
              </w:tabs>
              <w:spacing w:before="0"/>
              <w:ind w:right="284"/>
              <w:jc w:val="left"/>
              <w:rPr>
                <w:rFonts w:eastAsia="Arial"/>
                <w:bCs/>
                <w:color w:val="auto"/>
              </w:rPr>
            </w:pPr>
            <w:bookmarkStart w:id="254" w:name="_Hlk79146999"/>
            <w:r w:rsidRPr="00945E91">
              <w:rPr>
                <w:rFonts w:eastAsia="Arial"/>
                <w:bCs/>
                <w:color w:val="auto"/>
              </w:rPr>
              <w:t xml:space="preserve">Development proposals which would result in the loss of an allocated employment site will only be permitted where it can be demonstrated to the Council that there is no reasonable prospect of an application coming forward for the </w:t>
            </w:r>
            <w:r w:rsidRPr="00EE2AAD">
              <w:rPr>
                <w:rFonts w:eastAsia="Arial"/>
                <w:bCs/>
                <w:color w:val="auto"/>
              </w:rPr>
              <w:t xml:space="preserve">use </w:t>
            </w:r>
            <w:r w:rsidR="003733F2" w:rsidRPr="00EE2AAD">
              <w:rPr>
                <w:rFonts w:eastAsia="Arial"/>
                <w:bCs/>
                <w:color w:val="auto"/>
              </w:rPr>
              <w:t xml:space="preserve">identified in the </w:t>
            </w:r>
            <w:r w:rsidR="00EE2AAD" w:rsidRPr="00EE2AAD">
              <w:rPr>
                <w:rFonts w:eastAsia="Arial"/>
                <w:bCs/>
                <w:color w:val="auto"/>
              </w:rPr>
              <w:t xml:space="preserve">Policy EM2 </w:t>
            </w:r>
            <w:r w:rsidRPr="00945E91">
              <w:rPr>
                <w:rFonts w:eastAsia="Arial"/>
                <w:bCs/>
                <w:color w:val="auto"/>
              </w:rPr>
              <w:t>and the proposed use would contribute to meeting an unmet need for development in the area.</w:t>
            </w:r>
          </w:p>
          <w:bookmarkEnd w:id="254"/>
          <w:p w14:paraId="0627A212" w14:textId="77777777" w:rsidR="00945E91" w:rsidRPr="00945E91" w:rsidRDefault="00945E91" w:rsidP="00FF3EAD">
            <w:pPr>
              <w:keepNext w:val="0"/>
              <w:tabs>
                <w:tab w:val="left" w:pos="680"/>
                <w:tab w:val="left" w:pos="1133"/>
                <w:tab w:val="left" w:pos="2267"/>
              </w:tabs>
              <w:spacing w:before="0"/>
              <w:ind w:left="360" w:right="284"/>
              <w:jc w:val="left"/>
              <w:rPr>
                <w:rFonts w:eastAsia="Arial"/>
                <w:bCs/>
                <w:color w:val="auto"/>
              </w:rPr>
            </w:pPr>
          </w:p>
          <w:p w14:paraId="39813440" w14:textId="77777777" w:rsidR="00945E91" w:rsidRPr="00945E91" w:rsidRDefault="00945E91" w:rsidP="00874A98">
            <w:pPr>
              <w:keepNext w:val="0"/>
              <w:numPr>
                <w:ilvl w:val="0"/>
                <w:numId w:val="139"/>
              </w:numPr>
              <w:spacing w:before="0"/>
              <w:ind w:left="357" w:hanging="357"/>
              <w:contextualSpacing/>
              <w:jc w:val="left"/>
              <w:rPr>
                <w:rFonts w:eastAsia="Arial"/>
                <w:bCs/>
                <w:color w:val="auto"/>
              </w:rPr>
            </w:pPr>
            <w:r w:rsidRPr="00945E91">
              <w:rPr>
                <w:rFonts w:eastAsia="Arial"/>
                <w:bCs/>
                <w:color w:val="auto"/>
              </w:rPr>
              <w:t>Development proposals which would result in the loss of a site/building within a Key Employment Area will only be permitted where it can be demonstrated to the Council that there is no reasonable prospect of an application coming forward for office, light industrial and research and development, general industrial and storage and distribution and the proposed use would contribute to meeting an unmet need for development in the area.</w:t>
            </w:r>
          </w:p>
          <w:p w14:paraId="2CBE5F6E" w14:textId="77777777" w:rsidR="00945E91" w:rsidRPr="00945E91" w:rsidRDefault="00945E91" w:rsidP="00FF3EAD">
            <w:pPr>
              <w:keepNext w:val="0"/>
              <w:spacing w:before="0"/>
              <w:jc w:val="left"/>
              <w:rPr>
                <w:rFonts w:eastAsia="Arial"/>
                <w:bCs/>
                <w:color w:val="auto"/>
              </w:rPr>
            </w:pPr>
          </w:p>
          <w:p w14:paraId="1E5FD32F" w14:textId="77777777" w:rsidR="00945E91" w:rsidRPr="00945E91" w:rsidRDefault="00945E91" w:rsidP="00874A98">
            <w:pPr>
              <w:keepNext w:val="0"/>
              <w:numPr>
                <w:ilvl w:val="0"/>
                <w:numId w:val="139"/>
              </w:numPr>
              <w:tabs>
                <w:tab w:val="left" w:pos="680"/>
                <w:tab w:val="left" w:pos="1133"/>
                <w:tab w:val="left" w:pos="2267"/>
              </w:tabs>
              <w:spacing w:before="0"/>
              <w:ind w:left="357" w:right="284" w:hanging="357"/>
              <w:jc w:val="left"/>
              <w:rPr>
                <w:rFonts w:eastAsia="Arial"/>
                <w:bCs/>
                <w:color w:val="auto"/>
              </w:rPr>
            </w:pPr>
            <w:r w:rsidRPr="00945E91">
              <w:rPr>
                <w:rFonts w:eastAsia="Arial"/>
                <w:bCs/>
                <w:color w:val="auto"/>
              </w:rPr>
              <w:t>Development proposals which would result in the loss of other existing employment sites or employment buildings will only be permitted where the applicant can demonstrate that:</w:t>
            </w:r>
          </w:p>
          <w:p w14:paraId="5D356BD8" w14:textId="77777777" w:rsidR="00945E91" w:rsidRPr="00945E91" w:rsidRDefault="00945E91" w:rsidP="00FF3EAD">
            <w:pPr>
              <w:keepNext w:val="0"/>
              <w:tabs>
                <w:tab w:val="left" w:pos="680"/>
                <w:tab w:val="left" w:pos="1133"/>
                <w:tab w:val="left" w:pos="2267"/>
              </w:tabs>
              <w:spacing w:before="0"/>
              <w:ind w:left="360" w:right="284"/>
              <w:jc w:val="left"/>
              <w:rPr>
                <w:rFonts w:eastAsia="Arial"/>
                <w:bCs/>
                <w:color w:val="auto"/>
              </w:rPr>
            </w:pPr>
          </w:p>
          <w:p w14:paraId="65771907" w14:textId="77777777" w:rsidR="00945E91" w:rsidRPr="00945E91" w:rsidRDefault="00945E91" w:rsidP="00874A98">
            <w:pPr>
              <w:keepNext w:val="0"/>
              <w:numPr>
                <w:ilvl w:val="0"/>
                <w:numId w:val="140"/>
              </w:numPr>
              <w:tabs>
                <w:tab w:val="left" w:pos="709"/>
              </w:tabs>
              <w:spacing w:before="0"/>
              <w:contextualSpacing/>
              <w:jc w:val="left"/>
              <w:rPr>
                <w:rFonts w:eastAsia="Arial"/>
                <w:bCs/>
                <w:color w:val="auto"/>
              </w:rPr>
            </w:pPr>
            <w:r w:rsidRPr="00945E91">
              <w:rPr>
                <w:rFonts w:eastAsia="Arial"/>
                <w:bCs/>
                <w:color w:val="auto"/>
              </w:rPr>
              <w:t>Retention of the uses for employment development would cause unacceptable environmental problems; and/or</w:t>
            </w:r>
          </w:p>
          <w:p w14:paraId="25082066" w14:textId="77777777" w:rsidR="00945E91" w:rsidRPr="00945E91" w:rsidRDefault="00945E91" w:rsidP="00FF3EAD">
            <w:pPr>
              <w:keepNext w:val="0"/>
              <w:tabs>
                <w:tab w:val="left" w:pos="709"/>
              </w:tabs>
              <w:spacing w:before="0"/>
              <w:jc w:val="left"/>
              <w:rPr>
                <w:rFonts w:eastAsia="Arial"/>
                <w:bCs/>
                <w:color w:val="auto"/>
              </w:rPr>
            </w:pPr>
          </w:p>
          <w:p w14:paraId="43CFB063" w14:textId="77777777" w:rsidR="00945E91" w:rsidRPr="00945E91" w:rsidRDefault="00945E91" w:rsidP="00874A98">
            <w:pPr>
              <w:keepNext w:val="0"/>
              <w:numPr>
                <w:ilvl w:val="0"/>
                <w:numId w:val="140"/>
              </w:numPr>
              <w:tabs>
                <w:tab w:val="left" w:pos="709"/>
              </w:tabs>
              <w:spacing w:before="0" w:after="160" w:line="252" w:lineRule="auto"/>
              <w:contextualSpacing/>
              <w:jc w:val="left"/>
              <w:rPr>
                <w:rFonts w:eastAsia="Arial"/>
                <w:bCs/>
                <w:color w:val="auto"/>
              </w:rPr>
            </w:pPr>
            <w:r w:rsidRPr="00945E91">
              <w:rPr>
                <w:rFonts w:eastAsia="Arial"/>
                <w:bCs/>
                <w:color w:val="auto"/>
              </w:rPr>
              <w:t xml:space="preserve">Taking into account market conditions and anticipated longer term demand requirements, the building/site is no longer physically suitable for employment uses and there is no realistic prospect of the re-use or redevelopment for such uses.  </w:t>
            </w:r>
          </w:p>
          <w:p w14:paraId="11AE9CCF" w14:textId="77777777" w:rsidR="00945E91" w:rsidRPr="00263F59" w:rsidRDefault="00945E91" w:rsidP="00FF3EAD">
            <w:pPr>
              <w:keepNext w:val="0"/>
              <w:tabs>
                <w:tab w:val="left" w:pos="680"/>
                <w:tab w:val="left" w:pos="709"/>
                <w:tab w:val="left" w:pos="1133"/>
                <w:tab w:val="left" w:pos="2267"/>
              </w:tabs>
              <w:spacing w:before="0"/>
              <w:ind w:left="360" w:right="284"/>
              <w:jc w:val="left"/>
              <w:rPr>
                <w:rFonts w:eastAsia="Arial" w:cs="Arial"/>
                <w:bCs/>
                <w:color w:val="auto"/>
                <w:szCs w:val="24"/>
              </w:rPr>
            </w:pPr>
          </w:p>
          <w:p w14:paraId="299C8FFE" w14:textId="2DD8E541" w:rsidR="00945E91" w:rsidRPr="005775C8" w:rsidRDefault="00945E91" w:rsidP="00874A98">
            <w:pPr>
              <w:keepNext w:val="0"/>
              <w:numPr>
                <w:ilvl w:val="0"/>
                <w:numId w:val="139"/>
              </w:numPr>
              <w:tabs>
                <w:tab w:val="left" w:pos="680"/>
                <w:tab w:val="left" w:pos="709"/>
                <w:tab w:val="left" w:pos="1133"/>
                <w:tab w:val="left" w:pos="2267"/>
              </w:tabs>
              <w:spacing w:before="0" w:after="160" w:line="252" w:lineRule="auto"/>
              <w:ind w:right="284"/>
              <w:jc w:val="left"/>
              <w:rPr>
                <w:rFonts w:eastAsia="Arial" w:cs="Arial"/>
                <w:bCs/>
                <w:color w:val="auto"/>
                <w:szCs w:val="24"/>
              </w:rPr>
            </w:pPr>
            <w:r w:rsidRPr="00945E91">
              <w:rPr>
                <w:rFonts w:eastAsia="Arial"/>
                <w:bCs/>
                <w:color w:val="auto"/>
              </w:rPr>
              <w:t>Within the rural areas of the District there are limited employment sites and the Council would not support these sites being used for alternative purposes.</w:t>
            </w:r>
          </w:p>
        </w:tc>
      </w:tr>
      <w:tr w:rsidR="00945E91" w:rsidRPr="00945E91" w14:paraId="34EDFC60" w14:textId="77777777" w:rsidTr="00D17B5C">
        <w:tc>
          <w:tcPr>
            <w:tcW w:w="2972" w:type="dxa"/>
            <w:gridSpan w:val="2"/>
          </w:tcPr>
          <w:p w14:paraId="79D1E0FC" w14:textId="77777777" w:rsidR="00945E91" w:rsidRPr="00945E91" w:rsidRDefault="00945E91" w:rsidP="009838D1">
            <w:pPr>
              <w:keepNext w:val="0"/>
              <w:tabs>
                <w:tab w:val="left" w:pos="680"/>
                <w:tab w:val="left" w:pos="1133"/>
                <w:tab w:val="left" w:pos="2267"/>
              </w:tabs>
              <w:spacing w:before="0"/>
              <w:ind w:right="284"/>
              <w:rPr>
                <w:rFonts w:eastAsia="Arial"/>
                <w:b/>
                <w:color w:val="538135"/>
                <w:szCs w:val="24"/>
              </w:rPr>
            </w:pPr>
            <w:bookmarkStart w:id="255" w:name="_Hlk78180429"/>
            <w:r w:rsidRPr="00945E91">
              <w:rPr>
                <w:rFonts w:eastAsia="Arial"/>
                <w:bCs/>
                <w:color w:val="auto"/>
                <w:sz w:val="20"/>
              </w:rPr>
              <w:t>Evidence base</w:t>
            </w:r>
          </w:p>
        </w:tc>
        <w:tc>
          <w:tcPr>
            <w:tcW w:w="6662" w:type="dxa"/>
          </w:tcPr>
          <w:p w14:paraId="03B1245A" w14:textId="75D70312" w:rsidR="00945E91" w:rsidRPr="00985BCC" w:rsidRDefault="00945E91" w:rsidP="00A05D94">
            <w:pPr>
              <w:keepNext w:val="0"/>
              <w:numPr>
                <w:ilvl w:val="0"/>
                <w:numId w:val="24"/>
              </w:numPr>
              <w:tabs>
                <w:tab w:val="left" w:pos="680"/>
                <w:tab w:val="left" w:pos="1133"/>
                <w:tab w:val="left" w:pos="2267"/>
              </w:tabs>
              <w:spacing w:before="0" w:after="160" w:line="252" w:lineRule="auto"/>
              <w:ind w:right="284"/>
              <w:contextualSpacing/>
              <w:jc w:val="left"/>
              <w:rPr>
                <w:rFonts w:eastAsia="Arial"/>
                <w:bCs/>
                <w:sz w:val="20"/>
              </w:rPr>
            </w:pPr>
            <w:r w:rsidRPr="00985BCC">
              <w:rPr>
                <w:rFonts w:eastAsia="Arial"/>
                <w:bCs/>
                <w:sz w:val="20"/>
              </w:rPr>
              <w:t xml:space="preserve">Background Paper </w:t>
            </w:r>
            <w:r w:rsidR="00A05D94" w:rsidRPr="00985BCC">
              <w:rPr>
                <w:rFonts w:eastAsia="Arial"/>
                <w:bCs/>
                <w:sz w:val="20"/>
              </w:rPr>
              <w:t>No 1:</w:t>
            </w:r>
            <w:r w:rsidRPr="00985BCC">
              <w:rPr>
                <w:rFonts w:eastAsia="Arial"/>
                <w:bCs/>
                <w:sz w:val="20"/>
              </w:rPr>
              <w:t xml:space="preserve"> Spatial Strategy and </w:t>
            </w:r>
            <w:r w:rsidR="00A32846" w:rsidRPr="00985BCC">
              <w:rPr>
                <w:rFonts w:eastAsia="Arial"/>
                <w:bCs/>
                <w:sz w:val="20"/>
              </w:rPr>
              <w:t>Site Selection 2023. A</w:t>
            </w:r>
            <w:r w:rsidRPr="00985BCC">
              <w:rPr>
                <w:rFonts w:eastAsia="Arial"/>
                <w:bCs/>
                <w:sz w:val="20"/>
              </w:rPr>
              <w:t>shfield District Council</w:t>
            </w:r>
          </w:p>
          <w:p w14:paraId="3DCC4D76" w14:textId="3B10C446" w:rsidR="00945E91" w:rsidRPr="00985BCC" w:rsidRDefault="00945E91" w:rsidP="00A05D94">
            <w:pPr>
              <w:keepNext w:val="0"/>
              <w:numPr>
                <w:ilvl w:val="0"/>
                <w:numId w:val="24"/>
              </w:numPr>
              <w:tabs>
                <w:tab w:val="left" w:pos="680"/>
                <w:tab w:val="left" w:pos="1133"/>
                <w:tab w:val="left" w:pos="2267"/>
              </w:tabs>
              <w:spacing w:before="0" w:after="160" w:line="252" w:lineRule="auto"/>
              <w:ind w:right="284"/>
              <w:contextualSpacing/>
              <w:jc w:val="left"/>
              <w:rPr>
                <w:rFonts w:eastAsia="Arial"/>
                <w:bCs/>
                <w:sz w:val="20"/>
              </w:rPr>
            </w:pPr>
            <w:r w:rsidRPr="00985BCC">
              <w:rPr>
                <w:rFonts w:eastAsia="Arial"/>
                <w:bCs/>
                <w:sz w:val="20"/>
              </w:rPr>
              <w:t xml:space="preserve">Background Paper </w:t>
            </w:r>
            <w:r w:rsidR="00A05D94" w:rsidRPr="00985BCC">
              <w:rPr>
                <w:rFonts w:eastAsia="Arial"/>
                <w:bCs/>
                <w:sz w:val="20"/>
              </w:rPr>
              <w:t>No 3:</w:t>
            </w:r>
            <w:r w:rsidRPr="00985BCC">
              <w:rPr>
                <w:rFonts w:eastAsia="Arial"/>
                <w:bCs/>
                <w:sz w:val="20"/>
              </w:rPr>
              <w:t xml:space="preserve"> </w:t>
            </w:r>
            <w:r w:rsidR="000032A9" w:rsidRPr="00985BCC">
              <w:rPr>
                <w:rFonts w:eastAsia="Arial"/>
                <w:bCs/>
                <w:sz w:val="20"/>
              </w:rPr>
              <w:t xml:space="preserve">Economy &amp; </w:t>
            </w:r>
            <w:r w:rsidRPr="00985BCC">
              <w:rPr>
                <w:rFonts w:eastAsia="Arial"/>
                <w:bCs/>
                <w:sz w:val="20"/>
              </w:rPr>
              <w:t>Employment Land 2021.  Ashfield District Council.</w:t>
            </w:r>
          </w:p>
          <w:p w14:paraId="61C48D9E" w14:textId="77777777" w:rsidR="00945E91" w:rsidRPr="00985BCC" w:rsidRDefault="00945E91" w:rsidP="00A05D94">
            <w:pPr>
              <w:keepNext w:val="0"/>
              <w:numPr>
                <w:ilvl w:val="0"/>
                <w:numId w:val="24"/>
              </w:numPr>
              <w:tabs>
                <w:tab w:val="left" w:pos="680"/>
                <w:tab w:val="left" w:pos="1133"/>
                <w:tab w:val="left" w:pos="2267"/>
              </w:tabs>
              <w:spacing w:before="0" w:after="160" w:line="252" w:lineRule="auto"/>
              <w:ind w:right="284"/>
              <w:contextualSpacing/>
              <w:jc w:val="left"/>
              <w:rPr>
                <w:rFonts w:eastAsia="Arial"/>
                <w:bCs/>
                <w:sz w:val="20"/>
              </w:rPr>
            </w:pPr>
            <w:r w:rsidRPr="00985BCC">
              <w:rPr>
                <w:rFonts w:eastAsia="Arial"/>
                <w:bCs/>
                <w:sz w:val="20"/>
              </w:rPr>
              <w:t>The Nottingham Core HMA and Nottingham Outer HMA Employment Land Needs Study, 2021.  Lichfield.</w:t>
            </w:r>
          </w:p>
          <w:p w14:paraId="4C79D9DD" w14:textId="74DADCFF" w:rsidR="00945E91" w:rsidRPr="00985BCC" w:rsidRDefault="00945E91" w:rsidP="00A05D94">
            <w:pPr>
              <w:keepNext w:val="0"/>
              <w:numPr>
                <w:ilvl w:val="0"/>
                <w:numId w:val="24"/>
              </w:numPr>
              <w:tabs>
                <w:tab w:val="left" w:pos="680"/>
                <w:tab w:val="left" w:pos="1133"/>
                <w:tab w:val="left" w:pos="2267"/>
              </w:tabs>
              <w:spacing w:before="0" w:after="160" w:line="252" w:lineRule="auto"/>
              <w:ind w:right="284"/>
              <w:contextualSpacing/>
              <w:jc w:val="left"/>
              <w:rPr>
                <w:rFonts w:eastAsia="Arial"/>
                <w:bCs/>
                <w:sz w:val="20"/>
              </w:rPr>
            </w:pPr>
            <w:r w:rsidRPr="00985BCC">
              <w:rPr>
                <w:rFonts w:eastAsia="Arial"/>
                <w:bCs/>
                <w:sz w:val="20"/>
              </w:rPr>
              <w:t>Strategic Housing and Employment Land Availability Assessment 2021</w:t>
            </w:r>
            <w:r w:rsidR="00AE785A">
              <w:rPr>
                <w:rFonts w:eastAsia="Arial"/>
                <w:bCs/>
                <w:sz w:val="20"/>
              </w:rPr>
              <w:t xml:space="preserve"> - 2023</w:t>
            </w:r>
            <w:r w:rsidRPr="00985BCC">
              <w:rPr>
                <w:rFonts w:eastAsia="Arial"/>
                <w:bCs/>
                <w:sz w:val="20"/>
              </w:rPr>
              <w:t>. Ashfield District Council.</w:t>
            </w:r>
          </w:p>
          <w:p w14:paraId="79A7C999" w14:textId="63F9B605" w:rsidR="00945E91" w:rsidRPr="00985BCC" w:rsidRDefault="00945E91" w:rsidP="00A05D94">
            <w:pPr>
              <w:keepNext w:val="0"/>
              <w:numPr>
                <w:ilvl w:val="0"/>
                <w:numId w:val="24"/>
              </w:numPr>
              <w:tabs>
                <w:tab w:val="left" w:pos="680"/>
                <w:tab w:val="left" w:pos="1133"/>
                <w:tab w:val="left" w:pos="2267"/>
              </w:tabs>
              <w:spacing w:before="0" w:after="160" w:line="252" w:lineRule="auto"/>
              <w:ind w:right="284"/>
              <w:contextualSpacing/>
              <w:jc w:val="left"/>
              <w:rPr>
                <w:rFonts w:eastAsia="Arial"/>
                <w:bCs/>
                <w:sz w:val="20"/>
              </w:rPr>
            </w:pPr>
            <w:r w:rsidRPr="00985BCC">
              <w:rPr>
                <w:rFonts w:eastAsia="Arial"/>
                <w:bCs/>
                <w:sz w:val="20"/>
              </w:rPr>
              <w:t>Sustainability Appraisal 202</w:t>
            </w:r>
            <w:r w:rsidR="007641C1" w:rsidRPr="00985BCC">
              <w:rPr>
                <w:rFonts w:eastAsia="Arial"/>
                <w:bCs/>
                <w:sz w:val="20"/>
              </w:rPr>
              <w:t>3</w:t>
            </w:r>
            <w:r w:rsidRPr="00985BCC">
              <w:rPr>
                <w:rFonts w:eastAsia="Arial"/>
                <w:bCs/>
                <w:sz w:val="20"/>
              </w:rPr>
              <w:t xml:space="preserve">, </w:t>
            </w:r>
            <w:r w:rsidR="007641C1" w:rsidRPr="00985BCC">
              <w:rPr>
                <w:rFonts w:eastAsia="Arial"/>
                <w:bCs/>
                <w:sz w:val="20"/>
              </w:rPr>
              <w:t>WSP UK Limited</w:t>
            </w:r>
            <w:r w:rsidR="006B0C43" w:rsidRPr="00985BCC">
              <w:rPr>
                <w:rFonts w:eastAsia="Arial"/>
                <w:bCs/>
                <w:sz w:val="20"/>
              </w:rPr>
              <w:t>.</w:t>
            </w:r>
          </w:p>
        </w:tc>
      </w:tr>
      <w:tr w:rsidR="00945E91" w:rsidRPr="00945E91" w14:paraId="4D8664A0" w14:textId="77777777" w:rsidTr="00D17B5C">
        <w:tc>
          <w:tcPr>
            <w:tcW w:w="2972" w:type="dxa"/>
            <w:gridSpan w:val="2"/>
          </w:tcPr>
          <w:p w14:paraId="28F7CA37" w14:textId="77777777" w:rsidR="00945E91" w:rsidRPr="00945E91" w:rsidRDefault="00945E91" w:rsidP="009838D1">
            <w:pPr>
              <w:keepNext w:val="0"/>
              <w:tabs>
                <w:tab w:val="left" w:pos="680"/>
                <w:tab w:val="left" w:pos="1133"/>
                <w:tab w:val="left" w:pos="2267"/>
              </w:tabs>
              <w:spacing w:before="0"/>
              <w:ind w:right="284"/>
              <w:rPr>
                <w:rFonts w:eastAsia="Arial"/>
                <w:b/>
                <w:color w:val="538135"/>
                <w:sz w:val="22"/>
              </w:rPr>
            </w:pPr>
            <w:r w:rsidRPr="00945E91">
              <w:rPr>
                <w:rFonts w:eastAsia="Arial"/>
                <w:bCs/>
                <w:color w:val="auto"/>
                <w:sz w:val="20"/>
              </w:rPr>
              <w:t>National Planning Policy and Guidance</w:t>
            </w:r>
          </w:p>
        </w:tc>
        <w:tc>
          <w:tcPr>
            <w:tcW w:w="6662" w:type="dxa"/>
          </w:tcPr>
          <w:p w14:paraId="45156391" w14:textId="74F79069" w:rsidR="00945E91" w:rsidRPr="00985BCC" w:rsidRDefault="00945E91" w:rsidP="00A05D94">
            <w:pPr>
              <w:keepNext w:val="0"/>
              <w:numPr>
                <w:ilvl w:val="0"/>
                <w:numId w:val="25"/>
              </w:numPr>
              <w:spacing w:before="0" w:after="160" w:line="252" w:lineRule="auto"/>
              <w:contextualSpacing/>
              <w:jc w:val="left"/>
              <w:rPr>
                <w:rFonts w:cs="Arial"/>
                <w:bCs/>
                <w:sz w:val="20"/>
                <w:u w:val="single"/>
              </w:rPr>
            </w:pPr>
            <w:r w:rsidRPr="00985BCC">
              <w:rPr>
                <w:rFonts w:eastAsia="Arial"/>
                <w:bCs/>
                <w:sz w:val="20"/>
              </w:rPr>
              <w:t>NPPF 202</w:t>
            </w:r>
            <w:r w:rsidR="004173E0" w:rsidRPr="00985BCC">
              <w:rPr>
                <w:rFonts w:eastAsia="Arial"/>
                <w:bCs/>
                <w:sz w:val="20"/>
              </w:rPr>
              <w:t>3</w:t>
            </w:r>
            <w:r w:rsidRPr="00985BCC">
              <w:rPr>
                <w:rFonts w:eastAsia="Arial"/>
                <w:bCs/>
                <w:sz w:val="20"/>
              </w:rPr>
              <w:t>, Part 2: Achieving sustainable development.</w:t>
            </w:r>
          </w:p>
          <w:p w14:paraId="6099855E" w14:textId="450B5987" w:rsidR="00945E91" w:rsidRPr="00985BCC" w:rsidRDefault="00945E91" w:rsidP="00A05D94">
            <w:pPr>
              <w:keepNext w:val="0"/>
              <w:numPr>
                <w:ilvl w:val="0"/>
                <w:numId w:val="25"/>
              </w:numPr>
              <w:tabs>
                <w:tab w:val="left" w:pos="680"/>
                <w:tab w:val="left" w:pos="1133"/>
                <w:tab w:val="left" w:pos="2267"/>
              </w:tabs>
              <w:spacing w:before="0" w:after="160" w:line="252" w:lineRule="auto"/>
              <w:ind w:right="284"/>
              <w:contextualSpacing/>
              <w:jc w:val="left"/>
              <w:rPr>
                <w:rFonts w:eastAsia="Arial"/>
                <w:bCs/>
                <w:sz w:val="20"/>
              </w:rPr>
            </w:pPr>
            <w:r w:rsidRPr="00985BCC">
              <w:rPr>
                <w:rFonts w:eastAsia="Arial"/>
                <w:bCs/>
                <w:sz w:val="20"/>
              </w:rPr>
              <w:t>NPPF 202</w:t>
            </w:r>
            <w:r w:rsidR="004173E0" w:rsidRPr="00985BCC">
              <w:rPr>
                <w:rFonts w:eastAsia="Arial"/>
                <w:bCs/>
                <w:sz w:val="20"/>
              </w:rPr>
              <w:t>3</w:t>
            </w:r>
            <w:r w:rsidRPr="00985BCC">
              <w:rPr>
                <w:rFonts w:eastAsia="Arial"/>
                <w:bCs/>
                <w:sz w:val="20"/>
              </w:rPr>
              <w:t xml:space="preserve">, Part 6: </w:t>
            </w:r>
            <w:r w:rsidRPr="00985BCC">
              <w:rPr>
                <w:bCs/>
                <w:sz w:val="20"/>
              </w:rPr>
              <w:t>Building a strong, competitive economy.</w:t>
            </w:r>
          </w:p>
          <w:p w14:paraId="7C9E633A" w14:textId="5E6F61C3" w:rsidR="00945E91" w:rsidRPr="00985BCC" w:rsidRDefault="00945E91" w:rsidP="00A05D94">
            <w:pPr>
              <w:keepNext w:val="0"/>
              <w:numPr>
                <w:ilvl w:val="0"/>
                <w:numId w:val="25"/>
              </w:numPr>
              <w:spacing w:before="0" w:after="160" w:line="252" w:lineRule="auto"/>
              <w:contextualSpacing/>
              <w:jc w:val="left"/>
              <w:rPr>
                <w:rFonts w:cs="Arial"/>
                <w:bCs/>
                <w:sz w:val="20"/>
                <w:u w:val="single"/>
              </w:rPr>
            </w:pPr>
            <w:r w:rsidRPr="00985BCC">
              <w:rPr>
                <w:rFonts w:eastAsia="Arial"/>
                <w:bCs/>
                <w:sz w:val="20"/>
              </w:rPr>
              <w:t>NPPF 202</w:t>
            </w:r>
            <w:r w:rsidR="004173E0" w:rsidRPr="00985BCC">
              <w:rPr>
                <w:rFonts w:eastAsia="Arial"/>
                <w:bCs/>
                <w:sz w:val="20"/>
              </w:rPr>
              <w:t>3</w:t>
            </w:r>
            <w:r w:rsidRPr="00985BCC">
              <w:rPr>
                <w:rFonts w:eastAsia="Arial"/>
                <w:bCs/>
                <w:sz w:val="20"/>
              </w:rPr>
              <w:t xml:space="preserve"> Part 11: Making effective use of land.</w:t>
            </w:r>
          </w:p>
          <w:p w14:paraId="6351A07A" w14:textId="0C5E0ACB" w:rsidR="00945E91" w:rsidRPr="00985BCC" w:rsidRDefault="00945E91" w:rsidP="00A05D94">
            <w:pPr>
              <w:keepNext w:val="0"/>
              <w:numPr>
                <w:ilvl w:val="0"/>
                <w:numId w:val="25"/>
              </w:numPr>
              <w:spacing w:before="0" w:after="160" w:line="252" w:lineRule="auto"/>
              <w:contextualSpacing/>
              <w:jc w:val="left"/>
              <w:rPr>
                <w:bCs/>
                <w:sz w:val="20"/>
              </w:rPr>
            </w:pPr>
            <w:r w:rsidRPr="00985BCC">
              <w:rPr>
                <w:bCs/>
                <w:sz w:val="20"/>
              </w:rPr>
              <w:t xml:space="preserve">Planning Practice Guidance: Housing and economic land availability assessment as </w:t>
            </w:r>
            <w:r w:rsidR="00BB1C5D" w:rsidRPr="00985BCC">
              <w:rPr>
                <w:bCs/>
                <w:sz w:val="20"/>
              </w:rPr>
              <w:t>at</w:t>
            </w:r>
            <w:r w:rsidRPr="00985BCC">
              <w:rPr>
                <w:bCs/>
                <w:sz w:val="20"/>
              </w:rPr>
              <w:t xml:space="preserve"> </w:t>
            </w:r>
            <w:r w:rsidR="006B0C43" w:rsidRPr="00985BCC">
              <w:rPr>
                <w:bCs/>
                <w:sz w:val="20"/>
              </w:rPr>
              <w:t>July 2019</w:t>
            </w:r>
            <w:r w:rsidRPr="00985BCC">
              <w:rPr>
                <w:bCs/>
                <w:sz w:val="20"/>
              </w:rPr>
              <w:t>.</w:t>
            </w:r>
          </w:p>
        </w:tc>
      </w:tr>
    </w:tbl>
    <w:bookmarkEnd w:id="255"/>
    <w:p w14:paraId="517701D9" w14:textId="5D8ED273" w:rsidR="00A81706" w:rsidRPr="00A81706" w:rsidRDefault="00A81706" w:rsidP="00D01157">
      <w:pPr>
        <w:keepNext w:val="0"/>
        <w:numPr>
          <w:ilvl w:val="1"/>
          <w:numId w:val="28"/>
        </w:numPr>
        <w:tabs>
          <w:tab w:val="clear" w:pos="525"/>
        </w:tabs>
        <w:spacing w:before="0"/>
        <w:ind w:left="709" w:hanging="709"/>
        <w:rPr>
          <w:rFonts w:cs="Arial"/>
          <w:color w:val="auto"/>
          <w:szCs w:val="24"/>
          <w:lang w:eastAsia="en-US"/>
        </w:rPr>
      </w:pPr>
      <w:r>
        <w:rPr>
          <w:rFonts w:cs="Arial"/>
          <w:color w:val="auto"/>
          <w:szCs w:val="24"/>
          <w:lang w:eastAsia="en-US"/>
        </w:rPr>
        <w:t>A</w:t>
      </w:r>
      <w:r w:rsidR="00945E91" w:rsidRPr="00945E91">
        <w:rPr>
          <w:rFonts w:eastAsia="Arial" w:cs="Arial"/>
          <w:color w:val="auto"/>
        </w:rPr>
        <w:t xml:space="preserve">shfield's existing employment areas, primarily the main industrial estates, will continue to play a crucial role in the economy of the area. These employment areas not only provide space for current employers and business but also opportunities for new investment and rejuvenation, through intensification or re-use. </w:t>
      </w:r>
    </w:p>
    <w:p w14:paraId="4B2C5FD7" w14:textId="77777777" w:rsidR="00A81706" w:rsidRPr="00A81706" w:rsidRDefault="00A81706" w:rsidP="00A81706">
      <w:pPr>
        <w:keepNext w:val="0"/>
        <w:spacing w:before="0"/>
        <w:ind w:left="709"/>
        <w:rPr>
          <w:rFonts w:cs="Arial"/>
          <w:color w:val="auto"/>
          <w:szCs w:val="24"/>
          <w:lang w:eastAsia="en-US"/>
        </w:rPr>
      </w:pPr>
    </w:p>
    <w:p w14:paraId="48FF9437" w14:textId="0ED0C113" w:rsidR="00A81706" w:rsidRPr="00A81706" w:rsidRDefault="00945E91" w:rsidP="00D01157">
      <w:pPr>
        <w:keepNext w:val="0"/>
        <w:numPr>
          <w:ilvl w:val="1"/>
          <w:numId w:val="28"/>
        </w:numPr>
        <w:tabs>
          <w:tab w:val="clear" w:pos="525"/>
        </w:tabs>
        <w:spacing w:before="0"/>
        <w:ind w:left="709" w:hanging="709"/>
        <w:rPr>
          <w:rFonts w:cs="Arial"/>
          <w:color w:val="auto"/>
          <w:szCs w:val="24"/>
          <w:lang w:eastAsia="en-US"/>
        </w:rPr>
      </w:pPr>
      <w:r w:rsidRPr="00A81706">
        <w:rPr>
          <w:rFonts w:eastAsia="Arial" w:cs="Arial"/>
          <w:color w:val="auto"/>
        </w:rPr>
        <w:t xml:space="preserve">The purpose of the </w:t>
      </w:r>
      <w:r w:rsidR="007D7A4C">
        <w:rPr>
          <w:rFonts w:eastAsia="Arial" w:cs="Arial"/>
          <w:color w:val="auto"/>
        </w:rPr>
        <w:t>P</w:t>
      </w:r>
      <w:r w:rsidRPr="00A81706">
        <w:rPr>
          <w:rFonts w:eastAsia="Arial" w:cs="Arial"/>
          <w:color w:val="auto"/>
        </w:rPr>
        <w:t>olicy is to ensure that the existing employment areas are provided with some element of protection. This reflects the need to ensure a range and choice of employment land and premises are available across the District to assist economic competitiveness, encourage entrepreneurship, promote the growth of indigenous businesses of all types and size and attract inward investment.</w:t>
      </w:r>
    </w:p>
    <w:p w14:paraId="7ACD015D" w14:textId="77777777" w:rsidR="00A81706" w:rsidRDefault="00A81706" w:rsidP="00A81706">
      <w:pPr>
        <w:keepNext w:val="0"/>
        <w:spacing w:before="0"/>
        <w:rPr>
          <w:rFonts w:cs="Arial"/>
          <w:color w:val="auto"/>
          <w:szCs w:val="24"/>
          <w:lang w:eastAsia="en-US"/>
        </w:rPr>
      </w:pPr>
    </w:p>
    <w:p w14:paraId="221D0A83" w14:textId="21A3F336" w:rsidR="00A81706" w:rsidRPr="00A81706" w:rsidRDefault="00945E91" w:rsidP="00D01157">
      <w:pPr>
        <w:keepNext w:val="0"/>
        <w:numPr>
          <w:ilvl w:val="1"/>
          <w:numId w:val="28"/>
        </w:numPr>
        <w:tabs>
          <w:tab w:val="clear" w:pos="525"/>
        </w:tabs>
        <w:spacing w:before="0"/>
        <w:ind w:left="709" w:hanging="709"/>
        <w:rPr>
          <w:rFonts w:cs="Arial"/>
          <w:color w:val="auto"/>
          <w:szCs w:val="24"/>
          <w:lang w:eastAsia="en-US"/>
        </w:rPr>
      </w:pPr>
      <w:r w:rsidRPr="00A81706">
        <w:rPr>
          <w:rFonts w:eastAsia="Arial" w:cs="Arial"/>
          <w:color w:val="auto"/>
        </w:rPr>
        <w:t>A critical factor in maintaining a supply of employment land will be the ability to protect some protection for land and premises for employment from being lost to alternative uses.</w:t>
      </w:r>
    </w:p>
    <w:p w14:paraId="29B628CC" w14:textId="77777777" w:rsidR="00A81706" w:rsidRDefault="00A81706" w:rsidP="00A81706">
      <w:pPr>
        <w:keepNext w:val="0"/>
        <w:spacing w:before="0"/>
        <w:rPr>
          <w:rFonts w:cs="Arial"/>
          <w:color w:val="auto"/>
          <w:szCs w:val="24"/>
          <w:lang w:eastAsia="en-US"/>
        </w:rPr>
      </w:pPr>
    </w:p>
    <w:p w14:paraId="453867A0" w14:textId="005D83DA" w:rsidR="00A81706" w:rsidRPr="00A81706" w:rsidRDefault="00945E91" w:rsidP="00D01157">
      <w:pPr>
        <w:keepNext w:val="0"/>
        <w:numPr>
          <w:ilvl w:val="1"/>
          <w:numId w:val="28"/>
        </w:numPr>
        <w:tabs>
          <w:tab w:val="clear" w:pos="525"/>
        </w:tabs>
        <w:spacing w:before="0"/>
        <w:ind w:left="709" w:hanging="709"/>
        <w:rPr>
          <w:rFonts w:cs="Arial"/>
          <w:color w:val="auto"/>
          <w:szCs w:val="24"/>
          <w:lang w:eastAsia="en-US"/>
        </w:rPr>
      </w:pPr>
      <w:r w:rsidRPr="00A81706">
        <w:rPr>
          <w:rFonts w:eastAsia="Arial" w:cs="Arial"/>
          <w:color w:val="auto"/>
        </w:rPr>
        <w:t>There has been growing pressure over recent years for the development/</w:t>
      </w:r>
      <w:r w:rsidR="00BB1C5D">
        <w:rPr>
          <w:rFonts w:eastAsia="Arial" w:cs="Arial"/>
          <w:color w:val="auto"/>
        </w:rPr>
        <w:t xml:space="preserve"> </w:t>
      </w:r>
      <w:r w:rsidRPr="00A81706">
        <w:rPr>
          <w:rFonts w:eastAsia="Arial" w:cs="Arial"/>
          <w:color w:val="auto"/>
        </w:rPr>
        <w:t>redevelopment of employment land and premises for other uses (predominantly residential). Such development proposals can result in significant losses to the District’s stock of employment land and premises.</w:t>
      </w:r>
    </w:p>
    <w:p w14:paraId="0851BF5C" w14:textId="77777777" w:rsidR="00A81706" w:rsidRDefault="00A81706" w:rsidP="00A81706">
      <w:pPr>
        <w:keepNext w:val="0"/>
        <w:spacing w:before="0"/>
        <w:rPr>
          <w:rFonts w:cs="Arial"/>
          <w:color w:val="auto"/>
          <w:szCs w:val="24"/>
          <w:lang w:eastAsia="en-US"/>
        </w:rPr>
      </w:pPr>
    </w:p>
    <w:p w14:paraId="3D062436" w14:textId="1C792A5E" w:rsidR="00A81706" w:rsidRDefault="00945E91" w:rsidP="00D01157">
      <w:pPr>
        <w:keepNext w:val="0"/>
        <w:numPr>
          <w:ilvl w:val="1"/>
          <w:numId w:val="28"/>
        </w:numPr>
        <w:tabs>
          <w:tab w:val="clear" w:pos="525"/>
        </w:tabs>
        <w:spacing w:before="0"/>
        <w:ind w:left="709" w:hanging="709"/>
        <w:rPr>
          <w:rFonts w:cs="Arial"/>
          <w:color w:val="auto"/>
          <w:szCs w:val="24"/>
          <w:lang w:eastAsia="en-US"/>
        </w:rPr>
      </w:pPr>
      <w:r w:rsidRPr="00A81706">
        <w:rPr>
          <w:rFonts w:eastAsia="Arial" w:cs="Arial"/>
          <w:color w:val="auto"/>
        </w:rPr>
        <w:t xml:space="preserve">The NPPF emphasises the need to consider the changing economic environment and provide flexibility in relation to employment opportunities. Consequently, in exceptional circumstances, the </w:t>
      </w:r>
      <w:r w:rsidR="007D7A4C">
        <w:rPr>
          <w:rFonts w:eastAsia="Arial" w:cs="Arial"/>
          <w:color w:val="auto"/>
        </w:rPr>
        <w:t>P</w:t>
      </w:r>
      <w:r w:rsidRPr="00A81706">
        <w:rPr>
          <w:rFonts w:eastAsia="Arial" w:cs="Arial"/>
          <w:color w:val="auto"/>
        </w:rPr>
        <w:t>olicy enable development, which provide an unmet need in that area to be considered on allocated employment sites or Key Employment Areas. In these cases, it will be necessary for:</w:t>
      </w:r>
    </w:p>
    <w:p w14:paraId="2FA7FEDD" w14:textId="5AE9368E" w:rsidR="00A81706" w:rsidRDefault="00A81706" w:rsidP="00EE2AAD">
      <w:pPr>
        <w:pStyle w:val="ListParagraph"/>
        <w:spacing w:after="0" w:line="240" w:lineRule="auto"/>
        <w:rPr>
          <w:rFonts w:eastAsia="Arial" w:cs="Arial"/>
          <w:color w:val="auto"/>
        </w:rPr>
      </w:pPr>
    </w:p>
    <w:p w14:paraId="6749EE8D" w14:textId="1273882B" w:rsidR="00A81706" w:rsidRPr="009838D1" w:rsidRDefault="00A81706" w:rsidP="00874A98">
      <w:pPr>
        <w:keepNext w:val="0"/>
        <w:numPr>
          <w:ilvl w:val="0"/>
          <w:numId w:val="141"/>
        </w:numPr>
        <w:autoSpaceDE w:val="0"/>
        <w:autoSpaceDN w:val="0"/>
        <w:adjustRightInd w:val="0"/>
        <w:spacing w:before="0"/>
        <w:ind w:left="1066" w:hanging="357"/>
        <w:contextualSpacing/>
        <w:rPr>
          <w:rFonts w:eastAsia="Arial" w:cs="Arial"/>
          <w:color w:val="auto"/>
          <w:spacing w:val="-1"/>
        </w:rPr>
      </w:pPr>
      <w:r w:rsidRPr="00945E91">
        <w:rPr>
          <w:rFonts w:eastAsia="Arial" w:cs="Arial"/>
          <w:color w:val="auto"/>
        </w:rPr>
        <w:t xml:space="preserve">the applicant to demonstrate to the Council that there are substantial economic and employment benefits from allowing such a use on the site through an </w:t>
      </w:r>
      <w:r w:rsidRPr="009838D1">
        <w:rPr>
          <w:rFonts w:eastAsia="Arial" w:cs="Arial"/>
          <w:color w:val="auto"/>
        </w:rPr>
        <w:t>economic assessment of the implications of the development proposal, and</w:t>
      </w:r>
    </w:p>
    <w:p w14:paraId="753B8C32" w14:textId="77777777" w:rsidR="00A81706" w:rsidRPr="009838D1" w:rsidRDefault="00A81706" w:rsidP="007D7A4C">
      <w:pPr>
        <w:keepNext w:val="0"/>
        <w:autoSpaceDE w:val="0"/>
        <w:autoSpaceDN w:val="0"/>
        <w:adjustRightInd w:val="0"/>
        <w:spacing w:before="0"/>
        <w:ind w:left="1066"/>
        <w:contextualSpacing/>
        <w:rPr>
          <w:rFonts w:eastAsia="Arial" w:cs="Arial"/>
          <w:color w:val="auto"/>
          <w:spacing w:val="-1"/>
        </w:rPr>
      </w:pPr>
    </w:p>
    <w:p w14:paraId="1A519315" w14:textId="48F31AD2" w:rsidR="00A81706" w:rsidRPr="009838D1" w:rsidRDefault="00BB1C5D" w:rsidP="00874A98">
      <w:pPr>
        <w:keepNext w:val="0"/>
        <w:numPr>
          <w:ilvl w:val="0"/>
          <w:numId w:val="141"/>
        </w:numPr>
        <w:autoSpaceDE w:val="0"/>
        <w:autoSpaceDN w:val="0"/>
        <w:adjustRightInd w:val="0"/>
        <w:spacing w:before="0"/>
        <w:ind w:left="1066" w:hanging="357"/>
        <w:contextualSpacing/>
        <w:rPr>
          <w:rFonts w:eastAsia="Arial" w:cs="Arial"/>
          <w:color w:val="auto"/>
          <w:spacing w:val="-1"/>
        </w:rPr>
      </w:pPr>
      <w:r>
        <w:rPr>
          <w:rFonts w:eastAsia="Arial" w:cs="Arial"/>
          <w:color w:val="auto"/>
        </w:rPr>
        <w:t>t</w:t>
      </w:r>
      <w:r w:rsidR="00A81706" w:rsidRPr="009838D1">
        <w:rPr>
          <w:rFonts w:eastAsia="Arial" w:cs="Arial"/>
          <w:color w:val="auto"/>
        </w:rPr>
        <w:t>hat there is substantial evidence that there is a lack of demand for</w:t>
      </w:r>
      <w:r w:rsidR="00A81706" w:rsidRPr="009838D1">
        <w:rPr>
          <w:rFonts w:eastAsia="Calibri"/>
          <w:color w:val="auto"/>
          <w:szCs w:val="22"/>
          <w:lang w:eastAsia="en-US"/>
        </w:rPr>
        <w:t xml:space="preserve"> </w:t>
      </w:r>
      <w:r w:rsidR="00A81706" w:rsidRPr="009838D1">
        <w:rPr>
          <w:rFonts w:eastAsia="Arial" w:cs="Arial"/>
          <w:color w:val="auto"/>
        </w:rPr>
        <w:t>office, light industrial and research and development, general industrial and storage and distribution u</w:t>
      </w:r>
      <w:r w:rsidR="00A81706" w:rsidRPr="009838D1">
        <w:rPr>
          <w:rFonts w:eastAsia="Arial" w:cs="Arial"/>
          <w:color w:val="auto"/>
          <w:spacing w:val="-1"/>
        </w:rPr>
        <w:t>ses</w:t>
      </w:r>
      <w:r>
        <w:rPr>
          <w:rFonts w:eastAsia="Arial" w:cs="Arial"/>
          <w:color w:val="auto"/>
          <w:spacing w:val="-1"/>
        </w:rPr>
        <w:t xml:space="preserve"> </w:t>
      </w:r>
      <w:r w:rsidRPr="00985BCC">
        <w:rPr>
          <w:rFonts w:eastAsia="Arial" w:cs="Arial"/>
          <w:spacing w:val="-1"/>
        </w:rPr>
        <w:t>on the site</w:t>
      </w:r>
      <w:r w:rsidR="007D7A4C" w:rsidRPr="00985BCC">
        <w:rPr>
          <w:rFonts w:eastAsia="Arial" w:cs="Arial"/>
          <w:spacing w:val="-1"/>
        </w:rPr>
        <w:t xml:space="preserve">. </w:t>
      </w:r>
      <w:r w:rsidR="00A81706" w:rsidRPr="009838D1">
        <w:rPr>
          <w:rFonts w:eastAsia="Arial" w:cs="Arial"/>
          <w:color w:val="auto"/>
          <w:spacing w:val="-1"/>
        </w:rPr>
        <w:t>(See Policy SD</w:t>
      </w:r>
      <w:r w:rsidR="009838D1" w:rsidRPr="009838D1">
        <w:rPr>
          <w:rFonts w:eastAsia="Arial" w:cs="Arial"/>
          <w:color w:val="auto"/>
          <w:spacing w:val="-1"/>
        </w:rPr>
        <w:t>6</w:t>
      </w:r>
      <w:r w:rsidR="007D7A4C">
        <w:rPr>
          <w:rFonts w:eastAsia="Arial" w:cs="Arial"/>
          <w:color w:val="auto"/>
          <w:spacing w:val="-1"/>
        </w:rPr>
        <w:t xml:space="preserve"> Assessing Development Viability and Development Demand</w:t>
      </w:r>
      <w:r w:rsidR="00A81706" w:rsidRPr="009838D1">
        <w:rPr>
          <w:rFonts w:eastAsia="Arial" w:cs="Arial"/>
          <w:color w:val="auto"/>
          <w:spacing w:val="-1"/>
        </w:rPr>
        <w:t>)</w:t>
      </w:r>
      <w:r w:rsidR="007D7A4C">
        <w:rPr>
          <w:rFonts w:eastAsia="Arial" w:cs="Arial"/>
          <w:color w:val="auto"/>
          <w:spacing w:val="-1"/>
        </w:rPr>
        <w:t>.</w:t>
      </w:r>
    </w:p>
    <w:p w14:paraId="4848D66F" w14:textId="77777777" w:rsidR="00A81706" w:rsidRPr="00945E91" w:rsidRDefault="00A81706" w:rsidP="007D7A4C">
      <w:pPr>
        <w:keepNext w:val="0"/>
        <w:autoSpaceDE w:val="0"/>
        <w:autoSpaceDN w:val="0"/>
        <w:adjustRightInd w:val="0"/>
        <w:spacing w:before="0"/>
        <w:contextualSpacing/>
        <w:rPr>
          <w:rFonts w:eastAsia="Arial" w:cs="Arial"/>
          <w:color w:val="auto"/>
          <w:spacing w:val="-1"/>
          <w:highlight w:val="yellow"/>
        </w:rPr>
      </w:pPr>
    </w:p>
    <w:p w14:paraId="75C692DC" w14:textId="68460B9D" w:rsidR="00945E91" w:rsidRPr="00A81706" w:rsidRDefault="00945E91" w:rsidP="00D01157">
      <w:pPr>
        <w:keepNext w:val="0"/>
        <w:numPr>
          <w:ilvl w:val="1"/>
          <w:numId w:val="28"/>
        </w:numPr>
        <w:tabs>
          <w:tab w:val="clear" w:pos="525"/>
        </w:tabs>
        <w:spacing w:before="0"/>
        <w:ind w:left="709" w:hanging="709"/>
        <w:rPr>
          <w:rFonts w:cs="Arial"/>
          <w:color w:val="auto"/>
          <w:szCs w:val="24"/>
          <w:lang w:eastAsia="en-US"/>
        </w:rPr>
      </w:pPr>
      <w:r w:rsidRPr="00A81706">
        <w:rPr>
          <w:rFonts w:eastAsia="Arial" w:cs="Arial"/>
          <w:color w:val="auto"/>
        </w:rPr>
        <w:t xml:space="preserve">For other employment sites and buildings, where economic circumstances change, the </w:t>
      </w:r>
      <w:r w:rsidR="007D7A4C">
        <w:rPr>
          <w:rFonts w:eastAsia="Arial" w:cs="Arial"/>
          <w:color w:val="auto"/>
        </w:rPr>
        <w:t>P</w:t>
      </w:r>
      <w:r w:rsidRPr="00A81706">
        <w:rPr>
          <w:rFonts w:eastAsia="Arial" w:cs="Arial"/>
          <w:color w:val="auto"/>
        </w:rPr>
        <w:t xml:space="preserve">olicy allows for changes to other uses in specific circumstances, which are </w:t>
      </w:r>
      <w:r w:rsidRPr="009838D1">
        <w:rPr>
          <w:rFonts w:eastAsia="Arial" w:cs="Arial"/>
          <w:color w:val="auto"/>
        </w:rPr>
        <w:t xml:space="preserve">usually reflected in a lack of demand for the site in question. In these circumstances, the Council will require the development to meet the provisions set out under </w:t>
      </w:r>
      <w:r w:rsidRPr="009838D1">
        <w:rPr>
          <w:rFonts w:eastAsia="Arial" w:cs="Arial"/>
          <w:color w:val="auto"/>
          <w:spacing w:val="-1"/>
        </w:rPr>
        <w:t>Policy SD</w:t>
      </w:r>
      <w:r w:rsidR="009838D1" w:rsidRPr="009838D1">
        <w:rPr>
          <w:rFonts w:eastAsia="Arial" w:cs="Arial"/>
          <w:color w:val="auto"/>
          <w:spacing w:val="-1"/>
        </w:rPr>
        <w:t>6</w:t>
      </w:r>
      <w:r w:rsidRPr="009838D1">
        <w:rPr>
          <w:rFonts w:eastAsia="Arial" w:cs="Arial"/>
          <w:color w:val="auto"/>
          <w:spacing w:val="-1"/>
        </w:rPr>
        <w:t>.</w:t>
      </w:r>
    </w:p>
    <w:p w14:paraId="7260EF72" w14:textId="0BCEEC84" w:rsidR="00A81706" w:rsidRDefault="00A81706" w:rsidP="00A81706">
      <w:pPr>
        <w:keepNext w:val="0"/>
        <w:spacing w:before="0"/>
        <w:ind w:left="709"/>
        <w:rPr>
          <w:rFonts w:eastAsia="Arial" w:cs="Arial"/>
          <w:color w:val="auto"/>
          <w:spacing w:val="-1"/>
        </w:rPr>
      </w:pPr>
    </w:p>
    <w:p w14:paraId="4B44E9EF" w14:textId="77777777" w:rsidR="00EE2AAD" w:rsidRDefault="00EE2AAD" w:rsidP="00A81706">
      <w:pPr>
        <w:keepNext w:val="0"/>
        <w:spacing w:before="0"/>
        <w:rPr>
          <w:rFonts w:eastAsia="Arial" w:cs="Arial"/>
          <w:b/>
          <w:bCs/>
          <w:color w:val="auto"/>
        </w:rPr>
      </w:pPr>
    </w:p>
    <w:p w14:paraId="34FD85CD" w14:textId="77777777" w:rsidR="00D17B5C" w:rsidRDefault="00D17B5C">
      <w:pPr>
        <w:keepNext w:val="0"/>
        <w:spacing w:before="0"/>
        <w:rPr>
          <w:rFonts w:eastAsia="Arial" w:cs="Arial"/>
          <w:b/>
          <w:bCs/>
          <w:iCs/>
          <w:color w:val="auto"/>
          <w:sz w:val="28"/>
          <w:szCs w:val="28"/>
          <w:lang w:eastAsia="en-US"/>
        </w:rPr>
      </w:pPr>
      <w:bookmarkStart w:id="256" w:name="_Toc145511601"/>
      <w:r>
        <w:rPr>
          <w:rFonts w:eastAsia="Arial"/>
        </w:rPr>
        <w:br w:type="page"/>
      </w:r>
    </w:p>
    <w:p w14:paraId="4EBA9DB4" w14:textId="203F3C6B" w:rsidR="00A81706" w:rsidRPr="00C55F46" w:rsidRDefault="006977E7" w:rsidP="00C55F46">
      <w:pPr>
        <w:pStyle w:val="Heading2"/>
        <w:jc w:val="left"/>
        <w:rPr>
          <w:rFonts w:eastAsia="Arial"/>
          <w:sz w:val="28"/>
          <w:szCs w:val="28"/>
        </w:rPr>
      </w:pPr>
      <w:r w:rsidRPr="00C55F46">
        <w:rPr>
          <w:rFonts w:eastAsia="Arial"/>
          <w:sz w:val="28"/>
          <w:szCs w:val="28"/>
        </w:rPr>
        <w:t xml:space="preserve">Policy </w:t>
      </w:r>
      <w:r w:rsidR="00D20668" w:rsidRPr="00C55F46">
        <w:rPr>
          <w:rFonts w:eastAsia="Arial"/>
          <w:sz w:val="28"/>
          <w:szCs w:val="28"/>
        </w:rPr>
        <w:t>EM4: Rural Development</w:t>
      </w:r>
      <w:bookmarkEnd w:id="256"/>
      <w:r w:rsidR="00D20668" w:rsidRPr="00C55F46">
        <w:rPr>
          <w:rFonts w:eastAsia="Arial"/>
          <w:sz w:val="28"/>
          <w:szCs w:val="28"/>
        </w:rPr>
        <w:t xml:space="preserve"> </w:t>
      </w:r>
    </w:p>
    <w:p w14:paraId="086D6F29" w14:textId="77777777" w:rsidR="00D20668" w:rsidRPr="00A81706" w:rsidRDefault="00D20668" w:rsidP="00A81706">
      <w:pPr>
        <w:keepNext w:val="0"/>
        <w:spacing w:before="0"/>
        <w:rPr>
          <w:rFonts w:eastAsia="Arial" w:cs="Arial"/>
          <w:color w:val="538135"/>
        </w:rPr>
      </w:pPr>
    </w:p>
    <w:tbl>
      <w:tblPr>
        <w:tblStyle w:val="TableGrid3"/>
        <w:tblW w:w="9634" w:type="dxa"/>
        <w:tblLook w:val="04A0" w:firstRow="1" w:lastRow="0" w:firstColumn="1" w:lastColumn="0" w:noHBand="0" w:noVBand="1"/>
      </w:tblPr>
      <w:tblGrid>
        <w:gridCol w:w="2405"/>
        <w:gridCol w:w="255"/>
        <w:gridCol w:w="6974"/>
      </w:tblGrid>
      <w:tr w:rsidR="00A81706" w:rsidRPr="00A81706" w14:paraId="1EC00D68" w14:textId="77777777" w:rsidTr="00D17B5C">
        <w:trPr>
          <w:trHeight w:val="421"/>
        </w:trPr>
        <w:tc>
          <w:tcPr>
            <w:tcW w:w="9634" w:type="dxa"/>
            <w:gridSpan w:val="3"/>
          </w:tcPr>
          <w:p w14:paraId="05A8B0DC" w14:textId="77777777" w:rsidR="009838D1" w:rsidRDefault="009838D1" w:rsidP="00FF3EAD">
            <w:pPr>
              <w:keepNext w:val="0"/>
              <w:tabs>
                <w:tab w:val="left" w:pos="680"/>
              </w:tabs>
              <w:spacing w:before="0"/>
              <w:jc w:val="left"/>
              <w:rPr>
                <w:rFonts w:eastAsia="Arial"/>
                <w:b/>
                <w:color w:val="auto"/>
                <w:spacing w:val="-1"/>
              </w:rPr>
            </w:pPr>
          </w:p>
          <w:p w14:paraId="4B6F002C" w14:textId="68A10E26" w:rsidR="00A81706" w:rsidRDefault="00A81706" w:rsidP="00FF3EAD">
            <w:pPr>
              <w:keepNext w:val="0"/>
              <w:tabs>
                <w:tab w:val="left" w:pos="680"/>
              </w:tabs>
              <w:spacing w:before="0"/>
              <w:jc w:val="left"/>
              <w:rPr>
                <w:rFonts w:eastAsia="Arial"/>
                <w:b/>
                <w:color w:val="auto"/>
                <w:spacing w:val="-1"/>
              </w:rPr>
            </w:pPr>
            <w:bookmarkStart w:id="257" w:name="_Hlk79258027"/>
            <w:r w:rsidRPr="00A81706">
              <w:rPr>
                <w:rFonts w:eastAsia="Arial"/>
                <w:b/>
                <w:color w:val="auto"/>
                <w:spacing w:val="-1"/>
              </w:rPr>
              <w:t>Policy EM4:</w:t>
            </w:r>
            <w:r w:rsidRPr="00A81706">
              <w:rPr>
                <w:rFonts w:eastAsia="Arial"/>
                <w:b/>
                <w:color w:val="538135"/>
                <w:spacing w:val="-1"/>
              </w:rPr>
              <w:t xml:space="preserve"> </w:t>
            </w:r>
            <w:r w:rsidRPr="00A81706">
              <w:rPr>
                <w:rFonts w:eastAsia="Arial"/>
                <w:b/>
                <w:color w:val="auto"/>
                <w:spacing w:val="-1"/>
              </w:rPr>
              <w:t>Rural Development</w:t>
            </w:r>
          </w:p>
          <w:bookmarkEnd w:id="257"/>
          <w:p w14:paraId="6840F33B" w14:textId="0EC8E111" w:rsidR="009838D1" w:rsidRPr="00A81706" w:rsidRDefault="009838D1" w:rsidP="00FF3EAD">
            <w:pPr>
              <w:keepNext w:val="0"/>
              <w:tabs>
                <w:tab w:val="left" w:pos="680"/>
              </w:tabs>
              <w:spacing w:before="0"/>
              <w:jc w:val="left"/>
              <w:rPr>
                <w:rFonts w:eastAsia="Arial"/>
                <w:b/>
                <w:color w:val="538135"/>
                <w:spacing w:val="-1"/>
              </w:rPr>
            </w:pPr>
          </w:p>
        </w:tc>
      </w:tr>
      <w:tr w:rsidR="00A81706" w:rsidRPr="00A81706" w14:paraId="75A61E25" w14:textId="77777777" w:rsidTr="00D17B5C">
        <w:tc>
          <w:tcPr>
            <w:tcW w:w="2660" w:type="dxa"/>
            <w:gridSpan w:val="2"/>
          </w:tcPr>
          <w:p w14:paraId="48CF02A2" w14:textId="77777777" w:rsidR="00A81706" w:rsidRPr="009838D1" w:rsidRDefault="00A81706" w:rsidP="00FF3EAD">
            <w:pPr>
              <w:keepNext w:val="0"/>
              <w:tabs>
                <w:tab w:val="left" w:pos="680"/>
              </w:tabs>
              <w:spacing w:before="0"/>
              <w:jc w:val="left"/>
              <w:rPr>
                <w:rFonts w:eastAsia="Arial"/>
                <w:bCs/>
                <w:color w:val="auto"/>
              </w:rPr>
            </w:pPr>
            <w:r w:rsidRPr="009838D1">
              <w:rPr>
                <w:rFonts w:eastAsia="Arial"/>
                <w:bCs/>
                <w:color w:val="auto"/>
              </w:rPr>
              <w:t>Strategic Objectives</w:t>
            </w:r>
          </w:p>
        </w:tc>
        <w:tc>
          <w:tcPr>
            <w:tcW w:w="6974" w:type="dxa"/>
          </w:tcPr>
          <w:p w14:paraId="48A4CF00" w14:textId="77777777" w:rsidR="00A81706" w:rsidRPr="009838D1" w:rsidRDefault="00A81706" w:rsidP="00FF3EAD">
            <w:pPr>
              <w:keepNext w:val="0"/>
              <w:tabs>
                <w:tab w:val="left" w:pos="680"/>
              </w:tabs>
              <w:spacing w:before="40" w:after="40"/>
              <w:jc w:val="left"/>
              <w:rPr>
                <w:rFonts w:eastAsia="Arial"/>
                <w:bCs/>
                <w:color w:val="auto"/>
              </w:rPr>
            </w:pPr>
            <w:r w:rsidRPr="009838D1">
              <w:rPr>
                <w:rFonts w:eastAsia="Arial"/>
                <w:bCs/>
                <w:color w:val="auto"/>
              </w:rPr>
              <w:t>SO1, SO2, SO4, SO5, SO6, SO12, SO14.</w:t>
            </w:r>
          </w:p>
        </w:tc>
      </w:tr>
      <w:tr w:rsidR="00A81706" w:rsidRPr="00A81706" w14:paraId="30EB54F1" w14:textId="77777777" w:rsidTr="00D17B5C">
        <w:tc>
          <w:tcPr>
            <w:tcW w:w="9634" w:type="dxa"/>
            <w:gridSpan w:val="3"/>
            <w:shd w:val="clear" w:color="auto" w:fill="D9E2F3"/>
          </w:tcPr>
          <w:p w14:paraId="00DF67E8" w14:textId="77777777" w:rsidR="00A81706" w:rsidRPr="00A81706" w:rsidRDefault="00A81706" w:rsidP="00FF3EAD">
            <w:pPr>
              <w:keepNext w:val="0"/>
              <w:tabs>
                <w:tab w:val="left" w:pos="680"/>
              </w:tabs>
              <w:spacing w:before="0"/>
              <w:jc w:val="left"/>
              <w:rPr>
                <w:rFonts w:eastAsia="Arial"/>
                <w:b/>
                <w:color w:val="auto"/>
              </w:rPr>
            </w:pPr>
          </w:p>
          <w:p w14:paraId="15A1E981" w14:textId="4F20950C" w:rsidR="00A81706" w:rsidRDefault="00A81706" w:rsidP="00874A98">
            <w:pPr>
              <w:keepNext w:val="0"/>
              <w:numPr>
                <w:ilvl w:val="0"/>
                <w:numId w:val="142"/>
              </w:numPr>
              <w:autoSpaceDE w:val="0"/>
              <w:autoSpaceDN w:val="0"/>
              <w:adjustRightInd w:val="0"/>
              <w:spacing w:before="0"/>
              <w:ind w:left="457" w:right="284" w:hanging="283"/>
              <w:jc w:val="left"/>
              <w:rPr>
                <w:rFonts w:cs="Arial"/>
                <w:bCs/>
                <w:color w:val="auto"/>
                <w:szCs w:val="24"/>
              </w:rPr>
            </w:pPr>
            <w:r w:rsidRPr="00A81706">
              <w:rPr>
                <w:rFonts w:eastAsia="Arial"/>
                <w:bCs/>
                <w:color w:val="auto"/>
              </w:rPr>
              <w:t>The Council will support rural development for employment or appropriate recreational uses within Named Settlements and, where appropriate, within the countryside, p</w:t>
            </w:r>
            <w:r w:rsidRPr="00A81706">
              <w:rPr>
                <w:rFonts w:cs="Arial"/>
                <w:bCs/>
                <w:color w:val="auto"/>
                <w:szCs w:val="24"/>
              </w:rPr>
              <w:t>rovided that:</w:t>
            </w:r>
          </w:p>
          <w:p w14:paraId="3002D01E" w14:textId="77777777" w:rsidR="009838D1" w:rsidRPr="00A81706" w:rsidRDefault="009838D1" w:rsidP="00FF3EAD">
            <w:pPr>
              <w:keepNext w:val="0"/>
              <w:autoSpaceDE w:val="0"/>
              <w:autoSpaceDN w:val="0"/>
              <w:adjustRightInd w:val="0"/>
              <w:spacing w:before="0"/>
              <w:ind w:left="457" w:right="284"/>
              <w:jc w:val="left"/>
              <w:rPr>
                <w:rFonts w:cs="Arial"/>
                <w:bCs/>
                <w:color w:val="auto"/>
                <w:szCs w:val="24"/>
              </w:rPr>
            </w:pPr>
          </w:p>
          <w:p w14:paraId="13D816DC" w14:textId="71699F2B" w:rsidR="00A81706" w:rsidRPr="00985BCC" w:rsidRDefault="00A81706" w:rsidP="00874A98">
            <w:pPr>
              <w:keepNext w:val="0"/>
              <w:numPr>
                <w:ilvl w:val="0"/>
                <w:numId w:val="145"/>
              </w:numPr>
              <w:spacing w:before="0"/>
              <w:contextualSpacing/>
              <w:jc w:val="left"/>
              <w:rPr>
                <w:rFonts w:eastAsia="Arial" w:cs="Arial"/>
                <w:bCs/>
              </w:rPr>
            </w:pPr>
            <w:r w:rsidRPr="00A81706">
              <w:rPr>
                <w:rFonts w:cs="Arial"/>
                <w:bCs/>
                <w:color w:val="auto"/>
                <w:szCs w:val="24"/>
              </w:rPr>
              <w:t>It can be d</w:t>
            </w:r>
            <w:r w:rsidRPr="00A81706">
              <w:rPr>
                <w:rFonts w:eastAsia="Arial" w:cs="Arial"/>
                <w:bCs/>
                <w:color w:val="auto"/>
              </w:rPr>
              <w:t xml:space="preserve">emonstrated that the scale, and character of development is designed </w:t>
            </w:r>
            <w:r w:rsidRPr="00985BCC">
              <w:rPr>
                <w:rFonts w:eastAsia="Arial" w:cs="Arial"/>
                <w:bCs/>
              </w:rPr>
              <w:t xml:space="preserve">and operated so as to cause no detriment to the character and appearance of the </w:t>
            </w:r>
            <w:r w:rsidR="00F219BF" w:rsidRPr="00985BCC">
              <w:rPr>
                <w:rFonts w:eastAsia="Arial" w:cs="Arial"/>
                <w:bCs/>
              </w:rPr>
              <w:t xml:space="preserve">Named Settlement or </w:t>
            </w:r>
            <w:r w:rsidR="00B5541A" w:rsidRPr="00985BCC">
              <w:rPr>
                <w:rFonts w:eastAsia="Arial" w:cs="Arial"/>
                <w:bCs/>
              </w:rPr>
              <w:t xml:space="preserve">the </w:t>
            </w:r>
            <w:r w:rsidRPr="00985BCC">
              <w:rPr>
                <w:rFonts w:eastAsia="Arial" w:cs="Arial"/>
                <w:bCs/>
              </w:rPr>
              <w:t>countryside;</w:t>
            </w:r>
          </w:p>
          <w:p w14:paraId="63F1A7E6" w14:textId="77777777" w:rsidR="00A81706" w:rsidRPr="00985BCC" w:rsidRDefault="00A81706" w:rsidP="00874A98">
            <w:pPr>
              <w:keepNext w:val="0"/>
              <w:numPr>
                <w:ilvl w:val="0"/>
                <w:numId w:val="145"/>
              </w:numPr>
              <w:spacing w:before="0" w:after="160" w:line="252" w:lineRule="auto"/>
              <w:contextualSpacing/>
              <w:jc w:val="left"/>
              <w:rPr>
                <w:rFonts w:eastAsia="Arial" w:cs="Arial"/>
                <w:bCs/>
              </w:rPr>
            </w:pPr>
            <w:r w:rsidRPr="00985BCC">
              <w:rPr>
                <w:rFonts w:cs="Arial"/>
                <w:bCs/>
                <w:szCs w:val="24"/>
              </w:rPr>
              <w:t>It is</w:t>
            </w:r>
            <w:r w:rsidRPr="00985BCC">
              <w:rPr>
                <w:rFonts w:eastAsia="Arial" w:cs="Arial"/>
                <w:bCs/>
              </w:rPr>
              <w:t xml:space="preserve"> of a scale appropriate to the nature of the site and its setting;</w:t>
            </w:r>
          </w:p>
          <w:p w14:paraId="48C30250" w14:textId="77777777" w:rsidR="00A81706" w:rsidRPr="00985BCC" w:rsidRDefault="00A81706" w:rsidP="00874A98">
            <w:pPr>
              <w:keepNext w:val="0"/>
              <w:numPr>
                <w:ilvl w:val="0"/>
                <w:numId w:val="145"/>
              </w:numPr>
              <w:spacing w:before="0" w:after="160" w:line="252" w:lineRule="auto"/>
              <w:contextualSpacing/>
              <w:jc w:val="left"/>
              <w:rPr>
                <w:rFonts w:eastAsia="Arial" w:cs="Arial"/>
                <w:bCs/>
              </w:rPr>
            </w:pPr>
            <w:r w:rsidRPr="00985BCC">
              <w:rPr>
                <w:rFonts w:eastAsia="Arial" w:cs="Arial"/>
                <w:bCs/>
              </w:rPr>
              <w:t xml:space="preserve">It is sensitively sited to protect the amenity of existing neighbouring uses in the locality; </w:t>
            </w:r>
          </w:p>
          <w:p w14:paraId="7C3C9625" w14:textId="77777777" w:rsidR="00A81706" w:rsidRPr="00985BCC" w:rsidRDefault="00A81706" w:rsidP="00874A98">
            <w:pPr>
              <w:keepNext w:val="0"/>
              <w:numPr>
                <w:ilvl w:val="0"/>
                <w:numId w:val="145"/>
              </w:numPr>
              <w:spacing w:before="0" w:after="160" w:line="252" w:lineRule="auto"/>
              <w:contextualSpacing/>
              <w:jc w:val="left"/>
              <w:rPr>
                <w:rFonts w:eastAsia="Arial" w:cs="Arial"/>
                <w:bCs/>
              </w:rPr>
            </w:pPr>
            <w:r w:rsidRPr="00985BCC">
              <w:rPr>
                <w:rFonts w:eastAsia="Arial" w:cs="Arial"/>
                <w:bCs/>
              </w:rPr>
              <w:t xml:space="preserve">It can be accommodated by the transport network in the locality and would not be detrimental to highway safety; </w:t>
            </w:r>
          </w:p>
          <w:p w14:paraId="3B58F68A" w14:textId="77777777" w:rsidR="00A81706" w:rsidRPr="00985BCC" w:rsidRDefault="00A81706" w:rsidP="00874A98">
            <w:pPr>
              <w:keepNext w:val="0"/>
              <w:numPr>
                <w:ilvl w:val="0"/>
                <w:numId w:val="145"/>
              </w:numPr>
              <w:spacing w:before="0" w:after="160" w:line="252" w:lineRule="auto"/>
              <w:contextualSpacing/>
              <w:jc w:val="left"/>
              <w:rPr>
                <w:rFonts w:eastAsia="Arial" w:cs="Arial"/>
                <w:bCs/>
              </w:rPr>
            </w:pPr>
            <w:r w:rsidRPr="00985BCC">
              <w:rPr>
                <w:rFonts w:eastAsia="Arial" w:cs="Arial"/>
                <w:bCs/>
              </w:rPr>
              <w:t>It is not inappropriate development within the Green Belt; and</w:t>
            </w:r>
          </w:p>
          <w:p w14:paraId="5EF6D197" w14:textId="77777777" w:rsidR="00A81706" w:rsidRPr="00985BCC" w:rsidRDefault="00A81706" w:rsidP="00874A98">
            <w:pPr>
              <w:keepNext w:val="0"/>
              <w:numPr>
                <w:ilvl w:val="0"/>
                <w:numId w:val="145"/>
              </w:numPr>
              <w:spacing w:before="0" w:after="160" w:line="252" w:lineRule="auto"/>
              <w:contextualSpacing/>
              <w:jc w:val="left"/>
              <w:rPr>
                <w:rFonts w:eastAsia="Arial" w:cs="Arial"/>
                <w:bCs/>
              </w:rPr>
            </w:pPr>
            <w:r w:rsidRPr="00985BCC">
              <w:rPr>
                <w:rFonts w:eastAsia="Arial" w:cs="Arial"/>
                <w:bCs/>
              </w:rPr>
              <w:t>Individually, or cumulatively, there are no significant adverse effects in relation to other policy requirements.</w:t>
            </w:r>
          </w:p>
          <w:p w14:paraId="3DD3764E" w14:textId="77777777" w:rsidR="00A81706" w:rsidRPr="00985BCC" w:rsidRDefault="00A81706" w:rsidP="00FF3EAD">
            <w:pPr>
              <w:keepNext w:val="0"/>
              <w:spacing w:before="0"/>
              <w:ind w:left="360"/>
              <w:jc w:val="left"/>
              <w:rPr>
                <w:rFonts w:eastAsia="Arial" w:cs="Arial"/>
                <w:bCs/>
              </w:rPr>
            </w:pPr>
          </w:p>
          <w:p w14:paraId="746E701D" w14:textId="548504CB" w:rsidR="00A81706" w:rsidRPr="00985BCC" w:rsidRDefault="00A81706" w:rsidP="00874A98">
            <w:pPr>
              <w:keepNext w:val="0"/>
              <w:numPr>
                <w:ilvl w:val="0"/>
                <w:numId w:val="142"/>
              </w:numPr>
              <w:autoSpaceDE w:val="0"/>
              <w:autoSpaceDN w:val="0"/>
              <w:adjustRightInd w:val="0"/>
              <w:spacing w:before="0"/>
              <w:ind w:left="457" w:right="284" w:hanging="283"/>
              <w:jc w:val="left"/>
              <w:rPr>
                <w:rFonts w:cs="Arial"/>
                <w:bCs/>
                <w:szCs w:val="24"/>
              </w:rPr>
            </w:pPr>
            <w:r w:rsidRPr="00985BCC">
              <w:rPr>
                <w:rFonts w:eastAsia="Arial" w:cs="Arial"/>
                <w:bCs/>
              </w:rPr>
              <w:t>In addition to Policy EM4 1</w:t>
            </w:r>
            <w:r w:rsidR="00804383">
              <w:rPr>
                <w:rFonts w:eastAsia="Arial" w:cs="Arial"/>
                <w:bCs/>
              </w:rPr>
              <w:t>,</w:t>
            </w:r>
            <w:r w:rsidRPr="00985BCC">
              <w:rPr>
                <w:rFonts w:eastAsia="Arial" w:cs="Arial"/>
                <w:bCs/>
              </w:rPr>
              <w:t xml:space="preserve"> proposals for agricultural, forestry or horticultural or other land use development should demonstrate that:</w:t>
            </w:r>
          </w:p>
          <w:p w14:paraId="4BD00A50" w14:textId="77777777" w:rsidR="00A81706" w:rsidRPr="00985BCC" w:rsidRDefault="00A81706" w:rsidP="00FF3EAD">
            <w:pPr>
              <w:keepNext w:val="0"/>
              <w:autoSpaceDE w:val="0"/>
              <w:autoSpaceDN w:val="0"/>
              <w:adjustRightInd w:val="0"/>
              <w:spacing w:before="0"/>
              <w:ind w:right="284"/>
              <w:jc w:val="left"/>
              <w:rPr>
                <w:rFonts w:eastAsia="Arial" w:cs="Arial"/>
                <w:bCs/>
              </w:rPr>
            </w:pPr>
          </w:p>
          <w:p w14:paraId="0728699F" w14:textId="77777777" w:rsidR="00A81706" w:rsidRPr="00985BCC" w:rsidRDefault="00A81706" w:rsidP="00874A98">
            <w:pPr>
              <w:keepNext w:val="0"/>
              <w:numPr>
                <w:ilvl w:val="0"/>
                <w:numId w:val="146"/>
              </w:numPr>
              <w:autoSpaceDE w:val="0"/>
              <w:autoSpaceDN w:val="0"/>
              <w:adjustRightInd w:val="0"/>
              <w:spacing w:before="0"/>
              <w:ind w:right="284"/>
              <w:contextualSpacing/>
              <w:jc w:val="left"/>
              <w:rPr>
                <w:rFonts w:eastAsia="Arial" w:cs="Arial"/>
                <w:bCs/>
              </w:rPr>
            </w:pPr>
            <w:r w:rsidRPr="00985BCC">
              <w:rPr>
                <w:rFonts w:eastAsia="Arial" w:cs="Arial"/>
                <w:bCs/>
              </w:rPr>
              <w:t>The proposed development is necessary for the purpose of agriculture, forestry, horticulture or other land based use within the unit.</w:t>
            </w:r>
          </w:p>
          <w:p w14:paraId="3468A1F9" w14:textId="77777777" w:rsidR="00A81706" w:rsidRPr="00A81706" w:rsidRDefault="00A81706" w:rsidP="00874A98">
            <w:pPr>
              <w:keepNext w:val="0"/>
              <w:numPr>
                <w:ilvl w:val="0"/>
                <w:numId w:val="146"/>
              </w:numPr>
              <w:autoSpaceDE w:val="0"/>
              <w:autoSpaceDN w:val="0"/>
              <w:adjustRightInd w:val="0"/>
              <w:spacing w:before="0" w:after="160" w:line="252" w:lineRule="auto"/>
              <w:ind w:right="284"/>
              <w:contextualSpacing/>
              <w:jc w:val="left"/>
              <w:rPr>
                <w:rFonts w:eastAsia="Arial" w:cs="Arial"/>
                <w:bCs/>
                <w:color w:val="auto"/>
              </w:rPr>
            </w:pPr>
            <w:r w:rsidRPr="00A81706">
              <w:rPr>
                <w:rFonts w:eastAsia="Arial" w:cs="Arial"/>
                <w:bCs/>
                <w:color w:val="auto"/>
              </w:rPr>
              <w:t>Adequate provision will be made for the storage and disposal of slurries and manures without polluting any watercourse or water supply sources.</w:t>
            </w:r>
          </w:p>
          <w:p w14:paraId="2D1AA38D" w14:textId="5FE70C11" w:rsidR="00A81706" w:rsidRDefault="00A81706" w:rsidP="00874A98">
            <w:pPr>
              <w:keepNext w:val="0"/>
              <w:numPr>
                <w:ilvl w:val="0"/>
                <w:numId w:val="146"/>
              </w:numPr>
              <w:autoSpaceDE w:val="0"/>
              <w:autoSpaceDN w:val="0"/>
              <w:adjustRightInd w:val="0"/>
              <w:spacing w:before="0" w:after="160" w:line="252" w:lineRule="auto"/>
              <w:ind w:right="284"/>
              <w:contextualSpacing/>
              <w:jc w:val="left"/>
              <w:rPr>
                <w:rFonts w:eastAsia="Arial" w:cs="Arial"/>
                <w:bCs/>
                <w:color w:val="auto"/>
              </w:rPr>
            </w:pPr>
            <w:r w:rsidRPr="00A81706">
              <w:rPr>
                <w:rFonts w:eastAsia="Arial" w:cs="Arial"/>
                <w:bCs/>
                <w:color w:val="auto"/>
              </w:rPr>
              <w:t>For farm diversification:</w:t>
            </w:r>
          </w:p>
          <w:p w14:paraId="3DC6BEDE" w14:textId="77777777" w:rsidR="009838D1" w:rsidRPr="00A81706" w:rsidRDefault="009838D1" w:rsidP="00FF3EAD">
            <w:pPr>
              <w:keepNext w:val="0"/>
              <w:autoSpaceDE w:val="0"/>
              <w:autoSpaceDN w:val="0"/>
              <w:adjustRightInd w:val="0"/>
              <w:spacing w:before="0" w:after="160" w:line="252" w:lineRule="auto"/>
              <w:ind w:left="817" w:right="284"/>
              <w:contextualSpacing/>
              <w:jc w:val="left"/>
              <w:rPr>
                <w:rFonts w:eastAsia="Arial" w:cs="Arial"/>
                <w:bCs/>
                <w:color w:val="auto"/>
              </w:rPr>
            </w:pPr>
          </w:p>
          <w:p w14:paraId="720126BF" w14:textId="77777777" w:rsidR="00A81706" w:rsidRPr="00A81706" w:rsidRDefault="00A81706" w:rsidP="00874A98">
            <w:pPr>
              <w:keepNext w:val="0"/>
              <w:numPr>
                <w:ilvl w:val="0"/>
                <w:numId w:val="147"/>
              </w:numPr>
              <w:autoSpaceDE w:val="0"/>
              <w:autoSpaceDN w:val="0"/>
              <w:adjustRightInd w:val="0"/>
              <w:spacing w:before="0" w:after="160" w:line="252" w:lineRule="auto"/>
              <w:ind w:right="284"/>
              <w:contextualSpacing/>
              <w:jc w:val="left"/>
              <w:rPr>
                <w:rFonts w:eastAsia="Arial" w:cs="Arial"/>
                <w:bCs/>
                <w:color w:val="auto"/>
              </w:rPr>
            </w:pPr>
            <w:r w:rsidRPr="00A81706">
              <w:rPr>
                <w:rFonts w:eastAsia="Arial" w:cs="Arial"/>
                <w:bCs/>
                <w:color w:val="auto"/>
              </w:rPr>
              <w:t>The proposal is ancillary to and operated as part of an established agricultural enterprise; forms part of a comprehensive farm diversification scheme and will contribute to making the holding viable;</w:t>
            </w:r>
          </w:p>
          <w:p w14:paraId="31385504" w14:textId="77777777" w:rsidR="00A81706" w:rsidRPr="00A81706" w:rsidRDefault="00A81706" w:rsidP="00874A98">
            <w:pPr>
              <w:keepNext w:val="0"/>
              <w:numPr>
                <w:ilvl w:val="0"/>
                <w:numId w:val="147"/>
              </w:numPr>
              <w:autoSpaceDE w:val="0"/>
              <w:autoSpaceDN w:val="0"/>
              <w:adjustRightInd w:val="0"/>
              <w:spacing w:before="0" w:after="160" w:line="252" w:lineRule="auto"/>
              <w:ind w:right="284"/>
              <w:contextualSpacing/>
              <w:jc w:val="left"/>
              <w:rPr>
                <w:rFonts w:eastAsia="Arial" w:cs="Arial"/>
                <w:bCs/>
                <w:color w:val="auto"/>
              </w:rPr>
            </w:pPr>
            <w:r w:rsidRPr="00A81706">
              <w:rPr>
                <w:rFonts w:eastAsia="Arial" w:cs="Arial"/>
                <w:bCs/>
                <w:color w:val="auto"/>
              </w:rPr>
              <w:t xml:space="preserve">Where a retail use is proposed it is directly related to the farm unit, it provides adequate access and parking arrangements, and the proposal must be of a scale appropriate in a rural location. </w:t>
            </w:r>
          </w:p>
          <w:p w14:paraId="59223605" w14:textId="77777777" w:rsidR="00A81706" w:rsidRPr="00A81706" w:rsidRDefault="00A81706" w:rsidP="00FF3EAD">
            <w:pPr>
              <w:keepNext w:val="0"/>
              <w:autoSpaceDE w:val="0"/>
              <w:autoSpaceDN w:val="0"/>
              <w:adjustRightInd w:val="0"/>
              <w:spacing w:before="0"/>
              <w:ind w:right="284"/>
              <w:jc w:val="left"/>
              <w:rPr>
                <w:rFonts w:eastAsia="Arial" w:cs="Arial"/>
                <w:bCs/>
                <w:color w:val="auto"/>
              </w:rPr>
            </w:pPr>
          </w:p>
          <w:p w14:paraId="107F472B" w14:textId="5C9CB767" w:rsidR="00A81706" w:rsidRPr="00A81706" w:rsidRDefault="00A81706" w:rsidP="00874A98">
            <w:pPr>
              <w:keepNext w:val="0"/>
              <w:numPr>
                <w:ilvl w:val="0"/>
                <w:numId w:val="142"/>
              </w:numPr>
              <w:autoSpaceDE w:val="0"/>
              <w:autoSpaceDN w:val="0"/>
              <w:adjustRightInd w:val="0"/>
              <w:spacing w:before="0"/>
              <w:ind w:left="459" w:right="284" w:hanging="283"/>
              <w:jc w:val="left"/>
              <w:rPr>
                <w:rFonts w:cs="Arial"/>
                <w:color w:val="auto"/>
                <w:szCs w:val="24"/>
              </w:rPr>
            </w:pPr>
            <w:r w:rsidRPr="00A81706">
              <w:rPr>
                <w:color w:val="auto"/>
                <w:szCs w:val="24"/>
              </w:rPr>
              <w:t>In addition</w:t>
            </w:r>
            <w:r w:rsidRPr="00A81706">
              <w:rPr>
                <w:rFonts w:eastAsia="Arial" w:cs="Arial"/>
                <w:bCs/>
                <w:color w:val="auto"/>
              </w:rPr>
              <w:t xml:space="preserve"> to Policy EM4 1</w:t>
            </w:r>
            <w:r w:rsidRPr="00A81706">
              <w:rPr>
                <w:color w:val="auto"/>
                <w:szCs w:val="24"/>
              </w:rPr>
              <w:t>, proposals for equestrian development should  demonstrate that</w:t>
            </w:r>
            <w:r w:rsidRPr="00A81706">
              <w:rPr>
                <w:rFonts w:eastAsia="Arial" w:cs="OMDIGN+Arial,Bold"/>
                <w:color w:val="auto"/>
                <w:szCs w:val="24"/>
              </w:rPr>
              <w:t>:</w:t>
            </w:r>
          </w:p>
          <w:p w14:paraId="7DD9FEEE" w14:textId="77777777" w:rsidR="00A81706" w:rsidRPr="00A81706" w:rsidRDefault="00A81706" w:rsidP="00FF3EAD">
            <w:pPr>
              <w:keepNext w:val="0"/>
              <w:autoSpaceDE w:val="0"/>
              <w:autoSpaceDN w:val="0"/>
              <w:adjustRightInd w:val="0"/>
              <w:spacing w:before="0"/>
              <w:ind w:left="459" w:right="284"/>
              <w:jc w:val="left"/>
              <w:rPr>
                <w:rFonts w:cs="Arial"/>
                <w:color w:val="auto"/>
                <w:szCs w:val="24"/>
              </w:rPr>
            </w:pPr>
          </w:p>
          <w:p w14:paraId="2F15E726" w14:textId="77777777" w:rsidR="00A81706" w:rsidRPr="00A81706" w:rsidRDefault="00A81706" w:rsidP="00874A98">
            <w:pPr>
              <w:keepNext w:val="0"/>
              <w:numPr>
                <w:ilvl w:val="0"/>
                <w:numId w:val="143"/>
              </w:numPr>
              <w:spacing w:before="0" w:after="160" w:line="252" w:lineRule="auto"/>
              <w:jc w:val="left"/>
              <w:rPr>
                <w:rFonts w:eastAsia="Arial" w:cs="Arial"/>
                <w:color w:val="auto"/>
              </w:rPr>
            </w:pPr>
            <w:r w:rsidRPr="00A81706">
              <w:rPr>
                <w:rFonts w:eastAsia="Arial" w:cs="Arial"/>
                <w:color w:val="auto"/>
              </w:rPr>
              <w:t xml:space="preserve">Priority has been given to the re-use of existing buildings.  </w:t>
            </w:r>
          </w:p>
          <w:p w14:paraId="76516BDA" w14:textId="77777777" w:rsidR="00A81706" w:rsidRPr="00A81706" w:rsidRDefault="00A81706" w:rsidP="00874A98">
            <w:pPr>
              <w:keepNext w:val="0"/>
              <w:numPr>
                <w:ilvl w:val="0"/>
                <w:numId w:val="143"/>
              </w:numPr>
              <w:spacing w:before="0" w:after="160" w:line="252" w:lineRule="auto"/>
              <w:jc w:val="left"/>
              <w:rPr>
                <w:rFonts w:eastAsia="Arial" w:cs="Arial"/>
                <w:color w:val="auto"/>
              </w:rPr>
            </w:pPr>
            <w:r w:rsidRPr="00A81706">
              <w:rPr>
                <w:rFonts w:eastAsia="Arial" w:cs="Arial"/>
                <w:color w:val="auto"/>
              </w:rPr>
              <w:t>Where new buildings or structures are justified in relation to the proposed development, they will use appropriate materials, are well related to existing buildings, and consist only of essential facilities necessary for the proposed use.</w:t>
            </w:r>
          </w:p>
          <w:p w14:paraId="2CA37C3D" w14:textId="72C2C733" w:rsidR="00A81706" w:rsidRPr="00A81706" w:rsidRDefault="00A81706" w:rsidP="00874A98">
            <w:pPr>
              <w:keepNext w:val="0"/>
              <w:numPr>
                <w:ilvl w:val="0"/>
                <w:numId w:val="143"/>
              </w:numPr>
              <w:spacing w:before="0" w:after="160" w:line="252" w:lineRule="auto"/>
              <w:jc w:val="left"/>
              <w:rPr>
                <w:rFonts w:eastAsia="Arial" w:cs="Arial"/>
                <w:color w:val="auto"/>
              </w:rPr>
            </w:pPr>
            <w:r w:rsidRPr="00A81706">
              <w:rPr>
                <w:rFonts w:eastAsia="Arial" w:cs="Arial"/>
                <w:color w:val="auto"/>
              </w:rPr>
              <w:t>There is sufficient provision of land for the proper care of horses</w:t>
            </w:r>
            <w:r w:rsidR="00340FEC" w:rsidRPr="00340FEC">
              <w:rPr>
                <w:rFonts w:eastAsia="Arial" w:cs="Arial"/>
                <w:color w:val="auto"/>
                <w:vertAlign w:val="superscript"/>
              </w:rPr>
              <w:t>1</w:t>
            </w:r>
            <w:r w:rsidRPr="00340FEC">
              <w:rPr>
                <w:rFonts w:eastAsia="Arial" w:cs="Arial"/>
                <w:color w:val="auto"/>
                <w:vertAlign w:val="superscript"/>
              </w:rPr>
              <w:t xml:space="preserve"> </w:t>
            </w:r>
            <w:r w:rsidRPr="00A81706">
              <w:rPr>
                <w:rFonts w:eastAsia="Arial" w:cs="Arial"/>
                <w:color w:val="auto"/>
              </w:rPr>
              <w:t>including stabling, grazing and exercise having regard to appropriate guidelines</w:t>
            </w:r>
            <w:r w:rsidRPr="00A81706">
              <w:rPr>
                <w:rFonts w:eastAsia="Arial" w:cs="Arial"/>
                <w:i/>
                <w:color w:val="auto"/>
              </w:rPr>
              <w:t xml:space="preserve">. </w:t>
            </w:r>
          </w:p>
          <w:p w14:paraId="16E1F552" w14:textId="77777777" w:rsidR="00A81706" w:rsidRPr="00A81706" w:rsidRDefault="00A81706" w:rsidP="00874A98">
            <w:pPr>
              <w:keepNext w:val="0"/>
              <w:numPr>
                <w:ilvl w:val="0"/>
                <w:numId w:val="143"/>
              </w:numPr>
              <w:spacing w:before="0"/>
              <w:jc w:val="left"/>
              <w:rPr>
                <w:rFonts w:eastAsia="Arial" w:cs="Arial"/>
                <w:color w:val="auto"/>
              </w:rPr>
            </w:pPr>
            <w:r w:rsidRPr="00A81706">
              <w:rPr>
                <w:rFonts w:eastAsia="Arial" w:cs="Arial"/>
                <w:color w:val="auto"/>
              </w:rPr>
              <w:t>Adequate provision will be made for the storage and disposal of waste materials from horses.</w:t>
            </w:r>
          </w:p>
          <w:p w14:paraId="758D175D" w14:textId="77777777" w:rsidR="00A81706" w:rsidRPr="00A81706" w:rsidRDefault="00A81706" w:rsidP="00FF3EAD">
            <w:pPr>
              <w:keepNext w:val="0"/>
              <w:autoSpaceDE w:val="0"/>
              <w:autoSpaceDN w:val="0"/>
              <w:adjustRightInd w:val="0"/>
              <w:spacing w:before="0"/>
              <w:jc w:val="left"/>
              <w:rPr>
                <w:rFonts w:eastAsia="Arial" w:cs="Arial"/>
                <w:color w:val="auto"/>
                <w:szCs w:val="24"/>
              </w:rPr>
            </w:pPr>
          </w:p>
          <w:p w14:paraId="40C63D0D" w14:textId="77777777" w:rsidR="00A81706" w:rsidRPr="00A81706" w:rsidRDefault="00A81706" w:rsidP="00FF3EAD">
            <w:pPr>
              <w:keepNext w:val="0"/>
              <w:autoSpaceDE w:val="0"/>
              <w:autoSpaceDN w:val="0"/>
              <w:adjustRightInd w:val="0"/>
              <w:spacing w:before="0"/>
              <w:ind w:left="360" w:right="284"/>
              <w:contextualSpacing/>
              <w:jc w:val="left"/>
              <w:rPr>
                <w:rFonts w:eastAsia="Arial" w:cs="Arial"/>
                <w:color w:val="auto"/>
                <w:szCs w:val="24"/>
              </w:rPr>
            </w:pPr>
            <w:r w:rsidRPr="00A81706">
              <w:rPr>
                <w:rFonts w:cs="Arial"/>
                <w:color w:val="auto"/>
                <w:szCs w:val="24"/>
              </w:rPr>
              <w:t xml:space="preserve">In determining any application for equestrian purposes, the Council will consider the cumulative impact </w:t>
            </w:r>
            <w:r w:rsidRPr="00A81706">
              <w:rPr>
                <w:rFonts w:eastAsia="Arial" w:cs="Arial"/>
                <w:color w:val="auto"/>
                <w:szCs w:val="24"/>
              </w:rPr>
              <w:t>with other existing equestrian developments or equestrian developments for which there is planning permission in the local area, on the wider landscape and environment.</w:t>
            </w:r>
          </w:p>
          <w:p w14:paraId="1020F5B7" w14:textId="77777777" w:rsidR="00A81706" w:rsidRPr="00A81706" w:rsidRDefault="00A81706" w:rsidP="00FF3EAD">
            <w:pPr>
              <w:keepNext w:val="0"/>
              <w:autoSpaceDE w:val="0"/>
              <w:autoSpaceDN w:val="0"/>
              <w:adjustRightInd w:val="0"/>
              <w:spacing w:before="0"/>
              <w:ind w:right="284"/>
              <w:contextualSpacing/>
              <w:jc w:val="left"/>
              <w:rPr>
                <w:rFonts w:eastAsia="Arial" w:cs="Arial"/>
                <w:b/>
                <w:color w:val="auto"/>
                <w:szCs w:val="24"/>
              </w:rPr>
            </w:pPr>
          </w:p>
          <w:p w14:paraId="5B7F26B9" w14:textId="77777777" w:rsidR="00A81706" w:rsidRPr="00985BCC" w:rsidRDefault="00A81706" w:rsidP="00874A98">
            <w:pPr>
              <w:keepNext w:val="0"/>
              <w:numPr>
                <w:ilvl w:val="0"/>
                <w:numId w:val="142"/>
              </w:numPr>
              <w:autoSpaceDE w:val="0"/>
              <w:autoSpaceDN w:val="0"/>
              <w:adjustRightInd w:val="0"/>
              <w:spacing w:before="0"/>
              <w:ind w:left="457" w:right="284" w:hanging="283"/>
              <w:jc w:val="left"/>
              <w:rPr>
                <w:rFonts w:cs="Arial"/>
                <w:szCs w:val="24"/>
              </w:rPr>
            </w:pPr>
            <w:r w:rsidRPr="00A81706">
              <w:rPr>
                <w:rFonts w:cs="Arial"/>
                <w:bCs/>
                <w:color w:val="auto"/>
                <w:szCs w:val="24"/>
              </w:rPr>
              <w:t xml:space="preserve">Planning permission for the removal of a restrictive occupancy condition on a dwelling for an agricultural, forestry or other similar worker will only be given </w:t>
            </w:r>
            <w:r w:rsidRPr="00985BCC">
              <w:rPr>
                <w:rFonts w:cs="Arial"/>
                <w:bCs/>
                <w:szCs w:val="24"/>
              </w:rPr>
              <w:t>where the following can be evidentially shown:</w:t>
            </w:r>
          </w:p>
          <w:p w14:paraId="37FD7EB8" w14:textId="77777777" w:rsidR="00A81706" w:rsidRPr="00985BCC" w:rsidRDefault="00A81706" w:rsidP="00FF3EAD">
            <w:pPr>
              <w:keepNext w:val="0"/>
              <w:tabs>
                <w:tab w:val="left" w:pos="680"/>
                <w:tab w:val="left" w:pos="1133"/>
                <w:tab w:val="left" w:pos="2267"/>
              </w:tabs>
              <w:spacing w:before="0"/>
              <w:ind w:left="360" w:right="284"/>
              <w:jc w:val="left"/>
              <w:rPr>
                <w:rFonts w:eastAsia="Arial"/>
                <w:bCs/>
              </w:rPr>
            </w:pPr>
          </w:p>
          <w:p w14:paraId="12F327D2" w14:textId="0B9AE7A7" w:rsidR="00A81706" w:rsidRPr="00985BCC" w:rsidRDefault="00A81706" w:rsidP="00874A98">
            <w:pPr>
              <w:keepNext w:val="0"/>
              <w:numPr>
                <w:ilvl w:val="0"/>
                <w:numId w:val="144"/>
              </w:numPr>
              <w:spacing w:before="0" w:after="160" w:line="252" w:lineRule="auto"/>
              <w:jc w:val="left"/>
              <w:rPr>
                <w:rFonts w:cs="Arial"/>
                <w:bCs/>
                <w:szCs w:val="24"/>
              </w:rPr>
            </w:pPr>
            <w:r w:rsidRPr="00985BCC">
              <w:rPr>
                <w:rFonts w:cs="Arial"/>
                <w:bCs/>
                <w:szCs w:val="24"/>
              </w:rPr>
              <w:t xml:space="preserve">That there is no longer a continued need for the property on the holding or for the business; </w:t>
            </w:r>
            <w:r w:rsidR="00B5541A" w:rsidRPr="00985BCC">
              <w:rPr>
                <w:rFonts w:cs="Arial"/>
                <w:bCs/>
                <w:szCs w:val="24"/>
              </w:rPr>
              <w:t>and</w:t>
            </w:r>
          </w:p>
          <w:p w14:paraId="154B6800" w14:textId="77777777" w:rsidR="00A81706" w:rsidRPr="00A81706" w:rsidRDefault="00A81706" w:rsidP="00874A98">
            <w:pPr>
              <w:keepNext w:val="0"/>
              <w:numPr>
                <w:ilvl w:val="0"/>
                <w:numId w:val="144"/>
              </w:numPr>
              <w:spacing w:before="0" w:after="160" w:line="252" w:lineRule="auto"/>
              <w:jc w:val="left"/>
              <w:rPr>
                <w:rFonts w:cs="Arial"/>
                <w:bCs/>
                <w:color w:val="auto"/>
                <w:szCs w:val="24"/>
              </w:rPr>
            </w:pPr>
            <w:r w:rsidRPr="00A81706">
              <w:rPr>
                <w:rFonts w:cs="Arial"/>
                <w:bCs/>
                <w:color w:val="auto"/>
                <w:szCs w:val="24"/>
              </w:rPr>
              <w:t>There is no long term need for a dwelling with restricted occupancy to serve a need in the area.</w:t>
            </w:r>
          </w:p>
          <w:p w14:paraId="468B1C11" w14:textId="77777777" w:rsidR="00A81706" w:rsidRPr="00A81706" w:rsidRDefault="00A81706" w:rsidP="00FF3EAD">
            <w:pPr>
              <w:keepNext w:val="0"/>
              <w:spacing w:before="0"/>
              <w:jc w:val="left"/>
              <w:rPr>
                <w:rFonts w:eastAsia="Arial"/>
                <w:bCs/>
                <w:color w:val="auto"/>
                <w:sz w:val="20"/>
              </w:rPr>
            </w:pPr>
            <w:r w:rsidRPr="00A81706">
              <w:rPr>
                <w:rFonts w:eastAsia="Arial"/>
                <w:bCs/>
                <w:color w:val="auto"/>
                <w:sz w:val="20"/>
              </w:rPr>
              <w:t>1 ‘Horse’ is used as a generic term. The policy and supporting justification applies to development relating to all sizes, types and breeds of equines.</w:t>
            </w:r>
          </w:p>
          <w:p w14:paraId="61C07F95" w14:textId="77777777" w:rsidR="00A81706" w:rsidRPr="00A81706" w:rsidRDefault="00A81706" w:rsidP="00FF3EAD">
            <w:pPr>
              <w:keepNext w:val="0"/>
              <w:spacing w:before="0"/>
              <w:jc w:val="left"/>
              <w:rPr>
                <w:rFonts w:eastAsia="Arial"/>
                <w:b/>
                <w:color w:val="538135"/>
              </w:rPr>
            </w:pPr>
          </w:p>
        </w:tc>
      </w:tr>
      <w:tr w:rsidR="00A81706" w:rsidRPr="00A81706" w14:paraId="397C069F" w14:textId="77777777" w:rsidTr="00D17B5C">
        <w:tc>
          <w:tcPr>
            <w:tcW w:w="2405" w:type="dxa"/>
          </w:tcPr>
          <w:p w14:paraId="4F2664E9" w14:textId="77777777" w:rsidR="00A81706" w:rsidRPr="00A81706" w:rsidRDefault="00A81706" w:rsidP="009838D1">
            <w:pPr>
              <w:keepNext w:val="0"/>
              <w:tabs>
                <w:tab w:val="left" w:pos="680"/>
                <w:tab w:val="left" w:pos="1133"/>
                <w:tab w:val="left" w:pos="2267"/>
              </w:tabs>
              <w:spacing w:before="0"/>
              <w:ind w:right="284"/>
              <w:rPr>
                <w:rFonts w:eastAsia="Arial"/>
                <w:b/>
                <w:color w:val="002060"/>
                <w:szCs w:val="24"/>
              </w:rPr>
            </w:pPr>
            <w:r w:rsidRPr="00A81706">
              <w:rPr>
                <w:rFonts w:eastAsia="Arial"/>
                <w:bCs/>
                <w:color w:val="auto"/>
                <w:sz w:val="20"/>
              </w:rPr>
              <w:t>Evidence base</w:t>
            </w:r>
          </w:p>
        </w:tc>
        <w:tc>
          <w:tcPr>
            <w:tcW w:w="7229" w:type="dxa"/>
            <w:gridSpan w:val="2"/>
          </w:tcPr>
          <w:p w14:paraId="0EFA23CD" w14:textId="4DBF101A" w:rsidR="00A81706" w:rsidRPr="00A81706" w:rsidRDefault="00A81706" w:rsidP="00A05D94">
            <w:pPr>
              <w:keepNext w:val="0"/>
              <w:numPr>
                <w:ilvl w:val="0"/>
                <w:numId w:val="24"/>
              </w:numPr>
              <w:tabs>
                <w:tab w:val="left" w:pos="680"/>
                <w:tab w:val="left" w:pos="1133"/>
                <w:tab w:val="left" w:pos="2267"/>
              </w:tabs>
              <w:spacing w:before="0" w:after="160" w:line="252" w:lineRule="auto"/>
              <w:ind w:right="284"/>
              <w:contextualSpacing/>
              <w:jc w:val="left"/>
              <w:rPr>
                <w:rFonts w:eastAsia="Arial"/>
                <w:bCs/>
                <w:color w:val="auto"/>
                <w:sz w:val="20"/>
              </w:rPr>
            </w:pPr>
            <w:r w:rsidRPr="00A81706">
              <w:rPr>
                <w:rFonts w:eastAsia="Arial"/>
                <w:bCs/>
                <w:color w:val="auto"/>
                <w:sz w:val="20"/>
              </w:rPr>
              <w:t xml:space="preserve">Background Paper </w:t>
            </w:r>
            <w:r w:rsidR="00A05D94">
              <w:rPr>
                <w:rFonts w:eastAsia="Arial"/>
                <w:bCs/>
                <w:color w:val="auto"/>
                <w:sz w:val="20"/>
              </w:rPr>
              <w:t xml:space="preserve">No 1: </w:t>
            </w:r>
            <w:r w:rsidRPr="00A81706">
              <w:rPr>
                <w:rFonts w:eastAsia="Arial"/>
                <w:bCs/>
                <w:color w:val="auto"/>
                <w:sz w:val="20"/>
              </w:rPr>
              <w:t xml:space="preserve">Spatial Strategy and </w:t>
            </w:r>
            <w:r w:rsidR="00A32846">
              <w:rPr>
                <w:rFonts w:eastAsia="Arial"/>
                <w:bCs/>
                <w:color w:val="auto"/>
                <w:sz w:val="20"/>
              </w:rPr>
              <w:t>Site Selection 2023.</w:t>
            </w:r>
            <w:r w:rsidRPr="00A81706">
              <w:rPr>
                <w:rFonts w:eastAsia="Arial"/>
                <w:bCs/>
                <w:color w:val="auto"/>
                <w:sz w:val="20"/>
              </w:rPr>
              <w:t xml:space="preserve"> Ashfield District Council</w:t>
            </w:r>
            <w:r w:rsidR="009838D1">
              <w:rPr>
                <w:rFonts w:eastAsia="Arial"/>
                <w:bCs/>
                <w:color w:val="auto"/>
                <w:sz w:val="20"/>
              </w:rPr>
              <w:t>.</w:t>
            </w:r>
          </w:p>
          <w:p w14:paraId="2D3C2B31" w14:textId="3A9DE38A" w:rsidR="00A81706" w:rsidRPr="00A81706" w:rsidRDefault="00A81706" w:rsidP="00A05D94">
            <w:pPr>
              <w:keepNext w:val="0"/>
              <w:numPr>
                <w:ilvl w:val="0"/>
                <w:numId w:val="24"/>
              </w:numPr>
              <w:tabs>
                <w:tab w:val="left" w:pos="680"/>
                <w:tab w:val="left" w:pos="1133"/>
                <w:tab w:val="left" w:pos="2267"/>
              </w:tabs>
              <w:spacing w:before="0" w:after="160" w:line="252" w:lineRule="auto"/>
              <w:ind w:right="284"/>
              <w:contextualSpacing/>
              <w:jc w:val="left"/>
              <w:rPr>
                <w:rFonts w:eastAsia="Arial"/>
                <w:bCs/>
                <w:color w:val="auto"/>
                <w:sz w:val="20"/>
              </w:rPr>
            </w:pPr>
            <w:r w:rsidRPr="00A81706">
              <w:rPr>
                <w:rFonts w:eastAsia="Arial"/>
                <w:bCs/>
                <w:color w:val="auto"/>
                <w:sz w:val="20"/>
              </w:rPr>
              <w:t xml:space="preserve">Background Paper </w:t>
            </w:r>
            <w:r w:rsidR="00A05D94">
              <w:rPr>
                <w:rFonts w:eastAsia="Arial"/>
                <w:bCs/>
                <w:color w:val="auto"/>
                <w:sz w:val="20"/>
              </w:rPr>
              <w:t>No 3:</w:t>
            </w:r>
            <w:r w:rsidRPr="00A81706">
              <w:rPr>
                <w:rFonts w:eastAsia="Arial"/>
                <w:bCs/>
                <w:color w:val="auto"/>
                <w:sz w:val="20"/>
              </w:rPr>
              <w:t xml:space="preserve"> </w:t>
            </w:r>
            <w:r w:rsidR="000032A9">
              <w:rPr>
                <w:rFonts w:eastAsia="Arial"/>
                <w:bCs/>
                <w:color w:val="auto"/>
                <w:sz w:val="20"/>
              </w:rPr>
              <w:t xml:space="preserve">Economy &amp; </w:t>
            </w:r>
            <w:r w:rsidRPr="00A81706">
              <w:rPr>
                <w:rFonts w:eastAsia="Arial"/>
                <w:bCs/>
                <w:color w:val="auto"/>
                <w:sz w:val="20"/>
              </w:rPr>
              <w:t>Employment Land 2021.  Ashfield District Council.</w:t>
            </w:r>
          </w:p>
          <w:p w14:paraId="7851C7B8" w14:textId="77777777" w:rsidR="00A81706" w:rsidRPr="00985BCC" w:rsidRDefault="00A81706" w:rsidP="00A05D94">
            <w:pPr>
              <w:keepNext w:val="0"/>
              <w:numPr>
                <w:ilvl w:val="0"/>
                <w:numId w:val="24"/>
              </w:numPr>
              <w:tabs>
                <w:tab w:val="left" w:pos="680"/>
                <w:tab w:val="left" w:pos="1133"/>
                <w:tab w:val="left" w:pos="2267"/>
              </w:tabs>
              <w:spacing w:before="0" w:after="160" w:line="252" w:lineRule="auto"/>
              <w:ind w:right="284"/>
              <w:contextualSpacing/>
              <w:jc w:val="left"/>
              <w:rPr>
                <w:rFonts w:eastAsia="Arial"/>
                <w:bCs/>
                <w:sz w:val="20"/>
              </w:rPr>
            </w:pPr>
            <w:r w:rsidRPr="00A81706">
              <w:rPr>
                <w:rFonts w:eastAsia="Arial"/>
                <w:bCs/>
                <w:color w:val="auto"/>
                <w:sz w:val="20"/>
              </w:rPr>
              <w:t xml:space="preserve">The Nottingham Core HMA and Nottingham Outer HMA Employment </w:t>
            </w:r>
            <w:r w:rsidRPr="00985BCC">
              <w:rPr>
                <w:rFonts w:eastAsia="Arial"/>
                <w:bCs/>
                <w:sz w:val="20"/>
              </w:rPr>
              <w:t>Land Needs Study, 2021.  Lichfield.</w:t>
            </w:r>
          </w:p>
          <w:p w14:paraId="7467E4A3" w14:textId="70DC57BE" w:rsidR="00A81706" w:rsidRPr="00985BCC" w:rsidRDefault="00A81706" w:rsidP="00A05D94">
            <w:pPr>
              <w:keepNext w:val="0"/>
              <w:numPr>
                <w:ilvl w:val="0"/>
                <w:numId w:val="24"/>
              </w:numPr>
              <w:tabs>
                <w:tab w:val="left" w:pos="680"/>
                <w:tab w:val="left" w:pos="1133"/>
                <w:tab w:val="left" w:pos="2267"/>
              </w:tabs>
              <w:spacing w:before="0" w:after="160" w:line="252" w:lineRule="auto"/>
              <w:ind w:right="284"/>
              <w:contextualSpacing/>
              <w:jc w:val="left"/>
              <w:rPr>
                <w:rFonts w:eastAsia="Arial"/>
                <w:bCs/>
                <w:sz w:val="20"/>
              </w:rPr>
            </w:pPr>
            <w:r w:rsidRPr="00985BCC">
              <w:rPr>
                <w:rFonts w:eastAsia="Arial"/>
                <w:bCs/>
                <w:sz w:val="20"/>
              </w:rPr>
              <w:t>Strategic Housing and Employment Land Availability Assessment</w:t>
            </w:r>
            <w:r w:rsidR="00AE785A">
              <w:rPr>
                <w:rFonts w:eastAsia="Arial"/>
                <w:bCs/>
                <w:sz w:val="20"/>
              </w:rPr>
              <w:t xml:space="preserve"> </w:t>
            </w:r>
            <w:r w:rsidRPr="00985BCC">
              <w:rPr>
                <w:rFonts w:eastAsia="Arial"/>
                <w:bCs/>
                <w:sz w:val="20"/>
              </w:rPr>
              <w:t>2021</w:t>
            </w:r>
            <w:r w:rsidR="00AE785A">
              <w:rPr>
                <w:rFonts w:eastAsia="Arial"/>
                <w:bCs/>
                <w:sz w:val="20"/>
              </w:rPr>
              <w:t xml:space="preserve"> - 2023</w:t>
            </w:r>
            <w:r w:rsidRPr="00985BCC">
              <w:rPr>
                <w:rFonts w:eastAsia="Arial"/>
                <w:bCs/>
                <w:sz w:val="20"/>
              </w:rPr>
              <w:t>. Ashfield District Council.</w:t>
            </w:r>
          </w:p>
          <w:p w14:paraId="50BB38BA" w14:textId="37F3187B" w:rsidR="00A81706" w:rsidRPr="00A81706" w:rsidRDefault="00A81706" w:rsidP="00A05D94">
            <w:pPr>
              <w:keepNext w:val="0"/>
              <w:numPr>
                <w:ilvl w:val="0"/>
                <w:numId w:val="24"/>
              </w:numPr>
              <w:tabs>
                <w:tab w:val="left" w:pos="680"/>
                <w:tab w:val="left" w:pos="1133"/>
                <w:tab w:val="left" w:pos="2267"/>
              </w:tabs>
              <w:spacing w:before="0" w:after="160" w:line="252" w:lineRule="auto"/>
              <w:ind w:right="284"/>
              <w:contextualSpacing/>
              <w:jc w:val="left"/>
              <w:rPr>
                <w:rFonts w:eastAsia="Arial"/>
                <w:bCs/>
                <w:color w:val="auto"/>
                <w:sz w:val="20"/>
              </w:rPr>
            </w:pPr>
            <w:r w:rsidRPr="00985BCC">
              <w:rPr>
                <w:rFonts w:eastAsia="Arial"/>
                <w:bCs/>
                <w:sz w:val="20"/>
              </w:rPr>
              <w:t>Sustainability Appraisal 202</w:t>
            </w:r>
            <w:r w:rsidR="006B0C43" w:rsidRPr="00985BCC">
              <w:rPr>
                <w:rFonts w:eastAsia="Arial"/>
                <w:bCs/>
                <w:sz w:val="20"/>
              </w:rPr>
              <w:t>3</w:t>
            </w:r>
            <w:r w:rsidRPr="00985BCC">
              <w:rPr>
                <w:rFonts w:eastAsia="Arial"/>
                <w:bCs/>
                <w:sz w:val="20"/>
              </w:rPr>
              <w:t xml:space="preserve">, </w:t>
            </w:r>
            <w:r w:rsidR="006B0C43" w:rsidRPr="00985BCC">
              <w:rPr>
                <w:rFonts w:eastAsia="Arial"/>
                <w:bCs/>
                <w:sz w:val="20"/>
              </w:rPr>
              <w:t>WSP UK Limited.</w:t>
            </w:r>
          </w:p>
        </w:tc>
      </w:tr>
      <w:tr w:rsidR="00A81706" w:rsidRPr="00A81706" w14:paraId="76D98CAE" w14:textId="77777777" w:rsidTr="00D17B5C">
        <w:tc>
          <w:tcPr>
            <w:tcW w:w="2405" w:type="dxa"/>
          </w:tcPr>
          <w:p w14:paraId="6616CD70" w14:textId="77777777" w:rsidR="00A81706" w:rsidRPr="00A81706" w:rsidRDefault="00A81706" w:rsidP="009838D1">
            <w:pPr>
              <w:keepNext w:val="0"/>
              <w:tabs>
                <w:tab w:val="left" w:pos="680"/>
                <w:tab w:val="left" w:pos="1133"/>
                <w:tab w:val="left" w:pos="2267"/>
              </w:tabs>
              <w:spacing w:before="0"/>
              <w:ind w:right="284"/>
              <w:rPr>
                <w:rFonts w:eastAsia="Arial"/>
                <w:b/>
                <w:color w:val="auto"/>
                <w:sz w:val="22"/>
              </w:rPr>
            </w:pPr>
            <w:r w:rsidRPr="00A81706">
              <w:rPr>
                <w:rFonts w:eastAsia="Arial"/>
                <w:bCs/>
                <w:color w:val="auto"/>
                <w:sz w:val="20"/>
              </w:rPr>
              <w:t>National Planning Policy and Guidance</w:t>
            </w:r>
          </w:p>
        </w:tc>
        <w:tc>
          <w:tcPr>
            <w:tcW w:w="7229" w:type="dxa"/>
            <w:gridSpan w:val="2"/>
          </w:tcPr>
          <w:p w14:paraId="13D42D10" w14:textId="784DEAD1" w:rsidR="00A81706" w:rsidRPr="00A81706" w:rsidRDefault="00A81706" w:rsidP="00A05D94">
            <w:pPr>
              <w:keepNext w:val="0"/>
              <w:numPr>
                <w:ilvl w:val="0"/>
                <w:numId w:val="25"/>
              </w:numPr>
              <w:spacing w:before="0" w:after="160" w:line="252" w:lineRule="auto"/>
              <w:contextualSpacing/>
              <w:jc w:val="left"/>
              <w:rPr>
                <w:rFonts w:cs="Arial"/>
                <w:bCs/>
                <w:color w:val="auto"/>
                <w:sz w:val="20"/>
                <w:u w:val="single"/>
              </w:rPr>
            </w:pPr>
            <w:r w:rsidRPr="00A81706">
              <w:rPr>
                <w:rFonts w:eastAsia="Arial"/>
                <w:bCs/>
                <w:color w:val="auto"/>
                <w:sz w:val="20"/>
              </w:rPr>
              <w:t>NPPF 202</w:t>
            </w:r>
            <w:r w:rsidR="004173E0">
              <w:rPr>
                <w:rFonts w:eastAsia="Arial"/>
                <w:bCs/>
                <w:color w:val="auto"/>
                <w:sz w:val="20"/>
              </w:rPr>
              <w:t>3</w:t>
            </w:r>
            <w:r w:rsidRPr="00A81706">
              <w:rPr>
                <w:rFonts w:eastAsia="Arial"/>
                <w:bCs/>
                <w:color w:val="auto"/>
                <w:sz w:val="20"/>
              </w:rPr>
              <w:t>, Part 2: Achieving sustainable development.</w:t>
            </w:r>
          </w:p>
          <w:p w14:paraId="4DD17D74" w14:textId="20153E6D" w:rsidR="00A81706" w:rsidRPr="00A81706" w:rsidRDefault="00A81706" w:rsidP="00A05D94">
            <w:pPr>
              <w:keepNext w:val="0"/>
              <w:numPr>
                <w:ilvl w:val="0"/>
                <w:numId w:val="25"/>
              </w:numPr>
              <w:tabs>
                <w:tab w:val="left" w:pos="680"/>
                <w:tab w:val="left" w:pos="1133"/>
                <w:tab w:val="left" w:pos="2267"/>
              </w:tabs>
              <w:spacing w:before="0" w:after="160" w:line="252" w:lineRule="auto"/>
              <w:ind w:right="284"/>
              <w:contextualSpacing/>
              <w:jc w:val="left"/>
              <w:rPr>
                <w:rFonts w:eastAsia="Arial"/>
                <w:bCs/>
                <w:color w:val="auto"/>
                <w:sz w:val="20"/>
              </w:rPr>
            </w:pPr>
            <w:r w:rsidRPr="00A81706">
              <w:rPr>
                <w:rFonts w:eastAsia="Arial"/>
                <w:bCs/>
                <w:color w:val="auto"/>
                <w:sz w:val="20"/>
              </w:rPr>
              <w:t>NPPF 202</w:t>
            </w:r>
            <w:r w:rsidR="004173E0">
              <w:rPr>
                <w:rFonts w:eastAsia="Arial"/>
                <w:bCs/>
                <w:color w:val="auto"/>
                <w:sz w:val="20"/>
              </w:rPr>
              <w:t>3</w:t>
            </w:r>
            <w:r w:rsidRPr="00A81706">
              <w:rPr>
                <w:rFonts w:eastAsia="Arial"/>
                <w:bCs/>
                <w:color w:val="auto"/>
                <w:sz w:val="20"/>
              </w:rPr>
              <w:t xml:space="preserve">, Part 6: </w:t>
            </w:r>
            <w:r w:rsidRPr="00A81706">
              <w:rPr>
                <w:bCs/>
                <w:color w:val="auto"/>
                <w:sz w:val="20"/>
              </w:rPr>
              <w:t>Building a strong, competitive economy.</w:t>
            </w:r>
          </w:p>
          <w:p w14:paraId="78C69F48" w14:textId="67E6A0BB" w:rsidR="00A81706" w:rsidRPr="00A81706" w:rsidRDefault="00A81706" w:rsidP="00A05D94">
            <w:pPr>
              <w:keepNext w:val="0"/>
              <w:numPr>
                <w:ilvl w:val="0"/>
                <w:numId w:val="25"/>
              </w:numPr>
              <w:spacing w:before="0" w:after="160" w:line="252" w:lineRule="auto"/>
              <w:contextualSpacing/>
              <w:jc w:val="left"/>
              <w:rPr>
                <w:rFonts w:cs="Arial"/>
                <w:bCs/>
                <w:color w:val="auto"/>
                <w:sz w:val="20"/>
                <w:u w:val="single"/>
              </w:rPr>
            </w:pPr>
            <w:r w:rsidRPr="00A81706">
              <w:rPr>
                <w:rFonts w:eastAsia="Arial"/>
                <w:bCs/>
                <w:color w:val="auto"/>
                <w:sz w:val="20"/>
              </w:rPr>
              <w:t>NPPF 202</w:t>
            </w:r>
            <w:r w:rsidR="004173E0">
              <w:rPr>
                <w:rFonts w:eastAsia="Arial"/>
                <w:bCs/>
                <w:color w:val="auto"/>
                <w:sz w:val="20"/>
              </w:rPr>
              <w:t>3</w:t>
            </w:r>
            <w:r w:rsidRPr="00A81706">
              <w:rPr>
                <w:rFonts w:eastAsia="Arial"/>
                <w:bCs/>
                <w:color w:val="auto"/>
                <w:sz w:val="20"/>
              </w:rPr>
              <w:t xml:space="preserve"> Part 11: Making effective use of land.</w:t>
            </w:r>
          </w:p>
        </w:tc>
      </w:tr>
    </w:tbl>
    <w:p w14:paraId="12F6F569" w14:textId="77777777" w:rsidR="00A81706" w:rsidRPr="00A81706" w:rsidRDefault="00A81706" w:rsidP="00A81706">
      <w:pPr>
        <w:keepNext w:val="0"/>
        <w:autoSpaceDE w:val="0"/>
        <w:autoSpaceDN w:val="0"/>
        <w:adjustRightInd w:val="0"/>
        <w:spacing w:before="0"/>
        <w:rPr>
          <w:rFonts w:cs="Arial"/>
          <w:color w:val="auto"/>
          <w:szCs w:val="24"/>
          <w:lang w:val="en-US" w:eastAsia="en-US"/>
        </w:rPr>
      </w:pPr>
    </w:p>
    <w:p w14:paraId="3387C5C8" w14:textId="77777777" w:rsidR="00A81706" w:rsidRPr="00A81706" w:rsidRDefault="00A81706" w:rsidP="00A81706">
      <w:pPr>
        <w:keepNext w:val="0"/>
        <w:spacing w:before="0"/>
        <w:ind w:left="709"/>
        <w:rPr>
          <w:rFonts w:cs="Arial"/>
          <w:color w:val="auto"/>
          <w:szCs w:val="24"/>
          <w:lang w:eastAsia="en-US"/>
        </w:rPr>
      </w:pPr>
    </w:p>
    <w:p w14:paraId="37EE1434" w14:textId="4389D181" w:rsidR="00A81706" w:rsidRDefault="00A81706" w:rsidP="00D01157">
      <w:pPr>
        <w:keepNext w:val="0"/>
        <w:numPr>
          <w:ilvl w:val="1"/>
          <w:numId w:val="28"/>
        </w:numPr>
        <w:tabs>
          <w:tab w:val="clear" w:pos="525"/>
        </w:tabs>
        <w:spacing w:before="0"/>
        <w:ind w:left="709" w:hanging="709"/>
        <w:rPr>
          <w:rFonts w:cs="Arial"/>
          <w:color w:val="auto"/>
          <w:szCs w:val="24"/>
          <w:lang w:eastAsia="en-US"/>
        </w:rPr>
      </w:pPr>
      <w:r w:rsidRPr="00A81706">
        <w:rPr>
          <w:rFonts w:cs="Arial"/>
          <w:color w:val="auto"/>
          <w:szCs w:val="24"/>
        </w:rPr>
        <w:t>The 2011 Rural-Urban Classification for Local Authority Districts in England identifies Ashfield as falling within the “Urban with city and town”. This means that it is p</w:t>
      </w:r>
      <w:r w:rsidRPr="00A81706">
        <w:rPr>
          <w:rFonts w:cs="Arial"/>
          <w:bCs/>
          <w:color w:val="auto"/>
          <w:szCs w:val="24"/>
        </w:rPr>
        <w:t xml:space="preserve">redominantly urban as more than </w:t>
      </w:r>
      <w:r w:rsidRPr="00A81706">
        <w:rPr>
          <w:rFonts w:cs="Arial"/>
          <w:color w:val="auto"/>
          <w:szCs w:val="24"/>
        </w:rPr>
        <w:t xml:space="preserve">74% of the resident population lives in urban areas. However, beyond these urban areas the District contains a number of rural areas that contribute significantly to its character.  </w:t>
      </w:r>
    </w:p>
    <w:p w14:paraId="193707B3" w14:textId="77777777" w:rsidR="00A81706" w:rsidRDefault="00A81706" w:rsidP="00A81706">
      <w:pPr>
        <w:keepNext w:val="0"/>
        <w:spacing w:before="0"/>
        <w:ind w:left="709"/>
        <w:rPr>
          <w:rFonts w:cs="Arial"/>
          <w:color w:val="auto"/>
          <w:szCs w:val="24"/>
          <w:lang w:eastAsia="en-US"/>
        </w:rPr>
      </w:pPr>
    </w:p>
    <w:p w14:paraId="6530C1C9" w14:textId="1A44BD2D" w:rsidR="00A81706" w:rsidRDefault="00A81706" w:rsidP="00D01157">
      <w:pPr>
        <w:keepNext w:val="0"/>
        <w:numPr>
          <w:ilvl w:val="1"/>
          <w:numId w:val="28"/>
        </w:numPr>
        <w:tabs>
          <w:tab w:val="clear" w:pos="525"/>
        </w:tabs>
        <w:spacing w:before="0"/>
        <w:ind w:left="709" w:hanging="709"/>
        <w:rPr>
          <w:rFonts w:cs="Arial"/>
          <w:color w:val="auto"/>
          <w:szCs w:val="24"/>
          <w:lang w:eastAsia="en-US"/>
        </w:rPr>
      </w:pPr>
      <w:r w:rsidRPr="00A81706">
        <w:rPr>
          <w:rFonts w:eastAsia="Arial" w:cs="Arial"/>
          <w:color w:val="auto"/>
        </w:rPr>
        <w:t xml:space="preserve">The NPPF identifies that the countryside should be protected for its intrinsic value and beauty. However, this has to be balanced against the need to promote appropriate development within rural areas to ensure that they remain viable and sustainable, meeting the needs of their resident population.  </w:t>
      </w:r>
      <w:r w:rsidRPr="00A81706">
        <w:rPr>
          <w:rFonts w:cs="Arial"/>
          <w:iCs/>
          <w:color w:val="auto"/>
          <w:szCs w:val="24"/>
        </w:rPr>
        <w:t>T</w:t>
      </w:r>
      <w:r w:rsidRPr="00A81706">
        <w:rPr>
          <w:rFonts w:eastAsia="Arial" w:cs="Arial"/>
          <w:color w:val="auto"/>
          <w:szCs w:val="24"/>
        </w:rPr>
        <w:t xml:space="preserve">he Policy is intended to provide flexibility in providing premises </w:t>
      </w:r>
      <w:r w:rsidRPr="00A81706">
        <w:rPr>
          <w:rFonts w:cs="Arial"/>
          <w:color w:val="auto"/>
          <w:szCs w:val="24"/>
        </w:rPr>
        <w:t>whilst protecting the Green Belt and countryside</w:t>
      </w:r>
      <w:r w:rsidRPr="00A81706">
        <w:rPr>
          <w:rFonts w:eastAsia="Arial" w:cs="Arial"/>
          <w:color w:val="auto"/>
          <w:szCs w:val="24"/>
        </w:rPr>
        <w:t xml:space="preserve">.  </w:t>
      </w:r>
    </w:p>
    <w:p w14:paraId="659FD92C" w14:textId="77777777" w:rsidR="00A81706" w:rsidRPr="00A81706" w:rsidRDefault="00A81706" w:rsidP="00A81706">
      <w:pPr>
        <w:keepNext w:val="0"/>
        <w:spacing w:before="0"/>
        <w:ind w:left="709"/>
        <w:rPr>
          <w:rFonts w:cs="Arial"/>
          <w:color w:val="auto"/>
          <w:szCs w:val="24"/>
          <w:lang w:eastAsia="en-US"/>
        </w:rPr>
      </w:pPr>
    </w:p>
    <w:p w14:paraId="4762C613" w14:textId="6699914A" w:rsidR="00A81706" w:rsidRDefault="00A81706" w:rsidP="00D01157">
      <w:pPr>
        <w:keepNext w:val="0"/>
        <w:numPr>
          <w:ilvl w:val="1"/>
          <w:numId w:val="28"/>
        </w:numPr>
        <w:tabs>
          <w:tab w:val="clear" w:pos="525"/>
        </w:tabs>
        <w:spacing w:before="0"/>
        <w:ind w:left="709" w:hanging="709"/>
        <w:rPr>
          <w:rFonts w:cs="Arial"/>
          <w:color w:val="auto"/>
          <w:szCs w:val="24"/>
          <w:lang w:eastAsia="en-US"/>
        </w:rPr>
      </w:pPr>
      <w:r w:rsidRPr="00A81706">
        <w:rPr>
          <w:rFonts w:eastAsia="Arial" w:cs="Arial"/>
          <w:color w:val="auto"/>
        </w:rPr>
        <w:t xml:space="preserve">The size, siting, material used, and appearance of any building or structure will be an important consideration.  </w:t>
      </w:r>
      <w:r w:rsidRPr="00A81706">
        <w:rPr>
          <w:rFonts w:eastAsia="Arial" w:cs="Arial"/>
          <w:color w:val="auto"/>
          <w:spacing w:val="-1"/>
          <w:szCs w:val="24"/>
        </w:rPr>
        <w:t>N</w:t>
      </w:r>
      <w:r w:rsidRPr="00A81706">
        <w:rPr>
          <w:rFonts w:cs="Arial"/>
          <w:color w:val="auto"/>
          <w:szCs w:val="24"/>
        </w:rPr>
        <w:t>ew buildings should integrate with existing features and should normally be located as closely as possible to existing buildings. Opportunities to re-use existing buildings or previously built sites will be preferred except in the case that removal of an existing structure and re-building in a more appropriate location is more beneficial</w:t>
      </w:r>
      <w:r w:rsidRPr="00A81706">
        <w:rPr>
          <w:rFonts w:cs="Arial"/>
          <w:b/>
          <w:bCs/>
          <w:color w:val="auto"/>
          <w:szCs w:val="24"/>
        </w:rPr>
        <w:t>.</w:t>
      </w:r>
      <w:r w:rsidRPr="00A81706">
        <w:rPr>
          <w:rFonts w:eastAsia="Calibri" w:cs="Arial"/>
          <w:b/>
          <w:bCs/>
          <w:color w:val="auto"/>
          <w:szCs w:val="24"/>
          <w:lang w:eastAsia="en-US"/>
        </w:rPr>
        <w:t xml:space="preserve"> </w:t>
      </w:r>
      <w:r w:rsidRPr="00A81706">
        <w:rPr>
          <w:rFonts w:eastAsia="Calibri" w:cs="Arial"/>
          <w:color w:val="auto"/>
          <w:szCs w:val="24"/>
          <w:lang w:eastAsia="en-US"/>
        </w:rPr>
        <w:t>In the context of sustainable development, it should be recognised that the private car can have an important role to play in rural areas as it may be the only real option for travel.</w:t>
      </w:r>
    </w:p>
    <w:p w14:paraId="3355AC35" w14:textId="77777777" w:rsidR="00A81706" w:rsidRPr="00A81706" w:rsidRDefault="00A81706" w:rsidP="00A81706">
      <w:pPr>
        <w:spacing w:before="0"/>
        <w:rPr>
          <w:rFonts w:eastAsia="Arial" w:cs="Arial"/>
          <w:color w:val="auto"/>
        </w:rPr>
      </w:pPr>
    </w:p>
    <w:p w14:paraId="4FE270F3" w14:textId="199234EE" w:rsidR="00A81706" w:rsidRPr="00A81706" w:rsidRDefault="00A81706" w:rsidP="00D01157">
      <w:pPr>
        <w:keepNext w:val="0"/>
        <w:numPr>
          <w:ilvl w:val="1"/>
          <w:numId w:val="28"/>
        </w:numPr>
        <w:tabs>
          <w:tab w:val="clear" w:pos="525"/>
        </w:tabs>
        <w:spacing w:before="0"/>
        <w:ind w:left="709" w:hanging="709"/>
        <w:rPr>
          <w:rFonts w:cs="Arial"/>
          <w:color w:val="auto"/>
          <w:szCs w:val="24"/>
          <w:lang w:eastAsia="en-US"/>
        </w:rPr>
      </w:pPr>
      <w:r w:rsidRPr="00A81706">
        <w:rPr>
          <w:rFonts w:eastAsia="Arial" w:cs="Arial"/>
          <w:color w:val="auto"/>
        </w:rPr>
        <w:t xml:space="preserve">Applicants will be required to provide sufficient information to demonstrate a level of involvement commensurate with commercial activity. </w:t>
      </w:r>
      <w:r w:rsidRPr="00A81706">
        <w:rPr>
          <w:rFonts w:eastAsia="Arial" w:cs="Arial"/>
          <w:color w:val="auto"/>
          <w:spacing w:val="-1"/>
        </w:rPr>
        <w:t xml:space="preserve">For </w:t>
      </w:r>
      <w:r w:rsidRPr="00A81706">
        <w:rPr>
          <w:rFonts w:eastAsia="Arial" w:cs="Arial"/>
          <w:color w:val="auto"/>
        </w:rPr>
        <w:t>agricultural, f</w:t>
      </w:r>
      <w:r w:rsidRPr="00A81706">
        <w:rPr>
          <w:rFonts w:eastAsia="Arial" w:cs="Arial"/>
          <w:color w:val="auto"/>
          <w:szCs w:val="24"/>
        </w:rPr>
        <w:t>orestry or horticultural</w:t>
      </w:r>
      <w:r w:rsidRPr="00A81706">
        <w:rPr>
          <w:rFonts w:eastAsia="Arial" w:cs="Arial"/>
          <w:b/>
          <w:color w:val="auto"/>
          <w:sz w:val="28"/>
        </w:rPr>
        <w:t xml:space="preserve"> </w:t>
      </w:r>
      <w:r w:rsidRPr="00A81706">
        <w:rPr>
          <w:rFonts w:eastAsia="Arial" w:cs="Arial"/>
          <w:color w:val="auto"/>
          <w:szCs w:val="24"/>
        </w:rPr>
        <w:t xml:space="preserve">enterprise this </w:t>
      </w:r>
      <w:r w:rsidRPr="00A81706">
        <w:rPr>
          <w:rFonts w:eastAsia="Arial" w:cs="Arial"/>
          <w:color w:val="auto"/>
        </w:rPr>
        <w:t>may require all or some of the following: business accounts, County/Parish holding number, movement records for animals, identifying that land is register with the Rural Land Register, registration with food standards/accreditation (such as Red Tractor, Soil Association organic certification),</w:t>
      </w:r>
      <w:r w:rsidRPr="00A81706">
        <w:rPr>
          <w:rFonts w:eastAsia="Arial" w:cs="Arial"/>
          <w:i/>
          <w:color w:val="auto"/>
        </w:rPr>
        <w:t xml:space="preserve"> </w:t>
      </w:r>
      <w:r w:rsidRPr="00A81706">
        <w:rPr>
          <w:rFonts w:eastAsia="Arial" w:cs="Arial"/>
          <w:iCs/>
          <w:color w:val="auto"/>
        </w:rPr>
        <w:t>evidence that the business is register for the Basic Payment Scheme (or any replacement scheme), or such other evidence that establishes the existence of the business.</w:t>
      </w:r>
      <w:r w:rsidRPr="00A81706">
        <w:rPr>
          <w:rFonts w:eastAsia="Arial" w:cs="Arial"/>
          <w:iCs/>
          <w:color w:val="auto"/>
          <w:spacing w:val="-1"/>
        </w:rPr>
        <w:t xml:space="preserve">  </w:t>
      </w:r>
      <w:r w:rsidRPr="00A81706">
        <w:rPr>
          <w:rFonts w:eastAsia="Arial" w:cs="Arial"/>
          <w:iCs/>
          <w:color w:val="auto"/>
        </w:rPr>
        <w:t xml:space="preserve">For equine businesses, such information could include a statement of the commercial rates history for the business, copies of appropriate insurances, copies of horse passports (if applicable) and any other information considered relevant to demonstrating it is a commercial business. </w:t>
      </w:r>
    </w:p>
    <w:p w14:paraId="03F4C464" w14:textId="77777777" w:rsidR="00A81706" w:rsidRDefault="00A81706" w:rsidP="00A81706">
      <w:pPr>
        <w:keepNext w:val="0"/>
        <w:spacing w:before="0"/>
        <w:rPr>
          <w:rFonts w:cs="Arial"/>
          <w:color w:val="auto"/>
          <w:szCs w:val="24"/>
          <w:lang w:eastAsia="en-US"/>
        </w:rPr>
      </w:pPr>
    </w:p>
    <w:p w14:paraId="3D140068" w14:textId="1E4D3C80" w:rsidR="00A81706" w:rsidRPr="00985BCC" w:rsidRDefault="00A81706" w:rsidP="00A81706">
      <w:pPr>
        <w:spacing w:before="0"/>
        <w:ind w:left="709"/>
        <w:rPr>
          <w:rFonts w:eastAsia="Arial" w:cs="Arial"/>
          <w:b/>
          <w:bCs/>
          <w:color w:val="auto"/>
        </w:rPr>
      </w:pPr>
      <w:r w:rsidRPr="00985BCC">
        <w:rPr>
          <w:rFonts w:eastAsia="Arial" w:cs="Arial"/>
          <w:b/>
          <w:bCs/>
          <w:color w:val="auto"/>
        </w:rPr>
        <w:t>Agriculture</w:t>
      </w:r>
    </w:p>
    <w:p w14:paraId="19D04740" w14:textId="664A1A4B" w:rsidR="00A81706" w:rsidRPr="00A81706" w:rsidRDefault="00A81706" w:rsidP="00D01157">
      <w:pPr>
        <w:keepNext w:val="0"/>
        <w:numPr>
          <w:ilvl w:val="1"/>
          <w:numId w:val="28"/>
        </w:numPr>
        <w:tabs>
          <w:tab w:val="clear" w:pos="525"/>
        </w:tabs>
        <w:spacing w:before="0"/>
        <w:ind w:left="709" w:hanging="709"/>
        <w:rPr>
          <w:rFonts w:cs="Arial"/>
          <w:color w:val="auto"/>
          <w:szCs w:val="24"/>
          <w:lang w:eastAsia="en-US"/>
        </w:rPr>
      </w:pPr>
      <w:r w:rsidRPr="00A81706">
        <w:rPr>
          <w:rFonts w:eastAsia="Arial" w:cs="Arial"/>
          <w:color w:val="auto"/>
        </w:rPr>
        <w:t>The demands on the agricultural sector are likely to increase into the future reflecting:</w:t>
      </w:r>
    </w:p>
    <w:p w14:paraId="43DFAA5A" w14:textId="7697293E" w:rsidR="00A81706" w:rsidRDefault="00A81706" w:rsidP="00A81706">
      <w:pPr>
        <w:keepNext w:val="0"/>
        <w:spacing w:before="0"/>
        <w:ind w:left="709"/>
        <w:rPr>
          <w:rFonts w:eastAsia="Arial" w:cs="Arial"/>
          <w:color w:val="auto"/>
        </w:rPr>
      </w:pPr>
    </w:p>
    <w:p w14:paraId="0A213323" w14:textId="77777777" w:rsidR="00A81706" w:rsidRPr="00A81706" w:rsidRDefault="00A81706" w:rsidP="00874A98">
      <w:pPr>
        <w:keepNext w:val="0"/>
        <w:numPr>
          <w:ilvl w:val="0"/>
          <w:numId w:val="148"/>
        </w:numPr>
        <w:tabs>
          <w:tab w:val="num" w:pos="360"/>
          <w:tab w:val="left" w:pos="680"/>
        </w:tabs>
        <w:suppressAutoHyphens/>
        <w:spacing w:before="0" w:after="160" w:line="252" w:lineRule="auto"/>
        <w:ind w:right="57"/>
        <w:jc w:val="both"/>
        <w:textAlignment w:val="baseline"/>
        <w:rPr>
          <w:rFonts w:eastAsia="Arial"/>
          <w:color w:val="auto"/>
        </w:rPr>
      </w:pPr>
      <w:r w:rsidRPr="00A81706">
        <w:rPr>
          <w:rFonts w:eastAsia="Arial"/>
          <w:color w:val="auto"/>
        </w:rPr>
        <w:t>food security;</w:t>
      </w:r>
    </w:p>
    <w:p w14:paraId="36B37B5D" w14:textId="1A45CA8E" w:rsidR="00A81706" w:rsidRPr="00A81706" w:rsidRDefault="00A81706" w:rsidP="00874A98">
      <w:pPr>
        <w:keepNext w:val="0"/>
        <w:numPr>
          <w:ilvl w:val="0"/>
          <w:numId w:val="148"/>
        </w:numPr>
        <w:tabs>
          <w:tab w:val="num" w:pos="360"/>
          <w:tab w:val="left" w:pos="680"/>
        </w:tabs>
        <w:suppressAutoHyphens/>
        <w:spacing w:before="0" w:after="160" w:line="252" w:lineRule="auto"/>
        <w:ind w:right="57"/>
        <w:jc w:val="both"/>
        <w:textAlignment w:val="baseline"/>
        <w:rPr>
          <w:rFonts w:eastAsia="Arial"/>
          <w:color w:val="auto"/>
        </w:rPr>
      </w:pPr>
      <w:r w:rsidRPr="00A81706">
        <w:rPr>
          <w:rFonts w:eastAsia="Arial"/>
          <w:color w:val="auto"/>
        </w:rPr>
        <w:t xml:space="preserve">the expansion of </w:t>
      </w:r>
      <w:r w:rsidR="00804383" w:rsidRPr="00A81706">
        <w:rPr>
          <w:rFonts w:eastAsia="Arial"/>
          <w:color w:val="auto"/>
        </w:rPr>
        <w:t>non-food</w:t>
      </w:r>
      <w:r w:rsidRPr="00A81706">
        <w:rPr>
          <w:rFonts w:eastAsia="Arial"/>
          <w:color w:val="auto"/>
        </w:rPr>
        <w:t xml:space="preserve"> crops; and</w:t>
      </w:r>
    </w:p>
    <w:p w14:paraId="79F529DF" w14:textId="10E339DE" w:rsidR="00A81706" w:rsidRPr="00A81706" w:rsidRDefault="00A81706" w:rsidP="00874A98">
      <w:pPr>
        <w:keepNext w:val="0"/>
        <w:numPr>
          <w:ilvl w:val="0"/>
          <w:numId w:val="148"/>
        </w:numPr>
        <w:tabs>
          <w:tab w:val="num" w:pos="360"/>
          <w:tab w:val="left" w:pos="680"/>
        </w:tabs>
        <w:suppressAutoHyphens/>
        <w:spacing w:before="0" w:after="160" w:line="252" w:lineRule="auto"/>
        <w:ind w:right="57"/>
        <w:jc w:val="both"/>
        <w:textAlignment w:val="baseline"/>
        <w:rPr>
          <w:rFonts w:eastAsia="Arial"/>
          <w:color w:val="auto"/>
        </w:rPr>
      </w:pPr>
      <w:r w:rsidRPr="00A81706">
        <w:rPr>
          <w:rFonts w:eastAsia="Arial"/>
          <w:color w:val="auto"/>
        </w:rPr>
        <w:t xml:space="preserve">the impact of climate change with rising global temperatures and changing patterns of precipitation.  </w:t>
      </w:r>
    </w:p>
    <w:p w14:paraId="2016149B" w14:textId="77777777" w:rsidR="00A81706" w:rsidRDefault="00A81706" w:rsidP="00A81706">
      <w:pPr>
        <w:keepNext w:val="0"/>
        <w:spacing w:before="0"/>
        <w:ind w:left="709"/>
        <w:rPr>
          <w:rFonts w:cs="Arial"/>
          <w:color w:val="auto"/>
          <w:szCs w:val="24"/>
          <w:lang w:eastAsia="en-US"/>
        </w:rPr>
      </w:pPr>
    </w:p>
    <w:p w14:paraId="21ED019A" w14:textId="19055280" w:rsidR="00A81706" w:rsidRPr="00A81706" w:rsidRDefault="00A81706" w:rsidP="00D01157">
      <w:pPr>
        <w:keepNext w:val="0"/>
        <w:numPr>
          <w:ilvl w:val="1"/>
          <w:numId w:val="28"/>
        </w:numPr>
        <w:tabs>
          <w:tab w:val="clear" w:pos="525"/>
        </w:tabs>
        <w:spacing w:before="0"/>
        <w:ind w:left="709" w:hanging="709"/>
        <w:rPr>
          <w:rFonts w:cs="Arial"/>
          <w:color w:val="auto"/>
          <w:szCs w:val="24"/>
          <w:lang w:eastAsia="en-US"/>
        </w:rPr>
      </w:pPr>
      <w:r w:rsidRPr="00A81706">
        <w:rPr>
          <w:rFonts w:eastAsia="Arial" w:cs="Arial"/>
          <w:color w:val="auto"/>
        </w:rPr>
        <w:t xml:space="preserve">Buildings and structures associated with agriculture are necessarily located in the countryside and many are large to meet the functional agricultural requirements. The agricultural need has to be balanced against the value of the countryside for its landscape, and its contribution to biodiversity and conservation.  </w:t>
      </w:r>
      <w:r w:rsidRPr="00A81706">
        <w:rPr>
          <w:rFonts w:eastAsia="Calibri" w:cs="Arial"/>
          <w:color w:val="auto"/>
          <w:szCs w:val="24"/>
          <w:lang w:eastAsia="en-US"/>
        </w:rPr>
        <w:t>The Council will consider whether a proposed agricultural building is necessary in relation to the needs of a Holding and where appropriate will obtain advice from an agricultural adviser.</w:t>
      </w:r>
    </w:p>
    <w:p w14:paraId="2533957B" w14:textId="77777777" w:rsidR="00A81706" w:rsidRDefault="00A81706" w:rsidP="00A81706">
      <w:pPr>
        <w:keepNext w:val="0"/>
        <w:spacing w:before="0"/>
        <w:ind w:left="709"/>
        <w:rPr>
          <w:rFonts w:cs="Arial"/>
          <w:color w:val="auto"/>
          <w:szCs w:val="24"/>
          <w:lang w:eastAsia="en-US"/>
        </w:rPr>
      </w:pPr>
    </w:p>
    <w:p w14:paraId="45D8B760" w14:textId="717CEC25" w:rsidR="00A81706" w:rsidRPr="00A81706" w:rsidRDefault="00A81706" w:rsidP="00D01157">
      <w:pPr>
        <w:keepNext w:val="0"/>
        <w:numPr>
          <w:ilvl w:val="1"/>
          <w:numId w:val="28"/>
        </w:numPr>
        <w:tabs>
          <w:tab w:val="clear" w:pos="525"/>
        </w:tabs>
        <w:spacing w:before="0"/>
        <w:ind w:left="709" w:hanging="709"/>
        <w:rPr>
          <w:rFonts w:cs="Arial"/>
          <w:color w:val="auto"/>
          <w:szCs w:val="24"/>
          <w:lang w:eastAsia="en-US"/>
        </w:rPr>
      </w:pPr>
      <w:r w:rsidRPr="00A81706">
        <w:rPr>
          <w:rFonts w:eastAsia="Arial"/>
          <w:bCs/>
          <w:color w:val="auto"/>
        </w:rPr>
        <w:t>F</w:t>
      </w:r>
      <w:r w:rsidRPr="00A81706">
        <w:rPr>
          <w:rFonts w:eastAsia="Arial" w:cs="Arial"/>
          <w:color w:val="auto"/>
        </w:rPr>
        <w:t xml:space="preserve">arm diversification is anticipated to be increasingly important to the continuing viability of farm enterprises in the future. The Council supports farm diversification schemes where it can be demonstrated that the scheme is financially viable from an economic perspective, the project is part of an existing farm holding, and is capable of satisfactory integration into </w:t>
      </w:r>
      <w:r w:rsidRPr="00A81706">
        <w:rPr>
          <w:rFonts w:cs="Arial"/>
          <w:color w:val="auto"/>
          <w:szCs w:val="24"/>
        </w:rPr>
        <w:t>their rural location.</w:t>
      </w:r>
      <w:r w:rsidRPr="00A81706">
        <w:rPr>
          <w:rFonts w:eastAsia="Arial"/>
          <w:color w:val="auto"/>
        </w:rPr>
        <w:t xml:space="preserve"> </w:t>
      </w:r>
      <w:r w:rsidRPr="00A81706">
        <w:rPr>
          <w:rFonts w:eastAsia="ArialMT" w:cs="Arial"/>
          <w:color w:val="auto"/>
          <w:szCs w:val="24"/>
        </w:rPr>
        <w:t>Diversification schemes must be capable of supporting the farm economy in the long term</w:t>
      </w:r>
      <w:r w:rsidRPr="00A81706">
        <w:rPr>
          <w:rFonts w:eastAsia="Arial" w:cs="Arial"/>
          <w:color w:val="auto"/>
          <w:spacing w:val="-1"/>
        </w:rPr>
        <w:t xml:space="preserve"> </w:t>
      </w:r>
      <w:r w:rsidRPr="00A81706">
        <w:rPr>
          <w:rFonts w:eastAsia="ArialMT" w:cs="Arial"/>
          <w:color w:val="auto"/>
          <w:szCs w:val="24"/>
        </w:rPr>
        <w:t>and be compatible with the main farming activities of the farm business. The Council will expect an appropriate farm diversification plan to be submitted with the</w:t>
      </w:r>
      <w:r w:rsidRPr="00A81706">
        <w:rPr>
          <w:rFonts w:eastAsia="Arial" w:cs="Arial"/>
          <w:color w:val="auto"/>
          <w:spacing w:val="-1"/>
        </w:rPr>
        <w:t xml:space="preserve"> </w:t>
      </w:r>
      <w:r w:rsidRPr="00A81706">
        <w:rPr>
          <w:rFonts w:eastAsia="ArialMT" w:cs="Arial"/>
          <w:color w:val="auto"/>
          <w:szCs w:val="24"/>
        </w:rPr>
        <w:t>proposal, which must set out the short and long term business plan of the existing farm</w:t>
      </w:r>
      <w:r w:rsidRPr="00A81706">
        <w:rPr>
          <w:rFonts w:eastAsia="Arial" w:cs="Arial"/>
          <w:color w:val="auto"/>
          <w:spacing w:val="-1"/>
        </w:rPr>
        <w:t xml:space="preserve"> </w:t>
      </w:r>
      <w:r w:rsidRPr="00A81706">
        <w:rPr>
          <w:rFonts w:eastAsia="ArialMT" w:cs="Arial"/>
          <w:color w:val="auto"/>
          <w:szCs w:val="24"/>
        </w:rPr>
        <w:t>business and explain how in functional and financial terms the proposal will support the</w:t>
      </w:r>
      <w:r w:rsidRPr="00A81706">
        <w:rPr>
          <w:rFonts w:eastAsia="Arial" w:cs="Arial"/>
          <w:color w:val="auto"/>
          <w:spacing w:val="-1"/>
        </w:rPr>
        <w:t xml:space="preserve"> </w:t>
      </w:r>
      <w:r w:rsidRPr="00A81706">
        <w:rPr>
          <w:rFonts w:eastAsia="ArialMT" w:cs="Arial"/>
          <w:color w:val="auto"/>
          <w:szCs w:val="24"/>
        </w:rPr>
        <w:t>long-term viability of the farm business.</w:t>
      </w:r>
    </w:p>
    <w:p w14:paraId="2859449E" w14:textId="77777777" w:rsidR="00A81706" w:rsidRPr="00A81706" w:rsidRDefault="00A81706" w:rsidP="00A81706">
      <w:pPr>
        <w:keepNext w:val="0"/>
        <w:spacing w:before="0"/>
        <w:rPr>
          <w:rFonts w:cs="Arial"/>
          <w:color w:val="auto"/>
          <w:szCs w:val="24"/>
          <w:lang w:eastAsia="en-US"/>
        </w:rPr>
      </w:pPr>
    </w:p>
    <w:p w14:paraId="363CB744" w14:textId="77777777" w:rsidR="00A81706" w:rsidRPr="00A81706" w:rsidRDefault="00A81706" w:rsidP="00D01157">
      <w:pPr>
        <w:keepNext w:val="0"/>
        <w:numPr>
          <w:ilvl w:val="1"/>
          <w:numId w:val="28"/>
        </w:numPr>
        <w:tabs>
          <w:tab w:val="clear" w:pos="525"/>
        </w:tabs>
        <w:spacing w:before="0"/>
        <w:ind w:left="709" w:hanging="709"/>
        <w:rPr>
          <w:rFonts w:eastAsia="Arial" w:cs="Arial"/>
          <w:color w:val="auto"/>
          <w:spacing w:val="-1"/>
        </w:rPr>
      </w:pPr>
      <w:r w:rsidRPr="00A81706">
        <w:rPr>
          <w:rFonts w:eastAsia="Arial" w:cs="Arial"/>
          <w:color w:val="auto"/>
        </w:rPr>
        <w:t>One form of diversification is a farm shop. A farm shop can make an important contribution toward the viability of an agricultural holding; by reducing food miles, adding to the vibrancy of the rural economy and responding to customer requirements for quality local products.</w:t>
      </w:r>
      <w:r w:rsidRPr="00A81706">
        <w:rPr>
          <w:rFonts w:eastAsia="Arial" w:cs="Arial"/>
          <w:color w:val="auto"/>
          <w:spacing w:val="-1"/>
        </w:rPr>
        <w:t xml:space="preserve"> </w:t>
      </w:r>
      <w:r w:rsidRPr="00A81706">
        <w:rPr>
          <w:rFonts w:eastAsia="Arial" w:cs="Arial"/>
          <w:color w:val="auto"/>
        </w:rPr>
        <w:t xml:space="preserve">The success of a farm shop may be dependent on the correct product mix reflecting the seasonality of farm production, the ability to access and provide quality niche products from small local providers for customers, as well as providing a basic range of products for those customers. In assessing application for farm shops, the Council will </w:t>
      </w:r>
      <w:r w:rsidRPr="00A81706">
        <w:rPr>
          <w:rFonts w:eastAsia="Arial" w:cs="Arial"/>
          <w:color w:val="auto"/>
          <w:spacing w:val="-1"/>
        </w:rPr>
        <w:t xml:space="preserve">have regard to </w:t>
      </w:r>
      <w:r w:rsidRPr="00A81706">
        <w:rPr>
          <w:rFonts w:eastAsia="Arial" w:cs="Arial"/>
          <w:color w:val="auto"/>
        </w:rPr>
        <w:t>advice from the National Farmers' Retail &amp; Markets Association (FARMA), when assessing the appropriate product mix to be sold by the proposal. Their recommendation is that:</w:t>
      </w:r>
    </w:p>
    <w:p w14:paraId="1A822506" w14:textId="77777777" w:rsidR="00A81706" w:rsidRPr="00A81706" w:rsidRDefault="00A81706" w:rsidP="00EE2AAD">
      <w:pPr>
        <w:keepNext w:val="0"/>
        <w:spacing w:before="0"/>
        <w:rPr>
          <w:rFonts w:cs="Arial"/>
          <w:color w:val="auto"/>
          <w:szCs w:val="24"/>
          <w:lang w:eastAsia="en-US"/>
        </w:rPr>
      </w:pPr>
    </w:p>
    <w:p w14:paraId="0DD319B8" w14:textId="77777777" w:rsidR="00A81706" w:rsidRPr="00A81706" w:rsidRDefault="00A81706" w:rsidP="00874A98">
      <w:pPr>
        <w:keepNext w:val="0"/>
        <w:numPr>
          <w:ilvl w:val="0"/>
          <w:numId w:val="149"/>
        </w:numPr>
        <w:tabs>
          <w:tab w:val="clear" w:pos="1133"/>
          <w:tab w:val="left" w:pos="680"/>
          <w:tab w:val="num" w:pos="1418"/>
        </w:tabs>
        <w:suppressAutoHyphens/>
        <w:spacing w:before="0"/>
        <w:ind w:left="1418" w:right="56"/>
        <w:jc w:val="both"/>
        <w:textAlignment w:val="baseline"/>
        <w:rPr>
          <w:rFonts w:eastAsia="Arial"/>
          <w:color w:val="auto"/>
        </w:rPr>
      </w:pPr>
      <w:r w:rsidRPr="00A81706">
        <w:rPr>
          <w:rFonts w:eastAsia="Arial"/>
          <w:color w:val="auto"/>
        </w:rPr>
        <w:t>20% of products should be sourced and produced from the Farm;</w:t>
      </w:r>
    </w:p>
    <w:p w14:paraId="768E66B5" w14:textId="77777777" w:rsidR="00A81706" w:rsidRPr="00A81706" w:rsidRDefault="00A81706" w:rsidP="00874A98">
      <w:pPr>
        <w:keepNext w:val="0"/>
        <w:numPr>
          <w:ilvl w:val="0"/>
          <w:numId w:val="149"/>
        </w:numPr>
        <w:tabs>
          <w:tab w:val="clear" w:pos="1133"/>
          <w:tab w:val="left" w:pos="680"/>
          <w:tab w:val="num" w:pos="1418"/>
        </w:tabs>
        <w:suppressAutoHyphens/>
        <w:spacing w:before="0"/>
        <w:ind w:left="1418" w:right="56"/>
        <w:jc w:val="both"/>
        <w:textAlignment w:val="baseline"/>
        <w:rPr>
          <w:rFonts w:eastAsia="Arial"/>
          <w:color w:val="auto"/>
        </w:rPr>
      </w:pPr>
      <w:r w:rsidRPr="00A81706">
        <w:rPr>
          <w:rFonts w:eastAsia="Arial"/>
          <w:color w:val="auto"/>
        </w:rPr>
        <w:t>20% of products sourced and produced with 30 miles of the Farm;</w:t>
      </w:r>
    </w:p>
    <w:p w14:paraId="500716CD" w14:textId="77777777" w:rsidR="00A81706" w:rsidRPr="00A81706" w:rsidRDefault="00A81706" w:rsidP="00874A98">
      <w:pPr>
        <w:keepNext w:val="0"/>
        <w:numPr>
          <w:ilvl w:val="0"/>
          <w:numId w:val="149"/>
        </w:numPr>
        <w:tabs>
          <w:tab w:val="clear" w:pos="1133"/>
          <w:tab w:val="left" w:pos="680"/>
          <w:tab w:val="num" w:pos="1418"/>
        </w:tabs>
        <w:suppressAutoHyphens/>
        <w:spacing w:before="0"/>
        <w:ind w:left="1418" w:right="56"/>
        <w:jc w:val="both"/>
        <w:textAlignment w:val="baseline"/>
        <w:rPr>
          <w:rFonts w:eastAsia="Arial"/>
          <w:color w:val="auto"/>
        </w:rPr>
      </w:pPr>
      <w:r w:rsidRPr="00A81706">
        <w:rPr>
          <w:rFonts w:eastAsia="Arial"/>
          <w:color w:val="auto"/>
        </w:rPr>
        <w:t>40% of products should be sourced and produced within the Region;</w:t>
      </w:r>
    </w:p>
    <w:p w14:paraId="1F81BDEA" w14:textId="0BE875E1" w:rsidR="00A81706" w:rsidRPr="00A81706" w:rsidRDefault="00A81706" w:rsidP="00874A98">
      <w:pPr>
        <w:keepNext w:val="0"/>
        <w:numPr>
          <w:ilvl w:val="0"/>
          <w:numId w:val="149"/>
        </w:numPr>
        <w:tabs>
          <w:tab w:val="clear" w:pos="1133"/>
          <w:tab w:val="left" w:pos="680"/>
          <w:tab w:val="num" w:pos="1418"/>
        </w:tabs>
        <w:suppressAutoHyphens/>
        <w:spacing w:before="0"/>
        <w:ind w:left="1418" w:right="56"/>
        <w:jc w:val="both"/>
        <w:textAlignment w:val="baseline"/>
        <w:rPr>
          <w:rFonts w:eastAsia="Arial" w:cs="Arial"/>
          <w:color w:val="auto"/>
        </w:rPr>
      </w:pPr>
      <w:r w:rsidRPr="00A81706">
        <w:rPr>
          <w:rFonts w:eastAsia="Arial"/>
          <w:color w:val="auto"/>
        </w:rPr>
        <w:t>20% of the products are sourced and produced from elsewhere.</w:t>
      </w:r>
    </w:p>
    <w:p w14:paraId="6FFEDE0D" w14:textId="77777777" w:rsidR="00A81706" w:rsidRPr="00A81706" w:rsidRDefault="00A81706" w:rsidP="00A81706">
      <w:pPr>
        <w:keepNext w:val="0"/>
        <w:tabs>
          <w:tab w:val="left" w:pos="680"/>
        </w:tabs>
        <w:suppressAutoHyphens/>
        <w:spacing w:before="0" w:after="113" w:line="252" w:lineRule="auto"/>
        <w:ind w:left="1133" w:right="56"/>
        <w:jc w:val="both"/>
        <w:textAlignment w:val="baseline"/>
        <w:rPr>
          <w:rFonts w:eastAsia="Arial" w:cs="Arial"/>
          <w:color w:val="auto"/>
        </w:rPr>
      </w:pPr>
    </w:p>
    <w:p w14:paraId="2BD0E5F9" w14:textId="08134426" w:rsidR="00A81706" w:rsidRPr="00A81706" w:rsidRDefault="00A81706" w:rsidP="00D01157">
      <w:pPr>
        <w:keepNext w:val="0"/>
        <w:numPr>
          <w:ilvl w:val="1"/>
          <w:numId w:val="28"/>
        </w:numPr>
        <w:tabs>
          <w:tab w:val="clear" w:pos="525"/>
        </w:tabs>
        <w:spacing w:before="0"/>
        <w:ind w:left="709" w:hanging="709"/>
        <w:rPr>
          <w:rFonts w:eastAsia="Arial" w:cs="Arial"/>
          <w:color w:val="auto"/>
          <w:spacing w:val="-1"/>
        </w:rPr>
      </w:pPr>
      <w:r w:rsidRPr="00A81706">
        <w:rPr>
          <w:rFonts w:eastAsia="Arial" w:cs="Arial"/>
          <w:color w:val="auto"/>
        </w:rPr>
        <w:t xml:space="preserve">Where permission is granted for a farm shop, conditions may be applied in relation to limits on the broad type of goods sold and the scale of development, to ensure that the shop is not run independently of the farm and to ensure adequate car parking and landscaping is provided. Depending on the scale of the shop proposed, there may also be a requirement to undertake an impact assessment.  </w:t>
      </w:r>
    </w:p>
    <w:p w14:paraId="662A17BE" w14:textId="77777777" w:rsidR="00A81706" w:rsidRDefault="00A81706" w:rsidP="00A81706">
      <w:pPr>
        <w:keepNext w:val="0"/>
        <w:spacing w:before="0"/>
        <w:ind w:left="709"/>
        <w:rPr>
          <w:rFonts w:eastAsia="Arial" w:cs="Arial"/>
          <w:color w:val="auto"/>
          <w:spacing w:val="-1"/>
        </w:rPr>
      </w:pPr>
    </w:p>
    <w:p w14:paraId="0B7F4442" w14:textId="1A066001" w:rsidR="00A81706" w:rsidRPr="00A81706" w:rsidRDefault="00A81706" w:rsidP="00D01157">
      <w:pPr>
        <w:keepNext w:val="0"/>
        <w:numPr>
          <w:ilvl w:val="1"/>
          <w:numId w:val="28"/>
        </w:numPr>
        <w:tabs>
          <w:tab w:val="clear" w:pos="525"/>
        </w:tabs>
        <w:spacing w:before="0"/>
        <w:ind w:left="709" w:hanging="709"/>
        <w:rPr>
          <w:rFonts w:eastAsia="Arial" w:cs="Arial"/>
          <w:color w:val="auto"/>
          <w:spacing w:val="-1"/>
        </w:rPr>
      </w:pPr>
      <w:r w:rsidRPr="00A81706">
        <w:rPr>
          <w:rFonts w:eastAsia="Arial" w:cs="Arial"/>
          <w:color w:val="auto"/>
          <w:szCs w:val="24"/>
        </w:rPr>
        <w:t xml:space="preserve">The use of land for equestrian purposes, may be for business or recreational activity. The Policy emphasises the use of existing building as far as possible to minimise the impact on the countryside. For equestrian use this will include for stables, tack rooms, and feed stores. If new buildings are necessary, the buildings should be constructed in good quality appropriate materials and designed clearly for their intended purpose. In the countryside (including the Green Belt) or Green Belt the Council anticipates that buildings will be of timber construction and of a small scale so as to minimise the impact on the countryside. Buildings of permanent construction such as bricks/block walls and tile roofs would normally only be considered appropriate where required to preserve or enhance a Conservation Area or if it is sited within a group of existing traditional buildings.  </w:t>
      </w:r>
    </w:p>
    <w:p w14:paraId="7DB61A06" w14:textId="77777777" w:rsidR="00A81706" w:rsidRDefault="00A81706" w:rsidP="00A81706">
      <w:pPr>
        <w:keepNext w:val="0"/>
        <w:spacing w:before="0"/>
        <w:rPr>
          <w:rFonts w:eastAsia="Arial" w:cs="Arial"/>
          <w:color w:val="auto"/>
          <w:spacing w:val="-1"/>
        </w:rPr>
      </w:pPr>
    </w:p>
    <w:p w14:paraId="4F752698" w14:textId="77777777" w:rsidR="00A81706" w:rsidRDefault="00A81706" w:rsidP="00D01157">
      <w:pPr>
        <w:keepNext w:val="0"/>
        <w:numPr>
          <w:ilvl w:val="1"/>
          <w:numId w:val="28"/>
        </w:numPr>
        <w:tabs>
          <w:tab w:val="clear" w:pos="525"/>
        </w:tabs>
        <w:spacing w:before="0"/>
        <w:ind w:left="709" w:hanging="709"/>
        <w:rPr>
          <w:rFonts w:eastAsia="Arial" w:cs="Arial"/>
          <w:color w:val="auto"/>
          <w:spacing w:val="-1"/>
        </w:rPr>
      </w:pPr>
      <w:r w:rsidRPr="00A81706">
        <w:rPr>
          <w:rFonts w:eastAsia="Arial" w:cs="Arial"/>
          <w:color w:val="auto"/>
          <w:szCs w:val="24"/>
        </w:rPr>
        <w:t>In terms of scale, the number of stables/loose boxes/sheds should be proportional to the accommodation of reasonable leisure needs of a householder or occupier or of the business requirement.  This will be balanced against the need to protect the countryside and character of the landscape. In addition, the land associated with the buildings will also be a determinate of the size of any buildings. However, it is not anticipated that recreational uses of stables for non-commercial purposes will typically require more than four loose boxes.</w:t>
      </w:r>
    </w:p>
    <w:p w14:paraId="5C567F77" w14:textId="77777777" w:rsidR="00A81706" w:rsidRPr="00A81706" w:rsidRDefault="00A81706" w:rsidP="00A81706">
      <w:pPr>
        <w:rPr>
          <w:rFonts w:eastAsia="Arial" w:cs="Arial"/>
          <w:color w:val="auto"/>
          <w:szCs w:val="24"/>
        </w:rPr>
      </w:pPr>
    </w:p>
    <w:p w14:paraId="2AD5A59D" w14:textId="019DB62C" w:rsidR="00A81706" w:rsidRPr="00A81706" w:rsidRDefault="00A81706" w:rsidP="00D01157">
      <w:pPr>
        <w:keepNext w:val="0"/>
        <w:numPr>
          <w:ilvl w:val="1"/>
          <w:numId w:val="28"/>
        </w:numPr>
        <w:tabs>
          <w:tab w:val="clear" w:pos="525"/>
        </w:tabs>
        <w:spacing w:before="0"/>
        <w:ind w:left="709" w:hanging="709"/>
        <w:rPr>
          <w:rFonts w:eastAsia="Arial" w:cs="Arial"/>
          <w:color w:val="auto"/>
          <w:spacing w:val="-1"/>
        </w:rPr>
      </w:pPr>
      <w:r w:rsidRPr="00A81706">
        <w:rPr>
          <w:rFonts w:eastAsia="Arial" w:cs="Arial"/>
          <w:color w:val="auto"/>
          <w:szCs w:val="24"/>
        </w:rPr>
        <w:t>Well-managed horse pasture can contribute positively to the landscape character and openness of the countryside and Green Belt. However, horse keeping can also have detrimental impacts through excessive subdivision of fields, unsightly built development (stables, horse shelters, jumps and other structures), there can be waste management issues, overgrazing of pasture, loss of soil structure, and poor quality fencing.  DEFRA’s Code of practice for the welfare of Horses, Ponies, Donkeys and their hy</w:t>
      </w:r>
      <w:r w:rsidR="009D1815">
        <w:rPr>
          <w:rFonts w:eastAsia="Arial" w:cs="Arial"/>
          <w:color w:val="auto"/>
          <w:szCs w:val="24"/>
        </w:rPr>
        <w:t>b</w:t>
      </w:r>
      <w:r w:rsidRPr="00A81706">
        <w:rPr>
          <w:rFonts w:eastAsia="Arial" w:cs="Arial"/>
          <w:color w:val="auto"/>
          <w:szCs w:val="24"/>
        </w:rPr>
        <w:t>r</w:t>
      </w:r>
      <w:r w:rsidR="009D1815">
        <w:rPr>
          <w:rFonts w:eastAsia="Arial" w:cs="Arial"/>
          <w:color w:val="auto"/>
          <w:szCs w:val="24"/>
        </w:rPr>
        <w:t>i</w:t>
      </w:r>
      <w:r w:rsidRPr="00A81706">
        <w:rPr>
          <w:rFonts w:eastAsia="Arial" w:cs="Arial"/>
          <w:color w:val="auto"/>
          <w:szCs w:val="24"/>
        </w:rPr>
        <w:t>ds, The British Horse Society, Equine Industry Welfare Guidelines and other welfare organisations set out standards regarding well managed grazing land required per horse. The availability of sufficient well managed grazing land associated with a development is considered by the Council to prevent over-grazing, which is detriment to animal welfare, and the character and appearance of the landscape. The Council will utilise information from the British Horse Society, Equine Industry Welfare Guidelines and other equine and welfare organisations in considering the pasturage, and the stabling welfare requirements for horses.</w:t>
      </w:r>
    </w:p>
    <w:p w14:paraId="5058280B" w14:textId="77777777" w:rsidR="00A81706" w:rsidRDefault="00A81706" w:rsidP="00A81706">
      <w:pPr>
        <w:keepNext w:val="0"/>
        <w:spacing w:before="0"/>
        <w:ind w:left="709"/>
        <w:rPr>
          <w:rFonts w:eastAsia="Arial" w:cs="Arial"/>
          <w:color w:val="auto"/>
          <w:spacing w:val="-1"/>
        </w:rPr>
      </w:pPr>
    </w:p>
    <w:p w14:paraId="47176A49" w14:textId="77777777" w:rsidR="00A81706" w:rsidRDefault="00A81706" w:rsidP="00D01157">
      <w:pPr>
        <w:keepNext w:val="0"/>
        <w:numPr>
          <w:ilvl w:val="1"/>
          <w:numId w:val="28"/>
        </w:numPr>
        <w:tabs>
          <w:tab w:val="clear" w:pos="525"/>
        </w:tabs>
        <w:spacing w:before="0"/>
        <w:ind w:left="709" w:hanging="709"/>
        <w:rPr>
          <w:rFonts w:eastAsia="Arial" w:cs="Arial"/>
          <w:color w:val="auto"/>
          <w:spacing w:val="-1"/>
        </w:rPr>
      </w:pPr>
      <w:r w:rsidRPr="00A81706">
        <w:rPr>
          <w:rFonts w:eastAsia="Arial" w:cs="Arial"/>
          <w:color w:val="auto"/>
          <w:szCs w:val="24"/>
        </w:rPr>
        <w:t>Where appropriate buildings should be a suitable distance away from dwellings to avoid problems of smell, noise, and pests, if necessary taking account of wind directions and other relevant factors.</w:t>
      </w:r>
    </w:p>
    <w:p w14:paraId="685544CA" w14:textId="77777777" w:rsidR="00A81706" w:rsidRPr="00A81706" w:rsidRDefault="00A81706" w:rsidP="00DA3B66">
      <w:pPr>
        <w:spacing w:before="0"/>
        <w:rPr>
          <w:rFonts w:eastAsia="Arial" w:cs="Arial"/>
          <w:color w:val="auto"/>
          <w:szCs w:val="24"/>
        </w:rPr>
      </w:pPr>
    </w:p>
    <w:p w14:paraId="093E723A" w14:textId="5BA404C8" w:rsidR="00A81706" w:rsidRPr="00DA3B66" w:rsidRDefault="00A81706" w:rsidP="00D01157">
      <w:pPr>
        <w:keepNext w:val="0"/>
        <w:numPr>
          <w:ilvl w:val="1"/>
          <w:numId w:val="28"/>
        </w:numPr>
        <w:tabs>
          <w:tab w:val="clear" w:pos="525"/>
        </w:tabs>
        <w:spacing w:before="0"/>
        <w:ind w:left="709" w:hanging="709"/>
        <w:rPr>
          <w:rFonts w:eastAsia="Arial" w:cs="Arial"/>
          <w:color w:val="auto"/>
          <w:spacing w:val="-1"/>
        </w:rPr>
      </w:pPr>
      <w:r w:rsidRPr="00A81706">
        <w:rPr>
          <w:rFonts w:eastAsia="Arial" w:cs="Arial"/>
          <w:color w:val="auto"/>
          <w:szCs w:val="24"/>
        </w:rPr>
        <w:t>The Water Framework Directive requires all water bodies to achieve good ecological status by 2027. This requires that everyone works together to protect and improve water environment. Diffuse pollution of water (DPW) arises from numerous pollution sources including agriculture and horses. An average horse will produce 20.4 kilos (or 45 pounds) of manure each day, equating to 7.5 tonnes annually. This quantity does not include the addition of soiled stable bedding material. Although individually minor, such pollution on a catchment scale can be significant in terms of the cumulative effect on the environment.  Animal waste is a potential threat to the environment and human health, especially if it is stored or spread near water and one of the key elements of good management is the correct storage and consideration of the disposal of waste.  Ashfield is within a Nitrate Vulnerable Zone and the regulation requirements will be applicable to animals kept on agricultural holdings or enterprises.</w:t>
      </w:r>
    </w:p>
    <w:p w14:paraId="3B8FB8C3" w14:textId="77777777" w:rsidR="00DA3B66" w:rsidRDefault="00DA3B66" w:rsidP="00DA3B66">
      <w:pPr>
        <w:keepNext w:val="0"/>
        <w:spacing w:before="0"/>
        <w:rPr>
          <w:rFonts w:eastAsia="Arial" w:cs="Arial"/>
          <w:color w:val="auto"/>
          <w:spacing w:val="-1"/>
        </w:rPr>
      </w:pPr>
    </w:p>
    <w:p w14:paraId="38114230" w14:textId="4BA0F6DD" w:rsidR="00A81706" w:rsidRPr="00A81706" w:rsidRDefault="00A81706" w:rsidP="00D01157">
      <w:pPr>
        <w:keepNext w:val="0"/>
        <w:numPr>
          <w:ilvl w:val="1"/>
          <w:numId w:val="28"/>
        </w:numPr>
        <w:tabs>
          <w:tab w:val="clear" w:pos="525"/>
        </w:tabs>
        <w:spacing w:before="0"/>
        <w:ind w:left="709" w:hanging="709"/>
        <w:rPr>
          <w:rFonts w:eastAsia="Arial" w:cs="Arial"/>
          <w:color w:val="auto"/>
          <w:spacing w:val="-1"/>
        </w:rPr>
      </w:pPr>
      <w:r w:rsidRPr="00A81706">
        <w:rPr>
          <w:rFonts w:eastAsia="Arial" w:cs="Arial"/>
          <w:color w:val="auto"/>
          <w:szCs w:val="24"/>
        </w:rPr>
        <w:t>Where the need to provide accommodation to enable farm, forestry or other workers to live at or near their place of work has been accepted as providing the special justification required for new, isolated residential development in the countryside, it will be necessary to ensure that the dwellings are kept available for meeting this need for as long as it exists</w:t>
      </w:r>
      <w:r w:rsidRPr="00A81706">
        <w:rPr>
          <w:rFonts w:eastAsia="Arial" w:cs="Arial"/>
          <w:color w:val="auto"/>
          <w:szCs w:val="24"/>
          <w:vertAlign w:val="superscript"/>
        </w:rPr>
        <w:footnoteReference w:id="97"/>
      </w:r>
      <w:r w:rsidRPr="00A81706">
        <w:rPr>
          <w:rFonts w:eastAsia="Arial" w:cs="Arial"/>
          <w:color w:val="auto"/>
          <w:szCs w:val="24"/>
        </w:rPr>
        <w:t xml:space="preserve">.  For this </w:t>
      </w:r>
      <w:r w:rsidR="009D1815" w:rsidRPr="00A81706">
        <w:rPr>
          <w:rFonts w:eastAsia="Arial" w:cs="Arial"/>
          <w:color w:val="auto"/>
          <w:szCs w:val="24"/>
        </w:rPr>
        <w:t>purpose,</w:t>
      </w:r>
      <w:r w:rsidRPr="00A81706">
        <w:rPr>
          <w:rFonts w:eastAsia="Arial" w:cs="Arial"/>
          <w:color w:val="auto"/>
          <w:szCs w:val="24"/>
        </w:rPr>
        <w:t xml:space="preserve"> planning permission should be made subject to appropriate occupancy conditions. This will ensure that the dwelling is not subsequently sold on the open market and ensures that sporadic development is carefully controlled. Changes in the scale and character of farming and forestry may affect the longer-term requirement for dwellings for which permission has been granted subject to an agricultural or forestry occupancy condition. Such dwellings, and others in the countryside with an occupancy condition attached, should not be kept vacant. Consequently, if the Policy requirements are met, the conditional may be released.</w:t>
      </w:r>
    </w:p>
    <w:p w14:paraId="51C6DD33" w14:textId="77777777" w:rsidR="00024CB3" w:rsidRDefault="00024CB3" w:rsidP="00024CB3">
      <w:pPr>
        <w:keepNext w:val="0"/>
        <w:spacing w:before="0"/>
        <w:rPr>
          <w:rFonts w:eastAsia="Arial" w:cs="Arial"/>
          <w:b/>
          <w:bCs/>
          <w:color w:val="auto"/>
          <w:szCs w:val="24"/>
        </w:rPr>
      </w:pPr>
    </w:p>
    <w:p w14:paraId="7FD75D32" w14:textId="77777777" w:rsidR="00804383" w:rsidRDefault="00804383" w:rsidP="00163F59">
      <w:pPr>
        <w:rPr>
          <w:rFonts w:eastAsia="Arial"/>
        </w:rPr>
      </w:pPr>
      <w:bookmarkStart w:id="258" w:name="_Toc145511602"/>
    </w:p>
    <w:p w14:paraId="48D943DF" w14:textId="77777777" w:rsidR="00163F59" w:rsidRPr="00163F59" w:rsidRDefault="00163F59" w:rsidP="00163F59">
      <w:pPr>
        <w:rPr>
          <w:rFonts w:eastAsia="Arial"/>
        </w:rPr>
      </w:pPr>
    </w:p>
    <w:p w14:paraId="7516899C" w14:textId="27ABAB4C" w:rsidR="00A81706" w:rsidRPr="00C55F46" w:rsidRDefault="006977E7" w:rsidP="00C55F46">
      <w:pPr>
        <w:pStyle w:val="Heading2"/>
        <w:jc w:val="left"/>
        <w:rPr>
          <w:rFonts w:eastAsia="Arial"/>
          <w:sz w:val="28"/>
          <w:szCs w:val="28"/>
        </w:rPr>
      </w:pPr>
      <w:r w:rsidRPr="00C55F46">
        <w:rPr>
          <w:rFonts w:eastAsia="Arial"/>
          <w:sz w:val="28"/>
          <w:szCs w:val="28"/>
        </w:rPr>
        <w:t xml:space="preserve">Policy </w:t>
      </w:r>
      <w:r w:rsidR="00D20668" w:rsidRPr="00C55F46">
        <w:rPr>
          <w:rFonts w:eastAsia="Arial"/>
          <w:sz w:val="28"/>
          <w:szCs w:val="28"/>
        </w:rPr>
        <w:t>EM5: Education, Skills and Training</w:t>
      </w:r>
      <w:bookmarkEnd w:id="258"/>
      <w:r w:rsidR="00D20668" w:rsidRPr="00C55F46">
        <w:rPr>
          <w:rFonts w:eastAsia="Arial"/>
          <w:sz w:val="28"/>
          <w:szCs w:val="28"/>
        </w:rPr>
        <w:t xml:space="preserve"> </w:t>
      </w:r>
    </w:p>
    <w:p w14:paraId="29AD385E" w14:textId="77777777" w:rsidR="00D20668" w:rsidRPr="00D20668" w:rsidRDefault="00D20668" w:rsidP="00D20668">
      <w:pPr>
        <w:rPr>
          <w:rFonts w:eastAsia="Arial" w:cs="Arial"/>
          <w:color w:val="auto"/>
          <w:szCs w:val="24"/>
        </w:rPr>
      </w:pPr>
    </w:p>
    <w:tbl>
      <w:tblPr>
        <w:tblStyle w:val="TableGrid3"/>
        <w:tblW w:w="9634" w:type="dxa"/>
        <w:tblLook w:val="04A0" w:firstRow="1" w:lastRow="0" w:firstColumn="1" w:lastColumn="0" w:noHBand="0" w:noVBand="1"/>
      </w:tblPr>
      <w:tblGrid>
        <w:gridCol w:w="2263"/>
        <w:gridCol w:w="397"/>
        <w:gridCol w:w="6974"/>
      </w:tblGrid>
      <w:tr w:rsidR="00A81706" w:rsidRPr="00A81706" w14:paraId="67F60496" w14:textId="77777777" w:rsidTr="00D17B5C">
        <w:trPr>
          <w:trHeight w:val="421"/>
        </w:trPr>
        <w:tc>
          <w:tcPr>
            <w:tcW w:w="9634" w:type="dxa"/>
            <w:gridSpan w:val="3"/>
          </w:tcPr>
          <w:p w14:paraId="140C4B2E" w14:textId="77777777" w:rsidR="009838D1" w:rsidRDefault="009838D1" w:rsidP="00FF3EAD">
            <w:pPr>
              <w:keepNext w:val="0"/>
              <w:tabs>
                <w:tab w:val="left" w:pos="680"/>
              </w:tabs>
              <w:spacing w:before="0"/>
              <w:jc w:val="left"/>
              <w:rPr>
                <w:rFonts w:eastAsia="Arial"/>
                <w:b/>
                <w:color w:val="auto"/>
                <w:spacing w:val="-1"/>
              </w:rPr>
            </w:pPr>
          </w:p>
          <w:p w14:paraId="4C67E102" w14:textId="3962881B" w:rsidR="00A81706" w:rsidRDefault="00A81706" w:rsidP="00FF3EAD">
            <w:pPr>
              <w:keepNext w:val="0"/>
              <w:tabs>
                <w:tab w:val="left" w:pos="680"/>
              </w:tabs>
              <w:spacing w:before="0"/>
              <w:jc w:val="left"/>
              <w:rPr>
                <w:rFonts w:eastAsia="Arial"/>
                <w:b/>
                <w:color w:val="auto"/>
                <w:spacing w:val="-1"/>
              </w:rPr>
            </w:pPr>
            <w:r w:rsidRPr="00A81706">
              <w:rPr>
                <w:rFonts w:eastAsia="Arial"/>
                <w:b/>
                <w:color w:val="auto"/>
                <w:spacing w:val="-1"/>
              </w:rPr>
              <w:t>Policy EM5:</w:t>
            </w:r>
            <w:r w:rsidRPr="00A81706">
              <w:rPr>
                <w:rFonts w:eastAsia="Arial"/>
                <w:b/>
                <w:color w:val="538135"/>
                <w:spacing w:val="-1"/>
              </w:rPr>
              <w:t xml:space="preserve"> </w:t>
            </w:r>
            <w:r w:rsidRPr="00A81706">
              <w:rPr>
                <w:rFonts w:eastAsia="Arial"/>
                <w:b/>
                <w:color w:val="auto"/>
                <w:spacing w:val="-1"/>
              </w:rPr>
              <w:t>Education</w:t>
            </w:r>
            <w:r w:rsidR="00D20668">
              <w:rPr>
                <w:rFonts w:eastAsia="Arial"/>
                <w:b/>
                <w:color w:val="auto"/>
                <w:spacing w:val="-1"/>
              </w:rPr>
              <w:t>,</w:t>
            </w:r>
            <w:r w:rsidRPr="00A81706">
              <w:rPr>
                <w:rFonts w:eastAsia="Arial"/>
                <w:b/>
                <w:color w:val="auto"/>
                <w:spacing w:val="-1"/>
              </w:rPr>
              <w:t xml:space="preserve"> Skills and Training</w:t>
            </w:r>
          </w:p>
          <w:p w14:paraId="0AE0AA68" w14:textId="04F8808A" w:rsidR="009838D1" w:rsidRPr="00A81706" w:rsidRDefault="009838D1" w:rsidP="00FF3EAD">
            <w:pPr>
              <w:keepNext w:val="0"/>
              <w:tabs>
                <w:tab w:val="left" w:pos="680"/>
              </w:tabs>
              <w:spacing w:before="0"/>
              <w:jc w:val="left"/>
              <w:rPr>
                <w:rFonts w:eastAsia="Arial"/>
                <w:b/>
                <w:color w:val="538135"/>
                <w:spacing w:val="-1"/>
              </w:rPr>
            </w:pPr>
          </w:p>
        </w:tc>
      </w:tr>
      <w:tr w:rsidR="00A81706" w:rsidRPr="00A81706" w14:paraId="50A521D8" w14:textId="77777777" w:rsidTr="00D17B5C">
        <w:tc>
          <w:tcPr>
            <w:tcW w:w="2660" w:type="dxa"/>
            <w:gridSpan w:val="2"/>
          </w:tcPr>
          <w:p w14:paraId="641AE028" w14:textId="77777777" w:rsidR="00A81706" w:rsidRPr="009838D1" w:rsidRDefault="00A81706" w:rsidP="00FF3EAD">
            <w:pPr>
              <w:keepNext w:val="0"/>
              <w:tabs>
                <w:tab w:val="left" w:pos="680"/>
              </w:tabs>
              <w:spacing w:before="0"/>
              <w:jc w:val="left"/>
              <w:rPr>
                <w:rFonts w:eastAsia="Arial"/>
                <w:bCs/>
                <w:color w:val="auto"/>
              </w:rPr>
            </w:pPr>
            <w:r w:rsidRPr="009838D1">
              <w:rPr>
                <w:rFonts w:eastAsia="Arial"/>
                <w:bCs/>
                <w:color w:val="auto"/>
              </w:rPr>
              <w:t>Strategic Objectives</w:t>
            </w:r>
          </w:p>
        </w:tc>
        <w:tc>
          <w:tcPr>
            <w:tcW w:w="6974" w:type="dxa"/>
          </w:tcPr>
          <w:p w14:paraId="76164D6C" w14:textId="77777777" w:rsidR="00A81706" w:rsidRPr="009838D1" w:rsidRDefault="00A81706" w:rsidP="00FF3EAD">
            <w:pPr>
              <w:keepNext w:val="0"/>
              <w:tabs>
                <w:tab w:val="left" w:pos="680"/>
              </w:tabs>
              <w:spacing w:before="40" w:after="40"/>
              <w:jc w:val="left"/>
              <w:rPr>
                <w:rFonts w:eastAsia="Arial"/>
                <w:bCs/>
                <w:color w:val="auto"/>
              </w:rPr>
            </w:pPr>
            <w:r w:rsidRPr="009838D1">
              <w:rPr>
                <w:rFonts w:eastAsia="Arial"/>
                <w:bCs/>
                <w:color w:val="auto"/>
              </w:rPr>
              <w:t>SO1, SO4, SO6, SO7, SO8, SO9, SO12.</w:t>
            </w:r>
          </w:p>
        </w:tc>
      </w:tr>
      <w:tr w:rsidR="00A81706" w:rsidRPr="00A81706" w14:paraId="445A4450" w14:textId="77777777" w:rsidTr="00D17B5C">
        <w:tc>
          <w:tcPr>
            <w:tcW w:w="9634" w:type="dxa"/>
            <w:gridSpan w:val="3"/>
            <w:shd w:val="clear" w:color="auto" w:fill="D9E2F3"/>
          </w:tcPr>
          <w:p w14:paraId="6A102DD0" w14:textId="77777777" w:rsidR="00A81706" w:rsidRPr="00985BCC" w:rsidRDefault="00A81706" w:rsidP="00FF3EAD">
            <w:pPr>
              <w:keepNext w:val="0"/>
              <w:spacing w:before="0"/>
              <w:jc w:val="left"/>
              <w:rPr>
                <w:rFonts w:eastAsia="Arial"/>
                <w:bCs/>
              </w:rPr>
            </w:pPr>
          </w:p>
          <w:p w14:paraId="09BA764F" w14:textId="792B4749" w:rsidR="00A81706" w:rsidRPr="00985BCC" w:rsidRDefault="00A81706" w:rsidP="00874A98">
            <w:pPr>
              <w:keepNext w:val="0"/>
              <w:numPr>
                <w:ilvl w:val="0"/>
                <w:numId w:val="150"/>
              </w:numPr>
              <w:tabs>
                <w:tab w:val="left" w:pos="680"/>
                <w:tab w:val="left" w:pos="1133"/>
                <w:tab w:val="left" w:pos="2267"/>
              </w:tabs>
              <w:spacing w:before="0"/>
              <w:ind w:left="357" w:right="284"/>
              <w:jc w:val="left"/>
              <w:rPr>
                <w:rFonts w:eastAsia="Arial"/>
                <w:bCs/>
              </w:rPr>
            </w:pPr>
            <w:r w:rsidRPr="00985BCC">
              <w:rPr>
                <w:rFonts w:eastAsia="Arial"/>
                <w:bCs/>
              </w:rPr>
              <w:t>The Council will support development that contributes towards raising the level of skills and opportunities for all ages in the District. Development of education and skills will be promoted through:</w:t>
            </w:r>
          </w:p>
          <w:p w14:paraId="51595DD6" w14:textId="77777777" w:rsidR="00A81706" w:rsidRPr="00985BCC" w:rsidRDefault="00A81706" w:rsidP="00FF3EAD">
            <w:pPr>
              <w:keepNext w:val="0"/>
              <w:tabs>
                <w:tab w:val="left" w:pos="680"/>
                <w:tab w:val="left" w:pos="1133"/>
                <w:tab w:val="left" w:pos="2267"/>
              </w:tabs>
              <w:spacing w:before="0"/>
              <w:ind w:left="357" w:right="284"/>
              <w:jc w:val="left"/>
              <w:rPr>
                <w:rFonts w:eastAsia="Arial"/>
                <w:bCs/>
              </w:rPr>
            </w:pPr>
            <w:bookmarkStart w:id="259" w:name="_Hlk80168213"/>
          </w:p>
          <w:p w14:paraId="6C71A9DD" w14:textId="1E027CA1" w:rsidR="00A81706" w:rsidRPr="00985BCC" w:rsidRDefault="00A81706" w:rsidP="00874A98">
            <w:pPr>
              <w:keepNext w:val="0"/>
              <w:numPr>
                <w:ilvl w:val="0"/>
                <w:numId w:val="152"/>
              </w:numPr>
              <w:tabs>
                <w:tab w:val="left" w:pos="680"/>
              </w:tabs>
              <w:spacing w:before="0" w:after="160" w:line="252" w:lineRule="auto"/>
              <w:contextualSpacing/>
              <w:jc w:val="left"/>
              <w:rPr>
                <w:rFonts w:eastAsia="Arial"/>
                <w:bCs/>
              </w:rPr>
            </w:pPr>
            <w:r w:rsidRPr="00985BCC">
              <w:rPr>
                <w:rFonts w:eastAsia="Arial"/>
                <w:bCs/>
              </w:rPr>
              <w:t>Supporting the growth, development and improvement of Vison West Nottinghamshire College</w:t>
            </w:r>
            <w:r w:rsidR="00581EDE" w:rsidRPr="00985BCC">
              <w:rPr>
                <w:rFonts w:eastAsia="Arial"/>
                <w:bCs/>
              </w:rPr>
              <w:t xml:space="preserve">, Nottingham Trent University </w:t>
            </w:r>
            <w:r w:rsidRPr="00985BCC">
              <w:rPr>
                <w:rFonts w:eastAsia="Arial"/>
                <w:bCs/>
              </w:rPr>
              <w:t>and other educational institutions</w:t>
            </w:r>
            <w:r w:rsidR="009F1F17" w:rsidRPr="00985BCC">
              <w:rPr>
                <w:rFonts w:eastAsia="Arial"/>
                <w:bCs/>
              </w:rPr>
              <w:t xml:space="preserve"> within Ashfield</w:t>
            </w:r>
            <w:r w:rsidRPr="00985BCC">
              <w:rPr>
                <w:rFonts w:eastAsia="Arial"/>
                <w:bCs/>
              </w:rPr>
              <w:t>.</w:t>
            </w:r>
          </w:p>
          <w:bookmarkEnd w:id="259"/>
          <w:p w14:paraId="5F8E7C4B" w14:textId="77777777" w:rsidR="00A81706" w:rsidRPr="00985BCC" w:rsidRDefault="00A81706" w:rsidP="00FF3EAD">
            <w:pPr>
              <w:keepNext w:val="0"/>
              <w:tabs>
                <w:tab w:val="left" w:pos="680"/>
              </w:tabs>
              <w:spacing w:before="0"/>
              <w:ind w:left="720"/>
              <w:contextualSpacing/>
              <w:jc w:val="left"/>
              <w:rPr>
                <w:rFonts w:eastAsia="Arial"/>
                <w:bCs/>
              </w:rPr>
            </w:pPr>
          </w:p>
          <w:p w14:paraId="78433092" w14:textId="77777777" w:rsidR="00A81706" w:rsidRPr="00985BCC" w:rsidRDefault="00A81706" w:rsidP="00874A98">
            <w:pPr>
              <w:keepNext w:val="0"/>
              <w:numPr>
                <w:ilvl w:val="0"/>
                <w:numId w:val="152"/>
              </w:numPr>
              <w:tabs>
                <w:tab w:val="left" w:pos="680"/>
              </w:tabs>
              <w:spacing w:before="0" w:after="160" w:line="252" w:lineRule="auto"/>
              <w:contextualSpacing/>
              <w:jc w:val="left"/>
              <w:rPr>
                <w:rFonts w:eastAsia="Arial"/>
                <w:bCs/>
              </w:rPr>
            </w:pPr>
            <w:r w:rsidRPr="00985BCC">
              <w:rPr>
                <w:rFonts w:eastAsia="Arial"/>
                <w:bCs/>
              </w:rPr>
              <w:t>Supporting new educational facilities to improve local skills and training in the working age population, including on sites allocated for employment uses where:</w:t>
            </w:r>
          </w:p>
          <w:p w14:paraId="44AB3D63" w14:textId="77777777" w:rsidR="00A81706" w:rsidRPr="00985BCC" w:rsidRDefault="00A81706" w:rsidP="00FF3EAD">
            <w:pPr>
              <w:keepNext w:val="0"/>
              <w:tabs>
                <w:tab w:val="left" w:pos="680"/>
              </w:tabs>
              <w:spacing w:before="0"/>
              <w:ind w:left="720"/>
              <w:jc w:val="left"/>
              <w:rPr>
                <w:rFonts w:eastAsia="Arial"/>
                <w:bCs/>
              </w:rPr>
            </w:pPr>
          </w:p>
          <w:p w14:paraId="785ECB9D" w14:textId="77777777" w:rsidR="00A81706" w:rsidRPr="00985BCC" w:rsidRDefault="00A81706" w:rsidP="00874A98">
            <w:pPr>
              <w:keepNext w:val="0"/>
              <w:numPr>
                <w:ilvl w:val="0"/>
                <w:numId w:val="151"/>
              </w:numPr>
              <w:tabs>
                <w:tab w:val="left" w:pos="680"/>
              </w:tabs>
              <w:spacing w:before="0" w:after="160" w:line="252" w:lineRule="auto"/>
              <w:jc w:val="left"/>
              <w:rPr>
                <w:rFonts w:eastAsia="Arial"/>
                <w:bCs/>
              </w:rPr>
            </w:pPr>
            <w:r w:rsidRPr="00985BCC">
              <w:rPr>
                <w:rFonts w:eastAsia="Arial"/>
                <w:bCs/>
              </w:rPr>
              <w:t>it can be demonstrated that no suitable sites are available in town centre;</w:t>
            </w:r>
          </w:p>
          <w:p w14:paraId="67B63F44" w14:textId="77777777" w:rsidR="00A81706" w:rsidRPr="00985BCC" w:rsidRDefault="00A81706" w:rsidP="00874A98">
            <w:pPr>
              <w:keepNext w:val="0"/>
              <w:numPr>
                <w:ilvl w:val="0"/>
                <w:numId w:val="151"/>
              </w:numPr>
              <w:tabs>
                <w:tab w:val="left" w:pos="680"/>
              </w:tabs>
              <w:spacing w:before="0" w:after="160" w:line="252" w:lineRule="auto"/>
              <w:jc w:val="left"/>
              <w:rPr>
                <w:rFonts w:eastAsia="Arial"/>
                <w:bCs/>
              </w:rPr>
            </w:pPr>
            <w:r w:rsidRPr="00985BCC">
              <w:rPr>
                <w:rFonts w:eastAsia="Arial"/>
                <w:bCs/>
              </w:rPr>
              <w:t>provision is made for access by a range of means of transport; and</w:t>
            </w:r>
          </w:p>
          <w:p w14:paraId="55A61002" w14:textId="77777777" w:rsidR="00A81706" w:rsidRPr="00985BCC" w:rsidRDefault="00A81706" w:rsidP="00874A98">
            <w:pPr>
              <w:keepNext w:val="0"/>
              <w:numPr>
                <w:ilvl w:val="0"/>
                <w:numId w:val="151"/>
              </w:numPr>
              <w:tabs>
                <w:tab w:val="left" w:pos="680"/>
              </w:tabs>
              <w:spacing w:before="0"/>
              <w:jc w:val="left"/>
              <w:rPr>
                <w:rFonts w:eastAsia="Arial"/>
                <w:bCs/>
              </w:rPr>
            </w:pPr>
            <w:r w:rsidRPr="00985BCC">
              <w:rPr>
                <w:rFonts w:eastAsia="Arial"/>
                <w:bCs/>
              </w:rPr>
              <w:t>development would not conflict with the economic development function of the estate or area.</w:t>
            </w:r>
          </w:p>
          <w:p w14:paraId="5EC103AD" w14:textId="77777777" w:rsidR="00A81706" w:rsidRPr="00985BCC" w:rsidRDefault="00A81706" w:rsidP="00FF3EAD">
            <w:pPr>
              <w:keepNext w:val="0"/>
              <w:spacing w:before="0"/>
              <w:ind w:left="720"/>
              <w:contextualSpacing/>
              <w:jc w:val="left"/>
              <w:rPr>
                <w:rFonts w:eastAsia="Arial"/>
                <w:bCs/>
              </w:rPr>
            </w:pPr>
          </w:p>
          <w:p w14:paraId="2DB6F3B8" w14:textId="77777777" w:rsidR="00A81706" w:rsidRPr="00985BCC" w:rsidRDefault="00A81706" w:rsidP="00874A98">
            <w:pPr>
              <w:keepNext w:val="0"/>
              <w:numPr>
                <w:ilvl w:val="0"/>
                <w:numId w:val="152"/>
              </w:numPr>
              <w:tabs>
                <w:tab w:val="left" w:pos="680"/>
              </w:tabs>
              <w:spacing w:before="0" w:after="160" w:line="252" w:lineRule="auto"/>
              <w:contextualSpacing/>
              <w:jc w:val="left"/>
              <w:rPr>
                <w:rFonts w:eastAsia="Arial"/>
                <w:bCs/>
              </w:rPr>
            </w:pPr>
            <w:r w:rsidRPr="00985BCC">
              <w:rPr>
                <w:rFonts w:eastAsia="Arial"/>
                <w:bCs/>
              </w:rPr>
              <w:t xml:space="preserve">Utilising training and employment agreements to secure employment and skills development for the local workforce.  </w:t>
            </w:r>
          </w:p>
          <w:p w14:paraId="5EB09496" w14:textId="77777777" w:rsidR="00A81706" w:rsidRPr="00985BCC" w:rsidRDefault="00A81706" w:rsidP="00FF3EAD">
            <w:pPr>
              <w:keepNext w:val="0"/>
              <w:tabs>
                <w:tab w:val="left" w:pos="680"/>
                <w:tab w:val="left" w:pos="1133"/>
                <w:tab w:val="left" w:pos="2267"/>
              </w:tabs>
              <w:spacing w:before="0"/>
              <w:ind w:left="360" w:right="284"/>
              <w:jc w:val="left"/>
              <w:rPr>
                <w:rFonts w:eastAsia="Arial"/>
                <w:bCs/>
              </w:rPr>
            </w:pPr>
          </w:p>
          <w:p w14:paraId="374127EB" w14:textId="5377D941" w:rsidR="00A81706" w:rsidRPr="00985BCC" w:rsidRDefault="00A81706" w:rsidP="00874A98">
            <w:pPr>
              <w:keepNext w:val="0"/>
              <w:numPr>
                <w:ilvl w:val="0"/>
                <w:numId w:val="150"/>
              </w:numPr>
              <w:tabs>
                <w:tab w:val="left" w:pos="680"/>
                <w:tab w:val="left" w:pos="1133"/>
                <w:tab w:val="left" w:pos="2267"/>
              </w:tabs>
              <w:spacing w:before="0" w:after="160" w:line="252" w:lineRule="auto"/>
              <w:ind w:right="284"/>
              <w:contextualSpacing/>
              <w:jc w:val="left"/>
              <w:rPr>
                <w:rFonts w:eastAsia="Arial"/>
                <w:bCs/>
              </w:rPr>
            </w:pPr>
            <w:r w:rsidRPr="00985BCC">
              <w:rPr>
                <w:rFonts w:eastAsia="Arial"/>
                <w:bCs/>
              </w:rPr>
              <w:t>The Council will support the renovation, redevelopment and expansion of the District’s schools.  Where additional school places are anticipated to be required as a result of a development proposal</w:t>
            </w:r>
            <w:r w:rsidR="00606E15" w:rsidRPr="00985BCC">
              <w:t xml:space="preserve"> or have been </w:t>
            </w:r>
            <w:r w:rsidR="00606E15" w:rsidRPr="00985BCC">
              <w:rPr>
                <w:rFonts w:eastAsia="Arial"/>
                <w:bCs/>
              </w:rPr>
              <w:t>forward funded to meet new housing requirements</w:t>
            </w:r>
            <w:r w:rsidRPr="00985BCC">
              <w:rPr>
                <w:rFonts w:eastAsia="Arial"/>
                <w:bCs/>
              </w:rPr>
              <w:t>, the Council will require the provision of:</w:t>
            </w:r>
          </w:p>
          <w:p w14:paraId="59A52BA6" w14:textId="77777777" w:rsidR="00A81706" w:rsidRPr="00985BCC" w:rsidRDefault="00A81706" w:rsidP="00FF3EAD">
            <w:pPr>
              <w:keepNext w:val="0"/>
              <w:spacing w:before="0" w:after="160" w:line="252" w:lineRule="auto"/>
              <w:ind w:left="720"/>
              <w:contextualSpacing/>
              <w:jc w:val="left"/>
              <w:rPr>
                <w:rFonts w:eastAsia="Arial"/>
                <w:bCs/>
              </w:rPr>
            </w:pPr>
          </w:p>
          <w:p w14:paraId="308871DF" w14:textId="77777777" w:rsidR="00A81706" w:rsidRPr="00985BCC" w:rsidRDefault="00A81706" w:rsidP="00874A98">
            <w:pPr>
              <w:keepNext w:val="0"/>
              <w:numPr>
                <w:ilvl w:val="0"/>
                <w:numId w:val="153"/>
              </w:numPr>
              <w:tabs>
                <w:tab w:val="left" w:pos="680"/>
              </w:tabs>
              <w:spacing w:before="0" w:after="160" w:line="252" w:lineRule="auto"/>
              <w:contextualSpacing/>
              <w:jc w:val="left"/>
              <w:rPr>
                <w:rFonts w:eastAsia="Arial"/>
                <w:bCs/>
              </w:rPr>
            </w:pPr>
            <w:r w:rsidRPr="00985BCC">
              <w:rPr>
                <w:rFonts w:eastAsia="Arial"/>
                <w:bCs/>
              </w:rPr>
              <w:t xml:space="preserve">A primary school on site or contributions towards the expansion of existing or new primary school provision; and/or </w:t>
            </w:r>
          </w:p>
          <w:p w14:paraId="7D85476F" w14:textId="77777777" w:rsidR="00A81706" w:rsidRPr="00985BCC" w:rsidRDefault="00A81706" w:rsidP="00874A98">
            <w:pPr>
              <w:keepNext w:val="0"/>
              <w:numPr>
                <w:ilvl w:val="0"/>
                <w:numId w:val="153"/>
              </w:numPr>
              <w:tabs>
                <w:tab w:val="left" w:pos="680"/>
              </w:tabs>
              <w:spacing w:before="0" w:after="160" w:line="252" w:lineRule="auto"/>
              <w:contextualSpacing/>
              <w:jc w:val="left"/>
              <w:rPr>
                <w:rFonts w:eastAsia="Arial"/>
                <w:bCs/>
              </w:rPr>
            </w:pPr>
            <w:r w:rsidRPr="00985BCC">
              <w:rPr>
                <w:rFonts w:eastAsia="Arial"/>
                <w:bCs/>
              </w:rPr>
              <w:t xml:space="preserve">A secondary school on site or contributions towards the expansion of existing or new secondary school provision. </w:t>
            </w:r>
          </w:p>
          <w:p w14:paraId="7D125BD7" w14:textId="77777777" w:rsidR="00A81706" w:rsidRPr="00985BCC" w:rsidRDefault="00A81706" w:rsidP="00FF3EAD">
            <w:pPr>
              <w:keepNext w:val="0"/>
              <w:tabs>
                <w:tab w:val="left" w:pos="680"/>
              </w:tabs>
              <w:spacing w:before="0"/>
              <w:jc w:val="left"/>
              <w:rPr>
                <w:rFonts w:eastAsia="Arial"/>
                <w:bCs/>
              </w:rPr>
            </w:pPr>
          </w:p>
        </w:tc>
      </w:tr>
      <w:tr w:rsidR="00A81706" w:rsidRPr="00A81706" w14:paraId="607B231D" w14:textId="77777777" w:rsidTr="00D17B5C">
        <w:tc>
          <w:tcPr>
            <w:tcW w:w="2263" w:type="dxa"/>
          </w:tcPr>
          <w:p w14:paraId="55FB789E" w14:textId="77777777" w:rsidR="00A81706" w:rsidRPr="00A81706" w:rsidRDefault="00A81706" w:rsidP="000032A9">
            <w:pPr>
              <w:keepNext w:val="0"/>
              <w:tabs>
                <w:tab w:val="left" w:pos="680"/>
                <w:tab w:val="left" w:pos="1133"/>
                <w:tab w:val="left" w:pos="2267"/>
              </w:tabs>
              <w:spacing w:before="0"/>
              <w:ind w:right="284"/>
              <w:rPr>
                <w:rFonts w:eastAsia="Arial"/>
                <w:b/>
                <w:color w:val="538135"/>
                <w:szCs w:val="24"/>
              </w:rPr>
            </w:pPr>
            <w:r w:rsidRPr="00A81706">
              <w:rPr>
                <w:rFonts w:eastAsia="Arial"/>
                <w:bCs/>
                <w:color w:val="auto"/>
                <w:sz w:val="20"/>
              </w:rPr>
              <w:t>Evidence base</w:t>
            </w:r>
          </w:p>
        </w:tc>
        <w:tc>
          <w:tcPr>
            <w:tcW w:w="7371" w:type="dxa"/>
            <w:gridSpan w:val="2"/>
          </w:tcPr>
          <w:p w14:paraId="2B4F3126" w14:textId="78ABFE92" w:rsidR="00A81706" w:rsidRPr="00985BCC" w:rsidRDefault="00A81706" w:rsidP="00A05D94">
            <w:pPr>
              <w:keepNext w:val="0"/>
              <w:numPr>
                <w:ilvl w:val="0"/>
                <w:numId w:val="24"/>
              </w:numPr>
              <w:tabs>
                <w:tab w:val="left" w:pos="680"/>
                <w:tab w:val="left" w:pos="1133"/>
                <w:tab w:val="left" w:pos="2267"/>
              </w:tabs>
              <w:spacing w:before="0" w:after="160" w:line="252" w:lineRule="auto"/>
              <w:ind w:right="284"/>
              <w:contextualSpacing/>
              <w:jc w:val="left"/>
              <w:rPr>
                <w:rFonts w:eastAsia="Arial"/>
                <w:bCs/>
                <w:sz w:val="20"/>
              </w:rPr>
            </w:pPr>
            <w:r w:rsidRPr="00985BCC">
              <w:rPr>
                <w:rFonts w:eastAsia="Arial"/>
                <w:bCs/>
                <w:sz w:val="20"/>
              </w:rPr>
              <w:t xml:space="preserve">Background Paper </w:t>
            </w:r>
            <w:r w:rsidR="00A05D94" w:rsidRPr="00985BCC">
              <w:rPr>
                <w:rFonts w:eastAsia="Arial"/>
                <w:bCs/>
                <w:sz w:val="20"/>
              </w:rPr>
              <w:t xml:space="preserve">No 1: </w:t>
            </w:r>
            <w:r w:rsidRPr="00985BCC">
              <w:rPr>
                <w:rFonts w:eastAsia="Arial"/>
                <w:bCs/>
                <w:sz w:val="20"/>
              </w:rPr>
              <w:t xml:space="preserve">Spatial Strategy and </w:t>
            </w:r>
            <w:r w:rsidR="00A32846" w:rsidRPr="00985BCC">
              <w:rPr>
                <w:rFonts w:eastAsia="Arial"/>
                <w:bCs/>
                <w:sz w:val="20"/>
              </w:rPr>
              <w:t>Site Selection 2023</w:t>
            </w:r>
            <w:r w:rsidRPr="00985BCC">
              <w:rPr>
                <w:rFonts w:eastAsia="Arial"/>
                <w:bCs/>
                <w:sz w:val="20"/>
              </w:rPr>
              <w:t>. Ashfield District Council</w:t>
            </w:r>
          </w:p>
          <w:p w14:paraId="181D39ED" w14:textId="64FD4FB4" w:rsidR="00A81706" w:rsidRPr="00985BCC" w:rsidRDefault="00A81706" w:rsidP="00A05D94">
            <w:pPr>
              <w:keepNext w:val="0"/>
              <w:numPr>
                <w:ilvl w:val="0"/>
                <w:numId w:val="24"/>
              </w:numPr>
              <w:tabs>
                <w:tab w:val="left" w:pos="680"/>
                <w:tab w:val="left" w:pos="1133"/>
                <w:tab w:val="left" w:pos="2267"/>
              </w:tabs>
              <w:spacing w:before="0" w:after="160" w:line="252" w:lineRule="auto"/>
              <w:ind w:right="284"/>
              <w:contextualSpacing/>
              <w:jc w:val="left"/>
              <w:rPr>
                <w:rFonts w:eastAsia="Arial"/>
                <w:bCs/>
                <w:sz w:val="20"/>
              </w:rPr>
            </w:pPr>
            <w:r w:rsidRPr="00985BCC">
              <w:rPr>
                <w:rFonts w:eastAsia="Arial"/>
                <w:bCs/>
                <w:sz w:val="20"/>
              </w:rPr>
              <w:t xml:space="preserve">Background Paper </w:t>
            </w:r>
            <w:r w:rsidR="00A05D94" w:rsidRPr="00985BCC">
              <w:rPr>
                <w:rFonts w:eastAsia="Arial"/>
                <w:bCs/>
                <w:sz w:val="20"/>
              </w:rPr>
              <w:t xml:space="preserve">No 3: </w:t>
            </w:r>
            <w:r w:rsidR="000032A9" w:rsidRPr="00985BCC">
              <w:rPr>
                <w:rFonts w:eastAsia="Arial"/>
                <w:bCs/>
                <w:sz w:val="20"/>
              </w:rPr>
              <w:t xml:space="preserve">Economy &amp; </w:t>
            </w:r>
            <w:r w:rsidRPr="00985BCC">
              <w:rPr>
                <w:rFonts w:eastAsia="Arial"/>
                <w:bCs/>
                <w:sz w:val="20"/>
              </w:rPr>
              <w:t>Employment Land 202</w:t>
            </w:r>
            <w:r w:rsidR="006B0C43" w:rsidRPr="00985BCC">
              <w:rPr>
                <w:rFonts w:eastAsia="Arial"/>
                <w:bCs/>
                <w:sz w:val="20"/>
              </w:rPr>
              <w:t>3</w:t>
            </w:r>
            <w:r w:rsidRPr="00985BCC">
              <w:rPr>
                <w:rFonts w:eastAsia="Arial"/>
                <w:bCs/>
                <w:sz w:val="20"/>
              </w:rPr>
              <w:t>.  Ashfield District Council.</w:t>
            </w:r>
          </w:p>
          <w:p w14:paraId="3443F8A3" w14:textId="77777777" w:rsidR="00A81706" w:rsidRPr="00985BCC" w:rsidRDefault="00A81706" w:rsidP="00A05D94">
            <w:pPr>
              <w:keepNext w:val="0"/>
              <w:numPr>
                <w:ilvl w:val="0"/>
                <w:numId w:val="24"/>
              </w:numPr>
              <w:tabs>
                <w:tab w:val="left" w:pos="680"/>
                <w:tab w:val="left" w:pos="1133"/>
                <w:tab w:val="left" w:pos="2267"/>
              </w:tabs>
              <w:spacing w:before="0" w:after="160" w:line="252" w:lineRule="auto"/>
              <w:ind w:right="284"/>
              <w:contextualSpacing/>
              <w:jc w:val="left"/>
              <w:rPr>
                <w:rFonts w:eastAsia="Arial"/>
                <w:bCs/>
                <w:sz w:val="20"/>
              </w:rPr>
            </w:pPr>
            <w:r w:rsidRPr="00985BCC">
              <w:rPr>
                <w:rFonts w:eastAsia="Arial"/>
                <w:bCs/>
                <w:sz w:val="20"/>
              </w:rPr>
              <w:t>The Nottingham Core HMA and Nottingham Outer HMA Employment Land Needs Study, 2021.  Lichfield.</w:t>
            </w:r>
          </w:p>
          <w:p w14:paraId="2EA66041" w14:textId="120685DE" w:rsidR="00A81706" w:rsidRPr="00985BCC" w:rsidRDefault="00A81706" w:rsidP="00A05D94">
            <w:pPr>
              <w:keepNext w:val="0"/>
              <w:numPr>
                <w:ilvl w:val="0"/>
                <w:numId w:val="24"/>
              </w:numPr>
              <w:tabs>
                <w:tab w:val="left" w:pos="680"/>
                <w:tab w:val="left" w:pos="1133"/>
                <w:tab w:val="left" w:pos="2267"/>
              </w:tabs>
              <w:spacing w:before="0" w:after="160" w:line="252" w:lineRule="auto"/>
              <w:ind w:right="284"/>
              <w:contextualSpacing/>
              <w:jc w:val="left"/>
              <w:rPr>
                <w:rFonts w:eastAsia="Arial"/>
                <w:bCs/>
                <w:sz w:val="20"/>
              </w:rPr>
            </w:pPr>
            <w:r w:rsidRPr="00985BCC">
              <w:rPr>
                <w:rFonts w:eastAsia="Arial"/>
                <w:bCs/>
                <w:sz w:val="20"/>
              </w:rPr>
              <w:t>Strategic Housing and Employment Land Availability Assessment</w:t>
            </w:r>
            <w:r w:rsidR="00AE785A">
              <w:rPr>
                <w:rFonts w:eastAsia="Arial"/>
                <w:bCs/>
                <w:sz w:val="20"/>
              </w:rPr>
              <w:t xml:space="preserve"> </w:t>
            </w:r>
            <w:r w:rsidRPr="00985BCC">
              <w:rPr>
                <w:rFonts w:eastAsia="Arial"/>
                <w:bCs/>
                <w:sz w:val="20"/>
              </w:rPr>
              <w:t>2021</w:t>
            </w:r>
            <w:r w:rsidR="00AE785A">
              <w:rPr>
                <w:rFonts w:eastAsia="Arial"/>
                <w:bCs/>
                <w:sz w:val="20"/>
              </w:rPr>
              <w:t xml:space="preserve"> - 2023</w:t>
            </w:r>
            <w:r w:rsidRPr="00985BCC">
              <w:rPr>
                <w:rFonts w:eastAsia="Arial"/>
                <w:bCs/>
                <w:sz w:val="20"/>
              </w:rPr>
              <w:t>. Ashfield District Council.</w:t>
            </w:r>
          </w:p>
          <w:p w14:paraId="131A7CCA" w14:textId="126BF105" w:rsidR="006E3758" w:rsidRPr="00985BCC" w:rsidRDefault="006E3758" w:rsidP="00A05D94">
            <w:pPr>
              <w:keepNext w:val="0"/>
              <w:numPr>
                <w:ilvl w:val="0"/>
                <w:numId w:val="24"/>
              </w:numPr>
              <w:tabs>
                <w:tab w:val="left" w:pos="680"/>
                <w:tab w:val="left" w:pos="1133"/>
                <w:tab w:val="left" w:pos="2267"/>
              </w:tabs>
              <w:spacing w:before="0" w:after="160" w:line="252" w:lineRule="auto"/>
              <w:ind w:right="284"/>
              <w:contextualSpacing/>
              <w:jc w:val="left"/>
              <w:rPr>
                <w:rFonts w:eastAsia="Arial"/>
                <w:bCs/>
                <w:sz w:val="20"/>
              </w:rPr>
            </w:pPr>
            <w:r w:rsidRPr="00985BCC">
              <w:rPr>
                <w:rFonts w:eastAsia="Arial"/>
                <w:bCs/>
                <w:sz w:val="20"/>
              </w:rPr>
              <w:t>Securing developer contributions for education, April 2019. Department for Education.</w:t>
            </w:r>
          </w:p>
          <w:p w14:paraId="3FC76BB0" w14:textId="455CBFE0" w:rsidR="00A81706" w:rsidRPr="00985BCC" w:rsidRDefault="00A81706" w:rsidP="00A05D94">
            <w:pPr>
              <w:keepNext w:val="0"/>
              <w:numPr>
                <w:ilvl w:val="0"/>
                <w:numId w:val="24"/>
              </w:numPr>
              <w:tabs>
                <w:tab w:val="left" w:pos="680"/>
                <w:tab w:val="left" w:pos="1133"/>
                <w:tab w:val="left" w:pos="2267"/>
              </w:tabs>
              <w:spacing w:before="0" w:after="160" w:line="252" w:lineRule="auto"/>
              <w:ind w:right="284"/>
              <w:contextualSpacing/>
              <w:jc w:val="left"/>
              <w:rPr>
                <w:rFonts w:eastAsia="Arial"/>
                <w:bCs/>
                <w:sz w:val="20"/>
              </w:rPr>
            </w:pPr>
            <w:r w:rsidRPr="00985BCC">
              <w:rPr>
                <w:rFonts w:eastAsia="Arial"/>
                <w:bCs/>
                <w:sz w:val="20"/>
              </w:rPr>
              <w:t>Sustainability Appraisal 202</w:t>
            </w:r>
            <w:r w:rsidR="006B0C43" w:rsidRPr="00985BCC">
              <w:rPr>
                <w:rFonts w:eastAsia="Arial"/>
                <w:bCs/>
                <w:sz w:val="20"/>
              </w:rPr>
              <w:t>3</w:t>
            </w:r>
            <w:r w:rsidRPr="00985BCC">
              <w:rPr>
                <w:rFonts w:eastAsia="Arial"/>
                <w:bCs/>
                <w:sz w:val="20"/>
              </w:rPr>
              <w:t xml:space="preserve">, </w:t>
            </w:r>
            <w:r w:rsidR="006B0C43" w:rsidRPr="00985BCC">
              <w:rPr>
                <w:rFonts w:eastAsia="Arial"/>
                <w:bCs/>
                <w:sz w:val="20"/>
              </w:rPr>
              <w:t>WSP UK Limited.</w:t>
            </w:r>
          </w:p>
        </w:tc>
      </w:tr>
      <w:tr w:rsidR="00A81706" w:rsidRPr="00A81706" w14:paraId="692C845D" w14:textId="77777777" w:rsidTr="00D17B5C">
        <w:tc>
          <w:tcPr>
            <w:tcW w:w="2263" w:type="dxa"/>
          </w:tcPr>
          <w:p w14:paraId="6EFF0A1E" w14:textId="77777777" w:rsidR="00A81706" w:rsidRPr="00A81706" w:rsidRDefault="00A81706" w:rsidP="005A0FAE">
            <w:pPr>
              <w:keepNext w:val="0"/>
              <w:tabs>
                <w:tab w:val="left" w:pos="680"/>
                <w:tab w:val="left" w:pos="1133"/>
                <w:tab w:val="left" w:pos="2267"/>
              </w:tabs>
              <w:spacing w:before="0"/>
              <w:ind w:right="284"/>
              <w:jc w:val="left"/>
              <w:rPr>
                <w:rFonts w:eastAsia="Arial"/>
                <w:b/>
                <w:color w:val="538135"/>
                <w:sz w:val="22"/>
              </w:rPr>
            </w:pPr>
            <w:r w:rsidRPr="00A81706">
              <w:rPr>
                <w:rFonts w:eastAsia="Arial"/>
                <w:bCs/>
                <w:color w:val="auto"/>
                <w:sz w:val="20"/>
              </w:rPr>
              <w:t>National Planning Policy and Guidance</w:t>
            </w:r>
          </w:p>
        </w:tc>
        <w:tc>
          <w:tcPr>
            <w:tcW w:w="7371" w:type="dxa"/>
            <w:gridSpan w:val="2"/>
          </w:tcPr>
          <w:p w14:paraId="49340108" w14:textId="4841BC30" w:rsidR="00A81706" w:rsidRPr="00A81706" w:rsidRDefault="00A81706" w:rsidP="00A05D94">
            <w:pPr>
              <w:keepNext w:val="0"/>
              <w:numPr>
                <w:ilvl w:val="0"/>
                <w:numId w:val="25"/>
              </w:numPr>
              <w:spacing w:before="0" w:after="160" w:line="252" w:lineRule="auto"/>
              <w:contextualSpacing/>
              <w:jc w:val="left"/>
              <w:rPr>
                <w:rFonts w:cs="Arial"/>
                <w:bCs/>
                <w:color w:val="auto"/>
                <w:sz w:val="20"/>
                <w:u w:val="single"/>
              </w:rPr>
            </w:pPr>
            <w:r w:rsidRPr="00A81706">
              <w:rPr>
                <w:rFonts w:eastAsia="Arial"/>
                <w:bCs/>
                <w:color w:val="auto"/>
                <w:sz w:val="20"/>
              </w:rPr>
              <w:t>NPPF 202</w:t>
            </w:r>
            <w:r w:rsidR="004173E0">
              <w:rPr>
                <w:rFonts w:eastAsia="Arial"/>
                <w:bCs/>
                <w:color w:val="auto"/>
                <w:sz w:val="20"/>
              </w:rPr>
              <w:t>3</w:t>
            </w:r>
            <w:r w:rsidRPr="00A81706">
              <w:rPr>
                <w:rFonts w:eastAsia="Arial"/>
                <w:bCs/>
                <w:color w:val="auto"/>
                <w:sz w:val="20"/>
              </w:rPr>
              <w:t>, Part 2: Achieving sustainable development.</w:t>
            </w:r>
          </w:p>
          <w:p w14:paraId="6B186B8B" w14:textId="7358A5BA" w:rsidR="00A81706" w:rsidRPr="00A81706" w:rsidRDefault="00A81706" w:rsidP="00A05D94">
            <w:pPr>
              <w:keepNext w:val="0"/>
              <w:numPr>
                <w:ilvl w:val="0"/>
                <w:numId w:val="25"/>
              </w:numPr>
              <w:tabs>
                <w:tab w:val="left" w:pos="680"/>
                <w:tab w:val="left" w:pos="1133"/>
                <w:tab w:val="left" w:pos="2267"/>
              </w:tabs>
              <w:spacing w:before="0" w:after="160" w:line="252" w:lineRule="auto"/>
              <w:ind w:right="284"/>
              <w:contextualSpacing/>
              <w:jc w:val="left"/>
              <w:rPr>
                <w:rFonts w:eastAsia="Arial"/>
                <w:bCs/>
                <w:color w:val="auto"/>
                <w:sz w:val="20"/>
              </w:rPr>
            </w:pPr>
            <w:r w:rsidRPr="00A81706">
              <w:rPr>
                <w:rFonts w:eastAsia="Arial"/>
                <w:bCs/>
                <w:color w:val="auto"/>
                <w:sz w:val="20"/>
              </w:rPr>
              <w:t>NPPF 202</w:t>
            </w:r>
            <w:r w:rsidR="004173E0">
              <w:rPr>
                <w:rFonts w:eastAsia="Arial"/>
                <w:bCs/>
                <w:color w:val="auto"/>
                <w:sz w:val="20"/>
              </w:rPr>
              <w:t>3</w:t>
            </w:r>
            <w:r w:rsidRPr="00A81706">
              <w:rPr>
                <w:rFonts w:eastAsia="Arial"/>
                <w:bCs/>
                <w:color w:val="auto"/>
                <w:sz w:val="20"/>
              </w:rPr>
              <w:t xml:space="preserve">, Part 6: </w:t>
            </w:r>
            <w:r w:rsidRPr="00A81706">
              <w:rPr>
                <w:bCs/>
                <w:color w:val="auto"/>
                <w:sz w:val="20"/>
              </w:rPr>
              <w:t>Building a strong, competitive economy.</w:t>
            </w:r>
          </w:p>
          <w:p w14:paraId="22E292F5" w14:textId="27F268D1" w:rsidR="00A81706" w:rsidRPr="00A81706" w:rsidRDefault="00A81706" w:rsidP="00A05D94">
            <w:pPr>
              <w:keepNext w:val="0"/>
              <w:numPr>
                <w:ilvl w:val="0"/>
                <w:numId w:val="25"/>
              </w:numPr>
              <w:spacing w:before="0" w:after="160" w:line="252" w:lineRule="auto"/>
              <w:contextualSpacing/>
              <w:jc w:val="left"/>
              <w:rPr>
                <w:rFonts w:eastAsia="Arial"/>
                <w:bCs/>
                <w:color w:val="auto"/>
                <w:sz w:val="20"/>
              </w:rPr>
            </w:pPr>
            <w:r w:rsidRPr="00A81706">
              <w:rPr>
                <w:rFonts w:eastAsia="Arial"/>
                <w:bCs/>
                <w:color w:val="auto"/>
                <w:sz w:val="20"/>
              </w:rPr>
              <w:t>NPPF 202</w:t>
            </w:r>
            <w:r w:rsidR="004173E0">
              <w:rPr>
                <w:rFonts w:eastAsia="Arial"/>
                <w:bCs/>
                <w:color w:val="auto"/>
                <w:sz w:val="20"/>
              </w:rPr>
              <w:t>3</w:t>
            </w:r>
            <w:r w:rsidRPr="00A81706">
              <w:rPr>
                <w:rFonts w:eastAsia="Arial"/>
                <w:bCs/>
                <w:color w:val="auto"/>
                <w:sz w:val="20"/>
              </w:rPr>
              <w:t>, Part 8: Promoting healthy and safe communities.</w:t>
            </w:r>
          </w:p>
        </w:tc>
      </w:tr>
    </w:tbl>
    <w:p w14:paraId="15A865B7" w14:textId="77777777" w:rsidR="00A81706" w:rsidRDefault="00A81706" w:rsidP="00A81706">
      <w:pPr>
        <w:pStyle w:val="ListParagraph"/>
        <w:rPr>
          <w:rFonts w:eastAsia="Arial" w:cs="Arial"/>
          <w:color w:val="auto"/>
          <w:szCs w:val="24"/>
        </w:rPr>
      </w:pPr>
    </w:p>
    <w:p w14:paraId="06D8943E" w14:textId="3DBBC4D9" w:rsidR="00A81706" w:rsidRPr="00A81706" w:rsidRDefault="00A81706" w:rsidP="00D01157">
      <w:pPr>
        <w:keepNext w:val="0"/>
        <w:numPr>
          <w:ilvl w:val="1"/>
          <w:numId w:val="28"/>
        </w:numPr>
        <w:tabs>
          <w:tab w:val="clear" w:pos="525"/>
        </w:tabs>
        <w:spacing w:before="0"/>
        <w:ind w:left="709" w:hanging="709"/>
        <w:rPr>
          <w:rFonts w:eastAsia="Arial" w:cs="Arial"/>
          <w:color w:val="auto"/>
          <w:spacing w:val="-1"/>
        </w:rPr>
      </w:pPr>
      <w:r w:rsidRPr="00A81706">
        <w:rPr>
          <w:rFonts w:cs="Arial"/>
          <w:iCs/>
          <w:color w:val="auto"/>
          <w:szCs w:val="24"/>
        </w:rPr>
        <w:t>Improving skills is a national priority for strengthening productivity performance given.</w:t>
      </w:r>
      <w:r w:rsidRPr="00A81706">
        <w:rPr>
          <w:rFonts w:eastAsia="Arial" w:cs="Arial"/>
          <w:color w:val="auto"/>
          <w:spacing w:val="-1"/>
          <w:szCs w:val="24"/>
        </w:rPr>
        <w:t xml:space="preserve"> </w:t>
      </w:r>
      <w:r w:rsidRPr="00A81706">
        <w:rPr>
          <w:rFonts w:eastAsia="Arial" w:cs="Arial"/>
          <w:color w:val="auto"/>
        </w:rPr>
        <w:t>It is important to improve both school performance and skills in the existing workforce. With economic restructuring there is an increasing need for people with high skill levels and the Council will support development proposals which seek to raise skill levels.</w:t>
      </w:r>
    </w:p>
    <w:p w14:paraId="677B86C1" w14:textId="77777777" w:rsidR="00A81706" w:rsidRDefault="00A81706" w:rsidP="00A81706">
      <w:pPr>
        <w:keepNext w:val="0"/>
        <w:spacing w:before="0"/>
        <w:ind w:left="709"/>
        <w:rPr>
          <w:rFonts w:eastAsia="Arial" w:cs="Arial"/>
          <w:color w:val="auto"/>
          <w:spacing w:val="-1"/>
        </w:rPr>
      </w:pPr>
    </w:p>
    <w:p w14:paraId="62F4C617" w14:textId="5628D1D2" w:rsidR="00BC5B20" w:rsidRPr="00BC5B20" w:rsidRDefault="00A81706" w:rsidP="00D01157">
      <w:pPr>
        <w:keepNext w:val="0"/>
        <w:numPr>
          <w:ilvl w:val="1"/>
          <w:numId w:val="28"/>
        </w:numPr>
        <w:tabs>
          <w:tab w:val="clear" w:pos="525"/>
        </w:tabs>
        <w:spacing w:before="0"/>
        <w:ind w:left="709" w:hanging="709"/>
        <w:rPr>
          <w:rFonts w:eastAsia="Arial" w:cs="Arial"/>
          <w:color w:val="auto"/>
          <w:spacing w:val="-1"/>
        </w:rPr>
      </w:pPr>
      <w:bookmarkStart w:id="260" w:name="_Hlk80168094"/>
      <w:r w:rsidRPr="00BC5B20">
        <w:rPr>
          <w:rFonts w:eastAsia="Arial" w:cs="Arial"/>
          <w:color w:val="auto"/>
        </w:rPr>
        <w:t xml:space="preserve">Vison West Nottinghamshire College </w:t>
      </w:r>
      <w:r w:rsidR="005A5B51" w:rsidRPr="00BC5B20">
        <w:rPr>
          <w:rFonts w:eastAsia="Arial" w:cs="Arial"/>
          <w:color w:val="auto"/>
        </w:rPr>
        <w:t xml:space="preserve">(VWNC) </w:t>
      </w:r>
      <w:r w:rsidRPr="00BC5B20">
        <w:rPr>
          <w:rFonts w:eastAsia="Arial" w:cs="Arial"/>
          <w:color w:val="auto"/>
        </w:rPr>
        <w:t xml:space="preserve">play a key role in improving local skills. The Construction and Logistics Skills Academy off Lowmoor Road, Kirkby-in-Ashfield provides some of the best training facilities in the sector, allowing students to gain valuable practical experience using state-of-the-art technology and industry standard equipment.  </w:t>
      </w:r>
      <w:r w:rsidR="00BC5B20" w:rsidRPr="00BC5B20">
        <w:rPr>
          <w:rFonts w:eastAsia="Arial" w:cs="Arial"/>
          <w:color w:val="auto"/>
        </w:rPr>
        <w:t>Th</w:t>
      </w:r>
      <w:r w:rsidR="00BC5B20">
        <w:rPr>
          <w:rFonts w:eastAsia="Arial" w:cs="Arial"/>
          <w:color w:val="auto"/>
        </w:rPr>
        <w:t>e</w:t>
      </w:r>
      <w:r w:rsidR="00BC5B20" w:rsidRPr="00BC5B20">
        <w:rPr>
          <w:rFonts w:eastAsia="Arial" w:cs="Arial"/>
          <w:color w:val="auto"/>
        </w:rPr>
        <w:t>s</w:t>
      </w:r>
      <w:r w:rsidR="00BC5B20">
        <w:rPr>
          <w:rFonts w:eastAsia="Arial" w:cs="Arial"/>
          <w:color w:val="auto"/>
        </w:rPr>
        <w:t>e</w:t>
      </w:r>
      <w:r w:rsidR="00BC5B20" w:rsidRPr="00BC5B20">
        <w:rPr>
          <w:rFonts w:eastAsia="Arial" w:cs="Arial"/>
          <w:color w:val="auto"/>
        </w:rPr>
        <w:t xml:space="preserve"> facilities </w:t>
      </w:r>
      <w:r w:rsidR="00BC5B20">
        <w:rPr>
          <w:rFonts w:eastAsia="Arial" w:cs="Arial"/>
          <w:color w:val="auto"/>
        </w:rPr>
        <w:t>are</w:t>
      </w:r>
      <w:r w:rsidR="009F1F17">
        <w:rPr>
          <w:rFonts w:eastAsia="Arial" w:cs="Arial"/>
          <w:color w:val="auto"/>
        </w:rPr>
        <w:t xml:space="preserve"> </w:t>
      </w:r>
      <w:r w:rsidR="00BC5B20" w:rsidRPr="00BC5B20">
        <w:rPr>
          <w:rFonts w:eastAsia="Arial" w:cs="Arial"/>
          <w:color w:val="auto"/>
        </w:rPr>
        <w:t>proposed to be expanded through the Ashfield Civil Engineering Centre.   This is part</w:t>
      </w:r>
      <w:r w:rsidR="00BC5B20" w:rsidRPr="00BC5B20">
        <w:rPr>
          <w:rFonts w:eastAsia="Arial" w:cs="Arial"/>
          <w:color w:val="auto"/>
          <w:spacing w:val="-1"/>
        </w:rPr>
        <w:t xml:space="preserve"> </w:t>
      </w:r>
      <w:r w:rsidR="00BC5B20" w:rsidRPr="00BC5B20">
        <w:rPr>
          <w:rFonts w:eastAsia="Arial" w:cs="Arial"/>
          <w:color w:val="auto"/>
        </w:rPr>
        <w:t>of VWNC’s development programme support</w:t>
      </w:r>
      <w:r w:rsidR="009F1F17">
        <w:rPr>
          <w:rFonts w:eastAsia="Arial" w:cs="Arial"/>
          <w:color w:val="auto"/>
        </w:rPr>
        <w:t>ing</w:t>
      </w:r>
      <w:r w:rsidR="00BC5B20" w:rsidRPr="00BC5B20">
        <w:rPr>
          <w:rFonts w:eastAsia="Arial" w:cs="Arial"/>
          <w:color w:val="auto"/>
        </w:rPr>
        <w:t xml:space="preserve"> the future requirements for skills for more</w:t>
      </w:r>
      <w:r w:rsidR="00BC5B20" w:rsidRPr="00BC5B20">
        <w:rPr>
          <w:rFonts w:eastAsia="Arial" w:cs="Arial"/>
          <w:color w:val="auto"/>
          <w:spacing w:val="-1"/>
        </w:rPr>
        <w:t xml:space="preserve"> </w:t>
      </w:r>
      <w:r w:rsidR="00BC5B20" w:rsidRPr="00BC5B20">
        <w:rPr>
          <w:rFonts w:eastAsia="Arial" w:cs="Arial"/>
          <w:color w:val="auto"/>
        </w:rPr>
        <w:t>specialist construction areas and seeks to address the skills shortage in a rapidly changing</w:t>
      </w:r>
      <w:r w:rsidR="00BC5B20" w:rsidRPr="00BC5B20">
        <w:rPr>
          <w:rFonts w:eastAsia="Arial" w:cs="Arial"/>
          <w:color w:val="auto"/>
          <w:spacing w:val="-1"/>
        </w:rPr>
        <w:t xml:space="preserve"> </w:t>
      </w:r>
      <w:r w:rsidR="00BC5B20" w:rsidRPr="00BC5B20">
        <w:rPr>
          <w:rFonts w:eastAsia="Arial" w:cs="Arial"/>
          <w:color w:val="auto"/>
        </w:rPr>
        <w:t>construction industry.</w:t>
      </w:r>
    </w:p>
    <w:p w14:paraId="3EA2A2F7" w14:textId="77777777" w:rsidR="00BC5B20" w:rsidRPr="00BC5B20" w:rsidRDefault="00BC5B20" w:rsidP="00BC5B20">
      <w:pPr>
        <w:keepNext w:val="0"/>
        <w:spacing w:before="0"/>
        <w:rPr>
          <w:rFonts w:eastAsia="Arial" w:cs="Arial"/>
          <w:color w:val="auto"/>
          <w:spacing w:val="-1"/>
        </w:rPr>
      </w:pPr>
    </w:p>
    <w:p w14:paraId="0756A8B1" w14:textId="7706438C" w:rsidR="005A5B51" w:rsidRPr="00BC5B20" w:rsidRDefault="00581EDE" w:rsidP="00D01157">
      <w:pPr>
        <w:keepNext w:val="0"/>
        <w:numPr>
          <w:ilvl w:val="1"/>
          <w:numId w:val="28"/>
        </w:numPr>
        <w:tabs>
          <w:tab w:val="clear" w:pos="525"/>
        </w:tabs>
        <w:spacing w:before="0"/>
        <w:ind w:left="709" w:hanging="709"/>
        <w:rPr>
          <w:rFonts w:eastAsia="Arial" w:cs="Arial"/>
          <w:color w:val="auto"/>
          <w:spacing w:val="-1"/>
        </w:rPr>
      </w:pPr>
      <w:r w:rsidRPr="00581EDE">
        <w:rPr>
          <w:rFonts w:cs="Arial"/>
          <w:color w:val="241F1F"/>
          <w:szCs w:val="24"/>
        </w:rPr>
        <w:t>The Vision University Centre at the main campus operated by Nottingham Trent University delivers Higher Education including Nursing and Allied Healthcare.</w:t>
      </w:r>
      <w:r>
        <w:rPr>
          <w:rFonts w:eastAsia="Arial" w:cs="Arial"/>
          <w:color w:val="auto"/>
          <w:spacing w:val="-1"/>
        </w:rPr>
        <w:t xml:space="preserve">  </w:t>
      </w:r>
      <w:r w:rsidRPr="00581EDE">
        <w:rPr>
          <w:rFonts w:eastAsia="Arial" w:cs="Arial"/>
          <w:color w:val="auto"/>
        </w:rPr>
        <w:t>The partnership between the college and the university has</w:t>
      </w:r>
      <w:r w:rsidR="00BC5B20">
        <w:rPr>
          <w:rFonts w:eastAsia="Arial" w:cs="Arial"/>
          <w:color w:val="auto"/>
          <w:spacing w:val="-1"/>
        </w:rPr>
        <w:t xml:space="preserve"> </w:t>
      </w:r>
      <w:r w:rsidRPr="00BC5B20">
        <w:rPr>
          <w:rFonts w:eastAsia="Arial" w:cs="Arial"/>
          <w:color w:val="auto"/>
        </w:rPr>
        <w:t xml:space="preserve">significantly enhanced skills provision and includes a wide range of foundation degrees to increase accessibility for local people to achieve key and higher level skills, including social care; paramedic training; business; computing and technology.   This is helping to </w:t>
      </w:r>
      <w:r w:rsidRPr="00BC5B20">
        <w:rPr>
          <w:rFonts w:cs="Arial"/>
          <w:color w:val="auto"/>
          <w:szCs w:val="24"/>
        </w:rPr>
        <w:t>create a growing pool of highly skilled local people who can work in growth sectors helping to re-balance Ashfield’s economy towards higher value and skilled jobs, making it more resilient and more able to capitalise on higher value opportunities to attract investment.</w:t>
      </w:r>
      <w:r w:rsidR="005A5B51" w:rsidRPr="00BC5B20">
        <w:rPr>
          <w:rFonts w:cs="Arial"/>
          <w:color w:val="auto"/>
          <w:szCs w:val="24"/>
        </w:rPr>
        <w:t xml:space="preserve"> </w:t>
      </w:r>
      <w:r w:rsidR="00A81706" w:rsidRPr="00BC5B20">
        <w:rPr>
          <w:rFonts w:eastAsia="Arial" w:cs="Arial"/>
          <w:color w:val="auto"/>
        </w:rPr>
        <w:t>It is important that the skills of the graduates from this and other centres of learning are retained within the area to facilitate inward investment and economic growth.</w:t>
      </w:r>
    </w:p>
    <w:p w14:paraId="5320A322" w14:textId="77777777" w:rsidR="005A5B51" w:rsidRPr="005A5B51" w:rsidRDefault="005A5B51" w:rsidP="005A5B51">
      <w:pPr>
        <w:pStyle w:val="ListParagraph"/>
        <w:spacing w:after="0" w:line="240" w:lineRule="auto"/>
        <w:rPr>
          <w:rFonts w:ascii="Arial" w:eastAsia="Arial" w:hAnsi="Arial" w:cs="Arial"/>
          <w:color w:val="auto"/>
        </w:rPr>
      </w:pPr>
    </w:p>
    <w:p w14:paraId="7890316A" w14:textId="439EB2A9" w:rsidR="00FD2AE5" w:rsidRPr="00BC5B20" w:rsidRDefault="00340FEC" w:rsidP="00D01157">
      <w:pPr>
        <w:keepNext w:val="0"/>
        <w:numPr>
          <w:ilvl w:val="1"/>
          <w:numId w:val="28"/>
        </w:numPr>
        <w:tabs>
          <w:tab w:val="clear" w:pos="525"/>
        </w:tabs>
        <w:spacing w:before="0"/>
        <w:ind w:left="709" w:hanging="709"/>
        <w:rPr>
          <w:rFonts w:eastAsia="Arial" w:cs="Arial"/>
          <w:color w:val="auto"/>
          <w:spacing w:val="-1"/>
        </w:rPr>
      </w:pPr>
      <w:r w:rsidRPr="00BC5B20">
        <w:rPr>
          <w:rFonts w:eastAsia="Arial" w:cs="Arial"/>
          <w:color w:val="auto"/>
          <w:spacing w:val="-1"/>
        </w:rPr>
        <w:t xml:space="preserve">Work is ongoing for the development of </w:t>
      </w:r>
      <w:r w:rsidR="005A5B51" w:rsidRPr="00BC5B20">
        <w:rPr>
          <w:rFonts w:eastAsia="Arial" w:cs="Arial"/>
          <w:color w:val="auto"/>
          <w:spacing w:val="-1"/>
        </w:rPr>
        <w:t xml:space="preserve">the Automated Distribution and Manufacturing Centre (ADMC) in the District. </w:t>
      </w:r>
      <w:r w:rsidR="00B4045C" w:rsidRPr="00BC5B20">
        <w:rPr>
          <w:rFonts w:eastAsia="Arial" w:cs="Arial"/>
          <w:color w:val="auto"/>
          <w:spacing w:val="-1"/>
        </w:rPr>
        <w:t xml:space="preserve">It aims to create a national centre of excellence focussed on promoting and providing access to the latest technologies and best practice in automated distribution. </w:t>
      </w:r>
      <w:r w:rsidR="005A5B51" w:rsidRPr="00BC5B20">
        <w:rPr>
          <w:rFonts w:eastAsia="Arial" w:cs="Arial"/>
          <w:color w:val="auto"/>
          <w:spacing w:val="-1"/>
        </w:rPr>
        <w:t xml:space="preserve">The concept of a purpose-built innovation facility has been developed, targeted at improving international competitiveness and inward investment attractiveness. The ADMC will support the adoption, integration and expansion of automated technologies for businesses; locally and across the Midlands region in a sustainable manner.  </w:t>
      </w:r>
      <w:r w:rsidR="00BC5B20" w:rsidRPr="00BC5B20">
        <w:rPr>
          <w:rFonts w:eastAsia="Arial" w:cs="Arial"/>
          <w:color w:val="auto"/>
          <w:spacing w:val="-1"/>
        </w:rPr>
        <w:t xml:space="preserve">It will provide access to skills training to meet the increasing need for talent and upskilling by employers to meet the requirement of automation technology. This will link to Vision West Nottinghamshire College’s (VWNC) Automation and Robotics programme and the emerging higher-level education programmes being developed by Nottingham Trent University (NTU). </w:t>
      </w:r>
    </w:p>
    <w:p w14:paraId="437C4F47" w14:textId="77777777" w:rsidR="00B4045C" w:rsidRDefault="00B4045C" w:rsidP="00B4045C">
      <w:pPr>
        <w:keepNext w:val="0"/>
        <w:spacing w:before="0"/>
        <w:ind w:left="709"/>
        <w:rPr>
          <w:rFonts w:eastAsia="Arial" w:cs="Arial"/>
          <w:color w:val="auto"/>
          <w:spacing w:val="-1"/>
        </w:rPr>
      </w:pPr>
    </w:p>
    <w:p w14:paraId="1AE05316" w14:textId="2BD969A7" w:rsidR="00FD2AE5" w:rsidRDefault="00FD2AE5" w:rsidP="00D01157">
      <w:pPr>
        <w:keepNext w:val="0"/>
        <w:numPr>
          <w:ilvl w:val="1"/>
          <w:numId w:val="28"/>
        </w:numPr>
        <w:tabs>
          <w:tab w:val="clear" w:pos="525"/>
        </w:tabs>
        <w:spacing w:before="0"/>
        <w:ind w:left="709" w:hanging="709"/>
        <w:rPr>
          <w:rFonts w:eastAsia="Arial" w:cs="Arial"/>
          <w:color w:val="auto"/>
          <w:spacing w:val="-1"/>
        </w:rPr>
      </w:pPr>
      <w:r w:rsidRPr="00FD2AE5">
        <w:rPr>
          <w:rFonts w:eastAsia="Arial" w:cs="Arial"/>
          <w:color w:val="auto"/>
          <w:spacing w:val="-1"/>
        </w:rPr>
        <w:t>Construction is an important sector in Ashfield and labour demand is forecast to grow significantly over the next five years.  Ashfield Construction Centre  is a partnership project with Vision West Nottinghamshire College, Inspire, Portland College and Sutton Academy to provide a new Level 1 construction facility at a gateway site in Sutton which complements VWNC higher level courses at its campus in Kirkby. The Portland College campus will provide a satellite education centre for students with complex disabilities. The Construction Centre will help to meet th</w:t>
      </w:r>
      <w:r>
        <w:rPr>
          <w:rFonts w:eastAsia="Arial" w:cs="Arial"/>
          <w:color w:val="auto"/>
          <w:spacing w:val="-1"/>
        </w:rPr>
        <w:t xml:space="preserve">e demand for construction workers </w:t>
      </w:r>
      <w:r w:rsidRPr="00FD2AE5">
        <w:rPr>
          <w:rFonts w:eastAsia="Arial" w:cs="Arial"/>
          <w:color w:val="auto"/>
          <w:spacing w:val="-1"/>
        </w:rPr>
        <w:t>by increasing the number</w:t>
      </w:r>
      <w:r>
        <w:rPr>
          <w:rFonts w:eastAsia="Arial" w:cs="Arial"/>
          <w:color w:val="auto"/>
          <w:spacing w:val="-1"/>
        </w:rPr>
        <w:t xml:space="preserve"> </w:t>
      </w:r>
      <w:r w:rsidRPr="00FD2AE5">
        <w:rPr>
          <w:rFonts w:eastAsia="Arial" w:cs="Arial"/>
          <w:color w:val="auto"/>
          <w:spacing w:val="-1"/>
        </w:rPr>
        <w:t>of qualified learners.</w:t>
      </w:r>
    </w:p>
    <w:bookmarkEnd w:id="260"/>
    <w:p w14:paraId="7DD9EF0F" w14:textId="77777777" w:rsidR="00FD2AE5" w:rsidRPr="00FD2AE5" w:rsidRDefault="00FD2AE5" w:rsidP="00FD2AE5">
      <w:pPr>
        <w:keepNext w:val="0"/>
        <w:spacing w:before="0"/>
        <w:rPr>
          <w:rFonts w:eastAsia="Arial" w:cs="Arial"/>
          <w:color w:val="auto"/>
          <w:spacing w:val="-1"/>
        </w:rPr>
      </w:pPr>
    </w:p>
    <w:p w14:paraId="3067B71C" w14:textId="77777777" w:rsidR="00A81706" w:rsidRDefault="00A81706" w:rsidP="00D01157">
      <w:pPr>
        <w:keepNext w:val="0"/>
        <w:numPr>
          <w:ilvl w:val="1"/>
          <w:numId w:val="28"/>
        </w:numPr>
        <w:tabs>
          <w:tab w:val="clear" w:pos="525"/>
        </w:tabs>
        <w:spacing w:before="0"/>
        <w:ind w:left="709" w:hanging="709"/>
        <w:rPr>
          <w:rFonts w:eastAsia="Arial" w:cs="Arial"/>
          <w:color w:val="auto"/>
          <w:spacing w:val="-1"/>
        </w:rPr>
      </w:pPr>
      <w:r w:rsidRPr="00A81706">
        <w:rPr>
          <w:rFonts w:eastAsia="Arial" w:cs="Arial"/>
          <w:color w:val="auto"/>
        </w:rPr>
        <w:t xml:space="preserve">To improve skills and economic inclusion in the District, the Council will, where appropriate, look to negotiate planning agreements to secure local labour agreements for development.  These are anticipated to relate to: </w:t>
      </w:r>
    </w:p>
    <w:p w14:paraId="5609CFB6" w14:textId="4D5C6799" w:rsidR="00A81706" w:rsidRDefault="00A81706" w:rsidP="009838D1">
      <w:pPr>
        <w:spacing w:before="0"/>
        <w:rPr>
          <w:rFonts w:eastAsia="Arial" w:cs="Arial"/>
          <w:color w:val="auto"/>
        </w:rPr>
      </w:pPr>
    </w:p>
    <w:p w14:paraId="7045A052" w14:textId="77777777" w:rsidR="00A81706" w:rsidRPr="00A81706" w:rsidRDefault="00A81706" w:rsidP="005A0FAE">
      <w:pPr>
        <w:spacing w:before="0"/>
        <w:ind w:left="1134"/>
        <w:rPr>
          <w:rFonts w:eastAsia="Arial" w:cs="Arial"/>
          <w:color w:val="auto"/>
        </w:rPr>
      </w:pPr>
      <w:r w:rsidRPr="00A81706">
        <w:rPr>
          <w:rFonts w:eastAsia="Arial" w:cs="Arial"/>
          <w:color w:val="auto"/>
        </w:rPr>
        <w:t>a.</w:t>
      </w:r>
      <w:r w:rsidRPr="00A81706">
        <w:rPr>
          <w:rFonts w:eastAsia="Arial" w:cs="Arial"/>
          <w:color w:val="auto"/>
        </w:rPr>
        <w:tab/>
        <w:t>developments of 10 or more dwellings</w:t>
      </w:r>
    </w:p>
    <w:p w14:paraId="3A2454A3" w14:textId="77777777" w:rsidR="00A81706" w:rsidRPr="00A81706" w:rsidRDefault="00A81706" w:rsidP="005A0FAE">
      <w:pPr>
        <w:spacing w:before="0"/>
        <w:ind w:left="1134"/>
        <w:rPr>
          <w:rFonts w:eastAsia="Arial" w:cs="Arial"/>
          <w:color w:val="auto"/>
        </w:rPr>
      </w:pPr>
      <w:r w:rsidRPr="00A81706">
        <w:rPr>
          <w:rFonts w:eastAsia="Arial" w:cs="Arial"/>
          <w:color w:val="auto"/>
        </w:rPr>
        <w:t>b.</w:t>
      </w:r>
      <w:r w:rsidRPr="00A81706">
        <w:rPr>
          <w:rFonts w:eastAsia="Arial" w:cs="Arial"/>
          <w:color w:val="auto"/>
        </w:rPr>
        <w:tab/>
        <w:t>On 0.5 hectares or more of land (excluding residential)</w:t>
      </w:r>
    </w:p>
    <w:p w14:paraId="6CFF49A5" w14:textId="77777777" w:rsidR="00A81706" w:rsidRPr="00A81706" w:rsidRDefault="00A81706" w:rsidP="005A0FAE">
      <w:pPr>
        <w:spacing w:before="0"/>
        <w:ind w:left="1134"/>
        <w:rPr>
          <w:rFonts w:eastAsia="Arial" w:cs="Arial"/>
          <w:color w:val="auto"/>
        </w:rPr>
      </w:pPr>
    </w:p>
    <w:p w14:paraId="51E3A261" w14:textId="24D9568E" w:rsidR="00A81706" w:rsidRPr="00A81706" w:rsidRDefault="00A81706" w:rsidP="00D01157">
      <w:pPr>
        <w:keepNext w:val="0"/>
        <w:numPr>
          <w:ilvl w:val="1"/>
          <w:numId w:val="28"/>
        </w:numPr>
        <w:tabs>
          <w:tab w:val="clear" w:pos="525"/>
        </w:tabs>
        <w:spacing w:before="0"/>
        <w:ind w:left="709" w:hanging="709"/>
        <w:rPr>
          <w:rFonts w:eastAsia="Arial" w:cs="Arial"/>
          <w:color w:val="auto"/>
          <w:spacing w:val="-1"/>
        </w:rPr>
      </w:pPr>
      <w:r w:rsidRPr="00A81706">
        <w:rPr>
          <w:rFonts w:eastAsia="Arial" w:cs="Arial"/>
          <w:color w:val="auto"/>
        </w:rPr>
        <w:t>Education attainment is a crucial driver in terms of determining life choices, particularly ‘employability’ and resulting livelihoods. Poor education and a lack of basic skills often prevent people from reaching their full potential and contribute to deprivation. Spatial planning can have a direct positive impact on education and learning by helping to improve the location and quality of learning facilities. It can also have wider impacts such as raising aspirations and skills, increasing opportunities for work and enterprise, improving the quality of life and environment in the District and contributing to reducing worklessness. Good quality educational is an important criterion in anchoring families in the area, as a good quality education, particularly in secondary schools, impacts on where people look to live.</w:t>
      </w:r>
    </w:p>
    <w:p w14:paraId="40DA4DF8" w14:textId="77777777" w:rsidR="00A81706" w:rsidRDefault="00A81706" w:rsidP="00A81706">
      <w:pPr>
        <w:keepNext w:val="0"/>
        <w:spacing w:before="0"/>
        <w:ind w:left="709"/>
        <w:rPr>
          <w:rFonts w:eastAsia="Arial" w:cs="Arial"/>
          <w:color w:val="auto"/>
          <w:spacing w:val="-1"/>
        </w:rPr>
      </w:pPr>
    </w:p>
    <w:p w14:paraId="7AB5951A" w14:textId="77777777" w:rsidR="00A81706" w:rsidRDefault="00A81706" w:rsidP="00D01157">
      <w:pPr>
        <w:keepNext w:val="0"/>
        <w:numPr>
          <w:ilvl w:val="1"/>
          <w:numId w:val="28"/>
        </w:numPr>
        <w:tabs>
          <w:tab w:val="clear" w:pos="525"/>
        </w:tabs>
        <w:spacing w:before="0"/>
        <w:ind w:left="709" w:hanging="709"/>
        <w:rPr>
          <w:rFonts w:eastAsia="Arial" w:cs="Arial"/>
          <w:color w:val="auto"/>
          <w:spacing w:val="-1"/>
        </w:rPr>
      </w:pPr>
      <w:r w:rsidRPr="00A81706">
        <w:rPr>
          <w:rFonts w:eastAsia="Arial" w:cs="Arial"/>
          <w:color w:val="auto"/>
        </w:rPr>
        <w:t>There Is a requirement to improve qualifications in Ashfield.  The Council will work with Nottinghamshire County Council, as the Education Authority, and local schools in:</w:t>
      </w:r>
    </w:p>
    <w:p w14:paraId="485C6A4D" w14:textId="1C66D4E1" w:rsidR="00A81706" w:rsidRDefault="00A81706" w:rsidP="00A81706">
      <w:pPr>
        <w:keepNext w:val="0"/>
        <w:spacing w:before="0"/>
        <w:ind w:left="709"/>
        <w:rPr>
          <w:rFonts w:eastAsia="Arial" w:cs="Arial"/>
          <w:color w:val="auto"/>
          <w:spacing w:val="-1"/>
        </w:rPr>
      </w:pPr>
    </w:p>
    <w:p w14:paraId="465011E5" w14:textId="77777777" w:rsidR="00A81706" w:rsidRPr="00A81706" w:rsidRDefault="00A81706" w:rsidP="00874A98">
      <w:pPr>
        <w:keepNext w:val="0"/>
        <w:numPr>
          <w:ilvl w:val="0"/>
          <w:numId w:val="154"/>
        </w:numPr>
        <w:tabs>
          <w:tab w:val="clear" w:pos="1040"/>
          <w:tab w:val="num" w:pos="360"/>
          <w:tab w:val="left" w:pos="680"/>
          <w:tab w:val="num" w:pos="1276"/>
        </w:tabs>
        <w:suppressAutoHyphens/>
        <w:spacing w:before="0" w:after="113" w:line="252" w:lineRule="auto"/>
        <w:ind w:right="56"/>
        <w:jc w:val="both"/>
        <w:textAlignment w:val="baseline"/>
        <w:rPr>
          <w:rFonts w:eastAsia="Arial"/>
          <w:color w:val="auto"/>
        </w:rPr>
      </w:pPr>
      <w:r w:rsidRPr="00A81706">
        <w:rPr>
          <w:rFonts w:eastAsia="Arial"/>
          <w:color w:val="auto"/>
        </w:rPr>
        <w:t xml:space="preserve">Planning for infrastructure to support development, to ensure that the provision of schools reflects the anticipated population implications arising from development.   </w:t>
      </w:r>
    </w:p>
    <w:p w14:paraId="08CB6AD7" w14:textId="77777777" w:rsidR="00A81706" w:rsidRPr="00A81706" w:rsidRDefault="00A81706" w:rsidP="00874A98">
      <w:pPr>
        <w:keepNext w:val="0"/>
        <w:numPr>
          <w:ilvl w:val="0"/>
          <w:numId w:val="154"/>
        </w:numPr>
        <w:tabs>
          <w:tab w:val="clear" w:pos="1040"/>
          <w:tab w:val="num" w:pos="360"/>
          <w:tab w:val="left" w:pos="680"/>
          <w:tab w:val="num" w:pos="1276"/>
        </w:tabs>
        <w:suppressAutoHyphens/>
        <w:spacing w:before="0"/>
        <w:ind w:right="56"/>
        <w:jc w:val="both"/>
        <w:textAlignment w:val="baseline"/>
        <w:rPr>
          <w:rFonts w:eastAsia="Arial"/>
          <w:color w:val="auto"/>
        </w:rPr>
      </w:pPr>
      <w:r w:rsidRPr="00A81706">
        <w:rPr>
          <w:rFonts w:eastAsia="Arial"/>
          <w:color w:val="auto"/>
        </w:rPr>
        <w:t xml:space="preserve">Monitoring the supply and demand for primary and secondary school places to determine whether a development will result in a requirement for the expansion of local school places.  </w:t>
      </w:r>
    </w:p>
    <w:p w14:paraId="30018B77" w14:textId="77777777" w:rsidR="00A81706" w:rsidRPr="00A81706" w:rsidRDefault="00A81706" w:rsidP="009838D1">
      <w:pPr>
        <w:keepNext w:val="0"/>
        <w:spacing w:before="0"/>
        <w:rPr>
          <w:rFonts w:eastAsia="Arial" w:cs="Arial"/>
          <w:color w:val="auto"/>
          <w:spacing w:val="-1"/>
        </w:rPr>
      </w:pPr>
    </w:p>
    <w:p w14:paraId="3D8D0147" w14:textId="6576D888" w:rsidR="00601667" w:rsidRPr="00985BCC" w:rsidRDefault="00A81706" w:rsidP="00601667">
      <w:pPr>
        <w:keepNext w:val="0"/>
        <w:numPr>
          <w:ilvl w:val="1"/>
          <w:numId w:val="28"/>
        </w:numPr>
        <w:tabs>
          <w:tab w:val="clear" w:pos="525"/>
        </w:tabs>
        <w:spacing w:before="0"/>
        <w:ind w:left="709" w:hanging="709"/>
        <w:rPr>
          <w:rFonts w:eastAsia="Arial" w:cs="Arial"/>
          <w:spacing w:val="-1"/>
        </w:rPr>
      </w:pPr>
      <w:r w:rsidRPr="00985BCC">
        <w:rPr>
          <w:rFonts w:eastAsia="Arial" w:cs="Arial"/>
          <w:szCs w:val="24"/>
        </w:rPr>
        <w:t>Housing allocations set out in the Local Plan will be required to contribute towards the provisions of the primary pupil place arising from the development.  This may be through the expansion of existing schools or the provision of new schools.</w:t>
      </w:r>
      <w:r w:rsidRPr="00985BCC">
        <w:rPr>
          <w:rFonts w:cs="Arial"/>
          <w:szCs w:val="24"/>
          <w:shd w:val="clear" w:color="auto" w:fill="FFFFFF"/>
        </w:rPr>
        <w:t xml:space="preserve">  </w:t>
      </w:r>
    </w:p>
    <w:p w14:paraId="1B5DCE26" w14:textId="77777777" w:rsidR="00601667" w:rsidRPr="00985BCC" w:rsidRDefault="00601667" w:rsidP="00601667">
      <w:pPr>
        <w:keepNext w:val="0"/>
        <w:spacing w:before="0"/>
        <w:ind w:left="709"/>
        <w:rPr>
          <w:rFonts w:eastAsia="Arial" w:cs="Arial"/>
          <w:spacing w:val="-1"/>
        </w:rPr>
      </w:pPr>
    </w:p>
    <w:p w14:paraId="7B722E36" w14:textId="646B215C" w:rsidR="00601667" w:rsidRPr="00985BCC" w:rsidRDefault="00601667" w:rsidP="00601667">
      <w:pPr>
        <w:keepNext w:val="0"/>
        <w:numPr>
          <w:ilvl w:val="1"/>
          <w:numId w:val="28"/>
        </w:numPr>
        <w:tabs>
          <w:tab w:val="clear" w:pos="525"/>
        </w:tabs>
        <w:spacing w:before="0"/>
        <w:ind w:left="709" w:hanging="709"/>
        <w:rPr>
          <w:rFonts w:eastAsia="Arial" w:cs="Arial"/>
          <w:spacing w:val="-1"/>
        </w:rPr>
      </w:pPr>
      <w:r w:rsidRPr="00985BCC">
        <w:rPr>
          <w:rFonts w:eastAsia="Arial" w:cs="Arial"/>
          <w:spacing w:val="-1"/>
        </w:rPr>
        <w:t>T</w:t>
      </w:r>
      <w:r w:rsidRPr="00985BCC">
        <w:rPr>
          <w:rFonts w:eastAsia="Calibri"/>
          <w:szCs w:val="22"/>
        </w:rPr>
        <w:t>he need for school places can vary over time</w:t>
      </w:r>
      <w:r w:rsidR="00CE29D9" w:rsidRPr="00985BCC">
        <w:rPr>
          <w:rFonts w:eastAsia="Calibri"/>
          <w:szCs w:val="22"/>
        </w:rPr>
        <w:t>,</w:t>
      </w:r>
      <w:r w:rsidRPr="00985BCC">
        <w:rPr>
          <w:rFonts w:eastAsia="Arial" w:cs="Arial"/>
          <w:spacing w:val="-1"/>
        </w:rPr>
        <w:t xml:space="preserve"> consequently:</w:t>
      </w:r>
    </w:p>
    <w:p w14:paraId="6663B4CB" w14:textId="77777777" w:rsidR="00601667" w:rsidRPr="00985BCC" w:rsidRDefault="00601667" w:rsidP="00601667">
      <w:pPr>
        <w:pStyle w:val="ListParagraph"/>
        <w:rPr>
          <w:rFonts w:eastAsia="Arial" w:cs="Arial"/>
          <w:spacing w:val="-1"/>
        </w:rPr>
      </w:pPr>
    </w:p>
    <w:p w14:paraId="1367C528" w14:textId="0FAAF482" w:rsidR="00601667" w:rsidRPr="00985BCC" w:rsidRDefault="00601667" w:rsidP="00874A98">
      <w:pPr>
        <w:pStyle w:val="ListParagraph"/>
        <w:numPr>
          <w:ilvl w:val="0"/>
          <w:numId w:val="321"/>
        </w:numPr>
        <w:spacing w:after="0" w:line="240" w:lineRule="auto"/>
        <w:rPr>
          <w:rFonts w:ascii="Arial" w:eastAsia="Arial" w:hAnsi="Arial" w:cs="Arial"/>
          <w:spacing w:val="-1"/>
        </w:rPr>
      </w:pPr>
      <w:r w:rsidRPr="00985BCC">
        <w:rPr>
          <w:rFonts w:ascii="Arial" w:eastAsia="Arial" w:hAnsi="Arial" w:cs="Arial"/>
          <w:spacing w:val="-1"/>
        </w:rPr>
        <w:t xml:space="preserve">specific requirements for developer contributions to increasing capacity of existing schools and the provision of new schools for any particular site will be confirmed at application stage to ensure the latest data on identified need informs delivery; and </w:t>
      </w:r>
    </w:p>
    <w:p w14:paraId="2C72E92F" w14:textId="77777777" w:rsidR="00601667" w:rsidRPr="00985BCC" w:rsidRDefault="00601667" w:rsidP="00601667">
      <w:pPr>
        <w:pStyle w:val="ListParagraph"/>
        <w:spacing w:after="0" w:line="240" w:lineRule="auto"/>
        <w:ind w:left="1080"/>
        <w:rPr>
          <w:rFonts w:ascii="Arial" w:eastAsia="Arial" w:hAnsi="Arial" w:cs="Arial"/>
          <w:spacing w:val="-1"/>
        </w:rPr>
      </w:pPr>
    </w:p>
    <w:p w14:paraId="1C3EC97A" w14:textId="666A345D" w:rsidR="00601667" w:rsidRPr="00985BCC" w:rsidRDefault="00601667" w:rsidP="00874A98">
      <w:pPr>
        <w:pStyle w:val="ListParagraph"/>
        <w:numPr>
          <w:ilvl w:val="0"/>
          <w:numId w:val="321"/>
        </w:numPr>
        <w:spacing w:after="0" w:line="240" w:lineRule="auto"/>
        <w:rPr>
          <w:rFonts w:ascii="Arial" w:eastAsia="Arial" w:hAnsi="Arial" w:cs="Arial"/>
          <w:spacing w:val="-1"/>
        </w:rPr>
      </w:pPr>
      <w:r w:rsidRPr="00985BCC">
        <w:rPr>
          <w:rFonts w:ascii="Arial" w:eastAsia="Arial" w:hAnsi="Arial" w:cs="Arial"/>
          <w:spacing w:val="-1"/>
        </w:rPr>
        <w:t>requirements to deliver schools on some sites could change in future if it were demonstrated and agreed that the site had become surplus to requirements, and is therefore no longer required for school use.</w:t>
      </w:r>
    </w:p>
    <w:p w14:paraId="704F6E81" w14:textId="77777777" w:rsidR="006D4F49" w:rsidRPr="00985BCC" w:rsidRDefault="006D4F49" w:rsidP="00DA4833">
      <w:pPr>
        <w:keepNext w:val="0"/>
        <w:spacing w:before="0"/>
        <w:rPr>
          <w:rFonts w:cs="Arial"/>
          <w:b/>
          <w:sz w:val="36"/>
          <w:szCs w:val="36"/>
        </w:rPr>
      </w:pPr>
    </w:p>
    <w:p w14:paraId="281032EB" w14:textId="77777777" w:rsidR="000C34A3" w:rsidRDefault="000C34A3">
      <w:pPr>
        <w:keepNext w:val="0"/>
        <w:spacing w:before="0"/>
        <w:rPr>
          <w:rFonts w:cs="Arial"/>
          <w:b/>
          <w:sz w:val="36"/>
          <w:szCs w:val="36"/>
        </w:rPr>
        <w:sectPr w:rsidR="000C34A3" w:rsidSect="008852FB">
          <w:headerReference w:type="default" r:id="rId36"/>
          <w:pgSz w:w="11906" w:h="16838" w:code="9"/>
          <w:pgMar w:top="1258" w:right="1133" w:bottom="1079" w:left="1134" w:header="709" w:footer="709" w:gutter="0"/>
          <w:cols w:space="708"/>
          <w:docGrid w:linePitch="360"/>
        </w:sectPr>
      </w:pPr>
    </w:p>
    <w:p w14:paraId="7D447B89" w14:textId="34993B0B" w:rsidR="00DA4833" w:rsidRPr="003C7E62" w:rsidRDefault="00DA4833" w:rsidP="00165C32">
      <w:pPr>
        <w:pStyle w:val="Heading1"/>
      </w:pPr>
      <w:bookmarkStart w:id="261" w:name="_Toc145511603"/>
      <w:r w:rsidRPr="003C7E62">
        <w:t>Chapter 8</w:t>
      </w:r>
      <w:bookmarkEnd w:id="261"/>
    </w:p>
    <w:p w14:paraId="47444103" w14:textId="77777777" w:rsidR="00DA4833" w:rsidRPr="003C7E62" w:rsidRDefault="00DA4833" w:rsidP="008008F0">
      <w:pPr>
        <w:keepNext w:val="0"/>
        <w:spacing w:before="0"/>
        <w:rPr>
          <w:rFonts w:cs="Arial"/>
          <w:b/>
          <w:color w:val="auto"/>
          <w:sz w:val="36"/>
          <w:szCs w:val="36"/>
        </w:rPr>
      </w:pPr>
    </w:p>
    <w:p w14:paraId="40F24456" w14:textId="72232574" w:rsidR="008008F0" w:rsidRPr="005A5BB8" w:rsidRDefault="005F1B0D" w:rsidP="00503C86">
      <w:pPr>
        <w:pStyle w:val="Heading1"/>
      </w:pPr>
      <w:bookmarkStart w:id="262" w:name="_Toc500408775"/>
      <w:bookmarkStart w:id="263" w:name="_Toc145511604"/>
      <w:bookmarkStart w:id="264" w:name="_Hlk146199746"/>
      <w:r w:rsidRPr="005F1B0D">
        <w:t>Placing vibrant town and local centres at the heart of the community</w:t>
      </w:r>
      <w:bookmarkStart w:id="265" w:name="_Hlk75501556"/>
      <w:bookmarkEnd w:id="262"/>
      <w:bookmarkEnd w:id="263"/>
    </w:p>
    <w:bookmarkEnd w:id="264"/>
    <w:p w14:paraId="0A8F1890" w14:textId="77777777" w:rsidR="008008F0" w:rsidRPr="00503C86" w:rsidRDefault="008008F0" w:rsidP="00503C86"/>
    <w:p w14:paraId="178FFE5E" w14:textId="0A1E1878" w:rsidR="00DD5BA6" w:rsidRPr="00DD5BA6" w:rsidRDefault="00DD5BA6" w:rsidP="00DD5BA6">
      <w:pPr>
        <w:keepNext w:val="0"/>
        <w:numPr>
          <w:ilvl w:val="1"/>
          <w:numId w:val="6"/>
        </w:numPr>
        <w:tabs>
          <w:tab w:val="clear" w:pos="525"/>
        </w:tabs>
        <w:spacing w:before="0"/>
        <w:ind w:left="709" w:hanging="709"/>
        <w:rPr>
          <w:rFonts w:cs="Arial"/>
          <w:color w:val="auto"/>
          <w:szCs w:val="24"/>
          <w:lang w:eastAsia="en-US"/>
        </w:rPr>
      </w:pPr>
      <w:bookmarkStart w:id="266" w:name="_Hlk147929275"/>
      <w:r w:rsidRPr="00DD5BA6">
        <w:rPr>
          <w:rFonts w:eastAsia="Arial" w:cs="Arial"/>
          <w:color w:val="auto"/>
          <w:szCs w:val="24"/>
        </w:rPr>
        <w:t>Town centres play an important role within the District, contributing to the local economy and providing a range of services and facilities. Supporting the growth and regeneration of the District’s centres is a key element of the Plan’s Vision and the Council want to ensure all new development within the centres positively contributes their regeneration.</w:t>
      </w:r>
    </w:p>
    <w:p w14:paraId="3F9D6F89" w14:textId="77777777" w:rsidR="00DD5BA6" w:rsidRDefault="00DD5BA6" w:rsidP="00DD5BA6">
      <w:pPr>
        <w:keepNext w:val="0"/>
        <w:spacing w:before="0"/>
        <w:ind w:left="709"/>
        <w:rPr>
          <w:rFonts w:cs="Arial"/>
          <w:color w:val="auto"/>
          <w:szCs w:val="24"/>
          <w:lang w:eastAsia="en-US"/>
        </w:rPr>
      </w:pPr>
    </w:p>
    <w:p w14:paraId="447AA4FB" w14:textId="30180FD2" w:rsidR="00DD5BA6" w:rsidRPr="00DD5BA6" w:rsidRDefault="00DD5BA6" w:rsidP="00DD5BA6">
      <w:pPr>
        <w:keepNext w:val="0"/>
        <w:numPr>
          <w:ilvl w:val="1"/>
          <w:numId w:val="6"/>
        </w:numPr>
        <w:tabs>
          <w:tab w:val="clear" w:pos="525"/>
        </w:tabs>
        <w:spacing w:before="0"/>
        <w:ind w:left="709" w:hanging="709"/>
        <w:rPr>
          <w:rFonts w:cs="Arial"/>
          <w:color w:val="auto"/>
          <w:szCs w:val="24"/>
          <w:lang w:eastAsia="en-US"/>
        </w:rPr>
      </w:pPr>
      <w:r w:rsidRPr="00DD5BA6">
        <w:rPr>
          <w:rFonts w:eastAsia="Arial" w:cs="Arial"/>
          <w:color w:val="auto"/>
          <w:szCs w:val="24"/>
        </w:rPr>
        <w:t>The Council aims to promote competition and consumer choice within each town centre and Local Shopping Centre by supporting proposals which create a mix of uses appropriate in scale for each area. In areas outside the town centres and Local Shopping Centres, the day to day needs of the community will be met through parades of shops and small scale convenience shops of an appropriate size.</w:t>
      </w:r>
    </w:p>
    <w:p w14:paraId="2623AE94" w14:textId="77777777" w:rsidR="00DD5BA6" w:rsidRDefault="00DD5BA6" w:rsidP="00DD5BA6">
      <w:pPr>
        <w:keepNext w:val="0"/>
        <w:spacing w:before="0"/>
        <w:ind w:left="709"/>
        <w:rPr>
          <w:rFonts w:cs="Arial"/>
          <w:color w:val="auto"/>
          <w:szCs w:val="24"/>
          <w:lang w:eastAsia="en-US"/>
        </w:rPr>
      </w:pPr>
    </w:p>
    <w:p w14:paraId="1602CC61" w14:textId="7044D76F" w:rsidR="00DD5BA6" w:rsidRPr="00DD5BA6" w:rsidRDefault="00DD5BA6" w:rsidP="00DD5BA6">
      <w:pPr>
        <w:keepNext w:val="0"/>
        <w:numPr>
          <w:ilvl w:val="1"/>
          <w:numId w:val="6"/>
        </w:numPr>
        <w:tabs>
          <w:tab w:val="clear" w:pos="525"/>
        </w:tabs>
        <w:spacing w:before="0"/>
        <w:ind w:left="709" w:hanging="709"/>
        <w:rPr>
          <w:rFonts w:cs="Arial"/>
          <w:color w:val="auto"/>
          <w:szCs w:val="24"/>
          <w:lang w:eastAsia="en-US"/>
        </w:rPr>
      </w:pPr>
      <w:r w:rsidRPr="00DD5BA6">
        <w:rPr>
          <w:rFonts w:eastAsia="Arial" w:cs="Arial"/>
          <w:color w:val="auto"/>
        </w:rPr>
        <w:t>Town and local centres enable access to local goods, services, and leisure facilities, enable social interaction and provide employment and business opportunities.   They are also a place to live, which is well located for access to local facilities</w:t>
      </w:r>
      <w:r>
        <w:rPr>
          <w:rFonts w:cs="Arial"/>
          <w:color w:val="auto"/>
          <w:szCs w:val="24"/>
          <w:lang w:eastAsia="en-US"/>
        </w:rPr>
        <w:t xml:space="preserve">.  </w:t>
      </w:r>
      <w:r w:rsidRPr="00DD5BA6">
        <w:rPr>
          <w:rFonts w:eastAsia="Arial" w:cs="Arial"/>
          <w:color w:val="auto"/>
        </w:rPr>
        <w:t>Consequently, town and local centres form a focal point for communities.</w:t>
      </w:r>
    </w:p>
    <w:p w14:paraId="1C09A494" w14:textId="588BC2ED" w:rsidR="00DD5BA6" w:rsidRDefault="00DD5BA6" w:rsidP="00DD5BA6">
      <w:pPr>
        <w:keepNext w:val="0"/>
        <w:spacing w:before="0"/>
        <w:ind w:left="709"/>
        <w:rPr>
          <w:rFonts w:eastAsia="Arial" w:cs="Arial"/>
          <w:color w:val="auto"/>
        </w:rPr>
      </w:pPr>
    </w:p>
    <w:p w14:paraId="04C1D34C" w14:textId="1AD3ABE1" w:rsidR="009838D1" w:rsidRDefault="009838D1" w:rsidP="00DD5BA6">
      <w:pPr>
        <w:keepNext w:val="0"/>
        <w:spacing w:before="0"/>
        <w:ind w:left="709"/>
        <w:rPr>
          <w:rFonts w:eastAsia="Arial" w:cs="Arial"/>
          <w:color w:val="auto"/>
        </w:rPr>
      </w:pPr>
    </w:p>
    <w:p w14:paraId="4575A317" w14:textId="77777777" w:rsidR="009838D1" w:rsidRDefault="009838D1" w:rsidP="00DD5BA6">
      <w:pPr>
        <w:keepNext w:val="0"/>
        <w:spacing w:before="0"/>
        <w:ind w:left="709"/>
        <w:rPr>
          <w:rFonts w:eastAsia="Arial" w:cs="Arial"/>
          <w:color w:val="auto"/>
        </w:rPr>
      </w:pPr>
      <w:bookmarkStart w:id="267" w:name="_Hlk147929387"/>
    </w:p>
    <w:p w14:paraId="238E0906" w14:textId="6DA14742" w:rsidR="00DD5BA6" w:rsidRPr="00C55F46" w:rsidRDefault="006977E7" w:rsidP="00C55F46">
      <w:pPr>
        <w:pStyle w:val="Heading2"/>
        <w:jc w:val="left"/>
        <w:rPr>
          <w:rFonts w:eastAsia="Arial"/>
          <w:sz w:val="28"/>
          <w:szCs w:val="28"/>
        </w:rPr>
      </w:pPr>
      <w:bookmarkStart w:id="268" w:name="_Toc145511605"/>
      <w:r w:rsidRPr="00C55F46">
        <w:rPr>
          <w:rFonts w:eastAsia="Arial"/>
          <w:sz w:val="28"/>
          <w:szCs w:val="28"/>
        </w:rPr>
        <w:t xml:space="preserve">Policy </w:t>
      </w:r>
      <w:r w:rsidR="005A5BB8" w:rsidRPr="00C55F46">
        <w:rPr>
          <w:rFonts w:eastAsia="Arial"/>
          <w:sz w:val="28"/>
          <w:szCs w:val="28"/>
        </w:rPr>
        <w:t>SH1</w:t>
      </w:r>
      <w:r w:rsidRPr="00C55F46">
        <w:rPr>
          <w:rFonts w:eastAsia="Arial"/>
          <w:sz w:val="28"/>
          <w:szCs w:val="28"/>
        </w:rPr>
        <w:t>:</w:t>
      </w:r>
      <w:r w:rsidR="005A5BB8" w:rsidRPr="00C55F46">
        <w:rPr>
          <w:rFonts w:eastAsia="Arial"/>
          <w:sz w:val="28"/>
          <w:szCs w:val="28"/>
        </w:rPr>
        <w:t xml:space="preserve"> Retail, Leisure, Commercial and Town Centre Uses</w:t>
      </w:r>
      <w:bookmarkEnd w:id="268"/>
    </w:p>
    <w:p w14:paraId="75A25778" w14:textId="77777777" w:rsidR="00DD5BA6" w:rsidRPr="005A5BB8" w:rsidRDefault="00DD5BA6" w:rsidP="00DD5BA6">
      <w:pPr>
        <w:keepNext w:val="0"/>
        <w:spacing w:before="0"/>
        <w:rPr>
          <w:rFonts w:eastAsia="Arial" w:cs="Arial"/>
          <w:b/>
          <w:bCs/>
          <w:color w:val="auto"/>
        </w:rPr>
      </w:pPr>
    </w:p>
    <w:tbl>
      <w:tblPr>
        <w:tblStyle w:val="TableGrid3"/>
        <w:tblW w:w="0" w:type="auto"/>
        <w:tblLook w:val="04A0" w:firstRow="1" w:lastRow="0" w:firstColumn="1" w:lastColumn="0" w:noHBand="0" w:noVBand="1"/>
      </w:tblPr>
      <w:tblGrid>
        <w:gridCol w:w="1838"/>
        <w:gridCol w:w="822"/>
        <w:gridCol w:w="6833"/>
      </w:tblGrid>
      <w:tr w:rsidR="00DD5BA6" w:rsidRPr="00DD5BA6" w14:paraId="2B520509" w14:textId="77777777" w:rsidTr="00163F59">
        <w:trPr>
          <w:trHeight w:val="421"/>
        </w:trPr>
        <w:tc>
          <w:tcPr>
            <w:tcW w:w="9493" w:type="dxa"/>
            <w:gridSpan w:val="3"/>
          </w:tcPr>
          <w:p w14:paraId="472F64BD" w14:textId="77777777" w:rsidR="00A56503" w:rsidRDefault="00A56503" w:rsidP="00FF3EAD">
            <w:pPr>
              <w:keepNext w:val="0"/>
              <w:tabs>
                <w:tab w:val="left" w:pos="680"/>
              </w:tabs>
              <w:spacing w:before="0"/>
              <w:jc w:val="left"/>
              <w:rPr>
                <w:rFonts w:eastAsia="Arial"/>
                <w:b/>
                <w:color w:val="auto"/>
                <w:spacing w:val="-1"/>
              </w:rPr>
            </w:pPr>
          </w:p>
          <w:p w14:paraId="10E8F438" w14:textId="77777777" w:rsidR="00DD5BA6" w:rsidRDefault="00DD5BA6" w:rsidP="00FF3EAD">
            <w:pPr>
              <w:keepNext w:val="0"/>
              <w:tabs>
                <w:tab w:val="left" w:pos="680"/>
              </w:tabs>
              <w:spacing w:before="0"/>
              <w:jc w:val="left"/>
              <w:rPr>
                <w:rFonts w:eastAsia="Arial"/>
                <w:b/>
                <w:color w:val="auto"/>
                <w:spacing w:val="-1"/>
              </w:rPr>
            </w:pPr>
            <w:r w:rsidRPr="00DD5BA6">
              <w:rPr>
                <w:rFonts w:eastAsia="Arial"/>
                <w:b/>
                <w:color w:val="auto"/>
                <w:spacing w:val="-1"/>
              </w:rPr>
              <w:t xml:space="preserve">Policy SH1: </w:t>
            </w:r>
            <w:r w:rsidRPr="005A5BB8">
              <w:rPr>
                <w:rFonts w:eastAsia="Arial"/>
                <w:b/>
                <w:color w:val="auto"/>
                <w:spacing w:val="-1"/>
              </w:rPr>
              <w:t>Retail, Leisure, Commercial and Town Centre Uses</w:t>
            </w:r>
          </w:p>
          <w:p w14:paraId="7002826A" w14:textId="003874E4" w:rsidR="00A56503" w:rsidRPr="00DD5BA6" w:rsidRDefault="00A56503" w:rsidP="00FF3EAD">
            <w:pPr>
              <w:keepNext w:val="0"/>
              <w:tabs>
                <w:tab w:val="left" w:pos="680"/>
              </w:tabs>
              <w:spacing w:before="0"/>
              <w:jc w:val="left"/>
              <w:rPr>
                <w:rFonts w:eastAsia="Arial"/>
                <w:b/>
                <w:color w:val="auto"/>
                <w:spacing w:val="-1"/>
              </w:rPr>
            </w:pPr>
          </w:p>
        </w:tc>
      </w:tr>
      <w:tr w:rsidR="00DD5BA6" w:rsidRPr="00DD5BA6" w14:paraId="634B64F8" w14:textId="77777777" w:rsidTr="00163F59">
        <w:tc>
          <w:tcPr>
            <w:tcW w:w="2660" w:type="dxa"/>
            <w:gridSpan w:val="2"/>
          </w:tcPr>
          <w:p w14:paraId="0497ECBC" w14:textId="77777777" w:rsidR="00DD5BA6" w:rsidRPr="009838D1" w:rsidRDefault="00DD5BA6" w:rsidP="00FF3EAD">
            <w:pPr>
              <w:keepNext w:val="0"/>
              <w:tabs>
                <w:tab w:val="left" w:pos="680"/>
              </w:tabs>
              <w:spacing w:before="0"/>
              <w:jc w:val="left"/>
              <w:rPr>
                <w:rFonts w:eastAsia="Arial"/>
                <w:bCs/>
                <w:color w:val="auto"/>
              </w:rPr>
            </w:pPr>
            <w:r w:rsidRPr="009838D1">
              <w:rPr>
                <w:rFonts w:eastAsia="Arial"/>
                <w:bCs/>
                <w:color w:val="auto"/>
              </w:rPr>
              <w:t>Strategic Objectives</w:t>
            </w:r>
          </w:p>
        </w:tc>
        <w:tc>
          <w:tcPr>
            <w:tcW w:w="6833" w:type="dxa"/>
          </w:tcPr>
          <w:p w14:paraId="5361A031" w14:textId="77777777" w:rsidR="00DD5BA6" w:rsidRPr="009838D1" w:rsidRDefault="00DD5BA6" w:rsidP="00FF3EAD">
            <w:pPr>
              <w:keepNext w:val="0"/>
              <w:tabs>
                <w:tab w:val="left" w:pos="680"/>
              </w:tabs>
              <w:spacing w:before="40" w:after="40"/>
              <w:jc w:val="left"/>
              <w:rPr>
                <w:rFonts w:eastAsia="Arial"/>
                <w:bCs/>
                <w:color w:val="auto"/>
              </w:rPr>
            </w:pPr>
            <w:r w:rsidRPr="009838D1">
              <w:rPr>
                <w:rFonts w:eastAsia="Arial"/>
                <w:bCs/>
                <w:color w:val="auto"/>
              </w:rPr>
              <w:t>SO1, SO2, SO3, SO4, SO5, SO6, SO7, SO8, SO9, SO10.</w:t>
            </w:r>
          </w:p>
        </w:tc>
      </w:tr>
      <w:tr w:rsidR="00DD5BA6" w:rsidRPr="00DD5BA6" w14:paraId="1CF61B8C" w14:textId="77777777" w:rsidTr="00163F59">
        <w:tc>
          <w:tcPr>
            <w:tcW w:w="9493" w:type="dxa"/>
            <w:gridSpan w:val="3"/>
            <w:shd w:val="clear" w:color="auto" w:fill="E6A8A8"/>
          </w:tcPr>
          <w:p w14:paraId="5E6D70E2" w14:textId="77777777" w:rsidR="00DD5BA6" w:rsidRPr="009838D1" w:rsidRDefault="00DD5BA6" w:rsidP="00FF3EAD">
            <w:pPr>
              <w:keepNext w:val="0"/>
              <w:tabs>
                <w:tab w:val="left" w:pos="680"/>
              </w:tabs>
              <w:spacing w:before="0"/>
              <w:jc w:val="left"/>
              <w:rPr>
                <w:rFonts w:eastAsia="Arial" w:cs="Arial"/>
                <w:color w:val="auto"/>
                <w:szCs w:val="24"/>
              </w:rPr>
            </w:pPr>
          </w:p>
          <w:p w14:paraId="2790726F" w14:textId="385F4515" w:rsidR="00DD5BA6" w:rsidRPr="009838D1" w:rsidRDefault="00DD5BA6" w:rsidP="00874A98">
            <w:pPr>
              <w:keepNext w:val="0"/>
              <w:numPr>
                <w:ilvl w:val="0"/>
                <w:numId w:val="164"/>
              </w:numPr>
              <w:tabs>
                <w:tab w:val="clear" w:pos="360"/>
              </w:tabs>
              <w:spacing w:before="0" w:after="160" w:line="252" w:lineRule="auto"/>
              <w:ind w:left="502" w:right="284"/>
              <w:jc w:val="left"/>
              <w:rPr>
                <w:rFonts w:eastAsia="Arial" w:cs="Arial"/>
                <w:color w:val="auto"/>
                <w:szCs w:val="24"/>
              </w:rPr>
            </w:pPr>
            <w:r w:rsidRPr="009838D1">
              <w:rPr>
                <w:rFonts w:eastAsia="Arial" w:cs="Arial"/>
                <w:color w:val="auto"/>
                <w:szCs w:val="24"/>
              </w:rPr>
              <w:t>Within the town centres of Sutton in Ashfield, Kirkby-in-Ashfield and Hucknall,</w:t>
            </w:r>
            <w:r w:rsidR="00890361">
              <w:t xml:space="preserve"> </w:t>
            </w:r>
            <w:r w:rsidR="00890361" w:rsidRPr="00890361">
              <w:rPr>
                <w:rFonts w:eastAsia="Arial" w:cs="Arial"/>
                <w:color w:val="auto"/>
                <w:szCs w:val="24"/>
              </w:rPr>
              <w:t>a</w:t>
            </w:r>
            <w:r w:rsidR="00890361">
              <w:rPr>
                <w:rFonts w:eastAsia="Arial" w:cs="Arial"/>
                <w:color w:val="auto"/>
                <w:szCs w:val="24"/>
              </w:rPr>
              <w:t>s</w:t>
            </w:r>
            <w:r w:rsidR="00890361" w:rsidRPr="00890361">
              <w:rPr>
                <w:rFonts w:eastAsia="Arial" w:cs="Arial"/>
                <w:color w:val="auto"/>
                <w:szCs w:val="24"/>
              </w:rPr>
              <w:t xml:space="preserve"> identified on the Policies Maps</w:t>
            </w:r>
            <w:r w:rsidR="00890361">
              <w:rPr>
                <w:rFonts w:eastAsia="Arial" w:cs="Arial"/>
                <w:color w:val="auto"/>
                <w:szCs w:val="24"/>
              </w:rPr>
              <w:t>,</w:t>
            </w:r>
            <w:r w:rsidRPr="009838D1">
              <w:rPr>
                <w:rFonts w:eastAsia="Arial" w:cs="Arial"/>
                <w:color w:val="auto"/>
                <w:szCs w:val="24"/>
              </w:rPr>
              <w:t xml:space="preserve"> the Council will support development for main town centre uses</w:t>
            </w:r>
            <w:r w:rsidR="00B56368" w:rsidRPr="009838D1">
              <w:rPr>
                <w:rFonts w:eastAsia="Arial" w:cs="Arial"/>
                <w:color w:val="auto"/>
                <w:szCs w:val="24"/>
                <w:vertAlign w:val="superscript"/>
              </w:rPr>
              <w:t>1</w:t>
            </w:r>
            <w:r w:rsidRPr="009838D1">
              <w:rPr>
                <w:rFonts w:eastAsia="Arial" w:cs="Arial"/>
                <w:color w:val="auto"/>
                <w:szCs w:val="24"/>
              </w:rPr>
              <w:t>, residential, health care and educational development that:</w:t>
            </w:r>
          </w:p>
          <w:p w14:paraId="1343FECB" w14:textId="464B6DF6" w:rsidR="00DD5BA6" w:rsidRPr="009838D1" w:rsidRDefault="00DD5BA6" w:rsidP="00874A98">
            <w:pPr>
              <w:keepNext w:val="0"/>
              <w:numPr>
                <w:ilvl w:val="0"/>
                <w:numId w:val="165"/>
              </w:numPr>
              <w:tabs>
                <w:tab w:val="left" w:pos="680"/>
                <w:tab w:val="left" w:pos="2267"/>
              </w:tabs>
              <w:spacing w:before="0" w:after="160" w:line="252" w:lineRule="auto"/>
              <w:ind w:left="1037" w:right="284" w:hanging="357"/>
              <w:contextualSpacing/>
              <w:jc w:val="left"/>
              <w:rPr>
                <w:rFonts w:eastAsia="Arial" w:cs="Arial"/>
                <w:color w:val="auto"/>
                <w:szCs w:val="24"/>
              </w:rPr>
            </w:pPr>
            <w:r w:rsidRPr="009838D1">
              <w:rPr>
                <w:rFonts w:cs="Arial"/>
                <w:color w:val="auto"/>
                <w:szCs w:val="24"/>
              </w:rPr>
              <w:t>Is of a scale which reflects the role, function and distinctive qualities of the town centre having regard to the delivery of the vision, objectives and projects set out in the Town Centre Masterplans</w:t>
            </w:r>
            <w:r w:rsidR="00CE29D9">
              <w:rPr>
                <w:rFonts w:cs="Arial"/>
                <w:color w:val="auto"/>
                <w:szCs w:val="24"/>
              </w:rPr>
              <w:t>.</w:t>
            </w:r>
            <w:r w:rsidRPr="009838D1">
              <w:rPr>
                <w:rFonts w:cs="Arial"/>
                <w:color w:val="auto"/>
                <w:szCs w:val="24"/>
              </w:rPr>
              <w:t xml:space="preserve"> </w:t>
            </w:r>
          </w:p>
          <w:p w14:paraId="329267C5" w14:textId="0FE33FBB" w:rsidR="00DD5BA6" w:rsidRPr="00985BCC" w:rsidRDefault="00DD5BA6" w:rsidP="00874A98">
            <w:pPr>
              <w:keepNext w:val="0"/>
              <w:numPr>
                <w:ilvl w:val="0"/>
                <w:numId w:val="165"/>
              </w:numPr>
              <w:tabs>
                <w:tab w:val="left" w:pos="680"/>
                <w:tab w:val="left" w:pos="1133"/>
                <w:tab w:val="left" w:pos="2267"/>
              </w:tabs>
              <w:spacing w:before="0" w:after="160" w:line="252" w:lineRule="auto"/>
              <w:ind w:right="284"/>
              <w:contextualSpacing/>
              <w:jc w:val="left"/>
              <w:rPr>
                <w:rFonts w:eastAsia="Arial" w:cs="Arial"/>
                <w:szCs w:val="24"/>
              </w:rPr>
            </w:pPr>
            <w:r w:rsidRPr="00985BCC">
              <w:rPr>
                <w:rFonts w:eastAsia="Arial" w:cs="Arial"/>
                <w:szCs w:val="24"/>
              </w:rPr>
              <w:t>Will not adversely affect the character, quality, amenity and safety of any area within the Town Centre</w:t>
            </w:r>
            <w:r w:rsidR="00CE29D9" w:rsidRPr="00985BCC">
              <w:rPr>
                <w:rFonts w:eastAsia="Arial" w:cs="Arial"/>
                <w:szCs w:val="24"/>
              </w:rPr>
              <w:t>.</w:t>
            </w:r>
          </w:p>
          <w:p w14:paraId="24F23959" w14:textId="3EB3269B" w:rsidR="00BB1AEB" w:rsidRPr="00985BCC" w:rsidRDefault="00BB1AEB" w:rsidP="00874A98">
            <w:pPr>
              <w:keepNext w:val="0"/>
              <w:numPr>
                <w:ilvl w:val="0"/>
                <w:numId w:val="165"/>
              </w:numPr>
              <w:spacing w:before="0" w:after="160" w:line="252" w:lineRule="auto"/>
              <w:contextualSpacing/>
              <w:jc w:val="left"/>
              <w:rPr>
                <w:rFonts w:eastAsia="Arial" w:cs="Arial"/>
                <w:szCs w:val="24"/>
              </w:rPr>
            </w:pPr>
            <w:r w:rsidRPr="00985BCC">
              <w:rPr>
                <w:rFonts w:eastAsia="Arial" w:cs="Arial"/>
                <w:szCs w:val="24"/>
              </w:rPr>
              <w:t xml:space="preserve">Will not have a significant </w:t>
            </w:r>
            <w:r w:rsidR="009A3879">
              <w:rPr>
                <w:rFonts w:eastAsia="Arial" w:cs="Arial"/>
                <w:szCs w:val="24"/>
              </w:rPr>
              <w:t>adverse e</w:t>
            </w:r>
            <w:r w:rsidR="009A3879" w:rsidRPr="00985BCC">
              <w:rPr>
                <w:rFonts w:eastAsia="Arial" w:cs="Arial"/>
                <w:szCs w:val="24"/>
              </w:rPr>
              <w:t>ffect</w:t>
            </w:r>
            <w:r w:rsidRPr="00985BCC">
              <w:rPr>
                <w:rFonts w:eastAsia="Arial" w:cs="Arial"/>
                <w:szCs w:val="24"/>
              </w:rPr>
              <w:t xml:space="preserve"> on the retail vitality of the town centre</w:t>
            </w:r>
            <w:r w:rsidR="00CE29D9" w:rsidRPr="00985BCC">
              <w:rPr>
                <w:rFonts w:eastAsia="Arial" w:cs="Arial"/>
                <w:szCs w:val="24"/>
              </w:rPr>
              <w:t>.</w:t>
            </w:r>
          </w:p>
          <w:p w14:paraId="35A3C8FC" w14:textId="4F554255" w:rsidR="00DD5BA6" w:rsidRPr="00985BCC" w:rsidRDefault="00DD5BA6" w:rsidP="00874A98">
            <w:pPr>
              <w:keepNext w:val="0"/>
              <w:numPr>
                <w:ilvl w:val="0"/>
                <w:numId w:val="165"/>
              </w:numPr>
              <w:spacing w:before="0" w:after="160" w:line="252" w:lineRule="auto"/>
              <w:contextualSpacing/>
              <w:jc w:val="left"/>
              <w:rPr>
                <w:rFonts w:eastAsia="Arial" w:cs="Arial"/>
                <w:szCs w:val="24"/>
              </w:rPr>
            </w:pPr>
            <w:r w:rsidRPr="00985BCC">
              <w:rPr>
                <w:rFonts w:eastAsia="Arial" w:cs="Arial"/>
                <w:szCs w:val="24"/>
              </w:rPr>
              <w:t>Widens the range of main town centre uses in the centre</w:t>
            </w:r>
            <w:r w:rsidR="00CE29D9" w:rsidRPr="00985BCC">
              <w:rPr>
                <w:rFonts w:eastAsia="Arial" w:cs="Arial"/>
                <w:szCs w:val="24"/>
              </w:rPr>
              <w:t>.</w:t>
            </w:r>
          </w:p>
          <w:p w14:paraId="67622BE8" w14:textId="77777777" w:rsidR="00DD5BA6" w:rsidRPr="009838D1" w:rsidRDefault="00DD5BA6" w:rsidP="00874A98">
            <w:pPr>
              <w:keepNext w:val="0"/>
              <w:numPr>
                <w:ilvl w:val="0"/>
                <w:numId w:val="165"/>
              </w:numPr>
              <w:spacing w:before="0" w:after="160" w:line="252" w:lineRule="auto"/>
              <w:ind w:left="1037" w:hanging="357"/>
              <w:contextualSpacing/>
              <w:jc w:val="left"/>
              <w:rPr>
                <w:rFonts w:eastAsia="Arial" w:cs="Arial"/>
                <w:color w:val="auto"/>
                <w:szCs w:val="24"/>
              </w:rPr>
            </w:pPr>
            <w:r w:rsidRPr="009838D1">
              <w:rPr>
                <w:rFonts w:eastAsia="Arial" w:cs="Arial"/>
                <w:color w:val="auto"/>
                <w:szCs w:val="24"/>
              </w:rPr>
              <w:t>Provides a diverse range of day and evening uses.</w:t>
            </w:r>
          </w:p>
          <w:p w14:paraId="3C3B649C" w14:textId="50673C2E" w:rsidR="00DD5BA6" w:rsidRPr="00ED67D8" w:rsidRDefault="00DD5BA6" w:rsidP="00874A98">
            <w:pPr>
              <w:keepNext w:val="0"/>
              <w:numPr>
                <w:ilvl w:val="0"/>
                <w:numId w:val="165"/>
              </w:numPr>
              <w:tabs>
                <w:tab w:val="left" w:pos="680"/>
                <w:tab w:val="left" w:pos="1133"/>
                <w:tab w:val="left" w:pos="2267"/>
              </w:tabs>
              <w:spacing w:before="0" w:after="160" w:line="252" w:lineRule="auto"/>
              <w:ind w:left="1037" w:right="284" w:hanging="357"/>
              <w:contextualSpacing/>
              <w:jc w:val="left"/>
              <w:rPr>
                <w:rFonts w:eastAsia="Arial" w:cs="Arial"/>
                <w:color w:val="auto"/>
                <w:szCs w:val="24"/>
              </w:rPr>
            </w:pPr>
            <w:r w:rsidRPr="00ED67D8">
              <w:rPr>
                <w:rFonts w:eastAsia="Arial" w:cs="Arial"/>
                <w:color w:val="auto"/>
                <w:szCs w:val="24"/>
              </w:rPr>
              <w:t>Maintains street frontage activity which encourages footfall within the Centre and does not result in the core retail</w:t>
            </w:r>
            <w:r w:rsidR="00ED67D8" w:rsidRPr="00ED67D8">
              <w:rPr>
                <w:rFonts w:eastAsia="Arial" w:cs="Arial"/>
                <w:color w:val="auto"/>
                <w:szCs w:val="24"/>
              </w:rPr>
              <w:t xml:space="preserve"> </w:t>
            </w:r>
            <w:r w:rsidRPr="00ED67D8">
              <w:rPr>
                <w:rFonts w:eastAsia="Arial" w:cs="Arial"/>
                <w:color w:val="auto"/>
                <w:szCs w:val="24"/>
              </w:rPr>
              <w:t>function of the Primary Shopping Area, identified on the Policies Map, being undermined.</w:t>
            </w:r>
          </w:p>
          <w:p w14:paraId="148C6999" w14:textId="77777777" w:rsidR="00DD5BA6" w:rsidRPr="009838D1" w:rsidRDefault="00DD5BA6" w:rsidP="00874A98">
            <w:pPr>
              <w:keepNext w:val="0"/>
              <w:numPr>
                <w:ilvl w:val="0"/>
                <w:numId w:val="165"/>
              </w:numPr>
              <w:spacing w:before="0" w:after="160" w:line="252" w:lineRule="auto"/>
              <w:contextualSpacing/>
              <w:jc w:val="left"/>
              <w:rPr>
                <w:rFonts w:eastAsia="Arial" w:cs="Arial"/>
                <w:color w:val="auto"/>
                <w:szCs w:val="24"/>
              </w:rPr>
            </w:pPr>
            <w:r w:rsidRPr="009838D1">
              <w:rPr>
                <w:rFonts w:eastAsia="Arial" w:cs="Arial"/>
                <w:color w:val="auto"/>
                <w:szCs w:val="24"/>
              </w:rPr>
              <w:t>Makes use of above ground floor spaces, particularly for residential purposes.</w:t>
            </w:r>
          </w:p>
          <w:p w14:paraId="69BBC010" w14:textId="77777777" w:rsidR="00DD5BA6" w:rsidRPr="009838D1" w:rsidRDefault="00DD5BA6" w:rsidP="00874A98">
            <w:pPr>
              <w:keepNext w:val="0"/>
              <w:numPr>
                <w:ilvl w:val="0"/>
                <w:numId w:val="165"/>
              </w:numPr>
              <w:spacing w:before="0" w:after="160" w:line="252" w:lineRule="auto"/>
              <w:contextualSpacing/>
              <w:jc w:val="left"/>
              <w:rPr>
                <w:rFonts w:eastAsia="Arial" w:cs="Arial"/>
                <w:color w:val="auto"/>
                <w:szCs w:val="24"/>
              </w:rPr>
            </w:pPr>
            <w:r w:rsidRPr="009838D1">
              <w:rPr>
                <w:rFonts w:eastAsia="Arial" w:cs="Arial"/>
                <w:color w:val="auto"/>
                <w:szCs w:val="24"/>
              </w:rPr>
              <w:t xml:space="preserve">Ensures that proposed signage does not detract from the character and appearance of the surrounding area. </w:t>
            </w:r>
          </w:p>
          <w:p w14:paraId="62C40977" w14:textId="77777777" w:rsidR="00DD5BA6" w:rsidRPr="009838D1" w:rsidRDefault="00DD5BA6" w:rsidP="00874A98">
            <w:pPr>
              <w:keepNext w:val="0"/>
              <w:numPr>
                <w:ilvl w:val="0"/>
                <w:numId w:val="165"/>
              </w:numPr>
              <w:spacing w:before="0" w:after="160" w:line="252" w:lineRule="auto"/>
              <w:contextualSpacing/>
              <w:jc w:val="left"/>
              <w:rPr>
                <w:rFonts w:eastAsia="Arial" w:cs="Arial"/>
                <w:color w:val="auto"/>
                <w:szCs w:val="24"/>
              </w:rPr>
            </w:pPr>
            <w:r w:rsidRPr="009838D1">
              <w:rPr>
                <w:rFonts w:eastAsia="Arial" w:cs="Arial"/>
                <w:color w:val="auto"/>
                <w:szCs w:val="24"/>
              </w:rPr>
              <w:t>Is well designed and enhances or complement the street scene;</w:t>
            </w:r>
          </w:p>
          <w:p w14:paraId="15AC0A67" w14:textId="261DD1BA" w:rsidR="00DD5BA6" w:rsidRPr="009838D1" w:rsidRDefault="00DD5BA6" w:rsidP="00874A98">
            <w:pPr>
              <w:keepNext w:val="0"/>
              <w:numPr>
                <w:ilvl w:val="0"/>
                <w:numId w:val="165"/>
              </w:numPr>
              <w:spacing w:before="0" w:after="160" w:line="252" w:lineRule="auto"/>
              <w:contextualSpacing/>
              <w:jc w:val="left"/>
              <w:rPr>
                <w:rFonts w:eastAsia="Arial" w:cs="Arial"/>
                <w:color w:val="auto"/>
                <w:szCs w:val="24"/>
              </w:rPr>
            </w:pPr>
            <w:r w:rsidRPr="009838D1">
              <w:rPr>
                <w:rFonts w:eastAsia="Arial" w:cs="Arial"/>
                <w:color w:val="auto"/>
                <w:szCs w:val="24"/>
              </w:rPr>
              <w:t>Ensures servicing arrangements are maintained or improved and the proposed development does not conflict with the day to day activities of the area.</w:t>
            </w:r>
          </w:p>
          <w:p w14:paraId="61038224" w14:textId="77777777" w:rsidR="00DD5BA6" w:rsidRPr="009838D1" w:rsidRDefault="00DD5BA6" w:rsidP="00FF3EAD">
            <w:pPr>
              <w:keepNext w:val="0"/>
              <w:spacing w:before="0" w:after="160" w:line="252" w:lineRule="auto"/>
              <w:ind w:left="1040"/>
              <w:contextualSpacing/>
              <w:jc w:val="left"/>
              <w:rPr>
                <w:rFonts w:eastAsia="Arial" w:cs="Arial"/>
                <w:color w:val="auto"/>
                <w:szCs w:val="24"/>
              </w:rPr>
            </w:pPr>
          </w:p>
          <w:p w14:paraId="0417C1AD" w14:textId="0D54159E" w:rsidR="00DD5BA6" w:rsidRPr="009838D1" w:rsidRDefault="00DD5BA6" w:rsidP="00874A98">
            <w:pPr>
              <w:keepNext w:val="0"/>
              <w:numPr>
                <w:ilvl w:val="0"/>
                <w:numId w:val="164"/>
              </w:numPr>
              <w:tabs>
                <w:tab w:val="clear" w:pos="360"/>
                <w:tab w:val="left" w:pos="1133"/>
                <w:tab w:val="left" w:pos="2267"/>
              </w:tabs>
              <w:spacing w:before="0"/>
              <w:ind w:left="502" w:right="284"/>
              <w:jc w:val="left"/>
              <w:rPr>
                <w:rFonts w:eastAsia="Arial" w:cs="Arial"/>
                <w:color w:val="auto"/>
                <w:szCs w:val="24"/>
              </w:rPr>
            </w:pPr>
            <w:r w:rsidRPr="009838D1">
              <w:rPr>
                <w:rFonts w:eastAsia="Arial" w:cs="Arial"/>
                <w:color w:val="auto"/>
                <w:szCs w:val="24"/>
              </w:rPr>
              <w:t>Subject to the provisions of Policy SH1 – 1, the Council will support the conversion of surplus shop units to residential use where:</w:t>
            </w:r>
          </w:p>
          <w:p w14:paraId="1E6DBC6D" w14:textId="77777777" w:rsidR="00DD5BA6" w:rsidRPr="009838D1" w:rsidRDefault="00DD5BA6" w:rsidP="00FF3EAD">
            <w:pPr>
              <w:keepNext w:val="0"/>
              <w:tabs>
                <w:tab w:val="left" w:pos="680"/>
                <w:tab w:val="left" w:pos="1133"/>
                <w:tab w:val="left" w:pos="2267"/>
              </w:tabs>
              <w:spacing w:before="0"/>
              <w:ind w:right="284"/>
              <w:contextualSpacing/>
              <w:jc w:val="left"/>
              <w:rPr>
                <w:rFonts w:eastAsia="Arial" w:cs="Arial"/>
                <w:color w:val="auto"/>
                <w:szCs w:val="24"/>
              </w:rPr>
            </w:pPr>
          </w:p>
          <w:p w14:paraId="72E26C60" w14:textId="77777777" w:rsidR="00DD5BA6" w:rsidRPr="009838D1" w:rsidRDefault="00DD5BA6" w:rsidP="00874A98">
            <w:pPr>
              <w:keepNext w:val="0"/>
              <w:numPr>
                <w:ilvl w:val="0"/>
                <w:numId w:val="169"/>
              </w:numPr>
              <w:tabs>
                <w:tab w:val="left" w:pos="680"/>
                <w:tab w:val="left" w:pos="1133"/>
                <w:tab w:val="left" w:pos="2267"/>
              </w:tabs>
              <w:spacing w:before="0"/>
              <w:ind w:right="284"/>
              <w:contextualSpacing/>
              <w:jc w:val="left"/>
              <w:rPr>
                <w:rFonts w:eastAsia="Arial" w:cs="Arial"/>
                <w:color w:val="auto"/>
                <w:szCs w:val="24"/>
              </w:rPr>
            </w:pPr>
            <w:r w:rsidRPr="009838D1">
              <w:rPr>
                <w:rFonts w:eastAsia="Arial" w:cs="Arial"/>
                <w:color w:val="auto"/>
                <w:szCs w:val="24"/>
              </w:rPr>
              <w:t>The unit is appropriately sited and designed so as not to impact on the street scene or create conflict between users;</w:t>
            </w:r>
          </w:p>
          <w:p w14:paraId="7364835A" w14:textId="77777777" w:rsidR="00DD5BA6" w:rsidRPr="009838D1" w:rsidRDefault="00DD5BA6" w:rsidP="00874A98">
            <w:pPr>
              <w:keepNext w:val="0"/>
              <w:numPr>
                <w:ilvl w:val="0"/>
                <w:numId w:val="169"/>
              </w:numPr>
              <w:tabs>
                <w:tab w:val="left" w:pos="680"/>
                <w:tab w:val="left" w:pos="1133"/>
                <w:tab w:val="left" w:pos="2267"/>
              </w:tabs>
              <w:spacing w:before="0" w:after="160" w:line="252" w:lineRule="auto"/>
              <w:ind w:right="284"/>
              <w:contextualSpacing/>
              <w:jc w:val="left"/>
              <w:rPr>
                <w:rFonts w:eastAsia="Arial" w:cs="Arial"/>
                <w:color w:val="auto"/>
                <w:szCs w:val="24"/>
              </w:rPr>
            </w:pPr>
            <w:r w:rsidRPr="009838D1">
              <w:rPr>
                <w:rFonts w:eastAsia="Arial" w:cs="Arial"/>
                <w:color w:val="auto"/>
                <w:szCs w:val="24"/>
              </w:rPr>
              <w:t>It can be demonstrated there is a lack of demand for the unit for town centre uses.</w:t>
            </w:r>
          </w:p>
          <w:p w14:paraId="721003DC" w14:textId="77777777" w:rsidR="00DD5BA6" w:rsidRPr="009838D1" w:rsidRDefault="00DD5BA6" w:rsidP="00FF3EAD">
            <w:pPr>
              <w:keepNext w:val="0"/>
              <w:tabs>
                <w:tab w:val="left" w:pos="680"/>
                <w:tab w:val="left" w:pos="1133"/>
                <w:tab w:val="left" w:pos="2267"/>
              </w:tabs>
              <w:spacing w:before="0"/>
              <w:ind w:right="284"/>
              <w:jc w:val="left"/>
              <w:rPr>
                <w:rFonts w:eastAsia="Arial" w:cs="Arial"/>
                <w:color w:val="auto"/>
                <w:szCs w:val="24"/>
              </w:rPr>
            </w:pPr>
          </w:p>
          <w:p w14:paraId="6B710BFA" w14:textId="4E1A3D79" w:rsidR="00DD5BA6" w:rsidRPr="009838D1" w:rsidRDefault="00DD5BA6" w:rsidP="00874A98">
            <w:pPr>
              <w:keepNext w:val="0"/>
              <w:numPr>
                <w:ilvl w:val="0"/>
                <w:numId w:val="164"/>
              </w:numPr>
              <w:tabs>
                <w:tab w:val="clear" w:pos="360"/>
                <w:tab w:val="left" w:pos="1133"/>
                <w:tab w:val="left" w:pos="2267"/>
              </w:tabs>
              <w:spacing w:before="0"/>
              <w:ind w:left="502" w:right="284"/>
              <w:jc w:val="left"/>
              <w:rPr>
                <w:rFonts w:eastAsia="Arial" w:cs="Arial"/>
                <w:color w:val="auto"/>
                <w:szCs w:val="24"/>
              </w:rPr>
            </w:pPr>
            <w:r w:rsidRPr="009838D1">
              <w:rPr>
                <w:rFonts w:eastAsia="Arial" w:cs="Arial"/>
                <w:color w:val="auto"/>
                <w:szCs w:val="24"/>
              </w:rPr>
              <w:t>Proposals that result in clusters of hot food takeaways</w:t>
            </w:r>
            <w:r w:rsidR="009A3879">
              <w:rPr>
                <w:rFonts w:eastAsia="Arial" w:cs="Arial"/>
                <w:color w:val="auto"/>
                <w:szCs w:val="24"/>
              </w:rPr>
              <w:t>, betting shops</w:t>
            </w:r>
            <w:r w:rsidRPr="009838D1">
              <w:rPr>
                <w:rFonts w:eastAsia="Arial" w:cs="Arial"/>
                <w:color w:val="auto"/>
                <w:szCs w:val="24"/>
              </w:rPr>
              <w:t xml:space="preserve"> or pubs/drinking establishments will not be supported, taking account of the concentration and proximity of existing such establishments in the immediate area.</w:t>
            </w:r>
          </w:p>
          <w:p w14:paraId="6AE555CD" w14:textId="77777777" w:rsidR="00DD5BA6" w:rsidRPr="009838D1" w:rsidRDefault="00DD5BA6" w:rsidP="00FF3EAD">
            <w:pPr>
              <w:keepNext w:val="0"/>
              <w:tabs>
                <w:tab w:val="left" w:pos="680"/>
                <w:tab w:val="left" w:pos="1133"/>
                <w:tab w:val="left" w:pos="2267"/>
              </w:tabs>
              <w:spacing w:before="0"/>
              <w:ind w:left="502" w:right="284"/>
              <w:jc w:val="left"/>
              <w:rPr>
                <w:rFonts w:eastAsia="Arial" w:cs="Arial"/>
                <w:color w:val="auto"/>
                <w:szCs w:val="24"/>
              </w:rPr>
            </w:pPr>
          </w:p>
          <w:p w14:paraId="7B198D89" w14:textId="77777777" w:rsidR="00DD5BA6" w:rsidRPr="009838D1" w:rsidRDefault="00DD5BA6" w:rsidP="00874A98">
            <w:pPr>
              <w:keepNext w:val="0"/>
              <w:numPr>
                <w:ilvl w:val="0"/>
                <w:numId w:val="164"/>
              </w:numPr>
              <w:tabs>
                <w:tab w:val="clear" w:pos="360"/>
                <w:tab w:val="left" w:pos="1133"/>
                <w:tab w:val="left" w:pos="2267"/>
              </w:tabs>
              <w:spacing w:before="0"/>
              <w:ind w:left="505" w:right="284"/>
              <w:jc w:val="left"/>
              <w:rPr>
                <w:rFonts w:eastAsia="Arial" w:cs="Arial"/>
                <w:color w:val="auto"/>
                <w:szCs w:val="24"/>
              </w:rPr>
            </w:pPr>
            <w:r w:rsidRPr="009838D1">
              <w:rPr>
                <w:rFonts w:eastAsia="Arial" w:cs="Arial"/>
                <w:color w:val="auto"/>
                <w:szCs w:val="24"/>
              </w:rPr>
              <w:t xml:space="preserve">The Council will apply the sequential test and, where appropriate, the impact test to the location of main town centre uses. </w:t>
            </w:r>
          </w:p>
          <w:p w14:paraId="1E57A88C" w14:textId="77777777" w:rsidR="00DD5BA6" w:rsidRPr="009838D1" w:rsidRDefault="00DD5BA6" w:rsidP="00FF3EAD">
            <w:pPr>
              <w:keepNext w:val="0"/>
              <w:tabs>
                <w:tab w:val="left" w:pos="680"/>
                <w:tab w:val="left" w:pos="1133"/>
                <w:tab w:val="left" w:pos="2267"/>
              </w:tabs>
              <w:spacing w:before="0"/>
              <w:ind w:left="505" w:right="284"/>
              <w:jc w:val="left"/>
              <w:rPr>
                <w:rFonts w:eastAsia="Arial" w:cs="Arial"/>
                <w:color w:val="auto"/>
                <w:szCs w:val="24"/>
              </w:rPr>
            </w:pPr>
          </w:p>
          <w:p w14:paraId="5B51ECE4" w14:textId="1BA0B48D" w:rsidR="00DD5BA6" w:rsidRDefault="00DD5BA6" w:rsidP="00874A98">
            <w:pPr>
              <w:keepNext w:val="0"/>
              <w:numPr>
                <w:ilvl w:val="0"/>
                <w:numId w:val="166"/>
              </w:numPr>
              <w:tabs>
                <w:tab w:val="left" w:pos="680"/>
                <w:tab w:val="left" w:pos="1133"/>
                <w:tab w:val="left" w:pos="2267"/>
              </w:tabs>
              <w:spacing w:before="0" w:after="160" w:line="252" w:lineRule="auto"/>
              <w:ind w:right="284"/>
              <w:contextualSpacing/>
              <w:jc w:val="left"/>
              <w:rPr>
                <w:rFonts w:eastAsia="Arial" w:cs="Arial"/>
                <w:color w:val="auto"/>
                <w:szCs w:val="24"/>
              </w:rPr>
            </w:pPr>
            <w:r w:rsidRPr="009838D1">
              <w:rPr>
                <w:rFonts w:eastAsia="Arial" w:cs="Arial"/>
                <w:color w:val="auto"/>
                <w:szCs w:val="24"/>
              </w:rPr>
              <w:t xml:space="preserve">Sequential Test - </w:t>
            </w:r>
            <w:r w:rsidR="00F22DDF" w:rsidRPr="00F22DDF">
              <w:rPr>
                <w:rFonts w:eastAsia="Arial" w:cs="Arial"/>
                <w:color w:val="auto"/>
                <w:szCs w:val="24"/>
              </w:rPr>
              <w:t>The sequential test requires main town centre uses to be located in town centre locations.  Only where no suitable and available sites exist, or expect to become available within a reasonable period will alternative locations be considered, taking into account proximity and access to Primary Shopping Areas.   If no suitable sites within a town centre location are available, development should be located to edge of centre location, and, if neither town centre locations nor edge of centre locations are available, to out of centre locations.  Flexibility will be required on the format and scale of the development proposed with preference given to accessible sites, which are well connected to the town centre.  Where an application fails to satisfy the sequential test it will be refused.</w:t>
            </w:r>
          </w:p>
          <w:p w14:paraId="7F3B4236" w14:textId="3A6E95CC" w:rsidR="00F22DDF" w:rsidRDefault="00F22DDF" w:rsidP="00FF3EAD">
            <w:pPr>
              <w:keepNext w:val="0"/>
              <w:tabs>
                <w:tab w:val="left" w:pos="680"/>
                <w:tab w:val="left" w:pos="1133"/>
                <w:tab w:val="left" w:pos="2267"/>
              </w:tabs>
              <w:spacing w:before="0" w:after="160" w:line="252" w:lineRule="auto"/>
              <w:ind w:left="862" w:right="284"/>
              <w:contextualSpacing/>
              <w:jc w:val="left"/>
              <w:rPr>
                <w:rFonts w:eastAsia="Arial" w:cs="Arial"/>
                <w:color w:val="auto"/>
                <w:szCs w:val="24"/>
              </w:rPr>
            </w:pPr>
          </w:p>
          <w:p w14:paraId="3F758F32" w14:textId="6CACD652" w:rsidR="00F22DDF" w:rsidRDefault="00F22DDF" w:rsidP="00FF3EAD">
            <w:pPr>
              <w:keepNext w:val="0"/>
              <w:tabs>
                <w:tab w:val="left" w:pos="680"/>
                <w:tab w:val="left" w:pos="1133"/>
                <w:tab w:val="left" w:pos="2267"/>
              </w:tabs>
              <w:spacing w:before="0" w:after="160" w:line="252" w:lineRule="auto"/>
              <w:ind w:left="862" w:right="284"/>
              <w:contextualSpacing/>
              <w:jc w:val="left"/>
              <w:rPr>
                <w:rFonts w:eastAsia="Arial" w:cs="Arial"/>
                <w:color w:val="auto"/>
                <w:szCs w:val="24"/>
              </w:rPr>
            </w:pPr>
            <w:r w:rsidRPr="00F22DDF">
              <w:rPr>
                <w:rFonts w:eastAsia="Arial" w:cs="Arial"/>
                <w:color w:val="auto"/>
                <w:szCs w:val="24"/>
              </w:rPr>
              <w:t>If after applying the sequential test, out-of-centre sites are necessary, preference will be given to sites that are, or will be, served by a choice of means of transport, which are close to the centre and have a high likelihood of forming links with the town centre.</w:t>
            </w:r>
          </w:p>
          <w:p w14:paraId="46BD0763" w14:textId="77777777" w:rsidR="00F22DDF" w:rsidRPr="00F22DDF" w:rsidRDefault="00F22DDF" w:rsidP="00FF3EAD">
            <w:pPr>
              <w:keepNext w:val="0"/>
              <w:tabs>
                <w:tab w:val="left" w:pos="680"/>
                <w:tab w:val="left" w:pos="1133"/>
                <w:tab w:val="left" w:pos="2267"/>
              </w:tabs>
              <w:spacing w:before="0" w:after="160" w:line="252" w:lineRule="auto"/>
              <w:ind w:left="862" w:right="284"/>
              <w:contextualSpacing/>
              <w:jc w:val="left"/>
              <w:rPr>
                <w:rFonts w:eastAsia="Arial" w:cs="Arial"/>
                <w:color w:val="auto"/>
                <w:szCs w:val="24"/>
              </w:rPr>
            </w:pPr>
          </w:p>
          <w:p w14:paraId="27016274" w14:textId="43392CEE" w:rsidR="00F22DDF" w:rsidRPr="00F22DDF" w:rsidRDefault="00DD5BA6" w:rsidP="00874A98">
            <w:pPr>
              <w:keepNext w:val="0"/>
              <w:numPr>
                <w:ilvl w:val="0"/>
                <w:numId w:val="166"/>
              </w:numPr>
              <w:tabs>
                <w:tab w:val="left" w:pos="680"/>
                <w:tab w:val="left" w:pos="1133"/>
                <w:tab w:val="left" w:pos="2267"/>
              </w:tabs>
              <w:spacing w:before="0"/>
              <w:ind w:right="284"/>
              <w:contextualSpacing/>
              <w:jc w:val="left"/>
              <w:rPr>
                <w:rFonts w:eastAsia="Arial" w:cs="Arial"/>
                <w:color w:val="auto"/>
                <w:szCs w:val="24"/>
              </w:rPr>
            </w:pPr>
            <w:r w:rsidRPr="009838D1">
              <w:rPr>
                <w:rFonts w:eastAsia="Arial"/>
                <w:color w:val="auto"/>
              </w:rPr>
              <w:t xml:space="preserve">Impact Test </w:t>
            </w:r>
            <w:r w:rsidR="00F22DDF">
              <w:rPr>
                <w:rFonts w:eastAsia="Arial"/>
                <w:color w:val="auto"/>
              </w:rPr>
              <w:t>–</w:t>
            </w:r>
            <w:r w:rsidRPr="009838D1">
              <w:rPr>
                <w:rFonts w:eastAsia="Arial"/>
                <w:color w:val="auto"/>
              </w:rPr>
              <w:t xml:space="preserve"> </w:t>
            </w:r>
            <w:r w:rsidR="00F22DDF" w:rsidRPr="00F22DDF">
              <w:rPr>
                <w:rFonts w:eastAsia="Arial" w:cs="Arial"/>
                <w:color w:val="auto"/>
                <w:szCs w:val="24"/>
              </w:rPr>
              <w:t xml:space="preserve">Where considered necessary by the Council, an impact test will be </w:t>
            </w:r>
            <w:r w:rsidR="00804383" w:rsidRPr="00F22DDF">
              <w:rPr>
                <w:rFonts w:eastAsia="Arial" w:cs="Arial"/>
                <w:color w:val="auto"/>
                <w:szCs w:val="24"/>
              </w:rPr>
              <w:t>required for</w:t>
            </w:r>
            <w:r w:rsidR="00F22DDF" w:rsidRPr="00F22DDF">
              <w:rPr>
                <w:rFonts w:eastAsia="Arial" w:cs="Arial"/>
                <w:color w:val="auto"/>
                <w:szCs w:val="24"/>
              </w:rPr>
              <w:t xml:space="preserve"> retail or leisure proposals </w:t>
            </w:r>
            <w:r w:rsidR="00F22DDF" w:rsidRPr="009A3879">
              <w:rPr>
                <w:rFonts w:eastAsia="Arial" w:cs="Arial"/>
                <w:color w:val="auto"/>
                <w:szCs w:val="24"/>
              </w:rPr>
              <w:t>exceeding 300 square metres gross of floorspace.  This will include s</w:t>
            </w:r>
            <w:r w:rsidR="00F22DDF" w:rsidRPr="00F22DDF">
              <w:rPr>
                <w:rFonts w:eastAsia="Arial" w:cs="Arial"/>
                <w:color w:val="auto"/>
                <w:szCs w:val="24"/>
              </w:rPr>
              <w:t>ignificant extensions to existing facilities for retail or leisure uses falling outside the designated town centres (or local centres). Where the development is likely to have a significant adverse impact on:</w:t>
            </w:r>
          </w:p>
          <w:p w14:paraId="7B2AB828" w14:textId="77777777" w:rsidR="00F22DDF" w:rsidRPr="00F22DDF" w:rsidRDefault="00F22DDF" w:rsidP="00FF3EAD">
            <w:pPr>
              <w:keepNext w:val="0"/>
              <w:tabs>
                <w:tab w:val="left" w:pos="680"/>
                <w:tab w:val="left" w:pos="1133"/>
                <w:tab w:val="left" w:pos="2267"/>
              </w:tabs>
              <w:spacing w:before="0"/>
              <w:ind w:left="862" w:right="284"/>
              <w:contextualSpacing/>
              <w:jc w:val="left"/>
              <w:rPr>
                <w:rFonts w:eastAsia="Arial" w:cs="Arial"/>
                <w:color w:val="auto"/>
                <w:szCs w:val="24"/>
              </w:rPr>
            </w:pPr>
          </w:p>
          <w:p w14:paraId="039B606A" w14:textId="06A99A45" w:rsidR="00F22DDF" w:rsidRPr="00F22DDF" w:rsidRDefault="00F22DDF" w:rsidP="00874A98">
            <w:pPr>
              <w:pStyle w:val="ListParagraph"/>
              <w:numPr>
                <w:ilvl w:val="1"/>
                <w:numId w:val="164"/>
              </w:numPr>
              <w:spacing w:after="0" w:line="240" w:lineRule="auto"/>
              <w:ind w:left="1298" w:right="284" w:hanging="425"/>
              <w:jc w:val="left"/>
              <w:rPr>
                <w:rFonts w:ascii="Arial" w:eastAsia="Arial" w:hAnsi="Arial" w:cs="Arial"/>
                <w:color w:val="auto"/>
                <w:szCs w:val="24"/>
              </w:rPr>
            </w:pPr>
            <w:r w:rsidRPr="00F22DDF">
              <w:rPr>
                <w:rFonts w:ascii="Arial" w:eastAsia="Arial" w:hAnsi="Arial" w:cs="Arial"/>
                <w:color w:val="auto"/>
                <w:szCs w:val="24"/>
              </w:rPr>
              <w:t>existing, committed and planned public and private investment in a centre or centres in the catchment area of the proposal</w:t>
            </w:r>
            <w:r w:rsidR="00B13AEF">
              <w:rPr>
                <w:rFonts w:ascii="Arial" w:eastAsia="Arial" w:hAnsi="Arial" w:cs="Arial"/>
                <w:color w:val="auto"/>
                <w:szCs w:val="24"/>
              </w:rPr>
              <w:t>,</w:t>
            </w:r>
            <w:r w:rsidRPr="00F22DDF">
              <w:rPr>
                <w:rFonts w:ascii="Arial" w:eastAsia="Arial" w:hAnsi="Arial" w:cs="Arial"/>
                <w:color w:val="auto"/>
                <w:szCs w:val="24"/>
              </w:rPr>
              <w:t xml:space="preserve"> and</w:t>
            </w:r>
            <w:r w:rsidR="00B13AEF">
              <w:rPr>
                <w:rFonts w:ascii="Arial" w:eastAsia="Arial" w:hAnsi="Arial" w:cs="Arial"/>
                <w:color w:val="auto"/>
                <w:szCs w:val="24"/>
              </w:rPr>
              <w:t>/or</w:t>
            </w:r>
          </w:p>
          <w:p w14:paraId="5EF8660D" w14:textId="77777777" w:rsidR="00F22DDF" w:rsidRPr="00F22DDF" w:rsidRDefault="00F22DDF" w:rsidP="00FF3EAD">
            <w:pPr>
              <w:pStyle w:val="ListParagraph"/>
              <w:spacing w:after="0" w:line="240" w:lineRule="auto"/>
              <w:ind w:left="1298" w:right="284" w:hanging="425"/>
              <w:jc w:val="left"/>
              <w:rPr>
                <w:rFonts w:ascii="Arial" w:eastAsia="Arial" w:hAnsi="Arial" w:cs="Arial"/>
                <w:color w:val="auto"/>
                <w:szCs w:val="24"/>
              </w:rPr>
            </w:pPr>
          </w:p>
          <w:p w14:paraId="463D3D77" w14:textId="38B25152" w:rsidR="00F22DDF" w:rsidRPr="00F22DDF" w:rsidRDefault="00F22DDF" w:rsidP="00874A98">
            <w:pPr>
              <w:pStyle w:val="ListParagraph"/>
              <w:numPr>
                <w:ilvl w:val="1"/>
                <w:numId w:val="164"/>
              </w:numPr>
              <w:spacing w:after="0" w:line="240" w:lineRule="auto"/>
              <w:ind w:left="1298" w:right="284" w:hanging="425"/>
              <w:jc w:val="left"/>
              <w:rPr>
                <w:rFonts w:ascii="Arial" w:eastAsia="Arial" w:hAnsi="Arial" w:cs="Arial"/>
                <w:color w:val="auto"/>
                <w:szCs w:val="24"/>
              </w:rPr>
            </w:pPr>
            <w:r w:rsidRPr="00F22DDF">
              <w:rPr>
                <w:rFonts w:ascii="Arial" w:eastAsia="Arial" w:hAnsi="Arial" w:cs="Arial"/>
                <w:color w:val="auto"/>
                <w:szCs w:val="24"/>
              </w:rPr>
              <w:t>town centre vitality and viability, including local consumer choice and trade in the town centre and the wider retail catchment (as applicable to the scale and nature of the scheme)</w:t>
            </w:r>
            <w:r w:rsidR="00B13AEF">
              <w:rPr>
                <w:rFonts w:ascii="Arial" w:eastAsia="Arial" w:hAnsi="Arial" w:cs="Arial"/>
                <w:color w:val="auto"/>
                <w:szCs w:val="24"/>
              </w:rPr>
              <w:t>,</w:t>
            </w:r>
            <w:r w:rsidRPr="00F22DDF">
              <w:rPr>
                <w:rFonts w:ascii="Arial" w:eastAsia="Arial" w:hAnsi="Arial" w:cs="Arial"/>
                <w:color w:val="auto"/>
                <w:szCs w:val="24"/>
              </w:rPr>
              <w:t xml:space="preserve"> </w:t>
            </w:r>
          </w:p>
          <w:p w14:paraId="3878B024" w14:textId="77777777" w:rsidR="00F22DDF" w:rsidRPr="00F22DDF" w:rsidRDefault="00F22DDF" w:rsidP="00FF3EAD">
            <w:pPr>
              <w:keepNext w:val="0"/>
              <w:tabs>
                <w:tab w:val="left" w:pos="680"/>
                <w:tab w:val="left" w:pos="1133"/>
                <w:tab w:val="left" w:pos="2267"/>
              </w:tabs>
              <w:spacing w:before="0"/>
              <w:ind w:left="862" w:right="284"/>
              <w:contextualSpacing/>
              <w:jc w:val="left"/>
              <w:rPr>
                <w:rFonts w:eastAsia="Arial" w:cs="Arial"/>
                <w:color w:val="auto"/>
                <w:szCs w:val="24"/>
              </w:rPr>
            </w:pPr>
          </w:p>
          <w:p w14:paraId="57356374" w14:textId="273507CB" w:rsidR="00F22DDF" w:rsidRPr="00F22DDF" w:rsidRDefault="00F22DDF" w:rsidP="00FF3EAD">
            <w:pPr>
              <w:keepNext w:val="0"/>
              <w:tabs>
                <w:tab w:val="left" w:pos="680"/>
                <w:tab w:val="left" w:pos="1133"/>
                <w:tab w:val="left" w:pos="2267"/>
              </w:tabs>
              <w:spacing w:before="0"/>
              <w:ind w:left="862" w:right="284"/>
              <w:contextualSpacing/>
              <w:jc w:val="left"/>
              <w:rPr>
                <w:rFonts w:eastAsia="Arial" w:cs="Arial"/>
                <w:color w:val="auto"/>
                <w:szCs w:val="24"/>
              </w:rPr>
            </w:pPr>
            <w:r w:rsidRPr="00F22DDF">
              <w:rPr>
                <w:rFonts w:eastAsia="Arial" w:cs="Arial"/>
                <w:color w:val="auto"/>
                <w:szCs w:val="24"/>
              </w:rPr>
              <w:t>it will be refused.</w:t>
            </w:r>
          </w:p>
          <w:p w14:paraId="71AC24DE" w14:textId="77777777" w:rsidR="00DD5BA6" w:rsidRPr="009838D1" w:rsidRDefault="00DD5BA6" w:rsidP="00FF3EAD">
            <w:pPr>
              <w:keepNext w:val="0"/>
              <w:spacing w:before="0"/>
              <w:ind w:right="284"/>
              <w:contextualSpacing/>
              <w:jc w:val="left"/>
              <w:rPr>
                <w:rFonts w:eastAsia="Arial"/>
                <w:color w:val="auto"/>
                <w:sz w:val="20"/>
              </w:rPr>
            </w:pPr>
          </w:p>
          <w:p w14:paraId="3AB716E5" w14:textId="5DC53C1C" w:rsidR="00B56368" w:rsidRPr="009838D1" w:rsidRDefault="00B56368" w:rsidP="00FF3EAD">
            <w:pPr>
              <w:keepNext w:val="0"/>
              <w:spacing w:before="0"/>
              <w:ind w:right="284"/>
              <w:contextualSpacing/>
              <w:jc w:val="left"/>
              <w:rPr>
                <w:rFonts w:eastAsia="Arial"/>
                <w:color w:val="auto"/>
              </w:rPr>
            </w:pPr>
            <w:r w:rsidRPr="009838D1">
              <w:rPr>
                <w:rFonts w:eastAsia="Arial"/>
                <w:color w:val="auto"/>
                <w:sz w:val="20"/>
              </w:rPr>
              <w:t>1.</w:t>
            </w:r>
            <w:r w:rsidRPr="009838D1">
              <w:t xml:space="preserve"> </w:t>
            </w:r>
            <w:r w:rsidRPr="009838D1">
              <w:rPr>
                <w:rFonts w:eastAsia="Arial"/>
                <w:color w:val="auto"/>
                <w:sz w:val="20"/>
              </w:rPr>
              <w:t>Main Town Centre Uses – reflect the NPPF 202</w:t>
            </w:r>
            <w:r w:rsidR="00890361">
              <w:rPr>
                <w:rFonts w:eastAsia="Arial"/>
                <w:color w:val="auto"/>
                <w:sz w:val="20"/>
              </w:rPr>
              <w:t>3</w:t>
            </w:r>
            <w:r w:rsidRPr="009838D1">
              <w:rPr>
                <w:rFonts w:eastAsia="Arial"/>
                <w:color w:val="auto"/>
                <w:sz w:val="20"/>
              </w:rPr>
              <w:t>, Annex 2: Glossary definition of Main Town Centre Uses.</w:t>
            </w:r>
          </w:p>
        </w:tc>
      </w:tr>
      <w:tr w:rsidR="00DD5BA6" w:rsidRPr="00DD5BA6" w14:paraId="6E7E724A" w14:textId="77777777" w:rsidTr="00163F59">
        <w:tc>
          <w:tcPr>
            <w:tcW w:w="1838" w:type="dxa"/>
          </w:tcPr>
          <w:p w14:paraId="288B80DC" w14:textId="77777777" w:rsidR="00DD5BA6" w:rsidRPr="00DD5BA6" w:rsidRDefault="00DD5BA6" w:rsidP="00A05D94">
            <w:pPr>
              <w:keepNext w:val="0"/>
              <w:tabs>
                <w:tab w:val="left" w:pos="680"/>
                <w:tab w:val="left" w:pos="1133"/>
                <w:tab w:val="left" w:pos="2267"/>
              </w:tabs>
              <w:spacing w:before="0"/>
              <w:ind w:right="284"/>
              <w:jc w:val="left"/>
              <w:rPr>
                <w:rFonts w:eastAsia="Arial"/>
                <w:b/>
                <w:color w:val="C00000"/>
                <w:szCs w:val="24"/>
              </w:rPr>
            </w:pPr>
            <w:r w:rsidRPr="00DD5BA6">
              <w:rPr>
                <w:rFonts w:eastAsia="Arial" w:cs="Arial"/>
                <w:bCs/>
                <w:color w:val="auto"/>
                <w:sz w:val="20"/>
              </w:rPr>
              <w:t>Evidence base</w:t>
            </w:r>
          </w:p>
        </w:tc>
        <w:tc>
          <w:tcPr>
            <w:tcW w:w="7655" w:type="dxa"/>
            <w:gridSpan w:val="2"/>
          </w:tcPr>
          <w:p w14:paraId="0ADB37D7" w14:textId="34739466" w:rsidR="00DD5BA6" w:rsidRPr="00DD5BA6" w:rsidRDefault="00DD5BA6" w:rsidP="00A05D94">
            <w:pPr>
              <w:keepNext w:val="0"/>
              <w:numPr>
                <w:ilvl w:val="0"/>
                <w:numId w:val="36"/>
              </w:numPr>
              <w:spacing w:before="0" w:after="160" w:line="252" w:lineRule="auto"/>
              <w:contextualSpacing/>
              <w:jc w:val="left"/>
              <w:rPr>
                <w:rFonts w:cs="Arial"/>
                <w:color w:val="auto"/>
                <w:sz w:val="20"/>
              </w:rPr>
            </w:pPr>
            <w:r w:rsidRPr="00DD5BA6">
              <w:rPr>
                <w:rFonts w:cs="Arial"/>
                <w:color w:val="auto"/>
                <w:sz w:val="20"/>
              </w:rPr>
              <w:t xml:space="preserve">Background Paper </w:t>
            </w:r>
            <w:r w:rsidR="00A05D94">
              <w:rPr>
                <w:rFonts w:cs="Arial"/>
                <w:color w:val="auto"/>
                <w:sz w:val="20"/>
              </w:rPr>
              <w:t xml:space="preserve">No 1: </w:t>
            </w:r>
            <w:r w:rsidRPr="00DD5BA6">
              <w:rPr>
                <w:rFonts w:cs="Arial"/>
                <w:color w:val="auto"/>
                <w:sz w:val="20"/>
              </w:rPr>
              <w:t xml:space="preserve">Spatial Strategy and </w:t>
            </w:r>
            <w:r w:rsidR="00A32846">
              <w:rPr>
                <w:rFonts w:cs="Arial"/>
                <w:color w:val="auto"/>
                <w:sz w:val="20"/>
              </w:rPr>
              <w:t>Site Selection 2023</w:t>
            </w:r>
            <w:r w:rsidRPr="00DD5BA6">
              <w:rPr>
                <w:rFonts w:cs="Arial"/>
                <w:color w:val="auto"/>
                <w:sz w:val="20"/>
              </w:rPr>
              <w:t>. Ashfield District Council.</w:t>
            </w:r>
          </w:p>
          <w:p w14:paraId="16F9E443" w14:textId="0DD7D010" w:rsidR="00DD5BA6" w:rsidRPr="00DD5BA6" w:rsidRDefault="00DD5BA6" w:rsidP="00A05D94">
            <w:pPr>
              <w:keepNext w:val="0"/>
              <w:numPr>
                <w:ilvl w:val="0"/>
                <w:numId w:val="36"/>
              </w:numPr>
              <w:spacing w:before="0" w:after="160" w:line="252" w:lineRule="auto"/>
              <w:contextualSpacing/>
              <w:jc w:val="left"/>
              <w:rPr>
                <w:rFonts w:cs="Arial"/>
                <w:color w:val="auto"/>
                <w:sz w:val="20"/>
              </w:rPr>
            </w:pPr>
            <w:r w:rsidRPr="00DD5BA6">
              <w:rPr>
                <w:rFonts w:cs="Arial"/>
                <w:color w:val="auto"/>
                <w:sz w:val="20"/>
              </w:rPr>
              <w:t>Sutton Town Centre Spatial Masterplan, 20</w:t>
            </w:r>
            <w:r w:rsidR="00461D79">
              <w:rPr>
                <w:rFonts w:cs="Arial"/>
                <w:color w:val="auto"/>
                <w:sz w:val="20"/>
              </w:rPr>
              <w:t>19</w:t>
            </w:r>
            <w:r w:rsidRPr="00DD5BA6">
              <w:rPr>
                <w:rFonts w:cs="Arial"/>
                <w:color w:val="auto"/>
                <w:sz w:val="20"/>
              </w:rPr>
              <w:t>.  Ashfield District Council.</w:t>
            </w:r>
          </w:p>
          <w:p w14:paraId="0BB697D0" w14:textId="77777777" w:rsidR="00DD5BA6" w:rsidRPr="00DD5BA6" w:rsidRDefault="00DD5BA6" w:rsidP="00A05D94">
            <w:pPr>
              <w:keepNext w:val="0"/>
              <w:numPr>
                <w:ilvl w:val="0"/>
                <w:numId w:val="36"/>
              </w:numPr>
              <w:spacing w:before="0" w:after="160" w:line="252" w:lineRule="auto"/>
              <w:contextualSpacing/>
              <w:jc w:val="left"/>
              <w:rPr>
                <w:rFonts w:cs="Arial"/>
                <w:color w:val="auto"/>
                <w:sz w:val="20"/>
              </w:rPr>
            </w:pPr>
            <w:r w:rsidRPr="00DD5BA6">
              <w:rPr>
                <w:rFonts w:cs="Arial"/>
                <w:color w:val="auto"/>
                <w:sz w:val="20"/>
              </w:rPr>
              <w:t>Kirkby Town Centre Spatial Masterplan, 2021. Ashfield District Council.</w:t>
            </w:r>
          </w:p>
          <w:p w14:paraId="76EAC640" w14:textId="372B23F2" w:rsidR="00DD5BA6" w:rsidRPr="00A56503" w:rsidRDefault="00DD5BA6" w:rsidP="00A05D94">
            <w:pPr>
              <w:keepNext w:val="0"/>
              <w:numPr>
                <w:ilvl w:val="0"/>
                <w:numId w:val="36"/>
              </w:numPr>
              <w:spacing w:before="0" w:after="160" w:line="252" w:lineRule="auto"/>
              <w:contextualSpacing/>
              <w:jc w:val="left"/>
              <w:rPr>
                <w:rFonts w:cs="Arial"/>
                <w:color w:val="auto"/>
                <w:sz w:val="20"/>
              </w:rPr>
            </w:pPr>
            <w:r w:rsidRPr="00A56503">
              <w:rPr>
                <w:rFonts w:cs="Arial"/>
                <w:color w:val="auto"/>
                <w:sz w:val="20"/>
              </w:rPr>
              <w:t xml:space="preserve">Hucknall Town Centre </w:t>
            </w:r>
            <w:r w:rsidR="00106B8C">
              <w:rPr>
                <w:rFonts w:cs="Arial"/>
                <w:color w:val="auto"/>
                <w:sz w:val="20"/>
              </w:rPr>
              <w:t xml:space="preserve">Spatial </w:t>
            </w:r>
            <w:r w:rsidRPr="00A56503">
              <w:rPr>
                <w:rFonts w:cs="Arial"/>
                <w:color w:val="auto"/>
                <w:sz w:val="20"/>
              </w:rPr>
              <w:t>Masterplan</w:t>
            </w:r>
            <w:r w:rsidR="00A56503" w:rsidRPr="00A56503">
              <w:rPr>
                <w:rFonts w:cs="Arial"/>
                <w:color w:val="auto"/>
                <w:sz w:val="20"/>
              </w:rPr>
              <w:t>, 20</w:t>
            </w:r>
            <w:r w:rsidR="00106B8C">
              <w:rPr>
                <w:rFonts w:cs="Arial"/>
                <w:color w:val="auto"/>
                <w:sz w:val="20"/>
              </w:rPr>
              <w:t>22</w:t>
            </w:r>
            <w:r w:rsidR="00A56503" w:rsidRPr="00A56503">
              <w:rPr>
                <w:rFonts w:cs="Arial"/>
                <w:color w:val="auto"/>
                <w:sz w:val="20"/>
              </w:rPr>
              <w:t xml:space="preserve">. </w:t>
            </w:r>
            <w:r w:rsidR="00106B8C">
              <w:rPr>
                <w:rFonts w:cs="Arial"/>
                <w:color w:val="auto"/>
                <w:sz w:val="20"/>
              </w:rPr>
              <w:t>Ashfield District Council</w:t>
            </w:r>
            <w:r w:rsidR="00A56503" w:rsidRPr="00A56503">
              <w:rPr>
                <w:rFonts w:cs="Arial"/>
                <w:color w:val="auto"/>
                <w:sz w:val="20"/>
              </w:rPr>
              <w:t>.</w:t>
            </w:r>
          </w:p>
          <w:p w14:paraId="27C46E3A" w14:textId="076478A6" w:rsidR="00DD5BA6" w:rsidRPr="00A56503" w:rsidRDefault="00106B8C" w:rsidP="00A05D94">
            <w:pPr>
              <w:keepNext w:val="0"/>
              <w:numPr>
                <w:ilvl w:val="0"/>
                <w:numId w:val="36"/>
              </w:numPr>
              <w:spacing w:before="0" w:after="160" w:line="252" w:lineRule="auto"/>
              <w:contextualSpacing/>
              <w:jc w:val="left"/>
              <w:rPr>
                <w:rFonts w:cs="Arial"/>
                <w:color w:val="auto"/>
                <w:sz w:val="20"/>
              </w:rPr>
            </w:pPr>
            <w:r w:rsidRPr="00106B8C">
              <w:rPr>
                <w:rFonts w:cs="Arial"/>
                <w:sz w:val="20"/>
                <w:szCs w:val="20"/>
              </w:rPr>
              <w:t>Ashfield Town Centre / Local Centre Study, 2023</w:t>
            </w:r>
            <w:r>
              <w:rPr>
                <w:rFonts w:cs="Arial"/>
                <w:sz w:val="20"/>
                <w:szCs w:val="20"/>
              </w:rPr>
              <w:t xml:space="preserve">. </w:t>
            </w:r>
            <w:r w:rsidR="00DD5BA6" w:rsidRPr="00106B8C">
              <w:rPr>
                <w:rFonts w:cs="Arial"/>
                <w:color w:val="auto"/>
                <w:sz w:val="20"/>
                <w:szCs w:val="20"/>
              </w:rPr>
              <w:t>Nexus</w:t>
            </w:r>
            <w:r w:rsidR="00DD5BA6" w:rsidRPr="00A56503">
              <w:rPr>
                <w:rFonts w:cs="Arial"/>
                <w:color w:val="auto"/>
                <w:sz w:val="20"/>
              </w:rPr>
              <w:t xml:space="preserve"> Planning.</w:t>
            </w:r>
          </w:p>
          <w:p w14:paraId="35C56CFB" w14:textId="77777777" w:rsidR="00DD5BA6" w:rsidRPr="00A56503" w:rsidRDefault="00DD5BA6" w:rsidP="00A05D94">
            <w:pPr>
              <w:keepNext w:val="0"/>
              <w:numPr>
                <w:ilvl w:val="0"/>
                <w:numId w:val="36"/>
              </w:numPr>
              <w:spacing w:before="0" w:after="160" w:line="252" w:lineRule="auto"/>
              <w:contextualSpacing/>
              <w:jc w:val="left"/>
              <w:rPr>
                <w:rFonts w:cs="Arial"/>
                <w:color w:val="auto"/>
                <w:sz w:val="20"/>
              </w:rPr>
            </w:pPr>
            <w:r w:rsidRPr="00A56503">
              <w:rPr>
                <w:rFonts w:cs="Arial"/>
                <w:color w:val="auto"/>
                <w:sz w:val="20"/>
              </w:rPr>
              <w:t>Retail Floorspace Survey 2020. Ashfield District Council.</w:t>
            </w:r>
          </w:p>
          <w:p w14:paraId="64E98E9F" w14:textId="77777777" w:rsidR="00A56503" w:rsidRDefault="00DD5BA6" w:rsidP="00A05D94">
            <w:pPr>
              <w:keepNext w:val="0"/>
              <w:numPr>
                <w:ilvl w:val="0"/>
                <w:numId w:val="36"/>
              </w:numPr>
              <w:spacing w:before="0" w:after="160" w:line="252" w:lineRule="auto"/>
              <w:contextualSpacing/>
              <w:jc w:val="left"/>
              <w:rPr>
                <w:rFonts w:cs="Arial"/>
                <w:color w:val="auto"/>
                <w:sz w:val="20"/>
              </w:rPr>
            </w:pPr>
            <w:r w:rsidRPr="00A56503">
              <w:rPr>
                <w:rFonts w:cs="Arial"/>
                <w:color w:val="auto"/>
                <w:sz w:val="20"/>
              </w:rPr>
              <w:t xml:space="preserve">Kirkby-in-Ashfield &amp; Sutton in Ashfield Town </w:t>
            </w:r>
            <w:r w:rsidR="00A56503">
              <w:rPr>
                <w:rFonts w:cs="Arial"/>
                <w:color w:val="auto"/>
                <w:sz w:val="20"/>
              </w:rPr>
              <w:t>Fund.</w:t>
            </w:r>
          </w:p>
          <w:p w14:paraId="03BFC1E7" w14:textId="171150A6" w:rsidR="00DD5BA6" w:rsidRPr="00DD5BA6" w:rsidRDefault="00DD5BA6" w:rsidP="00A05D94">
            <w:pPr>
              <w:keepNext w:val="0"/>
              <w:numPr>
                <w:ilvl w:val="0"/>
                <w:numId w:val="36"/>
              </w:numPr>
              <w:spacing w:before="0" w:after="160" w:line="252" w:lineRule="auto"/>
              <w:contextualSpacing/>
              <w:jc w:val="left"/>
              <w:rPr>
                <w:rFonts w:cs="Arial"/>
                <w:color w:val="auto"/>
                <w:sz w:val="20"/>
              </w:rPr>
            </w:pPr>
            <w:r w:rsidRPr="00DD5BA6">
              <w:rPr>
                <w:rFonts w:cs="Arial"/>
                <w:color w:val="auto"/>
                <w:sz w:val="20"/>
              </w:rPr>
              <w:t>Sustainability Appraisal,</w:t>
            </w:r>
            <w:r w:rsidR="006B0C43">
              <w:rPr>
                <w:rFonts w:cs="Arial"/>
                <w:color w:val="auto"/>
                <w:sz w:val="20"/>
              </w:rPr>
              <w:t xml:space="preserve"> </w:t>
            </w:r>
            <w:r w:rsidRPr="00DD5BA6">
              <w:rPr>
                <w:rFonts w:cs="Arial"/>
                <w:color w:val="auto"/>
                <w:sz w:val="20"/>
              </w:rPr>
              <w:t>202</w:t>
            </w:r>
            <w:r w:rsidR="006B0C43">
              <w:rPr>
                <w:rFonts w:cs="Arial"/>
                <w:color w:val="auto"/>
                <w:sz w:val="20"/>
              </w:rPr>
              <w:t>3</w:t>
            </w:r>
            <w:r w:rsidRPr="00DD5BA6">
              <w:rPr>
                <w:rFonts w:cs="Arial"/>
                <w:color w:val="auto"/>
                <w:sz w:val="20"/>
              </w:rPr>
              <w:t xml:space="preserve">. </w:t>
            </w:r>
            <w:r w:rsidR="006B0C43" w:rsidRPr="006B0C43">
              <w:rPr>
                <w:rFonts w:cs="Arial"/>
                <w:color w:val="auto"/>
                <w:sz w:val="20"/>
              </w:rPr>
              <w:t>WSP UK Limited</w:t>
            </w:r>
            <w:r w:rsidRPr="00DD5BA6">
              <w:rPr>
                <w:rFonts w:cs="Arial"/>
                <w:color w:val="auto"/>
                <w:sz w:val="20"/>
              </w:rPr>
              <w:t>.</w:t>
            </w:r>
          </w:p>
        </w:tc>
      </w:tr>
      <w:tr w:rsidR="00DD5BA6" w:rsidRPr="00DD5BA6" w14:paraId="6A7E8C0C" w14:textId="77777777" w:rsidTr="00163F59">
        <w:tc>
          <w:tcPr>
            <w:tcW w:w="1838" w:type="dxa"/>
          </w:tcPr>
          <w:p w14:paraId="03F363A4" w14:textId="77777777" w:rsidR="00DD5BA6" w:rsidRPr="00DD5BA6" w:rsidRDefault="00DD5BA6" w:rsidP="00A05D94">
            <w:pPr>
              <w:keepNext w:val="0"/>
              <w:tabs>
                <w:tab w:val="left" w:pos="680"/>
                <w:tab w:val="left" w:pos="1133"/>
                <w:tab w:val="left" w:pos="2267"/>
              </w:tabs>
              <w:spacing w:before="0"/>
              <w:ind w:right="284"/>
              <w:jc w:val="left"/>
              <w:rPr>
                <w:rFonts w:eastAsia="Arial"/>
                <w:b/>
                <w:color w:val="538135"/>
                <w:sz w:val="22"/>
              </w:rPr>
            </w:pPr>
            <w:r w:rsidRPr="00DD5BA6">
              <w:rPr>
                <w:rFonts w:eastAsia="Arial" w:cs="Arial"/>
                <w:bCs/>
                <w:color w:val="auto"/>
                <w:sz w:val="20"/>
              </w:rPr>
              <w:t>National Planning Policy and Guidance</w:t>
            </w:r>
          </w:p>
        </w:tc>
        <w:tc>
          <w:tcPr>
            <w:tcW w:w="7655" w:type="dxa"/>
            <w:gridSpan w:val="2"/>
          </w:tcPr>
          <w:p w14:paraId="2B424DA4" w14:textId="74C796F7" w:rsidR="00DD5BA6" w:rsidRPr="00DD5BA6" w:rsidRDefault="00DD5BA6" w:rsidP="00A05D94">
            <w:pPr>
              <w:keepNext w:val="0"/>
              <w:numPr>
                <w:ilvl w:val="0"/>
                <w:numId w:val="35"/>
              </w:numPr>
              <w:tabs>
                <w:tab w:val="left" w:pos="680"/>
                <w:tab w:val="left" w:pos="1133"/>
                <w:tab w:val="left" w:pos="2267"/>
              </w:tabs>
              <w:spacing w:before="0" w:after="160" w:line="252" w:lineRule="auto"/>
              <w:ind w:right="284"/>
              <w:contextualSpacing/>
              <w:jc w:val="left"/>
              <w:rPr>
                <w:rFonts w:eastAsia="Arial" w:cs="Arial"/>
                <w:bCs/>
                <w:color w:val="auto"/>
                <w:sz w:val="20"/>
              </w:rPr>
            </w:pPr>
            <w:r w:rsidRPr="00DD5BA6">
              <w:rPr>
                <w:rFonts w:cs="Arial"/>
                <w:bCs/>
                <w:color w:val="auto"/>
                <w:sz w:val="20"/>
              </w:rPr>
              <w:t>NPPF 202</w:t>
            </w:r>
            <w:r w:rsidR="004173E0">
              <w:rPr>
                <w:rFonts w:cs="Arial"/>
                <w:bCs/>
                <w:color w:val="auto"/>
                <w:sz w:val="20"/>
              </w:rPr>
              <w:t>3</w:t>
            </w:r>
            <w:r w:rsidRPr="00DD5BA6">
              <w:rPr>
                <w:rFonts w:cs="Arial"/>
                <w:bCs/>
                <w:color w:val="auto"/>
                <w:sz w:val="20"/>
              </w:rPr>
              <w:t>, Part 2: Achieving Sustainable Development.</w:t>
            </w:r>
          </w:p>
          <w:p w14:paraId="29A955DC" w14:textId="5E9C4FD9" w:rsidR="00DD5BA6" w:rsidRPr="00DD5BA6" w:rsidRDefault="00DD5BA6" w:rsidP="00A05D94">
            <w:pPr>
              <w:keepNext w:val="0"/>
              <w:numPr>
                <w:ilvl w:val="0"/>
                <w:numId w:val="35"/>
              </w:numPr>
              <w:tabs>
                <w:tab w:val="left" w:pos="680"/>
                <w:tab w:val="left" w:pos="1133"/>
                <w:tab w:val="left" w:pos="2267"/>
              </w:tabs>
              <w:spacing w:before="0" w:after="160" w:line="252" w:lineRule="auto"/>
              <w:ind w:right="284"/>
              <w:contextualSpacing/>
              <w:jc w:val="left"/>
              <w:rPr>
                <w:rFonts w:eastAsia="Arial" w:cs="Arial"/>
                <w:bCs/>
                <w:color w:val="auto"/>
                <w:sz w:val="20"/>
              </w:rPr>
            </w:pPr>
            <w:r w:rsidRPr="00DD5BA6">
              <w:rPr>
                <w:rFonts w:cs="Arial"/>
                <w:bCs/>
                <w:color w:val="auto"/>
                <w:sz w:val="20"/>
              </w:rPr>
              <w:t>NPPF 202</w:t>
            </w:r>
            <w:r w:rsidR="004173E0">
              <w:rPr>
                <w:rFonts w:cs="Arial"/>
                <w:bCs/>
                <w:color w:val="auto"/>
                <w:sz w:val="20"/>
              </w:rPr>
              <w:t>3</w:t>
            </w:r>
            <w:r w:rsidRPr="00DD5BA6">
              <w:rPr>
                <w:rFonts w:cs="Arial"/>
                <w:bCs/>
                <w:color w:val="auto"/>
                <w:sz w:val="20"/>
              </w:rPr>
              <w:t>, Part 7: Ensuring the vitality of town centres.</w:t>
            </w:r>
          </w:p>
          <w:p w14:paraId="604FA51F" w14:textId="52720E15" w:rsidR="00DD5BA6" w:rsidRPr="00DD5BA6" w:rsidRDefault="00DD5BA6" w:rsidP="00A05D94">
            <w:pPr>
              <w:keepNext w:val="0"/>
              <w:numPr>
                <w:ilvl w:val="0"/>
                <w:numId w:val="35"/>
              </w:numPr>
              <w:tabs>
                <w:tab w:val="left" w:pos="680"/>
                <w:tab w:val="left" w:pos="1133"/>
                <w:tab w:val="left" w:pos="2267"/>
              </w:tabs>
              <w:spacing w:before="0" w:after="160" w:line="252" w:lineRule="auto"/>
              <w:ind w:right="284"/>
              <w:contextualSpacing/>
              <w:jc w:val="left"/>
              <w:rPr>
                <w:rFonts w:eastAsia="Arial" w:cs="Arial"/>
                <w:bCs/>
                <w:color w:val="auto"/>
                <w:sz w:val="20"/>
              </w:rPr>
            </w:pPr>
            <w:bookmarkStart w:id="269" w:name="_Hlk139639151"/>
            <w:r w:rsidRPr="00DD5BA6">
              <w:rPr>
                <w:rFonts w:eastAsia="Arial" w:cs="Arial"/>
                <w:bCs/>
                <w:color w:val="auto"/>
                <w:sz w:val="20"/>
              </w:rPr>
              <w:t xml:space="preserve">Planning Practice Guidance: Town centres and retail as </w:t>
            </w:r>
            <w:r w:rsidR="009D1815" w:rsidRPr="00985BCC">
              <w:rPr>
                <w:rFonts w:eastAsia="Arial" w:cs="Arial"/>
                <w:bCs/>
                <w:sz w:val="20"/>
              </w:rPr>
              <w:t>of</w:t>
            </w:r>
            <w:r w:rsidR="006B0C43" w:rsidRPr="00985BCC">
              <w:rPr>
                <w:rFonts w:eastAsia="Arial" w:cs="Arial"/>
                <w:bCs/>
                <w:sz w:val="20"/>
              </w:rPr>
              <w:t xml:space="preserve"> September 2020</w:t>
            </w:r>
            <w:r w:rsidRPr="00985BCC">
              <w:rPr>
                <w:rFonts w:eastAsia="Arial" w:cs="Arial"/>
                <w:bCs/>
                <w:sz w:val="20"/>
              </w:rPr>
              <w:t>.</w:t>
            </w:r>
            <w:bookmarkEnd w:id="269"/>
          </w:p>
        </w:tc>
      </w:tr>
    </w:tbl>
    <w:p w14:paraId="13CF96E2" w14:textId="77777777" w:rsidR="00DD5BA6" w:rsidRPr="00DD5BA6" w:rsidRDefault="00DD5BA6" w:rsidP="00DD5BA6">
      <w:pPr>
        <w:keepNext w:val="0"/>
        <w:autoSpaceDE w:val="0"/>
        <w:autoSpaceDN w:val="0"/>
        <w:adjustRightInd w:val="0"/>
        <w:spacing w:before="0"/>
        <w:rPr>
          <w:rFonts w:eastAsia="Arial" w:cs="Arial"/>
          <w:color w:val="auto"/>
          <w:szCs w:val="24"/>
        </w:rPr>
      </w:pPr>
    </w:p>
    <w:p w14:paraId="1DDC0C82" w14:textId="77777777" w:rsidR="00DD5BA6" w:rsidRPr="00DD5BA6" w:rsidRDefault="00DD5BA6" w:rsidP="00DD5BA6">
      <w:pPr>
        <w:keepNext w:val="0"/>
        <w:autoSpaceDE w:val="0"/>
        <w:autoSpaceDN w:val="0"/>
        <w:adjustRightInd w:val="0"/>
        <w:spacing w:before="0"/>
        <w:rPr>
          <w:rFonts w:eastAsia="Arial" w:cs="Arial"/>
          <w:color w:val="auto"/>
          <w:szCs w:val="24"/>
        </w:rPr>
      </w:pPr>
    </w:p>
    <w:p w14:paraId="50080CBB" w14:textId="5FDD52B3" w:rsidR="00DD5BA6" w:rsidRPr="00DD5BA6" w:rsidRDefault="00DD5BA6" w:rsidP="00DD5BA6">
      <w:pPr>
        <w:keepNext w:val="0"/>
        <w:numPr>
          <w:ilvl w:val="1"/>
          <w:numId w:val="6"/>
        </w:numPr>
        <w:tabs>
          <w:tab w:val="clear" w:pos="525"/>
        </w:tabs>
        <w:spacing w:before="0"/>
        <w:ind w:left="709" w:hanging="709"/>
        <w:rPr>
          <w:rFonts w:cs="Arial"/>
          <w:color w:val="auto"/>
          <w:szCs w:val="24"/>
          <w:lang w:eastAsia="en-US"/>
        </w:rPr>
      </w:pPr>
      <w:r w:rsidRPr="00DD5BA6">
        <w:rPr>
          <w:rFonts w:eastAsia="Calibri"/>
          <w:color w:val="auto"/>
          <w:szCs w:val="22"/>
          <w:lang w:eastAsia="en-US"/>
        </w:rPr>
        <w:t>To enhance the vitality and viability of town and local centres development will be supported where it provides a range of uses, that encourage a strong daytime and evening economy, and enhance local employment opportunities. This includes appropriate residential uses within centres, particularly at upper floor levels, to enhance activity, footfall and natural surveillance.</w:t>
      </w:r>
    </w:p>
    <w:p w14:paraId="48BA8507" w14:textId="77777777" w:rsidR="00DD5BA6" w:rsidRDefault="00DD5BA6" w:rsidP="00DD5BA6">
      <w:pPr>
        <w:keepNext w:val="0"/>
        <w:spacing w:before="0"/>
        <w:ind w:left="709"/>
        <w:rPr>
          <w:rFonts w:cs="Arial"/>
          <w:color w:val="auto"/>
          <w:szCs w:val="24"/>
          <w:lang w:eastAsia="en-US"/>
        </w:rPr>
      </w:pPr>
    </w:p>
    <w:p w14:paraId="5EC1098D" w14:textId="03F83A87" w:rsidR="00DD5BA6" w:rsidRPr="00DD5BA6" w:rsidRDefault="00DD5BA6" w:rsidP="00DD5BA6">
      <w:pPr>
        <w:keepNext w:val="0"/>
        <w:numPr>
          <w:ilvl w:val="1"/>
          <w:numId w:val="6"/>
        </w:numPr>
        <w:tabs>
          <w:tab w:val="clear" w:pos="525"/>
        </w:tabs>
        <w:spacing w:before="0"/>
        <w:ind w:left="709" w:hanging="709"/>
        <w:rPr>
          <w:rFonts w:cs="Arial"/>
          <w:color w:val="auto"/>
          <w:szCs w:val="24"/>
          <w:lang w:eastAsia="en-US"/>
        </w:rPr>
      </w:pPr>
      <w:r w:rsidRPr="00DD5BA6">
        <w:rPr>
          <w:rFonts w:eastAsia="Arial" w:cs="Arial"/>
          <w:color w:val="auto"/>
          <w:szCs w:val="24"/>
        </w:rPr>
        <w:t xml:space="preserve">Hucknall, Sutton in Ashfield and Kirkby-in-Ashfield will be the focus for larger scale retail and leisure developments, in line with </w:t>
      </w:r>
      <w:r w:rsidRPr="00A56503">
        <w:rPr>
          <w:rFonts w:eastAsia="Arial" w:cs="Arial"/>
          <w:color w:val="auto"/>
          <w:szCs w:val="24"/>
        </w:rPr>
        <w:t>Strategic Policy 1</w:t>
      </w:r>
      <w:r w:rsidR="00345E2F">
        <w:rPr>
          <w:rFonts w:eastAsia="Arial" w:cs="Arial"/>
          <w:color w:val="auto"/>
          <w:szCs w:val="24"/>
        </w:rPr>
        <w:t>1</w:t>
      </w:r>
      <w:r w:rsidRPr="00A56503">
        <w:rPr>
          <w:rFonts w:eastAsia="Arial" w:cs="Arial"/>
          <w:color w:val="auto"/>
          <w:szCs w:val="24"/>
        </w:rPr>
        <w:t>,</w:t>
      </w:r>
      <w:r w:rsidRPr="00DD5BA6">
        <w:rPr>
          <w:rFonts w:eastAsia="Arial" w:cs="Arial"/>
          <w:color w:val="auto"/>
          <w:szCs w:val="24"/>
        </w:rPr>
        <w:t xml:space="preserve"> as they serve wider catchment areas.  In considering the appropriateness and scale of proposed development, the Council will have regard to the following matters:</w:t>
      </w:r>
    </w:p>
    <w:p w14:paraId="21F57674" w14:textId="60CDF88F" w:rsidR="00DD5BA6" w:rsidRDefault="00DD5BA6" w:rsidP="00DD5BA6">
      <w:pPr>
        <w:keepNext w:val="0"/>
        <w:spacing w:before="0"/>
        <w:ind w:left="709"/>
        <w:rPr>
          <w:rFonts w:eastAsia="Arial" w:cs="Arial"/>
          <w:color w:val="auto"/>
          <w:szCs w:val="24"/>
        </w:rPr>
      </w:pPr>
    </w:p>
    <w:p w14:paraId="2B6DC6B7" w14:textId="77777777" w:rsidR="00DD5BA6" w:rsidRPr="00DD5BA6" w:rsidRDefault="00DD5BA6" w:rsidP="00874A98">
      <w:pPr>
        <w:keepNext w:val="0"/>
        <w:numPr>
          <w:ilvl w:val="0"/>
          <w:numId w:val="167"/>
        </w:numPr>
        <w:autoSpaceDE w:val="0"/>
        <w:autoSpaceDN w:val="0"/>
        <w:adjustRightInd w:val="0"/>
        <w:spacing w:before="0" w:after="160" w:line="252" w:lineRule="auto"/>
        <w:contextualSpacing/>
        <w:jc w:val="both"/>
        <w:rPr>
          <w:rFonts w:eastAsia="Arial" w:cs="Arial"/>
          <w:color w:val="auto"/>
          <w:szCs w:val="24"/>
        </w:rPr>
      </w:pPr>
      <w:r w:rsidRPr="00DD5BA6">
        <w:rPr>
          <w:rFonts w:eastAsia="Arial" w:cs="Arial"/>
          <w:color w:val="auto"/>
          <w:szCs w:val="24"/>
        </w:rPr>
        <w:t>the role and function of the centre within the wider hierarchy and the catchment served;</w:t>
      </w:r>
    </w:p>
    <w:p w14:paraId="2D6D1B12" w14:textId="77777777" w:rsidR="00DD5BA6" w:rsidRPr="00DD5BA6" w:rsidRDefault="00DD5BA6" w:rsidP="00874A98">
      <w:pPr>
        <w:keepNext w:val="0"/>
        <w:numPr>
          <w:ilvl w:val="0"/>
          <w:numId w:val="167"/>
        </w:numPr>
        <w:autoSpaceDE w:val="0"/>
        <w:autoSpaceDN w:val="0"/>
        <w:adjustRightInd w:val="0"/>
        <w:spacing w:before="0" w:after="160" w:line="252" w:lineRule="auto"/>
        <w:contextualSpacing/>
        <w:jc w:val="both"/>
        <w:rPr>
          <w:rFonts w:eastAsia="Arial" w:cs="Arial"/>
          <w:color w:val="auto"/>
          <w:szCs w:val="24"/>
        </w:rPr>
      </w:pPr>
      <w:r w:rsidRPr="00DD5BA6">
        <w:rPr>
          <w:rFonts w:eastAsia="Arial" w:cs="Arial"/>
          <w:color w:val="auto"/>
          <w:szCs w:val="24"/>
        </w:rPr>
        <w:t>the pattern of existing development within the centre;</w:t>
      </w:r>
    </w:p>
    <w:p w14:paraId="4DB44B0B" w14:textId="77777777" w:rsidR="00DD5BA6" w:rsidRPr="00DD5BA6" w:rsidRDefault="00DD5BA6" w:rsidP="00874A98">
      <w:pPr>
        <w:keepNext w:val="0"/>
        <w:numPr>
          <w:ilvl w:val="0"/>
          <w:numId w:val="167"/>
        </w:numPr>
        <w:autoSpaceDE w:val="0"/>
        <w:autoSpaceDN w:val="0"/>
        <w:adjustRightInd w:val="0"/>
        <w:spacing w:before="0" w:after="160" w:line="252" w:lineRule="auto"/>
        <w:contextualSpacing/>
        <w:jc w:val="both"/>
        <w:rPr>
          <w:rFonts w:eastAsia="Arial" w:cs="Arial"/>
          <w:color w:val="auto"/>
          <w:szCs w:val="24"/>
        </w:rPr>
      </w:pPr>
      <w:r w:rsidRPr="00DD5BA6">
        <w:rPr>
          <w:rFonts w:eastAsia="Arial" w:cs="Arial"/>
          <w:color w:val="auto"/>
          <w:szCs w:val="24"/>
        </w:rPr>
        <w:t>the scale of existing development.</w:t>
      </w:r>
    </w:p>
    <w:p w14:paraId="58C57D89" w14:textId="77777777" w:rsidR="00DD5BA6" w:rsidRDefault="00DD5BA6" w:rsidP="00A56503">
      <w:pPr>
        <w:keepNext w:val="0"/>
        <w:spacing w:before="0"/>
        <w:rPr>
          <w:rFonts w:cs="Arial"/>
          <w:color w:val="auto"/>
          <w:szCs w:val="24"/>
          <w:lang w:eastAsia="en-US"/>
        </w:rPr>
      </w:pPr>
    </w:p>
    <w:p w14:paraId="7BAFDB8B" w14:textId="0FCDE168" w:rsidR="00DD5BA6" w:rsidRPr="00DD5BA6" w:rsidRDefault="00DD5BA6" w:rsidP="00DD5BA6">
      <w:pPr>
        <w:keepNext w:val="0"/>
        <w:numPr>
          <w:ilvl w:val="1"/>
          <w:numId w:val="6"/>
        </w:numPr>
        <w:tabs>
          <w:tab w:val="clear" w:pos="525"/>
        </w:tabs>
        <w:spacing w:before="0"/>
        <w:ind w:left="709" w:hanging="709"/>
        <w:rPr>
          <w:rFonts w:cs="Arial"/>
          <w:color w:val="auto"/>
          <w:szCs w:val="24"/>
          <w:lang w:eastAsia="en-US"/>
        </w:rPr>
      </w:pPr>
      <w:r w:rsidRPr="00DD5BA6">
        <w:rPr>
          <w:rFonts w:eastAsia="Arial" w:cs="Arial"/>
          <w:color w:val="auto"/>
          <w:szCs w:val="24"/>
        </w:rPr>
        <w:t xml:space="preserve">The Council recognises the importance of supporting appropriate diversification of uses within a town </w:t>
      </w:r>
      <w:r w:rsidR="009D1815" w:rsidRPr="00DD5BA6">
        <w:rPr>
          <w:rFonts w:eastAsia="Arial" w:cs="Arial"/>
          <w:color w:val="auto"/>
          <w:szCs w:val="24"/>
        </w:rPr>
        <w:t>centre but</w:t>
      </w:r>
      <w:r w:rsidRPr="00DD5BA6">
        <w:rPr>
          <w:rFonts w:eastAsia="Arial" w:cs="Arial"/>
          <w:color w:val="auto"/>
          <w:szCs w:val="24"/>
        </w:rPr>
        <w:t xml:space="preserve"> considers that retail uses should form the principle use within all the District’s centres, supported by complementary non-retail uses.</w:t>
      </w:r>
    </w:p>
    <w:p w14:paraId="65D1F08B" w14:textId="4206030D" w:rsidR="00DD5BA6" w:rsidRDefault="00DD5BA6" w:rsidP="00DD5BA6">
      <w:pPr>
        <w:keepNext w:val="0"/>
        <w:spacing w:before="0"/>
        <w:ind w:left="709"/>
        <w:rPr>
          <w:rFonts w:cs="Arial"/>
          <w:color w:val="auto"/>
          <w:szCs w:val="24"/>
          <w:lang w:eastAsia="en-US"/>
        </w:rPr>
      </w:pPr>
      <w:r w:rsidRPr="00DD5BA6">
        <w:rPr>
          <w:rFonts w:eastAsia="Arial" w:cs="Arial"/>
          <w:color w:val="auto"/>
          <w:szCs w:val="24"/>
        </w:rPr>
        <w:t xml:space="preserve"> </w:t>
      </w:r>
    </w:p>
    <w:p w14:paraId="1DA07D4C" w14:textId="30F380B0" w:rsidR="00DD5BA6" w:rsidRPr="00DD5BA6" w:rsidRDefault="00DD5BA6" w:rsidP="00DD5BA6">
      <w:pPr>
        <w:keepNext w:val="0"/>
        <w:numPr>
          <w:ilvl w:val="1"/>
          <w:numId w:val="6"/>
        </w:numPr>
        <w:tabs>
          <w:tab w:val="clear" w:pos="525"/>
        </w:tabs>
        <w:spacing w:before="0"/>
        <w:ind w:left="709" w:hanging="709"/>
        <w:rPr>
          <w:rFonts w:cs="Arial"/>
          <w:color w:val="auto"/>
          <w:szCs w:val="24"/>
          <w:lang w:eastAsia="en-US"/>
        </w:rPr>
      </w:pPr>
      <w:r w:rsidRPr="00DD5BA6">
        <w:rPr>
          <w:rFonts w:eastAsia="Arial" w:cs="Arial"/>
          <w:color w:val="auto"/>
          <w:szCs w:val="24"/>
        </w:rPr>
        <w:t>The Council will support proposals which deliver the objectives of the Masterplans for Hucknall</w:t>
      </w:r>
      <w:r w:rsidRPr="00DD5BA6">
        <w:rPr>
          <w:rFonts w:eastAsia="Arial" w:cs="Arial"/>
          <w:color w:val="auto"/>
          <w:szCs w:val="24"/>
          <w:vertAlign w:val="superscript"/>
        </w:rPr>
        <w:footnoteReference w:id="98"/>
      </w:r>
      <w:r w:rsidRPr="00DD5BA6">
        <w:rPr>
          <w:rFonts w:eastAsia="Arial" w:cs="Arial"/>
          <w:color w:val="auto"/>
          <w:szCs w:val="24"/>
        </w:rPr>
        <w:t>, Sutton in Ashfield</w:t>
      </w:r>
      <w:r w:rsidRPr="00DD5BA6">
        <w:rPr>
          <w:rFonts w:eastAsia="Arial" w:cs="Arial"/>
          <w:color w:val="auto"/>
          <w:szCs w:val="24"/>
          <w:vertAlign w:val="superscript"/>
        </w:rPr>
        <w:footnoteReference w:id="99"/>
      </w:r>
      <w:r w:rsidRPr="00DD5BA6">
        <w:rPr>
          <w:rFonts w:eastAsia="Arial" w:cs="Arial"/>
          <w:color w:val="auto"/>
          <w:szCs w:val="24"/>
        </w:rPr>
        <w:t xml:space="preserve"> and Kirkby-in-Ashfield</w:t>
      </w:r>
      <w:r w:rsidRPr="00DD5BA6">
        <w:rPr>
          <w:rFonts w:eastAsia="Arial" w:cs="Arial"/>
          <w:color w:val="auto"/>
          <w:szCs w:val="24"/>
          <w:vertAlign w:val="superscript"/>
        </w:rPr>
        <w:footnoteReference w:id="100"/>
      </w:r>
      <w:r w:rsidRPr="00DD5BA6">
        <w:rPr>
          <w:rFonts w:eastAsia="Arial" w:cs="Arial"/>
          <w:color w:val="auto"/>
          <w:szCs w:val="24"/>
        </w:rPr>
        <w:t>, provided that there are no adverse effects on neighbouring sites or on the area as a whole. The design of town centre developments, including architectural style, functionality, materials, accessibility arrangements and colour scheme, should enhance the street scene.</w:t>
      </w:r>
    </w:p>
    <w:p w14:paraId="089C9CA2" w14:textId="77777777" w:rsidR="00DD5BA6" w:rsidRDefault="00DD5BA6" w:rsidP="00DD5BA6">
      <w:pPr>
        <w:keepNext w:val="0"/>
        <w:spacing w:before="0"/>
        <w:ind w:left="709"/>
        <w:rPr>
          <w:rFonts w:cs="Arial"/>
          <w:color w:val="auto"/>
          <w:szCs w:val="24"/>
          <w:lang w:eastAsia="en-US"/>
        </w:rPr>
      </w:pPr>
    </w:p>
    <w:p w14:paraId="62B18EF1" w14:textId="27890AE3" w:rsidR="00DD5BA6" w:rsidRPr="00E81814" w:rsidRDefault="00DD5BA6" w:rsidP="00E81814">
      <w:pPr>
        <w:keepNext w:val="0"/>
        <w:numPr>
          <w:ilvl w:val="1"/>
          <w:numId w:val="6"/>
        </w:numPr>
        <w:tabs>
          <w:tab w:val="clear" w:pos="525"/>
        </w:tabs>
        <w:spacing w:before="0"/>
        <w:ind w:left="709" w:hanging="709"/>
        <w:rPr>
          <w:rFonts w:eastAsia="Arial" w:cs="Arial"/>
          <w:color w:val="auto"/>
          <w:szCs w:val="24"/>
        </w:rPr>
      </w:pPr>
      <w:r w:rsidRPr="00E81814">
        <w:rPr>
          <w:rFonts w:eastAsia="Arial" w:cs="Arial"/>
          <w:color w:val="auto"/>
          <w:szCs w:val="24"/>
        </w:rPr>
        <w:t xml:space="preserve">Residential and office uses are an important element of a diverse and vibrant centre, providing vibrancy and customers to a centre. </w:t>
      </w:r>
      <w:bookmarkStart w:id="270" w:name="_Hlk80177672"/>
      <w:r w:rsidR="00E81814" w:rsidRPr="00E81814">
        <w:rPr>
          <w:rFonts w:eastAsia="Arial" w:cs="Arial"/>
          <w:color w:val="auto"/>
          <w:szCs w:val="24"/>
        </w:rPr>
        <w:t xml:space="preserve">The Policy has to be seen in the context that there are </w:t>
      </w:r>
      <w:r w:rsidR="00E81814">
        <w:rPr>
          <w:rFonts w:eastAsia="Arial" w:cs="Arial"/>
          <w:color w:val="auto"/>
          <w:szCs w:val="24"/>
        </w:rPr>
        <w:t>p</w:t>
      </w:r>
      <w:r w:rsidR="00E81814" w:rsidRPr="00E81814">
        <w:rPr>
          <w:rFonts w:eastAsia="Arial" w:cs="Arial"/>
          <w:color w:val="auto"/>
          <w:szCs w:val="24"/>
        </w:rPr>
        <w:t xml:space="preserve">ermitted </w:t>
      </w:r>
      <w:r w:rsidR="00E81814">
        <w:rPr>
          <w:rFonts w:eastAsia="Arial" w:cs="Arial"/>
          <w:color w:val="auto"/>
          <w:szCs w:val="24"/>
        </w:rPr>
        <w:t>d</w:t>
      </w:r>
      <w:r w:rsidR="00E81814" w:rsidRPr="00E81814">
        <w:rPr>
          <w:rFonts w:eastAsia="Arial" w:cs="Arial"/>
          <w:color w:val="auto"/>
          <w:szCs w:val="24"/>
        </w:rPr>
        <w:t>evelopment rights</w:t>
      </w:r>
      <w:r w:rsidR="00E81814">
        <w:rPr>
          <w:rStyle w:val="FootnoteReference"/>
          <w:rFonts w:eastAsia="Arial" w:cs="Arial"/>
          <w:color w:val="auto"/>
          <w:szCs w:val="24"/>
        </w:rPr>
        <w:footnoteReference w:id="101"/>
      </w:r>
      <w:r w:rsidR="00E81814" w:rsidRPr="00E81814">
        <w:rPr>
          <w:rFonts w:eastAsia="Arial" w:cs="Arial"/>
          <w:color w:val="auto"/>
          <w:szCs w:val="24"/>
        </w:rPr>
        <w:t xml:space="preserve"> for various use which grant permission for development without the requirement for a planning application</w:t>
      </w:r>
      <w:r w:rsidR="00E81814">
        <w:rPr>
          <w:rFonts w:eastAsia="Arial" w:cs="Arial"/>
          <w:color w:val="auto"/>
          <w:szCs w:val="24"/>
        </w:rPr>
        <w:t xml:space="preserve">. This includes the potential conversion of retail units into residential use subject to specific requirements and considerations set out in the prior approval.  </w:t>
      </w:r>
      <w:bookmarkEnd w:id="270"/>
      <w:r w:rsidR="00E81814">
        <w:rPr>
          <w:rFonts w:eastAsia="Arial" w:cs="Arial"/>
          <w:color w:val="auto"/>
          <w:szCs w:val="24"/>
        </w:rPr>
        <w:t xml:space="preserve">However, where possible, </w:t>
      </w:r>
      <w:r w:rsidRPr="00E81814">
        <w:rPr>
          <w:rFonts w:eastAsia="Arial" w:cs="Arial"/>
          <w:color w:val="auto"/>
          <w:szCs w:val="24"/>
        </w:rPr>
        <w:t xml:space="preserve">within the Primary Shopping Area the Council will seek to locate such uses at first floor levels. Where these uses are proposed at ground floor, designs </w:t>
      </w:r>
      <w:r w:rsidR="00E81814">
        <w:rPr>
          <w:rFonts w:eastAsia="Arial" w:cs="Arial"/>
          <w:color w:val="auto"/>
          <w:szCs w:val="24"/>
        </w:rPr>
        <w:t>should e</w:t>
      </w:r>
      <w:r w:rsidRPr="00E81814">
        <w:rPr>
          <w:rFonts w:eastAsia="Arial" w:cs="Arial"/>
          <w:color w:val="auto"/>
          <w:szCs w:val="24"/>
        </w:rPr>
        <w:t>ffectively integrate the uses within the existing street scene and create an appropriate environment for future users and residents.   Fu</w:t>
      </w:r>
      <w:r w:rsidR="005C01D3" w:rsidRPr="00E81814">
        <w:rPr>
          <w:rFonts w:eastAsia="Arial" w:cs="Arial"/>
          <w:color w:val="auto"/>
          <w:szCs w:val="24"/>
        </w:rPr>
        <w:t>r</w:t>
      </w:r>
      <w:r w:rsidRPr="00E81814">
        <w:rPr>
          <w:rFonts w:eastAsia="Arial" w:cs="Arial"/>
          <w:color w:val="auto"/>
          <w:szCs w:val="24"/>
        </w:rPr>
        <w:t>ther information on this aspect is set out in supplementary planning guidance</w:t>
      </w:r>
      <w:r w:rsidRPr="00DD5BA6">
        <w:rPr>
          <w:rFonts w:eastAsia="Arial" w:cs="Arial"/>
          <w:color w:val="auto"/>
          <w:szCs w:val="24"/>
          <w:vertAlign w:val="superscript"/>
        </w:rPr>
        <w:footnoteReference w:id="102"/>
      </w:r>
      <w:r w:rsidRPr="00E81814">
        <w:rPr>
          <w:rFonts w:eastAsia="Arial" w:cs="Arial"/>
          <w:color w:val="auto"/>
          <w:szCs w:val="24"/>
        </w:rPr>
        <w:t>.</w:t>
      </w:r>
    </w:p>
    <w:p w14:paraId="47B990E3" w14:textId="34F81FB2" w:rsidR="00DD5BA6" w:rsidRDefault="00DD5BA6" w:rsidP="00DD5BA6">
      <w:pPr>
        <w:keepNext w:val="0"/>
        <w:spacing w:before="0"/>
        <w:ind w:left="709"/>
        <w:rPr>
          <w:rFonts w:eastAsia="Arial" w:cs="Arial"/>
          <w:color w:val="auto"/>
          <w:szCs w:val="24"/>
        </w:rPr>
      </w:pPr>
    </w:p>
    <w:p w14:paraId="396FD570" w14:textId="77777777" w:rsidR="00DD5BA6" w:rsidRPr="00DD5BA6" w:rsidRDefault="00DD5BA6" w:rsidP="00DD5BA6">
      <w:pPr>
        <w:keepNext w:val="0"/>
        <w:tabs>
          <w:tab w:val="left" w:pos="680"/>
        </w:tabs>
        <w:spacing w:before="0"/>
        <w:ind w:left="680"/>
        <w:rPr>
          <w:rFonts w:eastAsia="Arial" w:cs="Arial"/>
          <w:b/>
          <w:color w:val="auto"/>
          <w:szCs w:val="24"/>
        </w:rPr>
      </w:pPr>
      <w:r w:rsidRPr="00DD5BA6">
        <w:rPr>
          <w:rFonts w:eastAsia="Arial" w:cs="Arial"/>
          <w:b/>
          <w:color w:val="auto"/>
          <w:szCs w:val="24"/>
        </w:rPr>
        <w:t>Hot Food Takeaways</w:t>
      </w:r>
      <w:r w:rsidRPr="00DD5BA6">
        <w:rPr>
          <w:rFonts w:eastAsia="Calibri"/>
          <w:b/>
          <w:color w:val="auto"/>
          <w:szCs w:val="22"/>
          <w:lang w:eastAsia="en-US"/>
        </w:rPr>
        <w:t xml:space="preserve"> and P</w:t>
      </w:r>
      <w:r w:rsidRPr="00DD5BA6">
        <w:rPr>
          <w:rFonts w:eastAsia="Arial" w:cs="Arial"/>
          <w:b/>
          <w:color w:val="auto"/>
          <w:szCs w:val="24"/>
        </w:rPr>
        <w:t>ubs/Drinking Establishments</w:t>
      </w:r>
    </w:p>
    <w:p w14:paraId="461FF8C9" w14:textId="000E0CC8" w:rsidR="00DD5BA6" w:rsidRPr="00DD5BA6" w:rsidRDefault="00DD5BA6" w:rsidP="00DD5BA6">
      <w:pPr>
        <w:keepNext w:val="0"/>
        <w:numPr>
          <w:ilvl w:val="1"/>
          <w:numId w:val="6"/>
        </w:numPr>
        <w:tabs>
          <w:tab w:val="clear" w:pos="525"/>
        </w:tabs>
        <w:spacing w:before="0"/>
        <w:ind w:left="709" w:hanging="709"/>
        <w:rPr>
          <w:rFonts w:cs="Arial"/>
          <w:color w:val="auto"/>
          <w:szCs w:val="24"/>
          <w:lang w:eastAsia="en-US"/>
        </w:rPr>
      </w:pPr>
      <w:r w:rsidRPr="00DD5BA6">
        <w:rPr>
          <w:rFonts w:eastAsia="Arial" w:cs="Arial"/>
          <w:bCs/>
          <w:color w:val="auto"/>
          <w:szCs w:val="24"/>
        </w:rPr>
        <w:t>Hot food takeaways provide a</w:t>
      </w:r>
      <w:r w:rsidR="00CE29D9">
        <w:rPr>
          <w:rFonts w:eastAsia="Arial" w:cs="Arial"/>
          <w:bCs/>
          <w:color w:val="auto"/>
          <w:szCs w:val="24"/>
        </w:rPr>
        <w:t xml:space="preserve"> </w:t>
      </w:r>
      <w:r w:rsidRPr="00DD5BA6">
        <w:rPr>
          <w:rFonts w:eastAsia="Arial" w:cs="Arial"/>
          <w:bCs/>
          <w:color w:val="auto"/>
          <w:szCs w:val="24"/>
        </w:rPr>
        <w:t>facility in centres and can support local evening</w:t>
      </w:r>
      <w:r>
        <w:rPr>
          <w:rFonts w:cs="Arial"/>
          <w:color w:val="auto"/>
          <w:szCs w:val="24"/>
          <w:lang w:eastAsia="en-US"/>
        </w:rPr>
        <w:t xml:space="preserve"> </w:t>
      </w:r>
      <w:r w:rsidRPr="00DD5BA6">
        <w:rPr>
          <w:rFonts w:eastAsia="Arial" w:cs="Arial"/>
          <w:bCs/>
          <w:color w:val="auto"/>
          <w:szCs w:val="24"/>
        </w:rPr>
        <w:t>economies. However, the over concentrations of hot food takeaways, particularly on prominent streets or retail frontages, can detract from the overall appearance of centres due to their predominant evening use. It can also result in a lack of street activity and limit footfall in the daytime, consequently, detracting from the vitality and viability of the town centre.</w:t>
      </w:r>
    </w:p>
    <w:p w14:paraId="0AD464B8" w14:textId="77777777" w:rsidR="00DD5BA6" w:rsidRDefault="00DD5BA6" w:rsidP="00DD5BA6">
      <w:pPr>
        <w:keepNext w:val="0"/>
        <w:spacing w:before="0"/>
        <w:ind w:left="709"/>
        <w:rPr>
          <w:rFonts w:cs="Arial"/>
          <w:color w:val="auto"/>
          <w:szCs w:val="24"/>
          <w:lang w:eastAsia="en-US"/>
        </w:rPr>
      </w:pPr>
    </w:p>
    <w:p w14:paraId="09EC9D51" w14:textId="555BEA64" w:rsidR="00DD5BA6" w:rsidRPr="00DD5BA6" w:rsidRDefault="00DD5BA6" w:rsidP="00DD5BA6">
      <w:pPr>
        <w:keepNext w:val="0"/>
        <w:numPr>
          <w:ilvl w:val="1"/>
          <w:numId w:val="6"/>
        </w:numPr>
        <w:tabs>
          <w:tab w:val="clear" w:pos="525"/>
        </w:tabs>
        <w:spacing w:before="0"/>
        <w:ind w:left="709" w:hanging="709"/>
        <w:rPr>
          <w:rFonts w:cs="Arial"/>
          <w:color w:val="auto"/>
          <w:szCs w:val="24"/>
          <w:lang w:eastAsia="en-US"/>
        </w:rPr>
      </w:pPr>
      <w:r w:rsidRPr="00DD5BA6">
        <w:rPr>
          <w:rFonts w:eastAsia="Calibri" w:cs="Arial"/>
          <w:color w:val="auto"/>
        </w:rPr>
        <w:t>A harmful concentration of pubs/drinking establishments is considered to arise when the cumulative impacts are likely to have harmful effects on the amenity of a centre. This is likely to occur when the pubs/drinking establishments and their users have a detrimental effect on the quality and character of a centre that in turn diminishes the attractiveness of the centre to other users for shopping, working, socialising and living. The point when that harmful concentration is reached will vary from place to place depending on the character of the area and specific local circumstances.</w:t>
      </w:r>
      <w:r w:rsidRPr="00DD5BA6">
        <w:rPr>
          <w:rFonts w:eastAsia="Arial" w:cs="Arial"/>
          <w:color w:val="auto"/>
          <w:szCs w:val="24"/>
        </w:rPr>
        <w:t xml:space="preserve"> </w:t>
      </w:r>
    </w:p>
    <w:p w14:paraId="423BE07C" w14:textId="77777777" w:rsidR="00DD5BA6" w:rsidRDefault="00DD5BA6" w:rsidP="00DD5BA6">
      <w:pPr>
        <w:keepNext w:val="0"/>
        <w:spacing w:before="0"/>
        <w:ind w:left="709"/>
        <w:rPr>
          <w:rFonts w:cs="Arial"/>
          <w:color w:val="auto"/>
          <w:szCs w:val="24"/>
          <w:lang w:eastAsia="en-US"/>
        </w:rPr>
      </w:pPr>
    </w:p>
    <w:p w14:paraId="0D89B143" w14:textId="521F9787" w:rsidR="00DD5BA6" w:rsidRPr="00A56503" w:rsidRDefault="00DD5BA6" w:rsidP="00DD5BA6">
      <w:pPr>
        <w:keepNext w:val="0"/>
        <w:numPr>
          <w:ilvl w:val="1"/>
          <w:numId w:val="6"/>
        </w:numPr>
        <w:tabs>
          <w:tab w:val="clear" w:pos="525"/>
        </w:tabs>
        <w:spacing w:before="0"/>
        <w:ind w:left="709" w:hanging="709"/>
        <w:rPr>
          <w:rFonts w:cs="Arial"/>
          <w:color w:val="auto"/>
          <w:szCs w:val="24"/>
          <w:lang w:eastAsia="en-US"/>
        </w:rPr>
      </w:pPr>
      <w:r w:rsidRPr="00DD5BA6">
        <w:rPr>
          <w:rFonts w:eastAsia="Arial" w:cs="Arial"/>
          <w:color w:val="auto"/>
          <w:szCs w:val="24"/>
        </w:rPr>
        <w:t xml:space="preserve">When assessing development proposals for hot food takeaway or pub/drinking establishments, the Council will assess a range of issues to ensure the develop proposed will not result in a negative impact on the surrounding environment and existing uses. The assessment will include: </w:t>
      </w:r>
    </w:p>
    <w:p w14:paraId="2104FC19" w14:textId="77777777" w:rsidR="00A56503" w:rsidRPr="00DD5BA6" w:rsidRDefault="00A56503" w:rsidP="00A56503">
      <w:pPr>
        <w:keepNext w:val="0"/>
        <w:spacing w:before="0"/>
        <w:rPr>
          <w:rFonts w:cs="Arial"/>
          <w:color w:val="auto"/>
          <w:szCs w:val="24"/>
          <w:lang w:eastAsia="en-US"/>
        </w:rPr>
      </w:pPr>
    </w:p>
    <w:p w14:paraId="0FF392D5" w14:textId="77777777" w:rsidR="00DD5BA6" w:rsidRPr="00DD5BA6" w:rsidRDefault="00DD5BA6" w:rsidP="00874A98">
      <w:pPr>
        <w:keepNext w:val="0"/>
        <w:numPr>
          <w:ilvl w:val="0"/>
          <w:numId w:val="168"/>
        </w:numPr>
        <w:autoSpaceDE w:val="0"/>
        <w:autoSpaceDN w:val="0"/>
        <w:adjustRightInd w:val="0"/>
        <w:spacing w:before="0" w:after="160" w:line="252" w:lineRule="auto"/>
        <w:contextualSpacing/>
        <w:jc w:val="both"/>
        <w:rPr>
          <w:rFonts w:cs="Arial"/>
          <w:bCs/>
          <w:color w:val="auto"/>
          <w:szCs w:val="24"/>
          <w:lang w:eastAsia="en-US"/>
        </w:rPr>
      </w:pPr>
      <w:r w:rsidRPr="00DD5BA6">
        <w:rPr>
          <w:rFonts w:cs="Arial"/>
          <w:bCs/>
          <w:color w:val="auto"/>
          <w:szCs w:val="24"/>
          <w:lang w:eastAsia="en-US"/>
        </w:rPr>
        <w:t xml:space="preserve">The number, distribution and proximity of other food and drink uses, including those with unimplemented planning permission; </w:t>
      </w:r>
    </w:p>
    <w:p w14:paraId="0E54BF90" w14:textId="77777777" w:rsidR="00DD5BA6" w:rsidRPr="00DD5BA6" w:rsidRDefault="00DD5BA6" w:rsidP="00874A98">
      <w:pPr>
        <w:keepNext w:val="0"/>
        <w:numPr>
          <w:ilvl w:val="0"/>
          <w:numId w:val="168"/>
        </w:numPr>
        <w:autoSpaceDE w:val="0"/>
        <w:autoSpaceDN w:val="0"/>
        <w:adjustRightInd w:val="0"/>
        <w:spacing w:before="0" w:after="160" w:line="252" w:lineRule="auto"/>
        <w:contextualSpacing/>
        <w:jc w:val="both"/>
        <w:rPr>
          <w:rFonts w:cs="Arial"/>
          <w:bCs/>
          <w:color w:val="auto"/>
          <w:szCs w:val="24"/>
          <w:lang w:eastAsia="en-US"/>
        </w:rPr>
      </w:pPr>
      <w:r w:rsidRPr="00DD5BA6">
        <w:rPr>
          <w:rFonts w:cs="Arial"/>
          <w:bCs/>
          <w:color w:val="auto"/>
          <w:szCs w:val="24"/>
          <w:lang w:eastAsia="en-US"/>
        </w:rPr>
        <w:t>Impact on the street scene;</w:t>
      </w:r>
    </w:p>
    <w:p w14:paraId="6445A40B" w14:textId="77777777" w:rsidR="00DD5BA6" w:rsidRPr="00DD5BA6" w:rsidRDefault="00DD5BA6" w:rsidP="00874A98">
      <w:pPr>
        <w:keepNext w:val="0"/>
        <w:numPr>
          <w:ilvl w:val="0"/>
          <w:numId w:val="168"/>
        </w:numPr>
        <w:autoSpaceDE w:val="0"/>
        <w:autoSpaceDN w:val="0"/>
        <w:adjustRightInd w:val="0"/>
        <w:spacing w:before="0" w:after="160" w:line="252" w:lineRule="auto"/>
        <w:contextualSpacing/>
        <w:jc w:val="both"/>
        <w:rPr>
          <w:rFonts w:cs="Arial"/>
          <w:bCs/>
          <w:color w:val="auto"/>
          <w:szCs w:val="24"/>
          <w:lang w:eastAsia="en-US"/>
        </w:rPr>
      </w:pPr>
      <w:r w:rsidRPr="00DD5BA6">
        <w:rPr>
          <w:rFonts w:cs="Arial"/>
          <w:bCs/>
          <w:color w:val="auto"/>
          <w:szCs w:val="24"/>
          <w:lang w:eastAsia="en-US"/>
        </w:rPr>
        <w:t xml:space="preserve">Potential for an increase in anti-social behaviour and crime; </w:t>
      </w:r>
    </w:p>
    <w:p w14:paraId="5EB324B1" w14:textId="77777777" w:rsidR="00DD5BA6" w:rsidRPr="00DD5BA6" w:rsidRDefault="00DD5BA6" w:rsidP="00874A98">
      <w:pPr>
        <w:keepNext w:val="0"/>
        <w:numPr>
          <w:ilvl w:val="0"/>
          <w:numId w:val="168"/>
        </w:numPr>
        <w:autoSpaceDE w:val="0"/>
        <w:autoSpaceDN w:val="0"/>
        <w:adjustRightInd w:val="0"/>
        <w:spacing w:before="0" w:after="160" w:line="252" w:lineRule="auto"/>
        <w:contextualSpacing/>
        <w:jc w:val="both"/>
        <w:rPr>
          <w:rFonts w:cs="Arial"/>
          <w:bCs/>
          <w:color w:val="auto"/>
          <w:szCs w:val="24"/>
          <w:lang w:eastAsia="en-US"/>
        </w:rPr>
      </w:pPr>
      <w:r w:rsidRPr="00DD5BA6">
        <w:rPr>
          <w:rFonts w:cs="Arial"/>
          <w:bCs/>
          <w:color w:val="auto"/>
          <w:szCs w:val="24"/>
          <w:lang w:eastAsia="en-US"/>
        </w:rPr>
        <w:t xml:space="preserve">The impacts of noise and general disturbance, fumes, smells, litter and late night activity, including those impacts arising from the use of external areas; </w:t>
      </w:r>
    </w:p>
    <w:p w14:paraId="19938D52" w14:textId="77777777" w:rsidR="00DD5BA6" w:rsidRPr="00DD5BA6" w:rsidRDefault="00DD5BA6" w:rsidP="00874A98">
      <w:pPr>
        <w:keepNext w:val="0"/>
        <w:numPr>
          <w:ilvl w:val="0"/>
          <w:numId w:val="168"/>
        </w:numPr>
        <w:autoSpaceDE w:val="0"/>
        <w:autoSpaceDN w:val="0"/>
        <w:adjustRightInd w:val="0"/>
        <w:spacing w:before="0" w:after="160" w:line="252" w:lineRule="auto"/>
        <w:contextualSpacing/>
        <w:jc w:val="both"/>
        <w:rPr>
          <w:rFonts w:cs="Arial"/>
          <w:bCs/>
          <w:color w:val="auto"/>
          <w:szCs w:val="24"/>
          <w:lang w:eastAsia="en-US"/>
        </w:rPr>
      </w:pPr>
      <w:r w:rsidRPr="00DD5BA6">
        <w:rPr>
          <w:rFonts w:cs="Arial"/>
          <w:bCs/>
          <w:color w:val="auto"/>
          <w:szCs w:val="24"/>
          <w:lang w:eastAsia="en-US"/>
        </w:rPr>
        <w:t xml:space="preserve">Highway safety; </w:t>
      </w:r>
    </w:p>
    <w:p w14:paraId="4CA12F4C" w14:textId="77777777" w:rsidR="00DD5BA6" w:rsidRPr="00DD5BA6" w:rsidRDefault="00DD5BA6" w:rsidP="00874A98">
      <w:pPr>
        <w:keepNext w:val="0"/>
        <w:numPr>
          <w:ilvl w:val="0"/>
          <w:numId w:val="168"/>
        </w:numPr>
        <w:autoSpaceDE w:val="0"/>
        <w:autoSpaceDN w:val="0"/>
        <w:adjustRightInd w:val="0"/>
        <w:spacing w:before="0" w:after="160" w:line="252" w:lineRule="auto"/>
        <w:contextualSpacing/>
        <w:jc w:val="both"/>
        <w:rPr>
          <w:rFonts w:cs="Arial"/>
          <w:bCs/>
          <w:color w:val="auto"/>
          <w:szCs w:val="24"/>
          <w:lang w:eastAsia="en-US"/>
        </w:rPr>
      </w:pPr>
      <w:r w:rsidRPr="00DD5BA6">
        <w:rPr>
          <w:rFonts w:cs="Arial"/>
          <w:bCs/>
          <w:color w:val="auto"/>
          <w:szCs w:val="24"/>
          <w:lang w:eastAsia="en-US"/>
        </w:rPr>
        <w:t xml:space="preserve">The availability of refuse storage and disposal facilities; and </w:t>
      </w:r>
    </w:p>
    <w:p w14:paraId="5EA04C67" w14:textId="77777777" w:rsidR="00DD5BA6" w:rsidRPr="00DD5BA6" w:rsidRDefault="00DD5BA6" w:rsidP="00874A98">
      <w:pPr>
        <w:keepNext w:val="0"/>
        <w:numPr>
          <w:ilvl w:val="0"/>
          <w:numId w:val="168"/>
        </w:numPr>
        <w:autoSpaceDE w:val="0"/>
        <w:autoSpaceDN w:val="0"/>
        <w:adjustRightInd w:val="0"/>
        <w:spacing w:before="0" w:after="160" w:line="252" w:lineRule="auto"/>
        <w:contextualSpacing/>
        <w:jc w:val="both"/>
        <w:rPr>
          <w:rFonts w:cs="Arial"/>
          <w:bCs/>
          <w:color w:val="auto"/>
          <w:szCs w:val="24"/>
          <w:lang w:eastAsia="en-US"/>
        </w:rPr>
      </w:pPr>
      <w:r w:rsidRPr="00DD5BA6">
        <w:rPr>
          <w:rFonts w:cs="Arial"/>
          <w:bCs/>
          <w:color w:val="auto"/>
          <w:szCs w:val="24"/>
          <w:lang w:eastAsia="en-US"/>
        </w:rPr>
        <w:t>The appearance of any associated extensions, flues and installations.</w:t>
      </w:r>
    </w:p>
    <w:p w14:paraId="469FE46F" w14:textId="77777777" w:rsidR="00DD5BA6" w:rsidRPr="00DD5BA6" w:rsidRDefault="00DD5BA6" w:rsidP="00DD5BA6">
      <w:pPr>
        <w:keepNext w:val="0"/>
        <w:autoSpaceDE w:val="0"/>
        <w:autoSpaceDN w:val="0"/>
        <w:adjustRightInd w:val="0"/>
        <w:spacing w:before="0"/>
        <w:rPr>
          <w:rFonts w:eastAsia="Arial" w:cs="Arial"/>
          <w:strike/>
          <w:color w:val="auto"/>
          <w:szCs w:val="24"/>
        </w:rPr>
      </w:pPr>
    </w:p>
    <w:p w14:paraId="6ED8BAE5" w14:textId="77777777" w:rsidR="00DD5BA6" w:rsidRPr="00DD5BA6" w:rsidRDefault="00DD5BA6" w:rsidP="00A56503">
      <w:pPr>
        <w:keepNext w:val="0"/>
        <w:tabs>
          <w:tab w:val="left" w:pos="680"/>
        </w:tabs>
        <w:suppressAutoHyphens/>
        <w:spacing w:before="0"/>
        <w:ind w:left="709" w:right="56"/>
        <w:textAlignment w:val="baseline"/>
        <w:rPr>
          <w:rFonts w:eastAsia="Arial" w:cs="Arial"/>
          <w:b/>
          <w:color w:val="auto"/>
          <w:szCs w:val="24"/>
        </w:rPr>
      </w:pPr>
      <w:r w:rsidRPr="00DD5BA6">
        <w:rPr>
          <w:rFonts w:eastAsia="Arial" w:cs="Arial"/>
          <w:b/>
          <w:color w:val="auto"/>
          <w:szCs w:val="24"/>
        </w:rPr>
        <w:t>Sequential Test and Impact Test</w:t>
      </w:r>
    </w:p>
    <w:p w14:paraId="0C39DC7A" w14:textId="22CBFAFB" w:rsidR="00DD5BA6" w:rsidRPr="00DD5BA6" w:rsidRDefault="00DD5BA6" w:rsidP="00A56503">
      <w:pPr>
        <w:keepNext w:val="0"/>
        <w:numPr>
          <w:ilvl w:val="1"/>
          <w:numId w:val="6"/>
        </w:numPr>
        <w:tabs>
          <w:tab w:val="clear" w:pos="525"/>
        </w:tabs>
        <w:spacing w:before="0"/>
        <w:ind w:left="709" w:hanging="709"/>
        <w:rPr>
          <w:rFonts w:cs="Arial"/>
          <w:color w:val="auto"/>
          <w:szCs w:val="24"/>
          <w:lang w:eastAsia="en-US"/>
        </w:rPr>
      </w:pPr>
      <w:r w:rsidRPr="00DD5BA6">
        <w:rPr>
          <w:rFonts w:eastAsia="Arial" w:cs="Arial"/>
          <w:color w:val="auto"/>
          <w:szCs w:val="24"/>
        </w:rPr>
        <w:t xml:space="preserve">The NPPF endorses a ‘town centre first’ approach to all retail activity (including leisure). It stipulates that where retail and leisure proposals cannot be accommodated within, or, adjacent to the town centre applicants have to demonstrate through the application of dual impact test and the sequential test that the development will not impact negatively upon the vitality and viability of town centres. </w:t>
      </w:r>
    </w:p>
    <w:p w14:paraId="06682DAD" w14:textId="77777777" w:rsidR="00DD5BA6" w:rsidRDefault="00DD5BA6" w:rsidP="00DD5BA6">
      <w:pPr>
        <w:keepNext w:val="0"/>
        <w:spacing w:before="0"/>
        <w:ind w:left="709"/>
        <w:rPr>
          <w:rFonts w:cs="Arial"/>
          <w:color w:val="auto"/>
          <w:szCs w:val="24"/>
          <w:lang w:eastAsia="en-US"/>
        </w:rPr>
      </w:pPr>
    </w:p>
    <w:p w14:paraId="5F022F00" w14:textId="09EEFA4F" w:rsidR="00DD5BA6" w:rsidRPr="00B13AEF" w:rsidRDefault="00DD5BA6" w:rsidP="00B13AEF">
      <w:pPr>
        <w:keepNext w:val="0"/>
        <w:numPr>
          <w:ilvl w:val="1"/>
          <w:numId w:val="6"/>
        </w:numPr>
        <w:tabs>
          <w:tab w:val="clear" w:pos="525"/>
        </w:tabs>
        <w:spacing w:before="0"/>
        <w:ind w:left="709" w:hanging="709"/>
        <w:rPr>
          <w:rFonts w:cs="Arial"/>
          <w:color w:val="auto"/>
          <w:szCs w:val="24"/>
          <w:lang w:eastAsia="en-US"/>
        </w:rPr>
      </w:pPr>
      <w:r w:rsidRPr="00DD5BA6">
        <w:rPr>
          <w:rFonts w:eastAsia="Arial" w:cs="Arial"/>
          <w:color w:val="auto"/>
          <w:szCs w:val="24"/>
        </w:rPr>
        <w:t>The sequential test should align with the requirements of NPPF and national planning practice guidance. If after applying the sequential test, out-of-centre sites are necessary, preference will be given to sites that are, or will be, served by a choice of means of transport, which are close to the centre and have a high likelihood of forming links with the town centre. Developers should demonstrate that they have been flexible in their approach to site selection by submitting a report which sets out the following as a minimum:</w:t>
      </w:r>
    </w:p>
    <w:p w14:paraId="77FF17C3" w14:textId="77777777" w:rsidR="00B13AEF" w:rsidRPr="00B13AEF" w:rsidRDefault="00B13AEF" w:rsidP="00B13AEF">
      <w:pPr>
        <w:pStyle w:val="ListParagraph"/>
        <w:spacing w:after="0" w:line="240" w:lineRule="auto"/>
        <w:rPr>
          <w:rFonts w:ascii="Arial" w:hAnsi="Arial" w:cs="Arial"/>
          <w:color w:val="auto"/>
          <w:szCs w:val="24"/>
        </w:rPr>
      </w:pPr>
    </w:p>
    <w:p w14:paraId="272DD614" w14:textId="77777777" w:rsidR="00B13AEF" w:rsidRPr="00B13AEF" w:rsidRDefault="00B13AEF" w:rsidP="00874A98">
      <w:pPr>
        <w:pStyle w:val="ListParagraph"/>
        <w:numPr>
          <w:ilvl w:val="0"/>
          <w:numId w:val="307"/>
        </w:numPr>
        <w:spacing w:after="0" w:line="240" w:lineRule="auto"/>
        <w:rPr>
          <w:rFonts w:ascii="Arial" w:hAnsi="Arial" w:cs="Arial"/>
          <w:color w:val="auto"/>
          <w:szCs w:val="24"/>
        </w:rPr>
      </w:pPr>
      <w:r w:rsidRPr="00B13AEF">
        <w:rPr>
          <w:rFonts w:ascii="Arial" w:hAnsi="Arial" w:cs="Arial"/>
          <w:color w:val="auto"/>
          <w:szCs w:val="24"/>
        </w:rPr>
        <w:t>a detailed description and plan of the development</w:t>
      </w:r>
    </w:p>
    <w:p w14:paraId="20B3D9ED" w14:textId="77777777" w:rsidR="00B13AEF" w:rsidRPr="00B13AEF" w:rsidRDefault="00B13AEF" w:rsidP="00874A98">
      <w:pPr>
        <w:pStyle w:val="ListParagraph"/>
        <w:numPr>
          <w:ilvl w:val="0"/>
          <w:numId w:val="307"/>
        </w:numPr>
        <w:spacing w:after="0" w:line="240" w:lineRule="auto"/>
        <w:rPr>
          <w:rFonts w:ascii="Arial" w:hAnsi="Arial" w:cs="Arial"/>
          <w:color w:val="auto"/>
          <w:szCs w:val="24"/>
        </w:rPr>
      </w:pPr>
      <w:r w:rsidRPr="00B13AEF">
        <w:rPr>
          <w:rFonts w:ascii="Arial" w:hAnsi="Arial" w:cs="Arial"/>
          <w:color w:val="auto"/>
          <w:szCs w:val="24"/>
        </w:rPr>
        <w:t>a reasoned justification for the location of the development</w:t>
      </w:r>
    </w:p>
    <w:p w14:paraId="6024C78D" w14:textId="77777777" w:rsidR="00B13AEF" w:rsidRPr="00B13AEF" w:rsidRDefault="00B13AEF" w:rsidP="00874A98">
      <w:pPr>
        <w:pStyle w:val="ListParagraph"/>
        <w:numPr>
          <w:ilvl w:val="0"/>
          <w:numId w:val="307"/>
        </w:numPr>
        <w:spacing w:after="0" w:line="240" w:lineRule="auto"/>
        <w:rPr>
          <w:rFonts w:ascii="Arial" w:hAnsi="Arial" w:cs="Arial"/>
          <w:color w:val="auto"/>
          <w:szCs w:val="24"/>
        </w:rPr>
      </w:pPr>
      <w:r w:rsidRPr="00B13AEF">
        <w:rPr>
          <w:rFonts w:ascii="Arial" w:hAnsi="Arial" w:cs="Arial"/>
          <w:color w:val="auto"/>
          <w:szCs w:val="24"/>
        </w:rPr>
        <w:t>the scale of the development</w:t>
      </w:r>
    </w:p>
    <w:p w14:paraId="5C746ABD" w14:textId="77777777" w:rsidR="00B13AEF" w:rsidRPr="00B13AEF" w:rsidRDefault="00B13AEF" w:rsidP="00874A98">
      <w:pPr>
        <w:pStyle w:val="ListParagraph"/>
        <w:numPr>
          <w:ilvl w:val="0"/>
          <w:numId w:val="307"/>
        </w:numPr>
        <w:spacing w:after="0" w:line="240" w:lineRule="auto"/>
        <w:rPr>
          <w:rFonts w:ascii="Arial" w:hAnsi="Arial" w:cs="Arial"/>
          <w:color w:val="auto"/>
          <w:szCs w:val="24"/>
        </w:rPr>
      </w:pPr>
      <w:r w:rsidRPr="00B13AEF">
        <w:rPr>
          <w:rFonts w:ascii="Arial" w:hAnsi="Arial" w:cs="Arial"/>
          <w:color w:val="auto"/>
          <w:szCs w:val="24"/>
        </w:rPr>
        <w:t>a sequential test for sites outside or on the edge of the Town Centre</w:t>
      </w:r>
    </w:p>
    <w:p w14:paraId="5C3345C9" w14:textId="77777777" w:rsidR="00B13AEF" w:rsidRPr="00B13AEF" w:rsidRDefault="00B13AEF" w:rsidP="00874A98">
      <w:pPr>
        <w:pStyle w:val="ListParagraph"/>
        <w:numPr>
          <w:ilvl w:val="0"/>
          <w:numId w:val="307"/>
        </w:numPr>
        <w:spacing w:after="0" w:line="240" w:lineRule="auto"/>
        <w:rPr>
          <w:rFonts w:ascii="Arial" w:hAnsi="Arial" w:cs="Arial"/>
          <w:color w:val="auto"/>
          <w:szCs w:val="24"/>
        </w:rPr>
      </w:pPr>
      <w:r w:rsidRPr="00B13AEF">
        <w:rPr>
          <w:rFonts w:ascii="Arial" w:hAnsi="Arial" w:cs="Arial"/>
          <w:color w:val="auto"/>
          <w:szCs w:val="24"/>
        </w:rPr>
        <w:t>the scope for flexibility in the format and/or scale of the proposal</w:t>
      </w:r>
    </w:p>
    <w:p w14:paraId="649BF2F9" w14:textId="77777777" w:rsidR="00B13AEF" w:rsidRPr="00B13AEF" w:rsidRDefault="00B13AEF" w:rsidP="00874A98">
      <w:pPr>
        <w:pStyle w:val="ListParagraph"/>
        <w:numPr>
          <w:ilvl w:val="0"/>
          <w:numId w:val="307"/>
        </w:numPr>
        <w:spacing w:after="0" w:line="240" w:lineRule="auto"/>
        <w:rPr>
          <w:rFonts w:ascii="Arial" w:hAnsi="Arial" w:cs="Arial"/>
          <w:color w:val="auto"/>
          <w:szCs w:val="24"/>
        </w:rPr>
      </w:pPr>
      <w:r w:rsidRPr="00B13AEF">
        <w:rPr>
          <w:rFonts w:ascii="Arial" w:hAnsi="Arial" w:cs="Arial"/>
          <w:color w:val="auto"/>
          <w:szCs w:val="24"/>
        </w:rPr>
        <w:t>what contribution more central sites are able to make individually to accommodate the proposal.</w:t>
      </w:r>
    </w:p>
    <w:p w14:paraId="08DBB86C" w14:textId="654A0B2F" w:rsidR="00B13AEF" w:rsidRPr="00B13AEF" w:rsidRDefault="00B13AEF" w:rsidP="00874A98">
      <w:pPr>
        <w:pStyle w:val="ListParagraph"/>
        <w:numPr>
          <w:ilvl w:val="0"/>
          <w:numId w:val="307"/>
        </w:numPr>
        <w:spacing w:after="0" w:line="240" w:lineRule="auto"/>
        <w:rPr>
          <w:rFonts w:ascii="Arial" w:hAnsi="Arial" w:cs="Arial"/>
          <w:color w:val="auto"/>
          <w:szCs w:val="24"/>
        </w:rPr>
      </w:pPr>
      <w:r w:rsidRPr="00B13AEF">
        <w:rPr>
          <w:rFonts w:ascii="Arial" w:hAnsi="Arial" w:cs="Arial"/>
          <w:color w:val="auto"/>
          <w:szCs w:val="24"/>
        </w:rPr>
        <w:t>an impact test for sites over the specified threshold.</w:t>
      </w:r>
    </w:p>
    <w:p w14:paraId="20E47E56" w14:textId="4B3F93D8" w:rsidR="00DD5BA6" w:rsidRPr="00B13AEF" w:rsidRDefault="00DD5BA6" w:rsidP="00B13AEF">
      <w:pPr>
        <w:keepNext w:val="0"/>
        <w:spacing w:before="0"/>
        <w:ind w:left="525"/>
        <w:rPr>
          <w:rFonts w:eastAsia="Arial" w:cs="Arial"/>
          <w:color w:val="auto"/>
          <w:szCs w:val="24"/>
        </w:rPr>
      </w:pPr>
    </w:p>
    <w:p w14:paraId="651E6B8C" w14:textId="5757EB68" w:rsidR="00E56122" w:rsidRPr="00486F6C" w:rsidRDefault="00DD5BA6" w:rsidP="00486F6C">
      <w:pPr>
        <w:keepNext w:val="0"/>
        <w:numPr>
          <w:ilvl w:val="1"/>
          <w:numId w:val="6"/>
        </w:numPr>
        <w:tabs>
          <w:tab w:val="clear" w:pos="525"/>
        </w:tabs>
        <w:spacing w:before="0"/>
        <w:ind w:left="709" w:hanging="709"/>
        <w:rPr>
          <w:rFonts w:cs="Arial"/>
          <w:color w:val="auto"/>
          <w:szCs w:val="24"/>
          <w:lang w:eastAsia="en-US"/>
        </w:rPr>
      </w:pPr>
      <w:r w:rsidRPr="00B13AEF">
        <w:rPr>
          <w:rFonts w:eastAsia="Arial" w:cs="Arial"/>
          <w:color w:val="auto"/>
          <w:szCs w:val="24"/>
        </w:rPr>
        <w:t>On edge-of-centre, or out-of-centre sites, the Council</w:t>
      </w:r>
      <w:r w:rsidRPr="00DD5BA6">
        <w:rPr>
          <w:rFonts w:eastAsia="Arial" w:cs="Arial"/>
          <w:color w:val="auto"/>
          <w:szCs w:val="24"/>
        </w:rPr>
        <w:t xml:space="preserve"> will require an impact assessment to be undertaken for retail, and leisure developments beyond the threshold outlined in </w:t>
      </w:r>
      <w:r w:rsidRPr="00A56503">
        <w:rPr>
          <w:rFonts w:eastAsia="Arial" w:cs="Arial"/>
          <w:color w:val="auto"/>
          <w:szCs w:val="24"/>
        </w:rPr>
        <w:t>Policy SH1.</w:t>
      </w:r>
      <w:r w:rsidRPr="00DD5BA6">
        <w:rPr>
          <w:rFonts w:eastAsia="Arial" w:cs="Arial"/>
          <w:color w:val="auto"/>
          <w:szCs w:val="24"/>
        </w:rPr>
        <w:t xml:space="preserve"> </w:t>
      </w:r>
      <w:r w:rsidR="00486F6C" w:rsidRPr="00486F6C">
        <w:rPr>
          <w:rFonts w:cs="Arial"/>
          <w:color w:val="auto"/>
          <w:szCs w:val="24"/>
          <w:lang w:eastAsia="en-US"/>
        </w:rPr>
        <w:t>This assessment should align with the requirements of NPPF and national planning practice guidance; assessing potential impact on existing, planned and committed investment and a centre’s vitality and viability.</w:t>
      </w:r>
      <w:r w:rsidR="00486F6C">
        <w:rPr>
          <w:rFonts w:cs="Arial"/>
          <w:color w:val="auto"/>
          <w:szCs w:val="24"/>
          <w:lang w:eastAsia="en-US"/>
        </w:rPr>
        <w:t xml:space="preserve">  </w:t>
      </w:r>
      <w:r w:rsidR="00486F6C">
        <w:t>N</w:t>
      </w:r>
      <w:r w:rsidR="00486F6C" w:rsidRPr="00486F6C">
        <w:rPr>
          <w:rFonts w:cs="Arial"/>
          <w:color w:val="auto"/>
          <w:szCs w:val="24"/>
          <w:lang w:eastAsia="en-US"/>
        </w:rPr>
        <w:t>ational guidance dictates that the impact test should be</w:t>
      </w:r>
      <w:r w:rsidR="00486F6C">
        <w:rPr>
          <w:rFonts w:cs="Arial"/>
          <w:color w:val="auto"/>
          <w:szCs w:val="24"/>
          <w:lang w:eastAsia="en-US"/>
        </w:rPr>
        <w:t xml:space="preserve"> </w:t>
      </w:r>
      <w:r w:rsidR="00486F6C" w:rsidRPr="00486F6C">
        <w:rPr>
          <w:rFonts w:cs="Arial"/>
          <w:color w:val="auto"/>
          <w:szCs w:val="24"/>
          <w:lang w:eastAsia="en-US"/>
        </w:rPr>
        <w:t>undertaken in a proportionate and locally appropriate way, commensurate to the scale of</w:t>
      </w:r>
      <w:r w:rsidR="00486F6C">
        <w:rPr>
          <w:rFonts w:cs="Arial"/>
          <w:color w:val="auto"/>
          <w:szCs w:val="24"/>
          <w:lang w:eastAsia="en-US"/>
        </w:rPr>
        <w:t xml:space="preserve">  </w:t>
      </w:r>
      <w:r w:rsidR="00486F6C" w:rsidRPr="00486F6C">
        <w:rPr>
          <w:rFonts w:cs="Arial"/>
          <w:color w:val="auto"/>
          <w:szCs w:val="24"/>
          <w:lang w:eastAsia="en-US"/>
        </w:rPr>
        <w:t>development proposed. The level of detail would typically be agreed with Council officers during</w:t>
      </w:r>
      <w:r w:rsidR="00486F6C">
        <w:rPr>
          <w:rFonts w:cs="Arial"/>
          <w:color w:val="auto"/>
          <w:szCs w:val="24"/>
          <w:lang w:eastAsia="en-US"/>
        </w:rPr>
        <w:t xml:space="preserve"> </w:t>
      </w:r>
      <w:r w:rsidR="00486F6C" w:rsidRPr="00486F6C">
        <w:rPr>
          <w:rFonts w:cs="Arial"/>
          <w:color w:val="auto"/>
          <w:szCs w:val="24"/>
          <w:lang w:eastAsia="en-US"/>
        </w:rPr>
        <w:t>the pre-application process in order to avoid overly onerous requirements.</w:t>
      </w:r>
      <w:r w:rsidR="00486F6C">
        <w:rPr>
          <w:rFonts w:cs="Arial"/>
          <w:color w:val="auto"/>
          <w:szCs w:val="24"/>
          <w:lang w:eastAsia="en-US"/>
        </w:rPr>
        <w:t xml:space="preserve"> </w:t>
      </w:r>
      <w:r w:rsidRPr="00486F6C">
        <w:rPr>
          <w:rFonts w:eastAsia="Arial" w:cs="Arial"/>
          <w:color w:val="auto"/>
          <w:szCs w:val="24"/>
        </w:rPr>
        <w:t xml:space="preserve">Where proposals seek to extend existing out of centre premises, the total gross floorspace of the unit (including the extension) will be taken into account when determining whether an impact assessment is required. </w:t>
      </w:r>
    </w:p>
    <w:p w14:paraId="2CCD348D" w14:textId="77777777" w:rsidR="00E56122" w:rsidRDefault="00E56122" w:rsidP="00E56122">
      <w:pPr>
        <w:keepNext w:val="0"/>
        <w:spacing w:before="0"/>
        <w:ind w:left="709"/>
        <w:rPr>
          <w:rFonts w:cs="Arial"/>
          <w:color w:val="auto"/>
          <w:szCs w:val="24"/>
          <w:lang w:eastAsia="en-US"/>
        </w:rPr>
      </w:pPr>
    </w:p>
    <w:p w14:paraId="388F72E2" w14:textId="0F0DE68A" w:rsidR="00DD5BA6" w:rsidRPr="009A3879" w:rsidRDefault="00DD5BA6" w:rsidP="00E56122">
      <w:pPr>
        <w:keepNext w:val="0"/>
        <w:numPr>
          <w:ilvl w:val="1"/>
          <w:numId w:val="6"/>
        </w:numPr>
        <w:tabs>
          <w:tab w:val="clear" w:pos="525"/>
        </w:tabs>
        <w:spacing w:before="0"/>
        <w:ind w:left="709" w:hanging="709"/>
        <w:rPr>
          <w:rFonts w:cs="Arial"/>
          <w:color w:val="auto"/>
          <w:szCs w:val="24"/>
          <w:lang w:eastAsia="en-US"/>
        </w:rPr>
      </w:pPr>
      <w:r w:rsidRPr="009A3879">
        <w:rPr>
          <w:rFonts w:cs="Arial"/>
          <w:color w:val="auto"/>
          <w:szCs w:val="24"/>
        </w:rPr>
        <w:t xml:space="preserve">The </w:t>
      </w:r>
      <w:r w:rsidR="00106B8C" w:rsidRPr="00106B8C">
        <w:rPr>
          <w:rFonts w:cs="Arial"/>
          <w:szCs w:val="24"/>
        </w:rPr>
        <w:t xml:space="preserve">Ashfield </w:t>
      </w:r>
      <w:bookmarkStart w:id="271" w:name="_Hlk148437646"/>
      <w:r w:rsidR="00106B8C" w:rsidRPr="00106B8C">
        <w:rPr>
          <w:rFonts w:cs="Arial"/>
          <w:szCs w:val="24"/>
        </w:rPr>
        <w:t>Town Centre / Local Centre Study, 2023,</w:t>
      </w:r>
      <w:r w:rsidR="00106B8C">
        <w:rPr>
          <w:rFonts w:cs="Arial"/>
          <w:sz w:val="20"/>
        </w:rPr>
        <w:t xml:space="preserve"> </w:t>
      </w:r>
      <w:bookmarkEnd w:id="271"/>
      <w:r w:rsidRPr="009A3879">
        <w:rPr>
          <w:rFonts w:cs="Arial"/>
          <w:color w:val="auto"/>
          <w:szCs w:val="24"/>
        </w:rPr>
        <w:t xml:space="preserve">concluded that each of the three primary centres </w:t>
      </w:r>
      <w:r w:rsidR="00912C6F" w:rsidRPr="009A3879">
        <w:rPr>
          <w:rFonts w:cs="Arial"/>
          <w:color w:val="auto"/>
          <w:szCs w:val="24"/>
        </w:rPr>
        <w:t xml:space="preserve">(Town Centres) </w:t>
      </w:r>
      <w:r w:rsidRPr="009A3879">
        <w:rPr>
          <w:rFonts w:cs="Arial"/>
          <w:color w:val="auto"/>
          <w:szCs w:val="24"/>
        </w:rPr>
        <w:t xml:space="preserve">are potentially vulnerable to competing edge-of-centre and out-of-centre retail developments of 300 </w:t>
      </w:r>
      <w:r w:rsidR="009D1815" w:rsidRPr="009A3879">
        <w:rPr>
          <w:rFonts w:cs="Arial"/>
          <w:color w:val="auto"/>
          <w:szCs w:val="24"/>
        </w:rPr>
        <w:t>sq.</w:t>
      </w:r>
      <w:r w:rsidRPr="009A3879">
        <w:rPr>
          <w:rFonts w:cs="Arial"/>
          <w:color w:val="auto"/>
          <w:szCs w:val="24"/>
        </w:rPr>
        <w:t xml:space="preserve"> m. Consequently, the recommended local threshold of 300 </w:t>
      </w:r>
      <w:r w:rsidR="009D1815" w:rsidRPr="009A3879">
        <w:rPr>
          <w:rFonts w:cs="Arial"/>
          <w:color w:val="auto"/>
          <w:szCs w:val="24"/>
        </w:rPr>
        <w:t>sq.</w:t>
      </w:r>
      <w:r w:rsidRPr="009A3879">
        <w:rPr>
          <w:rFonts w:cs="Arial"/>
          <w:color w:val="auto"/>
          <w:szCs w:val="24"/>
        </w:rPr>
        <w:t xml:space="preserve"> m has been set out in </w:t>
      </w:r>
      <w:r w:rsidR="007D7A4C" w:rsidRPr="009A3879">
        <w:rPr>
          <w:rFonts w:cs="Arial"/>
          <w:color w:val="auto"/>
          <w:szCs w:val="24"/>
        </w:rPr>
        <w:t>the P</w:t>
      </w:r>
      <w:r w:rsidRPr="009A3879">
        <w:rPr>
          <w:rFonts w:cs="Arial"/>
          <w:color w:val="auto"/>
          <w:szCs w:val="24"/>
        </w:rPr>
        <w:t xml:space="preserve">olicy across the District’s three </w:t>
      </w:r>
      <w:r w:rsidR="00912C6F" w:rsidRPr="009A3879">
        <w:rPr>
          <w:rFonts w:cs="Arial"/>
          <w:color w:val="auto"/>
          <w:szCs w:val="24"/>
        </w:rPr>
        <w:t>town c</w:t>
      </w:r>
      <w:r w:rsidRPr="009A3879">
        <w:rPr>
          <w:rFonts w:cs="Arial"/>
          <w:color w:val="auto"/>
          <w:szCs w:val="24"/>
        </w:rPr>
        <w:t>entres.</w:t>
      </w:r>
    </w:p>
    <w:p w14:paraId="6F39881A" w14:textId="0D27531F" w:rsidR="00E56122" w:rsidRPr="009A3879" w:rsidRDefault="00E56122" w:rsidP="00E56122">
      <w:pPr>
        <w:keepNext w:val="0"/>
        <w:spacing w:before="0"/>
        <w:ind w:left="709"/>
        <w:rPr>
          <w:rFonts w:cs="Arial"/>
          <w:color w:val="auto"/>
          <w:szCs w:val="24"/>
        </w:rPr>
      </w:pPr>
    </w:p>
    <w:p w14:paraId="2AC4ABA2" w14:textId="77777777" w:rsidR="00985BCC" w:rsidRPr="00C55F46" w:rsidRDefault="00985BCC" w:rsidP="00C55F46">
      <w:pPr>
        <w:rPr>
          <w:rFonts w:eastAsia="Arial"/>
        </w:rPr>
      </w:pPr>
      <w:bookmarkStart w:id="272" w:name="_Toc500408772"/>
      <w:bookmarkStart w:id="273" w:name="_Toc145511606"/>
    </w:p>
    <w:bookmarkEnd w:id="267"/>
    <w:p w14:paraId="57EBB611" w14:textId="360CF94C" w:rsidR="00E56122" w:rsidRPr="00C55F46" w:rsidRDefault="006977E7" w:rsidP="00C55F46">
      <w:pPr>
        <w:pStyle w:val="Heading2"/>
        <w:jc w:val="left"/>
        <w:rPr>
          <w:rFonts w:eastAsia="Arial"/>
          <w:sz w:val="28"/>
          <w:szCs w:val="28"/>
        </w:rPr>
      </w:pPr>
      <w:r w:rsidRPr="00C55F46">
        <w:rPr>
          <w:rFonts w:eastAsia="Arial"/>
          <w:sz w:val="28"/>
          <w:szCs w:val="28"/>
        </w:rPr>
        <w:t xml:space="preserve">Policy </w:t>
      </w:r>
      <w:r w:rsidR="00E56122" w:rsidRPr="00C55F46">
        <w:rPr>
          <w:rFonts w:eastAsia="Arial"/>
          <w:sz w:val="28"/>
          <w:szCs w:val="28"/>
        </w:rPr>
        <w:t>SH2: Local Shopping Centres, Shopping Parades and Single Shops</w:t>
      </w:r>
      <w:bookmarkEnd w:id="272"/>
      <w:bookmarkEnd w:id="273"/>
    </w:p>
    <w:p w14:paraId="08B498EC" w14:textId="77777777" w:rsidR="00E56122" w:rsidRPr="00E56122" w:rsidRDefault="00E56122" w:rsidP="00E56122">
      <w:pPr>
        <w:keepNext w:val="0"/>
        <w:spacing w:before="0"/>
        <w:rPr>
          <w:rFonts w:eastAsia="Arial" w:cs="Arial"/>
          <w:color w:val="auto"/>
        </w:rPr>
      </w:pPr>
      <w:bookmarkStart w:id="274" w:name="_Hlk80261956"/>
    </w:p>
    <w:tbl>
      <w:tblPr>
        <w:tblStyle w:val="TableGrid3"/>
        <w:tblW w:w="9634" w:type="dxa"/>
        <w:tblLook w:val="04A0" w:firstRow="1" w:lastRow="0" w:firstColumn="1" w:lastColumn="0" w:noHBand="0" w:noVBand="1"/>
      </w:tblPr>
      <w:tblGrid>
        <w:gridCol w:w="2263"/>
        <w:gridCol w:w="397"/>
        <w:gridCol w:w="6974"/>
      </w:tblGrid>
      <w:tr w:rsidR="00E56122" w:rsidRPr="00E56122" w14:paraId="32C08F83" w14:textId="77777777" w:rsidTr="00163F59">
        <w:trPr>
          <w:trHeight w:val="421"/>
        </w:trPr>
        <w:tc>
          <w:tcPr>
            <w:tcW w:w="9634" w:type="dxa"/>
            <w:gridSpan w:val="3"/>
          </w:tcPr>
          <w:p w14:paraId="06D23576" w14:textId="77777777" w:rsidR="00A56503" w:rsidRDefault="00A56503" w:rsidP="00FF3EAD">
            <w:pPr>
              <w:keepNext w:val="0"/>
              <w:tabs>
                <w:tab w:val="left" w:pos="680"/>
              </w:tabs>
              <w:spacing w:before="0"/>
              <w:jc w:val="left"/>
              <w:rPr>
                <w:rFonts w:eastAsia="Arial"/>
                <w:b/>
                <w:color w:val="auto"/>
                <w:spacing w:val="-1"/>
              </w:rPr>
            </w:pPr>
            <w:bookmarkStart w:id="275" w:name="_Hlk78784182"/>
          </w:p>
          <w:p w14:paraId="0E88DC65" w14:textId="77777777" w:rsidR="00E56122" w:rsidRDefault="00E56122" w:rsidP="00FF3EAD">
            <w:pPr>
              <w:keepNext w:val="0"/>
              <w:tabs>
                <w:tab w:val="left" w:pos="680"/>
              </w:tabs>
              <w:spacing w:before="0"/>
              <w:jc w:val="left"/>
              <w:rPr>
                <w:rFonts w:eastAsia="Arial"/>
                <w:b/>
                <w:color w:val="auto"/>
                <w:spacing w:val="-1"/>
              </w:rPr>
            </w:pPr>
            <w:r w:rsidRPr="00E56122">
              <w:rPr>
                <w:rFonts w:eastAsia="Arial"/>
                <w:b/>
                <w:color w:val="auto"/>
                <w:spacing w:val="-1"/>
              </w:rPr>
              <w:t xml:space="preserve">Policy SH2: </w:t>
            </w:r>
            <w:r w:rsidRPr="00301481">
              <w:rPr>
                <w:rFonts w:eastAsia="Arial"/>
                <w:b/>
                <w:color w:val="auto"/>
                <w:spacing w:val="-1"/>
              </w:rPr>
              <w:t>Local Shopping Centres, Shopping Parades and Single Shops</w:t>
            </w:r>
          </w:p>
          <w:p w14:paraId="135B5B0C" w14:textId="4959A12B" w:rsidR="00A56503" w:rsidRPr="00E56122" w:rsidRDefault="00A56503" w:rsidP="00FF3EAD">
            <w:pPr>
              <w:keepNext w:val="0"/>
              <w:tabs>
                <w:tab w:val="left" w:pos="680"/>
              </w:tabs>
              <w:spacing w:before="0"/>
              <w:jc w:val="left"/>
              <w:rPr>
                <w:rFonts w:eastAsia="Arial"/>
                <w:b/>
                <w:color w:val="auto"/>
                <w:spacing w:val="-1"/>
              </w:rPr>
            </w:pPr>
          </w:p>
        </w:tc>
      </w:tr>
      <w:tr w:rsidR="00E56122" w:rsidRPr="00E56122" w14:paraId="2398079B" w14:textId="77777777" w:rsidTr="00163F59">
        <w:tc>
          <w:tcPr>
            <w:tcW w:w="2660" w:type="dxa"/>
            <w:gridSpan w:val="2"/>
          </w:tcPr>
          <w:p w14:paraId="204E5841" w14:textId="77777777" w:rsidR="00E56122" w:rsidRPr="00A56503" w:rsidRDefault="00E56122" w:rsidP="00FF3EAD">
            <w:pPr>
              <w:keepNext w:val="0"/>
              <w:tabs>
                <w:tab w:val="left" w:pos="680"/>
              </w:tabs>
              <w:spacing w:before="0"/>
              <w:jc w:val="left"/>
              <w:rPr>
                <w:rFonts w:eastAsia="Arial"/>
                <w:bCs/>
                <w:color w:val="auto"/>
              </w:rPr>
            </w:pPr>
            <w:r w:rsidRPr="00A56503">
              <w:rPr>
                <w:rFonts w:eastAsia="Arial"/>
                <w:bCs/>
                <w:color w:val="auto"/>
              </w:rPr>
              <w:t>Strategic Objectives</w:t>
            </w:r>
          </w:p>
        </w:tc>
        <w:tc>
          <w:tcPr>
            <w:tcW w:w="6974" w:type="dxa"/>
          </w:tcPr>
          <w:p w14:paraId="789C69E9" w14:textId="77777777" w:rsidR="00E56122" w:rsidRPr="00A56503" w:rsidRDefault="00E56122" w:rsidP="00FF3EAD">
            <w:pPr>
              <w:keepNext w:val="0"/>
              <w:tabs>
                <w:tab w:val="left" w:pos="680"/>
              </w:tabs>
              <w:spacing w:before="40" w:after="40"/>
              <w:jc w:val="left"/>
              <w:rPr>
                <w:rFonts w:eastAsia="Arial"/>
                <w:bCs/>
                <w:color w:val="auto"/>
              </w:rPr>
            </w:pPr>
            <w:r w:rsidRPr="00A56503">
              <w:rPr>
                <w:rFonts w:eastAsia="Arial"/>
                <w:bCs/>
                <w:color w:val="auto"/>
              </w:rPr>
              <w:t>SO1, SO2, SO5, SO6, SO10.</w:t>
            </w:r>
          </w:p>
        </w:tc>
      </w:tr>
      <w:tr w:rsidR="00E56122" w:rsidRPr="00E56122" w14:paraId="4042E96A" w14:textId="77777777" w:rsidTr="00163F59">
        <w:tc>
          <w:tcPr>
            <w:tcW w:w="9634" w:type="dxa"/>
            <w:gridSpan w:val="3"/>
            <w:shd w:val="clear" w:color="auto" w:fill="E6A8A8"/>
          </w:tcPr>
          <w:p w14:paraId="1A6897CF" w14:textId="77777777" w:rsidR="00E56122" w:rsidRPr="009A3879" w:rsidRDefault="00E56122" w:rsidP="00FF3EAD">
            <w:pPr>
              <w:keepNext w:val="0"/>
              <w:tabs>
                <w:tab w:val="left" w:pos="680"/>
                <w:tab w:val="left" w:pos="1133"/>
                <w:tab w:val="left" w:pos="2267"/>
              </w:tabs>
              <w:spacing w:before="0"/>
              <w:ind w:left="360" w:right="284"/>
              <w:jc w:val="left"/>
              <w:rPr>
                <w:rFonts w:eastAsia="Arial" w:cs="Arial"/>
                <w:bCs/>
                <w:color w:val="auto"/>
                <w:szCs w:val="24"/>
              </w:rPr>
            </w:pPr>
          </w:p>
          <w:p w14:paraId="3247F547" w14:textId="1CCE1C0C" w:rsidR="009A3879" w:rsidRPr="009A3879" w:rsidRDefault="009A3879" w:rsidP="00FF3EAD">
            <w:pPr>
              <w:keepNext w:val="0"/>
              <w:tabs>
                <w:tab w:val="left" w:pos="680"/>
                <w:tab w:val="left" w:pos="1133"/>
                <w:tab w:val="left" w:pos="2267"/>
              </w:tabs>
              <w:spacing w:before="0"/>
              <w:ind w:left="360" w:right="284"/>
              <w:jc w:val="left"/>
              <w:rPr>
                <w:rFonts w:eastAsia="Arial" w:cs="Arial"/>
                <w:b/>
                <w:color w:val="auto"/>
                <w:szCs w:val="24"/>
              </w:rPr>
            </w:pPr>
            <w:r w:rsidRPr="009A3879">
              <w:rPr>
                <w:rFonts w:eastAsia="Arial" w:cs="Arial"/>
                <w:b/>
                <w:color w:val="auto"/>
                <w:szCs w:val="24"/>
              </w:rPr>
              <w:t>Local Shopping Centres</w:t>
            </w:r>
          </w:p>
          <w:p w14:paraId="44ED29D8" w14:textId="77777777" w:rsidR="009A3879" w:rsidRPr="009A3879" w:rsidRDefault="009A3879" w:rsidP="00FF3EAD">
            <w:pPr>
              <w:keepNext w:val="0"/>
              <w:tabs>
                <w:tab w:val="left" w:pos="680"/>
                <w:tab w:val="left" w:pos="1133"/>
                <w:tab w:val="left" w:pos="2267"/>
              </w:tabs>
              <w:spacing w:before="0"/>
              <w:ind w:left="360" w:right="284"/>
              <w:jc w:val="left"/>
              <w:rPr>
                <w:rFonts w:eastAsia="Arial" w:cs="Arial"/>
                <w:bCs/>
                <w:color w:val="auto"/>
                <w:szCs w:val="24"/>
              </w:rPr>
            </w:pPr>
          </w:p>
          <w:p w14:paraId="39949327" w14:textId="1AB8383E" w:rsidR="00E56122" w:rsidRPr="009A3879" w:rsidRDefault="00E56122" w:rsidP="00874A98">
            <w:pPr>
              <w:keepNext w:val="0"/>
              <w:numPr>
                <w:ilvl w:val="0"/>
                <w:numId w:val="170"/>
              </w:numPr>
              <w:tabs>
                <w:tab w:val="left" w:pos="680"/>
                <w:tab w:val="left" w:pos="1133"/>
                <w:tab w:val="left" w:pos="2267"/>
              </w:tabs>
              <w:spacing w:before="0"/>
              <w:ind w:right="284"/>
              <w:jc w:val="left"/>
              <w:rPr>
                <w:rFonts w:eastAsia="Arial" w:cs="Arial"/>
                <w:bCs/>
                <w:color w:val="auto"/>
                <w:szCs w:val="24"/>
              </w:rPr>
            </w:pPr>
            <w:r w:rsidRPr="009A3879">
              <w:rPr>
                <w:rFonts w:eastAsia="Arial" w:cs="Arial"/>
                <w:bCs/>
                <w:color w:val="auto"/>
                <w:szCs w:val="24"/>
              </w:rPr>
              <w:t xml:space="preserve">Local Shopping Centres </w:t>
            </w:r>
            <w:r w:rsidR="00D31BE3" w:rsidRPr="009A3879">
              <w:rPr>
                <w:rFonts w:eastAsia="Arial" w:cs="Arial"/>
                <w:bCs/>
                <w:color w:val="auto"/>
                <w:szCs w:val="24"/>
              </w:rPr>
              <w:t xml:space="preserve">are </w:t>
            </w:r>
            <w:r w:rsidRPr="009A3879">
              <w:rPr>
                <w:rFonts w:eastAsia="Arial" w:cs="Arial"/>
                <w:bCs/>
                <w:color w:val="auto"/>
                <w:szCs w:val="24"/>
              </w:rPr>
              <w:t xml:space="preserve">set out below and </w:t>
            </w:r>
            <w:r w:rsidR="008C4052" w:rsidRPr="009A3879">
              <w:rPr>
                <w:rFonts w:eastAsia="Arial" w:cs="Arial"/>
                <w:bCs/>
                <w:color w:val="auto"/>
                <w:szCs w:val="24"/>
              </w:rPr>
              <w:t xml:space="preserve">identified </w:t>
            </w:r>
            <w:r w:rsidRPr="009A3879">
              <w:rPr>
                <w:rFonts w:eastAsia="Arial" w:cs="Arial"/>
                <w:bCs/>
                <w:color w:val="auto"/>
                <w:szCs w:val="24"/>
              </w:rPr>
              <w:t>on the Policies Maps:</w:t>
            </w:r>
          </w:p>
          <w:p w14:paraId="1A25E3D3" w14:textId="2D16D9E4" w:rsidR="00E56122" w:rsidRPr="009A3879" w:rsidRDefault="00E56122" w:rsidP="00204573">
            <w:pPr>
              <w:keepNext w:val="0"/>
              <w:tabs>
                <w:tab w:val="left" w:pos="680"/>
              </w:tabs>
              <w:spacing w:before="0" w:after="160" w:line="252" w:lineRule="auto"/>
              <w:contextualSpacing/>
              <w:jc w:val="left"/>
              <w:rPr>
                <w:rFonts w:eastAsia="Arial" w:cs="Arial"/>
                <w:bCs/>
                <w:strike/>
                <w:color w:val="auto"/>
                <w:szCs w:val="24"/>
              </w:rPr>
            </w:pPr>
          </w:p>
          <w:p w14:paraId="359B2452" w14:textId="77777777" w:rsidR="00D31BE3" w:rsidRPr="005A0FAE" w:rsidRDefault="00D31BE3" w:rsidP="00D31BE3">
            <w:pPr>
              <w:keepNext w:val="0"/>
              <w:tabs>
                <w:tab w:val="left" w:pos="680"/>
              </w:tabs>
              <w:spacing w:before="0"/>
              <w:ind w:left="360"/>
              <w:jc w:val="left"/>
              <w:rPr>
                <w:rFonts w:eastAsia="Arial" w:cs="Arial"/>
                <w:b/>
                <w:i/>
                <w:iCs/>
                <w:color w:val="auto"/>
                <w:szCs w:val="24"/>
              </w:rPr>
            </w:pPr>
            <w:r w:rsidRPr="005A0FAE">
              <w:rPr>
                <w:rFonts w:eastAsia="Arial" w:cs="Arial"/>
                <w:b/>
                <w:i/>
                <w:iCs/>
                <w:color w:val="auto"/>
                <w:szCs w:val="24"/>
              </w:rPr>
              <w:t>Hucknall</w:t>
            </w:r>
          </w:p>
          <w:p w14:paraId="1BCD3947" w14:textId="50AD002B" w:rsidR="00D31BE3" w:rsidRPr="009A3879" w:rsidRDefault="00D31BE3" w:rsidP="00D31BE3">
            <w:pPr>
              <w:keepNext w:val="0"/>
              <w:tabs>
                <w:tab w:val="left" w:pos="680"/>
              </w:tabs>
              <w:spacing w:before="0"/>
              <w:ind w:left="360"/>
              <w:jc w:val="left"/>
              <w:rPr>
                <w:rFonts w:eastAsia="Arial" w:cs="Arial"/>
                <w:bCs/>
                <w:color w:val="auto"/>
                <w:szCs w:val="24"/>
              </w:rPr>
            </w:pPr>
            <w:r w:rsidRPr="009A3879">
              <w:rPr>
                <w:rFonts w:eastAsia="Arial" w:cs="Arial"/>
                <w:bCs/>
                <w:color w:val="auto"/>
                <w:szCs w:val="24"/>
              </w:rPr>
              <w:t>SH2 Ha Annesley Road.</w:t>
            </w:r>
          </w:p>
          <w:p w14:paraId="7D7E6E41" w14:textId="17EC4E3C" w:rsidR="00D31BE3" w:rsidRPr="009A3879" w:rsidRDefault="00D31BE3" w:rsidP="00D31BE3">
            <w:pPr>
              <w:keepNext w:val="0"/>
              <w:tabs>
                <w:tab w:val="left" w:pos="680"/>
              </w:tabs>
              <w:spacing w:before="0"/>
              <w:ind w:left="360"/>
              <w:jc w:val="left"/>
              <w:rPr>
                <w:rFonts w:eastAsia="Arial" w:cs="Arial"/>
                <w:bCs/>
                <w:color w:val="auto"/>
                <w:szCs w:val="24"/>
              </w:rPr>
            </w:pPr>
            <w:r w:rsidRPr="009A3879">
              <w:rPr>
                <w:rFonts w:eastAsia="Arial" w:cs="Arial"/>
                <w:bCs/>
                <w:color w:val="auto"/>
                <w:szCs w:val="24"/>
              </w:rPr>
              <w:t>SH2 Hb Watnall Road.</w:t>
            </w:r>
          </w:p>
          <w:p w14:paraId="2C3F8FAD" w14:textId="77777777" w:rsidR="00D31BE3" w:rsidRPr="009A3879" w:rsidRDefault="00D31BE3" w:rsidP="00D31BE3">
            <w:pPr>
              <w:keepNext w:val="0"/>
              <w:tabs>
                <w:tab w:val="left" w:pos="680"/>
              </w:tabs>
              <w:spacing w:before="0"/>
              <w:ind w:left="360"/>
              <w:jc w:val="left"/>
              <w:rPr>
                <w:rFonts w:eastAsia="Arial" w:cs="Arial"/>
                <w:bCs/>
                <w:color w:val="auto"/>
                <w:szCs w:val="24"/>
              </w:rPr>
            </w:pPr>
          </w:p>
          <w:p w14:paraId="56031F0C" w14:textId="77777777" w:rsidR="00D31BE3" w:rsidRPr="005A0FAE" w:rsidRDefault="00D31BE3" w:rsidP="00D31BE3">
            <w:pPr>
              <w:keepNext w:val="0"/>
              <w:tabs>
                <w:tab w:val="left" w:pos="680"/>
              </w:tabs>
              <w:spacing w:before="0"/>
              <w:ind w:left="360"/>
              <w:jc w:val="left"/>
              <w:rPr>
                <w:rFonts w:eastAsia="Arial" w:cs="Arial"/>
                <w:b/>
                <w:color w:val="auto"/>
                <w:szCs w:val="24"/>
              </w:rPr>
            </w:pPr>
            <w:r w:rsidRPr="005A0FAE">
              <w:rPr>
                <w:rFonts w:eastAsia="Arial" w:cs="Arial"/>
                <w:b/>
                <w:color w:val="auto"/>
                <w:szCs w:val="24"/>
              </w:rPr>
              <w:t>Kirkby-in-Ashfield</w:t>
            </w:r>
          </w:p>
          <w:p w14:paraId="23686DA5" w14:textId="00DF6364" w:rsidR="00D31BE3" w:rsidRPr="009A3879" w:rsidRDefault="00D31BE3" w:rsidP="00D31BE3">
            <w:pPr>
              <w:keepNext w:val="0"/>
              <w:tabs>
                <w:tab w:val="left" w:pos="680"/>
              </w:tabs>
              <w:spacing w:before="0"/>
              <w:ind w:left="360"/>
              <w:jc w:val="left"/>
              <w:rPr>
                <w:rFonts w:eastAsia="Arial" w:cs="Arial"/>
                <w:bCs/>
                <w:color w:val="auto"/>
                <w:szCs w:val="24"/>
              </w:rPr>
            </w:pPr>
            <w:r w:rsidRPr="009A3879">
              <w:rPr>
                <w:rFonts w:eastAsia="Arial" w:cs="Arial"/>
                <w:bCs/>
                <w:color w:val="auto"/>
                <w:szCs w:val="24"/>
              </w:rPr>
              <w:t>SH2 Ka Forest Road, Annesley Woodhouse.</w:t>
            </w:r>
          </w:p>
          <w:p w14:paraId="42A41724" w14:textId="77777777" w:rsidR="00D31BE3" w:rsidRPr="009A3879" w:rsidRDefault="00D31BE3" w:rsidP="00D31BE3">
            <w:pPr>
              <w:keepNext w:val="0"/>
              <w:tabs>
                <w:tab w:val="left" w:pos="680"/>
              </w:tabs>
              <w:spacing w:before="0"/>
              <w:ind w:left="360"/>
              <w:jc w:val="left"/>
              <w:rPr>
                <w:rFonts w:eastAsia="Arial" w:cs="Arial"/>
                <w:bCs/>
                <w:color w:val="auto"/>
                <w:szCs w:val="24"/>
              </w:rPr>
            </w:pPr>
          </w:p>
          <w:p w14:paraId="1318DDC3" w14:textId="78432309" w:rsidR="00D31BE3" w:rsidRPr="005A0FAE" w:rsidRDefault="00D31BE3" w:rsidP="00D31BE3">
            <w:pPr>
              <w:keepNext w:val="0"/>
              <w:tabs>
                <w:tab w:val="left" w:pos="680"/>
              </w:tabs>
              <w:spacing w:before="0"/>
              <w:ind w:left="360"/>
              <w:jc w:val="left"/>
              <w:rPr>
                <w:rFonts w:eastAsia="Arial" w:cs="Arial"/>
                <w:b/>
                <w:i/>
                <w:iCs/>
                <w:color w:val="auto"/>
                <w:szCs w:val="24"/>
              </w:rPr>
            </w:pPr>
            <w:r w:rsidRPr="005A0FAE">
              <w:rPr>
                <w:rFonts w:eastAsia="Arial" w:cs="Arial"/>
                <w:b/>
                <w:i/>
                <w:iCs/>
                <w:color w:val="auto"/>
                <w:szCs w:val="24"/>
              </w:rPr>
              <w:t>Sutton in Ashfield</w:t>
            </w:r>
          </w:p>
          <w:p w14:paraId="45703BD1" w14:textId="72C66139" w:rsidR="00D31BE3" w:rsidRPr="009A3879" w:rsidRDefault="00D31BE3" w:rsidP="00D31BE3">
            <w:pPr>
              <w:keepNext w:val="0"/>
              <w:tabs>
                <w:tab w:val="left" w:pos="680"/>
              </w:tabs>
              <w:spacing w:before="0"/>
              <w:ind w:left="360"/>
              <w:jc w:val="left"/>
              <w:rPr>
                <w:rFonts w:eastAsia="Arial" w:cs="Arial"/>
                <w:bCs/>
                <w:color w:val="auto"/>
                <w:szCs w:val="24"/>
              </w:rPr>
            </w:pPr>
            <w:r w:rsidRPr="009A3879">
              <w:rPr>
                <w:rFonts w:eastAsia="Arial" w:cs="Arial"/>
                <w:bCs/>
                <w:color w:val="auto"/>
                <w:szCs w:val="24"/>
              </w:rPr>
              <w:t>SH2 Sa Outram Street.</w:t>
            </w:r>
          </w:p>
          <w:p w14:paraId="60C5C412" w14:textId="3F8CBD7F" w:rsidR="00D31BE3" w:rsidRPr="009A3879" w:rsidRDefault="00D31BE3" w:rsidP="00D31BE3">
            <w:pPr>
              <w:keepNext w:val="0"/>
              <w:tabs>
                <w:tab w:val="left" w:pos="680"/>
              </w:tabs>
              <w:spacing w:before="0"/>
              <w:ind w:left="360"/>
              <w:jc w:val="left"/>
              <w:rPr>
                <w:rFonts w:eastAsia="Arial" w:cs="Arial"/>
                <w:bCs/>
                <w:color w:val="auto"/>
                <w:szCs w:val="24"/>
              </w:rPr>
            </w:pPr>
            <w:r w:rsidRPr="009A3879">
              <w:rPr>
                <w:rFonts w:eastAsia="Arial" w:cs="Arial"/>
                <w:bCs/>
                <w:color w:val="auto"/>
                <w:szCs w:val="24"/>
              </w:rPr>
              <w:t>SH2 Sb Huthwaite Market Place.</w:t>
            </w:r>
          </w:p>
          <w:p w14:paraId="7E900902" w14:textId="30D1B3F5" w:rsidR="00D31BE3" w:rsidRPr="009A3879" w:rsidRDefault="00D31BE3" w:rsidP="00D31BE3">
            <w:pPr>
              <w:keepNext w:val="0"/>
              <w:tabs>
                <w:tab w:val="left" w:pos="680"/>
              </w:tabs>
              <w:spacing w:before="0"/>
              <w:ind w:left="360"/>
              <w:jc w:val="left"/>
              <w:rPr>
                <w:rFonts w:eastAsia="Arial" w:cs="Arial"/>
                <w:bCs/>
                <w:color w:val="auto"/>
                <w:szCs w:val="24"/>
              </w:rPr>
            </w:pPr>
            <w:r w:rsidRPr="009A3879">
              <w:rPr>
                <w:rFonts w:eastAsia="Arial" w:cs="Arial"/>
                <w:bCs/>
                <w:color w:val="auto"/>
                <w:szCs w:val="24"/>
              </w:rPr>
              <w:t>SH2 Sc High Street, Stanton Hill.</w:t>
            </w:r>
          </w:p>
          <w:p w14:paraId="07B1C9CB" w14:textId="77777777" w:rsidR="00D31BE3" w:rsidRPr="009A3879" w:rsidRDefault="00D31BE3" w:rsidP="00D31BE3">
            <w:pPr>
              <w:keepNext w:val="0"/>
              <w:tabs>
                <w:tab w:val="left" w:pos="680"/>
              </w:tabs>
              <w:spacing w:before="0"/>
              <w:ind w:left="360"/>
              <w:jc w:val="left"/>
              <w:rPr>
                <w:rFonts w:eastAsia="Arial" w:cs="Arial"/>
                <w:bCs/>
                <w:color w:val="auto"/>
                <w:szCs w:val="24"/>
              </w:rPr>
            </w:pPr>
          </w:p>
          <w:p w14:paraId="25EA92A3" w14:textId="2D6B05ED" w:rsidR="00D31BE3" w:rsidRPr="005A0FAE" w:rsidRDefault="00D31BE3" w:rsidP="00D31BE3">
            <w:pPr>
              <w:keepNext w:val="0"/>
              <w:tabs>
                <w:tab w:val="left" w:pos="680"/>
              </w:tabs>
              <w:spacing w:before="0"/>
              <w:ind w:left="360"/>
              <w:jc w:val="left"/>
              <w:rPr>
                <w:rFonts w:eastAsia="Arial" w:cs="Arial"/>
                <w:b/>
                <w:i/>
                <w:iCs/>
                <w:color w:val="auto"/>
                <w:szCs w:val="24"/>
              </w:rPr>
            </w:pPr>
            <w:r w:rsidRPr="005A0FAE">
              <w:rPr>
                <w:rFonts w:eastAsia="Arial" w:cs="Arial"/>
                <w:b/>
                <w:i/>
                <w:iCs/>
                <w:color w:val="auto"/>
                <w:szCs w:val="24"/>
              </w:rPr>
              <w:t>Jacksdale</w:t>
            </w:r>
          </w:p>
          <w:p w14:paraId="0CC7A736" w14:textId="66868730" w:rsidR="00D31BE3" w:rsidRPr="009A3879" w:rsidRDefault="00D31BE3" w:rsidP="00D31BE3">
            <w:pPr>
              <w:keepNext w:val="0"/>
              <w:tabs>
                <w:tab w:val="left" w:pos="680"/>
              </w:tabs>
              <w:spacing w:before="0"/>
              <w:ind w:left="360"/>
              <w:jc w:val="left"/>
              <w:rPr>
                <w:rFonts w:eastAsia="Arial" w:cs="Arial"/>
                <w:bCs/>
                <w:color w:val="auto"/>
                <w:szCs w:val="24"/>
              </w:rPr>
            </w:pPr>
            <w:r w:rsidRPr="009A3879">
              <w:rPr>
                <w:rFonts w:eastAsia="Arial" w:cs="Arial"/>
                <w:bCs/>
                <w:color w:val="auto"/>
                <w:szCs w:val="24"/>
              </w:rPr>
              <w:t>SH2 Ja Village Centre.</w:t>
            </w:r>
          </w:p>
          <w:p w14:paraId="2DAD85F9" w14:textId="77777777" w:rsidR="00D31BE3" w:rsidRPr="009A3879" w:rsidRDefault="00D31BE3" w:rsidP="00D31BE3">
            <w:pPr>
              <w:keepNext w:val="0"/>
              <w:tabs>
                <w:tab w:val="left" w:pos="680"/>
              </w:tabs>
              <w:spacing w:before="0"/>
              <w:ind w:left="360"/>
              <w:jc w:val="left"/>
              <w:rPr>
                <w:rFonts w:eastAsia="Arial" w:cs="Arial"/>
                <w:bCs/>
                <w:color w:val="auto"/>
                <w:szCs w:val="24"/>
              </w:rPr>
            </w:pPr>
          </w:p>
          <w:p w14:paraId="6AC4F322" w14:textId="77777777" w:rsidR="00E56122" w:rsidRPr="009A3879" w:rsidRDefault="00E56122" w:rsidP="00874A98">
            <w:pPr>
              <w:keepNext w:val="0"/>
              <w:numPr>
                <w:ilvl w:val="0"/>
                <w:numId w:val="170"/>
              </w:numPr>
              <w:tabs>
                <w:tab w:val="left" w:pos="680"/>
                <w:tab w:val="left" w:pos="1133"/>
                <w:tab w:val="left" w:pos="2267"/>
              </w:tabs>
              <w:spacing w:before="0"/>
              <w:ind w:left="357" w:right="284" w:hanging="357"/>
              <w:jc w:val="left"/>
              <w:rPr>
                <w:rFonts w:eastAsia="Arial" w:cs="Arial"/>
                <w:bCs/>
                <w:color w:val="auto"/>
                <w:szCs w:val="24"/>
              </w:rPr>
            </w:pPr>
            <w:r w:rsidRPr="009A3879">
              <w:rPr>
                <w:rFonts w:eastAsia="Arial" w:cs="Arial"/>
                <w:bCs/>
                <w:color w:val="auto"/>
                <w:szCs w:val="24"/>
              </w:rPr>
              <w:t>The Council will support well designed town centre uses</w:t>
            </w:r>
            <w:r w:rsidRPr="009A3879">
              <w:rPr>
                <w:rFonts w:eastAsia="Arial" w:cs="Arial"/>
                <w:bCs/>
                <w:color w:val="auto"/>
                <w:szCs w:val="24"/>
                <w:vertAlign w:val="superscript"/>
              </w:rPr>
              <w:t>1</w:t>
            </w:r>
            <w:r w:rsidRPr="009A3879">
              <w:rPr>
                <w:rFonts w:eastAsia="Arial" w:cs="Arial"/>
                <w:bCs/>
                <w:color w:val="auto"/>
                <w:szCs w:val="24"/>
              </w:rPr>
              <w:t xml:space="preserve"> in Local Shopping Centres provided that:</w:t>
            </w:r>
            <w:r w:rsidRPr="009A3879">
              <w:rPr>
                <w:rFonts w:eastAsia="Arial" w:cs="Arial"/>
                <w:bCs/>
                <w:color w:val="auto"/>
                <w:szCs w:val="24"/>
              </w:rPr>
              <w:cr/>
            </w:r>
          </w:p>
          <w:p w14:paraId="20B053A4" w14:textId="77777777" w:rsidR="00E56122" w:rsidRPr="009A3879" w:rsidRDefault="00E56122" w:rsidP="00874A98">
            <w:pPr>
              <w:keepNext w:val="0"/>
              <w:numPr>
                <w:ilvl w:val="0"/>
                <w:numId w:val="172"/>
              </w:numPr>
              <w:tabs>
                <w:tab w:val="left" w:pos="1133"/>
                <w:tab w:val="left" w:pos="2267"/>
              </w:tabs>
              <w:spacing w:before="0" w:after="160" w:line="252" w:lineRule="auto"/>
              <w:ind w:right="284"/>
              <w:contextualSpacing/>
              <w:jc w:val="left"/>
              <w:rPr>
                <w:rFonts w:eastAsia="Arial" w:cs="Arial"/>
                <w:bCs/>
                <w:color w:val="auto"/>
                <w:szCs w:val="24"/>
              </w:rPr>
            </w:pPr>
            <w:r w:rsidRPr="009A3879">
              <w:rPr>
                <w:rFonts w:cs="Arial"/>
                <w:bCs/>
                <w:color w:val="auto"/>
                <w:szCs w:val="24"/>
              </w:rPr>
              <w:t xml:space="preserve">It is of a scale and character which reflects the role, function and distinctive qualities of the local centre; </w:t>
            </w:r>
          </w:p>
          <w:p w14:paraId="278590D3" w14:textId="2EC20B0A" w:rsidR="00E56122" w:rsidRPr="009A3879" w:rsidRDefault="00E56122" w:rsidP="00874A98">
            <w:pPr>
              <w:keepNext w:val="0"/>
              <w:numPr>
                <w:ilvl w:val="0"/>
                <w:numId w:val="172"/>
              </w:numPr>
              <w:tabs>
                <w:tab w:val="left" w:pos="1133"/>
                <w:tab w:val="left" w:pos="2267"/>
              </w:tabs>
              <w:spacing w:before="0"/>
              <w:ind w:right="284"/>
              <w:contextualSpacing/>
              <w:jc w:val="left"/>
              <w:rPr>
                <w:rFonts w:eastAsia="Arial" w:cs="Arial"/>
                <w:bCs/>
                <w:color w:val="auto"/>
                <w:szCs w:val="24"/>
              </w:rPr>
            </w:pPr>
            <w:r w:rsidRPr="009A3879">
              <w:rPr>
                <w:rFonts w:eastAsia="Arial" w:cs="Arial"/>
                <w:bCs/>
                <w:color w:val="auto"/>
                <w:szCs w:val="24"/>
              </w:rPr>
              <w:t>It would have a positive effect and not harm the health, vitality and viability of the local centre</w:t>
            </w:r>
            <w:r w:rsidR="00B56368" w:rsidRPr="009A3879">
              <w:rPr>
                <w:rFonts w:eastAsia="Arial" w:cs="Arial"/>
                <w:bCs/>
                <w:color w:val="auto"/>
                <w:szCs w:val="24"/>
              </w:rPr>
              <w:t>.</w:t>
            </w:r>
          </w:p>
          <w:p w14:paraId="4A11A4C0" w14:textId="77777777" w:rsidR="00E56122" w:rsidRPr="009A3879" w:rsidRDefault="00E56122" w:rsidP="00FF3EAD">
            <w:pPr>
              <w:keepNext w:val="0"/>
              <w:tabs>
                <w:tab w:val="left" w:pos="680"/>
                <w:tab w:val="left" w:pos="1133"/>
                <w:tab w:val="left" w:pos="2267"/>
              </w:tabs>
              <w:spacing w:before="0"/>
              <w:ind w:right="284"/>
              <w:jc w:val="left"/>
              <w:rPr>
                <w:rFonts w:eastAsia="Arial" w:cs="Arial"/>
                <w:bCs/>
                <w:color w:val="auto"/>
                <w:szCs w:val="24"/>
              </w:rPr>
            </w:pPr>
          </w:p>
          <w:p w14:paraId="5D3FFD43" w14:textId="0800F1F2" w:rsidR="00A457BC" w:rsidRPr="009A3879" w:rsidRDefault="00A457BC" w:rsidP="00874A98">
            <w:pPr>
              <w:keepNext w:val="0"/>
              <w:numPr>
                <w:ilvl w:val="0"/>
                <w:numId w:val="170"/>
              </w:numPr>
              <w:tabs>
                <w:tab w:val="left" w:pos="680"/>
                <w:tab w:val="left" w:pos="1133"/>
                <w:tab w:val="left" w:pos="2267"/>
              </w:tabs>
              <w:spacing w:before="0"/>
              <w:ind w:right="284"/>
              <w:jc w:val="left"/>
              <w:rPr>
                <w:rFonts w:eastAsia="Arial" w:cs="Arial"/>
                <w:bCs/>
                <w:color w:val="auto"/>
                <w:szCs w:val="24"/>
              </w:rPr>
            </w:pPr>
            <w:r w:rsidRPr="009A3879">
              <w:rPr>
                <w:rFonts w:eastAsia="Arial" w:cs="Arial"/>
                <w:bCs/>
                <w:color w:val="auto"/>
                <w:szCs w:val="24"/>
              </w:rPr>
              <w:t>The change of use of ground floor retail/commercial units to residential use will only be supported where:</w:t>
            </w:r>
          </w:p>
          <w:p w14:paraId="2FD12558" w14:textId="7AE3E4C7" w:rsidR="00E56122" w:rsidRPr="009A3879" w:rsidRDefault="00E56122" w:rsidP="00FF3EAD">
            <w:pPr>
              <w:keepNext w:val="0"/>
              <w:tabs>
                <w:tab w:val="left" w:pos="680"/>
                <w:tab w:val="left" w:pos="1133"/>
                <w:tab w:val="left" w:pos="2267"/>
              </w:tabs>
              <w:spacing w:before="0"/>
              <w:ind w:right="284"/>
              <w:jc w:val="left"/>
              <w:rPr>
                <w:rFonts w:eastAsia="Arial" w:cs="Arial"/>
                <w:bCs/>
                <w:color w:val="auto"/>
                <w:szCs w:val="24"/>
              </w:rPr>
            </w:pPr>
          </w:p>
          <w:p w14:paraId="0592648F" w14:textId="77777777" w:rsidR="00E56122" w:rsidRPr="009A3879" w:rsidRDefault="00E56122" w:rsidP="00874A98">
            <w:pPr>
              <w:keepNext w:val="0"/>
              <w:numPr>
                <w:ilvl w:val="0"/>
                <w:numId w:val="173"/>
              </w:numPr>
              <w:tabs>
                <w:tab w:val="left" w:pos="1133"/>
                <w:tab w:val="left" w:pos="2267"/>
              </w:tabs>
              <w:spacing w:before="0"/>
              <w:ind w:right="284"/>
              <w:contextualSpacing/>
              <w:jc w:val="left"/>
              <w:rPr>
                <w:rFonts w:eastAsia="Arial" w:cs="Arial"/>
                <w:bCs/>
                <w:color w:val="auto"/>
                <w:szCs w:val="24"/>
              </w:rPr>
            </w:pPr>
            <w:r w:rsidRPr="009A3879">
              <w:rPr>
                <w:rFonts w:eastAsia="Arial" w:cs="Arial"/>
                <w:bCs/>
                <w:color w:val="auto"/>
                <w:szCs w:val="24"/>
              </w:rPr>
              <w:t>It is appropriately sited and designed so as not to impact on the street scene or create conflict between users;</w:t>
            </w:r>
          </w:p>
          <w:p w14:paraId="5C286F48" w14:textId="77777777" w:rsidR="00E56122" w:rsidRPr="009A3879" w:rsidRDefault="00E56122" w:rsidP="00874A98">
            <w:pPr>
              <w:keepNext w:val="0"/>
              <w:numPr>
                <w:ilvl w:val="0"/>
                <w:numId w:val="173"/>
              </w:numPr>
              <w:tabs>
                <w:tab w:val="left" w:pos="680"/>
                <w:tab w:val="left" w:pos="1133"/>
                <w:tab w:val="left" w:pos="2267"/>
              </w:tabs>
              <w:spacing w:before="0" w:after="160" w:line="252" w:lineRule="auto"/>
              <w:ind w:right="284"/>
              <w:contextualSpacing/>
              <w:jc w:val="left"/>
              <w:rPr>
                <w:rFonts w:eastAsia="Arial" w:cs="Arial"/>
                <w:bCs/>
                <w:color w:val="auto"/>
                <w:szCs w:val="24"/>
              </w:rPr>
            </w:pPr>
            <w:r w:rsidRPr="009A3879">
              <w:rPr>
                <w:rFonts w:eastAsia="Arial" w:cs="Arial"/>
                <w:bCs/>
                <w:color w:val="auto"/>
                <w:szCs w:val="24"/>
              </w:rPr>
              <w:t>It will not negate the role of the local centre in providing a range of goods and services;</w:t>
            </w:r>
          </w:p>
          <w:p w14:paraId="65C198E8" w14:textId="77777777" w:rsidR="00A457BC" w:rsidRPr="009A3879" w:rsidRDefault="00E56122" w:rsidP="00874A98">
            <w:pPr>
              <w:keepNext w:val="0"/>
              <w:numPr>
                <w:ilvl w:val="0"/>
                <w:numId w:val="173"/>
              </w:numPr>
              <w:tabs>
                <w:tab w:val="left" w:pos="1133"/>
                <w:tab w:val="left" w:pos="2267"/>
              </w:tabs>
              <w:spacing w:before="0" w:after="160" w:line="252" w:lineRule="auto"/>
              <w:ind w:right="284"/>
              <w:contextualSpacing/>
              <w:jc w:val="left"/>
              <w:rPr>
                <w:rFonts w:eastAsia="Arial" w:cs="Arial"/>
                <w:bCs/>
                <w:color w:val="auto"/>
                <w:szCs w:val="24"/>
              </w:rPr>
            </w:pPr>
            <w:r w:rsidRPr="009A3879">
              <w:rPr>
                <w:rFonts w:eastAsia="Arial" w:cs="Arial"/>
                <w:bCs/>
                <w:color w:val="auto"/>
                <w:szCs w:val="24"/>
              </w:rPr>
              <w:t>It can be demonstrated there is a lack of demand for the unit for town centre uses.</w:t>
            </w:r>
          </w:p>
          <w:p w14:paraId="7B0F4D6B" w14:textId="0DFA4EEE" w:rsidR="00E56122" w:rsidRPr="009A3879" w:rsidRDefault="00A457BC" w:rsidP="00874A98">
            <w:pPr>
              <w:keepNext w:val="0"/>
              <w:numPr>
                <w:ilvl w:val="0"/>
                <w:numId w:val="173"/>
              </w:numPr>
              <w:tabs>
                <w:tab w:val="left" w:pos="1133"/>
                <w:tab w:val="left" w:pos="2267"/>
              </w:tabs>
              <w:spacing w:before="0" w:after="160" w:line="252" w:lineRule="auto"/>
              <w:ind w:right="284"/>
              <w:contextualSpacing/>
              <w:jc w:val="left"/>
              <w:rPr>
                <w:rFonts w:eastAsia="Arial" w:cs="Arial"/>
                <w:bCs/>
                <w:color w:val="auto"/>
                <w:szCs w:val="24"/>
              </w:rPr>
            </w:pPr>
            <w:r w:rsidRPr="009A3879">
              <w:rPr>
                <w:rFonts w:eastAsia="Arial" w:cs="Arial"/>
                <w:bCs/>
                <w:color w:val="auto"/>
                <w:szCs w:val="24"/>
              </w:rPr>
              <w:t>The dwelling will be consistent with other policies and standards relating to housing and design.</w:t>
            </w:r>
          </w:p>
          <w:p w14:paraId="76D81684" w14:textId="77777777" w:rsidR="00A457BC" w:rsidRPr="009A3879" w:rsidRDefault="00A457BC" w:rsidP="00FF3EAD">
            <w:pPr>
              <w:keepNext w:val="0"/>
              <w:tabs>
                <w:tab w:val="left" w:pos="1133"/>
                <w:tab w:val="left" w:pos="2267"/>
              </w:tabs>
              <w:spacing w:before="0" w:after="160" w:line="252" w:lineRule="auto"/>
              <w:ind w:left="720" w:right="284"/>
              <w:contextualSpacing/>
              <w:jc w:val="left"/>
              <w:rPr>
                <w:rFonts w:eastAsia="Arial" w:cs="Arial"/>
                <w:bCs/>
                <w:color w:val="auto"/>
                <w:szCs w:val="24"/>
              </w:rPr>
            </w:pPr>
          </w:p>
          <w:p w14:paraId="1519FE1B" w14:textId="4A496527" w:rsidR="00E56122" w:rsidRPr="009A3879" w:rsidRDefault="00E56122" w:rsidP="00874A98">
            <w:pPr>
              <w:keepNext w:val="0"/>
              <w:numPr>
                <w:ilvl w:val="0"/>
                <w:numId w:val="170"/>
              </w:numPr>
              <w:tabs>
                <w:tab w:val="left" w:pos="680"/>
                <w:tab w:val="left" w:pos="1133"/>
                <w:tab w:val="left" w:pos="2267"/>
              </w:tabs>
              <w:spacing w:before="0"/>
              <w:ind w:left="357" w:right="284"/>
              <w:jc w:val="left"/>
              <w:rPr>
                <w:rFonts w:eastAsia="Arial" w:cs="Arial"/>
                <w:bCs/>
                <w:color w:val="auto"/>
                <w:szCs w:val="24"/>
              </w:rPr>
            </w:pPr>
            <w:r w:rsidRPr="009A3879">
              <w:rPr>
                <w:rFonts w:eastAsia="Arial" w:cs="Arial"/>
                <w:bCs/>
                <w:color w:val="auto"/>
                <w:szCs w:val="24"/>
              </w:rPr>
              <w:t>Proposals that result in clusters of hot food takeaways</w:t>
            </w:r>
            <w:r w:rsidR="009A3879" w:rsidRPr="009A3879">
              <w:rPr>
                <w:rFonts w:eastAsia="Arial" w:cs="Arial"/>
                <w:bCs/>
                <w:color w:val="auto"/>
                <w:szCs w:val="24"/>
              </w:rPr>
              <w:t>, betting shops</w:t>
            </w:r>
            <w:r w:rsidRPr="009A3879">
              <w:rPr>
                <w:rFonts w:eastAsia="Arial" w:cs="Arial"/>
                <w:bCs/>
                <w:color w:val="auto"/>
                <w:szCs w:val="24"/>
              </w:rPr>
              <w:t xml:space="preserve"> or pubs/drinking establishments will not be supported, taking account of the concentration and proximity of existing such establishments in the immediate area.</w:t>
            </w:r>
          </w:p>
          <w:p w14:paraId="21360B95" w14:textId="77777777" w:rsidR="00E56122" w:rsidRPr="009A3879" w:rsidRDefault="00E56122" w:rsidP="00FF3EAD">
            <w:pPr>
              <w:keepNext w:val="0"/>
              <w:tabs>
                <w:tab w:val="left" w:pos="680"/>
                <w:tab w:val="left" w:pos="1133"/>
                <w:tab w:val="left" w:pos="2267"/>
              </w:tabs>
              <w:spacing w:before="0"/>
              <w:ind w:left="357" w:right="284"/>
              <w:jc w:val="left"/>
              <w:rPr>
                <w:rFonts w:eastAsia="Arial" w:cs="Arial"/>
                <w:bCs/>
                <w:color w:val="auto"/>
                <w:szCs w:val="24"/>
              </w:rPr>
            </w:pPr>
          </w:p>
          <w:p w14:paraId="31670854" w14:textId="008729A6" w:rsidR="00E56122" w:rsidRPr="009A3879" w:rsidRDefault="00E56122" w:rsidP="00874A98">
            <w:pPr>
              <w:keepNext w:val="0"/>
              <w:numPr>
                <w:ilvl w:val="0"/>
                <w:numId w:val="170"/>
              </w:numPr>
              <w:tabs>
                <w:tab w:val="left" w:pos="680"/>
                <w:tab w:val="left" w:pos="1133"/>
                <w:tab w:val="left" w:pos="2267"/>
              </w:tabs>
              <w:spacing w:before="0"/>
              <w:ind w:left="357" w:right="284"/>
              <w:jc w:val="left"/>
              <w:rPr>
                <w:rFonts w:eastAsia="Arial" w:cs="Arial"/>
                <w:bCs/>
                <w:color w:val="auto"/>
                <w:szCs w:val="24"/>
              </w:rPr>
            </w:pPr>
            <w:r w:rsidRPr="009A3879">
              <w:rPr>
                <w:rFonts w:eastAsia="Arial" w:cs="Arial"/>
                <w:bCs/>
                <w:color w:val="auto"/>
                <w:szCs w:val="24"/>
              </w:rPr>
              <w:t>The Council will apply the sequential test and, where appropriate, the impact test.  An impact test will be required for retail or leisure proposals exceeding 200 square metres gross of floorspace</w:t>
            </w:r>
            <w:r w:rsidR="00912C6F" w:rsidRPr="009A3879">
              <w:rPr>
                <w:rFonts w:eastAsia="Arial" w:cs="Arial"/>
                <w:bCs/>
                <w:color w:val="auto"/>
                <w:szCs w:val="24"/>
              </w:rPr>
              <w:t xml:space="preserve"> in </w:t>
            </w:r>
            <w:r w:rsidR="008F5954" w:rsidRPr="009A3879">
              <w:rPr>
                <w:rFonts w:eastAsia="Arial" w:cs="Arial"/>
                <w:bCs/>
                <w:color w:val="auto"/>
                <w:szCs w:val="24"/>
              </w:rPr>
              <w:t xml:space="preserve">relation to </w:t>
            </w:r>
            <w:r w:rsidR="00912C6F" w:rsidRPr="009A3879">
              <w:rPr>
                <w:rFonts w:eastAsia="Arial" w:cs="Arial"/>
                <w:bCs/>
                <w:color w:val="auto"/>
                <w:szCs w:val="24"/>
              </w:rPr>
              <w:t>Local Shopping Centres</w:t>
            </w:r>
            <w:r w:rsidRPr="009A3879">
              <w:rPr>
                <w:rFonts w:eastAsia="Arial" w:cs="Arial"/>
                <w:bCs/>
                <w:color w:val="auto"/>
                <w:szCs w:val="24"/>
              </w:rPr>
              <w:t xml:space="preserve">. Where the development proposal fails to satisfy the sequential test or is likely to have a significant adverse impact on the </w:t>
            </w:r>
            <w:r w:rsidR="00912C6F" w:rsidRPr="009A3879">
              <w:rPr>
                <w:rFonts w:eastAsia="Arial" w:cs="Arial"/>
                <w:bCs/>
                <w:color w:val="auto"/>
                <w:szCs w:val="24"/>
              </w:rPr>
              <w:t>l</w:t>
            </w:r>
            <w:r w:rsidRPr="009A3879">
              <w:rPr>
                <w:rFonts w:eastAsia="Arial" w:cs="Arial"/>
                <w:bCs/>
                <w:color w:val="auto"/>
                <w:szCs w:val="24"/>
              </w:rPr>
              <w:t xml:space="preserve">ocal </w:t>
            </w:r>
            <w:r w:rsidR="00912C6F" w:rsidRPr="009A3879">
              <w:rPr>
                <w:rFonts w:eastAsia="Arial" w:cs="Arial"/>
                <w:bCs/>
                <w:color w:val="auto"/>
                <w:szCs w:val="24"/>
              </w:rPr>
              <w:t>c</w:t>
            </w:r>
            <w:r w:rsidRPr="009A3879">
              <w:rPr>
                <w:rFonts w:eastAsia="Arial" w:cs="Arial"/>
                <w:bCs/>
                <w:color w:val="auto"/>
                <w:szCs w:val="24"/>
              </w:rPr>
              <w:t>entre it will be refused.</w:t>
            </w:r>
          </w:p>
          <w:p w14:paraId="58B75701" w14:textId="77777777" w:rsidR="00E56122" w:rsidRPr="009A3879" w:rsidRDefault="00E56122" w:rsidP="00FF3EAD">
            <w:pPr>
              <w:keepNext w:val="0"/>
              <w:tabs>
                <w:tab w:val="left" w:pos="680"/>
                <w:tab w:val="left" w:pos="1133"/>
                <w:tab w:val="left" w:pos="2267"/>
              </w:tabs>
              <w:spacing w:before="0"/>
              <w:ind w:right="284"/>
              <w:jc w:val="left"/>
              <w:rPr>
                <w:rFonts w:eastAsia="Arial" w:cs="Arial"/>
                <w:bCs/>
                <w:color w:val="auto"/>
                <w:szCs w:val="24"/>
              </w:rPr>
            </w:pPr>
          </w:p>
          <w:p w14:paraId="0C91AF10" w14:textId="77777777" w:rsidR="00E56122" w:rsidRPr="009A3879" w:rsidRDefault="00E56122" w:rsidP="00874A98">
            <w:pPr>
              <w:keepNext w:val="0"/>
              <w:numPr>
                <w:ilvl w:val="0"/>
                <w:numId w:val="170"/>
              </w:numPr>
              <w:tabs>
                <w:tab w:val="left" w:pos="680"/>
                <w:tab w:val="left" w:pos="1133"/>
                <w:tab w:val="left" w:pos="2267"/>
              </w:tabs>
              <w:spacing w:before="0" w:after="160" w:line="252" w:lineRule="auto"/>
              <w:ind w:right="284"/>
              <w:jc w:val="left"/>
              <w:rPr>
                <w:rFonts w:eastAsia="Arial" w:cs="Arial"/>
                <w:bCs/>
                <w:color w:val="auto"/>
                <w:szCs w:val="24"/>
              </w:rPr>
            </w:pPr>
            <w:r w:rsidRPr="009A3879">
              <w:rPr>
                <w:rFonts w:eastAsia="Arial" w:cs="Arial"/>
                <w:bCs/>
                <w:color w:val="auto"/>
                <w:szCs w:val="24"/>
              </w:rPr>
              <w:t>The Council will protect convenience food stores which provide for the day to day needs of the community unless it can be demonstrated that:</w:t>
            </w:r>
          </w:p>
          <w:p w14:paraId="4BF5A94A" w14:textId="77777777" w:rsidR="00E56122" w:rsidRPr="009A3879" w:rsidRDefault="00E56122" w:rsidP="00FF3EAD">
            <w:pPr>
              <w:keepNext w:val="0"/>
              <w:tabs>
                <w:tab w:val="left" w:pos="680"/>
              </w:tabs>
              <w:spacing w:before="0"/>
              <w:jc w:val="left"/>
              <w:rPr>
                <w:rFonts w:eastAsia="Arial" w:cs="Arial"/>
                <w:bCs/>
                <w:color w:val="auto"/>
                <w:szCs w:val="24"/>
              </w:rPr>
            </w:pPr>
          </w:p>
          <w:p w14:paraId="2A6C69BB" w14:textId="77777777" w:rsidR="00E56122" w:rsidRPr="009A3879" w:rsidRDefault="00E56122" w:rsidP="00874A98">
            <w:pPr>
              <w:keepNext w:val="0"/>
              <w:numPr>
                <w:ilvl w:val="0"/>
                <w:numId w:val="171"/>
              </w:numPr>
              <w:tabs>
                <w:tab w:val="left" w:pos="680"/>
              </w:tabs>
              <w:spacing w:before="0" w:after="160" w:line="252" w:lineRule="auto"/>
              <w:contextualSpacing/>
              <w:jc w:val="left"/>
              <w:rPr>
                <w:rFonts w:eastAsia="Arial" w:cs="Arial"/>
                <w:bCs/>
                <w:color w:val="auto"/>
                <w:szCs w:val="24"/>
              </w:rPr>
            </w:pPr>
            <w:r w:rsidRPr="009A3879">
              <w:rPr>
                <w:rFonts w:eastAsia="Arial" w:cs="Arial"/>
                <w:bCs/>
                <w:color w:val="auto"/>
                <w:szCs w:val="24"/>
              </w:rPr>
              <w:t>alternative shopping facilities that are similarly accessible by walking, cycling or public transport exist to meet the needs of the area;</w:t>
            </w:r>
          </w:p>
          <w:p w14:paraId="1C20E95A" w14:textId="77777777" w:rsidR="00E56122" w:rsidRPr="009A3879" w:rsidRDefault="00E56122" w:rsidP="00874A98">
            <w:pPr>
              <w:keepNext w:val="0"/>
              <w:numPr>
                <w:ilvl w:val="0"/>
                <w:numId w:val="171"/>
              </w:numPr>
              <w:tabs>
                <w:tab w:val="left" w:pos="680"/>
              </w:tabs>
              <w:spacing w:before="0" w:after="160" w:line="252" w:lineRule="auto"/>
              <w:contextualSpacing/>
              <w:jc w:val="left"/>
              <w:rPr>
                <w:rFonts w:eastAsia="Arial" w:cs="Arial"/>
                <w:bCs/>
                <w:color w:val="auto"/>
                <w:szCs w:val="24"/>
              </w:rPr>
            </w:pPr>
            <w:r w:rsidRPr="009A3879">
              <w:rPr>
                <w:rFonts w:eastAsia="Arial" w:cs="Arial"/>
                <w:bCs/>
                <w:color w:val="auto"/>
                <w:szCs w:val="24"/>
              </w:rPr>
              <w:t>there is no demand for the current use; and</w:t>
            </w:r>
          </w:p>
          <w:p w14:paraId="35A4E0F0" w14:textId="77777777" w:rsidR="00E56122" w:rsidRPr="009A3879" w:rsidRDefault="00E56122" w:rsidP="00874A98">
            <w:pPr>
              <w:keepNext w:val="0"/>
              <w:numPr>
                <w:ilvl w:val="0"/>
                <w:numId w:val="171"/>
              </w:numPr>
              <w:tabs>
                <w:tab w:val="left" w:pos="680"/>
              </w:tabs>
              <w:spacing w:before="0" w:after="160" w:line="252" w:lineRule="auto"/>
              <w:contextualSpacing/>
              <w:jc w:val="left"/>
              <w:rPr>
                <w:rFonts w:eastAsia="Arial" w:cs="Arial"/>
                <w:bCs/>
                <w:color w:val="auto"/>
                <w:szCs w:val="24"/>
              </w:rPr>
            </w:pPr>
            <w:r w:rsidRPr="009A3879">
              <w:rPr>
                <w:rFonts w:eastAsia="Arial" w:cs="Arial"/>
                <w:bCs/>
                <w:color w:val="auto"/>
                <w:szCs w:val="24"/>
              </w:rPr>
              <w:t>the site has been marketed effectively for the current use, for an appropriate period.</w:t>
            </w:r>
          </w:p>
          <w:p w14:paraId="1156165B" w14:textId="77777777" w:rsidR="00E56122" w:rsidRPr="009A3879" w:rsidRDefault="00E56122" w:rsidP="00FF3EAD">
            <w:pPr>
              <w:keepNext w:val="0"/>
              <w:shd w:val="clear" w:color="auto" w:fill="E6A8A8"/>
              <w:tabs>
                <w:tab w:val="left" w:pos="680"/>
              </w:tabs>
              <w:spacing w:before="0"/>
              <w:ind w:left="720"/>
              <w:jc w:val="left"/>
              <w:rPr>
                <w:rFonts w:eastAsia="Arial" w:cs="Arial"/>
                <w:bCs/>
                <w:color w:val="auto"/>
                <w:szCs w:val="24"/>
              </w:rPr>
            </w:pPr>
          </w:p>
          <w:p w14:paraId="2EA45942" w14:textId="77777777" w:rsidR="00E56122" w:rsidRPr="009A3879" w:rsidRDefault="00E56122" w:rsidP="00874A98">
            <w:pPr>
              <w:keepNext w:val="0"/>
              <w:numPr>
                <w:ilvl w:val="0"/>
                <w:numId w:val="170"/>
              </w:numPr>
              <w:shd w:val="clear" w:color="auto" w:fill="E6A8A8"/>
              <w:tabs>
                <w:tab w:val="left" w:pos="680"/>
              </w:tabs>
              <w:spacing w:before="0"/>
              <w:ind w:left="357"/>
              <w:jc w:val="left"/>
              <w:rPr>
                <w:rFonts w:eastAsia="Arial" w:cs="Arial"/>
                <w:bCs/>
                <w:color w:val="auto"/>
                <w:szCs w:val="24"/>
              </w:rPr>
            </w:pPr>
            <w:r w:rsidRPr="009A3879">
              <w:rPr>
                <w:rFonts w:eastAsia="Arial" w:cs="Arial"/>
                <w:bCs/>
                <w:color w:val="auto"/>
                <w:szCs w:val="24"/>
              </w:rPr>
              <w:t>Where a unit has been vacant for a long period, community uses appropriate to the Local Shopping Centre will be supported.</w:t>
            </w:r>
          </w:p>
          <w:p w14:paraId="7200F54B" w14:textId="77777777" w:rsidR="00E56122" w:rsidRPr="009A3879" w:rsidRDefault="00E56122" w:rsidP="00FF3EAD">
            <w:pPr>
              <w:keepNext w:val="0"/>
              <w:shd w:val="clear" w:color="auto" w:fill="E6A8A8"/>
              <w:tabs>
                <w:tab w:val="left" w:pos="680"/>
              </w:tabs>
              <w:spacing w:before="0"/>
              <w:ind w:left="357"/>
              <w:jc w:val="left"/>
              <w:rPr>
                <w:rFonts w:eastAsia="Arial" w:cs="Arial"/>
                <w:bCs/>
                <w:color w:val="auto"/>
                <w:szCs w:val="24"/>
              </w:rPr>
            </w:pPr>
          </w:p>
          <w:p w14:paraId="29CF208E" w14:textId="77777777" w:rsidR="00E56122" w:rsidRPr="009A3879" w:rsidRDefault="00E56122" w:rsidP="00874A98">
            <w:pPr>
              <w:keepNext w:val="0"/>
              <w:numPr>
                <w:ilvl w:val="0"/>
                <w:numId w:val="170"/>
              </w:numPr>
              <w:tabs>
                <w:tab w:val="left" w:pos="680"/>
                <w:tab w:val="left" w:pos="1133"/>
                <w:tab w:val="left" w:pos="2267"/>
              </w:tabs>
              <w:spacing w:before="0"/>
              <w:ind w:left="357" w:right="284"/>
              <w:jc w:val="left"/>
              <w:rPr>
                <w:rFonts w:eastAsia="Arial" w:cs="Arial"/>
                <w:bCs/>
                <w:color w:val="auto"/>
                <w:szCs w:val="24"/>
              </w:rPr>
            </w:pPr>
            <w:r w:rsidRPr="009A3879">
              <w:rPr>
                <w:rFonts w:eastAsia="Arial" w:cs="Arial"/>
                <w:bCs/>
                <w:color w:val="auto"/>
                <w:szCs w:val="24"/>
              </w:rPr>
              <w:t>Retail and leisure development proposals should not have a significant adverse effect on the amenity of existing residents through noise, odour, litter or disturbance.</w:t>
            </w:r>
          </w:p>
          <w:p w14:paraId="0A20A70E" w14:textId="77777777" w:rsidR="00E56122" w:rsidRPr="009A3879" w:rsidRDefault="00E56122" w:rsidP="00FF3EAD">
            <w:pPr>
              <w:keepNext w:val="0"/>
              <w:tabs>
                <w:tab w:val="left" w:pos="680"/>
                <w:tab w:val="left" w:pos="1133"/>
                <w:tab w:val="left" w:pos="2267"/>
              </w:tabs>
              <w:spacing w:before="0"/>
              <w:ind w:left="360" w:right="284"/>
              <w:jc w:val="left"/>
              <w:rPr>
                <w:rFonts w:eastAsia="Arial" w:cs="Arial"/>
                <w:bCs/>
                <w:color w:val="auto"/>
                <w:szCs w:val="24"/>
              </w:rPr>
            </w:pPr>
          </w:p>
          <w:p w14:paraId="1FD6E35C" w14:textId="49324261" w:rsidR="00E56122" w:rsidRDefault="00E56122" w:rsidP="00FF3EAD">
            <w:pPr>
              <w:keepNext w:val="0"/>
              <w:tabs>
                <w:tab w:val="left" w:pos="680"/>
              </w:tabs>
              <w:spacing w:before="0" w:after="170"/>
              <w:jc w:val="left"/>
              <w:rPr>
                <w:rFonts w:eastAsia="Arial" w:cs="Arial"/>
                <w:b/>
                <w:color w:val="auto"/>
                <w:szCs w:val="24"/>
              </w:rPr>
            </w:pPr>
            <w:r w:rsidRPr="009A3879">
              <w:rPr>
                <w:rFonts w:eastAsia="Arial" w:cs="Arial"/>
                <w:b/>
                <w:color w:val="auto"/>
                <w:szCs w:val="24"/>
              </w:rPr>
              <w:t xml:space="preserve">Shopping Parades and </w:t>
            </w:r>
            <w:r w:rsidR="009A3879">
              <w:rPr>
                <w:rFonts w:eastAsia="Arial" w:cs="Arial"/>
                <w:b/>
                <w:color w:val="auto"/>
                <w:szCs w:val="24"/>
              </w:rPr>
              <w:t>S</w:t>
            </w:r>
            <w:r w:rsidRPr="009A3879">
              <w:rPr>
                <w:rFonts w:eastAsia="Arial" w:cs="Arial"/>
                <w:b/>
                <w:color w:val="auto"/>
                <w:szCs w:val="24"/>
              </w:rPr>
              <w:t xml:space="preserve">ingle </w:t>
            </w:r>
            <w:r w:rsidR="009A3879">
              <w:rPr>
                <w:rFonts w:eastAsia="Arial" w:cs="Arial"/>
                <w:b/>
                <w:color w:val="auto"/>
                <w:szCs w:val="24"/>
              </w:rPr>
              <w:t>S</w:t>
            </w:r>
            <w:r w:rsidRPr="009A3879">
              <w:rPr>
                <w:rFonts w:eastAsia="Arial" w:cs="Arial"/>
                <w:b/>
                <w:color w:val="auto"/>
                <w:szCs w:val="24"/>
              </w:rPr>
              <w:t xml:space="preserve">hops </w:t>
            </w:r>
          </w:p>
          <w:p w14:paraId="7B342628" w14:textId="77777777" w:rsidR="009A3879" w:rsidRDefault="009A3879" w:rsidP="00874A98">
            <w:pPr>
              <w:keepNext w:val="0"/>
              <w:numPr>
                <w:ilvl w:val="0"/>
                <w:numId w:val="170"/>
              </w:numPr>
              <w:spacing w:before="0"/>
              <w:contextualSpacing/>
              <w:jc w:val="left"/>
              <w:rPr>
                <w:rFonts w:eastAsia="Arial" w:cs="Arial"/>
                <w:bCs/>
                <w:color w:val="auto"/>
                <w:szCs w:val="24"/>
              </w:rPr>
            </w:pPr>
            <w:r w:rsidRPr="009A3879">
              <w:rPr>
                <w:rFonts w:eastAsia="Arial" w:cs="Arial"/>
                <w:bCs/>
                <w:color w:val="auto"/>
                <w:szCs w:val="24"/>
              </w:rPr>
              <w:t>In the settlements of Nuncargate, Skegby, Selston and Underwood small scale retail development will be supported where it would not adversely affect the character, quality, safety or amenity of the environment.</w:t>
            </w:r>
          </w:p>
          <w:p w14:paraId="0F0348EA" w14:textId="77777777" w:rsidR="009A3879" w:rsidRPr="009A3879" w:rsidRDefault="009A3879" w:rsidP="009A3879">
            <w:pPr>
              <w:keepNext w:val="0"/>
              <w:spacing w:before="0"/>
              <w:ind w:left="360"/>
              <w:contextualSpacing/>
              <w:jc w:val="left"/>
              <w:rPr>
                <w:rFonts w:eastAsia="Arial" w:cs="Arial"/>
                <w:bCs/>
                <w:color w:val="auto"/>
                <w:szCs w:val="24"/>
              </w:rPr>
            </w:pPr>
          </w:p>
          <w:p w14:paraId="11DCF1CE" w14:textId="4B077926" w:rsidR="00E56122" w:rsidRPr="009A3879" w:rsidRDefault="00E56122" w:rsidP="00874A98">
            <w:pPr>
              <w:keepNext w:val="0"/>
              <w:numPr>
                <w:ilvl w:val="0"/>
                <w:numId w:val="170"/>
              </w:numPr>
              <w:tabs>
                <w:tab w:val="left" w:pos="680"/>
                <w:tab w:val="left" w:pos="1133"/>
                <w:tab w:val="left" w:pos="2267"/>
              </w:tabs>
              <w:spacing w:before="0" w:after="160" w:line="252" w:lineRule="auto"/>
              <w:ind w:right="284"/>
              <w:jc w:val="left"/>
              <w:rPr>
                <w:rFonts w:eastAsia="Arial" w:cs="Arial"/>
                <w:bCs/>
                <w:strike/>
                <w:color w:val="auto"/>
                <w:szCs w:val="24"/>
              </w:rPr>
            </w:pPr>
            <w:r w:rsidRPr="009A3879">
              <w:rPr>
                <w:rFonts w:eastAsia="Arial" w:cs="Arial"/>
                <w:bCs/>
                <w:color w:val="auto"/>
                <w:szCs w:val="24"/>
              </w:rPr>
              <w:t>Alternative uses to retail will not be favoured in areas where there are established shopping parades or single shops, unless it can be demonstrated that there is no demand for the retail use, or the proposal will not impact on core retail function of the parade or shop.</w:t>
            </w:r>
          </w:p>
          <w:p w14:paraId="643513D9" w14:textId="2C840F1E" w:rsidR="00E56122" w:rsidRPr="009A3879" w:rsidRDefault="00486F6C" w:rsidP="00874A98">
            <w:pPr>
              <w:keepNext w:val="0"/>
              <w:numPr>
                <w:ilvl w:val="0"/>
                <w:numId w:val="170"/>
              </w:numPr>
              <w:tabs>
                <w:tab w:val="left" w:pos="680"/>
                <w:tab w:val="left" w:pos="1133"/>
                <w:tab w:val="left" w:pos="2267"/>
              </w:tabs>
              <w:spacing w:before="0" w:after="160" w:line="252" w:lineRule="auto"/>
              <w:ind w:right="284"/>
              <w:jc w:val="left"/>
              <w:rPr>
                <w:rFonts w:eastAsia="Arial" w:cs="Arial"/>
                <w:bCs/>
                <w:color w:val="auto"/>
                <w:szCs w:val="24"/>
              </w:rPr>
            </w:pPr>
            <w:r w:rsidRPr="009A3879">
              <w:rPr>
                <w:rFonts w:eastAsia="Arial" w:cs="Arial"/>
                <w:bCs/>
                <w:color w:val="auto"/>
                <w:szCs w:val="24"/>
              </w:rPr>
              <w:t xml:space="preserve">Retail development </w:t>
            </w:r>
            <w:r w:rsidR="007C22FA" w:rsidRPr="009A3879">
              <w:rPr>
                <w:rFonts w:eastAsia="Arial" w:cs="Arial"/>
                <w:bCs/>
                <w:color w:val="auto"/>
                <w:szCs w:val="24"/>
              </w:rPr>
              <w:t>to</w:t>
            </w:r>
            <w:r w:rsidRPr="009A3879">
              <w:rPr>
                <w:rFonts w:eastAsia="Arial" w:cs="Arial"/>
                <w:bCs/>
                <w:color w:val="auto"/>
                <w:szCs w:val="24"/>
              </w:rPr>
              <w:t xml:space="preserve"> meet local shopping needs will be permitted where</w:t>
            </w:r>
            <w:r w:rsidR="00BC76FB" w:rsidRPr="009A3879">
              <w:rPr>
                <w:rFonts w:eastAsia="Arial" w:cs="Arial"/>
                <w:bCs/>
                <w:color w:val="auto"/>
                <w:szCs w:val="24"/>
              </w:rPr>
              <w:t>:</w:t>
            </w:r>
          </w:p>
          <w:p w14:paraId="16FB5745" w14:textId="3F6A7337" w:rsidR="00486F6C" w:rsidRPr="009A3879" w:rsidRDefault="00BC76FB" w:rsidP="00874A98">
            <w:pPr>
              <w:keepNext w:val="0"/>
              <w:numPr>
                <w:ilvl w:val="0"/>
                <w:numId w:val="308"/>
              </w:numPr>
              <w:spacing w:before="0" w:after="160" w:line="252" w:lineRule="auto"/>
              <w:ind w:left="731" w:right="284" w:hanging="284"/>
              <w:contextualSpacing/>
              <w:jc w:val="left"/>
              <w:rPr>
                <w:rFonts w:eastAsia="Arial" w:cs="Arial"/>
                <w:bCs/>
                <w:color w:val="auto"/>
                <w:szCs w:val="24"/>
              </w:rPr>
            </w:pPr>
            <w:r w:rsidRPr="009A3879">
              <w:rPr>
                <w:rFonts w:eastAsia="Arial" w:cs="Arial"/>
                <w:bCs/>
                <w:color w:val="auto"/>
                <w:szCs w:val="24"/>
              </w:rPr>
              <w:t xml:space="preserve">It primarily involves the sale of convenience goods, and </w:t>
            </w:r>
          </w:p>
          <w:p w14:paraId="7CD36C70" w14:textId="26A91FCA" w:rsidR="00BC76FB" w:rsidRPr="009A3879" w:rsidRDefault="00BC76FB" w:rsidP="00874A98">
            <w:pPr>
              <w:keepNext w:val="0"/>
              <w:numPr>
                <w:ilvl w:val="0"/>
                <w:numId w:val="308"/>
              </w:numPr>
              <w:spacing w:before="0" w:after="160" w:line="252" w:lineRule="auto"/>
              <w:ind w:left="731" w:right="284" w:hanging="284"/>
              <w:contextualSpacing/>
              <w:jc w:val="left"/>
              <w:rPr>
                <w:rFonts w:eastAsia="Arial" w:cs="Arial"/>
                <w:bCs/>
                <w:color w:val="auto"/>
                <w:szCs w:val="24"/>
              </w:rPr>
            </w:pPr>
            <w:r w:rsidRPr="009A3879">
              <w:rPr>
                <w:rFonts w:eastAsia="Arial" w:cs="Arial"/>
                <w:bCs/>
                <w:color w:val="auto"/>
                <w:szCs w:val="24"/>
              </w:rPr>
              <w:t>The floorspace is below 200 sq</w:t>
            </w:r>
            <w:r w:rsidR="00F62485">
              <w:rPr>
                <w:rFonts w:eastAsia="Arial" w:cs="Arial"/>
                <w:bCs/>
                <w:color w:val="auto"/>
                <w:szCs w:val="24"/>
              </w:rPr>
              <w:t>uare</w:t>
            </w:r>
            <w:r w:rsidRPr="009A3879">
              <w:rPr>
                <w:rFonts w:eastAsia="Arial" w:cs="Arial"/>
                <w:bCs/>
                <w:color w:val="auto"/>
                <w:szCs w:val="24"/>
              </w:rPr>
              <w:t xml:space="preserve"> m</w:t>
            </w:r>
            <w:r w:rsidR="00F62485">
              <w:rPr>
                <w:rFonts w:eastAsia="Arial" w:cs="Arial"/>
                <w:bCs/>
                <w:color w:val="auto"/>
                <w:szCs w:val="24"/>
              </w:rPr>
              <w:t>etres</w:t>
            </w:r>
            <w:r w:rsidRPr="009A3879">
              <w:rPr>
                <w:rFonts w:eastAsia="Arial" w:cs="Arial"/>
                <w:bCs/>
                <w:color w:val="auto"/>
                <w:szCs w:val="24"/>
              </w:rPr>
              <w:t>.</w:t>
            </w:r>
          </w:p>
          <w:p w14:paraId="43A32808" w14:textId="77777777" w:rsidR="00BC76FB" w:rsidRPr="009A3879" w:rsidRDefault="00BC76FB" w:rsidP="00FF3EAD">
            <w:pPr>
              <w:keepNext w:val="0"/>
              <w:tabs>
                <w:tab w:val="left" w:pos="680"/>
              </w:tabs>
              <w:spacing w:before="0" w:after="160" w:line="252" w:lineRule="auto"/>
              <w:ind w:left="360" w:right="284"/>
              <w:contextualSpacing/>
              <w:jc w:val="left"/>
              <w:rPr>
                <w:rFonts w:eastAsia="Arial" w:cs="Arial"/>
                <w:bCs/>
                <w:color w:val="auto"/>
                <w:szCs w:val="24"/>
              </w:rPr>
            </w:pPr>
          </w:p>
          <w:p w14:paraId="63474585" w14:textId="77777777" w:rsidR="00E56122" w:rsidRPr="009A3879" w:rsidRDefault="00E56122" w:rsidP="00FF3EAD">
            <w:pPr>
              <w:keepNext w:val="0"/>
              <w:tabs>
                <w:tab w:val="left" w:pos="680"/>
                <w:tab w:val="left" w:pos="1133"/>
                <w:tab w:val="left" w:pos="2267"/>
              </w:tabs>
              <w:spacing w:before="0"/>
              <w:ind w:right="140"/>
              <w:jc w:val="left"/>
              <w:rPr>
                <w:rFonts w:eastAsia="Arial" w:cs="Arial"/>
                <w:bCs/>
                <w:color w:val="auto"/>
                <w:sz w:val="20"/>
              </w:rPr>
            </w:pPr>
            <w:r w:rsidRPr="009A3879">
              <w:rPr>
                <w:rFonts w:eastAsia="Arial" w:cs="Arial"/>
                <w:bCs/>
                <w:color w:val="auto"/>
                <w:sz w:val="20"/>
              </w:rPr>
              <w:t>1 – The National Planning Policy Framework 2021, Annex 2:Glossary identifies that reference to town centre includes local centres.  Therefore, it would include the definition of Main Town Centre Uses set out in the Glossary.</w:t>
            </w:r>
          </w:p>
        </w:tc>
      </w:tr>
      <w:bookmarkEnd w:id="275"/>
      <w:tr w:rsidR="00E56122" w:rsidRPr="00E56122" w14:paraId="3772E86E" w14:textId="77777777" w:rsidTr="00163F59">
        <w:tc>
          <w:tcPr>
            <w:tcW w:w="2263" w:type="dxa"/>
          </w:tcPr>
          <w:p w14:paraId="62016923" w14:textId="77777777" w:rsidR="00E56122" w:rsidRPr="00E56122" w:rsidRDefault="00E56122" w:rsidP="00A05D94">
            <w:pPr>
              <w:keepNext w:val="0"/>
              <w:tabs>
                <w:tab w:val="left" w:pos="680"/>
                <w:tab w:val="left" w:pos="1133"/>
                <w:tab w:val="left" w:pos="2267"/>
              </w:tabs>
              <w:spacing w:before="0"/>
              <w:ind w:right="284"/>
              <w:jc w:val="left"/>
              <w:rPr>
                <w:rFonts w:eastAsia="Arial" w:cs="Arial"/>
                <w:bCs/>
                <w:color w:val="auto"/>
                <w:szCs w:val="24"/>
              </w:rPr>
            </w:pPr>
            <w:r w:rsidRPr="00E56122">
              <w:rPr>
                <w:rFonts w:eastAsia="Arial" w:cs="Arial"/>
                <w:bCs/>
                <w:color w:val="auto"/>
                <w:sz w:val="20"/>
              </w:rPr>
              <w:t>Evidence base</w:t>
            </w:r>
          </w:p>
        </w:tc>
        <w:tc>
          <w:tcPr>
            <w:tcW w:w="7371" w:type="dxa"/>
            <w:gridSpan w:val="2"/>
          </w:tcPr>
          <w:p w14:paraId="6B2B578D" w14:textId="7BD152C8" w:rsidR="00E56122" w:rsidRPr="00804383" w:rsidRDefault="00E56122" w:rsidP="00A05D94">
            <w:pPr>
              <w:keepNext w:val="0"/>
              <w:numPr>
                <w:ilvl w:val="0"/>
                <w:numId w:val="36"/>
              </w:numPr>
              <w:spacing w:before="0" w:after="160" w:line="252" w:lineRule="auto"/>
              <w:contextualSpacing/>
              <w:jc w:val="left"/>
              <w:rPr>
                <w:rFonts w:cs="Arial"/>
                <w:color w:val="auto"/>
                <w:sz w:val="20"/>
              </w:rPr>
            </w:pPr>
            <w:r w:rsidRPr="00804383">
              <w:rPr>
                <w:rFonts w:cs="Arial"/>
                <w:color w:val="auto"/>
                <w:sz w:val="20"/>
              </w:rPr>
              <w:t xml:space="preserve">Background Paper </w:t>
            </w:r>
            <w:r w:rsidR="00A05D94" w:rsidRPr="00804383">
              <w:rPr>
                <w:rFonts w:cs="Arial"/>
                <w:color w:val="auto"/>
                <w:sz w:val="20"/>
              </w:rPr>
              <w:t>No 1:</w:t>
            </w:r>
            <w:r w:rsidRPr="00804383">
              <w:rPr>
                <w:rFonts w:cs="Arial"/>
                <w:color w:val="auto"/>
                <w:sz w:val="20"/>
              </w:rPr>
              <w:t xml:space="preserve"> Spatial Strategy and </w:t>
            </w:r>
            <w:r w:rsidR="00A32846" w:rsidRPr="00804383">
              <w:rPr>
                <w:rFonts w:cs="Arial"/>
                <w:color w:val="auto"/>
                <w:sz w:val="20"/>
              </w:rPr>
              <w:t>Site Selection 2023</w:t>
            </w:r>
            <w:r w:rsidRPr="00804383">
              <w:rPr>
                <w:rFonts w:cs="Arial"/>
                <w:color w:val="auto"/>
                <w:sz w:val="20"/>
              </w:rPr>
              <w:t>. Ashfield District Council.</w:t>
            </w:r>
          </w:p>
          <w:p w14:paraId="78CAB561" w14:textId="7D8D7147" w:rsidR="00E56122" w:rsidRPr="009A3879" w:rsidRDefault="00106B8C" w:rsidP="00A05D94">
            <w:pPr>
              <w:keepNext w:val="0"/>
              <w:numPr>
                <w:ilvl w:val="0"/>
                <w:numId w:val="36"/>
              </w:numPr>
              <w:spacing w:before="0" w:after="160" w:line="252" w:lineRule="auto"/>
              <w:contextualSpacing/>
              <w:jc w:val="left"/>
              <w:rPr>
                <w:rFonts w:cs="Arial"/>
                <w:color w:val="auto"/>
                <w:sz w:val="20"/>
              </w:rPr>
            </w:pPr>
            <w:r w:rsidRPr="00106B8C">
              <w:rPr>
                <w:rFonts w:cs="Arial"/>
                <w:sz w:val="20"/>
                <w:szCs w:val="20"/>
              </w:rPr>
              <w:t xml:space="preserve">Ashfield </w:t>
            </w:r>
            <w:bookmarkStart w:id="276" w:name="_Hlk148437899"/>
            <w:r w:rsidRPr="00106B8C">
              <w:rPr>
                <w:rFonts w:cs="Arial"/>
                <w:sz w:val="20"/>
                <w:szCs w:val="20"/>
              </w:rPr>
              <w:t>Town Centre / Local Centre Study, 2023</w:t>
            </w:r>
            <w:r>
              <w:rPr>
                <w:rFonts w:cs="Arial"/>
                <w:sz w:val="20"/>
                <w:szCs w:val="20"/>
              </w:rPr>
              <w:t xml:space="preserve">. </w:t>
            </w:r>
            <w:bookmarkEnd w:id="276"/>
            <w:r w:rsidR="00E56122" w:rsidRPr="009A3879">
              <w:rPr>
                <w:rFonts w:cs="Arial"/>
                <w:color w:val="auto"/>
                <w:sz w:val="20"/>
              </w:rPr>
              <w:t>Nexus Planning.</w:t>
            </w:r>
          </w:p>
          <w:p w14:paraId="139D3F81" w14:textId="77777777" w:rsidR="00E56122" w:rsidRPr="00E56122" w:rsidRDefault="00E56122" w:rsidP="00A05D94">
            <w:pPr>
              <w:keepNext w:val="0"/>
              <w:numPr>
                <w:ilvl w:val="0"/>
                <w:numId w:val="36"/>
              </w:numPr>
              <w:spacing w:before="0" w:after="160" w:line="252" w:lineRule="auto"/>
              <w:contextualSpacing/>
              <w:jc w:val="left"/>
              <w:rPr>
                <w:rFonts w:cs="Arial"/>
                <w:color w:val="auto"/>
                <w:sz w:val="20"/>
              </w:rPr>
            </w:pPr>
            <w:r w:rsidRPr="00E56122">
              <w:rPr>
                <w:rFonts w:cs="Arial"/>
                <w:color w:val="auto"/>
                <w:sz w:val="20"/>
              </w:rPr>
              <w:t>Retail Floorspace Survey 2020. Ashfield District Council.</w:t>
            </w:r>
          </w:p>
          <w:p w14:paraId="1299F5AF" w14:textId="62AC1E47" w:rsidR="00E56122" w:rsidRPr="00E56122" w:rsidRDefault="00E56122" w:rsidP="00A05D94">
            <w:pPr>
              <w:keepNext w:val="0"/>
              <w:numPr>
                <w:ilvl w:val="0"/>
                <w:numId w:val="36"/>
              </w:numPr>
              <w:spacing w:before="0" w:after="160" w:line="252" w:lineRule="auto"/>
              <w:contextualSpacing/>
              <w:jc w:val="left"/>
              <w:rPr>
                <w:rFonts w:cs="Arial"/>
                <w:color w:val="auto"/>
                <w:sz w:val="20"/>
              </w:rPr>
            </w:pPr>
            <w:r w:rsidRPr="00E56122">
              <w:rPr>
                <w:rFonts w:cs="Arial"/>
                <w:color w:val="auto"/>
                <w:sz w:val="20"/>
              </w:rPr>
              <w:t xml:space="preserve">Sustainability Appraisal, </w:t>
            </w:r>
            <w:r w:rsidRPr="00804383">
              <w:rPr>
                <w:rFonts w:cs="Arial"/>
                <w:color w:val="auto"/>
                <w:sz w:val="20"/>
              </w:rPr>
              <w:t>202</w:t>
            </w:r>
            <w:r w:rsidR="006B0C43" w:rsidRPr="00804383">
              <w:rPr>
                <w:rFonts w:cs="Arial"/>
                <w:color w:val="auto"/>
                <w:sz w:val="20"/>
              </w:rPr>
              <w:t>3</w:t>
            </w:r>
            <w:r w:rsidRPr="00804383">
              <w:rPr>
                <w:rFonts w:cs="Arial"/>
                <w:color w:val="auto"/>
                <w:sz w:val="20"/>
              </w:rPr>
              <w:t xml:space="preserve">.  </w:t>
            </w:r>
            <w:r w:rsidR="006B0C43" w:rsidRPr="00804383">
              <w:rPr>
                <w:rFonts w:cs="Arial"/>
                <w:color w:val="auto"/>
                <w:sz w:val="20"/>
              </w:rPr>
              <w:t>WSP UK Limited</w:t>
            </w:r>
            <w:r w:rsidRPr="00804383">
              <w:rPr>
                <w:rFonts w:cs="Arial"/>
                <w:color w:val="auto"/>
                <w:sz w:val="20"/>
              </w:rPr>
              <w:t>.</w:t>
            </w:r>
          </w:p>
        </w:tc>
      </w:tr>
      <w:tr w:rsidR="00E56122" w:rsidRPr="00E56122" w14:paraId="7D74490E" w14:textId="77777777" w:rsidTr="00163F59">
        <w:tc>
          <w:tcPr>
            <w:tcW w:w="2263" w:type="dxa"/>
          </w:tcPr>
          <w:p w14:paraId="4E4BA418" w14:textId="77777777" w:rsidR="00E56122" w:rsidRPr="00E56122" w:rsidRDefault="00E56122" w:rsidP="00A05D94">
            <w:pPr>
              <w:keepNext w:val="0"/>
              <w:tabs>
                <w:tab w:val="left" w:pos="680"/>
                <w:tab w:val="left" w:pos="1133"/>
                <w:tab w:val="left" w:pos="2267"/>
              </w:tabs>
              <w:spacing w:before="0"/>
              <w:ind w:right="284"/>
              <w:jc w:val="left"/>
              <w:rPr>
                <w:rFonts w:eastAsia="Arial" w:cs="Arial"/>
                <w:bCs/>
                <w:color w:val="auto"/>
                <w:szCs w:val="24"/>
              </w:rPr>
            </w:pPr>
            <w:r w:rsidRPr="00E56122">
              <w:rPr>
                <w:rFonts w:eastAsia="Arial" w:cs="Arial"/>
                <w:bCs/>
                <w:color w:val="auto"/>
                <w:sz w:val="20"/>
              </w:rPr>
              <w:t>National Planning Policy and Guidance</w:t>
            </w:r>
          </w:p>
        </w:tc>
        <w:tc>
          <w:tcPr>
            <w:tcW w:w="7371" w:type="dxa"/>
            <w:gridSpan w:val="2"/>
          </w:tcPr>
          <w:p w14:paraId="46E30848" w14:textId="569465CD" w:rsidR="00E56122" w:rsidRPr="00E56122" w:rsidRDefault="00E56122" w:rsidP="00A05D94">
            <w:pPr>
              <w:keepNext w:val="0"/>
              <w:numPr>
                <w:ilvl w:val="0"/>
                <w:numId w:val="35"/>
              </w:numPr>
              <w:tabs>
                <w:tab w:val="left" w:pos="680"/>
                <w:tab w:val="left" w:pos="1133"/>
                <w:tab w:val="left" w:pos="2267"/>
              </w:tabs>
              <w:spacing w:before="0" w:after="160" w:line="252" w:lineRule="auto"/>
              <w:ind w:right="284"/>
              <w:contextualSpacing/>
              <w:jc w:val="left"/>
              <w:rPr>
                <w:rFonts w:eastAsia="Arial" w:cs="Arial"/>
                <w:bCs/>
                <w:color w:val="auto"/>
                <w:sz w:val="20"/>
              </w:rPr>
            </w:pPr>
            <w:r w:rsidRPr="00E56122">
              <w:rPr>
                <w:rFonts w:cs="Arial"/>
                <w:bCs/>
                <w:color w:val="auto"/>
                <w:sz w:val="20"/>
              </w:rPr>
              <w:t>NPPF 202</w:t>
            </w:r>
            <w:r w:rsidR="004173E0">
              <w:rPr>
                <w:rFonts w:cs="Arial"/>
                <w:bCs/>
                <w:color w:val="auto"/>
                <w:sz w:val="20"/>
              </w:rPr>
              <w:t>3</w:t>
            </w:r>
            <w:r w:rsidRPr="00E56122">
              <w:rPr>
                <w:rFonts w:cs="Arial"/>
                <w:bCs/>
                <w:color w:val="auto"/>
                <w:sz w:val="20"/>
              </w:rPr>
              <w:t>, Part 2: Achieving Sustainable Development.</w:t>
            </w:r>
          </w:p>
          <w:p w14:paraId="0EC18AA6" w14:textId="58B262F2" w:rsidR="00E56122" w:rsidRPr="00E56122" w:rsidRDefault="00E56122" w:rsidP="00A05D94">
            <w:pPr>
              <w:keepNext w:val="0"/>
              <w:numPr>
                <w:ilvl w:val="0"/>
                <w:numId w:val="35"/>
              </w:numPr>
              <w:tabs>
                <w:tab w:val="left" w:pos="680"/>
                <w:tab w:val="left" w:pos="1133"/>
                <w:tab w:val="left" w:pos="2267"/>
              </w:tabs>
              <w:spacing w:before="0" w:after="160" w:line="252" w:lineRule="auto"/>
              <w:ind w:right="284"/>
              <w:contextualSpacing/>
              <w:jc w:val="left"/>
              <w:rPr>
                <w:rFonts w:eastAsia="Arial" w:cs="Arial"/>
                <w:bCs/>
                <w:color w:val="auto"/>
                <w:sz w:val="20"/>
              </w:rPr>
            </w:pPr>
            <w:r w:rsidRPr="00E56122">
              <w:rPr>
                <w:rFonts w:cs="Arial"/>
                <w:bCs/>
                <w:color w:val="auto"/>
                <w:sz w:val="20"/>
              </w:rPr>
              <w:t>NPPF 202</w:t>
            </w:r>
            <w:r w:rsidR="004173E0">
              <w:rPr>
                <w:rFonts w:cs="Arial"/>
                <w:bCs/>
                <w:color w:val="auto"/>
                <w:sz w:val="20"/>
              </w:rPr>
              <w:t>3</w:t>
            </w:r>
            <w:r w:rsidRPr="00E56122">
              <w:rPr>
                <w:rFonts w:cs="Arial"/>
                <w:bCs/>
                <w:color w:val="auto"/>
                <w:sz w:val="20"/>
              </w:rPr>
              <w:t>, Part 7: Ensuring the vitality of town centres.</w:t>
            </w:r>
          </w:p>
          <w:p w14:paraId="31F0C9A3" w14:textId="7CB62AB3" w:rsidR="00E56122" w:rsidRPr="00E56122" w:rsidRDefault="00E56122" w:rsidP="00A05D94">
            <w:pPr>
              <w:keepNext w:val="0"/>
              <w:numPr>
                <w:ilvl w:val="0"/>
                <w:numId w:val="35"/>
              </w:numPr>
              <w:tabs>
                <w:tab w:val="left" w:pos="680"/>
                <w:tab w:val="left" w:pos="1133"/>
                <w:tab w:val="left" w:pos="2267"/>
              </w:tabs>
              <w:spacing w:before="0" w:after="160" w:line="252" w:lineRule="auto"/>
              <w:ind w:right="284"/>
              <w:contextualSpacing/>
              <w:jc w:val="left"/>
              <w:rPr>
                <w:rFonts w:eastAsia="Arial" w:cs="Arial"/>
                <w:bCs/>
                <w:color w:val="auto"/>
                <w:sz w:val="20"/>
              </w:rPr>
            </w:pPr>
            <w:r w:rsidRPr="00E56122">
              <w:rPr>
                <w:rFonts w:eastAsia="Arial" w:cs="Arial"/>
                <w:bCs/>
                <w:color w:val="auto"/>
                <w:sz w:val="20"/>
              </w:rPr>
              <w:t xml:space="preserve">Planning Practice Guidance: Town centres and retail as </w:t>
            </w:r>
            <w:r w:rsidR="009D1815" w:rsidRPr="00E56122">
              <w:rPr>
                <w:rFonts w:eastAsia="Arial" w:cs="Arial"/>
                <w:bCs/>
                <w:color w:val="auto"/>
                <w:sz w:val="20"/>
              </w:rPr>
              <w:t>of</w:t>
            </w:r>
            <w:r w:rsidRPr="00E56122">
              <w:rPr>
                <w:rFonts w:eastAsia="Arial" w:cs="Arial"/>
                <w:bCs/>
                <w:color w:val="auto"/>
                <w:sz w:val="20"/>
              </w:rPr>
              <w:t xml:space="preserve"> </w:t>
            </w:r>
            <w:r w:rsidR="006B0C43" w:rsidRPr="00804383">
              <w:rPr>
                <w:rFonts w:eastAsia="Arial" w:cs="Arial"/>
                <w:bCs/>
                <w:color w:val="auto"/>
                <w:sz w:val="20"/>
              </w:rPr>
              <w:t>September 2020</w:t>
            </w:r>
            <w:r w:rsidRPr="00804383">
              <w:rPr>
                <w:rFonts w:eastAsia="Arial" w:cs="Arial"/>
                <w:bCs/>
                <w:color w:val="auto"/>
                <w:sz w:val="20"/>
              </w:rPr>
              <w:t>.</w:t>
            </w:r>
          </w:p>
        </w:tc>
      </w:tr>
    </w:tbl>
    <w:p w14:paraId="71238BEE" w14:textId="77777777" w:rsidR="00E56122" w:rsidRPr="00E56122" w:rsidRDefault="00E56122" w:rsidP="00E56122">
      <w:pPr>
        <w:keepNext w:val="0"/>
        <w:autoSpaceDE w:val="0"/>
        <w:autoSpaceDN w:val="0"/>
        <w:adjustRightInd w:val="0"/>
        <w:spacing w:before="0"/>
        <w:rPr>
          <w:rFonts w:eastAsia="Arial" w:cs="Arial"/>
          <w:color w:val="auto"/>
          <w:szCs w:val="24"/>
        </w:rPr>
      </w:pPr>
    </w:p>
    <w:p w14:paraId="50C4C700" w14:textId="77777777" w:rsidR="00E56122" w:rsidRDefault="00E56122" w:rsidP="00E56122">
      <w:pPr>
        <w:keepNext w:val="0"/>
        <w:spacing w:before="0"/>
        <w:ind w:left="709"/>
        <w:rPr>
          <w:rFonts w:cs="Arial"/>
          <w:color w:val="auto"/>
          <w:szCs w:val="24"/>
          <w:lang w:eastAsia="en-US"/>
        </w:rPr>
      </w:pPr>
    </w:p>
    <w:p w14:paraId="12B447CD" w14:textId="7CB81673" w:rsidR="00E56122" w:rsidRPr="00BC76FB" w:rsidRDefault="00E56122" w:rsidP="00E56122">
      <w:pPr>
        <w:keepNext w:val="0"/>
        <w:numPr>
          <w:ilvl w:val="1"/>
          <w:numId w:val="6"/>
        </w:numPr>
        <w:tabs>
          <w:tab w:val="clear" w:pos="525"/>
        </w:tabs>
        <w:spacing w:before="0"/>
        <w:ind w:left="709" w:hanging="709"/>
        <w:rPr>
          <w:rFonts w:cs="Arial"/>
          <w:color w:val="auto"/>
          <w:szCs w:val="24"/>
          <w:lang w:eastAsia="en-US"/>
        </w:rPr>
      </w:pPr>
      <w:r w:rsidRPr="00E56122">
        <w:rPr>
          <w:rFonts w:eastAsia="Arial" w:cs="Arial"/>
          <w:color w:val="auto"/>
          <w:szCs w:val="24"/>
        </w:rPr>
        <w:t xml:space="preserve">Ashfield has a high percentage of </w:t>
      </w:r>
      <w:r w:rsidRPr="00804383">
        <w:rPr>
          <w:rFonts w:eastAsia="Arial" w:cs="Arial"/>
          <w:color w:val="auto"/>
          <w:szCs w:val="24"/>
        </w:rPr>
        <w:t>households (2</w:t>
      </w:r>
      <w:r w:rsidR="004C272D" w:rsidRPr="00804383">
        <w:rPr>
          <w:rFonts w:eastAsia="Arial" w:cs="Arial"/>
          <w:color w:val="auto"/>
          <w:szCs w:val="24"/>
        </w:rPr>
        <w:t>0.6</w:t>
      </w:r>
      <w:r w:rsidRPr="00804383">
        <w:rPr>
          <w:rFonts w:eastAsia="Arial" w:cs="Arial"/>
          <w:color w:val="auto"/>
          <w:szCs w:val="24"/>
        </w:rPr>
        <w:t>%) without access to a private vehicle (Census, 20</w:t>
      </w:r>
      <w:r w:rsidR="004C272D" w:rsidRPr="00804383">
        <w:rPr>
          <w:rFonts w:eastAsia="Arial" w:cs="Arial"/>
          <w:color w:val="auto"/>
          <w:szCs w:val="24"/>
        </w:rPr>
        <w:t>2</w:t>
      </w:r>
      <w:r w:rsidRPr="00804383">
        <w:rPr>
          <w:rFonts w:eastAsia="Arial" w:cs="Arial"/>
          <w:color w:val="auto"/>
          <w:szCs w:val="24"/>
        </w:rPr>
        <w:t>1)</w:t>
      </w:r>
      <w:r w:rsidR="004C272D" w:rsidRPr="00804383">
        <w:rPr>
          <w:rFonts w:eastAsia="Arial" w:cs="Arial"/>
          <w:color w:val="auto"/>
          <w:szCs w:val="24"/>
        </w:rPr>
        <w:t xml:space="preserve"> </w:t>
      </w:r>
      <w:r w:rsidRPr="00804383">
        <w:rPr>
          <w:rFonts w:eastAsia="Arial" w:cs="Arial"/>
          <w:color w:val="auto"/>
          <w:szCs w:val="24"/>
        </w:rPr>
        <w:t xml:space="preserve">and local centres and small out of centre shops provide a convenient, vital lifeline to local communities within </w:t>
      </w:r>
      <w:r w:rsidRPr="00E56122">
        <w:rPr>
          <w:rFonts w:eastAsia="Arial" w:cs="Arial"/>
          <w:color w:val="auto"/>
          <w:szCs w:val="24"/>
        </w:rPr>
        <w:t>many areas of the District. As such, this policy seeks to protect local and minor shopping centres and smaller scale out of centre convenience shops</w:t>
      </w:r>
      <w:r>
        <w:rPr>
          <w:rFonts w:eastAsia="Arial" w:cs="Arial"/>
          <w:color w:val="auto"/>
          <w:szCs w:val="24"/>
        </w:rPr>
        <w:t>.</w:t>
      </w:r>
    </w:p>
    <w:p w14:paraId="1E23C9F2" w14:textId="77777777" w:rsidR="00BC76FB" w:rsidRPr="00E56122" w:rsidRDefault="00BC76FB" w:rsidP="00BC76FB">
      <w:pPr>
        <w:keepNext w:val="0"/>
        <w:spacing w:before="0"/>
        <w:ind w:left="709"/>
        <w:rPr>
          <w:rFonts w:cs="Arial"/>
          <w:color w:val="auto"/>
          <w:szCs w:val="24"/>
          <w:lang w:eastAsia="en-US"/>
        </w:rPr>
      </w:pPr>
    </w:p>
    <w:p w14:paraId="0234344B" w14:textId="4698F8D8" w:rsidR="00E56122" w:rsidRPr="00E56122" w:rsidRDefault="00E56122" w:rsidP="00E56122">
      <w:pPr>
        <w:keepNext w:val="0"/>
        <w:numPr>
          <w:ilvl w:val="1"/>
          <w:numId w:val="6"/>
        </w:numPr>
        <w:tabs>
          <w:tab w:val="clear" w:pos="525"/>
        </w:tabs>
        <w:spacing w:before="0"/>
        <w:ind w:left="709" w:hanging="709"/>
        <w:rPr>
          <w:rFonts w:cs="Arial"/>
          <w:color w:val="auto"/>
          <w:szCs w:val="24"/>
          <w:lang w:eastAsia="en-US"/>
        </w:rPr>
      </w:pPr>
      <w:r w:rsidRPr="00E56122">
        <w:rPr>
          <w:rFonts w:eastAsia="Arial" w:cs="Arial"/>
          <w:color w:val="auto"/>
          <w:szCs w:val="24"/>
        </w:rPr>
        <w:t>Local Shopping Centres and Shopping Parades should provide for the day to day needs of the community without threatening the vitality and viability of Primary Shopping Areas. At a national level, the NPPF promotes strong neighbourhood centres because they provide consumer choice and reduce the need to travel.</w:t>
      </w:r>
    </w:p>
    <w:p w14:paraId="0F5A8BB9" w14:textId="77777777" w:rsidR="00E56122" w:rsidRDefault="00E56122" w:rsidP="00E56122">
      <w:pPr>
        <w:keepNext w:val="0"/>
        <w:spacing w:before="0"/>
        <w:ind w:left="709"/>
        <w:rPr>
          <w:rFonts w:cs="Arial"/>
          <w:color w:val="auto"/>
          <w:szCs w:val="24"/>
          <w:lang w:eastAsia="en-US"/>
        </w:rPr>
      </w:pPr>
    </w:p>
    <w:p w14:paraId="531AD305" w14:textId="06850081" w:rsidR="00E56122" w:rsidRPr="009A3879" w:rsidRDefault="00E56122" w:rsidP="00E56122">
      <w:pPr>
        <w:keepNext w:val="0"/>
        <w:numPr>
          <w:ilvl w:val="1"/>
          <w:numId w:val="6"/>
        </w:numPr>
        <w:tabs>
          <w:tab w:val="clear" w:pos="525"/>
        </w:tabs>
        <w:spacing w:before="0"/>
        <w:ind w:left="709" w:hanging="709"/>
        <w:rPr>
          <w:rFonts w:cs="Arial"/>
          <w:color w:val="auto"/>
          <w:szCs w:val="24"/>
          <w:lang w:eastAsia="en-US"/>
        </w:rPr>
      </w:pPr>
      <w:r w:rsidRPr="00E56122">
        <w:rPr>
          <w:rFonts w:eastAsia="Arial" w:cs="Arial"/>
          <w:color w:val="auto"/>
          <w:szCs w:val="24"/>
        </w:rPr>
        <w:t xml:space="preserve">Local Planning Authorities are required to plan positively for the provision of facilities, such as local shops and other local services, which serve the community’s day-to-day needs. </w:t>
      </w:r>
      <w:r w:rsidRPr="009A3879">
        <w:rPr>
          <w:rFonts w:eastAsia="Arial" w:cs="Arial"/>
          <w:color w:val="auto"/>
          <w:szCs w:val="24"/>
        </w:rPr>
        <w:t xml:space="preserve">The Ashfield </w:t>
      </w:r>
      <w:r w:rsidR="00F62485">
        <w:rPr>
          <w:rFonts w:eastAsia="Arial" w:cs="Arial"/>
          <w:color w:val="auto"/>
          <w:szCs w:val="24"/>
        </w:rPr>
        <w:t>Town Centre / Local Centre</w:t>
      </w:r>
      <w:r w:rsidRPr="009A3879">
        <w:rPr>
          <w:rFonts w:eastAsia="Arial" w:cs="Arial"/>
          <w:color w:val="auto"/>
          <w:szCs w:val="24"/>
        </w:rPr>
        <w:t xml:space="preserve"> Study 20</w:t>
      </w:r>
      <w:r w:rsidR="00F62485">
        <w:rPr>
          <w:rFonts w:eastAsia="Arial" w:cs="Arial"/>
          <w:color w:val="auto"/>
          <w:szCs w:val="24"/>
        </w:rPr>
        <w:t>23</w:t>
      </w:r>
      <w:r w:rsidRPr="009A3879">
        <w:rPr>
          <w:rFonts w:eastAsia="Arial" w:cs="Arial"/>
          <w:color w:val="auto"/>
          <w:szCs w:val="24"/>
          <w:vertAlign w:val="superscript"/>
        </w:rPr>
        <w:footnoteReference w:id="103"/>
      </w:r>
      <w:r w:rsidRPr="009A3879">
        <w:rPr>
          <w:rFonts w:eastAsia="Arial" w:cs="Arial"/>
          <w:color w:val="auto"/>
          <w:szCs w:val="24"/>
        </w:rPr>
        <w:t xml:space="preserve">, which forms the evidence base for policies relating to retail in the Ashfield Local Plan, recommends that small scale local facilities should be promoted in Local and Minor Shopping Centres and in areas less well served within Ashfield District. </w:t>
      </w:r>
    </w:p>
    <w:p w14:paraId="6E24C464" w14:textId="77777777" w:rsidR="00E56122" w:rsidRPr="009A3879" w:rsidRDefault="00E56122" w:rsidP="00E56122">
      <w:pPr>
        <w:keepNext w:val="0"/>
        <w:spacing w:before="0"/>
        <w:ind w:left="709"/>
        <w:rPr>
          <w:rFonts w:cs="Arial"/>
          <w:color w:val="auto"/>
          <w:szCs w:val="24"/>
          <w:lang w:eastAsia="en-US"/>
        </w:rPr>
      </w:pPr>
    </w:p>
    <w:p w14:paraId="603F5E3A" w14:textId="5AB4BC7E" w:rsidR="00E56122" w:rsidRPr="008F5954" w:rsidRDefault="00E56122" w:rsidP="00E56122">
      <w:pPr>
        <w:keepNext w:val="0"/>
        <w:numPr>
          <w:ilvl w:val="1"/>
          <w:numId w:val="6"/>
        </w:numPr>
        <w:tabs>
          <w:tab w:val="clear" w:pos="525"/>
        </w:tabs>
        <w:spacing w:before="0"/>
        <w:ind w:left="709" w:hanging="709"/>
        <w:rPr>
          <w:rFonts w:cs="Arial"/>
          <w:color w:val="auto"/>
          <w:szCs w:val="24"/>
          <w:lang w:eastAsia="en-US"/>
        </w:rPr>
      </w:pPr>
      <w:r w:rsidRPr="00E56122">
        <w:rPr>
          <w:rFonts w:eastAsia="Arial" w:cs="Arial"/>
          <w:color w:val="auto"/>
          <w:szCs w:val="24"/>
        </w:rPr>
        <w:t>The Council will require evidence of a lack of demand for main town centre uses within the local centre before residential development is considered.   Further advice on converting shops to residential is set out in a supplementary planning document</w:t>
      </w:r>
      <w:r w:rsidRPr="00E56122">
        <w:rPr>
          <w:rFonts w:eastAsia="Arial" w:cs="Arial"/>
          <w:color w:val="auto"/>
          <w:szCs w:val="24"/>
          <w:vertAlign w:val="superscript"/>
        </w:rPr>
        <w:footnoteReference w:id="104"/>
      </w:r>
      <w:r w:rsidRPr="00E56122">
        <w:rPr>
          <w:rFonts w:eastAsia="Arial" w:cs="Arial"/>
          <w:color w:val="auto"/>
          <w:szCs w:val="24"/>
        </w:rPr>
        <w:t>.</w:t>
      </w:r>
    </w:p>
    <w:p w14:paraId="62B00237" w14:textId="77777777" w:rsidR="008F5954" w:rsidRPr="008F5954" w:rsidRDefault="008F5954" w:rsidP="008F5954">
      <w:pPr>
        <w:keepNext w:val="0"/>
        <w:spacing w:before="0"/>
        <w:ind w:left="709"/>
        <w:rPr>
          <w:rFonts w:cs="Arial"/>
          <w:color w:val="auto"/>
          <w:szCs w:val="24"/>
          <w:lang w:eastAsia="en-US"/>
        </w:rPr>
      </w:pPr>
    </w:p>
    <w:p w14:paraId="22B58CBD" w14:textId="6366C90E" w:rsidR="00E56122" w:rsidRPr="009A3879" w:rsidRDefault="00BC76FB" w:rsidP="007C22FA">
      <w:pPr>
        <w:keepNext w:val="0"/>
        <w:numPr>
          <w:ilvl w:val="1"/>
          <w:numId w:val="6"/>
        </w:numPr>
        <w:tabs>
          <w:tab w:val="clear" w:pos="525"/>
        </w:tabs>
        <w:spacing w:before="0"/>
        <w:ind w:left="709" w:hanging="709"/>
        <w:rPr>
          <w:rFonts w:cs="Arial"/>
          <w:color w:val="auto"/>
          <w:szCs w:val="24"/>
          <w:lang w:eastAsia="en-US"/>
        </w:rPr>
      </w:pPr>
      <w:r w:rsidRPr="009A3879">
        <w:rPr>
          <w:rFonts w:eastAsia="Arial" w:cs="Arial"/>
          <w:color w:val="auto"/>
          <w:szCs w:val="24"/>
        </w:rPr>
        <w:t>Small convenience shops have an important role in meeting local needs.  Larger housing developments may justify the provision of additional local shopping facilities. However, the demand for such provisions is difficult to quantify.   Propos</w:t>
      </w:r>
      <w:r w:rsidR="007C22FA" w:rsidRPr="009A3879">
        <w:rPr>
          <w:rFonts w:eastAsia="Arial" w:cs="Arial"/>
          <w:color w:val="auto"/>
          <w:szCs w:val="24"/>
        </w:rPr>
        <w:t>a</w:t>
      </w:r>
      <w:r w:rsidRPr="009A3879">
        <w:rPr>
          <w:rFonts w:eastAsia="Arial" w:cs="Arial"/>
          <w:color w:val="auto"/>
          <w:szCs w:val="24"/>
        </w:rPr>
        <w:t>l</w:t>
      </w:r>
      <w:r w:rsidR="007C22FA" w:rsidRPr="009A3879">
        <w:rPr>
          <w:rFonts w:eastAsia="Arial" w:cs="Arial"/>
          <w:color w:val="auto"/>
          <w:szCs w:val="24"/>
        </w:rPr>
        <w:t>s</w:t>
      </w:r>
      <w:r w:rsidRPr="009A3879">
        <w:rPr>
          <w:rFonts w:eastAsia="Arial" w:cs="Arial"/>
          <w:color w:val="auto"/>
          <w:szCs w:val="24"/>
        </w:rPr>
        <w:t xml:space="preserve"> for smaller shops, either as new development or change </w:t>
      </w:r>
      <w:r w:rsidR="007C22FA" w:rsidRPr="009A3879">
        <w:rPr>
          <w:rFonts w:eastAsia="Arial" w:cs="Arial"/>
          <w:color w:val="auto"/>
          <w:szCs w:val="24"/>
        </w:rPr>
        <w:t xml:space="preserve">in the use of an existing building will generally be favourably considered. The policy limits the floorspace to 200 </w:t>
      </w:r>
      <w:r w:rsidR="00163F59" w:rsidRPr="009A3879">
        <w:rPr>
          <w:rFonts w:eastAsia="Arial" w:cs="Arial"/>
          <w:color w:val="auto"/>
          <w:szCs w:val="24"/>
        </w:rPr>
        <w:t>sq.</w:t>
      </w:r>
      <w:r w:rsidR="007C22FA" w:rsidRPr="009A3879">
        <w:rPr>
          <w:rFonts w:eastAsia="Arial" w:cs="Arial"/>
          <w:color w:val="auto"/>
          <w:szCs w:val="24"/>
        </w:rPr>
        <w:t xml:space="preserve"> m. in line with the recommendations from the </w:t>
      </w:r>
      <w:r w:rsidR="00F62485">
        <w:rPr>
          <w:rFonts w:eastAsia="Arial" w:cs="Arial"/>
          <w:color w:val="auto"/>
          <w:szCs w:val="24"/>
        </w:rPr>
        <w:t>Town Centre / Local Centre Study</w:t>
      </w:r>
      <w:r w:rsidR="007C22FA" w:rsidRPr="009A3879">
        <w:rPr>
          <w:rFonts w:eastAsia="Arial" w:cs="Arial"/>
          <w:color w:val="auto"/>
          <w:szCs w:val="24"/>
        </w:rPr>
        <w:t xml:space="preserve"> in relation to the threshold for an impact test. </w:t>
      </w:r>
    </w:p>
    <w:p w14:paraId="59A0F7B7" w14:textId="77777777" w:rsidR="00263F59" w:rsidRPr="009A3879" w:rsidRDefault="00263F59" w:rsidP="00263F59">
      <w:pPr>
        <w:pStyle w:val="ListParagraph"/>
        <w:spacing w:after="0" w:line="240" w:lineRule="auto"/>
        <w:rPr>
          <w:rFonts w:ascii="Arial" w:hAnsi="Arial" w:cs="Arial"/>
          <w:color w:val="auto"/>
          <w:szCs w:val="24"/>
        </w:rPr>
      </w:pPr>
    </w:p>
    <w:bookmarkEnd w:id="274"/>
    <w:p w14:paraId="0891BA33" w14:textId="4881FBC3" w:rsidR="00263F59" w:rsidRDefault="00263F59" w:rsidP="00263F59">
      <w:pPr>
        <w:keepNext w:val="0"/>
        <w:spacing w:before="0"/>
        <w:ind w:left="709"/>
        <w:rPr>
          <w:rFonts w:cs="Arial"/>
          <w:color w:val="auto"/>
          <w:szCs w:val="24"/>
          <w:lang w:eastAsia="en-US"/>
        </w:rPr>
      </w:pPr>
    </w:p>
    <w:bookmarkEnd w:id="266"/>
    <w:p w14:paraId="3DA45563" w14:textId="77777777" w:rsidR="00263F59" w:rsidRPr="00E56122" w:rsidRDefault="00263F59" w:rsidP="00263F59">
      <w:pPr>
        <w:keepNext w:val="0"/>
        <w:spacing w:before="0"/>
        <w:ind w:left="709"/>
        <w:rPr>
          <w:rFonts w:cs="Arial"/>
          <w:color w:val="auto"/>
          <w:szCs w:val="24"/>
          <w:lang w:eastAsia="en-US"/>
        </w:rPr>
      </w:pPr>
    </w:p>
    <w:p w14:paraId="758B5876" w14:textId="7AD5FB16" w:rsidR="00E56122" w:rsidRPr="00C55F46" w:rsidRDefault="006977E7" w:rsidP="00C55F46">
      <w:pPr>
        <w:pStyle w:val="Heading2"/>
        <w:jc w:val="left"/>
        <w:rPr>
          <w:sz w:val="28"/>
          <w:szCs w:val="28"/>
        </w:rPr>
      </w:pPr>
      <w:bookmarkStart w:id="277" w:name="_Toc500408774"/>
      <w:bookmarkStart w:id="278" w:name="_Toc145511607"/>
      <w:bookmarkStart w:id="279" w:name="_Hlk78469235"/>
      <w:r w:rsidRPr="00C55F46">
        <w:rPr>
          <w:sz w:val="28"/>
          <w:szCs w:val="28"/>
        </w:rPr>
        <w:t xml:space="preserve">Policy </w:t>
      </w:r>
      <w:r w:rsidR="00E56122" w:rsidRPr="00C55F46">
        <w:rPr>
          <w:sz w:val="28"/>
          <w:szCs w:val="28"/>
        </w:rPr>
        <w:t>SH3: Shopfronts</w:t>
      </w:r>
      <w:bookmarkEnd w:id="277"/>
      <w:bookmarkEnd w:id="278"/>
    </w:p>
    <w:p w14:paraId="7DCD8C64" w14:textId="77777777" w:rsidR="00E56122" w:rsidRPr="00E56122" w:rsidRDefault="00E56122" w:rsidP="00263F59">
      <w:pPr>
        <w:keepNext w:val="0"/>
        <w:spacing w:before="0"/>
        <w:rPr>
          <w:rFonts w:cs="Arial"/>
          <w:color w:val="auto"/>
          <w:lang w:eastAsia="en-US"/>
        </w:rPr>
      </w:pPr>
    </w:p>
    <w:tbl>
      <w:tblPr>
        <w:tblStyle w:val="TableGrid3"/>
        <w:tblW w:w="9776" w:type="dxa"/>
        <w:tblLook w:val="04A0" w:firstRow="1" w:lastRow="0" w:firstColumn="1" w:lastColumn="0" w:noHBand="0" w:noVBand="1"/>
      </w:tblPr>
      <w:tblGrid>
        <w:gridCol w:w="2405"/>
        <w:gridCol w:w="255"/>
        <w:gridCol w:w="7116"/>
      </w:tblGrid>
      <w:tr w:rsidR="00E56122" w:rsidRPr="00E56122" w14:paraId="172AA2E1" w14:textId="77777777" w:rsidTr="00163F59">
        <w:trPr>
          <w:trHeight w:val="421"/>
        </w:trPr>
        <w:tc>
          <w:tcPr>
            <w:tcW w:w="9776" w:type="dxa"/>
            <w:gridSpan w:val="3"/>
          </w:tcPr>
          <w:p w14:paraId="5C96C238" w14:textId="77777777" w:rsidR="00A56503" w:rsidRDefault="00A56503" w:rsidP="00FF3EAD">
            <w:pPr>
              <w:keepNext w:val="0"/>
              <w:tabs>
                <w:tab w:val="left" w:pos="680"/>
              </w:tabs>
              <w:spacing w:before="0"/>
              <w:jc w:val="left"/>
              <w:rPr>
                <w:rFonts w:eastAsia="Arial"/>
                <w:b/>
                <w:color w:val="auto"/>
                <w:spacing w:val="-1"/>
              </w:rPr>
            </w:pPr>
            <w:bookmarkStart w:id="280" w:name="_Hlk78784828"/>
          </w:p>
          <w:p w14:paraId="3BCAB01C" w14:textId="69D2F1E5" w:rsidR="00E56122" w:rsidRDefault="00E56122" w:rsidP="00FF3EAD">
            <w:pPr>
              <w:keepNext w:val="0"/>
              <w:tabs>
                <w:tab w:val="left" w:pos="680"/>
              </w:tabs>
              <w:spacing w:before="0"/>
              <w:jc w:val="left"/>
              <w:rPr>
                <w:rFonts w:eastAsia="Arial"/>
                <w:b/>
                <w:color w:val="auto"/>
                <w:spacing w:val="-1"/>
              </w:rPr>
            </w:pPr>
            <w:r w:rsidRPr="00E56122">
              <w:rPr>
                <w:rFonts w:eastAsia="Arial"/>
                <w:b/>
                <w:color w:val="auto"/>
                <w:spacing w:val="-1"/>
              </w:rPr>
              <w:t>Policy SH3: Shopfronts</w:t>
            </w:r>
          </w:p>
          <w:p w14:paraId="518FDD53" w14:textId="570A28C3" w:rsidR="00A56503" w:rsidRPr="00E56122" w:rsidRDefault="00A56503" w:rsidP="00FF3EAD">
            <w:pPr>
              <w:keepNext w:val="0"/>
              <w:tabs>
                <w:tab w:val="left" w:pos="680"/>
              </w:tabs>
              <w:spacing w:before="0"/>
              <w:jc w:val="left"/>
              <w:rPr>
                <w:rFonts w:eastAsia="Arial"/>
                <w:b/>
                <w:color w:val="auto"/>
                <w:spacing w:val="-1"/>
              </w:rPr>
            </w:pPr>
          </w:p>
        </w:tc>
      </w:tr>
      <w:tr w:rsidR="00E56122" w:rsidRPr="00E56122" w14:paraId="5764F58C" w14:textId="77777777" w:rsidTr="00163F59">
        <w:tc>
          <w:tcPr>
            <w:tcW w:w="2660" w:type="dxa"/>
            <w:gridSpan w:val="2"/>
          </w:tcPr>
          <w:p w14:paraId="59B75087" w14:textId="77777777" w:rsidR="00E56122" w:rsidRPr="00E56122" w:rsidRDefault="00E56122" w:rsidP="00FF3EAD">
            <w:pPr>
              <w:keepNext w:val="0"/>
              <w:tabs>
                <w:tab w:val="left" w:pos="680"/>
              </w:tabs>
              <w:spacing w:before="0"/>
              <w:jc w:val="left"/>
              <w:rPr>
                <w:rFonts w:eastAsia="Arial"/>
                <w:bCs/>
                <w:color w:val="auto"/>
              </w:rPr>
            </w:pPr>
            <w:r w:rsidRPr="00E56122">
              <w:rPr>
                <w:rFonts w:eastAsia="Arial"/>
                <w:bCs/>
                <w:color w:val="auto"/>
              </w:rPr>
              <w:t>Strategic Objectives</w:t>
            </w:r>
          </w:p>
        </w:tc>
        <w:tc>
          <w:tcPr>
            <w:tcW w:w="7116" w:type="dxa"/>
          </w:tcPr>
          <w:p w14:paraId="68992D1F" w14:textId="77777777" w:rsidR="00E56122" w:rsidRPr="00E56122" w:rsidRDefault="00E56122" w:rsidP="00FF3EAD">
            <w:pPr>
              <w:keepNext w:val="0"/>
              <w:tabs>
                <w:tab w:val="left" w:pos="680"/>
              </w:tabs>
              <w:spacing w:before="40" w:after="40"/>
              <w:jc w:val="left"/>
              <w:rPr>
                <w:rFonts w:eastAsia="Arial"/>
                <w:bCs/>
                <w:color w:val="auto"/>
              </w:rPr>
            </w:pPr>
            <w:r w:rsidRPr="00E56122">
              <w:rPr>
                <w:rFonts w:eastAsia="Arial"/>
                <w:bCs/>
                <w:color w:val="auto"/>
              </w:rPr>
              <w:t>SO1, SO2, SO7, SO8, SO9, SO10, SO14.</w:t>
            </w:r>
          </w:p>
        </w:tc>
      </w:tr>
      <w:tr w:rsidR="00E56122" w:rsidRPr="00E56122" w14:paraId="0692D5FC" w14:textId="77777777" w:rsidTr="00163F59">
        <w:tc>
          <w:tcPr>
            <w:tcW w:w="9776" w:type="dxa"/>
            <w:gridSpan w:val="3"/>
            <w:shd w:val="clear" w:color="auto" w:fill="E6A8A8"/>
          </w:tcPr>
          <w:p w14:paraId="572CDC4A" w14:textId="77777777" w:rsidR="00E56122" w:rsidRPr="00E56122" w:rsidRDefault="00E56122" w:rsidP="00FF3EAD">
            <w:pPr>
              <w:keepNext w:val="0"/>
              <w:autoSpaceDE w:val="0"/>
              <w:autoSpaceDN w:val="0"/>
              <w:adjustRightInd w:val="0"/>
              <w:spacing w:before="0"/>
              <w:contextualSpacing/>
              <w:jc w:val="left"/>
              <w:rPr>
                <w:rFonts w:eastAsia="Arial" w:cs="Arial"/>
                <w:bCs/>
                <w:color w:val="auto"/>
                <w:szCs w:val="24"/>
              </w:rPr>
            </w:pPr>
          </w:p>
          <w:p w14:paraId="6F0BFA51" w14:textId="77777777" w:rsidR="00E56122" w:rsidRPr="00E56122" w:rsidRDefault="00E56122" w:rsidP="00874A98">
            <w:pPr>
              <w:keepNext w:val="0"/>
              <w:numPr>
                <w:ilvl w:val="0"/>
                <w:numId w:val="174"/>
              </w:numPr>
              <w:autoSpaceDE w:val="0"/>
              <w:autoSpaceDN w:val="0"/>
              <w:adjustRightInd w:val="0"/>
              <w:spacing w:before="0" w:after="160" w:line="252" w:lineRule="auto"/>
              <w:ind w:left="426"/>
              <w:contextualSpacing/>
              <w:jc w:val="left"/>
              <w:rPr>
                <w:rFonts w:cs="Arial"/>
                <w:bCs/>
                <w:color w:val="auto"/>
                <w:szCs w:val="24"/>
              </w:rPr>
            </w:pPr>
            <w:r w:rsidRPr="00E56122">
              <w:rPr>
                <w:rFonts w:cs="Arial"/>
                <w:bCs/>
                <w:color w:val="auto"/>
                <w:szCs w:val="24"/>
              </w:rPr>
              <w:t>Premises shall provide and retain clear views into and out of shop window(s). Inset entrances on shopfronts should be glazed and well lit, to contribute to the attractiveness, safety and vitality of shopping areas and avoid blank frontages to the street.</w:t>
            </w:r>
          </w:p>
          <w:p w14:paraId="398EE3CC" w14:textId="77777777" w:rsidR="00E56122" w:rsidRPr="00E56122" w:rsidRDefault="00E56122" w:rsidP="00FF3EAD">
            <w:pPr>
              <w:keepNext w:val="0"/>
              <w:autoSpaceDE w:val="0"/>
              <w:autoSpaceDN w:val="0"/>
              <w:adjustRightInd w:val="0"/>
              <w:spacing w:before="0"/>
              <w:ind w:left="426"/>
              <w:contextualSpacing/>
              <w:jc w:val="left"/>
              <w:rPr>
                <w:rFonts w:cs="Arial"/>
                <w:bCs/>
                <w:color w:val="auto"/>
                <w:szCs w:val="24"/>
              </w:rPr>
            </w:pPr>
          </w:p>
          <w:p w14:paraId="39C5D204" w14:textId="77777777" w:rsidR="00E56122" w:rsidRPr="00E56122" w:rsidRDefault="00E56122" w:rsidP="00874A98">
            <w:pPr>
              <w:keepNext w:val="0"/>
              <w:numPr>
                <w:ilvl w:val="0"/>
                <w:numId w:val="174"/>
              </w:numPr>
              <w:autoSpaceDE w:val="0"/>
              <w:autoSpaceDN w:val="0"/>
              <w:adjustRightInd w:val="0"/>
              <w:spacing w:before="0" w:after="160" w:line="252" w:lineRule="auto"/>
              <w:ind w:left="426"/>
              <w:contextualSpacing/>
              <w:jc w:val="left"/>
              <w:rPr>
                <w:rFonts w:cs="Arial"/>
                <w:bCs/>
                <w:color w:val="auto"/>
                <w:szCs w:val="24"/>
              </w:rPr>
            </w:pPr>
            <w:r w:rsidRPr="00E56122">
              <w:rPr>
                <w:rFonts w:cs="Arial"/>
                <w:bCs/>
                <w:color w:val="auto"/>
                <w:szCs w:val="24"/>
              </w:rPr>
              <w:t>The Council will resist the removal of shopfronts of architectural or historic interest.</w:t>
            </w:r>
          </w:p>
          <w:p w14:paraId="7516B32D" w14:textId="77777777" w:rsidR="00E56122" w:rsidRPr="00E56122" w:rsidRDefault="00E56122" w:rsidP="00FF3EAD">
            <w:pPr>
              <w:keepNext w:val="0"/>
              <w:autoSpaceDE w:val="0"/>
              <w:autoSpaceDN w:val="0"/>
              <w:adjustRightInd w:val="0"/>
              <w:spacing w:before="0"/>
              <w:ind w:left="426"/>
              <w:jc w:val="left"/>
              <w:rPr>
                <w:rFonts w:cs="Arial"/>
                <w:bCs/>
                <w:color w:val="auto"/>
              </w:rPr>
            </w:pPr>
          </w:p>
          <w:p w14:paraId="02E4A962" w14:textId="77777777" w:rsidR="00E56122" w:rsidRPr="00E56122" w:rsidRDefault="00E56122" w:rsidP="00874A98">
            <w:pPr>
              <w:keepNext w:val="0"/>
              <w:numPr>
                <w:ilvl w:val="0"/>
                <w:numId w:val="174"/>
              </w:numPr>
              <w:autoSpaceDE w:val="0"/>
              <w:autoSpaceDN w:val="0"/>
              <w:adjustRightInd w:val="0"/>
              <w:spacing w:before="0" w:after="160" w:line="252" w:lineRule="auto"/>
              <w:ind w:left="426"/>
              <w:contextualSpacing/>
              <w:jc w:val="left"/>
              <w:rPr>
                <w:rFonts w:cs="Arial"/>
                <w:bCs/>
                <w:color w:val="auto"/>
                <w:szCs w:val="24"/>
              </w:rPr>
            </w:pPr>
            <w:r w:rsidRPr="00E56122">
              <w:rPr>
                <w:rFonts w:cs="Arial"/>
                <w:bCs/>
                <w:color w:val="auto"/>
                <w:szCs w:val="24"/>
              </w:rPr>
              <w:t>The Council will expect proposals for new shopfronts and alterations to existing shopfronts to demonstrate a high quality of design, which complements, and is in proportion with, the architectural style of the whole building and the street scene.</w:t>
            </w:r>
          </w:p>
          <w:p w14:paraId="1942B499" w14:textId="77777777" w:rsidR="00E56122" w:rsidRPr="00E56122" w:rsidRDefault="00E56122" w:rsidP="00FF3EAD">
            <w:pPr>
              <w:keepNext w:val="0"/>
              <w:autoSpaceDE w:val="0"/>
              <w:autoSpaceDN w:val="0"/>
              <w:adjustRightInd w:val="0"/>
              <w:spacing w:before="0"/>
              <w:ind w:left="426"/>
              <w:jc w:val="left"/>
              <w:rPr>
                <w:rFonts w:cs="Arial"/>
                <w:bCs/>
                <w:color w:val="auto"/>
                <w:szCs w:val="24"/>
              </w:rPr>
            </w:pPr>
          </w:p>
          <w:p w14:paraId="2F171A91" w14:textId="77777777" w:rsidR="00E56122" w:rsidRPr="00E56122" w:rsidRDefault="00E56122" w:rsidP="00874A98">
            <w:pPr>
              <w:keepNext w:val="0"/>
              <w:numPr>
                <w:ilvl w:val="0"/>
                <w:numId w:val="174"/>
              </w:numPr>
              <w:autoSpaceDE w:val="0"/>
              <w:autoSpaceDN w:val="0"/>
              <w:adjustRightInd w:val="0"/>
              <w:spacing w:before="0" w:after="160" w:line="252" w:lineRule="auto"/>
              <w:ind w:left="426"/>
              <w:contextualSpacing/>
              <w:jc w:val="left"/>
              <w:rPr>
                <w:rFonts w:cs="Arial"/>
                <w:bCs/>
                <w:color w:val="auto"/>
                <w:szCs w:val="24"/>
              </w:rPr>
            </w:pPr>
            <w:r w:rsidRPr="00E56122">
              <w:rPr>
                <w:rFonts w:cs="Arial"/>
                <w:bCs/>
                <w:color w:val="auto"/>
                <w:szCs w:val="24"/>
              </w:rPr>
              <w:t xml:space="preserve">Canopies and blinds, where acceptable in principle, must be appropriate to the character of the shopfront and its setting. </w:t>
            </w:r>
          </w:p>
          <w:p w14:paraId="2462F402" w14:textId="77777777" w:rsidR="00E56122" w:rsidRPr="00E56122" w:rsidRDefault="00E56122" w:rsidP="00FF3EAD">
            <w:pPr>
              <w:keepNext w:val="0"/>
              <w:spacing w:before="0"/>
              <w:ind w:left="426"/>
              <w:contextualSpacing/>
              <w:jc w:val="left"/>
              <w:rPr>
                <w:rFonts w:cs="Arial"/>
                <w:bCs/>
                <w:color w:val="auto"/>
                <w:szCs w:val="24"/>
              </w:rPr>
            </w:pPr>
          </w:p>
          <w:p w14:paraId="0337C793" w14:textId="5E92FC06" w:rsidR="00E56122" w:rsidRPr="00E56122" w:rsidRDefault="00E56122" w:rsidP="00874A98">
            <w:pPr>
              <w:keepNext w:val="0"/>
              <w:numPr>
                <w:ilvl w:val="0"/>
                <w:numId w:val="174"/>
              </w:numPr>
              <w:autoSpaceDE w:val="0"/>
              <w:autoSpaceDN w:val="0"/>
              <w:adjustRightInd w:val="0"/>
              <w:spacing w:before="0" w:after="160" w:line="252" w:lineRule="auto"/>
              <w:ind w:left="426"/>
              <w:contextualSpacing/>
              <w:jc w:val="left"/>
              <w:rPr>
                <w:rFonts w:cs="Arial"/>
                <w:bCs/>
                <w:color w:val="auto"/>
                <w:szCs w:val="24"/>
              </w:rPr>
            </w:pPr>
            <w:r w:rsidRPr="00E56122">
              <w:rPr>
                <w:rFonts w:cs="Arial"/>
                <w:bCs/>
                <w:color w:val="auto"/>
                <w:szCs w:val="24"/>
              </w:rPr>
              <w:t>External security shutters and grilles will only be permitted in exceptional circumstances.   Security provisions</w:t>
            </w:r>
            <w:r w:rsidR="00BA7A05">
              <w:rPr>
                <w:rFonts w:cs="Arial"/>
                <w:bCs/>
                <w:color w:val="auto"/>
                <w:szCs w:val="24"/>
              </w:rPr>
              <w:t xml:space="preserve"> must</w:t>
            </w:r>
            <w:r w:rsidRPr="00E56122">
              <w:rPr>
                <w:rFonts w:cs="Arial"/>
                <w:bCs/>
                <w:color w:val="auto"/>
                <w:szCs w:val="24"/>
              </w:rPr>
              <w:t xml:space="preserve"> have some visual permeability.</w:t>
            </w:r>
          </w:p>
          <w:p w14:paraId="0DEFF386" w14:textId="77777777" w:rsidR="00E56122" w:rsidRPr="00E56122" w:rsidRDefault="00E56122" w:rsidP="00FF3EAD">
            <w:pPr>
              <w:keepNext w:val="0"/>
              <w:autoSpaceDE w:val="0"/>
              <w:autoSpaceDN w:val="0"/>
              <w:adjustRightInd w:val="0"/>
              <w:spacing w:before="0"/>
              <w:ind w:left="426"/>
              <w:contextualSpacing/>
              <w:jc w:val="left"/>
              <w:rPr>
                <w:rFonts w:cs="Arial"/>
                <w:bCs/>
                <w:color w:val="auto"/>
                <w:szCs w:val="24"/>
              </w:rPr>
            </w:pPr>
          </w:p>
          <w:p w14:paraId="495E1A19" w14:textId="1F89CCA6" w:rsidR="00E56122" w:rsidRPr="00E56122" w:rsidRDefault="00E56122" w:rsidP="00874A98">
            <w:pPr>
              <w:keepNext w:val="0"/>
              <w:numPr>
                <w:ilvl w:val="0"/>
                <w:numId w:val="174"/>
              </w:numPr>
              <w:autoSpaceDE w:val="0"/>
              <w:autoSpaceDN w:val="0"/>
              <w:adjustRightInd w:val="0"/>
              <w:spacing w:before="0" w:after="160" w:line="252" w:lineRule="auto"/>
              <w:ind w:left="426"/>
              <w:contextualSpacing/>
              <w:jc w:val="left"/>
              <w:rPr>
                <w:rFonts w:cs="Arial"/>
                <w:bCs/>
                <w:color w:val="auto"/>
                <w:szCs w:val="24"/>
              </w:rPr>
            </w:pPr>
            <w:r w:rsidRPr="00E56122">
              <w:rPr>
                <w:rFonts w:cs="Arial"/>
                <w:bCs/>
                <w:color w:val="auto"/>
                <w:szCs w:val="24"/>
              </w:rPr>
              <w:t>Illumination to shopfronts must be sited and designed so as not to negatively impact on the street scene or cause visual intrusion from light pollution into adjoining or nearby residential properties.  Flashing internal or external lighting</w:t>
            </w:r>
            <w:r w:rsidR="00595970">
              <w:rPr>
                <w:rFonts w:cs="Arial"/>
                <w:bCs/>
                <w:color w:val="auto"/>
                <w:szCs w:val="24"/>
              </w:rPr>
              <w:t xml:space="preserve"> </w:t>
            </w:r>
            <w:r w:rsidRPr="00E56122">
              <w:rPr>
                <w:rFonts w:cs="Arial"/>
                <w:bCs/>
                <w:color w:val="auto"/>
                <w:szCs w:val="24"/>
              </w:rPr>
              <w:t>will not normally be permitted.</w:t>
            </w:r>
          </w:p>
          <w:p w14:paraId="3A1C0753" w14:textId="77777777" w:rsidR="00E56122" w:rsidRPr="00E56122" w:rsidRDefault="00E56122" w:rsidP="00FF3EAD">
            <w:pPr>
              <w:keepNext w:val="0"/>
              <w:autoSpaceDE w:val="0"/>
              <w:autoSpaceDN w:val="0"/>
              <w:adjustRightInd w:val="0"/>
              <w:spacing w:before="0"/>
              <w:ind w:left="426"/>
              <w:contextualSpacing/>
              <w:jc w:val="left"/>
              <w:rPr>
                <w:rFonts w:cs="Arial"/>
                <w:bCs/>
                <w:color w:val="auto"/>
                <w:szCs w:val="24"/>
              </w:rPr>
            </w:pPr>
          </w:p>
          <w:p w14:paraId="6051D79D" w14:textId="2993381C" w:rsidR="00E56122" w:rsidRPr="00E56122" w:rsidRDefault="00E56122" w:rsidP="00874A98">
            <w:pPr>
              <w:keepNext w:val="0"/>
              <w:numPr>
                <w:ilvl w:val="0"/>
                <w:numId w:val="174"/>
              </w:numPr>
              <w:autoSpaceDE w:val="0"/>
              <w:autoSpaceDN w:val="0"/>
              <w:adjustRightInd w:val="0"/>
              <w:spacing w:before="0" w:after="160" w:line="252" w:lineRule="auto"/>
              <w:ind w:left="426"/>
              <w:contextualSpacing/>
              <w:jc w:val="left"/>
              <w:rPr>
                <w:rFonts w:cs="Arial"/>
                <w:bCs/>
                <w:color w:val="auto"/>
                <w:szCs w:val="24"/>
              </w:rPr>
            </w:pPr>
            <w:r w:rsidRPr="00E56122">
              <w:rPr>
                <w:rFonts w:cs="Arial"/>
                <w:bCs/>
                <w:color w:val="auto"/>
                <w:szCs w:val="24"/>
              </w:rPr>
              <w:t>Shop signage should form an integral part of a shop front design, but it must not have an overbearing effect on the building or the surrounding street scene.  Signage should generally be limited to appropriately designed and located fascia boards and/or projecting signs. Further guidance is detailed within Policy SD1</w:t>
            </w:r>
            <w:r w:rsidR="00BE13FE">
              <w:rPr>
                <w:rFonts w:cs="Arial"/>
                <w:bCs/>
                <w:color w:val="auto"/>
                <w:szCs w:val="24"/>
              </w:rPr>
              <w:t>2</w:t>
            </w:r>
            <w:r w:rsidRPr="00E56122">
              <w:rPr>
                <w:rFonts w:cs="Arial"/>
                <w:bCs/>
                <w:color w:val="auto"/>
                <w:szCs w:val="24"/>
              </w:rPr>
              <w:t>.</w:t>
            </w:r>
          </w:p>
          <w:p w14:paraId="3EC9816B" w14:textId="77777777" w:rsidR="00E56122" w:rsidRPr="00E56122" w:rsidRDefault="00E56122" w:rsidP="00FF3EAD">
            <w:pPr>
              <w:keepNext w:val="0"/>
              <w:autoSpaceDE w:val="0"/>
              <w:autoSpaceDN w:val="0"/>
              <w:adjustRightInd w:val="0"/>
              <w:spacing w:before="0"/>
              <w:ind w:left="426"/>
              <w:contextualSpacing/>
              <w:jc w:val="left"/>
              <w:rPr>
                <w:rFonts w:cs="Arial"/>
                <w:bCs/>
                <w:color w:val="auto"/>
                <w:szCs w:val="24"/>
              </w:rPr>
            </w:pPr>
          </w:p>
          <w:p w14:paraId="5376C87A" w14:textId="77777777" w:rsidR="00E56122" w:rsidRPr="00E56122" w:rsidRDefault="00E56122" w:rsidP="00874A98">
            <w:pPr>
              <w:keepNext w:val="0"/>
              <w:numPr>
                <w:ilvl w:val="0"/>
                <w:numId w:val="174"/>
              </w:numPr>
              <w:autoSpaceDE w:val="0"/>
              <w:autoSpaceDN w:val="0"/>
              <w:adjustRightInd w:val="0"/>
              <w:spacing w:before="0" w:after="160" w:line="252" w:lineRule="auto"/>
              <w:ind w:left="426"/>
              <w:contextualSpacing/>
              <w:jc w:val="left"/>
              <w:rPr>
                <w:rFonts w:cs="Arial"/>
                <w:bCs/>
                <w:color w:val="auto"/>
                <w:szCs w:val="24"/>
              </w:rPr>
            </w:pPr>
            <w:r w:rsidRPr="00E56122">
              <w:rPr>
                <w:rFonts w:cs="Arial"/>
                <w:bCs/>
                <w:color w:val="auto"/>
                <w:szCs w:val="24"/>
              </w:rPr>
              <w:t>New shopfronts must be designed to allow equal access for all users, while having regard to a Best Practice approach to access and inclusion.</w:t>
            </w:r>
          </w:p>
          <w:p w14:paraId="0EF5CBA9" w14:textId="77777777" w:rsidR="00E56122" w:rsidRPr="00E56122" w:rsidRDefault="00E56122" w:rsidP="00FF3EAD">
            <w:pPr>
              <w:keepNext w:val="0"/>
              <w:autoSpaceDE w:val="0"/>
              <w:autoSpaceDN w:val="0"/>
              <w:adjustRightInd w:val="0"/>
              <w:spacing w:before="0"/>
              <w:contextualSpacing/>
              <w:jc w:val="left"/>
              <w:rPr>
                <w:rFonts w:cs="Arial"/>
                <w:bCs/>
                <w:color w:val="538135"/>
                <w:szCs w:val="24"/>
              </w:rPr>
            </w:pPr>
          </w:p>
        </w:tc>
      </w:tr>
      <w:bookmarkEnd w:id="280"/>
      <w:tr w:rsidR="00E56122" w:rsidRPr="00E56122" w14:paraId="2703F949" w14:textId="77777777" w:rsidTr="00163F59">
        <w:tc>
          <w:tcPr>
            <w:tcW w:w="2405" w:type="dxa"/>
          </w:tcPr>
          <w:p w14:paraId="4A27D1E1" w14:textId="77777777" w:rsidR="00E56122" w:rsidRPr="00E56122" w:rsidRDefault="00E56122" w:rsidP="00A03E50">
            <w:pPr>
              <w:keepNext w:val="0"/>
              <w:autoSpaceDE w:val="0"/>
              <w:autoSpaceDN w:val="0"/>
              <w:adjustRightInd w:val="0"/>
              <w:spacing w:before="0"/>
              <w:contextualSpacing/>
              <w:rPr>
                <w:rFonts w:eastAsia="Arial" w:cs="Arial"/>
                <w:b/>
                <w:color w:val="auto"/>
                <w:szCs w:val="24"/>
              </w:rPr>
            </w:pPr>
            <w:r w:rsidRPr="00E56122">
              <w:rPr>
                <w:rFonts w:eastAsia="Arial" w:cs="Arial"/>
                <w:bCs/>
                <w:color w:val="auto"/>
                <w:sz w:val="20"/>
              </w:rPr>
              <w:t>Evidence base</w:t>
            </w:r>
          </w:p>
        </w:tc>
        <w:tc>
          <w:tcPr>
            <w:tcW w:w="7371" w:type="dxa"/>
            <w:gridSpan w:val="2"/>
          </w:tcPr>
          <w:p w14:paraId="74AB7A74" w14:textId="18EC1BD4" w:rsidR="00E56122" w:rsidRPr="00595970" w:rsidRDefault="00106B8C" w:rsidP="00FF3EAD">
            <w:pPr>
              <w:keepNext w:val="0"/>
              <w:numPr>
                <w:ilvl w:val="0"/>
                <w:numId w:val="36"/>
              </w:numPr>
              <w:spacing w:before="0" w:after="160" w:line="252" w:lineRule="auto"/>
              <w:contextualSpacing/>
              <w:jc w:val="left"/>
              <w:rPr>
                <w:rFonts w:cs="Arial"/>
                <w:color w:val="auto"/>
                <w:sz w:val="20"/>
              </w:rPr>
            </w:pPr>
            <w:r w:rsidRPr="00106B8C">
              <w:rPr>
                <w:rFonts w:cs="Arial"/>
                <w:sz w:val="20"/>
                <w:szCs w:val="20"/>
              </w:rPr>
              <w:t>Ashfield Town Centre / Local Centre Study, 2023</w:t>
            </w:r>
            <w:r>
              <w:rPr>
                <w:rFonts w:cs="Arial"/>
                <w:sz w:val="20"/>
                <w:szCs w:val="20"/>
              </w:rPr>
              <w:t xml:space="preserve">. </w:t>
            </w:r>
            <w:r w:rsidR="00E56122" w:rsidRPr="00595970">
              <w:rPr>
                <w:rFonts w:cs="Arial"/>
                <w:color w:val="auto"/>
                <w:sz w:val="20"/>
              </w:rPr>
              <w:t xml:space="preserve"> Nexus Planning.</w:t>
            </w:r>
          </w:p>
          <w:p w14:paraId="7185AC8C" w14:textId="77777777" w:rsidR="00E56122" w:rsidRPr="00595970" w:rsidRDefault="00E56122" w:rsidP="00FF3EAD">
            <w:pPr>
              <w:keepNext w:val="0"/>
              <w:numPr>
                <w:ilvl w:val="0"/>
                <w:numId w:val="36"/>
              </w:numPr>
              <w:spacing w:before="0" w:after="160" w:line="252" w:lineRule="auto"/>
              <w:contextualSpacing/>
              <w:jc w:val="left"/>
              <w:rPr>
                <w:rFonts w:cs="Arial"/>
                <w:color w:val="auto"/>
                <w:sz w:val="20"/>
              </w:rPr>
            </w:pPr>
            <w:r w:rsidRPr="00595970">
              <w:rPr>
                <w:rFonts w:cs="Arial"/>
                <w:color w:val="auto"/>
                <w:sz w:val="20"/>
              </w:rPr>
              <w:t>Retail Floorspace Survey 2020. Ashfield District Council.</w:t>
            </w:r>
          </w:p>
          <w:p w14:paraId="3039732B" w14:textId="1FF89C6F" w:rsidR="00E56122" w:rsidRPr="00595970" w:rsidRDefault="00E56122" w:rsidP="00FF3EAD">
            <w:pPr>
              <w:keepNext w:val="0"/>
              <w:numPr>
                <w:ilvl w:val="0"/>
                <w:numId w:val="36"/>
              </w:numPr>
              <w:spacing w:before="0" w:after="160" w:line="252" w:lineRule="auto"/>
              <w:contextualSpacing/>
              <w:jc w:val="left"/>
              <w:rPr>
                <w:rFonts w:cs="Arial"/>
                <w:color w:val="auto"/>
                <w:sz w:val="20"/>
              </w:rPr>
            </w:pPr>
            <w:r w:rsidRPr="00595970">
              <w:rPr>
                <w:rFonts w:cs="Arial"/>
                <w:color w:val="auto"/>
                <w:sz w:val="20"/>
              </w:rPr>
              <w:t>Sustainability Appraisal, 202</w:t>
            </w:r>
            <w:r w:rsidR="006B0C43" w:rsidRPr="00595970">
              <w:rPr>
                <w:rFonts w:cs="Arial"/>
                <w:color w:val="auto"/>
                <w:sz w:val="20"/>
              </w:rPr>
              <w:t>3</w:t>
            </w:r>
            <w:r w:rsidRPr="00595970">
              <w:rPr>
                <w:rFonts w:cs="Arial"/>
                <w:color w:val="auto"/>
                <w:sz w:val="20"/>
              </w:rPr>
              <w:t xml:space="preserve">. </w:t>
            </w:r>
            <w:r w:rsidR="006B0C43" w:rsidRPr="00595970">
              <w:rPr>
                <w:rFonts w:cs="Arial"/>
                <w:color w:val="auto"/>
                <w:sz w:val="20"/>
              </w:rPr>
              <w:t>WSP UK Limited</w:t>
            </w:r>
            <w:r w:rsidRPr="00595970">
              <w:rPr>
                <w:rFonts w:cs="Arial"/>
                <w:color w:val="auto"/>
                <w:sz w:val="20"/>
              </w:rPr>
              <w:t>.</w:t>
            </w:r>
          </w:p>
        </w:tc>
      </w:tr>
      <w:tr w:rsidR="00E56122" w:rsidRPr="00E56122" w14:paraId="22493470" w14:textId="77777777" w:rsidTr="00163F59">
        <w:tc>
          <w:tcPr>
            <w:tcW w:w="2405" w:type="dxa"/>
          </w:tcPr>
          <w:p w14:paraId="5E7F35FE" w14:textId="77777777" w:rsidR="00E56122" w:rsidRPr="00E56122" w:rsidRDefault="00E56122" w:rsidP="00A03E50">
            <w:pPr>
              <w:keepNext w:val="0"/>
              <w:autoSpaceDE w:val="0"/>
              <w:autoSpaceDN w:val="0"/>
              <w:adjustRightInd w:val="0"/>
              <w:spacing w:before="0"/>
              <w:contextualSpacing/>
              <w:rPr>
                <w:rFonts w:eastAsia="Arial" w:cs="Arial"/>
                <w:b/>
                <w:color w:val="auto"/>
                <w:szCs w:val="24"/>
              </w:rPr>
            </w:pPr>
            <w:r w:rsidRPr="00E56122">
              <w:rPr>
                <w:rFonts w:eastAsia="Arial" w:cs="Arial"/>
                <w:bCs/>
                <w:color w:val="auto"/>
                <w:sz w:val="20"/>
              </w:rPr>
              <w:t>National Planning Policy and Guidance</w:t>
            </w:r>
          </w:p>
        </w:tc>
        <w:tc>
          <w:tcPr>
            <w:tcW w:w="7371" w:type="dxa"/>
            <w:gridSpan w:val="2"/>
          </w:tcPr>
          <w:p w14:paraId="51472E42" w14:textId="3B3F52B5" w:rsidR="00E56122" w:rsidRPr="00595970" w:rsidRDefault="00E56122" w:rsidP="00FF3EAD">
            <w:pPr>
              <w:keepNext w:val="0"/>
              <w:numPr>
                <w:ilvl w:val="0"/>
                <w:numId w:val="35"/>
              </w:numPr>
              <w:tabs>
                <w:tab w:val="left" w:pos="680"/>
                <w:tab w:val="left" w:pos="1133"/>
                <w:tab w:val="left" w:pos="2267"/>
              </w:tabs>
              <w:spacing w:before="0" w:after="160" w:line="252" w:lineRule="auto"/>
              <w:ind w:right="284"/>
              <w:contextualSpacing/>
              <w:jc w:val="left"/>
              <w:rPr>
                <w:rFonts w:eastAsia="Arial" w:cs="Arial"/>
                <w:bCs/>
                <w:color w:val="auto"/>
                <w:sz w:val="20"/>
              </w:rPr>
            </w:pPr>
            <w:r w:rsidRPr="00595970">
              <w:rPr>
                <w:rFonts w:cs="Arial"/>
                <w:bCs/>
                <w:color w:val="auto"/>
                <w:sz w:val="20"/>
              </w:rPr>
              <w:t>NPPF 202</w:t>
            </w:r>
            <w:r w:rsidR="004173E0" w:rsidRPr="00595970">
              <w:rPr>
                <w:rFonts w:cs="Arial"/>
                <w:bCs/>
                <w:color w:val="auto"/>
                <w:sz w:val="20"/>
              </w:rPr>
              <w:t>3</w:t>
            </w:r>
            <w:r w:rsidRPr="00595970">
              <w:rPr>
                <w:rFonts w:cs="Arial"/>
                <w:bCs/>
                <w:color w:val="auto"/>
                <w:sz w:val="20"/>
              </w:rPr>
              <w:t>, Part 2: Achieving Sustainable Development.</w:t>
            </w:r>
          </w:p>
          <w:p w14:paraId="32C683C7" w14:textId="598753E6" w:rsidR="00E56122" w:rsidRPr="00595970" w:rsidRDefault="00E56122" w:rsidP="00FF3EAD">
            <w:pPr>
              <w:keepNext w:val="0"/>
              <w:numPr>
                <w:ilvl w:val="0"/>
                <w:numId w:val="35"/>
              </w:numPr>
              <w:tabs>
                <w:tab w:val="left" w:pos="680"/>
                <w:tab w:val="left" w:pos="1133"/>
                <w:tab w:val="left" w:pos="2267"/>
              </w:tabs>
              <w:spacing w:before="0" w:after="160" w:line="252" w:lineRule="auto"/>
              <w:ind w:right="284"/>
              <w:contextualSpacing/>
              <w:jc w:val="left"/>
              <w:rPr>
                <w:rFonts w:eastAsia="Arial" w:cs="Arial"/>
                <w:bCs/>
                <w:color w:val="auto"/>
                <w:sz w:val="20"/>
              </w:rPr>
            </w:pPr>
            <w:r w:rsidRPr="00595970">
              <w:rPr>
                <w:rFonts w:cs="Arial"/>
                <w:bCs/>
                <w:color w:val="auto"/>
                <w:sz w:val="20"/>
              </w:rPr>
              <w:t>NPPF 202</w:t>
            </w:r>
            <w:r w:rsidR="004173E0" w:rsidRPr="00595970">
              <w:rPr>
                <w:rFonts w:cs="Arial"/>
                <w:bCs/>
                <w:color w:val="auto"/>
                <w:sz w:val="20"/>
              </w:rPr>
              <w:t>3</w:t>
            </w:r>
            <w:r w:rsidRPr="00595970">
              <w:rPr>
                <w:rFonts w:cs="Arial"/>
                <w:bCs/>
                <w:color w:val="auto"/>
                <w:sz w:val="20"/>
              </w:rPr>
              <w:t>, Part 7: Ensuring the vitality of town centres.</w:t>
            </w:r>
          </w:p>
          <w:p w14:paraId="04BA2F0E" w14:textId="23AE1749" w:rsidR="00E56122" w:rsidRPr="00595970" w:rsidRDefault="00E56122" w:rsidP="00FF3EAD">
            <w:pPr>
              <w:keepNext w:val="0"/>
              <w:numPr>
                <w:ilvl w:val="0"/>
                <w:numId w:val="35"/>
              </w:numPr>
              <w:tabs>
                <w:tab w:val="left" w:pos="680"/>
                <w:tab w:val="left" w:pos="1133"/>
                <w:tab w:val="left" w:pos="2267"/>
              </w:tabs>
              <w:spacing w:before="0" w:after="160" w:line="252" w:lineRule="auto"/>
              <w:ind w:right="284"/>
              <w:contextualSpacing/>
              <w:jc w:val="left"/>
              <w:rPr>
                <w:rFonts w:eastAsia="Arial" w:cs="Arial"/>
                <w:bCs/>
                <w:color w:val="auto"/>
                <w:sz w:val="20"/>
              </w:rPr>
            </w:pPr>
            <w:r w:rsidRPr="00595970">
              <w:rPr>
                <w:rFonts w:cs="Arial"/>
                <w:bCs/>
                <w:color w:val="auto"/>
                <w:sz w:val="20"/>
              </w:rPr>
              <w:t>NPPF 202</w:t>
            </w:r>
            <w:r w:rsidR="004173E0" w:rsidRPr="00595970">
              <w:rPr>
                <w:rFonts w:cs="Arial"/>
                <w:bCs/>
                <w:color w:val="auto"/>
                <w:sz w:val="20"/>
              </w:rPr>
              <w:t>3</w:t>
            </w:r>
            <w:r w:rsidRPr="00595970">
              <w:rPr>
                <w:rFonts w:cs="Arial"/>
                <w:bCs/>
                <w:color w:val="auto"/>
                <w:sz w:val="20"/>
              </w:rPr>
              <w:t>, Part12: Achieving well-designed places.</w:t>
            </w:r>
          </w:p>
          <w:p w14:paraId="75ABE3AE" w14:textId="43092FFD" w:rsidR="00E56122" w:rsidRPr="00595970" w:rsidRDefault="00E56122" w:rsidP="00FF3EAD">
            <w:pPr>
              <w:keepNext w:val="0"/>
              <w:numPr>
                <w:ilvl w:val="0"/>
                <w:numId w:val="35"/>
              </w:numPr>
              <w:tabs>
                <w:tab w:val="left" w:pos="680"/>
                <w:tab w:val="left" w:pos="1133"/>
                <w:tab w:val="left" w:pos="2267"/>
              </w:tabs>
              <w:spacing w:before="0" w:after="160" w:line="252" w:lineRule="auto"/>
              <w:ind w:right="284"/>
              <w:contextualSpacing/>
              <w:jc w:val="left"/>
              <w:rPr>
                <w:rFonts w:eastAsia="Arial" w:cs="Arial"/>
                <w:bCs/>
                <w:color w:val="auto"/>
                <w:sz w:val="20"/>
              </w:rPr>
            </w:pPr>
            <w:r w:rsidRPr="00595970">
              <w:rPr>
                <w:rFonts w:eastAsia="Arial" w:cs="Arial"/>
                <w:bCs/>
                <w:color w:val="auto"/>
                <w:sz w:val="20"/>
              </w:rPr>
              <w:t xml:space="preserve">Planning Practice Guidance: Town centres and retail as </w:t>
            </w:r>
            <w:r w:rsidR="009D1815" w:rsidRPr="00595970">
              <w:rPr>
                <w:rFonts w:eastAsia="Arial" w:cs="Arial"/>
                <w:bCs/>
                <w:color w:val="auto"/>
                <w:sz w:val="20"/>
              </w:rPr>
              <w:t>of</w:t>
            </w:r>
            <w:r w:rsidRPr="00595970">
              <w:rPr>
                <w:rFonts w:eastAsia="Arial" w:cs="Arial"/>
                <w:bCs/>
                <w:color w:val="auto"/>
                <w:sz w:val="20"/>
              </w:rPr>
              <w:t xml:space="preserve"> </w:t>
            </w:r>
            <w:r w:rsidR="006B0C43" w:rsidRPr="00595970">
              <w:rPr>
                <w:rFonts w:eastAsia="Arial" w:cs="Arial"/>
                <w:bCs/>
                <w:color w:val="auto"/>
                <w:sz w:val="20"/>
              </w:rPr>
              <w:t>September 2020</w:t>
            </w:r>
            <w:r w:rsidRPr="00595970">
              <w:rPr>
                <w:rFonts w:eastAsia="Arial" w:cs="Arial"/>
                <w:bCs/>
                <w:color w:val="auto"/>
                <w:sz w:val="20"/>
              </w:rPr>
              <w:t>.</w:t>
            </w:r>
          </w:p>
          <w:p w14:paraId="5E4A81DF" w14:textId="5F6B9980" w:rsidR="00E56122" w:rsidRPr="00595970" w:rsidRDefault="00E56122" w:rsidP="00FF3EAD">
            <w:pPr>
              <w:keepNext w:val="0"/>
              <w:numPr>
                <w:ilvl w:val="0"/>
                <w:numId w:val="35"/>
              </w:numPr>
              <w:tabs>
                <w:tab w:val="left" w:pos="680"/>
                <w:tab w:val="left" w:pos="1133"/>
                <w:tab w:val="left" w:pos="2267"/>
              </w:tabs>
              <w:spacing w:before="0" w:after="160" w:line="252" w:lineRule="auto"/>
              <w:ind w:right="284"/>
              <w:contextualSpacing/>
              <w:jc w:val="left"/>
              <w:rPr>
                <w:rFonts w:eastAsia="Arial" w:cs="Arial"/>
                <w:bCs/>
                <w:color w:val="auto"/>
                <w:sz w:val="20"/>
              </w:rPr>
            </w:pPr>
            <w:bookmarkStart w:id="281" w:name="_Hlk139639321"/>
            <w:r w:rsidRPr="00595970">
              <w:rPr>
                <w:rFonts w:eastAsia="Arial" w:cs="Arial"/>
                <w:bCs/>
                <w:color w:val="auto"/>
                <w:sz w:val="20"/>
              </w:rPr>
              <w:t>Planning Practice Guidance: Design: process and tools</w:t>
            </w:r>
            <w:r w:rsidR="006B0C43" w:rsidRPr="00595970">
              <w:rPr>
                <w:rFonts w:eastAsia="Arial" w:cs="Arial"/>
                <w:bCs/>
                <w:color w:val="auto"/>
                <w:sz w:val="20"/>
              </w:rPr>
              <w:t xml:space="preserve"> as at October 2019.</w:t>
            </w:r>
          </w:p>
          <w:bookmarkEnd w:id="281"/>
          <w:p w14:paraId="6B6524FF" w14:textId="77777777" w:rsidR="00E56122" w:rsidRPr="00595970" w:rsidRDefault="00E56122" w:rsidP="00FF3EAD">
            <w:pPr>
              <w:keepNext w:val="0"/>
              <w:numPr>
                <w:ilvl w:val="0"/>
                <w:numId w:val="35"/>
              </w:numPr>
              <w:tabs>
                <w:tab w:val="left" w:pos="680"/>
                <w:tab w:val="left" w:pos="1133"/>
                <w:tab w:val="left" w:pos="2267"/>
              </w:tabs>
              <w:spacing w:before="0" w:after="160" w:line="252" w:lineRule="auto"/>
              <w:ind w:left="357" w:right="284" w:hanging="357"/>
              <w:contextualSpacing/>
              <w:jc w:val="left"/>
              <w:rPr>
                <w:rFonts w:eastAsia="Arial" w:cs="Arial"/>
                <w:bCs/>
                <w:color w:val="auto"/>
                <w:sz w:val="20"/>
              </w:rPr>
            </w:pPr>
            <w:r w:rsidRPr="00595970">
              <w:rPr>
                <w:rFonts w:eastAsia="Arial" w:cs="Arial"/>
                <w:bCs/>
                <w:color w:val="auto"/>
                <w:sz w:val="20"/>
              </w:rPr>
              <w:t>National Design Guide Planning practice guidance for beautiful, enduring and successful places, 2021.  Ministry of Housing, Communities &amp; Local Government.</w:t>
            </w:r>
          </w:p>
        </w:tc>
      </w:tr>
      <w:bookmarkEnd w:id="279"/>
    </w:tbl>
    <w:p w14:paraId="6D6D7271" w14:textId="77777777" w:rsidR="00E56122" w:rsidRPr="00E56122" w:rsidRDefault="00E56122" w:rsidP="00E56122">
      <w:pPr>
        <w:keepNext w:val="0"/>
        <w:spacing w:before="0"/>
        <w:ind w:left="720"/>
        <w:contextualSpacing/>
        <w:rPr>
          <w:rFonts w:eastAsia="Arial" w:cs="Arial"/>
          <w:color w:val="auto"/>
          <w:szCs w:val="24"/>
          <w:lang w:eastAsia="en-US"/>
        </w:rPr>
      </w:pPr>
    </w:p>
    <w:p w14:paraId="06A432EC" w14:textId="77777777" w:rsidR="00E56122" w:rsidRPr="00E56122" w:rsidRDefault="00E56122" w:rsidP="00E56122">
      <w:pPr>
        <w:keepNext w:val="0"/>
        <w:spacing w:before="0"/>
        <w:ind w:left="709"/>
        <w:rPr>
          <w:rFonts w:cs="Arial"/>
          <w:color w:val="auto"/>
          <w:szCs w:val="24"/>
          <w:lang w:eastAsia="en-US"/>
        </w:rPr>
      </w:pPr>
    </w:p>
    <w:p w14:paraId="359E1F9D" w14:textId="0E2F8E99" w:rsidR="00E56122" w:rsidRDefault="00E56122" w:rsidP="00E56122">
      <w:pPr>
        <w:keepNext w:val="0"/>
        <w:numPr>
          <w:ilvl w:val="1"/>
          <w:numId w:val="6"/>
        </w:numPr>
        <w:tabs>
          <w:tab w:val="clear" w:pos="525"/>
        </w:tabs>
        <w:spacing w:before="0"/>
        <w:ind w:left="709" w:hanging="709"/>
        <w:rPr>
          <w:rFonts w:cs="Arial"/>
          <w:color w:val="auto"/>
          <w:szCs w:val="24"/>
          <w:lang w:eastAsia="en-US"/>
        </w:rPr>
      </w:pPr>
      <w:bookmarkStart w:id="282" w:name="_Hlk78469276"/>
      <w:r w:rsidRPr="00E56122">
        <w:rPr>
          <w:rFonts w:cs="Arial"/>
          <w:color w:val="auto"/>
        </w:rPr>
        <w:t xml:space="preserve">Ashfield has many important shopping areas and groups of shops which are popular public places with their own distinctive character and history.  </w:t>
      </w:r>
      <w:r w:rsidRPr="00E56122">
        <w:rPr>
          <w:rFonts w:cs="Arial"/>
          <w:color w:val="auto"/>
          <w:szCs w:val="24"/>
        </w:rPr>
        <w:t>However, the character and quality of many of Ashfield’s traditional shopping streets has been eroded by poor, careless and unsympathetic alterations to shopfronts. Widespread use of inappropriate materials and standardised shopfront designs has led to a loss of local distinctiveness and a negative impact on the streetscape.</w:t>
      </w:r>
    </w:p>
    <w:p w14:paraId="517E3EC6" w14:textId="77777777" w:rsidR="00E56122" w:rsidRDefault="00E56122" w:rsidP="00E56122">
      <w:pPr>
        <w:keepNext w:val="0"/>
        <w:spacing w:before="0"/>
        <w:ind w:left="709"/>
        <w:rPr>
          <w:rFonts w:cs="Arial"/>
          <w:color w:val="auto"/>
          <w:szCs w:val="24"/>
          <w:lang w:eastAsia="en-US"/>
        </w:rPr>
      </w:pPr>
    </w:p>
    <w:p w14:paraId="64568C54" w14:textId="675262FB" w:rsidR="00E56122" w:rsidRDefault="00E56122" w:rsidP="00E56122">
      <w:pPr>
        <w:keepNext w:val="0"/>
        <w:numPr>
          <w:ilvl w:val="1"/>
          <w:numId w:val="6"/>
        </w:numPr>
        <w:tabs>
          <w:tab w:val="clear" w:pos="525"/>
        </w:tabs>
        <w:spacing w:before="0"/>
        <w:ind w:left="709" w:hanging="709"/>
        <w:rPr>
          <w:rFonts w:cs="Arial"/>
          <w:color w:val="auto"/>
          <w:szCs w:val="24"/>
          <w:lang w:eastAsia="en-US"/>
        </w:rPr>
      </w:pPr>
      <w:r w:rsidRPr="00E56122">
        <w:rPr>
          <w:rFonts w:cs="Arial"/>
          <w:color w:val="auto"/>
          <w:szCs w:val="24"/>
        </w:rPr>
        <w:t>The design of new shopfronts and alterations to existing shopfronts is important to the appearance of the individual property, to the character and appearance of shopping areas, and provides visual connections between ground floor shops and the street. The council will expect well designed, accessible shopfronts that respect the character of the area and the architectural unity and integrity of the shop building of which they form part.</w:t>
      </w:r>
    </w:p>
    <w:p w14:paraId="5EAC29AC" w14:textId="77777777" w:rsidR="00E56122" w:rsidRDefault="00E56122" w:rsidP="00E56122">
      <w:pPr>
        <w:keepNext w:val="0"/>
        <w:spacing w:before="0"/>
        <w:ind w:left="709"/>
        <w:rPr>
          <w:rFonts w:cs="Arial"/>
          <w:color w:val="auto"/>
          <w:szCs w:val="24"/>
          <w:lang w:eastAsia="en-US"/>
        </w:rPr>
      </w:pPr>
    </w:p>
    <w:p w14:paraId="1B17F3AE" w14:textId="00EC1958" w:rsidR="00E56122" w:rsidRDefault="00E56122" w:rsidP="00E56122">
      <w:pPr>
        <w:keepNext w:val="0"/>
        <w:numPr>
          <w:ilvl w:val="1"/>
          <w:numId w:val="6"/>
        </w:numPr>
        <w:tabs>
          <w:tab w:val="clear" w:pos="525"/>
        </w:tabs>
        <w:spacing w:before="0"/>
        <w:ind w:left="709" w:hanging="709"/>
        <w:rPr>
          <w:rFonts w:cs="Arial"/>
          <w:color w:val="auto"/>
          <w:szCs w:val="24"/>
          <w:lang w:eastAsia="en-US"/>
        </w:rPr>
      </w:pPr>
      <w:r w:rsidRPr="00E56122">
        <w:rPr>
          <w:rFonts w:cs="Arial"/>
          <w:color w:val="auto"/>
          <w:szCs w:val="24"/>
        </w:rPr>
        <w:t>The presence of poorly designed shopfronts in the vicinity will not be accepted as justification for a lesser standard of design. The introduction of well-designed shop fronts can often act as a catalyst for the same within a street or area with economic benefits.</w:t>
      </w:r>
    </w:p>
    <w:p w14:paraId="7C94E67F" w14:textId="77777777" w:rsidR="00E56122" w:rsidRDefault="00E56122" w:rsidP="00E56122">
      <w:pPr>
        <w:keepNext w:val="0"/>
        <w:spacing w:before="0"/>
        <w:ind w:left="709"/>
        <w:rPr>
          <w:rFonts w:cs="Arial"/>
          <w:color w:val="auto"/>
          <w:szCs w:val="24"/>
          <w:lang w:eastAsia="en-US"/>
        </w:rPr>
      </w:pPr>
    </w:p>
    <w:p w14:paraId="7804528F" w14:textId="63C09F1C" w:rsidR="00E56122" w:rsidRDefault="00E56122" w:rsidP="00E56122">
      <w:pPr>
        <w:keepNext w:val="0"/>
        <w:numPr>
          <w:ilvl w:val="1"/>
          <w:numId w:val="6"/>
        </w:numPr>
        <w:tabs>
          <w:tab w:val="clear" w:pos="525"/>
        </w:tabs>
        <w:spacing w:before="0"/>
        <w:ind w:left="709" w:hanging="709"/>
        <w:rPr>
          <w:rFonts w:cs="Arial"/>
          <w:color w:val="auto"/>
          <w:szCs w:val="24"/>
          <w:lang w:eastAsia="en-US"/>
        </w:rPr>
      </w:pPr>
      <w:r w:rsidRPr="00E56122">
        <w:rPr>
          <w:rFonts w:cs="Arial"/>
          <w:color w:val="auto"/>
          <w:szCs w:val="24"/>
        </w:rPr>
        <w:t xml:space="preserve">The design of a new shopfront within a modern building should reflect the design of the building of which it forms </w:t>
      </w:r>
      <w:r w:rsidR="009D1815" w:rsidRPr="00E56122">
        <w:rPr>
          <w:rFonts w:cs="Arial"/>
          <w:color w:val="auto"/>
          <w:szCs w:val="24"/>
        </w:rPr>
        <w:t>part but</w:t>
      </w:r>
      <w:r w:rsidRPr="00E56122">
        <w:rPr>
          <w:rFonts w:cs="Arial"/>
          <w:color w:val="auto"/>
          <w:szCs w:val="24"/>
        </w:rPr>
        <w:t xml:space="preserve"> should also consider the appearance of neighbouring shopfronts in terms of fascia lines, stall riser height, materials and other architectural features. </w:t>
      </w:r>
    </w:p>
    <w:p w14:paraId="2A479F67" w14:textId="77777777" w:rsidR="00E56122" w:rsidRDefault="00E56122" w:rsidP="00E56122">
      <w:pPr>
        <w:keepNext w:val="0"/>
        <w:spacing w:before="0"/>
        <w:ind w:left="709"/>
        <w:rPr>
          <w:rFonts w:cs="Arial"/>
          <w:color w:val="auto"/>
          <w:szCs w:val="24"/>
          <w:lang w:eastAsia="en-US"/>
        </w:rPr>
      </w:pPr>
    </w:p>
    <w:p w14:paraId="0D0EE935" w14:textId="72A6C769" w:rsidR="00E56122" w:rsidRPr="00E56122" w:rsidRDefault="00E56122" w:rsidP="00E56122">
      <w:pPr>
        <w:keepNext w:val="0"/>
        <w:numPr>
          <w:ilvl w:val="1"/>
          <w:numId w:val="6"/>
        </w:numPr>
        <w:tabs>
          <w:tab w:val="clear" w:pos="525"/>
        </w:tabs>
        <w:spacing w:before="0"/>
        <w:ind w:left="709" w:hanging="709"/>
        <w:rPr>
          <w:rFonts w:cs="Arial"/>
          <w:color w:val="auto"/>
          <w:szCs w:val="24"/>
          <w:lang w:eastAsia="en-US"/>
        </w:rPr>
      </w:pPr>
      <w:r w:rsidRPr="00E56122">
        <w:rPr>
          <w:rFonts w:cs="Arial"/>
          <w:color w:val="auto"/>
          <w:szCs w:val="24"/>
        </w:rPr>
        <w:t xml:space="preserve">The design of a shopfront where the traditional surround and shopfront remain complete should be repaired and conserved wherever possible. These repairs must preserve the character of the original shopfront and be of matching style, materials and construction, whilst delivering a contemporary standard of amenity that meets current access standards. </w:t>
      </w:r>
      <w:r w:rsidRPr="00E56122">
        <w:rPr>
          <w:rFonts w:cs="Arial"/>
          <w:color w:val="auto"/>
        </w:rPr>
        <w:t xml:space="preserve">Where shopfronts are part of, or affect, a heritage asset, </w:t>
      </w:r>
      <w:r w:rsidRPr="00A56503">
        <w:rPr>
          <w:rFonts w:cs="Arial"/>
          <w:color w:val="auto"/>
        </w:rPr>
        <w:t>Policy EV</w:t>
      </w:r>
      <w:r w:rsidR="00A56503" w:rsidRPr="00A56503">
        <w:rPr>
          <w:rFonts w:cs="Arial"/>
          <w:color w:val="auto"/>
        </w:rPr>
        <w:t>9</w:t>
      </w:r>
      <w:r w:rsidRPr="00E56122">
        <w:rPr>
          <w:rFonts w:cs="Arial"/>
          <w:color w:val="auto"/>
        </w:rPr>
        <w:t xml:space="preserve"> is applicable</w:t>
      </w:r>
      <w:r>
        <w:rPr>
          <w:rFonts w:cs="Arial"/>
          <w:color w:val="auto"/>
        </w:rPr>
        <w:t>.</w:t>
      </w:r>
    </w:p>
    <w:p w14:paraId="00A7581D" w14:textId="2EEBF9BF" w:rsidR="00E56122" w:rsidRDefault="00E56122" w:rsidP="00E56122">
      <w:pPr>
        <w:keepNext w:val="0"/>
        <w:spacing w:before="0"/>
        <w:ind w:left="709"/>
        <w:rPr>
          <w:rFonts w:cs="Arial"/>
          <w:color w:val="auto"/>
        </w:rPr>
      </w:pPr>
    </w:p>
    <w:p w14:paraId="231252C6" w14:textId="10FE3912" w:rsidR="00E56122" w:rsidRPr="00E56122" w:rsidRDefault="00E56122" w:rsidP="00E56122">
      <w:pPr>
        <w:keepNext w:val="0"/>
        <w:autoSpaceDE w:val="0"/>
        <w:autoSpaceDN w:val="0"/>
        <w:adjustRightInd w:val="0"/>
        <w:spacing w:before="0"/>
        <w:ind w:left="709"/>
        <w:rPr>
          <w:rFonts w:cs="Arial"/>
          <w:b/>
          <w:color w:val="auto"/>
        </w:rPr>
      </w:pPr>
      <w:r w:rsidRPr="00E56122">
        <w:rPr>
          <w:rFonts w:cs="Arial"/>
          <w:b/>
          <w:color w:val="auto"/>
        </w:rPr>
        <w:t>Canopies and Blinds</w:t>
      </w:r>
    </w:p>
    <w:p w14:paraId="26B83BD2" w14:textId="53C4308D" w:rsidR="00E56122" w:rsidRPr="00E56122" w:rsidRDefault="00E56122" w:rsidP="00E56122">
      <w:pPr>
        <w:keepNext w:val="0"/>
        <w:numPr>
          <w:ilvl w:val="1"/>
          <w:numId w:val="6"/>
        </w:numPr>
        <w:tabs>
          <w:tab w:val="clear" w:pos="525"/>
        </w:tabs>
        <w:spacing w:before="0"/>
        <w:ind w:left="709" w:hanging="709"/>
        <w:rPr>
          <w:rFonts w:cs="Arial"/>
          <w:color w:val="auto"/>
          <w:szCs w:val="24"/>
          <w:lang w:eastAsia="en-US"/>
        </w:rPr>
      </w:pPr>
      <w:r w:rsidRPr="00E56122">
        <w:rPr>
          <w:rFonts w:cs="Arial"/>
          <w:color w:val="auto"/>
          <w:szCs w:val="24"/>
        </w:rPr>
        <w:t xml:space="preserve">Canopies and blinds give some protection to the shoppers and shop window against rain and sun and can be a lively addition to the street scene, provided that they are designed as an integral part of the shopfront and are confined to it. Care should be taken to ensure that their size, shape, </w:t>
      </w:r>
      <w:r w:rsidR="009D1815">
        <w:rPr>
          <w:rFonts w:cs="Arial"/>
          <w:color w:val="auto"/>
          <w:szCs w:val="24"/>
        </w:rPr>
        <w:t xml:space="preserve">and </w:t>
      </w:r>
      <w:r w:rsidRPr="00E56122">
        <w:rPr>
          <w:rFonts w:cs="Arial"/>
          <w:color w:val="auto"/>
          <w:szCs w:val="24"/>
        </w:rPr>
        <w:t xml:space="preserve">position </w:t>
      </w:r>
      <w:r w:rsidR="009D1815" w:rsidRPr="00E56122">
        <w:rPr>
          <w:rFonts w:cs="Arial"/>
          <w:color w:val="auto"/>
          <w:szCs w:val="24"/>
        </w:rPr>
        <w:t>is</w:t>
      </w:r>
      <w:r w:rsidRPr="00E56122">
        <w:rPr>
          <w:rFonts w:cs="Arial"/>
          <w:color w:val="auto"/>
          <w:szCs w:val="24"/>
        </w:rPr>
        <w:t xml:space="preserve"> compatible with the character of the building. Architectural details should not be obscured when canopies or blinds are installed. The colour and materials should be in keeping with the materials of the shopfront and building.</w:t>
      </w:r>
      <w:r w:rsidRPr="00E56122">
        <w:rPr>
          <w:rFonts w:cs="Arial"/>
          <w:b/>
          <w:color w:val="auto"/>
        </w:rPr>
        <w:t xml:space="preserve"> </w:t>
      </w:r>
    </w:p>
    <w:p w14:paraId="79E98A8F" w14:textId="0F758836" w:rsidR="00E56122" w:rsidRDefault="00E56122" w:rsidP="00E56122">
      <w:pPr>
        <w:keepNext w:val="0"/>
        <w:spacing w:before="0"/>
        <w:ind w:left="709"/>
        <w:rPr>
          <w:rFonts w:cs="Arial"/>
          <w:b/>
          <w:color w:val="auto"/>
        </w:rPr>
      </w:pPr>
    </w:p>
    <w:p w14:paraId="6BC5E87A" w14:textId="15EF6EA0" w:rsidR="00E56122" w:rsidRPr="00E56122" w:rsidRDefault="00E56122" w:rsidP="00E56122">
      <w:pPr>
        <w:keepNext w:val="0"/>
        <w:autoSpaceDE w:val="0"/>
        <w:autoSpaceDN w:val="0"/>
        <w:adjustRightInd w:val="0"/>
        <w:spacing w:before="0"/>
        <w:ind w:left="709"/>
        <w:rPr>
          <w:rFonts w:cs="Arial"/>
          <w:b/>
          <w:color w:val="auto"/>
        </w:rPr>
      </w:pPr>
      <w:r w:rsidRPr="00E56122">
        <w:rPr>
          <w:rFonts w:cs="Arial"/>
          <w:b/>
          <w:color w:val="auto"/>
        </w:rPr>
        <w:t>Security Shutters/Grilles</w:t>
      </w:r>
    </w:p>
    <w:p w14:paraId="7F529D21" w14:textId="1F6306BB" w:rsidR="00E56122" w:rsidRDefault="00E56122" w:rsidP="00E56122">
      <w:pPr>
        <w:keepNext w:val="0"/>
        <w:numPr>
          <w:ilvl w:val="1"/>
          <w:numId w:val="6"/>
        </w:numPr>
        <w:tabs>
          <w:tab w:val="clear" w:pos="525"/>
        </w:tabs>
        <w:spacing w:before="0"/>
        <w:ind w:left="709" w:hanging="709"/>
        <w:rPr>
          <w:rFonts w:cs="Arial"/>
          <w:color w:val="auto"/>
          <w:szCs w:val="24"/>
          <w:lang w:eastAsia="en-US"/>
        </w:rPr>
      </w:pPr>
      <w:r w:rsidRPr="00E56122">
        <w:rPr>
          <w:rFonts w:cs="Arial"/>
          <w:color w:val="auto"/>
          <w:szCs w:val="24"/>
        </w:rPr>
        <w:t xml:space="preserve">It is important to strike a balance between protecting property, ensuring that the vitality of an area is not undermined, and ensuring that the perception of crime is not increased.  </w:t>
      </w:r>
    </w:p>
    <w:p w14:paraId="350604A2" w14:textId="77777777" w:rsidR="00E56122" w:rsidRDefault="00E56122" w:rsidP="00E56122">
      <w:pPr>
        <w:keepNext w:val="0"/>
        <w:spacing w:before="0"/>
        <w:ind w:left="709"/>
        <w:rPr>
          <w:rFonts w:cs="Arial"/>
          <w:color w:val="auto"/>
          <w:szCs w:val="24"/>
          <w:lang w:eastAsia="en-US"/>
        </w:rPr>
      </w:pPr>
    </w:p>
    <w:p w14:paraId="0A08FA9E" w14:textId="15832C5C" w:rsidR="00E56122" w:rsidRPr="00E56122" w:rsidRDefault="00E56122" w:rsidP="00E56122">
      <w:pPr>
        <w:keepNext w:val="0"/>
        <w:numPr>
          <w:ilvl w:val="1"/>
          <w:numId w:val="6"/>
        </w:numPr>
        <w:tabs>
          <w:tab w:val="clear" w:pos="525"/>
        </w:tabs>
        <w:spacing w:before="0"/>
        <w:ind w:left="709" w:hanging="709"/>
        <w:rPr>
          <w:rFonts w:cs="Arial"/>
          <w:color w:val="auto"/>
          <w:szCs w:val="24"/>
          <w:lang w:eastAsia="en-US"/>
        </w:rPr>
      </w:pPr>
      <w:r w:rsidRPr="00E56122">
        <w:rPr>
          <w:rFonts w:eastAsia="Calibri" w:cs="Arial"/>
          <w:color w:val="auto"/>
          <w:szCs w:val="24"/>
          <w:lang w:eastAsia="en-US"/>
        </w:rPr>
        <w:t>Many retail frontages have been blighted by long stretches of solid aluminium shutters. At night these shut off light from within the shops creating an intimidating atmosphere. They prevent observation of break-ins and attract graffiti. External shutters often retract into external boxes below the fascia and vertical runners attached to the pilasters. These both harm the appearance of a shopping street scene and also the street’s trading potential.</w:t>
      </w:r>
    </w:p>
    <w:p w14:paraId="6449784C" w14:textId="77777777" w:rsidR="00E56122" w:rsidRDefault="00E56122" w:rsidP="00E56122">
      <w:pPr>
        <w:keepNext w:val="0"/>
        <w:spacing w:before="0"/>
        <w:ind w:left="709"/>
        <w:rPr>
          <w:rFonts w:cs="Arial"/>
          <w:color w:val="auto"/>
          <w:szCs w:val="24"/>
          <w:lang w:eastAsia="en-US"/>
        </w:rPr>
      </w:pPr>
    </w:p>
    <w:p w14:paraId="53FD5BA3" w14:textId="1A13A5A5" w:rsidR="00E56122" w:rsidRPr="00E56122" w:rsidRDefault="00E56122" w:rsidP="00E56122">
      <w:pPr>
        <w:keepNext w:val="0"/>
        <w:numPr>
          <w:ilvl w:val="1"/>
          <w:numId w:val="6"/>
        </w:numPr>
        <w:tabs>
          <w:tab w:val="clear" w:pos="525"/>
        </w:tabs>
        <w:spacing w:before="0"/>
        <w:ind w:left="709" w:hanging="709"/>
        <w:rPr>
          <w:rFonts w:cs="Arial"/>
          <w:color w:val="auto"/>
          <w:szCs w:val="24"/>
          <w:lang w:eastAsia="en-US"/>
        </w:rPr>
      </w:pPr>
      <w:r w:rsidRPr="00E56122">
        <w:rPr>
          <w:rFonts w:eastAsia="Calibri" w:cs="Arial"/>
          <w:color w:val="auto"/>
          <w:szCs w:val="24"/>
          <w:lang w:eastAsia="en-US"/>
        </w:rPr>
        <w:t xml:space="preserve">When designing a new </w:t>
      </w:r>
      <w:r w:rsidR="009D1815" w:rsidRPr="00E56122">
        <w:rPr>
          <w:rFonts w:eastAsia="Calibri" w:cs="Arial"/>
          <w:color w:val="auto"/>
          <w:szCs w:val="24"/>
          <w:lang w:eastAsia="en-US"/>
        </w:rPr>
        <w:t>shopfront,</w:t>
      </w:r>
      <w:r w:rsidRPr="00E56122">
        <w:rPr>
          <w:rFonts w:eastAsia="Calibri" w:cs="Arial"/>
          <w:color w:val="auto"/>
          <w:szCs w:val="24"/>
          <w:lang w:eastAsia="en-US"/>
        </w:rPr>
        <w:t xml:space="preserve"> it is essential to build into the design adequate security arrangements. The preferred solution to physical security is the use of security glass, if necessary, combined with internal retractable grilles. These should be of an open mesh design to allow the shop window display to be visible and light to filter through. They should be the same colours as the shopfront. Internal grilles do not normally require planning permission, however</w:t>
      </w:r>
      <w:r w:rsidR="009D1815">
        <w:rPr>
          <w:rFonts w:eastAsia="Calibri" w:cs="Arial"/>
          <w:color w:val="auto"/>
          <w:szCs w:val="24"/>
          <w:lang w:eastAsia="en-US"/>
        </w:rPr>
        <w:t>,</w:t>
      </w:r>
      <w:r w:rsidRPr="00E56122">
        <w:rPr>
          <w:rFonts w:eastAsia="Calibri" w:cs="Arial"/>
          <w:color w:val="auto"/>
          <w:szCs w:val="24"/>
          <w:lang w:eastAsia="en-US"/>
        </w:rPr>
        <w:t xml:space="preserve"> Listed Building Consent may be required if the building is Listed.</w:t>
      </w:r>
    </w:p>
    <w:p w14:paraId="63BAC332" w14:textId="77777777" w:rsidR="00E56122" w:rsidRDefault="00E56122" w:rsidP="00E56122">
      <w:pPr>
        <w:keepNext w:val="0"/>
        <w:spacing w:before="0"/>
        <w:ind w:left="709"/>
        <w:rPr>
          <w:rFonts w:cs="Arial"/>
          <w:color w:val="auto"/>
          <w:szCs w:val="24"/>
          <w:lang w:eastAsia="en-US"/>
        </w:rPr>
      </w:pPr>
    </w:p>
    <w:p w14:paraId="05D5E1D4" w14:textId="79453DBB" w:rsidR="00E56122" w:rsidRPr="00E56122" w:rsidRDefault="00E56122" w:rsidP="00E56122">
      <w:pPr>
        <w:keepNext w:val="0"/>
        <w:numPr>
          <w:ilvl w:val="1"/>
          <w:numId w:val="6"/>
        </w:numPr>
        <w:tabs>
          <w:tab w:val="clear" w:pos="525"/>
        </w:tabs>
        <w:spacing w:before="0"/>
        <w:ind w:left="709" w:hanging="709"/>
        <w:rPr>
          <w:rFonts w:cs="Arial"/>
          <w:color w:val="auto"/>
          <w:szCs w:val="24"/>
          <w:lang w:eastAsia="en-US"/>
        </w:rPr>
      </w:pPr>
      <w:r w:rsidRPr="00E56122">
        <w:rPr>
          <w:rFonts w:eastAsia="Calibri" w:cs="Arial"/>
          <w:color w:val="auto"/>
          <w:szCs w:val="24"/>
          <w:lang w:eastAsia="en-US"/>
        </w:rPr>
        <w:t>On new shop developments shutters should be designed as part of the building and located internally to prevent retrofitting of security measures to the detriment of the property. Security measures should be incorporated at design stage to prevent the installation of shutter housing at a later stage.</w:t>
      </w:r>
    </w:p>
    <w:p w14:paraId="705E2638" w14:textId="77777777" w:rsidR="00E56122" w:rsidRDefault="00E56122" w:rsidP="00E56122">
      <w:pPr>
        <w:keepNext w:val="0"/>
        <w:spacing w:before="0"/>
        <w:ind w:left="709"/>
        <w:rPr>
          <w:rFonts w:cs="Arial"/>
          <w:color w:val="auto"/>
          <w:szCs w:val="24"/>
          <w:lang w:eastAsia="en-US"/>
        </w:rPr>
      </w:pPr>
    </w:p>
    <w:p w14:paraId="591CDFA6" w14:textId="7DB3EDDE" w:rsidR="00E56122" w:rsidRPr="00E56122" w:rsidRDefault="00E56122" w:rsidP="00E56122">
      <w:pPr>
        <w:keepNext w:val="0"/>
        <w:numPr>
          <w:ilvl w:val="1"/>
          <w:numId w:val="6"/>
        </w:numPr>
        <w:tabs>
          <w:tab w:val="clear" w:pos="525"/>
        </w:tabs>
        <w:spacing w:before="0"/>
        <w:ind w:left="709" w:hanging="709"/>
        <w:rPr>
          <w:rFonts w:cs="Arial"/>
          <w:color w:val="auto"/>
          <w:szCs w:val="24"/>
          <w:lang w:eastAsia="en-US"/>
        </w:rPr>
      </w:pPr>
      <w:r w:rsidRPr="00E56122">
        <w:rPr>
          <w:rFonts w:eastAsia="Calibri" w:cs="Arial"/>
          <w:color w:val="auto"/>
          <w:szCs w:val="24"/>
          <w:lang w:eastAsia="en-US"/>
        </w:rPr>
        <w:t xml:space="preserve">External security shutters and grilles will only be permitted in exceptional circumstances, for example shops that have an open frontage such as greengrocers or for shops that have special security needs such as jewellers.  Where a proposal includes external security shutters or grilles, applicants will need to demonstrate why the products or services they are providing require external shutters, and/or details of crime rates that support their rationale for the proposed shutter system.  </w:t>
      </w:r>
    </w:p>
    <w:p w14:paraId="7AB94D23" w14:textId="77777777" w:rsidR="00E56122" w:rsidRDefault="00E56122" w:rsidP="00E56122">
      <w:pPr>
        <w:keepNext w:val="0"/>
        <w:spacing w:before="0"/>
        <w:ind w:left="709"/>
        <w:rPr>
          <w:rFonts w:cs="Arial"/>
          <w:color w:val="auto"/>
          <w:szCs w:val="24"/>
          <w:lang w:eastAsia="en-US"/>
        </w:rPr>
      </w:pPr>
    </w:p>
    <w:p w14:paraId="308BC93D" w14:textId="77777777" w:rsidR="00E56122" w:rsidRDefault="00E56122" w:rsidP="00E56122">
      <w:pPr>
        <w:keepNext w:val="0"/>
        <w:spacing w:before="0"/>
        <w:ind w:left="709"/>
        <w:rPr>
          <w:rFonts w:cs="Arial"/>
          <w:color w:val="auto"/>
          <w:szCs w:val="24"/>
          <w:lang w:eastAsia="en-US"/>
        </w:rPr>
      </w:pPr>
      <w:r w:rsidRPr="00E56122">
        <w:rPr>
          <w:rFonts w:cs="Arial"/>
          <w:b/>
          <w:bCs/>
          <w:color w:val="auto"/>
        </w:rPr>
        <w:t>Illumination</w:t>
      </w:r>
    </w:p>
    <w:p w14:paraId="11B8BE4E" w14:textId="0F21BB19" w:rsidR="00E56122" w:rsidRPr="00E56122" w:rsidRDefault="00E56122" w:rsidP="00E56122">
      <w:pPr>
        <w:keepNext w:val="0"/>
        <w:numPr>
          <w:ilvl w:val="1"/>
          <w:numId w:val="6"/>
        </w:numPr>
        <w:tabs>
          <w:tab w:val="clear" w:pos="525"/>
        </w:tabs>
        <w:spacing w:before="0"/>
        <w:ind w:left="709" w:hanging="709"/>
        <w:rPr>
          <w:rFonts w:cs="Arial"/>
          <w:color w:val="auto"/>
          <w:szCs w:val="24"/>
          <w:lang w:eastAsia="en-US"/>
        </w:rPr>
      </w:pPr>
      <w:r w:rsidRPr="00E56122">
        <w:rPr>
          <w:rFonts w:eastAsia="Calibri" w:cs="Arial"/>
          <w:color w:val="auto"/>
          <w:lang w:eastAsia="en-US"/>
        </w:rPr>
        <w:t xml:space="preserve">As with any part of a shop front, lighting must be appropriate designed into a shop front and not considered as an afterthought. </w:t>
      </w:r>
      <w:r w:rsidRPr="00E56122">
        <w:rPr>
          <w:rFonts w:cs="Arial"/>
          <w:bCs/>
          <w:color w:val="auto"/>
          <w:szCs w:val="24"/>
        </w:rPr>
        <w:t xml:space="preserve">A well-lit window display or simply lit fascia sign is an effective method of advertising, it can aid security and make a positive contribution to the street at night. However, </w:t>
      </w:r>
      <w:r w:rsidRPr="00E56122">
        <w:rPr>
          <w:rFonts w:eastAsia="Calibri" w:cs="Arial"/>
          <w:color w:val="auto"/>
          <w:lang w:eastAsia="en-US"/>
        </w:rPr>
        <w:t>illumination that dominates a building and/or negatively impacts on the surrounding street scene</w:t>
      </w:r>
      <w:r w:rsidR="00595970">
        <w:rPr>
          <w:rFonts w:eastAsia="Calibri" w:cs="Arial"/>
          <w:color w:val="auto"/>
          <w:lang w:eastAsia="en-US"/>
        </w:rPr>
        <w:t xml:space="preserve"> </w:t>
      </w:r>
      <w:r w:rsidRPr="00E56122">
        <w:rPr>
          <w:rFonts w:eastAsia="Calibri" w:cs="Arial"/>
          <w:color w:val="auto"/>
          <w:lang w:eastAsia="en-US"/>
        </w:rPr>
        <w:t>will not be supported</w:t>
      </w:r>
      <w:r w:rsidRPr="00E56122">
        <w:rPr>
          <w:rFonts w:cs="Arial"/>
          <w:bCs/>
          <w:color w:val="auto"/>
          <w:szCs w:val="24"/>
        </w:rPr>
        <w:t xml:space="preserve">. </w:t>
      </w:r>
      <w:r w:rsidRPr="00E56122">
        <w:rPr>
          <w:rFonts w:eastAsia="Calibri" w:cs="Arial"/>
          <w:color w:val="auto"/>
          <w:lang w:eastAsia="en-US"/>
        </w:rPr>
        <w:t>In assessing possible negative impacts, the Council will consider the potential cumulative impacts that may arise as a result of the proposal.</w:t>
      </w:r>
    </w:p>
    <w:p w14:paraId="23F2EC61" w14:textId="77777777" w:rsidR="00E56122" w:rsidRDefault="00E56122" w:rsidP="00E56122">
      <w:pPr>
        <w:keepNext w:val="0"/>
        <w:spacing w:before="0"/>
        <w:ind w:left="709"/>
        <w:rPr>
          <w:rFonts w:cs="Arial"/>
          <w:color w:val="auto"/>
          <w:szCs w:val="24"/>
          <w:lang w:eastAsia="en-US"/>
        </w:rPr>
      </w:pPr>
    </w:p>
    <w:p w14:paraId="4289E83F" w14:textId="68EA7B12" w:rsidR="00E56122" w:rsidRPr="00E56122" w:rsidRDefault="00E56122" w:rsidP="00E56122">
      <w:pPr>
        <w:keepNext w:val="0"/>
        <w:numPr>
          <w:ilvl w:val="1"/>
          <w:numId w:val="6"/>
        </w:numPr>
        <w:tabs>
          <w:tab w:val="clear" w:pos="525"/>
        </w:tabs>
        <w:spacing w:before="0"/>
        <w:ind w:left="709" w:hanging="709"/>
        <w:rPr>
          <w:rFonts w:cs="Arial"/>
          <w:color w:val="auto"/>
          <w:szCs w:val="24"/>
          <w:lang w:eastAsia="en-US"/>
        </w:rPr>
      </w:pPr>
      <w:r w:rsidRPr="00E56122">
        <w:rPr>
          <w:rFonts w:cs="Arial"/>
          <w:bCs/>
          <w:color w:val="auto"/>
          <w:szCs w:val="24"/>
        </w:rPr>
        <w:t>The intensity of the illumination should also be considered. Illumination should allow the sign to be easily read, but not cause a distracting glare or adversely affect homes above or near the shop. Flashing signs must not be used where they could be a distraction to traffic.</w:t>
      </w:r>
    </w:p>
    <w:p w14:paraId="0680480B" w14:textId="77777777" w:rsidR="00E56122" w:rsidRDefault="00E56122" w:rsidP="00E56122">
      <w:pPr>
        <w:keepNext w:val="0"/>
        <w:spacing w:before="0"/>
        <w:ind w:left="709"/>
        <w:rPr>
          <w:rFonts w:cs="Arial"/>
          <w:color w:val="auto"/>
          <w:szCs w:val="24"/>
          <w:lang w:eastAsia="en-US"/>
        </w:rPr>
      </w:pPr>
    </w:p>
    <w:p w14:paraId="5EB1DFFB" w14:textId="0F8A1CE9" w:rsidR="00E56122" w:rsidRDefault="004D2B4D" w:rsidP="00E56122">
      <w:pPr>
        <w:keepNext w:val="0"/>
        <w:spacing w:before="0"/>
        <w:ind w:left="709"/>
        <w:rPr>
          <w:rFonts w:cs="Arial"/>
          <w:color w:val="auto"/>
          <w:szCs w:val="24"/>
          <w:lang w:eastAsia="en-US"/>
        </w:rPr>
      </w:pPr>
      <w:r>
        <w:rPr>
          <w:rFonts w:cs="Arial"/>
          <w:b/>
          <w:bCs/>
          <w:color w:val="auto"/>
        </w:rPr>
        <w:t>S</w:t>
      </w:r>
      <w:r w:rsidR="00E56122" w:rsidRPr="00E56122">
        <w:rPr>
          <w:rFonts w:cs="Arial"/>
          <w:b/>
          <w:bCs/>
          <w:color w:val="auto"/>
        </w:rPr>
        <w:t>ignage</w:t>
      </w:r>
    </w:p>
    <w:p w14:paraId="22B8EE8C" w14:textId="14FB5882" w:rsidR="00E56122" w:rsidRDefault="00E56122" w:rsidP="00E56122">
      <w:pPr>
        <w:keepNext w:val="0"/>
        <w:numPr>
          <w:ilvl w:val="1"/>
          <w:numId w:val="6"/>
        </w:numPr>
        <w:tabs>
          <w:tab w:val="clear" w:pos="525"/>
        </w:tabs>
        <w:spacing w:before="0"/>
        <w:ind w:left="709" w:hanging="709"/>
        <w:rPr>
          <w:rFonts w:cs="Arial"/>
          <w:color w:val="auto"/>
          <w:szCs w:val="24"/>
          <w:lang w:eastAsia="en-US"/>
        </w:rPr>
      </w:pPr>
      <w:r w:rsidRPr="00E56122">
        <w:rPr>
          <w:rFonts w:cs="Arial"/>
          <w:color w:val="auto"/>
          <w:szCs w:val="24"/>
        </w:rPr>
        <w:t xml:space="preserve">Shop front signage plays an important role in advertising the business within a property and contributing to the street scene of its surroundings. In designing and locating shop front signage, proposals must </w:t>
      </w:r>
      <w:r w:rsidR="009D1815" w:rsidRPr="00E56122">
        <w:rPr>
          <w:rFonts w:cs="Arial"/>
          <w:color w:val="auto"/>
          <w:szCs w:val="24"/>
        </w:rPr>
        <w:t>successfully</w:t>
      </w:r>
      <w:r w:rsidRPr="00E56122">
        <w:rPr>
          <w:rFonts w:cs="Arial"/>
          <w:color w:val="auto"/>
          <w:szCs w:val="24"/>
        </w:rPr>
        <w:t xml:space="preserve"> balance these aspects. The Council acknowledges that businesses require signage, but this must not be to the detriment of the surrounding street scene or other uses. Further guidance on signage is detailed </w:t>
      </w:r>
      <w:r w:rsidRPr="00DA3B66">
        <w:rPr>
          <w:rFonts w:cs="Arial"/>
          <w:color w:val="auto"/>
          <w:szCs w:val="24"/>
        </w:rPr>
        <w:t>within Policy SD1</w:t>
      </w:r>
      <w:r w:rsidR="00BE13FE">
        <w:rPr>
          <w:rFonts w:cs="Arial"/>
          <w:color w:val="auto"/>
          <w:szCs w:val="24"/>
        </w:rPr>
        <w:t>2</w:t>
      </w:r>
      <w:r w:rsidRPr="00E56122">
        <w:rPr>
          <w:rFonts w:cs="Arial"/>
          <w:color w:val="auto"/>
          <w:szCs w:val="24"/>
        </w:rPr>
        <w:t>. In the future, this may be supplemented by supplementary planning guidance.</w:t>
      </w:r>
    </w:p>
    <w:p w14:paraId="3DB5B30E" w14:textId="77777777" w:rsidR="00E56122" w:rsidRDefault="00E56122" w:rsidP="00E56122">
      <w:pPr>
        <w:keepNext w:val="0"/>
        <w:spacing w:before="0"/>
        <w:ind w:left="709"/>
        <w:rPr>
          <w:rFonts w:cs="Arial"/>
          <w:color w:val="auto"/>
          <w:szCs w:val="24"/>
          <w:lang w:eastAsia="en-US"/>
        </w:rPr>
      </w:pPr>
    </w:p>
    <w:p w14:paraId="63109E27" w14:textId="77777777" w:rsidR="00E56122" w:rsidRDefault="00E56122" w:rsidP="00E56122">
      <w:pPr>
        <w:keepNext w:val="0"/>
        <w:spacing w:before="0"/>
        <w:ind w:left="709"/>
        <w:rPr>
          <w:rFonts w:cs="Arial"/>
          <w:color w:val="auto"/>
          <w:szCs w:val="24"/>
          <w:lang w:eastAsia="en-US"/>
        </w:rPr>
      </w:pPr>
      <w:r w:rsidRPr="00E56122">
        <w:rPr>
          <w:rFonts w:cs="Arial"/>
          <w:b/>
          <w:color w:val="auto"/>
        </w:rPr>
        <w:t>Access</w:t>
      </w:r>
    </w:p>
    <w:p w14:paraId="48350594" w14:textId="5200AD0C" w:rsidR="00E56122" w:rsidRDefault="00E56122" w:rsidP="00E56122">
      <w:pPr>
        <w:keepNext w:val="0"/>
        <w:numPr>
          <w:ilvl w:val="1"/>
          <w:numId w:val="6"/>
        </w:numPr>
        <w:tabs>
          <w:tab w:val="clear" w:pos="525"/>
        </w:tabs>
        <w:spacing w:before="0"/>
        <w:ind w:left="709" w:hanging="709"/>
        <w:rPr>
          <w:rFonts w:cs="Arial"/>
          <w:color w:val="auto"/>
          <w:szCs w:val="24"/>
          <w:lang w:eastAsia="en-US"/>
        </w:rPr>
      </w:pPr>
      <w:r w:rsidRPr="00E56122">
        <w:rPr>
          <w:rFonts w:cs="Arial"/>
          <w:color w:val="auto"/>
          <w:szCs w:val="24"/>
        </w:rPr>
        <w:t>Wherever it is practicable, alterations should ensure access for all through the main entrance by creating a clearly defined, well lit, unobstructed and level approach.</w:t>
      </w:r>
    </w:p>
    <w:p w14:paraId="7EFB8A95" w14:textId="77777777" w:rsidR="00E56122" w:rsidRDefault="00E56122" w:rsidP="00E56122">
      <w:pPr>
        <w:keepNext w:val="0"/>
        <w:spacing w:before="0"/>
        <w:ind w:left="709"/>
        <w:rPr>
          <w:rFonts w:cs="Arial"/>
          <w:color w:val="auto"/>
          <w:szCs w:val="24"/>
          <w:lang w:eastAsia="en-US"/>
        </w:rPr>
      </w:pPr>
    </w:p>
    <w:p w14:paraId="3F05865E" w14:textId="77777777" w:rsidR="00E56122" w:rsidRDefault="00E56122" w:rsidP="00E56122">
      <w:pPr>
        <w:keepNext w:val="0"/>
        <w:spacing w:before="0"/>
        <w:ind w:left="709"/>
        <w:rPr>
          <w:rFonts w:cs="Arial"/>
          <w:color w:val="auto"/>
          <w:szCs w:val="24"/>
          <w:lang w:eastAsia="en-US"/>
        </w:rPr>
      </w:pPr>
      <w:r w:rsidRPr="00E56122">
        <w:rPr>
          <w:rFonts w:cs="Arial"/>
          <w:b/>
          <w:color w:val="auto"/>
        </w:rPr>
        <w:t>Shopfront Design Guide</w:t>
      </w:r>
    </w:p>
    <w:p w14:paraId="77D3C4E1" w14:textId="77777777" w:rsidR="00A73757" w:rsidRPr="00A73757" w:rsidRDefault="00E56122" w:rsidP="00C602FD">
      <w:pPr>
        <w:keepNext w:val="0"/>
        <w:numPr>
          <w:ilvl w:val="1"/>
          <w:numId w:val="6"/>
        </w:numPr>
        <w:tabs>
          <w:tab w:val="clear" w:pos="525"/>
        </w:tabs>
        <w:autoSpaceDE w:val="0"/>
        <w:autoSpaceDN w:val="0"/>
        <w:adjustRightInd w:val="0"/>
        <w:spacing w:before="0"/>
        <w:ind w:left="709" w:hanging="709"/>
        <w:rPr>
          <w:rFonts w:cs="Arial"/>
          <w:b/>
          <w:color w:val="auto"/>
          <w:sz w:val="36"/>
          <w:szCs w:val="36"/>
        </w:rPr>
      </w:pPr>
      <w:r w:rsidRPr="00A73757">
        <w:rPr>
          <w:rFonts w:cs="Arial"/>
          <w:color w:val="auto"/>
          <w:szCs w:val="24"/>
        </w:rPr>
        <w:t xml:space="preserve">The Council intends to prepare a </w:t>
      </w:r>
      <w:r w:rsidRPr="00A73757">
        <w:rPr>
          <w:rFonts w:cs="Arial"/>
          <w:iCs/>
          <w:color w:val="auto"/>
          <w:szCs w:val="24"/>
        </w:rPr>
        <w:t>Shopfront Design Guide</w:t>
      </w:r>
      <w:r w:rsidRPr="00A73757">
        <w:rPr>
          <w:rFonts w:cs="Arial"/>
          <w:i/>
          <w:iCs/>
          <w:color w:val="auto"/>
          <w:szCs w:val="24"/>
        </w:rPr>
        <w:t xml:space="preserve"> </w:t>
      </w:r>
      <w:r w:rsidRPr="00A73757">
        <w:rPr>
          <w:rFonts w:cs="Arial"/>
          <w:color w:val="auto"/>
          <w:szCs w:val="24"/>
        </w:rPr>
        <w:t xml:space="preserve">to assess proposals for shopfronts and shop signage. Sufficient details regarding shopfronts should therefore be provided at planning application stage to enable assessment of the proposal in the context of this policy, the </w:t>
      </w:r>
      <w:r w:rsidRPr="00A73757">
        <w:rPr>
          <w:rFonts w:cs="Arial"/>
          <w:iCs/>
          <w:color w:val="auto"/>
          <w:szCs w:val="24"/>
        </w:rPr>
        <w:t>Shopfront Design Guide</w:t>
      </w:r>
      <w:r w:rsidRPr="00A73757">
        <w:rPr>
          <w:rFonts w:cs="Arial"/>
          <w:i/>
          <w:iCs/>
          <w:color w:val="auto"/>
          <w:szCs w:val="24"/>
        </w:rPr>
        <w:t xml:space="preserve"> </w:t>
      </w:r>
      <w:r w:rsidRPr="00A73757">
        <w:rPr>
          <w:rFonts w:cs="Arial"/>
          <w:color w:val="auto"/>
          <w:szCs w:val="24"/>
        </w:rPr>
        <w:t>and other relevant planning considerations.</w:t>
      </w:r>
      <w:bookmarkStart w:id="283" w:name="_Hlk78785060"/>
      <w:bookmarkEnd w:id="265"/>
      <w:bookmarkEnd w:id="282"/>
    </w:p>
    <w:p w14:paraId="653DEA72" w14:textId="77777777" w:rsidR="00163F59" w:rsidRDefault="00163F59" w:rsidP="00A73757">
      <w:pPr>
        <w:keepNext w:val="0"/>
        <w:autoSpaceDE w:val="0"/>
        <w:autoSpaceDN w:val="0"/>
        <w:adjustRightInd w:val="0"/>
        <w:spacing w:before="0"/>
        <w:rPr>
          <w:rFonts w:cs="Arial"/>
          <w:color w:val="auto"/>
          <w:szCs w:val="24"/>
        </w:rPr>
      </w:pPr>
    </w:p>
    <w:p w14:paraId="13580E41" w14:textId="77777777" w:rsidR="00163F59" w:rsidRDefault="00163F59" w:rsidP="00165C32">
      <w:pPr>
        <w:pStyle w:val="Heading1"/>
        <w:sectPr w:rsidR="00163F59" w:rsidSect="008852FB">
          <w:headerReference w:type="default" r:id="rId37"/>
          <w:pgSz w:w="11906" w:h="16838" w:code="9"/>
          <w:pgMar w:top="1258" w:right="1133" w:bottom="1079" w:left="1134" w:header="709" w:footer="709" w:gutter="0"/>
          <w:cols w:space="708"/>
          <w:docGrid w:linePitch="360"/>
        </w:sectPr>
      </w:pPr>
      <w:bookmarkStart w:id="284" w:name="_Toc145511608"/>
    </w:p>
    <w:p w14:paraId="0675E4E1" w14:textId="6821107A" w:rsidR="00084ABA" w:rsidRPr="00A73757" w:rsidRDefault="00DA4833" w:rsidP="00165C32">
      <w:pPr>
        <w:pStyle w:val="Heading1"/>
      </w:pPr>
      <w:r w:rsidRPr="00A73757">
        <w:t>Chapter 9</w:t>
      </w:r>
      <w:bookmarkEnd w:id="284"/>
    </w:p>
    <w:p w14:paraId="3D85444E" w14:textId="3C9A46A4" w:rsidR="00084ABA" w:rsidRPr="003C7E62" w:rsidRDefault="00084ABA" w:rsidP="008008F0">
      <w:pPr>
        <w:keepNext w:val="0"/>
        <w:spacing w:before="0"/>
        <w:rPr>
          <w:rFonts w:cs="Arial"/>
          <w:b/>
          <w:color w:val="auto"/>
          <w:sz w:val="36"/>
          <w:szCs w:val="36"/>
        </w:rPr>
      </w:pPr>
    </w:p>
    <w:p w14:paraId="23D436A6" w14:textId="4960B705" w:rsidR="0040385F" w:rsidRPr="00126BAD" w:rsidRDefault="005F1B0D" w:rsidP="00364726">
      <w:pPr>
        <w:pStyle w:val="Heading1"/>
      </w:pPr>
      <w:bookmarkStart w:id="285" w:name="_Toc500408783"/>
      <w:bookmarkStart w:id="286" w:name="_Toc145511609"/>
      <w:bookmarkStart w:id="287" w:name="_Hlk146199792"/>
      <w:r w:rsidRPr="00126BAD">
        <w:t>Achieving successful development through well designed places</w:t>
      </w:r>
      <w:bookmarkEnd w:id="283"/>
      <w:bookmarkEnd w:id="285"/>
      <w:bookmarkEnd w:id="286"/>
    </w:p>
    <w:bookmarkEnd w:id="287"/>
    <w:p w14:paraId="741381CA" w14:textId="77777777" w:rsidR="00263F59" w:rsidRPr="00263F59" w:rsidRDefault="00263F59" w:rsidP="006E3244">
      <w:pPr>
        <w:keepNext w:val="0"/>
        <w:spacing w:before="0"/>
        <w:rPr>
          <w:rFonts w:cs="Arial"/>
          <w:b/>
          <w:bCs/>
          <w:color w:val="auto"/>
          <w:szCs w:val="24"/>
          <w:lang w:eastAsia="en-US"/>
        </w:rPr>
      </w:pPr>
    </w:p>
    <w:p w14:paraId="456AEE63" w14:textId="7EFBD569" w:rsidR="0064018F" w:rsidRPr="00825421" w:rsidRDefault="0064018F" w:rsidP="00825421">
      <w:pPr>
        <w:pStyle w:val="Heading2"/>
        <w:jc w:val="left"/>
        <w:rPr>
          <w:sz w:val="28"/>
          <w:szCs w:val="28"/>
        </w:rPr>
      </w:pPr>
      <w:bookmarkStart w:id="288" w:name="_Toc145511610"/>
      <w:r w:rsidRPr="00825421">
        <w:rPr>
          <w:rFonts w:eastAsia="Arial"/>
          <w:sz w:val="28"/>
          <w:szCs w:val="28"/>
        </w:rPr>
        <w:t>Policy SD1: Social Value</w:t>
      </w:r>
      <w:bookmarkEnd w:id="288"/>
    </w:p>
    <w:p w14:paraId="7ECB3FEC" w14:textId="77777777" w:rsidR="0064018F" w:rsidRPr="00263F59" w:rsidRDefault="0064018F" w:rsidP="0064018F">
      <w:pPr>
        <w:keepNext w:val="0"/>
        <w:spacing w:before="0" w:after="160" w:line="259" w:lineRule="auto"/>
        <w:rPr>
          <w:rFonts w:eastAsia="Calibri" w:cs="Arial"/>
          <w:color w:val="auto"/>
          <w:szCs w:val="24"/>
          <w:lang w:eastAsia="en-US"/>
        </w:rPr>
      </w:pPr>
    </w:p>
    <w:tbl>
      <w:tblPr>
        <w:tblStyle w:val="TableGrid3"/>
        <w:tblW w:w="9634" w:type="dxa"/>
        <w:tblLook w:val="04A0" w:firstRow="1" w:lastRow="0" w:firstColumn="1" w:lastColumn="0" w:noHBand="0" w:noVBand="1"/>
      </w:tblPr>
      <w:tblGrid>
        <w:gridCol w:w="2376"/>
        <w:gridCol w:w="284"/>
        <w:gridCol w:w="6974"/>
      </w:tblGrid>
      <w:tr w:rsidR="0064018F" w:rsidRPr="0064018F" w14:paraId="46FB39AC" w14:textId="77777777" w:rsidTr="00163F59">
        <w:trPr>
          <w:trHeight w:val="421"/>
        </w:trPr>
        <w:tc>
          <w:tcPr>
            <w:tcW w:w="9634" w:type="dxa"/>
            <w:gridSpan w:val="3"/>
          </w:tcPr>
          <w:p w14:paraId="566049C7" w14:textId="77777777" w:rsidR="0064018F" w:rsidRPr="0064018F" w:rsidRDefault="0064018F" w:rsidP="00905CC9">
            <w:pPr>
              <w:keepNext w:val="0"/>
              <w:tabs>
                <w:tab w:val="left" w:pos="680"/>
              </w:tabs>
              <w:spacing w:after="120"/>
              <w:jc w:val="left"/>
              <w:rPr>
                <w:rFonts w:eastAsia="Arial"/>
                <w:b/>
                <w:color w:val="auto"/>
                <w:spacing w:val="-1"/>
              </w:rPr>
            </w:pPr>
            <w:bookmarkStart w:id="289" w:name="_Hlk78888998"/>
            <w:r w:rsidRPr="0064018F">
              <w:rPr>
                <w:rFonts w:eastAsia="Arial"/>
                <w:b/>
                <w:color w:val="auto"/>
                <w:spacing w:val="-1"/>
              </w:rPr>
              <w:t xml:space="preserve">Policy SD1: Social Value </w:t>
            </w:r>
          </w:p>
        </w:tc>
      </w:tr>
      <w:tr w:rsidR="0064018F" w:rsidRPr="0064018F" w14:paraId="06797862" w14:textId="77777777" w:rsidTr="00163F59">
        <w:tc>
          <w:tcPr>
            <w:tcW w:w="2660" w:type="dxa"/>
            <w:gridSpan w:val="2"/>
          </w:tcPr>
          <w:p w14:paraId="2EE06848" w14:textId="77777777" w:rsidR="0064018F" w:rsidRPr="0064018F" w:rsidRDefault="0064018F" w:rsidP="00905CC9">
            <w:pPr>
              <w:keepNext w:val="0"/>
              <w:tabs>
                <w:tab w:val="left" w:pos="680"/>
              </w:tabs>
              <w:spacing w:before="0"/>
              <w:jc w:val="left"/>
              <w:rPr>
                <w:rFonts w:eastAsia="Arial"/>
                <w:bCs/>
                <w:color w:val="auto"/>
              </w:rPr>
            </w:pPr>
            <w:r w:rsidRPr="0064018F">
              <w:rPr>
                <w:rFonts w:eastAsia="Arial"/>
                <w:bCs/>
                <w:color w:val="auto"/>
              </w:rPr>
              <w:t>Strategic Objectives</w:t>
            </w:r>
          </w:p>
        </w:tc>
        <w:tc>
          <w:tcPr>
            <w:tcW w:w="6974" w:type="dxa"/>
          </w:tcPr>
          <w:p w14:paraId="720D621A" w14:textId="77777777" w:rsidR="0064018F" w:rsidRPr="0064018F" w:rsidRDefault="0064018F" w:rsidP="00905CC9">
            <w:pPr>
              <w:keepNext w:val="0"/>
              <w:tabs>
                <w:tab w:val="left" w:pos="680"/>
              </w:tabs>
              <w:spacing w:before="40" w:after="40"/>
              <w:jc w:val="left"/>
              <w:rPr>
                <w:rFonts w:eastAsia="Arial"/>
                <w:bCs/>
                <w:color w:val="auto"/>
              </w:rPr>
            </w:pPr>
            <w:r w:rsidRPr="0064018F">
              <w:rPr>
                <w:rFonts w:eastAsia="Arial"/>
                <w:bCs/>
                <w:color w:val="auto"/>
              </w:rPr>
              <w:t>SO1, SO2, SO4, SO6, SO11, SO12, SO13.</w:t>
            </w:r>
          </w:p>
        </w:tc>
      </w:tr>
      <w:tr w:rsidR="0064018F" w:rsidRPr="0064018F" w14:paraId="138FB519" w14:textId="77777777" w:rsidTr="00163F59">
        <w:tc>
          <w:tcPr>
            <w:tcW w:w="9634" w:type="dxa"/>
            <w:gridSpan w:val="3"/>
            <w:shd w:val="clear" w:color="auto" w:fill="DAC4F8"/>
          </w:tcPr>
          <w:p w14:paraId="0284D087" w14:textId="77777777" w:rsidR="0074669E" w:rsidRDefault="0074669E" w:rsidP="00905CC9">
            <w:pPr>
              <w:keepNext w:val="0"/>
              <w:spacing w:before="0"/>
              <w:jc w:val="left"/>
              <w:rPr>
                <w:rFonts w:cs="Arial"/>
                <w:color w:val="auto"/>
                <w:szCs w:val="24"/>
              </w:rPr>
            </w:pPr>
          </w:p>
          <w:p w14:paraId="7CBADA1A" w14:textId="2DAC66FD" w:rsidR="0064018F" w:rsidRPr="00595970" w:rsidRDefault="00881D31" w:rsidP="00842A95">
            <w:pPr>
              <w:keepNext w:val="0"/>
              <w:spacing w:before="0"/>
              <w:jc w:val="left"/>
              <w:rPr>
                <w:rFonts w:cs="Arial"/>
                <w:color w:val="auto"/>
                <w:szCs w:val="24"/>
              </w:rPr>
            </w:pPr>
            <w:r>
              <w:rPr>
                <w:rFonts w:cs="Arial"/>
                <w:color w:val="auto"/>
                <w:szCs w:val="24"/>
              </w:rPr>
              <w:t>D</w:t>
            </w:r>
            <w:r w:rsidR="0064018F" w:rsidRPr="0064018F">
              <w:rPr>
                <w:rFonts w:cs="Arial"/>
                <w:color w:val="auto"/>
                <w:szCs w:val="24"/>
              </w:rPr>
              <w:t>evelopment in Ashfield will maximise social value in order to deliver as many public benefits as possible. All major developments will be required to submit a Social Value Strategy (SVS) demonstrating how social value is achieved throughout the lifecycle of the development</w:t>
            </w:r>
            <w:r w:rsidR="00842A95">
              <w:rPr>
                <w:rFonts w:cs="Arial"/>
                <w:color w:val="auto"/>
                <w:szCs w:val="24"/>
              </w:rPr>
              <w:t xml:space="preserve">, </w:t>
            </w:r>
            <w:r w:rsidR="00842A95" w:rsidRPr="00595970">
              <w:rPr>
                <w:rFonts w:cs="Arial"/>
                <w:color w:val="auto"/>
                <w:szCs w:val="24"/>
              </w:rPr>
              <w:t xml:space="preserve">based on a comprehensive masterplan of the whole site. </w:t>
            </w:r>
            <w:r w:rsidR="0064018F" w:rsidRPr="00595970">
              <w:rPr>
                <w:rFonts w:cs="Arial"/>
                <w:color w:val="auto"/>
                <w:szCs w:val="24"/>
              </w:rPr>
              <w:t>The SVS will need to demonstrate how the development contributes positively to:</w:t>
            </w:r>
          </w:p>
          <w:p w14:paraId="274E1494" w14:textId="77777777" w:rsidR="0064018F" w:rsidRPr="0064018F" w:rsidRDefault="0064018F" w:rsidP="00874A98">
            <w:pPr>
              <w:keepNext w:val="0"/>
              <w:numPr>
                <w:ilvl w:val="0"/>
                <w:numId w:val="212"/>
              </w:numPr>
              <w:spacing w:before="0" w:after="160" w:line="259" w:lineRule="auto"/>
              <w:contextualSpacing/>
              <w:jc w:val="left"/>
              <w:rPr>
                <w:rFonts w:cs="Arial"/>
                <w:color w:val="auto"/>
                <w:szCs w:val="24"/>
              </w:rPr>
            </w:pPr>
            <w:r w:rsidRPr="0064018F">
              <w:rPr>
                <w:rFonts w:cs="Arial"/>
                <w:color w:val="auto"/>
                <w:szCs w:val="24"/>
              </w:rPr>
              <w:t>Placemaking</w:t>
            </w:r>
          </w:p>
          <w:p w14:paraId="7978326D" w14:textId="77777777" w:rsidR="0064018F" w:rsidRPr="0064018F" w:rsidRDefault="0064018F" w:rsidP="00874A98">
            <w:pPr>
              <w:keepNext w:val="0"/>
              <w:numPr>
                <w:ilvl w:val="0"/>
                <w:numId w:val="212"/>
              </w:numPr>
              <w:spacing w:before="0" w:after="160" w:line="259" w:lineRule="auto"/>
              <w:contextualSpacing/>
              <w:jc w:val="left"/>
              <w:rPr>
                <w:rFonts w:cs="Arial"/>
                <w:color w:val="auto"/>
                <w:szCs w:val="24"/>
              </w:rPr>
            </w:pPr>
            <w:r w:rsidRPr="0064018F">
              <w:rPr>
                <w:rFonts w:cs="Arial"/>
                <w:color w:val="auto"/>
                <w:szCs w:val="24"/>
              </w:rPr>
              <w:t>Health and wellbeing</w:t>
            </w:r>
          </w:p>
          <w:p w14:paraId="13337670" w14:textId="77777777" w:rsidR="0064018F" w:rsidRPr="0064018F" w:rsidRDefault="0064018F" w:rsidP="00874A98">
            <w:pPr>
              <w:keepNext w:val="0"/>
              <w:numPr>
                <w:ilvl w:val="0"/>
                <w:numId w:val="212"/>
              </w:numPr>
              <w:spacing w:before="0" w:after="160" w:line="259" w:lineRule="auto"/>
              <w:contextualSpacing/>
              <w:jc w:val="left"/>
              <w:rPr>
                <w:rFonts w:cs="Arial"/>
                <w:color w:val="auto"/>
                <w:szCs w:val="24"/>
              </w:rPr>
            </w:pPr>
            <w:r w:rsidRPr="0064018F">
              <w:rPr>
                <w:rFonts w:cs="Arial"/>
                <w:color w:val="auto"/>
                <w:szCs w:val="24"/>
              </w:rPr>
              <w:t>Local employment, regeneration and growth,</w:t>
            </w:r>
          </w:p>
          <w:p w14:paraId="38535D76" w14:textId="77777777" w:rsidR="0064018F" w:rsidRPr="0064018F" w:rsidRDefault="0064018F" w:rsidP="00874A98">
            <w:pPr>
              <w:keepNext w:val="0"/>
              <w:numPr>
                <w:ilvl w:val="0"/>
                <w:numId w:val="212"/>
              </w:numPr>
              <w:spacing w:before="0" w:after="160" w:line="259" w:lineRule="auto"/>
              <w:contextualSpacing/>
              <w:jc w:val="left"/>
              <w:rPr>
                <w:rFonts w:cs="Arial"/>
                <w:color w:val="auto"/>
                <w:szCs w:val="24"/>
              </w:rPr>
            </w:pPr>
            <w:r w:rsidRPr="0064018F">
              <w:rPr>
                <w:rFonts w:cs="Arial"/>
                <w:color w:val="auto"/>
                <w:szCs w:val="24"/>
              </w:rPr>
              <w:t xml:space="preserve">Community resilience, and  </w:t>
            </w:r>
          </w:p>
          <w:p w14:paraId="7135493D" w14:textId="77777777" w:rsidR="0064018F" w:rsidRPr="0064018F" w:rsidRDefault="0064018F" w:rsidP="00874A98">
            <w:pPr>
              <w:keepNext w:val="0"/>
              <w:numPr>
                <w:ilvl w:val="0"/>
                <w:numId w:val="212"/>
              </w:numPr>
              <w:spacing w:before="0" w:line="259" w:lineRule="auto"/>
              <w:contextualSpacing/>
              <w:jc w:val="left"/>
              <w:rPr>
                <w:rFonts w:cs="Arial"/>
                <w:color w:val="auto"/>
                <w:szCs w:val="24"/>
              </w:rPr>
            </w:pPr>
            <w:r w:rsidRPr="0064018F">
              <w:rPr>
                <w:rFonts w:cs="Arial"/>
                <w:color w:val="auto"/>
                <w:szCs w:val="24"/>
              </w:rPr>
              <w:t>Safeguarding the environment and responding to climate change</w:t>
            </w:r>
          </w:p>
          <w:p w14:paraId="67FA976A" w14:textId="77777777" w:rsidR="0064018F" w:rsidRPr="0064018F" w:rsidRDefault="0064018F" w:rsidP="00905CC9">
            <w:pPr>
              <w:keepNext w:val="0"/>
              <w:tabs>
                <w:tab w:val="left" w:pos="680"/>
                <w:tab w:val="left" w:pos="1133"/>
                <w:tab w:val="left" w:pos="2267"/>
              </w:tabs>
              <w:spacing w:before="0"/>
              <w:ind w:right="284"/>
              <w:jc w:val="left"/>
              <w:rPr>
                <w:rFonts w:eastAsia="Arial" w:cs="Arial"/>
                <w:bCs/>
                <w:color w:val="auto"/>
                <w:szCs w:val="24"/>
              </w:rPr>
            </w:pPr>
          </w:p>
        </w:tc>
      </w:tr>
      <w:bookmarkEnd w:id="289"/>
      <w:tr w:rsidR="0064018F" w:rsidRPr="0064018F" w14:paraId="100D6923" w14:textId="77777777" w:rsidTr="00163F59">
        <w:tc>
          <w:tcPr>
            <w:tcW w:w="2376" w:type="dxa"/>
          </w:tcPr>
          <w:p w14:paraId="0B232FAA" w14:textId="77777777" w:rsidR="0064018F" w:rsidRPr="0064018F" w:rsidRDefault="0064018F" w:rsidP="00905CC9">
            <w:pPr>
              <w:keepNext w:val="0"/>
              <w:tabs>
                <w:tab w:val="left" w:pos="680"/>
                <w:tab w:val="left" w:pos="1133"/>
                <w:tab w:val="left" w:pos="2267"/>
              </w:tabs>
              <w:spacing w:before="0"/>
              <w:ind w:right="284"/>
              <w:jc w:val="left"/>
              <w:rPr>
                <w:rFonts w:eastAsia="Arial"/>
                <w:b/>
                <w:color w:val="7030A0"/>
                <w:szCs w:val="24"/>
              </w:rPr>
            </w:pPr>
            <w:r w:rsidRPr="0064018F">
              <w:rPr>
                <w:rFonts w:eastAsia="Arial"/>
                <w:bCs/>
                <w:color w:val="auto"/>
                <w:sz w:val="20"/>
              </w:rPr>
              <w:t>Evidence base</w:t>
            </w:r>
          </w:p>
        </w:tc>
        <w:tc>
          <w:tcPr>
            <w:tcW w:w="7258" w:type="dxa"/>
            <w:gridSpan w:val="2"/>
          </w:tcPr>
          <w:p w14:paraId="5FE84D58" w14:textId="2F7394DE" w:rsidR="0064018F" w:rsidRPr="0064018F" w:rsidRDefault="0064018F" w:rsidP="00874A98">
            <w:pPr>
              <w:keepNext w:val="0"/>
              <w:numPr>
                <w:ilvl w:val="0"/>
                <w:numId w:val="209"/>
              </w:numPr>
              <w:tabs>
                <w:tab w:val="left" w:pos="680"/>
                <w:tab w:val="left" w:pos="1133"/>
                <w:tab w:val="left" w:pos="2267"/>
              </w:tabs>
              <w:spacing w:before="0" w:after="160" w:line="259" w:lineRule="auto"/>
              <w:ind w:left="357" w:right="284" w:hanging="357"/>
              <w:contextualSpacing/>
              <w:rPr>
                <w:rFonts w:eastAsia="Arial" w:cs="Arial"/>
                <w:bCs/>
                <w:color w:val="auto"/>
                <w:sz w:val="20"/>
              </w:rPr>
            </w:pPr>
            <w:r w:rsidRPr="0064018F">
              <w:rPr>
                <w:rFonts w:eastAsia="Arial" w:cs="Arial"/>
                <w:bCs/>
                <w:color w:val="auto"/>
                <w:sz w:val="20"/>
              </w:rPr>
              <w:t>Sustainability Appraisal, August 202</w:t>
            </w:r>
            <w:r w:rsidR="00595970">
              <w:rPr>
                <w:rFonts w:eastAsia="Arial" w:cs="Arial"/>
                <w:bCs/>
                <w:color w:val="auto"/>
                <w:sz w:val="20"/>
              </w:rPr>
              <w:t>3</w:t>
            </w:r>
            <w:r w:rsidRPr="0064018F">
              <w:rPr>
                <w:rFonts w:eastAsia="Arial" w:cs="Arial"/>
                <w:bCs/>
                <w:color w:val="auto"/>
                <w:sz w:val="20"/>
              </w:rPr>
              <w:t>. W</w:t>
            </w:r>
            <w:r w:rsidR="00595970">
              <w:rPr>
                <w:rFonts w:eastAsia="Arial" w:cs="Arial"/>
                <w:bCs/>
                <w:color w:val="auto"/>
                <w:sz w:val="20"/>
              </w:rPr>
              <w:t>SP UK</w:t>
            </w:r>
            <w:r w:rsidRPr="0064018F">
              <w:rPr>
                <w:rFonts w:eastAsia="Arial" w:cs="Arial"/>
                <w:bCs/>
                <w:color w:val="auto"/>
                <w:sz w:val="20"/>
              </w:rPr>
              <w:t xml:space="preserve"> Ltd. </w:t>
            </w:r>
          </w:p>
          <w:p w14:paraId="6DEC18D6" w14:textId="77777777" w:rsidR="0064018F" w:rsidRPr="0064018F" w:rsidRDefault="0064018F" w:rsidP="00874A98">
            <w:pPr>
              <w:keepNext w:val="0"/>
              <w:numPr>
                <w:ilvl w:val="0"/>
                <w:numId w:val="209"/>
              </w:numPr>
              <w:tabs>
                <w:tab w:val="left" w:pos="680"/>
                <w:tab w:val="left" w:pos="1133"/>
                <w:tab w:val="left" w:pos="2267"/>
              </w:tabs>
              <w:spacing w:before="0" w:after="160" w:line="259" w:lineRule="auto"/>
              <w:ind w:left="357" w:right="284" w:hanging="357"/>
              <w:contextualSpacing/>
              <w:rPr>
                <w:rFonts w:eastAsia="Arial" w:cs="Arial"/>
                <w:bCs/>
                <w:color w:val="auto"/>
                <w:sz w:val="20"/>
              </w:rPr>
            </w:pPr>
            <w:r w:rsidRPr="0064018F">
              <w:rPr>
                <w:rFonts w:eastAsia="Arial" w:cs="Arial"/>
                <w:bCs/>
                <w:color w:val="auto"/>
                <w:sz w:val="20"/>
              </w:rPr>
              <w:t>Ashfield Social Value Policy, 2020.  Ashfield District Council</w:t>
            </w:r>
          </w:p>
          <w:p w14:paraId="1581AADA" w14:textId="77777777" w:rsidR="0064018F" w:rsidRPr="0064018F" w:rsidRDefault="0064018F" w:rsidP="00874A98">
            <w:pPr>
              <w:keepNext w:val="0"/>
              <w:numPr>
                <w:ilvl w:val="0"/>
                <w:numId w:val="209"/>
              </w:numPr>
              <w:tabs>
                <w:tab w:val="left" w:pos="680"/>
                <w:tab w:val="left" w:pos="1133"/>
                <w:tab w:val="left" w:pos="2267"/>
              </w:tabs>
              <w:spacing w:before="0" w:after="160" w:line="259" w:lineRule="auto"/>
              <w:ind w:left="357" w:right="284" w:hanging="357"/>
              <w:contextualSpacing/>
              <w:rPr>
                <w:rFonts w:eastAsia="Arial" w:cs="Arial"/>
                <w:bCs/>
                <w:color w:val="auto"/>
                <w:sz w:val="20"/>
              </w:rPr>
            </w:pPr>
            <w:r w:rsidRPr="0064018F">
              <w:rPr>
                <w:rFonts w:eastAsia="Arial" w:cs="Arial"/>
                <w:bCs/>
                <w:color w:val="auto"/>
                <w:sz w:val="20"/>
              </w:rPr>
              <w:t>Ashfield Health and Wellbeing Partnership Strategy Be Healthy, Be Happy, 2021 – 2025 Ashfield Health and Wellbeing Partnership.</w:t>
            </w:r>
          </w:p>
          <w:p w14:paraId="2A843042" w14:textId="77777777" w:rsidR="0064018F" w:rsidRPr="0064018F" w:rsidRDefault="0064018F" w:rsidP="00874A98">
            <w:pPr>
              <w:keepNext w:val="0"/>
              <w:numPr>
                <w:ilvl w:val="0"/>
                <w:numId w:val="209"/>
              </w:numPr>
              <w:tabs>
                <w:tab w:val="left" w:pos="680"/>
                <w:tab w:val="left" w:pos="1133"/>
                <w:tab w:val="left" w:pos="2267"/>
              </w:tabs>
              <w:spacing w:before="0" w:after="160" w:line="259" w:lineRule="auto"/>
              <w:ind w:right="284"/>
              <w:contextualSpacing/>
              <w:rPr>
                <w:rFonts w:eastAsia="Arial" w:cs="Arial"/>
                <w:bCs/>
                <w:color w:val="auto"/>
                <w:sz w:val="20"/>
              </w:rPr>
            </w:pPr>
            <w:r w:rsidRPr="0064018F">
              <w:rPr>
                <w:rFonts w:eastAsia="Arial" w:cs="Arial"/>
                <w:bCs/>
                <w:color w:val="auto"/>
                <w:sz w:val="20"/>
              </w:rPr>
              <w:t xml:space="preserve">Ashfield Community Partnership Strategic Plan 2019-2022 </w:t>
            </w:r>
          </w:p>
          <w:p w14:paraId="2C3C1D42" w14:textId="77777777" w:rsidR="0064018F" w:rsidRPr="0064018F" w:rsidRDefault="0064018F" w:rsidP="00874A98">
            <w:pPr>
              <w:keepNext w:val="0"/>
              <w:numPr>
                <w:ilvl w:val="0"/>
                <w:numId w:val="209"/>
              </w:numPr>
              <w:tabs>
                <w:tab w:val="left" w:pos="680"/>
                <w:tab w:val="left" w:pos="1133"/>
                <w:tab w:val="left" w:pos="2267"/>
              </w:tabs>
              <w:spacing w:before="0" w:after="160" w:line="259" w:lineRule="auto"/>
              <w:ind w:right="284"/>
              <w:contextualSpacing/>
              <w:rPr>
                <w:rFonts w:eastAsia="Arial" w:cs="Arial"/>
                <w:bCs/>
                <w:color w:val="auto"/>
                <w:sz w:val="20"/>
              </w:rPr>
            </w:pPr>
            <w:r w:rsidRPr="0064018F">
              <w:rPr>
                <w:rFonts w:eastAsia="Arial" w:cs="Arial"/>
                <w:bCs/>
                <w:color w:val="auto"/>
                <w:sz w:val="20"/>
              </w:rPr>
              <w:t>Ashfield Community Partnership Strategic Assessment 2019-2022</w:t>
            </w:r>
          </w:p>
          <w:p w14:paraId="193B392E" w14:textId="77777777" w:rsidR="0064018F" w:rsidRPr="0064018F" w:rsidRDefault="0064018F" w:rsidP="00A03E50">
            <w:pPr>
              <w:tabs>
                <w:tab w:val="left" w:pos="680"/>
                <w:tab w:val="left" w:pos="1133"/>
                <w:tab w:val="left" w:pos="2267"/>
              </w:tabs>
              <w:ind w:right="284"/>
              <w:contextualSpacing/>
              <w:rPr>
                <w:rFonts w:eastAsia="Arial" w:cs="Arial"/>
                <w:bCs/>
                <w:color w:val="auto"/>
                <w:sz w:val="20"/>
              </w:rPr>
            </w:pPr>
          </w:p>
        </w:tc>
      </w:tr>
      <w:tr w:rsidR="0064018F" w:rsidRPr="0064018F" w14:paraId="7B9E2F55" w14:textId="77777777" w:rsidTr="00163F59">
        <w:tc>
          <w:tcPr>
            <w:tcW w:w="2376" w:type="dxa"/>
          </w:tcPr>
          <w:p w14:paraId="6D872BDE" w14:textId="77777777" w:rsidR="0064018F" w:rsidRPr="0064018F" w:rsidRDefault="0064018F" w:rsidP="00905CC9">
            <w:pPr>
              <w:keepNext w:val="0"/>
              <w:tabs>
                <w:tab w:val="left" w:pos="680"/>
                <w:tab w:val="left" w:pos="1133"/>
                <w:tab w:val="left" w:pos="2267"/>
              </w:tabs>
              <w:spacing w:before="0"/>
              <w:ind w:right="284"/>
              <w:jc w:val="left"/>
              <w:rPr>
                <w:rFonts w:eastAsia="Arial"/>
                <w:b/>
                <w:color w:val="538135"/>
                <w:sz w:val="22"/>
              </w:rPr>
            </w:pPr>
            <w:r w:rsidRPr="0064018F">
              <w:rPr>
                <w:rFonts w:eastAsia="Arial"/>
                <w:bCs/>
                <w:color w:val="auto"/>
                <w:sz w:val="20"/>
              </w:rPr>
              <w:t>National Planning Policy and Guidance</w:t>
            </w:r>
          </w:p>
        </w:tc>
        <w:tc>
          <w:tcPr>
            <w:tcW w:w="7258" w:type="dxa"/>
            <w:gridSpan w:val="2"/>
          </w:tcPr>
          <w:p w14:paraId="75AAE0C7" w14:textId="295A3043" w:rsidR="0064018F" w:rsidRPr="0064018F" w:rsidRDefault="0064018F" w:rsidP="00874A98">
            <w:pPr>
              <w:keepNext w:val="0"/>
              <w:numPr>
                <w:ilvl w:val="0"/>
                <w:numId w:val="119"/>
              </w:numPr>
              <w:tabs>
                <w:tab w:val="left" w:pos="680"/>
                <w:tab w:val="left" w:pos="1133"/>
                <w:tab w:val="left" w:pos="2267"/>
              </w:tabs>
              <w:spacing w:before="0" w:after="160" w:line="252" w:lineRule="auto"/>
              <w:ind w:right="284"/>
              <w:contextualSpacing/>
              <w:rPr>
                <w:rFonts w:eastAsia="Arial"/>
                <w:bCs/>
                <w:color w:val="auto"/>
                <w:sz w:val="20"/>
              </w:rPr>
            </w:pPr>
            <w:r w:rsidRPr="0064018F">
              <w:rPr>
                <w:rFonts w:eastAsia="Arial"/>
                <w:bCs/>
                <w:color w:val="auto"/>
                <w:sz w:val="20"/>
              </w:rPr>
              <w:t>NPPF 20</w:t>
            </w:r>
            <w:r w:rsidR="004173E0">
              <w:rPr>
                <w:rFonts w:eastAsia="Arial"/>
                <w:bCs/>
                <w:color w:val="auto"/>
                <w:sz w:val="20"/>
              </w:rPr>
              <w:t>23</w:t>
            </w:r>
            <w:r w:rsidRPr="0064018F">
              <w:rPr>
                <w:rFonts w:eastAsia="Arial"/>
                <w:bCs/>
                <w:color w:val="auto"/>
                <w:sz w:val="20"/>
              </w:rPr>
              <w:t>, Part 2: Achieving sustainable development.</w:t>
            </w:r>
          </w:p>
          <w:p w14:paraId="377E1952" w14:textId="77777777" w:rsidR="0064018F" w:rsidRPr="0064018F" w:rsidRDefault="0064018F" w:rsidP="00A03E50">
            <w:pPr>
              <w:tabs>
                <w:tab w:val="left" w:pos="680"/>
                <w:tab w:val="left" w:pos="1133"/>
                <w:tab w:val="left" w:pos="2267"/>
              </w:tabs>
              <w:spacing w:line="252" w:lineRule="auto"/>
              <w:ind w:right="284"/>
              <w:contextualSpacing/>
              <w:rPr>
                <w:rFonts w:eastAsia="Arial"/>
                <w:bCs/>
                <w:color w:val="auto"/>
                <w:sz w:val="20"/>
              </w:rPr>
            </w:pPr>
          </w:p>
        </w:tc>
      </w:tr>
    </w:tbl>
    <w:p w14:paraId="7E8ADA31" w14:textId="77777777" w:rsidR="0064018F" w:rsidRPr="0064018F" w:rsidRDefault="0064018F" w:rsidP="0064018F">
      <w:pPr>
        <w:keepNext w:val="0"/>
        <w:spacing w:before="0" w:after="160" w:line="259" w:lineRule="auto"/>
        <w:rPr>
          <w:rFonts w:ascii="Calibri" w:eastAsia="Calibri" w:hAnsi="Calibri"/>
          <w:color w:val="auto"/>
          <w:sz w:val="22"/>
          <w:szCs w:val="22"/>
          <w:lang w:eastAsia="en-US"/>
        </w:rPr>
      </w:pPr>
    </w:p>
    <w:p w14:paraId="1B5B8E99" w14:textId="227A400D" w:rsidR="0064018F" w:rsidRDefault="0064018F" w:rsidP="0064018F">
      <w:pPr>
        <w:keepNext w:val="0"/>
        <w:numPr>
          <w:ilvl w:val="1"/>
          <w:numId w:val="7"/>
        </w:numPr>
        <w:tabs>
          <w:tab w:val="clear" w:pos="525"/>
        </w:tabs>
        <w:spacing w:before="0"/>
        <w:ind w:left="709" w:hanging="709"/>
        <w:rPr>
          <w:rFonts w:cs="Arial"/>
          <w:color w:val="auto"/>
          <w:szCs w:val="24"/>
          <w:lang w:eastAsia="en-US"/>
        </w:rPr>
      </w:pPr>
      <w:r w:rsidRPr="0064018F">
        <w:rPr>
          <w:rFonts w:cs="Arial"/>
          <w:color w:val="auto"/>
          <w:szCs w:val="24"/>
          <w:lang w:eastAsia="en-US"/>
        </w:rPr>
        <w:t>Within the Public Services (Social Value) Act 2012 social value is described as the ‘economic, social and environmental wellbeing’ that is created by a service (or development) and is delivered as both direct and indirect outcomes or benefits arising from an intervention over a period of time. This is consistent with the provisions of the NPPF  which has as its three core dimensions of sustainable development - social, economic, environmental.</w:t>
      </w:r>
    </w:p>
    <w:p w14:paraId="46F7FC9A" w14:textId="77777777" w:rsidR="0064018F" w:rsidRDefault="0064018F" w:rsidP="0064018F">
      <w:pPr>
        <w:keepNext w:val="0"/>
        <w:spacing w:before="0"/>
        <w:ind w:left="709"/>
        <w:rPr>
          <w:rFonts w:cs="Arial"/>
          <w:color w:val="auto"/>
          <w:szCs w:val="24"/>
          <w:lang w:eastAsia="en-US"/>
        </w:rPr>
      </w:pPr>
    </w:p>
    <w:p w14:paraId="6368F80D" w14:textId="77777777" w:rsidR="0064018F" w:rsidRDefault="0064018F" w:rsidP="0064018F">
      <w:pPr>
        <w:keepNext w:val="0"/>
        <w:numPr>
          <w:ilvl w:val="1"/>
          <w:numId w:val="7"/>
        </w:numPr>
        <w:tabs>
          <w:tab w:val="clear" w:pos="525"/>
        </w:tabs>
        <w:spacing w:before="0"/>
        <w:ind w:left="709" w:hanging="709"/>
        <w:rPr>
          <w:rFonts w:cs="Arial"/>
          <w:color w:val="auto"/>
          <w:szCs w:val="24"/>
          <w:lang w:eastAsia="en-US"/>
        </w:rPr>
      </w:pPr>
      <w:r w:rsidRPr="0064018F">
        <w:rPr>
          <w:rFonts w:cs="Arial"/>
          <w:color w:val="auto"/>
          <w:szCs w:val="24"/>
          <w:lang w:eastAsia="en-US"/>
        </w:rPr>
        <w:t>Ashfield District Council (ADC) adopted its corporate social value policy on the 23rd March 2020  following the introduction of The Public Services (Social Value) Act (2012) on the 31st January 2013.   In line with the definition of social value in the Act, the Council defines social value as economic, social and environmental wellbeing.  A social value approach gives greater thought to how we can best use limited resources more strategically, to produce a wider benefit than would otherwise have been achieved.  Our goal in Ashfield through the adopted social value policy is ‘for every £ that Ashfield spends, we will aim to deliver at least the same value of return in social value’.</w:t>
      </w:r>
    </w:p>
    <w:p w14:paraId="4D00ECBA" w14:textId="77777777" w:rsidR="0064018F" w:rsidRDefault="0064018F" w:rsidP="0064018F">
      <w:pPr>
        <w:pStyle w:val="ListParagraph"/>
        <w:spacing w:after="0" w:line="240" w:lineRule="auto"/>
        <w:rPr>
          <w:rFonts w:cs="Arial"/>
          <w:color w:val="auto"/>
          <w:szCs w:val="24"/>
        </w:rPr>
      </w:pPr>
    </w:p>
    <w:p w14:paraId="18477143" w14:textId="503497C8" w:rsidR="0064018F" w:rsidRDefault="0064018F" w:rsidP="0064018F">
      <w:pPr>
        <w:keepNext w:val="0"/>
        <w:numPr>
          <w:ilvl w:val="1"/>
          <w:numId w:val="7"/>
        </w:numPr>
        <w:tabs>
          <w:tab w:val="clear" w:pos="525"/>
        </w:tabs>
        <w:spacing w:before="0"/>
        <w:ind w:left="709" w:hanging="709"/>
        <w:rPr>
          <w:rFonts w:cs="Arial"/>
          <w:color w:val="auto"/>
          <w:szCs w:val="24"/>
          <w:lang w:eastAsia="en-US"/>
        </w:rPr>
      </w:pPr>
      <w:r w:rsidRPr="0064018F">
        <w:rPr>
          <w:rFonts w:cs="Arial"/>
          <w:color w:val="auto"/>
          <w:szCs w:val="24"/>
          <w:lang w:eastAsia="en-US"/>
        </w:rPr>
        <w:t xml:space="preserve">The adopted corporate social value policy not only sets out how we embed social value in how we operate our public services but also seeks to build social value into planning services.  One way of doing this is via the local plan and setting out the parameters, as identified in this </w:t>
      </w:r>
      <w:r w:rsidR="007D7A4C">
        <w:rPr>
          <w:rFonts w:cs="Arial"/>
          <w:color w:val="auto"/>
          <w:szCs w:val="24"/>
          <w:lang w:eastAsia="en-US"/>
        </w:rPr>
        <w:t>L</w:t>
      </w:r>
      <w:r w:rsidRPr="0064018F">
        <w:rPr>
          <w:rFonts w:cs="Arial"/>
          <w:color w:val="auto"/>
          <w:szCs w:val="24"/>
          <w:lang w:eastAsia="en-US"/>
        </w:rPr>
        <w:t xml:space="preserve">ocal </w:t>
      </w:r>
      <w:r w:rsidR="007D7A4C">
        <w:rPr>
          <w:rFonts w:cs="Arial"/>
          <w:color w:val="auto"/>
          <w:szCs w:val="24"/>
          <w:lang w:eastAsia="en-US"/>
        </w:rPr>
        <w:t>P</w:t>
      </w:r>
      <w:r w:rsidRPr="0064018F">
        <w:rPr>
          <w:rFonts w:cs="Arial"/>
          <w:color w:val="auto"/>
          <w:szCs w:val="24"/>
          <w:lang w:eastAsia="en-US"/>
        </w:rPr>
        <w:t xml:space="preserve">lan </w:t>
      </w:r>
      <w:r w:rsidR="007D7A4C">
        <w:rPr>
          <w:rFonts w:cs="Arial"/>
          <w:color w:val="auto"/>
          <w:szCs w:val="24"/>
          <w:lang w:eastAsia="en-US"/>
        </w:rPr>
        <w:t>P</w:t>
      </w:r>
      <w:r w:rsidRPr="0064018F">
        <w:rPr>
          <w:rFonts w:cs="Arial"/>
          <w:color w:val="auto"/>
          <w:szCs w:val="24"/>
          <w:lang w:eastAsia="en-US"/>
        </w:rPr>
        <w:t>olicy, which need to be demonstrated when submitting a major  planning application in the district.</w:t>
      </w:r>
    </w:p>
    <w:p w14:paraId="07D0E784" w14:textId="77777777" w:rsidR="0064018F" w:rsidRDefault="0064018F" w:rsidP="0064018F">
      <w:pPr>
        <w:pStyle w:val="ListParagraph"/>
        <w:spacing w:after="0" w:line="240" w:lineRule="auto"/>
        <w:rPr>
          <w:rFonts w:cs="Arial"/>
          <w:color w:val="auto"/>
          <w:szCs w:val="24"/>
        </w:rPr>
      </w:pPr>
    </w:p>
    <w:p w14:paraId="018CC30F" w14:textId="77777777" w:rsidR="0064018F" w:rsidRDefault="0064018F" w:rsidP="0064018F">
      <w:pPr>
        <w:keepNext w:val="0"/>
        <w:numPr>
          <w:ilvl w:val="1"/>
          <w:numId w:val="7"/>
        </w:numPr>
        <w:tabs>
          <w:tab w:val="clear" w:pos="525"/>
        </w:tabs>
        <w:spacing w:before="0"/>
        <w:ind w:left="709" w:hanging="709"/>
        <w:rPr>
          <w:rFonts w:cs="Arial"/>
          <w:color w:val="auto"/>
          <w:szCs w:val="24"/>
          <w:lang w:eastAsia="en-US"/>
        </w:rPr>
      </w:pPr>
      <w:r w:rsidRPr="0064018F">
        <w:rPr>
          <w:rFonts w:cs="Arial"/>
          <w:color w:val="auto"/>
          <w:szCs w:val="24"/>
          <w:lang w:eastAsia="en-US"/>
        </w:rPr>
        <w:t xml:space="preserve">Planning can play a key role in ensuring that social value is maximised, by encouraging all relevant development proposals to engage with the concept and consider whether doing things differently can lead to additional benefits; for example, by utilising local supply chains so money spent on developments stays in the local economy; and taking steps to recruit local people for construction of development and in any resulting employment use. </w:t>
      </w:r>
    </w:p>
    <w:p w14:paraId="1023D564" w14:textId="77777777" w:rsidR="0064018F" w:rsidRDefault="0064018F" w:rsidP="0064018F">
      <w:pPr>
        <w:pStyle w:val="ListParagraph"/>
        <w:spacing w:after="0" w:line="240" w:lineRule="auto"/>
        <w:rPr>
          <w:rFonts w:cs="Arial"/>
          <w:color w:val="auto"/>
          <w:szCs w:val="24"/>
        </w:rPr>
      </w:pPr>
    </w:p>
    <w:p w14:paraId="20AD5549" w14:textId="6329A206" w:rsidR="0064018F" w:rsidRDefault="0064018F" w:rsidP="0064018F">
      <w:pPr>
        <w:keepNext w:val="0"/>
        <w:numPr>
          <w:ilvl w:val="1"/>
          <w:numId w:val="7"/>
        </w:numPr>
        <w:tabs>
          <w:tab w:val="clear" w:pos="525"/>
        </w:tabs>
        <w:spacing w:before="0"/>
        <w:ind w:left="709" w:hanging="709"/>
        <w:rPr>
          <w:rFonts w:cs="Arial"/>
          <w:color w:val="auto"/>
          <w:szCs w:val="24"/>
          <w:lang w:eastAsia="en-US"/>
        </w:rPr>
      </w:pPr>
      <w:r w:rsidRPr="0064018F">
        <w:rPr>
          <w:rFonts w:cs="Arial"/>
          <w:color w:val="auto"/>
          <w:szCs w:val="24"/>
          <w:lang w:eastAsia="en-US"/>
        </w:rPr>
        <w:t xml:space="preserve">Social value is linked directly to the achievement of sustainable development as is set out in paragraph 8 of the NPPF. The Social Value Policy </w:t>
      </w:r>
      <w:r w:rsidR="00301481">
        <w:rPr>
          <w:rFonts w:cs="Arial"/>
          <w:color w:val="auto"/>
          <w:szCs w:val="24"/>
          <w:lang w:eastAsia="en-US"/>
        </w:rPr>
        <w:t xml:space="preserve">seeks to </w:t>
      </w:r>
      <w:r w:rsidRPr="0064018F">
        <w:rPr>
          <w:rFonts w:cs="Arial"/>
          <w:color w:val="auto"/>
          <w:szCs w:val="24"/>
          <w:lang w:eastAsia="en-US"/>
        </w:rPr>
        <w:t xml:space="preserve">further the achievement of sustainable development by requiring the social value return of a development throughout its lifecycle(from construction through to the operational phases) to be considered by the submission of a Social Value Statement (SVS).    The statement should be positively prepared and informed by both pre – application participation and consultation with stakeholders and the community, focussing on placemaking, health and wellbeing, local employment, regeneration and growth, community resilience and the environment and climate change.  These elements of social value can be directly influenced by the planning system through considerations in relation to the design and accessibility of spaces.  Further considerations may also include thinking about how the development could reduce inequality for the people of Ashfield and contribute to improving their health and wellbeing? How can the development make the best use of local labour, businesses and supply chains? Will there be any training opportunities for local people as a result of the development either during construction or as a result of the end user?  Thinking about development in this way helps decision makers evaluate the social value of a development.  </w:t>
      </w:r>
    </w:p>
    <w:p w14:paraId="033AF520" w14:textId="77777777" w:rsidR="0064018F" w:rsidRDefault="0064018F" w:rsidP="0064018F">
      <w:pPr>
        <w:keepNext w:val="0"/>
        <w:spacing w:before="0"/>
        <w:ind w:left="709"/>
        <w:rPr>
          <w:rFonts w:cs="Arial"/>
          <w:color w:val="auto"/>
          <w:szCs w:val="24"/>
          <w:lang w:eastAsia="en-US"/>
        </w:rPr>
      </w:pPr>
    </w:p>
    <w:p w14:paraId="301B4A22" w14:textId="788185EB" w:rsidR="0064018F" w:rsidRDefault="0064018F" w:rsidP="0064018F">
      <w:pPr>
        <w:keepNext w:val="0"/>
        <w:numPr>
          <w:ilvl w:val="1"/>
          <w:numId w:val="7"/>
        </w:numPr>
        <w:tabs>
          <w:tab w:val="clear" w:pos="525"/>
        </w:tabs>
        <w:spacing w:before="0"/>
        <w:ind w:left="709" w:hanging="709"/>
        <w:rPr>
          <w:rFonts w:cs="Arial"/>
          <w:color w:val="auto"/>
          <w:szCs w:val="24"/>
          <w:lang w:eastAsia="en-US"/>
        </w:rPr>
      </w:pPr>
      <w:r w:rsidRPr="0064018F">
        <w:rPr>
          <w:rFonts w:cs="Arial"/>
          <w:color w:val="auto"/>
          <w:szCs w:val="24"/>
          <w:lang w:eastAsia="en-US"/>
        </w:rPr>
        <w:t xml:space="preserve">In order to support the submission of a SVS, the Council will prepare a Supplementary Planning Document (SPD) to set out how the SVS should be prepared along with further guidance on what it should contain. Commitments made in the SVS can be secured via planning condition. </w:t>
      </w:r>
    </w:p>
    <w:p w14:paraId="1926C9F9" w14:textId="77777777" w:rsidR="00D0642D" w:rsidRPr="00263F59" w:rsidRDefault="00D0642D" w:rsidP="00D0642D">
      <w:pPr>
        <w:pStyle w:val="ListParagraph"/>
        <w:rPr>
          <w:rFonts w:ascii="Arial" w:hAnsi="Arial" w:cs="Arial"/>
          <w:color w:val="auto"/>
          <w:szCs w:val="24"/>
        </w:rPr>
      </w:pPr>
    </w:p>
    <w:p w14:paraId="7E7AECEF" w14:textId="0F2F15D0" w:rsidR="0064018F" w:rsidRPr="00825421" w:rsidRDefault="006977E7" w:rsidP="00825421">
      <w:pPr>
        <w:pStyle w:val="Heading2"/>
        <w:jc w:val="left"/>
        <w:rPr>
          <w:sz w:val="28"/>
          <w:szCs w:val="28"/>
        </w:rPr>
      </w:pPr>
      <w:bookmarkStart w:id="290" w:name="_Toc145511611"/>
      <w:r w:rsidRPr="00825421">
        <w:rPr>
          <w:sz w:val="28"/>
          <w:szCs w:val="28"/>
        </w:rPr>
        <w:t xml:space="preserve">Policy </w:t>
      </w:r>
      <w:r w:rsidR="0064018F" w:rsidRPr="00825421">
        <w:rPr>
          <w:sz w:val="28"/>
          <w:szCs w:val="28"/>
        </w:rPr>
        <w:t>SD2: Good Design Considerations for Development</w:t>
      </w:r>
      <w:bookmarkEnd w:id="290"/>
    </w:p>
    <w:p w14:paraId="175BE139" w14:textId="3ADC1110" w:rsidR="0064018F" w:rsidRDefault="0064018F" w:rsidP="0064018F">
      <w:pPr>
        <w:keepNext w:val="0"/>
        <w:spacing w:before="0"/>
        <w:rPr>
          <w:rFonts w:cs="Arial"/>
          <w:color w:val="auto"/>
          <w:szCs w:val="24"/>
          <w:lang w:eastAsia="en-US"/>
        </w:rPr>
      </w:pPr>
    </w:p>
    <w:p w14:paraId="2748B751" w14:textId="0145ABE4" w:rsidR="0064018F" w:rsidRPr="00CE241F" w:rsidRDefault="002D4089" w:rsidP="003C7E62">
      <w:pPr>
        <w:keepNext w:val="0"/>
        <w:numPr>
          <w:ilvl w:val="1"/>
          <w:numId w:val="7"/>
        </w:numPr>
        <w:tabs>
          <w:tab w:val="clear" w:pos="525"/>
        </w:tabs>
        <w:spacing w:before="0"/>
        <w:ind w:left="709" w:hanging="709"/>
        <w:rPr>
          <w:rFonts w:cs="Arial"/>
          <w:color w:val="auto"/>
          <w:szCs w:val="24"/>
          <w:lang w:eastAsia="en-US"/>
        </w:rPr>
      </w:pPr>
      <w:r w:rsidRPr="002D4089">
        <w:rPr>
          <w:rFonts w:cs="Arial"/>
          <w:color w:val="auto"/>
          <w:lang w:eastAsia="en-US"/>
        </w:rPr>
        <w:t>The NPPF identifies that “</w:t>
      </w:r>
      <w:r w:rsidR="00F05D84">
        <w:rPr>
          <w:rFonts w:cs="Arial"/>
          <w:color w:val="auto"/>
          <w:lang w:eastAsia="en-US"/>
        </w:rPr>
        <w:t>g</w:t>
      </w:r>
      <w:r w:rsidR="00F05D84" w:rsidRPr="00F05D84">
        <w:rPr>
          <w:rFonts w:cs="Arial"/>
          <w:color w:val="auto"/>
          <w:lang w:eastAsia="en-US"/>
        </w:rPr>
        <w:t>ood design is a key aspect of sustainable development, creates better places in which to live and work and helps make development acceptable to communities</w:t>
      </w:r>
      <w:r w:rsidRPr="002D4089">
        <w:rPr>
          <w:rFonts w:cs="Arial"/>
          <w:color w:val="auto"/>
          <w:lang w:eastAsia="en-US"/>
        </w:rPr>
        <w:t>”. This policy requires all new development to be of a high quality sustainable design that ensures attractive, usable and durable places which help deliver economic and social prosperity; in turn helping to attract inward-investment.</w:t>
      </w:r>
    </w:p>
    <w:p w14:paraId="1ABA811F" w14:textId="7FF8429F" w:rsidR="00CE241F" w:rsidRDefault="00CE241F" w:rsidP="00CE241F">
      <w:pPr>
        <w:keepNext w:val="0"/>
        <w:spacing w:before="0"/>
        <w:ind w:left="709"/>
        <w:rPr>
          <w:rFonts w:cs="Arial"/>
          <w:color w:val="auto"/>
          <w:lang w:eastAsia="en-US"/>
        </w:rPr>
      </w:pPr>
    </w:p>
    <w:tbl>
      <w:tblPr>
        <w:tblStyle w:val="TableGrid19"/>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521"/>
        <w:gridCol w:w="7098"/>
      </w:tblGrid>
      <w:tr w:rsidR="00CE241F" w:rsidRPr="00CE241F" w14:paraId="1B424572" w14:textId="77777777" w:rsidTr="00CE241F">
        <w:tc>
          <w:tcPr>
            <w:tcW w:w="9619" w:type="dxa"/>
            <w:gridSpan w:val="2"/>
          </w:tcPr>
          <w:p w14:paraId="146BFAD3" w14:textId="77777777" w:rsidR="00CE241F" w:rsidRPr="00CE241F" w:rsidRDefault="00CE241F" w:rsidP="00905CC9">
            <w:pPr>
              <w:keepNext w:val="0"/>
              <w:spacing w:before="0"/>
              <w:jc w:val="left"/>
              <w:rPr>
                <w:b/>
                <w:bCs/>
                <w:color w:val="auto"/>
              </w:rPr>
            </w:pPr>
          </w:p>
          <w:p w14:paraId="0D82287A" w14:textId="77777777" w:rsidR="00CE241F" w:rsidRPr="00CE241F" w:rsidRDefault="00CE241F" w:rsidP="00905CC9">
            <w:pPr>
              <w:keepNext w:val="0"/>
              <w:spacing w:before="0"/>
              <w:jc w:val="left"/>
              <w:rPr>
                <w:b/>
                <w:bCs/>
                <w:color w:val="auto"/>
              </w:rPr>
            </w:pPr>
            <w:r w:rsidRPr="00CE241F">
              <w:rPr>
                <w:b/>
                <w:bCs/>
                <w:color w:val="auto"/>
              </w:rPr>
              <w:t>Policy SD2: Good Design Considerations for Development</w:t>
            </w:r>
          </w:p>
          <w:p w14:paraId="55579029" w14:textId="77777777" w:rsidR="00CE241F" w:rsidRPr="00CE241F" w:rsidRDefault="00CE241F" w:rsidP="00905CC9">
            <w:pPr>
              <w:keepNext w:val="0"/>
              <w:spacing w:before="0"/>
              <w:jc w:val="left"/>
              <w:rPr>
                <w:b/>
                <w:bCs/>
                <w:color w:val="auto"/>
              </w:rPr>
            </w:pPr>
          </w:p>
        </w:tc>
      </w:tr>
      <w:tr w:rsidR="00CE241F" w:rsidRPr="00CE241F" w14:paraId="47F8CC21" w14:textId="77777777" w:rsidTr="00CE241F">
        <w:tc>
          <w:tcPr>
            <w:tcW w:w="2521" w:type="dxa"/>
          </w:tcPr>
          <w:p w14:paraId="586EE401" w14:textId="77777777" w:rsidR="00CE241F" w:rsidRPr="00CE241F" w:rsidRDefault="00CE241F" w:rsidP="00905CC9">
            <w:pPr>
              <w:keepNext w:val="0"/>
              <w:spacing w:before="0"/>
              <w:jc w:val="left"/>
              <w:rPr>
                <w:color w:val="auto"/>
              </w:rPr>
            </w:pPr>
            <w:r w:rsidRPr="00CE241F">
              <w:rPr>
                <w:color w:val="auto"/>
              </w:rPr>
              <w:t>Strategic Objectives</w:t>
            </w:r>
          </w:p>
        </w:tc>
        <w:tc>
          <w:tcPr>
            <w:tcW w:w="7098" w:type="dxa"/>
          </w:tcPr>
          <w:p w14:paraId="312DE00B" w14:textId="77777777" w:rsidR="00CE241F" w:rsidRPr="00CE241F" w:rsidRDefault="00CE241F" w:rsidP="00905CC9">
            <w:pPr>
              <w:keepNext w:val="0"/>
              <w:spacing w:before="0"/>
              <w:jc w:val="left"/>
              <w:rPr>
                <w:color w:val="auto"/>
              </w:rPr>
            </w:pPr>
            <w:r w:rsidRPr="00CE241F">
              <w:rPr>
                <w:color w:val="auto"/>
              </w:rPr>
              <w:t xml:space="preserve">SO1, SO2, SO3, SO4, SO5, SO7, SO8, SO9, SO11, SO12, SO13, SO14. </w:t>
            </w:r>
          </w:p>
        </w:tc>
      </w:tr>
      <w:tr w:rsidR="00CE241F" w:rsidRPr="00CE241F" w14:paraId="7C16E3E7" w14:textId="77777777" w:rsidTr="00CE241F">
        <w:tc>
          <w:tcPr>
            <w:tcW w:w="9619" w:type="dxa"/>
            <w:gridSpan w:val="2"/>
            <w:shd w:val="clear" w:color="auto" w:fill="DAC4F8"/>
          </w:tcPr>
          <w:p w14:paraId="2EBBE86E" w14:textId="77777777" w:rsidR="00CE241F" w:rsidRPr="00595970" w:rsidRDefault="00CE241F" w:rsidP="00905CC9">
            <w:pPr>
              <w:keepNext w:val="0"/>
              <w:spacing w:before="0"/>
              <w:jc w:val="left"/>
              <w:rPr>
                <w:color w:val="auto"/>
              </w:rPr>
            </w:pPr>
          </w:p>
          <w:p w14:paraId="79D080A6" w14:textId="77777777" w:rsidR="00CE241F" w:rsidRPr="00595970" w:rsidRDefault="00CE241F" w:rsidP="00874A98">
            <w:pPr>
              <w:keepNext w:val="0"/>
              <w:numPr>
                <w:ilvl w:val="0"/>
                <w:numId w:val="288"/>
              </w:numPr>
              <w:spacing w:before="0"/>
              <w:contextualSpacing/>
              <w:jc w:val="left"/>
              <w:rPr>
                <w:color w:val="auto"/>
              </w:rPr>
            </w:pPr>
            <w:r w:rsidRPr="00595970">
              <w:rPr>
                <w:color w:val="auto"/>
              </w:rPr>
              <w:t xml:space="preserve">Through its layout and design, the Council will expect all new development to contribute to place making and be of high quality that contributes to a healthy, safe and sustainable environment. Proposals must have regard to the National Design Guide, and successfully integrate with and enhance their surroundings, be innovative where appropriate, and be adaptable to the evolving effects of climate change. </w:t>
            </w:r>
          </w:p>
          <w:p w14:paraId="4EE46574" w14:textId="77777777" w:rsidR="00CE241F" w:rsidRPr="00595970" w:rsidRDefault="00CE241F" w:rsidP="00905CC9">
            <w:pPr>
              <w:keepNext w:val="0"/>
              <w:spacing w:before="0"/>
              <w:ind w:left="360"/>
              <w:contextualSpacing/>
              <w:jc w:val="left"/>
              <w:rPr>
                <w:color w:val="auto"/>
              </w:rPr>
            </w:pPr>
          </w:p>
          <w:p w14:paraId="2B14E470" w14:textId="77777777" w:rsidR="00CE241F" w:rsidRPr="00595970" w:rsidRDefault="00CE241F" w:rsidP="00905CC9">
            <w:pPr>
              <w:keepNext w:val="0"/>
              <w:spacing w:before="0"/>
              <w:ind w:left="360"/>
              <w:contextualSpacing/>
              <w:jc w:val="left"/>
              <w:rPr>
                <w:b/>
                <w:bCs/>
                <w:color w:val="auto"/>
              </w:rPr>
            </w:pPr>
            <w:r w:rsidRPr="00595970">
              <w:rPr>
                <w:b/>
                <w:bCs/>
                <w:color w:val="auto"/>
              </w:rPr>
              <w:t xml:space="preserve">Development Form </w:t>
            </w:r>
          </w:p>
          <w:p w14:paraId="5B8C7999" w14:textId="77777777" w:rsidR="00CE241F" w:rsidRPr="00595970" w:rsidRDefault="00CE241F" w:rsidP="00874A98">
            <w:pPr>
              <w:keepNext w:val="0"/>
              <w:numPr>
                <w:ilvl w:val="0"/>
                <w:numId w:val="288"/>
              </w:numPr>
              <w:spacing w:before="0"/>
              <w:contextualSpacing/>
              <w:jc w:val="left"/>
              <w:rPr>
                <w:color w:val="auto"/>
              </w:rPr>
            </w:pPr>
            <w:r w:rsidRPr="00595970">
              <w:rPr>
                <w:color w:val="auto"/>
              </w:rPr>
              <w:t>Development proposals will be expected to respect, take advantage of and reinforce distinctive, local character and features.  Development proposals should demonstrate that account has been taken of the following factors:</w:t>
            </w:r>
          </w:p>
          <w:p w14:paraId="3721C56A" w14:textId="77777777" w:rsidR="00CE241F" w:rsidRPr="00595970" w:rsidRDefault="00CE241F" w:rsidP="00905CC9">
            <w:pPr>
              <w:keepNext w:val="0"/>
              <w:spacing w:before="0"/>
              <w:ind w:left="360"/>
              <w:contextualSpacing/>
              <w:jc w:val="left"/>
              <w:rPr>
                <w:color w:val="auto"/>
              </w:rPr>
            </w:pPr>
          </w:p>
          <w:p w14:paraId="259F3D64" w14:textId="77777777" w:rsidR="00CE241F" w:rsidRPr="00595970" w:rsidRDefault="00CE241F" w:rsidP="00874A98">
            <w:pPr>
              <w:keepNext w:val="0"/>
              <w:numPr>
                <w:ilvl w:val="0"/>
                <w:numId w:val="289"/>
              </w:numPr>
              <w:spacing w:before="0"/>
              <w:contextualSpacing/>
              <w:jc w:val="left"/>
              <w:rPr>
                <w:color w:val="auto"/>
              </w:rPr>
            </w:pPr>
            <w:r w:rsidRPr="00595970">
              <w:rPr>
                <w:color w:val="auto"/>
              </w:rPr>
              <w:t>The character of the area, including local materials (where deemed appropriate), architectural style and detailing;</w:t>
            </w:r>
          </w:p>
          <w:p w14:paraId="6902DC8C" w14:textId="77777777" w:rsidR="00CE241F" w:rsidRPr="00595970" w:rsidRDefault="00CE241F" w:rsidP="00905CC9">
            <w:pPr>
              <w:keepNext w:val="0"/>
              <w:spacing w:before="0"/>
              <w:ind w:left="720"/>
              <w:contextualSpacing/>
              <w:jc w:val="left"/>
              <w:rPr>
                <w:color w:val="auto"/>
              </w:rPr>
            </w:pPr>
          </w:p>
          <w:p w14:paraId="2DD3E20B" w14:textId="77777777" w:rsidR="00CE241F" w:rsidRPr="00595970" w:rsidRDefault="00CE241F" w:rsidP="00874A98">
            <w:pPr>
              <w:keepNext w:val="0"/>
              <w:numPr>
                <w:ilvl w:val="0"/>
                <w:numId w:val="289"/>
              </w:numPr>
              <w:spacing w:before="0"/>
              <w:contextualSpacing/>
              <w:jc w:val="left"/>
              <w:rPr>
                <w:color w:val="auto"/>
              </w:rPr>
            </w:pPr>
            <w:r w:rsidRPr="00595970">
              <w:rPr>
                <w:color w:val="auto"/>
              </w:rPr>
              <w:t>Existing land forms, orientation, natural and historic landscape features;</w:t>
            </w:r>
          </w:p>
          <w:p w14:paraId="34938B26" w14:textId="77777777" w:rsidR="00CE241F" w:rsidRPr="00595970" w:rsidRDefault="00CE241F" w:rsidP="00905CC9">
            <w:pPr>
              <w:keepNext w:val="0"/>
              <w:spacing w:before="0"/>
              <w:ind w:left="720"/>
              <w:contextualSpacing/>
              <w:jc w:val="left"/>
              <w:rPr>
                <w:color w:val="auto"/>
              </w:rPr>
            </w:pPr>
          </w:p>
          <w:p w14:paraId="1B4E11C4" w14:textId="77777777" w:rsidR="00CE241F" w:rsidRPr="00595970" w:rsidRDefault="00CE241F" w:rsidP="00874A98">
            <w:pPr>
              <w:keepNext w:val="0"/>
              <w:numPr>
                <w:ilvl w:val="0"/>
                <w:numId w:val="289"/>
              </w:numPr>
              <w:spacing w:before="0"/>
              <w:contextualSpacing/>
              <w:jc w:val="left"/>
              <w:rPr>
                <w:color w:val="auto"/>
              </w:rPr>
            </w:pPr>
            <w:r w:rsidRPr="00595970">
              <w:rPr>
                <w:color w:val="auto"/>
              </w:rPr>
              <w:t xml:space="preserve">Existing uses and activities; </w:t>
            </w:r>
          </w:p>
          <w:p w14:paraId="1D0C4154" w14:textId="77777777" w:rsidR="00CE241F" w:rsidRPr="00595970" w:rsidRDefault="00CE241F" w:rsidP="00905CC9">
            <w:pPr>
              <w:keepNext w:val="0"/>
              <w:spacing w:before="0"/>
              <w:ind w:left="720"/>
              <w:contextualSpacing/>
              <w:jc w:val="left"/>
              <w:rPr>
                <w:color w:val="auto"/>
              </w:rPr>
            </w:pPr>
          </w:p>
          <w:p w14:paraId="7A330509" w14:textId="77777777" w:rsidR="00CE241F" w:rsidRPr="00595970" w:rsidRDefault="00CE241F" w:rsidP="00874A98">
            <w:pPr>
              <w:keepNext w:val="0"/>
              <w:numPr>
                <w:ilvl w:val="0"/>
                <w:numId w:val="289"/>
              </w:numPr>
              <w:spacing w:before="0"/>
              <w:contextualSpacing/>
              <w:jc w:val="left"/>
              <w:rPr>
                <w:color w:val="auto"/>
              </w:rPr>
            </w:pPr>
            <w:r w:rsidRPr="00595970">
              <w:rPr>
                <w:color w:val="auto"/>
              </w:rPr>
              <w:t>The local pattern and grain of development, with respect to the arrangement of street layout and open spaces, block size, plots and building patterns;</w:t>
            </w:r>
          </w:p>
          <w:p w14:paraId="12551C17" w14:textId="77777777" w:rsidR="00CE241F" w:rsidRPr="00595970" w:rsidRDefault="00CE241F" w:rsidP="00905CC9">
            <w:pPr>
              <w:keepNext w:val="0"/>
              <w:spacing w:before="0"/>
              <w:ind w:left="720"/>
              <w:contextualSpacing/>
              <w:jc w:val="left"/>
              <w:rPr>
                <w:color w:val="auto"/>
              </w:rPr>
            </w:pPr>
          </w:p>
          <w:p w14:paraId="66234E88" w14:textId="77777777" w:rsidR="00CE241F" w:rsidRPr="00595970" w:rsidRDefault="00CE241F" w:rsidP="00874A98">
            <w:pPr>
              <w:keepNext w:val="0"/>
              <w:numPr>
                <w:ilvl w:val="0"/>
                <w:numId w:val="289"/>
              </w:numPr>
              <w:spacing w:before="0"/>
              <w:contextualSpacing/>
              <w:jc w:val="left"/>
              <w:rPr>
                <w:color w:val="auto"/>
              </w:rPr>
            </w:pPr>
            <w:r w:rsidRPr="00595970">
              <w:rPr>
                <w:color w:val="auto"/>
              </w:rPr>
              <w:t>The scale, shape, form and proportion of existing buildings, building lines and heights within the street scene;</w:t>
            </w:r>
          </w:p>
          <w:p w14:paraId="7388AFBD" w14:textId="77777777" w:rsidR="00CE241F" w:rsidRPr="00595970" w:rsidRDefault="00CE241F" w:rsidP="00905CC9">
            <w:pPr>
              <w:keepNext w:val="0"/>
              <w:spacing w:before="0"/>
              <w:ind w:left="720"/>
              <w:contextualSpacing/>
              <w:jc w:val="left"/>
              <w:rPr>
                <w:color w:val="auto"/>
              </w:rPr>
            </w:pPr>
          </w:p>
          <w:p w14:paraId="5DCADAEC" w14:textId="77777777" w:rsidR="00CE241F" w:rsidRPr="00595970" w:rsidRDefault="00CE241F" w:rsidP="00874A98">
            <w:pPr>
              <w:keepNext w:val="0"/>
              <w:numPr>
                <w:ilvl w:val="0"/>
                <w:numId w:val="289"/>
              </w:numPr>
              <w:spacing w:before="0"/>
              <w:contextualSpacing/>
              <w:jc w:val="left"/>
              <w:rPr>
                <w:color w:val="auto"/>
              </w:rPr>
            </w:pPr>
            <w:r w:rsidRPr="00595970">
              <w:rPr>
                <w:color w:val="auto"/>
              </w:rPr>
              <w:t>The scale in relation to the surrounding topography, views, vistas and skylines;</w:t>
            </w:r>
          </w:p>
          <w:p w14:paraId="4A3D73EA" w14:textId="77777777" w:rsidR="00CE241F" w:rsidRPr="00595970" w:rsidRDefault="00CE241F" w:rsidP="00905CC9">
            <w:pPr>
              <w:keepNext w:val="0"/>
              <w:spacing w:before="0"/>
              <w:ind w:left="720"/>
              <w:contextualSpacing/>
              <w:jc w:val="left"/>
              <w:rPr>
                <w:color w:val="auto"/>
              </w:rPr>
            </w:pPr>
          </w:p>
          <w:p w14:paraId="3294AC3A" w14:textId="77777777" w:rsidR="00CE241F" w:rsidRPr="00595970" w:rsidRDefault="00CE241F" w:rsidP="00874A98">
            <w:pPr>
              <w:keepNext w:val="0"/>
              <w:numPr>
                <w:ilvl w:val="0"/>
                <w:numId w:val="289"/>
              </w:numPr>
              <w:spacing w:before="0"/>
              <w:contextualSpacing/>
              <w:jc w:val="left"/>
              <w:rPr>
                <w:color w:val="auto"/>
              </w:rPr>
            </w:pPr>
            <w:r w:rsidRPr="00595970">
              <w:rPr>
                <w:color w:val="auto"/>
              </w:rPr>
              <w:t xml:space="preserve">Local landmarks, focal buildings and features, particularly heritage assets; </w:t>
            </w:r>
          </w:p>
          <w:p w14:paraId="0CA00D35" w14:textId="77777777" w:rsidR="00CE241F" w:rsidRPr="00595970" w:rsidRDefault="00CE241F" w:rsidP="00905CC9">
            <w:pPr>
              <w:keepNext w:val="0"/>
              <w:spacing w:before="0"/>
              <w:ind w:left="720"/>
              <w:contextualSpacing/>
              <w:jc w:val="left"/>
              <w:rPr>
                <w:color w:val="auto"/>
              </w:rPr>
            </w:pPr>
          </w:p>
          <w:p w14:paraId="73275F73" w14:textId="77777777" w:rsidR="00CE241F" w:rsidRPr="00595970" w:rsidRDefault="00CE241F" w:rsidP="00874A98">
            <w:pPr>
              <w:keepNext w:val="0"/>
              <w:numPr>
                <w:ilvl w:val="0"/>
                <w:numId w:val="289"/>
              </w:numPr>
              <w:spacing w:before="0"/>
              <w:contextualSpacing/>
              <w:jc w:val="left"/>
              <w:rPr>
                <w:color w:val="auto"/>
              </w:rPr>
            </w:pPr>
            <w:r w:rsidRPr="00595970">
              <w:rPr>
                <w:color w:val="auto"/>
              </w:rPr>
              <w:t>Important views into, out of and through the area;</w:t>
            </w:r>
          </w:p>
          <w:p w14:paraId="4885BDA1" w14:textId="77777777" w:rsidR="00CE241F" w:rsidRPr="00595970" w:rsidRDefault="00CE241F" w:rsidP="00905CC9">
            <w:pPr>
              <w:keepNext w:val="0"/>
              <w:spacing w:before="0"/>
              <w:ind w:left="720"/>
              <w:contextualSpacing/>
              <w:jc w:val="left"/>
              <w:rPr>
                <w:color w:val="auto"/>
              </w:rPr>
            </w:pPr>
          </w:p>
          <w:p w14:paraId="4DC8B742" w14:textId="77777777" w:rsidR="00CE241F" w:rsidRPr="00595970" w:rsidRDefault="00CE241F" w:rsidP="00874A98">
            <w:pPr>
              <w:keepNext w:val="0"/>
              <w:numPr>
                <w:ilvl w:val="0"/>
                <w:numId w:val="289"/>
              </w:numPr>
              <w:spacing w:before="0"/>
              <w:contextualSpacing/>
              <w:jc w:val="left"/>
              <w:rPr>
                <w:color w:val="auto"/>
              </w:rPr>
            </w:pPr>
            <w:r w:rsidRPr="00595970">
              <w:rPr>
                <w:color w:val="auto"/>
              </w:rPr>
              <w:t>Landscape character and features;</w:t>
            </w:r>
          </w:p>
          <w:p w14:paraId="282B3CCA" w14:textId="77777777" w:rsidR="00CE241F" w:rsidRPr="00595970" w:rsidRDefault="00CE241F" w:rsidP="00905CC9">
            <w:pPr>
              <w:keepNext w:val="0"/>
              <w:spacing w:before="0"/>
              <w:ind w:left="720"/>
              <w:contextualSpacing/>
              <w:jc w:val="left"/>
              <w:rPr>
                <w:color w:val="auto"/>
              </w:rPr>
            </w:pPr>
          </w:p>
          <w:p w14:paraId="1DC7D4BF" w14:textId="77777777" w:rsidR="00CE241F" w:rsidRPr="00595970" w:rsidRDefault="00CE241F" w:rsidP="00874A98">
            <w:pPr>
              <w:keepNext w:val="0"/>
              <w:numPr>
                <w:ilvl w:val="0"/>
                <w:numId w:val="289"/>
              </w:numPr>
              <w:spacing w:before="0"/>
              <w:contextualSpacing/>
              <w:jc w:val="left"/>
              <w:rPr>
                <w:color w:val="auto"/>
              </w:rPr>
            </w:pPr>
            <w:r w:rsidRPr="00595970">
              <w:rPr>
                <w:color w:val="auto"/>
              </w:rPr>
              <w:t xml:space="preserve">Green and blue infrastructure assets; and </w:t>
            </w:r>
          </w:p>
          <w:p w14:paraId="1639622E" w14:textId="77777777" w:rsidR="00CE241F" w:rsidRPr="00595970" w:rsidRDefault="00CE241F" w:rsidP="00905CC9">
            <w:pPr>
              <w:keepNext w:val="0"/>
              <w:spacing w:before="0"/>
              <w:ind w:left="720"/>
              <w:contextualSpacing/>
              <w:jc w:val="left"/>
              <w:rPr>
                <w:color w:val="auto"/>
              </w:rPr>
            </w:pPr>
          </w:p>
          <w:p w14:paraId="32783A6E" w14:textId="77777777" w:rsidR="00CE241F" w:rsidRPr="00595970" w:rsidRDefault="00CE241F" w:rsidP="00874A98">
            <w:pPr>
              <w:keepNext w:val="0"/>
              <w:numPr>
                <w:ilvl w:val="0"/>
                <w:numId w:val="289"/>
              </w:numPr>
              <w:spacing w:before="0"/>
              <w:contextualSpacing/>
              <w:jc w:val="left"/>
              <w:rPr>
                <w:color w:val="auto"/>
              </w:rPr>
            </w:pPr>
            <w:r w:rsidRPr="00595970">
              <w:rPr>
                <w:color w:val="auto"/>
              </w:rPr>
              <w:t>Opportunities to enhance gateways.</w:t>
            </w:r>
          </w:p>
          <w:p w14:paraId="49665EE2" w14:textId="77777777" w:rsidR="00CE241F" w:rsidRDefault="00CE241F" w:rsidP="00905CC9">
            <w:pPr>
              <w:keepNext w:val="0"/>
              <w:spacing w:before="0"/>
              <w:ind w:left="360"/>
              <w:contextualSpacing/>
              <w:jc w:val="left"/>
              <w:rPr>
                <w:color w:val="auto"/>
              </w:rPr>
            </w:pPr>
          </w:p>
          <w:p w14:paraId="2539D6E9" w14:textId="77777777" w:rsidR="005A0FAE" w:rsidRDefault="005A0FAE" w:rsidP="00905CC9">
            <w:pPr>
              <w:keepNext w:val="0"/>
              <w:spacing w:before="0"/>
              <w:ind w:left="360"/>
              <w:contextualSpacing/>
              <w:jc w:val="left"/>
              <w:rPr>
                <w:color w:val="auto"/>
              </w:rPr>
            </w:pPr>
          </w:p>
          <w:p w14:paraId="2826F5AC" w14:textId="77777777" w:rsidR="005A0FAE" w:rsidRDefault="005A0FAE" w:rsidP="00905CC9">
            <w:pPr>
              <w:keepNext w:val="0"/>
              <w:spacing w:before="0"/>
              <w:ind w:left="360"/>
              <w:contextualSpacing/>
              <w:jc w:val="left"/>
              <w:rPr>
                <w:color w:val="auto"/>
              </w:rPr>
            </w:pPr>
          </w:p>
          <w:p w14:paraId="44D7E72D" w14:textId="77777777" w:rsidR="005A0FAE" w:rsidRPr="00595970" w:rsidRDefault="005A0FAE" w:rsidP="00905CC9">
            <w:pPr>
              <w:keepNext w:val="0"/>
              <w:spacing w:before="0"/>
              <w:ind w:left="360"/>
              <w:contextualSpacing/>
              <w:jc w:val="left"/>
              <w:rPr>
                <w:color w:val="auto"/>
              </w:rPr>
            </w:pPr>
          </w:p>
          <w:p w14:paraId="7752E488" w14:textId="77777777" w:rsidR="00CE241F" w:rsidRPr="00595970" w:rsidRDefault="00CE241F" w:rsidP="00905CC9">
            <w:pPr>
              <w:keepNext w:val="0"/>
              <w:spacing w:before="0"/>
              <w:ind w:left="360"/>
              <w:contextualSpacing/>
              <w:jc w:val="left"/>
              <w:rPr>
                <w:b/>
                <w:bCs/>
                <w:color w:val="auto"/>
              </w:rPr>
            </w:pPr>
            <w:r w:rsidRPr="00595970">
              <w:rPr>
                <w:b/>
                <w:bCs/>
                <w:color w:val="auto"/>
              </w:rPr>
              <w:t>Movement</w:t>
            </w:r>
          </w:p>
          <w:p w14:paraId="42162CD8" w14:textId="77777777" w:rsidR="00CE241F" w:rsidRPr="00595970" w:rsidRDefault="00CE241F" w:rsidP="00874A98">
            <w:pPr>
              <w:keepNext w:val="0"/>
              <w:numPr>
                <w:ilvl w:val="0"/>
                <w:numId w:val="288"/>
              </w:numPr>
              <w:spacing w:before="0"/>
              <w:contextualSpacing/>
              <w:jc w:val="left"/>
              <w:rPr>
                <w:color w:val="auto"/>
              </w:rPr>
            </w:pPr>
            <w:r w:rsidRPr="00595970">
              <w:rPr>
                <w:color w:val="auto"/>
              </w:rPr>
              <w:t>Development proposals should create permeable and legible layouts that provide clear and direct access to, through and within the development for all potential users, including those with impaired mobility. In achieving this, proposals should ensure:</w:t>
            </w:r>
          </w:p>
          <w:p w14:paraId="67C3229F" w14:textId="77777777" w:rsidR="00CE241F" w:rsidRPr="00595970" w:rsidRDefault="00CE241F" w:rsidP="00905CC9">
            <w:pPr>
              <w:keepNext w:val="0"/>
              <w:spacing w:before="0"/>
              <w:ind w:left="360"/>
              <w:contextualSpacing/>
              <w:jc w:val="left"/>
              <w:rPr>
                <w:color w:val="auto"/>
              </w:rPr>
            </w:pPr>
          </w:p>
          <w:p w14:paraId="249E094B" w14:textId="10A58157" w:rsidR="00CE241F" w:rsidRPr="00595970" w:rsidRDefault="00CE241F" w:rsidP="00874A98">
            <w:pPr>
              <w:keepNext w:val="0"/>
              <w:numPr>
                <w:ilvl w:val="0"/>
                <w:numId w:val="290"/>
              </w:numPr>
              <w:spacing w:before="0"/>
              <w:contextualSpacing/>
              <w:jc w:val="left"/>
              <w:rPr>
                <w:color w:val="auto"/>
              </w:rPr>
            </w:pPr>
            <w:r w:rsidRPr="00595970">
              <w:rPr>
                <w:color w:val="auto"/>
              </w:rPr>
              <w:t>They create effective pedestrian and cyclist routes / movement;</w:t>
            </w:r>
          </w:p>
          <w:p w14:paraId="5DD7411C" w14:textId="77777777" w:rsidR="00CE241F" w:rsidRPr="00595970" w:rsidRDefault="00CE241F" w:rsidP="00905CC9">
            <w:pPr>
              <w:keepNext w:val="0"/>
              <w:spacing w:before="0"/>
              <w:ind w:left="720"/>
              <w:contextualSpacing/>
              <w:jc w:val="left"/>
              <w:rPr>
                <w:color w:val="auto"/>
              </w:rPr>
            </w:pPr>
          </w:p>
          <w:p w14:paraId="25E9B839" w14:textId="77777777" w:rsidR="00CE241F" w:rsidRPr="00595970" w:rsidRDefault="00CE241F" w:rsidP="00874A98">
            <w:pPr>
              <w:keepNext w:val="0"/>
              <w:numPr>
                <w:ilvl w:val="0"/>
                <w:numId w:val="290"/>
              </w:numPr>
              <w:spacing w:before="0"/>
              <w:contextualSpacing/>
              <w:jc w:val="left"/>
              <w:rPr>
                <w:color w:val="auto"/>
              </w:rPr>
            </w:pPr>
            <w:r w:rsidRPr="00595970">
              <w:rPr>
                <w:color w:val="auto"/>
              </w:rPr>
              <w:t>Integration, retention and/or reinstatement of existing footpaths, cycle routes and bridleways; and</w:t>
            </w:r>
          </w:p>
          <w:p w14:paraId="124D2F83" w14:textId="77777777" w:rsidR="00CE241F" w:rsidRPr="00595970" w:rsidRDefault="00CE241F" w:rsidP="00905CC9">
            <w:pPr>
              <w:keepNext w:val="0"/>
              <w:spacing w:before="0"/>
              <w:ind w:left="720"/>
              <w:contextualSpacing/>
              <w:jc w:val="left"/>
              <w:rPr>
                <w:color w:val="auto"/>
              </w:rPr>
            </w:pPr>
          </w:p>
          <w:p w14:paraId="36246F09" w14:textId="77777777" w:rsidR="00CE241F" w:rsidRPr="00595970" w:rsidRDefault="00CE241F" w:rsidP="00874A98">
            <w:pPr>
              <w:keepNext w:val="0"/>
              <w:numPr>
                <w:ilvl w:val="0"/>
                <w:numId w:val="290"/>
              </w:numPr>
              <w:spacing w:before="0"/>
              <w:contextualSpacing/>
              <w:jc w:val="left"/>
              <w:rPr>
                <w:color w:val="auto"/>
              </w:rPr>
            </w:pPr>
            <w:r w:rsidRPr="00595970">
              <w:rPr>
                <w:color w:val="auto"/>
              </w:rPr>
              <w:t>Where appropriate, creation of new routes linking to existing green and blue infrastructure networks, including rights of way within the countryside.</w:t>
            </w:r>
          </w:p>
          <w:p w14:paraId="2EC479D2" w14:textId="77777777" w:rsidR="00CE241F" w:rsidRPr="00595970" w:rsidRDefault="00CE241F" w:rsidP="00905CC9">
            <w:pPr>
              <w:keepNext w:val="0"/>
              <w:spacing w:before="0"/>
              <w:ind w:left="360"/>
              <w:contextualSpacing/>
              <w:jc w:val="left"/>
              <w:rPr>
                <w:color w:val="auto"/>
              </w:rPr>
            </w:pPr>
          </w:p>
          <w:p w14:paraId="4282470E" w14:textId="77777777" w:rsidR="00CE241F" w:rsidRPr="00595970" w:rsidRDefault="00CE241F" w:rsidP="00905CC9">
            <w:pPr>
              <w:keepNext w:val="0"/>
              <w:spacing w:before="0"/>
              <w:ind w:left="360"/>
              <w:contextualSpacing/>
              <w:jc w:val="left"/>
              <w:rPr>
                <w:b/>
                <w:bCs/>
                <w:color w:val="auto"/>
              </w:rPr>
            </w:pPr>
            <w:r w:rsidRPr="00595970">
              <w:rPr>
                <w:b/>
                <w:bCs/>
                <w:color w:val="auto"/>
              </w:rPr>
              <w:t>Public Realm &amp; Open Space</w:t>
            </w:r>
          </w:p>
          <w:p w14:paraId="1AECAECB" w14:textId="77777777" w:rsidR="00CE241F" w:rsidRPr="00595970" w:rsidRDefault="00CE241F" w:rsidP="00874A98">
            <w:pPr>
              <w:keepNext w:val="0"/>
              <w:numPr>
                <w:ilvl w:val="0"/>
                <w:numId w:val="288"/>
              </w:numPr>
              <w:spacing w:before="0"/>
              <w:contextualSpacing/>
              <w:jc w:val="left"/>
              <w:rPr>
                <w:color w:val="auto"/>
              </w:rPr>
            </w:pPr>
            <w:r w:rsidRPr="00595970">
              <w:rPr>
                <w:color w:val="auto"/>
              </w:rPr>
              <w:t>The public realm elements of a development proposal must complement the proposed building/s and seek to enhance its surroundings. Proposals must apply an appropriate balance of hard and soft landscape that contributes to the overall design of the scheme. When creating public realm strategies for a site, proposals should apply and consider the following:</w:t>
            </w:r>
          </w:p>
          <w:p w14:paraId="04FA58E6" w14:textId="77777777" w:rsidR="00CE241F" w:rsidRPr="00595970" w:rsidRDefault="00CE241F" w:rsidP="00905CC9">
            <w:pPr>
              <w:keepNext w:val="0"/>
              <w:spacing w:before="0"/>
              <w:ind w:left="360"/>
              <w:contextualSpacing/>
              <w:jc w:val="left"/>
              <w:rPr>
                <w:color w:val="auto"/>
              </w:rPr>
            </w:pPr>
          </w:p>
          <w:p w14:paraId="1331170C" w14:textId="77777777" w:rsidR="00CE241F" w:rsidRPr="00595970" w:rsidRDefault="00CE241F" w:rsidP="00874A98">
            <w:pPr>
              <w:keepNext w:val="0"/>
              <w:numPr>
                <w:ilvl w:val="0"/>
                <w:numId w:val="291"/>
              </w:numPr>
              <w:spacing w:before="0"/>
              <w:contextualSpacing/>
              <w:jc w:val="left"/>
              <w:rPr>
                <w:color w:val="auto"/>
              </w:rPr>
            </w:pPr>
            <w:r w:rsidRPr="00595970">
              <w:rPr>
                <w:color w:val="auto"/>
              </w:rPr>
              <w:t>Locate public spaces on main lines of movement (pedestrian or vehicular);</w:t>
            </w:r>
          </w:p>
          <w:p w14:paraId="5D4DD045" w14:textId="77777777" w:rsidR="00CE241F" w:rsidRPr="00595970" w:rsidRDefault="00CE241F" w:rsidP="00905CC9">
            <w:pPr>
              <w:keepNext w:val="0"/>
              <w:spacing w:before="0"/>
              <w:ind w:left="720"/>
              <w:contextualSpacing/>
              <w:jc w:val="left"/>
              <w:rPr>
                <w:color w:val="auto"/>
              </w:rPr>
            </w:pPr>
            <w:r w:rsidRPr="00595970">
              <w:rPr>
                <w:color w:val="auto"/>
              </w:rPr>
              <w:t xml:space="preserve"> </w:t>
            </w:r>
          </w:p>
          <w:p w14:paraId="0D3BC7A7" w14:textId="77777777" w:rsidR="00CE241F" w:rsidRPr="00595970" w:rsidRDefault="00CE241F" w:rsidP="00874A98">
            <w:pPr>
              <w:keepNext w:val="0"/>
              <w:numPr>
                <w:ilvl w:val="0"/>
                <w:numId w:val="291"/>
              </w:numPr>
              <w:spacing w:before="0"/>
              <w:contextualSpacing/>
              <w:jc w:val="left"/>
              <w:rPr>
                <w:color w:val="auto"/>
              </w:rPr>
            </w:pPr>
            <w:r w:rsidRPr="00595970">
              <w:rPr>
                <w:color w:val="auto"/>
              </w:rPr>
              <w:t>Spaces must present imaginative, high quality design and contributes to the District’s wider green infrastructure framework;</w:t>
            </w:r>
          </w:p>
          <w:p w14:paraId="49670A50" w14:textId="77777777" w:rsidR="00CE241F" w:rsidRPr="00595970" w:rsidRDefault="00CE241F" w:rsidP="00905CC9">
            <w:pPr>
              <w:keepNext w:val="0"/>
              <w:spacing w:before="0"/>
              <w:ind w:left="720"/>
              <w:contextualSpacing/>
              <w:jc w:val="left"/>
              <w:rPr>
                <w:color w:val="auto"/>
              </w:rPr>
            </w:pPr>
          </w:p>
          <w:p w14:paraId="11038531" w14:textId="77777777" w:rsidR="00CE241F" w:rsidRPr="00595970" w:rsidRDefault="00CE241F" w:rsidP="00874A98">
            <w:pPr>
              <w:keepNext w:val="0"/>
              <w:numPr>
                <w:ilvl w:val="0"/>
                <w:numId w:val="291"/>
              </w:numPr>
              <w:spacing w:before="0"/>
              <w:contextualSpacing/>
              <w:jc w:val="left"/>
              <w:rPr>
                <w:color w:val="auto"/>
              </w:rPr>
            </w:pPr>
            <w:r w:rsidRPr="00595970">
              <w:rPr>
                <w:color w:val="auto"/>
              </w:rPr>
              <w:t>Spaces and routes must be overlooked from surrounding buildings, with active frontages onto spaces where appropriate;</w:t>
            </w:r>
          </w:p>
          <w:p w14:paraId="4F197261" w14:textId="77777777" w:rsidR="00CE241F" w:rsidRPr="00595970" w:rsidRDefault="00CE241F" w:rsidP="00905CC9">
            <w:pPr>
              <w:keepNext w:val="0"/>
              <w:spacing w:before="0"/>
              <w:ind w:left="720"/>
              <w:contextualSpacing/>
              <w:jc w:val="left"/>
              <w:rPr>
                <w:color w:val="auto"/>
              </w:rPr>
            </w:pPr>
          </w:p>
          <w:p w14:paraId="1E45DB51" w14:textId="77777777" w:rsidR="00CE241F" w:rsidRPr="00595970" w:rsidRDefault="00CE241F" w:rsidP="00874A98">
            <w:pPr>
              <w:keepNext w:val="0"/>
              <w:numPr>
                <w:ilvl w:val="0"/>
                <w:numId w:val="291"/>
              </w:numPr>
              <w:spacing w:before="0"/>
              <w:contextualSpacing/>
              <w:jc w:val="left"/>
              <w:rPr>
                <w:color w:val="auto"/>
              </w:rPr>
            </w:pPr>
            <w:r w:rsidRPr="00595970">
              <w:rPr>
                <w:color w:val="auto"/>
              </w:rPr>
              <w:t>Creation of incidental and/or small areas of grass / open space with little function will not be accepted;</w:t>
            </w:r>
          </w:p>
          <w:p w14:paraId="78FB715D" w14:textId="77777777" w:rsidR="00CE241F" w:rsidRPr="00595970" w:rsidRDefault="00CE241F" w:rsidP="00905CC9">
            <w:pPr>
              <w:keepNext w:val="0"/>
              <w:spacing w:before="0"/>
              <w:ind w:left="720"/>
              <w:contextualSpacing/>
              <w:jc w:val="left"/>
              <w:rPr>
                <w:color w:val="auto"/>
              </w:rPr>
            </w:pPr>
          </w:p>
          <w:p w14:paraId="6138ECCD" w14:textId="77777777" w:rsidR="00CE241F" w:rsidRPr="00595970" w:rsidRDefault="00CE241F" w:rsidP="00874A98">
            <w:pPr>
              <w:keepNext w:val="0"/>
              <w:numPr>
                <w:ilvl w:val="0"/>
                <w:numId w:val="291"/>
              </w:numPr>
              <w:spacing w:before="0"/>
              <w:contextualSpacing/>
              <w:jc w:val="left"/>
              <w:rPr>
                <w:color w:val="auto"/>
              </w:rPr>
            </w:pPr>
            <w:r w:rsidRPr="00595970">
              <w:rPr>
                <w:color w:val="auto"/>
              </w:rPr>
              <w:t xml:space="preserve">Prioritise the retention of key natural features, such as mature trees, hedgerows and land forms; </w:t>
            </w:r>
          </w:p>
          <w:p w14:paraId="5FE16397" w14:textId="77777777" w:rsidR="00CE241F" w:rsidRPr="00595970" w:rsidRDefault="00CE241F" w:rsidP="00905CC9">
            <w:pPr>
              <w:keepNext w:val="0"/>
              <w:spacing w:before="0"/>
              <w:ind w:left="720"/>
              <w:contextualSpacing/>
              <w:jc w:val="left"/>
              <w:rPr>
                <w:color w:val="auto"/>
              </w:rPr>
            </w:pPr>
          </w:p>
          <w:p w14:paraId="64B68001" w14:textId="77777777" w:rsidR="00CE241F" w:rsidRPr="00595970" w:rsidRDefault="00CE241F" w:rsidP="00874A98">
            <w:pPr>
              <w:keepNext w:val="0"/>
              <w:numPr>
                <w:ilvl w:val="0"/>
                <w:numId w:val="291"/>
              </w:numPr>
              <w:spacing w:before="0"/>
              <w:contextualSpacing/>
              <w:jc w:val="left"/>
              <w:rPr>
                <w:color w:val="auto"/>
              </w:rPr>
            </w:pPr>
            <w:r w:rsidRPr="00595970">
              <w:rPr>
                <w:color w:val="auto"/>
              </w:rPr>
              <w:t>Provide new trees, including street trees, hedgerows and additional native species planting as part of the overall landscaping framework throughout a site;</w:t>
            </w:r>
          </w:p>
          <w:p w14:paraId="485992A2" w14:textId="77777777" w:rsidR="00CE241F" w:rsidRPr="00595970" w:rsidRDefault="00CE241F" w:rsidP="00905CC9">
            <w:pPr>
              <w:keepNext w:val="0"/>
              <w:spacing w:before="0"/>
              <w:ind w:left="720"/>
              <w:contextualSpacing/>
              <w:jc w:val="left"/>
              <w:rPr>
                <w:color w:val="auto"/>
              </w:rPr>
            </w:pPr>
          </w:p>
          <w:p w14:paraId="2F5B3CC0" w14:textId="77777777" w:rsidR="00CE241F" w:rsidRPr="00595970" w:rsidRDefault="00CE241F" w:rsidP="00874A98">
            <w:pPr>
              <w:keepNext w:val="0"/>
              <w:numPr>
                <w:ilvl w:val="0"/>
                <w:numId w:val="291"/>
              </w:numPr>
              <w:spacing w:before="0"/>
              <w:contextualSpacing/>
              <w:jc w:val="left"/>
              <w:rPr>
                <w:color w:val="auto"/>
              </w:rPr>
            </w:pPr>
            <w:r w:rsidRPr="00595970">
              <w:rPr>
                <w:color w:val="auto"/>
              </w:rPr>
              <w:t xml:space="preserve">Strengthen and protect existing boundary hedgerows around the site; </w:t>
            </w:r>
          </w:p>
          <w:p w14:paraId="5A365ACE" w14:textId="77777777" w:rsidR="00CE241F" w:rsidRPr="00595970" w:rsidRDefault="00CE241F" w:rsidP="00905CC9">
            <w:pPr>
              <w:keepNext w:val="0"/>
              <w:spacing w:before="0"/>
              <w:ind w:left="720"/>
              <w:contextualSpacing/>
              <w:jc w:val="left"/>
              <w:rPr>
                <w:color w:val="auto"/>
              </w:rPr>
            </w:pPr>
          </w:p>
          <w:p w14:paraId="72466E7E" w14:textId="77777777" w:rsidR="00CE241F" w:rsidRPr="00595970" w:rsidRDefault="00CE241F" w:rsidP="00874A98">
            <w:pPr>
              <w:keepNext w:val="0"/>
              <w:numPr>
                <w:ilvl w:val="0"/>
                <w:numId w:val="291"/>
              </w:numPr>
              <w:spacing w:before="0"/>
              <w:contextualSpacing/>
              <w:jc w:val="left"/>
              <w:rPr>
                <w:color w:val="auto"/>
              </w:rPr>
            </w:pPr>
            <w:r w:rsidRPr="00595970">
              <w:rPr>
                <w:color w:val="auto"/>
              </w:rPr>
              <w:t>Provide appropriate landscaping and screening to aid residential amenity; and</w:t>
            </w:r>
          </w:p>
          <w:p w14:paraId="1309D9ED" w14:textId="77777777" w:rsidR="00CE241F" w:rsidRPr="00595970" w:rsidRDefault="00CE241F" w:rsidP="00905CC9">
            <w:pPr>
              <w:keepNext w:val="0"/>
              <w:spacing w:before="0"/>
              <w:ind w:left="720"/>
              <w:contextualSpacing/>
              <w:jc w:val="left"/>
              <w:rPr>
                <w:color w:val="auto"/>
              </w:rPr>
            </w:pPr>
          </w:p>
          <w:p w14:paraId="7BFA2034" w14:textId="77777777" w:rsidR="00CE241F" w:rsidRPr="00595970" w:rsidRDefault="00CE241F" w:rsidP="00874A98">
            <w:pPr>
              <w:keepNext w:val="0"/>
              <w:numPr>
                <w:ilvl w:val="0"/>
                <w:numId w:val="291"/>
              </w:numPr>
              <w:spacing w:before="0"/>
              <w:contextualSpacing/>
              <w:jc w:val="left"/>
              <w:rPr>
                <w:color w:val="auto"/>
              </w:rPr>
            </w:pPr>
            <w:r w:rsidRPr="00595970">
              <w:rPr>
                <w:color w:val="auto"/>
              </w:rPr>
              <w:t>Potential impact of artificial lighting on wildlife.</w:t>
            </w:r>
          </w:p>
          <w:p w14:paraId="45B25331" w14:textId="77777777" w:rsidR="00CE241F" w:rsidRPr="00595970" w:rsidRDefault="00CE241F" w:rsidP="00905CC9">
            <w:pPr>
              <w:keepNext w:val="0"/>
              <w:spacing w:before="0"/>
              <w:ind w:left="360"/>
              <w:contextualSpacing/>
              <w:jc w:val="left"/>
              <w:rPr>
                <w:color w:val="auto"/>
              </w:rPr>
            </w:pPr>
          </w:p>
          <w:p w14:paraId="652E52A5" w14:textId="77777777" w:rsidR="00CE241F" w:rsidRPr="00595970" w:rsidRDefault="00CE241F" w:rsidP="00905CC9">
            <w:pPr>
              <w:keepNext w:val="0"/>
              <w:spacing w:before="0"/>
              <w:ind w:left="360"/>
              <w:contextualSpacing/>
              <w:jc w:val="left"/>
              <w:rPr>
                <w:b/>
                <w:bCs/>
                <w:color w:val="auto"/>
              </w:rPr>
            </w:pPr>
            <w:r w:rsidRPr="00595970">
              <w:rPr>
                <w:b/>
                <w:bCs/>
                <w:color w:val="auto"/>
              </w:rPr>
              <w:t>Safety</w:t>
            </w:r>
          </w:p>
          <w:p w14:paraId="3D256799" w14:textId="77777777" w:rsidR="00CE241F" w:rsidRPr="00595970" w:rsidRDefault="00CE241F" w:rsidP="00874A98">
            <w:pPr>
              <w:keepNext w:val="0"/>
              <w:numPr>
                <w:ilvl w:val="0"/>
                <w:numId w:val="288"/>
              </w:numPr>
              <w:spacing w:before="0"/>
              <w:contextualSpacing/>
              <w:jc w:val="left"/>
              <w:rPr>
                <w:color w:val="auto"/>
              </w:rPr>
            </w:pPr>
            <w:r w:rsidRPr="00595970">
              <w:rPr>
                <w:color w:val="auto"/>
              </w:rPr>
              <w:t>Through the application of secure-by-design, balanced with urban design principles, development proposals should incorporate measures to help reduce crime and the fear of it (including appropriate infrastructure).  Applying layout principles that enhance natural surveillance, create active frontages and clearly delineate private and public space can considerably aid this process.</w:t>
            </w:r>
          </w:p>
          <w:p w14:paraId="5F042263" w14:textId="77777777" w:rsidR="00CE241F" w:rsidRPr="00595970" w:rsidRDefault="00CE241F" w:rsidP="00905CC9">
            <w:pPr>
              <w:keepNext w:val="0"/>
              <w:spacing w:before="0"/>
              <w:ind w:left="360"/>
              <w:contextualSpacing/>
              <w:jc w:val="left"/>
              <w:rPr>
                <w:color w:val="auto"/>
              </w:rPr>
            </w:pPr>
          </w:p>
          <w:p w14:paraId="3CA80695" w14:textId="77777777" w:rsidR="00CE241F" w:rsidRPr="00595970" w:rsidRDefault="00CE241F" w:rsidP="00905CC9">
            <w:pPr>
              <w:keepNext w:val="0"/>
              <w:spacing w:before="0"/>
              <w:ind w:left="360"/>
              <w:contextualSpacing/>
              <w:jc w:val="left"/>
              <w:rPr>
                <w:b/>
                <w:bCs/>
                <w:color w:val="auto"/>
              </w:rPr>
            </w:pPr>
            <w:r w:rsidRPr="00595970">
              <w:rPr>
                <w:b/>
                <w:bCs/>
                <w:color w:val="auto"/>
              </w:rPr>
              <w:t>Standards</w:t>
            </w:r>
          </w:p>
          <w:p w14:paraId="15115B12" w14:textId="7BC8240B" w:rsidR="00CE241F" w:rsidRPr="00595970" w:rsidRDefault="00CE241F" w:rsidP="00874A98">
            <w:pPr>
              <w:keepNext w:val="0"/>
              <w:numPr>
                <w:ilvl w:val="0"/>
                <w:numId w:val="288"/>
              </w:numPr>
              <w:spacing w:before="0"/>
              <w:contextualSpacing/>
              <w:jc w:val="left"/>
              <w:rPr>
                <w:color w:val="auto"/>
              </w:rPr>
            </w:pPr>
            <w:r w:rsidRPr="00595970">
              <w:rPr>
                <w:color w:val="auto"/>
              </w:rPr>
              <w:t>Development proposals will be expected to demonstrate how they have been designed to perform to a high standard.</w:t>
            </w:r>
            <w:r w:rsidR="00DF1FF1" w:rsidRPr="00595970">
              <w:rPr>
                <w:color w:val="auto"/>
              </w:rPr>
              <w:t xml:space="preserve">  Developers will be expected to </w:t>
            </w:r>
            <w:r w:rsidR="00F32C46" w:rsidRPr="00595970">
              <w:rPr>
                <w:color w:val="auto"/>
              </w:rPr>
              <w:t xml:space="preserve">undertake a </w:t>
            </w:r>
            <w:r w:rsidR="00DF1FF1" w:rsidRPr="00595970">
              <w:rPr>
                <w:color w:val="auto"/>
              </w:rPr>
              <w:t xml:space="preserve">Design </w:t>
            </w:r>
            <w:r w:rsidR="00F32C46" w:rsidRPr="00595970">
              <w:rPr>
                <w:color w:val="auto"/>
              </w:rPr>
              <w:t>R</w:t>
            </w:r>
            <w:r w:rsidR="00DF1FF1" w:rsidRPr="00595970">
              <w:rPr>
                <w:color w:val="auto"/>
              </w:rPr>
              <w:t xml:space="preserve">eview </w:t>
            </w:r>
            <w:r w:rsidR="00F32C46" w:rsidRPr="00595970">
              <w:rPr>
                <w:color w:val="auto"/>
              </w:rPr>
              <w:t>where appropriate.</w:t>
            </w:r>
          </w:p>
          <w:p w14:paraId="55DF8C51" w14:textId="77777777" w:rsidR="00CE241F" w:rsidRPr="00595970" w:rsidRDefault="00CE241F" w:rsidP="00905CC9">
            <w:pPr>
              <w:keepNext w:val="0"/>
              <w:spacing w:before="0"/>
              <w:jc w:val="left"/>
              <w:rPr>
                <w:color w:val="auto"/>
              </w:rPr>
            </w:pPr>
          </w:p>
        </w:tc>
      </w:tr>
      <w:tr w:rsidR="00CE241F" w:rsidRPr="00CE241F" w14:paraId="306C15D2" w14:textId="77777777" w:rsidTr="00CE241F">
        <w:tc>
          <w:tcPr>
            <w:tcW w:w="2521" w:type="dxa"/>
          </w:tcPr>
          <w:p w14:paraId="15320503" w14:textId="77777777" w:rsidR="00CE241F" w:rsidRPr="00CE241F" w:rsidRDefault="00CE241F" w:rsidP="00CE241F">
            <w:pPr>
              <w:keepNext w:val="0"/>
              <w:spacing w:before="0"/>
              <w:jc w:val="left"/>
              <w:rPr>
                <w:color w:val="auto"/>
                <w:sz w:val="20"/>
                <w:szCs w:val="20"/>
              </w:rPr>
            </w:pPr>
            <w:r w:rsidRPr="00CE241F">
              <w:rPr>
                <w:color w:val="auto"/>
                <w:sz w:val="20"/>
                <w:szCs w:val="20"/>
              </w:rPr>
              <w:t>Evidence Base</w:t>
            </w:r>
          </w:p>
        </w:tc>
        <w:tc>
          <w:tcPr>
            <w:tcW w:w="7098" w:type="dxa"/>
          </w:tcPr>
          <w:p w14:paraId="3AF713BD" w14:textId="3ECEE966" w:rsidR="00CE241F" w:rsidRPr="00595970" w:rsidRDefault="00CE241F" w:rsidP="00874A98">
            <w:pPr>
              <w:keepNext w:val="0"/>
              <w:numPr>
                <w:ilvl w:val="0"/>
                <w:numId w:val="292"/>
              </w:numPr>
              <w:spacing w:before="0"/>
              <w:contextualSpacing/>
              <w:jc w:val="left"/>
              <w:rPr>
                <w:color w:val="auto"/>
                <w:sz w:val="20"/>
                <w:szCs w:val="20"/>
              </w:rPr>
            </w:pPr>
            <w:r w:rsidRPr="00595970">
              <w:rPr>
                <w:color w:val="auto"/>
                <w:sz w:val="20"/>
                <w:szCs w:val="20"/>
              </w:rPr>
              <w:t>Sustainability Appraisal</w:t>
            </w:r>
            <w:r w:rsidR="006B0C43" w:rsidRPr="00595970">
              <w:rPr>
                <w:color w:val="auto"/>
                <w:sz w:val="20"/>
                <w:szCs w:val="20"/>
              </w:rPr>
              <w:t>,</w:t>
            </w:r>
            <w:r w:rsidRPr="00595970">
              <w:rPr>
                <w:color w:val="auto"/>
                <w:sz w:val="20"/>
                <w:szCs w:val="20"/>
              </w:rPr>
              <w:t xml:space="preserve"> 202</w:t>
            </w:r>
            <w:r w:rsidR="006B0C43" w:rsidRPr="00595970">
              <w:rPr>
                <w:color w:val="auto"/>
                <w:sz w:val="20"/>
                <w:szCs w:val="20"/>
              </w:rPr>
              <w:t>3. WSP UK Limited.</w:t>
            </w:r>
          </w:p>
          <w:p w14:paraId="33BD16B9" w14:textId="77777777" w:rsidR="00CE241F" w:rsidRPr="00595970" w:rsidRDefault="00CE241F" w:rsidP="00874A98">
            <w:pPr>
              <w:keepNext w:val="0"/>
              <w:numPr>
                <w:ilvl w:val="0"/>
                <w:numId w:val="292"/>
              </w:numPr>
              <w:spacing w:before="0"/>
              <w:contextualSpacing/>
              <w:jc w:val="left"/>
              <w:rPr>
                <w:color w:val="auto"/>
                <w:sz w:val="20"/>
                <w:szCs w:val="20"/>
              </w:rPr>
            </w:pPr>
            <w:r w:rsidRPr="00595970">
              <w:rPr>
                <w:color w:val="auto"/>
                <w:sz w:val="20"/>
                <w:szCs w:val="20"/>
              </w:rPr>
              <w:t>Sutton Town Centre Spatial Masterplan 2019.  Ashfield District Council.</w:t>
            </w:r>
          </w:p>
          <w:p w14:paraId="781D819C" w14:textId="77777777" w:rsidR="00CE241F" w:rsidRPr="00595970" w:rsidRDefault="00CE241F" w:rsidP="00874A98">
            <w:pPr>
              <w:keepNext w:val="0"/>
              <w:numPr>
                <w:ilvl w:val="0"/>
                <w:numId w:val="292"/>
              </w:numPr>
              <w:spacing w:before="0"/>
              <w:contextualSpacing/>
              <w:jc w:val="left"/>
              <w:rPr>
                <w:color w:val="auto"/>
                <w:sz w:val="20"/>
                <w:szCs w:val="20"/>
              </w:rPr>
            </w:pPr>
            <w:r w:rsidRPr="00595970">
              <w:rPr>
                <w:color w:val="auto"/>
                <w:sz w:val="20"/>
                <w:szCs w:val="20"/>
              </w:rPr>
              <w:t>Kirkby Town Centre Spatial Masterplan 2021.  Ashfield District Council.</w:t>
            </w:r>
          </w:p>
          <w:p w14:paraId="655547EF" w14:textId="04F4CFA7" w:rsidR="00CE241F" w:rsidRPr="00595970" w:rsidRDefault="00CE241F" w:rsidP="00874A98">
            <w:pPr>
              <w:keepNext w:val="0"/>
              <w:numPr>
                <w:ilvl w:val="0"/>
                <w:numId w:val="292"/>
              </w:numPr>
              <w:spacing w:before="0"/>
              <w:contextualSpacing/>
              <w:jc w:val="left"/>
              <w:rPr>
                <w:color w:val="auto"/>
                <w:sz w:val="20"/>
                <w:szCs w:val="20"/>
              </w:rPr>
            </w:pPr>
            <w:r w:rsidRPr="00595970">
              <w:rPr>
                <w:color w:val="auto"/>
                <w:sz w:val="20"/>
                <w:szCs w:val="20"/>
              </w:rPr>
              <w:t>Hucknall Town Centre Spatial Masterplan</w:t>
            </w:r>
            <w:r w:rsidR="006B0C43" w:rsidRPr="00595970">
              <w:rPr>
                <w:color w:val="auto"/>
                <w:sz w:val="20"/>
                <w:szCs w:val="20"/>
              </w:rPr>
              <w:t xml:space="preserve"> 2022. Ashfield District Council</w:t>
            </w:r>
            <w:r w:rsidRPr="00595970">
              <w:rPr>
                <w:color w:val="auto"/>
                <w:sz w:val="20"/>
                <w:szCs w:val="20"/>
              </w:rPr>
              <w:t>.</w:t>
            </w:r>
          </w:p>
          <w:p w14:paraId="0D623782" w14:textId="77777777" w:rsidR="006E3758" w:rsidRPr="00595970" w:rsidRDefault="006E3758" w:rsidP="00874A98">
            <w:pPr>
              <w:keepNext w:val="0"/>
              <w:numPr>
                <w:ilvl w:val="0"/>
                <w:numId w:val="292"/>
              </w:numPr>
              <w:spacing w:before="0"/>
              <w:contextualSpacing/>
              <w:jc w:val="left"/>
              <w:rPr>
                <w:color w:val="auto"/>
                <w:sz w:val="20"/>
                <w:szCs w:val="20"/>
              </w:rPr>
            </w:pPr>
            <w:r w:rsidRPr="00595970">
              <w:rPr>
                <w:color w:val="auto"/>
                <w:sz w:val="20"/>
                <w:szCs w:val="20"/>
              </w:rPr>
              <w:t>Cycle infrastructure design (LTN 1/20) (2020), Department for Transport.</w:t>
            </w:r>
          </w:p>
          <w:p w14:paraId="07828123" w14:textId="77777777" w:rsidR="00ED1045" w:rsidRPr="00595970" w:rsidRDefault="00ED1045" w:rsidP="00874A98">
            <w:pPr>
              <w:keepNext w:val="0"/>
              <w:numPr>
                <w:ilvl w:val="0"/>
                <w:numId w:val="292"/>
              </w:numPr>
              <w:spacing w:before="0"/>
              <w:contextualSpacing/>
              <w:rPr>
                <w:color w:val="auto"/>
                <w:sz w:val="20"/>
                <w:szCs w:val="20"/>
              </w:rPr>
            </w:pPr>
            <w:r w:rsidRPr="00595970">
              <w:rPr>
                <w:color w:val="auto"/>
                <w:sz w:val="20"/>
                <w:szCs w:val="20"/>
              </w:rPr>
              <w:t>Active Design 2015 Sport England.</w:t>
            </w:r>
          </w:p>
          <w:p w14:paraId="38E09CD5" w14:textId="77777777" w:rsidR="00ED1045" w:rsidRPr="00595970" w:rsidRDefault="00ED1045" w:rsidP="00874A98">
            <w:pPr>
              <w:keepNext w:val="0"/>
              <w:numPr>
                <w:ilvl w:val="0"/>
                <w:numId w:val="292"/>
              </w:numPr>
              <w:spacing w:before="0"/>
              <w:contextualSpacing/>
              <w:jc w:val="left"/>
              <w:rPr>
                <w:color w:val="auto"/>
                <w:sz w:val="20"/>
                <w:szCs w:val="20"/>
              </w:rPr>
            </w:pPr>
            <w:r w:rsidRPr="00595970">
              <w:rPr>
                <w:color w:val="auto"/>
                <w:sz w:val="20"/>
                <w:szCs w:val="20"/>
              </w:rPr>
              <w:t>Handbook Designing for physical activity 2021, Sports England.</w:t>
            </w:r>
          </w:p>
          <w:p w14:paraId="1F0225AD" w14:textId="7F096633" w:rsidR="00BF7431" w:rsidRPr="00595970" w:rsidRDefault="00BF7431" w:rsidP="00874A98">
            <w:pPr>
              <w:keepNext w:val="0"/>
              <w:numPr>
                <w:ilvl w:val="0"/>
                <w:numId w:val="292"/>
              </w:numPr>
              <w:spacing w:before="0"/>
              <w:contextualSpacing/>
              <w:jc w:val="left"/>
              <w:rPr>
                <w:color w:val="auto"/>
                <w:sz w:val="20"/>
                <w:szCs w:val="20"/>
              </w:rPr>
            </w:pPr>
            <w:r w:rsidRPr="00595970">
              <w:rPr>
                <w:rFonts w:cs="Arial"/>
                <w:color w:val="auto"/>
                <w:sz w:val="20"/>
              </w:rPr>
              <w:t>Ashfield Green &amp; Blue Infrastructure and Biodiversity Strategy. Ashfield District Council, 2022-2032.</w:t>
            </w:r>
          </w:p>
        </w:tc>
      </w:tr>
      <w:tr w:rsidR="00CE241F" w:rsidRPr="00CE241F" w14:paraId="3170329F" w14:textId="77777777" w:rsidTr="00CE241F">
        <w:tc>
          <w:tcPr>
            <w:tcW w:w="2521" w:type="dxa"/>
          </w:tcPr>
          <w:p w14:paraId="3D8DE711" w14:textId="77777777" w:rsidR="00CE241F" w:rsidRPr="00CE241F" w:rsidRDefault="00CE241F" w:rsidP="00CE241F">
            <w:pPr>
              <w:keepNext w:val="0"/>
              <w:spacing w:before="0"/>
              <w:jc w:val="left"/>
              <w:rPr>
                <w:color w:val="auto"/>
                <w:sz w:val="20"/>
                <w:szCs w:val="20"/>
              </w:rPr>
            </w:pPr>
            <w:r w:rsidRPr="00CE241F">
              <w:rPr>
                <w:color w:val="auto"/>
                <w:sz w:val="20"/>
                <w:szCs w:val="20"/>
              </w:rPr>
              <w:t>National Planning Policy &amp; Guidance</w:t>
            </w:r>
          </w:p>
        </w:tc>
        <w:tc>
          <w:tcPr>
            <w:tcW w:w="7098" w:type="dxa"/>
          </w:tcPr>
          <w:p w14:paraId="07E63F7C" w14:textId="308E5328" w:rsidR="00CE241F" w:rsidRPr="00CE241F" w:rsidRDefault="00CE241F" w:rsidP="00874A98">
            <w:pPr>
              <w:keepNext w:val="0"/>
              <w:numPr>
                <w:ilvl w:val="0"/>
                <w:numId w:val="293"/>
              </w:numPr>
              <w:spacing w:before="0"/>
              <w:contextualSpacing/>
              <w:jc w:val="left"/>
              <w:rPr>
                <w:color w:val="auto"/>
                <w:sz w:val="20"/>
                <w:szCs w:val="20"/>
              </w:rPr>
            </w:pPr>
            <w:r w:rsidRPr="00CE241F">
              <w:rPr>
                <w:color w:val="auto"/>
                <w:sz w:val="20"/>
                <w:szCs w:val="20"/>
              </w:rPr>
              <w:t>NPPF 202</w:t>
            </w:r>
            <w:r w:rsidR="004173E0">
              <w:rPr>
                <w:color w:val="auto"/>
                <w:sz w:val="20"/>
                <w:szCs w:val="20"/>
              </w:rPr>
              <w:t>3</w:t>
            </w:r>
            <w:r w:rsidRPr="00CE241F">
              <w:rPr>
                <w:color w:val="auto"/>
                <w:sz w:val="20"/>
                <w:szCs w:val="20"/>
              </w:rPr>
              <w:t>, Part 2 – Achieving Sustainable Development</w:t>
            </w:r>
          </w:p>
          <w:p w14:paraId="271E3664" w14:textId="5DE1477C" w:rsidR="00CE241F" w:rsidRPr="00CE241F" w:rsidRDefault="00CE241F" w:rsidP="00874A98">
            <w:pPr>
              <w:keepNext w:val="0"/>
              <w:numPr>
                <w:ilvl w:val="0"/>
                <w:numId w:val="293"/>
              </w:numPr>
              <w:spacing w:before="0"/>
              <w:contextualSpacing/>
              <w:jc w:val="left"/>
              <w:rPr>
                <w:color w:val="auto"/>
                <w:sz w:val="20"/>
                <w:szCs w:val="20"/>
              </w:rPr>
            </w:pPr>
            <w:r w:rsidRPr="00CE241F">
              <w:rPr>
                <w:color w:val="auto"/>
                <w:sz w:val="20"/>
                <w:szCs w:val="20"/>
              </w:rPr>
              <w:t>NPPF 202</w:t>
            </w:r>
            <w:r w:rsidR="004173E0">
              <w:rPr>
                <w:color w:val="auto"/>
                <w:sz w:val="20"/>
                <w:szCs w:val="20"/>
              </w:rPr>
              <w:t>3</w:t>
            </w:r>
            <w:r w:rsidRPr="00CE241F">
              <w:rPr>
                <w:color w:val="auto"/>
                <w:sz w:val="20"/>
                <w:szCs w:val="20"/>
              </w:rPr>
              <w:t>, Part 12 – Achieving Well Designed Places</w:t>
            </w:r>
          </w:p>
          <w:p w14:paraId="4D195299" w14:textId="54D90130" w:rsidR="00CE241F" w:rsidRPr="00595970" w:rsidRDefault="00CE241F" w:rsidP="00874A98">
            <w:pPr>
              <w:keepNext w:val="0"/>
              <w:numPr>
                <w:ilvl w:val="0"/>
                <w:numId w:val="293"/>
              </w:numPr>
              <w:spacing w:before="0"/>
              <w:contextualSpacing/>
              <w:jc w:val="left"/>
              <w:rPr>
                <w:color w:val="auto"/>
                <w:sz w:val="20"/>
                <w:szCs w:val="20"/>
              </w:rPr>
            </w:pPr>
            <w:r w:rsidRPr="00CE241F">
              <w:rPr>
                <w:color w:val="auto"/>
                <w:sz w:val="20"/>
                <w:szCs w:val="20"/>
              </w:rPr>
              <w:t xml:space="preserve">Planning Practice Guidance Design: Process and </w:t>
            </w:r>
            <w:r w:rsidRPr="00595970">
              <w:rPr>
                <w:color w:val="auto"/>
                <w:sz w:val="20"/>
                <w:szCs w:val="20"/>
              </w:rPr>
              <w:t xml:space="preserve">Tools as of </w:t>
            </w:r>
            <w:r w:rsidR="006B0C43" w:rsidRPr="00595970">
              <w:rPr>
                <w:color w:val="auto"/>
                <w:sz w:val="20"/>
                <w:szCs w:val="20"/>
              </w:rPr>
              <w:t>October 2019.</w:t>
            </w:r>
          </w:p>
          <w:p w14:paraId="5F82A13B" w14:textId="329AABEB" w:rsidR="00CE241F" w:rsidRPr="00CE241F" w:rsidRDefault="00CE241F" w:rsidP="00874A98">
            <w:pPr>
              <w:keepNext w:val="0"/>
              <w:numPr>
                <w:ilvl w:val="0"/>
                <w:numId w:val="293"/>
              </w:numPr>
              <w:spacing w:before="0"/>
              <w:contextualSpacing/>
              <w:jc w:val="left"/>
              <w:rPr>
                <w:color w:val="auto"/>
                <w:sz w:val="20"/>
                <w:szCs w:val="20"/>
              </w:rPr>
            </w:pPr>
            <w:r w:rsidRPr="00595970">
              <w:rPr>
                <w:color w:val="auto"/>
                <w:sz w:val="20"/>
                <w:szCs w:val="20"/>
              </w:rPr>
              <w:t>Planning Practice Guidance Neighbourhood Planning as of</w:t>
            </w:r>
            <w:r w:rsidR="006B0C43" w:rsidRPr="00595970">
              <w:rPr>
                <w:color w:val="auto"/>
                <w:sz w:val="20"/>
                <w:szCs w:val="20"/>
              </w:rPr>
              <w:t xml:space="preserve"> September 2020</w:t>
            </w:r>
            <w:r w:rsidRPr="00595970">
              <w:rPr>
                <w:color w:val="auto"/>
                <w:sz w:val="20"/>
                <w:szCs w:val="20"/>
              </w:rPr>
              <w:t>.</w:t>
            </w:r>
          </w:p>
        </w:tc>
      </w:tr>
    </w:tbl>
    <w:p w14:paraId="3852BD9A" w14:textId="77777777" w:rsidR="00CE241F" w:rsidRPr="00CE241F" w:rsidRDefault="00CE241F" w:rsidP="00CE241F">
      <w:pPr>
        <w:keepNext w:val="0"/>
        <w:spacing w:before="0" w:after="160" w:line="252" w:lineRule="auto"/>
        <w:jc w:val="both"/>
        <w:rPr>
          <w:rFonts w:eastAsia="Calibri"/>
          <w:color w:val="auto"/>
          <w:szCs w:val="22"/>
        </w:rPr>
      </w:pPr>
    </w:p>
    <w:p w14:paraId="7A4B09EF" w14:textId="41079583" w:rsidR="00CE241F" w:rsidRDefault="002E4099" w:rsidP="00CE241F">
      <w:pPr>
        <w:keepNext w:val="0"/>
        <w:numPr>
          <w:ilvl w:val="1"/>
          <w:numId w:val="7"/>
        </w:numPr>
        <w:tabs>
          <w:tab w:val="clear" w:pos="525"/>
        </w:tabs>
        <w:spacing w:before="0"/>
        <w:ind w:left="709" w:hanging="709"/>
        <w:rPr>
          <w:rFonts w:cs="Arial"/>
          <w:color w:val="auto"/>
          <w:szCs w:val="24"/>
          <w:lang w:eastAsia="en-US"/>
        </w:rPr>
      </w:pPr>
      <w:r w:rsidRPr="00CE241F">
        <w:rPr>
          <w:rFonts w:cs="Arial"/>
        </w:rPr>
        <w:t xml:space="preserve">The NPPF makes clear that creating high quality, beautiful and sustainable buildings and places is fundamental to what the planning and development process should achieve.  </w:t>
      </w:r>
      <w:r w:rsidR="00BB3FE6" w:rsidRPr="00CE241F">
        <w:rPr>
          <w:rFonts w:eastAsia="Arial" w:cs="Arial"/>
        </w:rPr>
        <w:t>As such, the Council will not accept designs for new development that are inappropriate to its context or do not take opportunities to improve the character and quality of an area</w:t>
      </w:r>
      <w:r w:rsidR="00CE241F">
        <w:rPr>
          <w:rFonts w:eastAsia="Arial" w:cs="Arial"/>
        </w:rPr>
        <w:t>.</w:t>
      </w:r>
    </w:p>
    <w:p w14:paraId="3E905AB1" w14:textId="77777777" w:rsidR="00CE241F" w:rsidRPr="00CE241F" w:rsidRDefault="00CE241F" w:rsidP="00CE241F">
      <w:pPr>
        <w:keepNext w:val="0"/>
        <w:spacing w:before="0"/>
        <w:ind w:left="709"/>
        <w:rPr>
          <w:rFonts w:cs="Arial"/>
          <w:color w:val="auto"/>
          <w:szCs w:val="24"/>
          <w:lang w:eastAsia="en-US"/>
        </w:rPr>
      </w:pPr>
    </w:p>
    <w:p w14:paraId="6883B9D0" w14:textId="12440340" w:rsidR="00CE241F" w:rsidRDefault="001568F9" w:rsidP="00CE241F">
      <w:pPr>
        <w:keepNext w:val="0"/>
        <w:numPr>
          <w:ilvl w:val="1"/>
          <w:numId w:val="7"/>
        </w:numPr>
        <w:tabs>
          <w:tab w:val="clear" w:pos="525"/>
        </w:tabs>
        <w:spacing w:before="0"/>
        <w:ind w:left="709" w:hanging="709"/>
        <w:rPr>
          <w:rFonts w:cs="Arial"/>
          <w:color w:val="auto"/>
          <w:szCs w:val="24"/>
          <w:lang w:eastAsia="en-US"/>
        </w:rPr>
      </w:pPr>
      <w:r w:rsidRPr="00CE241F">
        <w:rPr>
          <w:rFonts w:cs="Arial"/>
          <w:color w:val="auto"/>
          <w:szCs w:val="24"/>
          <w:lang w:eastAsia="en-US"/>
        </w:rPr>
        <w:t xml:space="preserve">The NPPF is supported by a suite of planning practice guidance that is relevant to both design quality and quality in delivery, including the National Design Guide , which illustrates how well-designed places that are beautiful, enduring and successful can be achieved in practice. </w:t>
      </w:r>
    </w:p>
    <w:p w14:paraId="563D683E" w14:textId="77777777" w:rsidR="00CE241F" w:rsidRDefault="00CE241F" w:rsidP="00CE241F">
      <w:pPr>
        <w:keepNext w:val="0"/>
        <w:spacing w:before="0"/>
        <w:rPr>
          <w:rFonts w:cs="Arial"/>
          <w:color w:val="auto"/>
          <w:szCs w:val="24"/>
          <w:lang w:eastAsia="en-US"/>
        </w:rPr>
      </w:pPr>
    </w:p>
    <w:p w14:paraId="55180507" w14:textId="482641C3" w:rsidR="00CE241F" w:rsidRPr="00CE241F" w:rsidRDefault="0030688C" w:rsidP="00CE241F">
      <w:pPr>
        <w:keepNext w:val="0"/>
        <w:spacing w:before="0"/>
        <w:ind w:left="709"/>
        <w:rPr>
          <w:rFonts w:cs="Arial"/>
          <w:color w:val="auto"/>
          <w:szCs w:val="24"/>
          <w:lang w:eastAsia="en-US"/>
        </w:rPr>
      </w:pPr>
      <w:r w:rsidRPr="00CE241F">
        <w:rPr>
          <w:rFonts w:cs="Arial"/>
          <w:b/>
          <w:bCs/>
          <w:color w:val="auto"/>
          <w:szCs w:val="24"/>
          <w:lang w:eastAsia="en-US"/>
        </w:rPr>
        <w:t>Development Form</w:t>
      </w:r>
      <w:r w:rsidR="001568F9" w:rsidRPr="00CE241F">
        <w:rPr>
          <w:rFonts w:cs="Arial"/>
          <w:b/>
          <w:bCs/>
          <w:color w:val="auto"/>
          <w:szCs w:val="24"/>
          <w:lang w:eastAsia="en-US"/>
        </w:rPr>
        <w:t xml:space="preserve"> </w:t>
      </w:r>
    </w:p>
    <w:p w14:paraId="6A393CB7" w14:textId="30DB2CB2" w:rsidR="00CE241F" w:rsidRDefault="001568F9" w:rsidP="00CE241F">
      <w:pPr>
        <w:keepNext w:val="0"/>
        <w:numPr>
          <w:ilvl w:val="1"/>
          <w:numId w:val="7"/>
        </w:numPr>
        <w:tabs>
          <w:tab w:val="clear" w:pos="525"/>
        </w:tabs>
        <w:spacing w:before="0"/>
        <w:ind w:left="709" w:hanging="709"/>
        <w:rPr>
          <w:rFonts w:cs="Arial"/>
          <w:color w:val="auto"/>
          <w:szCs w:val="24"/>
          <w:lang w:eastAsia="en-US"/>
        </w:rPr>
      </w:pPr>
      <w:r w:rsidRPr="00CE241F">
        <w:rPr>
          <w:rFonts w:cs="Arial"/>
          <w:color w:val="auto"/>
          <w:szCs w:val="24"/>
          <w:lang w:eastAsia="en-US"/>
        </w:rPr>
        <w:t>In terms of place making the quality of places has a major influence on the quality of life for people living and working in the district. Through high quality and sustainable design developers should be able to create strong, locally-distinctive places that are safe, inclusive and accessible to all, that promote social interaction and a healthy and active lifestyle.</w:t>
      </w:r>
    </w:p>
    <w:p w14:paraId="634E77F0" w14:textId="77777777" w:rsidR="00CE241F" w:rsidRDefault="00CE241F" w:rsidP="00CE241F">
      <w:pPr>
        <w:keepNext w:val="0"/>
        <w:spacing w:before="0"/>
        <w:ind w:left="709"/>
        <w:rPr>
          <w:rFonts w:cs="Arial"/>
          <w:color w:val="auto"/>
          <w:szCs w:val="24"/>
          <w:lang w:eastAsia="en-US"/>
        </w:rPr>
      </w:pPr>
    </w:p>
    <w:p w14:paraId="75B30E9F" w14:textId="2CDBF45E" w:rsidR="00CE241F" w:rsidRDefault="00EA7D34" w:rsidP="00CE241F">
      <w:pPr>
        <w:keepNext w:val="0"/>
        <w:numPr>
          <w:ilvl w:val="1"/>
          <w:numId w:val="7"/>
        </w:numPr>
        <w:tabs>
          <w:tab w:val="clear" w:pos="525"/>
        </w:tabs>
        <w:spacing w:before="0"/>
        <w:ind w:left="709" w:hanging="709"/>
        <w:rPr>
          <w:rFonts w:cs="Arial"/>
          <w:color w:val="auto"/>
          <w:szCs w:val="24"/>
          <w:lang w:eastAsia="en-US"/>
        </w:rPr>
      </w:pPr>
      <w:r w:rsidRPr="00CE241F">
        <w:rPr>
          <w:rFonts w:cs="Arial"/>
          <w:color w:val="auto"/>
          <w:szCs w:val="24"/>
          <w:lang w:eastAsia="en-US"/>
        </w:rPr>
        <w:t>To</w:t>
      </w:r>
      <w:r w:rsidR="001568F9" w:rsidRPr="00CE241F">
        <w:rPr>
          <w:rFonts w:cs="Arial"/>
          <w:color w:val="auto"/>
          <w:szCs w:val="24"/>
          <w:lang w:eastAsia="en-US"/>
        </w:rPr>
        <w:t xml:space="preserve"> ensure development </w:t>
      </w:r>
      <w:r w:rsidR="009D1815" w:rsidRPr="00CE241F">
        <w:rPr>
          <w:rFonts w:cs="Arial"/>
          <w:color w:val="auto"/>
          <w:szCs w:val="24"/>
          <w:lang w:eastAsia="en-US"/>
        </w:rPr>
        <w:t>proposals,</w:t>
      </w:r>
      <w:r w:rsidR="001568F9" w:rsidRPr="00CE241F">
        <w:rPr>
          <w:rFonts w:cs="Arial"/>
          <w:color w:val="auto"/>
          <w:szCs w:val="24"/>
          <w:lang w:eastAsia="en-US"/>
        </w:rPr>
        <w:t xml:space="preserve"> represent high quality design the Council encourages architects and designers to take appropriate design cues from the character and architecture of the surrounding area. Where appropriate, this should include the use of locally produced or recycled materials, to aid integration</w:t>
      </w:r>
      <w:r w:rsidR="00CE241F">
        <w:rPr>
          <w:rFonts w:cs="Arial"/>
          <w:color w:val="auto"/>
          <w:szCs w:val="24"/>
          <w:lang w:eastAsia="en-US"/>
        </w:rPr>
        <w:t>.</w:t>
      </w:r>
    </w:p>
    <w:p w14:paraId="28338AAA" w14:textId="77777777" w:rsidR="00CE241F" w:rsidRDefault="00CE241F" w:rsidP="00CE241F">
      <w:pPr>
        <w:keepNext w:val="0"/>
        <w:spacing w:before="0"/>
        <w:rPr>
          <w:rFonts w:cs="Arial"/>
          <w:color w:val="auto"/>
          <w:szCs w:val="24"/>
          <w:lang w:eastAsia="en-US"/>
        </w:rPr>
      </w:pPr>
    </w:p>
    <w:p w14:paraId="4F9A7616" w14:textId="7622B387" w:rsidR="00CE241F" w:rsidRDefault="001568F9" w:rsidP="00CE241F">
      <w:pPr>
        <w:keepNext w:val="0"/>
        <w:numPr>
          <w:ilvl w:val="1"/>
          <w:numId w:val="7"/>
        </w:numPr>
        <w:tabs>
          <w:tab w:val="clear" w:pos="525"/>
        </w:tabs>
        <w:spacing w:before="0"/>
        <w:ind w:left="709" w:hanging="709"/>
        <w:rPr>
          <w:rFonts w:cs="Arial"/>
          <w:color w:val="auto"/>
          <w:szCs w:val="24"/>
          <w:lang w:eastAsia="en-US"/>
        </w:rPr>
      </w:pPr>
      <w:r w:rsidRPr="00CE241F">
        <w:rPr>
          <w:rFonts w:cs="Arial"/>
          <w:color w:val="auto"/>
          <w:szCs w:val="24"/>
          <w:lang w:eastAsia="en-US"/>
        </w:rPr>
        <w:t xml:space="preserve">The components of a development, including its integration with its surroundings and its mix, layout and form, will be assessed to ensure that development makes a positive contribution to achieving the qualities of a successful place.  Considered layouts aid effective movement and providing the opportunity to utilise solar gain through building orientation. </w:t>
      </w:r>
    </w:p>
    <w:p w14:paraId="2C4E28EC" w14:textId="77777777" w:rsidR="00CE241F" w:rsidRPr="00CE241F" w:rsidRDefault="00CE241F" w:rsidP="00CE241F">
      <w:pPr>
        <w:keepNext w:val="0"/>
        <w:spacing w:before="0"/>
        <w:rPr>
          <w:rFonts w:cs="Arial"/>
          <w:color w:val="auto"/>
          <w:szCs w:val="24"/>
          <w:lang w:eastAsia="en-US"/>
        </w:rPr>
      </w:pPr>
    </w:p>
    <w:p w14:paraId="7A708AA7" w14:textId="77777777" w:rsidR="00CE241F" w:rsidRDefault="001568F9" w:rsidP="00CE241F">
      <w:pPr>
        <w:keepNext w:val="0"/>
        <w:numPr>
          <w:ilvl w:val="1"/>
          <w:numId w:val="7"/>
        </w:numPr>
        <w:tabs>
          <w:tab w:val="clear" w:pos="525"/>
        </w:tabs>
        <w:spacing w:before="0"/>
        <w:ind w:left="709" w:hanging="709"/>
        <w:rPr>
          <w:rFonts w:cs="Arial"/>
          <w:color w:val="auto"/>
          <w:szCs w:val="24"/>
          <w:lang w:eastAsia="en-US"/>
        </w:rPr>
      </w:pPr>
      <w:r w:rsidRPr="00CE241F">
        <w:rPr>
          <w:rFonts w:cs="Arial"/>
          <w:color w:val="auto"/>
          <w:szCs w:val="24"/>
          <w:lang w:eastAsia="en-US"/>
        </w:rPr>
        <w:t>Inclusiveness and accessibility need to be considered from an early stage of design, preferably including consultation with a wide range of potential users.</w:t>
      </w:r>
    </w:p>
    <w:p w14:paraId="4A84159D" w14:textId="77777777" w:rsidR="00CE241F" w:rsidRPr="00CE241F" w:rsidRDefault="00CE241F" w:rsidP="00CE241F">
      <w:pPr>
        <w:rPr>
          <w:rFonts w:cs="Arial"/>
          <w:color w:val="auto"/>
          <w:szCs w:val="24"/>
        </w:rPr>
      </w:pPr>
    </w:p>
    <w:p w14:paraId="6645FF50" w14:textId="77777777" w:rsidR="00CE241F" w:rsidRDefault="001568F9" w:rsidP="00CE241F">
      <w:pPr>
        <w:keepNext w:val="0"/>
        <w:numPr>
          <w:ilvl w:val="1"/>
          <w:numId w:val="7"/>
        </w:numPr>
        <w:tabs>
          <w:tab w:val="clear" w:pos="525"/>
        </w:tabs>
        <w:spacing w:before="0"/>
        <w:ind w:left="709" w:hanging="709"/>
        <w:rPr>
          <w:rFonts w:cs="Arial"/>
          <w:color w:val="auto"/>
          <w:szCs w:val="24"/>
          <w:lang w:eastAsia="en-US"/>
        </w:rPr>
      </w:pPr>
      <w:r w:rsidRPr="00CE241F">
        <w:rPr>
          <w:rFonts w:cs="Arial"/>
          <w:color w:val="auto"/>
          <w:szCs w:val="24"/>
          <w:lang w:eastAsia="en-US"/>
        </w:rPr>
        <w:t xml:space="preserve">A Design and Access Statement should be submitted for all relevant proposals that describes the design approach undertaken including how it has utilised an appropriate character assessment to inform the proposal’s design. Such an assessment should consider and appraise a number of elements within the surrounding area including orientation of buildings, their scale and mass, height, architectural styles, periods and detailing, access and parking arrangements, plot widths and size, landscape form, street and building lines and materials. Architects and designers should then utilise these characteristics to influence the form of their design, to help ensure the visual connection to its surroundings. </w:t>
      </w:r>
    </w:p>
    <w:p w14:paraId="26608DE9" w14:textId="77777777" w:rsidR="00CE241F" w:rsidRPr="00CE241F" w:rsidRDefault="00CE241F" w:rsidP="00CE241F">
      <w:pPr>
        <w:rPr>
          <w:rFonts w:cs="Arial"/>
          <w:color w:val="auto"/>
          <w:szCs w:val="24"/>
        </w:rPr>
      </w:pPr>
    </w:p>
    <w:p w14:paraId="6D7F28E1" w14:textId="77777777" w:rsidR="00CE241F" w:rsidRDefault="001568F9" w:rsidP="006977E7">
      <w:pPr>
        <w:keepNext w:val="0"/>
        <w:numPr>
          <w:ilvl w:val="1"/>
          <w:numId w:val="7"/>
        </w:numPr>
        <w:tabs>
          <w:tab w:val="clear" w:pos="525"/>
        </w:tabs>
        <w:spacing w:before="0"/>
        <w:ind w:left="709" w:hanging="709"/>
        <w:rPr>
          <w:rFonts w:cs="Arial"/>
          <w:color w:val="auto"/>
          <w:szCs w:val="24"/>
          <w:lang w:eastAsia="en-US"/>
        </w:rPr>
      </w:pPr>
      <w:r w:rsidRPr="00CE241F">
        <w:rPr>
          <w:rFonts w:cs="Arial"/>
          <w:color w:val="auto"/>
          <w:szCs w:val="24"/>
          <w:lang w:eastAsia="en-US"/>
        </w:rPr>
        <w:t xml:space="preserve">Whilst acknowledging local character is important, this does not mean new development must be a pastiche of existing buildings. The Council will consider, and where appropriate promote contemporary designs that effectively respond to a site’s constraints, promote innovation and make a positive contribution to the surrounding area.  </w:t>
      </w:r>
    </w:p>
    <w:p w14:paraId="4250281D" w14:textId="77777777" w:rsidR="00CE241F" w:rsidRPr="00CE241F" w:rsidRDefault="00CE241F" w:rsidP="006977E7">
      <w:pPr>
        <w:spacing w:before="0"/>
        <w:rPr>
          <w:rFonts w:cs="Arial"/>
          <w:color w:val="auto"/>
          <w:szCs w:val="24"/>
        </w:rPr>
      </w:pPr>
    </w:p>
    <w:p w14:paraId="7482DBBC" w14:textId="77777777" w:rsidR="00CE241F" w:rsidRDefault="001568F9" w:rsidP="006977E7">
      <w:pPr>
        <w:keepNext w:val="0"/>
        <w:numPr>
          <w:ilvl w:val="1"/>
          <w:numId w:val="7"/>
        </w:numPr>
        <w:tabs>
          <w:tab w:val="clear" w:pos="525"/>
        </w:tabs>
        <w:spacing w:before="0"/>
        <w:ind w:left="709" w:hanging="709"/>
        <w:rPr>
          <w:rFonts w:cs="Arial"/>
          <w:color w:val="auto"/>
          <w:szCs w:val="24"/>
          <w:lang w:eastAsia="en-US"/>
        </w:rPr>
      </w:pPr>
      <w:r w:rsidRPr="00CE241F">
        <w:rPr>
          <w:rFonts w:cs="Arial"/>
          <w:color w:val="auto"/>
          <w:szCs w:val="24"/>
          <w:lang w:eastAsia="en-US"/>
        </w:rPr>
        <w:t xml:space="preserve">Existing character areas are areas which are important because of their similar characteristics and the contribution they make collectively to the local environment. These may be historical areas, areas with a particular character of buildings, areas with a particular layout, or areas where established soft landscaping is particularly important, such as tree lined avenues and mature hedgerows.  </w:t>
      </w:r>
    </w:p>
    <w:p w14:paraId="5B34BA26" w14:textId="77777777" w:rsidR="00CE241F" w:rsidRPr="00CE241F" w:rsidRDefault="00CE241F" w:rsidP="006977E7">
      <w:pPr>
        <w:spacing w:before="0"/>
        <w:rPr>
          <w:rFonts w:cs="Arial"/>
          <w:color w:val="auto"/>
          <w:szCs w:val="24"/>
        </w:rPr>
      </w:pPr>
    </w:p>
    <w:p w14:paraId="23181509" w14:textId="77777777" w:rsidR="00CE241F" w:rsidRDefault="001568F9" w:rsidP="006977E7">
      <w:pPr>
        <w:keepNext w:val="0"/>
        <w:numPr>
          <w:ilvl w:val="1"/>
          <w:numId w:val="7"/>
        </w:numPr>
        <w:tabs>
          <w:tab w:val="clear" w:pos="525"/>
        </w:tabs>
        <w:spacing w:before="0"/>
        <w:ind w:left="709" w:hanging="709"/>
        <w:rPr>
          <w:rFonts w:cs="Arial"/>
          <w:color w:val="auto"/>
          <w:szCs w:val="24"/>
          <w:lang w:eastAsia="en-US"/>
        </w:rPr>
      </w:pPr>
      <w:r w:rsidRPr="00CE241F">
        <w:rPr>
          <w:rFonts w:cs="Arial"/>
          <w:color w:val="auto"/>
          <w:szCs w:val="24"/>
          <w:lang w:eastAsia="en-US"/>
        </w:rPr>
        <w:t xml:space="preserve">In mixed character areas, where there is a greater variety in character, contextual features are likely to be diverse. This may allow for a more flexible architectural approach, albeit one which still follows the key components of design such as building line, widths, height and scale.  </w:t>
      </w:r>
    </w:p>
    <w:p w14:paraId="6DEBC1AC" w14:textId="77777777" w:rsidR="00CE241F" w:rsidRPr="00CE241F" w:rsidRDefault="00CE241F" w:rsidP="006977E7">
      <w:pPr>
        <w:spacing w:before="0"/>
        <w:rPr>
          <w:rFonts w:cs="Arial"/>
          <w:color w:val="auto"/>
          <w:szCs w:val="24"/>
        </w:rPr>
      </w:pPr>
    </w:p>
    <w:p w14:paraId="630DBCD7" w14:textId="17E249E6" w:rsidR="00CE241F" w:rsidRDefault="001568F9" w:rsidP="006977E7">
      <w:pPr>
        <w:keepNext w:val="0"/>
        <w:numPr>
          <w:ilvl w:val="1"/>
          <w:numId w:val="7"/>
        </w:numPr>
        <w:tabs>
          <w:tab w:val="clear" w:pos="525"/>
        </w:tabs>
        <w:spacing w:before="0"/>
        <w:ind w:left="709" w:hanging="709"/>
        <w:rPr>
          <w:rFonts w:cs="Arial"/>
          <w:color w:val="auto"/>
          <w:szCs w:val="24"/>
          <w:lang w:eastAsia="en-US"/>
        </w:rPr>
      </w:pPr>
      <w:r w:rsidRPr="00CE241F">
        <w:rPr>
          <w:rFonts w:cs="Arial"/>
          <w:color w:val="auto"/>
          <w:szCs w:val="24"/>
          <w:lang w:eastAsia="en-US"/>
        </w:rPr>
        <w:t xml:space="preserve">In fragmented character areas, where the context is less cohesive or undesirable, the response can be more creative. This can help in achieving a new character for the </w:t>
      </w:r>
      <w:r w:rsidR="00EA7D34" w:rsidRPr="00CE241F">
        <w:rPr>
          <w:rFonts w:cs="Arial"/>
          <w:color w:val="auto"/>
          <w:szCs w:val="24"/>
          <w:lang w:eastAsia="en-US"/>
        </w:rPr>
        <w:t>area but</w:t>
      </w:r>
      <w:r w:rsidRPr="00CE241F">
        <w:rPr>
          <w:rFonts w:cs="Arial"/>
          <w:color w:val="auto"/>
          <w:szCs w:val="24"/>
          <w:lang w:eastAsia="en-US"/>
        </w:rPr>
        <w:t xml:space="preserve"> should still respond to the basic characteristics of the site such as topography or natural features.</w:t>
      </w:r>
    </w:p>
    <w:p w14:paraId="21127387" w14:textId="77777777" w:rsidR="00CE241F" w:rsidRPr="00CE241F" w:rsidRDefault="00CE241F" w:rsidP="006977E7">
      <w:pPr>
        <w:spacing w:before="0"/>
        <w:rPr>
          <w:rFonts w:cs="Arial"/>
          <w:b/>
          <w:bCs/>
          <w:color w:val="auto"/>
          <w:szCs w:val="24"/>
        </w:rPr>
      </w:pPr>
    </w:p>
    <w:p w14:paraId="5CD84549" w14:textId="053D1D7F" w:rsidR="00CE241F" w:rsidRPr="00CE241F" w:rsidRDefault="001568F9" w:rsidP="006977E7">
      <w:pPr>
        <w:keepNext w:val="0"/>
        <w:spacing w:before="0"/>
        <w:ind w:left="709"/>
        <w:rPr>
          <w:rFonts w:cs="Arial"/>
          <w:color w:val="auto"/>
          <w:szCs w:val="24"/>
          <w:lang w:eastAsia="en-US"/>
        </w:rPr>
      </w:pPr>
      <w:r w:rsidRPr="00CE241F">
        <w:rPr>
          <w:rFonts w:cs="Arial"/>
          <w:b/>
          <w:bCs/>
          <w:color w:val="auto"/>
          <w:szCs w:val="24"/>
          <w:lang w:eastAsia="en-US"/>
        </w:rPr>
        <w:t>Infill Developments</w:t>
      </w:r>
    </w:p>
    <w:p w14:paraId="2FA3FF66" w14:textId="77777777" w:rsidR="00CE241F" w:rsidRDefault="001568F9" w:rsidP="00CE241F">
      <w:pPr>
        <w:keepNext w:val="0"/>
        <w:numPr>
          <w:ilvl w:val="1"/>
          <w:numId w:val="7"/>
        </w:numPr>
        <w:tabs>
          <w:tab w:val="clear" w:pos="525"/>
        </w:tabs>
        <w:spacing w:before="0"/>
        <w:ind w:left="709" w:hanging="709"/>
        <w:rPr>
          <w:rFonts w:cs="Arial"/>
          <w:color w:val="auto"/>
          <w:szCs w:val="24"/>
          <w:lang w:eastAsia="en-US"/>
        </w:rPr>
      </w:pPr>
      <w:r w:rsidRPr="00CE241F">
        <w:rPr>
          <w:rFonts w:cs="Arial"/>
          <w:color w:val="auto"/>
          <w:szCs w:val="24"/>
          <w:lang w:eastAsia="en-US"/>
        </w:rPr>
        <w:t>Any proposal for infill development should be of a comparable scale, character and size to surrounding properties. The Council defines limited</w:t>
      </w:r>
      <w:r w:rsidR="00F515E4" w:rsidRPr="00CE241F">
        <w:rPr>
          <w:rFonts w:cs="Arial"/>
          <w:color w:val="auto"/>
          <w:szCs w:val="24"/>
          <w:lang w:eastAsia="en-US"/>
        </w:rPr>
        <w:t xml:space="preserve"> </w:t>
      </w:r>
      <w:r w:rsidRPr="00CE241F">
        <w:rPr>
          <w:rFonts w:cs="Arial"/>
          <w:color w:val="auto"/>
          <w:szCs w:val="24"/>
          <w:lang w:eastAsia="en-US"/>
        </w:rPr>
        <w:t>infill development as the completion of an otherwise substantially built up frontage by the filling of a small gap normally capable of taking one or two dwellings only. A substantial built up frontage is defined as an otherwise continuous and largely uninterrupted built frontage of several dwellings visible within the street scene. Not all gaps within existing development are suitable for infill development, particularly where these are not in sustainable locations.</w:t>
      </w:r>
    </w:p>
    <w:p w14:paraId="5A7A3664" w14:textId="77777777" w:rsidR="00CE241F" w:rsidRDefault="00CE241F" w:rsidP="00CE241F">
      <w:pPr>
        <w:keepNext w:val="0"/>
        <w:spacing w:before="0"/>
        <w:ind w:left="709"/>
        <w:rPr>
          <w:rFonts w:cs="Arial"/>
          <w:color w:val="auto"/>
          <w:szCs w:val="24"/>
          <w:lang w:eastAsia="en-US"/>
        </w:rPr>
      </w:pPr>
    </w:p>
    <w:p w14:paraId="13C897CB" w14:textId="4189B1E3" w:rsidR="00CE241F" w:rsidRPr="00CE241F" w:rsidRDefault="001568F9" w:rsidP="00CE241F">
      <w:pPr>
        <w:keepNext w:val="0"/>
        <w:spacing w:before="0"/>
        <w:ind w:left="709"/>
        <w:rPr>
          <w:rFonts w:cs="Arial"/>
          <w:color w:val="auto"/>
          <w:szCs w:val="24"/>
          <w:lang w:eastAsia="en-US"/>
        </w:rPr>
      </w:pPr>
      <w:r w:rsidRPr="00CE241F">
        <w:rPr>
          <w:rFonts w:cs="Arial"/>
          <w:b/>
          <w:bCs/>
          <w:color w:val="auto"/>
          <w:szCs w:val="24"/>
          <w:lang w:eastAsia="en-US"/>
        </w:rPr>
        <w:t xml:space="preserve">Movement, Public Realm &amp; Open Space </w:t>
      </w:r>
    </w:p>
    <w:p w14:paraId="7F3F8A6D" w14:textId="43AE6A03" w:rsidR="00CE241F" w:rsidRDefault="001568F9" w:rsidP="00CE241F">
      <w:pPr>
        <w:keepNext w:val="0"/>
        <w:numPr>
          <w:ilvl w:val="1"/>
          <w:numId w:val="7"/>
        </w:numPr>
        <w:tabs>
          <w:tab w:val="clear" w:pos="525"/>
        </w:tabs>
        <w:spacing w:before="0"/>
        <w:ind w:left="709" w:hanging="709"/>
        <w:rPr>
          <w:rFonts w:cs="Arial"/>
          <w:color w:val="auto"/>
          <w:szCs w:val="24"/>
          <w:lang w:eastAsia="en-US"/>
        </w:rPr>
      </w:pPr>
      <w:r w:rsidRPr="00CE241F">
        <w:rPr>
          <w:rFonts w:cs="Arial"/>
          <w:color w:val="auto"/>
          <w:szCs w:val="24"/>
          <w:lang w:eastAsia="en-US"/>
        </w:rPr>
        <w:t>Coupled with a well-designed building, public realm plays an important role in the urban and rural environment, creating spaces for public interaction, amenity and movement. Public realm can also provide biodiversity benefits, flooding infrastructure and solar shading.</w:t>
      </w:r>
    </w:p>
    <w:p w14:paraId="1525DD05" w14:textId="77777777" w:rsidR="00CE241F" w:rsidRDefault="00CE241F" w:rsidP="00CE241F">
      <w:pPr>
        <w:keepNext w:val="0"/>
        <w:spacing w:before="0"/>
        <w:ind w:left="709"/>
        <w:rPr>
          <w:rFonts w:cs="Arial"/>
          <w:color w:val="auto"/>
          <w:szCs w:val="24"/>
          <w:lang w:eastAsia="en-US"/>
        </w:rPr>
      </w:pPr>
    </w:p>
    <w:p w14:paraId="4BB38A0A" w14:textId="77777777" w:rsidR="00CE241F" w:rsidRDefault="001568F9" w:rsidP="006977E7">
      <w:pPr>
        <w:keepNext w:val="0"/>
        <w:numPr>
          <w:ilvl w:val="1"/>
          <w:numId w:val="7"/>
        </w:numPr>
        <w:tabs>
          <w:tab w:val="clear" w:pos="525"/>
        </w:tabs>
        <w:spacing w:before="0"/>
        <w:ind w:left="709" w:hanging="709"/>
        <w:rPr>
          <w:rFonts w:cs="Arial"/>
          <w:color w:val="auto"/>
          <w:szCs w:val="24"/>
          <w:lang w:eastAsia="en-US"/>
        </w:rPr>
      </w:pPr>
      <w:r w:rsidRPr="00CE241F">
        <w:rPr>
          <w:rFonts w:cs="Arial"/>
          <w:color w:val="auto"/>
          <w:szCs w:val="24"/>
          <w:lang w:eastAsia="en-US"/>
        </w:rPr>
        <w:t xml:space="preserve">Public realm comprises a range of streets, squares and spaces much of which we interactive with on a daily basis. Attractive and </w:t>
      </w:r>
      <w:proofErr w:type="spellStart"/>
      <w:r w:rsidRPr="00CE241F">
        <w:rPr>
          <w:rFonts w:cs="Arial"/>
          <w:color w:val="auto"/>
          <w:szCs w:val="24"/>
          <w:lang w:eastAsia="en-US"/>
        </w:rPr>
        <w:t>well designed</w:t>
      </w:r>
      <w:proofErr w:type="spellEnd"/>
      <w:r w:rsidRPr="00CE241F">
        <w:rPr>
          <w:rFonts w:cs="Arial"/>
          <w:color w:val="auto"/>
          <w:szCs w:val="24"/>
          <w:lang w:eastAsia="en-US"/>
        </w:rPr>
        <w:t xml:space="preserve"> environments can help attract inward investment and users to a town centre; encourage sustainable forms of travel; promote health activity; and discourage antisocial behaviour and crime. It is therefore important that such spaces are designed to function well, whilst complementing and enhancing their surroundings. They should be appropriately located and surveyed from surrounding properties / uses. </w:t>
      </w:r>
    </w:p>
    <w:p w14:paraId="41C38EE1" w14:textId="77777777" w:rsidR="00CE241F" w:rsidRPr="00CE241F" w:rsidRDefault="00CE241F" w:rsidP="006977E7">
      <w:pPr>
        <w:spacing w:before="0"/>
        <w:rPr>
          <w:rFonts w:cs="Arial"/>
          <w:color w:val="auto"/>
          <w:szCs w:val="24"/>
        </w:rPr>
      </w:pPr>
    </w:p>
    <w:p w14:paraId="4B0CF27E" w14:textId="1F491255" w:rsidR="00CE241F" w:rsidRDefault="001568F9" w:rsidP="006977E7">
      <w:pPr>
        <w:keepNext w:val="0"/>
        <w:numPr>
          <w:ilvl w:val="1"/>
          <w:numId w:val="7"/>
        </w:numPr>
        <w:tabs>
          <w:tab w:val="clear" w:pos="525"/>
        </w:tabs>
        <w:spacing w:before="0"/>
        <w:ind w:left="709" w:hanging="709"/>
        <w:rPr>
          <w:rFonts w:cs="Arial"/>
          <w:color w:val="auto"/>
          <w:szCs w:val="24"/>
          <w:lang w:eastAsia="en-US"/>
        </w:rPr>
      </w:pPr>
      <w:r w:rsidRPr="00CE241F">
        <w:rPr>
          <w:rFonts w:cs="Arial"/>
          <w:color w:val="auto"/>
          <w:szCs w:val="24"/>
          <w:lang w:eastAsia="en-US"/>
        </w:rPr>
        <w:t>In designing new streets, development proposals should apply standards and guidance from Manual for Streets, which sets out guidance for residential street design and aims to ensure streets are places that people want to spend time in, rather than just transport corridors.</w:t>
      </w:r>
    </w:p>
    <w:p w14:paraId="4ABFB6EC" w14:textId="77777777" w:rsidR="00CE241F" w:rsidRPr="00CE241F" w:rsidRDefault="00CE241F" w:rsidP="006977E7">
      <w:pPr>
        <w:spacing w:before="0"/>
        <w:rPr>
          <w:rFonts w:cs="Arial"/>
          <w:color w:val="auto"/>
          <w:szCs w:val="24"/>
        </w:rPr>
      </w:pPr>
    </w:p>
    <w:p w14:paraId="4B318153" w14:textId="77777777" w:rsidR="00CE241F" w:rsidRDefault="001568F9" w:rsidP="006977E7">
      <w:pPr>
        <w:keepNext w:val="0"/>
        <w:numPr>
          <w:ilvl w:val="1"/>
          <w:numId w:val="7"/>
        </w:numPr>
        <w:tabs>
          <w:tab w:val="clear" w:pos="525"/>
        </w:tabs>
        <w:spacing w:before="0"/>
        <w:ind w:left="709" w:hanging="709"/>
        <w:rPr>
          <w:rFonts w:cs="Arial"/>
          <w:color w:val="auto"/>
          <w:szCs w:val="24"/>
          <w:lang w:eastAsia="en-US"/>
        </w:rPr>
      </w:pPr>
      <w:r w:rsidRPr="00CE241F">
        <w:rPr>
          <w:rFonts w:cs="Arial"/>
          <w:color w:val="auto"/>
          <w:szCs w:val="24"/>
          <w:lang w:eastAsia="en-US"/>
        </w:rPr>
        <w:t>The quality of materials play an important role in the effectiveness of public realm, creating attractive spaces that invite safe use. The Council will therefore require new development to design its public realm with an appropriate palette of high quality materials that seek to enhance the environment. Proposals should apply a mix of hard and soft landscaping, appropriate to the setting. Wherever possible, and particularly in relation to large scale developments, a landscaping framework utilising native species should be provided, reflecting the objectives of the Public Open Space Strategy. Proposal should also effectively use and enhance existing landscape features such as mature trees, hedgerows and land forms to help add character to the development and increase opportunities for wildlife.</w:t>
      </w:r>
    </w:p>
    <w:p w14:paraId="453B3D18" w14:textId="77777777" w:rsidR="00CE241F" w:rsidRDefault="00CE241F" w:rsidP="006977E7">
      <w:pPr>
        <w:pStyle w:val="ListParagraph"/>
        <w:spacing w:after="0" w:line="240" w:lineRule="auto"/>
        <w:rPr>
          <w:rFonts w:cs="Arial"/>
          <w:color w:val="auto"/>
          <w:szCs w:val="24"/>
        </w:rPr>
      </w:pPr>
    </w:p>
    <w:p w14:paraId="6C2C698B" w14:textId="7B0A0618" w:rsidR="00CE241F" w:rsidRPr="00CE241F" w:rsidRDefault="001568F9" w:rsidP="006977E7">
      <w:pPr>
        <w:keepNext w:val="0"/>
        <w:numPr>
          <w:ilvl w:val="1"/>
          <w:numId w:val="7"/>
        </w:numPr>
        <w:tabs>
          <w:tab w:val="clear" w:pos="525"/>
        </w:tabs>
        <w:spacing w:before="0"/>
        <w:ind w:left="709" w:hanging="709"/>
        <w:rPr>
          <w:rFonts w:cs="Arial"/>
          <w:color w:val="auto"/>
          <w:szCs w:val="24"/>
          <w:lang w:eastAsia="en-US"/>
        </w:rPr>
      </w:pPr>
      <w:r w:rsidRPr="00CE241F">
        <w:rPr>
          <w:rFonts w:cs="Arial"/>
          <w:color w:val="auto"/>
          <w:szCs w:val="24"/>
          <w:lang w:eastAsia="en-US"/>
        </w:rPr>
        <w:t>Planting that blends with its surroundings, contributes positively to the creation of a sustainable quality environment. It also mitigates against the impacts of climate change, facilitate health and wellbeing and enhance the character and appearance of the District. Design considerations for new planting should:</w:t>
      </w:r>
    </w:p>
    <w:p w14:paraId="27A5C9D8" w14:textId="77777777" w:rsidR="00CE241F" w:rsidRPr="00CE241F" w:rsidRDefault="00CE241F" w:rsidP="006977E7">
      <w:pPr>
        <w:keepNext w:val="0"/>
        <w:spacing w:before="0"/>
        <w:rPr>
          <w:rFonts w:cs="Arial"/>
          <w:color w:val="auto"/>
          <w:szCs w:val="24"/>
          <w:lang w:eastAsia="en-US"/>
        </w:rPr>
      </w:pPr>
    </w:p>
    <w:p w14:paraId="3284BBA0" w14:textId="42B7A111" w:rsidR="00CE241F" w:rsidRDefault="00CE241F" w:rsidP="00874A98">
      <w:pPr>
        <w:pStyle w:val="ListParagraph"/>
        <w:numPr>
          <w:ilvl w:val="0"/>
          <w:numId w:val="294"/>
        </w:numPr>
        <w:spacing w:after="0" w:line="240" w:lineRule="auto"/>
        <w:rPr>
          <w:rFonts w:ascii="Arial" w:hAnsi="Arial" w:cs="Arial"/>
          <w:color w:val="auto"/>
          <w:szCs w:val="24"/>
        </w:rPr>
      </w:pPr>
      <w:r w:rsidRPr="00CE241F">
        <w:rPr>
          <w:rFonts w:ascii="Arial" w:hAnsi="Arial" w:cs="Arial"/>
          <w:color w:val="auto"/>
          <w:szCs w:val="24"/>
        </w:rPr>
        <w:t>ensure the continuance of tree cover by incorporating a mix of existing trees and new planting in the design.</w:t>
      </w:r>
    </w:p>
    <w:p w14:paraId="19AAD814" w14:textId="77777777" w:rsidR="00CE241F" w:rsidRPr="00CE241F" w:rsidRDefault="00CE241F" w:rsidP="00CE241F">
      <w:pPr>
        <w:pStyle w:val="ListParagraph"/>
        <w:spacing w:after="0" w:line="240" w:lineRule="auto"/>
        <w:ind w:left="1069"/>
        <w:rPr>
          <w:rFonts w:ascii="Arial" w:hAnsi="Arial" w:cs="Arial"/>
          <w:color w:val="auto"/>
          <w:szCs w:val="24"/>
        </w:rPr>
      </w:pPr>
    </w:p>
    <w:p w14:paraId="22559856" w14:textId="1F92194A" w:rsidR="00CE241F" w:rsidRDefault="00CE241F" w:rsidP="00874A98">
      <w:pPr>
        <w:pStyle w:val="ListParagraph"/>
        <w:numPr>
          <w:ilvl w:val="0"/>
          <w:numId w:val="294"/>
        </w:numPr>
        <w:spacing w:after="0" w:line="240" w:lineRule="auto"/>
        <w:rPr>
          <w:rFonts w:ascii="Arial" w:hAnsi="Arial" w:cs="Arial"/>
          <w:color w:val="auto"/>
          <w:szCs w:val="24"/>
        </w:rPr>
      </w:pPr>
      <w:r w:rsidRPr="00CE241F">
        <w:rPr>
          <w:rFonts w:ascii="Arial" w:hAnsi="Arial" w:cs="Arial"/>
          <w:color w:val="auto"/>
          <w:szCs w:val="24"/>
        </w:rPr>
        <w:t>design for a hierarchy of different types of planting including avenue planting, trees in gardens, boundary planting and open space planting.</w:t>
      </w:r>
    </w:p>
    <w:p w14:paraId="42E0EC2C" w14:textId="77777777" w:rsidR="00CE241F" w:rsidRPr="00CE241F" w:rsidRDefault="00CE241F" w:rsidP="00CE241F">
      <w:pPr>
        <w:pStyle w:val="ListParagraph"/>
        <w:spacing w:after="0" w:line="240" w:lineRule="auto"/>
        <w:ind w:left="1069"/>
        <w:rPr>
          <w:rFonts w:ascii="Arial" w:hAnsi="Arial" w:cs="Arial"/>
          <w:color w:val="auto"/>
          <w:szCs w:val="24"/>
        </w:rPr>
      </w:pPr>
    </w:p>
    <w:p w14:paraId="6279C150" w14:textId="2E735028" w:rsidR="00CE241F" w:rsidRPr="00CE241F" w:rsidRDefault="00CE241F" w:rsidP="00874A98">
      <w:pPr>
        <w:pStyle w:val="ListParagraph"/>
        <w:numPr>
          <w:ilvl w:val="0"/>
          <w:numId w:val="294"/>
        </w:numPr>
        <w:spacing w:after="0" w:line="240" w:lineRule="auto"/>
        <w:rPr>
          <w:rFonts w:ascii="Arial" w:hAnsi="Arial" w:cs="Arial"/>
          <w:color w:val="auto"/>
          <w:szCs w:val="24"/>
        </w:rPr>
      </w:pPr>
      <w:r w:rsidRPr="00CE241F">
        <w:rPr>
          <w:rFonts w:ascii="Arial" w:hAnsi="Arial" w:cs="Arial"/>
          <w:color w:val="auto"/>
          <w:szCs w:val="24"/>
        </w:rPr>
        <w:t>consider the size and species of trees to be planted. Often a mixture of sizes is best. Planting larger trees creates an instant effect but young trees and whips transplant better and will develop faster.</w:t>
      </w:r>
    </w:p>
    <w:p w14:paraId="73FA068E" w14:textId="77777777" w:rsidR="00CE241F" w:rsidRPr="00CE241F" w:rsidRDefault="00CE241F" w:rsidP="00CE241F">
      <w:pPr>
        <w:keepNext w:val="0"/>
        <w:spacing w:before="0"/>
        <w:rPr>
          <w:rFonts w:cs="Arial"/>
          <w:color w:val="auto"/>
          <w:szCs w:val="24"/>
          <w:lang w:eastAsia="en-US"/>
        </w:rPr>
      </w:pPr>
    </w:p>
    <w:p w14:paraId="59DA7663" w14:textId="77777777" w:rsidR="00CE241F" w:rsidRPr="00CE241F" w:rsidRDefault="00CE241F" w:rsidP="00CE241F">
      <w:pPr>
        <w:keepNext w:val="0"/>
        <w:spacing w:before="0"/>
        <w:ind w:left="709"/>
        <w:rPr>
          <w:rFonts w:cs="Arial"/>
          <w:color w:val="auto"/>
          <w:szCs w:val="24"/>
          <w:lang w:eastAsia="en-US"/>
        </w:rPr>
      </w:pPr>
      <w:r w:rsidRPr="00CE241F">
        <w:rPr>
          <w:rFonts w:cs="Arial"/>
          <w:color w:val="auto"/>
          <w:szCs w:val="24"/>
          <w:lang w:eastAsia="en-US"/>
        </w:rPr>
        <w:t>Major development proposals should provide for the planting and maintenance of street trees of appropriate species at intervals appropriate to the site, except where the site’s location requires a clearly building-dominated design approach that would be prejudiced by the inclusion of street trees.</w:t>
      </w:r>
    </w:p>
    <w:p w14:paraId="7ED9EF0E" w14:textId="77777777" w:rsidR="00CE241F" w:rsidRPr="00CE241F" w:rsidRDefault="00CE241F" w:rsidP="00CE241F">
      <w:pPr>
        <w:rPr>
          <w:rFonts w:cs="Arial"/>
          <w:b/>
          <w:bCs/>
          <w:color w:val="auto"/>
          <w:szCs w:val="24"/>
        </w:rPr>
      </w:pPr>
    </w:p>
    <w:p w14:paraId="7418B218" w14:textId="77777777" w:rsidR="00CE241F" w:rsidRDefault="001568F9" w:rsidP="00CE241F">
      <w:pPr>
        <w:keepNext w:val="0"/>
        <w:spacing w:before="0"/>
        <w:ind w:left="709"/>
        <w:rPr>
          <w:rFonts w:cs="Arial"/>
          <w:color w:val="auto"/>
          <w:szCs w:val="24"/>
          <w:lang w:eastAsia="en-US"/>
        </w:rPr>
      </w:pPr>
      <w:r w:rsidRPr="00CE241F">
        <w:rPr>
          <w:rFonts w:cs="Arial"/>
          <w:b/>
          <w:bCs/>
          <w:color w:val="auto"/>
          <w:szCs w:val="24"/>
          <w:lang w:eastAsia="en-US"/>
        </w:rPr>
        <w:t>S</w:t>
      </w:r>
      <w:r w:rsidR="0030688C" w:rsidRPr="00CE241F">
        <w:rPr>
          <w:rFonts w:cs="Arial"/>
          <w:b/>
          <w:bCs/>
          <w:color w:val="auto"/>
          <w:szCs w:val="24"/>
          <w:lang w:eastAsia="en-US"/>
        </w:rPr>
        <w:t>afety</w:t>
      </w:r>
    </w:p>
    <w:p w14:paraId="7A2FEA5C" w14:textId="4784EC98" w:rsidR="00CE241F" w:rsidRPr="00F05D84" w:rsidRDefault="001568F9" w:rsidP="00F05D84">
      <w:pPr>
        <w:keepNext w:val="0"/>
        <w:numPr>
          <w:ilvl w:val="1"/>
          <w:numId w:val="7"/>
        </w:numPr>
        <w:tabs>
          <w:tab w:val="clear" w:pos="525"/>
        </w:tabs>
        <w:spacing w:before="0"/>
        <w:ind w:left="709" w:hanging="709"/>
        <w:rPr>
          <w:rFonts w:cs="Arial"/>
          <w:color w:val="auto"/>
          <w:szCs w:val="24"/>
          <w:lang w:eastAsia="en-US"/>
        </w:rPr>
      </w:pPr>
      <w:r w:rsidRPr="00CE241F">
        <w:rPr>
          <w:rFonts w:cs="Arial"/>
          <w:color w:val="auto"/>
          <w:szCs w:val="24"/>
          <w:lang w:eastAsia="en-US"/>
        </w:rPr>
        <w:t xml:space="preserve">The </w:t>
      </w:r>
      <w:r w:rsidRPr="00F05D84">
        <w:rPr>
          <w:rFonts w:cs="Arial"/>
          <w:color w:val="auto"/>
          <w:szCs w:val="24"/>
          <w:lang w:eastAsia="en-US"/>
        </w:rPr>
        <w:t xml:space="preserve">NPPF requires planning policies to promote safe and accessible environments where crime and disorder and the fear of crime, do not undermine the quality of life or community cohesion.  Developers should therefore ensure that </w:t>
      </w:r>
      <w:r w:rsidRPr="00DA3B66">
        <w:rPr>
          <w:rFonts w:cs="Arial"/>
          <w:color w:val="auto"/>
          <w:szCs w:val="24"/>
          <w:lang w:eastAsia="en-US"/>
        </w:rPr>
        <w:t>‘Secured by Design’</w:t>
      </w:r>
      <w:r w:rsidRPr="00F05D84">
        <w:rPr>
          <w:rFonts w:cs="Arial"/>
          <w:color w:val="auto"/>
          <w:szCs w:val="24"/>
          <w:lang w:eastAsia="en-US"/>
        </w:rPr>
        <w:t xml:space="preserve"> principles are incorporated within all schemes where appropriate, balanced with good urban design.  </w:t>
      </w:r>
    </w:p>
    <w:p w14:paraId="506A69A7" w14:textId="77777777" w:rsidR="00CE241F" w:rsidRDefault="00CE241F" w:rsidP="00CE241F">
      <w:pPr>
        <w:keepNext w:val="0"/>
        <w:spacing w:before="0"/>
        <w:ind w:left="709"/>
        <w:rPr>
          <w:rFonts w:cs="Arial"/>
          <w:color w:val="auto"/>
          <w:szCs w:val="24"/>
          <w:lang w:eastAsia="en-US"/>
        </w:rPr>
      </w:pPr>
    </w:p>
    <w:p w14:paraId="1E966E53" w14:textId="77777777" w:rsidR="00CE241F" w:rsidRDefault="001568F9" w:rsidP="006977E7">
      <w:pPr>
        <w:keepNext w:val="0"/>
        <w:numPr>
          <w:ilvl w:val="1"/>
          <w:numId w:val="7"/>
        </w:numPr>
        <w:tabs>
          <w:tab w:val="clear" w:pos="525"/>
        </w:tabs>
        <w:spacing w:before="0"/>
        <w:ind w:left="709" w:hanging="709"/>
        <w:rPr>
          <w:rFonts w:cs="Arial"/>
          <w:color w:val="auto"/>
          <w:szCs w:val="24"/>
          <w:lang w:eastAsia="en-US"/>
        </w:rPr>
      </w:pPr>
      <w:r w:rsidRPr="00CE241F">
        <w:rPr>
          <w:rFonts w:cs="Arial"/>
          <w:color w:val="auto"/>
          <w:szCs w:val="24"/>
          <w:lang w:eastAsia="en-US"/>
        </w:rPr>
        <w:t xml:space="preserve">Where appropriate, public areas should be clearly visible from adjoining buildings and the design and landscaping should provide for clear sight-lines on public routes (for example, paths and cycle ways), and not create unnecessary concealed areas.  For development proposals generating public assembly or relating to the night time economy, an assessment of the potential for crime or anti-social behaviour will be required. Where potential adverse impacts are identified, these should be addressed as part of the proposal. This may include design measures forming part of the proposal such as boundary treatments or off site measures such as contributions towards CCTV. </w:t>
      </w:r>
    </w:p>
    <w:p w14:paraId="0C13265F" w14:textId="37C133E5" w:rsidR="00CE241F" w:rsidRDefault="00CE241F" w:rsidP="006977E7">
      <w:pPr>
        <w:spacing w:before="0"/>
        <w:rPr>
          <w:rFonts w:cs="Arial"/>
          <w:b/>
          <w:bCs/>
          <w:color w:val="auto"/>
          <w:szCs w:val="24"/>
        </w:rPr>
      </w:pPr>
    </w:p>
    <w:p w14:paraId="55F82FF1" w14:textId="77777777" w:rsidR="007D64E6" w:rsidRPr="00F55774" w:rsidRDefault="007D64E6" w:rsidP="007D64E6">
      <w:pPr>
        <w:keepNext w:val="0"/>
        <w:spacing w:before="0"/>
        <w:ind w:left="709"/>
        <w:rPr>
          <w:rFonts w:cs="Arial"/>
          <w:b/>
          <w:bCs/>
          <w:color w:val="auto"/>
          <w:szCs w:val="24"/>
          <w:lang w:eastAsia="en-US"/>
        </w:rPr>
      </w:pPr>
      <w:r w:rsidRPr="00F55774">
        <w:rPr>
          <w:rFonts w:cs="Arial"/>
          <w:b/>
          <w:bCs/>
          <w:color w:val="auto"/>
          <w:szCs w:val="24"/>
          <w:lang w:eastAsia="en-US"/>
        </w:rPr>
        <w:t>Standards</w:t>
      </w:r>
    </w:p>
    <w:p w14:paraId="2D540B71" w14:textId="59133276" w:rsidR="007D64E6" w:rsidRPr="00163F59" w:rsidRDefault="007D64E6" w:rsidP="007D64E6">
      <w:pPr>
        <w:keepNext w:val="0"/>
        <w:numPr>
          <w:ilvl w:val="1"/>
          <w:numId w:val="7"/>
        </w:numPr>
        <w:tabs>
          <w:tab w:val="clear" w:pos="525"/>
        </w:tabs>
        <w:spacing w:before="0"/>
        <w:ind w:left="709" w:hanging="709"/>
        <w:rPr>
          <w:rFonts w:cs="Arial"/>
          <w:color w:val="auto"/>
          <w:szCs w:val="24"/>
          <w:lang w:eastAsia="en-US"/>
        </w:rPr>
      </w:pPr>
      <w:r w:rsidRPr="00F55774">
        <w:rPr>
          <w:rFonts w:cs="Arial"/>
          <w:color w:val="auto"/>
          <w:szCs w:val="24"/>
          <w:lang w:eastAsia="en-US"/>
        </w:rPr>
        <w:t xml:space="preserve">All new developments should aspire to the highest standards of design, including construction methods and materials, and these issues should be integrated into the development process at an early stage, </w:t>
      </w:r>
      <w:r w:rsidRPr="00163F59">
        <w:rPr>
          <w:rFonts w:cs="Arial"/>
          <w:color w:val="auto"/>
          <w:szCs w:val="24"/>
          <w:lang w:eastAsia="en-US"/>
        </w:rPr>
        <w:t xml:space="preserve">along with consideration of community safety, residential amenity and sustainable access. </w:t>
      </w:r>
    </w:p>
    <w:p w14:paraId="5083AF1C" w14:textId="77777777" w:rsidR="00F32C46" w:rsidRPr="00163F59" w:rsidRDefault="00F32C46" w:rsidP="00F32C46">
      <w:pPr>
        <w:keepNext w:val="0"/>
        <w:spacing w:before="0"/>
        <w:ind w:left="709"/>
        <w:rPr>
          <w:rFonts w:cs="Arial"/>
          <w:color w:val="auto"/>
          <w:szCs w:val="24"/>
          <w:lang w:eastAsia="en-US"/>
        </w:rPr>
      </w:pPr>
    </w:p>
    <w:p w14:paraId="1C820E45" w14:textId="77777777" w:rsidR="00F32C46" w:rsidRPr="00163F59" w:rsidRDefault="00F32C46" w:rsidP="00F32C46">
      <w:pPr>
        <w:keepNext w:val="0"/>
        <w:numPr>
          <w:ilvl w:val="1"/>
          <w:numId w:val="7"/>
        </w:numPr>
        <w:tabs>
          <w:tab w:val="clear" w:pos="525"/>
        </w:tabs>
        <w:spacing w:before="0"/>
        <w:ind w:left="709" w:hanging="709"/>
        <w:rPr>
          <w:rFonts w:cs="Arial"/>
          <w:color w:val="auto"/>
          <w:szCs w:val="24"/>
          <w:lang w:eastAsia="en-US"/>
        </w:rPr>
      </w:pPr>
      <w:r w:rsidRPr="00163F59">
        <w:rPr>
          <w:rFonts w:cs="Arial"/>
          <w:color w:val="auto"/>
          <w:szCs w:val="24"/>
          <w:lang w:eastAsia="en-US"/>
        </w:rPr>
        <w:t>Local evidence will be used to inform and guide decisions, including the following Council documents:</w:t>
      </w:r>
    </w:p>
    <w:p w14:paraId="446A2BA2" w14:textId="77777777" w:rsidR="00F32C46" w:rsidRPr="00CE241F" w:rsidRDefault="00F32C46" w:rsidP="00F32C46">
      <w:pPr>
        <w:keepNext w:val="0"/>
        <w:spacing w:before="0"/>
        <w:rPr>
          <w:rFonts w:cs="Arial"/>
          <w:color w:val="auto"/>
          <w:szCs w:val="24"/>
          <w:lang w:eastAsia="en-US"/>
        </w:rPr>
      </w:pPr>
    </w:p>
    <w:p w14:paraId="3818B307" w14:textId="77777777" w:rsidR="00F32C46" w:rsidRPr="00CE241F" w:rsidRDefault="00F32C46" w:rsidP="00874A98">
      <w:pPr>
        <w:pStyle w:val="ListParagraph"/>
        <w:numPr>
          <w:ilvl w:val="0"/>
          <w:numId w:val="295"/>
        </w:numPr>
        <w:spacing w:after="0" w:line="240" w:lineRule="auto"/>
        <w:ind w:left="1418"/>
        <w:rPr>
          <w:rFonts w:ascii="Arial" w:hAnsi="Arial" w:cs="Arial"/>
          <w:color w:val="auto"/>
          <w:szCs w:val="24"/>
        </w:rPr>
      </w:pPr>
      <w:r w:rsidRPr="00CE241F">
        <w:rPr>
          <w:rFonts w:ascii="Arial" w:hAnsi="Arial" w:cs="Arial"/>
          <w:color w:val="auto"/>
          <w:szCs w:val="24"/>
        </w:rPr>
        <w:t>District-Wide Design Supplementary Planning Document;</w:t>
      </w:r>
    </w:p>
    <w:p w14:paraId="2698F0D5" w14:textId="77777777" w:rsidR="00F32C46" w:rsidRPr="00CE241F" w:rsidRDefault="00F32C46" w:rsidP="00874A98">
      <w:pPr>
        <w:pStyle w:val="ListParagraph"/>
        <w:numPr>
          <w:ilvl w:val="0"/>
          <w:numId w:val="295"/>
        </w:numPr>
        <w:spacing w:after="0" w:line="240" w:lineRule="auto"/>
        <w:ind w:left="1418"/>
        <w:rPr>
          <w:rFonts w:ascii="Arial" w:hAnsi="Arial" w:cs="Arial"/>
          <w:color w:val="auto"/>
          <w:szCs w:val="24"/>
        </w:rPr>
      </w:pPr>
      <w:r w:rsidRPr="00CE241F">
        <w:rPr>
          <w:rFonts w:ascii="Arial" w:hAnsi="Arial" w:cs="Arial"/>
          <w:color w:val="auto"/>
          <w:szCs w:val="24"/>
        </w:rPr>
        <w:t>Greater Nottingham Landscape Character Assessment, TEP &amp; NCC (2009)</w:t>
      </w:r>
    </w:p>
    <w:p w14:paraId="545BD453" w14:textId="77777777" w:rsidR="00F32C46" w:rsidRPr="00CE241F" w:rsidRDefault="00F32C46" w:rsidP="00874A98">
      <w:pPr>
        <w:pStyle w:val="ListParagraph"/>
        <w:numPr>
          <w:ilvl w:val="0"/>
          <w:numId w:val="295"/>
        </w:numPr>
        <w:spacing w:after="0" w:line="240" w:lineRule="auto"/>
        <w:ind w:left="1418"/>
        <w:rPr>
          <w:rFonts w:ascii="Arial" w:hAnsi="Arial" w:cs="Arial"/>
          <w:color w:val="auto"/>
          <w:szCs w:val="24"/>
        </w:rPr>
      </w:pPr>
      <w:r w:rsidRPr="00CE241F">
        <w:rPr>
          <w:rFonts w:ascii="Arial" w:hAnsi="Arial" w:cs="Arial"/>
          <w:color w:val="auto"/>
          <w:szCs w:val="24"/>
        </w:rPr>
        <w:t>Kirkby Cross Conservation Area Appraisal (adopted 1975, amended 2004)</w:t>
      </w:r>
    </w:p>
    <w:p w14:paraId="61ED4FCA" w14:textId="77777777" w:rsidR="00F32C46" w:rsidRPr="00CE241F" w:rsidRDefault="00F32C46" w:rsidP="00874A98">
      <w:pPr>
        <w:pStyle w:val="ListParagraph"/>
        <w:numPr>
          <w:ilvl w:val="0"/>
          <w:numId w:val="295"/>
        </w:numPr>
        <w:spacing w:after="0" w:line="240" w:lineRule="auto"/>
        <w:ind w:left="1418"/>
        <w:rPr>
          <w:rFonts w:ascii="Arial" w:hAnsi="Arial" w:cs="Arial"/>
          <w:color w:val="auto"/>
          <w:szCs w:val="24"/>
        </w:rPr>
      </w:pPr>
      <w:r w:rsidRPr="00CE241F">
        <w:rPr>
          <w:rFonts w:ascii="Arial" w:hAnsi="Arial" w:cs="Arial"/>
          <w:color w:val="auto"/>
          <w:szCs w:val="24"/>
        </w:rPr>
        <w:t>Lower Bagthorpe Conservation Area Appraisal (adopted 1975, amended 2007)</w:t>
      </w:r>
    </w:p>
    <w:p w14:paraId="681AD7D7" w14:textId="77777777" w:rsidR="00F32C46" w:rsidRPr="00CE241F" w:rsidRDefault="00F32C46" w:rsidP="00874A98">
      <w:pPr>
        <w:pStyle w:val="ListParagraph"/>
        <w:numPr>
          <w:ilvl w:val="0"/>
          <w:numId w:val="295"/>
        </w:numPr>
        <w:spacing w:after="0" w:line="240" w:lineRule="auto"/>
        <w:ind w:left="1418"/>
        <w:rPr>
          <w:rFonts w:ascii="Arial" w:hAnsi="Arial" w:cs="Arial"/>
          <w:color w:val="auto"/>
          <w:szCs w:val="24"/>
        </w:rPr>
      </w:pPr>
      <w:r w:rsidRPr="00CE241F">
        <w:rPr>
          <w:rFonts w:ascii="Arial" w:hAnsi="Arial" w:cs="Arial"/>
          <w:color w:val="auto"/>
          <w:szCs w:val="24"/>
        </w:rPr>
        <w:t xml:space="preserve">Teversal Conservation Area Appraisal (2012) </w:t>
      </w:r>
    </w:p>
    <w:p w14:paraId="68D73CAD" w14:textId="77777777" w:rsidR="00F32C46" w:rsidRPr="00CE241F" w:rsidRDefault="00F32C46" w:rsidP="00874A98">
      <w:pPr>
        <w:pStyle w:val="ListParagraph"/>
        <w:numPr>
          <w:ilvl w:val="0"/>
          <w:numId w:val="295"/>
        </w:numPr>
        <w:spacing w:after="0" w:line="240" w:lineRule="auto"/>
        <w:ind w:left="1418"/>
        <w:rPr>
          <w:rFonts w:ascii="Arial" w:hAnsi="Arial" w:cs="Arial"/>
          <w:color w:val="auto"/>
          <w:szCs w:val="24"/>
        </w:rPr>
      </w:pPr>
      <w:r w:rsidRPr="00CE241F">
        <w:rPr>
          <w:rFonts w:ascii="Arial" w:hAnsi="Arial" w:cs="Arial"/>
          <w:color w:val="auto"/>
          <w:szCs w:val="24"/>
        </w:rPr>
        <w:t>Sutton in Ashfield Church and Market Place Conservation Area (adopted 2015)</w:t>
      </w:r>
    </w:p>
    <w:p w14:paraId="243FB66E" w14:textId="77777777" w:rsidR="00F32C46" w:rsidRPr="00CE241F" w:rsidRDefault="00F32C46" w:rsidP="00874A98">
      <w:pPr>
        <w:pStyle w:val="ListParagraph"/>
        <w:numPr>
          <w:ilvl w:val="0"/>
          <w:numId w:val="295"/>
        </w:numPr>
        <w:spacing w:after="0" w:line="240" w:lineRule="auto"/>
        <w:ind w:left="1418"/>
        <w:rPr>
          <w:rFonts w:ascii="Arial" w:hAnsi="Arial" w:cs="Arial"/>
          <w:color w:val="auto"/>
          <w:szCs w:val="24"/>
        </w:rPr>
      </w:pPr>
      <w:r w:rsidRPr="00CE241F">
        <w:rPr>
          <w:rFonts w:ascii="Arial" w:hAnsi="Arial" w:cs="Arial"/>
          <w:color w:val="auto"/>
          <w:szCs w:val="24"/>
        </w:rPr>
        <w:t>Hucknall Conservation Area Appraisal (adopted 2019)</w:t>
      </w:r>
    </w:p>
    <w:p w14:paraId="3B465DEC" w14:textId="77777777" w:rsidR="00F32C46" w:rsidRPr="00CE241F" w:rsidRDefault="00F32C46" w:rsidP="00874A98">
      <w:pPr>
        <w:pStyle w:val="ListParagraph"/>
        <w:numPr>
          <w:ilvl w:val="0"/>
          <w:numId w:val="295"/>
        </w:numPr>
        <w:spacing w:after="0" w:line="240" w:lineRule="auto"/>
        <w:ind w:left="1418"/>
        <w:rPr>
          <w:rFonts w:ascii="Arial" w:hAnsi="Arial" w:cs="Arial"/>
          <w:color w:val="auto"/>
          <w:szCs w:val="24"/>
        </w:rPr>
      </w:pPr>
      <w:r w:rsidRPr="00CE241F">
        <w:rPr>
          <w:rFonts w:ascii="Arial" w:hAnsi="Arial" w:cs="Arial"/>
          <w:color w:val="auto"/>
          <w:szCs w:val="24"/>
        </w:rPr>
        <w:t>Sutton Town Centre Masterplan (2019)</w:t>
      </w:r>
    </w:p>
    <w:p w14:paraId="158DF6E9" w14:textId="77777777" w:rsidR="00F32C46" w:rsidRPr="00CE241F" w:rsidRDefault="00F32C46" w:rsidP="00874A98">
      <w:pPr>
        <w:pStyle w:val="ListParagraph"/>
        <w:numPr>
          <w:ilvl w:val="0"/>
          <w:numId w:val="295"/>
        </w:numPr>
        <w:spacing w:after="0" w:line="240" w:lineRule="auto"/>
        <w:ind w:left="1418"/>
        <w:rPr>
          <w:rFonts w:ascii="Arial" w:hAnsi="Arial" w:cs="Arial"/>
          <w:color w:val="auto"/>
          <w:szCs w:val="24"/>
        </w:rPr>
      </w:pPr>
      <w:r w:rsidRPr="00CE241F">
        <w:rPr>
          <w:rFonts w:ascii="Arial" w:hAnsi="Arial" w:cs="Arial"/>
          <w:color w:val="auto"/>
          <w:szCs w:val="24"/>
        </w:rPr>
        <w:t>Kirkby Town Centre Masterplan (2021)</w:t>
      </w:r>
    </w:p>
    <w:p w14:paraId="024609C3" w14:textId="77777777" w:rsidR="00F32C46" w:rsidRPr="00CE241F" w:rsidRDefault="00F32C46" w:rsidP="00874A98">
      <w:pPr>
        <w:pStyle w:val="ListParagraph"/>
        <w:numPr>
          <w:ilvl w:val="0"/>
          <w:numId w:val="295"/>
        </w:numPr>
        <w:spacing w:after="0" w:line="240" w:lineRule="auto"/>
        <w:ind w:left="1418"/>
        <w:rPr>
          <w:rFonts w:ascii="Arial" w:hAnsi="Arial" w:cs="Arial"/>
          <w:color w:val="auto"/>
          <w:szCs w:val="24"/>
        </w:rPr>
      </w:pPr>
      <w:r w:rsidRPr="00CE241F">
        <w:rPr>
          <w:rFonts w:ascii="Arial" w:hAnsi="Arial" w:cs="Arial"/>
          <w:color w:val="auto"/>
          <w:szCs w:val="24"/>
        </w:rPr>
        <w:t>Hucknall Town Centre Masterplan (2009)</w:t>
      </w:r>
    </w:p>
    <w:p w14:paraId="53F12B65" w14:textId="77777777" w:rsidR="00F32C46" w:rsidRDefault="00F32C46" w:rsidP="00F32C46">
      <w:pPr>
        <w:keepNext w:val="0"/>
        <w:spacing w:before="0"/>
        <w:rPr>
          <w:rFonts w:cs="Arial"/>
          <w:color w:val="auto"/>
          <w:szCs w:val="24"/>
          <w:lang w:eastAsia="en-US"/>
        </w:rPr>
      </w:pPr>
    </w:p>
    <w:p w14:paraId="17606025" w14:textId="28DE5808" w:rsidR="00F32C46" w:rsidRPr="00AF246F" w:rsidRDefault="00F32C46" w:rsidP="00AF246F">
      <w:pPr>
        <w:keepNext w:val="0"/>
        <w:numPr>
          <w:ilvl w:val="1"/>
          <w:numId w:val="7"/>
        </w:numPr>
        <w:tabs>
          <w:tab w:val="clear" w:pos="525"/>
        </w:tabs>
        <w:spacing w:before="0"/>
        <w:ind w:left="709" w:hanging="709"/>
        <w:rPr>
          <w:rFonts w:cs="Arial"/>
          <w:color w:val="auto"/>
          <w:szCs w:val="24"/>
          <w:lang w:eastAsia="en-US"/>
        </w:rPr>
      </w:pPr>
      <w:r w:rsidRPr="00CE241F">
        <w:rPr>
          <w:rFonts w:cs="Arial"/>
          <w:color w:val="auto"/>
          <w:szCs w:val="24"/>
          <w:lang w:eastAsia="en-US"/>
        </w:rPr>
        <w:t xml:space="preserve">Future design guidance may include masterplans, design briefs, design codes, village statements or informal planning guidance. </w:t>
      </w:r>
      <w:r w:rsidRPr="00595970">
        <w:rPr>
          <w:rFonts w:cs="Arial"/>
          <w:color w:val="auto"/>
          <w:szCs w:val="24"/>
          <w:lang w:eastAsia="en-US"/>
        </w:rPr>
        <w:t>The Council will require developers to undertake a Design Review where it could aid the design process</w:t>
      </w:r>
      <w:r w:rsidRPr="008E4A73">
        <w:rPr>
          <w:rFonts w:cs="Arial"/>
          <w:szCs w:val="24"/>
          <w:lang w:eastAsia="en-US"/>
        </w:rPr>
        <w:t>.</w:t>
      </w:r>
    </w:p>
    <w:p w14:paraId="006B8F27" w14:textId="77777777" w:rsidR="00AF246F" w:rsidRPr="00AF246F" w:rsidRDefault="00AF246F" w:rsidP="00AF246F">
      <w:pPr>
        <w:keepNext w:val="0"/>
        <w:spacing w:before="0"/>
        <w:ind w:left="709"/>
        <w:rPr>
          <w:rFonts w:cs="Arial"/>
          <w:color w:val="auto"/>
          <w:szCs w:val="24"/>
          <w:lang w:eastAsia="en-US"/>
        </w:rPr>
      </w:pPr>
    </w:p>
    <w:p w14:paraId="5DB3D4D1" w14:textId="2F859119" w:rsidR="00AF246F" w:rsidRPr="00AF246F" w:rsidRDefault="00AF246F" w:rsidP="00AF246F">
      <w:pPr>
        <w:keepNext w:val="0"/>
        <w:numPr>
          <w:ilvl w:val="1"/>
          <w:numId w:val="7"/>
        </w:numPr>
        <w:tabs>
          <w:tab w:val="clear" w:pos="525"/>
          <w:tab w:val="num" w:pos="709"/>
        </w:tabs>
        <w:spacing w:before="0"/>
        <w:ind w:left="709" w:hanging="709"/>
        <w:rPr>
          <w:rFonts w:cs="Arial"/>
          <w:color w:val="auto"/>
          <w:szCs w:val="24"/>
          <w:lang w:eastAsia="en-US"/>
        </w:rPr>
      </w:pPr>
      <w:r w:rsidRPr="00CE241F">
        <w:rPr>
          <w:rFonts w:cs="Arial"/>
          <w:color w:val="auto"/>
          <w:szCs w:val="24"/>
          <w:lang w:eastAsia="en-US"/>
        </w:rPr>
        <w:t xml:space="preserve">The Council may also use characterisation techniques promoted by Historic England to understand better the character of places and help to ensure the Local Plan is sound and locally distinctive. This more detailed guidance will assist in the implementation of this policy, and address particular design issues or provide more detail, such as defining locally important views.  </w:t>
      </w:r>
    </w:p>
    <w:p w14:paraId="0C47AE31" w14:textId="77777777" w:rsidR="007D64E6" w:rsidRDefault="007D64E6" w:rsidP="007D64E6">
      <w:pPr>
        <w:keepNext w:val="0"/>
        <w:spacing w:before="0"/>
        <w:ind w:left="709"/>
        <w:rPr>
          <w:rFonts w:cs="Arial"/>
          <w:color w:val="auto"/>
          <w:szCs w:val="24"/>
          <w:lang w:eastAsia="en-US"/>
        </w:rPr>
      </w:pPr>
    </w:p>
    <w:p w14:paraId="34F253DC" w14:textId="08608225" w:rsidR="007D64E6" w:rsidRDefault="007D64E6" w:rsidP="007D64E6">
      <w:pPr>
        <w:keepNext w:val="0"/>
        <w:numPr>
          <w:ilvl w:val="1"/>
          <w:numId w:val="7"/>
        </w:numPr>
        <w:tabs>
          <w:tab w:val="clear" w:pos="525"/>
        </w:tabs>
        <w:spacing w:before="0"/>
        <w:ind w:left="709" w:hanging="709"/>
        <w:rPr>
          <w:rFonts w:cs="Arial"/>
          <w:color w:val="auto"/>
          <w:szCs w:val="24"/>
          <w:lang w:eastAsia="en-US"/>
        </w:rPr>
      </w:pPr>
      <w:r w:rsidRPr="00CE241F">
        <w:rPr>
          <w:rFonts w:cs="Arial"/>
          <w:color w:val="auto"/>
          <w:szCs w:val="24"/>
          <w:lang w:eastAsia="en-US"/>
        </w:rPr>
        <w:t xml:space="preserve">Development should </w:t>
      </w:r>
      <w:r w:rsidR="00AF246F" w:rsidRPr="00595970">
        <w:rPr>
          <w:rFonts w:cs="Arial"/>
          <w:color w:val="auto"/>
          <w:szCs w:val="24"/>
          <w:lang w:eastAsia="en-US"/>
        </w:rPr>
        <w:t xml:space="preserve">also </w:t>
      </w:r>
      <w:r w:rsidRPr="00CE241F">
        <w:rPr>
          <w:rFonts w:cs="Arial"/>
          <w:color w:val="auto"/>
          <w:szCs w:val="24"/>
          <w:lang w:eastAsia="en-US"/>
        </w:rPr>
        <w:t xml:space="preserve">take account of the following design standards and guidance (and any future updates of these) which will be used (but not exclusively) to help assess the quality of design: </w:t>
      </w:r>
    </w:p>
    <w:p w14:paraId="4F87F264" w14:textId="77777777" w:rsidR="007D64E6" w:rsidRDefault="007D64E6" w:rsidP="007D64E6">
      <w:pPr>
        <w:pStyle w:val="ListParagraph"/>
        <w:rPr>
          <w:rFonts w:cs="Arial"/>
          <w:color w:val="auto"/>
          <w:szCs w:val="24"/>
        </w:rPr>
      </w:pPr>
    </w:p>
    <w:p w14:paraId="2D6ACD81" w14:textId="77777777" w:rsidR="007D64E6" w:rsidRPr="00DA3B66" w:rsidRDefault="007D64E6" w:rsidP="00874A98">
      <w:pPr>
        <w:pStyle w:val="ListParagraph"/>
        <w:numPr>
          <w:ilvl w:val="0"/>
          <w:numId w:val="214"/>
        </w:numPr>
        <w:ind w:left="1276"/>
        <w:rPr>
          <w:rFonts w:ascii="Arial" w:hAnsi="Arial" w:cs="Arial"/>
          <w:color w:val="auto"/>
          <w:szCs w:val="24"/>
        </w:rPr>
      </w:pPr>
      <w:r w:rsidRPr="00DA3B66">
        <w:rPr>
          <w:rFonts w:ascii="Arial" w:hAnsi="Arial" w:cs="Arial"/>
          <w:color w:val="auto"/>
          <w:szCs w:val="24"/>
        </w:rPr>
        <w:t xml:space="preserve">Building for a Healthy Life 12 (for residential developments of 10 or more dwellings).  </w:t>
      </w:r>
    </w:p>
    <w:p w14:paraId="755AAC45" w14:textId="77777777" w:rsidR="007D64E6" w:rsidRPr="00DA3B66" w:rsidRDefault="007D64E6" w:rsidP="00874A98">
      <w:pPr>
        <w:pStyle w:val="ListParagraph"/>
        <w:numPr>
          <w:ilvl w:val="0"/>
          <w:numId w:val="214"/>
        </w:numPr>
        <w:ind w:left="1276"/>
        <w:rPr>
          <w:rFonts w:ascii="Arial" w:hAnsi="Arial" w:cs="Arial"/>
          <w:color w:val="auto"/>
          <w:szCs w:val="24"/>
        </w:rPr>
      </w:pPr>
      <w:r w:rsidRPr="00DA3B66">
        <w:rPr>
          <w:rFonts w:ascii="Arial" w:hAnsi="Arial" w:cs="Arial"/>
          <w:color w:val="auto"/>
          <w:szCs w:val="24"/>
        </w:rPr>
        <w:t xml:space="preserve">Secured By Design/ Safer Places- the Planning System and Crime Prevention.  </w:t>
      </w:r>
    </w:p>
    <w:p w14:paraId="328FCE2D" w14:textId="77777777" w:rsidR="007D64E6" w:rsidRPr="00DA3B66" w:rsidRDefault="007D64E6" w:rsidP="00874A98">
      <w:pPr>
        <w:pStyle w:val="ListParagraph"/>
        <w:numPr>
          <w:ilvl w:val="0"/>
          <w:numId w:val="214"/>
        </w:numPr>
        <w:ind w:left="1276"/>
        <w:rPr>
          <w:rFonts w:ascii="Arial" w:hAnsi="Arial" w:cs="Arial"/>
          <w:color w:val="auto"/>
          <w:szCs w:val="24"/>
        </w:rPr>
      </w:pPr>
      <w:r w:rsidRPr="00DA3B66">
        <w:rPr>
          <w:rFonts w:ascii="Arial" w:hAnsi="Arial" w:cs="Arial"/>
          <w:color w:val="auto"/>
          <w:szCs w:val="24"/>
        </w:rPr>
        <w:t xml:space="preserve">Manual for Streets (for residential developments).  </w:t>
      </w:r>
    </w:p>
    <w:p w14:paraId="51E5589B" w14:textId="77777777" w:rsidR="007D64E6" w:rsidRPr="00DA3B66" w:rsidRDefault="007D64E6" w:rsidP="00874A98">
      <w:pPr>
        <w:pStyle w:val="ListParagraph"/>
        <w:numPr>
          <w:ilvl w:val="0"/>
          <w:numId w:val="214"/>
        </w:numPr>
        <w:ind w:left="1276"/>
        <w:rPr>
          <w:rFonts w:ascii="Arial" w:hAnsi="Arial" w:cs="Arial"/>
          <w:color w:val="auto"/>
          <w:szCs w:val="24"/>
        </w:rPr>
      </w:pPr>
      <w:r w:rsidRPr="00DA3B66">
        <w:rPr>
          <w:rFonts w:ascii="Arial" w:hAnsi="Arial" w:cs="Arial"/>
          <w:color w:val="auto"/>
          <w:szCs w:val="24"/>
        </w:rPr>
        <w:t xml:space="preserve">Manual for Streets 2 - Wider Application of the Principles (which takes this guidance beyond just residential developments).  </w:t>
      </w:r>
    </w:p>
    <w:p w14:paraId="66851E5A" w14:textId="77777777" w:rsidR="007D64E6" w:rsidRPr="00CE241F" w:rsidRDefault="007D64E6" w:rsidP="007D64E6">
      <w:pPr>
        <w:keepNext w:val="0"/>
        <w:numPr>
          <w:ilvl w:val="1"/>
          <w:numId w:val="7"/>
        </w:numPr>
        <w:tabs>
          <w:tab w:val="clear" w:pos="525"/>
        </w:tabs>
        <w:spacing w:before="0"/>
        <w:ind w:left="709" w:hanging="709"/>
        <w:rPr>
          <w:rFonts w:cs="Arial"/>
          <w:color w:val="auto"/>
          <w:szCs w:val="24"/>
          <w:lang w:eastAsia="en-US"/>
        </w:rPr>
      </w:pPr>
      <w:r w:rsidRPr="00CE241F">
        <w:rPr>
          <w:rFonts w:cs="Arial"/>
          <w:color w:val="auto"/>
          <w:szCs w:val="24"/>
          <w:lang w:eastAsia="en-US"/>
        </w:rPr>
        <w:t>The sustainability of the buildings themselves are guided by the National Housing Standards, administered through Building Regulations. Over the plan period, these standards are expected to require regular improvements in the environmental performance and efficiency of new buildings. Whilst applied through building regulations it is important that any design implications resulting from these standards are resolved at the planning stage. Policy CC1 sets out how new development should contribute to mitigating and adapting to climate change.</w:t>
      </w:r>
    </w:p>
    <w:p w14:paraId="4111460C" w14:textId="190A74C5" w:rsidR="00CE241F" w:rsidRPr="00AF246F" w:rsidRDefault="00CE241F" w:rsidP="00AF246F">
      <w:pPr>
        <w:keepNext w:val="0"/>
        <w:spacing w:before="0"/>
        <w:rPr>
          <w:rFonts w:cs="Arial"/>
          <w:strike/>
          <w:color w:val="auto"/>
          <w:szCs w:val="24"/>
          <w:lang w:eastAsia="en-US"/>
        </w:rPr>
      </w:pPr>
    </w:p>
    <w:p w14:paraId="2884008B" w14:textId="77777777" w:rsidR="00263F59" w:rsidRDefault="00263F59">
      <w:pPr>
        <w:keepNext w:val="0"/>
        <w:spacing w:before="0"/>
        <w:rPr>
          <w:rFonts w:cs="Arial"/>
          <w:color w:val="auto"/>
          <w:lang w:eastAsia="en-US"/>
        </w:rPr>
      </w:pPr>
    </w:p>
    <w:p w14:paraId="3978DF09" w14:textId="01FC302D" w:rsidR="006E3244" w:rsidRPr="00825421" w:rsidRDefault="006977E7" w:rsidP="00825421">
      <w:pPr>
        <w:pStyle w:val="Heading2"/>
        <w:jc w:val="left"/>
        <w:rPr>
          <w:sz w:val="28"/>
          <w:szCs w:val="28"/>
        </w:rPr>
      </w:pPr>
      <w:bookmarkStart w:id="291" w:name="_Toc145511612"/>
      <w:r w:rsidRPr="00825421">
        <w:rPr>
          <w:rFonts w:eastAsia="Arial"/>
          <w:sz w:val="28"/>
          <w:szCs w:val="28"/>
        </w:rPr>
        <w:t xml:space="preserve">Policy </w:t>
      </w:r>
      <w:r w:rsidR="006E3244" w:rsidRPr="00825421">
        <w:rPr>
          <w:rFonts w:eastAsia="Arial"/>
          <w:sz w:val="28"/>
          <w:szCs w:val="28"/>
        </w:rPr>
        <w:t>SD</w:t>
      </w:r>
      <w:r w:rsidR="0064018F" w:rsidRPr="00825421">
        <w:rPr>
          <w:rFonts w:eastAsia="Arial"/>
          <w:sz w:val="28"/>
          <w:szCs w:val="28"/>
        </w:rPr>
        <w:t>3</w:t>
      </w:r>
      <w:r w:rsidR="006E3244" w:rsidRPr="00825421">
        <w:rPr>
          <w:rFonts w:eastAsia="Arial"/>
          <w:sz w:val="28"/>
          <w:szCs w:val="28"/>
        </w:rPr>
        <w:t>: Amenity</w:t>
      </w:r>
      <w:bookmarkEnd w:id="291"/>
    </w:p>
    <w:p w14:paraId="1984F880" w14:textId="77777777" w:rsidR="006E3244" w:rsidRPr="006E3244" w:rsidRDefault="006E3244" w:rsidP="006E3244">
      <w:pPr>
        <w:keepNext w:val="0"/>
        <w:spacing w:before="0"/>
        <w:ind w:left="709"/>
        <w:rPr>
          <w:rFonts w:cs="Arial"/>
          <w:color w:val="auto"/>
          <w:szCs w:val="24"/>
          <w:lang w:eastAsia="en-US"/>
        </w:rPr>
      </w:pPr>
    </w:p>
    <w:p w14:paraId="5E8DAD56" w14:textId="4F9E12C1" w:rsidR="00F476A9" w:rsidRPr="00F476A9" w:rsidRDefault="00F476A9" w:rsidP="00F476A9">
      <w:pPr>
        <w:keepNext w:val="0"/>
        <w:numPr>
          <w:ilvl w:val="1"/>
          <w:numId w:val="7"/>
        </w:numPr>
        <w:tabs>
          <w:tab w:val="clear" w:pos="525"/>
        </w:tabs>
        <w:spacing w:before="0"/>
        <w:ind w:left="709" w:hanging="709"/>
        <w:rPr>
          <w:rFonts w:cs="Arial"/>
          <w:color w:val="auto"/>
          <w:szCs w:val="24"/>
          <w:lang w:eastAsia="en-US"/>
        </w:rPr>
      </w:pPr>
      <w:r w:rsidRPr="00F476A9">
        <w:rPr>
          <w:rFonts w:cs="Arial"/>
          <w:color w:val="auto"/>
          <w:lang w:eastAsia="en-US"/>
        </w:rPr>
        <w:t>This policy aims to protect and enhance amenity to maintain quality of life and ensure the successful integration of new development into existing neighbourhoods. It will ensure that new development takes account of community and individual privacy, safety considerations and potential for crime or anti-social behaviour. Ashfield’s Residential Design Guide SPD offers greater detail on many aspects.</w:t>
      </w:r>
    </w:p>
    <w:p w14:paraId="7E4253D8" w14:textId="51978E96" w:rsidR="00F476A9" w:rsidRDefault="00F476A9" w:rsidP="00F476A9">
      <w:pPr>
        <w:keepNext w:val="0"/>
        <w:spacing w:before="0"/>
        <w:ind w:left="709"/>
        <w:rPr>
          <w:rFonts w:cs="Arial"/>
          <w:color w:val="auto"/>
          <w:lang w:eastAsia="en-US"/>
        </w:rPr>
      </w:pPr>
    </w:p>
    <w:p w14:paraId="3E45F9EB" w14:textId="1D9175A7" w:rsidR="00F476A9" w:rsidRDefault="00F476A9" w:rsidP="00F476A9">
      <w:pPr>
        <w:keepNext w:val="0"/>
        <w:spacing w:before="0"/>
        <w:ind w:left="709"/>
        <w:rPr>
          <w:rFonts w:cs="Arial"/>
          <w:color w:val="auto"/>
          <w:lang w:eastAsia="en-US"/>
        </w:rPr>
      </w:pPr>
    </w:p>
    <w:tbl>
      <w:tblPr>
        <w:tblStyle w:val="TableGrid3"/>
        <w:tblW w:w="0" w:type="auto"/>
        <w:tblLook w:val="04A0" w:firstRow="1" w:lastRow="0" w:firstColumn="1" w:lastColumn="0" w:noHBand="0" w:noVBand="1"/>
      </w:tblPr>
      <w:tblGrid>
        <w:gridCol w:w="2830"/>
        <w:gridCol w:w="6663"/>
      </w:tblGrid>
      <w:tr w:rsidR="00F476A9" w:rsidRPr="00F476A9" w14:paraId="7598E310" w14:textId="77777777" w:rsidTr="00163F59">
        <w:trPr>
          <w:trHeight w:val="421"/>
        </w:trPr>
        <w:tc>
          <w:tcPr>
            <w:tcW w:w="9493" w:type="dxa"/>
            <w:gridSpan w:val="2"/>
          </w:tcPr>
          <w:p w14:paraId="60B4B036" w14:textId="77777777" w:rsidR="00CE241F" w:rsidRDefault="00CE241F" w:rsidP="00905CC9">
            <w:pPr>
              <w:keepNext w:val="0"/>
              <w:tabs>
                <w:tab w:val="left" w:pos="680"/>
              </w:tabs>
              <w:spacing w:before="0"/>
              <w:jc w:val="left"/>
              <w:rPr>
                <w:rFonts w:eastAsia="Arial"/>
                <w:b/>
                <w:color w:val="auto"/>
                <w:spacing w:val="-1"/>
              </w:rPr>
            </w:pPr>
          </w:p>
          <w:p w14:paraId="3122F91E" w14:textId="77777777" w:rsidR="00F476A9" w:rsidRDefault="00F476A9" w:rsidP="00905CC9">
            <w:pPr>
              <w:keepNext w:val="0"/>
              <w:tabs>
                <w:tab w:val="left" w:pos="680"/>
              </w:tabs>
              <w:spacing w:before="0"/>
              <w:jc w:val="left"/>
              <w:rPr>
                <w:rFonts w:eastAsia="Arial"/>
                <w:b/>
                <w:color w:val="auto"/>
                <w:spacing w:val="-1"/>
              </w:rPr>
            </w:pPr>
            <w:r w:rsidRPr="008301BC">
              <w:rPr>
                <w:rFonts w:eastAsia="Arial"/>
                <w:b/>
                <w:color w:val="auto"/>
                <w:spacing w:val="-1"/>
              </w:rPr>
              <w:t>Policy SD</w:t>
            </w:r>
            <w:r w:rsidR="008301BC" w:rsidRPr="008301BC">
              <w:rPr>
                <w:rFonts w:eastAsia="Arial"/>
                <w:b/>
                <w:color w:val="auto"/>
                <w:spacing w:val="-1"/>
              </w:rPr>
              <w:t>3</w:t>
            </w:r>
            <w:r w:rsidRPr="008301BC">
              <w:rPr>
                <w:rFonts w:eastAsia="Arial"/>
                <w:b/>
                <w:color w:val="auto"/>
                <w:spacing w:val="-1"/>
              </w:rPr>
              <w:t>: Amenity</w:t>
            </w:r>
          </w:p>
          <w:p w14:paraId="3B1D7EDE" w14:textId="0ED8E056" w:rsidR="00CE241F" w:rsidRPr="00F476A9" w:rsidRDefault="00CE241F" w:rsidP="00905CC9">
            <w:pPr>
              <w:keepNext w:val="0"/>
              <w:tabs>
                <w:tab w:val="left" w:pos="680"/>
              </w:tabs>
              <w:spacing w:before="0"/>
              <w:jc w:val="left"/>
              <w:rPr>
                <w:rFonts w:eastAsia="Arial"/>
                <w:b/>
                <w:color w:val="auto"/>
                <w:spacing w:val="-1"/>
              </w:rPr>
            </w:pPr>
          </w:p>
        </w:tc>
      </w:tr>
      <w:tr w:rsidR="008301BC" w:rsidRPr="00F476A9" w14:paraId="4699602C" w14:textId="77777777" w:rsidTr="00163F59">
        <w:tc>
          <w:tcPr>
            <w:tcW w:w="2830" w:type="dxa"/>
          </w:tcPr>
          <w:p w14:paraId="0A358EF4" w14:textId="0B3BDD8E" w:rsidR="008301BC" w:rsidRPr="008301BC" w:rsidRDefault="008301BC" w:rsidP="00905CC9">
            <w:pPr>
              <w:keepNext w:val="0"/>
              <w:tabs>
                <w:tab w:val="left" w:pos="680"/>
              </w:tabs>
              <w:spacing w:before="40" w:after="40"/>
              <w:jc w:val="left"/>
              <w:rPr>
                <w:rFonts w:eastAsia="Arial"/>
                <w:bCs/>
                <w:color w:val="auto"/>
              </w:rPr>
            </w:pPr>
            <w:r>
              <w:rPr>
                <w:rFonts w:eastAsia="Arial"/>
                <w:bCs/>
                <w:color w:val="auto"/>
              </w:rPr>
              <w:t>Strategic Objectives</w:t>
            </w:r>
          </w:p>
        </w:tc>
        <w:tc>
          <w:tcPr>
            <w:tcW w:w="6663" w:type="dxa"/>
          </w:tcPr>
          <w:p w14:paraId="054BC38B" w14:textId="4A0318D0" w:rsidR="008301BC" w:rsidRPr="00F476A9" w:rsidRDefault="008301BC" w:rsidP="00905CC9">
            <w:pPr>
              <w:keepNext w:val="0"/>
              <w:tabs>
                <w:tab w:val="left" w:pos="680"/>
              </w:tabs>
              <w:spacing w:before="40" w:after="40"/>
              <w:jc w:val="left"/>
              <w:rPr>
                <w:rFonts w:eastAsia="Arial"/>
                <w:b/>
                <w:color w:val="auto"/>
              </w:rPr>
            </w:pPr>
            <w:r w:rsidRPr="008301BC">
              <w:rPr>
                <w:rFonts w:eastAsia="Arial"/>
                <w:bCs/>
                <w:color w:val="auto"/>
              </w:rPr>
              <w:t>SO1, SO2, SO3, SO4, SO5, SO11, SO12, SO13, SO14.</w:t>
            </w:r>
          </w:p>
        </w:tc>
      </w:tr>
      <w:tr w:rsidR="00F476A9" w:rsidRPr="00F476A9" w14:paraId="70CB23FF" w14:textId="77777777" w:rsidTr="00163F59">
        <w:tc>
          <w:tcPr>
            <w:tcW w:w="9493" w:type="dxa"/>
            <w:gridSpan w:val="2"/>
            <w:shd w:val="clear" w:color="auto" w:fill="DAC4F8"/>
          </w:tcPr>
          <w:p w14:paraId="050B4610" w14:textId="77777777" w:rsidR="00F476A9" w:rsidRPr="00F515E4" w:rsidRDefault="00F476A9" w:rsidP="00905CC9">
            <w:pPr>
              <w:keepNext w:val="0"/>
              <w:tabs>
                <w:tab w:val="left" w:pos="680"/>
                <w:tab w:val="left" w:pos="1133"/>
                <w:tab w:val="left" w:pos="2267"/>
              </w:tabs>
              <w:spacing w:before="0"/>
              <w:ind w:right="284"/>
              <w:jc w:val="left"/>
              <w:rPr>
                <w:rFonts w:eastAsia="Arial"/>
                <w:bCs/>
                <w:color w:val="auto"/>
              </w:rPr>
            </w:pPr>
          </w:p>
          <w:p w14:paraId="075EC8FF" w14:textId="5A5191BD" w:rsidR="00DA3B66" w:rsidRDefault="00F476A9" w:rsidP="00874A98">
            <w:pPr>
              <w:pStyle w:val="ListParagraph"/>
              <w:numPr>
                <w:ilvl w:val="0"/>
                <w:numId w:val="305"/>
              </w:numPr>
              <w:tabs>
                <w:tab w:val="left" w:pos="680"/>
                <w:tab w:val="left" w:pos="1133"/>
                <w:tab w:val="left" w:pos="2267"/>
              </w:tabs>
              <w:spacing w:after="0" w:line="240" w:lineRule="auto"/>
              <w:ind w:right="284"/>
              <w:jc w:val="left"/>
              <w:rPr>
                <w:rFonts w:ascii="Arial" w:eastAsia="Arial" w:hAnsi="Arial" w:cs="Arial"/>
                <w:bCs/>
                <w:color w:val="auto"/>
              </w:rPr>
            </w:pPr>
            <w:r w:rsidRPr="00DA3B66">
              <w:rPr>
                <w:rFonts w:ascii="Arial" w:eastAsia="Arial" w:hAnsi="Arial" w:cs="Arial"/>
                <w:bCs/>
                <w:color w:val="auto"/>
              </w:rPr>
              <w:t>The Council will support development that safeguards conditions for users or occupants of adjoining or nearby properties, and future users/occupants of new development proposals. Proposals should:</w:t>
            </w:r>
          </w:p>
          <w:p w14:paraId="0650D4DC" w14:textId="3EBA0BF2" w:rsidR="00DA3B66" w:rsidRDefault="00DA3B66" w:rsidP="00905CC9">
            <w:pPr>
              <w:pStyle w:val="ListParagraph"/>
              <w:tabs>
                <w:tab w:val="left" w:pos="680"/>
                <w:tab w:val="left" w:pos="1133"/>
                <w:tab w:val="left" w:pos="2267"/>
              </w:tabs>
              <w:spacing w:after="0" w:line="240" w:lineRule="auto"/>
              <w:ind w:left="360" w:right="284"/>
              <w:jc w:val="left"/>
              <w:rPr>
                <w:rFonts w:ascii="Arial" w:eastAsia="Arial" w:hAnsi="Arial" w:cs="Arial"/>
                <w:bCs/>
                <w:color w:val="auto"/>
              </w:rPr>
            </w:pPr>
          </w:p>
          <w:p w14:paraId="0EEC2F3E" w14:textId="77777777" w:rsidR="00DA3B66" w:rsidRPr="00F515E4" w:rsidRDefault="00DA3B66" w:rsidP="00874A98">
            <w:pPr>
              <w:pStyle w:val="ListParagraph"/>
              <w:numPr>
                <w:ilvl w:val="0"/>
                <w:numId w:val="222"/>
              </w:numPr>
              <w:spacing w:after="0" w:line="240" w:lineRule="auto"/>
              <w:jc w:val="left"/>
              <w:rPr>
                <w:rFonts w:ascii="Arial" w:eastAsia="Arial" w:hAnsi="Arial" w:cs="Arial"/>
                <w:bCs/>
                <w:color w:val="auto"/>
              </w:rPr>
            </w:pPr>
            <w:r w:rsidRPr="00F515E4">
              <w:rPr>
                <w:rFonts w:ascii="Arial" w:eastAsia="Arial" w:hAnsi="Arial" w:cs="Arial"/>
                <w:bCs/>
                <w:color w:val="auto"/>
              </w:rPr>
              <w:t>Provide protection from over massing and overshadowing;</w:t>
            </w:r>
          </w:p>
          <w:p w14:paraId="15DD186C" w14:textId="77777777" w:rsidR="00DA3B66" w:rsidRPr="00F515E4" w:rsidRDefault="00DA3B66" w:rsidP="00905CC9">
            <w:pPr>
              <w:pStyle w:val="ListParagraph"/>
              <w:spacing w:after="0" w:line="240" w:lineRule="auto"/>
              <w:jc w:val="left"/>
              <w:rPr>
                <w:rFonts w:ascii="Arial" w:eastAsia="Arial" w:hAnsi="Arial" w:cs="Arial"/>
                <w:bCs/>
                <w:color w:val="auto"/>
              </w:rPr>
            </w:pPr>
          </w:p>
          <w:p w14:paraId="5DFE91DE" w14:textId="77777777" w:rsidR="00DA3B66" w:rsidRPr="00F515E4" w:rsidRDefault="00DA3B66" w:rsidP="00874A98">
            <w:pPr>
              <w:pStyle w:val="ListParagraph"/>
              <w:numPr>
                <w:ilvl w:val="0"/>
                <w:numId w:val="222"/>
              </w:numPr>
              <w:spacing w:after="0" w:line="240" w:lineRule="auto"/>
              <w:jc w:val="left"/>
              <w:rPr>
                <w:rFonts w:ascii="Arial" w:eastAsia="Arial" w:hAnsi="Arial" w:cs="Arial"/>
                <w:bCs/>
                <w:color w:val="auto"/>
              </w:rPr>
            </w:pPr>
            <w:r w:rsidRPr="00F515E4">
              <w:rPr>
                <w:rFonts w:ascii="Arial" w:eastAsia="Arial" w:hAnsi="Arial" w:cs="Arial"/>
                <w:bCs/>
                <w:color w:val="auto"/>
              </w:rPr>
              <w:t>In the case of residential care homes, ensure that the outlook from bedrooms and communal rooms are adequate, and that the site has level access to a garden or sitting out area;</w:t>
            </w:r>
          </w:p>
          <w:p w14:paraId="0A2ED90E" w14:textId="77777777" w:rsidR="00DA3B66" w:rsidRPr="00F515E4" w:rsidRDefault="00DA3B66" w:rsidP="00905CC9">
            <w:pPr>
              <w:spacing w:before="0"/>
              <w:jc w:val="left"/>
              <w:rPr>
                <w:rFonts w:eastAsia="Arial" w:cs="Arial"/>
                <w:bCs/>
                <w:color w:val="auto"/>
              </w:rPr>
            </w:pPr>
          </w:p>
          <w:p w14:paraId="424994AD" w14:textId="77777777" w:rsidR="00DA3B66" w:rsidRPr="00F515E4" w:rsidRDefault="00DA3B66" w:rsidP="00874A98">
            <w:pPr>
              <w:pStyle w:val="ListParagraph"/>
              <w:numPr>
                <w:ilvl w:val="0"/>
                <w:numId w:val="222"/>
              </w:numPr>
              <w:spacing w:after="0" w:line="240" w:lineRule="auto"/>
              <w:jc w:val="left"/>
              <w:rPr>
                <w:rFonts w:ascii="Arial" w:eastAsia="Arial" w:hAnsi="Arial" w:cs="Arial"/>
                <w:bCs/>
                <w:color w:val="auto"/>
              </w:rPr>
            </w:pPr>
            <w:r w:rsidRPr="00F515E4">
              <w:rPr>
                <w:rFonts w:ascii="Arial" w:eastAsia="Arial" w:hAnsi="Arial" w:cs="Arial"/>
                <w:bCs/>
                <w:color w:val="auto"/>
              </w:rPr>
              <w:t xml:space="preserve">In respect of all residential development, ensure adequate access to sufficient open space and garden space; </w:t>
            </w:r>
          </w:p>
          <w:p w14:paraId="1BD9793B" w14:textId="77777777" w:rsidR="00DA3B66" w:rsidRPr="00F515E4" w:rsidRDefault="00DA3B66" w:rsidP="00905CC9">
            <w:pPr>
              <w:spacing w:before="0"/>
              <w:jc w:val="left"/>
              <w:rPr>
                <w:rFonts w:eastAsia="Arial" w:cs="Arial"/>
                <w:bCs/>
                <w:color w:val="auto"/>
              </w:rPr>
            </w:pPr>
          </w:p>
          <w:p w14:paraId="010C91BF" w14:textId="77777777" w:rsidR="00DA3B66" w:rsidRPr="00F515E4" w:rsidRDefault="00DA3B66" w:rsidP="00874A98">
            <w:pPr>
              <w:pStyle w:val="ListParagraph"/>
              <w:numPr>
                <w:ilvl w:val="0"/>
                <w:numId w:val="222"/>
              </w:numPr>
              <w:spacing w:after="0" w:line="240" w:lineRule="auto"/>
              <w:jc w:val="left"/>
              <w:rPr>
                <w:rFonts w:ascii="Arial" w:eastAsia="Arial" w:hAnsi="Arial" w:cs="Arial"/>
                <w:bCs/>
                <w:color w:val="auto"/>
              </w:rPr>
            </w:pPr>
            <w:r w:rsidRPr="00F515E4">
              <w:rPr>
                <w:rFonts w:ascii="Arial" w:eastAsia="Arial" w:hAnsi="Arial" w:cs="Arial"/>
                <w:bCs/>
                <w:color w:val="auto"/>
              </w:rPr>
              <w:t>Not result in overlooking that would result in loss of privacy;</w:t>
            </w:r>
          </w:p>
          <w:p w14:paraId="5A400089" w14:textId="77777777" w:rsidR="00DA3B66" w:rsidRPr="00F515E4" w:rsidRDefault="00DA3B66" w:rsidP="00905CC9">
            <w:pPr>
              <w:spacing w:before="0"/>
              <w:jc w:val="left"/>
              <w:rPr>
                <w:rFonts w:eastAsia="Arial" w:cs="Arial"/>
                <w:bCs/>
                <w:color w:val="auto"/>
              </w:rPr>
            </w:pPr>
          </w:p>
          <w:p w14:paraId="646171CB" w14:textId="77777777" w:rsidR="00DA3B66" w:rsidRPr="00F515E4" w:rsidRDefault="00DA3B66" w:rsidP="00874A98">
            <w:pPr>
              <w:pStyle w:val="ListParagraph"/>
              <w:numPr>
                <w:ilvl w:val="0"/>
                <w:numId w:val="222"/>
              </w:numPr>
              <w:spacing w:after="0" w:line="240" w:lineRule="auto"/>
              <w:jc w:val="left"/>
              <w:rPr>
                <w:rFonts w:ascii="Arial" w:eastAsia="Arial" w:hAnsi="Arial" w:cs="Arial"/>
                <w:bCs/>
                <w:color w:val="auto"/>
              </w:rPr>
            </w:pPr>
            <w:r w:rsidRPr="00F515E4">
              <w:rPr>
                <w:rFonts w:ascii="Arial" w:eastAsia="Arial" w:hAnsi="Arial" w:cs="Arial"/>
                <w:bCs/>
                <w:color w:val="auto"/>
              </w:rPr>
              <w:t>Avoid potential for pollution, including air quality, light spillage, noise and disturbance, and contamination of land, groundwater or surface water;</w:t>
            </w:r>
          </w:p>
          <w:p w14:paraId="09575EE1" w14:textId="77777777" w:rsidR="00DA3B66" w:rsidRPr="00F515E4" w:rsidRDefault="00DA3B66" w:rsidP="00905CC9">
            <w:pPr>
              <w:spacing w:before="0"/>
              <w:jc w:val="left"/>
              <w:rPr>
                <w:rFonts w:eastAsia="Arial" w:cs="Arial"/>
                <w:bCs/>
                <w:color w:val="auto"/>
              </w:rPr>
            </w:pPr>
          </w:p>
          <w:p w14:paraId="77DF80F4" w14:textId="77777777" w:rsidR="00DA3B66" w:rsidRPr="00F515E4" w:rsidRDefault="00DA3B66" w:rsidP="00874A98">
            <w:pPr>
              <w:pStyle w:val="ListParagraph"/>
              <w:numPr>
                <w:ilvl w:val="0"/>
                <w:numId w:val="222"/>
              </w:numPr>
              <w:spacing w:after="0" w:line="240" w:lineRule="auto"/>
              <w:jc w:val="left"/>
              <w:rPr>
                <w:rFonts w:ascii="Arial" w:eastAsia="Arial" w:hAnsi="Arial" w:cs="Arial"/>
                <w:bCs/>
                <w:color w:val="auto"/>
              </w:rPr>
            </w:pPr>
            <w:r w:rsidRPr="00F515E4">
              <w:rPr>
                <w:rFonts w:ascii="Arial" w:eastAsia="Arial" w:hAnsi="Arial" w:cs="Arial"/>
                <w:bCs/>
                <w:color w:val="auto"/>
              </w:rPr>
              <w:t>Achieve effective traffic movement to, from and within the site;</w:t>
            </w:r>
          </w:p>
          <w:p w14:paraId="5462F8B7" w14:textId="77777777" w:rsidR="00DA3B66" w:rsidRPr="00F515E4" w:rsidRDefault="00DA3B66" w:rsidP="00905CC9">
            <w:pPr>
              <w:spacing w:before="0"/>
              <w:jc w:val="left"/>
              <w:rPr>
                <w:rFonts w:eastAsia="Arial" w:cs="Arial"/>
                <w:bCs/>
                <w:color w:val="auto"/>
              </w:rPr>
            </w:pPr>
          </w:p>
          <w:p w14:paraId="73EC69DB" w14:textId="77777777" w:rsidR="00DA3B66" w:rsidRPr="00F515E4" w:rsidRDefault="00DA3B66" w:rsidP="00874A98">
            <w:pPr>
              <w:pStyle w:val="ListParagraph"/>
              <w:numPr>
                <w:ilvl w:val="0"/>
                <w:numId w:val="222"/>
              </w:numPr>
              <w:spacing w:after="0" w:line="240" w:lineRule="auto"/>
              <w:jc w:val="left"/>
              <w:rPr>
                <w:rFonts w:ascii="Arial" w:eastAsia="Arial" w:hAnsi="Arial" w:cs="Arial"/>
                <w:bCs/>
                <w:color w:val="auto"/>
              </w:rPr>
            </w:pPr>
            <w:r w:rsidRPr="00F515E4">
              <w:rPr>
                <w:rFonts w:ascii="Arial" w:eastAsia="Arial" w:hAnsi="Arial" w:cs="Arial"/>
                <w:bCs/>
                <w:color w:val="auto"/>
              </w:rPr>
              <w:t>Be appropriate in terms of appearance, scale and siting, including resultant physical relationships being oppressive or overbearing;</w:t>
            </w:r>
          </w:p>
          <w:p w14:paraId="4FA5ED8B" w14:textId="77777777" w:rsidR="00DA3B66" w:rsidRPr="00F515E4" w:rsidRDefault="00DA3B66" w:rsidP="00905CC9">
            <w:pPr>
              <w:spacing w:before="0"/>
              <w:jc w:val="left"/>
              <w:rPr>
                <w:rFonts w:eastAsia="Arial" w:cs="Arial"/>
                <w:bCs/>
                <w:color w:val="auto"/>
              </w:rPr>
            </w:pPr>
          </w:p>
          <w:p w14:paraId="2B96D86C" w14:textId="77777777" w:rsidR="00DA3B66" w:rsidRPr="00F515E4" w:rsidRDefault="00DA3B66" w:rsidP="00874A98">
            <w:pPr>
              <w:pStyle w:val="ListParagraph"/>
              <w:numPr>
                <w:ilvl w:val="0"/>
                <w:numId w:val="222"/>
              </w:numPr>
              <w:spacing w:after="0" w:line="240" w:lineRule="auto"/>
              <w:jc w:val="left"/>
              <w:rPr>
                <w:rFonts w:ascii="Arial" w:eastAsia="Arial" w:hAnsi="Arial" w:cs="Arial"/>
                <w:bCs/>
                <w:color w:val="auto"/>
              </w:rPr>
            </w:pPr>
            <w:r w:rsidRPr="00F515E4">
              <w:rPr>
                <w:rFonts w:ascii="Arial" w:eastAsia="Arial" w:hAnsi="Arial" w:cs="Arial"/>
                <w:bCs/>
                <w:color w:val="auto"/>
              </w:rPr>
              <w:t>Provide an acceptable boundary treatment in terms of privacy and visual amenity; and</w:t>
            </w:r>
          </w:p>
          <w:p w14:paraId="54F9626D" w14:textId="77777777" w:rsidR="00DA3B66" w:rsidRPr="00F515E4" w:rsidRDefault="00DA3B66" w:rsidP="00905CC9">
            <w:pPr>
              <w:spacing w:before="0"/>
              <w:jc w:val="left"/>
              <w:rPr>
                <w:rFonts w:eastAsia="Arial" w:cs="Arial"/>
                <w:bCs/>
                <w:color w:val="auto"/>
              </w:rPr>
            </w:pPr>
          </w:p>
          <w:p w14:paraId="7E41DC77" w14:textId="77777777" w:rsidR="00DA3B66" w:rsidRPr="00F515E4" w:rsidRDefault="00DA3B66" w:rsidP="00874A98">
            <w:pPr>
              <w:pStyle w:val="ListParagraph"/>
              <w:numPr>
                <w:ilvl w:val="0"/>
                <w:numId w:val="222"/>
              </w:numPr>
              <w:spacing w:after="0" w:line="240" w:lineRule="auto"/>
              <w:jc w:val="left"/>
              <w:rPr>
                <w:rFonts w:ascii="Arial" w:eastAsia="Arial" w:hAnsi="Arial" w:cs="Arial"/>
                <w:bCs/>
                <w:color w:val="auto"/>
              </w:rPr>
            </w:pPr>
            <w:r w:rsidRPr="00F515E4">
              <w:rPr>
                <w:rFonts w:ascii="Arial" w:eastAsia="Arial" w:hAnsi="Arial" w:cs="Arial"/>
                <w:bCs/>
                <w:color w:val="auto"/>
              </w:rPr>
              <w:t>Demonstrate that they will not undermine the quality of life or community cohesion of their surroundings through increased levels of vandalism, anti-social behaviour criminal activity and/or the fear of crime by:</w:t>
            </w:r>
          </w:p>
          <w:p w14:paraId="3FB3BE83" w14:textId="77777777" w:rsidR="00DA3B66" w:rsidRPr="00F515E4" w:rsidRDefault="00DA3B66" w:rsidP="00874A98">
            <w:pPr>
              <w:keepNext w:val="0"/>
              <w:numPr>
                <w:ilvl w:val="0"/>
                <w:numId w:val="221"/>
              </w:numPr>
              <w:spacing w:before="0"/>
              <w:jc w:val="left"/>
              <w:rPr>
                <w:rFonts w:eastAsia="Arial" w:cs="Arial"/>
                <w:bCs/>
                <w:color w:val="auto"/>
              </w:rPr>
            </w:pPr>
            <w:r w:rsidRPr="00F515E4">
              <w:rPr>
                <w:rFonts w:eastAsia="Arial" w:cs="Arial"/>
                <w:bCs/>
                <w:color w:val="auto"/>
              </w:rPr>
              <w:t>incorporating elements of Secured By Design or similar standards;</w:t>
            </w:r>
          </w:p>
          <w:p w14:paraId="6DA0760A" w14:textId="77777777" w:rsidR="00DA3B66" w:rsidRPr="00F515E4" w:rsidRDefault="00DA3B66" w:rsidP="00874A98">
            <w:pPr>
              <w:keepNext w:val="0"/>
              <w:numPr>
                <w:ilvl w:val="0"/>
                <w:numId w:val="221"/>
              </w:numPr>
              <w:spacing w:before="0"/>
              <w:jc w:val="left"/>
              <w:rPr>
                <w:rFonts w:eastAsia="Arial" w:cs="Arial"/>
                <w:bCs/>
                <w:color w:val="auto"/>
              </w:rPr>
            </w:pPr>
            <w:r w:rsidRPr="00F515E4">
              <w:rPr>
                <w:rFonts w:eastAsia="Arial" w:cs="Arial"/>
                <w:bCs/>
                <w:color w:val="auto"/>
              </w:rPr>
              <w:t xml:space="preserve">enabling passive surveillance of public spaces and parking; </w:t>
            </w:r>
          </w:p>
          <w:p w14:paraId="3FDD3E4A" w14:textId="77777777" w:rsidR="00DA3B66" w:rsidRPr="00F515E4" w:rsidRDefault="00DA3B66" w:rsidP="00874A98">
            <w:pPr>
              <w:keepNext w:val="0"/>
              <w:numPr>
                <w:ilvl w:val="0"/>
                <w:numId w:val="221"/>
              </w:numPr>
              <w:spacing w:before="0"/>
              <w:jc w:val="left"/>
              <w:rPr>
                <w:rFonts w:eastAsia="Arial" w:cs="Arial"/>
                <w:bCs/>
                <w:color w:val="auto"/>
              </w:rPr>
            </w:pPr>
            <w:r w:rsidRPr="00F515E4">
              <w:rPr>
                <w:rFonts w:eastAsia="Arial" w:cs="Arial"/>
                <w:bCs/>
                <w:color w:val="auto"/>
              </w:rPr>
              <w:t>distinguishing clearly between public and private areas; and</w:t>
            </w:r>
          </w:p>
          <w:p w14:paraId="25AB8303" w14:textId="77777777" w:rsidR="00DA3B66" w:rsidRPr="00F515E4" w:rsidRDefault="00DA3B66" w:rsidP="00874A98">
            <w:pPr>
              <w:keepNext w:val="0"/>
              <w:numPr>
                <w:ilvl w:val="0"/>
                <w:numId w:val="221"/>
              </w:numPr>
              <w:spacing w:before="0"/>
              <w:jc w:val="left"/>
              <w:rPr>
                <w:rFonts w:eastAsia="Arial" w:cs="Arial"/>
                <w:bCs/>
                <w:color w:val="auto"/>
              </w:rPr>
            </w:pPr>
            <w:r w:rsidRPr="00F515E4">
              <w:rPr>
                <w:rFonts w:eastAsia="Arial" w:cs="Arial"/>
                <w:bCs/>
                <w:color w:val="auto"/>
              </w:rPr>
              <w:t>incorporating appropriate security measures, such as lighting, CCTV and hard and soft landscape treatments.</w:t>
            </w:r>
          </w:p>
          <w:p w14:paraId="3FCDD3AB" w14:textId="77777777" w:rsidR="00DA3B66" w:rsidRPr="00F515E4" w:rsidRDefault="00DA3B66" w:rsidP="00874A98">
            <w:pPr>
              <w:keepNext w:val="0"/>
              <w:numPr>
                <w:ilvl w:val="0"/>
                <w:numId w:val="221"/>
              </w:numPr>
              <w:spacing w:before="0"/>
              <w:jc w:val="left"/>
              <w:rPr>
                <w:rFonts w:eastAsia="Arial" w:cs="Arial"/>
                <w:bCs/>
                <w:color w:val="auto"/>
              </w:rPr>
            </w:pPr>
            <w:r w:rsidRPr="00F515E4">
              <w:rPr>
                <w:rFonts w:eastAsia="Arial" w:cs="Arial"/>
                <w:bCs/>
                <w:color w:val="auto"/>
              </w:rPr>
              <w:t xml:space="preserve">Where appropriate, submission of a crime impact assessment. </w:t>
            </w:r>
          </w:p>
          <w:p w14:paraId="02691E8E" w14:textId="77777777" w:rsidR="00DA3B66" w:rsidRPr="00DA3B66" w:rsidRDefault="00DA3B66" w:rsidP="00905CC9">
            <w:pPr>
              <w:pStyle w:val="ListParagraph"/>
              <w:tabs>
                <w:tab w:val="left" w:pos="680"/>
                <w:tab w:val="left" w:pos="1133"/>
                <w:tab w:val="left" w:pos="2267"/>
              </w:tabs>
              <w:spacing w:after="0" w:line="240" w:lineRule="auto"/>
              <w:ind w:left="357" w:right="284"/>
              <w:jc w:val="left"/>
              <w:rPr>
                <w:rFonts w:ascii="Arial" w:eastAsia="Arial" w:hAnsi="Arial" w:cs="Arial"/>
                <w:bCs/>
                <w:color w:val="auto"/>
              </w:rPr>
            </w:pPr>
          </w:p>
          <w:p w14:paraId="60829677" w14:textId="77777777" w:rsidR="00F476A9" w:rsidRPr="00595970" w:rsidRDefault="00447AB3" w:rsidP="00874A98">
            <w:pPr>
              <w:pStyle w:val="ListParagraph"/>
              <w:numPr>
                <w:ilvl w:val="0"/>
                <w:numId w:val="305"/>
              </w:numPr>
              <w:tabs>
                <w:tab w:val="left" w:pos="680"/>
                <w:tab w:val="left" w:pos="1133"/>
                <w:tab w:val="left" w:pos="2267"/>
              </w:tabs>
              <w:spacing w:after="0" w:line="240" w:lineRule="auto"/>
              <w:ind w:left="357" w:right="284"/>
              <w:jc w:val="left"/>
              <w:rPr>
                <w:rFonts w:ascii="Arial" w:eastAsia="Arial" w:hAnsi="Arial" w:cs="Arial"/>
                <w:bCs/>
                <w:color w:val="auto"/>
              </w:rPr>
            </w:pPr>
            <w:r w:rsidRPr="00DA3B66">
              <w:rPr>
                <w:rFonts w:ascii="Arial" w:eastAsia="Arial" w:hAnsi="Arial" w:cs="Arial"/>
                <w:bCs/>
                <w:color w:val="auto"/>
              </w:rPr>
              <w:t>The Council will not support development where, through consultation with the Police and other relevant bodies, it is considered it will have the potential to exacerbate vandalism, anti-social behaviour and/or the fear of crime.</w:t>
            </w:r>
            <w:r w:rsidRPr="00DA3B66">
              <w:rPr>
                <w:rFonts w:eastAsia="Arial" w:cs="Arial"/>
                <w:bCs/>
                <w:color w:val="auto"/>
              </w:rPr>
              <w:t xml:space="preserve"> </w:t>
            </w:r>
          </w:p>
          <w:p w14:paraId="4324AB44" w14:textId="052F6C6A" w:rsidR="00595970" w:rsidRPr="00DA3B66" w:rsidRDefault="00595970" w:rsidP="00595970">
            <w:pPr>
              <w:pStyle w:val="ListParagraph"/>
              <w:tabs>
                <w:tab w:val="left" w:pos="680"/>
                <w:tab w:val="left" w:pos="1133"/>
                <w:tab w:val="left" w:pos="2267"/>
              </w:tabs>
              <w:spacing w:after="0" w:line="240" w:lineRule="auto"/>
              <w:ind w:left="357" w:right="284"/>
              <w:jc w:val="left"/>
              <w:rPr>
                <w:rFonts w:ascii="Arial" w:eastAsia="Arial" w:hAnsi="Arial" w:cs="Arial"/>
                <w:bCs/>
                <w:color w:val="auto"/>
              </w:rPr>
            </w:pPr>
          </w:p>
        </w:tc>
      </w:tr>
      <w:tr w:rsidR="00F476A9" w:rsidRPr="00F476A9" w14:paraId="0849E4E0" w14:textId="77777777" w:rsidTr="00163F59">
        <w:tc>
          <w:tcPr>
            <w:tcW w:w="2830" w:type="dxa"/>
          </w:tcPr>
          <w:p w14:paraId="3C30D4BD" w14:textId="77777777" w:rsidR="00F476A9" w:rsidRPr="00F476A9" w:rsidRDefault="00F476A9" w:rsidP="00905CC9">
            <w:pPr>
              <w:keepNext w:val="0"/>
              <w:tabs>
                <w:tab w:val="left" w:pos="680"/>
                <w:tab w:val="left" w:pos="1133"/>
                <w:tab w:val="left" w:pos="2267"/>
              </w:tabs>
              <w:spacing w:before="0"/>
              <w:ind w:right="284"/>
              <w:jc w:val="left"/>
              <w:rPr>
                <w:rFonts w:eastAsia="Arial"/>
                <w:b/>
                <w:color w:val="7030A0"/>
                <w:szCs w:val="24"/>
              </w:rPr>
            </w:pPr>
            <w:r w:rsidRPr="00F476A9">
              <w:rPr>
                <w:rFonts w:eastAsia="Arial"/>
                <w:bCs/>
                <w:color w:val="auto"/>
                <w:sz w:val="20"/>
              </w:rPr>
              <w:t>Evidence Base</w:t>
            </w:r>
          </w:p>
        </w:tc>
        <w:tc>
          <w:tcPr>
            <w:tcW w:w="6663" w:type="dxa"/>
          </w:tcPr>
          <w:p w14:paraId="385E2E1A" w14:textId="176A8EC8" w:rsidR="00F476A9" w:rsidRPr="00595970" w:rsidRDefault="00F476A9" w:rsidP="00874A98">
            <w:pPr>
              <w:keepNext w:val="0"/>
              <w:numPr>
                <w:ilvl w:val="0"/>
                <w:numId w:val="156"/>
              </w:numPr>
              <w:spacing w:before="0" w:after="160" w:line="252" w:lineRule="auto"/>
              <w:ind w:right="284"/>
              <w:contextualSpacing/>
              <w:jc w:val="left"/>
              <w:rPr>
                <w:rFonts w:eastAsia="Arial"/>
                <w:bCs/>
                <w:color w:val="auto"/>
                <w:sz w:val="20"/>
              </w:rPr>
            </w:pPr>
            <w:r w:rsidRPr="00595970">
              <w:rPr>
                <w:rFonts w:eastAsia="Arial"/>
                <w:bCs/>
                <w:color w:val="auto"/>
                <w:sz w:val="20"/>
              </w:rPr>
              <w:t>Sustainability Appraisal 202</w:t>
            </w:r>
            <w:r w:rsidR="00C1699D" w:rsidRPr="00595970">
              <w:rPr>
                <w:rFonts w:eastAsia="Arial"/>
                <w:bCs/>
                <w:color w:val="auto"/>
                <w:sz w:val="20"/>
              </w:rPr>
              <w:t>3.</w:t>
            </w:r>
            <w:r w:rsidRPr="00595970">
              <w:rPr>
                <w:rFonts w:eastAsia="Arial"/>
                <w:bCs/>
                <w:color w:val="auto"/>
                <w:sz w:val="20"/>
              </w:rPr>
              <w:t xml:space="preserve"> </w:t>
            </w:r>
            <w:r w:rsidR="00C1699D" w:rsidRPr="00595970">
              <w:rPr>
                <w:rFonts w:eastAsia="Arial"/>
                <w:bCs/>
                <w:color w:val="auto"/>
                <w:sz w:val="20"/>
              </w:rPr>
              <w:t>WSP UK Limited.</w:t>
            </w:r>
          </w:p>
          <w:p w14:paraId="101B7450" w14:textId="77777777" w:rsidR="00F476A9" w:rsidRPr="00595970" w:rsidRDefault="00F476A9" w:rsidP="00905CC9">
            <w:pPr>
              <w:keepNext w:val="0"/>
              <w:tabs>
                <w:tab w:val="left" w:pos="680"/>
                <w:tab w:val="left" w:pos="1133"/>
                <w:tab w:val="left" w:pos="2267"/>
              </w:tabs>
              <w:spacing w:before="0"/>
              <w:ind w:right="284"/>
              <w:jc w:val="left"/>
              <w:rPr>
                <w:rFonts w:eastAsia="Arial"/>
                <w:b/>
                <w:color w:val="auto"/>
                <w:szCs w:val="24"/>
              </w:rPr>
            </w:pPr>
          </w:p>
        </w:tc>
      </w:tr>
      <w:tr w:rsidR="00F476A9" w:rsidRPr="00F476A9" w14:paraId="2B168B65" w14:textId="77777777" w:rsidTr="00163F59">
        <w:tc>
          <w:tcPr>
            <w:tcW w:w="2830" w:type="dxa"/>
          </w:tcPr>
          <w:p w14:paraId="15DE279D" w14:textId="77777777" w:rsidR="00F476A9" w:rsidRPr="00F476A9" w:rsidRDefault="00F476A9" w:rsidP="00905CC9">
            <w:pPr>
              <w:keepNext w:val="0"/>
              <w:tabs>
                <w:tab w:val="left" w:pos="680"/>
                <w:tab w:val="left" w:pos="1133"/>
                <w:tab w:val="left" w:pos="2267"/>
              </w:tabs>
              <w:spacing w:before="0"/>
              <w:ind w:right="284"/>
              <w:jc w:val="left"/>
              <w:rPr>
                <w:rFonts w:eastAsia="Arial"/>
                <w:b/>
                <w:color w:val="auto"/>
                <w:sz w:val="22"/>
              </w:rPr>
            </w:pPr>
            <w:r w:rsidRPr="00F476A9">
              <w:rPr>
                <w:rFonts w:eastAsia="Arial" w:cs="Arial"/>
                <w:bCs/>
                <w:color w:val="auto"/>
                <w:sz w:val="20"/>
              </w:rPr>
              <w:t>National Planning Policy &amp; Guidance</w:t>
            </w:r>
          </w:p>
        </w:tc>
        <w:tc>
          <w:tcPr>
            <w:tcW w:w="6663" w:type="dxa"/>
          </w:tcPr>
          <w:p w14:paraId="06A27B65" w14:textId="1FD4EFAA" w:rsidR="00F476A9" w:rsidRPr="00595970" w:rsidRDefault="00F476A9" w:rsidP="00874A98">
            <w:pPr>
              <w:keepNext w:val="0"/>
              <w:numPr>
                <w:ilvl w:val="0"/>
                <w:numId w:val="158"/>
              </w:numPr>
              <w:tabs>
                <w:tab w:val="left" w:pos="360"/>
                <w:tab w:val="left" w:pos="1133"/>
                <w:tab w:val="left" w:pos="2267"/>
              </w:tabs>
              <w:spacing w:before="0" w:after="160" w:line="252" w:lineRule="auto"/>
              <w:ind w:right="284"/>
              <w:contextualSpacing/>
              <w:jc w:val="left"/>
              <w:rPr>
                <w:rFonts w:eastAsia="Arial"/>
                <w:bCs/>
                <w:color w:val="auto"/>
                <w:sz w:val="20"/>
              </w:rPr>
            </w:pPr>
            <w:r w:rsidRPr="00595970">
              <w:rPr>
                <w:rFonts w:eastAsia="Arial"/>
                <w:bCs/>
                <w:color w:val="auto"/>
                <w:sz w:val="20"/>
              </w:rPr>
              <w:t>NPPF 202</w:t>
            </w:r>
            <w:r w:rsidR="004173E0" w:rsidRPr="00595970">
              <w:rPr>
                <w:rFonts w:eastAsia="Arial"/>
                <w:bCs/>
                <w:color w:val="auto"/>
                <w:sz w:val="20"/>
              </w:rPr>
              <w:t>3</w:t>
            </w:r>
            <w:r w:rsidRPr="00595970">
              <w:rPr>
                <w:rFonts w:eastAsia="Arial"/>
                <w:bCs/>
                <w:color w:val="auto"/>
                <w:sz w:val="20"/>
              </w:rPr>
              <w:t>, Part 2 – Achieving Sustainable Development</w:t>
            </w:r>
          </w:p>
          <w:p w14:paraId="22647E80" w14:textId="2A91BDF0" w:rsidR="00F476A9" w:rsidRPr="00595970" w:rsidRDefault="00F476A9" w:rsidP="00874A98">
            <w:pPr>
              <w:keepNext w:val="0"/>
              <w:numPr>
                <w:ilvl w:val="0"/>
                <w:numId w:val="157"/>
              </w:numPr>
              <w:tabs>
                <w:tab w:val="left" w:pos="360"/>
                <w:tab w:val="left" w:pos="1133"/>
                <w:tab w:val="left" w:pos="2267"/>
              </w:tabs>
              <w:spacing w:before="0" w:after="160" w:line="252" w:lineRule="auto"/>
              <w:ind w:left="328" w:right="284" w:hanging="328"/>
              <w:contextualSpacing/>
              <w:jc w:val="left"/>
              <w:rPr>
                <w:rFonts w:eastAsia="Arial"/>
                <w:bCs/>
                <w:color w:val="auto"/>
                <w:sz w:val="20"/>
              </w:rPr>
            </w:pPr>
            <w:r w:rsidRPr="00595970">
              <w:rPr>
                <w:rFonts w:eastAsia="Arial"/>
                <w:bCs/>
                <w:color w:val="auto"/>
                <w:sz w:val="20"/>
              </w:rPr>
              <w:t>NPPF 202</w:t>
            </w:r>
            <w:r w:rsidR="004173E0" w:rsidRPr="00595970">
              <w:rPr>
                <w:rFonts w:eastAsia="Arial"/>
                <w:bCs/>
                <w:color w:val="auto"/>
                <w:sz w:val="20"/>
              </w:rPr>
              <w:t>3</w:t>
            </w:r>
            <w:r w:rsidRPr="00595970">
              <w:rPr>
                <w:rFonts w:eastAsia="Arial"/>
                <w:bCs/>
                <w:color w:val="auto"/>
                <w:sz w:val="20"/>
              </w:rPr>
              <w:t>, Part 12 – Achieving Well Designed Places</w:t>
            </w:r>
          </w:p>
          <w:p w14:paraId="7472A80C" w14:textId="166FA938" w:rsidR="00F916A1" w:rsidRPr="00595970" w:rsidRDefault="00F476A9" w:rsidP="00874A98">
            <w:pPr>
              <w:keepNext w:val="0"/>
              <w:numPr>
                <w:ilvl w:val="0"/>
                <w:numId w:val="157"/>
              </w:numPr>
              <w:tabs>
                <w:tab w:val="left" w:pos="360"/>
                <w:tab w:val="left" w:pos="1133"/>
                <w:tab w:val="left" w:pos="2267"/>
              </w:tabs>
              <w:spacing w:before="0" w:after="160" w:line="252" w:lineRule="auto"/>
              <w:ind w:left="328" w:right="284" w:hanging="328"/>
              <w:contextualSpacing/>
              <w:jc w:val="left"/>
              <w:rPr>
                <w:rFonts w:eastAsia="Arial"/>
                <w:bCs/>
                <w:color w:val="auto"/>
                <w:sz w:val="20"/>
              </w:rPr>
            </w:pPr>
            <w:r w:rsidRPr="00595970">
              <w:rPr>
                <w:rFonts w:eastAsia="Arial"/>
                <w:bCs/>
                <w:color w:val="auto"/>
                <w:sz w:val="20"/>
              </w:rPr>
              <w:t xml:space="preserve">Planning Practice Guidance Design: Process and Tools as </w:t>
            </w:r>
            <w:r w:rsidR="00EA7D34" w:rsidRPr="00595970">
              <w:rPr>
                <w:rFonts w:eastAsia="Arial"/>
                <w:bCs/>
                <w:color w:val="auto"/>
                <w:sz w:val="20"/>
              </w:rPr>
              <w:t>of</w:t>
            </w:r>
            <w:r w:rsidRPr="00595970">
              <w:rPr>
                <w:rFonts w:eastAsia="Arial"/>
                <w:bCs/>
                <w:color w:val="auto"/>
                <w:sz w:val="20"/>
              </w:rPr>
              <w:t xml:space="preserve"> </w:t>
            </w:r>
            <w:r w:rsidR="00C1699D" w:rsidRPr="00595970">
              <w:rPr>
                <w:rFonts w:eastAsia="Arial"/>
                <w:bCs/>
                <w:color w:val="auto"/>
                <w:sz w:val="20"/>
              </w:rPr>
              <w:t>October 2019.</w:t>
            </w:r>
          </w:p>
          <w:p w14:paraId="68AC0A5D" w14:textId="1123F1F7" w:rsidR="00F476A9" w:rsidRPr="00595970" w:rsidRDefault="00F476A9" w:rsidP="00874A98">
            <w:pPr>
              <w:keepNext w:val="0"/>
              <w:numPr>
                <w:ilvl w:val="0"/>
                <w:numId w:val="157"/>
              </w:numPr>
              <w:tabs>
                <w:tab w:val="left" w:pos="360"/>
                <w:tab w:val="left" w:pos="1133"/>
                <w:tab w:val="left" w:pos="2267"/>
              </w:tabs>
              <w:spacing w:before="0" w:after="160" w:line="252" w:lineRule="auto"/>
              <w:ind w:left="328" w:right="284" w:hanging="328"/>
              <w:contextualSpacing/>
              <w:jc w:val="left"/>
              <w:rPr>
                <w:rFonts w:eastAsia="Arial"/>
                <w:bCs/>
                <w:color w:val="auto"/>
                <w:sz w:val="20"/>
              </w:rPr>
            </w:pPr>
            <w:r w:rsidRPr="00595970">
              <w:rPr>
                <w:rFonts w:eastAsia="Arial"/>
                <w:bCs/>
                <w:color w:val="auto"/>
                <w:sz w:val="20"/>
              </w:rPr>
              <w:t xml:space="preserve">Planning Practice Guidance Neighbourhood Planning as at </w:t>
            </w:r>
            <w:r w:rsidR="00C1699D" w:rsidRPr="00595970">
              <w:rPr>
                <w:rFonts w:eastAsia="Arial"/>
                <w:bCs/>
                <w:color w:val="auto"/>
                <w:sz w:val="20"/>
              </w:rPr>
              <w:t>September 2020.</w:t>
            </w:r>
          </w:p>
        </w:tc>
      </w:tr>
    </w:tbl>
    <w:p w14:paraId="705B53DE" w14:textId="7AAD616F" w:rsidR="00F476A9" w:rsidRDefault="00F476A9" w:rsidP="00F476A9">
      <w:pPr>
        <w:keepNext w:val="0"/>
        <w:spacing w:before="0"/>
        <w:ind w:left="709"/>
        <w:rPr>
          <w:rFonts w:cs="Arial"/>
          <w:color w:val="auto"/>
          <w:lang w:eastAsia="en-US"/>
        </w:rPr>
      </w:pPr>
    </w:p>
    <w:p w14:paraId="4FDB55CF" w14:textId="2C77CA74" w:rsidR="00F476A9" w:rsidRPr="00F476A9" w:rsidRDefault="00F476A9" w:rsidP="00F476A9">
      <w:pPr>
        <w:keepNext w:val="0"/>
        <w:numPr>
          <w:ilvl w:val="1"/>
          <w:numId w:val="7"/>
        </w:numPr>
        <w:tabs>
          <w:tab w:val="clear" w:pos="525"/>
        </w:tabs>
        <w:spacing w:before="0"/>
        <w:ind w:left="709" w:hanging="709"/>
        <w:rPr>
          <w:rFonts w:cs="Arial"/>
          <w:color w:val="auto"/>
          <w:szCs w:val="24"/>
          <w:lang w:eastAsia="en-US"/>
        </w:rPr>
      </w:pPr>
      <w:r w:rsidRPr="00F476A9">
        <w:rPr>
          <w:rFonts w:cs="Arial"/>
          <w:color w:val="auto"/>
          <w:lang w:eastAsia="en-US"/>
        </w:rPr>
        <w:t xml:space="preserve">National planning policy promotes more intensive forms of development to make more efficient use of land and buildings and this increases the importance of careful design, layout and orientation to ensure proposals do not adversely affect others. Such considerations apply equally to proposals to extend or alter existing buildings as they do to new developments. </w:t>
      </w:r>
    </w:p>
    <w:p w14:paraId="0A9E9F55" w14:textId="77777777" w:rsidR="00F476A9" w:rsidRDefault="00F476A9" w:rsidP="00F476A9">
      <w:pPr>
        <w:keepNext w:val="0"/>
        <w:spacing w:before="0"/>
        <w:ind w:left="709"/>
        <w:rPr>
          <w:rFonts w:cs="Arial"/>
          <w:color w:val="auto"/>
          <w:szCs w:val="24"/>
          <w:lang w:eastAsia="en-US"/>
        </w:rPr>
      </w:pPr>
    </w:p>
    <w:p w14:paraId="0DA72EDA" w14:textId="77777777" w:rsidR="00F476A9" w:rsidRDefault="00F476A9" w:rsidP="00F476A9">
      <w:pPr>
        <w:keepNext w:val="0"/>
        <w:numPr>
          <w:ilvl w:val="1"/>
          <w:numId w:val="7"/>
        </w:numPr>
        <w:tabs>
          <w:tab w:val="clear" w:pos="525"/>
        </w:tabs>
        <w:spacing w:before="0"/>
        <w:ind w:left="709" w:hanging="709"/>
        <w:rPr>
          <w:rFonts w:cs="Arial"/>
          <w:color w:val="auto"/>
          <w:szCs w:val="24"/>
          <w:lang w:eastAsia="en-US"/>
        </w:rPr>
      </w:pPr>
      <w:r w:rsidRPr="00F476A9">
        <w:rPr>
          <w:rFonts w:cs="Arial"/>
          <w:color w:val="auto"/>
          <w:lang w:eastAsia="en-US"/>
        </w:rPr>
        <w:t>Protection and enhancement of amenity is essential to maintaining quality of life and ensuring the successful integration of new development into existing neighbourhoods. A vital part of this is to ensure that new development takes account of community and individual privacy, safety considerations and potential for crime or anti-social behaviour.</w:t>
      </w:r>
    </w:p>
    <w:p w14:paraId="0704C9AC" w14:textId="77777777" w:rsidR="00F476A9" w:rsidRPr="00F476A9" w:rsidRDefault="00F476A9" w:rsidP="00F476A9">
      <w:pPr>
        <w:keepNext w:val="0"/>
        <w:spacing w:before="0"/>
        <w:ind w:left="709"/>
        <w:rPr>
          <w:rFonts w:cs="Arial"/>
          <w:color w:val="auto"/>
          <w:szCs w:val="24"/>
          <w:lang w:eastAsia="en-US"/>
        </w:rPr>
      </w:pPr>
    </w:p>
    <w:p w14:paraId="55046256" w14:textId="1C49939A" w:rsidR="00F476A9" w:rsidRPr="00F476A9" w:rsidRDefault="00F476A9" w:rsidP="00F476A9">
      <w:pPr>
        <w:keepNext w:val="0"/>
        <w:numPr>
          <w:ilvl w:val="1"/>
          <w:numId w:val="7"/>
        </w:numPr>
        <w:tabs>
          <w:tab w:val="clear" w:pos="525"/>
        </w:tabs>
        <w:spacing w:before="0"/>
        <w:ind w:left="709" w:hanging="709"/>
        <w:rPr>
          <w:rFonts w:cs="Arial"/>
          <w:color w:val="auto"/>
          <w:szCs w:val="24"/>
          <w:lang w:eastAsia="en-US"/>
        </w:rPr>
      </w:pPr>
      <w:r w:rsidRPr="00F476A9">
        <w:rPr>
          <w:rFonts w:cs="Arial"/>
          <w:color w:val="auto"/>
          <w:lang w:eastAsia="en-US"/>
        </w:rPr>
        <w:t xml:space="preserve">The above </w:t>
      </w:r>
      <w:r w:rsidR="00F05D84">
        <w:rPr>
          <w:rFonts w:cs="Arial"/>
          <w:color w:val="auto"/>
          <w:lang w:eastAsia="en-US"/>
        </w:rPr>
        <w:t>P</w:t>
      </w:r>
      <w:r w:rsidRPr="00F476A9">
        <w:rPr>
          <w:rFonts w:cs="Arial"/>
          <w:color w:val="auto"/>
          <w:lang w:eastAsia="en-US"/>
        </w:rPr>
        <w:t>olicy sets out the criteria that will be used to assess whether a proposal will have a significant impact upon amenity. Further guidance on how this is detailed within the Residential Design Guide Supplementary Planning Documents (SPD)</w:t>
      </w:r>
      <w:r>
        <w:rPr>
          <w:rFonts w:cs="Arial"/>
          <w:color w:val="auto"/>
          <w:lang w:eastAsia="en-US"/>
        </w:rPr>
        <w:t>.</w:t>
      </w:r>
    </w:p>
    <w:p w14:paraId="06CC2095" w14:textId="77777777" w:rsidR="00F476A9" w:rsidRPr="00F476A9" w:rsidRDefault="00F476A9" w:rsidP="00F476A9">
      <w:pPr>
        <w:keepNext w:val="0"/>
        <w:spacing w:before="0"/>
        <w:ind w:left="709"/>
        <w:rPr>
          <w:rFonts w:cs="Arial"/>
          <w:color w:val="auto"/>
          <w:szCs w:val="24"/>
          <w:lang w:eastAsia="en-US"/>
        </w:rPr>
      </w:pPr>
    </w:p>
    <w:p w14:paraId="6AD984A1" w14:textId="77777777" w:rsidR="00F476A9" w:rsidRDefault="00F476A9" w:rsidP="00F476A9">
      <w:pPr>
        <w:keepNext w:val="0"/>
        <w:numPr>
          <w:ilvl w:val="1"/>
          <w:numId w:val="7"/>
        </w:numPr>
        <w:tabs>
          <w:tab w:val="clear" w:pos="525"/>
        </w:tabs>
        <w:spacing w:before="0"/>
        <w:ind w:left="709" w:hanging="709"/>
        <w:rPr>
          <w:rFonts w:cs="Arial"/>
          <w:color w:val="auto"/>
          <w:szCs w:val="24"/>
          <w:lang w:eastAsia="en-US"/>
        </w:rPr>
      </w:pPr>
      <w:r w:rsidRPr="00F476A9">
        <w:rPr>
          <w:rFonts w:cs="Arial"/>
          <w:color w:val="auto"/>
          <w:lang w:eastAsia="en-US"/>
        </w:rPr>
        <w:t xml:space="preserve">The Council will not permit any development which has a seriously detrimental effect on neighbouring properties by reasons of overlooking, massing or overbearing impact. Equally, proposals that do not provide adequate amenity for its proposed users / residents will not be supported. </w:t>
      </w:r>
    </w:p>
    <w:p w14:paraId="4F7B0345" w14:textId="3D394A87" w:rsidR="00F476A9" w:rsidRDefault="00F476A9" w:rsidP="00F476A9">
      <w:pPr>
        <w:keepNext w:val="0"/>
        <w:spacing w:before="0"/>
        <w:ind w:left="709"/>
        <w:rPr>
          <w:rFonts w:cs="Arial"/>
          <w:color w:val="auto"/>
          <w:szCs w:val="24"/>
          <w:lang w:eastAsia="en-US"/>
        </w:rPr>
      </w:pPr>
    </w:p>
    <w:p w14:paraId="59ECFC6D" w14:textId="32B61342" w:rsidR="00F476A9" w:rsidRPr="00F515E4" w:rsidRDefault="00F476A9" w:rsidP="00F476A9">
      <w:pPr>
        <w:keepNext w:val="0"/>
        <w:spacing w:before="0"/>
        <w:ind w:left="709"/>
        <w:rPr>
          <w:rFonts w:cs="Arial"/>
          <w:b/>
          <w:bCs/>
          <w:color w:val="auto"/>
          <w:szCs w:val="24"/>
          <w:lang w:eastAsia="en-US"/>
        </w:rPr>
      </w:pPr>
      <w:r w:rsidRPr="00F515E4">
        <w:rPr>
          <w:rFonts w:cs="Arial"/>
          <w:b/>
          <w:bCs/>
          <w:color w:val="auto"/>
          <w:szCs w:val="24"/>
          <w:lang w:eastAsia="en-US"/>
        </w:rPr>
        <w:t>Care Homes</w:t>
      </w:r>
    </w:p>
    <w:p w14:paraId="77F6DDD9" w14:textId="77777777" w:rsidR="00F476A9" w:rsidRPr="00F476A9" w:rsidRDefault="00F476A9" w:rsidP="00F476A9">
      <w:pPr>
        <w:keepNext w:val="0"/>
        <w:numPr>
          <w:ilvl w:val="1"/>
          <w:numId w:val="7"/>
        </w:numPr>
        <w:tabs>
          <w:tab w:val="clear" w:pos="525"/>
        </w:tabs>
        <w:spacing w:before="0"/>
        <w:ind w:left="709" w:hanging="709"/>
        <w:rPr>
          <w:rFonts w:cs="Arial"/>
          <w:color w:val="auto"/>
          <w:szCs w:val="24"/>
          <w:lang w:eastAsia="en-US"/>
        </w:rPr>
      </w:pPr>
      <w:r w:rsidRPr="00F476A9">
        <w:rPr>
          <w:rFonts w:cs="Arial"/>
          <w:color w:val="auto"/>
          <w:lang w:eastAsia="en-US"/>
        </w:rPr>
        <w:t>Proposals for new or extensions to existing Care Homes should ensure that all bedrooms and communal rooms, such as lounges and dining rooms, will normally have a pleasant and interesting outlook and a minimum unobstructed view of 4.5 metres. The pleasantness and safety of the outdoor environment is known to be significantly associated with people’s perception of their quality of life. It is therefore important to consider the design features to be adopted both in the grounds of the scheme and in the immediate vicinity. A private garden on a level site should be provided, with either a minimum total area of 150 square metres, or a minimum of 6 square metres per resident, whichever is the greater</w:t>
      </w:r>
      <w:r>
        <w:rPr>
          <w:rFonts w:cs="Arial"/>
          <w:color w:val="auto"/>
          <w:lang w:eastAsia="en-US"/>
        </w:rPr>
        <w:t>.</w:t>
      </w:r>
    </w:p>
    <w:p w14:paraId="611B14F1" w14:textId="77777777" w:rsidR="008301BC" w:rsidRDefault="008301BC" w:rsidP="008301BC">
      <w:pPr>
        <w:keepNext w:val="0"/>
        <w:spacing w:before="0"/>
        <w:ind w:left="709"/>
        <w:rPr>
          <w:rFonts w:cs="Arial"/>
          <w:color w:val="auto"/>
          <w:lang w:eastAsia="en-US"/>
        </w:rPr>
      </w:pPr>
    </w:p>
    <w:p w14:paraId="6753824E" w14:textId="25BBBE61" w:rsidR="008301BC" w:rsidRPr="00F515E4" w:rsidRDefault="00F476A9" w:rsidP="008301BC">
      <w:pPr>
        <w:keepNext w:val="0"/>
        <w:spacing w:before="0"/>
        <w:ind w:left="709"/>
        <w:rPr>
          <w:rFonts w:cs="Arial"/>
          <w:b/>
          <w:bCs/>
          <w:color w:val="auto"/>
          <w:szCs w:val="24"/>
          <w:lang w:eastAsia="en-US"/>
        </w:rPr>
      </w:pPr>
      <w:r w:rsidRPr="00F515E4">
        <w:rPr>
          <w:rFonts w:cs="Arial"/>
          <w:b/>
          <w:bCs/>
          <w:color w:val="auto"/>
          <w:lang w:eastAsia="en-US"/>
        </w:rPr>
        <w:t>Open Space &amp; Gardens</w:t>
      </w:r>
    </w:p>
    <w:p w14:paraId="1604B8E8" w14:textId="4E36548D" w:rsidR="008301BC" w:rsidRPr="008301BC" w:rsidRDefault="00F476A9" w:rsidP="00F476A9">
      <w:pPr>
        <w:keepNext w:val="0"/>
        <w:numPr>
          <w:ilvl w:val="1"/>
          <w:numId w:val="7"/>
        </w:numPr>
        <w:tabs>
          <w:tab w:val="clear" w:pos="525"/>
        </w:tabs>
        <w:spacing w:before="0"/>
        <w:ind w:left="709" w:hanging="709"/>
        <w:rPr>
          <w:rFonts w:cs="Arial"/>
          <w:color w:val="auto"/>
          <w:szCs w:val="24"/>
          <w:lang w:eastAsia="en-US"/>
        </w:rPr>
      </w:pPr>
      <w:r w:rsidRPr="008301BC">
        <w:rPr>
          <w:rFonts w:cs="Arial"/>
          <w:color w:val="auto"/>
          <w:lang w:eastAsia="en-US"/>
        </w:rPr>
        <w:t>Access to good quality public open spaces and opportunities for sport and recreation can make an important contribution to the health and wellbeing of communities. The Ashfield Public Open Strategy  identifies the Council’s aims and objectives for improving the quality and access to public open space within the District and sets out Local Standards for provision through new development. The Strategy aims to ensure a consistent approach to the planning of public open space, enabling the development process to achieve the right type, quantity and quality of public open space.</w:t>
      </w:r>
    </w:p>
    <w:p w14:paraId="15568EE0" w14:textId="77777777" w:rsidR="008301BC" w:rsidRDefault="008301BC" w:rsidP="008301BC">
      <w:pPr>
        <w:keepNext w:val="0"/>
        <w:spacing w:before="0"/>
        <w:ind w:left="709"/>
        <w:rPr>
          <w:rFonts w:cs="Arial"/>
          <w:color w:val="auto"/>
          <w:szCs w:val="24"/>
          <w:lang w:eastAsia="en-US"/>
        </w:rPr>
      </w:pPr>
    </w:p>
    <w:p w14:paraId="1D0BAAB5" w14:textId="2746D388" w:rsidR="008301BC" w:rsidRPr="008301BC" w:rsidRDefault="00F476A9" w:rsidP="00F476A9">
      <w:pPr>
        <w:keepNext w:val="0"/>
        <w:numPr>
          <w:ilvl w:val="1"/>
          <w:numId w:val="7"/>
        </w:numPr>
        <w:tabs>
          <w:tab w:val="clear" w:pos="525"/>
        </w:tabs>
        <w:spacing w:before="0"/>
        <w:ind w:left="709" w:hanging="709"/>
        <w:rPr>
          <w:rFonts w:cs="Arial"/>
          <w:color w:val="auto"/>
          <w:szCs w:val="24"/>
          <w:lang w:eastAsia="en-US"/>
        </w:rPr>
      </w:pPr>
      <w:r w:rsidRPr="008301BC">
        <w:rPr>
          <w:rFonts w:cs="Arial"/>
          <w:color w:val="auto"/>
          <w:lang w:eastAsia="en-US"/>
        </w:rPr>
        <w:t>In addition to public open space, adequate garden space should normally be   provided within the curtilage of new dwellings as set out in Ashfield’s Residential Design Guide Supplementary Planning Document. Garden size is an essential part of the amenity of residential development and new houses should ordinarily have gardens that are comparable with those of adjacent properties, providing adequate private space for drying laundry, sitting out and for children’s play. Proposals which arithmetically achieve the required area of private garden ground, but only by aggregating an assortment of irregular pieces of land, i.e. narrow strips or verges to the side of the house or ground which is significantly sloping, will not be acceptable</w:t>
      </w:r>
      <w:r w:rsidR="008301BC">
        <w:rPr>
          <w:rFonts w:cs="Arial"/>
          <w:color w:val="auto"/>
          <w:lang w:eastAsia="en-US"/>
        </w:rPr>
        <w:t>.</w:t>
      </w:r>
    </w:p>
    <w:p w14:paraId="15DB6463" w14:textId="77777777" w:rsidR="008301BC" w:rsidRDefault="008301BC" w:rsidP="008301BC">
      <w:pPr>
        <w:keepNext w:val="0"/>
        <w:spacing w:before="0"/>
        <w:ind w:left="709"/>
        <w:rPr>
          <w:rFonts w:cs="Arial"/>
          <w:color w:val="auto"/>
          <w:lang w:eastAsia="en-US"/>
        </w:rPr>
      </w:pPr>
    </w:p>
    <w:p w14:paraId="4946F1A4" w14:textId="77777777" w:rsidR="00DA3B66" w:rsidRDefault="00DA3B66" w:rsidP="008301BC">
      <w:pPr>
        <w:keepNext w:val="0"/>
        <w:spacing w:before="0"/>
        <w:ind w:left="709"/>
        <w:rPr>
          <w:rFonts w:cs="Arial"/>
          <w:b/>
          <w:bCs/>
          <w:color w:val="auto"/>
          <w:lang w:eastAsia="en-US"/>
        </w:rPr>
      </w:pPr>
    </w:p>
    <w:p w14:paraId="3F863565" w14:textId="77777777" w:rsidR="00DA3B66" w:rsidRDefault="00DA3B66" w:rsidP="008301BC">
      <w:pPr>
        <w:keepNext w:val="0"/>
        <w:spacing w:before="0"/>
        <w:ind w:left="709"/>
        <w:rPr>
          <w:rFonts w:cs="Arial"/>
          <w:b/>
          <w:bCs/>
          <w:color w:val="auto"/>
          <w:lang w:eastAsia="en-US"/>
        </w:rPr>
      </w:pPr>
    </w:p>
    <w:p w14:paraId="5B8C517E" w14:textId="41B107D4" w:rsidR="008301BC" w:rsidRPr="00F515E4" w:rsidRDefault="00F476A9" w:rsidP="008301BC">
      <w:pPr>
        <w:keepNext w:val="0"/>
        <w:spacing w:before="0"/>
        <w:ind w:left="709"/>
        <w:rPr>
          <w:rFonts w:cs="Arial"/>
          <w:b/>
          <w:bCs/>
          <w:color w:val="auto"/>
          <w:szCs w:val="24"/>
          <w:lang w:eastAsia="en-US"/>
        </w:rPr>
      </w:pPr>
      <w:r w:rsidRPr="00F515E4">
        <w:rPr>
          <w:rFonts w:cs="Arial"/>
          <w:b/>
          <w:bCs/>
          <w:color w:val="auto"/>
          <w:lang w:eastAsia="en-US"/>
        </w:rPr>
        <w:t>Privacy Distances</w:t>
      </w:r>
    </w:p>
    <w:p w14:paraId="25A51C3F" w14:textId="77777777" w:rsidR="008301BC" w:rsidRDefault="00F476A9" w:rsidP="008301BC">
      <w:pPr>
        <w:keepNext w:val="0"/>
        <w:numPr>
          <w:ilvl w:val="1"/>
          <w:numId w:val="7"/>
        </w:numPr>
        <w:tabs>
          <w:tab w:val="clear" w:pos="525"/>
        </w:tabs>
        <w:spacing w:before="0"/>
        <w:ind w:left="709" w:hanging="709"/>
        <w:rPr>
          <w:rFonts w:cs="Arial"/>
          <w:color w:val="auto"/>
          <w:szCs w:val="24"/>
          <w:lang w:eastAsia="en-US"/>
        </w:rPr>
      </w:pPr>
      <w:r w:rsidRPr="008301BC">
        <w:rPr>
          <w:rFonts w:cs="Arial"/>
          <w:color w:val="auto"/>
          <w:lang w:eastAsia="en-US"/>
        </w:rPr>
        <w:t>To minimise loss of privacy from overlooking, minimum distances between the main aspects of proposed developments should be maintained as set out in Ashfield’s Residential Design Guide SPD</w:t>
      </w:r>
      <w:r w:rsidR="008301BC">
        <w:rPr>
          <w:rFonts w:cs="Arial"/>
          <w:color w:val="auto"/>
          <w:lang w:eastAsia="en-US"/>
        </w:rPr>
        <w:t>.</w:t>
      </w:r>
    </w:p>
    <w:p w14:paraId="4196404B" w14:textId="77777777" w:rsidR="008301BC" w:rsidRDefault="008301BC" w:rsidP="008301BC">
      <w:pPr>
        <w:keepNext w:val="0"/>
        <w:spacing w:before="0"/>
        <w:ind w:left="709"/>
        <w:rPr>
          <w:rFonts w:cs="Arial"/>
          <w:color w:val="auto"/>
          <w:lang w:eastAsia="en-US"/>
        </w:rPr>
      </w:pPr>
    </w:p>
    <w:p w14:paraId="230B3B47" w14:textId="00EDE5D1" w:rsidR="008301BC" w:rsidRPr="00F515E4" w:rsidRDefault="00F476A9" w:rsidP="008301BC">
      <w:pPr>
        <w:keepNext w:val="0"/>
        <w:spacing w:before="0"/>
        <w:ind w:left="709"/>
        <w:rPr>
          <w:rFonts w:cs="Arial"/>
          <w:b/>
          <w:bCs/>
          <w:color w:val="auto"/>
          <w:szCs w:val="24"/>
          <w:lang w:eastAsia="en-US"/>
        </w:rPr>
      </w:pPr>
      <w:r w:rsidRPr="00F515E4">
        <w:rPr>
          <w:rFonts w:cs="Arial"/>
          <w:b/>
          <w:bCs/>
          <w:color w:val="auto"/>
          <w:lang w:eastAsia="en-US"/>
        </w:rPr>
        <w:t>Access</w:t>
      </w:r>
    </w:p>
    <w:p w14:paraId="6D863825" w14:textId="51309540" w:rsidR="008301BC" w:rsidRDefault="00F476A9" w:rsidP="00F476A9">
      <w:pPr>
        <w:keepNext w:val="0"/>
        <w:numPr>
          <w:ilvl w:val="1"/>
          <w:numId w:val="7"/>
        </w:numPr>
        <w:tabs>
          <w:tab w:val="clear" w:pos="525"/>
        </w:tabs>
        <w:spacing w:before="0"/>
        <w:ind w:left="709" w:hanging="709"/>
        <w:rPr>
          <w:rFonts w:cs="Arial"/>
          <w:color w:val="auto"/>
          <w:szCs w:val="24"/>
          <w:lang w:eastAsia="en-US"/>
        </w:rPr>
      </w:pPr>
      <w:r w:rsidRPr="008301BC">
        <w:rPr>
          <w:rFonts w:cs="Arial"/>
          <w:color w:val="auto"/>
          <w:lang w:eastAsia="en-US"/>
        </w:rPr>
        <w:t>Development proposals should provide for safe access and egress for vehicles, including larger delivery vehicles and emergency vehicles such as ambulances and fire appliances. In the case of care home developments, an internal manoeuvring area for all vehicles to leave in forward gear should also be provided. Adequate off-street parking space should be provided to avoid on-street congestion, as set out in Policy SD</w:t>
      </w:r>
      <w:r w:rsidR="00F05D84">
        <w:rPr>
          <w:rFonts w:cs="Arial"/>
          <w:color w:val="auto"/>
          <w:lang w:eastAsia="en-US"/>
        </w:rPr>
        <w:t>10</w:t>
      </w:r>
      <w:r w:rsidRPr="008301BC">
        <w:rPr>
          <w:rFonts w:cs="Arial"/>
          <w:color w:val="auto"/>
          <w:lang w:eastAsia="en-US"/>
        </w:rPr>
        <w:t>.</w:t>
      </w:r>
    </w:p>
    <w:p w14:paraId="3AB31C46" w14:textId="77777777" w:rsidR="008301BC" w:rsidRDefault="008301BC" w:rsidP="008301BC">
      <w:pPr>
        <w:keepNext w:val="0"/>
        <w:spacing w:before="0"/>
        <w:ind w:left="709"/>
        <w:rPr>
          <w:rFonts w:cs="Arial"/>
          <w:color w:val="auto"/>
          <w:lang w:eastAsia="en-US"/>
        </w:rPr>
      </w:pPr>
    </w:p>
    <w:p w14:paraId="5430D9C0" w14:textId="711E83CC" w:rsidR="008301BC" w:rsidRPr="00F515E4" w:rsidRDefault="00F476A9" w:rsidP="008301BC">
      <w:pPr>
        <w:keepNext w:val="0"/>
        <w:spacing w:before="0"/>
        <w:ind w:left="709"/>
        <w:rPr>
          <w:rFonts w:cs="Arial"/>
          <w:b/>
          <w:bCs/>
          <w:color w:val="auto"/>
          <w:szCs w:val="24"/>
          <w:lang w:eastAsia="en-US"/>
        </w:rPr>
      </w:pPr>
      <w:r w:rsidRPr="00F515E4">
        <w:rPr>
          <w:rFonts w:cs="Arial"/>
          <w:b/>
          <w:bCs/>
          <w:color w:val="auto"/>
          <w:lang w:eastAsia="en-US"/>
        </w:rPr>
        <w:t>Pollution and contamination</w:t>
      </w:r>
    </w:p>
    <w:p w14:paraId="4130A601" w14:textId="77777777" w:rsidR="008301BC" w:rsidRDefault="00F476A9" w:rsidP="00F476A9">
      <w:pPr>
        <w:keepNext w:val="0"/>
        <w:numPr>
          <w:ilvl w:val="1"/>
          <w:numId w:val="7"/>
        </w:numPr>
        <w:tabs>
          <w:tab w:val="clear" w:pos="525"/>
        </w:tabs>
        <w:spacing w:before="0"/>
        <w:ind w:left="709" w:hanging="709"/>
        <w:rPr>
          <w:rFonts w:cs="Arial"/>
          <w:color w:val="auto"/>
          <w:szCs w:val="24"/>
          <w:lang w:eastAsia="en-US"/>
        </w:rPr>
      </w:pPr>
      <w:r w:rsidRPr="008301BC">
        <w:rPr>
          <w:rFonts w:cs="Arial"/>
          <w:color w:val="auto"/>
          <w:lang w:eastAsia="en-US"/>
        </w:rPr>
        <w:t>All development proposals will be considered in respect of the potential for pollution, including air quality, light spillage, noise and disturbance, and contamination of land, groundwater or surface water. Policies CC2: Water resource management and SD8: Environmental Protection contain further details in this respect.</w:t>
      </w:r>
    </w:p>
    <w:p w14:paraId="2F004E9D" w14:textId="77777777" w:rsidR="008301BC" w:rsidRDefault="008301BC" w:rsidP="008301BC">
      <w:pPr>
        <w:keepNext w:val="0"/>
        <w:spacing w:before="0"/>
        <w:ind w:left="709"/>
        <w:rPr>
          <w:rFonts w:cs="Arial"/>
          <w:color w:val="auto"/>
          <w:lang w:eastAsia="en-US"/>
        </w:rPr>
      </w:pPr>
    </w:p>
    <w:p w14:paraId="635E7E02" w14:textId="3B14FB7A" w:rsidR="008301BC" w:rsidRPr="00F515E4" w:rsidRDefault="00F476A9" w:rsidP="008301BC">
      <w:pPr>
        <w:keepNext w:val="0"/>
        <w:spacing w:before="0"/>
        <w:ind w:left="709"/>
        <w:rPr>
          <w:rFonts w:cs="Arial"/>
          <w:b/>
          <w:bCs/>
          <w:color w:val="auto"/>
          <w:szCs w:val="24"/>
          <w:lang w:eastAsia="en-US"/>
        </w:rPr>
      </w:pPr>
      <w:r w:rsidRPr="00F515E4">
        <w:rPr>
          <w:rFonts w:cs="Arial"/>
          <w:b/>
          <w:bCs/>
          <w:color w:val="auto"/>
          <w:lang w:eastAsia="en-US"/>
        </w:rPr>
        <w:t>Boundary Treatments</w:t>
      </w:r>
    </w:p>
    <w:p w14:paraId="2B564D40" w14:textId="40400CD7" w:rsidR="008301BC" w:rsidRPr="008301BC" w:rsidRDefault="00F476A9" w:rsidP="00F476A9">
      <w:pPr>
        <w:keepNext w:val="0"/>
        <w:numPr>
          <w:ilvl w:val="1"/>
          <w:numId w:val="7"/>
        </w:numPr>
        <w:tabs>
          <w:tab w:val="clear" w:pos="525"/>
        </w:tabs>
        <w:spacing w:before="0"/>
        <w:ind w:left="709" w:hanging="709"/>
        <w:rPr>
          <w:rFonts w:cs="Arial"/>
          <w:color w:val="auto"/>
          <w:szCs w:val="24"/>
          <w:lang w:eastAsia="en-US"/>
        </w:rPr>
      </w:pPr>
      <w:r w:rsidRPr="008301BC">
        <w:rPr>
          <w:rFonts w:cs="Arial"/>
          <w:color w:val="auto"/>
          <w:lang w:eastAsia="en-US"/>
        </w:rPr>
        <w:t>The provision of satisfactory boundary treatment can help to create and maintain amenity. Where screening is necessary to provide adequate standards of privacy, or to preserve the street scene, and sited adjacent to the public highway, the Council will normally expect such boundary treatment to take the form of either brick walling and fencing or appropriate hedge planting in combination with temporary fencing. Walling and fencing should be no more than two metres high and be in place prior to occupation</w:t>
      </w:r>
      <w:r w:rsidR="00AE10BA">
        <w:rPr>
          <w:rFonts w:cs="Arial"/>
          <w:color w:val="auto"/>
          <w:lang w:eastAsia="en-US"/>
        </w:rPr>
        <w:t xml:space="preserve"> on new developments</w:t>
      </w:r>
      <w:r w:rsidRPr="008301BC">
        <w:rPr>
          <w:rFonts w:cs="Arial"/>
          <w:color w:val="auto"/>
          <w:lang w:eastAsia="en-US"/>
        </w:rPr>
        <w:t>.</w:t>
      </w:r>
    </w:p>
    <w:p w14:paraId="77EF0225" w14:textId="77777777" w:rsidR="008301BC" w:rsidRDefault="008301BC" w:rsidP="008301BC">
      <w:pPr>
        <w:keepNext w:val="0"/>
        <w:spacing w:before="0"/>
        <w:ind w:left="709"/>
        <w:rPr>
          <w:rFonts w:cs="Arial"/>
          <w:color w:val="auto"/>
          <w:szCs w:val="24"/>
          <w:lang w:eastAsia="en-US"/>
        </w:rPr>
      </w:pPr>
    </w:p>
    <w:p w14:paraId="2D64BF4C" w14:textId="77777777" w:rsidR="00447AB3" w:rsidRDefault="00F476A9" w:rsidP="00447AB3">
      <w:pPr>
        <w:keepNext w:val="0"/>
        <w:numPr>
          <w:ilvl w:val="1"/>
          <w:numId w:val="7"/>
        </w:numPr>
        <w:tabs>
          <w:tab w:val="clear" w:pos="525"/>
        </w:tabs>
        <w:spacing w:before="0"/>
        <w:ind w:left="709" w:hanging="709"/>
        <w:rPr>
          <w:rFonts w:cs="Arial"/>
          <w:color w:val="auto"/>
          <w:szCs w:val="24"/>
          <w:lang w:eastAsia="en-US"/>
        </w:rPr>
      </w:pPr>
      <w:r w:rsidRPr="008301BC">
        <w:rPr>
          <w:rFonts w:cs="Arial"/>
          <w:color w:val="auto"/>
          <w:lang w:eastAsia="en-US"/>
        </w:rPr>
        <w:tab/>
        <w:t>Where boundaries of new development abut open countryside or areas of public or private open space, appropriate hedge and tree planting should be implemented and supported by temporary fencing where appropriate.</w:t>
      </w:r>
    </w:p>
    <w:p w14:paraId="5B9B5249" w14:textId="70B09089" w:rsidR="00447AB3" w:rsidRDefault="00447AB3" w:rsidP="00447AB3">
      <w:pPr>
        <w:keepNext w:val="0"/>
        <w:spacing w:before="0"/>
        <w:ind w:left="709"/>
        <w:rPr>
          <w:rFonts w:cs="Arial"/>
          <w:color w:val="auto"/>
          <w:szCs w:val="24"/>
          <w:lang w:eastAsia="en-US"/>
        </w:rPr>
      </w:pPr>
    </w:p>
    <w:p w14:paraId="40A5C5B1" w14:textId="3EF2E9B1" w:rsidR="00447AB3" w:rsidRPr="00F515E4" w:rsidRDefault="00447AB3" w:rsidP="00447AB3">
      <w:pPr>
        <w:keepNext w:val="0"/>
        <w:spacing w:before="0"/>
        <w:ind w:left="709"/>
        <w:rPr>
          <w:rFonts w:cs="Arial"/>
          <w:b/>
          <w:bCs/>
          <w:color w:val="auto"/>
          <w:szCs w:val="24"/>
          <w:lang w:eastAsia="en-US"/>
        </w:rPr>
      </w:pPr>
      <w:r w:rsidRPr="00F515E4">
        <w:rPr>
          <w:rFonts w:cs="Arial"/>
          <w:b/>
          <w:bCs/>
          <w:color w:val="auto"/>
          <w:szCs w:val="24"/>
          <w:lang w:eastAsia="en-US"/>
        </w:rPr>
        <w:t>Crime and the fear of crime</w:t>
      </w:r>
    </w:p>
    <w:p w14:paraId="12C08649" w14:textId="7ACB4EAB" w:rsidR="00447AB3" w:rsidRDefault="00447AB3" w:rsidP="00447AB3">
      <w:pPr>
        <w:keepNext w:val="0"/>
        <w:numPr>
          <w:ilvl w:val="1"/>
          <w:numId w:val="7"/>
        </w:numPr>
        <w:tabs>
          <w:tab w:val="clear" w:pos="525"/>
        </w:tabs>
        <w:spacing w:before="0"/>
        <w:ind w:left="709" w:hanging="709"/>
        <w:rPr>
          <w:rFonts w:cs="Arial"/>
          <w:color w:val="auto"/>
          <w:szCs w:val="24"/>
          <w:lang w:eastAsia="en-US"/>
        </w:rPr>
      </w:pPr>
      <w:r w:rsidRPr="00447AB3">
        <w:rPr>
          <w:rFonts w:cs="Arial"/>
          <w:color w:val="auto"/>
          <w:szCs w:val="24"/>
          <w:lang w:eastAsia="en-US"/>
        </w:rPr>
        <w:t xml:space="preserve">It is important that future developments seek to enhance the quality of life of the District’s residents and does not have a negative impact on existing </w:t>
      </w:r>
      <w:r w:rsidR="00EA7D34" w:rsidRPr="00447AB3">
        <w:rPr>
          <w:rFonts w:cs="Arial"/>
          <w:color w:val="auto"/>
          <w:szCs w:val="24"/>
          <w:lang w:eastAsia="en-US"/>
        </w:rPr>
        <w:t>uses or</w:t>
      </w:r>
      <w:r w:rsidRPr="00447AB3">
        <w:rPr>
          <w:rFonts w:cs="Arial"/>
          <w:color w:val="auto"/>
          <w:szCs w:val="24"/>
          <w:lang w:eastAsia="en-US"/>
        </w:rPr>
        <w:t xml:space="preserve"> exacerbate the potential for crime or fear of it. </w:t>
      </w:r>
    </w:p>
    <w:p w14:paraId="4DDB553C" w14:textId="77777777" w:rsidR="00447AB3" w:rsidRDefault="00447AB3" w:rsidP="00447AB3">
      <w:pPr>
        <w:keepNext w:val="0"/>
        <w:spacing w:before="0"/>
        <w:ind w:left="709"/>
        <w:rPr>
          <w:rFonts w:cs="Arial"/>
          <w:color w:val="auto"/>
          <w:szCs w:val="24"/>
          <w:lang w:eastAsia="en-US"/>
        </w:rPr>
      </w:pPr>
    </w:p>
    <w:p w14:paraId="6F971F64" w14:textId="4A6A7C62" w:rsidR="00447AB3" w:rsidRDefault="00447AB3" w:rsidP="00E029B2">
      <w:pPr>
        <w:keepNext w:val="0"/>
        <w:numPr>
          <w:ilvl w:val="1"/>
          <w:numId w:val="7"/>
        </w:numPr>
        <w:tabs>
          <w:tab w:val="clear" w:pos="525"/>
        </w:tabs>
        <w:spacing w:before="0"/>
        <w:ind w:left="709" w:hanging="709"/>
        <w:rPr>
          <w:rFonts w:cs="Arial"/>
          <w:color w:val="auto"/>
          <w:szCs w:val="24"/>
          <w:lang w:eastAsia="en-US"/>
        </w:rPr>
      </w:pPr>
      <w:r w:rsidRPr="009A10F2">
        <w:rPr>
          <w:rFonts w:cs="Arial"/>
          <w:color w:val="auto"/>
          <w:szCs w:val="24"/>
          <w:lang w:eastAsia="en-US"/>
        </w:rPr>
        <w:t xml:space="preserve">Under the </w:t>
      </w:r>
      <w:bookmarkStart w:id="292" w:name="_Hlk79163386"/>
      <w:r w:rsidRPr="009A10F2">
        <w:rPr>
          <w:rFonts w:cs="Arial"/>
          <w:color w:val="auto"/>
          <w:szCs w:val="24"/>
          <w:lang w:eastAsia="en-US"/>
        </w:rPr>
        <w:t>Ashfield Community Safety Partnership</w:t>
      </w:r>
      <w:bookmarkEnd w:id="292"/>
      <w:r w:rsidRPr="009A10F2">
        <w:rPr>
          <w:rFonts w:cs="Arial"/>
          <w:color w:val="auto"/>
          <w:szCs w:val="24"/>
          <w:lang w:eastAsia="en-US"/>
        </w:rPr>
        <w:t xml:space="preserve">, geographical action groups and associated delivery plans have been created for Priority Areas across the District. The Community Partnership set out a Strategic Plan  identifying for three year period how the Partnership plans to tackle local community safety issues that matter to the local community.  Priority Areas based upon severity plans produced by Nottinghamshire Police analysts. </w:t>
      </w:r>
    </w:p>
    <w:p w14:paraId="7232A480" w14:textId="77777777" w:rsidR="009A10F2" w:rsidRPr="009A10F2" w:rsidRDefault="009A10F2" w:rsidP="009A10F2">
      <w:pPr>
        <w:keepNext w:val="0"/>
        <w:spacing w:before="0"/>
        <w:ind w:left="709"/>
        <w:rPr>
          <w:rFonts w:cs="Arial"/>
          <w:color w:val="auto"/>
          <w:szCs w:val="24"/>
          <w:lang w:eastAsia="en-US"/>
        </w:rPr>
      </w:pPr>
    </w:p>
    <w:p w14:paraId="1D7098CB" w14:textId="77777777" w:rsidR="00447AB3" w:rsidRDefault="00447AB3" w:rsidP="00447AB3">
      <w:pPr>
        <w:keepNext w:val="0"/>
        <w:numPr>
          <w:ilvl w:val="1"/>
          <w:numId w:val="7"/>
        </w:numPr>
        <w:tabs>
          <w:tab w:val="clear" w:pos="525"/>
        </w:tabs>
        <w:spacing w:before="0"/>
        <w:ind w:left="709" w:hanging="709"/>
        <w:rPr>
          <w:rFonts w:cs="Arial"/>
          <w:color w:val="auto"/>
          <w:szCs w:val="24"/>
          <w:lang w:eastAsia="en-US"/>
        </w:rPr>
      </w:pPr>
      <w:r w:rsidRPr="00447AB3">
        <w:rPr>
          <w:rFonts w:cs="Arial"/>
          <w:color w:val="auto"/>
          <w:szCs w:val="24"/>
          <w:lang w:eastAsia="en-US"/>
        </w:rPr>
        <w:t>The Council will require development proposals that it considered could have the potential to exacerbate elements of crime, or conflict with the project work within the Priority Areas, to submit a crime impact assessment. This assessment should seek to highlight any potential crime or anti-social behaviour issues that may arise as a result of the proposed use and outline mitigation measure the proposal will put in place to reduce the potential of it occurring and/or the span of its impact on surrounding uses.</w:t>
      </w:r>
    </w:p>
    <w:p w14:paraId="27778659" w14:textId="77777777" w:rsidR="00447AB3" w:rsidRDefault="00447AB3" w:rsidP="00447AB3">
      <w:pPr>
        <w:keepNext w:val="0"/>
        <w:spacing w:before="0"/>
        <w:ind w:left="709"/>
        <w:rPr>
          <w:rFonts w:cs="Arial"/>
          <w:color w:val="auto"/>
          <w:szCs w:val="24"/>
          <w:lang w:eastAsia="en-US"/>
        </w:rPr>
      </w:pPr>
    </w:p>
    <w:p w14:paraId="0E2A6014" w14:textId="064F3381" w:rsidR="00F476A9" w:rsidRPr="00447AB3" w:rsidRDefault="00447AB3" w:rsidP="00447AB3">
      <w:pPr>
        <w:keepNext w:val="0"/>
        <w:numPr>
          <w:ilvl w:val="1"/>
          <w:numId w:val="7"/>
        </w:numPr>
        <w:tabs>
          <w:tab w:val="clear" w:pos="525"/>
        </w:tabs>
        <w:spacing w:before="0"/>
        <w:ind w:left="709" w:hanging="709"/>
        <w:rPr>
          <w:rFonts w:cs="Arial"/>
          <w:color w:val="auto"/>
          <w:szCs w:val="24"/>
          <w:lang w:eastAsia="en-US"/>
        </w:rPr>
      </w:pPr>
      <w:r w:rsidRPr="00447AB3">
        <w:rPr>
          <w:rFonts w:cs="Arial"/>
          <w:color w:val="auto"/>
          <w:szCs w:val="24"/>
          <w:lang w:eastAsia="en-US"/>
        </w:rPr>
        <w:t>Beyond the potential for crime related to the proposed use, development proposals should seek to apply appropriate Secure-By-Design and urban design principles to help ensure the design of the proposed development enhances the surrounding environment and does not provide opportunities through its design for crime to occur. The aim should be to design a physical environment that positively influences human behaviour. This should help people feel safe and secure within their built environment, while simultaneously make criminals at greater risk of being caught, and therefore less inclined to offend.</w:t>
      </w:r>
    </w:p>
    <w:p w14:paraId="4C65B515" w14:textId="74E0CC61" w:rsidR="00F476A9" w:rsidRDefault="00F476A9" w:rsidP="006E3244">
      <w:pPr>
        <w:keepNext w:val="0"/>
        <w:spacing w:before="0"/>
        <w:rPr>
          <w:rFonts w:cs="Arial"/>
          <w:color w:val="auto"/>
          <w:lang w:eastAsia="en-US"/>
        </w:rPr>
      </w:pPr>
    </w:p>
    <w:p w14:paraId="6F0D98B3" w14:textId="6B15A724" w:rsidR="00F515E4" w:rsidRDefault="00F515E4">
      <w:pPr>
        <w:keepNext w:val="0"/>
        <w:spacing w:before="0"/>
        <w:rPr>
          <w:rFonts w:cs="Arial"/>
          <w:color w:val="auto"/>
          <w:lang w:eastAsia="en-US"/>
        </w:rPr>
      </w:pPr>
    </w:p>
    <w:p w14:paraId="38B9F755" w14:textId="77777777" w:rsidR="00263F59" w:rsidRDefault="00263F59">
      <w:pPr>
        <w:keepNext w:val="0"/>
        <w:spacing w:before="0"/>
        <w:rPr>
          <w:rFonts w:cs="Arial"/>
          <w:color w:val="auto"/>
          <w:lang w:eastAsia="en-US"/>
        </w:rPr>
      </w:pPr>
    </w:p>
    <w:p w14:paraId="7D0C534E" w14:textId="60F461BA" w:rsidR="006E3244" w:rsidRPr="00825421" w:rsidRDefault="006977E7" w:rsidP="00825421">
      <w:pPr>
        <w:pStyle w:val="Heading2"/>
        <w:jc w:val="left"/>
        <w:rPr>
          <w:sz w:val="28"/>
          <w:szCs w:val="28"/>
        </w:rPr>
      </w:pPr>
      <w:bookmarkStart w:id="293" w:name="_Toc145511613"/>
      <w:r w:rsidRPr="00825421">
        <w:rPr>
          <w:sz w:val="28"/>
          <w:szCs w:val="28"/>
        </w:rPr>
        <w:t xml:space="preserve">Policy </w:t>
      </w:r>
      <w:r w:rsidR="006E3244" w:rsidRPr="00825421">
        <w:rPr>
          <w:sz w:val="28"/>
          <w:szCs w:val="28"/>
        </w:rPr>
        <w:t>SD</w:t>
      </w:r>
      <w:r w:rsidR="0064018F" w:rsidRPr="00825421">
        <w:rPr>
          <w:sz w:val="28"/>
          <w:szCs w:val="28"/>
        </w:rPr>
        <w:t>4</w:t>
      </w:r>
      <w:r w:rsidR="006E3244" w:rsidRPr="00825421">
        <w:rPr>
          <w:sz w:val="28"/>
          <w:szCs w:val="28"/>
        </w:rPr>
        <w:t>: Recycling and Refuse Provision in New Development</w:t>
      </w:r>
      <w:bookmarkEnd w:id="293"/>
    </w:p>
    <w:p w14:paraId="5286B6F2" w14:textId="77777777" w:rsidR="006E3244" w:rsidRPr="006E3244" w:rsidRDefault="006E3244" w:rsidP="006E3244">
      <w:pPr>
        <w:keepNext w:val="0"/>
        <w:spacing w:before="0"/>
        <w:rPr>
          <w:rFonts w:cs="Arial"/>
          <w:color w:val="auto"/>
          <w:szCs w:val="24"/>
          <w:lang w:eastAsia="en-US"/>
        </w:rPr>
      </w:pPr>
    </w:p>
    <w:p w14:paraId="113B2B56" w14:textId="502D3A14" w:rsidR="004846A4" w:rsidRDefault="004846A4" w:rsidP="004846A4">
      <w:pPr>
        <w:keepNext w:val="0"/>
        <w:numPr>
          <w:ilvl w:val="1"/>
          <w:numId w:val="7"/>
        </w:numPr>
        <w:tabs>
          <w:tab w:val="clear" w:pos="525"/>
        </w:tabs>
        <w:spacing w:before="0"/>
        <w:ind w:left="709" w:hanging="709"/>
        <w:rPr>
          <w:rFonts w:cs="Arial"/>
          <w:color w:val="auto"/>
          <w:lang w:eastAsia="en-US"/>
        </w:rPr>
      </w:pPr>
      <w:r w:rsidRPr="004846A4">
        <w:rPr>
          <w:rFonts w:cs="Arial"/>
          <w:color w:val="auto"/>
          <w:lang w:eastAsia="en-US"/>
        </w:rPr>
        <w:t>This policy sets out the criteria for the provision and location of recycling and refuse provision in new development</w:t>
      </w:r>
      <w:r w:rsidR="00F515E4">
        <w:rPr>
          <w:rFonts w:cs="Arial"/>
          <w:color w:val="auto"/>
          <w:lang w:eastAsia="en-US"/>
        </w:rPr>
        <w:t>s</w:t>
      </w:r>
      <w:r w:rsidRPr="004846A4">
        <w:rPr>
          <w:rFonts w:cs="Arial"/>
          <w:color w:val="auto"/>
          <w:lang w:eastAsia="en-US"/>
        </w:rPr>
        <w:t>.</w:t>
      </w:r>
    </w:p>
    <w:p w14:paraId="7219F79D" w14:textId="7155A4F3" w:rsidR="00CE241F" w:rsidRDefault="00CE241F" w:rsidP="00CE241F">
      <w:pPr>
        <w:keepNext w:val="0"/>
        <w:spacing w:before="0"/>
        <w:ind w:left="709"/>
        <w:rPr>
          <w:rFonts w:cs="Arial"/>
          <w:color w:val="auto"/>
          <w:lang w:eastAsia="en-US"/>
        </w:rPr>
      </w:pPr>
    </w:p>
    <w:tbl>
      <w:tblPr>
        <w:tblStyle w:val="TableGrid20"/>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521"/>
        <w:gridCol w:w="7098"/>
      </w:tblGrid>
      <w:tr w:rsidR="00CE6287" w:rsidRPr="00CE6287" w14:paraId="15AAD5A0" w14:textId="77777777" w:rsidTr="00CE6287">
        <w:tc>
          <w:tcPr>
            <w:tcW w:w="9619" w:type="dxa"/>
            <w:gridSpan w:val="2"/>
          </w:tcPr>
          <w:p w14:paraId="062D0EE6" w14:textId="77777777" w:rsidR="00CE6287" w:rsidRPr="00CE6287" w:rsidRDefault="00CE6287" w:rsidP="00905CC9">
            <w:pPr>
              <w:keepNext w:val="0"/>
              <w:spacing w:before="0"/>
              <w:jc w:val="left"/>
              <w:rPr>
                <w:color w:val="auto"/>
              </w:rPr>
            </w:pPr>
          </w:p>
          <w:p w14:paraId="09A13D4A" w14:textId="77777777" w:rsidR="00CE6287" w:rsidRPr="00CE6287" w:rsidRDefault="00CE6287" w:rsidP="00905CC9">
            <w:pPr>
              <w:keepNext w:val="0"/>
              <w:spacing w:before="0"/>
              <w:jc w:val="left"/>
              <w:rPr>
                <w:b/>
                <w:bCs/>
                <w:color w:val="auto"/>
              </w:rPr>
            </w:pPr>
            <w:r w:rsidRPr="00CE6287">
              <w:rPr>
                <w:b/>
                <w:bCs/>
                <w:color w:val="auto"/>
              </w:rPr>
              <w:t>Policy SD4: Recycling and Refuse Provision in New Development</w:t>
            </w:r>
          </w:p>
          <w:p w14:paraId="09B8E80C" w14:textId="77777777" w:rsidR="00CE6287" w:rsidRPr="00CE6287" w:rsidRDefault="00CE6287" w:rsidP="00905CC9">
            <w:pPr>
              <w:keepNext w:val="0"/>
              <w:spacing w:before="0"/>
              <w:jc w:val="left"/>
              <w:rPr>
                <w:color w:val="auto"/>
              </w:rPr>
            </w:pPr>
          </w:p>
        </w:tc>
      </w:tr>
      <w:tr w:rsidR="00CE6287" w:rsidRPr="00CE6287" w14:paraId="4ADDF817" w14:textId="77777777" w:rsidTr="00CE6287">
        <w:tc>
          <w:tcPr>
            <w:tcW w:w="2521" w:type="dxa"/>
          </w:tcPr>
          <w:p w14:paraId="55D2169E" w14:textId="77777777" w:rsidR="00CE6287" w:rsidRPr="00CE6287" w:rsidRDefault="00CE6287" w:rsidP="00905CC9">
            <w:pPr>
              <w:keepNext w:val="0"/>
              <w:spacing w:before="0"/>
              <w:jc w:val="left"/>
              <w:rPr>
                <w:color w:val="auto"/>
              </w:rPr>
            </w:pPr>
            <w:r w:rsidRPr="00CE6287">
              <w:rPr>
                <w:color w:val="auto"/>
              </w:rPr>
              <w:t>Strategic Objectives</w:t>
            </w:r>
          </w:p>
        </w:tc>
        <w:tc>
          <w:tcPr>
            <w:tcW w:w="7098" w:type="dxa"/>
          </w:tcPr>
          <w:p w14:paraId="77BA8DC7" w14:textId="77777777" w:rsidR="00CE6287" w:rsidRPr="00CE6287" w:rsidRDefault="00CE6287" w:rsidP="00905CC9">
            <w:pPr>
              <w:keepNext w:val="0"/>
              <w:spacing w:before="0"/>
              <w:jc w:val="left"/>
              <w:rPr>
                <w:color w:val="auto"/>
              </w:rPr>
            </w:pPr>
            <w:r w:rsidRPr="00CE6287">
              <w:rPr>
                <w:color w:val="auto"/>
              </w:rPr>
              <w:t>SO1, SO2, SO3, SO7, SO8, SO9.</w:t>
            </w:r>
          </w:p>
        </w:tc>
      </w:tr>
      <w:tr w:rsidR="00CE6287" w:rsidRPr="00CE6287" w14:paraId="3846E619" w14:textId="77777777" w:rsidTr="00CE6287">
        <w:tc>
          <w:tcPr>
            <w:tcW w:w="9619" w:type="dxa"/>
            <w:gridSpan w:val="2"/>
            <w:shd w:val="clear" w:color="auto" w:fill="DAC4F8"/>
          </w:tcPr>
          <w:p w14:paraId="40835A4E" w14:textId="77777777" w:rsidR="00CE6287" w:rsidRPr="00CE6287" w:rsidRDefault="00CE6287" w:rsidP="00905CC9">
            <w:pPr>
              <w:keepNext w:val="0"/>
              <w:spacing w:before="0"/>
              <w:jc w:val="left"/>
              <w:rPr>
                <w:color w:val="auto"/>
              </w:rPr>
            </w:pPr>
          </w:p>
          <w:p w14:paraId="0A2C34E9" w14:textId="77777777" w:rsidR="00CE6287" w:rsidRPr="00CE6287" w:rsidRDefault="00CE6287" w:rsidP="00874A98">
            <w:pPr>
              <w:keepNext w:val="0"/>
              <w:numPr>
                <w:ilvl w:val="0"/>
                <w:numId w:val="296"/>
              </w:numPr>
              <w:spacing w:before="0"/>
              <w:contextualSpacing/>
              <w:jc w:val="left"/>
              <w:rPr>
                <w:color w:val="auto"/>
              </w:rPr>
            </w:pPr>
            <w:r w:rsidRPr="00CE6287">
              <w:rPr>
                <w:color w:val="auto"/>
              </w:rPr>
              <w:t>The Council will require all new development to take full account of the location and design of recycling and refuse provision. The following criteria should be met in assessing recycling and refuse provision:</w:t>
            </w:r>
          </w:p>
          <w:p w14:paraId="5CF68890" w14:textId="77777777" w:rsidR="00CE6287" w:rsidRPr="00CE6287" w:rsidRDefault="00CE6287" w:rsidP="00905CC9">
            <w:pPr>
              <w:keepNext w:val="0"/>
              <w:spacing w:before="0"/>
              <w:ind w:left="360"/>
              <w:contextualSpacing/>
              <w:jc w:val="left"/>
              <w:rPr>
                <w:color w:val="auto"/>
              </w:rPr>
            </w:pPr>
          </w:p>
          <w:p w14:paraId="78E1E5CF" w14:textId="77777777" w:rsidR="00CE6287" w:rsidRPr="00CE6287" w:rsidRDefault="00CE6287" w:rsidP="00874A98">
            <w:pPr>
              <w:keepNext w:val="0"/>
              <w:numPr>
                <w:ilvl w:val="0"/>
                <w:numId w:val="297"/>
              </w:numPr>
              <w:spacing w:before="0"/>
              <w:contextualSpacing/>
              <w:jc w:val="left"/>
              <w:rPr>
                <w:color w:val="auto"/>
              </w:rPr>
            </w:pPr>
            <w:r w:rsidRPr="00CE6287">
              <w:rPr>
                <w:color w:val="auto"/>
              </w:rPr>
              <w:t>For proposed residential house developments, space should be provided for the storage of refuse bins and recycling facilities of sufficient capacity to serve the proposed development as a whole, as agreed with the Council (to include whole street solutions where appropriate). Proposed development with private garden areas should also include space for the storage of an additional bin for garden waste or composting facilities;</w:t>
            </w:r>
          </w:p>
          <w:p w14:paraId="0D3A2CD0" w14:textId="77777777" w:rsidR="00CE6287" w:rsidRPr="00CE6287" w:rsidRDefault="00CE6287" w:rsidP="00905CC9">
            <w:pPr>
              <w:keepNext w:val="0"/>
              <w:spacing w:before="0"/>
              <w:ind w:left="720"/>
              <w:contextualSpacing/>
              <w:jc w:val="left"/>
              <w:rPr>
                <w:color w:val="auto"/>
              </w:rPr>
            </w:pPr>
          </w:p>
          <w:p w14:paraId="0BD5EFB9" w14:textId="77777777" w:rsidR="00CE6287" w:rsidRPr="00CE6287" w:rsidRDefault="00CE6287" w:rsidP="00874A98">
            <w:pPr>
              <w:keepNext w:val="0"/>
              <w:numPr>
                <w:ilvl w:val="0"/>
                <w:numId w:val="297"/>
              </w:numPr>
              <w:spacing w:before="0"/>
              <w:contextualSpacing/>
              <w:jc w:val="left"/>
              <w:rPr>
                <w:color w:val="auto"/>
              </w:rPr>
            </w:pPr>
            <w:r w:rsidRPr="00CE6287">
              <w:rPr>
                <w:color w:val="auto"/>
              </w:rPr>
              <w:t>For proposed flats and non-residential developments, space should  be provided for the storage of shared refuse bins and recycling facilities of sufficient capacity to serve the proposed development, as agreed with the Council;</w:t>
            </w:r>
          </w:p>
          <w:p w14:paraId="295A3C9D" w14:textId="77777777" w:rsidR="00CE6287" w:rsidRPr="00CE6287" w:rsidRDefault="00CE6287" w:rsidP="00905CC9">
            <w:pPr>
              <w:keepNext w:val="0"/>
              <w:spacing w:before="0"/>
              <w:ind w:left="720"/>
              <w:contextualSpacing/>
              <w:jc w:val="left"/>
              <w:rPr>
                <w:color w:val="auto"/>
              </w:rPr>
            </w:pPr>
          </w:p>
          <w:p w14:paraId="05D4138D" w14:textId="77777777" w:rsidR="00CE6287" w:rsidRPr="00CE6287" w:rsidRDefault="00CE6287" w:rsidP="00874A98">
            <w:pPr>
              <w:keepNext w:val="0"/>
              <w:numPr>
                <w:ilvl w:val="0"/>
                <w:numId w:val="297"/>
              </w:numPr>
              <w:spacing w:before="0"/>
              <w:contextualSpacing/>
              <w:jc w:val="left"/>
              <w:rPr>
                <w:color w:val="auto"/>
              </w:rPr>
            </w:pPr>
            <w:r w:rsidRPr="00CE6287">
              <w:rPr>
                <w:color w:val="auto"/>
              </w:rPr>
              <w:t>For proposed large scale commercial developments which draw significant numbers of visitors, the developer may be expected to provide an element of appropriately sited and designed recycling provision for public use, as agreed with the Council. Proposals to extend this provision to serve the wider community will be encouraged.</w:t>
            </w:r>
          </w:p>
          <w:p w14:paraId="33FECAC3" w14:textId="77777777" w:rsidR="00CE6287" w:rsidRPr="00CE6287" w:rsidRDefault="00CE6287" w:rsidP="00905CC9">
            <w:pPr>
              <w:keepNext w:val="0"/>
              <w:spacing w:before="0"/>
              <w:ind w:left="720"/>
              <w:contextualSpacing/>
              <w:jc w:val="left"/>
              <w:rPr>
                <w:color w:val="auto"/>
              </w:rPr>
            </w:pPr>
          </w:p>
          <w:p w14:paraId="50B559B4" w14:textId="77777777" w:rsidR="00CE6287" w:rsidRPr="00CE6287" w:rsidRDefault="00CE6287" w:rsidP="00874A98">
            <w:pPr>
              <w:keepNext w:val="0"/>
              <w:numPr>
                <w:ilvl w:val="0"/>
                <w:numId w:val="296"/>
              </w:numPr>
              <w:spacing w:before="0"/>
              <w:contextualSpacing/>
              <w:jc w:val="left"/>
              <w:rPr>
                <w:color w:val="auto"/>
              </w:rPr>
            </w:pPr>
            <w:r w:rsidRPr="00CE6287">
              <w:rPr>
                <w:color w:val="auto"/>
              </w:rPr>
              <w:t xml:space="preserve">In assessing the recycling and refuse provision, regard will be </w:t>
            </w:r>
            <w:proofErr w:type="spellStart"/>
            <w:r w:rsidRPr="00CE6287">
              <w:rPr>
                <w:color w:val="auto"/>
              </w:rPr>
              <w:t>had</w:t>
            </w:r>
            <w:proofErr w:type="spellEnd"/>
            <w:r w:rsidRPr="00CE6287">
              <w:rPr>
                <w:color w:val="auto"/>
              </w:rPr>
              <w:t xml:space="preserve"> to the following considerations:</w:t>
            </w:r>
          </w:p>
          <w:p w14:paraId="583F3770" w14:textId="77777777" w:rsidR="00CE6287" w:rsidRPr="00CE6287" w:rsidRDefault="00CE6287" w:rsidP="00905CC9">
            <w:pPr>
              <w:keepNext w:val="0"/>
              <w:spacing w:before="0"/>
              <w:jc w:val="left"/>
              <w:rPr>
                <w:color w:val="auto"/>
              </w:rPr>
            </w:pPr>
          </w:p>
          <w:p w14:paraId="0C3EB6DB" w14:textId="77777777" w:rsidR="00CE6287" w:rsidRPr="00CE6287" w:rsidRDefault="00CE6287" w:rsidP="00874A98">
            <w:pPr>
              <w:keepNext w:val="0"/>
              <w:numPr>
                <w:ilvl w:val="0"/>
                <w:numId w:val="298"/>
              </w:numPr>
              <w:spacing w:before="0"/>
              <w:contextualSpacing/>
              <w:jc w:val="left"/>
              <w:rPr>
                <w:color w:val="auto"/>
              </w:rPr>
            </w:pPr>
            <w:r w:rsidRPr="00CE6287">
              <w:rPr>
                <w:color w:val="auto"/>
              </w:rPr>
              <w:t>The level and type of provision, having regard to the above requirements;</w:t>
            </w:r>
          </w:p>
          <w:p w14:paraId="5CF9AA00" w14:textId="77777777" w:rsidR="00CE6287" w:rsidRPr="00CE6287" w:rsidRDefault="00CE6287" w:rsidP="00905CC9">
            <w:pPr>
              <w:keepNext w:val="0"/>
              <w:spacing w:before="0"/>
              <w:ind w:left="720"/>
              <w:contextualSpacing/>
              <w:jc w:val="left"/>
              <w:rPr>
                <w:color w:val="auto"/>
              </w:rPr>
            </w:pPr>
          </w:p>
          <w:p w14:paraId="70FBB5E9" w14:textId="77777777" w:rsidR="00CE6287" w:rsidRPr="00CE6287" w:rsidRDefault="00CE6287" w:rsidP="00874A98">
            <w:pPr>
              <w:keepNext w:val="0"/>
              <w:numPr>
                <w:ilvl w:val="0"/>
                <w:numId w:val="298"/>
              </w:numPr>
              <w:spacing w:before="0"/>
              <w:contextualSpacing/>
              <w:jc w:val="left"/>
              <w:rPr>
                <w:color w:val="auto"/>
              </w:rPr>
            </w:pPr>
            <w:r w:rsidRPr="00CE6287">
              <w:rPr>
                <w:color w:val="auto"/>
              </w:rPr>
              <w:t>The location of the provision, having regard to the need to provide and maintain safe and convenient access for occupants, while also providing satisfactory access for collection vehicles and operatives;</w:t>
            </w:r>
          </w:p>
          <w:p w14:paraId="037EABC7" w14:textId="77777777" w:rsidR="00CE6287" w:rsidRPr="00CE6287" w:rsidRDefault="00CE6287" w:rsidP="00905CC9">
            <w:pPr>
              <w:keepNext w:val="0"/>
              <w:spacing w:before="0"/>
              <w:ind w:left="720"/>
              <w:contextualSpacing/>
              <w:jc w:val="left"/>
              <w:rPr>
                <w:color w:val="auto"/>
              </w:rPr>
            </w:pPr>
          </w:p>
          <w:p w14:paraId="2D9095C9" w14:textId="77777777" w:rsidR="00CE6287" w:rsidRPr="00CE6287" w:rsidRDefault="00CE6287" w:rsidP="00874A98">
            <w:pPr>
              <w:keepNext w:val="0"/>
              <w:numPr>
                <w:ilvl w:val="0"/>
                <w:numId w:val="298"/>
              </w:numPr>
              <w:spacing w:before="0"/>
              <w:contextualSpacing/>
              <w:jc w:val="left"/>
              <w:rPr>
                <w:color w:val="auto"/>
              </w:rPr>
            </w:pPr>
            <w:r w:rsidRPr="00CE6287">
              <w:rPr>
                <w:color w:val="auto"/>
              </w:rPr>
              <w:t>The impact of the provision on visual amenity, having regard to the need to minimize the prominence of the facilities and screen any external provision;</w:t>
            </w:r>
          </w:p>
          <w:p w14:paraId="1ECF051B" w14:textId="77777777" w:rsidR="00CE6287" w:rsidRPr="00CE6287" w:rsidRDefault="00CE6287" w:rsidP="00905CC9">
            <w:pPr>
              <w:keepNext w:val="0"/>
              <w:spacing w:before="0"/>
              <w:ind w:left="720"/>
              <w:contextualSpacing/>
              <w:jc w:val="left"/>
              <w:rPr>
                <w:color w:val="auto"/>
              </w:rPr>
            </w:pPr>
          </w:p>
          <w:p w14:paraId="0703A26C" w14:textId="3BDC2B0A" w:rsidR="00CE6287" w:rsidRPr="00595970" w:rsidRDefault="00CE6287" w:rsidP="00874A98">
            <w:pPr>
              <w:keepNext w:val="0"/>
              <w:numPr>
                <w:ilvl w:val="0"/>
                <w:numId w:val="298"/>
              </w:numPr>
              <w:spacing w:before="0"/>
              <w:contextualSpacing/>
              <w:jc w:val="left"/>
              <w:rPr>
                <w:color w:val="auto"/>
              </w:rPr>
            </w:pPr>
            <w:r w:rsidRPr="00CE6287">
              <w:rPr>
                <w:color w:val="auto"/>
              </w:rPr>
              <w:t>The impact of the provision on the amenity of neighbouring development and the proposed development;</w:t>
            </w:r>
            <w:r w:rsidR="002B2EB1">
              <w:rPr>
                <w:color w:val="auto"/>
              </w:rPr>
              <w:t xml:space="preserve"> </w:t>
            </w:r>
            <w:r w:rsidR="002B2EB1" w:rsidRPr="00595970">
              <w:rPr>
                <w:color w:val="auto"/>
              </w:rPr>
              <w:t>and</w:t>
            </w:r>
          </w:p>
          <w:p w14:paraId="317AB2E5" w14:textId="77777777" w:rsidR="00CE6287" w:rsidRPr="00CE6287" w:rsidRDefault="00CE6287" w:rsidP="00905CC9">
            <w:pPr>
              <w:keepNext w:val="0"/>
              <w:spacing w:before="0"/>
              <w:ind w:left="720"/>
              <w:contextualSpacing/>
              <w:jc w:val="left"/>
              <w:rPr>
                <w:color w:val="auto"/>
              </w:rPr>
            </w:pPr>
          </w:p>
          <w:p w14:paraId="4B2DD4BB" w14:textId="77777777" w:rsidR="00CE6287" w:rsidRPr="00CE6287" w:rsidRDefault="00CE6287" w:rsidP="00874A98">
            <w:pPr>
              <w:keepNext w:val="0"/>
              <w:numPr>
                <w:ilvl w:val="0"/>
                <w:numId w:val="298"/>
              </w:numPr>
              <w:spacing w:before="0"/>
              <w:contextualSpacing/>
              <w:jc w:val="left"/>
              <w:rPr>
                <w:color w:val="auto"/>
              </w:rPr>
            </w:pPr>
            <w:r w:rsidRPr="00CE6287">
              <w:rPr>
                <w:color w:val="auto"/>
              </w:rPr>
              <w:t>The security of the provision against scavenging pests, vandalism and unauthorized use.</w:t>
            </w:r>
          </w:p>
        </w:tc>
      </w:tr>
      <w:tr w:rsidR="00CE6287" w:rsidRPr="00CE6287" w14:paraId="3BF214C1" w14:textId="77777777" w:rsidTr="00CE6287">
        <w:tc>
          <w:tcPr>
            <w:tcW w:w="2521" w:type="dxa"/>
          </w:tcPr>
          <w:p w14:paraId="12F61098" w14:textId="77777777" w:rsidR="00CE6287" w:rsidRPr="00CE6287" w:rsidRDefault="00CE6287" w:rsidP="00A03E50">
            <w:pPr>
              <w:keepNext w:val="0"/>
              <w:spacing w:before="0"/>
              <w:jc w:val="left"/>
              <w:rPr>
                <w:color w:val="auto"/>
                <w:sz w:val="20"/>
                <w:szCs w:val="20"/>
              </w:rPr>
            </w:pPr>
            <w:r w:rsidRPr="00CE6287">
              <w:rPr>
                <w:color w:val="auto"/>
                <w:sz w:val="20"/>
                <w:szCs w:val="20"/>
              </w:rPr>
              <w:t>Evidence base</w:t>
            </w:r>
          </w:p>
        </w:tc>
        <w:tc>
          <w:tcPr>
            <w:tcW w:w="7098" w:type="dxa"/>
          </w:tcPr>
          <w:p w14:paraId="04E763F3" w14:textId="2533C57D" w:rsidR="00CE6287" w:rsidRPr="00595970" w:rsidRDefault="00CE6287" w:rsidP="00874A98">
            <w:pPr>
              <w:keepNext w:val="0"/>
              <w:numPr>
                <w:ilvl w:val="0"/>
                <w:numId w:val="299"/>
              </w:numPr>
              <w:spacing w:before="0"/>
              <w:contextualSpacing/>
              <w:jc w:val="left"/>
              <w:rPr>
                <w:color w:val="auto"/>
                <w:sz w:val="20"/>
                <w:szCs w:val="20"/>
              </w:rPr>
            </w:pPr>
            <w:r w:rsidRPr="00595970">
              <w:rPr>
                <w:color w:val="auto"/>
                <w:sz w:val="20"/>
                <w:szCs w:val="20"/>
              </w:rPr>
              <w:t>Sustainability Appraisal 202</w:t>
            </w:r>
            <w:r w:rsidR="00C1699D" w:rsidRPr="00595970">
              <w:rPr>
                <w:color w:val="auto"/>
                <w:sz w:val="20"/>
                <w:szCs w:val="20"/>
              </w:rPr>
              <w:t>3</w:t>
            </w:r>
            <w:r w:rsidRPr="00595970">
              <w:rPr>
                <w:color w:val="auto"/>
                <w:sz w:val="20"/>
                <w:szCs w:val="20"/>
              </w:rPr>
              <w:t xml:space="preserve">. </w:t>
            </w:r>
            <w:r w:rsidR="00C1699D" w:rsidRPr="00595970">
              <w:rPr>
                <w:color w:val="auto"/>
                <w:sz w:val="20"/>
                <w:szCs w:val="20"/>
              </w:rPr>
              <w:t>WSP UK Limited</w:t>
            </w:r>
            <w:r w:rsidRPr="00595970">
              <w:rPr>
                <w:color w:val="auto"/>
                <w:sz w:val="20"/>
                <w:szCs w:val="20"/>
              </w:rPr>
              <w:t>.</w:t>
            </w:r>
          </w:p>
        </w:tc>
      </w:tr>
      <w:tr w:rsidR="00CE6287" w:rsidRPr="00CE6287" w14:paraId="07F0E745" w14:textId="77777777" w:rsidTr="00CE6287">
        <w:tc>
          <w:tcPr>
            <w:tcW w:w="2521" w:type="dxa"/>
          </w:tcPr>
          <w:p w14:paraId="511301C9" w14:textId="77777777" w:rsidR="00CE6287" w:rsidRPr="00CE6287" w:rsidRDefault="00CE6287" w:rsidP="00A03E50">
            <w:pPr>
              <w:keepNext w:val="0"/>
              <w:spacing w:before="0"/>
              <w:jc w:val="left"/>
              <w:rPr>
                <w:color w:val="auto"/>
                <w:sz w:val="20"/>
                <w:szCs w:val="20"/>
              </w:rPr>
            </w:pPr>
            <w:r w:rsidRPr="00CE6287">
              <w:rPr>
                <w:color w:val="auto"/>
                <w:sz w:val="20"/>
                <w:szCs w:val="20"/>
              </w:rPr>
              <w:t>National Planning Policy &amp; Guidance</w:t>
            </w:r>
          </w:p>
        </w:tc>
        <w:tc>
          <w:tcPr>
            <w:tcW w:w="7098" w:type="dxa"/>
          </w:tcPr>
          <w:p w14:paraId="61385568" w14:textId="41E31A6F" w:rsidR="00CE6287" w:rsidRPr="00595970" w:rsidRDefault="00CE6287" w:rsidP="00874A98">
            <w:pPr>
              <w:keepNext w:val="0"/>
              <w:numPr>
                <w:ilvl w:val="0"/>
                <w:numId w:val="299"/>
              </w:numPr>
              <w:spacing w:before="0"/>
              <w:contextualSpacing/>
              <w:jc w:val="left"/>
              <w:rPr>
                <w:color w:val="auto"/>
                <w:sz w:val="20"/>
                <w:szCs w:val="20"/>
              </w:rPr>
            </w:pPr>
            <w:r w:rsidRPr="00595970">
              <w:rPr>
                <w:color w:val="auto"/>
                <w:sz w:val="20"/>
                <w:szCs w:val="20"/>
              </w:rPr>
              <w:t>NPPF 202</w:t>
            </w:r>
            <w:r w:rsidR="004173E0" w:rsidRPr="00595970">
              <w:rPr>
                <w:color w:val="auto"/>
                <w:sz w:val="20"/>
                <w:szCs w:val="20"/>
              </w:rPr>
              <w:t>3</w:t>
            </w:r>
            <w:r w:rsidRPr="00595970">
              <w:rPr>
                <w:color w:val="auto"/>
                <w:sz w:val="20"/>
                <w:szCs w:val="20"/>
              </w:rPr>
              <w:t xml:space="preserve">, Part 2: Achieving sustainable development. </w:t>
            </w:r>
          </w:p>
          <w:p w14:paraId="49316B5F" w14:textId="1DAD55B9" w:rsidR="00CE6287" w:rsidRPr="00595970" w:rsidRDefault="00CE6287" w:rsidP="00874A98">
            <w:pPr>
              <w:keepNext w:val="0"/>
              <w:numPr>
                <w:ilvl w:val="0"/>
                <w:numId w:val="299"/>
              </w:numPr>
              <w:spacing w:before="0"/>
              <w:contextualSpacing/>
              <w:jc w:val="left"/>
              <w:rPr>
                <w:color w:val="auto"/>
                <w:sz w:val="20"/>
                <w:szCs w:val="20"/>
              </w:rPr>
            </w:pPr>
            <w:r w:rsidRPr="00595970">
              <w:rPr>
                <w:color w:val="auto"/>
                <w:sz w:val="20"/>
                <w:szCs w:val="20"/>
              </w:rPr>
              <w:t>NPPF 202</w:t>
            </w:r>
            <w:r w:rsidR="004173E0" w:rsidRPr="00595970">
              <w:rPr>
                <w:color w:val="auto"/>
                <w:sz w:val="20"/>
                <w:szCs w:val="20"/>
              </w:rPr>
              <w:t>3</w:t>
            </w:r>
            <w:r w:rsidRPr="00595970">
              <w:rPr>
                <w:color w:val="auto"/>
                <w:sz w:val="20"/>
                <w:szCs w:val="20"/>
              </w:rPr>
              <w:t>, Part 12: Achieving well designed places.</w:t>
            </w:r>
          </w:p>
        </w:tc>
      </w:tr>
    </w:tbl>
    <w:p w14:paraId="3FE4E7AE" w14:textId="77777777" w:rsidR="00CE6287" w:rsidRPr="00CE6287" w:rsidRDefault="00CE6287" w:rsidP="00CE6287">
      <w:pPr>
        <w:keepNext w:val="0"/>
        <w:spacing w:before="0" w:after="160" w:line="252" w:lineRule="auto"/>
        <w:jc w:val="both"/>
        <w:rPr>
          <w:rFonts w:eastAsia="Calibri"/>
          <w:color w:val="auto"/>
          <w:szCs w:val="22"/>
        </w:rPr>
      </w:pPr>
    </w:p>
    <w:p w14:paraId="61DB8354" w14:textId="3D4A1A50" w:rsidR="00CE6287" w:rsidRPr="00CE6287" w:rsidRDefault="004846A4" w:rsidP="00CE6287">
      <w:pPr>
        <w:keepNext w:val="0"/>
        <w:numPr>
          <w:ilvl w:val="1"/>
          <w:numId w:val="7"/>
        </w:numPr>
        <w:tabs>
          <w:tab w:val="clear" w:pos="525"/>
        </w:tabs>
        <w:spacing w:before="0"/>
        <w:ind w:left="709" w:hanging="709"/>
        <w:rPr>
          <w:rFonts w:cs="Arial"/>
          <w:color w:val="auto"/>
          <w:lang w:eastAsia="en-US"/>
        </w:rPr>
      </w:pPr>
      <w:r w:rsidRPr="00CE6287">
        <w:rPr>
          <w:rFonts w:cs="Arial"/>
          <w:color w:val="auto"/>
          <w:szCs w:val="24"/>
          <w:lang w:eastAsia="en-US"/>
        </w:rPr>
        <w:t>The Council is required to meet the Waste Framework Directive  target of recycling 50% of waste from households by 2020. This will require significant co-operation from householders in waste separation; part of achieving such involvement is the designing-in of appropriate storage in all new development.</w:t>
      </w:r>
    </w:p>
    <w:p w14:paraId="5EE03F02" w14:textId="77777777" w:rsidR="00CE6287" w:rsidRDefault="00CE6287" w:rsidP="00CE6287">
      <w:pPr>
        <w:keepNext w:val="0"/>
        <w:spacing w:before="0"/>
        <w:ind w:left="709"/>
        <w:rPr>
          <w:rFonts w:cs="Arial"/>
          <w:color w:val="auto"/>
          <w:lang w:eastAsia="en-US"/>
        </w:rPr>
      </w:pPr>
    </w:p>
    <w:p w14:paraId="18040864" w14:textId="5F8291C5" w:rsidR="00CE6287" w:rsidRPr="00CE6287" w:rsidRDefault="004846A4" w:rsidP="00CE6287">
      <w:pPr>
        <w:keepNext w:val="0"/>
        <w:numPr>
          <w:ilvl w:val="1"/>
          <w:numId w:val="7"/>
        </w:numPr>
        <w:tabs>
          <w:tab w:val="clear" w:pos="525"/>
        </w:tabs>
        <w:spacing w:before="0"/>
        <w:ind w:left="709" w:hanging="709"/>
        <w:rPr>
          <w:rFonts w:cs="Arial"/>
          <w:color w:val="auto"/>
          <w:lang w:eastAsia="en-US"/>
        </w:rPr>
      </w:pPr>
      <w:r w:rsidRPr="00CE6287">
        <w:rPr>
          <w:rFonts w:cs="Arial"/>
          <w:color w:val="auto"/>
          <w:szCs w:val="24"/>
          <w:lang w:eastAsia="en-US"/>
        </w:rPr>
        <w:t>Poorly sited or designed recycling and refuse storage provision has the potential for considerable adverse impact on the visual appearance of an area as well as its general amenity, for instance by odours, obstruction of footways and cluttering the public realm. An untidy proliferation of bins in streets and forecourts is often one of the most visible signs of higher residential densities when development is poorly designed, particularly when houses are subdivided.</w:t>
      </w:r>
    </w:p>
    <w:p w14:paraId="2F1F23EF" w14:textId="77777777" w:rsidR="00CE6287" w:rsidRDefault="00CE6287" w:rsidP="00CE6287">
      <w:pPr>
        <w:keepNext w:val="0"/>
        <w:spacing w:before="0"/>
        <w:rPr>
          <w:rFonts w:cs="Arial"/>
          <w:color w:val="auto"/>
          <w:lang w:eastAsia="en-US"/>
        </w:rPr>
      </w:pPr>
    </w:p>
    <w:p w14:paraId="07FC5AA1" w14:textId="11BE3007" w:rsidR="00CE6287" w:rsidRDefault="004846A4" w:rsidP="00CE6287">
      <w:pPr>
        <w:keepNext w:val="0"/>
        <w:numPr>
          <w:ilvl w:val="1"/>
          <w:numId w:val="7"/>
        </w:numPr>
        <w:tabs>
          <w:tab w:val="clear" w:pos="525"/>
        </w:tabs>
        <w:spacing w:before="0"/>
        <w:ind w:left="709" w:hanging="709"/>
        <w:rPr>
          <w:rFonts w:cs="Arial"/>
          <w:color w:val="auto"/>
          <w:lang w:eastAsia="en-US"/>
        </w:rPr>
      </w:pPr>
      <w:r w:rsidRPr="00CE6287">
        <w:rPr>
          <w:rFonts w:cs="Arial"/>
          <w:color w:val="auto"/>
          <w:szCs w:val="24"/>
          <w:lang w:eastAsia="en-US"/>
        </w:rPr>
        <w:t>Policy SD</w:t>
      </w:r>
      <w:r w:rsidR="00F05D84">
        <w:rPr>
          <w:rFonts w:cs="Arial"/>
          <w:color w:val="auto"/>
          <w:szCs w:val="24"/>
          <w:lang w:eastAsia="en-US"/>
        </w:rPr>
        <w:t>4</w:t>
      </w:r>
      <w:r w:rsidRPr="00CE6287">
        <w:rPr>
          <w:rFonts w:cs="Arial"/>
          <w:color w:val="auto"/>
          <w:szCs w:val="24"/>
          <w:lang w:eastAsia="en-US"/>
        </w:rPr>
        <w:t xml:space="preserve"> sets out requirements for recycling and refuse provision in all new development proposals by ensuring that adequate provision for waste storage, separation of recyclables and access for collection is designed into all new buildings, re-developments, conversions (including where houses are subdivided) and changes of uses. Recycling and refuse provision should be discussed with the Council at an early stage to ensure that proposed systems are compatible with its requirements.</w:t>
      </w:r>
    </w:p>
    <w:p w14:paraId="772D959F" w14:textId="77777777" w:rsidR="00CE6287" w:rsidRPr="00CE6287" w:rsidRDefault="00CE6287" w:rsidP="00CE6287">
      <w:pPr>
        <w:rPr>
          <w:rFonts w:cs="Arial"/>
          <w:color w:val="auto"/>
          <w:szCs w:val="24"/>
        </w:rPr>
      </w:pPr>
    </w:p>
    <w:p w14:paraId="484FB160" w14:textId="77777777" w:rsidR="00CE6287" w:rsidRDefault="004846A4" w:rsidP="006977E7">
      <w:pPr>
        <w:keepNext w:val="0"/>
        <w:numPr>
          <w:ilvl w:val="1"/>
          <w:numId w:val="7"/>
        </w:numPr>
        <w:tabs>
          <w:tab w:val="clear" w:pos="525"/>
        </w:tabs>
        <w:spacing w:before="0"/>
        <w:ind w:left="709" w:hanging="709"/>
        <w:rPr>
          <w:rFonts w:cs="Arial"/>
          <w:color w:val="auto"/>
          <w:lang w:eastAsia="en-US"/>
        </w:rPr>
      </w:pPr>
      <w:r w:rsidRPr="00CE6287">
        <w:rPr>
          <w:rFonts w:cs="Arial"/>
          <w:color w:val="auto"/>
          <w:szCs w:val="24"/>
          <w:lang w:eastAsia="en-US"/>
        </w:rPr>
        <w:t xml:space="preserve">For the Council to be able to collect all of the waste generated by new developments in a sustainable manner improved disposal facilities will need to be available and vehicular access will need to be considered with all new developments particularly where there will be multi occupancy waste disposal requirements. </w:t>
      </w:r>
    </w:p>
    <w:p w14:paraId="34549853" w14:textId="77777777" w:rsidR="00CE6287" w:rsidRPr="00CE6287" w:rsidRDefault="00CE6287" w:rsidP="006977E7">
      <w:pPr>
        <w:spacing w:before="0"/>
        <w:rPr>
          <w:rFonts w:cs="Arial"/>
          <w:color w:val="auto"/>
          <w:szCs w:val="24"/>
        </w:rPr>
      </w:pPr>
    </w:p>
    <w:p w14:paraId="3C04E206" w14:textId="77777777" w:rsidR="00CE6287" w:rsidRDefault="004846A4" w:rsidP="006977E7">
      <w:pPr>
        <w:keepNext w:val="0"/>
        <w:numPr>
          <w:ilvl w:val="1"/>
          <w:numId w:val="7"/>
        </w:numPr>
        <w:tabs>
          <w:tab w:val="clear" w:pos="525"/>
        </w:tabs>
        <w:spacing w:before="0"/>
        <w:ind w:left="709" w:hanging="709"/>
        <w:rPr>
          <w:rFonts w:cs="Arial"/>
          <w:color w:val="auto"/>
          <w:lang w:eastAsia="en-US"/>
        </w:rPr>
      </w:pPr>
      <w:r w:rsidRPr="00CE6287">
        <w:rPr>
          <w:rFonts w:cs="Arial"/>
          <w:color w:val="auto"/>
          <w:szCs w:val="24"/>
          <w:lang w:eastAsia="en-US"/>
        </w:rPr>
        <w:t>To meet current recycling requirements a dwelling is provided with one 180 litre bin for general waste, one 240 litre bins for dry recyclables, and one 44 litre box 140 litre bin for recycling glass. However, this may increase in the future with potentially higher recycling rates and therefore additional bin requirements.  Where residential developments are proposed with gardens, including communal gardens in apartment developments, consideration should be given to the use of a composting facility. Composting facilities are preferable to garden waste bins, as treatment of waste at source is recognised as the most sustainable method of treatment. However, consideration needs to be given on the sitting of such facilities in relation to odour and vermin prevention.</w:t>
      </w:r>
    </w:p>
    <w:p w14:paraId="225FCE2F" w14:textId="77777777" w:rsidR="00CE6287" w:rsidRPr="00CE6287" w:rsidRDefault="00CE6287" w:rsidP="006977E7">
      <w:pPr>
        <w:spacing w:before="0"/>
        <w:rPr>
          <w:rFonts w:cs="Arial"/>
          <w:color w:val="auto"/>
          <w:szCs w:val="24"/>
        </w:rPr>
      </w:pPr>
    </w:p>
    <w:p w14:paraId="6E75E140" w14:textId="38D02940" w:rsidR="00CE6287" w:rsidRPr="00CE6287" w:rsidRDefault="004846A4" w:rsidP="006977E7">
      <w:pPr>
        <w:keepNext w:val="0"/>
        <w:numPr>
          <w:ilvl w:val="1"/>
          <w:numId w:val="7"/>
        </w:numPr>
        <w:tabs>
          <w:tab w:val="clear" w:pos="525"/>
        </w:tabs>
        <w:spacing w:before="0"/>
        <w:ind w:left="709" w:hanging="709"/>
        <w:rPr>
          <w:rFonts w:cs="Arial"/>
          <w:color w:val="auto"/>
          <w:lang w:eastAsia="en-US"/>
        </w:rPr>
      </w:pPr>
      <w:r w:rsidRPr="00CE6287">
        <w:rPr>
          <w:rFonts w:cs="Arial"/>
          <w:color w:val="auto"/>
          <w:szCs w:val="24"/>
          <w:lang w:eastAsia="en-US"/>
        </w:rPr>
        <w:t xml:space="preserve">Large scale commercial developments which draw large numbers of visitors, such as shopping centres, leisure centres or tourist attractions may be expected to provide an element of appropriately sited and designed recycling provision for public use. Proposals to extend this provision to serve the wider community will be encouraged by the Council. Developers should seek guidance on these requirements at early design stage. </w:t>
      </w:r>
    </w:p>
    <w:p w14:paraId="24CB4CA6" w14:textId="77777777" w:rsidR="00CE6287" w:rsidRDefault="00CE6287" w:rsidP="00CE6287">
      <w:pPr>
        <w:keepNext w:val="0"/>
        <w:spacing w:before="0"/>
        <w:rPr>
          <w:rFonts w:cs="Arial"/>
          <w:color w:val="auto"/>
          <w:lang w:eastAsia="en-US"/>
        </w:rPr>
      </w:pPr>
    </w:p>
    <w:p w14:paraId="5B276C0F" w14:textId="4D15C7E6" w:rsidR="00CE6287" w:rsidRPr="00CE6287" w:rsidRDefault="004846A4" w:rsidP="00CE6287">
      <w:pPr>
        <w:keepNext w:val="0"/>
        <w:numPr>
          <w:ilvl w:val="1"/>
          <w:numId w:val="7"/>
        </w:numPr>
        <w:tabs>
          <w:tab w:val="clear" w:pos="525"/>
        </w:tabs>
        <w:spacing w:before="0"/>
        <w:ind w:left="709" w:hanging="709"/>
        <w:rPr>
          <w:rFonts w:cs="Arial"/>
          <w:color w:val="auto"/>
          <w:lang w:eastAsia="en-US"/>
        </w:rPr>
      </w:pPr>
      <w:r w:rsidRPr="00CE6287">
        <w:rPr>
          <w:rFonts w:cs="Arial"/>
          <w:color w:val="auto"/>
          <w:szCs w:val="24"/>
          <w:lang w:eastAsia="en-US"/>
        </w:rPr>
        <w:t xml:space="preserve">Where a development is seeking to accommodate refuse bins in a detached bin store, this must be appropriately designed and secure. If a residential proposals, the store must be constructed of complementary material and be sited to not impact on property or street frontage. Wherever possible, stores should be incorporated into the primary building. </w:t>
      </w:r>
    </w:p>
    <w:p w14:paraId="57A2A6BC" w14:textId="77777777" w:rsidR="00CE6287" w:rsidRDefault="00CE6287" w:rsidP="00CE6287">
      <w:pPr>
        <w:keepNext w:val="0"/>
        <w:spacing w:before="0"/>
        <w:rPr>
          <w:rFonts w:cs="Arial"/>
          <w:color w:val="auto"/>
          <w:lang w:eastAsia="en-US"/>
        </w:rPr>
      </w:pPr>
    </w:p>
    <w:p w14:paraId="5498EB08" w14:textId="1DB53DEF" w:rsidR="004846A4" w:rsidRPr="00CE6287" w:rsidRDefault="004846A4" w:rsidP="00CE6287">
      <w:pPr>
        <w:keepNext w:val="0"/>
        <w:numPr>
          <w:ilvl w:val="1"/>
          <w:numId w:val="7"/>
        </w:numPr>
        <w:tabs>
          <w:tab w:val="clear" w:pos="525"/>
        </w:tabs>
        <w:spacing w:before="0"/>
        <w:ind w:left="709" w:hanging="709"/>
        <w:rPr>
          <w:rFonts w:cs="Arial"/>
          <w:color w:val="auto"/>
          <w:lang w:eastAsia="en-US"/>
        </w:rPr>
      </w:pPr>
      <w:r w:rsidRPr="00CE6287">
        <w:rPr>
          <w:rFonts w:cs="Arial"/>
          <w:color w:val="auto"/>
          <w:szCs w:val="24"/>
          <w:lang w:eastAsia="en-US"/>
        </w:rPr>
        <w:t>The Council will require the submission of a waste storage and collection plan for major residential or commercial developments. The plan should include the following information:</w:t>
      </w:r>
    </w:p>
    <w:p w14:paraId="097D6DB2" w14:textId="77777777" w:rsidR="004846A4" w:rsidRPr="00CE6287" w:rsidRDefault="004846A4" w:rsidP="00CE6287">
      <w:pPr>
        <w:keepNext w:val="0"/>
        <w:spacing w:before="0"/>
        <w:ind w:left="525"/>
        <w:rPr>
          <w:rFonts w:cs="Arial"/>
          <w:color w:val="auto"/>
          <w:szCs w:val="24"/>
          <w:lang w:eastAsia="en-US"/>
        </w:rPr>
      </w:pPr>
    </w:p>
    <w:p w14:paraId="37F0D2F6" w14:textId="13257055" w:rsidR="00CE6287" w:rsidRDefault="004846A4" w:rsidP="00874A98">
      <w:pPr>
        <w:pStyle w:val="ListParagraph"/>
        <w:numPr>
          <w:ilvl w:val="0"/>
          <w:numId w:val="300"/>
        </w:numPr>
        <w:spacing w:after="0" w:line="240" w:lineRule="auto"/>
        <w:rPr>
          <w:rFonts w:ascii="Arial" w:hAnsi="Arial" w:cs="Arial"/>
          <w:color w:val="auto"/>
          <w:szCs w:val="24"/>
        </w:rPr>
      </w:pPr>
      <w:r w:rsidRPr="00CE6287">
        <w:rPr>
          <w:rFonts w:ascii="Arial" w:hAnsi="Arial" w:cs="Arial"/>
          <w:color w:val="auto"/>
          <w:szCs w:val="24"/>
        </w:rPr>
        <w:t xml:space="preserve">for residential properties; how the managing agent will work with tenants to ensure that recycling takes place;  </w:t>
      </w:r>
    </w:p>
    <w:p w14:paraId="1E531D49" w14:textId="77777777" w:rsidR="00CE6287" w:rsidRPr="00CE6287" w:rsidRDefault="00CE6287" w:rsidP="00CE6287">
      <w:pPr>
        <w:pStyle w:val="ListParagraph"/>
        <w:spacing w:after="0" w:line="240" w:lineRule="auto"/>
        <w:ind w:left="1069"/>
        <w:rPr>
          <w:rFonts w:ascii="Arial" w:hAnsi="Arial" w:cs="Arial"/>
          <w:color w:val="auto"/>
          <w:szCs w:val="24"/>
        </w:rPr>
      </w:pPr>
    </w:p>
    <w:p w14:paraId="6D5DBBE9" w14:textId="75973A08" w:rsidR="00CE6287" w:rsidRDefault="004846A4" w:rsidP="00874A98">
      <w:pPr>
        <w:pStyle w:val="ListParagraph"/>
        <w:numPr>
          <w:ilvl w:val="0"/>
          <w:numId w:val="300"/>
        </w:numPr>
        <w:spacing w:after="0" w:line="240" w:lineRule="auto"/>
        <w:rPr>
          <w:rFonts w:ascii="Arial" w:hAnsi="Arial" w:cs="Arial"/>
          <w:color w:val="auto"/>
          <w:szCs w:val="24"/>
        </w:rPr>
      </w:pPr>
      <w:r w:rsidRPr="00CE6287">
        <w:rPr>
          <w:rFonts w:ascii="Arial" w:hAnsi="Arial" w:cs="Arial"/>
          <w:color w:val="auto"/>
          <w:szCs w:val="24"/>
        </w:rPr>
        <w:t>for commercial properties; how the managing agents will ensure that recyclable waste is separated from general refuse, details of the location of waste receptacles, and how litter will be controlled at the site when the development is in use; an</w:t>
      </w:r>
      <w:r w:rsidR="00CE6287" w:rsidRPr="00CE6287">
        <w:rPr>
          <w:rFonts w:ascii="Arial" w:hAnsi="Arial" w:cs="Arial"/>
          <w:color w:val="auto"/>
          <w:szCs w:val="24"/>
        </w:rPr>
        <w:t>d</w:t>
      </w:r>
    </w:p>
    <w:p w14:paraId="459A2DCE" w14:textId="77777777" w:rsidR="00CE6287" w:rsidRPr="00CE6287" w:rsidRDefault="00CE6287" w:rsidP="006977E7">
      <w:pPr>
        <w:spacing w:before="0"/>
        <w:rPr>
          <w:rFonts w:cs="Arial"/>
          <w:color w:val="auto"/>
          <w:szCs w:val="24"/>
        </w:rPr>
      </w:pPr>
    </w:p>
    <w:p w14:paraId="26C2970F" w14:textId="47FDC43A" w:rsidR="006E3244" w:rsidRDefault="004846A4" w:rsidP="00874A98">
      <w:pPr>
        <w:pStyle w:val="ListParagraph"/>
        <w:numPr>
          <w:ilvl w:val="0"/>
          <w:numId w:val="300"/>
        </w:numPr>
        <w:spacing w:after="0" w:line="240" w:lineRule="auto"/>
        <w:rPr>
          <w:rFonts w:ascii="Arial" w:hAnsi="Arial" w:cs="Arial"/>
          <w:color w:val="auto"/>
          <w:szCs w:val="24"/>
        </w:rPr>
      </w:pPr>
      <w:r w:rsidRPr="00CE6287">
        <w:rPr>
          <w:rFonts w:ascii="Arial" w:hAnsi="Arial" w:cs="Arial"/>
          <w:color w:val="auto"/>
          <w:szCs w:val="24"/>
        </w:rPr>
        <w:t xml:space="preserve">details on how waste will be managed during the construction period. </w:t>
      </w:r>
    </w:p>
    <w:p w14:paraId="53D9AE53" w14:textId="603E5951" w:rsidR="005A0FAE" w:rsidRDefault="005A0FAE">
      <w:pPr>
        <w:keepNext w:val="0"/>
        <w:spacing w:before="0"/>
        <w:rPr>
          <w:rFonts w:cs="Arial"/>
          <w:color w:val="auto"/>
          <w:szCs w:val="24"/>
          <w:lang w:eastAsia="en-US"/>
        </w:rPr>
      </w:pPr>
      <w:r>
        <w:rPr>
          <w:rFonts w:cs="Arial"/>
          <w:color w:val="auto"/>
          <w:szCs w:val="24"/>
        </w:rPr>
        <w:br w:type="page"/>
      </w:r>
    </w:p>
    <w:p w14:paraId="02C5A937" w14:textId="2F0E74DA" w:rsidR="0040385F" w:rsidRPr="00825421" w:rsidRDefault="006977E7" w:rsidP="00825421">
      <w:pPr>
        <w:pStyle w:val="Heading2"/>
        <w:jc w:val="left"/>
        <w:rPr>
          <w:rFonts w:eastAsia="Arial"/>
          <w:sz w:val="28"/>
          <w:szCs w:val="28"/>
        </w:rPr>
      </w:pPr>
      <w:bookmarkStart w:id="294" w:name="_Toc500408787"/>
      <w:bookmarkStart w:id="295" w:name="_Toc145511614"/>
      <w:r w:rsidRPr="00825421">
        <w:rPr>
          <w:rFonts w:eastAsia="Arial"/>
          <w:sz w:val="28"/>
          <w:szCs w:val="28"/>
        </w:rPr>
        <w:t xml:space="preserve">Policy </w:t>
      </w:r>
      <w:r w:rsidR="0040385F" w:rsidRPr="00825421">
        <w:rPr>
          <w:rFonts w:eastAsia="Arial"/>
          <w:sz w:val="28"/>
          <w:szCs w:val="28"/>
        </w:rPr>
        <w:t>SD</w:t>
      </w:r>
      <w:r w:rsidR="0064018F" w:rsidRPr="00825421">
        <w:rPr>
          <w:rFonts w:eastAsia="Arial"/>
          <w:sz w:val="28"/>
          <w:szCs w:val="28"/>
        </w:rPr>
        <w:t>5</w:t>
      </w:r>
      <w:r w:rsidR="0040385F" w:rsidRPr="00825421">
        <w:rPr>
          <w:rFonts w:eastAsia="Arial"/>
          <w:sz w:val="28"/>
          <w:szCs w:val="28"/>
        </w:rPr>
        <w:t>: Developer Contributions</w:t>
      </w:r>
      <w:bookmarkEnd w:id="294"/>
      <w:bookmarkEnd w:id="295"/>
    </w:p>
    <w:p w14:paraId="3D0C93FC" w14:textId="08CF1AC3" w:rsidR="0040385F" w:rsidRDefault="0040385F" w:rsidP="0040385F">
      <w:pPr>
        <w:keepNext w:val="0"/>
        <w:spacing w:before="0"/>
        <w:rPr>
          <w:rFonts w:eastAsia="Arial" w:cs="Arial"/>
          <w:color w:val="auto"/>
        </w:rPr>
      </w:pPr>
    </w:p>
    <w:tbl>
      <w:tblPr>
        <w:tblStyle w:val="TableGrid3"/>
        <w:tblW w:w="0" w:type="auto"/>
        <w:tblLook w:val="04A0" w:firstRow="1" w:lastRow="0" w:firstColumn="1" w:lastColumn="0" w:noHBand="0" w:noVBand="1"/>
      </w:tblPr>
      <w:tblGrid>
        <w:gridCol w:w="2405"/>
        <w:gridCol w:w="255"/>
        <w:gridCol w:w="6833"/>
      </w:tblGrid>
      <w:tr w:rsidR="0040385F" w:rsidRPr="0040385F" w14:paraId="62617096" w14:textId="77777777" w:rsidTr="00163F59">
        <w:trPr>
          <w:trHeight w:val="421"/>
        </w:trPr>
        <w:tc>
          <w:tcPr>
            <w:tcW w:w="9493" w:type="dxa"/>
            <w:gridSpan w:val="3"/>
          </w:tcPr>
          <w:p w14:paraId="0C46128E" w14:textId="77777777" w:rsidR="00ED5F54" w:rsidRDefault="00ED5F54" w:rsidP="00905CC9">
            <w:pPr>
              <w:keepNext w:val="0"/>
              <w:tabs>
                <w:tab w:val="left" w:pos="680"/>
              </w:tabs>
              <w:spacing w:before="0"/>
              <w:jc w:val="left"/>
              <w:rPr>
                <w:rFonts w:eastAsia="Arial"/>
                <w:b/>
                <w:color w:val="auto"/>
                <w:spacing w:val="-1"/>
              </w:rPr>
            </w:pPr>
            <w:bookmarkStart w:id="296" w:name="_Hlk78798791"/>
          </w:p>
          <w:p w14:paraId="363C2175" w14:textId="3BDC44BE" w:rsidR="0040385F" w:rsidRDefault="0040385F" w:rsidP="00905CC9">
            <w:pPr>
              <w:keepNext w:val="0"/>
              <w:tabs>
                <w:tab w:val="left" w:pos="680"/>
              </w:tabs>
              <w:spacing w:before="0"/>
              <w:jc w:val="left"/>
              <w:rPr>
                <w:rFonts w:eastAsia="Arial"/>
                <w:b/>
                <w:color w:val="auto"/>
                <w:spacing w:val="-1"/>
              </w:rPr>
            </w:pPr>
            <w:r w:rsidRPr="0040385F">
              <w:rPr>
                <w:rFonts w:eastAsia="Arial"/>
                <w:b/>
                <w:color w:val="auto"/>
                <w:spacing w:val="-1"/>
              </w:rPr>
              <w:t>Policy SD</w:t>
            </w:r>
            <w:r w:rsidR="0064018F">
              <w:rPr>
                <w:rFonts w:eastAsia="Arial"/>
                <w:b/>
                <w:color w:val="auto"/>
                <w:spacing w:val="-1"/>
              </w:rPr>
              <w:t>5</w:t>
            </w:r>
            <w:r w:rsidRPr="0040385F">
              <w:rPr>
                <w:rFonts w:eastAsia="Arial"/>
                <w:b/>
                <w:color w:val="auto"/>
                <w:spacing w:val="-1"/>
              </w:rPr>
              <w:t>: Developer Contributions</w:t>
            </w:r>
          </w:p>
          <w:p w14:paraId="2695F840" w14:textId="36A36A92" w:rsidR="00ED5F54" w:rsidRPr="0040385F" w:rsidRDefault="00ED5F54" w:rsidP="00905CC9">
            <w:pPr>
              <w:keepNext w:val="0"/>
              <w:tabs>
                <w:tab w:val="left" w:pos="680"/>
              </w:tabs>
              <w:spacing w:before="0"/>
              <w:jc w:val="left"/>
              <w:rPr>
                <w:rFonts w:eastAsia="Arial"/>
                <w:b/>
                <w:color w:val="auto"/>
                <w:spacing w:val="-1"/>
              </w:rPr>
            </w:pPr>
          </w:p>
        </w:tc>
      </w:tr>
      <w:tr w:rsidR="0040385F" w:rsidRPr="0040385F" w14:paraId="50A96EBE" w14:textId="77777777" w:rsidTr="00163F59">
        <w:tc>
          <w:tcPr>
            <w:tcW w:w="2660" w:type="dxa"/>
            <w:gridSpan w:val="2"/>
          </w:tcPr>
          <w:p w14:paraId="4F291351" w14:textId="77777777" w:rsidR="0040385F" w:rsidRPr="0040385F" w:rsidRDefault="0040385F" w:rsidP="00905CC9">
            <w:pPr>
              <w:keepNext w:val="0"/>
              <w:tabs>
                <w:tab w:val="left" w:pos="680"/>
              </w:tabs>
              <w:spacing w:before="0"/>
              <w:jc w:val="left"/>
              <w:rPr>
                <w:rFonts w:eastAsia="Arial"/>
                <w:bCs/>
                <w:color w:val="auto"/>
              </w:rPr>
            </w:pPr>
            <w:r w:rsidRPr="0040385F">
              <w:rPr>
                <w:rFonts w:eastAsia="Arial"/>
                <w:bCs/>
                <w:color w:val="auto"/>
              </w:rPr>
              <w:t>Strategic Objectives</w:t>
            </w:r>
          </w:p>
        </w:tc>
        <w:tc>
          <w:tcPr>
            <w:tcW w:w="6833" w:type="dxa"/>
          </w:tcPr>
          <w:p w14:paraId="75D6E8AF" w14:textId="77777777" w:rsidR="0040385F" w:rsidRPr="0040385F" w:rsidRDefault="0040385F" w:rsidP="00905CC9">
            <w:pPr>
              <w:keepNext w:val="0"/>
              <w:tabs>
                <w:tab w:val="left" w:pos="680"/>
              </w:tabs>
              <w:spacing w:before="40" w:after="40"/>
              <w:jc w:val="left"/>
              <w:rPr>
                <w:rFonts w:eastAsia="Arial"/>
                <w:bCs/>
                <w:color w:val="auto"/>
              </w:rPr>
            </w:pPr>
            <w:r w:rsidRPr="0040385F">
              <w:rPr>
                <w:rFonts w:eastAsia="Arial"/>
                <w:bCs/>
                <w:color w:val="auto"/>
              </w:rPr>
              <w:t xml:space="preserve">SO1, SO2, SO3, SO4, SO5, SO7, SO8, SO9, SO11, SO12, SO13, SO14. </w:t>
            </w:r>
          </w:p>
        </w:tc>
      </w:tr>
      <w:tr w:rsidR="0040385F" w:rsidRPr="0040385F" w14:paraId="1FEFEC20" w14:textId="77777777" w:rsidTr="00163F59">
        <w:tc>
          <w:tcPr>
            <w:tcW w:w="9493" w:type="dxa"/>
            <w:gridSpan w:val="3"/>
            <w:shd w:val="clear" w:color="auto" w:fill="DAC4F8"/>
          </w:tcPr>
          <w:p w14:paraId="0F0A61E4" w14:textId="77777777" w:rsidR="0040385F" w:rsidRDefault="0040385F" w:rsidP="00905CC9">
            <w:pPr>
              <w:keepNext w:val="0"/>
              <w:tabs>
                <w:tab w:val="left" w:pos="680"/>
                <w:tab w:val="left" w:pos="1133"/>
                <w:tab w:val="left" w:pos="2267"/>
              </w:tabs>
              <w:spacing w:before="0"/>
              <w:ind w:left="360" w:right="284"/>
              <w:jc w:val="left"/>
              <w:rPr>
                <w:rFonts w:eastAsia="Arial"/>
                <w:bCs/>
                <w:color w:val="auto"/>
              </w:rPr>
            </w:pPr>
          </w:p>
          <w:p w14:paraId="45FC0E99" w14:textId="4E2A5759" w:rsidR="005D5960" w:rsidRPr="00DB05C3" w:rsidRDefault="00465D01" w:rsidP="00874A98">
            <w:pPr>
              <w:keepNext w:val="0"/>
              <w:numPr>
                <w:ilvl w:val="0"/>
                <w:numId w:val="175"/>
              </w:numPr>
              <w:tabs>
                <w:tab w:val="left" w:pos="680"/>
                <w:tab w:val="left" w:pos="1133"/>
                <w:tab w:val="left" w:pos="2267"/>
              </w:tabs>
              <w:spacing w:before="0"/>
              <w:ind w:right="284"/>
              <w:jc w:val="left"/>
              <w:rPr>
                <w:rFonts w:eastAsia="Arial" w:cs="Arial"/>
                <w:bCs/>
                <w:color w:val="auto"/>
                <w:szCs w:val="24"/>
              </w:rPr>
            </w:pPr>
            <w:r w:rsidRPr="00DB05C3">
              <w:rPr>
                <w:bCs/>
                <w:color w:val="auto"/>
                <w:szCs w:val="24"/>
              </w:rPr>
              <w:t>D</w:t>
            </w:r>
            <w:r w:rsidR="00C513B3" w:rsidRPr="00DB05C3">
              <w:rPr>
                <w:bCs/>
                <w:color w:val="auto"/>
                <w:szCs w:val="24"/>
              </w:rPr>
              <w:t>evelopment will be required to</w:t>
            </w:r>
            <w:r w:rsidR="005D5960" w:rsidRPr="00DB05C3">
              <w:rPr>
                <w:rFonts w:cs="Arial"/>
                <w:bCs/>
                <w:color w:val="auto"/>
                <w:szCs w:val="24"/>
              </w:rPr>
              <w:t>:</w:t>
            </w:r>
            <w:r w:rsidR="00C513B3" w:rsidRPr="00DB05C3">
              <w:rPr>
                <w:rFonts w:cs="Arial"/>
                <w:bCs/>
                <w:color w:val="auto"/>
                <w:szCs w:val="24"/>
              </w:rPr>
              <w:t xml:space="preserve"> </w:t>
            </w:r>
          </w:p>
          <w:p w14:paraId="2F7FE906" w14:textId="77777777" w:rsidR="005D5960" w:rsidRPr="00DB05C3" w:rsidRDefault="005D5960" w:rsidP="005D5960">
            <w:pPr>
              <w:keepNext w:val="0"/>
              <w:tabs>
                <w:tab w:val="left" w:pos="680"/>
                <w:tab w:val="left" w:pos="1133"/>
                <w:tab w:val="left" w:pos="2267"/>
              </w:tabs>
              <w:spacing w:before="0"/>
              <w:ind w:left="360" w:right="284"/>
              <w:jc w:val="left"/>
              <w:rPr>
                <w:rFonts w:eastAsia="Arial" w:cs="Arial"/>
                <w:bCs/>
                <w:color w:val="auto"/>
                <w:szCs w:val="24"/>
              </w:rPr>
            </w:pPr>
          </w:p>
          <w:p w14:paraId="25357DD5" w14:textId="7274B56A" w:rsidR="005D5960" w:rsidRPr="00DB05C3" w:rsidRDefault="005D5960" w:rsidP="00874A98">
            <w:pPr>
              <w:pStyle w:val="ListParagraph"/>
              <w:numPr>
                <w:ilvl w:val="0"/>
                <w:numId w:val="326"/>
              </w:numPr>
              <w:ind w:right="284"/>
              <w:jc w:val="left"/>
              <w:rPr>
                <w:rFonts w:ascii="Arial" w:eastAsia="Arial" w:hAnsi="Arial" w:cs="Arial"/>
                <w:bCs/>
                <w:color w:val="auto"/>
              </w:rPr>
            </w:pPr>
            <w:r w:rsidRPr="00DB05C3">
              <w:rPr>
                <w:rFonts w:ascii="Arial" w:eastAsia="Arial" w:hAnsi="Arial" w:cs="Arial"/>
                <w:bCs/>
                <w:color w:val="auto"/>
              </w:rPr>
              <w:t>meet all reasonable costs associated with the infrastructure required as a consequence of the proposal;</w:t>
            </w:r>
          </w:p>
          <w:p w14:paraId="0487F43C" w14:textId="57F9B774" w:rsidR="005D5960" w:rsidRPr="00DB05C3" w:rsidRDefault="005D5960" w:rsidP="00874A98">
            <w:pPr>
              <w:pStyle w:val="ListParagraph"/>
              <w:numPr>
                <w:ilvl w:val="0"/>
                <w:numId w:val="326"/>
              </w:numPr>
              <w:ind w:right="284"/>
              <w:jc w:val="left"/>
              <w:rPr>
                <w:rFonts w:ascii="Arial" w:hAnsi="Arial" w:cs="Arial"/>
                <w:bCs/>
                <w:color w:val="auto"/>
                <w:szCs w:val="24"/>
              </w:rPr>
            </w:pPr>
            <w:r w:rsidRPr="00DB05C3">
              <w:rPr>
                <w:rFonts w:ascii="Arial" w:eastAsia="Arial" w:hAnsi="Arial" w:cs="Arial"/>
                <w:bCs/>
                <w:color w:val="auto"/>
              </w:rPr>
              <w:t>where appropriate, contribute to the delivery of infrastructure to enable the cumulative infrastructure impacts of developments to be managed, including identified transport infrastructure requirements; and</w:t>
            </w:r>
          </w:p>
          <w:p w14:paraId="42702392" w14:textId="61B1FEC7" w:rsidR="005D5960" w:rsidRPr="00DB05C3" w:rsidRDefault="005D5960" w:rsidP="00874A98">
            <w:pPr>
              <w:pStyle w:val="ListParagraph"/>
              <w:numPr>
                <w:ilvl w:val="0"/>
                <w:numId w:val="326"/>
              </w:numPr>
              <w:ind w:right="284"/>
              <w:jc w:val="left"/>
              <w:rPr>
                <w:rFonts w:ascii="Arial" w:hAnsi="Arial" w:cs="Arial"/>
                <w:bCs/>
                <w:color w:val="auto"/>
                <w:szCs w:val="24"/>
              </w:rPr>
            </w:pPr>
            <w:r w:rsidRPr="00DB05C3">
              <w:rPr>
                <w:rFonts w:ascii="Arial" w:eastAsia="Arial" w:hAnsi="Arial" w:cs="Arial"/>
                <w:bCs/>
                <w:color w:val="auto"/>
              </w:rPr>
              <w:t>provide for the future maintenance of facilities delivered as a result of the development.</w:t>
            </w:r>
          </w:p>
          <w:p w14:paraId="1C5A2CC4" w14:textId="21FFCF55" w:rsidR="0040385F" w:rsidRPr="00DB05C3" w:rsidRDefault="0040385F" w:rsidP="00CC17E1">
            <w:pPr>
              <w:keepNext w:val="0"/>
              <w:tabs>
                <w:tab w:val="left" w:pos="680"/>
                <w:tab w:val="left" w:pos="1133"/>
                <w:tab w:val="left" w:pos="2267"/>
              </w:tabs>
              <w:spacing w:before="0"/>
              <w:ind w:left="360" w:right="284"/>
              <w:jc w:val="left"/>
              <w:rPr>
                <w:rFonts w:eastAsia="Arial" w:cs="Arial"/>
                <w:bCs/>
                <w:color w:val="auto"/>
                <w:szCs w:val="24"/>
              </w:rPr>
            </w:pPr>
            <w:r w:rsidRPr="00DB05C3">
              <w:rPr>
                <w:bCs/>
                <w:color w:val="auto"/>
                <w:szCs w:val="24"/>
              </w:rPr>
              <w:t>This includes provision of new, or enhancement of the existing infrastructure and facilities, including where appropriate, but not limited to:</w:t>
            </w:r>
          </w:p>
          <w:p w14:paraId="4A7412E0" w14:textId="77777777" w:rsidR="0040385F" w:rsidRPr="00DB05C3" w:rsidRDefault="0040385F" w:rsidP="00CC17E1">
            <w:pPr>
              <w:keepNext w:val="0"/>
              <w:autoSpaceDE w:val="0"/>
              <w:autoSpaceDN w:val="0"/>
              <w:adjustRightInd w:val="0"/>
              <w:spacing w:before="0"/>
              <w:ind w:left="360"/>
              <w:contextualSpacing/>
              <w:jc w:val="left"/>
              <w:rPr>
                <w:rFonts w:cs="Arial"/>
                <w:bCs/>
                <w:color w:val="auto"/>
                <w:szCs w:val="24"/>
              </w:rPr>
            </w:pPr>
          </w:p>
          <w:p w14:paraId="6ED6BC73" w14:textId="77777777" w:rsidR="00CC17E1" w:rsidRPr="00DB05C3" w:rsidRDefault="0040385F" w:rsidP="00874A98">
            <w:pPr>
              <w:pStyle w:val="ListParagraph"/>
              <w:numPr>
                <w:ilvl w:val="0"/>
                <w:numId w:val="337"/>
              </w:numPr>
              <w:autoSpaceDE w:val="0"/>
              <w:autoSpaceDN w:val="0"/>
              <w:adjustRightInd w:val="0"/>
              <w:spacing w:after="0" w:line="240" w:lineRule="auto"/>
              <w:rPr>
                <w:rFonts w:ascii="Arial" w:hAnsi="Arial" w:cs="Arial"/>
                <w:bCs/>
                <w:color w:val="auto"/>
                <w:szCs w:val="24"/>
              </w:rPr>
            </w:pPr>
            <w:r w:rsidRPr="00DB05C3">
              <w:rPr>
                <w:rFonts w:ascii="Arial" w:hAnsi="Arial" w:cs="Arial"/>
                <w:bCs/>
                <w:color w:val="auto"/>
                <w:szCs w:val="24"/>
              </w:rPr>
              <w:t>Affordable housing</w:t>
            </w:r>
            <w:r w:rsidR="00881D31" w:rsidRPr="00DB05C3">
              <w:rPr>
                <w:rFonts w:ascii="Arial" w:hAnsi="Arial" w:cs="Arial"/>
                <w:bCs/>
                <w:color w:val="auto"/>
                <w:szCs w:val="24"/>
              </w:rPr>
              <w:t>.</w:t>
            </w:r>
            <w:r w:rsidRPr="00DB05C3">
              <w:rPr>
                <w:rFonts w:ascii="Arial" w:hAnsi="Arial" w:cs="Arial"/>
                <w:bCs/>
                <w:color w:val="auto"/>
                <w:szCs w:val="24"/>
              </w:rPr>
              <w:t xml:space="preserve"> </w:t>
            </w:r>
          </w:p>
          <w:p w14:paraId="225CE04D" w14:textId="77777777" w:rsidR="00CC17E1" w:rsidRPr="00DB05C3" w:rsidRDefault="0040385F" w:rsidP="00874A98">
            <w:pPr>
              <w:pStyle w:val="ListParagraph"/>
              <w:numPr>
                <w:ilvl w:val="0"/>
                <w:numId w:val="337"/>
              </w:numPr>
              <w:autoSpaceDE w:val="0"/>
              <w:autoSpaceDN w:val="0"/>
              <w:adjustRightInd w:val="0"/>
              <w:spacing w:after="0" w:line="240" w:lineRule="auto"/>
              <w:rPr>
                <w:rFonts w:ascii="Arial" w:hAnsi="Arial" w:cs="Arial"/>
                <w:bCs/>
                <w:color w:val="auto"/>
                <w:szCs w:val="24"/>
              </w:rPr>
            </w:pPr>
            <w:r w:rsidRPr="00DB05C3">
              <w:rPr>
                <w:rFonts w:ascii="Arial" w:hAnsi="Arial" w:cs="Arial"/>
                <w:bCs/>
                <w:color w:val="auto"/>
                <w:szCs w:val="24"/>
              </w:rPr>
              <w:t>Education provisions/facilities</w:t>
            </w:r>
            <w:r w:rsidR="00881D31" w:rsidRPr="00DB05C3">
              <w:rPr>
                <w:rFonts w:ascii="Arial" w:hAnsi="Arial" w:cs="Arial"/>
                <w:bCs/>
                <w:color w:val="auto"/>
                <w:szCs w:val="24"/>
              </w:rPr>
              <w:t>.</w:t>
            </w:r>
            <w:r w:rsidRPr="00DB05C3">
              <w:rPr>
                <w:rFonts w:ascii="Arial" w:hAnsi="Arial" w:cs="Arial"/>
                <w:bCs/>
                <w:color w:val="auto"/>
                <w:szCs w:val="24"/>
              </w:rPr>
              <w:t xml:space="preserve"> </w:t>
            </w:r>
          </w:p>
          <w:p w14:paraId="2379333B" w14:textId="77777777" w:rsidR="00CC17E1" w:rsidRPr="00DB05C3" w:rsidRDefault="0040385F" w:rsidP="00874A98">
            <w:pPr>
              <w:pStyle w:val="ListParagraph"/>
              <w:numPr>
                <w:ilvl w:val="0"/>
                <w:numId w:val="337"/>
              </w:numPr>
              <w:autoSpaceDE w:val="0"/>
              <w:autoSpaceDN w:val="0"/>
              <w:adjustRightInd w:val="0"/>
              <w:spacing w:after="0" w:line="240" w:lineRule="auto"/>
              <w:rPr>
                <w:rFonts w:ascii="Arial" w:hAnsi="Arial" w:cs="Arial"/>
                <w:bCs/>
                <w:color w:val="auto"/>
                <w:szCs w:val="24"/>
              </w:rPr>
            </w:pPr>
            <w:r w:rsidRPr="00DB05C3">
              <w:rPr>
                <w:rFonts w:ascii="Arial" w:hAnsi="Arial" w:cs="Arial"/>
                <w:bCs/>
                <w:color w:val="auto"/>
                <w:szCs w:val="24"/>
              </w:rPr>
              <w:t>Regeneration of town centres</w:t>
            </w:r>
            <w:r w:rsidR="00881D31" w:rsidRPr="00DB05C3">
              <w:rPr>
                <w:rFonts w:ascii="Arial" w:hAnsi="Arial" w:cs="Arial"/>
                <w:bCs/>
                <w:color w:val="auto"/>
                <w:szCs w:val="24"/>
              </w:rPr>
              <w:t>.</w:t>
            </w:r>
          </w:p>
          <w:p w14:paraId="5D18E9A2" w14:textId="77777777" w:rsidR="00CC17E1" w:rsidRPr="00DB05C3" w:rsidRDefault="0040385F" w:rsidP="00874A98">
            <w:pPr>
              <w:pStyle w:val="ListParagraph"/>
              <w:numPr>
                <w:ilvl w:val="0"/>
                <w:numId w:val="337"/>
              </w:numPr>
              <w:autoSpaceDE w:val="0"/>
              <w:autoSpaceDN w:val="0"/>
              <w:adjustRightInd w:val="0"/>
              <w:spacing w:after="0" w:line="240" w:lineRule="auto"/>
              <w:rPr>
                <w:rFonts w:ascii="Arial" w:hAnsi="Arial" w:cs="Arial"/>
                <w:bCs/>
                <w:color w:val="auto"/>
                <w:szCs w:val="24"/>
              </w:rPr>
            </w:pPr>
            <w:bookmarkStart w:id="297" w:name="_Hlk147846895"/>
            <w:r w:rsidRPr="00DB05C3">
              <w:rPr>
                <w:rFonts w:ascii="Arial" w:hAnsi="Arial" w:cs="Arial"/>
                <w:bCs/>
                <w:color w:val="auto"/>
                <w:szCs w:val="24"/>
              </w:rPr>
              <w:t>Provision of appropriate sport and recreation facilities, new and improved open space, improving quality and access to green and blue infrastructure</w:t>
            </w:r>
            <w:r w:rsidR="00881D31" w:rsidRPr="00DB05C3">
              <w:rPr>
                <w:rFonts w:ascii="Arial" w:hAnsi="Arial" w:cs="Arial"/>
                <w:bCs/>
                <w:color w:val="auto"/>
                <w:szCs w:val="24"/>
              </w:rPr>
              <w:t>.</w:t>
            </w:r>
          </w:p>
          <w:p w14:paraId="526CA4DB" w14:textId="77777777" w:rsidR="00CC17E1" w:rsidRPr="00DB05C3" w:rsidRDefault="0040385F" w:rsidP="00874A98">
            <w:pPr>
              <w:pStyle w:val="ListParagraph"/>
              <w:numPr>
                <w:ilvl w:val="0"/>
                <w:numId w:val="337"/>
              </w:numPr>
              <w:autoSpaceDE w:val="0"/>
              <w:autoSpaceDN w:val="0"/>
              <w:adjustRightInd w:val="0"/>
              <w:spacing w:after="0" w:line="240" w:lineRule="auto"/>
              <w:rPr>
                <w:rFonts w:ascii="Arial" w:hAnsi="Arial" w:cs="Arial"/>
                <w:bCs/>
                <w:color w:val="auto"/>
                <w:szCs w:val="24"/>
              </w:rPr>
            </w:pPr>
            <w:r w:rsidRPr="00DB05C3">
              <w:rPr>
                <w:rFonts w:ascii="Arial" w:hAnsi="Arial" w:cs="Arial"/>
                <w:bCs/>
                <w:color w:val="auto"/>
                <w:szCs w:val="24"/>
              </w:rPr>
              <w:t>New and expanded health and/or community facilities;</w:t>
            </w:r>
          </w:p>
          <w:p w14:paraId="5DC97955" w14:textId="77777777" w:rsidR="00CC17E1" w:rsidRPr="00DB05C3" w:rsidRDefault="007C27D9" w:rsidP="00874A98">
            <w:pPr>
              <w:pStyle w:val="ListParagraph"/>
              <w:numPr>
                <w:ilvl w:val="0"/>
                <w:numId w:val="337"/>
              </w:numPr>
              <w:autoSpaceDE w:val="0"/>
              <w:autoSpaceDN w:val="0"/>
              <w:adjustRightInd w:val="0"/>
              <w:spacing w:after="0" w:line="240" w:lineRule="auto"/>
              <w:rPr>
                <w:rFonts w:ascii="Arial" w:hAnsi="Arial" w:cs="Arial"/>
                <w:bCs/>
                <w:color w:val="auto"/>
                <w:szCs w:val="24"/>
              </w:rPr>
            </w:pPr>
            <w:r w:rsidRPr="00DB05C3">
              <w:rPr>
                <w:rFonts w:ascii="Arial" w:hAnsi="Arial" w:cs="Arial"/>
                <w:bCs/>
                <w:color w:val="auto"/>
                <w:szCs w:val="24"/>
              </w:rPr>
              <w:t>Conservation and enhancement of the historic environment</w:t>
            </w:r>
            <w:r w:rsidR="00881D31" w:rsidRPr="00DB05C3">
              <w:rPr>
                <w:rFonts w:ascii="Arial" w:hAnsi="Arial" w:cs="Arial"/>
                <w:bCs/>
                <w:color w:val="auto"/>
                <w:szCs w:val="24"/>
              </w:rPr>
              <w:t>.</w:t>
            </w:r>
          </w:p>
          <w:p w14:paraId="5CF98003" w14:textId="740B8331" w:rsidR="00CC17E1" w:rsidRPr="00DB05C3" w:rsidRDefault="0040385F" w:rsidP="00874A98">
            <w:pPr>
              <w:pStyle w:val="ListParagraph"/>
              <w:numPr>
                <w:ilvl w:val="0"/>
                <w:numId w:val="337"/>
              </w:numPr>
              <w:autoSpaceDE w:val="0"/>
              <w:autoSpaceDN w:val="0"/>
              <w:adjustRightInd w:val="0"/>
              <w:spacing w:after="0" w:line="240" w:lineRule="auto"/>
              <w:rPr>
                <w:rFonts w:ascii="Arial" w:hAnsi="Arial" w:cs="Arial"/>
                <w:bCs/>
                <w:color w:val="auto"/>
                <w:szCs w:val="24"/>
              </w:rPr>
            </w:pPr>
            <w:r w:rsidRPr="00DB05C3">
              <w:rPr>
                <w:rFonts w:ascii="Arial" w:hAnsi="Arial" w:cs="Arial"/>
                <w:bCs/>
                <w:color w:val="auto"/>
                <w:szCs w:val="24"/>
              </w:rPr>
              <w:t xml:space="preserve">Improving transport infrastructure including </w:t>
            </w:r>
            <w:r w:rsidR="00C513B3" w:rsidRPr="00DB05C3">
              <w:rPr>
                <w:rFonts w:ascii="Arial" w:hAnsi="Arial" w:cs="Arial"/>
                <w:bCs/>
                <w:color w:val="auto"/>
                <w:szCs w:val="24"/>
              </w:rPr>
              <w:t xml:space="preserve">the strategic transport network, </w:t>
            </w:r>
            <w:r w:rsidRPr="00DB05C3">
              <w:rPr>
                <w:rFonts w:ascii="Arial" w:hAnsi="Arial" w:cs="Arial"/>
                <w:bCs/>
                <w:color w:val="auto"/>
                <w:szCs w:val="24"/>
              </w:rPr>
              <w:t>public transport, cycleway</w:t>
            </w:r>
            <w:r w:rsidR="00C513B3" w:rsidRPr="00DB05C3">
              <w:rPr>
                <w:rFonts w:ascii="Arial" w:hAnsi="Arial" w:cs="Arial"/>
                <w:bCs/>
                <w:color w:val="auto"/>
                <w:szCs w:val="24"/>
              </w:rPr>
              <w:t>s</w:t>
            </w:r>
            <w:r w:rsidRPr="00DB05C3">
              <w:rPr>
                <w:rFonts w:ascii="Arial" w:hAnsi="Arial" w:cs="Arial"/>
                <w:bCs/>
                <w:color w:val="auto"/>
                <w:szCs w:val="24"/>
              </w:rPr>
              <w:t xml:space="preserve"> and pedestrian access to town centres</w:t>
            </w:r>
            <w:r w:rsidR="00881D31" w:rsidRPr="00DB05C3">
              <w:rPr>
                <w:rFonts w:ascii="Arial" w:hAnsi="Arial" w:cs="Arial"/>
                <w:bCs/>
                <w:color w:val="auto"/>
                <w:szCs w:val="24"/>
              </w:rPr>
              <w:t>.</w:t>
            </w:r>
            <w:r w:rsidRPr="00DB05C3">
              <w:rPr>
                <w:rFonts w:ascii="Arial" w:hAnsi="Arial" w:cs="Arial"/>
                <w:bCs/>
                <w:color w:val="auto"/>
                <w:szCs w:val="24"/>
              </w:rPr>
              <w:t xml:space="preserve"> </w:t>
            </w:r>
          </w:p>
          <w:p w14:paraId="339478C7" w14:textId="77777777" w:rsidR="00CC17E1" w:rsidRPr="00DB05C3" w:rsidRDefault="0040385F" w:rsidP="00874A98">
            <w:pPr>
              <w:pStyle w:val="ListParagraph"/>
              <w:numPr>
                <w:ilvl w:val="0"/>
                <w:numId w:val="337"/>
              </w:numPr>
              <w:autoSpaceDE w:val="0"/>
              <w:autoSpaceDN w:val="0"/>
              <w:adjustRightInd w:val="0"/>
              <w:spacing w:after="0" w:line="240" w:lineRule="auto"/>
              <w:rPr>
                <w:rFonts w:ascii="Arial" w:hAnsi="Arial" w:cs="Arial"/>
                <w:bCs/>
                <w:color w:val="auto"/>
                <w:szCs w:val="24"/>
              </w:rPr>
            </w:pPr>
            <w:r w:rsidRPr="00DB05C3">
              <w:rPr>
                <w:rFonts w:ascii="Arial" w:hAnsi="Arial" w:cs="Arial"/>
                <w:bCs/>
                <w:color w:val="auto"/>
                <w:szCs w:val="24"/>
              </w:rPr>
              <w:t>Tackling climate change including flooding or water quality</w:t>
            </w:r>
            <w:r w:rsidR="00881D31" w:rsidRPr="00DB05C3">
              <w:rPr>
                <w:rFonts w:ascii="Arial" w:hAnsi="Arial" w:cs="Arial"/>
                <w:bCs/>
                <w:color w:val="auto"/>
                <w:szCs w:val="24"/>
              </w:rPr>
              <w:t>.</w:t>
            </w:r>
            <w:r w:rsidRPr="00DB05C3">
              <w:rPr>
                <w:rFonts w:ascii="Arial" w:hAnsi="Arial" w:cs="Arial"/>
                <w:bCs/>
                <w:color w:val="auto"/>
                <w:szCs w:val="24"/>
              </w:rPr>
              <w:t xml:space="preserve"> </w:t>
            </w:r>
          </w:p>
          <w:p w14:paraId="285C98FE" w14:textId="77777777" w:rsidR="00CC17E1" w:rsidRPr="00CC17E1" w:rsidRDefault="0040385F" w:rsidP="00874A98">
            <w:pPr>
              <w:pStyle w:val="ListParagraph"/>
              <w:numPr>
                <w:ilvl w:val="0"/>
                <w:numId w:val="337"/>
              </w:numPr>
              <w:autoSpaceDE w:val="0"/>
              <w:autoSpaceDN w:val="0"/>
              <w:adjustRightInd w:val="0"/>
              <w:spacing w:after="0" w:line="240" w:lineRule="auto"/>
              <w:rPr>
                <w:rFonts w:ascii="Arial" w:hAnsi="Arial" w:cs="Arial"/>
                <w:bCs/>
                <w:color w:val="auto"/>
                <w:szCs w:val="24"/>
              </w:rPr>
            </w:pPr>
            <w:r w:rsidRPr="00CC17E1">
              <w:rPr>
                <w:rFonts w:ascii="Arial" w:hAnsi="Arial" w:cs="Arial"/>
                <w:bCs/>
                <w:color w:val="auto"/>
                <w:szCs w:val="24"/>
              </w:rPr>
              <w:t>Cross-boundary infrastructure to help deliver and mitigate the effects of development</w:t>
            </w:r>
            <w:r w:rsidR="00881D31" w:rsidRPr="00CC17E1">
              <w:rPr>
                <w:rFonts w:ascii="Arial" w:hAnsi="Arial" w:cs="Arial"/>
                <w:bCs/>
                <w:color w:val="auto"/>
                <w:szCs w:val="24"/>
              </w:rPr>
              <w:t>.</w:t>
            </w:r>
            <w:r w:rsidRPr="00CC17E1">
              <w:rPr>
                <w:rFonts w:ascii="Arial" w:hAnsi="Arial" w:cs="Arial"/>
                <w:bCs/>
                <w:color w:val="auto"/>
                <w:szCs w:val="24"/>
              </w:rPr>
              <w:t xml:space="preserve"> </w:t>
            </w:r>
          </w:p>
          <w:p w14:paraId="32334180" w14:textId="1FAF6FB1" w:rsidR="0040385F" w:rsidRPr="00CC17E1" w:rsidRDefault="0040385F" w:rsidP="00874A98">
            <w:pPr>
              <w:pStyle w:val="ListParagraph"/>
              <w:numPr>
                <w:ilvl w:val="0"/>
                <w:numId w:val="337"/>
              </w:numPr>
              <w:autoSpaceDE w:val="0"/>
              <w:autoSpaceDN w:val="0"/>
              <w:adjustRightInd w:val="0"/>
              <w:spacing w:after="0" w:line="240" w:lineRule="auto"/>
              <w:rPr>
                <w:rFonts w:ascii="Arial" w:hAnsi="Arial" w:cs="Arial"/>
                <w:bCs/>
                <w:color w:val="auto"/>
                <w:szCs w:val="24"/>
              </w:rPr>
            </w:pPr>
            <w:r w:rsidRPr="00CC17E1">
              <w:rPr>
                <w:rFonts w:ascii="Arial" w:hAnsi="Arial" w:cs="Arial"/>
                <w:bCs/>
                <w:color w:val="auto"/>
                <w:szCs w:val="24"/>
              </w:rPr>
              <w:t xml:space="preserve">Supporting service infrastructure. </w:t>
            </w:r>
          </w:p>
          <w:bookmarkEnd w:id="297"/>
          <w:p w14:paraId="73649F58" w14:textId="77777777" w:rsidR="0040385F" w:rsidRPr="00F05D84" w:rsidRDefault="0040385F" w:rsidP="00905CC9">
            <w:pPr>
              <w:keepNext w:val="0"/>
              <w:spacing w:before="0"/>
              <w:ind w:left="360"/>
              <w:jc w:val="left"/>
              <w:rPr>
                <w:rFonts w:cs="Arial"/>
                <w:bCs/>
                <w:iCs/>
                <w:color w:val="auto"/>
                <w:szCs w:val="24"/>
              </w:rPr>
            </w:pPr>
          </w:p>
          <w:p w14:paraId="7641D69F" w14:textId="77777777" w:rsidR="0040385F" w:rsidRPr="0040385F" w:rsidRDefault="0040385F" w:rsidP="00905CC9">
            <w:pPr>
              <w:keepNext w:val="0"/>
              <w:spacing w:before="0"/>
              <w:ind w:left="360"/>
              <w:jc w:val="left"/>
              <w:rPr>
                <w:rFonts w:cs="Arial"/>
                <w:bCs/>
                <w:i/>
                <w:color w:val="auto"/>
                <w:szCs w:val="24"/>
              </w:rPr>
            </w:pPr>
            <w:r w:rsidRPr="0040385F">
              <w:rPr>
                <w:rFonts w:cs="Arial"/>
                <w:bCs/>
                <w:i/>
                <w:color w:val="auto"/>
                <w:szCs w:val="24"/>
              </w:rPr>
              <w:t>Requirements may be clarified by supplementary planning documents where considered necessary.</w:t>
            </w:r>
          </w:p>
          <w:p w14:paraId="56D38214" w14:textId="77777777" w:rsidR="0040385F" w:rsidRPr="0040385F" w:rsidRDefault="0040385F" w:rsidP="00905CC9">
            <w:pPr>
              <w:keepNext w:val="0"/>
              <w:spacing w:before="0"/>
              <w:ind w:left="360"/>
              <w:jc w:val="left"/>
              <w:rPr>
                <w:rFonts w:cs="Arial"/>
                <w:bCs/>
                <w:i/>
                <w:color w:val="auto"/>
                <w:szCs w:val="24"/>
              </w:rPr>
            </w:pPr>
          </w:p>
          <w:p w14:paraId="6C270438" w14:textId="2FD9CD29" w:rsidR="00A308CA" w:rsidRDefault="0040385F" w:rsidP="00874A98">
            <w:pPr>
              <w:keepNext w:val="0"/>
              <w:numPr>
                <w:ilvl w:val="0"/>
                <w:numId w:val="175"/>
              </w:numPr>
              <w:tabs>
                <w:tab w:val="left" w:pos="680"/>
                <w:tab w:val="left" w:pos="1133"/>
                <w:tab w:val="left" w:pos="2267"/>
              </w:tabs>
              <w:spacing w:before="0"/>
              <w:ind w:left="357" w:right="284"/>
              <w:jc w:val="left"/>
              <w:rPr>
                <w:rFonts w:eastAsia="Arial"/>
                <w:bCs/>
                <w:color w:val="auto"/>
              </w:rPr>
            </w:pPr>
            <w:bookmarkStart w:id="298" w:name="_Hlk80263306"/>
            <w:r w:rsidRPr="0040385F">
              <w:rPr>
                <w:rFonts w:eastAsia="Arial"/>
                <w:bCs/>
                <w:color w:val="auto"/>
              </w:rPr>
              <w:t>The Council will require on-site or off-site provision</w:t>
            </w:r>
            <w:r w:rsidR="00AE10BA">
              <w:rPr>
                <w:rFonts w:eastAsia="Arial"/>
                <w:bCs/>
                <w:color w:val="auto"/>
              </w:rPr>
              <w:t xml:space="preserve"> of developer contributions</w:t>
            </w:r>
            <w:r w:rsidRPr="0040385F">
              <w:rPr>
                <w:rFonts w:eastAsia="Arial"/>
                <w:bCs/>
                <w:color w:val="auto"/>
              </w:rPr>
              <w:t xml:space="preserve"> through planning obligations (financial, in-kind or a combination of both), the Community Infrastructure Levy</w:t>
            </w:r>
            <w:r w:rsidR="00AE10BA">
              <w:rPr>
                <w:rFonts w:eastAsia="Arial"/>
                <w:bCs/>
                <w:color w:val="auto"/>
              </w:rPr>
              <w:t xml:space="preserve"> (if adopted)</w:t>
            </w:r>
            <w:r w:rsidRPr="0040385F">
              <w:rPr>
                <w:rFonts w:eastAsia="Arial"/>
                <w:bCs/>
                <w:color w:val="auto"/>
              </w:rPr>
              <w:t>, planning conditions or other relevant mechanisms.</w:t>
            </w:r>
            <w:bookmarkEnd w:id="298"/>
          </w:p>
          <w:p w14:paraId="51A05843" w14:textId="77777777" w:rsidR="00A308CA" w:rsidRDefault="00A308CA" w:rsidP="00A308CA">
            <w:pPr>
              <w:keepNext w:val="0"/>
              <w:tabs>
                <w:tab w:val="left" w:pos="680"/>
                <w:tab w:val="left" w:pos="1133"/>
                <w:tab w:val="left" w:pos="2267"/>
              </w:tabs>
              <w:spacing w:before="0"/>
              <w:ind w:left="357" w:right="284"/>
              <w:jc w:val="left"/>
              <w:rPr>
                <w:rFonts w:eastAsia="Arial"/>
                <w:bCs/>
                <w:color w:val="auto"/>
              </w:rPr>
            </w:pPr>
          </w:p>
          <w:p w14:paraId="4D26DB06" w14:textId="77777777" w:rsidR="005D5960" w:rsidRPr="00DB05C3" w:rsidRDefault="00A308CA" w:rsidP="00874A98">
            <w:pPr>
              <w:keepNext w:val="0"/>
              <w:numPr>
                <w:ilvl w:val="0"/>
                <w:numId w:val="175"/>
              </w:numPr>
              <w:tabs>
                <w:tab w:val="left" w:pos="680"/>
                <w:tab w:val="left" w:pos="1133"/>
                <w:tab w:val="left" w:pos="2267"/>
              </w:tabs>
              <w:spacing w:before="0"/>
              <w:ind w:left="357" w:right="284"/>
              <w:jc w:val="left"/>
              <w:rPr>
                <w:rFonts w:eastAsia="Arial"/>
                <w:bCs/>
                <w:color w:val="auto"/>
              </w:rPr>
            </w:pPr>
            <w:r w:rsidRPr="00DB05C3">
              <w:rPr>
                <w:rFonts w:eastAsia="Arial" w:cs="Arial"/>
                <w:bCs/>
                <w:color w:val="auto"/>
              </w:rPr>
              <w:t>Contributing will be required retrospectively when it has been necessary to forward fund infrastructure projects in advance of anticipated housing growth.</w:t>
            </w:r>
          </w:p>
          <w:p w14:paraId="66AD487F" w14:textId="77777777" w:rsidR="005D5960" w:rsidRPr="00DB05C3" w:rsidRDefault="005D5960" w:rsidP="005D5960">
            <w:pPr>
              <w:pStyle w:val="ListParagraph"/>
              <w:spacing w:after="0" w:line="240" w:lineRule="auto"/>
              <w:rPr>
                <w:rFonts w:eastAsia="Arial"/>
                <w:bCs/>
                <w:strike/>
                <w:color w:val="auto"/>
              </w:rPr>
            </w:pPr>
          </w:p>
          <w:p w14:paraId="32389993" w14:textId="77777777" w:rsidR="005D5960" w:rsidRPr="00DB05C3" w:rsidRDefault="005D5960" w:rsidP="00874A98">
            <w:pPr>
              <w:keepNext w:val="0"/>
              <w:numPr>
                <w:ilvl w:val="0"/>
                <w:numId w:val="175"/>
              </w:numPr>
              <w:tabs>
                <w:tab w:val="left" w:pos="680"/>
                <w:tab w:val="left" w:pos="1133"/>
                <w:tab w:val="left" w:pos="2267"/>
              </w:tabs>
              <w:spacing w:before="0"/>
              <w:ind w:left="357" w:right="284"/>
              <w:jc w:val="left"/>
              <w:rPr>
                <w:rFonts w:eastAsia="Arial"/>
                <w:bCs/>
                <w:color w:val="auto"/>
              </w:rPr>
            </w:pPr>
            <w:r w:rsidRPr="00DB05C3">
              <w:rPr>
                <w:rFonts w:eastAsia="Arial"/>
                <w:bCs/>
                <w:color w:val="auto"/>
              </w:rPr>
              <w:t>Where appropriate, developer contributions will be pooled to allow the provision of strategic infrastructure that will serve more than one scheme.</w:t>
            </w:r>
          </w:p>
          <w:p w14:paraId="40687AD0" w14:textId="77777777" w:rsidR="005D5960" w:rsidRPr="00DB05C3" w:rsidRDefault="005D5960" w:rsidP="005D5960">
            <w:pPr>
              <w:pStyle w:val="ListParagraph"/>
              <w:spacing w:after="0" w:line="240" w:lineRule="auto"/>
              <w:rPr>
                <w:rFonts w:eastAsia="Arial"/>
                <w:bCs/>
                <w:color w:val="auto"/>
              </w:rPr>
            </w:pPr>
          </w:p>
          <w:p w14:paraId="7B6898C6" w14:textId="3365C030" w:rsidR="005D5960" w:rsidRDefault="005D5960" w:rsidP="00874A98">
            <w:pPr>
              <w:keepNext w:val="0"/>
              <w:numPr>
                <w:ilvl w:val="0"/>
                <w:numId w:val="175"/>
              </w:numPr>
              <w:tabs>
                <w:tab w:val="left" w:pos="680"/>
                <w:tab w:val="left" w:pos="1133"/>
                <w:tab w:val="left" w:pos="2267"/>
              </w:tabs>
              <w:spacing w:before="0"/>
              <w:ind w:left="357" w:right="284"/>
              <w:jc w:val="left"/>
              <w:rPr>
                <w:rFonts w:eastAsia="Arial"/>
                <w:bCs/>
                <w:color w:val="auto"/>
              </w:rPr>
            </w:pPr>
            <w:r w:rsidRPr="00DB05C3">
              <w:rPr>
                <w:rFonts w:eastAsia="Arial"/>
                <w:bCs/>
                <w:color w:val="auto"/>
              </w:rPr>
              <w:t xml:space="preserve">The </w:t>
            </w:r>
            <w:r w:rsidR="00DB05C3" w:rsidRPr="00DB05C3">
              <w:rPr>
                <w:rFonts w:eastAsia="Arial"/>
                <w:bCs/>
                <w:color w:val="auto"/>
              </w:rPr>
              <w:t>subdivision</w:t>
            </w:r>
            <w:r w:rsidRPr="00DB05C3">
              <w:rPr>
                <w:rFonts w:eastAsia="Arial"/>
                <w:bCs/>
                <w:color w:val="auto"/>
              </w:rPr>
              <w:t xml:space="preserve"> of</w:t>
            </w:r>
            <w:r w:rsidR="0040385F" w:rsidRPr="00DB05C3">
              <w:rPr>
                <w:rFonts w:eastAsia="Arial"/>
                <w:bCs/>
                <w:color w:val="auto"/>
              </w:rPr>
              <w:t xml:space="preserve"> </w:t>
            </w:r>
            <w:r w:rsidR="0040385F" w:rsidRPr="005D5960">
              <w:rPr>
                <w:rFonts w:eastAsia="Arial"/>
                <w:bCs/>
                <w:color w:val="auto"/>
              </w:rPr>
              <w:t>sites to avoid thresholds for developer contributions will be resisted.</w:t>
            </w:r>
          </w:p>
          <w:p w14:paraId="76B9DB10" w14:textId="77777777" w:rsidR="005D5960" w:rsidRDefault="005D5960" w:rsidP="005D5960">
            <w:pPr>
              <w:pStyle w:val="ListParagraph"/>
              <w:spacing w:after="0" w:line="240" w:lineRule="auto"/>
              <w:rPr>
                <w:rFonts w:eastAsia="Arial"/>
                <w:bCs/>
                <w:color w:val="auto"/>
              </w:rPr>
            </w:pPr>
          </w:p>
          <w:p w14:paraId="119F1B88" w14:textId="669BA07C" w:rsidR="0040385F" w:rsidRPr="005D5960" w:rsidRDefault="0040385F" w:rsidP="00874A98">
            <w:pPr>
              <w:keepNext w:val="0"/>
              <w:numPr>
                <w:ilvl w:val="0"/>
                <w:numId w:val="175"/>
              </w:numPr>
              <w:tabs>
                <w:tab w:val="left" w:pos="680"/>
                <w:tab w:val="left" w:pos="1133"/>
                <w:tab w:val="left" w:pos="2267"/>
              </w:tabs>
              <w:spacing w:before="0"/>
              <w:ind w:left="357" w:right="284"/>
              <w:jc w:val="left"/>
              <w:rPr>
                <w:rFonts w:eastAsia="Arial"/>
                <w:bCs/>
                <w:color w:val="auto"/>
              </w:rPr>
            </w:pPr>
            <w:r w:rsidRPr="005D5960">
              <w:rPr>
                <w:rFonts w:eastAsia="Arial"/>
                <w:bCs/>
                <w:color w:val="auto"/>
              </w:rPr>
              <w:t xml:space="preserve">Where the delivery of a proposed scheme is threatened on the basis of viability, the Council may consider whether a reduction in the extent of the developer contributions can be justified.  </w:t>
            </w:r>
          </w:p>
        </w:tc>
      </w:tr>
      <w:tr w:rsidR="0040385F" w:rsidRPr="0040385F" w14:paraId="7B58A4F0" w14:textId="77777777" w:rsidTr="00163F59">
        <w:tc>
          <w:tcPr>
            <w:tcW w:w="2405" w:type="dxa"/>
          </w:tcPr>
          <w:p w14:paraId="5242588C" w14:textId="77777777" w:rsidR="0040385F" w:rsidRPr="0040385F" w:rsidRDefault="0040385F" w:rsidP="00905CC9">
            <w:pPr>
              <w:keepNext w:val="0"/>
              <w:tabs>
                <w:tab w:val="left" w:pos="680"/>
                <w:tab w:val="left" w:pos="1133"/>
                <w:tab w:val="left" w:pos="2267"/>
              </w:tabs>
              <w:spacing w:before="0"/>
              <w:ind w:right="284"/>
              <w:jc w:val="left"/>
              <w:rPr>
                <w:rFonts w:eastAsia="Arial"/>
                <w:b/>
                <w:color w:val="7030A0"/>
                <w:szCs w:val="24"/>
              </w:rPr>
            </w:pPr>
            <w:bookmarkStart w:id="299" w:name="_Hlk78966202"/>
            <w:bookmarkEnd w:id="296"/>
            <w:r w:rsidRPr="0040385F">
              <w:rPr>
                <w:rFonts w:eastAsia="Arial" w:cs="Arial"/>
                <w:bCs/>
                <w:color w:val="auto"/>
                <w:sz w:val="20"/>
              </w:rPr>
              <w:t>Evidence base</w:t>
            </w:r>
          </w:p>
        </w:tc>
        <w:tc>
          <w:tcPr>
            <w:tcW w:w="7088" w:type="dxa"/>
            <w:gridSpan w:val="2"/>
          </w:tcPr>
          <w:p w14:paraId="564BD34B" w14:textId="0D5886EF" w:rsidR="0040385F" w:rsidRPr="00DB05C3" w:rsidRDefault="0040385F" w:rsidP="00905CC9">
            <w:pPr>
              <w:keepNext w:val="0"/>
              <w:numPr>
                <w:ilvl w:val="0"/>
                <w:numId w:val="39"/>
              </w:numPr>
              <w:tabs>
                <w:tab w:val="left" w:pos="680"/>
                <w:tab w:val="left" w:pos="1133"/>
                <w:tab w:val="left" w:pos="2267"/>
              </w:tabs>
              <w:spacing w:before="0" w:after="160" w:line="252" w:lineRule="auto"/>
              <w:ind w:right="284"/>
              <w:contextualSpacing/>
              <w:jc w:val="left"/>
              <w:rPr>
                <w:rFonts w:eastAsia="Arial" w:cs="Arial"/>
                <w:bCs/>
                <w:color w:val="auto"/>
                <w:sz w:val="20"/>
              </w:rPr>
            </w:pPr>
            <w:r w:rsidRPr="0040385F">
              <w:rPr>
                <w:rFonts w:eastAsia="Arial" w:cs="Arial"/>
                <w:bCs/>
                <w:color w:val="auto"/>
                <w:sz w:val="20"/>
              </w:rPr>
              <w:t xml:space="preserve">Sustainability </w:t>
            </w:r>
            <w:r w:rsidRPr="00DB05C3">
              <w:rPr>
                <w:rFonts w:eastAsia="Arial" w:cs="Arial"/>
                <w:bCs/>
                <w:color w:val="auto"/>
                <w:sz w:val="20"/>
              </w:rPr>
              <w:t>Appraisal 202</w:t>
            </w:r>
            <w:r w:rsidR="00C1699D" w:rsidRPr="00DB05C3">
              <w:rPr>
                <w:rFonts w:eastAsia="Arial" w:cs="Arial"/>
                <w:bCs/>
                <w:color w:val="auto"/>
                <w:sz w:val="20"/>
              </w:rPr>
              <w:t>3</w:t>
            </w:r>
            <w:r w:rsidRPr="00DB05C3">
              <w:rPr>
                <w:rFonts w:eastAsia="Arial" w:cs="Arial"/>
                <w:bCs/>
                <w:color w:val="auto"/>
                <w:sz w:val="20"/>
              </w:rPr>
              <w:t xml:space="preserve">. </w:t>
            </w:r>
            <w:r w:rsidR="00C1699D" w:rsidRPr="00DB05C3">
              <w:rPr>
                <w:rFonts w:eastAsia="Arial" w:cs="Arial"/>
                <w:bCs/>
                <w:color w:val="auto"/>
                <w:sz w:val="20"/>
              </w:rPr>
              <w:t>WSP UK Limited</w:t>
            </w:r>
            <w:r w:rsidRPr="00DB05C3">
              <w:rPr>
                <w:rFonts w:eastAsia="Arial" w:cs="Arial"/>
                <w:bCs/>
                <w:color w:val="auto"/>
                <w:sz w:val="20"/>
              </w:rPr>
              <w:t>.</w:t>
            </w:r>
          </w:p>
          <w:p w14:paraId="17D08B9A" w14:textId="01032C9F" w:rsidR="00881D31" w:rsidRPr="000E778B" w:rsidRDefault="00DB05C3" w:rsidP="00905CC9">
            <w:pPr>
              <w:keepNext w:val="0"/>
              <w:numPr>
                <w:ilvl w:val="0"/>
                <w:numId w:val="39"/>
              </w:numPr>
              <w:tabs>
                <w:tab w:val="left" w:pos="680"/>
                <w:tab w:val="left" w:pos="1133"/>
                <w:tab w:val="left" w:pos="2267"/>
              </w:tabs>
              <w:spacing w:before="0" w:after="160" w:line="252" w:lineRule="auto"/>
              <w:ind w:right="284"/>
              <w:contextualSpacing/>
              <w:jc w:val="left"/>
              <w:rPr>
                <w:rFonts w:eastAsia="Arial" w:cs="Arial"/>
                <w:bCs/>
                <w:color w:val="auto"/>
                <w:sz w:val="20"/>
              </w:rPr>
            </w:pPr>
            <w:r w:rsidRPr="000E778B">
              <w:rPr>
                <w:rFonts w:eastAsia="Arial" w:cs="Arial"/>
                <w:bCs/>
                <w:color w:val="auto"/>
                <w:sz w:val="20"/>
              </w:rPr>
              <w:t xml:space="preserve">Background Paper No 5: </w:t>
            </w:r>
            <w:r w:rsidR="00881D31" w:rsidRPr="000E778B">
              <w:rPr>
                <w:rFonts w:eastAsia="Arial" w:cs="Arial"/>
                <w:bCs/>
                <w:color w:val="auto"/>
                <w:sz w:val="20"/>
              </w:rPr>
              <w:t>Infrastructure Delivery Plan</w:t>
            </w:r>
            <w:r w:rsidR="000E778B" w:rsidRPr="000E778B">
              <w:rPr>
                <w:rFonts w:eastAsia="Arial" w:cs="Arial"/>
                <w:bCs/>
                <w:color w:val="auto"/>
                <w:sz w:val="20"/>
              </w:rPr>
              <w:t>, 2023</w:t>
            </w:r>
            <w:r w:rsidR="00881D31" w:rsidRPr="000E778B">
              <w:rPr>
                <w:rFonts w:eastAsia="Arial" w:cs="Arial"/>
                <w:bCs/>
                <w:color w:val="auto"/>
                <w:sz w:val="20"/>
              </w:rPr>
              <w:t>.</w:t>
            </w:r>
            <w:r w:rsidRPr="000E778B">
              <w:rPr>
                <w:rFonts w:eastAsia="Arial" w:cs="Arial"/>
                <w:bCs/>
                <w:color w:val="auto"/>
                <w:sz w:val="20"/>
              </w:rPr>
              <w:t xml:space="preserve"> Ashfield District Council.</w:t>
            </w:r>
          </w:p>
          <w:p w14:paraId="46F24C27" w14:textId="6A9C520D" w:rsidR="0040385F" w:rsidRPr="00DB05C3" w:rsidRDefault="0040385F" w:rsidP="00905CC9">
            <w:pPr>
              <w:keepNext w:val="0"/>
              <w:numPr>
                <w:ilvl w:val="0"/>
                <w:numId w:val="39"/>
              </w:numPr>
              <w:tabs>
                <w:tab w:val="left" w:pos="680"/>
                <w:tab w:val="left" w:pos="1133"/>
                <w:tab w:val="left" w:pos="2267"/>
              </w:tabs>
              <w:spacing w:before="0" w:after="160" w:line="252" w:lineRule="auto"/>
              <w:ind w:right="284"/>
              <w:contextualSpacing/>
              <w:jc w:val="left"/>
              <w:rPr>
                <w:rFonts w:eastAsia="Arial" w:cs="Arial"/>
                <w:bCs/>
                <w:color w:val="auto"/>
                <w:sz w:val="20"/>
              </w:rPr>
            </w:pPr>
            <w:r w:rsidRPr="00DB05C3">
              <w:rPr>
                <w:rFonts w:cs="Arial"/>
                <w:color w:val="auto"/>
                <w:sz w:val="20"/>
              </w:rPr>
              <w:t>Ashfield Transport Study, 20</w:t>
            </w:r>
            <w:r w:rsidR="00DB05C3">
              <w:rPr>
                <w:rFonts w:cs="Arial"/>
                <w:color w:val="auto"/>
                <w:sz w:val="20"/>
              </w:rPr>
              <w:t>23</w:t>
            </w:r>
            <w:r w:rsidRPr="00DB05C3">
              <w:rPr>
                <w:rFonts w:cs="Arial"/>
                <w:color w:val="auto"/>
                <w:sz w:val="20"/>
              </w:rPr>
              <w:t xml:space="preserve">. Systra. </w:t>
            </w:r>
          </w:p>
          <w:p w14:paraId="2E39D2CC" w14:textId="5C562EDD" w:rsidR="006E3758" w:rsidRPr="0040385F" w:rsidRDefault="006E3758" w:rsidP="00905CC9">
            <w:pPr>
              <w:keepNext w:val="0"/>
              <w:numPr>
                <w:ilvl w:val="0"/>
                <w:numId w:val="39"/>
              </w:numPr>
              <w:tabs>
                <w:tab w:val="left" w:pos="680"/>
                <w:tab w:val="left" w:pos="1133"/>
                <w:tab w:val="left" w:pos="2267"/>
              </w:tabs>
              <w:spacing w:before="0" w:after="160" w:line="252" w:lineRule="auto"/>
              <w:ind w:right="284"/>
              <w:contextualSpacing/>
              <w:jc w:val="left"/>
              <w:rPr>
                <w:rFonts w:eastAsia="Arial" w:cs="Arial"/>
                <w:bCs/>
                <w:color w:val="auto"/>
                <w:sz w:val="20"/>
              </w:rPr>
            </w:pPr>
            <w:r w:rsidRPr="006E3758">
              <w:rPr>
                <w:rFonts w:eastAsia="Arial" w:cs="Arial"/>
                <w:bCs/>
                <w:color w:val="auto"/>
                <w:sz w:val="20"/>
              </w:rPr>
              <w:t>Securing developer contributions for education, April 2019. Department for Education.</w:t>
            </w:r>
          </w:p>
        </w:tc>
      </w:tr>
      <w:tr w:rsidR="0040385F" w:rsidRPr="0040385F" w14:paraId="6CD6867F" w14:textId="77777777" w:rsidTr="00163F59">
        <w:tc>
          <w:tcPr>
            <w:tcW w:w="2405" w:type="dxa"/>
          </w:tcPr>
          <w:p w14:paraId="12BC7A4F" w14:textId="77777777" w:rsidR="0040385F" w:rsidRPr="0040385F" w:rsidRDefault="0040385F" w:rsidP="00905CC9">
            <w:pPr>
              <w:keepNext w:val="0"/>
              <w:tabs>
                <w:tab w:val="left" w:pos="680"/>
                <w:tab w:val="left" w:pos="1133"/>
                <w:tab w:val="left" w:pos="2267"/>
              </w:tabs>
              <w:spacing w:before="0"/>
              <w:ind w:right="284"/>
              <w:jc w:val="left"/>
              <w:rPr>
                <w:rFonts w:eastAsia="Arial"/>
                <w:b/>
                <w:color w:val="auto"/>
                <w:sz w:val="22"/>
              </w:rPr>
            </w:pPr>
            <w:r w:rsidRPr="0040385F">
              <w:rPr>
                <w:rFonts w:eastAsia="Arial" w:cs="Arial"/>
                <w:bCs/>
                <w:color w:val="auto"/>
                <w:sz w:val="20"/>
              </w:rPr>
              <w:t>National Planning Policy &amp; Guidance</w:t>
            </w:r>
          </w:p>
        </w:tc>
        <w:tc>
          <w:tcPr>
            <w:tcW w:w="7088" w:type="dxa"/>
            <w:gridSpan w:val="2"/>
          </w:tcPr>
          <w:p w14:paraId="63ACEA8F" w14:textId="280D6BE1" w:rsidR="0040385F" w:rsidRPr="0040385F" w:rsidRDefault="0040385F" w:rsidP="00905CC9">
            <w:pPr>
              <w:keepNext w:val="0"/>
              <w:numPr>
                <w:ilvl w:val="0"/>
                <w:numId w:val="39"/>
              </w:numPr>
              <w:spacing w:before="0"/>
              <w:ind w:left="357" w:hanging="357"/>
              <w:jc w:val="left"/>
              <w:rPr>
                <w:rFonts w:cs="Arial"/>
                <w:color w:val="auto"/>
                <w:sz w:val="22"/>
              </w:rPr>
            </w:pPr>
            <w:r w:rsidRPr="0040385F">
              <w:rPr>
                <w:rFonts w:eastAsia="Arial" w:cs="Arial"/>
                <w:bCs/>
                <w:color w:val="auto"/>
                <w:sz w:val="20"/>
              </w:rPr>
              <w:t>NPPF 202</w:t>
            </w:r>
            <w:r w:rsidR="004173E0">
              <w:rPr>
                <w:rFonts w:eastAsia="Arial" w:cs="Arial"/>
                <w:bCs/>
                <w:color w:val="auto"/>
                <w:sz w:val="20"/>
              </w:rPr>
              <w:t>3</w:t>
            </w:r>
            <w:r w:rsidRPr="0040385F">
              <w:rPr>
                <w:rFonts w:eastAsia="Arial" w:cs="Arial"/>
                <w:bCs/>
                <w:color w:val="auto"/>
                <w:sz w:val="20"/>
              </w:rPr>
              <w:t>, Part 2: Achieving sustainable development.</w:t>
            </w:r>
          </w:p>
          <w:p w14:paraId="7BAF6330" w14:textId="103BFC0F" w:rsidR="0040385F" w:rsidRPr="0040385F" w:rsidRDefault="0040385F" w:rsidP="00905CC9">
            <w:pPr>
              <w:keepNext w:val="0"/>
              <w:numPr>
                <w:ilvl w:val="0"/>
                <w:numId w:val="39"/>
              </w:numPr>
              <w:spacing w:before="0"/>
              <w:ind w:left="357" w:hanging="357"/>
              <w:jc w:val="left"/>
              <w:rPr>
                <w:rFonts w:cs="Arial"/>
                <w:color w:val="auto"/>
                <w:sz w:val="22"/>
              </w:rPr>
            </w:pPr>
            <w:r w:rsidRPr="0040385F">
              <w:rPr>
                <w:rFonts w:cs="Arial"/>
                <w:color w:val="auto"/>
                <w:sz w:val="20"/>
              </w:rPr>
              <w:t>NPPF 202</w:t>
            </w:r>
            <w:r w:rsidR="004173E0">
              <w:rPr>
                <w:rFonts w:cs="Arial"/>
                <w:color w:val="auto"/>
                <w:sz w:val="20"/>
              </w:rPr>
              <w:t>3</w:t>
            </w:r>
            <w:r w:rsidRPr="0040385F">
              <w:rPr>
                <w:rFonts w:cs="Arial"/>
                <w:color w:val="auto"/>
                <w:sz w:val="20"/>
              </w:rPr>
              <w:t>, Part 3: Plan making.</w:t>
            </w:r>
          </w:p>
          <w:p w14:paraId="127D1037" w14:textId="33F6F88A" w:rsidR="0040385F" w:rsidRPr="0040385F" w:rsidRDefault="0040385F" w:rsidP="00905CC9">
            <w:pPr>
              <w:keepNext w:val="0"/>
              <w:numPr>
                <w:ilvl w:val="0"/>
                <w:numId w:val="39"/>
              </w:numPr>
              <w:spacing w:before="0"/>
              <w:ind w:left="357" w:hanging="357"/>
              <w:jc w:val="left"/>
              <w:rPr>
                <w:rFonts w:cs="Arial"/>
                <w:color w:val="auto"/>
                <w:sz w:val="22"/>
              </w:rPr>
            </w:pPr>
            <w:r w:rsidRPr="0040385F">
              <w:rPr>
                <w:rFonts w:eastAsia="Arial" w:cs="Arial"/>
                <w:bCs/>
                <w:color w:val="auto"/>
                <w:sz w:val="20"/>
              </w:rPr>
              <w:t>NPPF 202</w:t>
            </w:r>
            <w:r w:rsidR="004173E0">
              <w:rPr>
                <w:rFonts w:eastAsia="Arial" w:cs="Arial"/>
                <w:bCs/>
                <w:color w:val="auto"/>
                <w:sz w:val="20"/>
              </w:rPr>
              <w:t>3</w:t>
            </w:r>
            <w:r w:rsidRPr="0040385F">
              <w:rPr>
                <w:rFonts w:eastAsia="Arial" w:cs="Arial"/>
                <w:bCs/>
                <w:color w:val="auto"/>
                <w:sz w:val="20"/>
              </w:rPr>
              <w:t xml:space="preserve">, </w:t>
            </w:r>
            <w:r w:rsidRPr="0040385F">
              <w:rPr>
                <w:rFonts w:cs="Arial"/>
                <w:color w:val="auto"/>
                <w:sz w:val="20"/>
              </w:rPr>
              <w:t>Part 4: Decision Making.</w:t>
            </w:r>
          </w:p>
          <w:p w14:paraId="62E3D77C" w14:textId="1668B34D" w:rsidR="0040385F" w:rsidRPr="0040385F" w:rsidRDefault="0040385F" w:rsidP="00905CC9">
            <w:pPr>
              <w:keepNext w:val="0"/>
              <w:numPr>
                <w:ilvl w:val="0"/>
                <w:numId w:val="39"/>
              </w:numPr>
              <w:spacing w:before="0"/>
              <w:ind w:left="357" w:hanging="357"/>
              <w:jc w:val="left"/>
              <w:rPr>
                <w:rFonts w:cs="Arial"/>
                <w:color w:val="auto"/>
                <w:sz w:val="22"/>
              </w:rPr>
            </w:pPr>
            <w:r w:rsidRPr="0040385F">
              <w:rPr>
                <w:rFonts w:eastAsia="Arial" w:cs="Arial"/>
                <w:bCs/>
                <w:color w:val="auto"/>
                <w:sz w:val="20"/>
              </w:rPr>
              <w:t>NPPF</w:t>
            </w:r>
            <w:r w:rsidRPr="0040385F">
              <w:rPr>
                <w:rFonts w:cs="Arial"/>
                <w:color w:val="auto"/>
                <w:sz w:val="20"/>
              </w:rPr>
              <w:t xml:space="preserve"> 202</w:t>
            </w:r>
            <w:r w:rsidR="004173E0">
              <w:rPr>
                <w:rFonts w:cs="Arial"/>
                <w:color w:val="auto"/>
                <w:sz w:val="20"/>
              </w:rPr>
              <w:t>3</w:t>
            </w:r>
            <w:r w:rsidRPr="0040385F">
              <w:rPr>
                <w:rFonts w:cs="Arial"/>
                <w:color w:val="auto"/>
                <w:sz w:val="20"/>
              </w:rPr>
              <w:t xml:space="preserve">, Part 5. </w:t>
            </w:r>
            <w:r w:rsidRPr="0040385F">
              <w:rPr>
                <w:rFonts w:cs="Arial"/>
                <w:bCs/>
                <w:color w:val="auto"/>
                <w:sz w:val="20"/>
              </w:rPr>
              <w:t>Delivering a sufficient supply of homes.</w:t>
            </w:r>
            <w:r w:rsidRPr="0040385F">
              <w:rPr>
                <w:rFonts w:cs="Arial"/>
                <w:color w:val="auto"/>
                <w:sz w:val="20"/>
              </w:rPr>
              <w:t xml:space="preserve"> </w:t>
            </w:r>
          </w:p>
          <w:p w14:paraId="64A36E97" w14:textId="7F470B13" w:rsidR="0040385F" w:rsidRPr="008F21DB" w:rsidRDefault="0040385F" w:rsidP="00905CC9">
            <w:pPr>
              <w:keepNext w:val="0"/>
              <w:numPr>
                <w:ilvl w:val="0"/>
                <w:numId w:val="35"/>
              </w:numPr>
              <w:tabs>
                <w:tab w:val="left" w:pos="680"/>
                <w:tab w:val="left" w:pos="1133"/>
                <w:tab w:val="left" w:pos="2267"/>
              </w:tabs>
              <w:spacing w:before="0"/>
              <w:ind w:left="357" w:right="284" w:hanging="357"/>
              <w:contextualSpacing/>
              <w:jc w:val="left"/>
              <w:rPr>
                <w:rFonts w:eastAsia="Arial" w:cs="Arial"/>
                <w:bCs/>
                <w:color w:val="auto"/>
                <w:sz w:val="20"/>
              </w:rPr>
            </w:pPr>
            <w:r w:rsidRPr="0040385F">
              <w:rPr>
                <w:rFonts w:eastAsia="Arial" w:cs="Arial"/>
                <w:bCs/>
                <w:color w:val="auto"/>
                <w:sz w:val="20"/>
              </w:rPr>
              <w:t>NPPF 202</w:t>
            </w:r>
            <w:r w:rsidR="004173E0">
              <w:rPr>
                <w:rFonts w:eastAsia="Arial" w:cs="Arial"/>
                <w:bCs/>
                <w:color w:val="auto"/>
                <w:sz w:val="20"/>
              </w:rPr>
              <w:t>3</w:t>
            </w:r>
            <w:r w:rsidRPr="0040385F">
              <w:rPr>
                <w:rFonts w:eastAsia="Arial" w:cs="Arial"/>
                <w:bCs/>
                <w:color w:val="auto"/>
                <w:sz w:val="20"/>
              </w:rPr>
              <w:t xml:space="preserve">, Part 6: </w:t>
            </w:r>
            <w:r w:rsidRPr="0040385F">
              <w:rPr>
                <w:rFonts w:cs="Arial"/>
                <w:bCs/>
                <w:color w:val="auto"/>
                <w:sz w:val="20"/>
              </w:rPr>
              <w:t>Building a strong, competitive economy.</w:t>
            </w:r>
          </w:p>
        </w:tc>
      </w:tr>
      <w:bookmarkEnd w:id="299"/>
    </w:tbl>
    <w:p w14:paraId="44FF66D4" w14:textId="6AB55EE6" w:rsidR="008526EA" w:rsidRPr="003C7E62" w:rsidRDefault="008526EA" w:rsidP="0040385F">
      <w:pPr>
        <w:keepNext w:val="0"/>
        <w:spacing w:before="0"/>
        <w:rPr>
          <w:rFonts w:cs="Arial"/>
          <w:color w:val="auto"/>
          <w:szCs w:val="24"/>
          <w:lang w:eastAsia="en-US"/>
        </w:rPr>
      </w:pPr>
    </w:p>
    <w:p w14:paraId="03B2DDEE" w14:textId="0A435006" w:rsidR="006E10D4" w:rsidRPr="006E10D4" w:rsidRDefault="006E10D4" w:rsidP="00CE6287">
      <w:pPr>
        <w:keepNext w:val="0"/>
        <w:numPr>
          <w:ilvl w:val="1"/>
          <w:numId w:val="7"/>
        </w:numPr>
        <w:tabs>
          <w:tab w:val="clear" w:pos="525"/>
        </w:tabs>
        <w:spacing w:before="0"/>
        <w:ind w:left="709" w:hanging="709"/>
        <w:rPr>
          <w:rFonts w:cs="Arial"/>
          <w:color w:val="auto"/>
          <w:szCs w:val="24"/>
          <w:lang w:eastAsia="en-US"/>
        </w:rPr>
      </w:pPr>
      <w:bookmarkStart w:id="300" w:name="_Hlk142398484"/>
      <w:r w:rsidRPr="006E10D4">
        <w:rPr>
          <w:rFonts w:eastAsia="Calibri"/>
          <w:color w:val="auto"/>
          <w:szCs w:val="22"/>
          <w:lang w:eastAsia="en-US"/>
        </w:rPr>
        <w:t>Strategic Policy 1</w:t>
      </w:r>
      <w:r w:rsidR="00F05D84">
        <w:rPr>
          <w:rFonts w:eastAsia="Calibri"/>
          <w:color w:val="auto"/>
          <w:szCs w:val="22"/>
          <w:lang w:eastAsia="en-US"/>
        </w:rPr>
        <w:t>1</w:t>
      </w:r>
      <w:r w:rsidRPr="006E10D4">
        <w:rPr>
          <w:rFonts w:eastAsia="Calibri"/>
          <w:color w:val="auto"/>
          <w:szCs w:val="22"/>
          <w:lang w:eastAsia="en-US"/>
        </w:rPr>
        <w:t xml:space="preserve"> identifies that infrastructure has a key role in meeting the requirements for sustainable development. Developer contributions can be used as a means of offsetting the impact of a development on infrastructure either by seeking the developer to undertake the necessary work or via a financial contribution that cannot be secured by a planning condition. </w:t>
      </w:r>
    </w:p>
    <w:bookmarkEnd w:id="300"/>
    <w:p w14:paraId="02B5C504" w14:textId="77777777" w:rsidR="006E10D4" w:rsidRDefault="006E10D4" w:rsidP="00CE6287">
      <w:pPr>
        <w:keepNext w:val="0"/>
        <w:spacing w:before="0"/>
        <w:ind w:left="709" w:hanging="709"/>
        <w:rPr>
          <w:rFonts w:cs="Arial"/>
          <w:color w:val="auto"/>
          <w:szCs w:val="24"/>
          <w:lang w:eastAsia="en-US"/>
        </w:rPr>
      </w:pPr>
    </w:p>
    <w:p w14:paraId="4530D956" w14:textId="211CE741" w:rsidR="006E10D4" w:rsidRDefault="006E10D4" w:rsidP="00CE6287">
      <w:pPr>
        <w:keepNext w:val="0"/>
        <w:numPr>
          <w:ilvl w:val="1"/>
          <w:numId w:val="7"/>
        </w:numPr>
        <w:tabs>
          <w:tab w:val="clear" w:pos="525"/>
        </w:tabs>
        <w:spacing w:before="0"/>
        <w:ind w:left="709" w:hanging="709"/>
        <w:rPr>
          <w:rFonts w:cs="Arial"/>
          <w:color w:val="auto"/>
          <w:szCs w:val="24"/>
          <w:lang w:eastAsia="en-US"/>
        </w:rPr>
      </w:pPr>
      <w:r w:rsidRPr="006E10D4">
        <w:rPr>
          <w:rFonts w:eastAsia="Arial" w:cs="Arial"/>
          <w:color w:val="auto"/>
        </w:rPr>
        <w:t>The current regulative requirements</w:t>
      </w:r>
      <w:r w:rsidRPr="006E10D4">
        <w:rPr>
          <w:rFonts w:eastAsia="Arial" w:cs="Arial"/>
          <w:color w:val="auto"/>
          <w:vertAlign w:val="superscript"/>
        </w:rPr>
        <w:footnoteReference w:id="105"/>
      </w:r>
      <w:r w:rsidRPr="006E10D4">
        <w:rPr>
          <w:rFonts w:eastAsia="Arial" w:cs="Arial"/>
          <w:color w:val="auto"/>
        </w:rPr>
        <w:t>, which are also set out as part of national planning policy</w:t>
      </w:r>
      <w:r w:rsidR="002D6995">
        <w:rPr>
          <w:rFonts w:eastAsia="Arial" w:cs="Arial"/>
          <w:color w:val="auto"/>
        </w:rPr>
        <w:t>,</w:t>
      </w:r>
      <w:r w:rsidRPr="006E10D4">
        <w:rPr>
          <w:rFonts w:eastAsia="Arial" w:cs="Arial"/>
          <w:color w:val="auto"/>
        </w:rPr>
        <w:t xml:space="preserve"> identify that a planning obligation may only constitute a reason for granting planning permission for the development if the obligation is</w:t>
      </w:r>
      <w:r w:rsidR="00DB05C3">
        <w:rPr>
          <w:rFonts w:eastAsia="Arial" w:cs="Arial"/>
          <w:color w:val="auto"/>
        </w:rPr>
        <w:t xml:space="preserve"> -</w:t>
      </w:r>
    </w:p>
    <w:p w14:paraId="7E0E89C3" w14:textId="64DC4B46" w:rsidR="006E10D4" w:rsidRDefault="006E10D4" w:rsidP="006E10D4">
      <w:pPr>
        <w:pStyle w:val="ListParagraph"/>
        <w:spacing w:after="0" w:line="240" w:lineRule="auto"/>
        <w:rPr>
          <w:rFonts w:eastAsia="Calibri"/>
          <w:color w:val="auto"/>
        </w:rPr>
      </w:pPr>
    </w:p>
    <w:p w14:paraId="180C30C7" w14:textId="77777777" w:rsidR="006E10D4" w:rsidRPr="006E10D4" w:rsidRDefault="006E10D4" w:rsidP="00874A98">
      <w:pPr>
        <w:keepNext w:val="0"/>
        <w:numPr>
          <w:ilvl w:val="0"/>
          <w:numId w:val="176"/>
        </w:numPr>
        <w:autoSpaceDE w:val="0"/>
        <w:autoSpaceDN w:val="0"/>
        <w:adjustRightInd w:val="0"/>
        <w:spacing w:before="0" w:after="160" w:line="259" w:lineRule="auto"/>
        <w:contextualSpacing/>
        <w:jc w:val="both"/>
        <w:rPr>
          <w:rFonts w:eastAsia="Arial" w:cs="Arial"/>
          <w:color w:val="auto"/>
          <w:lang w:eastAsia="en-US"/>
        </w:rPr>
      </w:pPr>
      <w:r w:rsidRPr="006E10D4">
        <w:rPr>
          <w:rFonts w:eastAsia="Arial" w:cs="Arial"/>
          <w:color w:val="auto"/>
          <w:lang w:eastAsia="en-US"/>
        </w:rPr>
        <w:t>necessary to make the development acceptable in planning terms;</w:t>
      </w:r>
    </w:p>
    <w:p w14:paraId="26B7EF07" w14:textId="77777777" w:rsidR="006E10D4" w:rsidRPr="006E10D4" w:rsidRDefault="006E10D4" w:rsidP="00874A98">
      <w:pPr>
        <w:keepNext w:val="0"/>
        <w:numPr>
          <w:ilvl w:val="0"/>
          <w:numId w:val="176"/>
        </w:numPr>
        <w:autoSpaceDE w:val="0"/>
        <w:autoSpaceDN w:val="0"/>
        <w:adjustRightInd w:val="0"/>
        <w:spacing w:before="0" w:after="160" w:line="259" w:lineRule="auto"/>
        <w:contextualSpacing/>
        <w:jc w:val="both"/>
        <w:rPr>
          <w:rFonts w:eastAsia="Arial" w:cs="Arial"/>
          <w:color w:val="auto"/>
          <w:lang w:eastAsia="en-US"/>
        </w:rPr>
      </w:pPr>
      <w:r w:rsidRPr="006E10D4">
        <w:rPr>
          <w:rFonts w:eastAsia="Arial" w:cs="Arial"/>
          <w:color w:val="auto"/>
          <w:lang w:eastAsia="en-US"/>
        </w:rPr>
        <w:t>directly related to the development; and</w:t>
      </w:r>
    </w:p>
    <w:p w14:paraId="7959A3E0" w14:textId="77777777" w:rsidR="006E10D4" w:rsidRPr="006E10D4" w:rsidRDefault="006E10D4" w:rsidP="00874A98">
      <w:pPr>
        <w:keepNext w:val="0"/>
        <w:numPr>
          <w:ilvl w:val="0"/>
          <w:numId w:val="176"/>
        </w:numPr>
        <w:autoSpaceDE w:val="0"/>
        <w:autoSpaceDN w:val="0"/>
        <w:adjustRightInd w:val="0"/>
        <w:spacing w:before="0" w:after="160" w:line="259" w:lineRule="auto"/>
        <w:contextualSpacing/>
        <w:jc w:val="both"/>
        <w:rPr>
          <w:rFonts w:eastAsia="Arial" w:cs="Arial"/>
          <w:color w:val="auto"/>
          <w:lang w:eastAsia="en-US"/>
        </w:rPr>
      </w:pPr>
      <w:r w:rsidRPr="006E10D4">
        <w:rPr>
          <w:rFonts w:eastAsia="Arial" w:cs="Arial"/>
          <w:color w:val="auto"/>
          <w:lang w:eastAsia="en-US"/>
        </w:rPr>
        <w:t>fairly and reasonably related in scale and kind to the development.’</w:t>
      </w:r>
    </w:p>
    <w:p w14:paraId="599E7834" w14:textId="77777777" w:rsidR="006E10D4" w:rsidRPr="006E10D4" w:rsidRDefault="006E10D4" w:rsidP="006E10D4">
      <w:pPr>
        <w:rPr>
          <w:rFonts w:eastAsia="Calibri"/>
          <w:color w:val="auto"/>
        </w:rPr>
      </w:pPr>
    </w:p>
    <w:p w14:paraId="1D221EFD" w14:textId="77777777" w:rsidR="005D5960" w:rsidRPr="005D5960" w:rsidRDefault="006E10D4" w:rsidP="005D5960">
      <w:pPr>
        <w:keepNext w:val="0"/>
        <w:numPr>
          <w:ilvl w:val="1"/>
          <w:numId w:val="7"/>
        </w:numPr>
        <w:tabs>
          <w:tab w:val="clear" w:pos="525"/>
        </w:tabs>
        <w:spacing w:before="0"/>
        <w:ind w:left="709" w:hanging="709"/>
        <w:rPr>
          <w:rFonts w:cs="Arial"/>
          <w:color w:val="auto"/>
          <w:szCs w:val="24"/>
          <w:lang w:eastAsia="en-US"/>
        </w:rPr>
      </w:pPr>
      <w:r w:rsidRPr="006E10D4">
        <w:rPr>
          <w:rFonts w:eastAsia="Calibri"/>
          <w:color w:val="auto"/>
          <w:szCs w:val="22"/>
          <w:lang w:eastAsia="en-US"/>
        </w:rPr>
        <w:t>If a site has been sub divided in an attempt to avoid contributions towards affordable housing and other infrastructure, the Council will refuse the application</w:t>
      </w:r>
      <w:r>
        <w:rPr>
          <w:rFonts w:eastAsia="Calibri"/>
          <w:color w:val="auto"/>
          <w:szCs w:val="22"/>
          <w:lang w:eastAsia="en-US"/>
        </w:rPr>
        <w:t>.</w:t>
      </w:r>
    </w:p>
    <w:p w14:paraId="184A3593" w14:textId="77777777" w:rsidR="005D5960" w:rsidRDefault="005D5960" w:rsidP="005D5960">
      <w:pPr>
        <w:keepNext w:val="0"/>
        <w:spacing w:before="0"/>
        <w:ind w:left="709"/>
        <w:rPr>
          <w:rFonts w:cs="Arial"/>
          <w:color w:val="auto"/>
          <w:szCs w:val="24"/>
          <w:lang w:eastAsia="en-US"/>
        </w:rPr>
      </w:pPr>
    </w:p>
    <w:p w14:paraId="40AF1988" w14:textId="53500843" w:rsidR="005D5960" w:rsidRPr="005D5960" w:rsidRDefault="005D5960" w:rsidP="005D5960">
      <w:pPr>
        <w:keepNext w:val="0"/>
        <w:numPr>
          <w:ilvl w:val="1"/>
          <w:numId w:val="7"/>
        </w:numPr>
        <w:tabs>
          <w:tab w:val="clear" w:pos="525"/>
        </w:tabs>
        <w:spacing w:before="0"/>
        <w:ind w:left="709" w:hanging="709"/>
        <w:rPr>
          <w:rFonts w:cs="Arial"/>
          <w:color w:val="auto"/>
          <w:szCs w:val="24"/>
          <w:lang w:eastAsia="en-US"/>
        </w:rPr>
      </w:pPr>
      <w:r w:rsidRPr="00DB05C3">
        <w:rPr>
          <w:rFonts w:cs="Arial"/>
          <w:color w:val="auto"/>
          <w:szCs w:val="24"/>
          <w:lang w:eastAsia="en-US"/>
        </w:rPr>
        <w:t xml:space="preserve">When determining the nature and scale of any planning obligations sought, account will be taken of any evidence of viability, specific site conditions, priorities in the Infrastructure Delivery Plan and other material considerations.  </w:t>
      </w:r>
      <w:r w:rsidR="006E10D4" w:rsidRPr="005D5960">
        <w:rPr>
          <w:rFonts w:eastAsia="Arial" w:cs="Arial"/>
          <w:color w:val="auto"/>
        </w:rPr>
        <w:t xml:space="preserve">If viability is considered to be an issue any planning application should be accompanied with </w:t>
      </w:r>
      <w:r w:rsidR="00EA7D34" w:rsidRPr="005D5960">
        <w:rPr>
          <w:rFonts w:eastAsia="Arial" w:cs="Arial"/>
          <w:color w:val="auto"/>
        </w:rPr>
        <w:t>a viability</w:t>
      </w:r>
      <w:r w:rsidR="006E10D4" w:rsidRPr="005D5960">
        <w:rPr>
          <w:rFonts w:eastAsia="Arial" w:cs="Arial"/>
          <w:color w:val="auto"/>
        </w:rPr>
        <w:t xml:space="preserve"> assessment together with any other evidence setting out why the proposed development is </w:t>
      </w:r>
      <w:r w:rsidR="00EA7D34" w:rsidRPr="005D5960">
        <w:rPr>
          <w:rFonts w:eastAsia="Arial" w:cs="Arial"/>
          <w:color w:val="auto"/>
        </w:rPr>
        <w:t>no longer</w:t>
      </w:r>
      <w:r w:rsidR="006E10D4" w:rsidRPr="005D5960">
        <w:rPr>
          <w:rFonts w:eastAsia="Arial" w:cs="Arial"/>
          <w:color w:val="auto"/>
        </w:rPr>
        <w:t xml:space="preserve"> deliverable.  </w:t>
      </w:r>
      <w:r w:rsidR="006E10D4" w:rsidRPr="005D5960">
        <w:rPr>
          <w:rFonts w:eastAsia="Calibri"/>
          <w:color w:val="auto"/>
          <w:szCs w:val="22"/>
          <w:lang w:eastAsia="en-US"/>
        </w:rPr>
        <w:t>Where the viability of a site is in dispute, the Council will require developers to meet the requirements set out under Policy SD</w:t>
      </w:r>
      <w:r w:rsidR="00F05D84" w:rsidRPr="005D5960">
        <w:rPr>
          <w:rFonts w:eastAsia="Calibri"/>
          <w:color w:val="auto"/>
          <w:szCs w:val="22"/>
          <w:lang w:eastAsia="en-US"/>
        </w:rPr>
        <w:t>6</w:t>
      </w:r>
      <w:r w:rsidRPr="005D5960">
        <w:rPr>
          <w:rFonts w:eastAsia="Calibri"/>
          <w:color w:val="auto"/>
          <w:szCs w:val="22"/>
          <w:lang w:eastAsia="en-US"/>
        </w:rPr>
        <w:t>.</w:t>
      </w:r>
    </w:p>
    <w:p w14:paraId="569225D5" w14:textId="55BF8CCC" w:rsidR="006E10D4" w:rsidRPr="00825421" w:rsidRDefault="006977E7" w:rsidP="00825421">
      <w:pPr>
        <w:pStyle w:val="Heading2"/>
        <w:jc w:val="left"/>
        <w:rPr>
          <w:rFonts w:eastAsia="Arial"/>
          <w:sz w:val="28"/>
          <w:szCs w:val="28"/>
        </w:rPr>
      </w:pPr>
      <w:bookmarkStart w:id="301" w:name="_Toc145511615"/>
      <w:r w:rsidRPr="00825421">
        <w:rPr>
          <w:rFonts w:eastAsia="Arial"/>
          <w:sz w:val="28"/>
          <w:szCs w:val="28"/>
        </w:rPr>
        <w:t xml:space="preserve">Policy </w:t>
      </w:r>
      <w:r w:rsidR="006E10D4" w:rsidRPr="00825421">
        <w:rPr>
          <w:rFonts w:eastAsia="Arial"/>
          <w:sz w:val="28"/>
          <w:szCs w:val="28"/>
        </w:rPr>
        <w:t>SD</w:t>
      </w:r>
      <w:r w:rsidR="0064018F" w:rsidRPr="00825421">
        <w:rPr>
          <w:rFonts w:eastAsia="Arial"/>
          <w:sz w:val="28"/>
          <w:szCs w:val="28"/>
        </w:rPr>
        <w:t>6</w:t>
      </w:r>
      <w:r w:rsidR="006E10D4" w:rsidRPr="00825421">
        <w:rPr>
          <w:rFonts w:eastAsia="Arial"/>
          <w:sz w:val="28"/>
          <w:szCs w:val="28"/>
        </w:rPr>
        <w:t>: Assessing Development Viability and Development Demand</w:t>
      </w:r>
      <w:bookmarkEnd w:id="301"/>
    </w:p>
    <w:p w14:paraId="1CEDABB6" w14:textId="77777777" w:rsidR="006977E7" w:rsidRPr="006E10D4" w:rsidRDefault="006977E7" w:rsidP="006E10D4">
      <w:pPr>
        <w:keepNext w:val="0"/>
        <w:spacing w:before="0"/>
        <w:rPr>
          <w:rFonts w:eastAsia="Arial" w:cs="Arial"/>
          <w:color w:val="auto"/>
        </w:rPr>
      </w:pPr>
    </w:p>
    <w:tbl>
      <w:tblPr>
        <w:tblStyle w:val="TableGrid3"/>
        <w:tblW w:w="9634" w:type="dxa"/>
        <w:tblLook w:val="04A0" w:firstRow="1" w:lastRow="0" w:firstColumn="1" w:lastColumn="0" w:noHBand="0" w:noVBand="1"/>
      </w:tblPr>
      <w:tblGrid>
        <w:gridCol w:w="2405"/>
        <w:gridCol w:w="255"/>
        <w:gridCol w:w="6974"/>
      </w:tblGrid>
      <w:tr w:rsidR="006E10D4" w:rsidRPr="006E10D4" w14:paraId="1B36CE82" w14:textId="77777777" w:rsidTr="00163F59">
        <w:trPr>
          <w:trHeight w:val="421"/>
        </w:trPr>
        <w:tc>
          <w:tcPr>
            <w:tcW w:w="9634" w:type="dxa"/>
            <w:gridSpan w:val="3"/>
          </w:tcPr>
          <w:p w14:paraId="237937FE" w14:textId="77777777" w:rsidR="00ED5F54" w:rsidRDefault="00ED5F54" w:rsidP="00905CC9">
            <w:pPr>
              <w:keepNext w:val="0"/>
              <w:tabs>
                <w:tab w:val="left" w:pos="680"/>
              </w:tabs>
              <w:spacing w:before="0"/>
              <w:jc w:val="left"/>
              <w:rPr>
                <w:rFonts w:eastAsia="Arial"/>
                <w:b/>
                <w:color w:val="auto"/>
                <w:spacing w:val="-1"/>
              </w:rPr>
            </w:pPr>
            <w:bookmarkStart w:id="302" w:name="_Hlk78799157"/>
          </w:p>
          <w:p w14:paraId="25DA04CF" w14:textId="37F740AE" w:rsidR="006E10D4" w:rsidRDefault="006E10D4" w:rsidP="00905CC9">
            <w:pPr>
              <w:keepNext w:val="0"/>
              <w:tabs>
                <w:tab w:val="left" w:pos="680"/>
              </w:tabs>
              <w:spacing w:before="0"/>
              <w:jc w:val="left"/>
              <w:rPr>
                <w:rFonts w:eastAsia="Arial"/>
                <w:b/>
                <w:color w:val="auto"/>
                <w:spacing w:val="-1"/>
              </w:rPr>
            </w:pPr>
            <w:r w:rsidRPr="006E10D4">
              <w:rPr>
                <w:rFonts w:eastAsia="Arial"/>
                <w:b/>
                <w:color w:val="auto"/>
                <w:spacing w:val="-1"/>
              </w:rPr>
              <w:t>Policy SD</w:t>
            </w:r>
            <w:r w:rsidR="0064018F">
              <w:rPr>
                <w:rFonts w:eastAsia="Arial"/>
                <w:b/>
                <w:color w:val="auto"/>
                <w:spacing w:val="-1"/>
              </w:rPr>
              <w:t>6</w:t>
            </w:r>
            <w:r w:rsidRPr="006E10D4">
              <w:rPr>
                <w:rFonts w:eastAsia="Arial"/>
                <w:b/>
                <w:color w:val="auto"/>
                <w:spacing w:val="-1"/>
              </w:rPr>
              <w:t xml:space="preserve">: </w:t>
            </w:r>
            <w:bookmarkStart w:id="303" w:name="_Hlk80513246"/>
            <w:r w:rsidRPr="006E10D4">
              <w:rPr>
                <w:rFonts w:eastAsia="Arial"/>
                <w:b/>
                <w:color w:val="auto"/>
                <w:spacing w:val="-1"/>
              </w:rPr>
              <w:t xml:space="preserve">Assessing Development Viability and Development Demand </w:t>
            </w:r>
          </w:p>
          <w:bookmarkEnd w:id="303"/>
          <w:p w14:paraId="51FE134A" w14:textId="46D649CC" w:rsidR="00ED5F54" w:rsidRPr="006E10D4" w:rsidRDefault="00ED5F54" w:rsidP="00905CC9">
            <w:pPr>
              <w:keepNext w:val="0"/>
              <w:tabs>
                <w:tab w:val="left" w:pos="680"/>
              </w:tabs>
              <w:spacing w:before="0"/>
              <w:jc w:val="left"/>
              <w:rPr>
                <w:rFonts w:eastAsia="Arial"/>
                <w:b/>
                <w:color w:val="auto"/>
                <w:spacing w:val="-1"/>
              </w:rPr>
            </w:pPr>
          </w:p>
        </w:tc>
      </w:tr>
      <w:tr w:rsidR="006E10D4" w:rsidRPr="006E10D4" w14:paraId="1A987147" w14:textId="77777777" w:rsidTr="00163F59">
        <w:tc>
          <w:tcPr>
            <w:tcW w:w="2660" w:type="dxa"/>
            <w:gridSpan w:val="2"/>
          </w:tcPr>
          <w:p w14:paraId="209D15CA" w14:textId="77777777" w:rsidR="006E10D4" w:rsidRPr="005775C8" w:rsidRDefault="006E10D4" w:rsidP="00905CC9">
            <w:pPr>
              <w:keepNext w:val="0"/>
              <w:tabs>
                <w:tab w:val="left" w:pos="680"/>
              </w:tabs>
              <w:spacing w:before="0"/>
              <w:jc w:val="left"/>
              <w:rPr>
                <w:rFonts w:eastAsia="Arial"/>
                <w:bCs/>
                <w:color w:val="auto"/>
              </w:rPr>
            </w:pPr>
            <w:r w:rsidRPr="005775C8">
              <w:rPr>
                <w:rFonts w:eastAsia="Arial"/>
                <w:bCs/>
                <w:color w:val="auto"/>
              </w:rPr>
              <w:t>Strategic Objectives</w:t>
            </w:r>
          </w:p>
        </w:tc>
        <w:tc>
          <w:tcPr>
            <w:tcW w:w="6974" w:type="dxa"/>
          </w:tcPr>
          <w:p w14:paraId="4559A193" w14:textId="77777777" w:rsidR="006E10D4" w:rsidRPr="005775C8" w:rsidRDefault="006E10D4" w:rsidP="00905CC9">
            <w:pPr>
              <w:keepNext w:val="0"/>
              <w:tabs>
                <w:tab w:val="left" w:pos="680"/>
              </w:tabs>
              <w:spacing w:before="40" w:after="40"/>
              <w:jc w:val="left"/>
              <w:rPr>
                <w:rFonts w:eastAsia="Arial"/>
                <w:bCs/>
                <w:color w:val="auto"/>
              </w:rPr>
            </w:pPr>
            <w:r w:rsidRPr="005775C8">
              <w:rPr>
                <w:rFonts w:eastAsia="Arial"/>
                <w:bCs/>
                <w:color w:val="auto"/>
              </w:rPr>
              <w:t>SO3, SO4, SO5.</w:t>
            </w:r>
          </w:p>
        </w:tc>
      </w:tr>
      <w:tr w:rsidR="006E10D4" w:rsidRPr="006E10D4" w14:paraId="4356D830" w14:textId="77777777" w:rsidTr="00163F59">
        <w:tc>
          <w:tcPr>
            <w:tcW w:w="9634" w:type="dxa"/>
            <w:gridSpan w:val="3"/>
            <w:shd w:val="clear" w:color="auto" w:fill="DAC4F8"/>
          </w:tcPr>
          <w:p w14:paraId="72FDC374" w14:textId="77777777" w:rsidR="006E10D4" w:rsidRDefault="006E10D4" w:rsidP="00905CC9">
            <w:pPr>
              <w:keepNext w:val="0"/>
              <w:autoSpaceDE w:val="0"/>
              <w:autoSpaceDN w:val="0"/>
              <w:adjustRightInd w:val="0"/>
              <w:spacing w:before="0"/>
              <w:jc w:val="left"/>
              <w:rPr>
                <w:rFonts w:cs="Arial"/>
                <w:bCs/>
                <w:color w:val="auto"/>
                <w:szCs w:val="24"/>
              </w:rPr>
            </w:pPr>
          </w:p>
          <w:p w14:paraId="252961C9" w14:textId="0C4036F3" w:rsidR="006E10D4" w:rsidRDefault="006E10D4" w:rsidP="00905CC9">
            <w:pPr>
              <w:keepNext w:val="0"/>
              <w:autoSpaceDE w:val="0"/>
              <w:autoSpaceDN w:val="0"/>
              <w:adjustRightInd w:val="0"/>
              <w:spacing w:before="0"/>
              <w:jc w:val="left"/>
              <w:rPr>
                <w:rFonts w:cs="Arial"/>
                <w:bCs/>
                <w:color w:val="auto"/>
                <w:szCs w:val="24"/>
              </w:rPr>
            </w:pPr>
            <w:r w:rsidRPr="006E10D4">
              <w:rPr>
                <w:rFonts w:cs="Arial"/>
                <w:bCs/>
                <w:color w:val="auto"/>
                <w:szCs w:val="24"/>
              </w:rPr>
              <w:t>Development Viability</w:t>
            </w:r>
          </w:p>
          <w:p w14:paraId="1688BADB" w14:textId="77777777" w:rsidR="006E10D4" w:rsidRPr="006E10D4" w:rsidRDefault="006E10D4" w:rsidP="00905CC9">
            <w:pPr>
              <w:keepNext w:val="0"/>
              <w:autoSpaceDE w:val="0"/>
              <w:autoSpaceDN w:val="0"/>
              <w:adjustRightInd w:val="0"/>
              <w:spacing w:before="0"/>
              <w:jc w:val="left"/>
              <w:rPr>
                <w:rFonts w:cs="Arial"/>
                <w:bCs/>
                <w:color w:val="auto"/>
                <w:szCs w:val="24"/>
              </w:rPr>
            </w:pPr>
          </w:p>
          <w:p w14:paraId="3F991650" w14:textId="0F127A82" w:rsidR="006E10D4" w:rsidRPr="006E10D4" w:rsidRDefault="006E10D4" w:rsidP="00874A98">
            <w:pPr>
              <w:keepNext w:val="0"/>
              <w:numPr>
                <w:ilvl w:val="0"/>
                <w:numId w:val="180"/>
              </w:numPr>
              <w:autoSpaceDE w:val="0"/>
              <w:autoSpaceDN w:val="0"/>
              <w:adjustRightInd w:val="0"/>
              <w:spacing w:before="0"/>
              <w:contextualSpacing/>
              <w:jc w:val="left"/>
              <w:rPr>
                <w:rFonts w:cs="Arial"/>
                <w:bCs/>
                <w:color w:val="auto"/>
              </w:rPr>
            </w:pPr>
            <w:r w:rsidRPr="006E10D4">
              <w:rPr>
                <w:rFonts w:cs="Arial"/>
                <w:bCs/>
                <w:color w:val="auto"/>
                <w:szCs w:val="24"/>
              </w:rPr>
              <w:t xml:space="preserve">Development proposals that are unable </w:t>
            </w:r>
            <w:r w:rsidRPr="006E10D4">
              <w:rPr>
                <w:rFonts w:cs="Arial"/>
                <w:bCs/>
                <w:color w:val="auto"/>
              </w:rPr>
              <w:t xml:space="preserve">to meet the </w:t>
            </w:r>
            <w:r w:rsidR="00F05D84">
              <w:rPr>
                <w:rFonts w:cs="Arial"/>
                <w:bCs/>
                <w:color w:val="auto"/>
              </w:rPr>
              <w:t>P</w:t>
            </w:r>
            <w:r w:rsidRPr="006E10D4">
              <w:rPr>
                <w:rFonts w:cs="Arial"/>
                <w:bCs/>
                <w:color w:val="auto"/>
              </w:rPr>
              <w:t>olicy and infrastructure requirements set out in the Local Plan, must be supported by viability evidence that establishes why any departure from policy or a deficit in infrastructure contributions is necessary to make the scheme viable and that the wider planning benefits for the development to go ahead out</w:t>
            </w:r>
            <w:r w:rsidR="00D42EF7">
              <w:rPr>
                <w:rFonts w:cs="Arial"/>
                <w:bCs/>
                <w:color w:val="auto"/>
              </w:rPr>
              <w:t xml:space="preserve"> </w:t>
            </w:r>
            <w:r w:rsidRPr="006E10D4">
              <w:rPr>
                <w:rFonts w:cs="Arial"/>
                <w:bCs/>
                <w:color w:val="auto"/>
              </w:rPr>
              <w:t>weight</w:t>
            </w:r>
            <w:r w:rsidR="00CD5564">
              <w:rPr>
                <w:rFonts w:cs="Arial"/>
                <w:bCs/>
                <w:color w:val="auto"/>
              </w:rPr>
              <w:t>s</w:t>
            </w:r>
            <w:r w:rsidRPr="006E10D4">
              <w:rPr>
                <w:rFonts w:cs="Arial"/>
                <w:bCs/>
                <w:color w:val="auto"/>
              </w:rPr>
              <w:t xml:space="preserve"> the shortfall in contributions.  </w:t>
            </w:r>
          </w:p>
          <w:p w14:paraId="6EF9E10A" w14:textId="77777777" w:rsidR="006E10D4" w:rsidRPr="006E10D4" w:rsidRDefault="006E10D4" w:rsidP="00905CC9">
            <w:pPr>
              <w:keepNext w:val="0"/>
              <w:autoSpaceDE w:val="0"/>
              <w:autoSpaceDN w:val="0"/>
              <w:adjustRightInd w:val="0"/>
              <w:spacing w:before="0"/>
              <w:ind w:left="360"/>
              <w:contextualSpacing/>
              <w:jc w:val="left"/>
              <w:rPr>
                <w:rFonts w:cs="Arial"/>
                <w:bCs/>
                <w:color w:val="auto"/>
              </w:rPr>
            </w:pPr>
          </w:p>
          <w:p w14:paraId="033B1EA5" w14:textId="77777777" w:rsidR="006E10D4" w:rsidRPr="006E10D4" w:rsidRDefault="006E10D4" w:rsidP="00874A98">
            <w:pPr>
              <w:keepNext w:val="0"/>
              <w:numPr>
                <w:ilvl w:val="0"/>
                <w:numId w:val="180"/>
              </w:numPr>
              <w:autoSpaceDE w:val="0"/>
              <w:autoSpaceDN w:val="0"/>
              <w:adjustRightInd w:val="0"/>
              <w:spacing w:before="0"/>
              <w:contextualSpacing/>
              <w:jc w:val="left"/>
              <w:rPr>
                <w:rFonts w:cs="Arial"/>
                <w:bCs/>
                <w:color w:val="auto"/>
              </w:rPr>
            </w:pPr>
            <w:r w:rsidRPr="006E10D4">
              <w:rPr>
                <w:rFonts w:cs="Arial"/>
                <w:bCs/>
                <w:color w:val="auto"/>
                <w:szCs w:val="24"/>
              </w:rPr>
              <w:t>The viability assessment should:</w:t>
            </w:r>
          </w:p>
          <w:p w14:paraId="0E134389" w14:textId="77777777" w:rsidR="006E10D4" w:rsidRPr="006E10D4" w:rsidRDefault="006E10D4" w:rsidP="00905CC9">
            <w:pPr>
              <w:keepNext w:val="0"/>
              <w:spacing w:before="0"/>
              <w:ind w:left="720"/>
              <w:contextualSpacing/>
              <w:jc w:val="left"/>
              <w:rPr>
                <w:rFonts w:cs="Arial"/>
                <w:bCs/>
                <w:color w:val="auto"/>
              </w:rPr>
            </w:pPr>
          </w:p>
          <w:p w14:paraId="14129CF7" w14:textId="77777777" w:rsidR="006E10D4" w:rsidRPr="006E10D4" w:rsidRDefault="006E10D4" w:rsidP="00874A98">
            <w:pPr>
              <w:keepNext w:val="0"/>
              <w:numPr>
                <w:ilvl w:val="0"/>
                <w:numId w:val="179"/>
              </w:numPr>
              <w:autoSpaceDE w:val="0"/>
              <w:autoSpaceDN w:val="0"/>
              <w:adjustRightInd w:val="0"/>
              <w:spacing w:before="0"/>
              <w:contextualSpacing/>
              <w:jc w:val="left"/>
              <w:rPr>
                <w:rFonts w:cs="Arial"/>
                <w:bCs/>
                <w:color w:val="auto"/>
              </w:rPr>
            </w:pPr>
            <w:r w:rsidRPr="006E10D4">
              <w:rPr>
                <w:rFonts w:cs="Arial"/>
                <w:bCs/>
                <w:color w:val="auto"/>
                <w:szCs w:val="24"/>
              </w:rPr>
              <w:t xml:space="preserve">set out and justify the methodology, the inputs and assumptions applied in the assessment; </w:t>
            </w:r>
          </w:p>
          <w:p w14:paraId="291C7112" w14:textId="77777777" w:rsidR="006E10D4" w:rsidRPr="006E10D4" w:rsidRDefault="006E10D4" w:rsidP="00874A98">
            <w:pPr>
              <w:keepNext w:val="0"/>
              <w:numPr>
                <w:ilvl w:val="0"/>
                <w:numId w:val="179"/>
              </w:numPr>
              <w:autoSpaceDE w:val="0"/>
              <w:autoSpaceDN w:val="0"/>
              <w:adjustRightInd w:val="0"/>
              <w:spacing w:before="0" w:after="160" w:line="252" w:lineRule="auto"/>
              <w:contextualSpacing/>
              <w:jc w:val="left"/>
              <w:rPr>
                <w:rFonts w:cs="Arial"/>
                <w:bCs/>
                <w:color w:val="auto"/>
              </w:rPr>
            </w:pPr>
            <w:r w:rsidRPr="006E10D4">
              <w:rPr>
                <w:rFonts w:cs="Arial"/>
                <w:bCs/>
                <w:color w:val="auto"/>
                <w:szCs w:val="24"/>
              </w:rPr>
              <w:t>apply sensitivity analysis and/or scenario analysis of the results; and</w:t>
            </w:r>
          </w:p>
          <w:p w14:paraId="432A8200" w14:textId="77777777" w:rsidR="006E10D4" w:rsidRPr="006E10D4" w:rsidRDefault="006E10D4" w:rsidP="00874A98">
            <w:pPr>
              <w:keepNext w:val="0"/>
              <w:numPr>
                <w:ilvl w:val="0"/>
                <w:numId w:val="179"/>
              </w:numPr>
              <w:autoSpaceDE w:val="0"/>
              <w:autoSpaceDN w:val="0"/>
              <w:adjustRightInd w:val="0"/>
              <w:spacing w:before="0" w:after="160" w:line="252" w:lineRule="auto"/>
              <w:contextualSpacing/>
              <w:jc w:val="left"/>
              <w:rPr>
                <w:rFonts w:cs="Arial"/>
                <w:bCs/>
                <w:color w:val="auto"/>
              </w:rPr>
            </w:pPr>
            <w:r w:rsidRPr="006E10D4">
              <w:rPr>
                <w:rFonts w:cs="Arial"/>
                <w:bCs/>
                <w:color w:val="auto"/>
                <w:szCs w:val="24"/>
              </w:rPr>
              <w:t>set out an explanation and interpretation of the viability calculations and results have regard to risk and returns.</w:t>
            </w:r>
          </w:p>
          <w:p w14:paraId="50CA1842" w14:textId="77777777" w:rsidR="006E10D4" w:rsidRPr="006E10D4" w:rsidRDefault="006E10D4" w:rsidP="00905CC9">
            <w:pPr>
              <w:keepNext w:val="0"/>
              <w:autoSpaceDE w:val="0"/>
              <w:autoSpaceDN w:val="0"/>
              <w:adjustRightInd w:val="0"/>
              <w:spacing w:before="0"/>
              <w:ind w:left="426"/>
              <w:jc w:val="left"/>
              <w:rPr>
                <w:rFonts w:cs="Arial"/>
                <w:bCs/>
                <w:color w:val="auto"/>
                <w:szCs w:val="24"/>
              </w:rPr>
            </w:pPr>
          </w:p>
          <w:p w14:paraId="74118925" w14:textId="77777777" w:rsidR="006E10D4" w:rsidRPr="006E10D4" w:rsidRDefault="006E10D4" w:rsidP="00905CC9">
            <w:pPr>
              <w:keepNext w:val="0"/>
              <w:autoSpaceDE w:val="0"/>
              <w:autoSpaceDN w:val="0"/>
              <w:adjustRightInd w:val="0"/>
              <w:spacing w:before="0"/>
              <w:ind w:left="426"/>
              <w:jc w:val="left"/>
              <w:rPr>
                <w:rFonts w:cs="Arial"/>
                <w:bCs/>
                <w:color w:val="auto"/>
                <w:szCs w:val="24"/>
              </w:rPr>
            </w:pPr>
            <w:r w:rsidRPr="006E10D4">
              <w:rPr>
                <w:rFonts w:cs="Arial"/>
                <w:bCs/>
                <w:color w:val="auto"/>
                <w:szCs w:val="24"/>
              </w:rPr>
              <w:t xml:space="preserve">Any viability assessment to support an application will be tested by a viability specialist appointed by the Council with the cost of the assessment being met by the applicant.  </w:t>
            </w:r>
          </w:p>
          <w:p w14:paraId="5FC7433B" w14:textId="77777777" w:rsidR="006E10D4" w:rsidRPr="006E10D4" w:rsidRDefault="006E10D4" w:rsidP="00905CC9">
            <w:pPr>
              <w:keepNext w:val="0"/>
              <w:spacing w:before="0" w:after="160" w:line="252" w:lineRule="auto"/>
              <w:ind w:left="720"/>
              <w:contextualSpacing/>
              <w:jc w:val="left"/>
              <w:rPr>
                <w:rFonts w:cs="Arial"/>
                <w:bCs/>
                <w:color w:val="auto"/>
              </w:rPr>
            </w:pPr>
          </w:p>
          <w:p w14:paraId="7A6B12C2" w14:textId="77777777" w:rsidR="006E10D4" w:rsidRPr="006E10D4" w:rsidRDefault="006E10D4" w:rsidP="00874A98">
            <w:pPr>
              <w:keepNext w:val="0"/>
              <w:numPr>
                <w:ilvl w:val="0"/>
                <w:numId w:val="180"/>
              </w:numPr>
              <w:autoSpaceDE w:val="0"/>
              <w:autoSpaceDN w:val="0"/>
              <w:adjustRightInd w:val="0"/>
              <w:spacing w:before="0" w:after="160" w:line="252" w:lineRule="auto"/>
              <w:contextualSpacing/>
              <w:jc w:val="left"/>
              <w:rPr>
                <w:rFonts w:cs="Arial"/>
                <w:bCs/>
                <w:color w:val="auto"/>
              </w:rPr>
            </w:pPr>
            <w:r w:rsidRPr="006E10D4">
              <w:rPr>
                <w:rFonts w:cs="Arial"/>
                <w:bCs/>
                <w:color w:val="auto"/>
              </w:rPr>
              <w:t xml:space="preserve">In considering the viability assessment, regard will be had to national planning policy guidance on viability and other guidance issues issued by the professional bodies such as the RICS and RTPI.   </w:t>
            </w:r>
          </w:p>
          <w:p w14:paraId="78BBA4FE" w14:textId="77777777" w:rsidR="006E10D4" w:rsidRPr="006E10D4" w:rsidRDefault="006E10D4" w:rsidP="00905CC9">
            <w:pPr>
              <w:keepNext w:val="0"/>
              <w:autoSpaceDE w:val="0"/>
              <w:autoSpaceDN w:val="0"/>
              <w:adjustRightInd w:val="0"/>
              <w:spacing w:before="0"/>
              <w:ind w:left="360"/>
              <w:contextualSpacing/>
              <w:jc w:val="left"/>
              <w:rPr>
                <w:rFonts w:cs="Arial"/>
                <w:bCs/>
                <w:color w:val="auto"/>
              </w:rPr>
            </w:pPr>
          </w:p>
          <w:p w14:paraId="51B5A2AD" w14:textId="77777777" w:rsidR="006E10D4" w:rsidRPr="006E10D4" w:rsidRDefault="006E10D4" w:rsidP="00874A98">
            <w:pPr>
              <w:keepNext w:val="0"/>
              <w:numPr>
                <w:ilvl w:val="0"/>
                <w:numId w:val="180"/>
              </w:numPr>
              <w:autoSpaceDE w:val="0"/>
              <w:autoSpaceDN w:val="0"/>
              <w:adjustRightInd w:val="0"/>
              <w:spacing w:before="0" w:after="160" w:line="252" w:lineRule="auto"/>
              <w:contextualSpacing/>
              <w:jc w:val="left"/>
              <w:rPr>
                <w:rFonts w:cs="Arial"/>
                <w:bCs/>
                <w:color w:val="auto"/>
              </w:rPr>
            </w:pPr>
            <w:r w:rsidRPr="006E10D4">
              <w:rPr>
                <w:rFonts w:cs="Arial"/>
                <w:bCs/>
                <w:color w:val="auto"/>
              </w:rPr>
              <w:t xml:space="preserve">Where appropriate, if planning contributions are reduced below the requirements set out in Local Plan policies on major developments, the developer will be required to enter into an agreement on how policy compliance on those contributions can be sought to be achieved over the lifetime of the project.     </w:t>
            </w:r>
          </w:p>
          <w:p w14:paraId="402EB12C" w14:textId="77777777" w:rsidR="006E10D4" w:rsidRPr="006E10D4" w:rsidRDefault="006E10D4" w:rsidP="00905CC9">
            <w:pPr>
              <w:keepNext w:val="0"/>
              <w:spacing w:before="0" w:after="160" w:line="252" w:lineRule="auto"/>
              <w:ind w:left="720"/>
              <w:contextualSpacing/>
              <w:jc w:val="left"/>
              <w:rPr>
                <w:rFonts w:cs="Arial"/>
                <w:bCs/>
                <w:color w:val="auto"/>
                <w:szCs w:val="24"/>
              </w:rPr>
            </w:pPr>
          </w:p>
          <w:p w14:paraId="5A4FB528" w14:textId="77777777" w:rsidR="006E10D4" w:rsidRPr="006E10D4" w:rsidRDefault="006E10D4" w:rsidP="00874A98">
            <w:pPr>
              <w:keepNext w:val="0"/>
              <w:numPr>
                <w:ilvl w:val="0"/>
                <w:numId w:val="180"/>
              </w:numPr>
              <w:autoSpaceDE w:val="0"/>
              <w:autoSpaceDN w:val="0"/>
              <w:adjustRightInd w:val="0"/>
              <w:spacing w:before="0" w:after="160" w:line="252" w:lineRule="auto"/>
              <w:contextualSpacing/>
              <w:jc w:val="left"/>
              <w:rPr>
                <w:rFonts w:cs="Arial"/>
                <w:bCs/>
                <w:color w:val="auto"/>
              </w:rPr>
            </w:pPr>
            <w:r w:rsidRPr="006E10D4">
              <w:rPr>
                <w:rFonts w:cs="Arial"/>
                <w:bCs/>
                <w:color w:val="auto"/>
                <w:szCs w:val="24"/>
              </w:rPr>
              <w:t>The Council will consider the timing and level of planning obligations that can be supported as a part of the viability assessment process.  Where safeguards are necessary to make a development acceptable in planning terms and these cannot be secured, planning permission will be refused.</w:t>
            </w:r>
          </w:p>
          <w:p w14:paraId="3EE5A702" w14:textId="77777777" w:rsidR="006E10D4" w:rsidRPr="006E10D4" w:rsidRDefault="006E10D4" w:rsidP="00905CC9">
            <w:pPr>
              <w:keepNext w:val="0"/>
              <w:spacing w:before="0" w:after="160" w:line="252" w:lineRule="auto"/>
              <w:ind w:left="720"/>
              <w:contextualSpacing/>
              <w:jc w:val="left"/>
              <w:rPr>
                <w:rFonts w:cs="Arial"/>
                <w:bCs/>
                <w:color w:val="auto"/>
              </w:rPr>
            </w:pPr>
          </w:p>
          <w:p w14:paraId="0B44CBA6" w14:textId="77777777" w:rsidR="006E10D4" w:rsidRPr="006E10D4" w:rsidRDefault="006E10D4" w:rsidP="00874A98">
            <w:pPr>
              <w:keepNext w:val="0"/>
              <w:numPr>
                <w:ilvl w:val="0"/>
                <w:numId w:val="180"/>
              </w:numPr>
              <w:autoSpaceDE w:val="0"/>
              <w:autoSpaceDN w:val="0"/>
              <w:adjustRightInd w:val="0"/>
              <w:spacing w:before="0" w:after="160" w:line="252" w:lineRule="auto"/>
              <w:contextualSpacing/>
              <w:jc w:val="left"/>
              <w:rPr>
                <w:rFonts w:cs="Arial"/>
                <w:bCs/>
                <w:color w:val="auto"/>
              </w:rPr>
            </w:pPr>
            <w:r w:rsidRPr="006E10D4">
              <w:rPr>
                <w:rFonts w:cs="Arial"/>
                <w:bCs/>
                <w:color w:val="auto"/>
              </w:rPr>
              <w:t xml:space="preserve">A viability assessment should be prepared on the basis that </w:t>
            </w:r>
            <w:r w:rsidRPr="006E10D4">
              <w:rPr>
                <w:rFonts w:cs="Arial"/>
                <w:bCs/>
                <w:strike/>
                <w:color w:val="auto"/>
              </w:rPr>
              <w:t>i</w:t>
            </w:r>
            <w:r w:rsidRPr="006E10D4">
              <w:rPr>
                <w:rFonts w:cs="Arial"/>
                <w:bCs/>
                <w:color w:val="auto"/>
              </w:rPr>
              <w:t>t will be made publicly available. If any aspects of the assessment are considered to be commercial sensitive the developer should agree with the Council what information will release and in what format.</w:t>
            </w:r>
          </w:p>
          <w:p w14:paraId="69456390" w14:textId="77777777" w:rsidR="006E10D4" w:rsidRPr="006E10D4" w:rsidRDefault="006E10D4" w:rsidP="00905CC9">
            <w:pPr>
              <w:keepNext w:val="0"/>
              <w:spacing w:before="0" w:after="160" w:line="252" w:lineRule="auto"/>
              <w:ind w:left="720"/>
              <w:contextualSpacing/>
              <w:jc w:val="left"/>
              <w:rPr>
                <w:rFonts w:cs="Arial"/>
                <w:bCs/>
                <w:color w:val="auto"/>
              </w:rPr>
            </w:pPr>
          </w:p>
          <w:p w14:paraId="2609775C" w14:textId="77777777" w:rsidR="006E10D4" w:rsidRPr="006E10D4" w:rsidRDefault="006E10D4" w:rsidP="00905CC9">
            <w:pPr>
              <w:keepNext w:val="0"/>
              <w:autoSpaceDE w:val="0"/>
              <w:autoSpaceDN w:val="0"/>
              <w:adjustRightInd w:val="0"/>
              <w:spacing w:before="0"/>
              <w:jc w:val="left"/>
              <w:rPr>
                <w:rFonts w:cs="Arial"/>
                <w:bCs/>
                <w:color w:val="auto"/>
              </w:rPr>
            </w:pPr>
            <w:r w:rsidRPr="006E10D4">
              <w:rPr>
                <w:rFonts w:cs="Arial"/>
                <w:bCs/>
                <w:color w:val="auto"/>
              </w:rPr>
              <w:t xml:space="preserve">Lack of Demand </w:t>
            </w:r>
          </w:p>
          <w:p w14:paraId="5434DB6A" w14:textId="77777777" w:rsidR="006E10D4" w:rsidRPr="006E10D4" w:rsidRDefault="006E10D4" w:rsidP="00905CC9">
            <w:pPr>
              <w:keepNext w:val="0"/>
              <w:autoSpaceDE w:val="0"/>
              <w:autoSpaceDN w:val="0"/>
              <w:adjustRightInd w:val="0"/>
              <w:spacing w:before="0"/>
              <w:jc w:val="left"/>
              <w:rPr>
                <w:rFonts w:cs="Arial"/>
                <w:bCs/>
                <w:color w:val="auto"/>
              </w:rPr>
            </w:pPr>
          </w:p>
          <w:p w14:paraId="0AD246EE" w14:textId="77777777" w:rsidR="006E10D4" w:rsidRPr="006E10D4" w:rsidRDefault="006E10D4" w:rsidP="00874A98">
            <w:pPr>
              <w:keepNext w:val="0"/>
              <w:numPr>
                <w:ilvl w:val="0"/>
                <w:numId w:val="180"/>
              </w:numPr>
              <w:autoSpaceDE w:val="0"/>
              <w:autoSpaceDN w:val="0"/>
              <w:adjustRightInd w:val="0"/>
              <w:spacing w:before="0" w:after="160" w:line="252" w:lineRule="auto"/>
              <w:contextualSpacing/>
              <w:jc w:val="left"/>
              <w:rPr>
                <w:rFonts w:cs="Arial"/>
                <w:bCs/>
                <w:color w:val="auto"/>
              </w:rPr>
            </w:pPr>
            <w:r w:rsidRPr="006E10D4">
              <w:rPr>
                <w:rFonts w:cs="Arial"/>
                <w:bCs/>
                <w:color w:val="auto"/>
                <w:szCs w:val="24"/>
              </w:rPr>
              <w:t>Where policies in the Local Plan or national planning policy require the demonstration of a lack of demand for a building or site, the Council will require the applicant to demonstrate:</w:t>
            </w:r>
          </w:p>
          <w:p w14:paraId="3FF7CEA2" w14:textId="77777777" w:rsidR="006E10D4" w:rsidRPr="006E10D4" w:rsidRDefault="006E10D4" w:rsidP="00905CC9">
            <w:pPr>
              <w:keepNext w:val="0"/>
              <w:autoSpaceDE w:val="0"/>
              <w:autoSpaceDN w:val="0"/>
              <w:adjustRightInd w:val="0"/>
              <w:spacing w:before="0"/>
              <w:ind w:left="426"/>
              <w:jc w:val="left"/>
              <w:rPr>
                <w:rFonts w:cs="Arial"/>
                <w:bCs/>
                <w:color w:val="auto"/>
                <w:szCs w:val="24"/>
              </w:rPr>
            </w:pPr>
          </w:p>
          <w:p w14:paraId="20BF0335" w14:textId="77777777" w:rsidR="006E10D4" w:rsidRPr="006E10D4" w:rsidRDefault="006E10D4" w:rsidP="00874A98">
            <w:pPr>
              <w:keepNext w:val="0"/>
              <w:numPr>
                <w:ilvl w:val="0"/>
                <w:numId w:val="181"/>
              </w:numPr>
              <w:autoSpaceDE w:val="0"/>
              <w:autoSpaceDN w:val="0"/>
              <w:adjustRightInd w:val="0"/>
              <w:spacing w:before="0" w:after="160" w:line="252" w:lineRule="auto"/>
              <w:contextualSpacing/>
              <w:jc w:val="left"/>
              <w:rPr>
                <w:rFonts w:cs="Arial"/>
                <w:bCs/>
                <w:color w:val="auto"/>
                <w:szCs w:val="24"/>
              </w:rPr>
            </w:pPr>
            <w:r w:rsidRPr="006E10D4">
              <w:rPr>
                <w:rFonts w:cs="Arial"/>
                <w:bCs/>
                <w:color w:val="auto"/>
                <w:szCs w:val="24"/>
              </w:rPr>
              <w:t>the building or site has been openly marketed for an appropriate period at an appropriate asking price, and there is no demand for the proposed use, and</w:t>
            </w:r>
          </w:p>
          <w:p w14:paraId="5AEAC060" w14:textId="77777777" w:rsidR="006E10D4" w:rsidRPr="006E10D4" w:rsidRDefault="006E10D4" w:rsidP="00905CC9">
            <w:pPr>
              <w:keepNext w:val="0"/>
              <w:autoSpaceDE w:val="0"/>
              <w:autoSpaceDN w:val="0"/>
              <w:adjustRightInd w:val="0"/>
              <w:spacing w:before="0"/>
              <w:ind w:left="720"/>
              <w:contextualSpacing/>
              <w:jc w:val="left"/>
              <w:rPr>
                <w:rFonts w:cs="Arial"/>
                <w:bCs/>
                <w:color w:val="auto"/>
                <w:szCs w:val="24"/>
              </w:rPr>
            </w:pPr>
          </w:p>
          <w:p w14:paraId="77DEDF3A" w14:textId="77777777" w:rsidR="006E10D4" w:rsidRDefault="006E10D4" w:rsidP="00874A98">
            <w:pPr>
              <w:keepNext w:val="0"/>
              <w:numPr>
                <w:ilvl w:val="0"/>
                <w:numId w:val="181"/>
              </w:numPr>
              <w:autoSpaceDE w:val="0"/>
              <w:autoSpaceDN w:val="0"/>
              <w:adjustRightInd w:val="0"/>
              <w:spacing w:before="0" w:after="160" w:line="252" w:lineRule="auto"/>
              <w:contextualSpacing/>
              <w:jc w:val="left"/>
              <w:rPr>
                <w:rFonts w:cs="Arial"/>
                <w:bCs/>
                <w:color w:val="auto"/>
                <w:szCs w:val="24"/>
              </w:rPr>
            </w:pPr>
            <w:r w:rsidRPr="006E10D4">
              <w:rPr>
                <w:rFonts w:eastAsia="Arial" w:cs="Arial"/>
                <w:bCs/>
                <w:color w:val="auto"/>
              </w:rPr>
              <w:t>Re-development of the building or land for the existing use is not viable on the site</w:t>
            </w:r>
            <w:r w:rsidRPr="006E10D4">
              <w:rPr>
                <w:rFonts w:cs="Arial"/>
                <w:bCs/>
                <w:color w:val="auto"/>
                <w:szCs w:val="24"/>
              </w:rPr>
              <w:t>.</w:t>
            </w:r>
          </w:p>
          <w:p w14:paraId="4B096AE6" w14:textId="210FD804" w:rsidR="006E10D4" w:rsidRPr="006E10D4" w:rsidRDefault="006E10D4" w:rsidP="00905CC9">
            <w:pPr>
              <w:keepNext w:val="0"/>
              <w:autoSpaceDE w:val="0"/>
              <w:autoSpaceDN w:val="0"/>
              <w:adjustRightInd w:val="0"/>
              <w:spacing w:before="0" w:after="160" w:line="252" w:lineRule="auto"/>
              <w:contextualSpacing/>
              <w:jc w:val="left"/>
              <w:rPr>
                <w:rFonts w:cs="Arial"/>
                <w:bCs/>
                <w:color w:val="auto"/>
                <w:szCs w:val="24"/>
              </w:rPr>
            </w:pPr>
          </w:p>
        </w:tc>
      </w:tr>
      <w:bookmarkEnd w:id="302"/>
      <w:tr w:rsidR="006E10D4" w:rsidRPr="006E10D4" w14:paraId="2D266393" w14:textId="77777777" w:rsidTr="00163F59">
        <w:tc>
          <w:tcPr>
            <w:tcW w:w="2405" w:type="dxa"/>
          </w:tcPr>
          <w:p w14:paraId="475951A0" w14:textId="77777777" w:rsidR="006E10D4" w:rsidRPr="006E10D4" w:rsidRDefault="006E10D4" w:rsidP="007075B1">
            <w:pPr>
              <w:keepNext w:val="0"/>
              <w:tabs>
                <w:tab w:val="left" w:pos="680"/>
                <w:tab w:val="left" w:pos="1133"/>
                <w:tab w:val="left" w:pos="2267"/>
              </w:tabs>
              <w:spacing w:before="0"/>
              <w:ind w:right="284"/>
              <w:jc w:val="left"/>
              <w:rPr>
                <w:rFonts w:eastAsia="Arial"/>
                <w:b/>
                <w:color w:val="7030A0"/>
                <w:szCs w:val="24"/>
              </w:rPr>
            </w:pPr>
            <w:r w:rsidRPr="006E10D4">
              <w:rPr>
                <w:rFonts w:eastAsia="Arial" w:cs="Arial"/>
                <w:bCs/>
                <w:color w:val="auto"/>
                <w:sz w:val="20"/>
              </w:rPr>
              <w:t>Evidence base</w:t>
            </w:r>
          </w:p>
        </w:tc>
        <w:tc>
          <w:tcPr>
            <w:tcW w:w="7229" w:type="dxa"/>
            <w:gridSpan w:val="2"/>
          </w:tcPr>
          <w:p w14:paraId="489D3EA4" w14:textId="5FB51F3C" w:rsidR="006E10D4" w:rsidRPr="00DB05C3" w:rsidRDefault="006E10D4" w:rsidP="007075B1">
            <w:pPr>
              <w:keepNext w:val="0"/>
              <w:numPr>
                <w:ilvl w:val="0"/>
                <w:numId w:val="39"/>
              </w:numPr>
              <w:tabs>
                <w:tab w:val="left" w:pos="680"/>
                <w:tab w:val="left" w:pos="1133"/>
                <w:tab w:val="left" w:pos="2267"/>
              </w:tabs>
              <w:spacing w:before="0" w:after="160" w:line="252" w:lineRule="auto"/>
              <w:ind w:right="284"/>
              <w:contextualSpacing/>
              <w:jc w:val="left"/>
              <w:rPr>
                <w:rFonts w:eastAsia="Arial" w:cs="Arial"/>
                <w:bCs/>
                <w:color w:val="auto"/>
                <w:sz w:val="20"/>
              </w:rPr>
            </w:pPr>
            <w:r w:rsidRPr="006E10D4">
              <w:rPr>
                <w:rFonts w:eastAsia="Arial" w:cs="Arial"/>
                <w:bCs/>
                <w:color w:val="auto"/>
                <w:sz w:val="20"/>
              </w:rPr>
              <w:t xml:space="preserve">Sustainability Appraisal </w:t>
            </w:r>
            <w:r w:rsidRPr="00DB05C3">
              <w:rPr>
                <w:rFonts w:eastAsia="Arial" w:cs="Arial"/>
                <w:bCs/>
                <w:color w:val="auto"/>
                <w:sz w:val="20"/>
              </w:rPr>
              <w:t>202</w:t>
            </w:r>
            <w:r w:rsidR="00C1699D" w:rsidRPr="00DB05C3">
              <w:rPr>
                <w:rFonts w:eastAsia="Arial" w:cs="Arial"/>
                <w:bCs/>
                <w:color w:val="auto"/>
                <w:sz w:val="20"/>
              </w:rPr>
              <w:t>3</w:t>
            </w:r>
            <w:r w:rsidRPr="00DB05C3">
              <w:rPr>
                <w:rFonts w:eastAsia="Arial" w:cs="Arial"/>
                <w:bCs/>
                <w:color w:val="auto"/>
                <w:sz w:val="20"/>
              </w:rPr>
              <w:t xml:space="preserve">. </w:t>
            </w:r>
            <w:r w:rsidR="00C1699D" w:rsidRPr="00DB05C3">
              <w:rPr>
                <w:rFonts w:eastAsia="Arial" w:cs="Arial"/>
                <w:bCs/>
                <w:color w:val="auto"/>
                <w:sz w:val="20"/>
              </w:rPr>
              <w:t>WSP UK Limited</w:t>
            </w:r>
            <w:r w:rsidRPr="00DB05C3">
              <w:rPr>
                <w:rFonts w:eastAsia="Arial" w:cs="Arial"/>
                <w:bCs/>
                <w:color w:val="auto"/>
                <w:sz w:val="20"/>
              </w:rPr>
              <w:t>.</w:t>
            </w:r>
          </w:p>
          <w:p w14:paraId="5378F969" w14:textId="5A392E83" w:rsidR="006E10D4" w:rsidRPr="000E778B" w:rsidRDefault="006E10D4" w:rsidP="007075B1">
            <w:pPr>
              <w:keepNext w:val="0"/>
              <w:numPr>
                <w:ilvl w:val="0"/>
                <w:numId w:val="39"/>
              </w:numPr>
              <w:tabs>
                <w:tab w:val="left" w:pos="680"/>
                <w:tab w:val="left" w:pos="1133"/>
                <w:tab w:val="left" w:pos="2267"/>
              </w:tabs>
              <w:spacing w:before="0" w:after="160" w:line="252" w:lineRule="auto"/>
              <w:ind w:right="284"/>
              <w:contextualSpacing/>
              <w:jc w:val="left"/>
              <w:rPr>
                <w:rFonts w:eastAsia="Arial" w:cs="Arial"/>
                <w:bCs/>
                <w:color w:val="auto"/>
                <w:sz w:val="20"/>
              </w:rPr>
            </w:pPr>
            <w:r w:rsidRPr="000E778B">
              <w:rPr>
                <w:rFonts w:eastAsia="Arial" w:cs="Arial"/>
                <w:bCs/>
                <w:color w:val="auto"/>
                <w:sz w:val="20"/>
              </w:rPr>
              <w:t>Background Paper</w:t>
            </w:r>
            <w:r w:rsidR="007075B1" w:rsidRPr="000E778B">
              <w:rPr>
                <w:rFonts w:eastAsia="Arial" w:cs="Arial"/>
                <w:bCs/>
                <w:color w:val="auto"/>
                <w:sz w:val="20"/>
              </w:rPr>
              <w:t xml:space="preserve"> No </w:t>
            </w:r>
            <w:r w:rsidRPr="000E778B">
              <w:rPr>
                <w:rFonts w:eastAsia="Arial" w:cs="Arial"/>
                <w:bCs/>
                <w:color w:val="auto"/>
                <w:sz w:val="20"/>
              </w:rPr>
              <w:t>5</w:t>
            </w:r>
            <w:r w:rsidR="007075B1" w:rsidRPr="000E778B">
              <w:rPr>
                <w:rFonts w:eastAsia="Arial" w:cs="Arial"/>
                <w:bCs/>
                <w:color w:val="auto"/>
                <w:sz w:val="20"/>
              </w:rPr>
              <w:t>:</w:t>
            </w:r>
            <w:r w:rsidRPr="000E778B">
              <w:rPr>
                <w:rFonts w:eastAsia="Arial" w:cs="Arial"/>
                <w:bCs/>
                <w:color w:val="auto"/>
                <w:sz w:val="20"/>
              </w:rPr>
              <w:t xml:space="preserve"> Infrastructure Delivery</w:t>
            </w:r>
            <w:r w:rsidR="007075B1" w:rsidRPr="000E778B">
              <w:rPr>
                <w:rFonts w:eastAsia="Arial" w:cs="Arial"/>
                <w:bCs/>
                <w:color w:val="auto"/>
                <w:sz w:val="20"/>
              </w:rPr>
              <w:t xml:space="preserve"> 202</w:t>
            </w:r>
            <w:r w:rsidR="000E778B" w:rsidRPr="000E778B">
              <w:rPr>
                <w:rFonts w:eastAsia="Arial" w:cs="Arial"/>
                <w:bCs/>
                <w:color w:val="auto"/>
                <w:sz w:val="20"/>
              </w:rPr>
              <w:t>3</w:t>
            </w:r>
            <w:r w:rsidRPr="000E778B">
              <w:rPr>
                <w:rFonts w:eastAsia="Arial" w:cs="Arial"/>
                <w:bCs/>
                <w:color w:val="auto"/>
                <w:sz w:val="20"/>
              </w:rPr>
              <w:t>. Ashfield District Council</w:t>
            </w:r>
            <w:r w:rsidRPr="000E778B">
              <w:rPr>
                <w:rFonts w:cs="Arial"/>
                <w:color w:val="auto"/>
                <w:sz w:val="20"/>
              </w:rPr>
              <w:t>.</w:t>
            </w:r>
          </w:p>
          <w:p w14:paraId="63051732" w14:textId="18F59B0A" w:rsidR="006E10D4" w:rsidRPr="00DB05C3" w:rsidRDefault="006E10D4" w:rsidP="007075B1">
            <w:pPr>
              <w:keepNext w:val="0"/>
              <w:numPr>
                <w:ilvl w:val="0"/>
                <w:numId w:val="39"/>
              </w:numPr>
              <w:tabs>
                <w:tab w:val="left" w:pos="680"/>
                <w:tab w:val="left" w:pos="1133"/>
                <w:tab w:val="left" w:pos="2267"/>
              </w:tabs>
              <w:spacing w:before="0" w:after="160" w:line="252" w:lineRule="auto"/>
              <w:ind w:right="284"/>
              <w:contextualSpacing/>
              <w:jc w:val="left"/>
              <w:rPr>
                <w:rFonts w:eastAsia="Arial" w:cs="Arial"/>
                <w:bCs/>
                <w:color w:val="auto"/>
                <w:sz w:val="20"/>
              </w:rPr>
            </w:pPr>
            <w:r w:rsidRPr="00DB05C3">
              <w:rPr>
                <w:rFonts w:cs="Arial"/>
                <w:color w:val="auto"/>
                <w:sz w:val="20"/>
              </w:rPr>
              <w:t>Ashfield</w:t>
            </w:r>
            <w:r w:rsidR="0025538D" w:rsidRPr="00DB05C3">
              <w:rPr>
                <w:rFonts w:cs="Arial"/>
                <w:color w:val="auto"/>
                <w:sz w:val="20"/>
              </w:rPr>
              <w:t xml:space="preserve"> </w:t>
            </w:r>
            <w:r w:rsidR="00C1699D" w:rsidRPr="00DB05C3">
              <w:rPr>
                <w:rFonts w:cs="Arial"/>
                <w:color w:val="auto"/>
                <w:sz w:val="20"/>
              </w:rPr>
              <w:t>Whole Plan Viability Assessment</w:t>
            </w:r>
            <w:r w:rsidRPr="00DB05C3">
              <w:rPr>
                <w:rFonts w:cs="Arial"/>
                <w:color w:val="auto"/>
                <w:sz w:val="20"/>
              </w:rPr>
              <w:t>, 20</w:t>
            </w:r>
            <w:r w:rsidR="00C1699D" w:rsidRPr="00DB05C3">
              <w:rPr>
                <w:rFonts w:cs="Arial"/>
                <w:color w:val="auto"/>
                <w:sz w:val="20"/>
              </w:rPr>
              <w:t>23</w:t>
            </w:r>
            <w:r w:rsidRPr="00DB05C3">
              <w:rPr>
                <w:rFonts w:cs="Arial"/>
                <w:color w:val="auto"/>
                <w:sz w:val="20"/>
              </w:rPr>
              <w:t>.  Nationwide CIL Service.</w:t>
            </w:r>
          </w:p>
          <w:p w14:paraId="5557C223" w14:textId="77777777" w:rsidR="006E10D4" w:rsidRPr="006E10D4" w:rsidRDefault="006E10D4" w:rsidP="007075B1">
            <w:pPr>
              <w:keepNext w:val="0"/>
              <w:numPr>
                <w:ilvl w:val="0"/>
                <w:numId w:val="39"/>
              </w:numPr>
              <w:tabs>
                <w:tab w:val="left" w:pos="680"/>
                <w:tab w:val="left" w:pos="1133"/>
                <w:tab w:val="left" w:pos="2267"/>
              </w:tabs>
              <w:spacing w:before="0" w:after="160" w:line="252" w:lineRule="auto"/>
              <w:ind w:right="284"/>
              <w:contextualSpacing/>
              <w:jc w:val="left"/>
              <w:rPr>
                <w:rFonts w:eastAsia="Arial" w:cs="Arial"/>
                <w:bCs/>
                <w:color w:val="auto"/>
                <w:sz w:val="20"/>
              </w:rPr>
            </w:pPr>
            <w:r w:rsidRPr="00DB05C3">
              <w:rPr>
                <w:rFonts w:eastAsia="Arial" w:cs="Arial"/>
                <w:bCs/>
                <w:color w:val="auto"/>
                <w:sz w:val="20"/>
              </w:rPr>
              <w:t xml:space="preserve">Guidance Note </w:t>
            </w:r>
            <w:r w:rsidRPr="006E10D4">
              <w:rPr>
                <w:rFonts w:eastAsia="Arial" w:cs="Arial"/>
                <w:bCs/>
                <w:color w:val="auto"/>
                <w:sz w:val="20"/>
              </w:rPr>
              <w:t>- Assessing Viability in planning under the National Planning Policy Framework 2019 for England, 1</w:t>
            </w:r>
            <w:r w:rsidRPr="006E10D4">
              <w:rPr>
                <w:rFonts w:eastAsia="Arial" w:cs="Arial"/>
                <w:bCs/>
                <w:color w:val="auto"/>
                <w:sz w:val="20"/>
                <w:vertAlign w:val="superscript"/>
              </w:rPr>
              <w:t>st</w:t>
            </w:r>
            <w:r w:rsidRPr="006E10D4">
              <w:rPr>
                <w:rFonts w:eastAsia="Arial" w:cs="Arial"/>
                <w:bCs/>
                <w:color w:val="auto"/>
                <w:sz w:val="20"/>
              </w:rPr>
              <w:t xml:space="preserve"> Edition 2021.  RICS</w:t>
            </w:r>
          </w:p>
          <w:p w14:paraId="22BFA4EA" w14:textId="77777777" w:rsidR="006E10D4" w:rsidRPr="006E10D4" w:rsidRDefault="006E10D4" w:rsidP="007075B1">
            <w:pPr>
              <w:keepNext w:val="0"/>
              <w:numPr>
                <w:ilvl w:val="0"/>
                <w:numId w:val="39"/>
              </w:numPr>
              <w:tabs>
                <w:tab w:val="left" w:pos="680"/>
                <w:tab w:val="left" w:pos="1133"/>
                <w:tab w:val="left" w:pos="2267"/>
              </w:tabs>
              <w:spacing w:before="0" w:after="160" w:line="252" w:lineRule="auto"/>
              <w:ind w:right="284"/>
              <w:contextualSpacing/>
              <w:jc w:val="left"/>
              <w:rPr>
                <w:rFonts w:eastAsia="Arial" w:cs="Arial"/>
                <w:bCs/>
                <w:color w:val="auto"/>
                <w:sz w:val="20"/>
              </w:rPr>
            </w:pPr>
            <w:r w:rsidRPr="006E10D4">
              <w:rPr>
                <w:rFonts w:eastAsia="Arial" w:cs="Arial"/>
                <w:bCs/>
                <w:color w:val="auto"/>
                <w:sz w:val="20"/>
              </w:rPr>
              <w:t>Viability Testing Local Plans Advice for planning practitioners, 2012. Local Housing Delivery Group Chaired by Sir John Harman.</w:t>
            </w:r>
          </w:p>
        </w:tc>
      </w:tr>
      <w:tr w:rsidR="006E10D4" w:rsidRPr="006E10D4" w14:paraId="0AA1E47E" w14:textId="77777777" w:rsidTr="00163F59">
        <w:tc>
          <w:tcPr>
            <w:tcW w:w="2405" w:type="dxa"/>
          </w:tcPr>
          <w:p w14:paraId="34C6CB94" w14:textId="77777777" w:rsidR="006E10D4" w:rsidRPr="006E10D4" w:rsidRDefault="006E10D4" w:rsidP="007075B1">
            <w:pPr>
              <w:keepNext w:val="0"/>
              <w:tabs>
                <w:tab w:val="left" w:pos="680"/>
                <w:tab w:val="left" w:pos="1133"/>
                <w:tab w:val="left" w:pos="2267"/>
              </w:tabs>
              <w:spacing w:before="0"/>
              <w:ind w:right="284"/>
              <w:jc w:val="left"/>
              <w:rPr>
                <w:rFonts w:eastAsia="Arial"/>
                <w:b/>
                <w:color w:val="auto"/>
                <w:sz w:val="22"/>
              </w:rPr>
            </w:pPr>
            <w:r w:rsidRPr="006E10D4">
              <w:rPr>
                <w:rFonts w:eastAsia="Arial" w:cs="Arial"/>
                <w:bCs/>
                <w:color w:val="auto"/>
                <w:sz w:val="20"/>
              </w:rPr>
              <w:t>National Planning Policy &amp; Guidance</w:t>
            </w:r>
          </w:p>
        </w:tc>
        <w:tc>
          <w:tcPr>
            <w:tcW w:w="7229" w:type="dxa"/>
            <w:gridSpan w:val="2"/>
          </w:tcPr>
          <w:p w14:paraId="497CCA0D" w14:textId="5D829D13" w:rsidR="006E10D4" w:rsidRPr="006E10D4" w:rsidRDefault="006E10D4" w:rsidP="007075B1">
            <w:pPr>
              <w:keepNext w:val="0"/>
              <w:numPr>
                <w:ilvl w:val="0"/>
                <w:numId w:val="39"/>
              </w:numPr>
              <w:spacing w:before="0"/>
              <w:ind w:left="357" w:hanging="357"/>
              <w:jc w:val="left"/>
              <w:rPr>
                <w:rFonts w:cs="Arial"/>
                <w:color w:val="auto"/>
                <w:sz w:val="22"/>
              </w:rPr>
            </w:pPr>
            <w:r w:rsidRPr="006E10D4">
              <w:rPr>
                <w:rFonts w:eastAsia="Arial" w:cs="Arial"/>
                <w:bCs/>
                <w:color w:val="auto"/>
                <w:sz w:val="20"/>
              </w:rPr>
              <w:t>NPPF 202</w:t>
            </w:r>
            <w:r w:rsidR="004173E0">
              <w:rPr>
                <w:rFonts w:eastAsia="Arial" w:cs="Arial"/>
                <w:bCs/>
                <w:color w:val="auto"/>
                <w:sz w:val="20"/>
              </w:rPr>
              <w:t>3</w:t>
            </w:r>
            <w:r w:rsidRPr="006E10D4">
              <w:rPr>
                <w:rFonts w:eastAsia="Arial" w:cs="Arial"/>
                <w:bCs/>
                <w:color w:val="auto"/>
                <w:sz w:val="20"/>
              </w:rPr>
              <w:t>, Part 2: Achieving sustainable development.</w:t>
            </w:r>
          </w:p>
          <w:p w14:paraId="53603408" w14:textId="4168D211" w:rsidR="006E10D4" w:rsidRPr="006E10D4" w:rsidRDefault="006E10D4" w:rsidP="007075B1">
            <w:pPr>
              <w:keepNext w:val="0"/>
              <w:numPr>
                <w:ilvl w:val="0"/>
                <w:numId w:val="39"/>
              </w:numPr>
              <w:spacing w:before="0"/>
              <w:ind w:left="357" w:hanging="357"/>
              <w:jc w:val="left"/>
              <w:rPr>
                <w:rFonts w:cs="Arial"/>
                <w:color w:val="auto"/>
                <w:sz w:val="22"/>
              </w:rPr>
            </w:pPr>
            <w:r w:rsidRPr="006E10D4">
              <w:rPr>
                <w:rFonts w:cs="Arial"/>
                <w:color w:val="auto"/>
                <w:sz w:val="20"/>
              </w:rPr>
              <w:t>NPPF 202</w:t>
            </w:r>
            <w:r w:rsidR="004173E0">
              <w:rPr>
                <w:rFonts w:cs="Arial"/>
                <w:color w:val="auto"/>
                <w:sz w:val="20"/>
              </w:rPr>
              <w:t>3</w:t>
            </w:r>
            <w:r w:rsidRPr="006E10D4">
              <w:rPr>
                <w:rFonts w:cs="Arial"/>
                <w:color w:val="auto"/>
                <w:sz w:val="20"/>
              </w:rPr>
              <w:t>, Part 3: Plan making.</w:t>
            </w:r>
          </w:p>
          <w:p w14:paraId="2CB8F28C" w14:textId="2320B226" w:rsidR="006E10D4" w:rsidRPr="006E10D4" w:rsidRDefault="006E10D4" w:rsidP="007075B1">
            <w:pPr>
              <w:keepNext w:val="0"/>
              <w:numPr>
                <w:ilvl w:val="0"/>
                <w:numId w:val="39"/>
              </w:numPr>
              <w:spacing w:before="0"/>
              <w:ind w:left="357" w:hanging="357"/>
              <w:jc w:val="left"/>
              <w:rPr>
                <w:rFonts w:cs="Arial"/>
                <w:color w:val="auto"/>
                <w:sz w:val="22"/>
              </w:rPr>
            </w:pPr>
            <w:r w:rsidRPr="006E10D4">
              <w:rPr>
                <w:rFonts w:eastAsia="Arial" w:cs="Arial"/>
                <w:bCs/>
                <w:color w:val="auto"/>
                <w:sz w:val="20"/>
              </w:rPr>
              <w:t>NPPF 202</w:t>
            </w:r>
            <w:r w:rsidR="004173E0">
              <w:rPr>
                <w:rFonts w:eastAsia="Arial" w:cs="Arial"/>
                <w:bCs/>
                <w:color w:val="auto"/>
                <w:sz w:val="20"/>
              </w:rPr>
              <w:t>3</w:t>
            </w:r>
            <w:r w:rsidRPr="006E10D4">
              <w:rPr>
                <w:rFonts w:eastAsia="Arial" w:cs="Arial"/>
                <w:bCs/>
                <w:color w:val="auto"/>
                <w:sz w:val="20"/>
              </w:rPr>
              <w:t xml:space="preserve">, </w:t>
            </w:r>
            <w:r w:rsidRPr="006E10D4">
              <w:rPr>
                <w:rFonts w:cs="Arial"/>
                <w:color w:val="auto"/>
                <w:sz w:val="20"/>
              </w:rPr>
              <w:t>Part 4: Decision Making.</w:t>
            </w:r>
          </w:p>
          <w:p w14:paraId="4E3D9DF4" w14:textId="327B0796" w:rsidR="006E10D4" w:rsidRPr="006E10D4" w:rsidRDefault="006E10D4" w:rsidP="007075B1">
            <w:pPr>
              <w:keepNext w:val="0"/>
              <w:numPr>
                <w:ilvl w:val="0"/>
                <w:numId w:val="39"/>
              </w:numPr>
              <w:spacing w:before="0"/>
              <w:ind w:left="357" w:hanging="357"/>
              <w:jc w:val="left"/>
              <w:rPr>
                <w:rFonts w:cs="Arial"/>
                <w:color w:val="auto"/>
                <w:sz w:val="22"/>
              </w:rPr>
            </w:pPr>
            <w:r w:rsidRPr="006E10D4">
              <w:rPr>
                <w:rFonts w:eastAsia="Arial" w:cs="Arial"/>
                <w:bCs/>
                <w:color w:val="auto"/>
                <w:sz w:val="20"/>
              </w:rPr>
              <w:t>NPPF</w:t>
            </w:r>
            <w:r w:rsidRPr="006E10D4">
              <w:rPr>
                <w:rFonts w:cs="Arial"/>
                <w:color w:val="auto"/>
                <w:sz w:val="20"/>
              </w:rPr>
              <w:t xml:space="preserve"> 202</w:t>
            </w:r>
            <w:r w:rsidR="004173E0">
              <w:rPr>
                <w:rFonts w:cs="Arial"/>
                <w:color w:val="auto"/>
                <w:sz w:val="20"/>
              </w:rPr>
              <w:t>3</w:t>
            </w:r>
            <w:r w:rsidRPr="006E10D4">
              <w:rPr>
                <w:rFonts w:cs="Arial"/>
                <w:color w:val="auto"/>
                <w:sz w:val="20"/>
              </w:rPr>
              <w:t xml:space="preserve">, Part 5. </w:t>
            </w:r>
            <w:r w:rsidRPr="006E10D4">
              <w:rPr>
                <w:rFonts w:cs="Arial"/>
                <w:bCs/>
                <w:color w:val="auto"/>
                <w:sz w:val="20"/>
              </w:rPr>
              <w:t>Delivering a sufficient supply of homes.</w:t>
            </w:r>
            <w:r w:rsidRPr="006E10D4">
              <w:rPr>
                <w:rFonts w:cs="Arial"/>
                <w:color w:val="auto"/>
                <w:sz w:val="20"/>
              </w:rPr>
              <w:t xml:space="preserve"> </w:t>
            </w:r>
          </w:p>
          <w:p w14:paraId="2CE18337" w14:textId="6502535C" w:rsidR="006E10D4" w:rsidRPr="006E10D4" w:rsidRDefault="006E10D4" w:rsidP="007075B1">
            <w:pPr>
              <w:keepNext w:val="0"/>
              <w:numPr>
                <w:ilvl w:val="0"/>
                <w:numId w:val="35"/>
              </w:numPr>
              <w:tabs>
                <w:tab w:val="left" w:pos="680"/>
                <w:tab w:val="left" w:pos="1133"/>
                <w:tab w:val="left" w:pos="2267"/>
              </w:tabs>
              <w:spacing w:before="0" w:after="160" w:line="252" w:lineRule="auto"/>
              <w:ind w:right="284"/>
              <w:contextualSpacing/>
              <w:jc w:val="left"/>
              <w:rPr>
                <w:rFonts w:eastAsia="Arial" w:cs="Arial"/>
                <w:bCs/>
                <w:color w:val="auto"/>
                <w:sz w:val="20"/>
              </w:rPr>
            </w:pPr>
            <w:r w:rsidRPr="006E10D4">
              <w:rPr>
                <w:rFonts w:eastAsia="Arial" w:cs="Arial"/>
                <w:bCs/>
                <w:color w:val="auto"/>
                <w:sz w:val="20"/>
              </w:rPr>
              <w:t>NPPF 202</w:t>
            </w:r>
            <w:r w:rsidR="004173E0">
              <w:rPr>
                <w:rFonts w:eastAsia="Arial" w:cs="Arial"/>
                <w:bCs/>
                <w:color w:val="auto"/>
                <w:sz w:val="20"/>
              </w:rPr>
              <w:t>3</w:t>
            </w:r>
            <w:r w:rsidRPr="006E10D4">
              <w:rPr>
                <w:rFonts w:eastAsia="Arial" w:cs="Arial"/>
                <w:bCs/>
                <w:color w:val="auto"/>
                <w:sz w:val="20"/>
              </w:rPr>
              <w:t xml:space="preserve">, Part 6: </w:t>
            </w:r>
            <w:r w:rsidRPr="006E10D4">
              <w:rPr>
                <w:rFonts w:cs="Arial"/>
                <w:bCs/>
                <w:color w:val="auto"/>
                <w:sz w:val="20"/>
              </w:rPr>
              <w:t>Building a strong, competitive economy.</w:t>
            </w:r>
          </w:p>
          <w:p w14:paraId="6273AC32" w14:textId="53B1D669" w:rsidR="006E10D4" w:rsidRPr="006E10D4" w:rsidRDefault="006E10D4" w:rsidP="007075B1">
            <w:pPr>
              <w:keepNext w:val="0"/>
              <w:numPr>
                <w:ilvl w:val="0"/>
                <w:numId w:val="35"/>
              </w:numPr>
              <w:tabs>
                <w:tab w:val="left" w:pos="680"/>
                <w:tab w:val="left" w:pos="1133"/>
                <w:tab w:val="left" w:pos="2267"/>
              </w:tabs>
              <w:spacing w:before="0" w:after="160" w:line="252" w:lineRule="auto"/>
              <w:ind w:right="284"/>
              <w:contextualSpacing/>
              <w:jc w:val="left"/>
              <w:rPr>
                <w:rFonts w:eastAsia="Arial" w:cs="Arial"/>
                <w:bCs/>
                <w:color w:val="auto"/>
                <w:sz w:val="20"/>
              </w:rPr>
            </w:pPr>
            <w:r w:rsidRPr="006E10D4">
              <w:rPr>
                <w:rFonts w:eastAsia="Arial" w:cs="Arial"/>
                <w:bCs/>
                <w:color w:val="auto"/>
                <w:sz w:val="20"/>
              </w:rPr>
              <w:t xml:space="preserve">Planning Practice Guidance: Viability as </w:t>
            </w:r>
            <w:r w:rsidRPr="00DB05C3">
              <w:rPr>
                <w:rFonts w:eastAsia="Arial" w:cs="Arial"/>
                <w:bCs/>
                <w:color w:val="auto"/>
                <w:sz w:val="20"/>
              </w:rPr>
              <w:t xml:space="preserve">of </w:t>
            </w:r>
            <w:r w:rsidR="00C1699D" w:rsidRPr="00DB05C3">
              <w:rPr>
                <w:rFonts w:eastAsia="Arial" w:cs="Arial"/>
                <w:bCs/>
                <w:color w:val="auto"/>
                <w:sz w:val="20"/>
              </w:rPr>
              <w:t>September 2019</w:t>
            </w:r>
            <w:r w:rsidRPr="00DB05C3">
              <w:rPr>
                <w:rFonts w:eastAsia="Arial" w:cs="Arial"/>
                <w:bCs/>
                <w:color w:val="auto"/>
                <w:sz w:val="20"/>
              </w:rPr>
              <w:t>.</w:t>
            </w:r>
          </w:p>
        </w:tc>
      </w:tr>
    </w:tbl>
    <w:p w14:paraId="1A9A6DF3" w14:textId="77777777" w:rsidR="00340B1E" w:rsidRDefault="00340B1E" w:rsidP="007075B1">
      <w:pPr>
        <w:keepNext w:val="0"/>
        <w:autoSpaceDE w:val="0"/>
        <w:autoSpaceDN w:val="0"/>
        <w:adjustRightInd w:val="0"/>
        <w:spacing w:before="0"/>
        <w:ind w:left="527"/>
        <w:rPr>
          <w:rFonts w:eastAsia="Arial" w:cs="Arial"/>
          <w:b/>
          <w:bCs/>
          <w:color w:val="auto"/>
          <w:szCs w:val="24"/>
        </w:rPr>
      </w:pPr>
    </w:p>
    <w:p w14:paraId="564DD423" w14:textId="3178B6C1" w:rsidR="006E10D4" w:rsidRDefault="006E10D4" w:rsidP="006977E7">
      <w:pPr>
        <w:keepNext w:val="0"/>
        <w:autoSpaceDE w:val="0"/>
        <w:autoSpaceDN w:val="0"/>
        <w:adjustRightInd w:val="0"/>
        <w:spacing w:before="0"/>
        <w:ind w:left="851"/>
        <w:rPr>
          <w:rFonts w:eastAsia="Arial" w:cs="Arial"/>
          <w:b/>
          <w:bCs/>
          <w:color w:val="auto"/>
          <w:szCs w:val="24"/>
        </w:rPr>
      </w:pPr>
      <w:r w:rsidRPr="006E10D4">
        <w:rPr>
          <w:rFonts w:eastAsia="Arial" w:cs="Arial"/>
          <w:b/>
          <w:bCs/>
          <w:color w:val="auto"/>
          <w:szCs w:val="24"/>
        </w:rPr>
        <w:t xml:space="preserve">Viability </w:t>
      </w:r>
    </w:p>
    <w:p w14:paraId="72863652" w14:textId="77A52AC2" w:rsidR="004F2A3F" w:rsidRPr="004F2A3F" w:rsidRDefault="002D6995" w:rsidP="004F2A3F">
      <w:pPr>
        <w:keepNext w:val="0"/>
        <w:numPr>
          <w:ilvl w:val="1"/>
          <w:numId w:val="7"/>
        </w:numPr>
        <w:tabs>
          <w:tab w:val="clear" w:pos="525"/>
          <w:tab w:val="num" w:pos="851"/>
        </w:tabs>
        <w:spacing w:before="0"/>
        <w:ind w:left="851" w:hanging="851"/>
        <w:rPr>
          <w:rFonts w:cs="Arial"/>
          <w:color w:val="auto"/>
          <w:szCs w:val="24"/>
          <w:lang w:eastAsia="en-US"/>
        </w:rPr>
      </w:pPr>
      <w:r w:rsidRPr="002D6995">
        <w:rPr>
          <w:rFonts w:cs="Arial"/>
          <w:color w:val="auto"/>
          <w:szCs w:val="24"/>
        </w:rPr>
        <w:t xml:space="preserve">National planning policy sets out that the Local Plan has to be subject to a whole plan viability assessment to ensure that policies are realistic, and that the total cumulative cost of all relevant policies will not undermine deliverability of the plan. However, viability will change over time such as economic conditions or there </w:t>
      </w:r>
      <w:r w:rsidR="004F2A3F">
        <w:rPr>
          <w:rFonts w:cs="Arial"/>
          <w:color w:val="auto"/>
          <w:szCs w:val="24"/>
        </w:rPr>
        <w:t xml:space="preserve">may be </w:t>
      </w:r>
      <w:r w:rsidRPr="002D6995">
        <w:rPr>
          <w:rFonts w:cs="Arial"/>
          <w:color w:val="auto"/>
          <w:szCs w:val="24"/>
        </w:rPr>
        <w:t xml:space="preserve">exceptional costs associated with a </w:t>
      </w:r>
      <w:r w:rsidR="004F2A3F">
        <w:rPr>
          <w:rFonts w:cs="Arial"/>
          <w:color w:val="auto"/>
          <w:szCs w:val="24"/>
        </w:rPr>
        <w:t xml:space="preserve">specific </w:t>
      </w:r>
      <w:r w:rsidRPr="002D6995">
        <w:rPr>
          <w:rFonts w:cs="Arial"/>
          <w:color w:val="auto"/>
          <w:szCs w:val="24"/>
        </w:rPr>
        <w:t>site</w:t>
      </w:r>
      <w:r w:rsidR="004F2A3F">
        <w:rPr>
          <w:rFonts w:cs="Arial"/>
          <w:color w:val="auto"/>
          <w:szCs w:val="24"/>
        </w:rPr>
        <w:t xml:space="preserve">.  </w:t>
      </w:r>
      <w:r w:rsidRPr="002D6995">
        <w:rPr>
          <w:rFonts w:cs="Arial"/>
          <w:color w:val="auto"/>
          <w:szCs w:val="24"/>
        </w:rPr>
        <w:t xml:space="preserve"> </w:t>
      </w:r>
      <w:r w:rsidR="006E10D4" w:rsidRPr="004F2A3F">
        <w:rPr>
          <w:rFonts w:eastAsia="Arial" w:cs="Arial"/>
          <w:color w:val="auto"/>
        </w:rPr>
        <w:t xml:space="preserve">In these circumstances, applicants will be required to demonstrate how planning obligations and policies result in the development being unviable by preparing a viability assessment.  </w:t>
      </w:r>
      <w:r w:rsidR="004F2A3F" w:rsidRPr="004F2A3F">
        <w:rPr>
          <w:rFonts w:eastAsia="Arial" w:cs="Arial"/>
          <w:color w:val="auto"/>
        </w:rPr>
        <w:t>Any viability assessment will be subject to an independent assessment</w:t>
      </w:r>
      <w:r w:rsidR="004F2A3F">
        <w:rPr>
          <w:rFonts w:eastAsia="Arial" w:cs="Arial"/>
          <w:color w:val="auto"/>
        </w:rPr>
        <w:t>, the cost of which will be made by the applicant.</w:t>
      </w:r>
    </w:p>
    <w:p w14:paraId="4A5FA126" w14:textId="77777777" w:rsidR="00CE6287" w:rsidRDefault="00CE6287" w:rsidP="00CE6287">
      <w:pPr>
        <w:keepNext w:val="0"/>
        <w:spacing w:before="0"/>
        <w:ind w:left="851"/>
        <w:rPr>
          <w:rFonts w:cs="Arial"/>
          <w:color w:val="auto"/>
          <w:szCs w:val="24"/>
          <w:lang w:eastAsia="en-US"/>
        </w:rPr>
      </w:pPr>
    </w:p>
    <w:p w14:paraId="51652E0D" w14:textId="0D8B05D7" w:rsidR="006E10D4" w:rsidRPr="00CE6287" w:rsidRDefault="006E10D4" w:rsidP="00CE6287">
      <w:pPr>
        <w:keepNext w:val="0"/>
        <w:numPr>
          <w:ilvl w:val="1"/>
          <w:numId w:val="7"/>
        </w:numPr>
        <w:tabs>
          <w:tab w:val="clear" w:pos="525"/>
          <w:tab w:val="num" w:pos="851"/>
        </w:tabs>
        <w:spacing w:before="0"/>
        <w:ind w:left="851" w:hanging="851"/>
        <w:rPr>
          <w:rFonts w:cs="Arial"/>
          <w:color w:val="auto"/>
          <w:szCs w:val="24"/>
          <w:lang w:eastAsia="en-US"/>
        </w:rPr>
      </w:pPr>
      <w:r w:rsidRPr="00CE6287">
        <w:rPr>
          <w:rFonts w:eastAsia="Arial" w:cs="Arial"/>
          <w:color w:val="auto"/>
        </w:rPr>
        <w:t>In considering issues of viability, the Council will have regard to:</w:t>
      </w:r>
    </w:p>
    <w:p w14:paraId="704F3705" w14:textId="77777777" w:rsidR="006E10D4" w:rsidRPr="006E10D4" w:rsidRDefault="006E10D4" w:rsidP="005775C8">
      <w:pPr>
        <w:keepNext w:val="0"/>
        <w:autoSpaceDE w:val="0"/>
        <w:autoSpaceDN w:val="0"/>
        <w:adjustRightInd w:val="0"/>
        <w:spacing w:before="0"/>
        <w:rPr>
          <w:rFonts w:eastAsia="Arial" w:cs="Arial"/>
          <w:color w:val="auto"/>
        </w:rPr>
      </w:pPr>
    </w:p>
    <w:p w14:paraId="29FE9DF3" w14:textId="7DED0C81" w:rsidR="006E10D4" w:rsidRDefault="006E10D4" w:rsidP="00874A98">
      <w:pPr>
        <w:keepNext w:val="0"/>
        <w:keepLines/>
        <w:numPr>
          <w:ilvl w:val="0"/>
          <w:numId w:val="178"/>
        </w:numPr>
        <w:suppressAutoHyphens/>
        <w:spacing w:before="0"/>
        <w:ind w:left="1211" w:right="56"/>
        <w:textAlignment w:val="baseline"/>
        <w:rPr>
          <w:rFonts w:eastAsia="Arial"/>
          <w:color w:val="auto"/>
        </w:rPr>
      </w:pPr>
      <w:r w:rsidRPr="006E10D4">
        <w:rPr>
          <w:rFonts w:eastAsia="Arial"/>
          <w:color w:val="auto"/>
        </w:rPr>
        <w:t>The quality and value of a scheme in the context of how the development contributes towards the vision, objectives and policies for the locality.  It will need to be established  that the benefits from the development significantly outweigh the harm of not providing for full infrastructure contributions;</w:t>
      </w:r>
    </w:p>
    <w:p w14:paraId="0A05BD35" w14:textId="77777777" w:rsidR="006E10D4" w:rsidRPr="006E10D4" w:rsidRDefault="006E10D4" w:rsidP="00CE6287">
      <w:pPr>
        <w:keepNext w:val="0"/>
        <w:keepLines/>
        <w:suppressAutoHyphens/>
        <w:spacing w:before="0"/>
        <w:ind w:left="1211" w:right="56"/>
        <w:textAlignment w:val="baseline"/>
        <w:rPr>
          <w:rFonts w:eastAsia="Arial"/>
          <w:color w:val="auto"/>
        </w:rPr>
      </w:pPr>
    </w:p>
    <w:p w14:paraId="27FE32BE" w14:textId="3945836A" w:rsidR="006E10D4" w:rsidRPr="006E10D4" w:rsidRDefault="006E10D4" w:rsidP="00874A98">
      <w:pPr>
        <w:keepNext w:val="0"/>
        <w:numPr>
          <w:ilvl w:val="0"/>
          <w:numId w:val="178"/>
        </w:numPr>
        <w:spacing w:before="0"/>
        <w:ind w:left="1247"/>
        <w:rPr>
          <w:rFonts w:eastAsia="Arial"/>
          <w:color w:val="auto"/>
        </w:rPr>
      </w:pPr>
      <w:r w:rsidRPr="006E10D4">
        <w:rPr>
          <w:rFonts w:eastAsia="Arial"/>
          <w:color w:val="auto"/>
        </w:rPr>
        <w:t xml:space="preserve">National Planning Practice Guidance on viability and other  guidance on viability particularly derived from the Royal Institution of Character Surveyors </w:t>
      </w:r>
      <w:r w:rsidR="00CD5564">
        <w:rPr>
          <w:rFonts w:eastAsia="Arial"/>
          <w:color w:val="auto"/>
        </w:rPr>
        <w:t xml:space="preserve">(RICS) </w:t>
      </w:r>
      <w:r w:rsidRPr="006E10D4">
        <w:rPr>
          <w:rFonts w:eastAsia="Arial"/>
          <w:color w:val="auto"/>
        </w:rPr>
        <w:t>or the Royal Town Planning Institute</w:t>
      </w:r>
      <w:r w:rsidR="00CD5564">
        <w:rPr>
          <w:rFonts w:eastAsia="Arial"/>
          <w:color w:val="auto"/>
        </w:rPr>
        <w:t xml:space="preserve"> (RTPI)</w:t>
      </w:r>
      <w:r w:rsidRPr="006E10D4">
        <w:rPr>
          <w:rFonts w:eastAsia="Arial"/>
          <w:color w:val="auto"/>
        </w:rPr>
        <w:t>.</w:t>
      </w:r>
    </w:p>
    <w:p w14:paraId="5DED7717" w14:textId="77777777" w:rsidR="006E10D4" w:rsidRPr="006E10D4" w:rsidRDefault="006E10D4" w:rsidP="00CE6287">
      <w:pPr>
        <w:keepNext w:val="0"/>
        <w:spacing w:before="0"/>
        <w:ind w:left="1247"/>
        <w:rPr>
          <w:rFonts w:eastAsia="Arial"/>
          <w:color w:val="auto"/>
        </w:rPr>
      </w:pPr>
    </w:p>
    <w:p w14:paraId="0AE8A5FB" w14:textId="77777777" w:rsidR="004F2A3F" w:rsidRPr="004F2A3F" w:rsidRDefault="004F2A3F" w:rsidP="00874A98">
      <w:pPr>
        <w:keepNext w:val="0"/>
        <w:keepLines/>
        <w:numPr>
          <w:ilvl w:val="0"/>
          <w:numId w:val="178"/>
        </w:numPr>
        <w:suppressAutoHyphens/>
        <w:spacing w:before="0"/>
        <w:ind w:left="1247" w:right="56"/>
        <w:textAlignment w:val="baseline"/>
        <w:rPr>
          <w:rFonts w:eastAsia="Arial" w:cs="Arial"/>
          <w:color w:val="auto"/>
        </w:rPr>
      </w:pPr>
      <w:r>
        <w:rPr>
          <w:rFonts w:eastAsia="Arial"/>
          <w:color w:val="auto"/>
        </w:rPr>
        <w:t>The e</w:t>
      </w:r>
      <w:r w:rsidRPr="004F2A3F">
        <w:rPr>
          <w:rFonts w:eastAsia="Arial"/>
          <w:color w:val="auto"/>
        </w:rPr>
        <w:t xml:space="preserve">vidence </w:t>
      </w:r>
      <w:r>
        <w:rPr>
          <w:rFonts w:eastAsia="Arial"/>
          <w:color w:val="auto"/>
        </w:rPr>
        <w:t xml:space="preserve">submitted </w:t>
      </w:r>
      <w:r w:rsidRPr="004F2A3F">
        <w:rPr>
          <w:rFonts w:eastAsia="Arial"/>
          <w:color w:val="auto"/>
        </w:rPr>
        <w:t xml:space="preserve">must include an appropriate and robust viability assessment based on realistic assumptions and up-to-date baseline information prepared by a suitably qualified independent surveyor.   </w:t>
      </w:r>
      <w:r w:rsidRPr="006E10D4">
        <w:rPr>
          <w:rFonts w:eastAsia="Arial"/>
          <w:color w:val="auto"/>
        </w:rPr>
        <w:t>Th</w:t>
      </w:r>
      <w:r>
        <w:rPr>
          <w:rFonts w:eastAsia="Arial"/>
          <w:color w:val="auto"/>
        </w:rPr>
        <w:t xml:space="preserve">is should include: </w:t>
      </w:r>
    </w:p>
    <w:p w14:paraId="761DA363" w14:textId="77777777" w:rsidR="00A31CBB" w:rsidRDefault="004F2A3F" w:rsidP="00874A98">
      <w:pPr>
        <w:pStyle w:val="ListParagraph"/>
        <w:keepLines/>
        <w:numPr>
          <w:ilvl w:val="0"/>
          <w:numId w:val="310"/>
        </w:numPr>
        <w:suppressAutoHyphens/>
        <w:spacing w:after="0" w:line="240" w:lineRule="auto"/>
        <w:ind w:right="56"/>
        <w:textAlignment w:val="baseline"/>
        <w:rPr>
          <w:rFonts w:ascii="Arial" w:eastAsia="Arial" w:hAnsi="Arial" w:cs="Arial"/>
          <w:color w:val="auto"/>
        </w:rPr>
      </w:pPr>
      <w:r w:rsidRPr="004F2A3F">
        <w:rPr>
          <w:rFonts w:ascii="Arial" w:eastAsia="Arial" w:hAnsi="Arial" w:cs="Arial"/>
          <w:color w:val="auto"/>
        </w:rPr>
        <w:t>supporting evidence from applicants to justify proposed rates of profit</w:t>
      </w:r>
      <w:r w:rsidR="00A31CBB">
        <w:rPr>
          <w:rFonts w:ascii="Arial" w:eastAsia="Arial" w:hAnsi="Arial" w:cs="Arial"/>
          <w:color w:val="auto"/>
        </w:rPr>
        <w:t>, taking</w:t>
      </w:r>
      <w:r w:rsidRPr="004F2A3F">
        <w:rPr>
          <w:rFonts w:ascii="Arial" w:eastAsia="Arial" w:hAnsi="Arial" w:cs="Arial"/>
          <w:color w:val="auto"/>
        </w:rPr>
        <w:t xml:space="preserve"> into account the individual characteristics of the scheme, including property market conditions and a development’s risk profile, and profits achieved on comparable schemes. </w:t>
      </w:r>
    </w:p>
    <w:p w14:paraId="5278D1D1" w14:textId="77777777" w:rsidR="00A31CBB" w:rsidRDefault="004F2A3F" w:rsidP="00874A98">
      <w:pPr>
        <w:pStyle w:val="ListParagraph"/>
        <w:keepLines/>
        <w:numPr>
          <w:ilvl w:val="0"/>
          <w:numId w:val="310"/>
        </w:numPr>
        <w:suppressAutoHyphens/>
        <w:spacing w:after="0" w:line="240" w:lineRule="auto"/>
        <w:ind w:right="56"/>
        <w:textAlignment w:val="baseline"/>
        <w:rPr>
          <w:rFonts w:ascii="Arial" w:eastAsia="Arial" w:hAnsi="Arial" w:cs="Arial"/>
          <w:color w:val="auto"/>
        </w:rPr>
      </w:pPr>
      <w:r w:rsidRPr="004F2A3F">
        <w:rPr>
          <w:rFonts w:ascii="Arial" w:eastAsia="Arial" w:hAnsi="Arial" w:cs="Arial"/>
          <w:color w:val="auto"/>
        </w:rPr>
        <w:t>Hypothetical current use schemes, which maximise the redevelopment potential of the site, should be appraised to prove their lack of viability. Mixed use schemes should also be appraised and in both circumstances, market evidence should be used to support them.</w:t>
      </w:r>
    </w:p>
    <w:p w14:paraId="60A742DA" w14:textId="1A467C26" w:rsidR="00A31CBB" w:rsidRDefault="00A31CBB" w:rsidP="00874A98">
      <w:pPr>
        <w:pStyle w:val="ListParagraph"/>
        <w:keepLines/>
        <w:numPr>
          <w:ilvl w:val="0"/>
          <w:numId w:val="310"/>
        </w:numPr>
        <w:suppressAutoHyphens/>
        <w:spacing w:after="0" w:line="240" w:lineRule="auto"/>
        <w:ind w:right="56"/>
        <w:textAlignment w:val="baseline"/>
        <w:rPr>
          <w:rFonts w:ascii="Arial" w:eastAsia="Arial" w:hAnsi="Arial" w:cs="Arial"/>
          <w:color w:val="auto"/>
        </w:rPr>
      </w:pPr>
      <w:r>
        <w:rPr>
          <w:rFonts w:ascii="Arial" w:eastAsia="Arial" w:hAnsi="Arial" w:cs="Arial"/>
          <w:color w:val="auto"/>
        </w:rPr>
        <w:t>A</w:t>
      </w:r>
      <w:r w:rsidR="006E10D4" w:rsidRPr="004F2A3F">
        <w:rPr>
          <w:rFonts w:ascii="Arial" w:eastAsia="Arial" w:hAnsi="Arial" w:cs="Arial"/>
          <w:color w:val="auto"/>
        </w:rPr>
        <w:t xml:space="preserve"> technically robust case for a variation of obligations which examines value, cost and profit assumptions; </w:t>
      </w:r>
    </w:p>
    <w:p w14:paraId="1D156DE9" w14:textId="1DEA0E87" w:rsidR="00A31CBB" w:rsidRDefault="00A31CBB" w:rsidP="00874A98">
      <w:pPr>
        <w:pStyle w:val="ListParagraph"/>
        <w:keepLines/>
        <w:numPr>
          <w:ilvl w:val="0"/>
          <w:numId w:val="310"/>
        </w:numPr>
        <w:suppressAutoHyphens/>
        <w:spacing w:after="0" w:line="240" w:lineRule="auto"/>
        <w:ind w:right="56"/>
        <w:textAlignment w:val="baseline"/>
        <w:rPr>
          <w:rFonts w:ascii="Arial" w:eastAsia="Arial" w:hAnsi="Arial" w:cs="Arial"/>
          <w:color w:val="auto"/>
        </w:rPr>
      </w:pPr>
      <w:r>
        <w:rPr>
          <w:rFonts w:ascii="Arial" w:eastAsia="Arial" w:hAnsi="Arial" w:cs="Arial"/>
          <w:color w:val="auto"/>
        </w:rPr>
        <w:t xml:space="preserve">A justification for the input and outputs used in the appraisal; </w:t>
      </w:r>
    </w:p>
    <w:p w14:paraId="7D90344D" w14:textId="2973F5BE" w:rsidR="006E10D4" w:rsidRPr="00A31CBB" w:rsidRDefault="006E10D4" w:rsidP="00874A98">
      <w:pPr>
        <w:pStyle w:val="ListParagraph"/>
        <w:keepLines/>
        <w:numPr>
          <w:ilvl w:val="0"/>
          <w:numId w:val="310"/>
        </w:numPr>
        <w:suppressAutoHyphens/>
        <w:spacing w:after="0" w:line="240" w:lineRule="auto"/>
        <w:ind w:right="56"/>
        <w:textAlignment w:val="baseline"/>
        <w:rPr>
          <w:rFonts w:ascii="Arial" w:eastAsia="Arial" w:hAnsi="Arial" w:cs="Arial"/>
          <w:color w:val="auto"/>
        </w:rPr>
      </w:pPr>
      <w:r w:rsidRPr="00A31CBB">
        <w:rPr>
          <w:rFonts w:ascii="Arial" w:eastAsia="Arial" w:hAnsi="Arial" w:cs="Arial"/>
          <w:color w:val="auto"/>
        </w:rPr>
        <w:t>Whether the land value can be justified. (Landowners and site purchases should consider policy requirements when agreeing land transactions);</w:t>
      </w:r>
    </w:p>
    <w:p w14:paraId="203362B7" w14:textId="77777777" w:rsidR="006E10D4" w:rsidRPr="006E10D4" w:rsidRDefault="006E10D4" w:rsidP="00CE6287">
      <w:pPr>
        <w:keepNext w:val="0"/>
        <w:autoSpaceDE w:val="0"/>
        <w:autoSpaceDN w:val="0"/>
        <w:adjustRightInd w:val="0"/>
        <w:spacing w:before="0"/>
        <w:ind w:left="1247"/>
        <w:rPr>
          <w:rFonts w:eastAsia="Arial" w:cs="Arial"/>
          <w:color w:val="auto"/>
        </w:rPr>
      </w:pPr>
    </w:p>
    <w:p w14:paraId="6E5EB9F4" w14:textId="4F623B92" w:rsidR="006E10D4" w:rsidRPr="006E10D4" w:rsidRDefault="006E10D4" w:rsidP="00874A98">
      <w:pPr>
        <w:keepNext w:val="0"/>
        <w:numPr>
          <w:ilvl w:val="0"/>
          <w:numId w:val="178"/>
        </w:numPr>
        <w:spacing w:before="0"/>
        <w:ind w:left="1247"/>
        <w:rPr>
          <w:rFonts w:eastAsia="Calibri" w:cs="Arial"/>
          <w:color w:val="auto"/>
          <w:szCs w:val="24"/>
        </w:rPr>
      </w:pPr>
      <w:r w:rsidRPr="006E10D4">
        <w:rPr>
          <w:rFonts w:eastAsia="Calibri" w:cs="Arial"/>
          <w:color w:val="auto"/>
          <w:szCs w:val="24"/>
        </w:rPr>
        <w:t xml:space="preserve">Given the sensitive to changes </w:t>
      </w:r>
      <w:r w:rsidR="00965E7D">
        <w:rPr>
          <w:rFonts w:eastAsia="Calibri" w:cs="Arial"/>
          <w:color w:val="auto"/>
          <w:szCs w:val="24"/>
        </w:rPr>
        <w:t xml:space="preserve">of </w:t>
      </w:r>
      <w:r w:rsidRPr="006E10D4">
        <w:rPr>
          <w:rFonts w:eastAsia="Calibri" w:cs="Arial"/>
          <w:color w:val="auto"/>
          <w:szCs w:val="24"/>
        </w:rPr>
        <w:t>inputs</w:t>
      </w:r>
      <w:r w:rsidR="00965E7D">
        <w:rPr>
          <w:rFonts w:eastAsia="Calibri" w:cs="Arial"/>
          <w:color w:val="auto"/>
          <w:szCs w:val="24"/>
        </w:rPr>
        <w:t>/outputs</w:t>
      </w:r>
      <w:r w:rsidRPr="006E10D4">
        <w:rPr>
          <w:rFonts w:eastAsia="Calibri" w:cs="Arial"/>
          <w:color w:val="auto"/>
          <w:szCs w:val="24"/>
        </w:rPr>
        <w:t xml:space="preserve"> into viability appraisals,  the Council will require sensitivity analysis and/or scenario analysis to demonstrate the implications of changes </w:t>
      </w:r>
      <w:r w:rsidR="00965E7D">
        <w:rPr>
          <w:rFonts w:eastAsia="Calibri" w:cs="Arial"/>
          <w:color w:val="auto"/>
          <w:szCs w:val="24"/>
        </w:rPr>
        <w:t xml:space="preserve">to </w:t>
      </w:r>
      <w:r w:rsidRPr="006E10D4">
        <w:rPr>
          <w:rFonts w:eastAsia="Calibri" w:cs="Arial"/>
          <w:color w:val="auto"/>
          <w:szCs w:val="24"/>
        </w:rPr>
        <w:t>the inputs/outputs</w:t>
      </w:r>
      <w:r w:rsidR="00965E7D">
        <w:rPr>
          <w:rFonts w:eastAsia="Calibri" w:cs="Arial"/>
          <w:color w:val="auto"/>
          <w:szCs w:val="24"/>
        </w:rPr>
        <w:t xml:space="preserve"> into the appraisal</w:t>
      </w:r>
      <w:r w:rsidRPr="006E10D4">
        <w:rPr>
          <w:rFonts w:eastAsia="Calibri" w:cs="Arial"/>
          <w:color w:val="auto"/>
          <w:szCs w:val="24"/>
        </w:rPr>
        <w:t xml:space="preserve">.  </w:t>
      </w:r>
    </w:p>
    <w:p w14:paraId="4310BDAD" w14:textId="77777777" w:rsidR="006E10D4" w:rsidRPr="00263F59" w:rsidRDefault="006E10D4" w:rsidP="00CE6287">
      <w:pPr>
        <w:keepNext w:val="0"/>
        <w:spacing w:before="0"/>
        <w:ind w:left="813"/>
        <w:contextualSpacing/>
        <w:rPr>
          <w:rFonts w:eastAsia="Calibri" w:cs="Arial"/>
          <w:b/>
          <w:color w:val="auto"/>
          <w:szCs w:val="24"/>
          <w:lang w:eastAsia="en-US"/>
        </w:rPr>
      </w:pPr>
    </w:p>
    <w:p w14:paraId="74496F62" w14:textId="3ACF5F30" w:rsidR="006E10D4" w:rsidRDefault="006E10D4" w:rsidP="00874A98">
      <w:pPr>
        <w:keepNext w:val="0"/>
        <w:keepLines/>
        <w:numPr>
          <w:ilvl w:val="0"/>
          <w:numId w:val="178"/>
        </w:numPr>
        <w:suppressAutoHyphens/>
        <w:spacing w:before="0"/>
        <w:ind w:left="1247" w:right="56"/>
        <w:textAlignment w:val="baseline"/>
        <w:rPr>
          <w:rFonts w:eastAsia="Arial"/>
          <w:color w:val="auto"/>
        </w:rPr>
      </w:pPr>
      <w:r w:rsidRPr="006E10D4">
        <w:rPr>
          <w:rFonts w:eastAsia="Calibri" w:cs="Arial"/>
          <w:color w:val="auto"/>
          <w:szCs w:val="24"/>
        </w:rPr>
        <w:t xml:space="preserve">Whether a deferred scheme is possible to claw back as much as the deficit in contributions as possible should market conditions improve. </w:t>
      </w:r>
      <w:r w:rsidRPr="006E10D4">
        <w:rPr>
          <w:rFonts w:eastAsia="Arial"/>
          <w:color w:val="auto"/>
        </w:rPr>
        <w:t>These schemes may reflect a variety of forms such as short life planning consents, reassessment of land values during the development period (overage), reversion to a policy compliant level of provision after a specified period within planning agreements and deferred payments.</w:t>
      </w:r>
    </w:p>
    <w:p w14:paraId="634F048B" w14:textId="77777777" w:rsidR="00FF4973" w:rsidRPr="006E10D4" w:rsidRDefault="00FF4973" w:rsidP="005775C8">
      <w:pPr>
        <w:keepNext w:val="0"/>
        <w:keepLines/>
        <w:tabs>
          <w:tab w:val="left" w:pos="680"/>
        </w:tabs>
        <w:suppressAutoHyphens/>
        <w:spacing w:before="0"/>
        <w:ind w:right="56"/>
        <w:textAlignment w:val="baseline"/>
        <w:rPr>
          <w:rFonts w:eastAsia="Arial"/>
          <w:color w:val="auto"/>
        </w:rPr>
      </w:pPr>
    </w:p>
    <w:p w14:paraId="06B9544D" w14:textId="0EE3CDAA" w:rsidR="006E10D4" w:rsidRPr="006E10D4" w:rsidRDefault="006E10D4" w:rsidP="00CE6287">
      <w:pPr>
        <w:keepNext w:val="0"/>
        <w:numPr>
          <w:ilvl w:val="1"/>
          <w:numId w:val="7"/>
        </w:numPr>
        <w:tabs>
          <w:tab w:val="clear" w:pos="525"/>
        </w:tabs>
        <w:spacing w:before="0"/>
        <w:ind w:left="851" w:hanging="709"/>
        <w:rPr>
          <w:rFonts w:cs="Arial"/>
          <w:color w:val="auto"/>
          <w:szCs w:val="24"/>
          <w:lang w:eastAsia="en-US"/>
        </w:rPr>
      </w:pPr>
      <w:r w:rsidRPr="006E10D4">
        <w:rPr>
          <w:rFonts w:eastAsia="Arial" w:cs="Arial"/>
          <w:color w:val="auto"/>
        </w:rPr>
        <w:t xml:space="preserve">The diagram below illustrates in broad terms, the approach that the Council will adopt to planning applications and infrastructure requirements. </w:t>
      </w:r>
    </w:p>
    <w:p w14:paraId="52A32D0D" w14:textId="77777777" w:rsidR="006977E7" w:rsidRPr="006E10D4" w:rsidRDefault="006977E7" w:rsidP="006E10D4">
      <w:pPr>
        <w:keepNext w:val="0"/>
        <w:autoSpaceDE w:val="0"/>
        <w:autoSpaceDN w:val="0"/>
        <w:adjustRightInd w:val="0"/>
        <w:spacing w:before="0" w:line="259" w:lineRule="auto"/>
        <w:rPr>
          <w:rFonts w:eastAsia="Arial" w:cs="Arial"/>
          <w:color w:val="auto"/>
        </w:rPr>
      </w:pPr>
    </w:p>
    <w:tbl>
      <w:tblPr>
        <w:tblStyle w:val="TableGrid3"/>
        <w:tblpPr w:leftFromText="180" w:rightFromText="180" w:vertAnchor="text" w:horzAnchor="margin" w:tblpX="846" w:tblpY="182"/>
        <w:tblW w:w="0" w:type="auto"/>
        <w:tblLayout w:type="fixed"/>
        <w:tblLook w:val="0020" w:firstRow="1" w:lastRow="0" w:firstColumn="0" w:lastColumn="0" w:noHBand="0" w:noVBand="0"/>
      </w:tblPr>
      <w:tblGrid>
        <w:gridCol w:w="3240"/>
        <w:gridCol w:w="5260"/>
      </w:tblGrid>
      <w:tr w:rsidR="006E10D4" w:rsidRPr="006E10D4" w14:paraId="4D66B613" w14:textId="77777777" w:rsidTr="00163F59">
        <w:trPr>
          <w:trHeight w:val="377"/>
        </w:trPr>
        <w:tc>
          <w:tcPr>
            <w:tcW w:w="8500" w:type="dxa"/>
            <w:gridSpan w:val="2"/>
            <w:shd w:val="clear" w:color="auto" w:fill="C5E0B3"/>
          </w:tcPr>
          <w:p w14:paraId="1453E3EA" w14:textId="77777777" w:rsidR="006E10D4" w:rsidRPr="006E10D4" w:rsidRDefault="006E10D4" w:rsidP="00163F59">
            <w:pPr>
              <w:keepNext w:val="0"/>
              <w:autoSpaceDE w:val="0"/>
              <w:autoSpaceDN w:val="0"/>
              <w:adjustRightInd w:val="0"/>
              <w:spacing w:after="120"/>
              <w:jc w:val="center"/>
              <w:rPr>
                <w:rFonts w:cs="Arial"/>
                <w:b/>
                <w:color w:val="7030A0"/>
                <w:sz w:val="22"/>
                <w:lang w:val="en-US"/>
              </w:rPr>
            </w:pPr>
            <w:r w:rsidRPr="006E10D4">
              <w:rPr>
                <w:rFonts w:cs="Arial"/>
                <w:b/>
                <w:color w:val="7030A0"/>
                <w:sz w:val="22"/>
                <w:lang w:val="en-US"/>
              </w:rPr>
              <w:t>STEP ONE</w:t>
            </w:r>
          </w:p>
          <w:p w14:paraId="715B45F9" w14:textId="77777777" w:rsidR="006E10D4" w:rsidRPr="006E10D4" w:rsidRDefault="006E10D4" w:rsidP="00163F59">
            <w:pPr>
              <w:keepNext w:val="0"/>
              <w:autoSpaceDE w:val="0"/>
              <w:autoSpaceDN w:val="0"/>
              <w:adjustRightInd w:val="0"/>
              <w:spacing w:before="0"/>
              <w:jc w:val="center"/>
              <w:rPr>
                <w:rFonts w:cs="Arial"/>
                <w:color w:val="auto"/>
                <w:sz w:val="22"/>
                <w:lang w:val="en-US"/>
              </w:rPr>
            </w:pPr>
            <w:r w:rsidRPr="006E10D4">
              <w:rPr>
                <w:rFonts w:cs="Arial"/>
                <w:color w:val="auto"/>
                <w:sz w:val="22"/>
                <w:lang w:val="en-US"/>
              </w:rPr>
              <w:t>As part of the pre-application discussions the Council will work with the developer and infrastructure providers to establish infrastructure requirements in relation to the application.</w:t>
            </w:r>
          </w:p>
          <w:p w14:paraId="5598439D" w14:textId="77777777" w:rsidR="006E10D4" w:rsidRPr="006E10D4" w:rsidRDefault="006E10D4" w:rsidP="00163F59">
            <w:pPr>
              <w:keepNext w:val="0"/>
              <w:autoSpaceDE w:val="0"/>
              <w:autoSpaceDN w:val="0"/>
              <w:adjustRightInd w:val="0"/>
              <w:spacing w:before="0"/>
              <w:jc w:val="center"/>
              <w:rPr>
                <w:rFonts w:cs="Arial"/>
                <w:color w:val="auto"/>
                <w:sz w:val="22"/>
                <w:lang w:val="en-US"/>
              </w:rPr>
            </w:pPr>
          </w:p>
        </w:tc>
      </w:tr>
      <w:tr w:rsidR="006E10D4" w:rsidRPr="006E10D4" w14:paraId="736CD383" w14:textId="77777777" w:rsidTr="00163F59">
        <w:trPr>
          <w:trHeight w:val="244"/>
        </w:trPr>
        <w:tc>
          <w:tcPr>
            <w:tcW w:w="8500" w:type="dxa"/>
            <w:gridSpan w:val="2"/>
            <w:shd w:val="clear" w:color="auto" w:fill="C5E0B3"/>
          </w:tcPr>
          <w:p w14:paraId="7863E126" w14:textId="77777777" w:rsidR="006E10D4" w:rsidRPr="006E10D4" w:rsidRDefault="006E10D4" w:rsidP="00163F59">
            <w:pPr>
              <w:keepNext w:val="0"/>
              <w:autoSpaceDE w:val="0"/>
              <w:autoSpaceDN w:val="0"/>
              <w:adjustRightInd w:val="0"/>
              <w:spacing w:after="120"/>
              <w:jc w:val="center"/>
              <w:rPr>
                <w:rFonts w:cs="Arial"/>
                <w:b/>
                <w:color w:val="7030A0"/>
                <w:sz w:val="22"/>
                <w:lang w:val="en-US"/>
              </w:rPr>
            </w:pPr>
            <w:r w:rsidRPr="006E10D4">
              <w:rPr>
                <w:rFonts w:cs="Arial"/>
                <w:b/>
                <w:color w:val="7030A0"/>
                <w:sz w:val="22"/>
                <w:lang w:val="en-US"/>
              </w:rPr>
              <w:t>STEP TWO</w:t>
            </w:r>
          </w:p>
          <w:p w14:paraId="2AC15E60" w14:textId="0F0C9C4A" w:rsidR="006E10D4" w:rsidRPr="006E10D4" w:rsidRDefault="006E10D4" w:rsidP="00163F59">
            <w:pPr>
              <w:keepNext w:val="0"/>
              <w:autoSpaceDE w:val="0"/>
              <w:autoSpaceDN w:val="0"/>
              <w:adjustRightInd w:val="0"/>
              <w:spacing w:before="0"/>
              <w:jc w:val="center"/>
              <w:rPr>
                <w:rFonts w:cs="Arial"/>
                <w:color w:val="auto"/>
                <w:sz w:val="22"/>
                <w:lang w:val="en-US"/>
              </w:rPr>
            </w:pPr>
            <w:r w:rsidRPr="006E10D4">
              <w:rPr>
                <w:rFonts w:cs="Arial"/>
                <w:color w:val="auto"/>
                <w:sz w:val="22"/>
                <w:lang w:val="en-US"/>
              </w:rPr>
              <w:t xml:space="preserve">If there are viability issues from the proposal </w:t>
            </w:r>
            <w:r w:rsidR="00EA7D34" w:rsidRPr="006E10D4">
              <w:rPr>
                <w:rFonts w:cs="Arial"/>
                <w:color w:val="auto"/>
                <w:sz w:val="22"/>
                <w:lang w:val="en-US"/>
              </w:rPr>
              <w:t>considering</w:t>
            </w:r>
            <w:r w:rsidRPr="006E10D4">
              <w:rPr>
                <w:rFonts w:cs="Arial"/>
                <w:color w:val="auto"/>
                <w:sz w:val="22"/>
                <w:lang w:val="en-US"/>
              </w:rPr>
              <w:t xml:space="preserve"> infrastructure provision, the applicant submits a viability </w:t>
            </w:r>
          </w:p>
          <w:p w14:paraId="574E4E2F" w14:textId="77777777" w:rsidR="006E10D4" w:rsidRPr="006E10D4" w:rsidRDefault="006E10D4" w:rsidP="00163F59">
            <w:pPr>
              <w:keepNext w:val="0"/>
              <w:autoSpaceDE w:val="0"/>
              <w:autoSpaceDN w:val="0"/>
              <w:adjustRightInd w:val="0"/>
              <w:spacing w:before="0"/>
              <w:jc w:val="center"/>
              <w:rPr>
                <w:rFonts w:cs="Arial"/>
                <w:color w:val="auto"/>
                <w:sz w:val="22"/>
                <w:lang w:val="en-US"/>
              </w:rPr>
            </w:pPr>
            <w:r w:rsidRPr="006E10D4">
              <w:rPr>
                <w:rFonts w:cs="Arial"/>
                <w:color w:val="auto"/>
                <w:sz w:val="22"/>
                <w:lang w:val="en-US"/>
              </w:rPr>
              <w:t>assessment to be independently reviewed.</w:t>
            </w:r>
          </w:p>
          <w:p w14:paraId="721A3B96" w14:textId="77777777" w:rsidR="006E10D4" w:rsidRPr="006E10D4" w:rsidRDefault="006E10D4" w:rsidP="00163F59">
            <w:pPr>
              <w:keepNext w:val="0"/>
              <w:autoSpaceDE w:val="0"/>
              <w:autoSpaceDN w:val="0"/>
              <w:adjustRightInd w:val="0"/>
              <w:spacing w:before="0"/>
              <w:jc w:val="center"/>
              <w:rPr>
                <w:rFonts w:cs="Arial"/>
                <w:color w:val="auto"/>
                <w:sz w:val="22"/>
                <w:lang w:val="en-US"/>
              </w:rPr>
            </w:pPr>
          </w:p>
        </w:tc>
      </w:tr>
      <w:tr w:rsidR="006E10D4" w:rsidRPr="006E10D4" w14:paraId="7EACE34C" w14:textId="77777777" w:rsidTr="00163F59">
        <w:trPr>
          <w:trHeight w:val="647"/>
        </w:trPr>
        <w:tc>
          <w:tcPr>
            <w:tcW w:w="3240" w:type="dxa"/>
            <w:shd w:val="clear" w:color="auto" w:fill="C5E0B3"/>
          </w:tcPr>
          <w:p w14:paraId="30FB49B1" w14:textId="77777777" w:rsidR="006E10D4" w:rsidRPr="006E10D4" w:rsidRDefault="006E10D4" w:rsidP="00163F59">
            <w:pPr>
              <w:keepNext w:val="0"/>
              <w:autoSpaceDE w:val="0"/>
              <w:autoSpaceDN w:val="0"/>
              <w:adjustRightInd w:val="0"/>
              <w:spacing w:before="40"/>
              <w:ind w:left="185"/>
              <w:jc w:val="left"/>
              <w:rPr>
                <w:rFonts w:cs="Arial"/>
                <w:color w:val="auto"/>
                <w:sz w:val="22"/>
                <w:lang w:val="en-US"/>
              </w:rPr>
            </w:pPr>
            <w:r w:rsidRPr="006E10D4">
              <w:rPr>
                <w:rFonts w:cs="Arial"/>
                <w:color w:val="auto"/>
                <w:sz w:val="22"/>
                <w:lang w:val="en-US"/>
              </w:rPr>
              <w:t>If viability is a marginal issue the Council will negotiate on specific contributions.</w:t>
            </w:r>
          </w:p>
          <w:p w14:paraId="2FD96730" w14:textId="77777777" w:rsidR="006E10D4" w:rsidRPr="006E10D4" w:rsidRDefault="006E10D4" w:rsidP="00163F59">
            <w:pPr>
              <w:keepNext w:val="0"/>
              <w:autoSpaceDE w:val="0"/>
              <w:autoSpaceDN w:val="0"/>
              <w:adjustRightInd w:val="0"/>
              <w:spacing w:before="40"/>
              <w:rPr>
                <w:rFonts w:cs="Arial"/>
                <w:color w:val="auto"/>
                <w:sz w:val="22"/>
                <w:lang w:val="en-US"/>
              </w:rPr>
            </w:pPr>
          </w:p>
        </w:tc>
        <w:tc>
          <w:tcPr>
            <w:tcW w:w="5260" w:type="dxa"/>
            <w:shd w:val="clear" w:color="auto" w:fill="C5E0B3"/>
          </w:tcPr>
          <w:p w14:paraId="425858D4" w14:textId="77777777" w:rsidR="006E10D4" w:rsidRPr="006E10D4" w:rsidRDefault="006E10D4" w:rsidP="00163F59">
            <w:pPr>
              <w:keepNext w:val="0"/>
              <w:autoSpaceDE w:val="0"/>
              <w:autoSpaceDN w:val="0"/>
              <w:adjustRightInd w:val="0"/>
              <w:spacing w:before="40"/>
              <w:ind w:left="185"/>
              <w:jc w:val="left"/>
              <w:rPr>
                <w:rFonts w:cs="Arial"/>
                <w:color w:val="auto"/>
                <w:sz w:val="22"/>
                <w:lang w:val="en-US"/>
              </w:rPr>
            </w:pPr>
            <w:r w:rsidRPr="006E10D4">
              <w:rPr>
                <w:rFonts w:cs="Arial"/>
                <w:color w:val="auto"/>
                <w:sz w:val="22"/>
                <w:lang w:val="en-US"/>
              </w:rPr>
              <w:t xml:space="preserve">If viability is a major issue the Council, developer and infrastructure providers will: </w:t>
            </w:r>
          </w:p>
          <w:p w14:paraId="5254A64A" w14:textId="77777777" w:rsidR="006E10D4" w:rsidRPr="006E10D4" w:rsidRDefault="006E10D4" w:rsidP="00163F59">
            <w:pPr>
              <w:keepNext w:val="0"/>
              <w:numPr>
                <w:ilvl w:val="0"/>
                <w:numId w:val="177"/>
              </w:numPr>
              <w:autoSpaceDE w:val="0"/>
              <w:autoSpaceDN w:val="0"/>
              <w:adjustRightInd w:val="0"/>
              <w:spacing w:before="40" w:after="160" w:line="259" w:lineRule="auto"/>
              <w:jc w:val="left"/>
              <w:rPr>
                <w:rFonts w:cs="Arial"/>
                <w:color w:val="auto"/>
                <w:sz w:val="22"/>
                <w:lang w:val="en-US"/>
              </w:rPr>
            </w:pPr>
            <w:r w:rsidRPr="006E10D4">
              <w:rPr>
                <w:rFonts w:cs="Arial"/>
                <w:color w:val="auto"/>
                <w:sz w:val="22"/>
                <w:lang w:val="en-US"/>
              </w:rPr>
              <w:t>consider whether the use of  deferred obligations to support infrastructure provision long term</w:t>
            </w:r>
          </w:p>
          <w:p w14:paraId="147C4698" w14:textId="77777777" w:rsidR="006E10D4" w:rsidRPr="006E10D4" w:rsidRDefault="006E10D4" w:rsidP="00163F59">
            <w:pPr>
              <w:keepNext w:val="0"/>
              <w:numPr>
                <w:ilvl w:val="0"/>
                <w:numId w:val="177"/>
              </w:numPr>
              <w:autoSpaceDE w:val="0"/>
              <w:autoSpaceDN w:val="0"/>
              <w:adjustRightInd w:val="0"/>
              <w:spacing w:before="40" w:after="160" w:line="259" w:lineRule="auto"/>
              <w:jc w:val="left"/>
              <w:rPr>
                <w:rFonts w:cs="Arial"/>
                <w:color w:val="auto"/>
                <w:sz w:val="22"/>
                <w:lang w:val="en-US"/>
              </w:rPr>
            </w:pPr>
            <w:r w:rsidRPr="006E10D4">
              <w:rPr>
                <w:rFonts w:cs="Arial"/>
                <w:color w:val="auto"/>
                <w:sz w:val="22"/>
                <w:lang w:val="en-US"/>
              </w:rPr>
              <w:t>investigate whether any alternative sources to fund infrastructure.</w:t>
            </w:r>
          </w:p>
        </w:tc>
      </w:tr>
      <w:tr w:rsidR="006E10D4" w:rsidRPr="006E10D4" w14:paraId="0662E2A8" w14:textId="77777777" w:rsidTr="00163F59">
        <w:trPr>
          <w:trHeight w:val="513"/>
        </w:trPr>
        <w:tc>
          <w:tcPr>
            <w:tcW w:w="8500" w:type="dxa"/>
            <w:gridSpan w:val="2"/>
            <w:shd w:val="clear" w:color="auto" w:fill="C5E0B3"/>
          </w:tcPr>
          <w:p w14:paraId="4998CFA6" w14:textId="77777777" w:rsidR="006E10D4" w:rsidRPr="006E10D4" w:rsidRDefault="006E10D4" w:rsidP="00163F59">
            <w:pPr>
              <w:keepNext w:val="0"/>
              <w:autoSpaceDE w:val="0"/>
              <w:autoSpaceDN w:val="0"/>
              <w:adjustRightInd w:val="0"/>
              <w:spacing w:after="120"/>
              <w:jc w:val="center"/>
              <w:rPr>
                <w:rFonts w:cs="Arial"/>
                <w:b/>
                <w:color w:val="7030A0"/>
                <w:sz w:val="22"/>
                <w:lang w:val="en-US"/>
              </w:rPr>
            </w:pPr>
            <w:r w:rsidRPr="006E10D4">
              <w:rPr>
                <w:rFonts w:cs="Arial"/>
                <w:b/>
                <w:color w:val="7030A0"/>
                <w:sz w:val="22"/>
                <w:lang w:val="en-US"/>
              </w:rPr>
              <w:t>STEP THREE</w:t>
            </w:r>
          </w:p>
        </w:tc>
      </w:tr>
      <w:tr w:rsidR="006E10D4" w:rsidRPr="006E10D4" w14:paraId="3BAE273B" w14:textId="77777777" w:rsidTr="00163F59">
        <w:trPr>
          <w:trHeight w:val="110"/>
        </w:trPr>
        <w:tc>
          <w:tcPr>
            <w:tcW w:w="8500" w:type="dxa"/>
            <w:gridSpan w:val="2"/>
            <w:shd w:val="clear" w:color="auto" w:fill="C5E0B3"/>
          </w:tcPr>
          <w:p w14:paraId="1A9E0839" w14:textId="77777777" w:rsidR="006E10D4" w:rsidRPr="006E10D4" w:rsidRDefault="006E10D4" w:rsidP="00163F59">
            <w:pPr>
              <w:keepNext w:val="0"/>
              <w:autoSpaceDE w:val="0"/>
              <w:autoSpaceDN w:val="0"/>
              <w:adjustRightInd w:val="0"/>
              <w:spacing w:before="40" w:after="40"/>
              <w:ind w:left="187"/>
              <w:jc w:val="center"/>
              <w:rPr>
                <w:rFonts w:cs="Arial"/>
                <w:color w:val="auto"/>
                <w:sz w:val="22"/>
                <w:lang w:val="en-US"/>
              </w:rPr>
            </w:pPr>
            <w:r w:rsidRPr="006E10D4">
              <w:rPr>
                <w:rFonts w:cs="Arial"/>
                <w:color w:val="auto"/>
                <w:sz w:val="22"/>
                <w:lang w:val="en-US"/>
              </w:rPr>
              <w:t>Agree Developer Contributions and the terms of the S106 Agreement or if agreement cannot be reached or the application  does not meet the requirements for sustainable development the application will be refused.</w:t>
            </w:r>
          </w:p>
        </w:tc>
      </w:tr>
    </w:tbl>
    <w:p w14:paraId="2323E8F0" w14:textId="77777777" w:rsidR="006E10D4" w:rsidRPr="006E10D4" w:rsidRDefault="006E10D4" w:rsidP="006E10D4">
      <w:pPr>
        <w:keepNext w:val="0"/>
        <w:spacing w:before="0"/>
        <w:rPr>
          <w:rFonts w:cs="Arial"/>
          <w:color w:val="auto"/>
          <w:szCs w:val="24"/>
        </w:rPr>
      </w:pPr>
    </w:p>
    <w:p w14:paraId="33AC053F" w14:textId="77777777" w:rsidR="006E10D4" w:rsidRPr="006E10D4" w:rsidRDefault="006E10D4" w:rsidP="006E10D4">
      <w:pPr>
        <w:keepNext w:val="0"/>
        <w:spacing w:before="0"/>
        <w:rPr>
          <w:rFonts w:cs="Arial"/>
          <w:color w:val="auto"/>
          <w:szCs w:val="24"/>
        </w:rPr>
      </w:pPr>
    </w:p>
    <w:p w14:paraId="6952155B" w14:textId="77777777" w:rsidR="006E10D4" w:rsidRPr="006E10D4" w:rsidRDefault="006E10D4" w:rsidP="006E10D4">
      <w:pPr>
        <w:keepNext w:val="0"/>
        <w:autoSpaceDE w:val="0"/>
        <w:autoSpaceDN w:val="0"/>
        <w:adjustRightInd w:val="0"/>
        <w:spacing w:before="0"/>
        <w:ind w:left="1440"/>
        <w:rPr>
          <w:rFonts w:cs="Arial"/>
          <w:color w:val="auto"/>
          <w:szCs w:val="24"/>
          <w:lang w:val="en-US" w:eastAsia="en-US"/>
        </w:rPr>
      </w:pPr>
    </w:p>
    <w:p w14:paraId="5A297B35" w14:textId="77777777" w:rsidR="006E10D4" w:rsidRPr="006E10D4" w:rsidRDefault="006E10D4" w:rsidP="006E10D4">
      <w:pPr>
        <w:keepNext w:val="0"/>
        <w:autoSpaceDE w:val="0"/>
        <w:autoSpaceDN w:val="0"/>
        <w:adjustRightInd w:val="0"/>
        <w:spacing w:before="0"/>
        <w:ind w:left="1440"/>
        <w:rPr>
          <w:rFonts w:cs="Arial"/>
          <w:color w:val="auto"/>
          <w:szCs w:val="24"/>
          <w:lang w:val="en-US" w:eastAsia="en-US"/>
        </w:rPr>
      </w:pPr>
    </w:p>
    <w:p w14:paraId="11401166" w14:textId="06DE5ADA" w:rsidR="00ED5F54" w:rsidRPr="00ED5F54" w:rsidRDefault="006E10D4" w:rsidP="00ED5F54">
      <w:pPr>
        <w:keepNext w:val="0"/>
        <w:numPr>
          <w:ilvl w:val="1"/>
          <w:numId w:val="7"/>
        </w:numPr>
        <w:tabs>
          <w:tab w:val="clear" w:pos="525"/>
        </w:tabs>
        <w:spacing w:before="0"/>
        <w:ind w:left="709" w:hanging="851"/>
        <w:rPr>
          <w:rFonts w:cs="Arial"/>
          <w:color w:val="auto"/>
          <w:szCs w:val="24"/>
          <w:lang w:eastAsia="en-US"/>
        </w:rPr>
      </w:pPr>
      <w:r w:rsidRPr="006E10D4">
        <w:rPr>
          <w:rFonts w:eastAsia="Arial" w:cs="Arial"/>
          <w:color w:val="auto"/>
        </w:rPr>
        <w:t>The availability of information is an important part of the planning system.  Planning Practice Guidance Viability emphasises that any viability assessment should be prepared on the basis that it will be made publicly available other than in exceptional circumstances. The Council will consider exceptions to this in limited circumstances where there is a convincing case that information is commercially sensitive.</w:t>
      </w:r>
      <w:r w:rsidRPr="006E10D4">
        <w:rPr>
          <w:rFonts w:cs="Arial"/>
          <w:color w:val="auto"/>
        </w:rPr>
        <w:t xml:space="preserve"> </w:t>
      </w:r>
      <w:r w:rsidRPr="006E10D4">
        <w:rPr>
          <w:rFonts w:eastAsia="Arial" w:cs="Arial"/>
          <w:color w:val="auto"/>
        </w:rPr>
        <w:t>If aspects of any assessment are considered to be commercial sensitive the developer should agree with the Council what information will release and in what format.</w:t>
      </w:r>
    </w:p>
    <w:p w14:paraId="25B8B39C" w14:textId="77777777" w:rsidR="00ED5F54" w:rsidRDefault="00ED5F54" w:rsidP="00ED5F54">
      <w:pPr>
        <w:keepNext w:val="0"/>
        <w:spacing w:before="0"/>
        <w:ind w:left="709"/>
        <w:rPr>
          <w:rFonts w:cs="Arial"/>
          <w:color w:val="auto"/>
          <w:szCs w:val="24"/>
          <w:lang w:eastAsia="en-US"/>
        </w:rPr>
      </w:pPr>
    </w:p>
    <w:p w14:paraId="180A54F5" w14:textId="00B79649" w:rsidR="00ED5F54" w:rsidRPr="00ED5F54" w:rsidRDefault="006E10D4" w:rsidP="006977E7">
      <w:pPr>
        <w:keepNext w:val="0"/>
        <w:spacing w:before="0"/>
        <w:ind w:left="709"/>
        <w:rPr>
          <w:rFonts w:cs="Arial"/>
          <w:color w:val="auto"/>
          <w:szCs w:val="24"/>
          <w:lang w:eastAsia="en-US"/>
        </w:rPr>
      </w:pPr>
      <w:r w:rsidRPr="00ED5F54">
        <w:rPr>
          <w:rFonts w:eastAsia="Arial" w:cs="Arial"/>
          <w:b/>
          <w:bCs/>
          <w:color w:val="auto"/>
        </w:rPr>
        <w:t>A Lack Of Demand</w:t>
      </w:r>
    </w:p>
    <w:p w14:paraId="34945773" w14:textId="67492934" w:rsidR="006E10D4" w:rsidRPr="00A31CBB" w:rsidRDefault="006E10D4" w:rsidP="00F46258">
      <w:pPr>
        <w:keepNext w:val="0"/>
        <w:numPr>
          <w:ilvl w:val="1"/>
          <w:numId w:val="7"/>
        </w:numPr>
        <w:tabs>
          <w:tab w:val="clear" w:pos="525"/>
        </w:tabs>
        <w:spacing w:before="0"/>
        <w:ind w:left="709" w:hanging="851"/>
        <w:rPr>
          <w:rFonts w:cs="Arial"/>
          <w:color w:val="auto"/>
          <w:szCs w:val="24"/>
          <w:lang w:eastAsia="en-US"/>
        </w:rPr>
      </w:pPr>
      <w:r w:rsidRPr="00A31CBB">
        <w:rPr>
          <w:rFonts w:eastAsia="Arial" w:cs="Arial"/>
          <w:color w:val="auto"/>
        </w:rPr>
        <w:t>There is generally a presumption in favour of retaining existing and allocated future use</w:t>
      </w:r>
      <w:r w:rsidR="001165CC">
        <w:rPr>
          <w:rFonts w:eastAsia="Arial" w:cs="Arial"/>
          <w:color w:val="auto"/>
        </w:rPr>
        <w:t>s,</w:t>
      </w:r>
      <w:r w:rsidR="00A31CBB">
        <w:rPr>
          <w:rFonts w:eastAsia="Arial" w:cs="Arial"/>
          <w:color w:val="auto"/>
        </w:rPr>
        <w:t xml:space="preserve"> as such land or buildings may contribute towards economic or social objectives of sustainable development.  </w:t>
      </w:r>
      <w:r w:rsidRPr="00A31CBB">
        <w:rPr>
          <w:rFonts w:eastAsia="Arial" w:cs="Arial"/>
          <w:color w:val="auto"/>
        </w:rPr>
        <w:t>Consideration should only be given to alternative uses where an applicant is able to clearly</w:t>
      </w:r>
      <w:r w:rsidRPr="00A31CBB">
        <w:rPr>
          <w:rFonts w:cs="Arial"/>
          <w:color w:val="auto"/>
          <w:szCs w:val="24"/>
          <w:lang w:eastAsia="en-US"/>
        </w:rPr>
        <w:t xml:space="preserve"> </w:t>
      </w:r>
      <w:r w:rsidRPr="00A31CBB">
        <w:rPr>
          <w:rFonts w:eastAsia="Arial" w:cs="Arial"/>
          <w:color w:val="auto"/>
        </w:rPr>
        <w:t>demonstrate that there is no demand for the site and that it is unviable to retain the site in</w:t>
      </w:r>
      <w:r w:rsidRPr="00A31CBB">
        <w:rPr>
          <w:rFonts w:cs="Arial"/>
          <w:color w:val="auto"/>
          <w:szCs w:val="24"/>
          <w:lang w:eastAsia="en-US"/>
        </w:rPr>
        <w:t xml:space="preserve"> </w:t>
      </w:r>
      <w:r w:rsidRPr="00A31CBB">
        <w:rPr>
          <w:rFonts w:eastAsia="Arial" w:cs="Arial"/>
          <w:color w:val="auto"/>
        </w:rPr>
        <w:t>the current use.   Evidence should be included within a supporting statement that</w:t>
      </w:r>
      <w:r w:rsidRPr="00A31CBB">
        <w:rPr>
          <w:rFonts w:cs="Arial"/>
          <w:color w:val="auto"/>
          <w:szCs w:val="24"/>
          <w:lang w:eastAsia="en-US"/>
        </w:rPr>
        <w:t xml:space="preserve"> </w:t>
      </w:r>
      <w:r w:rsidRPr="00A31CBB">
        <w:rPr>
          <w:rFonts w:eastAsia="Arial" w:cs="Arial"/>
          <w:color w:val="auto"/>
        </w:rPr>
        <w:t>accompanies the planning application and demonstrates that there is no reasonable prospect of the site or buildings being used or reused for these purposes. The evidence should include</w:t>
      </w:r>
      <w:r w:rsidR="00F46258">
        <w:rPr>
          <w:rFonts w:eastAsia="Arial" w:cs="Arial"/>
          <w:color w:val="auto"/>
        </w:rPr>
        <w:t>, where relevant</w:t>
      </w:r>
      <w:r w:rsidRPr="00A31CBB">
        <w:rPr>
          <w:rFonts w:eastAsia="Arial" w:cs="Arial"/>
          <w:color w:val="auto"/>
        </w:rPr>
        <w:t>:</w:t>
      </w:r>
    </w:p>
    <w:p w14:paraId="39EBB1F7" w14:textId="77777777" w:rsidR="006E10D4" w:rsidRPr="005775C8" w:rsidRDefault="006E10D4" w:rsidP="00F46258">
      <w:pPr>
        <w:keepNext w:val="0"/>
        <w:autoSpaceDE w:val="0"/>
        <w:autoSpaceDN w:val="0"/>
        <w:adjustRightInd w:val="0"/>
        <w:spacing w:before="0"/>
        <w:rPr>
          <w:rFonts w:eastAsia="Arial" w:cs="Arial"/>
          <w:color w:val="auto"/>
        </w:rPr>
      </w:pPr>
    </w:p>
    <w:p w14:paraId="2D6DE0A0" w14:textId="2F9497D6" w:rsidR="005775C8" w:rsidRDefault="006E10D4" w:rsidP="00874A98">
      <w:pPr>
        <w:pStyle w:val="ListParagraph"/>
        <w:numPr>
          <w:ilvl w:val="0"/>
          <w:numId w:val="211"/>
        </w:numPr>
        <w:autoSpaceDE w:val="0"/>
        <w:autoSpaceDN w:val="0"/>
        <w:adjustRightInd w:val="0"/>
        <w:spacing w:after="0" w:line="240" w:lineRule="auto"/>
        <w:ind w:left="1069"/>
        <w:rPr>
          <w:rFonts w:ascii="Arial" w:eastAsia="Arial" w:hAnsi="Arial" w:cs="Arial"/>
          <w:color w:val="auto"/>
        </w:rPr>
      </w:pPr>
      <w:r w:rsidRPr="005775C8">
        <w:rPr>
          <w:rFonts w:ascii="Arial" w:eastAsia="Arial" w:hAnsi="Arial" w:cs="Arial"/>
          <w:color w:val="auto"/>
        </w:rPr>
        <w:t>The length of time the property has been unused for the use classes in question</w:t>
      </w:r>
      <w:r w:rsidR="005775C8">
        <w:rPr>
          <w:rFonts w:ascii="Arial" w:eastAsia="Arial" w:hAnsi="Arial" w:cs="Arial"/>
          <w:color w:val="auto"/>
        </w:rPr>
        <w:t>.</w:t>
      </w:r>
    </w:p>
    <w:p w14:paraId="7291AA1B" w14:textId="77777777" w:rsidR="005775C8" w:rsidRPr="005775C8" w:rsidRDefault="005775C8" w:rsidP="00F46258">
      <w:pPr>
        <w:pStyle w:val="ListParagraph"/>
        <w:autoSpaceDE w:val="0"/>
        <w:autoSpaceDN w:val="0"/>
        <w:adjustRightInd w:val="0"/>
        <w:spacing w:after="0" w:line="240" w:lineRule="auto"/>
        <w:ind w:left="1069"/>
        <w:rPr>
          <w:rFonts w:ascii="Arial" w:eastAsia="Arial" w:hAnsi="Arial" w:cs="Arial"/>
          <w:color w:val="auto"/>
        </w:rPr>
      </w:pPr>
    </w:p>
    <w:p w14:paraId="1F3A2A8E" w14:textId="38799148" w:rsidR="00F46258" w:rsidRPr="00F46258" w:rsidRDefault="00F46258" w:rsidP="00874A98">
      <w:pPr>
        <w:pStyle w:val="ListParagraph"/>
        <w:numPr>
          <w:ilvl w:val="0"/>
          <w:numId w:val="211"/>
        </w:numPr>
        <w:autoSpaceDE w:val="0"/>
        <w:autoSpaceDN w:val="0"/>
        <w:adjustRightInd w:val="0"/>
        <w:spacing w:after="0" w:line="240" w:lineRule="auto"/>
        <w:ind w:left="1069"/>
        <w:rPr>
          <w:rFonts w:ascii="Arial" w:eastAsia="Arial" w:hAnsi="Arial" w:cs="Arial"/>
          <w:color w:val="auto"/>
        </w:rPr>
      </w:pPr>
      <w:r w:rsidRPr="00F46258">
        <w:rPr>
          <w:rFonts w:ascii="Arial" w:eastAsia="Arial" w:hAnsi="Arial" w:cs="Arial"/>
          <w:color w:val="auto"/>
        </w:rPr>
        <w:t>That the existing or recent business is not financially viable, as evidenced by trading accounts for the last three years in which the business was operating as a full-time business</w:t>
      </w:r>
      <w:r w:rsidR="00CD5564">
        <w:rPr>
          <w:rFonts w:ascii="Arial" w:eastAsia="Arial" w:hAnsi="Arial" w:cs="Arial"/>
          <w:color w:val="auto"/>
        </w:rPr>
        <w:t>.</w:t>
      </w:r>
    </w:p>
    <w:p w14:paraId="157F47A1" w14:textId="77777777" w:rsidR="00F46258" w:rsidRPr="00F46258" w:rsidRDefault="00F46258" w:rsidP="00F46258">
      <w:pPr>
        <w:pStyle w:val="ListParagraph"/>
        <w:spacing w:after="0" w:line="240" w:lineRule="auto"/>
        <w:rPr>
          <w:rFonts w:ascii="Arial" w:eastAsia="Arial" w:hAnsi="Arial" w:cs="Arial"/>
          <w:color w:val="auto"/>
        </w:rPr>
      </w:pPr>
    </w:p>
    <w:p w14:paraId="4EEBAE40" w14:textId="3B80D80D" w:rsidR="00F46258" w:rsidRPr="00F46258" w:rsidRDefault="00F46258" w:rsidP="00874A98">
      <w:pPr>
        <w:pStyle w:val="ListParagraph"/>
        <w:numPr>
          <w:ilvl w:val="0"/>
          <w:numId w:val="211"/>
        </w:numPr>
        <w:autoSpaceDE w:val="0"/>
        <w:autoSpaceDN w:val="0"/>
        <w:adjustRightInd w:val="0"/>
        <w:spacing w:after="0" w:line="240" w:lineRule="auto"/>
        <w:ind w:left="1069"/>
        <w:rPr>
          <w:rFonts w:ascii="Arial" w:eastAsia="Arial" w:hAnsi="Arial" w:cs="Arial"/>
          <w:color w:val="auto"/>
        </w:rPr>
      </w:pPr>
      <w:r w:rsidRPr="00F46258">
        <w:rPr>
          <w:rFonts w:ascii="Arial" w:eastAsia="Arial" w:hAnsi="Arial" w:cs="Arial"/>
          <w:color w:val="auto"/>
        </w:rPr>
        <w:t>A range of measures were tried or explored to increase trade and diversify use</w:t>
      </w:r>
      <w:r w:rsidR="00CD5564">
        <w:rPr>
          <w:rFonts w:ascii="Arial" w:eastAsia="Arial" w:hAnsi="Arial" w:cs="Arial"/>
          <w:color w:val="auto"/>
        </w:rPr>
        <w:t>.</w:t>
      </w:r>
      <w:r w:rsidRPr="00F46258">
        <w:rPr>
          <w:rFonts w:ascii="Arial" w:eastAsia="Arial" w:hAnsi="Arial" w:cs="Arial"/>
          <w:color w:val="auto"/>
        </w:rPr>
        <w:t xml:space="preserve"> </w:t>
      </w:r>
    </w:p>
    <w:p w14:paraId="4288A105" w14:textId="77777777" w:rsidR="00F46258" w:rsidRPr="00F46258" w:rsidRDefault="00F46258" w:rsidP="00F46258">
      <w:pPr>
        <w:pStyle w:val="ListParagraph"/>
        <w:spacing w:after="0" w:line="240" w:lineRule="auto"/>
        <w:rPr>
          <w:rFonts w:ascii="Arial" w:eastAsia="Arial" w:hAnsi="Arial" w:cs="Arial"/>
          <w:color w:val="auto"/>
        </w:rPr>
      </w:pPr>
    </w:p>
    <w:p w14:paraId="0E961982" w14:textId="2F5D37CA" w:rsidR="00F46258" w:rsidRDefault="00F46258" w:rsidP="00874A98">
      <w:pPr>
        <w:pStyle w:val="ListParagraph"/>
        <w:numPr>
          <w:ilvl w:val="0"/>
          <w:numId w:val="211"/>
        </w:numPr>
        <w:autoSpaceDE w:val="0"/>
        <w:autoSpaceDN w:val="0"/>
        <w:adjustRightInd w:val="0"/>
        <w:spacing w:after="0" w:line="240" w:lineRule="auto"/>
        <w:ind w:left="1069"/>
        <w:rPr>
          <w:rFonts w:ascii="Arial" w:eastAsia="Arial" w:hAnsi="Arial" w:cs="Arial"/>
          <w:color w:val="auto"/>
        </w:rPr>
      </w:pPr>
      <w:r w:rsidRPr="00F46258">
        <w:rPr>
          <w:rFonts w:ascii="Arial" w:eastAsia="Arial" w:hAnsi="Arial" w:cs="Arial"/>
          <w:color w:val="auto"/>
        </w:rPr>
        <w:t>The facility has been adequately marketed, including internet, and local and national publications.</w:t>
      </w:r>
    </w:p>
    <w:p w14:paraId="263216A1" w14:textId="77777777" w:rsidR="00F46258" w:rsidRPr="00F46258" w:rsidRDefault="00F46258" w:rsidP="00F46258">
      <w:pPr>
        <w:autoSpaceDE w:val="0"/>
        <w:autoSpaceDN w:val="0"/>
        <w:adjustRightInd w:val="0"/>
        <w:spacing w:before="0"/>
        <w:rPr>
          <w:rFonts w:eastAsia="Arial" w:cs="Arial"/>
          <w:color w:val="auto"/>
        </w:rPr>
      </w:pPr>
    </w:p>
    <w:p w14:paraId="2E14A121" w14:textId="7557F1F5" w:rsidR="00F46258" w:rsidRDefault="006E10D4" w:rsidP="00874A98">
      <w:pPr>
        <w:pStyle w:val="ListParagraph"/>
        <w:numPr>
          <w:ilvl w:val="0"/>
          <w:numId w:val="211"/>
        </w:numPr>
        <w:autoSpaceDE w:val="0"/>
        <w:autoSpaceDN w:val="0"/>
        <w:adjustRightInd w:val="0"/>
        <w:spacing w:after="0" w:line="240" w:lineRule="auto"/>
        <w:ind w:left="1069"/>
        <w:rPr>
          <w:rFonts w:ascii="Arial" w:eastAsia="Arial" w:hAnsi="Arial" w:cs="Arial"/>
          <w:color w:val="auto"/>
        </w:rPr>
      </w:pPr>
      <w:r w:rsidRPr="005775C8">
        <w:rPr>
          <w:rFonts w:ascii="Arial" w:eastAsia="Arial" w:hAnsi="Arial" w:cs="Arial"/>
          <w:color w:val="auto"/>
        </w:rPr>
        <w:t>The length of time during which the property has been actively marketed.</w:t>
      </w:r>
      <w:r w:rsidRPr="005775C8">
        <w:rPr>
          <w:rFonts w:ascii="Arial" w:eastAsia="Calibri" w:hAnsi="Arial" w:cs="Arial"/>
          <w:color w:val="auto"/>
        </w:rPr>
        <w:t xml:space="preserve"> </w:t>
      </w:r>
      <w:r w:rsidRPr="005775C8">
        <w:rPr>
          <w:rFonts w:ascii="Arial" w:eastAsia="Arial" w:hAnsi="Arial" w:cs="Arial"/>
          <w:color w:val="auto"/>
        </w:rPr>
        <w:t>In order to prove that there is a significant lack of demand for the existing premises, it is anticipated that the landowner should have openly marketed the site for sale or let for a period of at least 12 months. Depending upon the location of the premises, it may be more appropriate to increase this period to 18 months, especially if in a secondary location where</w:t>
      </w:r>
      <w:r w:rsidRPr="005775C8">
        <w:rPr>
          <w:rFonts w:ascii="Arial" w:eastAsia="Calibri" w:hAnsi="Arial" w:cs="Arial"/>
          <w:color w:val="auto"/>
        </w:rPr>
        <w:t xml:space="preserve"> </w:t>
      </w:r>
      <w:r w:rsidRPr="005775C8">
        <w:rPr>
          <w:rFonts w:ascii="Arial" w:eastAsia="Arial" w:hAnsi="Arial" w:cs="Arial"/>
          <w:color w:val="auto"/>
        </w:rPr>
        <w:t>demand is consistently slow to emerge.</w:t>
      </w:r>
      <w:r w:rsidRPr="005775C8">
        <w:rPr>
          <w:rFonts w:ascii="Arial" w:eastAsia="Calibri" w:hAnsi="Arial" w:cs="Arial"/>
          <w:color w:val="auto"/>
        </w:rPr>
        <w:t xml:space="preserve"> (</w:t>
      </w:r>
      <w:r w:rsidRPr="005775C8">
        <w:rPr>
          <w:rFonts w:ascii="Arial" w:eastAsia="Arial" w:hAnsi="Arial" w:cs="Arial"/>
          <w:color w:val="auto"/>
        </w:rPr>
        <w:t>This will depend upon the location of the premises and the state of the market).</w:t>
      </w:r>
    </w:p>
    <w:p w14:paraId="3754EA33" w14:textId="77777777" w:rsidR="005775C8" w:rsidRPr="00F46258" w:rsidRDefault="005775C8" w:rsidP="00F46258">
      <w:pPr>
        <w:autoSpaceDE w:val="0"/>
        <w:autoSpaceDN w:val="0"/>
        <w:adjustRightInd w:val="0"/>
        <w:spacing w:before="0"/>
        <w:rPr>
          <w:rFonts w:eastAsia="Arial" w:cs="Arial"/>
          <w:color w:val="auto"/>
        </w:rPr>
      </w:pPr>
    </w:p>
    <w:p w14:paraId="49280C40" w14:textId="775C92B1" w:rsidR="005775C8" w:rsidRDefault="006E10D4" w:rsidP="00874A98">
      <w:pPr>
        <w:pStyle w:val="ListParagraph"/>
        <w:numPr>
          <w:ilvl w:val="0"/>
          <w:numId w:val="211"/>
        </w:numPr>
        <w:autoSpaceDE w:val="0"/>
        <w:autoSpaceDN w:val="0"/>
        <w:adjustRightInd w:val="0"/>
        <w:spacing w:after="0" w:line="240" w:lineRule="auto"/>
        <w:ind w:left="1069"/>
        <w:rPr>
          <w:rFonts w:ascii="Arial" w:eastAsia="Arial" w:hAnsi="Arial" w:cs="Arial"/>
          <w:color w:val="auto"/>
        </w:rPr>
      </w:pPr>
      <w:r w:rsidRPr="00F46258">
        <w:rPr>
          <w:rFonts w:ascii="Arial" w:eastAsia="Arial" w:hAnsi="Arial" w:cs="Arial"/>
          <w:color w:val="auto"/>
        </w:rPr>
        <w:t>That the site has been marketed</w:t>
      </w:r>
      <w:r w:rsidRPr="005775C8">
        <w:rPr>
          <w:rFonts w:ascii="Arial" w:eastAsia="Arial" w:hAnsi="Arial" w:cs="Arial"/>
          <w:color w:val="auto"/>
        </w:rPr>
        <w:t xml:space="preserve"> at an appropriate price to reflect the current use and the price should be justifiable given market conditions over time. If the site represents an employment redevelopment opportunity, an open request for offers may be more suitable in order to attract the widest interest.   The prices at which the land and buildings have been marketed during this period should reflect that obtained for similar property in the locality and the evidence should identify the appropriate comparable evidence.</w:t>
      </w:r>
    </w:p>
    <w:p w14:paraId="52D5C240" w14:textId="77777777" w:rsidR="005775C8" w:rsidRPr="005775C8" w:rsidRDefault="005775C8" w:rsidP="00A31CBB">
      <w:pPr>
        <w:pStyle w:val="ListParagraph"/>
        <w:spacing w:after="0" w:line="240" w:lineRule="auto"/>
        <w:ind w:left="902"/>
        <w:rPr>
          <w:rFonts w:ascii="Arial" w:eastAsia="Arial" w:hAnsi="Arial" w:cs="Arial"/>
          <w:color w:val="auto"/>
        </w:rPr>
      </w:pPr>
    </w:p>
    <w:p w14:paraId="7B261EEB" w14:textId="77777777" w:rsidR="0064018F" w:rsidRDefault="006E10D4" w:rsidP="00874A98">
      <w:pPr>
        <w:pStyle w:val="ListParagraph"/>
        <w:numPr>
          <w:ilvl w:val="0"/>
          <w:numId w:val="211"/>
        </w:numPr>
        <w:autoSpaceDE w:val="0"/>
        <w:autoSpaceDN w:val="0"/>
        <w:adjustRightInd w:val="0"/>
        <w:spacing w:after="0" w:line="240" w:lineRule="auto"/>
        <w:ind w:left="1069"/>
        <w:rPr>
          <w:rFonts w:ascii="Arial" w:eastAsia="Arial" w:hAnsi="Arial" w:cs="Arial"/>
          <w:color w:val="auto"/>
        </w:rPr>
      </w:pPr>
      <w:r w:rsidRPr="005775C8">
        <w:rPr>
          <w:rFonts w:ascii="Arial" w:eastAsia="Arial" w:hAnsi="Arial" w:cs="Arial"/>
          <w:color w:val="auto"/>
        </w:rPr>
        <w:t>A full record of enquiries, interested parties and bids should be recorded, with explanations and substantiation of why they have not been progressed.</w:t>
      </w:r>
    </w:p>
    <w:p w14:paraId="48461BCC" w14:textId="1724D5AD" w:rsidR="005775C8" w:rsidRPr="0064018F" w:rsidRDefault="006E10D4" w:rsidP="00A31CBB">
      <w:pPr>
        <w:autoSpaceDE w:val="0"/>
        <w:autoSpaceDN w:val="0"/>
        <w:adjustRightInd w:val="0"/>
        <w:spacing w:before="0"/>
        <w:ind w:left="182"/>
        <w:rPr>
          <w:rFonts w:eastAsia="Arial" w:cs="Arial"/>
          <w:color w:val="auto"/>
        </w:rPr>
      </w:pPr>
      <w:r w:rsidRPr="0064018F">
        <w:rPr>
          <w:rFonts w:eastAsia="Arial" w:cs="Arial"/>
          <w:color w:val="auto"/>
        </w:rPr>
        <w:t xml:space="preserve">   </w:t>
      </w:r>
    </w:p>
    <w:p w14:paraId="6F67C0DE" w14:textId="753D9D07" w:rsidR="005775C8" w:rsidRDefault="006E10D4" w:rsidP="00874A98">
      <w:pPr>
        <w:pStyle w:val="ListParagraph"/>
        <w:numPr>
          <w:ilvl w:val="0"/>
          <w:numId w:val="211"/>
        </w:numPr>
        <w:autoSpaceDE w:val="0"/>
        <w:autoSpaceDN w:val="0"/>
        <w:adjustRightInd w:val="0"/>
        <w:spacing w:after="0" w:line="240" w:lineRule="auto"/>
        <w:ind w:left="1069"/>
        <w:rPr>
          <w:rFonts w:ascii="Arial" w:eastAsia="Arial" w:hAnsi="Arial" w:cs="Arial"/>
          <w:color w:val="auto"/>
        </w:rPr>
      </w:pPr>
      <w:r w:rsidRPr="005775C8">
        <w:rPr>
          <w:rFonts w:ascii="Arial" w:eastAsia="Arial" w:hAnsi="Arial" w:cs="Arial"/>
          <w:color w:val="auto"/>
        </w:rPr>
        <w:t>An evaluation of why it is considered that the property has failed to attract interest from potential occupiers or for redevelopment.</w:t>
      </w:r>
    </w:p>
    <w:p w14:paraId="57BDFA2C" w14:textId="77777777" w:rsidR="005775C8" w:rsidRPr="005775C8" w:rsidRDefault="005775C8" w:rsidP="00A31CBB">
      <w:pPr>
        <w:pStyle w:val="ListParagraph"/>
        <w:autoSpaceDE w:val="0"/>
        <w:autoSpaceDN w:val="0"/>
        <w:adjustRightInd w:val="0"/>
        <w:spacing w:after="0" w:line="240" w:lineRule="auto"/>
        <w:ind w:left="1069"/>
        <w:rPr>
          <w:rFonts w:ascii="Arial" w:eastAsia="Arial" w:hAnsi="Arial" w:cs="Arial"/>
          <w:color w:val="auto"/>
        </w:rPr>
      </w:pPr>
    </w:p>
    <w:p w14:paraId="40793563" w14:textId="001AEA19" w:rsidR="006E10D4" w:rsidRPr="005775C8" w:rsidRDefault="006E10D4" w:rsidP="00874A98">
      <w:pPr>
        <w:pStyle w:val="ListParagraph"/>
        <w:numPr>
          <w:ilvl w:val="0"/>
          <w:numId w:val="211"/>
        </w:numPr>
        <w:autoSpaceDE w:val="0"/>
        <w:autoSpaceDN w:val="0"/>
        <w:adjustRightInd w:val="0"/>
        <w:spacing w:after="0" w:line="240" w:lineRule="auto"/>
        <w:ind w:left="1069"/>
        <w:rPr>
          <w:rFonts w:ascii="Arial" w:eastAsia="Arial" w:hAnsi="Arial" w:cs="Arial"/>
          <w:color w:val="auto"/>
        </w:rPr>
      </w:pPr>
      <w:r w:rsidRPr="005775C8">
        <w:rPr>
          <w:rFonts w:ascii="Arial" w:eastAsia="Arial" w:hAnsi="Arial" w:cs="Arial"/>
          <w:color w:val="auto"/>
        </w:rPr>
        <w:t xml:space="preserve">Why the site or buildings are physically unsuitable for the use classes even after adaptation (including </w:t>
      </w:r>
      <w:r w:rsidR="00EA7D34" w:rsidRPr="005775C8">
        <w:rPr>
          <w:rFonts w:ascii="Arial" w:eastAsia="Arial" w:hAnsi="Arial" w:cs="Arial"/>
          <w:color w:val="auto"/>
        </w:rPr>
        <w:t>subdivision</w:t>
      </w:r>
      <w:r w:rsidRPr="005775C8">
        <w:rPr>
          <w:rFonts w:ascii="Arial" w:eastAsia="Arial" w:hAnsi="Arial" w:cs="Arial"/>
          <w:color w:val="auto"/>
        </w:rPr>
        <w:t xml:space="preserve"> into smaller units) refurbishment or redevelopment, in terms of siting, design, access, layout and relationship to neighbouring buildings and uses.</w:t>
      </w:r>
    </w:p>
    <w:p w14:paraId="389C53A9" w14:textId="131B6935" w:rsidR="006E10D4" w:rsidRDefault="006E10D4" w:rsidP="00340B1E">
      <w:pPr>
        <w:keepNext w:val="0"/>
        <w:spacing w:before="0"/>
        <w:rPr>
          <w:rFonts w:eastAsia="Arial" w:cs="Arial"/>
          <w:color w:val="auto"/>
        </w:rPr>
      </w:pPr>
    </w:p>
    <w:p w14:paraId="1D9FC83C" w14:textId="15D15F32" w:rsidR="006977E7" w:rsidRDefault="006977E7" w:rsidP="00340B1E">
      <w:pPr>
        <w:keepNext w:val="0"/>
        <w:spacing w:before="0"/>
        <w:rPr>
          <w:rFonts w:eastAsia="Arial" w:cs="Arial"/>
          <w:color w:val="auto"/>
        </w:rPr>
      </w:pPr>
    </w:p>
    <w:p w14:paraId="1C3DB9E3" w14:textId="77777777" w:rsidR="006977E7" w:rsidRPr="005775C8" w:rsidRDefault="006977E7" w:rsidP="00340B1E">
      <w:pPr>
        <w:keepNext w:val="0"/>
        <w:spacing w:before="0"/>
        <w:rPr>
          <w:rFonts w:eastAsia="Arial" w:cs="Arial"/>
          <w:color w:val="auto"/>
        </w:rPr>
      </w:pPr>
    </w:p>
    <w:p w14:paraId="2646E146" w14:textId="5207E37A" w:rsidR="006E10D4" w:rsidRPr="00825421" w:rsidRDefault="006977E7" w:rsidP="00825421">
      <w:pPr>
        <w:pStyle w:val="Heading2"/>
        <w:jc w:val="left"/>
        <w:rPr>
          <w:rFonts w:eastAsia="Arial"/>
          <w:sz w:val="28"/>
          <w:szCs w:val="28"/>
        </w:rPr>
      </w:pPr>
      <w:bookmarkStart w:id="304" w:name="_Toc145511616"/>
      <w:r w:rsidRPr="00825421">
        <w:rPr>
          <w:rFonts w:eastAsia="Arial"/>
          <w:sz w:val="28"/>
          <w:szCs w:val="28"/>
        </w:rPr>
        <w:t xml:space="preserve">Policy </w:t>
      </w:r>
      <w:r w:rsidR="006E10D4" w:rsidRPr="00825421">
        <w:rPr>
          <w:rFonts w:eastAsia="Arial"/>
          <w:sz w:val="28"/>
          <w:szCs w:val="28"/>
        </w:rPr>
        <w:t>SD</w:t>
      </w:r>
      <w:r w:rsidR="0064018F" w:rsidRPr="00825421">
        <w:rPr>
          <w:rFonts w:eastAsia="Arial"/>
          <w:sz w:val="28"/>
          <w:szCs w:val="28"/>
        </w:rPr>
        <w:t>7</w:t>
      </w:r>
      <w:r w:rsidR="006E10D4" w:rsidRPr="00825421">
        <w:rPr>
          <w:rFonts w:eastAsia="Arial"/>
          <w:sz w:val="28"/>
          <w:szCs w:val="28"/>
        </w:rPr>
        <w:t>: Communications Infrastructure</w:t>
      </w:r>
      <w:bookmarkEnd w:id="304"/>
    </w:p>
    <w:p w14:paraId="63718F95" w14:textId="169E3DE5" w:rsidR="006E10D4" w:rsidRDefault="006E10D4" w:rsidP="006E10D4">
      <w:pPr>
        <w:keepNext w:val="0"/>
        <w:spacing w:before="0"/>
        <w:ind w:left="527"/>
        <w:rPr>
          <w:rFonts w:cs="Arial"/>
          <w:color w:val="auto"/>
          <w:szCs w:val="24"/>
          <w:lang w:eastAsia="en-US"/>
        </w:rPr>
      </w:pPr>
    </w:p>
    <w:p w14:paraId="1AD2CBFD" w14:textId="74DF1060" w:rsidR="00DA3B66" w:rsidRDefault="00DA3B66" w:rsidP="00DA3B66">
      <w:pPr>
        <w:keepNext w:val="0"/>
        <w:spacing w:before="0"/>
        <w:rPr>
          <w:rFonts w:eastAsia="Arial"/>
          <w:bCs/>
          <w:color w:val="auto"/>
          <w:szCs w:val="24"/>
        </w:rPr>
      </w:pPr>
    </w:p>
    <w:tbl>
      <w:tblPr>
        <w:tblStyle w:val="TableGrid3"/>
        <w:tblW w:w="9634" w:type="dxa"/>
        <w:tblLook w:val="04A0" w:firstRow="1" w:lastRow="0" w:firstColumn="1" w:lastColumn="0" w:noHBand="0" w:noVBand="1"/>
      </w:tblPr>
      <w:tblGrid>
        <w:gridCol w:w="2263"/>
        <w:gridCol w:w="397"/>
        <w:gridCol w:w="6974"/>
      </w:tblGrid>
      <w:tr w:rsidR="00882EFF" w:rsidRPr="00882EFF" w14:paraId="01D10C70" w14:textId="77777777" w:rsidTr="00DD4136">
        <w:trPr>
          <w:trHeight w:val="421"/>
        </w:trPr>
        <w:tc>
          <w:tcPr>
            <w:tcW w:w="9634" w:type="dxa"/>
            <w:gridSpan w:val="3"/>
          </w:tcPr>
          <w:p w14:paraId="6DA5844A" w14:textId="79D6770F" w:rsidR="00882EFF" w:rsidRPr="00882EFF" w:rsidRDefault="00882EFF" w:rsidP="00905CC9">
            <w:pPr>
              <w:keepNext w:val="0"/>
              <w:tabs>
                <w:tab w:val="left" w:pos="680"/>
              </w:tabs>
              <w:spacing w:after="120"/>
              <w:jc w:val="left"/>
              <w:rPr>
                <w:rFonts w:eastAsia="Arial"/>
                <w:b/>
                <w:color w:val="538135"/>
                <w:spacing w:val="-1"/>
              </w:rPr>
            </w:pPr>
            <w:bookmarkStart w:id="305" w:name="_Hlk78824659"/>
            <w:r w:rsidRPr="00882EFF">
              <w:rPr>
                <w:rFonts w:eastAsia="Arial"/>
                <w:b/>
                <w:color w:val="auto"/>
                <w:spacing w:val="-1"/>
              </w:rPr>
              <w:t xml:space="preserve">Policy </w:t>
            </w:r>
            <w:r w:rsidRPr="008F21DB">
              <w:rPr>
                <w:rFonts w:eastAsia="Arial"/>
                <w:b/>
                <w:color w:val="auto"/>
                <w:spacing w:val="-1"/>
              </w:rPr>
              <w:t>S</w:t>
            </w:r>
            <w:r w:rsidR="0064018F">
              <w:rPr>
                <w:rFonts w:eastAsia="Arial"/>
                <w:b/>
                <w:color w:val="auto"/>
                <w:spacing w:val="-1"/>
              </w:rPr>
              <w:t>D7</w:t>
            </w:r>
            <w:r w:rsidRPr="008F21DB">
              <w:rPr>
                <w:rFonts w:eastAsia="Arial"/>
                <w:b/>
                <w:color w:val="auto"/>
                <w:spacing w:val="-1"/>
              </w:rPr>
              <w:t>: Communications Infrastructure</w:t>
            </w:r>
          </w:p>
        </w:tc>
      </w:tr>
      <w:tr w:rsidR="00882EFF" w:rsidRPr="00882EFF" w14:paraId="04B1C794" w14:textId="77777777" w:rsidTr="00DD4136">
        <w:tc>
          <w:tcPr>
            <w:tcW w:w="2660" w:type="dxa"/>
            <w:gridSpan w:val="2"/>
          </w:tcPr>
          <w:p w14:paraId="4BD6DA69" w14:textId="77777777" w:rsidR="00882EFF" w:rsidRPr="008F21DB" w:rsidRDefault="00882EFF" w:rsidP="00882EFF">
            <w:pPr>
              <w:keepNext w:val="0"/>
              <w:tabs>
                <w:tab w:val="left" w:pos="680"/>
              </w:tabs>
              <w:spacing w:before="0"/>
              <w:rPr>
                <w:rFonts w:eastAsia="Arial"/>
                <w:bCs/>
                <w:color w:val="auto"/>
              </w:rPr>
            </w:pPr>
            <w:r w:rsidRPr="008F21DB">
              <w:rPr>
                <w:rFonts w:eastAsia="Arial"/>
                <w:bCs/>
                <w:color w:val="auto"/>
              </w:rPr>
              <w:t>Strategic Objectives</w:t>
            </w:r>
          </w:p>
        </w:tc>
        <w:tc>
          <w:tcPr>
            <w:tcW w:w="6974" w:type="dxa"/>
          </w:tcPr>
          <w:p w14:paraId="0C85D10E" w14:textId="77777777" w:rsidR="00882EFF" w:rsidRPr="008F21DB" w:rsidRDefault="00882EFF" w:rsidP="00905CC9">
            <w:pPr>
              <w:keepNext w:val="0"/>
              <w:tabs>
                <w:tab w:val="left" w:pos="680"/>
              </w:tabs>
              <w:spacing w:before="40" w:after="40"/>
              <w:jc w:val="left"/>
              <w:rPr>
                <w:rFonts w:eastAsia="Arial"/>
                <w:bCs/>
                <w:color w:val="auto"/>
              </w:rPr>
            </w:pPr>
            <w:r w:rsidRPr="008F21DB">
              <w:rPr>
                <w:rFonts w:eastAsia="Arial"/>
                <w:bCs/>
                <w:color w:val="auto"/>
              </w:rPr>
              <w:t>SO1, SO4, SO5, SO6, SO7, SO8, SO9, SO10, SO12, SO14.</w:t>
            </w:r>
          </w:p>
        </w:tc>
      </w:tr>
      <w:tr w:rsidR="00882EFF" w:rsidRPr="00882EFF" w14:paraId="6319A6C3" w14:textId="77777777" w:rsidTr="00DD4136">
        <w:tc>
          <w:tcPr>
            <w:tcW w:w="9634" w:type="dxa"/>
            <w:gridSpan w:val="3"/>
            <w:shd w:val="clear" w:color="auto" w:fill="DAC4F8"/>
          </w:tcPr>
          <w:p w14:paraId="334222CD" w14:textId="77777777" w:rsidR="00882EFF" w:rsidRPr="00882EFF" w:rsidRDefault="00882EFF" w:rsidP="00905CC9">
            <w:pPr>
              <w:keepNext w:val="0"/>
              <w:tabs>
                <w:tab w:val="left" w:pos="680"/>
                <w:tab w:val="left" w:pos="1133"/>
                <w:tab w:val="left" w:pos="2267"/>
              </w:tabs>
              <w:spacing w:before="0"/>
              <w:ind w:right="284"/>
              <w:jc w:val="left"/>
              <w:rPr>
                <w:rFonts w:eastAsia="Arial"/>
                <w:bCs/>
                <w:color w:val="auto"/>
              </w:rPr>
            </w:pPr>
          </w:p>
          <w:p w14:paraId="0B3DE87E" w14:textId="77777777" w:rsidR="00882EFF" w:rsidRPr="00882EFF" w:rsidRDefault="00882EFF" w:rsidP="00905CC9">
            <w:pPr>
              <w:keepNext w:val="0"/>
              <w:tabs>
                <w:tab w:val="left" w:pos="680"/>
                <w:tab w:val="left" w:pos="1133"/>
                <w:tab w:val="left" w:pos="2267"/>
              </w:tabs>
              <w:spacing w:before="0"/>
              <w:ind w:right="284"/>
              <w:jc w:val="left"/>
              <w:rPr>
                <w:rFonts w:eastAsia="Arial"/>
                <w:b/>
                <w:color w:val="auto"/>
              </w:rPr>
            </w:pPr>
            <w:r w:rsidRPr="00882EFF">
              <w:rPr>
                <w:rFonts w:eastAsia="Arial"/>
                <w:b/>
                <w:color w:val="auto"/>
              </w:rPr>
              <w:t>Telecommunications</w:t>
            </w:r>
          </w:p>
          <w:p w14:paraId="610CF154" w14:textId="77777777" w:rsidR="00882EFF" w:rsidRPr="00882EFF" w:rsidRDefault="00882EFF" w:rsidP="00874A98">
            <w:pPr>
              <w:keepNext w:val="0"/>
              <w:numPr>
                <w:ilvl w:val="0"/>
                <w:numId w:val="182"/>
              </w:numPr>
              <w:tabs>
                <w:tab w:val="left" w:pos="680"/>
                <w:tab w:val="left" w:pos="1133"/>
                <w:tab w:val="left" w:pos="2267"/>
              </w:tabs>
              <w:spacing w:before="0"/>
              <w:ind w:right="284"/>
              <w:jc w:val="left"/>
              <w:rPr>
                <w:rFonts w:eastAsia="Arial"/>
                <w:bCs/>
                <w:color w:val="auto"/>
              </w:rPr>
            </w:pPr>
            <w:r w:rsidRPr="00882EFF">
              <w:rPr>
                <w:rFonts w:eastAsia="Arial"/>
                <w:bCs/>
                <w:color w:val="auto"/>
              </w:rPr>
              <w:t>Telecommunications development proposals will be permitted where:</w:t>
            </w:r>
          </w:p>
          <w:p w14:paraId="48930F43" w14:textId="77777777" w:rsidR="00882EFF" w:rsidRPr="00882EFF" w:rsidRDefault="00882EFF" w:rsidP="00905CC9">
            <w:pPr>
              <w:keepNext w:val="0"/>
              <w:tabs>
                <w:tab w:val="left" w:pos="680"/>
              </w:tabs>
              <w:spacing w:before="0"/>
              <w:jc w:val="left"/>
              <w:rPr>
                <w:rFonts w:eastAsia="Arial"/>
                <w:bCs/>
                <w:color w:val="auto"/>
              </w:rPr>
            </w:pPr>
          </w:p>
          <w:p w14:paraId="4CBD5ED2" w14:textId="201EA8FD" w:rsidR="00882EFF" w:rsidRPr="00882EFF" w:rsidRDefault="00882EFF" w:rsidP="00874A98">
            <w:pPr>
              <w:keepNext w:val="0"/>
              <w:numPr>
                <w:ilvl w:val="0"/>
                <w:numId w:val="183"/>
              </w:numPr>
              <w:tabs>
                <w:tab w:val="left" w:pos="680"/>
              </w:tabs>
              <w:spacing w:before="0"/>
              <w:jc w:val="left"/>
              <w:rPr>
                <w:rFonts w:eastAsia="Arial"/>
                <w:bCs/>
                <w:color w:val="auto"/>
              </w:rPr>
            </w:pPr>
            <w:r w:rsidRPr="00882EFF">
              <w:rPr>
                <w:rFonts w:eastAsia="Arial"/>
                <w:bCs/>
                <w:color w:val="auto"/>
              </w:rPr>
              <w:t>The siting and external appearance of any installation is designed to minimise the impact on the character or appearance of the building on which, or space in which, the equipment is located</w:t>
            </w:r>
            <w:r w:rsidR="00CD5564">
              <w:rPr>
                <w:rFonts w:eastAsia="Arial"/>
                <w:bCs/>
                <w:color w:val="auto"/>
              </w:rPr>
              <w:t>;</w:t>
            </w:r>
          </w:p>
          <w:p w14:paraId="17EB8432" w14:textId="77777777" w:rsidR="00882EFF" w:rsidRPr="00882EFF" w:rsidRDefault="00882EFF" w:rsidP="00905CC9">
            <w:pPr>
              <w:keepNext w:val="0"/>
              <w:tabs>
                <w:tab w:val="left" w:pos="680"/>
              </w:tabs>
              <w:spacing w:before="0"/>
              <w:ind w:left="720"/>
              <w:jc w:val="left"/>
              <w:rPr>
                <w:rFonts w:eastAsia="Arial"/>
                <w:bCs/>
                <w:color w:val="auto"/>
              </w:rPr>
            </w:pPr>
          </w:p>
          <w:p w14:paraId="413B26D7" w14:textId="77777777" w:rsidR="00882EFF" w:rsidRPr="00882EFF" w:rsidRDefault="00882EFF" w:rsidP="00874A98">
            <w:pPr>
              <w:keepNext w:val="0"/>
              <w:numPr>
                <w:ilvl w:val="0"/>
                <w:numId w:val="183"/>
              </w:numPr>
              <w:tabs>
                <w:tab w:val="left" w:pos="680"/>
              </w:tabs>
              <w:spacing w:before="0"/>
              <w:jc w:val="left"/>
              <w:rPr>
                <w:rFonts w:eastAsia="Arial"/>
                <w:bCs/>
                <w:color w:val="auto"/>
              </w:rPr>
            </w:pPr>
            <w:r w:rsidRPr="00882EFF">
              <w:rPr>
                <w:rFonts w:eastAsia="Arial"/>
                <w:bCs/>
                <w:color w:val="auto"/>
              </w:rPr>
              <w:t>Options for sharing of existing equipment, and erecting masts on existing tall buildings or other structures have been fully explored;</w:t>
            </w:r>
          </w:p>
          <w:p w14:paraId="154DD42F" w14:textId="77777777" w:rsidR="00882EFF" w:rsidRPr="00882EFF" w:rsidRDefault="00882EFF" w:rsidP="00905CC9">
            <w:pPr>
              <w:keepNext w:val="0"/>
              <w:tabs>
                <w:tab w:val="left" w:pos="680"/>
              </w:tabs>
              <w:spacing w:before="0"/>
              <w:jc w:val="left"/>
              <w:rPr>
                <w:rFonts w:eastAsia="Arial"/>
                <w:bCs/>
                <w:color w:val="auto"/>
              </w:rPr>
            </w:pPr>
          </w:p>
          <w:p w14:paraId="65D1CCE3" w14:textId="77777777" w:rsidR="00882EFF" w:rsidRPr="00882EFF" w:rsidRDefault="00882EFF" w:rsidP="00874A98">
            <w:pPr>
              <w:keepNext w:val="0"/>
              <w:numPr>
                <w:ilvl w:val="0"/>
                <w:numId w:val="183"/>
              </w:numPr>
              <w:tabs>
                <w:tab w:val="left" w:pos="680"/>
              </w:tabs>
              <w:spacing w:before="0"/>
              <w:jc w:val="left"/>
              <w:rPr>
                <w:rFonts w:eastAsia="Arial" w:cs="Arial"/>
                <w:bCs/>
                <w:color w:val="auto"/>
                <w:szCs w:val="24"/>
              </w:rPr>
            </w:pPr>
            <w:r w:rsidRPr="00882EFF">
              <w:rPr>
                <w:rFonts w:eastAsia="Arial" w:cs="Arial"/>
                <w:bCs/>
                <w:color w:val="auto"/>
                <w:szCs w:val="24"/>
              </w:rPr>
              <w:t>the significance, appearance, character and setting of heritage assets are conserved;</w:t>
            </w:r>
          </w:p>
          <w:p w14:paraId="3CAE1B0C" w14:textId="77777777" w:rsidR="00882EFF" w:rsidRPr="00882EFF" w:rsidRDefault="00882EFF" w:rsidP="00905CC9">
            <w:pPr>
              <w:keepNext w:val="0"/>
              <w:tabs>
                <w:tab w:val="left" w:pos="680"/>
              </w:tabs>
              <w:spacing w:before="0"/>
              <w:jc w:val="left"/>
              <w:rPr>
                <w:rFonts w:eastAsia="Arial" w:cs="Arial"/>
                <w:bCs/>
                <w:color w:val="auto"/>
                <w:szCs w:val="24"/>
              </w:rPr>
            </w:pPr>
          </w:p>
          <w:p w14:paraId="7E507B7D" w14:textId="77777777" w:rsidR="00882EFF" w:rsidRPr="00882EFF" w:rsidRDefault="00882EFF" w:rsidP="00874A98">
            <w:pPr>
              <w:keepNext w:val="0"/>
              <w:numPr>
                <w:ilvl w:val="0"/>
                <w:numId w:val="183"/>
              </w:numPr>
              <w:spacing w:before="0"/>
              <w:contextualSpacing/>
              <w:jc w:val="left"/>
              <w:rPr>
                <w:rFonts w:eastAsia="Arial" w:cs="Arial"/>
                <w:bCs/>
                <w:color w:val="auto"/>
                <w:szCs w:val="24"/>
              </w:rPr>
            </w:pPr>
            <w:r w:rsidRPr="00882EFF">
              <w:rPr>
                <w:rFonts w:eastAsia="Arial" w:cs="Arial"/>
                <w:bCs/>
                <w:color w:val="auto"/>
                <w:szCs w:val="24"/>
              </w:rPr>
              <w:t>there is no significant adverse impact upon biodiversity, ecology, geodiversity or best and most versatile agricultural land;</w:t>
            </w:r>
          </w:p>
          <w:p w14:paraId="709E6C55" w14:textId="77777777" w:rsidR="00882EFF" w:rsidRPr="00882EFF" w:rsidRDefault="00882EFF" w:rsidP="00905CC9">
            <w:pPr>
              <w:keepNext w:val="0"/>
              <w:spacing w:before="0"/>
              <w:ind w:left="720"/>
              <w:contextualSpacing/>
              <w:jc w:val="left"/>
              <w:rPr>
                <w:rFonts w:eastAsia="Arial" w:cs="Arial"/>
                <w:bCs/>
                <w:color w:val="auto"/>
                <w:szCs w:val="24"/>
              </w:rPr>
            </w:pPr>
          </w:p>
          <w:p w14:paraId="08AEF7E3" w14:textId="77777777" w:rsidR="00882EFF" w:rsidRPr="00882EFF" w:rsidRDefault="00882EFF" w:rsidP="00874A98">
            <w:pPr>
              <w:keepNext w:val="0"/>
              <w:numPr>
                <w:ilvl w:val="0"/>
                <w:numId w:val="183"/>
              </w:numPr>
              <w:spacing w:before="0"/>
              <w:contextualSpacing/>
              <w:jc w:val="left"/>
              <w:rPr>
                <w:rFonts w:eastAsia="Arial" w:cs="Arial"/>
                <w:bCs/>
                <w:color w:val="auto"/>
                <w:szCs w:val="24"/>
              </w:rPr>
            </w:pPr>
            <w:r w:rsidRPr="00882EFF">
              <w:rPr>
                <w:rFonts w:eastAsia="Arial" w:cs="Arial"/>
                <w:bCs/>
                <w:color w:val="auto"/>
                <w:szCs w:val="24"/>
              </w:rPr>
              <w:t>they are appropriately designed, minimising size and scale and camouflaging appearance wherever possible;</w:t>
            </w:r>
          </w:p>
          <w:p w14:paraId="3B686E72" w14:textId="77777777" w:rsidR="00882EFF" w:rsidRPr="00882EFF" w:rsidRDefault="00882EFF" w:rsidP="00905CC9">
            <w:pPr>
              <w:keepNext w:val="0"/>
              <w:spacing w:before="0"/>
              <w:ind w:left="720"/>
              <w:contextualSpacing/>
              <w:jc w:val="left"/>
              <w:rPr>
                <w:rFonts w:eastAsia="Arial" w:cs="Arial"/>
                <w:bCs/>
                <w:color w:val="auto"/>
                <w:szCs w:val="24"/>
              </w:rPr>
            </w:pPr>
          </w:p>
          <w:p w14:paraId="3061E0FC" w14:textId="77777777" w:rsidR="00882EFF" w:rsidRPr="00882EFF" w:rsidRDefault="00882EFF" w:rsidP="00874A98">
            <w:pPr>
              <w:keepNext w:val="0"/>
              <w:numPr>
                <w:ilvl w:val="0"/>
                <w:numId w:val="183"/>
              </w:numPr>
              <w:tabs>
                <w:tab w:val="left" w:pos="680"/>
              </w:tabs>
              <w:spacing w:before="0"/>
              <w:jc w:val="left"/>
              <w:rPr>
                <w:rFonts w:eastAsia="Arial"/>
                <w:bCs/>
                <w:color w:val="auto"/>
              </w:rPr>
            </w:pPr>
            <w:r w:rsidRPr="00882EFF">
              <w:rPr>
                <w:rFonts w:eastAsia="Arial"/>
                <w:bCs/>
                <w:color w:val="auto"/>
              </w:rPr>
              <w:t>All masts or base stations and additions there to are certified to meet International Commission on Non-Ionizing Radiation Protection (ICNIRP) standards;</w:t>
            </w:r>
          </w:p>
          <w:p w14:paraId="3600E7A8" w14:textId="77777777" w:rsidR="00882EFF" w:rsidRPr="00882EFF" w:rsidRDefault="00882EFF" w:rsidP="00905CC9">
            <w:pPr>
              <w:keepNext w:val="0"/>
              <w:tabs>
                <w:tab w:val="left" w:pos="680"/>
              </w:tabs>
              <w:spacing w:before="0"/>
              <w:jc w:val="left"/>
              <w:rPr>
                <w:rFonts w:eastAsia="Arial"/>
                <w:bCs/>
                <w:color w:val="auto"/>
              </w:rPr>
            </w:pPr>
          </w:p>
          <w:p w14:paraId="5BC3F624" w14:textId="4AE7DD2B" w:rsidR="00882EFF" w:rsidRPr="00882EFF" w:rsidRDefault="00882EFF" w:rsidP="00874A98">
            <w:pPr>
              <w:keepNext w:val="0"/>
              <w:numPr>
                <w:ilvl w:val="0"/>
                <w:numId w:val="183"/>
              </w:numPr>
              <w:spacing w:before="0"/>
              <w:contextualSpacing/>
              <w:jc w:val="left"/>
              <w:rPr>
                <w:rFonts w:eastAsia="Arial"/>
                <w:bCs/>
                <w:color w:val="auto"/>
              </w:rPr>
            </w:pPr>
            <w:r w:rsidRPr="00882EFF">
              <w:rPr>
                <w:rFonts w:eastAsia="Arial"/>
                <w:bCs/>
                <w:color w:val="auto"/>
              </w:rPr>
              <w:t>Consultations have been undertaken with organisations with an interest in the proposed development and their views have been taken into account in the development proposal. This is particularly relevant where a mast is to be installed near a school or college or within a statutory safeguarded zone surrounding an aerodrome or technical site;</w:t>
            </w:r>
            <w:r w:rsidR="00CD5564">
              <w:rPr>
                <w:rFonts w:eastAsia="Arial"/>
                <w:bCs/>
                <w:color w:val="auto"/>
              </w:rPr>
              <w:t xml:space="preserve"> and</w:t>
            </w:r>
          </w:p>
          <w:p w14:paraId="07C6A251" w14:textId="77777777" w:rsidR="00882EFF" w:rsidRPr="00882EFF" w:rsidRDefault="00882EFF" w:rsidP="00905CC9">
            <w:pPr>
              <w:keepNext w:val="0"/>
              <w:spacing w:before="0"/>
              <w:ind w:left="720"/>
              <w:contextualSpacing/>
              <w:jc w:val="left"/>
              <w:rPr>
                <w:rFonts w:eastAsia="Arial"/>
                <w:bCs/>
                <w:color w:val="auto"/>
              </w:rPr>
            </w:pPr>
          </w:p>
          <w:p w14:paraId="6A4DABBB" w14:textId="77777777" w:rsidR="00882EFF" w:rsidRPr="00882EFF" w:rsidRDefault="00882EFF" w:rsidP="00874A98">
            <w:pPr>
              <w:keepNext w:val="0"/>
              <w:numPr>
                <w:ilvl w:val="0"/>
                <w:numId w:val="183"/>
              </w:numPr>
              <w:tabs>
                <w:tab w:val="left" w:pos="680"/>
              </w:tabs>
              <w:spacing w:before="0"/>
              <w:jc w:val="left"/>
              <w:rPr>
                <w:rFonts w:eastAsia="Arial"/>
                <w:bCs/>
                <w:color w:val="auto"/>
              </w:rPr>
            </w:pPr>
            <w:r w:rsidRPr="00882EFF">
              <w:rPr>
                <w:rFonts w:eastAsia="Arial"/>
                <w:bCs/>
                <w:color w:val="auto"/>
              </w:rPr>
              <w:t>Provision is made to ensure that equipment that has become obsolete or that is no longer in use is removed as soon as practicable and the site restored to its former condition.</w:t>
            </w:r>
          </w:p>
          <w:p w14:paraId="40C20883" w14:textId="77777777" w:rsidR="00882EFF" w:rsidRPr="00882EFF" w:rsidRDefault="00882EFF" w:rsidP="00905CC9">
            <w:pPr>
              <w:keepNext w:val="0"/>
              <w:tabs>
                <w:tab w:val="left" w:pos="680"/>
                <w:tab w:val="left" w:pos="1133"/>
                <w:tab w:val="left" w:pos="2267"/>
              </w:tabs>
              <w:spacing w:before="0"/>
              <w:ind w:left="360" w:right="284"/>
              <w:jc w:val="left"/>
              <w:rPr>
                <w:rFonts w:eastAsia="Arial"/>
                <w:bCs/>
                <w:color w:val="auto"/>
              </w:rPr>
            </w:pPr>
          </w:p>
          <w:p w14:paraId="6ECD72C9" w14:textId="77777777" w:rsidR="00882EFF" w:rsidRPr="00882EFF" w:rsidRDefault="00882EFF" w:rsidP="00905CC9">
            <w:pPr>
              <w:keepNext w:val="0"/>
              <w:tabs>
                <w:tab w:val="left" w:pos="680"/>
                <w:tab w:val="left" w:pos="1133"/>
                <w:tab w:val="left" w:pos="2267"/>
              </w:tabs>
              <w:spacing w:before="0"/>
              <w:ind w:left="360" w:right="284"/>
              <w:jc w:val="left"/>
              <w:rPr>
                <w:rFonts w:eastAsia="Arial"/>
                <w:b/>
                <w:color w:val="auto"/>
              </w:rPr>
            </w:pPr>
            <w:r w:rsidRPr="00882EFF">
              <w:rPr>
                <w:rFonts w:eastAsia="Arial"/>
                <w:b/>
                <w:color w:val="auto"/>
              </w:rPr>
              <w:t>Broadband</w:t>
            </w:r>
          </w:p>
          <w:p w14:paraId="5AB98A1F" w14:textId="77777777" w:rsidR="00882EFF" w:rsidRPr="00882EFF" w:rsidRDefault="00882EFF" w:rsidP="00874A98">
            <w:pPr>
              <w:keepNext w:val="0"/>
              <w:numPr>
                <w:ilvl w:val="0"/>
                <w:numId w:val="182"/>
              </w:numPr>
              <w:tabs>
                <w:tab w:val="left" w:pos="680"/>
                <w:tab w:val="left" w:pos="1133"/>
                <w:tab w:val="left" w:pos="2267"/>
              </w:tabs>
              <w:spacing w:before="0"/>
              <w:ind w:right="284"/>
              <w:jc w:val="left"/>
              <w:rPr>
                <w:rFonts w:eastAsia="Arial" w:cs="Arial"/>
                <w:bCs/>
                <w:color w:val="auto"/>
                <w:szCs w:val="24"/>
              </w:rPr>
            </w:pPr>
            <w:r w:rsidRPr="00882EFF">
              <w:rPr>
                <w:rFonts w:eastAsia="Arial"/>
                <w:bCs/>
                <w:color w:val="auto"/>
              </w:rPr>
              <w:t xml:space="preserve">The rollout and continued improvement of affordable, high speed, high capacity digital infrastructure serving all parts of the District will be supported.   </w:t>
            </w:r>
          </w:p>
          <w:p w14:paraId="1AF49FE8" w14:textId="77777777" w:rsidR="00882EFF" w:rsidRPr="00882EFF" w:rsidRDefault="00882EFF" w:rsidP="00905CC9">
            <w:pPr>
              <w:keepNext w:val="0"/>
              <w:tabs>
                <w:tab w:val="left" w:pos="680"/>
                <w:tab w:val="left" w:pos="1133"/>
                <w:tab w:val="left" w:pos="2267"/>
              </w:tabs>
              <w:spacing w:before="0"/>
              <w:ind w:left="360" w:right="284"/>
              <w:jc w:val="left"/>
              <w:rPr>
                <w:rFonts w:eastAsia="Arial" w:cs="Arial"/>
                <w:bCs/>
                <w:color w:val="auto"/>
                <w:szCs w:val="24"/>
              </w:rPr>
            </w:pPr>
          </w:p>
          <w:p w14:paraId="35A73630" w14:textId="77777777" w:rsidR="00882EFF" w:rsidRPr="00882EFF" w:rsidRDefault="00882EFF" w:rsidP="00874A98">
            <w:pPr>
              <w:keepNext w:val="0"/>
              <w:numPr>
                <w:ilvl w:val="0"/>
                <w:numId w:val="182"/>
              </w:numPr>
              <w:tabs>
                <w:tab w:val="left" w:pos="680"/>
                <w:tab w:val="left" w:pos="1133"/>
                <w:tab w:val="left" w:pos="2267"/>
              </w:tabs>
              <w:spacing w:before="0"/>
              <w:ind w:right="284"/>
              <w:jc w:val="left"/>
              <w:rPr>
                <w:rFonts w:eastAsia="Arial" w:cs="Arial"/>
                <w:bCs/>
                <w:color w:val="auto"/>
                <w:szCs w:val="24"/>
              </w:rPr>
            </w:pPr>
            <w:r w:rsidRPr="00DA3B66">
              <w:rPr>
                <w:rFonts w:eastAsia="Arial" w:cs="Arial"/>
                <w:bCs/>
                <w:color w:val="auto"/>
                <w:szCs w:val="24"/>
              </w:rPr>
              <w:t>New development should enhancement of Ashfield’s digital infrastructure</w:t>
            </w:r>
            <w:r w:rsidRPr="00882EFF">
              <w:rPr>
                <w:rFonts w:eastAsia="Arial" w:cs="Arial"/>
                <w:bCs/>
                <w:color w:val="auto"/>
                <w:szCs w:val="24"/>
              </w:rPr>
              <w:t xml:space="preserve"> with new development demonstrating the anticipated connectivity of the proposed use.</w:t>
            </w:r>
          </w:p>
          <w:p w14:paraId="6AD69E09" w14:textId="77777777" w:rsidR="00882EFF" w:rsidRPr="00882EFF" w:rsidRDefault="00882EFF" w:rsidP="00905CC9">
            <w:pPr>
              <w:keepNext w:val="0"/>
              <w:spacing w:before="0"/>
              <w:ind w:left="720"/>
              <w:contextualSpacing/>
              <w:jc w:val="left"/>
              <w:rPr>
                <w:rFonts w:eastAsia="Arial" w:cs="Arial"/>
                <w:bCs/>
                <w:color w:val="auto"/>
                <w:szCs w:val="24"/>
              </w:rPr>
            </w:pPr>
          </w:p>
          <w:p w14:paraId="4679ADDD" w14:textId="77777777" w:rsidR="00882EFF" w:rsidRPr="00882EFF" w:rsidRDefault="00882EFF" w:rsidP="00874A98">
            <w:pPr>
              <w:keepNext w:val="0"/>
              <w:numPr>
                <w:ilvl w:val="0"/>
                <w:numId w:val="182"/>
              </w:numPr>
              <w:tabs>
                <w:tab w:val="left" w:pos="680"/>
                <w:tab w:val="left" w:pos="1133"/>
                <w:tab w:val="left" w:pos="2267"/>
              </w:tabs>
              <w:spacing w:before="0"/>
              <w:ind w:right="284"/>
              <w:jc w:val="left"/>
              <w:rPr>
                <w:rFonts w:eastAsia="Arial" w:cs="Arial"/>
                <w:bCs/>
                <w:color w:val="auto"/>
                <w:szCs w:val="24"/>
              </w:rPr>
            </w:pPr>
            <w:r w:rsidRPr="00882EFF">
              <w:rPr>
                <w:rFonts w:eastAsia="Arial" w:cs="Arial"/>
                <w:bCs/>
                <w:color w:val="auto"/>
                <w:szCs w:val="24"/>
              </w:rPr>
              <w:t xml:space="preserve">Major development proposals will be supported where broadband infrastructure is to be made available to all residents and / or users of the development. </w:t>
            </w:r>
          </w:p>
          <w:p w14:paraId="450FD505" w14:textId="77777777" w:rsidR="00882EFF" w:rsidRPr="00882EFF" w:rsidRDefault="00882EFF" w:rsidP="00905CC9">
            <w:pPr>
              <w:keepNext w:val="0"/>
              <w:spacing w:before="0"/>
              <w:ind w:left="720"/>
              <w:contextualSpacing/>
              <w:jc w:val="left"/>
              <w:rPr>
                <w:rFonts w:eastAsia="Arial" w:cs="Arial"/>
                <w:bCs/>
                <w:color w:val="auto"/>
                <w:szCs w:val="24"/>
              </w:rPr>
            </w:pPr>
          </w:p>
          <w:p w14:paraId="0B6C0393" w14:textId="77777777" w:rsidR="00882EFF" w:rsidRPr="00882EFF" w:rsidRDefault="00882EFF" w:rsidP="00874A98">
            <w:pPr>
              <w:keepNext w:val="0"/>
              <w:numPr>
                <w:ilvl w:val="0"/>
                <w:numId w:val="182"/>
              </w:numPr>
              <w:tabs>
                <w:tab w:val="left" w:pos="680"/>
                <w:tab w:val="left" w:pos="1133"/>
                <w:tab w:val="left" w:pos="2267"/>
              </w:tabs>
              <w:spacing w:before="0"/>
              <w:ind w:right="284"/>
              <w:jc w:val="left"/>
              <w:rPr>
                <w:rFonts w:eastAsia="Arial" w:cs="Arial"/>
                <w:bCs/>
                <w:color w:val="auto"/>
                <w:szCs w:val="24"/>
              </w:rPr>
            </w:pPr>
            <w:r w:rsidRPr="00882EFF">
              <w:rPr>
                <w:rFonts w:eastAsia="Arial" w:cs="Arial"/>
                <w:bCs/>
                <w:color w:val="auto"/>
                <w:szCs w:val="24"/>
              </w:rPr>
              <w:t>Major development proposals should incorporate a bespoke duct network, designed and implemented in cooperation with a recognised network provider, and where viable, a fibre to the premises (FTTP) solution.</w:t>
            </w:r>
          </w:p>
          <w:p w14:paraId="49D1E150" w14:textId="77777777" w:rsidR="00882EFF" w:rsidRPr="00882EFF" w:rsidRDefault="00882EFF" w:rsidP="00905CC9">
            <w:pPr>
              <w:keepNext w:val="0"/>
              <w:spacing w:before="0"/>
              <w:ind w:left="720"/>
              <w:contextualSpacing/>
              <w:jc w:val="left"/>
              <w:rPr>
                <w:rFonts w:eastAsia="Arial" w:cs="Arial"/>
                <w:bCs/>
                <w:color w:val="auto"/>
                <w:szCs w:val="24"/>
              </w:rPr>
            </w:pPr>
          </w:p>
          <w:p w14:paraId="13BD9BC6" w14:textId="77777777" w:rsidR="00882EFF" w:rsidRPr="00882EFF" w:rsidRDefault="00882EFF" w:rsidP="00874A98">
            <w:pPr>
              <w:keepNext w:val="0"/>
              <w:numPr>
                <w:ilvl w:val="0"/>
                <w:numId w:val="182"/>
              </w:numPr>
              <w:tabs>
                <w:tab w:val="left" w:pos="680"/>
                <w:tab w:val="left" w:pos="1133"/>
                <w:tab w:val="left" w:pos="2267"/>
              </w:tabs>
              <w:spacing w:before="0"/>
              <w:ind w:right="284"/>
              <w:jc w:val="left"/>
              <w:rPr>
                <w:rFonts w:eastAsia="Arial" w:cs="Arial"/>
                <w:bCs/>
                <w:color w:val="auto"/>
                <w:szCs w:val="24"/>
              </w:rPr>
            </w:pPr>
            <w:r w:rsidRPr="00882EFF">
              <w:rPr>
                <w:rFonts w:eastAsia="Arial" w:cs="Arial"/>
                <w:bCs/>
                <w:color w:val="auto"/>
                <w:szCs w:val="24"/>
              </w:rPr>
              <w:t>Where appropriate, other forms of infrastructure, such as facilities supporting mobile broadband and Wi-Fi, should be included in major development proposals and designed in a sympathetic and appropriate way in order to reflect the character of the surrounding area.</w:t>
            </w:r>
          </w:p>
          <w:p w14:paraId="6C0DA902" w14:textId="77777777" w:rsidR="00882EFF" w:rsidRPr="00882EFF" w:rsidRDefault="00882EFF" w:rsidP="00905CC9">
            <w:pPr>
              <w:keepNext w:val="0"/>
              <w:tabs>
                <w:tab w:val="left" w:pos="680"/>
                <w:tab w:val="left" w:pos="1133"/>
                <w:tab w:val="left" w:pos="2267"/>
              </w:tabs>
              <w:spacing w:before="0"/>
              <w:ind w:left="283" w:right="284"/>
              <w:jc w:val="left"/>
              <w:rPr>
                <w:rFonts w:eastAsia="Arial"/>
                <w:bCs/>
                <w:color w:val="538135"/>
              </w:rPr>
            </w:pPr>
          </w:p>
        </w:tc>
      </w:tr>
      <w:bookmarkEnd w:id="305"/>
      <w:tr w:rsidR="00882EFF" w:rsidRPr="00882EFF" w14:paraId="18FBCAD2" w14:textId="77777777" w:rsidTr="00DD4136">
        <w:tc>
          <w:tcPr>
            <w:tcW w:w="2263" w:type="dxa"/>
          </w:tcPr>
          <w:p w14:paraId="6A1F7C8D" w14:textId="77777777" w:rsidR="00882EFF" w:rsidRPr="00A03E50" w:rsidRDefault="00882EFF" w:rsidP="00905CC9">
            <w:pPr>
              <w:keepNext w:val="0"/>
              <w:tabs>
                <w:tab w:val="left" w:pos="680"/>
                <w:tab w:val="left" w:pos="1133"/>
                <w:tab w:val="left" w:pos="2267"/>
              </w:tabs>
              <w:spacing w:before="0"/>
              <w:ind w:right="284"/>
              <w:jc w:val="left"/>
              <w:rPr>
                <w:rFonts w:eastAsia="Arial"/>
                <w:b/>
                <w:color w:val="7030A0"/>
                <w:sz w:val="20"/>
              </w:rPr>
            </w:pPr>
            <w:r w:rsidRPr="00A03E50">
              <w:rPr>
                <w:rFonts w:eastAsia="Arial"/>
                <w:bCs/>
                <w:color w:val="auto"/>
                <w:sz w:val="20"/>
              </w:rPr>
              <w:t>Evidence base</w:t>
            </w:r>
          </w:p>
        </w:tc>
        <w:tc>
          <w:tcPr>
            <w:tcW w:w="7371" w:type="dxa"/>
            <w:gridSpan w:val="2"/>
          </w:tcPr>
          <w:p w14:paraId="54FA14C6" w14:textId="4AB0E8AD" w:rsidR="00882EFF" w:rsidRPr="00DB05C3" w:rsidRDefault="00882EFF" w:rsidP="00905CC9">
            <w:pPr>
              <w:keepNext w:val="0"/>
              <w:numPr>
                <w:ilvl w:val="0"/>
                <w:numId w:val="13"/>
              </w:numPr>
              <w:tabs>
                <w:tab w:val="left" w:pos="680"/>
                <w:tab w:val="left" w:pos="1133"/>
                <w:tab w:val="left" w:pos="2267"/>
              </w:tabs>
              <w:spacing w:before="0" w:after="160" w:line="252" w:lineRule="auto"/>
              <w:ind w:right="284"/>
              <w:contextualSpacing/>
              <w:jc w:val="left"/>
              <w:rPr>
                <w:rFonts w:eastAsia="Arial"/>
                <w:bCs/>
                <w:color w:val="auto"/>
                <w:sz w:val="20"/>
              </w:rPr>
            </w:pPr>
            <w:r w:rsidRPr="00DB05C3">
              <w:rPr>
                <w:rFonts w:eastAsia="Arial"/>
                <w:bCs/>
                <w:color w:val="auto"/>
                <w:sz w:val="20"/>
              </w:rPr>
              <w:t>Sustainability Appraisal, 202</w:t>
            </w:r>
            <w:r w:rsidR="0025538D" w:rsidRPr="00DB05C3">
              <w:rPr>
                <w:rFonts w:eastAsia="Arial"/>
                <w:bCs/>
                <w:color w:val="auto"/>
                <w:sz w:val="20"/>
              </w:rPr>
              <w:t>3</w:t>
            </w:r>
            <w:r w:rsidRPr="00DB05C3">
              <w:rPr>
                <w:rFonts w:eastAsia="Arial"/>
                <w:bCs/>
                <w:color w:val="auto"/>
                <w:sz w:val="20"/>
              </w:rPr>
              <w:t xml:space="preserve">. </w:t>
            </w:r>
            <w:r w:rsidR="0025538D" w:rsidRPr="00DB05C3">
              <w:rPr>
                <w:rFonts w:eastAsia="Arial"/>
                <w:bCs/>
                <w:color w:val="auto"/>
                <w:sz w:val="20"/>
              </w:rPr>
              <w:t>WSP UK Limited</w:t>
            </w:r>
            <w:r w:rsidRPr="00DB05C3">
              <w:rPr>
                <w:rFonts w:eastAsia="Arial"/>
                <w:bCs/>
                <w:color w:val="auto"/>
                <w:sz w:val="20"/>
              </w:rPr>
              <w:t xml:space="preserve">. </w:t>
            </w:r>
          </w:p>
        </w:tc>
      </w:tr>
      <w:tr w:rsidR="00882EFF" w:rsidRPr="00882EFF" w14:paraId="43FE12B2" w14:textId="77777777" w:rsidTr="00DD4136">
        <w:tc>
          <w:tcPr>
            <w:tcW w:w="2263" w:type="dxa"/>
          </w:tcPr>
          <w:p w14:paraId="0EA09A6E" w14:textId="77777777" w:rsidR="00882EFF" w:rsidRPr="00A03E50" w:rsidRDefault="00882EFF" w:rsidP="00905CC9">
            <w:pPr>
              <w:keepNext w:val="0"/>
              <w:tabs>
                <w:tab w:val="left" w:pos="680"/>
                <w:tab w:val="left" w:pos="1133"/>
                <w:tab w:val="left" w:pos="2267"/>
              </w:tabs>
              <w:spacing w:before="0"/>
              <w:ind w:right="284"/>
              <w:jc w:val="left"/>
              <w:rPr>
                <w:rFonts w:eastAsia="Arial"/>
                <w:b/>
                <w:color w:val="auto"/>
                <w:sz w:val="20"/>
              </w:rPr>
            </w:pPr>
            <w:r w:rsidRPr="00A03E50">
              <w:rPr>
                <w:rFonts w:eastAsia="Arial"/>
                <w:bCs/>
                <w:color w:val="auto"/>
                <w:sz w:val="20"/>
              </w:rPr>
              <w:t>National Planning Policy and Guidance</w:t>
            </w:r>
          </w:p>
        </w:tc>
        <w:tc>
          <w:tcPr>
            <w:tcW w:w="7371" w:type="dxa"/>
            <w:gridSpan w:val="2"/>
          </w:tcPr>
          <w:p w14:paraId="42513405" w14:textId="66E17A01" w:rsidR="00882EFF" w:rsidRPr="00DB05C3" w:rsidRDefault="00882EFF" w:rsidP="00874A98">
            <w:pPr>
              <w:keepNext w:val="0"/>
              <w:numPr>
                <w:ilvl w:val="0"/>
                <w:numId w:val="119"/>
              </w:numPr>
              <w:tabs>
                <w:tab w:val="left" w:pos="680"/>
                <w:tab w:val="left" w:pos="1133"/>
                <w:tab w:val="left" w:pos="2267"/>
              </w:tabs>
              <w:spacing w:before="0" w:after="160" w:line="252" w:lineRule="auto"/>
              <w:ind w:right="284"/>
              <w:contextualSpacing/>
              <w:jc w:val="left"/>
              <w:rPr>
                <w:rFonts w:eastAsia="Arial"/>
                <w:bCs/>
                <w:color w:val="auto"/>
                <w:sz w:val="20"/>
              </w:rPr>
            </w:pPr>
            <w:r w:rsidRPr="00DB05C3">
              <w:rPr>
                <w:rFonts w:eastAsia="Arial"/>
                <w:bCs/>
                <w:color w:val="auto"/>
                <w:sz w:val="20"/>
              </w:rPr>
              <w:t>NPPF 20</w:t>
            </w:r>
            <w:r w:rsidR="004173E0" w:rsidRPr="00DB05C3">
              <w:rPr>
                <w:rFonts w:eastAsia="Arial"/>
                <w:bCs/>
                <w:color w:val="auto"/>
                <w:sz w:val="20"/>
              </w:rPr>
              <w:t>23</w:t>
            </w:r>
            <w:r w:rsidRPr="00DB05C3">
              <w:rPr>
                <w:rFonts w:eastAsia="Arial"/>
                <w:bCs/>
                <w:color w:val="auto"/>
                <w:sz w:val="20"/>
              </w:rPr>
              <w:t>, Part 2: Achieving sustainable development.</w:t>
            </w:r>
          </w:p>
          <w:p w14:paraId="40457749" w14:textId="62F36A43" w:rsidR="00882EFF" w:rsidRPr="00DB05C3" w:rsidRDefault="00882EFF" w:rsidP="00874A98">
            <w:pPr>
              <w:keepNext w:val="0"/>
              <w:numPr>
                <w:ilvl w:val="0"/>
                <w:numId w:val="119"/>
              </w:numPr>
              <w:tabs>
                <w:tab w:val="left" w:pos="680"/>
                <w:tab w:val="left" w:pos="1133"/>
                <w:tab w:val="left" w:pos="2267"/>
              </w:tabs>
              <w:spacing w:before="0" w:after="160" w:line="252" w:lineRule="auto"/>
              <w:ind w:right="284"/>
              <w:contextualSpacing/>
              <w:jc w:val="left"/>
              <w:rPr>
                <w:rFonts w:eastAsia="Arial"/>
                <w:bCs/>
                <w:color w:val="auto"/>
                <w:sz w:val="20"/>
              </w:rPr>
            </w:pPr>
            <w:r w:rsidRPr="00DB05C3">
              <w:rPr>
                <w:rFonts w:eastAsia="Arial"/>
                <w:bCs/>
                <w:color w:val="auto"/>
                <w:sz w:val="20"/>
              </w:rPr>
              <w:t>NPPF 20</w:t>
            </w:r>
            <w:r w:rsidR="004173E0" w:rsidRPr="00DB05C3">
              <w:rPr>
                <w:rFonts w:eastAsia="Arial"/>
                <w:bCs/>
                <w:color w:val="auto"/>
                <w:sz w:val="20"/>
              </w:rPr>
              <w:t>23</w:t>
            </w:r>
            <w:r w:rsidRPr="00DB05C3">
              <w:rPr>
                <w:rFonts w:eastAsia="Arial"/>
                <w:bCs/>
                <w:color w:val="auto"/>
                <w:sz w:val="20"/>
              </w:rPr>
              <w:t>, Part 10: Supporting high quality communications.</w:t>
            </w:r>
          </w:p>
        </w:tc>
      </w:tr>
    </w:tbl>
    <w:p w14:paraId="05201514" w14:textId="77777777" w:rsidR="00882EFF" w:rsidRPr="00882EFF" w:rsidRDefault="00882EFF" w:rsidP="00882EFF">
      <w:pPr>
        <w:keepNext w:val="0"/>
        <w:autoSpaceDE w:val="0"/>
        <w:autoSpaceDN w:val="0"/>
        <w:adjustRightInd w:val="0"/>
        <w:spacing w:before="0"/>
        <w:rPr>
          <w:rFonts w:eastAsia="Arial" w:cs="Arial"/>
          <w:color w:val="auto"/>
        </w:rPr>
      </w:pPr>
    </w:p>
    <w:p w14:paraId="444E8FA4" w14:textId="14E965F7" w:rsidR="006E10D4" w:rsidRDefault="006E10D4" w:rsidP="006E10D4">
      <w:pPr>
        <w:keepNext w:val="0"/>
        <w:spacing w:before="0"/>
        <w:ind w:left="527"/>
        <w:rPr>
          <w:rFonts w:cs="Arial"/>
          <w:color w:val="auto"/>
          <w:szCs w:val="24"/>
          <w:lang w:eastAsia="en-US"/>
        </w:rPr>
      </w:pPr>
    </w:p>
    <w:p w14:paraId="63DF4D38" w14:textId="38FC3FD7" w:rsidR="001165CC" w:rsidRPr="001165CC" w:rsidRDefault="001165CC" w:rsidP="001165CC">
      <w:pPr>
        <w:keepNext w:val="0"/>
        <w:numPr>
          <w:ilvl w:val="1"/>
          <w:numId w:val="7"/>
        </w:numPr>
        <w:tabs>
          <w:tab w:val="clear" w:pos="525"/>
        </w:tabs>
        <w:spacing w:before="0"/>
        <w:ind w:left="709" w:hanging="709"/>
        <w:rPr>
          <w:rFonts w:cs="Arial"/>
          <w:color w:val="auto"/>
          <w:szCs w:val="24"/>
          <w:lang w:eastAsia="en-US"/>
        </w:rPr>
      </w:pPr>
      <w:r w:rsidRPr="001165CC">
        <w:rPr>
          <w:rFonts w:cs="Arial"/>
          <w:color w:val="auto"/>
          <w:szCs w:val="24"/>
          <w:lang w:eastAsia="en-US"/>
        </w:rPr>
        <w:t xml:space="preserve">The communications sector is important to economic growth and productivity in Ashfield as well as residents’ social relations and access to information.   </w:t>
      </w:r>
      <w:r w:rsidR="00882EFF" w:rsidRPr="001165CC">
        <w:rPr>
          <w:rFonts w:cs="Arial"/>
          <w:color w:val="auto"/>
          <w:szCs w:val="24"/>
          <w:lang w:eastAsia="en-US"/>
        </w:rPr>
        <w:t>From an economic perspective, new technology allows companies to download and transmit substantially greater amounts of data, reduce their costs, satisfy more customers and gain access to new markets. It offers a number of valuable social and educational benefits for residents.  A good telecommunication infrastructure can help reduce the need to travel and hence reduce vehicle emissions and congestion, for example by enabling home working’. It also enables the development of ‘real time’ driver information systems which can lead to better use of roads and reduced congestion.  The Council’s aim is to promote the growth of new and expanding telecommunications systems in ways which do not prejudice amenity and environmental quality.</w:t>
      </w:r>
      <w:r>
        <w:rPr>
          <w:rFonts w:cs="Arial"/>
          <w:color w:val="auto"/>
          <w:szCs w:val="24"/>
          <w:lang w:eastAsia="en-US"/>
        </w:rPr>
        <w:t xml:space="preserve">  However,  the Council will take into account in determining applications that c</w:t>
      </w:r>
      <w:r w:rsidRPr="001165CC">
        <w:rPr>
          <w:rFonts w:cs="Arial"/>
          <w:color w:val="auto"/>
          <w:szCs w:val="24"/>
          <w:lang w:eastAsia="en-US"/>
        </w:rPr>
        <w:t>ertain locations are particularly sensitive to the impact of telecommunications equipment. These include:</w:t>
      </w:r>
    </w:p>
    <w:p w14:paraId="08A24DF7" w14:textId="77777777" w:rsidR="001165CC" w:rsidRPr="00882EFF" w:rsidRDefault="001165CC" w:rsidP="001165CC">
      <w:pPr>
        <w:pStyle w:val="ListParagraph"/>
        <w:spacing w:after="0" w:line="240" w:lineRule="auto"/>
        <w:rPr>
          <w:rFonts w:ascii="Arial" w:hAnsi="Arial" w:cs="Arial"/>
          <w:color w:val="auto"/>
          <w:szCs w:val="24"/>
        </w:rPr>
      </w:pPr>
    </w:p>
    <w:p w14:paraId="5595B06E" w14:textId="77777777" w:rsidR="001165CC" w:rsidRPr="00882EFF" w:rsidRDefault="001165CC" w:rsidP="00874A98">
      <w:pPr>
        <w:pStyle w:val="ListParagraph"/>
        <w:numPr>
          <w:ilvl w:val="0"/>
          <w:numId w:val="184"/>
        </w:numPr>
        <w:spacing w:after="0" w:line="240" w:lineRule="auto"/>
        <w:rPr>
          <w:rFonts w:ascii="Arial" w:hAnsi="Arial" w:cs="Arial"/>
          <w:color w:val="auto"/>
          <w:szCs w:val="24"/>
        </w:rPr>
      </w:pPr>
      <w:r w:rsidRPr="00882EFF">
        <w:rPr>
          <w:rFonts w:ascii="Arial" w:hAnsi="Arial" w:cs="Arial"/>
          <w:color w:val="auto"/>
          <w:szCs w:val="24"/>
        </w:rPr>
        <w:t xml:space="preserve">Locations within the Green Belt and open countryside, </w:t>
      </w:r>
    </w:p>
    <w:p w14:paraId="6A9E5289" w14:textId="77777777" w:rsidR="001165CC" w:rsidRPr="00882EFF" w:rsidRDefault="001165CC" w:rsidP="00874A98">
      <w:pPr>
        <w:pStyle w:val="ListParagraph"/>
        <w:numPr>
          <w:ilvl w:val="0"/>
          <w:numId w:val="184"/>
        </w:numPr>
        <w:spacing w:after="0" w:line="240" w:lineRule="auto"/>
        <w:rPr>
          <w:rFonts w:ascii="Arial" w:hAnsi="Arial" w:cs="Arial"/>
          <w:color w:val="auto"/>
          <w:szCs w:val="24"/>
        </w:rPr>
      </w:pPr>
      <w:r w:rsidRPr="00882EFF">
        <w:rPr>
          <w:rFonts w:ascii="Arial" w:hAnsi="Arial" w:cs="Arial"/>
          <w:color w:val="auto"/>
          <w:szCs w:val="24"/>
        </w:rPr>
        <w:t xml:space="preserve">Sensitive landscape areas, including but not limited to valued landscapes, sites of special scientific interest, local wildlife sites and local nature reserves, and </w:t>
      </w:r>
    </w:p>
    <w:p w14:paraId="56D14528" w14:textId="77777777" w:rsidR="001165CC" w:rsidRDefault="001165CC" w:rsidP="00874A98">
      <w:pPr>
        <w:pStyle w:val="ListParagraph"/>
        <w:numPr>
          <w:ilvl w:val="0"/>
          <w:numId w:val="184"/>
        </w:numPr>
        <w:spacing w:after="0" w:line="240" w:lineRule="auto"/>
        <w:rPr>
          <w:rFonts w:ascii="Arial" w:hAnsi="Arial" w:cs="Arial"/>
          <w:color w:val="auto"/>
          <w:szCs w:val="24"/>
        </w:rPr>
      </w:pPr>
      <w:r w:rsidRPr="00882EFF">
        <w:rPr>
          <w:rFonts w:ascii="Arial" w:hAnsi="Arial" w:cs="Arial"/>
          <w:color w:val="auto"/>
          <w:szCs w:val="24"/>
        </w:rPr>
        <w:t xml:space="preserve">Heritage assets including conservation areas, historic buildings and Historic Parks including, where applicable, the potential effects on their setting. </w:t>
      </w:r>
    </w:p>
    <w:p w14:paraId="3557053F" w14:textId="77777777" w:rsidR="001165CC" w:rsidRDefault="001165CC" w:rsidP="001165CC">
      <w:pPr>
        <w:pStyle w:val="ListParagraph"/>
        <w:spacing w:after="0" w:line="240" w:lineRule="auto"/>
        <w:ind w:left="1069"/>
        <w:rPr>
          <w:rFonts w:ascii="Arial" w:hAnsi="Arial" w:cs="Arial"/>
          <w:color w:val="auto"/>
          <w:szCs w:val="24"/>
        </w:rPr>
      </w:pPr>
    </w:p>
    <w:p w14:paraId="7DB1265A" w14:textId="77777777" w:rsidR="00882EFF" w:rsidRDefault="00882EFF" w:rsidP="00882EFF">
      <w:pPr>
        <w:keepNext w:val="0"/>
        <w:spacing w:before="0"/>
        <w:ind w:left="527"/>
        <w:rPr>
          <w:rFonts w:cs="Arial"/>
          <w:color w:val="auto"/>
          <w:szCs w:val="24"/>
          <w:lang w:eastAsia="en-US"/>
        </w:rPr>
      </w:pPr>
    </w:p>
    <w:p w14:paraId="6FCCDF21" w14:textId="05E4FAFB" w:rsidR="007F5D56" w:rsidRDefault="007F5D56" w:rsidP="00E029B2">
      <w:pPr>
        <w:keepNext w:val="0"/>
        <w:numPr>
          <w:ilvl w:val="1"/>
          <w:numId w:val="7"/>
        </w:numPr>
        <w:tabs>
          <w:tab w:val="clear" w:pos="525"/>
        </w:tabs>
        <w:spacing w:before="0"/>
        <w:ind w:left="709" w:hanging="709"/>
        <w:rPr>
          <w:rFonts w:cs="Arial"/>
          <w:color w:val="auto"/>
          <w:szCs w:val="24"/>
          <w:lang w:eastAsia="en-US"/>
        </w:rPr>
      </w:pPr>
      <w:r w:rsidRPr="007F5D56">
        <w:rPr>
          <w:rFonts w:cs="Arial"/>
          <w:color w:val="auto"/>
          <w:szCs w:val="24"/>
          <w:lang w:eastAsia="en-US"/>
        </w:rPr>
        <w:t>The Policy has to be seen in the context that there are permitted development rights</w:t>
      </w:r>
      <w:r>
        <w:rPr>
          <w:rStyle w:val="FootnoteReference"/>
          <w:rFonts w:cs="Arial"/>
          <w:color w:val="auto"/>
          <w:szCs w:val="24"/>
          <w:lang w:eastAsia="en-US"/>
        </w:rPr>
        <w:footnoteReference w:id="106"/>
      </w:r>
      <w:r w:rsidRPr="007F5D56">
        <w:rPr>
          <w:rFonts w:cs="Arial"/>
          <w:color w:val="auto"/>
          <w:szCs w:val="24"/>
          <w:lang w:eastAsia="en-US"/>
        </w:rPr>
        <w:t xml:space="preserve"> for electronic communications infrastructure.  At present, most electronic communications apparatus can be installed and maintained as permitted development. However, limits are set out in legislation on the scale of development that can be deployed in this way and the circumstances in which prior approval is required.</w:t>
      </w:r>
    </w:p>
    <w:p w14:paraId="3FF89FC3" w14:textId="77777777" w:rsidR="007F5D56" w:rsidRPr="007F5D56" w:rsidRDefault="007F5D56" w:rsidP="007F5D56">
      <w:pPr>
        <w:keepNext w:val="0"/>
        <w:spacing w:before="0"/>
        <w:ind w:left="709"/>
        <w:rPr>
          <w:rFonts w:cs="Arial"/>
          <w:color w:val="auto"/>
          <w:szCs w:val="24"/>
          <w:lang w:eastAsia="en-US"/>
        </w:rPr>
      </w:pPr>
    </w:p>
    <w:p w14:paraId="55D4E874" w14:textId="416D50DB" w:rsidR="00882EFF" w:rsidRDefault="00882EFF" w:rsidP="00ED5F54">
      <w:pPr>
        <w:keepNext w:val="0"/>
        <w:numPr>
          <w:ilvl w:val="1"/>
          <w:numId w:val="7"/>
        </w:numPr>
        <w:tabs>
          <w:tab w:val="clear" w:pos="525"/>
        </w:tabs>
        <w:spacing w:before="0"/>
        <w:ind w:left="709" w:hanging="709"/>
        <w:rPr>
          <w:rFonts w:cs="Arial"/>
          <w:color w:val="auto"/>
          <w:szCs w:val="24"/>
          <w:lang w:eastAsia="en-US"/>
        </w:rPr>
      </w:pPr>
      <w:r w:rsidRPr="00882EFF">
        <w:rPr>
          <w:rFonts w:cs="Arial"/>
          <w:color w:val="auto"/>
          <w:szCs w:val="24"/>
          <w:lang w:eastAsia="en-US"/>
        </w:rPr>
        <w:t xml:space="preserve">The availability of fast and reliable broadband is now seen as an essential component of everyday life and supports economic growth. The Government’s objective through Building Digital UK (BDUK), part of the Department for Digital, Culture, Media &amp; and Sport is to delivering broadband networks to the nation. The </w:t>
      </w:r>
      <w:r w:rsidR="00F05D84">
        <w:rPr>
          <w:rFonts w:cs="Arial"/>
          <w:color w:val="auto"/>
          <w:szCs w:val="24"/>
          <w:lang w:eastAsia="en-US"/>
        </w:rPr>
        <w:t>P</w:t>
      </w:r>
      <w:r w:rsidRPr="00882EFF">
        <w:rPr>
          <w:rFonts w:cs="Arial"/>
          <w:color w:val="auto"/>
          <w:szCs w:val="24"/>
          <w:lang w:eastAsia="en-US"/>
        </w:rPr>
        <w:t>olicy aims to strike a balance between what is reasonable and proportional for developers to provide, with the essential need for a certain standard of broadband within all new developments.</w:t>
      </w:r>
    </w:p>
    <w:p w14:paraId="1C4572A9" w14:textId="77777777" w:rsidR="00882EFF" w:rsidRDefault="00882EFF" w:rsidP="00882EFF">
      <w:pPr>
        <w:keepNext w:val="0"/>
        <w:spacing w:before="0"/>
        <w:ind w:left="527"/>
        <w:rPr>
          <w:rFonts w:cs="Arial"/>
          <w:color w:val="auto"/>
          <w:szCs w:val="24"/>
          <w:lang w:eastAsia="en-US"/>
        </w:rPr>
      </w:pPr>
    </w:p>
    <w:p w14:paraId="79B839A3" w14:textId="19C3B5B5" w:rsidR="00ED5F54" w:rsidRDefault="00882EFF" w:rsidP="001165CC">
      <w:pPr>
        <w:keepNext w:val="0"/>
        <w:numPr>
          <w:ilvl w:val="1"/>
          <w:numId w:val="7"/>
        </w:numPr>
        <w:tabs>
          <w:tab w:val="clear" w:pos="525"/>
        </w:tabs>
        <w:spacing w:before="0"/>
        <w:ind w:left="709" w:hanging="851"/>
        <w:rPr>
          <w:rFonts w:cs="Arial"/>
          <w:color w:val="auto"/>
          <w:szCs w:val="24"/>
          <w:lang w:eastAsia="en-US"/>
        </w:rPr>
      </w:pPr>
      <w:r w:rsidRPr="00882EFF">
        <w:rPr>
          <w:rFonts w:cs="Arial"/>
          <w:color w:val="auto"/>
          <w:szCs w:val="24"/>
          <w:lang w:eastAsia="en-US"/>
        </w:rPr>
        <w:t xml:space="preserve">Developers should engage with broadband providers at the earliest opportunity to enable the highest possible internet connection speeds to be provided in new developments. Applications for major development should be supported by a connectivity strategy that delivers future-proofed infrastructure and supports sustainable communications services having regard to the latest appropriate BDUK strategy and other relevant industry guidance. </w:t>
      </w:r>
    </w:p>
    <w:p w14:paraId="2B880A11" w14:textId="77777777" w:rsidR="00ED5F54" w:rsidRPr="00ED5F54" w:rsidRDefault="00ED5F54" w:rsidP="001165CC">
      <w:pPr>
        <w:spacing w:before="0"/>
        <w:rPr>
          <w:rFonts w:cs="Arial"/>
          <w:color w:val="auto"/>
          <w:szCs w:val="24"/>
        </w:rPr>
      </w:pPr>
    </w:p>
    <w:p w14:paraId="3A3AEA28" w14:textId="2514AC38" w:rsidR="00ED5F54" w:rsidRDefault="00882EFF" w:rsidP="001165CC">
      <w:pPr>
        <w:keepNext w:val="0"/>
        <w:numPr>
          <w:ilvl w:val="1"/>
          <w:numId w:val="7"/>
        </w:numPr>
        <w:tabs>
          <w:tab w:val="clear" w:pos="525"/>
        </w:tabs>
        <w:spacing w:before="0"/>
        <w:ind w:left="709" w:hanging="851"/>
        <w:rPr>
          <w:rFonts w:cs="Arial"/>
          <w:color w:val="auto"/>
          <w:szCs w:val="24"/>
          <w:lang w:eastAsia="en-US"/>
        </w:rPr>
      </w:pPr>
      <w:r w:rsidRPr="00ED5F54">
        <w:rPr>
          <w:rFonts w:cs="Arial"/>
          <w:color w:val="auto"/>
          <w:szCs w:val="24"/>
          <w:lang w:eastAsia="en-US"/>
        </w:rPr>
        <w:t xml:space="preserve">Exceptions will be made to the </w:t>
      </w:r>
      <w:r w:rsidR="00F05D84">
        <w:rPr>
          <w:rFonts w:cs="Arial"/>
          <w:color w:val="auto"/>
          <w:szCs w:val="24"/>
          <w:lang w:eastAsia="en-US"/>
        </w:rPr>
        <w:t>P</w:t>
      </w:r>
      <w:r w:rsidRPr="00ED5F54">
        <w:rPr>
          <w:rFonts w:cs="Arial"/>
          <w:color w:val="auto"/>
          <w:szCs w:val="24"/>
          <w:lang w:eastAsia="en-US"/>
        </w:rPr>
        <w:t>olicy requirements, where applicants can provide evidence through consultation with broadband infrastructure providers, that this would not be possible, practical or economically viable.</w:t>
      </w:r>
    </w:p>
    <w:p w14:paraId="1AE83BA5" w14:textId="77777777" w:rsidR="00ED5F54" w:rsidRPr="00ED5F54" w:rsidRDefault="00ED5F54" w:rsidP="00ED5F54">
      <w:pPr>
        <w:keepNext w:val="0"/>
        <w:spacing w:before="0"/>
        <w:rPr>
          <w:rFonts w:cs="Arial"/>
          <w:color w:val="auto"/>
          <w:szCs w:val="24"/>
          <w:lang w:eastAsia="en-US"/>
        </w:rPr>
      </w:pPr>
    </w:p>
    <w:p w14:paraId="62B82624" w14:textId="4DA9CC29" w:rsidR="006E10D4" w:rsidRPr="00ED5F54" w:rsidRDefault="00882EFF" w:rsidP="00ED5F54">
      <w:pPr>
        <w:keepNext w:val="0"/>
        <w:numPr>
          <w:ilvl w:val="1"/>
          <w:numId w:val="7"/>
        </w:numPr>
        <w:tabs>
          <w:tab w:val="clear" w:pos="525"/>
        </w:tabs>
        <w:spacing w:before="0"/>
        <w:ind w:left="709" w:hanging="851"/>
        <w:rPr>
          <w:rFonts w:cs="Arial"/>
          <w:color w:val="auto"/>
          <w:szCs w:val="24"/>
          <w:lang w:eastAsia="en-US"/>
        </w:rPr>
      </w:pPr>
      <w:r w:rsidRPr="00ED5F54">
        <w:rPr>
          <w:rFonts w:cs="Arial"/>
          <w:color w:val="auto"/>
          <w:szCs w:val="24"/>
          <w:lang w:eastAsia="en-US"/>
        </w:rPr>
        <w:t>Modern communications also mean that all kinds of businesses may be undertaken in rural areas and this includes home working, particularly where broadband can be improved. Consequently, diversification of the economic base of the rural areas is more achievable as technology allows greater workplace flexibility. As such, the Council will continue to support the roll out superfast broadband within rural communities.</w:t>
      </w:r>
    </w:p>
    <w:p w14:paraId="7D059121" w14:textId="7E83A1C7" w:rsidR="00882EFF" w:rsidRDefault="00882EFF" w:rsidP="00882EFF">
      <w:pPr>
        <w:spacing w:before="0"/>
        <w:rPr>
          <w:rFonts w:cs="Arial"/>
          <w:color w:val="auto"/>
          <w:szCs w:val="24"/>
        </w:rPr>
      </w:pPr>
    </w:p>
    <w:p w14:paraId="4B4370E5" w14:textId="77777777" w:rsidR="00DB05C3" w:rsidRDefault="00DB05C3" w:rsidP="00882EFF">
      <w:pPr>
        <w:spacing w:before="0"/>
        <w:rPr>
          <w:rFonts w:cs="Arial"/>
          <w:color w:val="auto"/>
          <w:szCs w:val="24"/>
        </w:rPr>
      </w:pPr>
    </w:p>
    <w:p w14:paraId="4DA8AA31" w14:textId="286A3143" w:rsidR="00882EFF" w:rsidRPr="00825421" w:rsidRDefault="006977E7" w:rsidP="00825421">
      <w:pPr>
        <w:pStyle w:val="Heading2"/>
        <w:jc w:val="left"/>
        <w:rPr>
          <w:sz w:val="28"/>
          <w:szCs w:val="28"/>
        </w:rPr>
      </w:pPr>
      <w:bookmarkStart w:id="306" w:name="_Toc145511617"/>
      <w:r w:rsidRPr="00825421">
        <w:rPr>
          <w:sz w:val="28"/>
          <w:szCs w:val="28"/>
        </w:rPr>
        <w:t xml:space="preserve">Policy </w:t>
      </w:r>
      <w:r w:rsidR="00882EFF" w:rsidRPr="00825421">
        <w:rPr>
          <w:sz w:val="28"/>
          <w:szCs w:val="28"/>
        </w:rPr>
        <w:t>SD</w:t>
      </w:r>
      <w:r w:rsidR="0064018F" w:rsidRPr="00825421">
        <w:rPr>
          <w:sz w:val="28"/>
          <w:szCs w:val="28"/>
        </w:rPr>
        <w:t>8</w:t>
      </w:r>
      <w:r w:rsidR="00882EFF" w:rsidRPr="00825421">
        <w:rPr>
          <w:sz w:val="28"/>
          <w:szCs w:val="28"/>
        </w:rPr>
        <w:t>: Contaminated Land and Unstable Land</w:t>
      </w:r>
      <w:bookmarkEnd w:id="306"/>
    </w:p>
    <w:p w14:paraId="5A95EACD" w14:textId="1C45447A" w:rsidR="00882EFF" w:rsidRDefault="00882EFF" w:rsidP="00882EFF">
      <w:pPr>
        <w:spacing w:before="0"/>
        <w:rPr>
          <w:rFonts w:cs="Arial"/>
          <w:color w:val="auto"/>
          <w:szCs w:val="24"/>
        </w:rPr>
      </w:pPr>
    </w:p>
    <w:tbl>
      <w:tblPr>
        <w:tblStyle w:val="TableGrid3"/>
        <w:tblW w:w="9776" w:type="dxa"/>
        <w:tblLook w:val="04A0" w:firstRow="1" w:lastRow="0" w:firstColumn="1" w:lastColumn="0" w:noHBand="0" w:noVBand="1"/>
      </w:tblPr>
      <w:tblGrid>
        <w:gridCol w:w="1980"/>
        <w:gridCol w:w="680"/>
        <w:gridCol w:w="7116"/>
      </w:tblGrid>
      <w:tr w:rsidR="00882EFF" w:rsidRPr="00882EFF" w14:paraId="1ADCBFFC" w14:textId="77777777" w:rsidTr="00DD4136">
        <w:trPr>
          <w:trHeight w:val="421"/>
        </w:trPr>
        <w:tc>
          <w:tcPr>
            <w:tcW w:w="9776" w:type="dxa"/>
            <w:gridSpan w:val="3"/>
          </w:tcPr>
          <w:p w14:paraId="7FEAD644" w14:textId="77777777" w:rsidR="00D41DD2" w:rsidRDefault="00D41DD2" w:rsidP="00905CC9">
            <w:pPr>
              <w:keepNext w:val="0"/>
              <w:tabs>
                <w:tab w:val="left" w:pos="680"/>
              </w:tabs>
              <w:spacing w:before="0"/>
              <w:jc w:val="left"/>
              <w:rPr>
                <w:rFonts w:eastAsia="Arial"/>
                <w:b/>
                <w:color w:val="auto"/>
                <w:spacing w:val="-1"/>
              </w:rPr>
            </w:pPr>
            <w:bookmarkStart w:id="307" w:name="_Hlk78875677"/>
          </w:p>
          <w:p w14:paraId="2965FD8A" w14:textId="48BC6E93" w:rsidR="00D41DD2" w:rsidRDefault="00882EFF" w:rsidP="00905CC9">
            <w:pPr>
              <w:keepNext w:val="0"/>
              <w:tabs>
                <w:tab w:val="left" w:pos="680"/>
              </w:tabs>
              <w:spacing w:before="0"/>
              <w:jc w:val="left"/>
              <w:rPr>
                <w:rFonts w:eastAsia="Arial"/>
                <w:b/>
                <w:color w:val="auto"/>
                <w:spacing w:val="-1"/>
              </w:rPr>
            </w:pPr>
            <w:r w:rsidRPr="008F21DB">
              <w:rPr>
                <w:rFonts w:eastAsia="Arial"/>
                <w:b/>
                <w:color w:val="auto"/>
                <w:spacing w:val="-1"/>
              </w:rPr>
              <w:t>Policy SD</w:t>
            </w:r>
            <w:r w:rsidR="0064018F">
              <w:rPr>
                <w:rFonts w:eastAsia="Arial"/>
                <w:b/>
                <w:color w:val="auto"/>
                <w:spacing w:val="-1"/>
              </w:rPr>
              <w:t>8</w:t>
            </w:r>
            <w:r w:rsidRPr="008F21DB">
              <w:rPr>
                <w:rFonts w:eastAsia="Arial"/>
                <w:b/>
                <w:color w:val="auto"/>
                <w:spacing w:val="-1"/>
              </w:rPr>
              <w:t>: Contaminated Land and Unstable Land</w:t>
            </w:r>
          </w:p>
          <w:p w14:paraId="2C036F97" w14:textId="2C112931" w:rsidR="00D41DD2" w:rsidRPr="008F21DB" w:rsidRDefault="00D41DD2" w:rsidP="00905CC9">
            <w:pPr>
              <w:keepNext w:val="0"/>
              <w:tabs>
                <w:tab w:val="left" w:pos="680"/>
              </w:tabs>
              <w:spacing w:before="0"/>
              <w:jc w:val="left"/>
              <w:rPr>
                <w:rFonts w:eastAsia="Arial"/>
                <w:b/>
                <w:color w:val="auto"/>
                <w:spacing w:val="-1"/>
              </w:rPr>
            </w:pPr>
          </w:p>
        </w:tc>
      </w:tr>
      <w:tr w:rsidR="00882EFF" w:rsidRPr="00882EFF" w14:paraId="6358FAF8" w14:textId="77777777" w:rsidTr="00DD4136">
        <w:tc>
          <w:tcPr>
            <w:tcW w:w="2660" w:type="dxa"/>
            <w:gridSpan w:val="2"/>
          </w:tcPr>
          <w:p w14:paraId="21BDEF01" w14:textId="77777777" w:rsidR="00882EFF" w:rsidRPr="008F21DB" w:rsidRDefault="00882EFF" w:rsidP="00882EFF">
            <w:pPr>
              <w:keepNext w:val="0"/>
              <w:tabs>
                <w:tab w:val="left" w:pos="680"/>
              </w:tabs>
              <w:spacing w:before="0"/>
              <w:rPr>
                <w:rFonts w:eastAsia="Arial"/>
                <w:bCs/>
                <w:color w:val="auto"/>
              </w:rPr>
            </w:pPr>
            <w:r w:rsidRPr="008F21DB">
              <w:rPr>
                <w:rFonts w:eastAsia="Arial"/>
                <w:bCs/>
                <w:color w:val="auto"/>
              </w:rPr>
              <w:t>Strategic Objectives</w:t>
            </w:r>
          </w:p>
        </w:tc>
        <w:tc>
          <w:tcPr>
            <w:tcW w:w="7116" w:type="dxa"/>
          </w:tcPr>
          <w:p w14:paraId="0E86C5A5" w14:textId="77777777" w:rsidR="00882EFF" w:rsidRPr="008F21DB" w:rsidRDefault="00882EFF" w:rsidP="00905CC9">
            <w:pPr>
              <w:keepNext w:val="0"/>
              <w:tabs>
                <w:tab w:val="left" w:pos="680"/>
              </w:tabs>
              <w:spacing w:before="40" w:after="40"/>
              <w:jc w:val="left"/>
              <w:rPr>
                <w:rFonts w:eastAsia="Arial"/>
                <w:bCs/>
                <w:color w:val="auto"/>
              </w:rPr>
            </w:pPr>
            <w:r w:rsidRPr="008F21DB">
              <w:rPr>
                <w:rFonts w:eastAsia="Arial"/>
                <w:bCs/>
                <w:color w:val="auto"/>
              </w:rPr>
              <w:t>SO1, SO2, SO13, SO14.</w:t>
            </w:r>
          </w:p>
        </w:tc>
      </w:tr>
      <w:tr w:rsidR="00882EFF" w:rsidRPr="00882EFF" w14:paraId="0E30CC06" w14:textId="77777777" w:rsidTr="00DD4136">
        <w:tc>
          <w:tcPr>
            <w:tcW w:w="9776" w:type="dxa"/>
            <w:gridSpan w:val="3"/>
            <w:shd w:val="clear" w:color="auto" w:fill="DAC4F8"/>
          </w:tcPr>
          <w:p w14:paraId="67A0E67D" w14:textId="77777777" w:rsidR="00882EFF" w:rsidRPr="00882EFF" w:rsidRDefault="00882EFF" w:rsidP="00905CC9">
            <w:pPr>
              <w:keepNext w:val="0"/>
              <w:tabs>
                <w:tab w:val="left" w:pos="680"/>
                <w:tab w:val="left" w:pos="1133"/>
                <w:tab w:val="left" w:pos="2267"/>
              </w:tabs>
              <w:spacing w:before="0"/>
              <w:ind w:right="284"/>
              <w:jc w:val="left"/>
              <w:rPr>
                <w:rFonts w:eastAsia="Arial"/>
                <w:bCs/>
                <w:color w:val="auto"/>
              </w:rPr>
            </w:pPr>
          </w:p>
          <w:p w14:paraId="22B746EB" w14:textId="77777777" w:rsidR="00882EFF" w:rsidRPr="00882EFF" w:rsidRDefault="00882EFF" w:rsidP="00874A98">
            <w:pPr>
              <w:keepNext w:val="0"/>
              <w:numPr>
                <w:ilvl w:val="0"/>
                <w:numId w:val="185"/>
              </w:numPr>
              <w:tabs>
                <w:tab w:val="left" w:pos="680"/>
                <w:tab w:val="left" w:pos="1133"/>
                <w:tab w:val="left" w:pos="2267"/>
              </w:tabs>
              <w:spacing w:before="0"/>
              <w:ind w:right="284"/>
              <w:jc w:val="left"/>
              <w:rPr>
                <w:rFonts w:eastAsia="Arial"/>
                <w:bCs/>
                <w:color w:val="auto"/>
              </w:rPr>
            </w:pPr>
            <w:r w:rsidRPr="00882EFF">
              <w:rPr>
                <w:rFonts w:eastAsia="Arial"/>
                <w:bCs/>
                <w:color w:val="auto"/>
              </w:rPr>
              <w:t xml:space="preserve">When considering applications for development on sites which are: </w:t>
            </w:r>
          </w:p>
          <w:p w14:paraId="6C28625C" w14:textId="77777777" w:rsidR="00882EFF" w:rsidRPr="00882EFF" w:rsidRDefault="00882EFF" w:rsidP="00905CC9">
            <w:pPr>
              <w:keepNext w:val="0"/>
              <w:spacing w:before="0"/>
              <w:jc w:val="left"/>
              <w:rPr>
                <w:rFonts w:eastAsia="Arial" w:cs="Arial"/>
                <w:bCs/>
                <w:color w:val="auto"/>
              </w:rPr>
            </w:pPr>
          </w:p>
          <w:p w14:paraId="64525E14" w14:textId="77777777" w:rsidR="00882EFF" w:rsidRPr="00DB05C3" w:rsidRDefault="00882EFF" w:rsidP="00874A98">
            <w:pPr>
              <w:keepNext w:val="0"/>
              <w:numPr>
                <w:ilvl w:val="0"/>
                <w:numId w:val="186"/>
              </w:numPr>
              <w:spacing w:before="0"/>
              <w:jc w:val="left"/>
              <w:rPr>
                <w:rFonts w:eastAsia="Arial" w:cs="Arial"/>
                <w:bCs/>
                <w:color w:val="auto"/>
              </w:rPr>
            </w:pPr>
            <w:r w:rsidRPr="00DB05C3">
              <w:rPr>
                <w:rFonts w:eastAsia="Arial" w:cs="Arial"/>
                <w:bCs/>
                <w:color w:val="auto"/>
              </w:rPr>
              <w:t xml:space="preserve">Contaminated or potentially contaminated; </w:t>
            </w:r>
          </w:p>
          <w:p w14:paraId="46F00C71" w14:textId="77777777" w:rsidR="00882EFF" w:rsidRPr="00DB05C3" w:rsidRDefault="00882EFF" w:rsidP="00874A98">
            <w:pPr>
              <w:keepNext w:val="0"/>
              <w:numPr>
                <w:ilvl w:val="0"/>
                <w:numId w:val="186"/>
              </w:numPr>
              <w:spacing w:before="0"/>
              <w:jc w:val="left"/>
              <w:rPr>
                <w:rFonts w:eastAsia="Arial" w:cs="Arial"/>
                <w:bCs/>
                <w:color w:val="auto"/>
              </w:rPr>
            </w:pPr>
            <w:r w:rsidRPr="00DB05C3">
              <w:rPr>
                <w:rFonts w:eastAsia="Arial" w:cs="Arial"/>
                <w:bCs/>
                <w:color w:val="auto"/>
              </w:rPr>
              <w:t>On unstable land or potentially unstable land; or</w:t>
            </w:r>
          </w:p>
          <w:p w14:paraId="021A2977" w14:textId="4C1C6828" w:rsidR="00882EFF" w:rsidRPr="00DB05C3" w:rsidRDefault="00CB5AE9" w:rsidP="00874A98">
            <w:pPr>
              <w:keepNext w:val="0"/>
              <w:numPr>
                <w:ilvl w:val="0"/>
                <w:numId w:val="186"/>
              </w:numPr>
              <w:spacing w:before="0"/>
              <w:jc w:val="left"/>
              <w:rPr>
                <w:rFonts w:eastAsia="Arial" w:cs="Arial"/>
                <w:bCs/>
                <w:strike/>
                <w:color w:val="auto"/>
              </w:rPr>
            </w:pPr>
            <w:r w:rsidRPr="00DB05C3">
              <w:rPr>
                <w:rFonts w:eastAsia="Arial" w:cs="Arial"/>
                <w:bCs/>
                <w:color w:val="auto"/>
              </w:rPr>
              <w:t>Within the Coal Authority</w:t>
            </w:r>
            <w:r w:rsidR="00A74C45" w:rsidRPr="00DB05C3">
              <w:rPr>
                <w:rFonts w:eastAsia="Arial" w:cs="Arial"/>
                <w:bCs/>
                <w:color w:val="auto"/>
              </w:rPr>
              <w:t>’s</w:t>
            </w:r>
            <w:r w:rsidRPr="00DB05C3">
              <w:rPr>
                <w:rFonts w:eastAsia="Arial" w:cs="Arial"/>
                <w:bCs/>
                <w:color w:val="auto"/>
              </w:rPr>
              <w:t xml:space="preserve"> defined Development High Risk Area. </w:t>
            </w:r>
          </w:p>
          <w:p w14:paraId="40B5689D" w14:textId="77777777" w:rsidR="00882EFF" w:rsidRPr="00DB05C3" w:rsidRDefault="00882EFF" w:rsidP="00905CC9">
            <w:pPr>
              <w:keepNext w:val="0"/>
              <w:spacing w:before="0"/>
              <w:ind w:left="360"/>
              <w:jc w:val="left"/>
              <w:rPr>
                <w:rFonts w:eastAsia="Arial" w:cs="Arial"/>
                <w:bCs/>
                <w:color w:val="auto"/>
              </w:rPr>
            </w:pPr>
          </w:p>
          <w:p w14:paraId="0A7B133A" w14:textId="4D3D98F5" w:rsidR="00882EFF" w:rsidRPr="00DB05C3" w:rsidRDefault="00882EFF" w:rsidP="00905CC9">
            <w:pPr>
              <w:keepNext w:val="0"/>
              <w:spacing w:before="0"/>
              <w:ind w:left="360"/>
              <w:jc w:val="left"/>
              <w:rPr>
                <w:rFonts w:eastAsia="Arial" w:cs="Arial"/>
                <w:bCs/>
                <w:color w:val="auto"/>
              </w:rPr>
            </w:pPr>
            <w:r w:rsidRPr="00DB05C3">
              <w:rPr>
                <w:rFonts w:eastAsia="Arial" w:cs="Arial"/>
                <w:bCs/>
                <w:color w:val="auto"/>
              </w:rPr>
              <w:t xml:space="preserve">the prospective developer must demonstrate that any existing contamination or instability of the land will be addressed by appropriate mitigation measures to ensure that the site is </w:t>
            </w:r>
            <w:bookmarkStart w:id="308" w:name="_Hlk146200499"/>
            <w:r w:rsidRPr="00DB05C3">
              <w:rPr>
                <w:rFonts w:eastAsia="Arial" w:cs="Arial"/>
                <w:bCs/>
                <w:color w:val="auto"/>
              </w:rPr>
              <w:t xml:space="preserve">suitable for the proposed use </w:t>
            </w:r>
            <w:r w:rsidR="00A74C45" w:rsidRPr="00DB05C3">
              <w:rPr>
                <w:rFonts w:eastAsia="Arial" w:cs="Arial"/>
                <w:bCs/>
                <w:color w:val="auto"/>
              </w:rPr>
              <w:t>taking into account the likely effects (including cumulative</w:t>
            </w:r>
            <w:r w:rsidR="00D61C7E" w:rsidRPr="00DB05C3">
              <w:rPr>
                <w:rFonts w:eastAsia="Arial" w:cs="Arial"/>
                <w:bCs/>
                <w:color w:val="auto"/>
              </w:rPr>
              <w:t xml:space="preserve"> effects) of pollution or unstable land on health, living conditions and the natural environment, as well as the potential sensitivity of the site or the wider area to impacts that could arise from development.</w:t>
            </w:r>
            <w:bookmarkEnd w:id="308"/>
            <w:r w:rsidRPr="00DB05C3">
              <w:rPr>
                <w:rFonts w:eastAsia="Arial" w:cs="Arial"/>
                <w:bCs/>
                <w:color w:val="auto"/>
              </w:rPr>
              <w:t xml:space="preserve"> Development will not be permitted if mitigation cannot be provided to an appropriate standard with an acceptable design.</w:t>
            </w:r>
          </w:p>
          <w:p w14:paraId="2E9D476D" w14:textId="77777777" w:rsidR="00882EFF" w:rsidRPr="00882EFF" w:rsidRDefault="00882EFF" w:rsidP="00905CC9">
            <w:pPr>
              <w:keepNext w:val="0"/>
              <w:spacing w:before="0"/>
              <w:ind w:left="360"/>
              <w:jc w:val="left"/>
              <w:rPr>
                <w:rFonts w:eastAsia="Arial" w:cs="Arial"/>
                <w:bCs/>
                <w:color w:val="auto"/>
              </w:rPr>
            </w:pPr>
          </w:p>
          <w:p w14:paraId="62C9F2A4" w14:textId="77777777" w:rsidR="00882EFF" w:rsidRPr="00882EFF" w:rsidRDefault="00882EFF" w:rsidP="00874A98">
            <w:pPr>
              <w:keepNext w:val="0"/>
              <w:numPr>
                <w:ilvl w:val="0"/>
                <w:numId w:val="185"/>
              </w:numPr>
              <w:tabs>
                <w:tab w:val="left" w:pos="680"/>
                <w:tab w:val="left" w:pos="1133"/>
                <w:tab w:val="left" w:pos="2267"/>
              </w:tabs>
              <w:spacing w:before="0"/>
              <w:ind w:left="357" w:right="284"/>
              <w:jc w:val="left"/>
              <w:rPr>
                <w:rFonts w:eastAsia="Arial"/>
                <w:bCs/>
                <w:color w:val="auto"/>
              </w:rPr>
            </w:pPr>
            <w:r w:rsidRPr="00882EFF">
              <w:rPr>
                <w:rFonts w:eastAsia="Arial"/>
                <w:bCs/>
                <w:color w:val="auto"/>
              </w:rPr>
              <w:t>Issues to be addressed by prospective developers should include but not be limited to:</w:t>
            </w:r>
          </w:p>
          <w:p w14:paraId="786E79CE" w14:textId="77777777" w:rsidR="00882EFF" w:rsidRPr="00882EFF" w:rsidRDefault="00882EFF" w:rsidP="00905CC9">
            <w:pPr>
              <w:keepNext w:val="0"/>
              <w:tabs>
                <w:tab w:val="left" w:pos="680"/>
                <w:tab w:val="left" w:pos="1133"/>
                <w:tab w:val="left" w:pos="2267"/>
              </w:tabs>
              <w:spacing w:before="0"/>
              <w:ind w:left="357" w:right="284"/>
              <w:jc w:val="left"/>
              <w:rPr>
                <w:rFonts w:eastAsia="Arial"/>
                <w:bCs/>
                <w:color w:val="auto"/>
              </w:rPr>
            </w:pPr>
          </w:p>
          <w:p w14:paraId="4143DA2F" w14:textId="77777777" w:rsidR="00882EFF" w:rsidRPr="00882EFF" w:rsidRDefault="00882EFF" w:rsidP="00874A98">
            <w:pPr>
              <w:keepNext w:val="0"/>
              <w:numPr>
                <w:ilvl w:val="0"/>
                <w:numId w:val="187"/>
              </w:numPr>
              <w:spacing w:before="0" w:after="160"/>
              <w:jc w:val="left"/>
              <w:rPr>
                <w:rFonts w:eastAsia="Arial" w:cs="Arial"/>
                <w:bCs/>
                <w:color w:val="auto"/>
              </w:rPr>
            </w:pPr>
            <w:r w:rsidRPr="00882EFF">
              <w:rPr>
                <w:rFonts w:eastAsia="Arial" w:cs="Arial"/>
                <w:bCs/>
                <w:color w:val="auto"/>
              </w:rPr>
              <w:t>Avoiding exposing the occupiers of the development and neighbouring land users to significant risk;</w:t>
            </w:r>
          </w:p>
          <w:p w14:paraId="63160AC6" w14:textId="77777777" w:rsidR="00882EFF" w:rsidRPr="00DB05C3" w:rsidRDefault="00882EFF" w:rsidP="00874A98">
            <w:pPr>
              <w:keepNext w:val="0"/>
              <w:numPr>
                <w:ilvl w:val="0"/>
                <w:numId w:val="187"/>
              </w:numPr>
              <w:spacing w:before="0" w:after="160"/>
              <w:jc w:val="left"/>
              <w:rPr>
                <w:rFonts w:eastAsia="Arial" w:cs="Arial"/>
                <w:bCs/>
                <w:color w:val="auto"/>
              </w:rPr>
            </w:pPr>
            <w:r w:rsidRPr="00DB05C3">
              <w:rPr>
                <w:rFonts w:eastAsia="Arial" w:cs="Arial"/>
                <w:bCs/>
                <w:color w:val="auto"/>
              </w:rPr>
              <w:t xml:space="preserve">Any threats to the structural integrity of any building or structure on the site or any adjoining site; </w:t>
            </w:r>
          </w:p>
          <w:p w14:paraId="5FA835A1" w14:textId="3EB59CEF" w:rsidR="00882EFF" w:rsidRPr="00DB05C3" w:rsidRDefault="00882EFF" w:rsidP="00874A98">
            <w:pPr>
              <w:keepNext w:val="0"/>
              <w:numPr>
                <w:ilvl w:val="0"/>
                <w:numId w:val="187"/>
              </w:numPr>
              <w:spacing w:before="0" w:after="160"/>
              <w:jc w:val="left"/>
              <w:rPr>
                <w:rFonts w:eastAsia="Arial" w:cs="Arial"/>
                <w:bCs/>
                <w:color w:val="auto"/>
              </w:rPr>
            </w:pPr>
            <w:r w:rsidRPr="00DB05C3">
              <w:rPr>
                <w:rFonts w:eastAsia="Arial" w:cs="Arial"/>
                <w:bCs/>
                <w:color w:val="auto"/>
              </w:rPr>
              <w:t xml:space="preserve">Avoiding the contamination of any watercourse, water body, groundwater or aquifer; </w:t>
            </w:r>
            <w:r w:rsidR="00D61C7E" w:rsidRPr="00DB05C3">
              <w:rPr>
                <w:rFonts w:eastAsia="Arial" w:cs="Arial"/>
                <w:bCs/>
                <w:color w:val="auto"/>
              </w:rPr>
              <w:t xml:space="preserve">and </w:t>
            </w:r>
          </w:p>
          <w:p w14:paraId="531E4A50" w14:textId="77777777" w:rsidR="00882EFF" w:rsidRPr="00882EFF" w:rsidRDefault="00882EFF" w:rsidP="00874A98">
            <w:pPr>
              <w:keepNext w:val="0"/>
              <w:numPr>
                <w:ilvl w:val="0"/>
                <w:numId w:val="187"/>
              </w:numPr>
              <w:spacing w:before="0" w:after="160"/>
              <w:jc w:val="left"/>
              <w:rPr>
                <w:rFonts w:eastAsia="Arial" w:cs="Arial"/>
                <w:bCs/>
                <w:color w:val="auto"/>
              </w:rPr>
            </w:pPr>
            <w:r w:rsidRPr="00DB05C3">
              <w:rPr>
                <w:rFonts w:eastAsia="Arial" w:cs="Arial"/>
                <w:bCs/>
                <w:color w:val="auto"/>
              </w:rPr>
              <w:t xml:space="preserve">Having an adverse </w:t>
            </w:r>
            <w:r w:rsidRPr="00882EFF">
              <w:rPr>
                <w:rFonts w:eastAsia="Arial" w:cs="Arial"/>
                <w:bCs/>
                <w:color w:val="auto"/>
              </w:rPr>
              <w:t xml:space="preserve">effect upon natural habitats and/or ecosystems. </w:t>
            </w:r>
          </w:p>
          <w:p w14:paraId="4C15BD52" w14:textId="77777777" w:rsidR="00882EFF" w:rsidRPr="00882EFF" w:rsidRDefault="00882EFF" w:rsidP="00905CC9">
            <w:pPr>
              <w:keepNext w:val="0"/>
              <w:tabs>
                <w:tab w:val="left" w:pos="680"/>
                <w:tab w:val="left" w:pos="1133"/>
                <w:tab w:val="left" w:pos="2267"/>
              </w:tabs>
              <w:spacing w:before="0"/>
              <w:ind w:left="360" w:right="284"/>
              <w:jc w:val="left"/>
              <w:rPr>
                <w:rFonts w:eastAsia="Arial"/>
                <w:bCs/>
                <w:color w:val="auto"/>
              </w:rPr>
            </w:pPr>
          </w:p>
          <w:p w14:paraId="7DF8ACCA" w14:textId="3ECC19BC" w:rsidR="00882EFF" w:rsidRDefault="00882EFF" w:rsidP="00874A98">
            <w:pPr>
              <w:keepNext w:val="0"/>
              <w:numPr>
                <w:ilvl w:val="0"/>
                <w:numId w:val="185"/>
              </w:numPr>
              <w:tabs>
                <w:tab w:val="left" w:pos="680"/>
                <w:tab w:val="left" w:pos="1133"/>
                <w:tab w:val="left" w:pos="2267"/>
              </w:tabs>
              <w:spacing w:before="0"/>
              <w:ind w:left="357" w:right="284" w:hanging="357"/>
              <w:jc w:val="left"/>
              <w:rPr>
                <w:rFonts w:eastAsia="Arial"/>
                <w:bCs/>
                <w:color w:val="auto"/>
              </w:rPr>
            </w:pPr>
            <w:r w:rsidRPr="00882EFF">
              <w:rPr>
                <w:rFonts w:eastAsia="Arial"/>
                <w:bCs/>
                <w:color w:val="auto"/>
              </w:rPr>
              <w:t>Proposals for development will be considered in the context of the cumulative impact. The extent of the area over which the cumulative impact will be taken into account will be determined on a site to site basis.</w:t>
            </w:r>
          </w:p>
          <w:p w14:paraId="370407E1" w14:textId="77777777" w:rsidR="00882EFF" w:rsidRPr="00882EFF" w:rsidRDefault="00882EFF" w:rsidP="00905CC9">
            <w:pPr>
              <w:keepNext w:val="0"/>
              <w:tabs>
                <w:tab w:val="left" w:pos="680"/>
                <w:tab w:val="left" w:pos="1133"/>
                <w:tab w:val="left" w:pos="2267"/>
              </w:tabs>
              <w:spacing w:before="0"/>
              <w:ind w:left="357" w:right="284"/>
              <w:jc w:val="left"/>
              <w:rPr>
                <w:rFonts w:eastAsia="Arial"/>
                <w:bCs/>
                <w:color w:val="auto"/>
              </w:rPr>
            </w:pPr>
          </w:p>
          <w:p w14:paraId="4809CC13" w14:textId="77777777" w:rsidR="00882EFF" w:rsidRPr="00882EFF" w:rsidRDefault="00882EFF" w:rsidP="00874A98">
            <w:pPr>
              <w:keepNext w:val="0"/>
              <w:numPr>
                <w:ilvl w:val="0"/>
                <w:numId w:val="185"/>
              </w:numPr>
              <w:spacing w:before="0"/>
              <w:ind w:left="357" w:hanging="357"/>
              <w:contextualSpacing/>
              <w:jc w:val="left"/>
              <w:rPr>
                <w:rFonts w:eastAsia="Arial"/>
                <w:bCs/>
                <w:color w:val="auto"/>
              </w:rPr>
            </w:pPr>
            <w:r w:rsidRPr="00882EFF">
              <w:rPr>
                <w:rFonts w:eastAsia="Arial"/>
                <w:bCs/>
                <w:color w:val="auto"/>
              </w:rPr>
              <w:t>Where appropriate, proposed development should demonstrate that it will not cause the land to become contaminated to the detriment of future use or restoration of the site or so that it would cause pollution in the surrounding area.</w:t>
            </w:r>
          </w:p>
          <w:p w14:paraId="3AE6D722" w14:textId="77777777" w:rsidR="00882EFF" w:rsidRPr="00882EFF" w:rsidRDefault="00882EFF" w:rsidP="00905CC9">
            <w:pPr>
              <w:keepNext w:val="0"/>
              <w:spacing w:before="0"/>
              <w:contextualSpacing/>
              <w:jc w:val="left"/>
              <w:rPr>
                <w:rFonts w:eastAsia="Arial" w:cs="Arial"/>
                <w:bCs/>
                <w:color w:val="auto"/>
                <w:szCs w:val="24"/>
              </w:rPr>
            </w:pPr>
          </w:p>
          <w:p w14:paraId="44D81236" w14:textId="77777777" w:rsidR="00882EFF" w:rsidRPr="00882EFF" w:rsidRDefault="00882EFF" w:rsidP="00874A98">
            <w:pPr>
              <w:keepNext w:val="0"/>
              <w:numPr>
                <w:ilvl w:val="0"/>
                <w:numId w:val="185"/>
              </w:numPr>
              <w:tabs>
                <w:tab w:val="left" w:pos="680"/>
                <w:tab w:val="left" w:pos="1133"/>
                <w:tab w:val="left" w:pos="2267"/>
              </w:tabs>
              <w:spacing w:before="0" w:after="160"/>
              <w:ind w:right="284"/>
              <w:jc w:val="left"/>
              <w:rPr>
                <w:rFonts w:eastAsia="Arial"/>
                <w:bCs/>
                <w:color w:val="auto"/>
              </w:rPr>
            </w:pPr>
            <w:r w:rsidRPr="00882EFF">
              <w:rPr>
                <w:rFonts w:eastAsia="Arial"/>
                <w:bCs/>
                <w:color w:val="auto"/>
              </w:rPr>
              <w:t>The responsibility for ensuring a safe development rests with the developer and/or landowner. Where considered necessary, the developer will be required to enter into conditions or planning obligations to undertake further investigative works, remedial measures, or to ensure that development does not take place until appropriate measures are completed.</w:t>
            </w:r>
          </w:p>
          <w:p w14:paraId="303F79CF" w14:textId="77777777" w:rsidR="00882EFF" w:rsidRPr="00882EFF" w:rsidRDefault="00882EFF" w:rsidP="00905CC9">
            <w:pPr>
              <w:keepNext w:val="0"/>
              <w:tabs>
                <w:tab w:val="left" w:pos="680"/>
                <w:tab w:val="left" w:pos="1133"/>
                <w:tab w:val="left" w:pos="2267"/>
              </w:tabs>
              <w:spacing w:before="0"/>
              <w:ind w:right="284"/>
              <w:jc w:val="left"/>
              <w:rPr>
                <w:rFonts w:eastAsia="Arial"/>
                <w:bCs/>
                <w:color w:val="auto"/>
              </w:rPr>
            </w:pPr>
          </w:p>
        </w:tc>
      </w:tr>
      <w:bookmarkEnd w:id="307"/>
      <w:tr w:rsidR="00882EFF" w:rsidRPr="00882EFF" w14:paraId="1E21AA1A" w14:textId="77777777" w:rsidTr="00DD4136">
        <w:tc>
          <w:tcPr>
            <w:tcW w:w="1980" w:type="dxa"/>
          </w:tcPr>
          <w:p w14:paraId="010FC326" w14:textId="77777777" w:rsidR="00882EFF" w:rsidRPr="00A03E50" w:rsidRDefault="00882EFF" w:rsidP="00905CC9">
            <w:pPr>
              <w:keepNext w:val="0"/>
              <w:tabs>
                <w:tab w:val="left" w:pos="680"/>
                <w:tab w:val="left" w:pos="1133"/>
                <w:tab w:val="left" w:pos="2267"/>
              </w:tabs>
              <w:spacing w:before="0"/>
              <w:ind w:right="284"/>
              <w:jc w:val="left"/>
              <w:rPr>
                <w:rFonts w:eastAsia="Arial"/>
                <w:b/>
                <w:color w:val="7030A0"/>
                <w:sz w:val="20"/>
              </w:rPr>
            </w:pPr>
            <w:r w:rsidRPr="00A03E50">
              <w:rPr>
                <w:rFonts w:eastAsia="Arial"/>
                <w:bCs/>
                <w:color w:val="auto"/>
                <w:sz w:val="20"/>
              </w:rPr>
              <w:t>Evidence base</w:t>
            </w:r>
          </w:p>
        </w:tc>
        <w:tc>
          <w:tcPr>
            <w:tcW w:w="7796" w:type="dxa"/>
            <w:gridSpan w:val="2"/>
          </w:tcPr>
          <w:p w14:paraId="54BE286C" w14:textId="0DDDFB77" w:rsidR="00882EFF" w:rsidRPr="00DB05C3" w:rsidRDefault="00882EFF" w:rsidP="00905CC9">
            <w:pPr>
              <w:keepNext w:val="0"/>
              <w:numPr>
                <w:ilvl w:val="0"/>
                <w:numId w:val="13"/>
              </w:numPr>
              <w:tabs>
                <w:tab w:val="left" w:pos="680"/>
                <w:tab w:val="left" w:pos="1133"/>
                <w:tab w:val="left" w:pos="2267"/>
              </w:tabs>
              <w:spacing w:before="0" w:after="160" w:line="252" w:lineRule="auto"/>
              <w:ind w:right="284"/>
              <w:contextualSpacing/>
              <w:jc w:val="left"/>
              <w:rPr>
                <w:rFonts w:eastAsia="Arial"/>
                <w:bCs/>
                <w:color w:val="auto"/>
                <w:sz w:val="20"/>
              </w:rPr>
            </w:pPr>
            <w:r w:rsidRPr="00DB05C3">
              <w:rPr>
                <w:rFonts w:eastAsia="Arial"/>
                <w:bCs/>
                <w:color w:val="auto"/>
                <w:sz w:val="20"/>
              </w:rPr>
              <w:t xml:space="preserve">Sustainability Appraisal, </w:t>
            </w:r>
            <w:r w:rsidR="0025538D" w:rsidRPr="00DB05C3">
              <w:rPr>
                <w:rFonts w:eastAsia="Arial"/>
                <w:bCs/>
                <w:color w:val="auto"/>
                <w:sz w:val="20"/>
              </w:rPr>
              <w:t>2</w:t>
            </w:r>
            <w:r w:rsidRPr="00DB05C3">
              <w:rPr>
                <w:rFonts w:eastAsia="Arial"/>
                <w:bCs/>
                <w:color w:val="auto"/>
                <w:sz w:val="20"/>
              </w:rPr>
              <w:t>02</w:t>
            </w:r>
            <w:r w:rsidR="0025538D" w:rsidRPr="00DB05C3">
              <w:rPr>
                <w:rFonts w:eastAsia="Arial"/>
                <w:bCs/>
                <w:color w:val="auto"/>
                <w:sz w:val="20"/>
              </w:rPr>
              <w:t>3</w:t>
            </w:r>
            <w:r w:rsidRPr="00DB05C3">
              <w:rPr>
                <w:rFonts w:eastAsia="Arial"/>
                <w:bCs/>
                <w:color w:val="auto"/>
                <w:sz w:val="20"/>
              </w:rPr>
              <w:t>.</w:t>
            </w:r>
            <w:r w:rsidR="0025538D" w:rsidRPr="00DB05C3">
              <w:rPr>
                <w:rFonts w:eastAsia="Arial"/>
                <w:bCs/>
                <w:color w:val="auto"/>
                <w:sz w:val="20"/>
              </w:rPr>
              <w:t xml:space="preserve"> WSP UK Limited</w:t>
            </w:r>
            <w:r w:rsidRPr="00DB05C3">
              <w:rPr>
                <w:rFonts w:eastAsia="Arial"/>
                <w:bCs/>
                <w:color w:val="auto"/>
                <w:sz w:val="20"/>
              </w:rPr>
              <w:t xml:space="preserve">. </w:t>
            </w:r>
          </w:p>
        </w:tc>
      </w:tr>
      <w:tr w:rsidR="00882EFF" w:rsidRPr="00882EFF" w14:paraId="40D064EA" w14:textId="77777777" w:rsidTr="00DD4136">
        <w:tc>
          <w:tcPr>
            <w:tcW w:w="1980" w:type="dxa"/>
          </w:tcPr>
          <w:p w14:paraId="0C8777D9" w14:textId="77777777" w:rsidR="00882EFF" w:rsidRPr="00A03E50" w:rsidRDefault="00882EFF" w:rsidP="00905CC9">
            <w:pPr>
              <w:keepNext w:val="0"/>
              <w:tabs>
                <w:tab w:val="left" w:pos="680"/>
                <w:tab w:val="left" w:pos="1133"/>
                <w:tab w:val="left" w:pos="2267"/>
              </w:tabs>
              <w:spacing w:before="0"/>
              <w:ind w:right="284"/>
              <w:jc w:val="left"/>
              <w:rPr>
                <w:rFonts w:eastAsia="Arial"/>
                <w:b/>
                <w:color w:val="auto"/>
                <w:sz w:val="20"/>
              </w:rPr>
            </w:pPr>
            <w:r w:rsidRPr="00A03E50">
              <w:rPr>
                <w:rFonts w:eastAsia="Arial"/>
                <w:bCs/>
                <w:color w:val="auto"/>
                <w:sz w:val="20"/>
              </w:rPr>
              <w:t>National Planning Policy and Guidance</w:t>
            </w:r>
          </w:p>
        </w:tc>
        <w:tc>
          <w:tcPr>
            <w:tcW w:w="7796" w:type="dxa"/>
            <w:gridSpan w:val="2"/>
          </w:tcPr>
          <w:p w14:paraId="440D6F7D" w14:textId="004869CE" w:rsidR="00882EFF" w:rsidRPr="00DB05C3" w:rsidRDefault="00882EFF" w:rsidP="00874A98">
            <w:pPr>
              <w:keepNext w:val="0"/>
              <w:numPr>
                <w:ilvl w:val="0"/>
                <w:numId w:val="119"/>
              </w:numPr>
              <w:tabs>
                <w:tab w:val="left" w:pos="680"/>
                <w:tab w:val="left" w:pos="1133"/>
                <w:tab w:val="left" w:pos="2267"/>
              </w:tabs>
              <w:spacing w:before="0" w:after="160" w:line="252" w:lineRule="auto"/>
              <w:ind w:right="284"/>
              <w:contextualSpacing/>
              <w:jc w:val="left"/>
              <w:rPr>
                <w:rFonts w:eastAsia="Arial"/>
                <w:bCs/>
                <w:color w:val="auto"/>
                <w:sz w:val="20"/>
              </w:rPr>
            </w:pPr>
            <w:r w:rsidRPr="00DB05C3">
              <w:rPr>
                <w:rFonts w:eastAsia="Arial"/>
                <w:bCs/>
                <w:color w:val="auto"/>
                <w:sz w:val="20"/>
              </w:rPr>
              <w:t>NPPF 20</w:t>
            </w:r>
            <w:r w:rsidR="004173E0" w:rsidRPr="00DB05C3">
              <w:rPr>
                <w:rFonts w:eastAsia="Arial"/>
                <w:bCs/>
                <w:color w:val="auto"/>
                <w:sz w:val="20"/>
              </w:rPr>
              <w:t>23</w:t>
            </w:r>
            <w:r w:rsidRPr="00DB05C3">
              <w:rPr>
                <w:rFonts w:eastAsia="Arial"/>
                <w:bCs/>
                <w:color w:val="auto"/>
                <w:sz w:val="20"/>
              </w:rPr>
              <w:t>, Part 2: Achieving sustainable development.</w:t>
            </w:r>
          </w:p>
          <w:p w14:paraId="527AD5F7" w14:textId="5FB02248" w:rsidR="00882EFF" w:rsidRPr="00DB05C3" w:rsidRDefault="00882EFF" w:rsidP="00874A98">
            <w:pPr>
              <w:keepNext w:val="0"/>
              <w:numPr>
                <w:ilvl w:val="0"/>
                <w:numId w:val="119"/>
              </w:numPr>
              <w:tabs>
                <w:tab w:val="left" w:pos="680"/>
                <w:tab w:val="left" w:pos="1133"/>
                <w:tab w:val="left" w:pos="2267"/>
              </w:tabs>
              <w:spacing w:before="0" w:after="160" w:line="252" w:lineRule="auto"/>
              <w:ind w:right="284"/>
              <w:contextualSpacing/>
              <w:jc w:val="left"/>
              <w:rPr>
                <w:rFonts w:eastAsia="Arial"/>
                <w:bCs/>
                <w:color w:val="auto"/>
                <w:sz w:val="20"/>
              </w:rPr>
            </w:pPr>
            <w:r w:rsidRPr="00DB05C3">
              <w:rPr>
                <w:rFonts w:eastAsia="Arial"/>
                <w:bCs/>
                <w:color w:val="auto"/>
                <w:sz w:val="20"/>
              </w:rPr>
              <w:t>NPPF 20</w:t>
            </w:r>
            <w:r w:rsidR="004173E0" w:rsidRPr="00DB05C3">
              <w:rPr>
                <w:rFonts w:eastAsia="Arial"/>
                <w:bCs/>
                <w:color w:val="auto"/>
                <w:sz w:val="20"/>
              </w:rPr>
              <w:t>23</w:t>
            </w:r>
            <w:r w:rsidRPr="00DB05C3">
              <w:rPr>
                <w:rFonts w:eastAsia="Arial"/>
                <w:bCs/>
                <w:color w:val="auto"/>
                <w:sz w:val="20"/>
              </w:rPr>
              <w:t>,</w:t>
            </w:r>
            <w:r w:rsidRPr="00DB05C3">
              <w:rPr>
                <w:color w:val="auto"/>
                <w:sz w:val="20"/>
              </w:rPr>
              <w:t xml:space="preserve"> </w:t>
            </w:r>
            <w:r w:rsidRPr="00DB05C3">
              <w:rPr>
                <w:rFonts w:eastAsia="Arial"/>
                <w:bCs/>
                <w:color w:val="auto"/>
                <w:sz w:val="20"/>
              </w:rPr>
              <w:t xml:space="preserve">Part 15: </w:t>
            </w:r>
            <w:r w:rsidRPr="00DB05C3">
              <w:rPr>
                <w:color w:val="auto"/>
                <w:sz w:val="20"/>
              </w:rPr>
              <w:t>Conserving and enhancing the natural environment.</w:t>
            </w:r>
          </w:p>
          <w:p w14:paraId="4D6F507A" w14:textId="5BB14F4D" w:rsidR="00882EFF" w:rsidRPr="00DB05C3" w:rsidRDefault="00882EFF" w:rsidP="00874A98">
            <w:pPr>
              <w:keepNext w:val="0"/>
              <w:numPr>
                <w:ilvl w:val="0"/>
                <w:numId w:val="119"/>
              </w:numPr>
              <w:tabs>
                <w:tab w:val="left" w:pos="680"/>
                <w:tab w:val="left" w:pos="1133"/>
                <w:tab w:val="left" w:pos="2267"/>
              </w:tabs>
              <w:spacing w:before="0" w:after="160" w:line="252" w:lineRule="auto"/>
              <w:ind w:right="284"/>
              <w:contextualSpacing/>
              <w:jc w:val="left"/>
              <w:rPr>
                <w:rFonts w:eastAsia="Arial"/>
                <w:bCs/>
                <w:color w:val="auto"/>
                <w:sz w:val="20"/>
              </w:rPr>
            </w:pPr>
            <w:r w:rsidRPr="00DB05C3">
              <w:rPr>
                <w:color w:val="auto"/>
                <w:sz w:val="20"/>
              </w:rPr>
              <w:t xml:space="preserve">Planning Practice Guidance: Hazardous substances as </w:t>
            </w:r>
            <w:r w:rsidR="00EA7D34" w:rsidRPr="00DB05C3">
              <w:rPr>
                <w:color w:val="auto"/>
                <w:sz w:val="20"/>
              </w:rPr>
              <w:t>of</w:t>
            </w:r>
            <w:r w:rsidR="0025538D" w:rsidRPr="00DB05C3">
              <w:rPr>
                <w:color w:val="auto"/>
                <w:sz w:val="20"/>
              </w:rPr>
              <w:t xml:space="preserve"> November 2019</w:t>
            </w:r>
            <w:r w:rsidRPr="00DB05C3">
              <w:rPr>
                <w:color w:val="auto"/>
                <w:sz w:val="20"/>
              </w:rPr>
              <w:t>.</w:t>
            </w:r>
          </w:p>
          <w:p w14:paraId="426F39CD" w14:textId="45EBB7AD" w:rsidR="00882EFF" w:rsidRPr="00DB05C3" w:rsidRDefault="00882EFF" w:rsidP="00874A98">
            <w:pPr>
              <w:keepNext w:val="0"/>
              <w:numPr>
                <w:ilvl w:val="0"/>
                <w:numId w:val="119"/>
              </w:numPr>
              <w:spacing w:before="0" w:after="160" w:line="252" w:lineRule="auto"/>
              <w:contextualSpacing/>
              <w:jc w:val="left"/>
              <w:rPr>
                <w:rFonts w:eastAsia="Arial"/>
                <w:bCs/>
                <w:color w:val="auto"/>
                <w:sz w:val="20"/>
              </w:rPr>
            </w:pPr>
            <w:r w:rsidRPr="00DB05C3">
              <w:rPr>
                <w:rFonts w:eastAsia="Arial"/>
                <w:bCs/>
                <w:color w:val="auto"/>
                <w:sz w:val="20"/>
              </w:rPr>
              <w:t xml:space="preserve">Planning Practice Guidance: Land affected by contamination as </w:t>
            </w:r>
            <w:r w:rsidR="00EA7D34" w:rsidRPr="00DB05C3">
              <w:rPr>
                <w:rFonts w:eastAsia="Arial"/>
                <w:bCs/>
                <w:color w:val="auto"/>
                <w:sz w:val="20"/>
              </w:rPr>
              <w:t>of</w:t>
            </w:r>
            <w:r w:rsidRPr="00DB05C3">
              <w:rPr>
                <w:rFonts w:eastAsia="Arial"/>
                <w:bCs/>
                <w:color w:val="auto"/>
                <w:sz w:val="20"/>
              </w:rPr>
              <w:t xml:space="preserve"> </w:t>
            </w:r>
            <w:r w:rsidR="0025538D" w:rsidRPr="00DB05C3">
              <w:rPr>
                <w:rFonts w:eastAsia="Arial"/>
                <w:bCs/>
                <w:color w:val="auto"/>
                <w:sz w:val="20"/>
              </w:rPr>
              <w:t>July 2019</w:t>
            </w:r>
            <w:r w:rsidRPr="00DB05C3">
              <w:rPr>
                <w:rFonts w:eastAsia="Arial"/>
                <w:bCs/>
                <w:color w:val="auto"/>
                <w:sz w:val="20"/>
              </w:rPr>
              <w:t>.</w:t>
            </w:r>
          </w:p>
          <w:p w14:paraId="40095360" w14:textId="0CEDE352" w:rsidR="00882EFF" w:rsidRPr="00DB05C3" w:rsidRDefault="00882EFF" w:rsidP="00874A98">
            <w:pPr>
              <w:keepNext w:val="0"/>
              <w:numPr>
                <w:ilvl w:val="0"/>
                <w:numId w:val="119"/>
              </w:numPr>
              <w:spacing w:before="0" w:after="160" w:line="252" w:lineRule="auto"/>
              <w:contextualSpacing/>
              <w:jc w:val="left"/>
              <w:rPr>
                <w:rFonts w:eastAsia="Arial"/>
                <w:bCs/>
                <w:color w:val="auto"/>
                <w:sz w:val="20"/>
              </w:rPr>
            </w:pPr>
            <w:r w:rsidRPr="00DB05C3">
              <w:rPr>
                <w:rFonts w:eastAsia="Arial"/>
                <w:bCs/>
                <w:color w:val="auto"/>
                <w:sz w:val="20"/>
              </w:rPr>
              <w:t xml:space="preserve">Planning Practice Guidance: Land stability as </w:t>
            </w:r>
            <w:r w:rsidR="00EA7D34" w:rsidRPr="00DB05C3">
              <w:rPr>
                <w:rFonts w:eastAsia="Arial"/>
                <w:bCs/>
                <w:color w:val="auto"/>
                <w:sz w:val="20"/>
              </w:rPr>
              <w:t>of</w:t>
            </w:r>
            <w:r w:rsidR="0025538D" w:rsidRPr="00DB05C3">
              <w:rPr>
                <w:rFonts w:eastAsia="Arial"/>
                <w:bCs/>
                <w:color w:val="auto"/>
                <w:sz w:val="20"/>
              </w:rPr>
              <w:t xml:space="preserve"> July 2019</w:t>
            </w:r>
            <w:r w:rsidRPr="00DB05C3">
              <w:rPr>
                <w:rFonts w:eastAsia="Arial"/>
                <w:bCs/>
                <w:color w:val="auto"/>
                <w:sz w:val="20"/>
              </w:rPr>
              <w:t>.</w:t>
            </w:r>
          </w:p>
        </w:tc>
      </w:tr>
    </w:tbl>
    <w:p w14:paraId="15BC3316" w14:textId="77777777" w:rsidR="00882EFF" w:rsidRPr="00882EFF" w:rsidRDefault="00882EFF" w:rsidP="00882EFF">
      <w:pPr>
        <w:keepNext w:val="0"/>
        <w:spacing w:before="0"/>
        <w:rPr>
          <w:rFonts w:eastAsia="Arial" w:cs="Arial"/>
          <w:color w:val="auto"/>
        </w:rPr>
      </w:pPr>
    </w:p>
    <w:p w14:paraId="2860CA2C" w14:textId="2438C943" w:rsidR="00882EFF" w:rsidRDefault="00882EFF" w:rsidP="00882EFF">
      <w:pPr>
        <w:spacing w:before="0"/>
        <w:rPr>
          <w:rFonts w:cs="Arial"/>
          <w:color w:val="auto"/>
          <w:szCs w:val="24"/>
        </w:rPr>
      </w:pPr>
    </w:p>
    <w:p w14:paraId="09B57CD5" w14:textId="12829F05" w:rsidR="00D41DD2" w:rsidRDefault="00882EFF" w:rsidP="00D41DD2">
      <w:pPr>
        <w:keepNext w:val="0"/>
        <w:numPr>
          <w:ilvl w:val="1"/>
          <w:numId w:val="7"/>
        </w:numPr>
        <w:tabs>
          <w:tab w:val="clear" w:pos="525"/>
        </w:tabs>
        <w:spacing w:before="0"/>
        <w:ind w:left="709" w:hanging="709"/>
        <w:rPr>
          <w:rFonts w:cs="Arial"/>
          <w:color w:val="auto"/>
          <w:szCs w:val="24"/>
          <w:lang w:eastAsia="en-US"/>
        </w:rPr>
      </w:pPr>
      <w:r w:rsidRPr="00882EFF">
        <w:rPr>
          <w:rFonts w:cs="Arial"/>
          <w:color w:val="auto"/>
          <w:szCs w:val="24"/>
        </w:rPr>
        <w:t xml:space="preserve">Contaminated land may be regarded as any land which is in such a condition by reason of substances in, on or under the land, that it can result in risks to human health, property and the wider environment, including long-term limitations on the use of soils. It may arise from a number of sources being typically associated with some types of former industrial sites, but even agricultural land can have issues through for example, excessive use or spills of pesticides, or relating to farm waste disposal.  There are also natural sources of contamination and radon gas, a naturally occurring radioactive gas, is present within the District. Previously developed sites in particular may have infestations of Japanese Knotweed, which has a detrimental impact on native wildlife as well as having the potential to damage buildings and hard surfaces. </w:t>
      </w:r>
    </w:p>
    <w:p w14:paraId="381B39AA" w14:textId="77777777" w:rsidR="00D41DD2" w:rsidRDefault="00D41DD2" w:rsidP="00D41DD2">
      <w:pPr>
        <w:keepNext w:val="0"/>
        <w:spacing w:before="0"/>
        <w:ind w:left="709"/>
        <w:rPr>
          <w:rFonts w:cs="Arial"/>
          <w:color w:val="auto"/>
          <w:szCs w:val="24"/>
          <w:lang w:eastAsia="en-US"/>
        </w:rPr>
      </w:pPr>
    </w:p>
    <w:p w14:paraId="6DD3EEA9" w14:textId="77777777" w:rsidR="00D41DD2" w:rsidRDefault="00882EFF" w:rsidP="001165CC">
      <w:pPr>
        <w:keepNext w:val="0"/>
        <w:numPr>
          <w:ilvl w:val="1"/>
          <w:numId w:val="7"/>
        </w:numPr>
        <w:tabs>
          <w:tab w:val="clear" w:pos="525"/>
        </w:tabs>
        <w:spacing w:before="0"/>
        <w:ind w:left="709" w:hanging="709"/>
        <w:rPr>
          <w:rFonts w:cs="Arial"/>
          <w:color w:val="auto"/>
          <w:szCs w:val="24"/>
          <w:lang w:eastAsia="en-US"/>
        </w:rPr>
      </w:pPr>
      <w:r w:rsidRPr="00D41DD2">
        <w:rPr>
          <w:rFonts w:cs="Arial"/>
          <w:color w:val="auto"/>
          <w:szCs w:val="24"/>
        </w:rPr>
        <w:t xml:space="preserve">Development provides the opportunity to bring about improvements and remediation to contaminated or unstable land.  One of the overarching objectives of the Government’s policy on contaminated land is to seek to ensure that contaminated land is made suitable for its current use (Defra, Environmental Protection Act 1990: Part 2A Contaminated Land Statutory Guidance 2012).  The aim is not to prevent development of such land but to ensure development is suitable and the contamination and physical constraints are taken into account at the planning stage.  The risks to human health, buildings and the environment are remediated before the new use commences.   </w:t>
      </w:r>
    </w:p>
    <w:p w14:paraId="7677B703" w14:textId="77777777" w:rsidR="00D41DD2" w:rsidRPr="00D41DD2" w:rsidRDefault="00D41DD2" w:rsidP="001165CC">
      <w:pPr>
        <w:spacing w:before="0"/>
        <w:rPr>
          <w:rFonts w:cs="Arial"/>
          <w:color w:val="auto"/>
          <w:szCs w:val="24"/>
        </w:rPr>
      </w:pPr>
    </w:p>
    <w:p w14:paraId="11611540" w14:textId="77777777" w:rsidR="00D41DD2" w:rsidRDefault="00882EFF" w:rsidP="001165CC">
      <w:pPr>
        <w:keepNext w:val="0"/>
        <w:numPr>
          <w:ilvl w:val="1"/>
          <w:numId w:val="7"/>
        </w:numPr>
        <w:tabs>
          <w:tab w:val="clear" w:pos="525"/>
        </w:tabs>
        <w:spacing w:before="0"/>
        <w:ind w:left="709" w:hanging="709"/>
        <w:rPr>
          <w:rFonts w:cs="Arial"/>
          <w:color w:val="auto"/>
          <w:szCs w:val="24"/>
          <w:lang w:eastAsia="en-US"/>
        </w:rPr>
      </w:pPr>
      <w:r w:rsidRPr="00D41DD2">
        <w:rPr>
          <w:rFonts w:cs="Arial"/>
          <w:color w:val="auto"/>
          <w:szCs w:val="24"/>
        </w:rPr>
        <w:t xml:space="preserve">It is recognised that contamination and instability may add substantially to the difficulty and cost of developing. Consequently, the viability of development where there are high remediation costs will be a factor which the Council will take into account in considering planning contributions.   </w:t>
      </w:r>
    </w:p>
    <w:p w14:paraId="547900EE" w14:textId="77777777" w:rsidR="00D41DD2" w:rsidRPr="00D41DD2" w:rsidRDefault="00D41DD2" w:rsidP="001165CC">
      <w:pPr>
        <w:spacing w:before="0"/>
        <w:rPr>
          <w:rFonts w:cs="Arial"/>
          <w:color w:val="auto"/>
          <w:szCs w:val="24"/>
        </w:rPr>
      </w:pPr>
    </w:p>
    <w:p w14:paraId="3FEA6C84" w14:textId="585248E0" w:rsidR="00D41DD2" w:rsidRDefault="00882EFF" w:rsidP="001165CC">
      <w:pPr>
        <w:keepNext w:val="0"/>
        <w:numPr>
          <w:ilvl w:val="1"/>
          <w:numId w:val="7"/>
        </w:numPr>
        <w:tabs>
          <w:tab w:val="clear" w:pos="525"/>
        </w:tabs>
        <w:spacing w:before="0"/>
        <w:ind w:left="709" w:hanging="709"/>
        <w:rPr>
          <w:rFonts w:cs="Arial"/>
          <w:color w:val="auto"/>
          <w:szCs w:val="24"/>
          <w:lang w:eastAsia="en-US"/>
        </w:rPr>
      </w:pPr>
      <w:r w:rsidRPr="00D41DD2">
        <w:rPr>
          <w:rFonts w:cs="Arial"/>
          <w:color w:val="auto"/>
          <w:szCs w:val="24"/>
        </w:rPr>
        <w:t>In Ashfield</w:t>
      </w:r>
      <w:r w:rsidR="001165CC">
        <w:rPr>
          <w:rFonts w:cs="Arial"/>
          <w:color w:val="auto"/>
          <w:szCs w:val="24"/>
        </w:rPr>
        <w:t>,</w:t>
      </w:r>
      <w:r w:rsidRPr="00D41DD2">
        <w:rPr>
          <w:rFonts w:cs="Arial"/>
          <w:color w:val="auto"/>
          <w:szCs w:val="24"/>
        </w:rPr>
        <w:t xml:space="preserve"> the </w:t>
      </w:r>
      <w:r w:rsidR="00EA7D34" w:rsidRPr="00D41DD2">
        <w:rPr>
          <w:rFonts w:cs="Arial"/>
          <w:color w:val="auto"/>
          <w:szCs w:val="24"/>
        </w:rPr>
        <w:t>principal</w:t>
      </w:r>
      <w:r w:rsidRPr="00D41DD2">
        <w:rPr>
          <w:rFonts w:cs="Arial"/>
          <w:color w:val="auto"/>
          <w:szCs w:val="24"/>
        </w:rPr>
        <w:t xml:space="preserve"> issue in relation to ground instability relates to past coal mining. The Coal Mining Referral Areas in Ashfield are largely located towards the western part of the District. For non-householder applications in Coal Mining Referral Areas the developer will be required to prepare and submit a Coal Mining Risk Assessment (CMRA) with the planning application. There may be a need for appropriate mitigation measures to ensure that there will be no future ground instability and public safety issues arising from the development. Within the rest of the coalfield area the Coal Authority’s Standing Advice Area will apply.</w:t>
      </w:r>
    </w:p>
    <w:p w14:paraId="1F51E224" w14:textId="77777777" w:rsidR="00D41DD2" w:rsidRDefault="00D41DD2" w:rsidP="001165CC">
      <w:pPr>
        <w:pStyle w:val="ListParagraph"/>
        <w:spacing w:after="0" w:line="240" w:lineRule="auto"/>
        <w:rPr>
          <w:rFonts w:cs="Arial"/>
          <w:color w:val="auto"/>
          <w:szCs w:val="24"/>
        </w:rPr>
      </w:pPr>
    </w:p>
    <w:p w14:paraId="08465332" w14:textId="77777777" w:rsidR="00D41DD2" w:rsidRDefault="00882EFF" w:rsidP="001165CC">
      <w:pPr>
        <w:keepNext w:val="0"/>
        <w:numPr>
          <w:ilvl w:val="1"/>
          <w:numId w:val="7"/>
        </w:numPr>
        <w:tabs>
          <w:tab w:val="clear" w:pos="525"/>
        </w:tabs>
        <w:spacing w:before="0"/>
        <w:ind w:left="709" w:hanging="709"/>
        <w:rPr>
          <w:rFonts w:cs="Arial"/>
          <w:color w:val="auto"/>
          <w:szCs w:val="24"/>
          <w:lang w:eastAsia="en-US"/>
        </w:rPr>
      </w:pPr>
      <w:r w:rsidRPr="00D41DD2">
        <w:rPr>
          <w:rFonts w:cs="Arial"/>
          <w:color w:val="auto"/>
          <w:szCs w:val="24"/>
        </w:rPr>
        <w:t>When a new development is proposed that could cause land to become contaminated, for instance, by the nature of the proposed use, the development should be designed in such a way as to minimise the risk of contamination occurring.</w:t>
      </w:r>
    </w:p>
    <w:p w14:paraId="0CF26109" w14:textId="77777777" w:rsidR="00D41DD2" w:rsidRPr="00D41DD2" w:rsidRDefault="00D41DD2" w:rsidP="006977E7">
      <w:pPr>
        <w:spacing w:before="0"/>
        <w:rPr>
          <w:rFonts w:cs="Arial"/>
          <w:b/>
          <w:bCs/>
          <w:color w:val="auto"/>
          <w:szCs w:val="24"/>
        </w:rPr>
      </w:pPr>
    </w:p>
    <w:p w14:paraId="157B7048" w14:textId="07CCCE8B" w:rsidR="00D41DD2" w:rsidRPr="00D41DD2" w:rsidRDefault="00882EFF" w:rsidP="006977E7">
      <w:pPr>
        <w:keepNext w:val="0"/>
        <w:spacing w:before="0"/>
        <w:ind w:left="709"/>
        <w:rPr>
          <w:rFonts w:cs="Arial"/>
          <w:color w:val="auto"/>
          <w:szCs w:val="24"/>
          <w:lang w:eastAsia="en-US"/>
        </w:rPr>
      </w:pPr>
      <w:r w:rsidRPr="00D41DD2">
        <w:rPr>
          <w:rFonts w:cs="Arial"/>
          <w:b/>
          <w:bCs/>
          <w:color w:val="auto"/>
          <w:szCs w:val="24"/>
        </w:rPr>
        <w:t>Groundwater</w:t>
      </w:r>
    </w:p>
    <w:p w14:paraId="51C34506" w14:textId="2EA3D670" w:rsidR="0081058F" w:rsidRPr="00D41DD2" w:rsidRDefault="00882EFF" w:rsidP="00D41DD2">
      <w:pPr>
        <w:keepNext w:val="0"/>
        <w:numPr>
          <w:ilvl w:val="1"/>
          <w:numId w:val="7"/>
        </w:numPr>
        <w:tabs>
          <w:tab w:val="clear" w:pos="525"/>
        </w:tabs>
        <w:spacing w:before="0"/>
        <w:ind w:left="709" w:hanging="709"/>
        <w:rPr>
          <w:rFonts w:cs="Arial"/>
          <w:color w:val="auto"/>
          <w:szCs w:val="24"/>
          <w:lang w:eastAsia="en-US"/>
        </w:rPr>
      </w:pPr>
      <w:r w:rsidRPr="00D41DD2">
        <w:rPr>
          <w:rFonts w:cs="Arial"/>
          <w:color w:val="auto"/>
          <w:szCs w:val="24"/>
        </w:rPr>
        <w:t>The prevention of pollution and reversal of environmentally significant and sustained deteriorating trends in groundwater quality is a requirement of the Water Framework Directive and its associative legislations/regulations, as well as good practice. Prospective developers should:</w:t>
      </w:r>
    </w:p>
    <w:p w14:paraId="74162622" w14:textId="10C1DF97" w:rsidR="0081058F" w:rsidRPr="0081058F" w:rsidRDefault="0081058F" w:rsidP="0081058F">
      <w:pPr>
        <w:keepNext w:val="0"/>
        <w:spacing w:before="0"/>
        <w:ind w:left="527"/>
        <w:rPr>
          <w:rFonts w:cs="Arial"/>
          <w:color w:val="auto"/>
          <w:szCs w:val="24"/>
        </w:rPr>
      </w:pPr>
    </w:p>
    <w:p w14:paraId="40CE817F" w14:textId="77777777" w:rsidR="0081058F" w:rsidRPr="0081058F" w:rsidRDefault="0081058F" w:rsidP="00874A98">
      <w:pPr>
        <w:pStyle w:val="ListParagraph"/>
        <w:numPr>
          <w:ilvl w:val="0"/>
          <w:numId w:val="188"/>
        </w:numPr>
        <w:spacing w:after="0" w:line="240" w:lineRule="auto"/>
        <w:rPr>
          <w:rFonts w:ascii="Arial" w:hAnsi="Arial" w:cs="Arial"/>
          <w:color w:val="auto"/>
          <w:szCs w:val="24"/>
        </w:rPr>
      </w:pPr>
      <w:r w:rsidRPr="0081058F">
        <w:rPr>
          <w:rFonts w:ascii="Arial" w:hAnsi="Arial" w:cs="Arial"/>
          <w:color w:val="auto"/>
          <w:szCs w:val="24"/>
        </w:rPr>
        <w:t>assess the area of influence of their activities and to take account of groundwater uses and dependent ecosystems within this area during planning, construction and operation;</w:t>
      </w:r>
    </w:p>
    <w:p w14:paraId="5A84DD1E" w14:textId="0C374E96" w:rsidR="0081058F" w:rsidRPr="0081058F" w:rsidRDefault="0081058F" w:rsidP="00874A98">
      <w:pPr>
        <w:pStyle w:val="ListParagraph"/>
        <w:numPr>
          <w:ilvl w:val="0"/>
          <w:numId w:val="188"/>
        </w:numPr>
        <w:spacing w:after="0" w:line="240" w:lineRule="auto"/>
        <w:rPr>
          <w:rFonts w:ascii="Arial" w:hAnsi="Arial" w:cs="Arial"/>
          <w:color w:val="auto"/>
          <w:szCs w:val="24"/>
        </w:rPr>
      </w:pPr>
      <w:r w:rsidRPr="0081058F">
        <w:rPr>
          <w:rFonts w:ascii="Arial" w:hAnsi="Arial" w:cs="Arial"/>
          <w:color w:val="auto"/>
          <w:szCs w:val="24"/>
        </w:rPr>
        <w:t xml:space="preserve">provide adequate information to statutory bodies such as the Environment Agency when submitting their proposals so that the potential impact on groundwater resources and quality can be adequately assessed. </w:t>
      </w:r>
    </w:p>
    <w:p w14:paraId="78AB536F" w14:textId="2ABD03B6" w:rsidR="0081058F" w:rsidRPr="0081058F" w:rsidRDefault="0081058F" w:rsidP="0081058F">
      <w:pPr>
        <w:keepNext w:val="0"/>
        <w:spacing w:before="0"/>
        <w:ind w:left="527"/>
        <w:rPr>
          <w:rFonts w:cs="Arial"/>
          <w:color w:val="auto"/>
          <w:szCs w:val="24"/>
        </w:rPr>
      </w:pPr>
    </w:p>
    <w:p w14:paraId="46FD4C55" w14:textId="7EFA65EE" w:rsidR="00D41DD2" w:rsidRDefault="00B277EC" w:rsidP="00D41DD2">
      <w:pPr>
        <w:keepNext w:val="0"/>
        <w:numPr>
          <w:ilvl w:val="1"/>
          <w:numId w:val="7"/>
        </w:numPr>
        <w:tabs>
          <w:tab w:val="clear" w:pos="525"/>
        </w:tabs>
        <w:spacing w:before="0"/>
        <w:ind w:left="709" w:hanging="709"/>
        <w:rPr>
          <w:rFonts w:cs="Arial"/>
          <w:color w:val="auto"/>
          <w:szCs w:val="24"/>
        </w:rPr>
      </w:pPr>
      <w:r>
        <w:rPr>
          <w:rFonts w:cs="Arial"/>
          <w:color w:val="auto"/>
          <w:szCs w:val="24"/>
        </w:rPr>
        <w:t xml:space="preserve">A substantial part of the </w:t>
      </w:r>
      <w:r w:rsidR="00882EFF" w:rsidRPr="0081058F">
        <w:rPr>
          <w:rFonts w:cs="Arial"/>
          <w:color w:val="auto"/>
          <w:szCs w:val="24"/>
        </w:rPr>
        <w:t xml:space="preserve">District of Ashfield is located on </w:t>
      </w:r>
      <w:r>
        <w:rPr>
          <w:rFonts w:cs="Arial"/>
          <w:color w:val="auto"/>
          <w:szCs w:val="24"/>
        </w:rPr>
        <w:t xml:space="preserve">a </w:t>
      </w:r>
      <w:r w:rsidR="00882EFF" w:rsidRPr="0081058F">
        <w:rPr>
          <w:rFonts w:cs="Arial"/>
          <w:color w:val="auto"/>
          <w:szCs w:val="24"/>
        </w:rPr>
        <w:t>principal</w:t>
      </w:r>
      <w:r w:rsidR="00882EFF" w:rsidRPr="00882EFF">
        <w:rPr>
          <w:rFonts w:cs="Arial"/>
          <w:color w:val="auto"/>
          <w:szCs w:val="24"/>
        </w:rPr>
        <w:t xml:space="preserve"> aquifer where groundwater is sensitive to pollution. It is important that standards of design, materials specification and of on-site construction practices respect the vulnerability of these aquifers as well as all watercourses, and environmentally sensitive areas. During and post construction it is possible that this contamination could be mobilised and find its way into the aquifer. The Council will need to be satisfied that any risk has been properly assessed and viable </w:t>
      </w:r>
      <w:r w:rsidR="00431F84" w:rsidRPr="00DB05C3">
        <w:rPr>
          <w:rFonts w:cs="Arial"/>
          <w:color w:val="auto"/>
          <w:szCs w:val="24"/>
        </w:rPr>
        <w:t xml:space="preserve">mitigation and </w:t>
      </w:r>
      <w:r w:rsidR="00882EFF" w:rsidRPr="00DB05C3">
        <w:rPr>
          <w:rFonts w:cs="Arial"/>
          <w:color w:val="auto"/>
          <w:szCs w:val="24"/>
        </w:rPr>
        <w:t xml:space="preserve">remediation is in place. The Council will require the applicant to provide such information </w:t>
      </w:r>
      <w:r w:rsidR="00882EFF" w:rsidRPr="00882EFF">
        <w:rPr>
          <w:rFonts w:cs="Arial"/>
          <w:color w:val="auto"/>
          <w:szCs w:val="24"/>
        </w:rPr>
        <w:t xml:space="preserve">as is necessary to determine whether the proposed development can proceed. Investigations will need to consider the possibility that new pathways may be introduced as a result of development activities, such as piling, drain laying and trenches for services and that new receptors may be introduced by the development proposed. Development proposals should not create a pathway into the water supply. </w:t>
      </w:r>
    </w:p>
    <w:p w14:paraId="34411129" w14:textId="77777777" w:rsidR="00D41DD2" w:rsidRDefault="00D41DD2" w:rsidP="00D41DD2">
      <w:pPr>
        <w:keepNext w:val="0"/>
        <w:spacing w:before="0"/>
        <w:ind w:left="709"/>
        <w:rPr>
          <w:rFonts w:cs="Arial"/>
          <w:color w:val="auto"/>
          <w:szCs w:val="24"/>
        </w:rPr>
      </w:pPr>
    </w:p>
    <w:p w14:paraId="683E352D" w14:textId="77777777" w:rsidR="00D41DD2" w:rsidRDefault="00882EFF" w:rsidP="00D41DD2">
      <w:pPr>
        <w:keepNext w:val="0"/>
        <w:numPr>
          <w:ilvl w:val="1"/>
          <w:numId w:val="7"/>
        </w:numPr>
        <w:tabs>
          <w:tab w:val="clear" w:pos="525"/>
        </w:tabs>
        <w:spacing w:before="0"/>
        <w:ind w:left="709" w:hanging="709"/>
        <w:rPr>
          <w:rFonts w:cs="Arial"/>
          <w:color w:val="auto"/>
          <w:szCs w:val="24"/>
        </w:rPr>
      </w:pPr>
      <w:r w:rsidRPr="00D41DD2">
        <w:rPr>
          <w:rFonts w:cs="Arial"/>
          <w:color w:val="auto"/>
          <w:szCs w:val="24"/>
        </w:rPr>
        <w:t xml:space="preserve">The Council will adopt a balanced approach to contamination and unstable ground as it is unreasonable for the Council to require every applicant to carry out a detailed and expensive site investigation. However, sufficient information should be required to determine the existence or otherwise of contamination or unstable ground, its nature and the risks it may pose and whether these can be satisfactorily reduced to an acceptable level. Where a desk study and site reconnaissance does not provide sufficient information to assess the risks and appraise remedial options, further investigations will need to be carried out before the application is determined. Any remedial measures should be agreed by the Council before the development is commenced and completed prior to occupation.  </w:t>
      </w:r>
    </w:p>
    <w:p w14:paraId="20298005" w14:textId="557AEF61" w:rsidR="00D41DD2" w:rsidRDefault="00882EFF" w:rsidP="00D41DD2">
      <w:pPr>
        <w:keepNext w:val="0"/>
        <w:spacing w:before="0"/>
        <w:rPr>
          <w:rFonts w:cs="Arial"/>
          <w:color w:val="auto"/>
          <w:szCs w:val="24"/>
        </w:rPr>
      </w:pPr>
      <w:r w:rsidRPr="00D41DD2">
        <w:rPr>
          <w:rFonts w:cs="Arial"/>
          <w:color w:val="auto"/>
          <w:szCs w:val="24"/>
        </w:rPr>
        <w:t xml:space="preserve"> </w:t>
      </w:r>
    </w:p>
    <w:p w14:paraId="173E1C31" w14:textId="2C1AEE02" w:rsidR="00882EFF" w:rsidRPr="00D41DD2" w:rsidRDefault="00882EFF" w:rsidP="00D41DD2">
      <w:pPr>
        <w:keepNext w:val="0"/>
        <w:numPr>
          <w:ilvl w:val="1"/>
          <w:numId w:val="7"/>
        </w:numPr>
        <w:tabs>
          <w:tab w:val="clear" w:pos="525"/>
        </w:tabs>
        <w:spacing w:before="0"/>
        <w:ind w:left="709" w:hanging="709"/>
        <w:rPr>
          <w:rFonts w:cs="Arial"/>
          <w:color w:val="auto"/>
          <w:szCs w:val="24"/>
        </w:rPr>
      </w:pPr>
      <w:r w:rsidRPr="00D41DD2">
        <w:rPr>
          <w:rFonts w:cs="Arial"/>
          <w:color w:val="auto"/>
          <w:szCs w:val="24"/>
        </w:rPr>
        <w:t xml:space="preserve">Planning decisions will take into account the most up to date national, regional or local guidance in relation to pollution control/unstable land and planning. </w:t>
      </w:r>
    </w:p>
    <w:p w14:paraId="44CC5506" w14:textId="02590FF8" w:rsidR="00882EFF" w:rsidRDefault="00882EFF" w:rsidP="00263F59">
      <w:pPr>
        <w:pStyle w:val="ListParagraph"/>
        <w:spacing w:after="0" w:line="240" w:lineRule="auto"/>
        <w:rPr>
          <w:rFonts w:ascii="Arial" w:hAnsi="Arial" w:cs="Arial"/>
          <w:color w:val="auto"/>
          <w:szCs w:val="24"/>
        </w:rPr>
      </w:pPr>
    </w:p>
    <w:p w14:paraId="45D9493D" w14:textId="3BDB75D0" w:rsidR="006D4F49" w:rsidRDefault="006D4F49" w:rsidP="00263F59">
      <w:pPr>
        <w:pStyle w:val="ListParagraph"/>
        <w:spacing w:after="0" w:line="240" w:lineRule="auto"/>
        <w:rPr>
          <w:rFonts w:ascii="Arial" w:hAnsi="Arial" w:cs="Arial"/>
          <w:color w:val="auto"/>
          <w:szCs w:val="24"/>
        </w:rPr>
      </w:pPr>
    </w:p>
    <w:p w14:paraId="6D437F6E" w14:textId="77777777" w:rsidR="006D4F49" w:rsidRDefault="006D4F49" w:rsidP="00263F59">
      <w:pPr>
        <w:pStyle w:val="ListParagraph"/>
        <w:spacing w:after="0" w:line="240" w:lineRule="auto"/>
        <w:rPr>
          <w:rFonts w:ascii="Arial" w:hAnsi="Arial" w:cs="Arial"/>
          <w:color w:val="auto"/>
          <w:szCs w:val="24"/>
        </w:rPr>
      </w:pPr>
    </w:p>
    <w:p w14:paraId="0A5CF848" w14:textId="1CA6D7F1" w:rsidR="00882EFF" w:rsidRPr="00825421" w:rsidRDefault="006977E7" w:rsidP="00825421">
      <w:pPr>
        <w:pStyle w:val="Heading2"/>
        <w:jc w:val="left"/>
        <w:rPr>
          <w:sz w:val="28"/>
          <w:szCs w:val="28"/>
        </w:rPr>
      </w:pPr>
      <w:bookmarkStart w:id="309" w:name="_Toc145511618"/>
      <w:r w:rsidRPr="00825421">
        <w:rPr>
          <w:sz w:val="28"/>
          <w:szCs w:val="28"/>
        </w:rPr>
        <w:t xml:space="preserve">Policy </w:t>
      </w:r>
      <w:r w:rsidR="00882EFF" w:rsidRPr="00825421">
        <w:rPr>
          <w:sz w:val="28"/>
          <w:szCs w:val="28"/>
        </w:rPr>
        <w:t>SD</w:t>
      </w:r>
      <w:r w:rsidR="0064018F" w:rsidRPr="00825421">
        <w:rPr>
          <w:sz w:val="28"/>
          <w:szCs w:val="28"/>
        </w:rPr>
        <w:t>9</w:t>
      </w:r>
      <w:r w:rsidR="00882EFF" w:rsidRPr="00825421">
        <w:rPr>
          <w:sz w:val="28"/>
          <w:szCs w:val="28"/>
        </w:rPr>
        <w:t>: Environmental Protection</w:t>
      </w:r>
      <w:bookmarkEnd w:id="309"/>
    </w:p>
    <w:p w14:paraId="1828773A" w14:textId="77777777" w:rsidR="0081058F" w:rsidRPr="0081058F" w:rsidRDefault="0081058F" w:rsidP="00263F59">
      <w:pPr>
        <w:keepNext w:val="0"/>
        <w:spacing w:before="0"/>
        <w:rPr>
          <w:rFonts w:eastAsia="Arial" w:cs="Arial"/>
          <w:color w:val="auto"/>
        </w:rPr>
      </w:pPr>
    </w:p>
    <w:tbl>
      <w:tblPr>
        <w:tblStyle w:val="TableGrid3"/>
        <w:tblW w:w="9776" w:type="dxa"/>
        <w:tblLook w:val="04A0" w:firstRow="1" w:lastRow="0" w:firstColumn="1" w:lastColumn="0" w:noHBand="0" w:noVBand="1"/>
      </w:tblPr>
      <w:tblGrid>
        <w:gridCol w:w="1838"/>
        <w:gridCol w:w="822"/>
        <w:gridCol w:w="7116"/>
      </w:tblGrid>
      <w:tr w:rsidR="0081058F" w:rsidRPr="0081058F" w14:paraId="43E31B8B" w14:textId="77777777" w:rsidTr="00DD4136">
        <w:trPr>
          <w:trHeight w:val="421"/>
        </w:trPr>
        <w:tc>
          <w:tcPr>
            <w:tcW w:w="9776" w:type="dxa"/>
            <w:gridSpan w:val="3"/>
          </w:tcPr>
          <w:p w14:paraId="0043340B" w14:textId="77777777" w:rsidR="00D41DD2" w:rsidRDefault="00D41DD2" w:rsidP="00905CC9">
            <w:pPr>
              <w:keepNext w:val="0"/>
              <w:tabs>
                <w:tab w:val="left" w:pos="680"/>
              </w:tabs>
              <w:spacing w:before="0"/>
              <w:jc w:val="left"/>
              <w:rPr>
                <w:rFonts w:eastAsia="Arial"/>
                <w:b/>
                <w:color w:val="auto"/>
                <w:spacing w:val="-1"/>
              </w:rPr>
            </w:pPr>
            <w:bookmarkStart w:id="310" w:name="_Hlk78877873"/>
          </w:p>
          <w:p w14:paraId="2CA7F42B" w14:textId="77777777" w:rsidR="0081058F" w:rsidRDefault="0081058F" w:rsidP="00905CC9">
            <w:pPr>
              <w:keepNext w:val="0"/>
              <w:tabs>
                <w:tab w:val="left" w:pos="680"/>
              </w:tabs>
              <w:spacing w:before="0"/>
              <w:jc w:val="left"/>
              <w:rPr>
                <w:rFonts w:eastAsia="Arial"/>
                <w:b/>
                <w:color w:val="auto"/>
                <w:spacing w:val="-1"/>
              </w:rPr>
            </w:pPr>
            <w:r w:rsidRPr="008F21DB">
              <w:rPr>
                <w:rFonts w:eastAsia="Arial"/>
                <w:b/>
                <w:color w:val="auto"/>
                <w:spacing w:val="-1"/>
              </w:rPr>
              <w:t>Policy SD</w:t>
            </w:r>
            <w:r w:rsidR="0064018F">
              <w:rPr>
                <w:rFonts w:eastAsia="Arial"/>
                <w:b/>
                <w:color w:val="auto"/>
                <w:spacing w:val="-1"/>
              </w:rPr>
              <w:t>9</w:t>
            </w:r>
            <w:r w:rsidRPr="008F21DB">
              <w:rPr>
                <w:rFonts w:eastAsia="Arial"/>
                <w:b/>
                <w:color w:val="auto"/>
                <w:spacing w:val="-1"/>
              </w:rPr>
              <w:t>: Environmental Protection</w:t>
            </w:r>
          </w:p>
          <w:p w14:paraId="6372BDAA" w14:textId="2D302FD6" w:rsidR="00D41DD2" w:rsidRPr="0081058F" w:rsidRDefault="00D41DD2" w:rsidP="00905CC9">
            <w:pPr>
              <w:keepNext w:val="0"/>
              <w:tabs>
                <w:tab w:val="left" w:pos="680"/>
              </w:tabs>
              <w:spacing w:before="0"/>
              <w:jc w:val="left"/>
              <w:rPr>
                <w:rFonts w:eastAsia="Arial"/>
                <w:b/>
                <w:color w:val="auto"/>
                <w:spacing w:val="-1"/>
              </w:rPr>
            </w:pPr>
          </w:p>
        </w:tc>
      </w:tr>
      <w:tr w:rsidR="0081058F" w:rsidRPr="0081058F" w14:paraId="2F2C167B" w14:textId="77777777" w:rsidTr="00DD4136">
        <w:tc>
          <w:tcPr>
            <w:tcW w:w="2660" w:type="dxa"/>
            <w:gridSpan w:val="2"/>
          </w:tcPr>
          <w:p w14:paraId="7AA475D7" w14:textId="77777777" w:rsidR="0081058F" w:rsidRPr="008F21DB" w:rsidRDefault="0081058F" w:rsidP="00905CC9">
            <w:pPr>
              <w:keepNext w:val="0"/>
              <w:tabs>
                <w:tab w:val="left" w:pos="680"/>
              </w:tabs>
              <w:spacing w:before="0"/>
              <w:jc w:val="left"/>
              <w:rPr>
                <w:rFonts w:eastAsia="Arial"/>
                <w:bCs/>
                <w:color w:val="auto"/>
              </w:rPr>
            </w:pPr>
            <w:r w:rsidRPr="008F21DB">
              <w:rPr>
                <w:rFonts w:eastAsia="Arial"/>
                <w:bCs/>
                <w:color w:val="auto"/>
              </w:rPr>
              <w:t>Strategic Objectives</w:t>
            </w:r>
          </w:p>
        </w:tc>
        <w:tc>
          <w:tcPr>
            <w:tcW w:w="7116" w:type="dxa"/>
          </w:tcPr>
          <w:p w14:paraId="1249AADA" w14:textId="77777777" w:rsidR="0081058F" w:rsidRPr="008F21DB" w:rsidRDefault="0081058F" w:rsidP="00905CC9">
            <w:pPr>
              <w:keepNext w:val="0"/>
              <w:tabs>
                <w:tab w:val="left" w:pos="680"/>
              </w:tabs>
              <w:spacing w:before="40" w:after="40"/>
              <w:jc w:val="left"/>
              <w:rPr>
                <w:rFonts w:eastAsia="Arial"/>
                <w:bCs/>
                <w:color w:val="auto"/>
              </w:rPr>
            </w:pPr>
            <w:r w:rsidRPr="008F21DB">
              <w:rPr>
                <w:rFonts w:eastAsia="Arial"/>
                <w:bCs/>
                <w:color w:val="auto"/>
              </w:rPr>
              <w:t>SO1, SO2, SO5, SO13, SO14.</w:t>
            </w:r>
          </w:p>
        </w:tc>
      </w:tr>
      <w:tr w:rsidR="0081058F" w:rsidRPr="0081058F" w14:paraId="643C0143" w14:textId="77777777" w:rsidTr="00DD4136">
        <w:tc>
          <w:tcPr>
            <w:tcW w:w="9776" w:type="dxa"/>
            <w:gridSpan w:val="3"/>
            <w:shd w:val="clear" w:color="auto" w:fill="DAC4F8"/>
          </w:tcPr>
          <w:p w14:paraId="496749BF" w14:textId="77777777" w:rsidR="0081058F" w:rsidRPr="0081058F" w:rsidRDefault="0081058F" w:rsidP="00905CC9">
            <w:pPr>
              <w:keepNext w:val="0"/>
              <w:tabs>
                <w:tab w:val="left" w:pos="680"/>
                <w:tab w:val="left" w:pos="1133"/>
                <w:tab w:val="left" w:pos="2267"/>
              </w:tabs>
              <w:spacing w:before="0"/>
              <w:ind w:right="284"/>
              <w:jc w:val="left"/>
              <w:rPr>
                <w:rFonts w:eastAsia="Arial"/>
                <w:bCs/>
                <w:color w:val="auto"/>
              </w:rPr>
            </w:pPr>
          </w:p>
          <w:p w14:paraId="1A84EECB" w14:textId="77777777" w:rsidR="0081058F" w:rsidRPr="0081058F" w:rsidRDefault="0081058F" w:rsidP="00874A98">
            <w:pPr>
              <w:keepNext w:val="0"/>
              <w:numPr>
                <w:ilvl w:val="0"/>
                <w:numId w:val="189"/>
              </w:numPr>
              <w:tabs>
                <w:tab w:val="left" w:pos="680"/>
                <w:tab w:val="left" w:pos="1133"/>
                <w:tab w:val="left" w:pos="2267"/>
              </w:tabs>
              <w:spacing w:before="0"/>
              <w:ind w:right="284"/>
              <w:contextualSpacing/>
              <w:jc w:val="left"/>
              <w:rPr>
                <w:rFonts w:eastAsia="Arial" w:cs="Arial"/>
                <w:bCs/>
                <w:color w:val="auto"/>
                <w:szCs w:val="24"/>
              </w:rPr>
            </w:pPr>
            <w:r w:rsidRPr="0081058F">
              <w:rPr>
                <w:rFonts w:eastAsia="Arial"/>
                <w:bCs/>
                <w:color w:val="auto"/>
              </w:rPr>
              <w:t>Development should be sited and designed so as to avoid adversely impacting upon health, living conditions, the natural environment, and the welfare of livestock by reasons of fumes, dust, noise, vibration, smell, light or other forms of pollution.</w:t>
            </w:r>
          </w:p>
          <w:p w14:paraId="78C9A361" w14:textId="77777777" w:rsidR="0081058F" w:rsidRPr="0081058F" w:rsidRDefault="0081058F" w:rsidP="00905CC9">
            <w:pPr>
              <w:keepNext w:val="0"/>
              <w:tabs>
                <w:tab w:val="left" w:pos="680"/>
                <w:tab w:val="left" w:pos="1133"/>
                <w:tab w:val="left" w:pos="2267"/>
              </w:tabs>
              <w:spacing w:before="0"/>
              <w:ind w:right="284"/>
              <w:contextualSpacing/>
              <w:jc w:val="left"/>
              <w:rPr>
                <w:rFonts w:eastAsia="Arial" w:cs="Arial"/>
                <w:bCs/>
                <w:color w:val="auto"/>
                <w:szCs w:val="24"/>
              </w:rPr>
            </w:pPr>
          </w:p>
          <w:p w14:paraId="6A8DC4EF" w14:textId="77777777" w:rsidR="0081058F" w:rsidRPr="0081058F" w:rsidRDefault="0081058F" w:rsidP="00874A98">
            <w:pPr>
              <w:keepNext w:val="0"/>
              <w:numPr>
                <w:ilvl w:val="0"/>
                <w:numId w:val="189"/>
              </w:numPr>
              <w:tabs>
                <w:tab w:val="left" w:pos="680"/>
                <w:tab w:val="left" w:pos="1133"/>
                <w:tab w:val="left" w:pos="2267"/>
              </w:tabs>
              <w:spacing w:before="0"/>
              <w:ind w:right="284"/>
              <w:jc w:val="left"/>
              <w:rPr>
                <w:rFonts w:eastAsia="Arial"/>
                <w:bCs/>
                <w:color w:val="auto"/>
              </w:rPr>
            </w:pPr>
            <w:r w:rsidRPr="0081058F">
              <w:rPr>
                <w:rFonts w:eastAsia="Arial"/>
                <w:bCs/>
                <w:color w:val="auto"/>
              </w:rPr>
              <w:t>Development will not be permitted if mitigation cannot be provided to an appropriate standard with an acceptable design, particularly in proximity to existing sensitive uses or sites.</w:t>
            </w:r>
          </w:p>
          <w:p w14:paraId="5BC8F909" w14:textId="77777777" w:rsidR="0081058F" w:rsidRPr="0081058F" w:rsidRDefault="0081058F" w:rsidP="00905CC9">
            <w:pPr>
              <w:keepNext w:val="0"/>
              <w:tabs>
                <w:tab w:val="left" w:pos="680"/>
                <w:tab w:val="left" w:pos="1133"/>
                <w:tab w:val="left" w:pos="2267"/>
              </w:tabs>
              <w:spacing w:before="0"/>
              <w:ind w:left="360" w:right="284"/>
              <w:jc w:val="left"/>
              <w:rPr>
                <w:rFonts w:eastAsia="Arial"/>
                <w:bCs/>
                <w:color w:val="auto"/>
              </w:rPr>
            </w:pPr>
          </w:p>
          <w:p w14:paraId="4806C3E8" w14:textId="77777777" w:rsidR="0081058F" w:rsidRPr="0081058F" w:rsidRDefault="0081058F" w:rsidP="00874A98">
            <w:pPr>
              <w:keepNext w:val="0"/>
              <w:numPr>
                <w:ilvl w:val="0"/>
                <w:numId w:val="189"/>
              </w:numPr>
              <w:tabs>
                <w:tab w:val="left" w:pos="680"/>
                <w:tab w:val="left" w:pos="1133"/>
                <w:tab w:val="left" w:pos="2267"/>
              </w:tabs>
              <w:spacing w:before="0"/>
              <w:ind w:right="284"/>
              <w:jc w:val="left"/>
              <w:rPr>
                <w:rFonts w:eastAsia="Arial"/>
                <w:bCs/>
                <w:color w:val="auto"/>
              </w:rPr>
            </w:pPr>
            <w:r w:rsidRPr="0081058F">
              <w:rPr>
                <w:rFonts w:eastAsia="Arial"/>
                <w:bCs/>
                <w:color w:val="auto"/>
              </w:rPr>
              <w:t>Proposals for development will be considered in the context of the cumulative impact of pollution. The extent of the area over which the cumulative impact will be taken into account will be determined on a site by site basis.</w:t>
            </w:r>
          </w:p>
          <w:p w14:paraId="46967BDD" w14:textId="77777777" w:rsidR="0081058F" w:rsidRPr="0081058F" w:rsidRDefault="0081058F" w:rsidP="00905CC9">
            <w:pPr>
              <w:keepNext w:val="0"/>
              <w:spacing w:before="0"/>
              <w:ind w:left="720"/>
              <w:contextualSpacing/>
              <w:jc w:val="left"/>
              <w:rPr>
                <w:rFonts w:eastAsia="Arial" w:cs="Arial"/>
                <w:bCs/>
                <w:color w:val="auto"/>
                <w:szCs w:val="24"/>
              </w:rPr>
            </w:pPr>
          </w:p>
          <w:p w14:paraId="161AAC4C" w14:textId="77777777" w:rsidR="0081058F" w:rsidRPr="0081058F" w:rsidRDefault="0081058F" w:rsidP="00874A98">
            <w:pPr>
              <w:keepNext w:val="0"/>
              <w:numPr>
                <w:ilvl w:val="0"/>
                <w:numId w:val="189"/>
              </w:numPr>
              <w:tabs>
                <w:tab w:val="left" w:pos="680"/>
                <w:tab w:val="left" w:pos="1133"/>
                <w:tab w:val="left" w:pos="2267"/>
              </w:tabs>
              <w:spacing w:before="0"/>
              <w:ind w:right="284"/>
              <w:jc w:val="left"/>
              <w:rPr>
                <w:rFonts w:eastAsia="Arial"/>
                <w:bCs/>
                <w:color w:val="auto"/>
              </w:rPr>
            </w:pPr>
            <w:r w:rsidRPr="0081058F">
              <w:rPr>
                <w:rFonts w:eastAsia="Arial"/>
                <w:bCs/>
                <w:color w:val="auto"/>
              </w:rPr>
              <w:t xml:space="preserve">Development sensitive to the effects of noise or other pollution will not be permitted where the presence of that sensitive development could threaten the ongoing viability of existing uses that are considered desirable for reasons of economic or wider social need.  </w:t>
            </w:r>
          </w:p>
          <w:p w14:paraId="18509F60" w14:textId="77777777" w:rsidR="0081058F" w:rsidRPr="0081058F" w:rsidRDefault="0081058F" w:rsidP="00905CC9">
            <w:pPr>
              <w:keepNext w:val="0"/>
              <w:spacing w:before="0"/>
              <w:ind w:left="720"/>
              <w:contextualSpacing/>
              <w:jc w:val="left"/>
              <w:rPr>
                <w:rFonts w:eastAsia="Arial" w:cs="Arial"/>
                <w:bCs/>
                <w:color w:val="auto"/>
                <w:szCs w:val="24"/>
              </w:rPr>
            </w:pPr>
          </w:p>
          <w:p w14:paraId="67FEEF74" w14:textId="77777777" w:rsidR="0081058F" w:rsidRDefault="0081058F" w:rsidP="00874A98">
            <w:pPr>
              <w:keepNext w:val="0"/>
              <w:numPr>
                <w:ilvl w:val="0"/>
                <w:numId w:val="189"/>
              </w:numPr>
              <w:tabs>
                <w:tab w:val="left" w:pos="680"/>
                <w:tab w:val="left" w:pos="1133"/>
                <w:tab w:val="left" w:pos="2267"/>
              </w:tabs>
              <w:spacing w:before="0"/>
              <w:ind w:right="284"/>
              <w:jc w:val="left"/>
              <w:rPr>
                <w:rFonts w:eastAsia="Arial"/>
                <w:bCs/>
                <w:color w:val="auto"/>
              </w:rPr>
            </w:pPr>
            <w:r w:rsidRPr="0081058F">
              <w:rPr>
                <w:rFonts w:eastAsia="Arial"/>
                <w:bCs/>
                <w:color w:val="auto"/>
              </w:rPr>
              <w:t>Where significant pollution may be created the applicant will provide sufficient information on the potential impact to enable a determination to be made on the effect of pollution and any remediation measures necessary.</w:t>
            </w:r>
          </w:p>
          <w:p w14:paraId="3424F9CD" w14:textId="77777777" w:rsidR="00027BA6" w:rsidRDefault="00027BA6" w:rsidP="00027BA6">
            <w:pPr>
              <w:keepNext w:val="0"/>
              <w:tabs>
                <w:tab w:val="left" w:pos="680"/>
                <w:tab w:val="left" w:pos="1133"/>
                <w:tab w:val="left" w:pos="2267"/>
              </w:tabs>
              <w:spacing w:before="0"/>
              <w:ind w:right="284"/>
              <w:jc w:val="left"/>
              <w:rPr>
                <w:rFonts w:eastAsia="Arial"/>
                <w:bCs/>
                <w:color w:val="auto"/>
              </w:rPr>
            </w:pPr>
          </w:p>
          <w:p w14:paraId="663C9818" w14:textId="11B39792" w:rsidR="00027BA6" w:rsidRPr="00DB05C3" w:rsidRDefault="00027BA6" w:rsidP="00874A98">
            <w:pPr>
              <w:keepNext w:val="0"/>
              <w:numPr>
                <w:ilvl w:val="0"/>
                <w:numId w:val="189"/>
              </w:numPr>
              <w:tabs>
                <w:tab w:val="left" w:pos="680"/>
                <w:tab w:val="left" w:pos="1133"/>
                <w:tab w:val="left" w:pos="2267"/>
              </w:tabs>
              <w:spacing w:before="0"/>
              <w:ind w:right="284"/>
              <w:jc w:val="left"/>
              <w:rPr>
                <w:rFonts w:eastAsia="Arial"/>
                <w:bCs/>
                <w:color w:val="auto"/>
              </w:rPr>
            </w:pPr>
            <w:r w:rsidRPr="00DB05C3">
              <w:rPr>
                <w:rFonts w:eastAsia="Arial"/>
                <w:bCs/>
                <w:color w:val="auto"/>
              </w:rPr>
              <w:t>Where the operation of an existing business or community facility could have a significantly adverse effect on new development (including a change of use) in its vicinity, the applica</w:t>
            </w:r>
            <w:r w:rsidR="00A6293F" w:rsidRPr="00DB05C3">
              <w:rPr>
                <w:rFonts w:eastAsia="Arial"/>
                <w:bCs/>
                <w:color w:val="auto"/>
              </w:rPr>
              <w:t>n</w:t>
            </w:r>
            <w:r w:rsidRPr="00DB05C3">
              <w:rPr>
                <w:rFonts w:eastAsia="Arial"/>
                <w:bCs/>
                <w:color w:val="auto"/>
              </w:rPr>
              <w:t>t</w:t>
            </w:r>
            <w:r w:rsidR="00A6293F" w:rsidRPr="00DB05C3">
              <w:rPr>
                <w:rFonts w:eastAsia="Arial"/>
                <w:bCs/>
                <w:color w:val="auto"/>
              </w:rPr>
              <w:t xml:space="preserve">  for the proposed development </w:t>
            </w:r>
            <w:r w:rsidRPr="00DB05C3">
              <w:rPr>
                <w:rFonts w:eastAsia="Arial"/>
                <w:bCs/>
                <w:color w:val="auto"/>
              </w:rPr>
              <w:t>(or ‘agent of change’) shall be required to provide suitable mitigation before development has been completed.</w:t>
            </w:r>
          </w:p>
          <w:p w14:paraId="3A351D37" w14:textId="77777777" w:rsidR="0081058F" w:rsidRPr="00DB05C3" w:rsidRDefault="0081058F" w:rsidP="00905CC9">
            <w:pPr>
              <w:keepNext w:val="0"/>
              <w:tabs>
                <w:tab w:val="left" w:pos="680"/>
              </w:tabs>
              <w:spacing w:before="0"/>
              <w:jc w:val="left"/>
              <w:rPr>
                <w:rFonts w:eastAsia="Arial"/>
                <w:bCs/>
                <w:color w:val="auto"/>
              </w:rPr>
            </w:pPr>
          </w:p>
          <w:p w14:paraId="22AEAC49" w14:textId="77777777" w:rsidR="0081058F" w:rsidRPr="00DB05C3" w:rsidRDefault="0081058F" w:rsidP="00905CC9">
            <w:pPr>
              <w:keepNext w:val="0"/>
              <w:tabs>
                <w:tab w:val="left" w:pos="680"/>
              </w:tabs>
              <w:spacing w:before="0"/>
              <w:jc w:val="left"/>
              <w:rPr>
                <w:rFonts w:eastAsia="Arial"/>
                <w:bCs/>
                <w:color w:val="auto"/>
              </w:rPr>
            </w:pPr>
            <w:r w:rsidRPr="00DB05C3">
              <w:rPr>
                <w:rFonts w:eastAsia="Arial"/>
                <w:bCs/>
                <w:color w:val="auto"/>
              </w:rPr>
              <w:t>Noise</w:t>
            </w:r>
          </w:p>
          <w:p w14:paraId="2214362D" w14:textId="77777777" w:rsidR="0081058F" w:rsidRPr="00D61C7E" w:rsidRDefault="0081058F" w:rsidP="00874A98">
            <w:pPr>
              <w:keepNext w:val="0"/>
              <w:numPr>
                <w:ilvl w:val="0"/>
                <w:numId w:val="189"/>
              </w:numPr>
              <w:tabs>
                <w:tab w:val="left" w:pos="680"/>
                <w:tab w:val="left" w:pos="1133"/>
                <w:tab w:val="left" w:pos="2267"/>
              </w:tabs>
              <w:spacing w:before="0"/>
              <w:ind w:right="284"/>
              <w:jc w:val="left"/>
              <w:rPr>
                <w:rFonts w:eastAsia="Arial" w:cs="Arial"/>
                <w:bCs/>
                <w:color w:val="auto"/>
              </w:rPr>
            </w:pPr>
            <w:r w:rsidRPr="0081058F">
              <w:rPr>
                <w:rFonts w:eastAsia="Arial"/>
                <w:bCs/>
                <w:color w:val="auto"/>
              </w:rPr>
              <w:t>Development proposals will be required to demonstrate that:</w:t>
            </w:r>
          </w:p>
          <w:p w14:paraId="7C6F2506" w14:textId="77777777" w:rsidR="0081058F" w:rsidRPr="00D61C7E" w:rsidRDefault="0081058F" w:rsidP="00D61C7E">
            <w:pPr>
              <w:keepNext w:val="0"/>
              <w:tabs>
                <w:tab w:val="left" w:pos="680"/>
                <w:tab w:val="left" w:pos="1133"/>
                <w:tab w:val="left" w:pos="2267"/>
              </w:tabs>
              <w:spacing w:before="0"/>
              <w:ind w:left="360" w:right="284"/>
              <w:jc w:val="left"/>
              <w:rPr>
                <w:rFonts w:eastAsia="Arial" w:cs="Arial"/>
                <w:bCs/>
                <w:color w:val="auto"/>
              </w:rPr>
            </w:pPr>
          </w:p>
          <w:p w14:paraId="0FBAA934" w14:textId="4C1D64B7" w:rsidR="00D61C7E" w:rsidRDefault="0081058F" w:rsidP="00874A98">
            <w:pPr>
              <w:pStyle w:val="ListParagraph"/>
              <w:numPr>
                <w:ilvl w:val="0"/>
                <w:numId w:val="327"/>
              </w:numPr>
              <w:tabs>
                <w:tab w:val="left" w:pos="680"/>
              </w:tabs>
              <w:spacing w:after="0" w:line="240" w:lineRule="auto"/>
              <w:rPr>
                <w:rFonts w:ascii="Arial" w:eastAsia="Arial" w:hAnsi="Arial" w:cs="Arial"/>
                <w:bCs/>
                <w:color w:val="auto"/>
              </w:rPr>
            </w:pPr>
            <w:r w:rsidRPr="00D61C7E">
              <w:rPr>
                <w:rFonts w:ascii="Arial" w:eastAsia="Arial" w:hAnsi="Arial" w:cs="Arial"/>
                <w:bCs/>
                <w:color w:val="auto"/>
              </w:rPr>
              <w:t>The proposal does not have a detrimental impact on the indoor and outdoor acoustic environment of existing or planned development</w:t>
            </w:r>
            <w:r w:rsidR="00D61C7E">
              <w:rPr>
                <w:rFonts w:ascii="Arial" w:eastAsia="Arial" w:hAnsi="Arial" w:cs="Arial"/>
                <w:bCs/>
                <w:color w:val="auto"/>
              </w:rPr>
              <w:t>;</w:t>
            </w:r>
            <w:r w:rsidRPr="00D61C7E">
              <w:rPr>
                <w:rFonts w:ascii="Arial" w:eastAsia="Arial" w:hAnsi="Arial" w:cs="Arial"/>
                <w:bCs/>
                <w:color w:val="auto"/>
              </w:rPr>
              <w:t xml:space="preserve"> </w:t>
            </w:r>
          </w:p>
          <w:p w14:paraId="7B610447" w14:textId="77777777" w:rsidR="00D61C7E" w:rsidRPr="00DB05C3" w:rsidRDefault="0081058F" w:rsidP="00874A98">
            <w:pPr>
              <w:pStyle w:val="ListParagraph"/>
              <w:numPr>
                <w:ilvl w:val="0"/>
                <w:numId w:val="327"/>
              </w:numPr>
              <w:tabs>
                <w:tab w:val="left" w:pos="680"/>
              </w:tabs>
              <w:spacing w:after="0" w:line="240" w:lineRule="auto"/>
              <w:rPr>
                <w:rFonts w:ascii="Arial" w:eastAsia="Arial" w:hAnsi="Arial" w:cs="Arial"/>
                <w:bCs/>
                <w:color w:val="auto"/>
              </w:rPr>
            </w:pPr>
            <w:r w:rsidRPr="00DB05C3">
              <w:rPr>
                <w:rFonts w:ascii="Arial" w:eastAsia="Arial" w:hAnsi="Arial" w:cs="Arial"/>
                <w:bCs/>
                <w:color w:val="auto"/>
              </w:rPr>
              <w:t>The occupiers of the proposed development will not be subject to detrimental noise levels from the existing or potential future operations of adjacent uses; and</w:t>
            </w:r>
          </w:p>
          <w:p w14:paraId="7420EC71" w14:textId="40C92DD6" w:rsidR="00027BA6" w:rsidRPr="00DB05C3" w:rsidRDefault="0081058F" w:rsidP="00874A98">
            <w:pPr>
              <w:pStyle w:val="ListParagraph"/>
              <w:numPr>
                <w:ilvl w:val="0"/>
                <w:numId w:val="327"/>
              </w:numPr>
              <w:tabs>
                <w:tab w:val="left" w:pos="680"/>
              </w:tabs>
              <w:spacing w:after="0" w:line="240" w:lineRule="auto"/>
              <w:rPr>
                <w:rFonts w:ascii="Arial" w:eastAsia="Arial" w:hAnsi="Arial" w:cs="Arial"/>
                <w:bCs/>
                <w:color w:val="auto"/>
              </w:rPr>
            </w:pPr>
            <w:r w:rsidRPr="00DB05C3">
              <w:rPr>
                <w:rFonts w:ascii="Arial" w:eastAsia="Arial" w:hAnsi="Arial" w:cs="Arial"/>
                <w:bCs/>
                <w:color w:val="auto"/>
              </w:rPr>
              <w:t>The proposed development</w:t>
            </w:r>
            <w:r w:rsidR="00027BA6" w:rsidRPr="00DB05C3">
              <w:rPr>
                <w:rFonts w:ascii="Arial" w:eastAsia="Arial" w:hAnsi="Arial" w:cs="Arial"/>
                <w:bCs/>
                <w:color w:val="auto"/>
              </w:rPr>
              <w:t>:</w:t>
            </w:r>
          </w:p>
          <w:p w14:paraId="1F1FF81E" w14:textId="556382BB" w:rsidR="00027BA6" w:rsidRPr="00DB05C3" w:rsidRDefault="00027BA6" w:rsidP="00874A98">
            <w:pPr>
              <w:pStyle w:val="ListParagraph"/>
              <w:numPr>
                <w:ilvl w:val="0"/>
                <w:numId w:val="331"/>
              </w:numPr>
              <w:tabs>
                <w:tab w:val="left" w:pos="680"/>
              </w:tabs>
              <w:spacing w:after="0" w:line="240" w:lineRule="auto"/>
              <w:rPr>
                <w:rFonts w:ascii="Arial" w:eastAsia="Arial" w:hAnsi="Arial" w:cs="Arial"/>
                <w:bCs/>
                <w:color w:val="auto"/>
              </w:rPr>
            </w:pPr>
            <w:r w:rsidRPr="00DB05C3">
              <w:rPr>
                <w:rFonts w:ascii="Arial" w:eastAsia="Arial" w:hAnsi="Arial" w:cs="Arial"/>
                <w:bCs/>
                <w:color w:val="auto"/>
              </w:rPr>
              <w:t xml:space="preserve">does </w:t>
            </w:r>
            <w:r w:rsidR="0081058F" w:rsidRPr="00DB05C3">
              <w:rPr>
                <w:rFonts w:ascii="Arial" w:eastAsia="Arial" w:hAnsi="Arial" w:cs="Arial"/>
                <w:bCs/>
                <w:color w:val="auto"/>
              </w:rPr>
              <w:t>not cause a significant increase in the background noise level to nearby existing noise sensitive land uses</w:t>
            </w:r>
            <w:r w:rsidRPr="00DB05C3">
              <w:rPr>
                <w:rFonts w:ascii="Arial" w:eastAsia="Arial" w:hAnsi="Arial" w:cs="Arial"/>
                <w:bCs/>
                <w:color w:val="auto"/>
              </w:rPr>
              <w:t>, and</w:t>
            </w:r>
          </w:p>
          <w:p w14:paraId="1CFDEBFA" w14:textId="0A25E37C" w:rsidR="0081058F" w:rsidRPr="00DB05C3" w:rsidRDefault="00027BA6" w:rsidP="00874A98">
            <w:pPr>
              <w:pStyle w:val="ListParagraph"/>
              <w:numPr>
                <w:ilvl w:val="0"/>
                <w:numId w:val="331"/>
              </w:numPr>
              <w:tabs>
                <w:tab w:val="left" w:pos="680"/>
              </w:tabs>
              <w:spacing w:after="0" w:line="240" w:lineRule="auto"/>
              <w:rPr>
                <w:rFonts w:ascii="Arial" w:eastAsia="Arial" w:hAnsi="Arial" w:cs="Arial"/>
                <w:bCs/>
                <w:color w:val="auto"/>
              </w:rPr>
            </w:pPr>
            <w:r w:rsidRPr="00DB05C3">
              <w:rPr>
                <w:rFonts w:ascii="Arial" w:eastAsia="Arial" w:hAnsi="Arial" w:cs="Arial"/>
                <w:bCs/>
                <w:color w:val="auto"/>
              </w:rPr>
              <w:t>protects tranquil areas, which have remained relatively undisturbed</w:t>
            </w:r>
            <w:r w:rsidR="0081058F" w:rsidRPr="00DB05C3">
              <w:rPr>
                <w:rFonts w:ascii="Arial" w:eastAsia="Arial" w:hAnsi="Arial" w:cs="Arial"/>
                <w:bCs/>
                <w:color w:val="auto"/>
              </w:rPr>
              <w:t xml:space="preserve"> </w:t>
            </w:r>
            <w:r w:rsidRPr="00DB05C3">
              <w:rPr>
                <w:rFonts w:ascii="Arial" w:eastAsia="Arial" w:hAnsi="Arial" w:cs="Arial"/>
                <w:bCs/>
                <w:color w:val="auto"/>
              </w:rPr>
              <w:t>by noise and are prized for their recreational and amenity value for this reason.</w:t>
            </w:r>
          </w:p>
          <w:p w14:paraId="54529E46" w14:textId="77777777" w:rsidR="0081058F" w:rsidRPr="00DB05C3" w:rsidRDefault="0081058F" w:rsidP="00D61C7E">
            <w:pPr>
              <w:keepNext w:val="0"/>
              <w:tabs>
                <w:tab w:val="left" w:pos="680"/>
              </w:tabs>
              <w:spacing w:before="0"/>
              <w:jc w:val="left"/>
              <w:rPr>
                <w:rFonts w:eastAsia="Arial" w:cs="Arial"/>
                <w:bCs/>
                <w:color w:val="auto"/>
              </w:rPr>
            </w:pPr>
          </w:p>
          <w:p w14:paraId="008ED613" w14:textId="77777777" w:rsidR="0081058F" w:rsidRPr="00DB05C3" w:rsidRDefault="0081058F" w:rsidP="00905CC9">
            <w:pPr>
              <w:keepNext w:val="0"/>
              <w:tabs>
                <w:tab w:val="left" w:pos="680"/>
              </w:tabs>
              <w:spacing w:before="0"/>
              <w:jc w:val="left"/>
              <w:rPr>
                <w:rFonts w:eastAsia="Arial"/>
                <w:bCs/>
                <w:color w:val="auto"/>
              </w:rPr>
            </w:pPr>
            <w:r w:rsidRPr="00DB05C3">
              <w:rPr>
                <w:rFonts w:eastAsia="Arial"/>
                <w:bCs/>
                <w:color w:val="auto"/>
              </w:rPr>
              <w:t>Lighting</w:t>
            </w:r>
          </w:p>
          <w:p w14:paraId="02B746EF" w14:textId="77777777" w:rsidR="0081058F" w:rsidRPr="00DB05C3" w:rsidRDefault="0081058F" w:rsidP="00874A98">
            <w:pPr>
              <w:keepNext w:val="0"/>
              <w:numPr>
                <w:ilvl w:val="0"/>
                <w:numId w:val="189"/>
              </w:numPr>
              <w:tabs>
                <w:tab w:val="left" w:pos="680"/>
                <w:tab w:val="left" w:pos="1133"/>
                <w:tab w:val="left" w:pos="2267"/>
              </w:tabs>
              <w:spacing w:before="0"/>
              <w:ind w:right="284"/>
              <w:jc w:val="left"/>
              <w:rPr>
                <w:rFonts w:eastAsia="Arial"/>
                <w:bCs/>
                <w:color w:val="auto"/>
              </w:rPr>
            </w:pPr>
            <w:r w:rsidRPr="00DB05C3">
              <w:rPr>
                <w:rFonts w:eastAsia="Arial"/>
                <w:bCs/>
                <w:color w:val="auto"/>
              </w:rPr>
              <w:t>Development proposals will be required to demonstrate that:</w:t>
            </w:r>
          </w:p>
          <w:p w14:paraId="4C2902DC" w14:textId="77777777" w:rsidR="0081058F" w:rsidRPr="00DB05C3" w:rsidRDefault="0081058F" w:rsidP="00D61C7E">
            <w:pPr>
              <w:keepNext w:val="0"/>
              <w:tabs>
                <w:tab w:val="left" w:pos="680"/>
                <w:tab w:val="left" w:pos="1133"/>
                <w:tab w:val="left" w:pos="2267"/>
              </w:tabs>
              <w:spacing w:before="0"/>
              <w:ind w:left="360" w:right="284"/>
              <w:jc w:val="left"/>
              <w:rPr>
                <w:rFonts w:eastAsia="Arial" w:cs="Arial"/>
                <w:bCs/>
                <w:color w:val="auto"/>
              </w:rPr>
            </w:pPr>
          </w:p>
          <w:p w14:paraId="462A8889" w14:textId="77777777" w:rsidR="00D61C7E" w:rsidRPr="00DB05C3" w:rsidRDefault="0081058F" w:rsidP="00874A98">
            <w:pPr>
              <w:pStyle w:val="ListParagraph"/>
              <w:numPr>
                <w:ilvl w:val="0"/>
                <w:numId w:val="328"/>
              </w:numPr>
              <w:tabs>
                <w:tab w:val="left" w:pos="680"/>
              </w:tabs>
              <w:spacing w:after="0" w:line="240" w:lineRule="auto"/>
              <w:rPr>
                <w:rFonts w:ascii="Arial" w:eastAsia="Arial" w:hAnsi="Arial" w:cs="Arial"/>
                <w:bCs/>
                <w:color w:val="auto"/>
              </w:rPr>
            </w:pPr>
            <w:r w:rsidRPr="00DB05C3">
              <w:rPr>
                <w:rFonts w:ascii="Arial" w:eastAsia="Arial" w:hAnsi="Arial" w:cs="Arial"/>
                <w:bCs/>
                <w:color w:val="auto"/>
              </w:rPr>
              <w:t>Light pollution from glare and light spillage is minimised, including into the night sky;</w:t>
            </w:r>
          </w:p>
          <w:p w14:paraId="5CFD93E5" w14:textId="77777777" w:rsidR="00D61C7E" w:rsidRPr="00DB05C3" w:rsidRDefault="0081058F" w:rsidP="00874A98">
            <w:pPr>
              <w:pStyle w:val="ListParagraph"/>
              <w:numPr>
                <w:ilvl w:val="0"/>
                <w:numId w:val="328"/>
              </w:numPr>
              <w:tabs>
                <w:tab w:val="left" w:pos="680"/>
              </w:tabs>
              <w:spacing w:after="0" w:line="240" w:lineRule="auto"/>
              <w:rPr>
                <w:rFonts w:ascii="Arial" w:eastAsia="Arial" w:hAnsi="Arial" w:cs="Arial"/>
                <w:bCs/>
                <w:color w:val="auto"/>
              </w:rPr>
            </w:pPr>
            <w:r w:rsidRPr="00DB05C3">
              <w:rPr>
                <w:rFonts w:ascii="Arial" w:eastAsia="Arial" w:hAnsi="Arial" w:cs="Arial"/>
                <w:bCs/>
                <w:color w:val="auto"/>
              </w:rPr>
              <w:t xml:space="preserve">The lighting is necessary;  </w:t>
            </w:r>
          </w:p>
          <w:p w14:paraId="411DB84F" w14:textId="77777777" w:rsidR="00D61C7E" w:rsidRPr="00DB05C3" w:rsidRDefault="0081058F" w:rsidP="00874A98">
            <w:pPr>
              <w:pStyle w:val="ListParagraph"/>
              <w:numPr>
                <w:ilvl w:val="0"/>
                <w:numId w:val="328"/>
              </w:numPr>
              <w:tabs>
                <w:tab w:val="left" w:pos="680"/>
              </w:tabs>
              <w:spacing w:after="0" w:line="240" w:lineRule="auto"/>
              <w:rPr>
                <w:rFonts w:ascii="Arial" w:eastAsia="Arial" w:hAnsi="Arial" w:cs="Arial"/>
                <w:bCs/>
                <w:color w:val="auto"/>
              </w:rPr>
            </w:pPr>
            <w:r w:rsidRPr="00DB05C3">
              <w:rPr>
                <w:rFonts w:ascii="Arial" w:eastAsia="Arial" w:hAnsi="Arial" w:cs="Arial"/>
                <w:bCs/>
                <w:color w:val="auto"/>
              </w:rPr>
              <w:t>The proposed lighting scheme is the minimum needed for security, working or recreational purposes;</w:t>
            </w:r>
          </w:p>
          <w:p w14:paraId="2A94FA67" w14:textId="77777777" w:rsidR="00D61C7E" w:rsidRPr="00DB05C3" w:rsidRDefault="0081058F" w:rsidP="00874A98">
            <w:pPr>
              <w:pStyle w:val="ListParagraph"/>
              <w:numPr>
                <w:ilvl w:val="0"/>
                <w:numId w:val="328"/>
              </w:numPr>
              <w:tabs>
                <w:tab w:val="left" w:pos="680"/>
              </w:tabs>
              <w:spacing w:after="0" w:line="240" w:lineRule="auto"/>
              <w:rPr>
                <w:rFonts w:ascii="Arial" w:eastAsia="Arial" w:hAnsi="Arial" w:cs="Arial"/>
                <w:bCs/>
                <w:color w:val="auto"/>
              </w:rPr>
            </w:pPr>
            <w:r w:rsidRPr="00DB05C3">
              <w:rPr>
                <w:rFonts w:ascii="Arial" w:eastAsia="Arial" w:hAnsi="Arial" w:cs="Arial"/>
                <w:bCs/>
                <w:color w:val="auto"/>
              </w:rPr>
              <w:t>The level of luminance is appropriate to the character of the landscape and the surrounding area as a whole, including any cumulative impact of lighting;</w:t>
            </w:r>
          </w:p>
          <w:p w14:paraId="69FEDA02" w14:textId="77777777" w:rsidR="00D61C7E" w:rsidRPr="00DB05C3" w:rsidRDefault="0081058F" w:rsidP="00874A98">
            <w:pPr>
              <w:pStyle w:val="ListParagraph"/>
              <w:numPr>
                <w:ilvl w:val="0"/>
                <w:numId w:val="328"/>
              </w:numPr>
              <w:tabs>
                <w:tab w:val="left" w:pos="680"/>
              </w:tabs>
              <w:spacing w:after="0" w:line="240" w:lineRule="auto"/>
              <w:rPr>
                <w:rFonts w:ascii="Arial" w:eastAsia="Arial" w:hAnsi="Arial" w:cs="Arial"/>
                <w:bCs/>
                <w:color w:val="auto"/>
              </w:rPr>
            </w:pPr>
            <w:r w:rsidRPr="00DB05C3">
              <w:rPr>
                <w:rFonts w:ascii="Arial" w:eastAsia="Arial" w:hAnsi="Arial" w:cs="Arial"/>
                <w:bCs/>
                <w:color w:val="auto"/>
              </w:rPr>
              <w:t>There is no significant loss of privacy or amenity to nearby properties and no danger to pedestrians and road users; and</w:t>
            </w:r>
          </w:p>
          <w:p w14:paraId="595B6771" w14:textId="0E443701" w:rsidR="0081058F" w:rsidRPr="00DB05C3" w:rsidRDefault="0081058F" w:rsidP="00874A98">
            <w:pPr>
              <w:pStyle w:val="ListParagraph"/>
              <w:numPr>
                <w:ilvl w:val="0"/>
                <w:numId w:val="328"/>
              </w:numPr>
              <w:tabs>
                <w:tab w:val="left" w:pos="680"/>
              </w:tabs>
              <w:spacing w:after="0" w:line="240" w:lineRule="auto"/>
              <w:rPr>
                <w:rFonts w:ascii="Arial" w:eastAsia="Arial" w:hAnsi="Arial" w:cs="Arial"/>
                <w:bCs/>
                <w:color w:val="auto"/>
              </w:rPr>
            </w:pPr>
            <w:r w:rsidRPr="00DB05C3">
              <w:rPr>
                <w:rFonts w:ascii="Arial" w:eastAsia="Arial" w:hAnsi="Arial" w:cs="Arial"/>
                <w:bCs/>
                <w:color w:val="auto"/>
              </w:rPr>
              <w:t>There is no detrimental harm to natural ecosystems</w:t>
            </w:r>
            <w:r w:rsidR="005B0939" w:rsidRPr="00DB05C3">
              <w:rPr>
                <w:rFonts w:ascii="Arial" w:eastAsia="Arial" w:hAnsi="Arial" w:cs="Arial"/>
                <w:bCs/>
                <w:color w:val="auto"/>
              </w:rPr>
              <w:t>, including nocturnal wildlife such as bats.</w:t>
            </w:r>
          </w:p>
          <w:p w14:paraId="229C35B1" w14:textId="77777777" w:rsidR="0081058F" w:rsidRPr="0081058F" w:rsidRDefault="0081058F" w:rsidP="00905CC9">
            <w:pPr>
              <w:keepNext w:val="0"/>
              <w:tabs>
                <w:tab w:val="left" w:pos="680"/>
                <w:tab w:val="left" w:pos="1133"/>
                <w:tab w:val="left" w:pos="2267"/>
              </w:tabs>
              <w:spacing w:before="0"/>
              <w:ind w:left="360" w:right="284"/>
              <w:jc w:val="left"/>
              <w:rPr>
                <w:rFonts w:eastAsia="Arial"/>
                <w:bCs/>
                <w:color w:val="auto"/>
              </w:rPr>
            </w:pPr>
          </w:p>
          <w:p w14:paraId="5DC48065" w14:textId="77777777" w:rsidR="0081058F" w:rsidRPr="005B0939" w:rsidRDefault="0081058F" w:rsidP="005B0939">
            <w:pPr>
              <w:keepNext w:val="0"/>
              <w:tabs>
                <w:tab w:val="left" w:pos="680"/>
                <w:tab w:val="left" w:pos="1133"/>
                <w:tab w:val="left" w:pos="2267"/>
              </w:tabs>
              <w:spacing w:before="0"/>
              <w:ind w:right="284"/>
              <w:jc w:val="left"/>
              <w:rPr>
                <w:rFonts w:eastAsia="Arial" w:cs="Arial"/>
                <w:bCs/>
                <w:color w:val="auto"/>
              </w:rPr>
            </w:pPr>
            <w:r w:rsidRPr="0081058F">
              <w:rPr>
                <w:rFonts w:eastAsia="Arial"/>
                <w:bCs/>
                <w:color w:val="auto"/>
              </w:rPr>
              <w:t>Air Quality</w:t>
            </w:r>
          </w:p>
          <w:p w14:paraId="567E8C44" w14:textId="72116518" w:rsidR="0081058F" w:rsidRPr="00DB05C3" w:rsidRDefault="0081058F" w:rsidP="00874A98">
            <w:pPr>
              <w:pStyle w:val="ListParagraph"/>
              <w:numPr>
                <w:ilvl w:val="0"/>
                <w:numId w:val="189"/>
              </w:numPr>
              <w:spacing w:line="240" w:lineRule="auto"/>
              <w:jc w:val="left"/>
              <w:rPr>
                <w:rFonts w:ascii="Arial" w:eastAsia="Arial" w:hAnsi="Arial" w:cs="Arial"/>
                <w:bCs/>
                <w:color w:val="auto"/>
              </w:rPr>
            </w:pPr>
            <w:r w:rsidRPr="005B0939">
              <w:rPr>
                <w:rFonts w:ascii="Arial" w:eastAsia="Arial" w:hAnsi="Arial" w:cs="Arial"/>
                <w:bCs/>
                <w:color w:val="auto"/>
              </w:rPr>
              <w:t xml:space="preserve">Development proposals will be required to demonstrate that proposals minimise harmful emissions to air, will not lead to the declaration of a new Air Quality Management Area, and will not impact negatively on any existing Air Quality </w:t>
            </w:r>
            <w:r w:rsidRPr="00DB05C3">
              <w:rPr>
                <w:rFonts w:ascii="Arial" w:eastAsia="Arial" w:hAnsi="Arial" w:cs="Arial"/>
                <w:bCs/>
                <w:color w:val="auto"/>
              </w:rPr>
              <w:t>Management Areas. Planning permission will only be granted in areas nearing Air Quality Management Area threshold limits if an Impact Assessment shows that the development in question and its associated activities would not increase air pollution to unacceptable levels, as defined in the National Air Quality Strategy.</w:t>
            </w:r>
            <w:r w:rsidR="005B0939" w:rsidRPr="00DB05C3">
              <w:rPr>
                <w:rFonts w:ascii="Arial" w:eastAsia="Arial" w:hAnsi="Arial" w:cs="Arial"/>
                <w:bCs/>
                <w:color w:val="auto"/>
              </w:rPr>
              <w:t xml:space="preserve">     Where applicable</w:t>
            </w:r>
            <w:r w:rsidR="00CD4161" w:rsidRPr="00DB05C3">
              <w:rPr>
                <w:rFonts w:ascii="Arial" w:eastAsia="Arial" w:hAnsi="Arial" w:cs="Arial"/>
                <w:bCs/>
                <w:color w:val="auto"/>
              </w:rPr>
              <w:t xml:space="preserve">, it should be demonstrated that </w:t>
            </w:r>
            <w:r w:rsidR="005B0939" w:rsidRPr="00DB05C3">
              <w:rPr>
                <w:rFonts w:ascii="Arial" w:eastAsia="Arial" w:hAnsi="Arial" w:cs="Arial"/>
                <w:bCs/>
                <w:color w:val="auto"/>
              </w:rPr>
              <w:t xml:space="preserve">proposed development </w:t>
            </w:r>
            <w:r w:rsidR="00CD4161" w:rsidRPr="00DB05C3">
              <w:rPr>
                <w:rFonts w:ascii="Arial" w:eastAsia="Arial" w:hAnsi="Arial" w:cs="Arial"/>
                <w:bCs/>
                <w:color w:val="auto"/>
              </w:rPr>
              <w:t xml:space="preserve">will not have a </w:t>
            </w:r>
            <w:r w:rsidR="005B0939" w:rsidRPr="00DB05C3">
              <w:rPr>
                <w:rFonts w:ascii="Arial" w:eastAsia="Arial" w:hAnsi="Arial" w:cs="Arial"/>
                <w:bCs/>
                <w:color w:val="auto"/>
              </w:rPr>
              <w:t xml:space="preserve">significantly </w:t>
            </w:r>
            <w:r w:rsidR="00CD4161" w:rsidRPr="00DB05C3">
              <w:rPr>
                <w:rFonts w:ascii="Arial" w:eastAsia="Arial" w:hAnsi="Arial" w:cs="Arial"/>
                <w:bCs/>
                <w:color w:val="auto"/>
              </w:rPr>
              <w:t>impact through n</w:t>
            </w:r>
            <w:r w:rsidR="005B0939" w:rsidRPr="00DB05C3">
              <w:rPr>
                <w:rFonts w:ascii="Arial" w:eastAsia="Arial" w:hAnsi="Arial" w:cs="Arial"/>
                <w:bCs/>
                <w:color w:val="auto"/>
              </w:rPr>
              <w:t xml:space="preserve">itrogen deposition </w:t>
            </w:r>
            <w:r w:rsidR="00CD4161" w:rsidRPr="00DB05C3">
              <w:rPr>
                <w:rFonts w:ascii="Arial" w:eastAsia="Arial" w:hAnsi="Arial" w:cs="Arial"/>
                <w:bCs/>
                <w:color w:val="auto"/>
              </w:rPr>
              <w:t xml:space="preserve">on </w:t>
            </w:r>
            <w:r w:rsidR="005B0939" w:rsidRPr="00DB05C3">
              <w:rPr>
                <w:rFonts w:ascii="Arial" w:eastAsia="Arial" w:hAnsi="Arial" w:cs="Arial"/>
                <w:bCs/>
                <w:color w:val="auto"/>
              </w:rPr>
              <w:t xml:space="preserve">sensitive </w:t>
            </w:r>
            <w:r w:rsidR="00CD4161" w:rsidRPr="00DB05C3">
              <w:rPr>
                <w:rFonts w:ascii="Arial" w:eastAsia="Arial" w:hAnsi="Arial" w:cs="Arial"/>
                <w:bCs/>
                <w:color w:val="auto"/>
              </w:rPr>
              <w:t xml:space="preserve">natural </w:t>
            </w:r>
            <w:r w:rsidR="005B0939" w:rsidRPr="00DB05C3">
              <w:rPr>
                <w:rFonts w:ascii="Arial" w:eastAsia="Arial" w:hAnsi="Arial" w:cs="Arial"/>
                <w:bCs/>
                <w:color w:val="auto"/>
              </w:rPr>
              <w:t>habitats</w:t>
            </w:r>
            <w:r w:rsidR="00CD4161" w:rsidRPr="00DB05C3">
              <w:rPr>
                <w:rFonts w:ascii="Arial" w:eastAsia="Arial" w:hAnsi="Arial" w:cs="Arial"/>
                <w:bCs/>
                <w:color w:val="auto"/>
              </w:rPr>
              <w:t>.</w:t>
            </w:r>
          </w:p>
          <w:p w14:paraId="284F98B2" w14:textId="77777777" w:rsidR="0081058F" w:rsidRPr="0081058F" w:rsidRDefault="0081058F" w:rsidP="00905CC9">
            <w:pPr>
              <w:keepNext w:val="0"/>
              <w:tabs>
                <w:tab w:val="left" w:pos="680"/>
                <w:tab w:val="left" w:pos="1133"/>
                <w:tab w:val="left" w:pos="2267"/>
              </w:tabs>
              <w:spacing w:before="0"/>
              <w:ind w:right="284"/>
              <w:jc w:val="left"/>
              <w:rPr>
                <w:rFonts w:eastAsia="Arial"/>
                <w:bCs/>
                <w:color w:val="auto"/>
              </w:rPr>
            </w:pPr>
            <w:r w:rsidRPr="0081058F">
              <w:rPr>
                <w:rFonts w:eastAsia="Arial"/>
                <w:bCs/>
                <w:color w:val="auto"/>
              </w:rPr>
              <w:t>Soils</w:t>
            </w:r>
          </w:p>
          <w:p w14:paraId="10A1B4D7" w14:textId="77777777" w:rsidR="0081058F" w:rsidRPr="0081058F" w:rsidRDefault="0081058F" w:rsidP="00874A98">
            <w:pPr>
              <w:keepNext w:val="0"/>
              <w:numPr>
                <w:ilvl w:val="0"/>
                <w:numId w:val="189"/>
              </w:numPr>
              <w:tabs>
                <w:tab w:val="left" w:pos="680"/>
                <w:tab w:val="left" w:pos="1133"/>
                <w:tab w:val="left" w:pos="2267"/>
              </w:tabs>
              <w:spacing w:before="0"/>
              <w:ind w:right="284"/>
              <w:jc w:val="left"/>
              <w:rPr>
                <w:rFonts w:eastAsia="Arial"/>
                <w:bCs/>
                <w:color w:val="auto"/>
                <w:szCs w:val="24"/>
              </w:rPr>
            </w:pPr>
            <w:r w:rsidRPr="0081058F">
              <w:rPr>
                <w:rFonts w:cs="Arial"/>
                <w:bCs/>
                <w:color w:val="auto"/>
                <w:szCs w:val="24"/>
              </w:rPr>
              <w:t xml:space="preserve">Development will take appropriate measures to safeguard and utilise on-site soil resources. Regard should be had to the </w:t>
            </w:r>
            <w:r w:rsidRPr="0081058F">
              <w:rPr>
                <w:rFonts w:cs="Arial"/>
                <w:bCs/>
                <w:color w:val="auto"/>
                <w:szCs w:val="24"/>
                <w:lang w:val="en"/>
              </w:rPr>
              <w:t xml:space="preserve">Defra code of practice for the sustainable use of soils on construction sites. </w:t>
            </w:r>
            <w:r w:rsidRPr="0081058F">
              <w:rPr>
                <w:rFonts w:cs="Arial"/>
                <w:bCs/>
                <w:color w:val="auto"/>
                <w:szCs w:val="24"/>
              </w:rPr>
              <w:t>Where</w:t>
            </w:r>
            <w:r w:rsidRPr="0081058F">
              <w:rPr>
                <w:bCs/>
                <w:color w:val="auto"/>
                <w:szCs w:val="24"/>
              </w:rPr>
              <w:t xml:space="preserve"> requested, evidence of the adoption of best practice in the movement of, storage, management, reuse and reinstatement of soils must be submitted along with any planning application.</w:t>
            </w:r>
          </w:p>
          <w:p w14:paraId="26A35D38" w14:textId="77777777" w:rsidR="0081058F" w:rsidRPr="00263F59" w:rsidRDefault="0081058F" w:rsidP="00905CC9">
            <w:pPr>
              <w:keepNext w:val="0"/>
              <w:tabs>
                <w:tab w:val="left" w:pos="680"/>
                <w:tab w:val="left" w:pos="1133"/>
                <w:tab w:val="left" w:pos="2267"/>
              </w:tabs>
              <w:spacing w:before="0"/>
              <w:ind w:right="284"/>
              <w:jc w:val="left"/>
              <w:rPr>
                <w:rFonts w:eastAsia="Arial"/>
                <w:bCs/>
                <w:color w:val="auto"/>
              </w:rPr>
            </w:pPr>
          </w:p>
        </w:tc>
      </w:tr>
      <w:bookmarkEnd w:id="310"/>
      <w:tr w:rsidR="00DB05C3" w:rsidRPr="00DB05C3" w14:paraId="4C2657A6" w14:textId="77777777" w:rsidTr="00DD4136">
        <w:tc>
          <w:tcPr>
            <w:tcW w:w="1838" w:type="dxa"/>
          </w:tcPr>
          <w:p w14:paraId="6D0951F6" w14:textId="77777777" w:rsidR="0081058F" w:rsidRPr="00DB05C3" w:rsidRDefault="0081058F" w:rsidP="00905CC9">
            <w:pPr>
              <w:keepNext w:val="0"/>
              <w:tabs>
                <w:tab w:val="left" w:pos="680"/>
                <w:tab w:val="left" w:pos="1133"/>
                <w:tab w:val="left" w:pos="2267"/>
              </w:tabs>
              <w:spacing w:before="0"/>
              <w:ind w:right="284"/>
              <w:jc w:val="left"/>
              <w:rPr>
                <w:rFonts w:eastAsia="Arial"/>
                <w:b/>
                <w:color w:val="auto"/>
                <w:sz w:val="20"/>
              </w:rPr>
            </w:pPr>
            <w:r w:rsidRPr="00DB05C3">
              <w:rPr>
                <w:rFonts w:eastAsia="Arial"/>
                <w:bCs/>
                <w:color w:val="auto"/>
                <w:sz w:val="20"/>
              </w:rPr>
              <w:t>Evidence base</w:t>
            </w:r>
          </w:p>
        </w:tc>
        <w:tc>
          <w:tcPr>
            <w:tcW w:w="7938" w:type="dxa"/>
            <w:gridSpan w:val="2"/>
          </w:tcPr>
          <w:p w14:paraId="199A366B" w14:textId="2D229173" w:rsidR="0081058F" w:rsidRPr="00DB05C3" w:rsidRDefault="0081058F" w:rsidP="00905CC9">
            <w:pPr>
              <w:keepNext w:val="0"/>
              <w:tabs>
                <w:tab w:val="left" w:pos="680"/>
                <w:tab w:val="left" w:pos="1133"/>
                <w:tab w:val="left" w:pos="2267"/>
              </w:tabs>
              <w:spacing w:before="0"/>
              <w:ind w:right="284"/>
              <w:jc w:val="left"/>
              <w:rPr>
                <w:rFonts w:eastAsia="Arial"/>
                <w:b/>
                <w:color w:val="auto"/>
                <w:sz w:val="20"/>
              </w:rPr>
            </w:pPr>
            <w:r w:rsidRPr="00DB05C3">
              <w:rPr>
                <w:rFonts w:eastAsia="Arial"/>
                <w:bCs/>
                <w:color w:val="auto"/>
                <w:sz w:val="20"/>
              </w:rPr>
              <w:t>Sustainability Appraisal,</w:t>
            </w:r>
            <w:r w:rsidR="0025538D" w:rsidRPr="00DB05C3">
              <w:rPr>
                <w:rFonts w:eastAsia="Arial"/>
                <w:bCs/>
                <w:color w:val="auto"/>
                <w:sz w:val="20"/>
              </w:rPr>
              <w:t xml:space="preserve"> </w:t>
            </w:r>
            <w:r w:rsidRPr="00DB05C3">
              <w:rPr>
                <w:rFonts w:eastAsia="Arial"/>
                <w:bCs/>
                <w:color w:val="auto"/>
                <w:sz w:val="20"/>
              </w:rPr>
              <w:t>202</w:t>
            </w:r>
            <w:r w:rsidR="0025538D" w:rsidRPr="00DB05C3">
              <w:rPr>
                <w:rFonts w:eastAsia="Arial"/>
                <w:bCs/>
                <w:color w:val="auto"/>
                <w:sz w:val="20"/>
              </w:rPr>
              <w:t>3</w:t>
            </w:r>
            <w:r w:rsidRPr="00DB05C3">
              <w:rPr>
                <w:rFonts w:eastAsia="Arial"/>
                <w:bCs/>
                <w:color w:val="auto"/>
                <w:sz w:val="20"/>
              </w:rPr>
              <w:t xml:space="preserve">. </w:t>
            </w:r>
            <w:r w:rsidR="0025538D" w:rsidRPr="00DB05C3">
              <w:rPr>
                <w:rFonts w:eastAsia="Arial"/>
                <w:bCs/>
                <w:color w:val="auto"/>
                <w:sz w:val="20"/>
              </w:rPr>
              <w:t xml:space="preserve">WSP UK Limited. </w:t>
            </w:r>
            <w:r w:rsidRPr="00DB05C3">
              <w:rPr>
                <w:rFonts w:eastAsia="Arial"/>
                <w:bCs/>
                <w:color w:val="auto"/>
                <w:sz w:val="20"/>
              </w:rPr>
              <w:t xml:space="preserve"> </w:t>
            </w:r>
          </w:p>
        </w:tc>
      </w:tr>
      <w:tr w:rsidR="0081058F" w:rsidRPr="00DB05C3" w14:paraId="54E393D8" w14:textId="77777777" w:rsidTr="00DD4136">
        <w:tc>
          <w:tcPr>
            <w:tcW w:w="1838" w:type="dxa"/>
          </w:tcPr>
          <w:p w14:paraId="75FD5EA8" w14:textId="77777777" w:rsidR="0081058F" w:rsidRPr="00DB05C3" w:rsidRDefault="0081058F" w:rsidP="00905CC9">
            <w:pPr>
              <w:keepNext w:val="0"/>
              <w:tabs>
                <w:tab w:val="left" w:pos="680"/>
                <w:tab w:val="left" w:pos="1133"/>
                <w:tab w:val="left" w:pos="2267"/>
              </w:tabs>
              <w:spacing w:before="0"/>
              <w:ind w:right="284"/>
              <w:jc w:val="left"/>
              <w:rPr>
                <w:rFonts w:eastAsia="Arial"/>
                <w:b/>
                <w:color w:val="auto"/>
                <w:sz w:val="20"/>
              </w:rPr>
            </w:pPr>
            <w:r w:rsidRPr="00DB05C3">
              <w:rPr>
                <w:rFonts w:eastAsia="Arial"/>
                <w:bCs/>
                <w:color w:val="auto"/>
                <w:sz w:val="20"/>
              </w:rPr>
              <w:t>National Planning Policy and Guidance</w:t>
            </w:r>
          </w:p>
        </w:tc>
        <w:tc>
          <w:tcPr>
            <w:tcW w:w="7938" w:type="dxa"/>
            <w:gridSpan w:val="2"/>
          </w:tcPr>
          <w:p w14:paraId="14254DB1" w14:textId="47140999" w:rsidR="0081058F" w:rsidRPr="00DB05C3" w:rsidRDefault="0081058F" w:rsidP="00874A98">
            <w:pPr>
              <w:keepNext w:val="0"/>
              <w:numPr>
                <w:ilvl w:val="0"/>
                <w:numId w:val="119"/>
              </w:numPr>
              <w:tabs>
                <w:tab w:val="left" w:pos="680"/>
                <w:tab w:val="left" w:pos="1133"/>
                <w:tab w:val="left" w:pos="2267"/>
              </w:tabs>
              <w:spacing w:before="0" w:after="160" w:line="252" w:lineRule="auto"/>
              <w:ind w:right="284"/>
              <w:contextualSpacing/>
              <w:jc w:val="left"/>
              <w:rPr>
                <w:rFonts w:eastAsia="Arial"/>
                <w:bCs/>
                <w:color w:val="auto"/>
                <w:sz w:val="20"/>
              </w:rPr>
            </w:pPr>
            <w:r w:rsidRPr="00DB05C3">
              <w:rPr>
                <w:rFonts w:eastAsia="Arial"/>
                <w:bCs/>
                <w:color w:val="auto"/>
                <w:sz w:val="20"/>
              </w:rPr>
              <w:t>NPPF 20</w:t>
            </w:r>
            <w:r w:rsidR="004173E0" w:rsidRPr="00DB05C3">
              <w:rPr>
                <w:rFonts w:eastAsia="Arial"/>
                <w:bCs/>
                <w:color w:val="auto"/>
                <w:sz w:val="20"/>
              </w:rPr>
              <w:t>23</w:t>
            </w:r>
            <w:r w:rsidRPr="00DB05C3">
              <w:rPr>
                <w:rFonts w:eastAsia="Arial"/>
                <w:bCs/>
                <w:color w:val="auto"/>
                <w:sz w:val="20"/>
              </w:rPr>
              <w:t>, Part 2: Achieving sustainable development.</w:t>
            </w:r>
          </w:p>
          <w:p w14:paraId="7622401C" w14:textId="5B7CE784" w:rsidR="0081058F" w:rsidRPr="00DB05C3" w:rsidRDefault="0081058F" w:rsidP="00874A98">
            <w:pPr>
              <w:keepNext w:val="0"/>
              <w:numPr>
                <w:ilvl w:val="0"/>
                <w:numId w:val="119"/>
              </w:numPr>
              <w:tabs>
                <w:tab w:val="left" w:pos="680"/>
                <w:tab w:val="left" w:pos="1133"/>
                <w:tab w:val="left" w:pos="2267"/>
              </w:tabs>
              <w:spacing w:before="0" w:after="160" w:line="252" w:lineRule="auto"/>
              <w:ind w:right="284"/>
              <w:contextualSpacing/>
              <w:jc w:val="left"/>
              <w:rPr>
                <w:rFonts w:eastAsia="Arial"/>
                <w:bCs/>
                <w:color w:val="auto"/>
                <w:sz w:val="20"/>
              </w:rPr>
            </w:pPr>
            <w:r w:rsidRPr="00DB05C3">
              <w:rPr>
                <w:rFonts w:eastAsia="Arial"/>
                <w:bCs/>
                <w:color w:val="auto"/>
                <w:sz w:val="20"/>
              </w:rPr>
              <w:t>NPPF 20</w:t>
            </w:r>
            <w:r w:rsidR="004173E0" w:rsidRPr="00DB05C3">
              <w:rPr>
                <w:rFonts w:eastAsia="Arial"/>
                <w:bCs/>
                <w:color w:val="auto"/>
                <w:sz w:val="20"/>
              </w:rPr>
              <w:t>23</w:t>
            </w:r>
            <w:r w:rsidRPr="00DB05C3">
              <w:rPr>
                <w:rFonts w:eastAsia="Arial"/>
                <w:bCs/>
                <w:color w:val="auto"/>
                <w:sz w:val="20"/>
              </w:rPr>
              <w:t>,</w:t>
            </w:r>
            <w:r w:rsidRPr="00DB05C3">
              <w:rPr>
                <w:color w:val="auto"/>
                <w:sz w:val="20"/>
              </w:rPr>
              <w:t xml:space="preserve"> </w:t>
            </w:r>
            <w:r w:rsidRPr="00DB05C3">
              <w:rPr>
                <w:rFonts w:eastAsia="Arial"/>
                <w:bCs/>
                <w:color w:val="auto"/>
                <w:sz w:val="20"/>
              </w:rPr>
              <w:t xml:space="preserve">Part 15: </w:t>
            </w:r>
            <w:r w:rsidRPr="00DB05C3">
              <w:rPr>
                <w:color w:val="auto"/>
                <w:sz w:val="20"/>
              </w:rPr>
              <w:t>Conserving and enhancing the natural environment.</w:t>
            </w:r>
          </w:p>
          <w:p w14:paraId="1B0276F3" w14:textId="42181978" w:rsidR="0081058F" w:rsidRPr="00DB05C3" w:rsidRDefault="0081058F" w:rsidP="00874A98">
            <w:pPr>
              <w:keepNext w:val="0"/>
              <w:numPr>
                <w:ilvl w:val="0"/>
                <w:numId w:val="119"/>
              </w:numPr>
              <w:spacing w:before="0" w:after="160" w:line="252" w:lineRule="auto"/>
              <w:contextualSpacing/>
              <w:jc w:val="left"/>
              <w:rPr>
                <w:rFonts w:eastAsia="Arial"/>
                <w:bCs/>
                <w:color w:val="auto"/>
                <w:sz w:val="20"/>
              </w:rPr>
            </w:pPr>
            <w:r w:rsidRPr="00DB05C3">
              <w:rPr>
                <w:rFonts w:eastAsia="Arial"/>
                <w:bCs/>
                <w:color w:val="auto"/>
                <w:sz w:val="20"/>
              </w:rPr>
              <w:t xml:space="preserve">Planning Practice Guidance: Air quality as </w:t>
            </w:r>
            <w:r w:rsidR="00EA7D34" w:rsidRPr="00DB05C3">
              <w:rPr>
                <w:rFonts w:eastAsia="Arial"/>
                <w:bCs/>
                <w:color w:val="auto"/>
                <w:sz w:val="20"/>
              </w:rPr>
              <w:t>of</w:t>
            </w:r>
            <w:r w:rsidRPr="00DB05C3">
              <w:rPr>
                <w:rFonts w:eastAsia="Arial"/>
                <w:bCs/>
                <w:color w:val="auto"/>
                <w:sz w:val="20"/>
              </w:rPr>
              <w:t xml:space="preserve"> </w:t>
            </w:r>
            <w:r w:rsidR="0025538D" w:rsidRPr="00DB05C3">
              <w:rPr>
                <w:rFonts w:eastAsia="Arial"/>
                <w:bCs/>
                <w:color w:val="auto"/>
                <w:sz w:val="20"/>
              </w:rPr>
              <w:t>November 2019</w:t>
            </w:r>
            <w:r w:rsidRPr="00DB05C3">
              <w:rPr>
                <w:rFonts w:eastAsia="Arial"/>
                <w:bCs/>
                <w:color w:val="auto"/>
                <w:sz w:val="20"/>
              </w:rPr>
              <w:t>.</w:t>
            </w:r>
          </w:p>
          <w:p w14:paraId="4899F6A8" w14:textId="1A958DF3" w:rsidR="0081058F" w:rsidRPr="00DB05C3" w:rsidRDefault="0081058F" w:rsidP="00874A98">
            <w:pPr>
              <w:keepNext w:val="0"/>
              <w:numPr>
                <w:ilvl w:val="0"/>
                <w:numId w:val="119"/>
              </w:numPr>
              <w:spacing w:before="0" w:after="160" w:line="252" w:lineRule="auto"/>
              <w:contextualSpacing/>
              <w:jc w:val="left"/>
              <w:rPr>
                <w:rFonts w:eastAsia="Arial"/>
                <w:bCs/>
                <w:color w:val="auto"/>
                <w:sz w:val="20"/>
              </w:rPr>
            </w:pPr>
            <w:r w:rsidRPr="00DB05C3">
              <w:rPr>
                <w:rFonts w:eastAsia="Arial"/>
                <w:bCs/>
                <w:color w:val="auto"/>
                <w:sz w:val="20"/>
              </w:rPr>
              <w:t xml:space="preserve">Planning Practice Guidance: Light pollution as </w:t>
            </w:r>
            <w:r w:rsidR="00EA7D34" w:rsidRPr="00DB05C3">
              <w:rPr>
                <w:rFonts w:eastAsia="Arial"/>
                <w:bCs/>
                <w:color w:val="auto"/>
                <w:sz w:val="20"/>
              </w:rPr>
              <w:t>of</w:t>
            </w:r>
            <w:r w:rsidRPr="00DB05C3">
              <w:rPr>
                <w:rFonts w:eastAsia="Arial"/>
                <w:bCs/>
                <w:color w:val="auto"/>
                <w:sz w:val="20"/>
              </w:rPr>
              <w:t xml:space="preserve"> </w:t>
            </w:r>
            <w:r w:rsidR="0025538D" w:rsidRPr="00DB05C3">
              <w:rPr>
                <w:rFonts w:eastAsia="Arial"/>
                <w:bCs/>
                <w:color w:val="auto"/>
                <w:sz w:val="20"/>
              </w:rPr>
              <w:t>November 2019</w:t>
            </w:r>
            <w:r w:rsidRPr="00DB05C3">
              <w:rPr>
                <w:rFonts w:eastAsia="Arial"/>
                <w:bCs/>
                <w:color w:val="auto"/>
                <w:sz w:val="20"/>
              </w:rPr>
              <w:t>.</w:t>
            </w:r>
          </w:p>
          <w:p w14:paraId="55987594" w14:textId="285D14A7" w:rsidR="0081058F" w:rsidRPr="00DB05C3" w:rsidRDefault="0081058F" w:rsidP="00874A98">
            <w:pPr>
              <w:keepNext w:val="0"/>
              <w:numPr>
                <w:ilvl w:val="0"/>
                <w:numId w:val="119"/>
              </w:numPr>
              <w:spacing w:before="0" w:after="160" w:line="252" w:lineRule="auto"/>
              <w:contextualSpacing/>
              <w:jc w:val="left"/>
              <w:rPr>
                <w:rFonts w:eastAsia="Arial"/>
                <w:bCs/>
                <w:color w:val="auto"/>
                <w:sz w:val="20"/>
              </w:rPr>
            </w:pPr>
            <w:r w:rsidRPr="00DB05C3">
              <w:rPr>
                <w:rFonts w:eastAsia="Arial"/>
                <w:bCs/>
                <w:color w:val="auto"/>
                <w:sz w:val="20"/>
              </w:rPr>
              <w:t xml:space="preserve">Planning Practice Guidance: Noise as </w:t>
            </w:r>
            <w:r w:rsidR="00EA7D34" w:rsidRPr="00DB05C3">
              <w:rPr>
                <w:rFonts w:eastAsia="Arial"/>
                <w:bCs/>
                <w:color w:val="auto"/>
                <w:sz w:val="20"/>
              </w:rPr>
              <w:t>of</w:t>
            </w:r>
            <w:r w:rsidRPr="00DB05C3">
              <w:rPr>
                <w:rFonts w:eastAsia="Arial"/>
                <w:bCs/>
                <w:color w:val="auto"/>
                <w:sz w:val="20"/>
              </w:rPr>
              <w:t xml:space="preserve"> </w:t>
            </w:r>
            <w:r w:rsidR="0025538D" w:rsidRPr="00DB05C3">
              <w:rPr>
                <w:rFonts w:eastAsia="Arial"/>
                <w:bCs/>
                <w:color w:val="auto"/>
                <w:sz w:val="20"/>
              </w:rPr>
              <w:t>July 2019</w:t>
            </w:r>
            <w:r w:rsidRPr="00DB05C3">
              <w:rPr>
                <w:rFonts w:eastAsia="Arial"/>
                <w:bCs/>
                <w:color w:val="auto"/>
                <w:sz w:val="20"/>
              </w:rPr>
              <w:t>.</w:t>
            </w:r>
          </w:p>
        </w:tc>
      </w:tr>
    </w:tbl>
    <w:p w14:paraId="39ABA095" w14:textId="77777777" w:rsidR="0081058F" w:rsidRPr="00DB05C3" w:rsidRDefault="0081058F" w:rsidP="0081058F">
      <w:pPr>
        <w:keepNext w:val="0"/>
        <w:autoSpaceDE w:val="0"/>
        <w:autoSpaceDN w:val="0"/>
        <w:adjustRightInd w:val="0"/>
        <w:spacing w:before="0"/>
        <w:ind w:left="794"/>
        <w:rPr>
          <w:rFonts w:eastAsia="Arial" w:cs="Arial"/>
          <w:color w:val="auto"/>
        </w:rPr>
      </w:pPr>
    </w:p>
    <w:p w14:paraId="04785BFB" w14:textId="186D5D0A" w:rsidR="00D41DD2" w:rsidRDefault="0081058F" w:rsidP="00D41DD2">
      <w:pPr>
        <w:keepNext w:val="0"/>
        <w:numPr>
          <w:ilvl w:val="1"/>
          <w:numId w:val="7"/>
        </w:numPr>
        <w:tabs>
          <w:tab w:val="clear" w:pos="525"/>
        </w:tabs>
        <w:spacing w:before="0"/>
        <w:ind w:left="709" w:hanging="709"/>
        <w:rPr>
          <w:rFonts w:cs="Arial"/>
          <w:color w:val="auto"/>
          <w:szCs w:val="24"/>
          <w:lang w:eastAsia="en-US"/>
        </w:rPr>
      </w:pPr>
      <w:r w:rsidRPr="00DB05C3">
        <w:rPr>
          <w:rFonts w:cs="Arial"/>
          <w:color w:val="auto"/>
          <w:szCs w:val="24"/>
          <w:lang w:eastAsia="en-US"/>
        </w:rPr>
        <w:t xml:space="preserve">Damage to the environment is usually identified as pollution </w:t>
      </w:r>
      <w:r w:rsidRPr="0081058F">
        <w:rPr>
          <w:rFonts w:cs="Arial"/>
          <w:color w:val="auto"/>
          <w:szCs w:val="24"/>
          <w:lang w:eastAsia="en-US"/>
        </w:rPr>
        <w:t xml:space="preserve">and it arises from a wide variety of sources and has a detrimental impact on human health, wellbeing, amenity and the natural  environment.  The natural environment includes the landscape, the quality of the soil, air, ground/surface water or areas of nature conservation (comprise plants and animals).  The nature of pollutants will vary, but in terms of Ashfield, issues typically arise in relation to noise, lighting and air quality. Nevertheless, pollution can arise from other sources such as emissions of smoke, fumes, gases, dust, steam, smells or vibrations all of which will be considered during the planning process. </w:t>
      </w:r>
    </w:p>
    <w:p w14:paraId="36970C98" w14:textId="77777777" w:rsidR="00D41DD2" w:rsidRDefault="00D41DD2" w:rsidP="00D41DD2">
      <w:pPr>
        <w:keepNext w:val="0"/>
        <w:spacing w:before="0"/>
        <w:ind w:left="709"/>
        <w:rPr>
          <w:rFonts w:cs="Arial"/>
          <w:color w:val="auto"/>
          <w:szCs w:val="24"/>
          <w:lang w:eastAsia="en-US"/>
        </w:rPr>
      </w:pPr>
    </w:p>
    <w:p w14:paraId="74BA0C76" w14:textId="171E6794" w:rsidR="0081058F" w:rsidRPr="00D41DD2" w:rsidRDefault="0081058F" w:rsidP="00D41DD2">
      <w:pPr>
        <w:keepNext w:val="0"/>
        <w:numPr>
          <w:ilvl w:val="1"/>
          <w:numId w:val="7"/>
        </w:numPr>
        <w:tabs>
          <w:tab w:val="clear" w:pos="525"/>
        </w:tabs>
        <w:spacing w:before="0"/>
        <w:ind w:left="709" w:hanging="709"/>
        <w:rPr>
          <w:rFonts w:cs="Arial"/>
          <w:color w:val="auto"/>
          <w:szCs w:val="24"/>
          <w:lang w:eastAsia="en-US"/>
        </w:rPr>
      </w:pPr>
      <w:r w:rsidRPr="00D41DD2">
        <w:rPr>
          <w:rFonts w:cs="Arial"/>
          <w:color w:val="auto"/>
          <w:szCs w:val="24"/>
          <w:lang w:eastAsia="en-US"/>
        </w:rPr>
        <w:t>In assessing a scheme of mitigation, account will be taken of:</w:t>
      </w:r>
    </w:p>
    <w:p w14:paraId="01459573" w14:textId="77777777" w:rsidR="0081058F" w:rsidRPr="0081058F" w:rsidRDefault="0081058F" w:rsidP="0081058F">
      <w:pPr>
        <w:keepNext w:val="0"/>
        <w:spacing w:before="0"/>
        <w:rPr>
          <w:rFonts w:cs="Arial"/>
          <w:color w:val="auto"/>
          <w:szCs w:val="24"/>
          <w:lang w:eastAsia="en-US"/>
        </w:rPr>
      </w:pPr>
    </w:p>
    <w:p w14:paraId="5CF54B36" w14:textId="77777777" w:rsidR="0081058F" w:rsidRPr="0081058F" w:rsidRDefault="0081058F" w:rsidP="00874A98">
      <w:pPr>
        <w:pStyle w:val="ListParagraph"/>
        <w:numPr>
          <w:ilvl w:val="0"/>
          <w:numId w:val="190"/>
        </w:numPr>
        <w:spacing w:after="0" w:line="240" w:lineRule="auto"/>
        <w:rPr>
          <w:rFonts w:ascii="Arial" w:hAnsi="Arial" w:cs="Arial"/>
          <w:color w:val="auto"/>
          <w:szCs w:val="24"/>
        </w:rPr>
      </w:pPr>
      <w:r w:rsidRPr="0081058F">
        <w:rPr>
          <w:rFonts w:ascii="Arial" w:hAnsi="Arial" w:cs="Arial"/>
          <w:color w:val="auto"/>
          <w:szCs w:val="24"/>
        </w:rPr>
        <w:t>The location, design and layout of the proposed development;</w:t>
      </w:r>
    </w:p>
    <w:p w14:paraId="0262F970" w14:textId="77777777" w:rsidR="0081058F" w:rsidRPr="0081058F" w:rsidRDefault="0081058F" w:rsidP="00874A98">
      <w:pPr>
        <w:pStyle w:val="ListParagraph"/>
        <w:numPr>
          <w:ilvl w:val="0"/>
          <w:numId w:val="190"/>
        </w:numPr>
        <w:spacing w:after="0" w:line="240" w:lineRule="auto"/>
        <w:rPr>
          <w:rFonts w:ascii="Arial" w:hAnsi="Arial" w:cs="Arial"/>
          <w:color w:val="auto"/>
          <w:szCs w:val="24"/>
        </w:rPr>
      </w:pPr>
      <w:r w:rsidRPr="0081058F">
        <w:rPr>
          <w:rFonts w:ascii="Arial" w:hAnsi="Arial" w:cs="Arial"/>
          <w:color w:val="auto"/>
          <w:szCs w:val="24"/>
        </w:rPr>
        <w:t>Measures to bring levels of emissions to an acceptable level;</w:t>
      </w:r>
    </w:p>
    <w:p w14:paraId="2B690DE4" w14:textId="77777777" w:rsidR="0081058F" w:rsidRPr="0081058F" w:rsidRDefault="0081058F" w:rsidP="00874A98">
      <w:pPr>
        <w:pStyle w:val="ListParagraph"/>
        <w:numPr>
          <w:ilvl w:val="0"/>
          <w:numId w:val="190"/>
        </w:numPr>
        <w:spacing w:after="0" w:line="240" w:lineRule="auto"/>
        <w:rPr>
          <w:rFonts w:ascii="Arial" w:hAnsi="Arial" w:cs="Arial"/>
          <w:color w:val="auto"/>
          <w:szCs w:val="24"/>
        </w:rPr>
      </w:pPr>
      <w:r w:rsidRPr="0081058F">
        <w:rPr>
          <w:rFonts w:ascii="Arial" w:hAnsi="Arial" w:cs="Arial"/>
          <w:color w:val="auto"/>
          <w:szCs w:val="24"/>
        </w:rPr>
        <w:t>Measures to control run-off and other diffuse pollution;</w:t>
      </w:r>
    </w:p>
    <w:p w14:paraId="2E9BF20D" w14:textId="77777777" w:rsidR="0081058F" w:rsidRPr="0081058F" w:rsidRDefault="0081058F" w:rsidP="00874A98">
      <w:pPr>
        <w:pStyle w:val="ListParagraph"/>
        <w:numPr>
          <w:ilvl w:val="0"/>
          <w:numId w:val="190"/>
        </w:numPr>
        <w:spacing w:after="0" w:line="240" w:lineRule="auto"/>
        <w:rPr>
          <w:rFonts w:ascii="Arial" w:hAnsi="Arial" w:cs="Arial"/>
          <w:color w:val="auto"/>
          <w:szCs w:val="24"/>
        </w:rPr>
      </w:pPr>
      <w:r w:rsidRPr="0081058F">
        <w:rPr>
          <w:rFonts w:ascii="Arial" w:hAnsi="Arial" w:cs="Arial"/>
          <w:color w:val="auto"/>
          <w:szCs w:val="24"/>
        </w:rPr>
        <w:t>Hours of operation; and</w:t>
      </w:r>
    </w:p>
    <w:p w14:paraId="04E02E10" w14:textId="7B92177C" w:rsidR="0081058F" w:rsidRPr="0081058F" w:rsidRDefault="0081058F" w:rsidP="00874A98">
      <w:pPr>
        <w:pStyle w:val="ListParagraph"/>
        <w:numPr>
          <w:ilvl w:val="0"/>
          <w:numId w:val="190"/>
        </w:numPr>
        <w:spacing w:after="0" w:line="240" w:lineRule="auto"/>
        <w:rPr>
          <w:rFonts w:ascii="Arial" w:hAnsi="Arial" w:cs="Arial"/>
          <w:color w:val="auto"/>
          <w:szCs w:val="24"/>
        </w:rPr>
      </w:pPr>
      <w:r w:rsidRPr="0081058F">
        <w:rPr>
          <w:rFonts w:ascii="Arial" w:hAnsi="Arial" w:cs="Arial"/>
          <w:color w:val="auto"/>
          <w:szCs w:val="24"/>
        </w:rPr>
        <w:t>Measures that reduce existing levels of pollution.</w:t>
      </w:r>
    </w:p>
    <w:p w14:paraId="2753C267" w14:textId="77777777" w:rsidR="0081058F" w:rsidRPr="0081058F" w:rsidRDefault="0081058F" w:rsidP="0081058F">
      <w:pPr>
        <w:keepNext w:val="0"/>
        <w:spacing w:before="0"/>
        <w:ind w:left="527"/>
        <w:rPr>
          <w:rFonts w:cs="Arial"/>
          <w:color w:val="auto"/>
          <w:szCs w:val="24"/>
          <w:lang w:eastAsia="en-US"/>
        </w:rPr>
      </w:pPr>
    </w:p>
    <w:p w14:paraId="50731EF9" w14:textId="6E9FF508" w:rsidR="00D41DD2" w:rsidRPr="00886087" w:rsidRDefault="0081058F" w:rsidP="00886087">
      <w:pPr>
        <w:keepNext w:val="0"/>
        <w:numPr>
          <w:ilvl w:val="1"/>
          <w:numId w:val="7"/>
        </w:numPr>
        <w:tabs>
          <w:tab w:val="clear" w:pos="525"/>
        </w:tabs>
        <w:spacing w:before="0"/>
        <w:ind w:left="709" w:hanging="709"/>
        <w:rPr>
          <w:rFonts w:cs="Arial"/>
          <w:color w:val="auto"/>
          <w:szCs w:val="24"/>
          <w:lang w:eastAsia="en-US"/>
        </w:rPr>
      </w:pPr>
      <w:r w:rsidRPr="0081058F">
        <w:rPr>
          <w:rFonts w:cs="Arial"/>
          <w:color w:val="auto"/>
          <w:szCs w:val="24"/>
          <w:lang w:eastAsia="en-US"/>
        </w:rPr>
        <w:t xml:space="preserve">Where significant pollution may be created, the applicant will be required to provide sufficient information on the potential environmental impacts to enable a determination to be made whether or not planning permission should be granted. </w:t>
      </w:r>
      <w:r w:rsidR="00886087">
        <w:rPr>
          <w:rFonts w:cs="Arial"/>
          <w:color w:val="auto"/>
          <w:szCs w:val="24"/>
          <w:lang w:eastAsia="en-US"/>
        </w:rPr>
        <w:t xml:space="preserve">  </w:t>
      </w:r>
      <w:r w:rsidRPr="00886087">
        <w:rPr>
          <w:rFonts w:cs="Arial"/>
          <w:color w:val="auto"/>
          <w:szCs w:val="24"/>
          <w:lang w:eastAsia="en-US"/>
        </w:rPr>
        <w:t xml:space="preserve">Where a desk study and site reconnaissance does not provide sufficient information to assess the risks and appraise remedial options, further investigations will need to be carried out before the application is determined.  Where appropriate, any report will need to set out the cumulative impacts. </w:t>
      </w:r>
    </w:p>
    <w:p w14:paraId="795516EC" w14:textId="77777777" w:rsidR="00D41DD2" w:rsidRDefault="00D41DD2" w:rsidP="00D41DD2">
      <w:pPr>
        <w:keepNext w:val="0"/>
        <w:spacing w:before="0"/>
        <w:ind w:left="709"/>
        <w:rPr>
          <w:rFonts w:cs="Arial"/>
          <w:color w:val="auto"/>
          <w:szCs w:val="24"/>
          <w:lang w:eastAsia="en-US"/>
        </w:rPr>
      </w:pPr>
    </w:p>
    <w:p w14:paraId="1C217FA3" w14:textId="77777777" w:rsidR="00D41DD2" w:rsidRDefault="0081058F" w:rsidP="006977E7">
      <w:pPr>
        <w:keepNext w:val="0"/>
        <w:numPr>
          <w:ilvl w:val="1"/>
          <w:numId w:val="7"/>
        </w:numPr>
        <w:tabs>
          <w:tab w:val="clear" w:pos="525"/>
        </w:tabs>
        <w:spacing w:before="0"/>
        <w:ind w:left="709" w:hanging="709"/>
        <w:rPr>
          <w:rFonts w:cs="Arial"/>
          <w:color w:val="auto"/>
          <w:szCs w:val="24"/>
          <w:lang w:eastAsia="en-US"/>
        </w:rPr>
      </w:pPr>
      <w:r w:rsidRPr="00D41DD2">
        <w:rPr>
          <w:rFonts w:cs="Arial"/>
          <w:color w:val="auto"/>
          <w:szCs w:val="24"/>
          <w:lang w:eastAsia="en-US"/>
        </w:rPr>
        <w:t>The adverse impact or potential impact of pollution will be a key aspect in any planning decision. This includes the relationship with sensitive uses such as residential areas, schools, hospitals, or the natural environment. The position and orientation of sensitive uses should be taken into account at the earliest stages of any building design or consideration of location.</w:t>
      </w:r>
    </w:p>
    <w:p w14:paraId="4C2A4869" w14:textId="77777777" w:rsidR="00D41DD2" w:rsidRPr="00D41DD2" w:rsidRDefault="00D41DD2" w:rsidP="006977E7">
      <w:pPr>
        <w:spacing w:before="0"/>
        <w:rPr>
          <w:rFonts w:cs="Arial"/>
          <w:color w:val="auto"/>
          <w:szCs w:val="24"/>
        </w:rPr>
      </w:pPr>
    </w:p>
    <w:p w14:paraId="7E7AAF4A" w14:textId="30EC3380" w:rsidR="00D41DD2" w:rsidRDefault="0081058F" w:rsidP="006977E7">
      <w:pPr>
        <w:keepNext w:val="0"/>
        <w:numPr>
          <w:ilvl w:val="1"/>
          <w:numId w:val="7"/>
        </w:numPr>
        <w:tabs>
          <w:tab w:val="clear" w:pos="525"/>
        </w:tabs>
        <w:spacing w:before="0"/>
        <w:ind w:left="709" w:hanging="709"/>
        <w:rPr>
          <w:rFonts w:cs="Arial"/>
          <w:color w:val="auto"/>
          <w:szCs w:val="24"/>
          <w:lang w:eastAsia="en-US"/>
        </w:rPr>
      </w:pPr>
      <w:r w:rsidRPr="00D41DD2">
        <w:rPr>
          <w:rFonts w:cs="Arial"/>
          <w:color w:val="auto"/>
          <w:szCs w:val="24"/>
          <w:lang w:eastAsia="en-US"/>
        </w:rPr>
        <w:t xml:space="preserve">Matters for consideration in taking decisions on planning applications in relation to pollution are set out in </w:t>
      </w:r>
      <w:r w:rsidRPr="001302E3">
        <w:rPr>
          <w:rFonts w:cs="Arial"/>
          <w:color w:val="auto"/>
          <w:szCs w:val="24"/>
          <w:lang w:eastAsia="en-US"/>
        </w:rPr>
        <w:t xml:space="preserve">Appendix </w:t>
      </w:r>
      <w:r w:rsidR="00497B96">
        <w:rPr>
          <w:rFonts w:cs="Arial"/>
          <w:color w:val="auto"/>
          <w:szCs w:val="24"/>
          <w:lang w:eastAsia="en-US"/>
        </w:rPr>
        <w:t>3</w:t>
      </w:r>
      <w:r w:rsidRPr="00D41DD2">
        <w:rPr>
          <w:rFonts w:cs="Arial"/>
          <w:color w:val="auto"/>
          <w:szCs w:val="24"/>
          <w:lang w:eastAsia="en-US"/>
        </w:rPr>
        <w:t>. However, decisions will also take into account the latest national, regional or local guidance in relation to pollution control and planning.</w:t>
      </w:r>
    </w:p>
    <w:p w14:paraId="43A3B314" w14:textId="77777777" w:rsidR="00D41DD2" w:rsidRDefault="00D41DD2" w:rsidP="006977E7">
      <w:pPr>
        <w:spacing w:before="0"/>
        <w:rPr>
          <w:rFonts w:cs="Arial"/>
          <w:b/>
          <w:bCs/>
          <w:color w:val="auto"/>
          <w:szCs w:val="24"/>
        </w:rPr>
      </w:pPr>
    </w:p>
    <w:p w14:paraId="0D3B815D" w14:textId="77777777" w:rsidR="005A0FAE" w:rsidRDefault="005A0FAE" w:rsidP="006977E7">
      <w:pPr>
        <w:keepNext w:val="0"/>
        <w:spacing w:before="0"/>
        <w:ind w:left="709"/>
        <w:rPr>
          <w:rFonts w:cs="Arial"/>
          <w:b/>
          <w:bCs/>
          <w:color w:val="auto"/>
          <w:szCs w:val="24"/>
        </w:rPr>
      </w:pPr>
    </w:p>
    <w:p w14:paraId="4037486E" w14:textId="13D27E14" w:rsidR="00D41DD2" w:rsidRDefault="0081058F" w:rsidP="006977E7">
      <w:pPr>
        <w:keepNext w:val="0"/>
        <w:spacing w:before="0"/>
        <w:ind w:left="709"/>
        <w:rPr>
          <w:rFonts w:cs="Arial"/>
          <w:color w:val="auto"/>
          <w:szCs w:val="24"/>
          <w:lang w:eastAsia="en-US"/>
        </w:rPr>
      </w:pPr>
      <w:r w:rsidRPr="00D41DD2">
        <w:rPr>
          <w:rFonts w:cs="Arial"/>
          <w:b/>
          <w:bCs/>
          <w:color w:val="auto"/>
          <w:szCs w:val="24"/>
        </w:rPr>
        <w:t>Noise</w:t>
      </w:r>
    </w:p>
    <w:p w14:paraId="3B706FE9" w14:textId="7187FA01" w:rsidR="0081058F" w:rsidRPr="00886087" w:rsidRDefault="0081058F" w:rsidP="00886087">
      <w:pPr>
        <w:keepNext w:val="0"/>
        <w:numPr>
          <w:ilvl w:val="1"/>
          <w:numId w:val="7"/>
        </w:numPr>
        <w:tabs>
          <w:tab w:val="clear" w:pos="525"/>
        </w:tabs>
        <w:spacing w:before="0"/>
        <w:ind w:left="709" w:hanging="709"/>
        <w:rPr>
          <w:rFonts w:cs="Arial"/>
          <w:color w:val="auto"/>
          <w:szCs w:val="24"/>
          <w:lang w:eastAsia="en-US"/>
        </w:rPr>
      </w:pPr>
      <w:r w:rsidRPr="00D41DD2">
        <w:rPr>
          <w:rFonts w:cs="Arial"/>
          <w:color w:val="auto"/>
          <w:szCs w:val="24"/>
          <w:lang w:eastAsia="en-US"/>
        </w:rPr>
        <w:t xml:space="preserve">Noise has the potential to cause both physical and psychological health issues for humans and can have a negative impact on wildlife and livestock. </w:t>
      </w:r>
      <w:r w:rsidR="00886087">
        <w:rPr>
          <w:rFonts w:cs="Arial"/>
          <w:color w:val="auto"/>
          <w:szCs w:val="24"/>
          <w:lang w:eastAsia="en-US"/>
        </w:rPr>
        <w:t xml:space="preserve"> </w:t>
      </w:r>
      <w:r w:rsidRPr="00D41DD2">
        <w:rPr>
          <w:rFonts w:cs="Arial"/>
          <w:color w:val="auto"/>
          <w:szCs w:val="24"/>
          <w:lang w:eastAsia="en-US"/>
        </w:rPr>
        <w:t>Within this context, noise includes both ambient levels and noise impulses whether irregular or tone.</w:t>
      </w:r>
      <w:r w:rsidR="00886087">
        <w:rPr>
          <w:rFonts w:cs="Arial"/>
          <w:color w:val="auto"/>
          <w:szCs w:val="24"/>
          <w:lang w:eastAsia="en-US"/>
        </w:rPr>
        <w:t xml:space="preserve">  </w:t>
      </w:r>
      <w:r w:rsidRPr="00886087">
        <w:rPr>
          <w:rFonts w:cs="Arial"/>
          <w:color w:val="auto"/>
          <w:szCs w:val="24"/>
          <w:lang w:eastAsia="en-US"/>
        </w:rPr>
        <w:t xml:space="preserve">New development which involves noisy uses should also be located away from: </w:t>
      </w:r>
    </w:p>
    <w:p w14:paraId="63821024" w14:textId="30DC01F2" w:rsidR="0081058F" w:rsidRPr="0081058F" w:rsidRDefault="0081058F" w:rsidP="0081058F">
      <w:pPr>
        <w:spacing w:before="0"/>
        <w:rPr>
          <w:rFonts w:cs="Arial"/>
          <w:color w:val="auto"/>
          <w:szCs w:val="24"/>
        </w:rPr>
      </w:pPr>
    </w:p>
    <w:p w14:paraId="53008998" w14:textId="77777777" w:rsidR="0081058F" w:rsidRPr="0081058F" w:rsidRDefault="0081058F" w:rsidP="00874A98">
      <w:pPr>
        <w:pStyle w:val="ListParagraph"/>
        <w:numPr>
          <w:ilvl w:val="0"/>
          <w:numId w:val="191"/>
        </w:numPr>
        <w:spacing w:after="0" w:line="240" w:lineRule="auto"/>
        <w:rPr>
          <w:rFonts w:ascii="Arial" w:hAnsi="Arial" w:cs="Arial"/>
          <w:color w:val="auto"/>
          <w:szCs w:val="24"/>
        </w:rPr>
      </w:pPr>
      <w:r w:rsidRPr="0081058F">
        <w:rPr>
          <w:rFonts w:ascii="Arial" w:hAnsi="Arial" w:cs="Arial"/>
          <w:color w:val="auto"/>
          <w:szCs w:val="24"/>
        </w:rPr>
        <w:t>Noise sensitive uses such as dwellings, hospitals, residential institutions, nursing homes, hotels, guesthouses, schools and other educational establishments</w:t>
      </w:r>
    </w:p>
    <w:p w14:paraId="1EA3A579" w14:textId="24F12AB8" w:rsidR="0081058F" w:rsidRPr="0081058F" w:rsidRDefault="0081058F" w:rsidP="00874A98">
      <w:pPr>
        <w:pStyle w:val="ListParagraph"/>
        <w:numPr>
          <w:ilvl w:val="0"/>
          <w:numId w:val="191"/>
        </w:numPr>
        <w:spacing w:after="0" w:line="240" w:lineRule="auto"/>
        <w:rPr>
          <w:rFonts w:ascii="Arial" w:hAnsi="Arial" w:cs="Arial"/>
          <w:color w:val="auto"/>
          <w:szCs w:val="24"/>
        </w:rPr>
      </w:pPr>
      <w:r w:rsidRPr="0081058F">
        <w:rPr>
          <w:rFonts w:ascii="Arial" w:hAnsi="Arial" w:cs="Arial"/>
          <w:color w:val="auto"/>
          <w:szCs w:val="24"/>
        </w:rPr>
        <w:t xml:space="preserve">Noise sensitive land including areas valued for their recreational and amenity reasons. Certain areas, particularly in rural places, may have very low background noise and the Council will take into account that the introduction of noisy activities may be especially disruptive.  </w:t>
      </w:r>
    </w:p>
    <w:p w14:paraId="0343622E" w14:textId="77777777" w:rsidR="0081058F" w:rsidRPr="0081058F" w:rsidRDefault="0081058F" w:rsidP="0081058F">
      <w:pPr>
        <w:spacing w:before="0"/>
        <w:rPr>
          <w:rFonts w:cs="Arial"/>
          <w:color w:val="auto"/>
          <w:szCs w:val="24"/>
        </w:rPr>
      </w:pPr>
    </w:p>
    <w:p w14:paraId="3E297BAC" w14:textId="587A5491" w:rsidR="00D41DD2" w:rsidRDefault="0081058F" w:rsidP="00D41DD2">
      <w:pPr>
        <w:keepNext w:val="0"/>
        <w:numPr>
          <w:ilvl w:val="1"/>
          <w:numId w:val="7"/>
        </w:numPr>
        <w:tabs>
          <w:tab w:val="clear" w:pos="525"/>
        </w:tabs>
        <w:spacing w:before="0"/>
        <w:ind w:left="709" w:hanging="709"/>
        <w:rPr>
          <w:rFonts w:cs="Arial"/>
          <w:color w:val="auto"/>
          <w:szCs w:val="24"/>
          <w:lang w:eastAsia="en-US"/>
        </w:rPr>
      </w:pPr>
      <w:r w:rsidRPr="0081058F">
        <w:rPr>
          <w:rFonts w:cs="Arial"/>
          <w:color w:val="auto"/>
          <w:szCs w:val="24"/>
          <w:lang w:eastAsia="en-US"/>
        </w:rPr>
        <w:t>The potential impact of noise on wildlife, on conservation sites and, where relevant, the welfare of livestock will be taken into account in any planning determination.</w:t>
      </w:r>
    </w:p>
    <w:p w14:paraId="680B2BC5" w14:textId="77777777" w:rsidR="00D41DD2" w:rsidRDefault="00D41DD2" w:rsidP="00D41DD2">
      <w:pPr>
        <w:keepNext w:val="0"/>
        <w:spacing w:before="0"/>
        <w:ind w:left="709"/>
        <w:rPr>
          <w:rFonts w:cs="Arial"/>
          <w:color w:val="auto"/>
          <w:szCs w:val="24"/>
          <w:lang w:eastAsia="en-US"/>
        </w:rPr>
      </w:pPr>
    </w:p>
    <w:p w14:paraId="666BF34F" w14:textId="745A7138" w:rsidR="00D41DD2" w:rsidRDefault="00D41DD2" w:rsidP="00D41DD2">
      <w:pPr>
        <w:keepNext w:val="0"/>
        <w:numPr>
          <w:ilvl w:val="1"/>
          <w:numId w:val="7"/>
        </w:numPr>
        <w:tabs>
          <w:tab w:val="clear" w:pos="525"/>
        </w:tabs>
        <w:spacing w:before="0"/>
        <w:ind w:left="709" w:hanging="709"/>
        <w:rPr>
          <w:rFonts w:cs="Arial"/>
          <w:color w:val="auto"/>
          <w:szCs w:val="24"/>
          <w:lang w:eastAsia="en-US"/>
        </w:rPr>
      </w:pPr>
      <w:r>
        <w:rPr>
          <w:rFonts w:cs="Arial"/>
          <w:color w:val="auto"/>
          <w:szCs w:val="24"/>
          <w:lang w:eastAsia="en-US"/>
        </w:rPr>
        <w:t>I</w:t>
      </w:r>
      <w:r w:rsidR="0081058F" w:rsidRPr="00D41DD2">
        <w:rPr>
          <w:rFonts w:cs="Arial"/>
          <w:color w:val="auto"/>
          <w:szCs w:val="24"/>
          <w:lang w:eastAsia="en-US"/>
        </w:rPr>
        <w:t>t may be acceptable in meeting other planning objectives that noise generating activities should be allowed near to or adjoining noise sensitive uses. In these circumstances, the design and layout of the development should reduce noise impact and conditions or planning obligations will be used to safeguard local amenity</w:t>
      </w:r>
    </w:p>
    <w:p w14:paraId="511A2DC3" w14:textId="77777777" w:rsidR="00D41DD2" w:rsidRPr="00D41DD2" w:rsidRDefault="00D41DD2" w:rsidP="00D41DD2">
      <w:pPr>
        <w:keepNext w:val="0"/>
        <w:spacing w:before="0"/>
        <w:ind w:left="709"/>
        <w:rPr>
          <w:rFonts w:cs="Arial"/>
          <w:color w:val="auto"/>
          <w:szCs w:val="24"/>
          <w:lang w:eastAsia="en-US"/>
        </w:rPr>
      </w:pPr>
    </w:p>
    <w:p w14:paraId="721BB9E4" w14:textId="2D618C99" w:rsidR="00D41DD2" w:rsidRDefault="0081058F" w:rsidP="006977E7">
      <w:pPr>
        <w:keepNext w:val="0"/>
        <w:spacing w:before="0"/>
        <w:ind w:left="709"/>
        <w:rPr>
          <w:rFonts w:cs="Arial"/>
          <w:color w:val="auto"/>
          <w:szCs w:val="24"/>
          <w:lang w:eastAsia="en-US"/>
        </w:rPr>
      </w:pPr>
      <w:r w:rsidRPr="00D41DD2">
        <w:rPr>
          <w:rFonts w:cs="Arial"/>
          <w:b/>
          <w:bCs/>
          <w:color w:val="auto"/>
          <w:szCs w:val="24"/>
        </w:rPr>
        <w:t>Lighting</w:t>
      </w:r>
    </w:p>
    <w:p w14:paraId="2BEEE93A" w14:textId="341DB0FD" w:rsidR="0081058F" w:rsidRPr="00D41DD2" w:rsidRDefault="0081058F" w:rsidP="00D41DD2">
      <w:pPr>
        <w:keepNext w:val="0"/>
        <w:numPr>
          <w:ilvl w:val="1"/>
          <w:numId w:val="7"/>
        </w:numPr>
        <w:tabs>
          <w:tab w:val="clear" w:pos="525"/>
        </w:tabs>
        <w:spacing w:before="0"/>
        <w:ind w:left="709" w:hanging="709"/>
        <w:rPr>
          <w:rFonts w:cs="Arial"/>
          <w:color w:val="auto"/>
          <w:szCs w:val="24"/>
          <w:lang w:eastAsia="en-US"/>
        </w:rPr>
      </w:pPr>
      <w:r w:rsidRPr="00D41DD2">
        <w:rPr>
          <w:rFonts w:cs="Arial"/>
          <w:color w:val="auto"/>
          <w:szCs w:val="24"/>
          <w:lang w:eastAsia="en-US"/>
        </w:rPr>
        <w:t>Lighting becomes a problem where it is excessive, poorly designed and located, badly installed or poorly maintained. This can result in light pollution from a number of sources including:</w:t>
      </w:r>
    </w:p>
    <w:p w14:paraId="58449B6A" w14:textId="5B0B2319" w:rsidR="0081058F" w:rsidRPr="0081058F" w:rsidRDefault="0081058F" w:rsidP="0081058F">
      <w:pPr>
        <w:keepNext w:val="0"/>
        <w:spacing w:before="0"/>
        <w:ind w:left="527"/>
        <w:rPr>
          <w:rFonts w:cs="Arial"/>
          <w:color w:val="auto"/>
          <w:szCs w:val="24"/>
          <w:lang w:eastAsia="en-US"/>
        </w:rPr>
      </w:pPr>
    </w:p>
    <w:p w14:paraId="2506CB63" w14:textId="77777777" w:rsidR="0081058F" w:rsidRPr="0081058F" w:rsidRDefault="0081058F" w:rsidP="00874A98">
      <w:pPr>
        <w:pStyle w:val="ListParagraph"/>
        <w:numPr>
          <w:ilvl w:val="0"/>
          <w:numId w:val="192"/>
        </w:numPr>
        <w:spacing w:after="0" w:line="240" w:lineRule="auto"/>
        <w:rPr>
          <w:rFonts w:ascii="Arial" w:hAnsi="Arial" w:cs="Arial"/>
          <w:color w:val="auto"/>
          <w:szCs w:val="24"/>
        </w:rPr>
      </w:pPr>
      <w:r w:rsidRPr="0081058F">
        <w:rPr>
          <w:rFonts w:ascii="Arial" w:hAnsi="Arial" w:cs="Arial"/>
          <w:color w:val="auto"/>
          <w:szCs w:val="24"/>
        </w:rPr>
        <w:t xml:space="preserve">sky glow: the orange glow seen around urban areas caused by a scattering of artificial light by dust particles and water droplets in the sky; </w:t>
      </w:r>
    </w:p>
    <w:p w14:paraId="1C2741E7" w14:textId="77777777" w:rsidR="0081058F" w:rsidRPr="0081058F" w:rsidRDefault="0081058F" w:rsidP="00874A98">
      <w:pPr>
        <w:pStyle w:val="ListParagraph"/>
        <w:numPr>
          <w:ilvl w:val="0"/>
          <w:numId w:val="192"/>
        </w:numPr>
        <w:spacing w:after="0" w:line="240" w:lineRule="auto"/>
        <w:rPr>
          <w:rFonts w:ascii="Arial" w:hAnsi="Arial" w:cs="Arial"/>
          <w:color w:val="auto"/>
          <w:szCs w:val="24"/>
        </w:rPr>
      </w:pPr>
      <w:r w:rsidRPr="0081058F">
        <w:rPr>
          <w:rFonts w:ascii="Arial" w:hAnsi="Arial" w:cs="Arial"/>
          <w:color w:val="auto"/>
          <w:szCs w:val="24"/>
        </w:rPr>
        <w:t xml:space="preserve">glare: the uncomfortable brightness of a light source when viewed against a darker background; and </w:t>
      </w:r>
    </w:p>
    <w:p w14:paraId="554E5E02" w14:textId="44E87B29" w:rsidR="0081058F" w:rsidRDefault="0081058F" w:rsidP="00874A98">
      <w:pPr>
        <w:pStyle w:val="ListParagraph"/>
        <w:numPr>
          <w:ilvl w:val="0"/>
          <w:numId w:val="192"/>
        </w:numPr>
        <w:spacing w:after="0" w:line="240" w:lineRule="auto"/>
        <w:rPr>
          <w:rFonts w:ascii="Arial" w:hAnsi="Arial" w:cs="Arial"/>
          <w:color w:val="auto"/>
          <w:szCs w:val="24"/>
        </w:rPr>
      </w:pPr>
      <w:r w:rsidRPr="0081058F">
        <w:rPr>
          <w:rFonts w:ascii="Arial" w:hAnsi="Arial" w:cs="Arial"/>
          <w:color w:val="auto"/>
          <w:szCs w:val="24"/>
        </w:rPr>
        <w:t>light trespass: light spilling beyond the boundary of the property on which a light is located.</w:t>
      </w:r>
    </w:p>
    <w:p w14:paraId="25C99EAD" w14:textId="77777777" w:rsidR="0081058F" w:rsidRPr="0081058F" w:rsidRDefault="0081058F" w:rsidP="00886087">
      <w:pPr>
        <w:spacing w:before="0"/>
        <w:ind w:left="887"/>
        <w:rPr>
          <w:rFonts w:cs="Arial"/>
          <w:color w:val="auto"/>
          <w:szCs w:val="24"/>
        </w:rPr>
      </w:pPr>
    </w:p>
    <w:p w14:paraId="7A84D7C3" w14:textId="52D6F43F" w:rsidR="00D41DD2" w:rsidRDefault="0081058F" w:rsidP="00886087">
      <w:pPr>
        <w:keepNext w:val="0"/>
        <w:numPr>
          <w:ilvl w:val="1"/>
          <w:numId w:val="7"/>
        </w:numPr>
        <w:tabs>
          <w:tab w:val="clear" w:pos="525"/>
        </w:tabs>
        <w:spacing w:before="0"/>
        <w:ind w:left="709" w:hanging="709"/>
        <w:rPr>
          <w:rFonts w:cs="Arial"/>
          <w:color w:val="auto"/>
          <w:szCs w:val="24"/>
          <w:lang w:eastAsia="en-US"/>
        </w:rPr>
      </w:pPr>
      <w:r w:rsidRPr="0081058F">
        <w:rPr>
          <w:rFonts w:cs="Arial"/>
          <w:color w:val="auto"/>
          <w:szCs w:val="24"/>
          <w:lang w:eastAsia="en-US"/>
        </w:rPr>
        <w:t xml:space="preserve">Wherever possible, the use of artificial lighting should be avoided as it has a number of negative impacts including increased energy use, detrimental impacts on local amenity and nature conservation and it can affect people’s health through disrupting sleep. Nevertheless, it is recognised that in specific circumstances lighting can result in benefits </w:t>
      </w:r>
      <w:r w:rsidR="00EA7D34" w:rsidRPr="0081058F">
        <w:rPr>
          <w:rFonts w:cs="Arial"/>
          <w:color w:val="auto"/>
          <w:szCs w:val="24"/>
          <w:lang w:eastAsia="en-US"/>
        </w:rPr>
        <w:t>including</w:t>
      </w:r>
      <w:r w:rsidRPr="0081058F">
        <w:rPr>
          <w:rFonts w:cs="Arial"/>
          <w:color w:val="auto"/>
          <w:szCs w:val="24"/>
          <w:lang w:eastAsia="en-US"/>
        </w:rPr>
        <w:t xml:space="preserve"> safety of movement, security, extension of working hours, and for facilitating leisure activities.  </w:t>
      </w:r>
    </w:p>
    <w:p w14:paraId="694DD97C" w14:textId="77777777" w:rsidR="00D41DD2" w:rsidRDefault="00D41DD2" w:rsidP="00D41DD2">
      <w:pPr>
        <w:keepNext w:val="0"/>
        <w:spacing w:before="0"/>
        <w:ind w:left="709"/>
        <w:rPr>
          <w:rFonts w:cs="Arial"/>
          <w:color w:val="auto"/>
          <w:szCs w:val="24"/>
          <w:lang w:eastAsia="en-US"/>
        </w:rPr>
      </w:pPr>
    </w:p>
    <w:p w14:paraId="47F2804C" w14:textId="6129427F" w:rsidR="00D41DD2" w:rsidRDefault="0081058F" w:rsidP="00D41DD2">
      <w:pPr>
        <w:keepNext w:val="0"/>
        <w:numPr>
          <w:ilvl w:val="1"/>
          <w:numId w:val="7"/>
        </w:numPr>
        <w:tabs>
          <w:tab w:val="clear" w:pos="525"/>
        </w:tabs>
        <w:spacing w:before="0"/>
        <w:ind w:left="709" w:hanging="709"/>
        <w:rPr>
          <w:rFonts w:cs="Arial"/>
          <w:color w:val="auto"/>
          <w:szCs w:val="24"/>
          <w:lang w:eastAsia="en-US"/>
        </w:rPr>
      </w:pPr>
      <w:r w:rsidRPr="00D41DD2">
        <w:rPr>
          <w:rFonts w:cs="Arial"/>
          <w:color w:val="auto"/>
          <w:szCs w:val="24"/>
          <w:lang w:eastAsia="en-US"/>
        </w:rPr>
        <w:t>Where lighting is necessary, the Council will expect that, as far as reasonably possible, the design and future maintenance of any light system related to the proposed development will minimise light pollution.</w:t>
      </w:r>
    </w:p>
    <w:p w14:paraId="1C771354" w14:textId="77777777" w:rsidR="005A0FAE" w:rsidRDefault="005A0FAE" w:rsidP="00D41DD2">
      <w:pPr>
        <w:keepNext w:val="0"/>
        <w:spacing w:before="0"/>
        <w:ind w:left="709"/>
        <w:rPr>
          <w:rFonts w:cs="Arial"/>
          <w:b/>
          <w:bCs/>
          <w:color w:val="auto"/>
          <w:szCs w:val="24"/>
        </w:rPr>
      </w:pPr>
    </w:p>
    <w:p w14:paraId="140D6F88" w14:textId="768D0EA0" w:rsidR="00D41DD2" w:rsidRPr="00D41DD2" w:rsidRDefault="0081058F" w:rsidP="00D41DD2">
      <w:pPr>
        <w:keepNext w:val="0"/>
        <w:spacing w:before="0"/>
        <w:ind w:left="709"/>
        <w:rPr>
          <w:rFonts w:cs="Arial"/>
          <w:color w:val="auto"/>
          <w:szCs w:val="24"/>
          <w:lang w:eastAsia="en-US"/>
        </w:rPr>
      </w:pPr>
      <w:r w:rsidRPr="00D41DD2">
        <w:rPr>
          <w:rFonts w:cs="Arial"/>
          <w:b/>
          <w:bCs/>
          <w:color w:val="auto"/>
          <w:szCs w:val="24"/>
        </w:rPr>
        <w:t>Air Quality</w:t>
      </w:r>
    </w:p>
    <w:p w14:paraId="443B6FD1" w14:textId="3BA3997F" w:rsidR="00D04E13" w:rsidRPr="00DB05C3" w:rsidRDefault="0081058F" w:rsidP="00AC68AD">
      <w:pPr>
        <w:keepNext w:val="0"/>
        <w:numPr>
          <w:ilvl w:val="1"/>
          <w:numId w:val="7"/>
        </w:numPr>
        <w:tabs>
          <w:tab w:val="clear" w:pos="525"/>
        </w:tabs>
        <w:spacing w:before="0"/>
        <w:ind w:left="709" w:hanging="709"/>
        <w:rPr>
          <w:rFonts w:cs="Arial"/>
          <w:color w:val="auto"/>
          <w:szCs w:val="24"/>
          <w:lang w:eastAsia="en-US"/>
        </w:rPr>
      </w:pPr>
      <w:bookmarkStart w:id="311" w:name="_Hlk118871675"/>
      <w:r w:rsidRPr="00DB05C3">
        <w:rPr>
          <w:rFonts w:cs="Arial"/>
          <w:color w:val="auto"/>
          <w:szCs w:val="24"/>
          <w:lang w:eastAsia="en-US"/>
        </w:rPr>
        <w:t>Local Authorities are required to carry out periodic reviews of air quality in their areas, and to assess present and likely future quality against statutory air quality standards.</w:t>
      </w:r>
      <w:r w:rsidR="0052626B" w:rsidRPr="00DB05C3">
        <w:rPr>
          <w:rFonts w:cs="Arial"/>
          <w:color w:val="auto"/>
          <w:szCs w:val="24"/>
          <w:lang w:eastAsia="en-US"/>
        </w:rPr>
        <w:t xml:space="preserve">  </w:t>
      </w:r>
      <w:r w:rsidR="00D04E13" w:rsidRPr="00DB05C3">
        <w:rPr>
          <w:rFonts w:cs="Arial"/>
          <w:color w:val="auto"/>
          <w:szCs w:val="24"/>
          <w:lang w:eastAsia="en-US"/>
        </w:rPr>
        <w:t>It is a key environmental factor that has an impact on health and the Council will have regard to the Nottinghamshire Air Quality Strategy 2020 -2030 and the East Midlands Air Quality and Emissions Mitigation Guidance for Developers (July 2018).</w:t>
      </w:r>
    </w:p>
    <w:bookmarkEnd w:id="311"/>
    <w:p w14:paraId="27608CBB" w14:textId="77777777" w:rsidR="00D04E13" w:rsidRPr="00DB05C3" w:rsidRDefault="00D04E13" w:rsidP="00D04E13">
      <w:pPr>
        <w:keepNext w:val="0"/>
        <w:spacing w:before="0"/>
        <w:ind w:left="709"/>
        <w:rPr>
          <w:rFonts w:cs="Arial"/>
          <w:color w:val="auto"/>
          <w:szCs w:val="24"/>
          <w:lang w:eastAsia="en-US"/>
        </w:rPr>
      </w:pPr>
    </w:p>
    <w:p w14:paraId="21AE7785" w14:textId="673E7FD6" w:rsidR="00D41DD2" w:rsidRDefault="0081058F" w:rsidP="00D41DD2">
      <w:pPr>
        <w:keepNext w:val="0"/>
        <w:numPr>
          <w:ilvl w:val="1"/>
          <w:numId w:val="7"/>
        </w:numPr>
        <w:tabs>
          <w:tab w:val="clear" w:pos="525"/>
        </w:tabs>
        <w:spacing w:before="0"/>
        <w:ind w:left="709" w:hanging="709"/>
        <w:rPr>
          <w:rFonts w:cs="Arial"/>
          <w:color w:val="auto"/>
          <w:szCs w:val="24"/>
          <w:lang w:eastAsia="en-US"/>
        </w:rPr>
      </w:pPr>
      <w:r w:rsidRPr="00D41DD2">
        <w:rPr>
          <w:rFonts w:cs="Arial"/>
          <w:color w:val="auto"/>
          <w:szCs w:val="24"/>
          <w:lang w:eastAsia="en-US"/>
        </w:rPr>
        <w:t>Air quality assessments may be required as part of an Environmental Impact Assessment, for a major development, or as a stand-alone air quality report submitted in support of a specific planning application. Whether an air quality assessment is requirement will depend on a number of issues including:</w:t>
      </w:r>
    </w:p>
    <w:p w14:paraId="5B907211" w14:textId="4F74D077" w:rsidR="00D41DD2" w:rsidRDefault="00D41DD2" w:rsidP="00D41DD2">
      <w:pPr>
        <w:keepNext w:val="0"/>
        <w:spacing w:before="0"/>
        <w:ind w:left="709"/>
        <w:rPr>
          <w:rFonts w:cs="Arial"/>
          <w:color w:val="auto"/>
          <w:szCs w:val="24"/>
          <w:lang w:eastAsia="en-US"/>
        </w:rPr>
      </w:pPr>
    </w:p>
    <w:p w14:paraId="4E610A25" w14:textId="77777777" w:rsidR="00D41DD2" w:rsidRPr="00D41DD2" w:rsidRDefault="00D41DD2" w:rsidP="00874A98">
      <w:pPr>
        <w:pStyle w:val="ListParagraph"/>
        <w:numPr>
          <w:ilvl w:val="0"/>
          <w:numId w:val="301"/>
        </w:numPr>
        <w:spacing w:after="0" w:line="240" w:lineRule="auto"/>
        <w:ind w:left="1077" w:hanging="357"/>
        <w:rPr>
          <w:rFonts w:ascii="Arial" w:hAnsi="Arial" w:cs="Arial"/>
          <w:color w:val="auto"/>
          <w:szCs w:val="24"/>
        </w:rPr>
      </w:pPr>
      <w:r w:rsidRPr="00D41DD2">
        <w:rPr>
          <w:rFonts w:ascii="Arial" w:hAnsi="Arial" w:cs="Arial"/>
          <w:color w:val="auto"/>
          <w:szCs w:val="24"/>
        </w:rPr>
        <w:t>traffic generated, including the potential impact on peak flow;</w:t>
      </w:r>
    </w:p>
    <w:p w14:paraId="7BCF198F" w14:textId="77777777" w:rsidR="00D41DD2" w:rsidRPr="00D41DD2" w:rsidRDefault="00D41DD2" w:rsidP="00874A98">
      <w:pPr>
        <w:pStyle w:val="ListParagraph"/>
        <w:numPr>
          <w:ilvl w:val="0"/>
          <w:numId w:val="301"/>
        </w:numPr>
        <w:spacing w:after="0" w:line="240" w:lineRule="auto"/>
        <w:ind w:left="1077" w:hanging="357"/>
        <w:rPr>
          <w:rFonts w:ascii="Arial" w:hAnsi="Arial" w:cs="Arial"/>
          <w:color w:val="auto"/>
          <w:szCs w:val="24"/>
        </w:rPr>
      </w:pPr>
      <w:r w:rsidRPr="00D41DD2">
        <w:rPr>
          <w:rFonts w:ascii="Arial" w:hAnsi="Arial" w:cs="Arial"/>
          <w:color w:val="auto"/>
          <w:szCs w:val="24"/>
        </w:rPr>
        <w:t>whether it will have a significant impact on the traffic composition on local roads;</w:t>
      </w:r>
    </w:p>
    <w:p w14:paraId="53148746" w14:textId="77777777" w:rsidR="00D41DD2" w:rsidRPr="0052626B" w:rsidRDefault="00D41DD2" w:rsidP="00874A98">
      <w:pPr>
        <w:pStyle w:val="ListParagraph"/>
        <w:numPr>
          <w:ilvl w:val="0"/>
          <w:numId w:val="193"/>
        </w:numPr>
        <w:spacing w:after="0" w:line="240" w:lineRule="auto"/>
        <w:rPr>
          <w:rFonts w:ascii="Arial" w:hAnsi="Arial" w:cs="Arial"/>
          <w:color w:val="auto"/>
          <w:szCs w:val="24"/>
        </w:rPr>
      </w:pPr>
      <w:r w:rsidRPr="0052626B">
        <w:rPr>
          <w:rFonts w:ascii="Arial" w:hAnsi="Arial" w:cs="Arial"/>
          <w:color w:val="auto"/>
          <w:szCs w:val="24"/>
        </w:rPr>
        <w:t>location of the proposed development, particularly where new development is proposed close to existing sources of air pollutants, including road traffic, industrial operations and agricultural operations;</w:t>
      </w:r>
    </w:p>
    <w:p w14:paraId="559659E0" w14:textId="77777777" w:rsidR="00D41DD2" w:rsidRPr="0052626B" w:rsidRDefault="00D41DD2" w:rsidP="00874A98">
      <w:pPr>
        <w:pStyle w:val="ListParagraph"/>
        <w:numPr>
          <w:ilvl w:val="0"/>
          <w:numId w:val="193"/>
        </w:numPr>
        <w:spacing w:after="0" w:line="240" w:lineRule="auto"/>
        <w:rPr>
          <w:rFonts w:ascii="Arial" w:hAnsi="Arial" w:cs="Arial"/>
          <w:color w:val="auto"/>
          <w:szCs w:val="24"/>
        </w:rPr>
      </w:pPr>
      <w:r w:rsidRPr="0052626B">
        <w:rPr>
          <w:rFonts w:ascii="Arial" w:hAnsi="Arial" w:cs="Arial"/>
          <w:color w:val="auto"/>
          <w:szCs w:val="24"/>
        </w:rPr>
        <w:t>whether the proposal includes significant new car parking, taking into account car park turnover;</w:t>
      </w:r>
    </w:p>
    <w:p w14:paraId="0402D13A" w14:textId="77777777" w:rsidR="00D41DD2" w:rsidRPr="0052626B" w:rsidRDefault="00D41DD2" w:rsidP="00874A98">
      <w:pPr>
        <w:pStyle w:val="ListParagraph"/>
        <w:numPr>
          <w:ilvl w:val="0"/>
          <w:numId w:val="193"/>
        </w:numPr>
        <w:spacing w:after="0" w:line="240" w:lineRule="auto"/>
        <w:rPr>
          <w:rFonts w:ascii="Arial" w:hAnsi="Arial" w:cs="Arial"/>
          <w:color w:val="auto"/>
          <w:szCs w:val="24"/>
        </w:rPr>
      </w:pPr>
      <w:r w:rsidRPr="0052626B">
        <w:rPr>
          <w:rFonts w:ascii="Arial" w:hAnsi="Arial" w:cs="Arial"/>
          <w:color w:val="auto"/>
          <w:szCs w:val="24"/>
        </w:rPr>
        <w:t>whether the proposed development may significantly affect Nitrogen deposition to sensitive habitats;</w:t>
      </w:r>
    </w:p>
    <w:p w14:paraId="7B21524B" w14:textId="77777777" w:rsidR="00D41DD2" w:rsidRPr="0052626B" w:rsidRDefault="00D41DD2" w:rsidP="00874A98">
      <w:pPr>
        <w:pStyle w:val="ListParagraph"/>
        <w:numPr>
          <w:ilvl w:val="0"/>
          <w:numId w:val="193"/>
        </w:numPr>
        <w:spacing w:after="0" w:line="240" w:lineRule="auto"/>
        <w:rPr>
          <w:rFonts w:ascii="Arial" w:hAnsi="Arial" w:cs="Arial"/>
          <w:color w:val="auto"/>
          <w:szCs w:val="24"/>
        </w:rPr>
      </w:pPr>
      <w:r w:rsidRPr="0052626B">
        <w:rPr>
          <w:rFonts w:ascii="Arial" w:hAnsi="Arial" w:cs="Arial"/>
          <w:color w:val="auto"/>
          <w:szCs w:val="24"/>
        </w:rPr>
        <w:t>proposals that include biomass boilers or fuels; and</w:t>
      </w:r>
    </w:p>
    <w:p w14:paraId="485EF83D" w14:textId="77777777" w:rsidR="00D41DD2" w:rsidRPr="0052626B" w:rsidRDefault="00D41DD2" w:rsidP="00874A98">
      <w:pPr>
        <w:pStyle w:val="ListParagraph"/>
        <w:numPr>
          <w:ilvl w:val="0"/>
          <w:numId w:val="193"/>
        </w:numPr>
        <w:spacing w:after="0" w:line="240" w:lineRule="auto"/>
        <w:rPr>
          <w:rFonts w:ascii="Arial" w:hAnsi="Arial" w:cs="Arial"/>
          <w:color w:val="auto"/>
          <w:szCs w:val="24"/>
        </w:rPr>
      </w:pPr>
      <w:r w:rsidRPr="0052626B">
        <w:rPr>
          <w:rFonts w:ascii="Arial" w:hAnsi="Arial" w:cs="Arial"/>
          <w:color w:val="auto"/>
          <w:szCs w:val="24"/>
        </w:rPr>
        <w:t>the time and scale of the demolition and/or construction phases of a development, particularly near sensitive locations, such as residential areas, or commercial operations that may be sensitive to dust.</w:t>
      </w:r>
    </w:p>
    <w:p w14:paraId="7E6612B3" w14:textId="6E472BE8" w:rsidR="00D41DD2" w:rsidRDefault="00D41DD2" w:rsidP="00D41DD2">
      <w:pPr>
        <w:keepNext w:val="0"/>
        <w:spacing w:before="0"/>
        <w:ind w:left="527"/>
        <w:rPr>
          <w:rFonts w:cs="Arial"/>
          <w:color w:val="auto"/>
          <w:szCs w:val="24"/>
          <w:lang w:eastAsia="en-US"/>
        </w:rPr>
      </w:pPr>
    </w:p>
    <w:p w14:paraId="2CE8555D" w14:textId="77777777" w:rsidR="00D41DD2" w:rsidRDefault="00D41DD2" w:rsidP="006977E7">
      <w:pPr>
        <w:keepNext w:val="0"/>
        <w:spacing w:before="0"/>
        <w:ind w:left="709"/>
        <w:rPr>
          <w:rFonts w:cs="Arial"/>
          <w:b/>
          <w:bCs/>
          <w:color w:val="auto"/>
          <w:szCs w:val="24"/>
          <w:lang w:eastAsia="en-US"/>
        </w:rPr>
      </w:pPr>
      <w:r w:rsidRPr="00340B1E">
        <w:rPr>
          <w:rFonts w:cs="Arial"/>
          <w:b/>
          <w:bCs/>
          <w:color w:val="auto"/>
          <w:szCs w:val="24"/>
          <w:lang w:eastAsia="en-US"/>
        </w:rPr>
        <w:t>Soils</w:t>
      </w:r>
    </w:p>
    <w:p w14:paraId="1F4AD02A" w14:textId="5B27F906" w:rsidR="00D41DD2" w:rsidRDefault="0081058F" w:rsidP="00D41DD2">
      <w:pPr>
        <w:keepNext w:val="0"/>
        <w:numPr>
          <w:ilvl w:val="1"/>
          <w:numId w:val="7"/>
        </w:numPr>
        <w:tabs>
          <w:tab w:val="clear" w:pos="525"/>
        </w:tabs>
        <w:spacing w:before="0"/>
        <w:ind w:left="709" w:hanging="709"/>
        <w:rPr>
          <w:rFonts w:cs="Arial"/>
          <w:color w:val="auto"/>
          <w:szCs w:val="24"/>
          <w:lang w:eastAsia="en-US"/>
        </w:rPr>
      </w:pPr>
      <w:r w:rsidRPr="00D41DD2">
        <w:rPr>
          <w:rFonts w:cs="Arial"/>
          <w:color w:val="auto"/>
          <w:szCs w:val="24"/>
          <w:lang w:eastAsia="en-US"/>
        </w:rPr>
        <w:t>Soil is essential finite</w:t>
      </w:r>
      <w:r w:rsidR="00EA7D34">
        <w:rPr>
          <w:rFonts w:cs="Arial"/>
          <w:color w:val="auto"/>
          <w:szCs w:val="24"/>
          <w:lang w:eastAsia="en-US"/>
        </w:rPr>
        <w:t xml:space="preserve">, with a </w:t>
      </w:r>
      <w:r w:rsidR="00EA7D34" w:rsidRPr="00D41DD2">
        <w:rPr>
          <w:rFonts w:cs="Arial"/>
          <w:color w:val="auto"/>
          <w:szCs w:val="24"/>
          <w:lang w:eastAsia="en-US"/>
        </w:rPr>
        <w:t>wide-ranging</w:t>
      </w:r>
      <w:r w:rsidRPr="00D41DD2">
        <w:rPr>
          <w:rFonts w:cs="Arial"/>
          <w:color w:val="auto"/>
          <w:szCs w:val="24"/>
          <w:lang w:eastAsia="en-US"/>
        </w:rPr>
        <w:t xml:space="preserve"> functions and it is important that soils are managed sustainably, in order that they can retain the capacity to carry out these vital functions.  We rely on soil in relation to food production, water management and support for valuable biodiversity and ecosystems. As a large store of </w:t>
      </w:r>
      <w:r w:rsidR="00EA7D34" w:rsidRPr="00D41DD2">
        <w:rPr>
          <w:rFonts w:cs="Arial"/>
          <w:color w:val="auto"/>
          <w:szCs w:val="24"/>
          <w:lang w:eastAsia="en-US"/>
        </w:rPr>
        <w:t>carbon,</w:t>
      </w:r>
      <w:r w:rsidRPr="00D41DD2">
        <w:rPr>
          <w:rFonts w:cs="Arial"/>
          <w:color w:val="auto"/>
          <w:szCs w:val="24"/>
          <w:lang w:eastAsia="en-US"/>
        </w:rPr>
        <w:t xml:space="preserve"> it also plays a vital role in the fight against climate </w:t>
      </w:r>
      <w:r w:rsidR="00EA7D34" w:rsidRPr="00D41DD2">
        <w:rPr>
          <w:rFonts w:cs="Arial"/>
          <w:color w:val="auto"/>
          <w:szCs w:val="24"/>
          <w:lang w:eastAsia="en-US"/>
        </w:rPr>
        <w:t>change.</w:t>
      </w:r>
      <w:r w:rsidRPr="00D41DD2">
        <w:rPr>
          <w:rFonts w:cs="Arial"/>
          <w:color w:val="auto"/>
          <w:szCs w:val="24"/>
          <w:lang w:eastAsia="en-US"/>
        </w:rPr>
        <w:t xml:space="preserve">  Protecting soils must therefore be an important priority and this relates to soils within the urban area, where the negative impacts of development on soil resources need to be minimised.</w:t>
      </w:r>
    </w:p>
    <w:p w14:paraId="42B41594" w14:textId="77777777" w:rsidR="00D41DD2" w:rsidRDefault="00D41DD2" w:rsidP="00D41DD2">
      <w:pPr>
        <w:keepNext w:val="0"/>
        <w:spacing w:before="0"/>
        <w:ind w:left="709"/>
        <w:rPr>
          <w:rFonts w:cs="Arial"/>
          <w:color w:val="auto"/>
          <w:szCs w:val="24"/>
          <w:lang w:eastAsia="en-US"/>
        </w:rPr>
      </w:pPr>
    </w:p>
    <w:p w14:paraId="0F6A7F70" w14:textId="615F479A" w:rsidR="002F7BD2" w:rsidRPr="00D41DD2" w:rsidRDefault="0081058F" w:rsidP="00D41DD2">
      <w:pPr>
        <w:keepNext w:val="0"/>
        <w:numPr>
          <w:ilvl w:val="1"/>
          <w:numId w:val="7"/>
        </w:numPr>
        <w:tabs>
          <w:tab w:val="clear" w:pos="525"/>
        </w:tabs>
        <w:spacing w:before="0"/>
        <w:ind w:left="709" w:hanging="709"/>
        <w:rPr>
          <w:rFonts w:cs="Arial"/>
          <w:color w:val="auto"/>
          <w:szCs w:val="24"/>
          <w:lang w:eastAsia="en-US"/>
        </w:rPr>
      </w:pPr>
      <w:r w:rsidRPr="00D41DD2">
        <w:rPr>
          <w:rFonts w:cs="Arial"/>
          <w:color w:val="auto"/>
          <w:szCs w:val="24"/>
          <w:lang w:eastAsia="en-US"/>
        </w:rPr>
        <w:t>DEFRA has published a Code of Practice on the sustainable use of soils  on construction sites. This provides guidance to protect the soil resources. Although the Code itself is not legislatively binding, by following it DEFRA identifies that:</w:t>
      </w:r>
    </w:p>
    <w:p w14:paraId="4DF0A513" w14:textId="77777777" w:rsidR="002F7BD2" w:rsidRPr="002F7BD2" w:rsidRDefault="002F7BD2" w:rsidP="002F7BD2">
      <w:pPr>
        <w:keepNext w:val="0"/>
        <w:spacing w:before="0"/>
        <w:rPr>
          <w:rFonts w:cs="Arial"/>
          <w:color w:val="auto"/>
          <w:szCs w:val="24"/>
        </w:rPr>
      </w:pPr>
    </w:p>
    <w:p w14:paraId="58CF0D4F" w14:textId="77777777" w:rsidR="002F7BD2" w:rsidRPr="002F7BD2" w:rsidRDefault="002F7BD2" w:rsidP="00874A98">
      <w:pPr>
        <w:pStyle w:val="ListParagraph"/>
        <w:numPr>
          <w:ilvl w:val="0"/>
          <w:numId w:val="210"/>
        </w:numPr>
        <w:spacing w:after="0" w:line="240" w:lineRule="auto"/>
        <w:ind w:left="1069"/>
        <w:rPr>
          <w:rFonts w:ascii="Arial" w:hAnsi="Arial" w:cs="Arial"/>
          <w:color w:val="auto"/>
          <w:szCs w:val="24"/>
        </w:rPr>
      </w:pPr>
      <w:r w:rsidRPr="002F7BD2">
        <w:rPr>
          <w:rFonts w:ascii="Arial" w:hAnsi="Arial" w:cs="Arial"/>
          <w:color w:val="auto"/>
          <w:szCs w:val="24"/>
        </w:rPr>
        <w:t>you will help protect and enhance the soil resources on site and achieve wider benefits for the environment;</w:t>
      </w:r>
    </w:p>
    <w:p w14:paraId="499AF6C1" w14:textId="77777777" w:rsidR="002F7BD2" w:rsidRPr="002F7BD2" w:rsidRDefault="002F7BD2" w:rsidP="00874A98">
      <w:pPr>
        <w:pStyle w:val="ListParagraph"/>
        <w:numPr>
          <w:ilvl w:val="0"/>
          <w:numId w:val="210"/>
        </w:numPr>
        <w:spacing w:after="0" w:line="240" w:lineRule="auto"/>
        <w:ind w:left="1069"/>
        <w:rPr>
          <w:rFonts w:ascii="Arial" w:hAnsi="Arial" w:cs="Arial"/>
          <w:color w:val="auto"/>
          <w:szCs w:val="24"/>
        </w:rPr>
      </w:pPr>
      <w:r w:rsidRPr="002F7BD2">
        <w:rPr>
          <w:rFonts w:ascii="Arial" w:hAnsi="Arial" w:cs="Arial"/>
          <w:color w:val="auto"/>
          <w:szCs w:val="24"/>
        </w:rPr>
        <w:t>you may achieve cost savings for your business;</w:t>
      </w:r>
    </w:p>
    <w:p w14:paraId="602A817F" w14:textId="131E1573" w:rsidR="002F7BD2" w:rsidRPr="002F7BD2" w:rsidRDefault="002F7BD2" w:rsidP="00874A98">
      <w:pPr>
        <w:pStyle w:val="ListParagraph"/>
        <w:numPr>
          <w:ilvl w:val="0"/>
          <w:numId w:val="210"/>
        </w:numPr>
        <w:spacing w:after="0" w:line="240" w:lineRule="auto"/>
        <w:ind w:left="1069"/>
        <w:rPr>
          <w:rFonts w:ascii="Arial" w:hAnsi="Arial" w:cs="Arial"/>
          <w:color w:val="auto"/>
          <w:szCs w:val="24"/>
        </w:rPr>
      </w:pPr>
      <w:r w:rsidRPr="002F7BD2">
        <w:rPr>
          <w:rFonts w:ascii="Arial" w:hAnsi="Arial" w:cs="Arial"/>
          <w:color w:val="auto"/>
          <w:szCs w:val="24"/>
        </w:rPr>
        <w:t xml:space="preserve">it may help you to achieve your business sustainability targets; </w:t>
      </w:r>
      <w:r w:rsidR="00EA7D34" w:rsidRPr="002F7BD2">
        <w:rPr>
          <w:rFonts w:ascii="Arial" w:hAnsi="Arial" w:cs="Arial"/>
          <w:color w:val="auto"/>
          <w:szCs w:val="24"/>
        </w:rPr>
        <w:t>and it</w:t>
      </w:r>
      <w:r w:rsidRPr="002F7BD2">
        <w:rPr>
          <w:rFonts w:ascii="Arial" w:hAnsi="Arial" w:cs="Arial"/>
          <w:color w:val="auto"/>
          <w:szCs w:val="24"/>
        </w:rPr>
        <w:t xml:space="preserve"> may help you to meet legal obligations regarding waste controls.</w:t>
      </w:r>
    </w:p>
    <w:p w14:paraId="1C966FA2" w14:textId="77777777" w:rsidR="002F7BD2" w:rsidRPr="002F7BD2" w:rsidRDefault="002F7BD2" w:rsidP="00D41DD2">
      <w:pPr>
        <w:pStyle w:val="ListParagraph"/>
        <w:spacing w:after="0" w:line="240" w:lineRule="auto"/>
        <w:ind w:left="902"/>
        <w:rPr>
          <w:rFonts w:ascii="Arial" w:hAnsi="Arial" w:cs="Arial"/>
          <w:color w:val="auto"/>
          <w:szCs w:val="24"/>
        </w:rPr>
      </w:pPr>
    </w:p>
    <w:p w14:paraId="574A7705" w14:textId="18D90D86" w:rsidR="00221F22" w:rsidRDefault="002F7BD2" w:rsidP="001302E3">
      <w:pPr>
        <w:pStyle w:val="ListParagraph"/>
        <w:spacing w:after="0" w:line="240" w:lineRule="auto"/>
        <w:ind w:left="902"/>
        <w:rPr>
          <w:rFonts w:ascii="Arial" w:hAnsi="Arial" w:cs="Arial"/>
          <w:color w:val="auto"/>
          <w:szCs w:val="24"/>
        </w:rPr>
      </w:pPr>
      <w:r w:rsidRPr="002F7BD2">
        <w:rPr>
          <w:rFonts w:ascii="Arial" w:hAnsi="Arial" w:cs="Arial"/>
          <w:color w:val="auto"/>
          <w:szCs w:val="24"/>
        </w:rPr>
        <w:t>The Highways Agency and the Construction Industry Research and Information Association have produced a best practice guide on habitat translocation external site  which also includes useful information on soil handling.</w:t>
      </w:r>
    </w:p>
    <w:p w14:paraId="59E88B58" w14:textId="77777777" w:rsidR="001302E3" w:rsidRPr="001302E3" w:rsidRDefault="001302E3" w:rsidP="001302E3">
      <w:pPr>
        <w:pStyle w:val="ListParagraph"/>
        <w:spacing w:after="0" w:line="240" w:lineRule="auto"/>
        <w:ind w:left="902"/>
        <w:rPr>
          <w:rFonts w:ascii="Arial" w:hAnsi="Arial" w:cs="Arial"/>
          <w:color w:val="auto"/>
          <w:szCs w:val="24"/>
        </w:rPr>
      </w:pPr>
    </w:p>
    <w:p w14:paraId="369FC5E3" w14:textId="77777777" w:rsidR="00DB05C3" w:rsidRPr="006E3315" w:rsidRDefault="00DB05C3" w:rsidP="006E3315">
      <w:bookmarkStart w:id="312" w:name="_Toc145511619"/>
    </w:p>
    <w:p w14:paraId="3665389F" w14:textId="19719CF9" w:rsidR="002F7BD2" w:rsidRPr="00825421" w:rsidRDefault="002F7BD2" w:rsidP="00825421">
      <w:pPr>
        <w:pStyle w:val="Heading2"/>
        <w:jc w:val="left"/>
        <w:rPr>
          <w:sz w:val="28"/>
          <w:szCs w:val="28"/>
        </w:rPr>
      </w:pPr>
      <w:r w:rsidRPr="00825421">
        <w:rPr>
          <w:sz w:val="28"/>
          <w:szCs w:val="28"/>
        </w:rPr>
        <w:t>Policy SD</w:t>
      </w:r>
      <w:r w:rsidR="0064018F" w:rsidRPr="00825421">
        <w:rPr>
          <w:sz w:val="28"/>
          <w:szCs w:val="28"/>
        </w:rPr>
        <w:t>10</w:t>
      </w:r>
      <w:r w:rsidRPr="00825421">
        <w:rPr>
          <w:sz w:val="28"/>
          <w:szCs w:val="28"/>
        </w:rPr>
        <w:t>: Transport Infrastructure</w:t>
      </w:r>
      <w:bookmarkEnd w:id="312"/>
    </w:p>
    <w:p w14:paraId="5DBCE0AB" w14:textId="3203E1E7" w:rsidR="0059798D" w:rsidRDefault="0059798D" w:rsidP="0059798D">
      <w:pPr>
        <w:keepNext w:val="0"/>
        <w:spacing w:before="0"/>
        <w:ind w:left="527"/>
        <w:rPr>
          <w:rFonts w:cs="Arial"/>
          <w:color w:val="auto"/>
          <w:szCs w:val="24"/>
        </w:rPr>
      </w:pPr>
    </w:p>
    <w:tbl>
      <w:tblPr>
        <w:tblStyle w:val="TableGrid3"/>
        <w:tblW w:w="9634" w:type="dxa"/>
        <w:tblLook w:val="04A0" w:firstRow="1" w:lastRow="0" w:firstColumn="1" w:lastColumn="0" w:noHBand="0" w:noVBand="1"/>
      </w:tblPr>
      <w:tblGrid>
        <w:gridCol w:w="2263"/>
        <w:gridCol w:w="7371"/>
      </w:tblGrid>
      <w:tr w:rsidR="0059798D" w:rsidRPr="0059798D" w14:paraId="5BAA438E" w14:textId="77777777" w:rsidTr="00DD4136">
        <w:trPr>
          <w:trHeight w:val="421"/>
        </w:trPr>
        <w:tc>
          <w:tcPr>
            <w:tcW w:w="9634" w:type="dxa"/>
            <w:gridSpan w:val="2"/>
          </w:tcPr>
          <w:p w14:paraId="6917F064" w14:textId="77777777" w:rsidR="00D41DD2" w:rsidRDefault="00D41DD2" w:rsidP="00905CC9">
            <w:pPr>
              <w:keepNext w:val="0"/>
              <w:tabs>
                <w:tab w:val="left" w:pos="680"/>
              </w:tabs>
              <w:spacing w:before="0"/>
              <w:jc w:val="left"/>
              <w:rPr>
                <w:rFonts w:eastAsia="Arial"/>
                <w:b/>
                <w:color w:val="auto"/>
                <w:spacing w:val="-1"/>
              </w:rPr>
            </w:pPr>
          </w:p>
          <w:p w14:paraId="3EFE47DB" w14:textId="45D40C32" w:rsidR="0059798D" w:rsidRDefault="0059798D" w:rsidP="00905CC9">
            <w:pPr>
              <w:keepNext w:val="0"/>
              <w:tabs>
                <w:tab w:val="left" w:pos="680"/>
              </w:tabs>
              <w:spacing w:before="0"/>
              <w:jc w:val="left"/>
              <w:rPr>
                <w:rFonts w:eastAsia="Arial"/>
                <w:b/>
                <w:color w:val="auto"/>
                <w:spacing w:val="-1"/>
              </w:rPr>
            </w:pPr>
            <w:r w:rsidRPr="0059798D">
              <w:rPr>
                <w:rFonts w:eastAsia="Arial"/>
                <w:b/>
                <w:color w:val="auto"/>
                <w:spacing w:val="-1"/>
              </w:rPr>
              <w:t>Policy SD</w:t>
            </w:r>
            <w:r w:rsidR="006977E7">
              <w:rPr>
                <w:rFonts w:eastAsia="Arial"/>
                <w:b/>
                <w:color w:val="auto"/>
                <w:spacing w:val="-1"/>
              </w:rPr>
              <w:t>10</w:t>
            </w:r>
            <w:bookmarkStart w:id="313" w:name="_Hlk146200960"/>
            <w:r w:rsidRPr="0059798D">
              <w:rPr>
                <w:rFonts w:eastAsia="Arial"/>
                <w:b/>
                <w:color w:val="auto"/>
                <w:spacing w:val="-1"/>
              </w:rPr>
              <w:t>: Transport Infrastructure</w:t>
            </w:r>
            <w:bookmarkEnd w:id="313"/>
          </w:p>
          <w:p w14:paraId="6156D806" w14:textId="256C18C0" w:rsidR="00D41DD2" w:rsidRPr="0059798D" w:rsidRDefault="00D41DD2" w:rsidP="00905CC9">
            <w:pPr>
              <w:keepNext w:val="0"/>
              <w:tabs>
                <w:tab w:val="left" w:pos="680"/>
              </w:tabs>
              <w:spacing w:before="0"/>
              <w:jc w:val="left"/>
              <w:rPr>
                <w:rFonts w:eastAsia="Arial"/>
                <w:b/>
                <w:color w:val="auto"/>
                <w:spacing w:val="-1"/>
              </w:rPr>
            </w:pPr>
          </w:p>
        </w:tc>
      </w:tr>
      <w:tr w:rsidR="0059798D" w:rsidRPr="0059798D" w14:paraId="004B7AEE" w14:textId="77777777" w:rsidTr="00DD4136">
        <w:tc>
          <w:tcPr>
            <w:tcW w:w="2263" w:type="dxa"/>
          </w:tcPr>
          <w:p w14:paraId="2DEE9593" w14:textId="77777777" w:rsidR="0059798D" w:rsidRPr="0059798D" w:rsidRDefault="0059798D" w:rsidP="00905CC9">
            <w:pPr>
              <w:keepNext w:val="0"/>
              <w:tabs>
                <w:tab w:val="left" w:pos="680"/>
              </w:tabs>
              <w:spacing w:before="0"/>
              <w:jc w:val="left"/>
              <w:rPr>
                <w:rFonts w:eastAsia="Arial"/>
                <w:bCs/>
                <w:color w:val="auto"/>
              </w:rPr>
            </w:pPr>
            <w:r w:rsidRPr="0059798D">
              <w:rPr>
                <w:rFonts w:eastAsia="Arial"/>
                <w:bCs/>
                <w:color w:val="auto"/>
              </w:rPr>
              <w:t>Strategic Objectives</w:t>
            </w:r>
          </w:p>
        </w:tc>
        <w:tc>
          <w:tcPr>
            <w:tcW w:w="7371" w:type="dxa"/>
          </w:tcPr>
          <w:p w14:paraId="34ECECF6" w14:textId="77777777" w:rsidR="0059798D" w:rsidRPr="0059798D" w:rsidRDefault="0059798D" w:rsidP="00905CC9">
            <w:pPr>
              <w:keepNext w:val="0"/>
              <w:tabs>
                <w:tab w:val="left" w:pos="680"/>
              </w:tabs>
              <w:spacing w:before="40" w:after="40"/>
              <w:jc w:val="left"/>
              <w:rPr>
                <w:rFonts w:eastAsia="Arial"/>
                <w:bCs/>
                <w:color w:val="auto"/>
              </w:rPr>
            </w:pPr>
            <w:r w:rsidRPr="0059798D">
              <w:rPr>
                <w:rFonts w:eastAsia="Arial"/>
                <w:bCs/>
                <w:color w:val="auto"/>
              </w:rPr>
              <w:t>SO1, SO2, SO4, SO6, SO7, SO8, SO9, SO11, SO12, SO14.</w:t>
            </w:r>
          </w:p>
        </w:tc>
      </w:tr>
      <w:tr w:rsidR="0059798D" w:rsidRPr="0059798D" w14:paraId="746269A4" w14:textId="77777777" w:rsidTr="00DD4136">
        <w:tc>
          <w:tcPr>
            <w:tcW w:w="9634" w:type="dxa"/>
            <w:gridSpan w:val="2"/>
            <w:shd w:val="clear" w:color="auto" w:fill="DAC4F8"/>
          </w:tcPr>
          <w:p w14:paraId="6AB79C9A" w14:textId="77777777" w:rsidR="0059798D" w:rsidRPr="0059798D" w:rsidRDefault="0059798D" w:rsidP="00905CC9">
            <w:pPr>
              <w:keepNext w:val="0"/>
              <w:tabs>
                <w:tab w:val="left" w:pos="680"/>
                <w:tab w:val="left" w:pos="1133"/>
                <w:tab w:val="left" w:pos="2267"/>
              </w:tabs>
              <w:spacing w:before="0"/>
              <w:ind w:right="284"/>
              <w:jc w:val="left"/>
              <w:rPr>
                <w:rFonts w:eastAsia="Arial"/>
                <w:bCs/>
                <w:color w:val="auto"/>
              </w:rPr>
            </w:pPr>
          </w:p>
          <w:p w14:paraId="20FFBD3B" w14:textId="77777777" w:rsidR="0059798D" w:rsidRPr="0059798D" w:rsidRDefault="0059798D" w:rsidP="00874A98">
            <w:pPr>
              <w:keepNext w:val="0"/>
              <w:numPr>
                <w:ilvl w:val="0"/>
                <w:numId w:val="233"/>
              </w:numPr>
              <w:autoSpaceDE w:val="0"/>
              <w:autoSpaceDN w:val="0"/>
              <w:adjustRightInd w:val="0"/>
              <w:spacing w:before="0"/>
              <w:contextualSpacing/>
              <w:jc w:val="left"/>
              <w:rPr>
                <w:rFonts w:cs="Arial"/>
                <w:bCs/>
                <w:color w:val="000000"/>
                <w:szCs w:val="24"/>
              </w:rPr>
            </w:pPr>
            <w:r w:rsidRPr="0059798D">
              <w:rPr>
                <w:rFonts w:cs="Arial"/>
                <w:bCs/>
                <w:color w:val="000000"/>
                <w:szCs w:val="24"/>
              </w:rPr>
              <w:t>The Council will support development where:</w:t>
            </w:r>
          </w:p>
          <w:p w14:paraId="0E0B36E9" w14:textId="77777777" w:rsidR="0059798D" w:rsidRPr="0059798D" w:rsidRDefault="0059798D" w:rsidP="00905CC9">
            <w:pPr>
              <w:keepNext w:val="0"/>
              <w:autoSpaceDE w:val="0"/>
              <w:autoSpaceDN w:val="0"/>
              <w:adjustRightInd w:val="0"/>
              <w:spacing w:before="0"/>
              <w:ind w:left="306"/>
              <w:jc w:val="left"/>
              <w:rPr>
                <w:rFonts w:cs="Arial"/>
                <w:bCs/>
                <w:color w:val="000000"/>
                <w:szCs w:val="24"/>
              </w:rPr>
            </w:pPr>
          </w:p>
          <w:p w14:paraId="5F463E24" w14:textId="77777777" w:rsidR="0059798D" w:rsidRPr="0059798D" w:rsidRDefault="0059798D" w:rsidP="00874A98">
            <w:pPr>
              <w:keepNext w:val="0"/>
              <w:numPr>
                <w:ilvl w:val="1"/>
                <w:numId w:val="233"/>
              </w:numPr>
              <w:autoSpaceDE w:val="0"/>
              <w:autoSpaceDN w:val="0"/>
              <w:adjustRightInd w:val="0"/>
              <w:spacing w:before="0"/>
              <w:ind w:left="720"/>
              <w:contextualSpacing/>
              <w:jc w:val="left"/>
              <w:rPr>
                <w:rFonts w:cs="Arial"/>
                <w:bCs/>
                <w:color w:val="000000"/>
                <w:szCs w:val="24"/>
              </w:rPr>
            </w:pPr>
            <w:r w:rsidRPr="0059798D">
              <w:rPr>
                <w:rFonts w:cs="Arial"/>
                <w:bCs/>
                <w:color w:val="000000"/>
                <w:szCs w:val="24"/>
              </w:rPr>
              <w:t xml:space="preserve">It reduces the need to travel by private motor vehicle and promotes smarter choices (to reduce congestion and air pollution); </w:t>
            </w:r>
          </w:p>
          <w:p w14:paraId="24CADF72" w14:textId="77777777" w:rsidR="0059798D" w:rsidRPr="0059798D" w:rsidRDefault="0059798D" w:rsidP="00905CC9">
            <w:pPr>
              <w:keepNext w:val="0"/>
              <w:autoSpaceDE w:val="0"/>
              <w:autoSpaceDN w:val="0"/>
              <w:adjustRightInd w:val="0"/>
              <w:spacing w:before="0"/>
              <w:ind w:left="11"/>
              <w:contextualSpacing/>
              <w:jc w:val="left"/>
              <w:rPr>
                <w:rFonts w:cs="Arial"/>
                <w:bCs/>
                <w:color w:val="000000"/>
                <w:szCs w:val="24"/>
              </w:rPr>
            </w:pPr>
          </w:p>
          <w:p w14:paraId="15EACF44" w14:textId="77777777" w:rsidR="0059798D" w:rsidRPr="0059798D" w:rsidRDefault="0059798D" w:rsidP="00874A98">
            <w:pPr>
              <w:keepNext w:val="0"/>
              <w:numPr>
                <w:ilvl w:val="1"/>
                <w:numId w:val="233"/>
              </w:numPr>
              <w:autoSpaceDE w:val="0"/>
              <w:autoSpaceDN w:val="0"/>
              <w:adjustRightInd w:val="0"/>
              <w:spacing w:before="0"/>
              <w:ind w:left="720"/>
              <w:contextualSpacing/>
              <w:jc w:val="left"/>
              <w:rPr>
                <w:rFonts w:cs="Arial"/>
                <w:bCs/>
                <w:color w:val="000000"/>
                <w:szCs w:val="24"/>
              </w:rPr>
            </w:pPr>
            <w:r w:rsidRPr="0059798D">
              <w:rPr>
                <w:rFonts w:cs="Arial"/>
                <w:bCs/>
                <w:color w:val="000000"/>
                <w:szCs w:val="24"/>
              </w:rPr>
              <w:t xml:space="preserve">The transport network is well designed, with particular emphasis on high quality materials and appropriate landscape features, taking into consideration the needs of all users; </w:t>
            </w:r>
          </w:p>
          <w:p w14:paraId="6C1E15AE" w14:textId="77777777" w:rsidR="0059798D" w:rsidRPr="0059798D" w:rsidRDefault="0059798D" w:rsidP="00905CC9">
            <w:pPr>
              <w:keepNext w:val="0"/>
              <w:autoSpaceDE w:val="0"/>
              <w:autoSpaceDN w:val="0"/>
              <w:adjustRightInd w:val="0"/>
              <w:spacing w:before="0"/>
              <w:jc w:val="left"/>
              <w:rPr>
                <w:rFonts w:cs="Arial"/>
                <w:bCs/>
                <w:color w:val="000000"/>
                <w:szCs w:val="24"/>
              </w:rPr>
            </w:pPr>
          </w:p>
          <w:p w14:paraId="593293F8" w14:textId="77777777" w:rsidR="0059798D" w:rsidRPr="0059798D" w:rsidRDefault="0059798D" w:rsidP="00874A98">
            <w:pPr>
              <w:keepNext w:val="0"/>
              <w:numPr>
                <w:ilvl w:val="1"/>
                <w:numId w:val="233"/>
              </w:numPr>
              <w:autoSpaceDE w:val="0"/>
              <w:autoSpaceDN w:val="0"/>
              <w:adjustRightInd w:val="0"/>
              <w:spacing w:before="0"/>
              <w:ind w:left="720"/>
              <w:contextualSpacing/>
              <w:jc w:val="left"/>
              <w:rPr>
                <w:rFonts w:cs="Arial"/>
                <w:bCs/>
                <w:color w:val="000000"/>
                <w:szCs w:val="24"/>
              </w:rPr>
            </w:pPr>
            <w:r w:rsidRPr="0059798D">
              <w:rPr>
                <w:rFonts w:cs="Arial"/>
                <w:bCs/>
                <w:color w:val="000000"/>
                <w:szCs w:val="24"/>
              </w:rPr>
              <w:t xml:space="preserve">Parking provision conforms to local standards and can be shown to satisfy the requirements of the development; </w:t>
            </w:r>
          </w:p>
          <w:p w14:paraId="04637055" w14:textId="77777777" w:rsidR="0059798D" w:rsidRPr="0059798D" w:rsidRDefault="0059798D" w:rsidP="00905CC9">
            <w:pPr>
              <w:keepNext w:val="0"/>
              <w:autoSpaceDE w:val="0"/>
              <w:autoSpaceDN w:val="0"/>
              <w:adjustRightInd w:val="0"/>
              <w:spacing w:before="0"/>
              <w:jc w:val="left"/>
              <w:rPr>
                <w:rFonts w:cs="Arial"/>
                <w:bCs/>
                <w:color w:val="000000"/>
                <w:szCs w:val="24"/>
              </w:rPr>
            </w:pPr>
          </w:p>
          <w:p w14:paraId="75D91B2E" w14:textId="77777777" w:rsidR="0059798D" w:rsidRPr="0059798D" w:rsidRDefault="0059798D" w:rsidP="00874A98">
            <w:pPr>
              <w:keepNext w:val="0"/>
              <w:numPr>
                <w:ilvl w:val="1"/>
                <w:numId w:val="233"/>
              </w:numPr>
              <w:autoSpaceDE w:val="0"/>
              <w:autoSpaceDN w:val="0"/>
              <w:adjustRightInd w:val="0"/>
              <w:spacing w:before="0"/>
              <w:ind w:left="720"/>
              <w:contextualSpacing/>
              <w:jc w:val="left"/>
              <w:rPr>
                <w:rFonts w:cs="Arial"/>
                <w:bCs/>
                <w:color w:val="000000"/>
                <w:szCs w:val="24"/>
              </w:rPr>
            </w:pPr>
            <w:r w:rsidRPr="0059798D">
              <w:rPr>
                <w:rFonts w:cs="Arial"/>
                <w:bCs/>
                <w:color w:val="000000"/>
                <w:szCs w:val="24"/>
              </w:rPr>
              <w:t xml:space="preserve">Parking is effectively designed and integrated into the public realm; </w:t>
            </w:r>
          </w:p>
          <w:p w14:paraId="24F4BDA8" w14:textId="77777777" w:rsidR="0059798D" w:rsidRPr="0059798D" w:rsidRDefault="0059798D" w:rsidP="00905CC9">
            <w:pPr>
              <w:keepNext w:val="0"/>
              <w:autoSpaceDE w:val="0"/>
              <w:autoSpaceDN w:val="0"/>
              <w:adjustRightInd w:val="0"/>
              <w:spacing w:before="0"/>
              <w:jc w:val="left"/>
              <w:rPr>
                <w:rFonts w:cs="Arial"/>
                <w:bCs/>
                <w:color w:val="000000"/>
                <w:szCs w:val="24"/>
              </w:rPr>
            </w:pPr>
          </w:p>
          <w:p w14:paraId="5C1C98F1" w14:textId="77777777" w:rsidR="0059798D" w:rsidRPr="0059798D" w:rsidRDefault="0059798D" w:rsidP="00874A98">
            <w:pPr>
              <w:keepNext w:val="0"/>
              <w:numPr>
                <w:ilvl w:val="1"/>
                <w:numId w:val="233"/>
              </w:numPr>
              <w:autoSpaceDE w:val="0"/>
              <w:autoSpaceDN w:val="0"/>
              <w:adjustRightInd w:val="0"/>
              <w:spacing w:before="0"/>
              <w:ind w:left="720"/>
              <w:contextualSpacing/>
              <w:jc w:val="left"/>
              <w:rPr>
                <w:rFonts w:cs="Arial"/>
                <w:bCs/>
                <w:color w:val="000000"/>
                <w:szCs w:val="24"/>
              </w:rPr>
            </w:pPr>
            <w:r w:rsidRPr="0059798D">
              <w:rPr>
                <w:rFonts w:cs="Arial"/>
                <w:bCs/>
                <w:color w:val="000000"/>
                <w:szCs w:val="24"/>
              </w:rPr>
              <w:t xml:space="preserve">It is legible and provides safe, direct and effective access for pedestrians; cyclists; and people with a disability; </w:t>
            </w:r>
          </w:p>
          <w:p w14:paraId="50243742" w14:textId="77777777" w:rsidR="0059798D" w:rsidRPr="0059798D" w:rsidRDefault="0059798D" w:rsidP="00905CC9">
            <w:pPr>
              <w:keepNext w:val="0"/>
              <w:autoSpaceDE w:val="0"/>
              <w:autoSpaceDN w:val="0"/>
              <w:adjustRightInd w:val="0"/>
              <w:spacing w:before="0"/>
              <w:jc w:val="left"/>
              <w:rPr>
                <w:rFonts w:cs="Arial"/>
                <w:bCs/>
                <w:color w:val="000000"/>
                <w:szCs w:val="24"/>
              </w:rPr>
            </w:pPr>
          </w:p>
          <w:p w14:paraId="1868B36C" w14:textId="77777777" w:rsidR="0059798D" w:rsidRPr="0059798D" w:rsidRDefault="0059798D" w:rsidP="00874A98">
            <w:pPr>
              <w:keepNext w:val="0"/>
              <w:numPr>
                <w:ilvl w:val="1"/>
                <w:numId w:val="233"/>
              </w:numPr>
              <w:autoSpaceDE w:val="0"/>
              <w:autoSpaceDN w:val="0"/>
              <w:adjustRightInd w:val="0"/>
              <w:spacing w:before="0"/>
              <w:ind w:left="720"/>
              <w:contextualSpacing/>
              <w:jc w:val="left"/>
              <w:rPr>
                <w:rFonts w:cs="Arial"/>
                <w:bCs/>
                <w:color w:val="000000"/>
                <w:szCs w:val="24"/>
              </w:rPr>
            </w:pPr>
            <w:r w:rsidRPr="0059798D">
              <w:rPr>
                <w:rFonts w:cs="Arial"/>
                <w:bCs/>
                <w:color w:val="000000"/>
                <w:szCs w:val="24"/>
              </w:rPr>
              <w:t xml:space="preserve">It is safe and convenient, and has excellent connections both within the development and to neighbouring areas, and to public transport; </w:t>
            </w:r>
          </w:p>
          <w:p w14:paraId="03B804EA" w14:textId="77777777" w:rsidR="0059798D" w:rsidRPr="0059798D" w:rsidRDefault="0059798D" w:rsidP="00905CC9">
            <w:pPr>
              <w:keepNext w:val="0"/>
              <w:autoSpaceDE w:val="0"/>
              <w:autoSpaceDN w:val="0"/>
              <w:adjustRightInd w:val="0"/>
              <w:spacing w:before="0"/>
              <w:jc w:val="left"/>
              <w:rPr>
                <w:rFonts w:cs="Arial"/>
                <w:bCs/>
                <w:color w:val="000000"/>
                <w:szCs w:val="24"/>
              </w:rPr>
            </w:pPr>
          </w:p>
          <w:p w14:paraId="45A12DD8" w14:textId="77777777" w:rsidR="0059798D" w:rsidRPr="0059798D" w:rsidRDefault="0059798D" w:rsidP="00874A98">
            <w:pPr>
              <w:keepNext w:val="0"/>
              <w:numPr>
                <w:ilvl w:val="1"/>
                <w:numId w:val="233"/>
              </w:numPr>
              <w:autoSpaceDE w:val="0"/>
              <w:autoSpaceDN w:val="0"/>
              <w:adjustRightInd w:val="0"/>
              <w:spacing w:before="0"/>
              <w:ind w:left="720"/>
              <w:contextualSpacing/>
              <w:jc w:val="left"/>
              <w:rPr>
                <w:rFonts w:cs="Arial"/>
                <w:bCs/>
                <w:color w:val="000000"/>
                <w:szCs w:val="24"/>
              </w:rPr>
            </w:pPr>
            <w:r w:rsidRPr="0059798D">
              <w:rPr>
                <w:rFonts w:cs="Arial"/>
                <w:bCs/>
                <w:color w:val="000000"/>
                <w:szCs w:val="24"/>
              </w:rPr>
              <w:t xml:space="preserve">It promotes the safe and efficient flow of traffic on the highway network; </w:t>
            </w:r>
            <w:r w:rsidRPr="002B2EB1">
              <w:rPr>
                <w:rFonts w:cs="Arial"/>
                <w:bCs/>
                <w:strike/>
                <w:color w:val="000000"/>
                <w:szCs w:val="24"/>
              </w:rPr>
              <w:t>and</w:t>
            </w:r>
            <w:r w:rsidRPr="0059798D">
              <w:rPr>
                <w:rFonts w:cs="Arial"/>
                <w:bCs/>
                <w:color w:val="000000"/>
                <w:szCs w:val="24"/>
              </w:rPr>
              <w:t xml:space="preserve"> </w:t>
            </w:r>
          </w:p>
          <w:p w14:paraId="53689115" w14:textId="77777777" w:rsidR="0059798D" w:rsidRPr="0059798D" w:rsidRDefault="0059798D" w:rsidP="00905CC9">
            <w:pPr>
              <w:keepNext w:val="0"/>
              <w:autoSpaceDE w:val="0"/>
              <w:autoSpaceDN w:val="0"/>
              <w:adjustRightInd w:val="0"/>
              <w:spacing w:before="0"/>
              <w:ind w:left="720"/>
              <w:contextualSpacing/>
              <w:jc w:val="left"/>
              <w:rPr>
                <w:rFonts w:cs="Arial"/>
                <w:bCs/>
                <w:color w:val="000000"/>
                <w:szCs w:val="24"/>
              </w:rPr>
            </w:pPr>
          </w:p>
          <w:p w14:paraId="25D6A06D" w14:textId="17844AE7" w:rsidR="006458E1" w:rsidRPr="000663FF" w:rsidRDefault="0059798D" w:rsidP="00874A98">
            <w:pPr>
              <w:keepNext w:val="0"/>
              <w:numPr>
                <w:ilvl w:val="1"/>
                <w:numId w:val="233"/>
              </w:numPr>
              <w:autoSpaceDE w:val="0"/>
              <w:autoSpaceDN w:val="0"/>
              <w:adjustRightInd w:val="0"/>
              <w:spacing w:before="0"/>
              <w:ind w:left="720"/>
              <w:contextualSpacing/>
              <w:jc w:val="left"/>
              <w:rPr>
                <w:rFonts w:eastAsia="Arial"/>
                <w:bCs/>
                <w:color w:val="auto"/>
              </w:rPr>
            </w:pPr>
            <w:r w:rsidRPr="0059798D">
              <w:rPr>
                <w:bCs/>
                <w:color w:val="auto"/>
              </w:rPr>
              <w:t>Suitable provision is made for cyclists and people with a disability, where necessary</w:t>
            </w:r>
            <w:r w:rsidR="002B2EB1" w:rsidRPr="000663FF">
              <w:rPr>
                <w:bCs/>
                <w:color w:val="auto"/>
              </w:rPr>
              <w:t>; and</w:t>
            </w:r>
          </w:p>
          <w:p w14:paraId="3053B93B" w14:textId="77777777" w:rsidR="0059798D" w:rsidRPr="0059798D" w:rsidRDefault="0059798D" w:rsidP="006458E1">
            <w:pPr>
              <w:keepNext w:val="0"/>
              <w:autoSpaceDE w:val="0"/>
              <w:autoSpaceDN w:val="0"/>
              <w:adjustRightInd w:val="0"/>
              <w:spacing w:before="0"/>
              <w:contextualSpacing/>
              <w:jc w:val="left"/>
              <w:rPr>
                <w:rFonts w:eastAsia="Arial"/>
                <w:bCs/>
                <w:color w:val="auto"/>
              </w:rPr>
            </w:pPr>
          </w:p>
          <w:p w14:paraId="70ACF2D3" w14:textId="102E0D5B" w:rsidR="0059798D" w:rsidRDefault="0059798D" w:rsidP="00874A98">
            <w:pPr>
              <w:keepNext w:val="0"/>
              <w:numPr>
                <w:ilvl w:val="1"/>
                <w:numId w:val="233"/>
              </w:numPr>
              <w:tabs>
                <w:tab w:val="left" w:pos="680"/>
                <w:tab w:val="left" w:pos="1133"/>
                <w:tab w:val="left" w:pos="2267"/>
              </w:tabs>
              <w:autoSpaceDE w:val="0"/>
              <w:autoSpaceDN w:val="0"/>
              <w:adjustRightInd w:val="0"/>
              <w:spacing w:before="0"/>
              <w:ind w:left="731" w:right="284"/>
              <w:contextualSpacing/>
              <w:jc w:val="left"/>
              <w:rPr>
                <w:rFonts w:eastAsia="Arial"/>
                <w:bCs/>
                <w:color w:val="auto"/>
              </w:rPr>
            </w:pPr>
            <w:r w:rsidRPr="0059798D">
              <w:rPr>
                <w:rFonts w:eastAsia="Arial"/>
                <w:bCs/>
                <w:color w:val="auto"/>
              </w:rPr>
              <w:t>The standards and principles set out in national best practice guidance are incorporated into the scheme.</w:t>
            </w:r>
          </w:p>
          <w:p w14:paraId="51C315D4" w14:textId="77777777" w:rsidR="006458E1" w:rsidRPr="006458E1" w:rsidRDefault="006458E1" w:rsidP="006458E1">
            <w:pPr>
              <w:keepNext w:val="0"/>
              <w:tabs>
                <w:tab w:val="left" w:pos="680"/>
                <w:tab w:val="left" w:pos="1133"/>
                <w:tab w:val="left" w:pos="2267"/>
              </w:tabs>
              <w:autoSpaceDE w:val="0"/>
              <w:autoSpaceDN w:val="0"/>
              <w:adjustRightInd w:val="0"/>
              <w:spacing w:before="0"/>
              <w:ind w:right="284"/>
              <w:contextualSpacing/>
              <w:jc w:val="left"/>
              <w:rPr>
                <w:rFonts w:eastAsia="Arial"/>
                <w:bCs/>
                <w:color w:val="auto"/>
              </w:rPr>
            </w:pPr>
          </w:p>
          <w:p w14:paraId="35EC8A34" w14:textId="77777777" w:rsidR="0059798D" w:rsidRPr="000A1A0B" w:rsidRDefault="0059798D" w:rsidP="00874A98">
            <w:pPr>
              <w:keepNext w:val="0"/>
              <w:numPr>
                <w:ilvl w:val="0"/>
                <w:numId w:val="233"/>
              </w:numPr>
              <w:tabs>
                <w:tab w:val="left" w:pos="680"/>
                <w:tab w:val="left" w:pos="1133"/>
                <w:tab w:val="left" w:pos="2267"/>
              </w:tabs>
              <w:spacing w:before="0"/>
              <w:ind w:right="284"/>
              <w:jc w:val="left"/>
              <w:rPr>
                <w:rFonts w:eastAsia="Arial" w:cs="Arial"/>
                <w:bCs/>
                <w:color w:val="auto"/>
              </w:rPr>
            </w:pPr>
            <w:r w:rsidRPr="0059798D">
              <w:rPr>
                <w:rFonts w:eastAsia="Arial"/>
                <w:bCs/>
                <w:color w:val="auto"/>
              </w:rPr>
              <w:t>Proposed new development should:</w:t>
            </w:r>
          </w:p>
          <w:p w14:paraId="4E7EC8FA" w14:textId="77777777" w:rsidR="0059798D" w:rsidRPr="000A1A0B" w:rsidRDefault="0059798D" w:rsidP="00905CC9">
            <w:pPr>
              <w:keepNext w:val="0"/>
              <w:tabs>
                <w:tab w:val="left" w:pos="680"/>
                <w:tab w:val="left" w:pos="1133"/>
                <w:tab w:val="left" w:pos="2267"/>
              </w:tabs>
              <w:spacing w:before="0"/>
              <w:ind w:left="360" w:right="284"/>
              <w:jc w:val="left"/>
              <w:rPr>
                <w:rFonts w:eastAsia="Arial" w:cs="Arial"/>
                <w:bCs/>
                <w:color w:val="auto"/>
              </w:rPr>
            </w:pPr>
          </w:p>
          <w:p w14:paraId="085684A8" w14:textId="0A01E9FB" w:rsidR="000A1A0B" w:rsidRDefault="0059798D" w:rsidP="00874A98">
            <w:pPr>
              <w:pStyle w:val="ListParagraph"/>
              <w:numPr>
                <w:ilvl w:val="0"/>
                <w:numId w:val="237"/>
              </w:numPr>
              <w:tabs>
                <w:tab w:val="left" w:pos="680"/>
                <w:tab w:val="left" w:pos="1133"/>
                <w:tab w:val="left" w:pos="2267"/>
              </w:tabs>
              <w:spacing w:after="0" w:line="240" w:lineRule="auto"/>
              <w:ind w:right="284"/>
              <w:jc w:val="left"/>
              <w:rPr>
                <w:rFonts w:ascii="Arial" w:eastAsia="Arial" w:hAnsi="Arial" w:cs="Arial"/>
                <w:bCs/>
                <w:color w:val="auto"/>
              </w:rPr>
            </w:pPr>
            <w:r w:rsidRPr="000A1A0B">
              <w:rPr>
                <w:rFonts w:ascii="Arial" w:eastAsia="Arial" w:hAnsi="Arial" w:cs="Arial"/>
                <w:bCs/>
                <w:color w:val="auto"/>
              </w:rPr>
              <w:t>Protect established rights of way and cycle routes. Where possible, these should be incorporated into the scheme. If this is not practical, established rights of way or cycle routes should be re-directed via the most suitable route to maintain the connection to the neighbouring areas and the green infrastructure network.</w:t>
            </w:r>
          </w:p>
          <w:p w14:paraId="02983EFC" w14:textId="77777777" w:rsidR="006458E1" w:rsidRPr="000A1A0B" w:rsidRDefault="006458E1" w:rsidP="00D95EFE">
            <w:pPr>
              <w:pStyle w:val="ListParagraph"/>
              <w:tabs>
                <w:tab w:val="left" w:pos="680"/>
                <w:tab w:val="left" w:pos="1133"/>
                <w:tab w:val="left" w:pos="2267"/>
              </w:tabs>
              <w:spacing w:after="0" w:line="240" w:lineRule="auto"/>
              <w:ind w:right="284"/>
              <w:jc w:val="left"/>
              <w:rPr>
                <w:rFonts w:ascii="Arial" w:eastAsia="Arial" w:hAnsi="Arial" w:cs="Arial"/>
                <w:bCs/>
                <w:color w:val="auto"/>
              </w:rPr>
            </w:pPr>
          </w:p>
          <w:p w14:paraId="5CFB9B69" w14:textId="68430FF1" w:rsidR="0059798D" w:rsidRPr="000663FF" w:rsidRDefault="0059798D" w:rsidP="00874A98">
            <w:pPr>
              <w:pStyle w:val="ListParagraph"/>
              <w:numPr>
                <w:ilvl w:val="0"/>
                <w:numId w:val="237"/>
              </w:numPr>
              <w:tabs>
                <w:tab w:val="left" w:pos="680"/>
                <w:tab w:val="left" w:pos="1133"/>
                <w:tab w:val="left" w:pos="2267"/>
              </w:tabs>
              <w:spacing w:after="0" w:line="240" w:lineRule="auto"/>
              <w:ind w:right="284"/>
              <w:jc w:val="left"/>
              <w:rPr>
                <w:rFonts w:ascii="Arial" w:eastAsia="Arial" w:hAnsi="Arial" w:cs="Arial"/>
                <w:bCs/>
                <w:color w:val="auto"/>
              </w:rPr>
            </w:pPr>
            <w:r w:rsidRPr="000663FF">
              <w:rPr>
                <w:rFonts w:ascii="Arial" w:eastAsia="Arial" w:hAnsi="Arial" w:cs="Arial"/>
                <w:bCs/>
                <w:color w:val="auto"/>
              </w:rPr>
              <w:t>Where appropriate, create new rights of way and cycle routes which connect to the neighbouring areas and to the green infrastructure network.</w:t>
            </w:r>
          </w:p>
          <w:p w14:paraId="6FC77507" w14:textId="77777777" w:rsidR="00CD2C7D" w:rsidRPr="000663FF" w:rsidRDefault="00CD2C7D" w:rsidP="00D95EFE">
            <w:pPr>
              <w:tabs>
                <w:tab w:val="left" w:pos="680"/>
                <w:tab w:val="left" w:pos="1133"/>
                <w:tab w:val="left" w:pos="2267"/>
              </w:tabs>
              <w:spacing w:before="0"/>
              <w:ind w:right="284"/>
              <w:rPr>
                <w:rFonts w:eastAsia="Arial" w:cs="Arial"/>
                <w:bCs/>
                <w:color w:val="auto"/>
              </w:rPr>
            </w:pPr>
          </w:p>
          <w:p w14:paraId="5889CEE2" w14:textId="49E452D7" w:rsidR="006458E1" w:rsidRPr="000663FF" w:rsidRDefault="006458E1" w:rsidP="00874A98">
            <w:pPr>
              <w:pStyle w:val="ListParagraph"/>
              <w:numPr>
                <w:ilvl w:val="0"/>
                <w:numId w:val="237"/>
              </w:numPr>
              <w:spacing w:after="0" w:line="240" w:lineRule="auto"/>
              <w:ind w:left="714" w:hanging="357"/>
              <w:jc w:val="left"/>
              <w:rPr>
                <w:rFonts w:ascii="Arial" w:eastAsia="Arial" w:hAnsi="Arial" w:cs="Arial"/>
                <w:bCs/>
                <w:color w:val="auto"/>
              </w:rPr>
            </w:pPr>
            <w:r w:rsidRPr="000663FF">
              <w:rPr>
                <w:rFonts w:ascii="Arial" w:eastAsia="Arial" w:hAnsi="Arial" w:cs="Arial"/>
                <w:bCs/>
                <w:color w:val="auto"/>
              </w:rPr>
              <w:t>In the vicinity of railway level crossings (both vehicular and pedestrian), assess the potential increase in risk at each crossing affected and undertake improvements that are necessary to mitigate the identified risk.</w:t>
            </w:r>
          </w:p>
          <w:p w14:paraId="3B85E74F" w14:textId="77777777" w:rsidR="0059798D" w:rsidRPr="000663FF" w:rsidRDefault="0059798D" w:rsidP="00905CC9">
            <w:pPr>
              <w:keepNext w:val="0"/>
              <w:tabs>
                <w:tab w:val="left" w:pos="680"/>
                <w:tab w:val="left" w:pos="1133"/>
                <w:tab w:val="left" w:pos="2267"/>
              </w:tabs>
              <w:spacing w:before="0"/>
              <w:ind w:left="360" w:right="284"/>
              <w:jc w:val="left"/>
              <w:rPr>
                <w:rFonts w:eastAsia="Arial" w:cs="Arial"/>
                <w:bCs/>
                <w:color w:val="auto"/>
              </w:rPr>
            </w:pPr>
          </w:p>
          <w:p w14:paraId="1B078536" w14:textId="77777777" w:rsidR="0059798D" w:rsidRPr="0059798D" w:rsidRDefault="0059798D" w:rsidP="00874A98">
            <w:pPr>
              <w:keepNext w:val="0"/>
              <w:numPr>
                <w:ilvl w:val="0"/>
                <w:numId w:val="233"/>
              </w:numPr>
              <w:tabs>
                <w:tab w:val="left" w:pos="680"/>
                <w:tab w:val="left" w:pos="1133"/>
                <w:tab w:val="left" w:pos="2267"/>
              </w:tabs>
              <w:spacing w:before="0"/>
              <w:ind w:right="284"/>
              <w:jc w:val="left"/>
              <w:rPr>
                <w:rFonts w:eastAsia="Arial" w:cs="Arial"/>
                <w:bCs/>
                <w:color w:val="auto"/>
                <w:szCs w:val="24"/>
              </w:rPr>
            </w:pPr>
            <w:r w:rsidRPr="000663FF">
              <w:rPr>
                <w:rFonts w:eastAsia="Arial" w:cs="Arial"/>
                <w:bCs/>
                <w:color w:val="auto"/>
                <w:szCs w:val="24"/>
              </w:rPr>
              <w:t xml:space="preserve">New development, singularly or combined with other proposed development, should demonstrate that a sufficient package of measures </w:t>
            </w:r>
            <w:r w:rsidRPr="0059798D">
              <w:rPr>
                <w:rFonts w:eastAsia="Arial" w:cs="Arial"/>
                <w:bCs/>
                <w:color w:val="auto"/>
                <w:szCs w:val="24"/>
              </w:rPr>
              <w:t>are proposed as part of the development to ensure that the wider transport system, in terms of effective operation, is not compromised.  Where development places additional demands on transport infrastructure appropriate mitigation will be required.</w:t>
            </w:r>
          </w:p>
          <w:p w14:paraId="0A8E3559" w14:textId="77777777" w:rsidR="0059798D" w:rsidRPr="0059798D" w:rsidRDefault="0059798D" w:rsidP="00905CC9">
            <w:pPr>
              <w:keepNext w:val="0"/>
              <w:tabs>
                <w:tab w:val="left" w:pos="680"/>
                <w:tab w:val="left" w:pos="1133"/>
                <w:tab w:val="left" w:pos="2267"/>
              </w:tabs>
              <w:spacing w:before="0"/>
              <w:ind w:left="360" w:right="284"/>
              <w:jc w:val="left"/>
              <w:rPr>
                <w:rFonts w:eastAsia="Arial" w:cs="Arial"/>
                <w:bCs/>
                <w:color w:val="auto"/>
                <w:szCs w:val="24"/>
              </w:rPr>
            </w:pPr>
          </w:p>
          <w:p w14:paraId="0CA14AD0" w14:textId="77777777" w:rsidR="0059798D" w:rsidRPr="0059798D" w:rsidRDefault="0059798D" w:rsidP="00874A98">
            <w:pPr>
              <w:keepNext w:val="0"/>
              <w:numPr>
                <w:ilvl w:val="0"/>
                <w:numId w:val="233"/>
              </w:numPr>
              <w:tabs>
                <w:tab w:val="left" w:pos="680"/>
                <w:tab w:val="left" w:pos="1133"/>
                <w:tab w:val="left" w:pos="2267"/>
              </w:tabs>
              <w:spacing w:before="0"/>
              <w:ind w:right="284"/>
              <w:jc w:val="left"/>
              <w:rPr>
                <w:rFonts w:eastAsia="Arial"/>
                <w:bCs/>
                <w:color w:val="auto"/>
              </w:rPr>
            </w:pPr>
            <w:r w:rsidRPr="0059798D">
              <w:rPr>
                <w:rFonts w:eastAsia="Arial"/>
                <w:bCs/>
                <w:color w:val="auto"/>
              </w:rPr>
              <w:t>Transport Assessments should be submitted alongside applications for large scale development. Smaller scale developments will require a Transport Statement. Comprehensive Travel Plans should also be devised for residential developments and commercial development schemes where necessary, in accordance with Highway Authority standards.</w:t>
            </w:r>
          </w:p>
          <w:p w14:paraId="30241C67" w14:textId="77777777" w:rsidR="0059798D" w:rsidRPr="0059798D" w:rsidRDefault="0059798D" w:rsidP="00905CC9">
            <w:pPr>
              <w:keepNext w:val="0"/>
              <w:tabs>
                <w:tab w:val="left" w:pos="709"/>
                <w:tab w:val="left" w:pos="1133"/>
                <w:tab w:val="left" w:pos="2267"/>
              </w:tabs>
              <w:autoSpaceDE w:val="0"/>
              <w:autoSpaceDN w:val="0"/>
              <w:adjustRightInd w:val="0"/>
              <w:spacing w:before="0"/>
              <w:ind w:right="284"/>
              <w:jc w:val="left"/>
              <w:rPr>
                <w:rFonts w:eastAsia="Arial"/>
                <w:bCs/>
                <w:color w:val="auto"/>
              </w:rPr>
            </w:pPr>
          </w:p>
        </w:tc>
      </w:tr>
      <w:tr w:rsidR="00B22DC9" w:rsidRPr="0059798D" w14:paraId="7B2332B3" w14:textId="77777777" w:rsidTr="00DD4136">
        <w:tc>
          <w:tcPr>
            <w:tcW w:w="2263" w:type="dxa"/>
          </w:tcPr>
          <w:p w14:paraId="45E96668" w14:textId="7160F74E" w:rsidR="00B22DC9" w:rsidRPr="00B22DC9" w:rsidRDefault="00B22DC9" w:rsidP="00905CC9">
            <w:pPr>
              <w:keepNext w:val="0"/>
              <w:tabs>
                <w:tab w:val="left" w:pos="680"/>
                <w:tab w:val="left" w:pos="1133"/>
                <w:tab w:val="left" w:pos="2267"/>
              </w:tabs>
              <w:spacing w:before="0"/>
              <w:ind w:right="284"/>
              <w:jc w:val="left"/>
              <w:rPr>
                <w:rFonts w:eastAsia="Arial" w:cs="Arial"/>
                <w:b/>
                <w:color w:val="auto"/>
                <w:szCs w:val="24"/>
              </w:rPr>
            </w:pPr>
            <w:r w:rsidRPr="00B22DC9">
              <w:rPr>
                <w:rFonts w:eastAsia="Arial" w:cs="Arial"/>
                <w:bCs/>
                <w:color w:val="auto"/>
                <w:sz w:val="20"/>
              </w:rPr>
              <w:t>Evidence base</w:t>
            </w:r>
          </w:p>
        </w:tc>
        <w:tc>
          <w:tcPr>
            <w:tcW w:w="7371" w:type="dxa"/>
          </w:tcPr>
          <w:p w14:paraId="59174258" w14:textId="57280947" w:rsidR="00B22DC9" w:rsidRPr="000663FF" w:rsidRDefault="00B22DC9" w:rsidP="00874A98">
            <w:pPr>
              <w:pStyle w:val="ListParagraph"/>
              <w:numPr>
                <w:ilvl w:val="0"/>
                <w:numId w:val="235"/>
              </w:numPr>
              <w:tabs>
                <w:tab w:val="left" w:pos="680"/>
                <w:tab w:val="left" w:pos="1133"/>
                <w:tab w:val="left" w:pos="2267"/>
              </w:tabs>
              <w:spacing w:after="0" w:line="240" w:lineRule="auto"/>
              <w:ind w:left="357" w:right="284" w:hanging="357"/>
              <w:jc w:val="left"/>
              <w:rPr>
                <w:rFonts w:ascii="Arial" w:eastAsia="Arial" w:hAnsi="Arial" w:cs="Arial"/>
                <w:bCs/>
                <w:color w:val="auto"/>
                <w:sz w:val="20"/>
                <w:szCs w:val="20"/>
              </w:rPr>
            </w:pPr>
            <w:r w:rsidRPr="000663FF">
              <w:rPr>
                <w:rFonts w:ascii="Arial" w:eastAsia="Arial" w:hAnsi="Arial" w:cs="Arial"/>
                <w:bCs/>
                <w:color w:val="auto"/>
                <w:sz w:val="20"/>
              </w:rPr>
              <w:t>Sustainability Appraisal,</w:t>
            </w:r>
            <w:r w:rsidR="0025538D" w:rsidRPr="000663FF">
              <w:rPr>
                <w:rFonts w:ascii="Arial" w:eastAsia="Arial" w:hAnsi="Arial" w:cs="Arial"/>
                <w:bCs/>
                <w:color w:val="auto"/>
                <w:sz w:val="20"/>
              </w:rPr>
              <w:t xml:space="preserve"> </w:t>
            </w:r>
            <w:r w:rsidRPr="000663FF">
              <w:rPr>
                <w:rFonts w:ascii="Arial" w:eastAsia="Arial" w:hAnsi="Arial" w:cs="Arial"/>
                <w:bCs/>
                <w:color w:val="auto"/>
                <w:sz w:val="20"/>
              </w:rPr>
              <w:t>202</w:t>
            </w:r>
            <w:r w:rsidR="0025538D" w:rsidRPr="000663FF">
              <w:rPr>
                <w:rFonts w:ascii="Arial" w:eastAsia="Arial" w:hAnsi="Arial" w:cs="Arial"/>
                <w:bCs/>
                <w:color w:val="auto"/>
                <w:sz w:val="20"/>
              </w:rPr>
              <w:t>3</w:t>
            </w:r>
            <w:r w:rsidRPr="000663FF">
              <w:rPr>
                <w:rFonts w:ascii="Arial" w:eastAsia="Arial" w:hAnsi="Arial" w:cs="Arial"/>
                <w:bCs/>
                <w:color w:val="auto"/>
                <w:sz w:val="20"/>
              </w:rPr>
              <w:t xml:space="preserve">. </w:t>
            </w:r>
            <w:r w:rsidR="0025538D" w:rsidRPr="000663FF">
              <w:rPr>
                <w:rFonts w:ascii="Arial" w:eastAsia="Arial" w:hAnsi="Arial" w:cs="Arial"/>
                <w:bCs/>
                <w:color w:val="auto"/>
                <w:sz w:val="20"/>
              </w:rPr>
              <w:t>WSP UK Limited</w:t>
            </w:r>
            <w:r w:rsidRPr="000663FF">
              <w:rPr>
                <w:rFonts w:ascii="Arial" w:eastAsia="Arial" w:hAnsi="Arial" w:cs="Arial"/>
                <w:bCs/>
                <w:color w:val="auto"/>
                <w:sz w:val="20"/>
              </w:rPr>
              <w:t xml:space="preserve">. </w:t>
            </w:r>
          </w:p>
          <w:p w14:paraId="74EB8224" w14:textId="45FA03AB" w:rsidR="00B22DC9" w:rsidRPr="000663FF" w:rsidRDefault="00B22DC9" w:rsidP="00874A98">
            <w:pPr>
              <w:pStyle w:val="ListParagraph"/>
              <w:numPr>
                <w:ilvl w:val="0"/>
                <w:numId w:val="235"/>
              </w:numPr>
              <w:tabs>
                <w:tab w:val="left" w:pos="680"/>
                <w:tab w:val="left" w:pos="1133"/>
                <w:tab w:val="left" w:pos="2267"/>
              </w:tabs>
              <w:spacing w:after="0" w:line="240" w:lineRule="auto"/>
              <w:ind w:left="357" w:right="284" w:hanging="357"/>
              <w:jc w:val="left"/>
              <w:rPr>
                <w:rFonts w:ascii="Arial" w:eastAsia="Arial" w:hAnsi="Arial" w:cs="Arial"/>
                <w:bCs/>
                <w:color w:val="auto"/>
                <w:sz w:val="20"/>
                <w:szCs w:val="20"/>
              </w:rPr>
            </w:pPr>
            <w:r w:rsidRPr="000663FF">
              <w:rPr>
                <w:rFonts w:ascii="Arial" w:eastAsia="Arial" w:hAnsi="Arial" w:cs="Arial"/>
                <w:bCs/>
                <w:color w:val="auto"/>
                <w:sz w:val="20"/>
                <w:szCs w:val="20"/>
              </w:rPr>
              <w:t>Ashfield Transport Study 20</w:t>
            </w:r>
            <w:r w:rsidR="000663FF" w:rsidRPr="000663FF">
              <w:rPr>
                <w:rFonts w:ascii="Arial" w:eastAsia="Arial" w:hAnsi="Arial" w:cs="Arial"/>
                <w:bCs/>
                <w:color w:val="auto"/>
                <w:sz w:val="20"/>
                <w:szCs w:val="20"/>
              </w:rPr>
              <w:t>23</w:t>
            </w:r>
            <w:r w:rsidRPr="000663FF">
              <w:rPr>
                <w:rFonts w:ascii="Arial" w:eastAsia="Arial" w:hAnsi="Arial" w:cs="Arial"/>
                <w:bCs/>
                <w:color w:val="auto"/>
                <w:sz w:val="20"/>
                <w:szCs w:val="20"/>
              </w:rPr>
              <w:t xml:space="preserve">. Systra. </w:t>
            </w:r>
          </w:p>
          <w:p w14:paraId="4348445A" w14:textId="77777777" w:rsidR="00B22DC9" w:rsidRPr="000663FF" w:rsidRDefault="00B22DC9" w:rsidP="00874A98">
            <w:pPr>
              <w:pStyle w:val="ListParagraph"/>
              <w:numPr>
                <w:ilvl w:val="0"/>
                <w:numId w:val="235"/>
              </w:numPr>
              <w:tabs>
                <w:tab w:val="left" w:pos="680"/>
                <w:tab w:val="left" w:pos="1133"/>
                <w:tab w:val="left" w:pos="2267"/>
              </w:tabs>
              <w:spacing w:after="0" w:line="240" w:lineRule="auto"/>
              <w:ind w:left="357" w:right="284" w:hanging="357"/>
              <w:jc w:val="left"/>
              <w:rPr>
                <w:rFonts w:ascii="Arial" w:eastAsia="Arial" w:hAnsi="Arial" w:cs="Arial"/>
                <w:bCs/>
                <w:color w:val="auto"/>
                <w:sz w:val="20"/>
                <w:szCs w:val="20"/>
              </w:rPr>
            </w:pPr>
            <w:r w:rsidRPr="000663FF">
              <w:rPr>
                <w:rFonts w:ascii="Arial" w:eastAsia="Arial" w:hAnsi="Arial" w:cs="Arial"/>
                <w:bCs/>
                <w:color w:val="auto"/>
                <w:sz w:val="20"/>
              </w:rPr>
              <w:t>Nottinghamshire Local Transport Plan Strategy 2011 – 2026. Nottinghamshire County Council.</w:t>
            </w:r>
          </w:p>
          <w:p w14:paraId="3D62A8E3" w14:textId="52E4C5D5" w:rsidR="006E3758" w:rsidRPr="000663FF" w:rsidRDefault="006E3758" w:rsidP="00874A98">
            <w:pPr>
              <w:pStyle w:val="ListParagraph"/>
              <w:numPr>
                <w:ilvl w:val="0"/>
                <w:numId w:val="235"/>
              </w:numPr>
              <w:tabs>
                <w:tab w:val="left" w:pos="680"/>
                <w:tab w:val="left" w:pos="1133"/>
                <w:tab w:val="left" w:pos="2267"/>
              </w:tabs>
              <w:ind w:right="284"/>
              <w:jc w:val="left"/>
              <w:rPr>
                <w:rFonts w:ascii="Arial" w:eastAsia="Arial" w:hAnsi="Arial" w:cs="Arial"/>
                <w:bCs/>
                <w:color w:val="auto"/>
                <w:sz w:val="20"/>
                <w:szCs w:val="20"/>
              </w:rPr>
            </w:pPr>
            <w:r w:rsidRPr="000663FF">
              <w:rPr>
                <w:rFonts w:ascii="Arial" w:eastAsia="Arial" w:hAnsi="Arial" w:cs="Arial"/>
                <w:bCs/>
                <w:color w:val="auto"/>
                <w:sz w:val="20"/>
                <w:szCs w:val="20"/>
              </w:rPr>
              <w:t>Gear change: a bold vision for cycling and walking (2020) Department for Transport.</w:t>
            </w:r>
          </w:p>
          <w:p w14:paraId="4D0585E8" w14:textId="77777777" w:rsidR="006E3758" w:rsidRPr="000663FF" w:rsidRDefault="006E3758" w:rsidP="00874A98">
            <w:pPr>
              <w:pStyle w:val="ListParagraph"/>
              <w:numPr>
                <w:ilvl w:val="0"/>
                <w:numId w:val="235"/>
              </w:numPr>
              <w:tabs>
                <w:tab w:val="left" w:pos="680"/>
                <w:tab w:val="left" w:pos="1133"/>
                <w:tab w:val="left" w:pos="2267"/>
              </w:tabs>
              <w:spacing w:after="0" w:line="240" w:lineRule="auto"/>
              <w:ind w:right="284"/>
              <w:jc w:val="left"/>
              <w:rPr>
                <w:rFonts w:ascii="Arial" w:eastAsia="Arial" w:hAnsi="Arial" w:cs="Arial"/>
                <w:bCs/>
                <w:color w:val="auto"/>
                <w:sz w:val="20"/>
                <w:szCs w:val="20"/>
              </w:rPr>
            </w:pPr>
            <w:r w:rsidRPr="000663FF">
              <w:rPr>
                <w:rFonts w:ascii="Arial" w:eastAsia="Arial" w:hAnsi="Arial" w:cs="Arial"/>
                <w:bCs/>
                <w:color w:val="auto"/>
                <w:sz w:val="20"/>
                <w:szCs w:val="20"/>
              </w:rPr>
              <w:t>Cycle infrastructure design (LTN 1/20) (2020), Department for Transport.</w:t>
            </w:r>
          </w:p>
          <w:p w14:paraId="6569E5E5" w14:textId="77777777" w:rsidR="00FC3D87" w:rsidRPr="000663FF" w:rsidRDefault="00FC3D87" w:rsidP="00874A98">
            <w:pPr>
              <w:pStyle w:val="ListParagraph"/>
              <w:numPr>
                <w:ilvl w:val="0"/>
                <w:numId w:val="235"/>
              </w:numPr>
              <w:tabs>
                <w:tab w:val="left" w:pos="680"/>
                <w:tab w:val="left" w:pos="1133"/>
                <w:tab w:val="left" w:pos="2267"/>
              </w:tabs>
              <w:spacing w:after="0" w:line="240" w:lineRule="auto"/>
              <w:ind w:right="284"/>
              <w:jc w:val="left"/>
              <w:rPr>
                <w:rFonts w:ascii="Arial" w:eastAsia="Arial" w:hAnsi="Arial" w:cs="Arial"/>
                <w:bCs/>
                <w:color w:val="auto"/>
                <w:sz w:val="20"/>
                <w:szCs w:val="20"/>
              </w:rPr>
            </w:pPr>
            <w:r w:rsidRPr="000663FF">
              <w:rPr>
                <w:rFonts w:ascii="Arial" w:eastAsia="Arial" w:hAnsi="Arial" w:cs="Arial"/>
                <w:bCs/>
                <w:color w:val="auto"/>
                <w:sz w:val="20"/>
                <w:szCs w:val="20"/>
              </w:rPr>
              <w:t>National Bus Strategy for England, 2021, Department of Transport</w:t>
            </w:r>
          </w:p>
          <w:p w14:paraId="260A7B26" w14:textId="1E64E174" w:rsidR="00BF7431" w:rsidRPr="00BF7431" w:rsidRDefault="00BF7431" w:rsidP="00874A98">
            <w:pPr>
              <w:pStyle w:val="ListParagraph"/>
              <w:numPr>
                <w:ilvl w:val="0"/>
                <w:numId w:val="235"/>
              </w:numPr>
              <w:tabs>
                <w:tab w:val="left" w:pos="680"/>
                <w:tab w:val="left" w:pos="1133"/>
                <w:tab w:val="left" w:pos="2267"/>
              </w:tabs>
              <w:spacing w:after="0" w:line="240" w:lineRule="auto"/>
              <w:ind w:right="284"/>
              <w:jc w:val="left"/>
              <w:rPr>
                <w:rFonts w:ascii="Arial" w:eastAsia="Arial" w:hAnsi="Arial" w:cs="Arial"/>
                <w:bCs/>
                <w:color w:val="auto"/>
                <w:sz w:val="20"/>
                <w:szCs w:val="20"/>
              </w:rPr>
            </w:pPr>
            <w:r w:rsidRPr="000663FF">
              <w:rPr>
                <w:rFonts w:ascii="Arial" w:hAnsi="Arial" w:cs="Arial"/>
                <w:color w:val="auto"/>
                <w:sz w:val="20"/>
              </w:rPr>
              <w:t>Ashfield Green &amp; Blue Infrastructure and Biodiversity Strategy. Ashfield District Council, 2022-2032.</w:t>
            </w:r>
          </w:p>
        </w:tc>
      </w:tr>
      <w:tr w:rsidR="00B22DC9" w:rsidRPr="0059798D" w14:paraId="78141354" w14:textId="77777777" w:rsidTr="00DD4136">
        <w:tc>
          <w:tcPr>
            <w:tcW w:w="2263" w:type="dxa"/>
          </w:tcPr>
          <w:p w14:paraId="105CEB53" w14:textId="7F691976" w:rsidR="00B22DC9" w:rsidRPr="0059798D" w:rsidRDefault="00B22DC9" w:rsidP="00905CC9">
            <w:pPr>
              <w:keepNext w:val="0"/>
              <w:tabs>
                <w:tab w:val="left" w:pos="680"/>
                <w:tab w:val="left" w:pos="1133"/>
                <w:tab w:val="left" w:pos="2267"/>
              </w:tabs>
              <w:spacing w:before="0"/>
              <w:ind w:right="284"/>
              <w:jc w:val="left"/>
              <w:rPr>
                <w:rFonts w:eastAsia="Arial"/>
                <w:b/>
                <w:color w:val="auto"/>
                <w:sz w:val="22"/>
              </w:rPr>
            </w:pPr>
            <w:r w:rsidRPr="0052626B">
              <w:rPr>
                <w:rFonts w:eastAsia="Arial"/>
                <w:bCs/>
                <w:color w:val="auto"/>
                <w:sz w:val="20"/>
              </w:rPr>
              <w:t>National Planning Policy and Guidance</w:t>
            </w:r>
          </w:p>
        </w:tc>
        <w:tc>
          <w:tcPr>
            <w:tcW w:w="7371" w:type="dxa"/>
          </w:tcPr>
          <w:p w14:paraId="7E02D261" w14:textId="769BD1F5" w:rsidR="00B22DC9" w:rsidRPr="0052626B" w:rsidRDefault="00B22DC9" w:rsidP="00874A98">
            <w:pPr>
              <w:keepNext w:val="0"/>
              <w:numPr>
                <w:ilvl w:val="0"/>
                <w:numId w:val="119"/>
              </w:numPr>
              <w:tabs>
                <w:tab w:val="left" w:pos="680"/>
                <w:tab w:val="left" w:pos="1133"/>
                <w:tab w:val="left" w:pos="2267"/>
              </w:tabs>
              <w:spacing w:before="0" w:after="160" w:line="252" w:lineRule="auto"/>
              <w:ind w:right="284"/>
              <w:contextualSpacing/>
              <w:jc w:val="left"/>
              <w:rPr>
                <w:rFonts w:eastAsia="Arial"/>
                <w:bCs/>
                <w:color w:val="auto"/>
                <w:sz w:val="20"/>
              </w:rPr>
            </w:pPr>
            <w:r w:rsidRPr="0052626B">
              <w:rPr>
                <w:rFonts w:eastAsia="Arial"/>
                <w:bCs/>
                <w:color w:val="auto"/>
                <w:sz w:val="20"/>
              </w:rPr>
              <w:t>NPPF 20</w:t>
            </w:r>
            <w:r w:rsidR="004173E0">
              <w:rPr>
                <w:rFonts w:eastAsia="Arial"/>
                <w:bCs/>
                <w:color w:val="auto"/>
                <w:sz w:val="20"/>
              </w:rPr>
              <w:t>23</w:t>
            </w:r>
            <w:r w:rsidRPr="0052626B">
              <w:rPr>
                <w:rFonts w:eastAsia="Arial"/>
                <w:bCs/>
                <w:color w:val="auto"/>
                <w:sz w:val="20"/>
              </w:rPr>
              <w:t>, Part 2: Achieving sustainable development.</w:t>
            </w:r>
          </w:p>
          <w:p w14:paraId="4D4DBFA9" w14:textId="77662887" w:rsidR="00B22DC9" w:rsidRPr="0052626B" w:rsidRDefault="00B22DC9" w:rsidP="00874A98">
            <w:pPr>
              <w:keepNext w:val="0"/>
              <w:numPr>
                <w:ilvl w:val="0"/>
                <w:numId w:val="119"/>
              </w:numPr>
              <w:spacing w:before="0" w:after="160" w:line="252" w:lineRule="auto"/>
              <w:contextualSpacing/>
              <w:jc w:val="left"/>
              <w:rPr>
                <w:color w:val="auto"/>
                <w:sz w:val="20"/>
              </w:rPr>
            </w:pPr>
            <w:r w:rsidRPr="0052626B">
              <w:rPr>
                <w:rFonts w:eastAsia="Arial"/>
                <w:bCs/>
                <w:color w:val="auto"/>
                <w:sz w:val="20"/>
              </w:rPr>
              <w:t>NPPF 20</w:t>
            </w:r>
            <w:r w:rsidR="004173E0">
              <w:rPr>
                <w:rFonts w:eastAsia="Arial"/>
                <w:bCs/>
                <w:color w:val="auto"/>
                <w:sz w:val="20"/>
              </w:rPr>
              <w:t>23</w:t>
            </w:r>
            <w:r w:rsidRPr="0052626B">
              <w:rPr>
                <w:rFonts w:eastAsia="Arial"/>
                <w:bCs/>
                <w:color w:val="auto"/>
                <w:sz w:val="20"/>
              </w:rPr>
              <w:t>,</w:t>
            </w:r>
            <w:r w:rsidRPr="0052626B">
              <w:rPr>
                <w:color w:val="auto"/>
                <w:sz w:val="20"/>
              </w:rPr>
              <w:t xml:space="preserve"> Part 9: Promoting sustainable transport.</w:t>
            </w:r>
          </w:p>
          <w:p w14:paraId="57BC9103" w14:textId="1F29E59D" w:rsidR="00B22DC9" w:rsidRPr="0059798D" w:rsidRDefault="00B22DC9" w:rsidP="00874A98">
            <w:pPr>
              <w:keepNext w:val="0"/>
              <w:numPr>
                <w:ilvl w:val="0"/>
                <w:numId w:val="119"/>
              </w:numPr>
              <w:tabs>
                <w:tab w:val="left" w:pos="680"/>
                <w:tab w:val="left" w:pos="1133"/>
                <w:tab w:val="left" w:pos="2267"/>
              </w:tabs>
              <w:spacing w:before="0" w:after="160" w:line="252" w:lineRule="auto"/>
              <w:ind w:right="284"/>
              <w:contextualSpacing/>
              <w:jc w:val="left"/>
              <w:rPr>
                <w:rFonts w:eastAsia="Arial"/>
                <w:b/>
                <w:color w:val="auto"/>
                <w:sz w:val="22"/>
              </w:rPr>
            </w:pPr>
            <w:r w:rsidRPr="0052626B">
              <w:rPr>
                <w:rFonts w:eastAsia="Arial"/>
                <w:bCs/>
                <w:color w:val="auto"/>
                <w:sz w:val="20"/>
              </w:rPr>
              <w:t xml:space="preserve">Planning Practice Guidance: Transport evidence bases in plan making and decision </w:t>
            </w:r>
            <w:r w:rsidRPr="000663FF">
              <w:rPr>
                <w:rFonts w:eastAsia="Arial"/>
                <w:bCs/>
                <w:color w:val="auto"/>
                <w:sz w:val="20"/>
              </w:rPr>
              <w:t>taking</w:t>
            </w:r>
            <w:r w:rsidR="0025538D" w:rsidRPr="000663FF">
              <w:rPr>
                <w:rFonts w:eastAsia="Arial"/>
                <w:bCs/>
                <w:color w:val="auto"/>
                <w:sz w:val="20"/>
              </w:rPr>
              <w:t xml:space="preserve"> March 2015.</w:t>
            </w:r>
          </w:p>
        </w:tc>
      </w:tr>
    </w:tbl>
    <w:p w14:paraId="0179C3AF" w14:textId="77777777" w:rsidR="0059798D" w:rsidRPr="00B22DC9" w:rsidRDefault="0059798D" w:rsidP="0059798D">
      <w:pPr>
        <w:keepNext w:val="0"/>
        <w:spacing w:before="0"/>
        <w:ind w:left="527"/>
        <w:rPr>
          <w:rFonts w:cs="Arial"/>
          <w:color w:val="auto"/>
          <w:szCs w:val="24"/>
          <w:lang w:eastAsia="en-US"/>
        </w:rPr>
      </w:pPr>
    </w:p>
    <w:p w14:paraId="2A134454" w14:textId="7606A499" w:rsidR="00221F22" w:rsidRDefault="00221F22" w:rsidP="00221F22">
      <w:pPr>
        <w:keepNext w:val="0"/>
        <w:numPr>
          <w:ilvl w:val="1"/>
          <w:numId w:val="7"/>
        </w:numPr>
        <w:tabs>
          <w:tab w:val="clear" w:pos="525"/>
        </w:tabs>
        <w:spacing w:before="0"/>
        <w:ind w:left="709" w:hanging="709"/>
        <w:rPr>
          <w:rFonts w:cs="Arial"/>
          <w:color w:val="auto"/>
          <w:szCs w:val="24"/>
          <w:lang w:eastAsia="en-US"/>
        </w:rPr>
      </w:pPr>
      <w:r w:rsidRPr="00221F22">
        <w:rPr>
          <w:rFonts w:cs="Arial"/>
          <w:color w:val="auto"/>
          <w:szCs w:val="24"/>
          <w:lang w:eastAsia="en-US"/>
        </w:rPr>
        <w:t>The Policy set out provision for the required transport infrastructure to support development with an emphasis on reducing the need to travel by the private motor vehicle.</w:t>
      </w:r>
    </w:p>
    <w:p w14:paraId="77E57010" w14:textId="77777777" w:rsidR="00221F22" w:rsidRPr="00221F22" w:rsidRDefault="00221F22" w:rsidP="00221F22">
      <w:pPr>
        <w:keepNext w:val="0"/>
        <w:spacing w:before="0"/>
        <w:ind w:left="709"/>
        <w:rPr>
          <w:rFonts w:cs="Arial"/>
          <w:color w:val="auto"/>
          <w:szCs w:val="24"/>
          <w:lang w:eastAsia="en-US"/>
        </w:rPr>
      </w:pPr>
    </w:p>
    <w:p w14:paraId="0F9CEDBF" w14:textId="431F57AB" w:rsidR="00D41DD2" w:rsidRPr="00D41DD2" w:rsidRDefault="00B22DC9" w:rsidP="00D41DD2">
      <w:pPr>
        <w:keepNext w:val="0"/>
        <w:numPr>
          <w:ilvl w:val="1"/>
          <w:numId w:val="7"/>
        </w:numPr>
        <w:tabs>
          <w:tab w:val="clear" w:pos="525"/>
        </w:tabs>
        <w:spacing w:before="0"/>
        <w:ind w:left="709" w:hanging="709"/>
        <w:rPr>
          <w:rFonts w:cs="Arial"/>
          <w:color w:val="auto"/>
          <w:szCs w:val="24"/>
          <w:lang w:eastAsia="en-US"/>
        </w:rPr>
      </w:pPr>
      <w:r w:rsidRPr="00B22DC9">
        <w:rPr>
          <w:rFonts w:eastAsia="Arial" w:cs="Arial"/>
          <w:color w:val="auto"/>
        </w:rPr>
        <w:t>The Nottinghamshire Local Transport Plan (LTP3)</w:t>
      </w:r>
      <w:r w:rsidRPr="00B22DC9">
        <w:rPr>
          <w:rFonts w:eastAsia="Arial" w:cs="Arial"/>
          <w:color w:val="auto"/>
          <w:vertAlign w:val="superscript"/>
        </w:rPr>
        <w:footnoteReference w:id="107"/>
      </w:r>
      <w:r w:rsidRPr="00B22DC9">
        <w:rPr>
          <w:rFonts w:eastAsia="Arial" w:cs="Arial"/>
          <w:color w:val="auto"/>
        </w:rPr>
        <w:t xml:space="preserve"> details the transport strategy for the whole of Nottinghamshire for a fifteen year period. This Policy is closely linked to the objectives of the LTP3 in seeking to promote smarter choices which will reduce congestion on the highway network. </w:t>
      </w:r>
    </w:p>
    <w:p w14:paraId="0A32DE7B" w14:textId="77777777" w:rsidR="00D41DD2" w:rsidRDefault="00D41DD2" w:rsidP="00D41DD2">
      <w:pPr>
        <w:keepNext w:val="0"/>
        <w:spacing w:before="0"/>
        <w:ind w:left="709"/>
        <w:rPr>
          <w:rFonts w:cs="Arial"/>
          <w:color w:val="auto"/>
          <w:szCs w:val="24"/>
          <w:lang w:eastAsia="en-US"/>
        </w:rPr>
      </w:pPr>
    </w:p>
    <w:p w14:paraId="2D7CD6D6" w14:textId="0532A080" w:rsidR="00D41DD2" w:rsidRPr="00142C51" w:rsidRDefault="00B22DC9" w:rsidP="00D41DD2">
      <w:pPr>
        <w:keepNext w:val="0"/>
        <w:numPr>
          <w:ilvl w:val="1"/>
          <w:numId w:val="7"/>
        </w:numPr>
        <w:tabs>
          <w:tab w:val="clear" w:pos="525"/>
        </w:tabs>
        <w:spacing w:before="0"/>
        <w:ind w:left="709" w:hanging="709"/>
        <w:rPr>
          <w:rFonts w:cs="Arial"/>
          <w:color w:val="auto"/>
          <w:szCs w:val="24"/>
          <w:lang w:eastAsia="en-US"/>
        </w:rPr>
      </w:pPr>
      <w:r w:rsidRPr="00D41DD2">
        <w:rPr>
          <w:rFonts w:eastAsia="Arial" w:cs="Arial"/>
          <w:color w:val="auto"/>
        </w:rPr>
        <w:t xml:space="preserve">New development should not put a burden on the public highway or lead to an unacceptable increase in emissions in relation to air quality.  The Council will seek to ensure that new development promotes smarter choices which support sustainable patterns of travel. This can be achieved in a number of ways but in land use planning terms new development should provide opportunities for good access to public transport; walking and cycling routes, town centres and local services and facilities. Travel plans are also a useful tool for large scale residential developments and for commercial developments. To outline how a development will propose to promote sustainable travel. </w:t>
      </w:r>
    </w:p>
    <w:p w14:paraId="0243F6BE" w14:textId="77777777" w:rsidR="00142C51" w:rsidRPr="000663FF" w:rsidRDefault="00142C51" w:rsidP="00142C51">
      <w:pPr>
        <w:keepNext w:val="0"/>
        <w:spacing w:before="0"/>
        <w:rPr>
          <w:rFonts w:cs="Arial"/>
          <w:color w:val="auto"/>
          <w:szCs w:val="24"/>
          <w:lang w:eastAsia="en-US"/>
        </w:rPr>
      </w:pPr>
      <w:bookmarkStart w:id="314" w:name="_Hlk96339327"/>
    </w:p>
    <w:p w14:paraId="299CBC6C" w14:textId="0FEE0D96" w:rsidR="00142C51" w:rsidRPr="000663FF" w:rsidRDefault="00142C51" w:rsidP="00D41DD2">
      <w:pPr>
        <w:keepNext w:val="0"/>
        <w:numPr>
          <w:ilvl w:val="1"/>
          <w:numId w:val="7"/>
        </w:numPr>
        <w:tabs>
          <w:tab w:val="clear" w:pos="525"/>
        </w:tabs>
        <w:spacing w:before="0"/>
        <w:ind w:left="709" w:hanging="709"/>
        <w:rPr>
          <w:rFonts w:cs="Arial"/>
          <w:color w:val="auto"/>
          <w:szCs w:val="24"/>
          <w:lang w:eastAsia="en-US"/>
        </w:rPr>
      </w:pPr>
      <w:r w:rsidRPr="000663FF">
        <w:rPr>
          <w:rFonts w:cs="Arial"/>
          <w:color w:val="auto"/>
          <w:szCs w:val="24"/>
          <w:lang w:eastAsia="en-US"/>
        </w:rPr>
        <w:t>One of the priorities for infrastructure provision in the District is to improve railway connections and facilities on the Robin Hood Line and the Maid Marian Line.   Where appropriate, improvements may be required to the existing railway infrastructure such as level crossings including contributions from development where the requirements of the Community Infrastructure Regulations are met.</w:t>
      </w:r>
    </w:p>
    <w:bookmarkEnd w:id="314"/>
    <w:p w14:paraId="0394068F" w14:textId="77777777" w:rsidR="00D41DD2" w:rsidRPr="000663FF" w:rsidRDefault="00D41DD2" w:rsidP="00D41DD2">
      <w:pPr>
        <w:keepNext w:val="0"/>
        <w:spacing w:before="0"/>
        <w:rPr>
          <w:rFonts w:cs="Arial"/>
          <w:color w:val="auto"/>
          <w:szCs w:val="24"/>
          <w:lang w:eastAsia="en-US"/>
        </w:rPr>
      </w:pPr>
    </w:p>
    <w:p w14:paraId="109B043D" w14:textId="77777777" w:rsidR="00D41DD2" w:rsidRDefault="00B22DC9" w:rsidP="00D41DD2">
      <w:pPr>
        <w:keepNext w:val="0"/>
        <w:numPr>
          <w:ilvl w:val="1"/>
          <w:numId w:val="7"/>
        </w:numPr>
        <w:tabs>
          <w:tab w:val="clear" w:pos="525"/>
        </w:tabs>
        <w:spacing w:before="0"/>
        <w:ind w:left="709" w:hanging="709"/>
        <w:rPr>
          <w:rFonts w:cs="Arial"/>
          <w:color w:val="auto"/>
          <w:szCs w:val="24"/>
          <w:lang w:eastAsia="en-US"/>
        </w:rPr>
      </w:pPr>
      <w:r w:rsidRPr="00D41DD2">
        <w:rPr>
          <w:rFonts w:eastAsia="Arial" w:cs="Arial"/>
          <w:color w:val="auto"/>
        </w:rPr>
        <w:t xml:space="preserve">Where there are known areas of public transport deficiency, such as the area to the west of Hucknall. The Council will seek to address this by working with developers and service providers to promote well designed development which promotes smarter choices of travel.  </w:t>
      </w:r>
    </w:p>
    <w:p w14:paraId="4BC7556E" w14:textId="77777777" w:rsidR="00221F22" w:rsidRDefault="00221F22" w:rsidP="00D41DD2">
      <w:pPr>
        <w:keepNext w:val="0"/>
        <w:spacing w:before="0"/>
        <w:ind w:left="709"/>
        <w:rPr>
          <w:rFonts w:eastAsia="Arial" w:cs="Arial"/>
          <w:b/>
          <w:color w:val="auto"/>
        </w:rPr>
      </w:pPr>
    </w:p>
    <w:p w14:paraId="659ADF25" w14:textId="3808FC64" w:rsidR="00D41DD2" w:rsidRPr="00D41DD2" w:rsidRDefault="00B22DC9" w:rsidP="00D41DD2">
      <w:pPr>
        <w:keepNext w:val="0"/>
        <w:spacing w:before="0"/>
        <w:ind w:left="709"/>
        <w:rPr>
          <w:rFonts w:cs="Arial"/>
          <w:color w:val="auto"/>
          <w:szCs w:val="24"/>
          <w:lang w:eastAsia="en-US"/>
        </w:rPr>
      </w:pPr>
      <w:r w:rsidRPr="00D41DD2">
        <w:rPr>
          <w:rFonts w:eastAsia="Arial" w:cs="Arial"/>
          <w:b/>
          <w:color w:val="auto"/>
        </w:rPr>
        <w:t>Design</w:t>
      </w:r>
    </w:p>
    <w:p w14:paraId="5F9FFBDF" w14:textId="178E86F6" w:rsidR="00D41DD2" w:rsidRPr="00D41DD2" w:rsidRDefault="00B22DC9" w:rsidP="00D41DD2">
      <w:pPr>
        <w:keepNext w:val="0"/>
        <w:numPr>
          <w:ilvl w:val="1"/>
          <w:numId w:val="7"/>
        </w:numPr>
        <w:tabs>
          <w:tab w:val="clear" w:pos="525"/>
        </w:tabs>
        <w:spacing w:before="0"/>
        <w:ind w:left="709" w:hanging="709"/>
        <w:rPr>
          <w:rFonts w:cs="Arial"/>
          <w:color w:val="auto"/>
          <w:szCs w:val="24"/>
          <w:lang w:eastAsia="en-US"/>
        </w:rPr>
      </w:pPr>
      <w:r w:rsidRPr="00D41DD2">
        <w:rPr>
          <w:rFonts w:eastAsia="Arial" w:cs="Arial"/>
          <w:color w:val="auto"/>
        </w:rPr>
        <w:t xml:space="preserve">With regard to transport and movement, development proposals should be well designed in terms of the site layout, connectivity, legibility and landscaping; new neighbourhoods should create a sense of place with a strong identity which links well to the surrounding area. In achieving this, development proposals must create high quality public realm that enhances ‘place’, whilst providing an effective movement network. </w:t>
      </w:r>
    </w:p>
    <w:p w14:paraId="51DC42E3" w14:textId="77777777" w:rsidR="00D41DD2" w:rsidRDefault="00D41DD2" w:rsidP="00D41DD2">
      <w:pPr>
        <w:keepNext w:val="0"/>
        <w:spacing w:before="0"/>
        <w:ind w:left="709"/>
        <w:rPr>
          <w:rFonts w:cs="Arial"/>
          <w:color w:val="auto"/>
          <w:szCs w:val="24"/>
          <w:lang w:eastAsia="en-US"/>
        </w:rPr>
      </w:pPr>
    </w:p>
    <w:p w14:paraId="63450359" w14:textId="7CB4DFC2" w:rsidR="00D41DD2" w:rsidRPr="00D41DD2" w:rsidRDefault="00B22DC9" w:rsidP="00D41DD2">
      <w:pPr>
        <w:keepNext w:val="0"/>
        <w:numPr>
          <w:ilvl w:val="1"/>
          <w:numId w:val="7"/>
        </w:numPr>
        <w:tabs>
          <w:tab w:val="clear" w:pos="525"/>
        </w:tabs>
        <w:spacing w:before="0"/>
        <w:ind w:left="709" w:hanging="709"/>
        <w:rPr>
          <w:rFonts w:cs="Arial"/>
          <w:color w:val="auto"/>
          <w:szCs w:val="24"/>
          <w:lang w:eastAsia="en-US"/>
        </w:rPr>
      </w:pPr>
      <w:r w:rsidRPr="00D41DD2">
        <w:rPr>
          <w:rFonts w:eastAsia="Arial" w:cs="Arial"/>
          <w:color w:val="auto"/>
        </w:rPr>
        <w:t>When designing the road network, including vehicular access points, consideration must be given to the needs of all users. Safety and convenience are key issues which must be addressed. The needs of pedestrians, cyclists</w:t>
      </w:r>
      <w:r w:rsidRPr="00B22DC9">
        <w:rPr>
          <w:rFonts w:eastAsia="Arial" w:cs="Arial"/>
          <w:color w:val="auto"/>
          <w:vertAlign w:val="superscript"/>
        </w:rPr>
        <w:footnoteReference w:id="108"/>
      </w:r>
      <w:r w:rsidRPr="00D41DD2">
        <w:rPr>
          <w:rFonts w:eastAsia="Arial" w:cs="Arial"/>
          <w:color w:val="auto"/>
        </w:rPr>
        <w:t xml:space="preserve"> and people with disabilities, including wheelchair users and the visually impaired, must be at the forefront of the design process. </w:t>
      </w:r>
    </w:p>
    <w:p w14:paraId="41F917B4" w14:textId="77777777" w:rsidR="00D41DD2" w:rsidRDefault="00D41DD2" w:rsidP="00D41DD2">
      <w:pPr>
        <w:keepNext w:val="0"/>
        <w:spacing w:before="0"/>
        <w:rPr>
          <w:rFonts w:cs="Arial"/>
          <w:color w:val="auto"/>
          <w:szCs w:val="24"/>
          <w:lang w:eastAsia="en-US"/>
        </w:rPr>
      </w:pPr>
    </w:p>
    <w:p w14:paraId="50A22B91" w14:textId="39253347" w:rsidR="00D41DD2" w:rsidRPr="00D41DD2" w:rsidRDefault="00B22DC9" w:rsidP="00D41DD2">
      <w:pPr>
        <w:keepNext w:val="0"/>
        <w:numPr>
          <w:ilvl w:val="1"/>
          <w:numId w:val="7"/>
        </w:numPr>
        <w:tabs>
          <w:tab w:val="clear" w:pos="525"/>
        </w:tabs>
        <w:spacing w:before="0"/>
        <w:ind w:left="709" w:hanging="709"/>
        <w:rPr>
          <w:rFonts w:cs="Arial"/>
          <w:color w:val="auto"/>
          <w:szCs w:val="24"/>
          <w:lang w:eastAsia="en-US"/>
        </w:rPr>
      </w:pPr>
      <w:r w:rsidRPr="00D41DD2">
        <w:rPr>
          <w:rFonts w:eastAsia="Arial" w:cs="Arial"/>
          <w:iCs/>
          <w:color w:val="auto"/>
        </w:rPr>
        <w:t>Development to which cyclists and pedestrians would reasonably be expected to have access will need to facilitate:</w:t>
      </w:r>
    </w:p>
    <w:p w14:paraId="3791596B" w14:textId="77777777" w:rsidR="00D41DD2" w:rsidRPr="00B22DC9" w:rsidRDefault="00D41DD2" w:rsidP="00874A98">
      <w:pPr>
        <w:keepNext w:val="0"/>
        <w:numPr>
          <w:ilvl w:val="0"/>
          <w:numId w:val="234"/>
        </w:numPr>
        <w:autoSpaceDE w:val="0"/>
        <w:autoSpaceDN w:val="0"/>
        <w:adjustRightInd w:val="0"/>
        <w:spacing w:before="0"/>
        <w:ind w:left="1134" w:hanging="425"/>
        <w:jc w:val="both"/>
        <w:rPr>
          <w:rFonts w:eastAsia="Arial" w:cs="Arial"/>
          <w:iCs/>
          <w:color w:val="auto"/>
        </w:rPr>
      </w:pPr>
      <w:r w:rsidRPr="00B22DC9">
        <w:rPr>
          <w:rFonts w:eastAsia="Arial" w:cs="Arial"/>
          <w:iCs/>
          <w:color w:val="auto"/>
        </w:rPr>
        <w:t>safe and convenient cycle access, which link to existing or future cycle routes;</w:t>
      </w:r>
    </w:p>
    <w:p w14:paraId="5E2034DC" w14:textId="632D0E39" w:rsidR="00D41DD2" w:rsidRPr="00B22DC9" w:rsidRDefault="00D41DD2" w:rsidP="00874A98">
      <w:pPr>
        <w:keepNext w:val="0"/>
        <w:numPr>
          <w:ilvl w:val="0"/>
          <w:numId w:val="234"/>
        </w:numPr>
        <w:autoSpaceDE w:val="0"/>
        <w:autoSpaceDN w:val="0"/>
        <w:adjustRightInd w:val="0"/>
        <w:spacing w:before="0"/>
        <w:ind w:left="1134" w:hanging="425"/>
        <w:jc w:val="both"/>
        <w:rPr>
          <w:rFonts w:eastAsia="Arial" w:cs="Arial"/>
          <w:color w:val="auto"/>
        </w:rPr>
      </w:pPr>
      <w:r w:rsidRPr="00B22DC9">
        <w:rPr>
          <w:rFonts w:eastAsia="Arial" w:cs="Arial"/>
          <w:iCs/>
          <w:color w:val="auto"/>
        </w:rPr>
        <w:t>provide for the safe and convenient access by pedestrians including those with limited mobility.</w:t>
      </w:r>
    </w:p>
    <w:p w14:paraId="0AA6AEEC" w14:textId="77777777" w:rsidR="00D41DD2" w:rsidRDefault="00D41DD2" w:rsidP="00D41DD2">
      <w:pPr>
        <w:pStyle w:val="ListParagraph"/>
        <w:spacing w:after="0" w:line="240" w:lineRule="auto"/>
        <w:rPr>
          <w:rFonts w:eastAsia="Arial" w:cs="Arial"/>
          <w:color w:val="auto"/>
        </w:rPr>
      </w:pPr>
    </w:p>
    <w:p w14:paraId="71A720EC" w14:textId="50DE63F4" w:rsidR="00D41DD2" w:rsidRPr="00D41DD2" w:rsidRDefault="00B22DC9" w:rsidP="00D41DD2">
      <w:pPr>
        <w:keepNext w:val="0"/>
        <w:numPr>
          <w:ilvl w:val="1"/>
          <w:numId w:val="7"/>
        </w:numPr>
        <w:tabs>
          <w:tab w:val="clear" w:pos="525"/>
        </w:tabs>
        <w:spacing w:before="0"/>
        <w:ind w:left="709" w:hanging="709"/>
        <w:rPr>
          <w:rFonts w:cs="Arial"/>
          <w:color w:val="auto"/>
          <w:szCs w:val="24"/>
          <w:lang w:eastAsia="en-US"/>
        </w:rPr>
      </w:pPr>
      <w:r w:rsidRPr="00D41DD2">
        <w:rPr>
          <w:rFonts w:eastAsia="Arial" w:cs="Arial"/>
          <w:color w:val="auto"/>
        </w:rPr>
        <w:t>New residential developments need to provide a safe, attractive and quality highway network for all us</w:t>
      </w:r>
      <w:r w:rsidR="00221F22">
        <w:rPr>
          <w:rFonts w:eastAsia="Arial" w:cs="Arial"/>
          <w:color w:val="auto"/>
        </w:rPr>
        <w:t xml:space="preserve">ers.  </w:t>
      </w:r>
      <w:r w:rsidRPr="00D41DD2">
        <w:rPr>
          <w:rFonts w:eastAsia="Arial" w:cs="Arial"/>
          <w:color w:val="auto"/>
        </w:rPr>
        <w:t xml:space="preserve">The Council will require all new residential developments to accord with the principles set out in </w:t>
      </w:r>
      <w:r w:rsidR="00221F22">
        <w:rPr>
          <w:rFonts w:eastAsia="Arial" w:cs="Arial"/>
          <w:color w:val="auto"/>
        </w:rPr>
        <w:t xml:space="preserve">both local and </w:t>
      </w:r>
      <w:r w:rsidRPr="00D41DD2">
        <w:rPr>
          <w:rFonts w:eastAsia="Arial" w:cs="Arial"/>
          <w:color w:val="auto"/>
        </w:rPr>
        <w:t>other relevant national standards, in particular Building for a Healthy Life standards.</w:t>
      </w:r>
    </w:p>
    <w:p w14:paraId="2903EAF4" w14:textId="77777777" w:rsidR="00D41DD2" w:rsidRDefault="00D41DD2" w:rsidP="00D41DD2">
      <w:pPr>
        <w:keepNext w:val="0"/>
        <w:spacing w:before="0"/>
        <w:ind w:left="709"/>
        <w:rPr>
          <w:rFonts w:cs="Arial"/>
          <w:color w:val="auto"/>
          <w:szCs w:val="24"/>
          <w:lang w:eastAsia="en-US"/>
        </w:rPr>
      </w:pPr>
    </w:p>
    <w:p w14:paraId="10BA8913" w14:textId="5090D77C" w:rsidR="00D41DD2" w:rsidRPr="00D41DD2" w:rsidRDefault="00B22DC9" w:rsidP="00D41DD2">
      <w:pPr>
        <w:keepNext w:val="0"/>
        <w:spacing w:before="0"/>
        <w:ind w:left="709"/>
        <w:rPr>
          <w:rFonts w:cs="Arial"/>
          <w:color w:val="auto"/>
          <w:szCs w:val="24"/>
          <w:lang w:eastAsia="en-US"/>
        </w:rPr>
      </w:pPr>
      <w:r w:rsidRPr="00D41DD2">
        <w:rPr>
          <w:rFonts w:eastAsia="Arial" w:cs="Arial"/>
          <w:b/>
          <w:color w:val="auto"/>
        </w:rPr>
        <w:t>Highway Improvements</w:t>
      </w:r>
    </w:p>
    <w:p w14:paraId="0D35F557" w14:textId="6A11C4F9" w:rsidR="00D41DD2" w:rsidRPr="00D41DD2" w:rsidRDefault="00B22DC9" w:rsidP="00D41DD2">
      <w:pPr>
        <w:keepNext w:val="0"/>
        <w:numPr>
          <w:ilvl w:val="1"/>
          <w:numId w:val="7"/>
        </w:numPr>
        <w:tabs>
          <w:tab w:val="clear" w:pos="525"/>
        </w:tabs>
        <w:spacing w:before="0"/>
        <w:ind w:left="709" w:hanging="709"/>
        <w:rPr>
          <w:rFonts w:cs="Arial"/>
          <w:color w:val="auto"/>
          <w:szCs w:val="24"/>
          <w:lang w:eastAsia="en-US"/>
        </w:rPr>
      </w:pPr>
      <w:r w:rsidRPr="00D41DD2">
        <w:rPr>
          <w:rFonts w:eastAsia="Arial" w:cs="Arial"/>
          <w:color w:val="auto"/>
        </w:rPr>
        <w:t>Development within the District and in surrounding districts will impact on local roads and strategic routes including M1 junctions. Working in partnership with the Highway Authority, the Highways England, neighbouring authorities and other partners, the Council will seek to improve and ensure that the cumulative impact of development in the wider area will not adversely affect the operation of the highway and public transport networks. This will be achieved through the implementation of projects and plans identified through the Local Plan, Infrastructure Delivery Plan, the Nottinghamshire Local Transport Plan (LTP3) and, where appropriate, other development schemes and studies.  Where appropriate, developer contributions will be required to enable transport improvement works within the affected area.</w:t>
      </w:r>
    </w:p>
    <w:p w14:paraId="46BE7167" w14:textId="77777777" w:rsidR="00D41DD2" w:rsidRDefault="00D41DD2" w:rsidP="00D41DD2">
      <w:pPr>
        <w:keepNext w:val="0"/>
        <w:spacing w:before="0"/>
        <w:ind w:left="709"/>
        <w:rPr>
          <w:rFonts w:cs="Arial"/>
          <w:color w:val="auto"/>
          <w:szCs w:val="24"/>
          <w:lang w:eastAsia="en-US"/>
        </w:rPr>
      </w:pPr>
    </w:p>
    <w:p w14:paraId="71326724" w14:textId="39463A29" w:rsidR="00B22DC9" w:rsidRPr="001302E3" w:rsidRDefault="00B22DC9" w:rsidP="001302E3">
      <w:pPr>
        <w:keepNext w:val="0"/>
        <w:numPr>
          <w:ilvl w:val="1"/>
          <w:numId w:val="7"/>
        </w:numPr>
        <w:tabs>
          <w:tab w:val="clear" w:pos="525"/>
        </w:tabs>
        <w:spacing w:before="0"/>
        <w:ind w:left="709" w:hanging="709"/>
        <w:rPr>
          <w:rFonts w:cs="Arial"/>
          <w:color w:val="auto"/>
          <w:szCs w:val="24"/>
          <w:lang w:eastAsia="en-US"/>
        </w:rPr>
      </w:pPr>
      <w:r w:rsidRPr="00D41DD2">
        <w:rPr>
          <w:rFonts w:eastAsia="Arial" w:cs="Arial"/>
          <w:color w:val="auto"/>
        </w:rPr>
        <w:t xml:space="preserve">Nottinghamshire County Council (the Highway Authority for Ashfield) is responsible for the implementation of LTP3. </w:t>
      </w:r>
      <w:r w:rsidR="00EA7D34" w:rsidRPr="00D41DD2">
        <w:rPr>
          <w:rFonts w:eastAsia="Arial" w:cs="Arial"/>
          <w:color w:val="auto"/>
        </w:rPr>
        <w:t>The Council</w:t>
      </w:r>
      <w:r w:rsidRPr="00D41DD2">
        <w:rPr>
          <w:rFonts w:eastAsia="Arial" w:cs="Arial"/>
          <w:color w:val="auto"/>
        </w:rPr>
        <w:t xml:space="preserve"> will require Transport Statements (TS) and Transport Assessments (TA) and Travel Plans to be submitted with certain proposals. Planning applications should accord with current standards and guidance set out in national and local highway design guides</w:t>
      </w:r>
      <w:r w:rsidRPr="00B22DC9">
        <w:rPr>
          <w:rFonts w:eastAsia="Arial" w:cs="Arial"/>
          <w:color w:val="auto"/>
          <w:vertAlign w:val="superscript"/>
        </w:rPr>
        <w:footnoteReference w:id="109"/>
      </w:r>
      <w:r w:rsidRPr="00D41DD2">
        <w:rPr>
          <w:rFonts w:eastAsia="Arial" w:cs="Arial"/>
          <w:color w:val="auto"/>
        </w:rPr>
        <w:t xml:space="preserve">. </w:t>
      </w:r>
    </w:p>
    <w:p w14:paraId="2E5A0325" w14:textId="3D42E444" w:rsidR="00340B1E" w:rsidRDefault="00340B1E" w:rsidP="00263F59">
      <w:pPr>
        <w:keepNext w:val="0"/>
        <w:spacing w:before="0"/>
        <w:rPr>
          <w:rFonts w:cs="Arial"/>
          <w:color w:val="auto"/>
          <w:szCs w:val="24"/>
          <w:lang w:eastAsia="en-US"/>
        </w:rPr>
      </w:pPr>
    </w:p>
    <w:p w14:paraId="397F1A8D" w14:textId="77777777" w:rsidR="000663FF" w:rsidRDefault="000663FF" w:rsidP="00263F59">
      <w:pPr>
        <w:keepNext w:val="0"/>
        <w:spacing w:before="0"/>
        <w:rPr>
          <w:rFonts w:cs="Arial"/>
          <w:color w:val="auto"/>
          <w:szCs w:val="24"/>
          <w:lang w:eastAsia="en-US"/>
        </w:rPr>
      </w:pPr>
    </w:p>
    <w:p w14:paraId="4B5EFD52" w14:textId="59E65A24" w:rsidR="0052626B" w:rsidRPr="00825421" w:rsidRDefault="006977E7" w:rsidP="00825421">
      <w:pPr>
        <w:pStyle w:val="Heading2"/>
        <w:jc w:val="left"/>
        <w:rPr>
          <w:sz w:val="28"/>
          <w:szCs w:val="28"/>
        </w:rPr>
      </w:pPr>
      <w:bookmarkStart w:id="315" w:name="_Toc145511620"/>
      <w:r w:rsidRPr="00825421">
        <w:rPr>
          <w:sz w:val="28"/>
          <w:szCs w:val="28"/>
        </w:rPr>
        <w:t xml:space="preserve">Policy </w:t>
      </w:r>
      <w:r w:rsidR="0052626B" w:rsidRPr="00825421">
        <w:rPr>
          <w:sz w:val="28"/>
          <w:szCs w:val="28"/>
        </w:rPr>
        <w:t>SD1</w:t>
      </w:r>
      <w:r w:rsidR="0064018F" w:rsidRPr="00825421">
        <w:rPr>
          <w:sz w:val="28"/>
          <w:szCs w:val="28"/>
        </w:rPr>
        <w:t>1</w:t>
      </w:r>
      <w:r w:rsidR="0052626B" w:rsidRPr="00825421">
        <w:rPr>
          <w:sz w:val="28"/>
          <w:szCs w:val="28"/>
        </w:rPr>
        <w:t>: Parking</w:t>
      </w:r>
      <w:bookmarkEnd w:id="315"/>
    </w:p>
    <w:p w14:paraId="5CB26807" w14:textId="77777777" w:rsidR="0052626B" w:rsidRPr="0052626B" w:rsidRDefault="0052626B" w:rsidP="0052626B">
      <w:pPr>
        <w:keepNext w:val="0"/>
        <w:spacing w:before="0"/>
        <w:rPr>
          <w:rFonts w:eastAsia="Arial" w:cs="Arial"/>
          <w:color w:val="auto"/>
        </w:rPr>
      </w:pPr>
    </w:p>
    <w:tbl>
      <w:tblPr>
        <w:tblStyle w:val="TableGrid3"/>
        <w:tblW w:w="9776" w:type="dxa"/>
        <w:tblLook w:val="04A0" w:firstRow="1" w:lastRow="0" w:firstColumn="1" w:lastColumn="0" w:noHBand="0" w:noVBand="1"/>
      </w:tblPr>
      <w:tblGrid>
        <w:gridCol w:w="2263"/>
        <w:gridCol w:w="397"/>
        <w:gridCol w:w="7116"/>
      </w:tblGrid>
      <w:tr w:rsidR="0052626B" w:rsidRPr="0052626B" w14:paraId="1AD3817A" w14:textId="77777777" w:rsidTr="00DD4136">
        <w:trPr>
          <w:trHeight w:val="421"/>
        </w:trPr>
        <w:tc>
          <w:tcPr>
            <w:tcW w:w="9776" w:type="dxa"/>
            <w:gridSpan w:val="3"/>
          </w:tcPr>
          <w:p w14:paraId="7E3F1338" w14:textId="77777777" w:rsidR="00D41DD2" w:rsidRDefault="00D41DD2" w:rsidP="00905CC9">
            <w:pPr>
              <w:keepNext w:val="0"/>
              <w:tabs>
                <w:tab w:val="left" w:pos="680"/>
              </w:tabs>
              <w:spacing w:before="0"/>
              <w:jc w:val="left"/>
              <w:rPr>
                <w:rFonts w:eastAsia="Arial"/>
                <w:b/>
                <w:color w:val="auto"/>
                <w:spacing w:val="-1"/>
              </w:rPr>
            </w:pPr>
            <w:bookmarkStart w:id="316" w:name="_Hlk78878679"/>
          </w:p>
          <w:p w14:paraId="42AE969B" w14:textId="3ED4A15C" w:rsidR="0052626B" w:rsidRDefault="0052626B" w:rsidP="00905CC9">
            <w:pPr>
              <w:keepNext w:val="0"/>
              <w:tabs>
                <w:tab w:val="left" w:pos="680"/>
              </w:tabs>
              <w:spacing w:before="0"/>
              <w:jc w:val="left"/>
              <w:rPr>
                <w:rFonts w:eastAsia="Arial"/>
                <w:b/>
                <w:color w:val="auto"/>
                <w:spacing w:val="-1"/>
              </w:rPr>
            </w:pPr>
            <w:r w:rsidRPr="008F21DB">
              <w:rPr>
                <w:rFonts w:eastAsia="Arial"/>
                <w:b/>
                <w:color w:val="auto"/>
                <w:spacing w:val="-1"/>
              </w:rPr>
              <w:t>Policy SD1</w:t>
            </w:r>
            <w:r w:rsidR="0064018F">
              <w:rPr>
                <w:rFonts w:eastAsia="Arial"/>
                <w:b/>
                <w:color w:val="auto"/>
                <w:spacing w:val="-1"/>
              </w:rPr>
              <w:t>1</w:t>
            </w:r>
            <w:r w:rsidRPr="008F21DB">
              <w:rPr>
                <w:rFonts w:eastAsia="Arial"/>
                <w:b/>
                <w:color w:val="auto"/>
                <w:spacing w:val="-1"/>
              </w:rPr>
              <w:t>: Parking</w:t>
            </w:r>
          </w:p>
          <w:p w14:paraId="434DCD8D" w14:textId="5D207ED5" w:rsidR="00D41DD2" w:rsidRPr="0052626B" w:rsidRDefault="00D41DD2" w:rsidP="00905CC9">
            <w:pPr>
              <w:keepNext w:val="0"/>
              <w:tabs>
                <w:tab w:val="left" w:pos="680"/>
              </w:tabs>
              <w:spacing w:before="0"/>
              <w:jc w:val="left"/>
              <w:rPr>
                <w:rFonts w:eastAsia="Arial"/>
                <w:b/>
                <w:color w:val="auto"/>
                <w:spacing w:val="-1"/>
              </w:rPr>
            </w:pPr>
          </w:p>
        </w:tc>
      </w:tr>
      <w:tr w:rsidR="0052626B" w:rsidRPr="0052626B" w14:paraId="46871435" w14:textId="77777777" w:rsidTr="00DD4136">
        <w:tc>
          <w:tcPr>
            <w:tcW w:w="2660" w:type="dxa"/>
            <w:gridSpan w:val="2"/>
          </w:tcPr>
          <w:p w14:paraId="3F1AE456" w14:textId="77777777" w:rsidR="0052626B" w:rsidRPr="008F21DB" w:rsidRDefault="0052626B" w:rsidP="0052626B">
            <w:pPr>
              <w:keepNext w:val="0"/>
              <w:tabs>
                <w:tab w:val="left" w:pos="680"/>
              </w:tabs>
              <w:spacing w:before="0"/>
              <w:rPr>
                <w:rFonts w:eastAsia="Arial"/>
                <w:bCs/>
                <w:color w:val="auto"/>
              </w:rPr>
            </w:pPr>
            <w:r w:rsidRPr="008F21DB">
              <w:rPr>
                <w:rFonts w:eastAsia="Arial"/>
                <w:bCs/>
                <w:color w:val="auto"/>
              </w:rPr>
              <w:t>Strategic Objectives</w:t>
            </w:r>
          </w:p>
        </w:tc>
        <w:tc>
          <w:tcPr>
            <w:tcW w:w="7116" w:type="dxa"/>
          </w:tcPr>
          <w:p w14:paraId="05B687DE" w14:textId="77777777" w:rsidR="0052626B" w:rsidRPr="008F21DB" w:rsidRDefault="0052626B" w:rsidP="00905CC9">
            <w:pPr>
              <w:keepNext w:val="0"/>
              <w:tabs>
                <w:tab w:val="left" w:pos="680"/>
              </w:tabs>
              <w:spacing w:before="40" w:after="40"/>
              <w:jc w:val="left"/>
              <w:rPr>
                <w:rFonts w:eastAsia="Arial"/>
                <w:bCs/>
                <w:color w:val="auto"/>
              </w:rPr>
            </w:pPr>
            <w:r w:rsidRPr="008F21DB">
              <w:rPr>
                <w:rFonts w:eastAsia="Arial"/>
                <w:bCs/>
                <w:color w:val="auto"/>
              </w:rPr>
              <w:t>SO1, SO2, SO3, SO4, SO11, SO12, SO14.</w:t>
            </w:r>
          </w:p>
        </w:tc>
      </w:tr>
      <w:tr w:rsidR="0052626B" w:rsidRPr="0052626B" w14:paraId="1B686A29" w14:textId="77777777" w:rsidTr="00DD4136">
        <w:tc>
          <w:tcPr>
            <w:tcW w:w="9776" w:type="dxa"/>
            <w:gridSpan w:val="3"/>
            <w:shd w:val="clear" w:color="auto" w:fill="DAC4F8"/>
          </w:tcPr>
          <w:p w14:paraId="471F16CF" w14:textId="77777777" w:rsidR="0052626B" w:rsidRPr="0052626B" w:rsidRDefault="0052626B" w:rsidP="00905CC9">
            <w:pPr>
              <w:keepNext w:val="0"/>
              <w:tabs>
                <w:tab w:val="left" w:pos="680"/>
                <w:tab w:val="left" w:pos="1133"/>
                <w:tab w:val="left" w:pos="2267"/>
              </w:tabs>
              <w:spacing w:before="0"/>
              <w:ind w:right="284"/>
              <w:jc w:val="left"/>
              <w:rPr>
                <w:rFonts w:eastAsia="Arial"/>
                <w:bCs/>
                <w:color w:val="auto"/>
              </w:rPr>
            </w:pPr>
          </w:p>
          <w:p w14:paraId="0EBAF013" w14:textId="77777777" w:rsidR="0052626B" w:rsidRPr="0052626B" w:rsidRDefault="0052626B" w:rsidP="00874A98">
            <w:pPr>
              <w:keepNext w:val="0"/>
              <w:numPr>
                <w:ilvl w:val="0"/>
                <w:numId w:val="195"/>
              </w:numPr>
              <w:tabs>
                <w:tab w:val="left" w:pos="680"/>
                <w:tab w:val="left" w:pos="1133"/>
                <w:tab w:val="left" w:pos="2267"/>
              </w:tabs>
              <w:spacing w:before="0"/>
              <w:ind w:right="284"/>
              <w:jc w:val="left"/>
              <w:rPr>
                <w:rFonts w:eastAsia="Arial"/>
                <w:bCs/>
                <w:color w:val="auto"/>
              </w:rPr>
            </w:pPr>
            <w:r w:rsidRPr="0052626B">
              <w:rPr>
                <w:rFonts w:eastAsia="Arial"/>
                <w:bCs/>
                <w:color w:val="auto"/>
              </w:rPr>
              <w:t>The Council will promote an integrated, design-led approach to vehicle parking. Parking provision should be adequate to serve the proposed development, appropriately sited and complement the street scene. In order to achieve this, developments must meet the following criteria:</w:t>
            </w:r>
          </w:p>
          <w:p w14:paraId="3498B975" w14:textId="77777777" w:rsidR="0052626B" w:rsidRPr="0052626B" w:rsidRDefault="0052626B" w:rsidP="00905CC9">
            <w:pPr>
              <w:keepNext w:val="0"/>
              <w:spacing w:before="0"/>
              <w:jc w:val="left"/>
              <w:rPr>
                <w:rFonts w:eastAsia="Arial" w:cs="Arial"/>
                <w:bCs/>
                <w:color w:val="auto"/>
              </w:rPr>
            </w:pPr>
          </w:p>
          <w:p w14:paraId="620F8BF4" w14:textId="77777777" w:rsidR="0052626B" w:rsidRPr="0052626B" w:rsidRDefault="0052626B" w:rsidP="00874A98">
            <w:pPr>
              <w:keepNext w:val="0"/>
              <w:numPr>
                <w:ilvl w:val="0"/>
                <w:numId w:val="194"/>
              </w:numPr>
              <w:spacing w:before="0"/>
              <w:jc w:val="left"/>
              <w:rPr>
                <w:rFonts w:eastAsia="Arial" w:cs="Arial"/>
                <w:bCs/>
                <w:color w:val="auto"/>
              </w:rPr>
            </w:pPr>
            <w:r w:rsidRPr="0052626B">
              <w:rPr>
                <w:rFonts w:eastAsia="Arial" w:cs="Arial"/>
                <w:bCs/>
                <w:color w:val="auto"/>
              </w:rPr>
              <w:t>Parking facilities should appropriately provide for the needs of the development;</w:t>
            </w:r>
          </w:p>
          <w:p w14:paraId="0978F04D" w14:textId="77777777" w:rsidR="0052626B" w:rsidRPr="0052626B" w:rsidRDefault="0052626B" w:rsidP="00874A98">
            <w:pPr>
              <w:keepNext w:val="0"/>
              <w:numPr>
                <w:ilvl w:val="0"/>
                <w:numId w:val="194"/>
              </w:numPr>
              <w:spacing w:before="0"/>
              <w:jc w:val="left"/>
              <w:rPr>
                <w:rFonts w:eastAsia="Arial" w:cs="Arial"/>
                <w:bCs/>
                <w:color w:val="auto"/>
              </w:rPr>
            </w:pPr>
            <w:r w:rsidRPr="0052626B">
              <w:rPr>
                <w:rFonts w:eastAsia="Arial" w:cs="Arial"/>
                <w:bCs/>
                <w:color w:val="auto"/>
              </w:rPr>
              <w:t>Off-street parking should be designed to incorporate safety and security measures, to minimise inappropriate parking and to minimise the urban heat island effect  by providing soft landscaping, permeable surfaces and other treatments to offset adverse impacts of surface water run-off;</w:t>
            </w:r>
          </w:p>
          <w:p w14:paraId="7FA77995" w14:textId="77777777" w:rsidR="0052626B" w:rsidRPr="0052626B" w:rsidRDefault="0052626B" w:rsidP="00874A98">
            <w:pPr>
              <w:keepNext w:val="0"/>
              <w:numPr>
                <w:ilvl w:val="0"/>
                <w:numId w:val="194"/>
              </w:numPr>
              <w:spacing w:before="0"/>
              <w:jc w:val="left"/>
              <w:rPr>
                <w:rFonts w:eastAsia="Arial" w:cs="Arial"/>
                <w:bCs/>
                <w:color w:val="auto"/>
              </w:rPr>
            </w:pPr>
            <w:r w:rsidRPr="0052626B">
              <w:rPr>
                <w:rFonts w:eastAsia="Arial" w:cs="Arial"/>
                <w:bCs/>
                <w:color w:val="auto"/>
              </w:rPr>
              <w:t>On-street parking must be well located and should be suitably integrated into the development scheme, utilising high quality materials and landscaping.  It must not dominate building and road frontage;</w:t>
            </w:r>
          </w:p>
          <w:p w14:paraId="56F0517F" w14:textId="77777777" w:rsidR="0052626B" w:rsidRPr="0052626B" w:rsidRDefault="0052626B" w:rsidP="00874A98">
            <w:pPr>
              <w:keepNext w:val="0"/>
              <w:numPr>
                <w:ilvl w:val="0"/>
                <w:numId w:val="194"/>
              </w:numPr>
              <w:spacing w:before="0"/>
              <w:jc w:val="left"/>
              <w:rPr>
                <w:rFonts w:eastAsia="Arial" w:cs="Arial"/>
                <w:bCs/>
                <w:color w:val="auto"/>
              </w:rPr>
            </w:pPr>
            <w:r w:rsidRPr="0052626B">
              <w:rPr>
                <w:rFonts w:eastAsia="Arial" w:cs="Arial"/>
                <w:bCs/>
                <w:color w:val="auto"/>
              </w:rPr>
              <w:t>Provision must be made for people with impaired mobility where necessary;</w:t>
            </w:r>
          </w:p>
          <w:p w14:paraId="5C736574" w14:textId="30EB8672" w:rsidR="0052626B" w:rsidRPr="000663FF" w:rsidRDefault="0052626B" w:rsidP="00874A98">
            <w:pPr>
              <w:keepNext w:val="0"/>
              <w:numPr>
                <w:ilvl w:val="0"/>
                <w:numId w:val="194"/>
              </w:numPr>
              <w:spacing w:before="0"/>
              <w:jc w:val="left"/>
              <w:rPr>
                <w:rFonts w:eastAsia="Arial" w:cs="Arial"/>
                <w:bCs/>
                <w:color w:val="auto"/>
              </w:rPr>
            </w:pPr>
            <w:r w:rsidRPr="0052626B">
              <w:rPr>
                <w:rFonts w:eastAsia="Arial" w:cs="Arial"/>
                <w:bCs/>
                <w:color w:val="auto"/>
              </w:rPr>
              <w:t>Provision must be made for emergency service vehicles and delivery vehicles where necessary</w:t>
            </w:r>
            <w:r w:rsidRPr="000663FF">
              <w:rPr>
                <w:rFonts w:eastAsia="Arial" w:cs="Arial"/>
                <w:bCs/>
                <w:color w:val="auto"/>
              </w:rPr>
              <w:t>;</w:t>
            </w:r>
            <w:r w:rsidR="003C0B3D" w:rsidRPr="000663FF">
              <w:rPr>
                <w:rFonts w:eastAsia="Arial" w:cs="Arial"/>
                <w:bCs/>
                <w:color w:val="auto"/>
              </w:rPr>
              <w:t xml:space="preserve"> and</w:t>
            </w:r>
          </w:p>
          <w:p w14:paraId="5207F7B2" w14:textId="77777777" w:rsidR="0052626B" w:rsidRPr="0052626B" w:rsidRDefault="0052626B" w:rsidP="00874A98">
            <w:pPr>
              <w:keepNext w:val="0"/>
              <w:numPr>
                <w:ilvl w:val="0"/>
                <w:numId w:val="194"/>
              </w:numPr>
              <w:spacing w:before="0"/>
              <w:jc w:val="left"/>
              <w:rPr>
                <w:rFonts w:eastAsia="Arial" w:cs="Arial"/>
                <w:bCs/>
                <w:iCs/>
                <w:color w:val="auto"/>
              </w:rPr>
            </w:pPr>
            <w:r w:rsidRPr="0052626B">
              <w:rPr>
                <w:rFonts w:eastAsia="Arial" w:cs="Arial"/>
                <w:bCs/>
                <w:iCs/>
                <w:color w:val="auto"/>
              </w:rPr>
              <w:t>Provision should be designed to:</w:t>
            </w:r>
          </w:p>
          <w:p w14:paraId="679D1350" w14:textId="77777777" w:rsidR="0052626B" w:rsidRPr="0052626B" w:rsidRDefault="0052626B" w:rsidP="00874A98">
            <w:pPr>
              <w:keepNext w:val="0"/>
              <w:numPr>
                <w:ilvl w:val="0"/>
                <w:numId w:val="197"/>
              </w:numPr>
              <w:spacing w:before="0"/>
              <w:contextualSpacing/>
              <w:jc w:val="left"/>
              <w:rPr>
                <w:rFonts w:eastAsia="Arial" w:cs="Arial"/>
                <w:bCs/>
                <w:iCs/>
                <w:color w:val="auto"/>
              </w:rPr>
            </w:pPr>
            <w:r w:rsidRPr="0052626B">
              <w:rPr>
                <w:rFonts w:eastAsia="Arial" w:cs="Arial"/>
                <w:bCs/>
                <w:iCs/>
                <w:color w:val="auto"/>
              </w:rPr>
              <w:t>include electrical car charging provision appropriate to the scale and use of the of the proposed development, and</w:t>
            </w:r>
          </w:p>
          <w:p w14:paraId="0FFAC180" w14:textId="77777777" w:rsidR="0052626B" w:rsidRPr="0052626B" w:rsidRDefault="0052626B" w:rsidP="00874A98">
            <w:pPr>
              <w:keepNext w:val="0"/>
              <w:numPr>
                <w:ilvl w:val="0"/>
                <w:numId w:val="197"/>
              </w:numPr>
              <w:spacing w:before="0"/>
              <w:contextualSpacing/>
              <w:jc w:val="left"/>
              <w:rPr>
                <w:rFonts w:eastAsia="Arial" w:cs="Arial"/>
                <w:bCs/>
                <w:iCs/>
                <w:color w:val="auto"/>
              </w:rPr>
            </w:pPr>
            <w:r w:rsidRPr="0052626B">
              <w:rPr>
                <w:rFonts w:eastAsia="Arial" w:cs="Arial"/>
                <w:bCs/>
                <w:iCs/>
                <w:color w:val="auto"/>
              </w:rPr>
              <w:t>incorporate sustainable urban drainage system appropriate to the scale and use of the proposed development</w:t>
            </w:r>
          </w:p>
          <w:p w14:paraId="21DE1262" w14:textId="77777777" w:rsidR="0052626B" w:rsidRPr="0052626B" w:rsidRDefault="0052626B" w:rsidP="00905CC9">
            <w:pPr>
              <w:keepNext w:val="0"/>
              <w:spacing w:before="0"/>
              <w:ind w:left="1080"/>
              <w:contextualSpacing/>
              <w:jc w:val="left"/>
              <w:rPr>
                <w:rFonts w:eastAsia="Arial" w:cs="Arial"/>
                <w:bCs/>
                <w:iCs/>
                <w:color w:val="auto"/>
              </w:rPr>
            </w:pPr>
          </w:p>
          <w:p w14:paraId="5F740CFF" w14:textId="77777777" w:rsidR="0052626B" w:rsidRPr="0052626B" w:rsidRDefault="0052626B" w:rsidP="00905CC9">
            <w:pPr>
              <w:keepNext w:val="0"/>
              <w:spacing w:before="0"/>
              <w:ind w:left="720"/>
              <w:jc w:val="left"/>
              <w:rPr>
                <w:rFonts w:eastAsia="Arial" w:cs="Arial"/>
                <w:bCs/>
                <w:iCs/>
                <w:color w:val="auto"/>
              </w:rPr>
            </w:pPr>
            <w:r w:rsidRPr="0052626B">
              <w:rPr>
                <w:rFonts w:eastAsia="Arial" w:cs="Arial"/>
                <w:bCs/>
                <w:iCs/>
                <w:color w:val="auto"/>
              </w:rPr>
              <w:t>Parking provisions will be required, taking into account local and national guidance on parking provisions for vehicles including cycles.</w:t>
            </w:r>
          </w:p>
          <w:p w14:paraId="022372D9" w14:textId="77777777" w:rsidR="0052626B" w:rsidRPr="0052626B" w:rsidRDefault="0052626B" w:rsidP="00905CC9">
            <w:pPr>
              <w:keepNext w:val="0"/>
              <w:spacing w:before="0"/>
              <w:jc w:val="left"/>
              <w:rPr>
                <w:rFonts w:eastAsia="Arial" w:cs="Arial"/>
                <w:bCs/>
                <w:color w:val="auto"/>
              </w:rPr>
            </w:pPr>
          </w:p>
          <w:p w14:paraId="24F9AB00" w14:textId="77777777" w:rsidR="0052626B" w:rsidRPr="0052626B" w:rsidRDefault="0052626B" w:rsidP="00874A98">
            <w:pPr>
              <w:keepNext w:val="0"/>
              <w:numPr>
                <w:ilvl w:val="0"/>
                <w:numId w:val="195"/>
              </w:numPr>
              <w:tabs>
                <w:tab w:val="left" w:pos="680"/>
                <w:tab w:val="left" w:pos="1133"/>
                <w:tab w:val="left" w:pos="2267"/>
              </w:tabs>
              <w:spacing w:before="0"/>
              <w:ind w:right="284"/>
              <w:jc w:val="left"/>
              <w:rPr>
                <w:rFonts w:eastAsia="Arial"/>
                <w:bCs/>
                <w:color w:val="auto"/>
              </w:rPr>
            </w:pPr>
            <w:r w:rsidRPr="0052626B">
              <w:rPr>
                <w:rFonts w:eastAsia="Arial" w:cs="Arial"/>
                <w:bCs/>
                <w:color w:val="auto"/>
              </w:rPr>
              <w:t>The Council will be flexible with parking provision where:</w:t>
            </w:r>
          </w:p>
          <w:p w14:paraId="1921F360" w14:textId="77777777" w:rsidR="0052626B" w:rsidRPr="0052626B" w:rsidRDefault="0052626B" w:rsidP="00905CC9">
            <w:pPr>
              <w:keepNext w:val="0"/>
              <w:tabs>
                <w:tab w:val="left" w:pos="680"/>
                <w:tab w:val="left" w:pos="1133"/>
                <w:tab w:val="left" w:pos="2267"/>
              </w:tabs>
              <w:spacing w:before="0"/>
              <w:ind w:left="360" w:right="284"/>
              <w:jc w:val="left"/>
              <w:rPr>
                <w:rFonts w:eastAsia="Arial"/>
                <w:bCs/>
                <w:color w:val="auto"/>
              </w:rPr>
            </w:pPr>
          </w:p>
          <w:p w14:paraId="46826239" w14:textId="77777777" w:rsidR="0052626B" w:rsidRPr="0052626B" w:rsidRDefault="0052626B" w:rsidP="00874A98">
            <w:pPr>
              <w:keepNext w:val="0"/>
              <w:numPr>
                <w:ilvl w:val="0"/>
                <w:numId w:val="196"/>
              </w:numPr>
              <w:tabs>
                <w:tab w:val="left" w:pos="680"/>
                <w:tab w:val="left" w:pos="1133"/>
                <w:tab w:val="left" w:pos="2267"/>
              </w:tabs>
              <w:spacing w:before="0"/>
              <w:ind w:left="720" w:right="284"/>
              <w:contextualSpacing/>
              <w:jc w:val="left"/>
              <w:rPr>
                <w:rFonts w:eastAsia="Arial"/>
                <w:bCs/>
                <w:color w:val="auto"/>
              </w:rPr>
            </w:pPr>
            <w:r w:rsidRPr="0052626B">
              <w:rPr>
                <w:rFonts w:eastAsia="Arial" w:cs="Arial"/>
                <w:bCs/>
                <w:color w:val="auto"/>
              </w:rPr>
              <w:t xml:space="preserve">The location of the development will result in a lower parking requirement including the </w:t>
            </w:r>
            <w:r w:rsidRPr="0052626B">
              <w:rPr>
                <w:rFonts w:eastAsia="Arial"/>
                <w:bCs/>
                <w:color w:val="auto"/>
              </w:rPr>
              <w:t>close proximity to a major transport node.</w:t>
            </w:r>
          </w:p>
          <w:p w14:paraId="12FEEEF7" w14:textId="77777777" w:rsidR="0052626B" w:rsidRPr="0052626B" w:rsidRDefault="0052626B" w:rsidP="00905CC9">
            <w:pPr>
              <w:keepNext w:val="0"/>
              <w:tabs>
                <w:tab w:val="left" w:pos="680"/>
                <w:tab w:val="left" w:pos="1133"/>
                <w:tab w:val="left" w:pos="2267"/>
              </w:tabs>
              <w:spacing w:before="0"/>
              <w:ind w:left="720" w:right="284"/>
              <w:contextualSpacing/>
              <w:jc w:val="left"/>
              <w:rPr>
                <w:rFonts w:eastAsia="Arial"/>
                <w:bCs/>
                <w:color w:val="auto"/>
              </w:rPr>
            </w:pPr>
            <w:r w:rsidRPr="0052626B">
              <w:rPr>
                <w:rFonts w:eastAsia="Arial"/>
                <w:bCs/>
                <w:color w:val="auto"/>
              </w:rPr>
              <w:t xml:space="preserve"> </w:t>
            </w:r>
          </w:p>
          <w:p w14:paraId="59222D6E" w14:textId="77777777" w:rsidR="0052626B" w:rsidRPr="0052626B" w:rsidRDefault="0052626B" w:rsidP="00874A98">
            <w:pPr>
              <w:keepNext w:val="0"/>
              <w:numPr>
                <w:ilvl w:val="0"/>
                <w:numId w:val="196"/>
              </w:numPr>
              <w:tabs>
                <w:tab w:val="left" w:pos="680"/>
                <w:tab w:val="left" w:pos="1133"/>
                <w:tab w:val="left" w:pos="2267"/>
              </w:tabs>
              <w:spacing w:before="0"/>
              <w:ind w:left="720" w:right="284"/>
              <w:contextualSpacing/>
              <w:jc w:val="left"/>
              <w:rPr>
                <w:rFonts w:eastAsia="Arial"/>
                <w:bCs/>
                <w:color w:val="auto"/>
              </w:rPr>
            </w:pPr>
            <w:r w:rsidRPr="0052626B">
              <w:rPr>
                <w:rFonts w:eastAsia="Arial" w:cs="Arial"/>
                <w:bCs/>
                <w:color w:val="auto"/>
              </w:rPr>
              <w:t xml:space="preserve">The development includes realistic, alternative arrangements that result in a requirement for a lower parking provision and provides for a </w:t>
            </w:r>
            <w:r w:rsidRPr="0052626B">
              <w:rPr>
                <w:rFonts w:eastAsia="Arial" w:cs="Arial"/>
                <w:bCs/>
                <w:color w:val="auto"/>
                <w:szCs w:val="24"/>
              </w:rPr>
              <w:t>planning contribution to facilitate these alternative arrangements.</w:t>
            </w:r>
          </w:p>
          <w:p w14:paraId="0F35BB8B" w14:textId="77777777" w:rsidR="0052626B" w:rsidRPr="0052626B" w:rsidRDefault="0052626B" w:rsidP="00905CC9">
            <w:pPr>
              <w:keepNext w:val="0"/>
              <w:tabs>
                <w:tab w:val="left" w:pos="680"/>
                <w:tab w:val="left" w:pos="1133"/>
                <w:tab w:val="left" w:pos="2267"/>
              </w:tabs>
              <w:spacing w:before="0"/>
              <w:ind w:right="284"/>
              <w:contextualSpacing/>
              <w:jc w:val="left"/>
              <w:rPr>
                <w:rFonts w:eastAsia="Arial"/>
                <w:bCs/>
                <w:color w:val="auto"/>
              </w:rPr>
            </w:pPr>
          </w:p>
        </w:tc>
      </w:tr>
      <w:bookmarkEnd w:id="316"/>
      <w:tr w:rsidR="0052626B" w:rsidRPr="0052626B" w14:paraId="036B83CB" w14:textId="77777777" w:rsidTr="00DD4136">
        <w:tc>
          <w:tcPr>
            <w:tcW w:w="2263" w:type="dxa"/>
          </w:tcPr>
          <w:p w14:paraId="0FBD763F" w14:textId="77777777" w:rsidR="0052626B" w:rsidRPr="0052626B" w:rsidRDefault="0052626B" w:rsidP="00905CC9">
            <w:pPr>
              <w:keepNext w:val="0"/>
              <w:tabs>
                <w:tab w:val="left" w:pos="680"/>
                <w:tab w:val="left" w:pos="1133"/>
                <w:tab w:val="left" w:pos="2267"/>
              </w:tabs>
              <w:spacing w:before="0"/>
              <w:ind w:right="284"/>
              <w:jc w:val="left"/>
              <w:rPr>
                <w:rFonts w:eastAsia="Arial"/>
                <w:b/>
                <w:color w:val="7030A0"/>
                <w:szCs w:val="24"/>
              </w:rPr>
            </w:pPr>
            <w:r w:rsidRPr="0052626B">
              <w:rPr>
                <w:rFonts w:eastAsia="Arial"/>
                <w:bCs/>
                <w:color w:val="auto"/>
                <w:sz w:val="20"/>
              </w:rPr>
              <w:t>Evidence base</w:t>
            </w:r>
          </w:p>
        </w:tc>
        <w:tc>
          <w:tcPr>
            <w:tcW w:w="7513" w:type="dxa"/>
            <w:gridSpan w:val="2"/>
          </w:tcPr>
          <w:p w14:paraId="1E74F7AE" w14:textId="793F35D9" w:rsidR="00B22DC9" w:rsidRPr="000663FF" w:rsidRDefault="0052626B" w:rsidP="00874A98">
            <w:pPr>
              <w:pStyle w:val="ListParagraph"/>
              <w:numPr>
                <w:ilvl w:val="0"/>
                <w:numId w:val="236"/>
              </w:numPr>
              <w:tabs>
                <w:tab w:val="left" w:pos="680"/>
                <w:tab w:val="left" w:pos="1133"/>
                <w:tab w:val="left" w:pos="2267"/>
              </w:tabs>
              <w:spacing w:after="0" w:line="240" w:lineRule="auto"/>
              <w:ind w:left="357" w:right="284" w:hanging="357"/>
              <w:jc w:val="left"/>
              <w:rPr>
                <w:rFonts w:ascii="Arial" w:eastAsia="Arial" w:hAnsi="Arial" w:cs="Arial"/>
                <w:bCs/>
                <w:color w:val="auto"/>
                <w:sz w:val="20"/>
              </w:rPr>
            </w:pPr>
            <w:r w:rsidRPr="000663FF">
              <w:rPr>
                <w:rFonts w:ascii="Arial" w:eastAsia="Arial" w:hAnsi="Arial" w:cs="Arial"/>
                <w:bCs/>
                <w:color w:val="auto"/>
                <w:sz w:val="20"/>
              </w:rPr>
              <w:t xml:space="preserve">Sustainability Appraisal, </w:t>
            </w:r>
            <w:r w:rsidR="0025538D" w:rsidRPr="000663FF">
              <w:rPr>
                <w:rFonts w:ascii="Arial" w:eastAsia="Arial" w:hAnsi="Arial" w:cs="Arial"/>
                <w:bCs/>
                <w:color w:val="auto"/>
                <w:sz w:val="20"/>
              </w:rPr>
              <w:t>2</w:t>
            </w:r>
            <w:r w:rsidRPr="000663FF">
              <w:rPr>
                <w:rFonts w:ascii="Arial" w:eastAsia="Arial" w:hAnsi="Arial" w:cs="Arial"/>
                <w:bCs/>
                <w:color w:val="auto"/>
                <w:sz w:val="20"/>
              </w:rPr>
              <w:t>02</w:t>
            </w:r>
            <w:r w:rsidR="0025538D" w:rsidRPr="000663FF">
              <w:rPr>
                <w:rFonts w:ascii="Arial" w:eastAsia="Arial" w:hAnsi="Arial" w:cs="Arial"/>
                <w:bCs/>
                <w:color w:val="auto"/>
                <w:sz w:val="20"/>
              </w:rPr>
              <w:t>3</w:t>
            </w:r>
            <w:r w:rsidRPr="000663FF">
              <w:rPr>
                <w:rFonts w:ascii="Arial" w:eastAsia="Arial" w:hAnsi="Arial" w:cs="Arial"/>
                <w:bCs/>
                <w:color w:val="auto"/>
                <w:sz w:val="20"/>
              </w:rPr>
              <w:t xml:space="preserve">. </w:t>
            </w:r>
            <w:r w:rsidR="0025538D" w:rsidRPr="000663FF">
              <w:rPr>
                <w:rFonts w:ascii="Arial" w:eastAsia="Arial" w:hAnsi="Arial" w:cs="Arial"/>
                <w:bCs/>
                <w:color w:val="auto"/>
                <w:sz w:val="20"/>
              </w:rPr>
              <w:t>WSP UK Limited.</w:t>
            </w:r>
          </w:p>
          <w:p w14:paraId="1736020B" w14:textId="77777777" w:rsidR="0052626B" w:rsidRPr="000663FF" w:rsidRDefault="00B22DC9" w:rsidP="00874A98">
            <w:pPr>
              <w:pStyle w:val="ListParagraph"/>
              <w:numPr>
                <w:ilvl w:val="0"/>
                <w:numId w:val="236"/>
              </w:numPr>
              <w:tabs>
                <w:tab w:val="left" w:pos="680"/>
                <w:tab w:val="left" w:pos="1133"/>
                <w:tab w:val="left" w:pos="2267"/>
              </w:tabs>
              <w:spacing w:after="0" w:line="240" w:lineRule="auto"/>
              <w:ind w:left="357" w:right="284" w:hanging="357"/>
              <w:jc w:val="left"/>
              <w:rPr>
                <w:rFonts w:eastAsia="Arial"/>
                <w:bCs/>
                <w:color w:val="auto"/>
                <w:sz w:val="20"/>
              </w:rPr>
            </w:pPr>
            <w:r w:rsidRPr="000663FF">
              <w:rPr>
                <w:rFonts w:ascii="Arial" w:eastAsia="Arial" w:hAnsi="Arial" w:cs="Arial"/>
                <w:bCs/>
                <w:color w:val="auto"/>
                <w:sz w:val="20"/>
              </w:rPr>
              <w:t>Nottinghamshire Local Transport Plan Strategy 2011 – 2026. Nottinghamshire County Council.</w:t>
            </w:r>
          </w:p>
          <w:p w14:paraId="726E1012" w14:textId="4226E3EE" w:rsidR="006E3758" w:rsidRPr="000663FF" w:rsidRDefault="006E3758" w:rsidP="00874A98">
            <w:pPr>
              <w:pStyle w:val="ListParagraph"/>
              <w:numPr>
                <w:ilvl w:val="0"/>
                <w:numId w:val="236"/>
              </w:numPr>
              <w:tabs>
                <w:tab w:val="left" w:pos="680"/>
                <w:tab w:val="left" w:pos="1133"/>
                <w:tab w:val="left" w:pos="2267"/>
              </w:tabs>
              <w:spacing w:after="0" w:line="240" w:lineRule="auto"/>
              <w:ind w:right="284"/>
              <w:jc w:val="left"/>
              <w:rPr>
                <w:rFonts w:ascii="Arial" w:eastAsia="Arial" w:hAnsi="Arial" w:cs="Arial"/>
                <w:bCs/>
                <w:color w:val="auto"/>
                <w:sz w:val="20"/>
              </w:rPr>
            </w:pPr>
            <w:r w:rsidRPr="000663FF">
              <w:rPr>
                <w:rFonts w:ascii="Arial" w:eastAsia="Arial" w:hAnsi="Arial" w:cs="Arial"/>
                <w:bCs/>
                <w:color w:val="auto"/>
                <w:sz w:val="20"/>
              </w:rPr>
              <w:t>Cycle infrastructure design (LTN 1/20) (2020), Department for Transport.</w:t>
            </w:r>
          </w:p>
        </w:tc>
      </w:tr>
      <w:tr w:rsidR="0052626B" w:rsidRPr="0052626B" w14:paraId="320ABE12" w14:textId="77777777" w:rsidTr="00DD4136">
        <w:tc>
          <w:tcPr>
            <w:tcW w:w="2263" w:type="dxa"/>
          </w:tcPr>
          <w:p w14:paraId="4EABC2F6" w14:textId="77777777" w:rsidR="0052626B" w:rsidRPr="0052626B" w:rsidRDefault="0052626B" w:rsidP="00905CC9">
            <w:pPr>
              <w:keepNext w:val="0"/>
              <w:tabs>
                <w:tab w:val="left" w:pos="680"/>
                <w:tab w:val="left" w:pos="1133"/>
                <w:tab w:val="left" w:pos="2267"/>
              </w:tabs>
              <w:spacing w:before="0"/>
              <w:ind w:right="284"/>
              <w:jc w:val="left"/>
              <w:rPr>
                <w:rFonts w:eastAsia="Arial"/>
                <w:b/>
                <w:color w:val="auto"/>
                <w:sz w:val="22"/>
              </w:rPr>
            </w:pPr>
            <w:r w:rsidRPr="0052626B">
              <w:rPr>
                <w:rFonts w:eastAsia="Arial"/>
                <w:bCs/>
                <w:color w:val="auto"/>
                <w:sz w:val="20"/>
              </w:rPr>
              <w:t>National Planning Policy and Guidance</w:t>
            </w:r>
          </w:p>
        </w:tc>
        <w:tc>
          <w:tcPr>
            <w:tcW w:w="7513" w:type="dxa"/>
            <w:gridSpan w:val="2"/>
          </w:tcPr>
          <w:p w14:paraId="2E632465" w14:textId="69F8DE0B" w:rsidR="0052626B" w:rsidRPr="000663FF" w:rsidRDefault="0052626B" w:rsidP="00874A98">
            <w:pPr>
              <w:keepNext w:val="0"/>
              <w:numPr>
                <w:ilvl w:val="0"/>
                <w:numId w:val="119"/>
              </w:numPr>
              <w:tabs>
                <w:tab w:val="left" w:pos="680"/>
                <w:tab w:val="left" w:pos="1133"/>
                <w:tab w:val="left" w:pos="2267"/>
              </w:tabs>
              <w:spacing w:before="0" w:after="160" w:line="252" w:lineRule="auto"/>
              <w:ind w:right="284"/>
              <w:contextualSpacing/>
              <w:jc w:val="left"/>
              <w:rPr>
                <w:rFonts w:eastAsia="Arial"/>
                <w:bCs/>
                <w:color w:val="auto"/>
                <w:sz w:val="20"/>
              </w:rPr>
            </w:pPr>
            <w:r w:rsidRPr="000663FF">
              <w:rPr>
                <w:rFonts w:eastAsia="Arial"/>
                <w:bCs/>
                <w:color w:val="auto"/>
                <w:sz w:val="20"/>
              </w:rPr>
              <w:t>NPPF 20</w:t>
            </w:r>
            <w:r w:rsidR="004173E0" w:rsidRPr="000663FF">
              <w:rPr>
                <w:rFonts w:eastAsia="Arial"/>
                <w:bCs/>
                <w:color w:val="auto"/>
                <w:sz w:val="20"/>
              </w:rPr>
              <w:t>23</w:t>
            </w:r>
            <w:r w:rsidRPr="000663FF">
              <w:rPr>
                <w:rFonts w:eastAsia="Arial"/>
                <w:bCs/>
                <w:color w:val="auto"/>
                <w:sz w:val="20"/>
              </w:rPr>
              <w:t>, Part 2: Achieving sustainable development.</w:t>
            </w:r>
          </w:p>
          <w:p w14:paraId="2C78060B" w14:textId="02320C57" w:rsidR="0052626B" w:rsidRPr="000663FF" w:rsidRDefault="0052626B" w:rsidP="00874A98">
            <w:pPr>
              <w:keepNext w:val="0"/>
              <w:numPr>
                <w:ilvl w:val="0"/>
                <w:numId w:val="119"/>
              </w:numPr>
              <w:spacing w:before="0" w:after="160" w:line="252" w:lineRule="auto"/>
              <w:contextualSpacing/>
              <w:jc w:val="left"/>
              <w:rPr>
                <w:color w:val="auto"/>
                <w:sz w:val="20"/>
              </w:rPr>
            </w:pPr>
            <w:r w:rsidRPr="000663FF">
              <w:rPr>
                <w:rFonts w:eastAsia="Arial"/>
                <w:bCs/>
                <w:color w:val="auto"/>
                <w:sz w:val="20"/>
              </w:rPr>
              <w:t>NPPF 20</w:t>
            </w:r>
            <w:r w:rsidR="004173E0" w:rsidRPr="000663FF">
              <w:rPr>
                <w:rFonts w:eastAsia="Arial"/>
                <w:bCs/>
                <w:color w:val="auto"/>
                <w:sz w:val="20"/>
              </w:rPr>
              <w:t>23</w:t>
            </w:r>
            <w:r w:rsidRPr="000663FF">
              <w:rPr>
                <w:color w:val="auto"/>
                <w:sz w:val="20"/>
              </w:rPr>
              <w:t xml:space="preserve"> Part 9: Promoting sustainable transport.</w:t>
            </w:r>
          </w:p>
          <w:p w14:paraId="138C9530" w14:textId="77777777" w:rsidR="0052626B" w:rsidRPr="000663FF" w:rsidRDefault="0052626B" w:rsidP="00874A98">
            <w:pPr>
              <w:keepNext w:val="0"/>
              <w:numPr>
                <w:ilvl w:val="0"/>
                <w:numId w:val="119"/>
              </w:numPr>
              <w:tabs>
                <w:tab w:val="left" w:pos="680"/>
                <w:tab w:val="left" w:pos="1133"/>
                <w:tab w:val="left" w:pos="2267"/>
              </w:tabs>
              <w:spacing w:before="0" w:after="160" w:line="252" w:lineRule="auto"/>
              <w:ind w:right="284"/>
              <w:contextualSpacing/>
              <w:jc w:val="left"/>
              <w:rPr>
                <w:rFonts w:eastAsia="Arial"/>
                <w:bCs/>
                <w:color w:val="auto"/>
                <w:sz w:val="20"/>
              </w:rPr>
            </w:pPr>
            <w:r w:rsidRPr="000663FF">
              <w:rPr>
                <w:rFonts w:eastAsia="Arial"/>
                <w:bCs/>
                <w:color w:val="auto"/>
                <w:sz w:val="20"/>
              </w:rPr>
              <w:t>Ministerial Guidance-  Parking policy.  March 2015</w:t>
            </w:r>
          </w:p>
          <w:p w14:paraId="33CBF1DF" w14:textId="7661CFD3" w:rsidR="0052626B" w:rsidRPr="000663FF" w:rsidRDefault="0052626B" w:rsidP="00874A98">
            <w:pPr>
              <w:keepNext w:val="0"/>
              <w:numPr>
                <w:ilvl w:val="0"/>
                <w:numId w:val="119"/>
              </w:numPr>
              <w:tabs>
                <w:tab w:val="left" w:pos="680"/>
                <w:tab w:val="left" w:pos="1133"/>
                <w:tab w:val="left" w:pos="2267"/>
              </w:tabs>
              <w:spacing w:before="0" w:after="160" w:line="252" w:lineRule="auto"/>
              <w:ind w:right="284"/>
              <w:contextualSpacing/>
              <w:jc w:val="left"/>
              <w:rPr>
                <w:rFonts w:eastAsia="Arial"/>
                <w:bCs/>
                <w:color w:val="auto"/>
                <w:sz w:val="20"/>
              </w:rPr>
            </w:pPr>
            <w:r w:rsidRPr="000663FF">
              <w:rPr>
                <w:rFonts w:eastAsia="Arial"/>
                <w:bCs/>
                <w:color w:val="auto"/>
                <w:sz w:val="20"/>
              </w:rPr>
              <w:t>Planning Practice Guidance: Transport evidence bases in plan making and decision taking</w:t>
            </w:r>
            <w:r w:rsidR="0025538D" w:rsidRPr="000663FF">
              <w:rPr>
                <w:color w:val="auto"/>
              </w:rPr>
              <w:t xml:space="preserve"> </w:t>
            </w:r>
            <w:r w:rsidR="0025538D" w:rsidRPr="000663FF">
              <w:rPr>
                <w:rFonts w:eastAsia="Arial"/>
                <w:bCs/>
                <w:color w:val="auto"/>
                <w:sz w:val="20"/>
              </w:rPr>
              <w:t>March 2015.</w:t>
            </w:r>
          </w:p>
        </w:tc>
      </w:tr>
    </w:tbl>
    <w:p w14:paraId="612A8C02" w14:textId="77777777" w:rsidR="0052626B" w:rsidRPr="00263F59" w:rsidRDefault="0052626B" w:rsidP="0052626B">
      <w:pPr>
        <w:keepNext w:val="0"/>
        <w:spacing w:before="0"/>
        <w:rPr>
          <w:rFonts w:eastAsia="Arial" w:cs="Arial"/>
          <w:b/>
          <w:color w:val="auto"/>
        </w:rPr>
      </w:pPr>
    </w:p>
    <w:p w14:paraId="6B4E0797" w14:textId="2B861D4C" w:rsidR="0052626B" w:rsidRDefault="0052626B" w:rsidP="0052626B">
      <w:pPr>
        <w:keepNext w:val="0"/>
        <w:spacing w:before="0"/>
        <w:ind w:left="525"/>
        <w:rPr>
          <w:rFonts w:cs="Arial"/>
          <w:color w:val="auto"/>
          <w:szCs w:val="24"/>
          <w:lang w:eastAsia="en-US"/>
        </w:rPr>
      </w:pPr>
    </w:p>
    <w:p w14:paraId="12BA7315" w14:textId="7B211590" w:rsidR="00D41DD2" w:rsidRPr="00221F22" w:rsidRDefault="0052626B" w:rsidP="00221F22">
      <w:pPr>
        <w:keepNext w:val="0"/>
        <w:numPr>
          <w:ilvl w:val="1"/>
          <w:numId w:val="7"/>
        </w:numPr>
        <w:tabs>
          <w:tab w:val="clear" w:pos="525"/>
        </w:tabs>
        <w:spacing w:before="0"/>
        <w:ind w:left="709" w:hanging="709"/>
        <w:rPr>
          <w:rFonts w:cs="Arial"/>
          <w:color w:val="auto"/>
          <w:szCs w:val="24"/>
          <w:lang w:eastAsia="en-US"/>
        </w:rPr>
      </w:pPr>
      <w:r w:rsidRPr="00221F22">
        <w:rPr>
          <w:rFonts w:cs="Arial"/>
          <w:color w:val="auto"/>
          <w:szCs w:val="24"/>
          <w:lang w:eastAsia="en-US"/>
        </w:rPr>
        <w:t>Effective, well designed and considered parking provision is a key element of any development proposal. Insufficient and poorly located parking provision can lead to inappropriate parking on streets and verges, which has implications for the health and safety of all highway users. On street parking is very limited in some areas of the District, particularly in and around the main town centres.</w:t>
      </w:r>
    </w:p>
    <w:p w14:paraId="7211E074" w14:textId="77777777" w:rsidR="00D41DD2" w:rsidRDefault="00D41DD2" w:rsidP="00D41DD2">
      <w:pPr>
        <w:keepNext w:val="0"/>
        <w:spacing w:before="0"/>
        <w:ind w:left="709"/>
        <w:rPr>
          <w:rFonts w:cs="Arial"/>
          <w:color w:val="auto"/>
          <w:szCs w:val="24"/>
          <w:lang w:eastAsia="en-US"/>
        </w:rPr>
      </w:pPr>
    </w:p>
    <w:p w14:paraId="5C05B882" w14:textId="315B2931" w:rsidR="00D41DD2" w:rsidRDefault="0052626B" w:rsidP="00221F22">
      <w:pPr>
        <w:keepNext w:val="0"/>
        <w:numPr>
          <w:ilvl w:val="1"/>
          <w:numId w:val="7"/>
        </w:numPr>
        <w:tabs>
          <w:tab w:val="clear" w:pos="525"/>
        </w:tabs>
        <w:spacing w:before="0"/>
        <w:ind w:left="709" w:hanging="709"/>
        <w:rPr>
          <w:rFonts w:cs="Arial"/>
          <w:color w:val="auto"/>
          <w:szCs w:val="24"/>
          <w:lang w:eastAsia="en-US"/>
        </w:rPr>
      </w:pPr>
      <w:r w:rsidRPr="00D41DD2">
        <w:rPr>
          <w:rFonts w:cs="Arial"/>
          <w:color w:val="auto"/>
          <w:szCs w:val="24"/>
          <w:lang w:eastAsia="en-US"/>
        </w:rPr>
        <w:t xml:space="preserve">There is no single best solution to resolve the issue of vehicle parking. A combination of parking typologies (on-street, off-street, courtyards etc.) may be required to create an acceptable solution in terms of design and function. The Residential Parking Standards Supplementary Planning Document (SPD)  provides further guidance on the design and amount of parking needed to support residential development. </w:t>
      </w:r>
      <w:r w:rsidR="00AF2808">
        <w:rPr>
          <w:rFonts w:cs="Arial"/>
          <w:color w:val="auto"/>
          <w:szCs w:val="24"/>
          <w:lang w:eastAsia="en-US"/>
        </w:rPr>
        <w:t>D</w:t>
      </w:r>
      <w:r w:rsidRPr="00D41DD2">
        <w:rPr>
          <w:rFonts w:cs="Arial"/>
          <w:color w:val="auto"/>
          <w:szCs w:val="24"/>
          <w:lang w:eastAsia="en-US"/>
        </w:rPr>
        <w:t>evelopments standards are</w:t>
      </w:r>
      <w:r w:rsidR="00AF2808">
        <w:rPr>
          <w:rFonts w:cs="Arial"/>
          <w:color w:val="auto"/>
          <w:szCs w:val="24"/>
          <w:lang w:eastAsia="en-US"/>
        </w:rPr>
        <w:t xml:space="preserve"> </w:t>
      </w:r>
      <w:r w:rsidRPr="00D41DD2">
        <w:rPr>
          <w:rFonts w:cs="Arial"/>
          <w:color w:val="auto"/>
          <w:szCs w:val="24"/>
          <w:lang w:eastAsia="en-US"/>
        </w:rPr>
        <w:t xml:space="preserve">set out in the Nottinghamshire Highway Design Guide.   All proposals should also be guided by national best practice and guidance such as </w:t>
      </w:r>
      <w:r w:rsidR="00AF2808">
        <w:rPr>
          <w:rFonts w:cs="Arial"/>
          <w:color w:val="auto"/>
          <w:szCs w:val="24"/>
          <w:lang w:eastAsia="en-US"/>
        </w:rPr>
        <w:t>the</w:t>
      </w:r>
      <w:r w:rsidR="00221F22">
        <w:rPr>
          <w:rFonts w:cs="Arial"/>
          <w:color w:val="auto"/>
          <w:szCs w:val="24"/>
          <w:lang w:eastAsia="en-US"/>
        </w:rPr>
        <w:t xml:space="preserve"> </w:t>
      </w:r>
      <w:r w:rsidRPr="00D41DD2">
        <w:rPr>
          <w:rFonts w:cs="Arial"/>
          <w:color w:val="auto"/>
          <w:szCs w:val="24"/>
          <w:lang w:eastAsia="en-US"/>
        </w:rPr>
        <w:t xml:space="preserve">Manual for Streets and Building for a Healthy Life 12. </w:t>
      </w:r>
    </w:p>
    <w:p w14:paraId="62843335" w14:textId="77777777" w:rsidR="00D41DD2" w:rsidRPr="00D41DD2" w:rsidRDefault="00D41DD2" w:rsidP="00221F22">
      <w:pPr>
        <w:spacing w:before="0"/>
        <w:rPr>
          <w:rFonts w:cs="Arial"/>
          <w:color w:val="auto"/>
          <w:szCs w:val="24"/>
        </w:rPr>
      </w:pPr>
    </w:p>
    <w:p w14:paraId="52A2664D" w14:textId="67FC7AF3" w:rsidR="0052626B" w:rsidRPr="00D41DD2" w:rsidRDefault="0052626B" w:rsidP="00221F22">
      <w:pPr>
        <w:keepNext w:val="0"/>
        <w:numPr>
          <w:ilvl w:val="1"/>
          <w:numId w:val="7"/>
        </w:numPr>
        <w:tabs>
          <w:tab w:val="clear" w:pos="525"/>
        </w:tabs>
        <w:spacing w:before="0"/>
        <w:ind w:left="709" w:hanging="709"/>
        <w:rPr>
          <w:rFonts w:cs="Arial"/>
          <w:color w:val="auto"/>
          <w:szCs w:val="24"/>
          <w:lang w:eastAsia="en-US"/>
        </w:rPr>
      </w:pPr>
      <w:r w:rsidRPr="00D41DD2">
        <w:rPr>
          <w:rFonts w:cs="Arial"/>
          <w:color w:val="auto"/>
          <w:szCs w:val="24"/>
          <w:lang w:eastAsia="en-US"/>
        </w:rPr>
        <w:t>All development proposals should consider the parking requirements of their scheme from the initial stages of the design process, ensuring it is integrated and not considered as an afterthought. Development proposals should consider the following elements:</w:t>
      </w:r>
    </w:p>
    <w:p w14:paraId="231F9C20" w14:textId="77777777" w:rsidR="0052626B" w:rsidRPr="0052626B" w:rsidRDefault="0052626B" w:rsidP="0052626B">
      <w:pPr>
        <w:spacing w:before="0"/>
        <w:rPr>
          <w:rFonts w:cs="Arial"/>
          <w:color w:val="auto"/>
          <w:szCs w:val="24"/>
        </w:rPr>
      </w:pPr>
    </w:p>
    <w:p w14:paraId="21CF7543" w14:textId="65179783" w:rsidR="0052626B" w:rsidRDefault="0052626B" w:rsidP="00874A98">
      <w:pPr>
        <w:pStyle w:val="ListParagraph"/>
        <w:numPr>
          <w:ilvl w:val="0"/>
          <w:numId w:val="198"/>
        </w:numPr>
        <w:spacing w:after="0" w:line="240" w:lineRule="auto"/>
        <w:ind w:left="1069"/>
        <w:rPr>
          <w:rFonts w:ascii="Arial" w:hAnsi="Arial" w:cs="Arial"/>
          <w:color w:val="auto"/>
          <w:szCs w:val="24"/>
        </w:rPr>
      </w:pPr>
      <w:r w:rsidRPr="0052626B">
        <w:rPr>
          <w:rFonts w:ascii="Arial" w:hAnsi="Arial" w:cs="Arial"/>
          <w:color w:val="auto"/>
          <w:szCs w:val="24"/>
        </w:rPr>
        <w:t>Design &amp; Siting – parking must be siting and designed to reduce its impact on the public realm (visual and actual). Proposals should apply high quality, permeable materials, appropriate landscaping and a considered siting to help achieve this. All parking should be overlooked by surrounding development and/or in appropriate circumstances, have sufficient security and CCTV coverage to ensure adequate users and vehicle safety.</w:t>
      </w:r>
    </w:p>
    <w:p w14:paraId="551C70E1" w14:textId="77777777" w:rsidR="0052626B" w:rsidRPr="0052626B" w:rsidRDefault="0052626B" w:rsidP="00D41DD2">
      <w:pPr>
        <w:pStyle w:val="ListParagraph"/>
        <w:spacing w:after="0" w:line="240" w:lineRule="auto"/>
        <w:ind w:left="1069"/>
        <w:rPr>
          <w:rFonts w:ascii="Arial" w:hAnsi="Arial" w:cs="Arial"/>
          <w:color w:val="auto"/>
          <w:szCs w:val="24"/>
        </w:rPr>
      </w:pPr>
    </w:p>
    <w:p w14:paraId="58A97AB3" w14:textId="77777777" w:rsidR="00AF2808" w:rsidRPr="00AF2808" w:rsidRDefault="0052626B" w:rsidP="00874A98">
      <w:pPr>
        <w:pStyle w:val="ListParagraph"/>
        <w:numPr>
          <w:ilvl w:val="0"/>
          <w:numId w:val="198"/>
        </w:numPr>
        <w:spacing w:after="0" w:line="240" w:lineRule="auto"/>
        <w:ind w:left="1069"/>
        <w:rPr>
          <w:rFonts w:ascii="Arial" w:hAnsi="Arial" w:cs="Arial"/>
          <w:color w:val="auto"/>
          <w:szCs w:val="24"/>
        </w:rPr>
      </w:pPr>
      <w:r w:rsidRPr="0052626B">
        <w:rPr>
          <w:rFonts w:ascii="Arial" w:hAnsi="Arial" w:cs="Arial"/>
          <w:color w:val="auto"/>
          <w:szCs w:val="24"/>
        </w:rPr>
        <w:t>Pedestrians &amp; Cyclists - Parking spaces and facilities should be designed so that they do not inconvenience pedestrians and cyclists.  The street should be designed so that it can be easily and safely used and navigated by pedestrians and cyclists, including people using wheelchairs and pushchairs</w:t>
      </w:r>
      <w:r w:rsidRPr="00AF2808">
        <w:rPr>
          <w:rFonts w:ascii="Arial" w:hAnsi="Arial" w:cs="Arial"/>
          <w:color w:val="auto"/>
          <w:szCs w:val="24"/>
        </w:rPr>
        <w:t>.</w:t>
      </w:r>
      <w:r w:rsidR="00AF2808" w:rsidRPr="00AF2808">
        <w:rPr>
          <w:rFonts w:ascii="Arial" w:hAnsi="Arial" w:cs="Arial"/>
          <w:color w:val="auto"/>
          <w:szCs w:val="24"/>
        </w:rPr>
        <w:t xml:space="preserve"> Cycling is an important mode of travel offering a more sustainable alternative to the car and making a positive contribution to the overall character of a place, public health and to tackling climate change through reductions in carbon emissions.  Providing well-located, safe and secure cycle parking is a major factor in encouraging people to cycle as an alternative to the car.  Applications should have regard to local  and national guidance on anticipated requirements for different types of development.</w:t>
      </w:r>
    </w:p>
    <w:p w14:paraId="78D4F80B" w14:textId="77777777" w:rsidR="00AF2808" w:rsidRPr="00AF2808" w:rsidRDefault="00AF2808" w:rsidP="00AF2808">
      <w:pPr>
        <w:pStyle w:val="ListParagraph"/>
        <w:rPr>
          <w:rFonts w:ascii="Arial" w:hAnsi="Arial" w:cs="Arial"/>
          <w:color w:val="auto"/>
          <w:szCs w:val="24"/>
        </w:rPr>
      </w:pPr>
    </w:p>
    <w:p w14:paraId="106F3C98" w14:textId="5C12CF59" w:rsidR="00AF2808" w:rsidRPr="00AF2808" w:rsidRDefault="00AF2808" w:rsidP="00874A98">
      <w:pPr>
        <w:pStyle w:val="ListParagraph"/>
        <w:numPr>
          <w:ilvl w:val="0"/>
          <w:numId w:val="198"/>
        </w:numPr>
        <w:spacing w:after="0" w:line="240" w:lineRule="auto"/>
        <w:ind w:left="1069"/>
        <w:rPr>
          <w:rFonts w:ascii="Arial" w:hAnsi="Arial" w:cs="Arial"/>
          <w:color w:val="auto"/>
          <w:szCs w:val="24"/>
        </w:rPr>
      </w:pPr>
      <w:r w:rsidRPr="00AF2808">
        <w:rPr>
          <w:rFonts w:ascii="Arial" w:hAnsi="Arial" w:cs="Arial"/>
          <w:color w:val="auto"/>
          <w:szCs w:val="24"/>
        </w:rPr>
        <w:t>Disabled parking provision must accord with the standards adopted by Nottinghamshire County Council. Where necessary, an assessment of need should be undertaken to ascertain the level of disabled parking that will be required.  Prospective developers will need to demonstrate that adequate parking space is being provided to enable people with a disability to use the building.</w:t>
      </w:r>
    </w:p>
    <w:p w14:paraId="2B8D3494" w14:textId="77777777" w:rsidR="00AF2808" w:rsidRPr="00AF2808" w:rsidRDefault="00AF2808" w:rsidP="00D41DD2">
      <w:pPr>
        <w:spacing w:before="0"/>
        <w:ind w:left="349"/>
        <w:rPr>
          <w:rFonts w:cs="Arial"/>
          <w:color w:val="auto"/>
          <w:szCs w:val="24"/>
        </w:rPr>
      </w:pPr>
    </w:p>
    <w:p w14:paraId="6B7FB698" w14:textId="432D7449" w:rsidR="0052626B" w:rsidRDefault="0052626B" w:rsidP="00874A98">
      <w:pPr>
        <w:pStyle w:val="ListParagraph"/>
        <w:numPr>
          <w:ilvl w:val="0"/>
          <w:numId w:val="198"/>
        </w:numPr>
        <w:spacing w:after="0" w:line="240" w:lineRule="auto"/>
        <w:ind w:left="1069"/>
        <w:rPr>
          <w:rFonts w:ascii="Arial" w:hAnsi="Arial" w:cs="Arial"/>
          <w:color w:val="auto"/>
          <w:szCs w:val="24"/>
        </w:rPr>
      </w:pPr>
      <w:r w:rsidRPr="00AF2808">
        <w:rPr>
          <w:rFonts w:ascii="Arial" w:hAnsi="Arial" w:cs="Arial"/>
          <w:color w:val="auto"/>
          <w:szCs w:val="24"/>
        </w:rPr>
        <w:t>Parking Solutions – Off Street – proposals should apply a mix of parking solutions appropriate to the site. Large surface</w:t>
      </w:r>
      <w:r w:rsidRPr="0052626B">
        <w:rPr>
          <w:rFonts w:ascii="Arial" w:hAnsi="Arial" w:cs="Arial"/>
          <w:color w:val="auto"/>
          <w:szCs w:val="24"/>
        </w:rPr>
        <w:t xml:space="preserve"> car parks and long sections of bays at road or property frontage will not be supported. Off-street parking should provide a sufficient amount of space in order to prevent excessive overspill parking on adjacent streets. This can be provided in the form of in-curtilage parking or small parking courts.  Bays should be well connected to the wider development and not satellite from the development they serve, in order to discourage inappropriate or unnecessary on-street parking.</w:t>
      </w:r>
    </w:p>
    <w:p w14:paraId="41D2DFAC" w14:textId="77777777" w:rsidR="0052626B" w:rsidRPr="0052626B" w:rsidRDefault="0052626B" w:rsidP="00D41DD2">
      <w:pPr>
        <w:spacing w:before="0"/>
        <w:ind w:left="349"/>
        <w:rPr>
          <w:rFonts w:cs="Arial"/>
          <w:color w:val="auto"/>
          <w:szCs w:val="24"/>
        </w:rPr>
      </w:pPr>
    </w:p>
    <w:p w14:paraId="0A6C4BC1" w14:textId="7F12547C" w:rsidR="0052626B" w:rsidRDefault="0052626B" w:rsidP="00874A98">
      <w:pPr>
        <w:pStyle w:val="ListParagraph"/>
        <w:numPr>
          <w:ilvl w:val="0"/>
          <w:numId w:val="198"/>
        </w:numPr>
        <w:spacing w:after="0" w:line="240" w:lineRule="auto"/>
        <w:ind w:left="1069"/>
        <w:rPr>
          <w:rFonts w:ascii="Arial" w:hAnsi="Arial" w:cs="Arial"/>
          <w:color w:val="auto"/>
          <w:szCs w:val="24"/>
        </w:rPr>
      </w:pPr>
      <w:r w:rsidRPr="0052626B">
        <w:rPr>
          <w:rFonts w:ascii="Arial" w:hAnsi="Arial" w:cs="Arial"/>
          <w:color w:val="auto"/>
          <w:szCs w:val="24"/>
        </w:rPr>
        <w:t xml:space="preserve">Parking Solution – On-Street - On-street parking must not lead to street cluttering. They must be integrated into the wider public realm and include landscape features to reduce the potential for unmanaged parking beyond the designed bays. Parking bays should be clearly delineated and not obstruct footpaths or cycle ways. Large groups of bays will not be supported. </w:t>
      </w:r>
    </w:p>
    <w:p w14:paraId="7D400F48" w14:textId="77777777" w:rsidR="0052626B" w:rsidRPr="0052626B" w:rsidRDefault="0052626B" w:rsidP="00D41DD2">
      <w:pPr>
        <w:spacing w:before="0"/>
        <w:ind w:left="349"/>
        <w:rPr>
          <w:rFonts w:cs="Arial"/>
          <w:color w:val="auto"/>
          <w:szCs w:val="24"/>
        </w:rPr>
      </w:pPr>
    </w:p>
    <w:p w14:paraId="17C1009E" w14:textId="0E8BC1D1" w:rsidR="00AF2808" w:rsidRDefault="0052626B" w:rsidP="00874A98">
      <w:pPr>
        <w:pStyle w:val="ListParagraph"/>
        <w:numPr>
          <w:ilvl w:val="0"/>
          <w:numId w:val="198"/>
        </w:numPr>
        <w:spacing w:after="0" w:line="240" w:lineRule="auto"/>
        <w:ind w:left="1069"/>
        <w:rPr>
          <w:rFonts w:ascii="Arial" w:hAnsi="Arial" w:cs="Arial"/>
          <w:color w:val="auto"/>
          <w:szCs w:val="24"/>
        </w:rPr>
      </w:pPr>
      <w:r w:rsidRPr="0052626B">
        <w:rPr>
          <w:rFonts w:ascii="Arial" w:hAnsi="Arial" w:cs="Arial"/>
          <w:color w:val="auto"/>
          <w:szCs w:val="24"/>
        </w:rPr>
        <w:t>Garages - Garages should be large enough to accommodate vehicles  for the proposed development</w:t>
      </w:r>
      <w:r w:rsidR="00AF2808">
        <w:rPr>
          <w:rFonts w:ascii="Arial" w:hAnsi="Arial" w:cs="Arial"/>
          <w:color w:val="auto"/>
          <w:szCs w:val="24"/>
        </w:rPr>
        <w:t>.</w:t>
      </w:r>
    </w:p>
    <w:p w14:paraId="16B07C14" w14:textId="77777777" w:rsidR="0052626B" w:rsidRPr="0052626B" w:rsidRDefault="0052626B" w:rsidP="0052626B">
      <w:pPr>
        <w:spacing w:before="0"/>
        <w:rPr>
          <w:rFonts w:cs="Arial"/>
          <w:color w:val="auto"/>
          <w:szCs w:val="24"/>
        </w:rPr>
      </w:pPr>
    </w:p>
    <w:p w14:paraId="6ACC05BA" w14:textId="7ACC7F64" w:rsidR="00D41DD2" w:rsidRDefault="0052626B" w:rsidP="00D41DD2">
      <w:pPr>
        <w:keepNext w:val="0"/>
        <w:numPr>
          <w:ilvl w:val="1"/>
          <w:numId w:val="7"/>
        </w:numPr>
        <w:tabs>
          <w:tab w:val="clear" w:pos="525"/>
        </w:tabs>
        <w:spacing w:before="0"/>
        <w:ind w:left="709" w:hanging="709"/>
        <w:rPr>
          <w:rFonts w:cs="Arial"/>
          <w:color w:val="auto"/>
          <w:szCs w:val="24"/>
          <w:lang w:eastAsia="en-US"/>
        </w:rPr>
      </w:pPr>
      <w:r w:rsidRPr="0052626B">
        <w:rPr>
          <w:rFonts w:cs="Arial"/>
          <w:color w:val="auto"/>
          <w:szCs w:val="24"/>
          <w:lang w:eastAsia="en-US"/>
        </w:rPr>
        <w:t xml:space="preserve">The Government has taken the decision that by 2040 no new diesel vehicles will be </w:t>
      </w:r>
      <w:r w:rsidRPr="000663FF">
        <w:rPr>
          <w:rFonts w:cs="Arial"/>
          <w:color w:val="auto"/>
          <w:szCs w:val="24"/>
          <w:lang w:eastAsia="en-US"/>
        </w:rPr>
        <w:t>produced. The implication is that more electric vehicles will be on our road and there needs to be the necessary infrastructure</w:t>
      </w:r>
      <w:r w:rsidR="00CD791D" w:rsidRPr="000663FF">
        <w:rPr>
          <w:rFonts w:cs="Arial"/>
          <w:color w:val="auto"/>
          <w:szCs w:val="24"/>
          <w:lang w:eastAsia="en-US"/>
        </w:rPr>
        <w:t>, including the appropriate conduit and cables,</w:t>
      </w:r>
      <w:r w:rsidRPr="000663FF">
        <w:rPr>
          <w:rFonts w:cs="Arial"/>
          <w:color w:val="auto"/>
          <w:szCs w:val="24"/>
          <w:lang w:eastAsia="en-US"/>
        </w:rPr>
        <w:t xml:space="preserve"> to support electric vehicles.   Rapid charging points will be particularly important in the public </w:t>
      </w:r>
      <w:r w:rsidRPr="0052626B">
        <w:rPr>
          <w:rFonts w:cs="Arial"/>
          <w:color w:val="auto"/>
          <w:szCs w:val="24"/>
          <w:lang w:eastAsia="en-US"/>
        </w:rPr>
        <w:t>domain. In addition, domestic properties and commercial premises need to provide for the opportunity to charge vehicles close to the parking of vehicles.</w:t>
      </w:r>
    </w:p>
    <w:p w14:paraId="3CBCA7BF" w14:textId="77777777" w:rsidR="00D41DD2" w:rsidRDefault="00D41DD2" w:rsidP="00D41DD2">
      <w:pPr>
        <w:keepNext w:val="0"/>
        <w:spacing w:before="0"/>
        <w:ind w:left="709"/>
        <w:rPr>
          <w:rFonts w:cs="Arial"/>
          <w:color w:val="auto"/>
          <w:szCs w:val="24"/>
          <w:lang w:eastAsia="en-US"/>
        </w:rPr>
      </w:pPr>
    </w:p>
    <w:p w14:paraId="6274B732" w14:textId="61E91905" w:rsidR="00D41DD2" w:rsidRDefault="0052626B" w:rsidP="00D41DD2">
      <w:pPr>
        <w:keepNext w:val="0"/>
        <w:numPr>
          <w:ilvl w:val="1"/>
          <w:numId w:val="7"/>
        </w:numPr>
        <w:tabs>
          <w:tab w:val="clear" w:pos="525"/>
        </w:tabs>
        <w:spacing w:before="0"/>
        <w:ind w:left="709" w:hanging="709"/>
        <w:rPr>
          <w:rFonts w:cs="Arial"/>
          <w:color w:val="auto"/>
          <w:szCs w:val="24"/>
          <w:lang w:eastAsia="en-US"/>
        </w:rPr>
      </w:pPr>
      <w:r w:rsidRPr="00D41DD2">
        <w:rPr>
          <w:rFonts w:cs="Arial"/>
          <w:color w:val="auto"/>
          <w:szCs w:val="24"/>
          <w:lang w:eastAsia="en-US"/>
        </w:rPr>
        <w:t xml:space="preserve">The water </w:t>
      </w:r>
      <w:r w:rsidR="000663FF" w:rsidRPr="00D41DD2">
        <w:rPr>
          <w:rFonts w:cs="Arial"/>
          <w:color w:val="auto"/>
          <w:szCs w:val="24"/>
          <w:lang w:eastAsia="en-US"/>
        </w:rPr>
        <w:t>run-off</w:t>
      </w:r>
      <w:r w:rsidRPr="00D41DD2">
        <w:rPr>
          <w:rFonts w:cs="Arial"/>
          <w:color w:val="auto"/>
          <w:szCs w:val="24"/>
          <w:lang w:eastAsia="en-US"/>
        </w:rPr>
        <w:t xml:space="preserve"> from impervious surfaces can result in localised flooding.  Therefore, it is necessary to reduce flood risk by incorporating sustainable urban drainage system.</w:t>
      </w:r>
    </w:p>
    <w:p w14:paraId="50EEFC93" w14:textId="4564A342" w:rsidR="00D41DD2" w:rsidRDefault="00D41DD2" w:rsidP="00D41DD2">
      <w:pPr>
        <w:keepNext w:val="0"/>
        <w:spacing w:before="0"/>
        <w:rPr>
          <w:rFonts w:cs="Arial"/>
          <w:color w:val="auto"/>
          <w:szCs w:val="24"/>
          <w:lang w:eastAsia="en-US"/>
        </w:rPr>
      </w:pPr>
    </w:p>
    <w:p w14:paraId="179C42E0" w14:textId="77777777" w:rsidR="00A81691" w:rsidRDefault="00A81691" w:rsidP="00D41DD2">
      <w:pPr>
        <w:keepNext w:val="0"/>
        <w:spacing w:before="0"/>
        <w:rPr>
          <w:rFonts w:cs="Arial"/>
          <w:color w:val="auto"/>
          <w:szCs w:val="24"/>
          <w:lang w:eastAsia="en-US"/>
        </w:rPr>
      </w:pPr>
    </w:p>
    <w:p w14:paraId="1771122A" w14:textId="77777777" w:rsidR="00E864C3" w:rsidRDefault="0052626B" w:rsidP="00E864C3">
      <w:pPr>
        <w:keepNext w:val="0"/>
        <w:spacing w:before="0"/>
        <w:ind w:left="709"/>
        <w:rPr>
          <w:rFonts w:cs="Arial"/>
          <w:color w:val="auto"/>
          <w:szCs w:val="24"/>
          <w:lang w:eastAsia="en-US"/>
        </w:rPr>
      </w:pPr>
      <w:r w:rsidRPr="00E864C3">
        <w:rPr>
          <w:rFonts w:cs="Arial"/>
          <w:b/>
          <w:bCs/>
          <w:color w:val="auto"/>
          <w:szCs w:val="24"/>
          <w:lang w:eastAsia="en-US"/>
        </w:rPr>
        <w:t xml:space="preserve">Exceptions </w:t>
      </w:r>
    </w:p>
    <w:p w14:paraId="0243731A" w14:textId="70A34C70" w:rsidR="00E864C3" w:rsidRDefault="0052626B" w:rsidP="00E864C3">
      <w:pPr>
        <w:keepNext w:val="0"/>
        <w:numPr>
          <w:ilvl w:val="1"/>
          <w:numId w:val="7"/>
        </w:numPr>
        <w:tabs>
          <w:tab w:val="clear" w:pos="525"/>
        </w:tabs>
        <w:spacing w:before="0"/>
        <w:ind w:left="709" w:hanging="709"/>
        <w:rPr>
          <w:rFonts w:cs="Arial"/>
          <w:color w:val="auto"/>
          <w:szCs w:val="24"/>
          <w:lang w:eastAsia="en-US"/>
        </w:rPr>
      </w:pPr>
      <w:r w:rsidRPr="00E864C3">
        <w:rPr>
          <w:rFonts w:cs="Arial"/>
          <w:color w:val="auto"/>
          <w:szCs w:val="24"/>
          <w:lang w:eastAsia="en-US"/>
        </w:rPr>
        <w:t xml:space="preserve">Generally, development will only be permitted where it is in accordance with current Parking Standards. The Council will work closely with the Highway Authority on issues relating to parking. </w:t>
      </w:r>
    </w:p>
    <w:p w14:paraId="43B85409" w14:textId="77777777" w:rsidR="00E864C3" w:rsidRDefault="00E864C3" w:rsidP="00E864C3">
      <w:pPr>
        <w:keepNext w:val="0"/>
        <w:spacing w:before="0"/>
        <w:ind w:left="709"/>
        <w:rPr>
          <w:rFonts w:cs="Arial"/>
          <w:color w:val="auto"/>
          <w:szCs w:val="24"/>
          <w:lang w:eastAsia="en-US"/>
        </w:rPr>
      </w:pPr>
    </w:p>
    <w:p w14:paraId="353D82FD" w14:textId="39CEA08D" w:rsidR="00E864C3" w:rsidRDefault="0052626B" w:rsidP="00E864C3">
      <w:pPr>
        <w:keepNext w:val="0"/>
        <w:numPr>
          <w:ilvl w:val="1"/>
          <w:numId w:val="7"/>
        </w:numPr>
        <w:tabs>
          <w:tab w:val="clear" w:pos="525"/>
        </w:tabs>
        <w:spacing w:before="0"/>
        <w:ind w:left="709" w:hanging="709"/>
        <w:rPr>
          <w:rFonts w:cs="Arial"/>
          <w:color w:val="auto"/>
          <w:szCs w:val="24"/>
          <w:lang w:eastAsia="en-US"/>
        </w:rPr>
      </w:pPr>
      <w:r w:rsidRPr="00E864C3">
        <w:rPr>
          <w:rFonts w:cs="Arial"/>
          <w:color w:val="auto"/>
          <w:szCs w:val="24"/>
          <w:lang w:eastAsia="en-US"/>
        </w:rPr>
        <w:t xml:space="preserve">In exceptional circumstances a more flexible approach may be required and parking standards could be negotiable. In particular, developments in areas in close proximity to major transport nodes, such as railway and bus stations, may warrant a more flexible approach where there are no implications for amenity or health and safety.    In appropriate locations or developments, this may include alternative proposals, which lead to lower parking requirements.  For example, the provision of a car club as part of the development.  </w:t>
      </w:r>
    </w:p>
    <w:p w14:paraId="46F21EBC" w14:textId="77777777" w:rsidR="00E864C3" w:rsidRDefault="00E864C3" w:rsidP="00E864C3">
      <w:pPr>
        <w:keepNext w:val="0"/>
        <w:spacing w:before="0"/>
        <w:rPr>
          <w:rFonts w:cs="Arial"/>
          <w:color w:val="auto"/>
          <w:szCs w:val="24"/>
          <w:lang w:eastAsia="en-US"/>
        </w:rPr>
      </w:pPr>
    </w:p>
    <w:p w14:paraId="425CE39D" w14:textId="64AF542F" w:rsidR="0052626B" w:rsidRPr="00E864C3" w:rsidRDefault="0052626B" w:rsidP="00E864C3">
      <w:pPr>
        <w:keepNext w:val="0"/>
        <w:numPr>
          <w:ilvl w:val="1"/>
          <w:numId w:val="7"/>
        </w:numPr>
        <w:tabs>
          <w:tab w:val="clear" w:pos="525"/>
        </w:tabs>
        <w:spacing w:before="0"/>
        <w:ind w:left="709" w:hanging="709"/>
        <w:rPr>
          <w:rFonts w:cs="Arial"/>
          <w:color w:val="auto"/>
          <w:szCs w:val="24"/>
          <w:lang w:eastAsia="en-US"/>
        </w:rPr>
      </w:pPr>
      <w:r w:rsidRPr="00E864C3">
        <w:rPr>
          <w:rFonts w:cs="Arial"/>
          <w:color w:val="auto"/>
          <w:szCs w:val="24"/>
          <w:lang w:eastAsia="en-US"/>
        </w:rPr>
        <w:t>The onus is on the developer or applicant to demonstrate that the proposed parking facilities or alternative proposals are sufficient to meet the needs of the development as a whole.</w:t>
      </w:r>
    </w:p>
    <w:p w14:paraId="0094DC13" w14:textId="3F684865" w:rsidR="0052626B" w:rsidRDefault="0052626B" w:rsidP="0052626B">
      <w:pPr>
        <w:keepNext w:val="0"/>
        <w:spacing w:before="0"/>
        <w:ind w:left="527"/>
        <w:rPr>
          <w:rFonts w:cs="Arial"/>
          <w:color w:val="auto"/>
          <w:szCs w:val="24"/>
          <w:lang w:eastAsia="en-US"/>
        </w:rPr>
      </w:pPr>
    </w:p>
    <w:p w14:paraId="1EAE110D" w14:textId="17AF7CD6" w:rsidR="00263F59" w:rsidRDefault="00263F59" w:rsidP="0052626B">
      <w:pPr>
        <w:keepNext w:val="0"/>
        <w:spacing w:before="0"/>
        <w:ind w:left="527"/>
        <w:rPr>
          <w:rFonts w:cs="Arial"/>
          <w:color w:val="auto"/>
          <w:szCs w:val="24"/>
          <w:lang w:eastAsia="en-US"/>
        </w:rPr>
      </w:pPr>
    </w:p>
    <w:p w14:paraId="4254E706" w14:textId="77777777" w:rsidR="00F46258" w:rsidRDefault="00F46258" w:rsidP="0052626B">
      <w:pPr>
        <w:keepNext w:val="0"/>
        <w:spacing w:before="0"/>
        <w:ind w:left="527"/>
        <w:rPr>
          <w:rFonts w:cs="Arial"/>
          <w:color w:val="auto"/>
          <w:szCs w:val="24"/>
          <w:lang w:eastAsia="en-US"/>
        </w:rPr>
      </w:pPr>
    </w:p>
    <w:p w14:paraId="13BC4901" w14:textId="310246F1" w:rsidR="0052626B" w:rsidRPr="00825421" w:rsidRDefault="006977E7" w:rsidP="00825421">
      <w:pPr>
        <w:pStyle w:val="Heading2"/>
        <w:jc w:val="left"/>
        <w:rPr>
          <w:rFonts w:eastAsia="Arial"/>
          <w:sz w:val="28"/>
          <w:szCs w:val="28"/>
        </w:rPr>
      </w:pPr>
      <w:bookmarkStart w:id="317" w:name="_Toc500408794"/>
      <w:bookmarkStart w:id="318" w:name="_Toc145511621"/>
      <w:r w:rsidRPr="00825421">
        <w:rPr>
          <w:sz w:val="28"/>
          <w:szCs w:val="28"/>
        </w:rPr>
        <w:t xml:space="preserve">Policy </w:t>
      </w:r>
      <w:r w:rsidR="0052626B" w:rsidRPr="00825421">
        <w:rPr>
          <w:rFonts w:eastAsia="Arial"/>
          <w:sz w:val="28"/>
          <w:szCs w:val="28"/>
        </w:rPr>
        <w:t>SD1</w:t>
      </w:r>
      <w:r w:rsidR="0064018F" w:rsidRPr="00825421">
        <w:rPr>
          <w:rFonts w:eastAsia="Arial"/>
          <w:sz w:val="28"/>
          <w:szCs w:val="28"/>
        </w:rPr>
        <w:t>2</w:t>
      </w:r>
      <w:r w:rsidR="0052626B" w:rsidRPr="00825421">
        <w:rPr>
          <w:rFonts w:eastAsia="Arial"/>
          <w:sz w:val="28"/>
          <w:szCs w:val="28"/>
        </w:rPr>
        <w:t>: Advertisements</w:t>
      </w:r>
      <w:bookmarkEnd w:id="317"/>
      <w:bookmarkEnd w:id="318"/>
    </w:p>
    <w:p w14:paraId="394955EC" w14:textId="77777777" w:rsidR="0052626B" w:rsidRPr="0052626B" w:rsidRDefault="0052626B" w:rsidP="0052626B">
      <w:pPr>
        <w:keepNext w:val="0"/>
        <w:spacing w:before="0"/>
        <w:rPr>
          <w:rFonts w:eastAsia="Arial" w:cs="Arial"/>
          <w:color w:val="auto"/>
          <w:szCs w:val="24"/>
        </w:rPr>
      </w:pPr>
    </w:p>
    <w:tbl>
      <w:tblPr>
        <w:tblStyle w:val="TableGrid3"/>
        <w:tblW w:w="9634" w:type="dxa"/>
        <w:tblLook w:val="04A0" w:firstRow="1" w:lastRow="0" w:firstColumn="1" w:lastColumn="0" w:noHBand="0" w:noVBand="1"/>
      </w:tblPr>
      <w:tblGrid>
        <w:gridCol w:w="2122"/>
        <w:gridCol w:w="538"/>
        <w:gridCol w:w="6974"/>
      </w:tblGrid>
      <w:tr w:rsidR="0052626B" w:rsidRPr="0052626B" w14:paraId="2D878C2F" w14:textId="77777777" w:rsidTr="00DD4136">
        <w:trPr>
          <w:trHeight w:val="421"/>
        </w:trPr>
        <w:tc>
          <w:tcPr>
            <w:tcW w:w="9634" w:type="dxa"/>
            <w:gridSpan w:val="3"/>
          </w:tcPr>
          <w:p w14:paraId="3E1C3A5F" w14:textId="77777777" w:rsidR="00E864C3" w:rsidRDefault="00E864C3" w:rsidP="00905CC9">
            <w:pPr>
              <w:keepNext w:val="0"/>
              <w:tabs>
                <w:tab w:val="left" w:pos="680"/>
              </w:tabs>
              <w:spacing w:before="0"/>
              <w:jc w:val="left"/>
              <w:rPr>
                <w:rFonts w:eastAsia="Arial"/>
                <w:b/>
                <w:color w:val="auto"/>
                <w:spacing w:val="-1"/>
              </w:rPr>
            </w:pPr>
            <w:bookmarkStart w:id="319" w:name="_Hlk78903342"/>
          </w:p>
          <w:p w14:paraId="2A9B3BD7" w14:textId="20537E2D" w:rsidR="0052626B" w:rsidRDefault="0052626B" w:rsidP="00905CC9">
            <w:pPr>
              <w:keepNext w:val="0"/>
              <w:tabs>
                <w:tab w:val="left" w:pos="680"/>
              </w:tabs>
              <w:spacing w:before="0"/>
              <w:jc w:val="left"/>
              <w:rPr>
                <w:rFonts w:eastAsia="Arial"/>
                <w:b/>
                <w:color w:val="auto"/>
                <w:spacing w:val="-1"/>
              </w:rPr>
            </w:pPr>
            <w:r w:rsidRPr="008F21DB">
              <w:rPr>
                <w:rFonts w:eastAsia="Arial"/>
                <w:b/>
                <w:color w:val="auto"/>
                <w:spacing w:val="-1"/>
              </w:rPr>
              <w:t>Policy SD1</w:t>
            </w:r>
            <w:r w:rsidR="0064018F">
              <w:rPr>
                <w:rFonts w:eastAsia="Arial"/>
                <w:b/>
                <w:color w:val="auto"/>
                <w:spacing w:val="-1"/>
              </w:rPr>
              <w:t>2</w:t>
            </w:r>
            <w:r w:rsidRPr="008F21DB">
              <w:rPr>
                <w:rFonts w:eastAsia="Arial"/>
                <w:b/>
                <w:color w:val="auto"/>
                <w:spacing w:val="-1"/>
              </w:rPr>
              <w:t>: Advertisements</w:t>
            </w:r>
          </w:p>
          <w:p w14:paraId="43FF2051" w14:textId="53A98D36" w:rsidR="00E864C3" w:rsidRPr="0052626B" w:rsidRDefault="00E864C3" w:rsidP="00905CC9">
            <w:pPr>
              <w:keepNext w:val="0"/>
              <w:tabs>
                <w:tab w:val="left" w:pos="680"/>
              </w:tabs>
              <w:spacing w:before="0"/>
              <w:jc w:val="left"/>
              <w:rPr>
                <w:rFonts w:eastAsia="Arial"/>
                <w:b/>
                <w:color w:val="auto"/>
                <w:spacing w:val="-1"/>
              </w:rPr>
            </w:pPr>
          </w:p>
        </w:tc>
      </w:tr>
      <w:tr w:rsidR="0052626B" w:rsidRPr="0052626B" w14:paraId="0BC4FFB3" w14:textId="77777777" w:rsidTr="00DD4136">
        <w:tc>
          <w:tcPr>
            <w:tcW w:w="2660" w:type="dxa"/>
            <w:gridSpan w:val="2"/>
          </w:tcPr>
          <w:p w14:paraId="4419A8DD" w14:textId="77777777" w:rsidR="0052626B" w:rsidRPr="008F21DB" w:rsidRDefault="0052626B" w:rsidP="00905CC9">
            <w:pPr>
              <w:keepNext w:val="0"/>
              <w:tabs>
                <w:tab w:val="left" w:pos="680"/>
              </w:tabs>
              <w:spacing w:before="0"/>
              <w:jc w:val="left"/>
              <w:rPr>
                <w:rFonts w:eastAsia="Arial"/>
                <w:bCs/>
                <w:color w:val="auto"/>
              </w:rPr>
            </w:pPr>
            <w:r w:rsidRPr="008F21DB">
              <w:rPr>
                <w:rFonts w:eastAsia="Arial"/>
                <w:bCs/>
                <w:color w:val="auto"/>
              </w:rPr>
              <w:t>Strategic Objectives</w:t>
            </w:r>
          </w:p>
        </w:tc>
        <w:tc>
          <w:tcPr>
            <w:tcW w:w="6974" w:type="dxa"/>
          </w:tcPr>
          <w:p w14:paraId="276FEC32" w14:textId="77777777" w:rsidR="0052626B" w:rsidRPr="008F21DB" w:rsidRDefault="0052626B" w:rsidP="00905CC9">
            <w:pPr>
              <w:keepNext w:val="0"/>
              <w:tabs>
                <w:tab w:val="left" w:pos="680"/>
              </w:tabs>
              <w:spacing w:before="40" w:after="40"/>
              <w:jc w:val="left"/>
              <w:rPr>
                <w:rFonts w:eastAsia="Arial"/>
                <w:bCs/>
                <w:color w:val="auto"/>
              </w:rPr>
            </w:pPr>
            <w:r w:rsidRPr="008F21DB">
              <w:rPr>
                <w:rFonts w:eastAsia="Arial"/>
                <w:bCs/>
                <w:color w:val="auto"/>
              </w:rPr>
              <w:t>SO1, SO7, SO8, SO9, SO10, SO13, SO14.</w:t>
            </w:r>
          </w:p>
        </w:tc>
      </w:tr>
      <w:tr w:rsidR="0052626B" w:rsidRPr="0052626B" w14:paraId="11573C55" w14:textId="77777777" w:rsidTr="00DD4136">
        <w:tc>
          <w:tcPr>
            <w:tcW w:w="9634" w:type="dxa"/>
            <w:gridSpan w:val="3"/>
            <w:shd w:val="clear" w:color="auto" w:fill="DAC4F8"/>
          </w:tcPr>
          <w:p w14:paraId="1F923F16" w14:textId="77777777" w:rsidR="0052626B" w:rsidRPr="008F21DB" w:rsidRDefault="0052626B" w:rsidP="00905CC9">
            <w:pPr>
              <w:keepNext w:val="0"/>
              <w:tabs>
                <w:tab w:val="left" w:pos="680"/>
                <w:tab w:val="left" w:pos="1133"/>
                <w:tab w:val="left" w:pos="2267"/>
              </w:tabs>
              <w:spacing w:before="0"/>
              <w:ind w:right="284"/>
              <w:jc w:val="left"/>
              <w:rPr>
                <w:rFonts w:eastAsia="Arial"/>
                <w:bCs/>
                <w:color w:val="auto"/>
              </w:rPr>
            </w:pPr>
          </w:p>
          <w:p w14:paraId="488AE64A" w14:textId="77777777" w:rsidR="0052626B" w:rsidRPr="008F21DB" w:rsidRDefault="0052626B" w:rsidP="00905CC9">
            <w:pPr>
              <w:keepNext w:val="0"/>
              <w:tabs>
                <w:tab w:val="left" w:pos="680"/>
                <w:tab w:val="left" w:pos="1133"/>
                <w:tab w:val="left" w:pos="2267"/>
              </w:tabs>
              <w:spacing w:before="0"/>
              <w:ind w:right="284"/>
              <w:jc w:val="left"/>
              <w:rPr>
                <w:rFonts w:eastAsia="Arial"/>
                <w:bCs/>
                <w:color w:val="auto"/>
              </w:rPr>
            </w:pPr>
            <w:r w:rsidRPr="008F21DB">
              <w:rPr>
                <w:rFonts w:eastAsia="Arial"/>
                <w:bCs/>
                <w:color w:val="auto"/>
              </w:rPr>
              <w:t>Advertisements, including boards and signs, will be supported where they:</w:t>
            </w:r>
          </w:p>
          <w:p w14:paraId="13B180AC" w14:textId="77777777" w:rsidR="0052626B" w:rsidRPr="008F21DB" w:rsidRDefault="0052626B" w:rsidP="00905CC9">
            <w:pPr>
              <w:keepNext w:val="0"/>
              <w:spacing w:before="0"/>
              <w:jc w:val="left"/>
              <w:rPr>
                <w:rFonts w:eastAsia="Arial" w:cs="Arial"/>
                <w:bCs/>
                <w:color w:val="auto"/>
              </w:rPr>
            </w:pPr>
          </w:p>
          <w:p w14:paraId="1BA20D85" w14:textId="28C0F584" w:rsidR="0052626B" w:rsidRDefault="0052626B" w:rsidP="00874A98">
            <w:pPr>
              <w:keepNext w:val="0"/>
              <w:numPr>
                <w:ilvl w:val="0"/>
                <w:numId w:val="199"/>
              </w:numPr>
              <w:spacing w:before="0"/>
              <w:jc w:val="left"/>
              <w:rPr>
                <w:rFonts w:eastAsia="Arial" w:cs="Arial"/>
                <w:bCs/>
                <w:color w:val="auto"/>
              </w:rPr>
            </w:pPr>
            <w:r w:rsidRPr="008F21DB">
              <w:rPr>
                <w:rFonts w:eastAsia="Arial" w:cs="Arial"/>
                <w:bCs/>
                <w:color w:val="auto"/>
              </w:rPr>
              <w:t>Do not have a negative impact on the visual amenity of the street scene</w:t>
            </w:r>
            <w:r w:rsidR="003C0B3D">
              <w:rPr>
                <w:rFonts w:eastAsia="Arial" w:cs="Arial"/>
                <w:bCs/>
                <w:color w:val="auto"/>
              </w:rPr>
              <w:t>;</w:t>
            </w:r>
          </w:p>
          <w:p w14:paraId="40BCD1CA" w14:textId="77777777" w:rsidR="008F21DB" w:rsidRPr="008F21DB" w:rsidRDefault="008F21DB" w:rsidP="00905CC9">
            <w:pPr>
              <w:keepNext w:val="0"/>
              <w:spacing w:before="0"/>
              <w:ind w:left="720"/>
              <w:jc w:val="left"/>
              <w:rPr>
                <w:rFonts w:eastAsia="Arial" w:cs="Arial"/>
                <w:bCs/>
                <w:color w:val="auto"/>
              </w:rPr>
            </w:pPr>
          </w:p>
          <w:p w14:paraId="32ED6249" w14:textId="0914480C" w:rsidR="0052626B" w:rsidRDefault="0052626B" w:rsidP="00874A98">
            <w:pPr>
              <w:keepNext w:val="0"/>
              <w:numPr>
                <w:ilvl w:val="0"/>
                <w:numId w:val="199"/>
              </w:numPr>
              <w:spacing w:before="0"/>
              <w:jc w:val="left"/>
              <w:rPr>
                <w:rFonts w:eastAsia="Arial" w:cs="Arial"/>
                <w:bCs/>
                <w:color w:val="auto"/>
              </w:rPr>
            </w:pPr>
            <w:r w:rsidRPr="008F21DB">
              <w:rPr>
                <w:rFonts w:eastAsia="Arial" w:cs="Arial"/>
                <w:bCs/>
                <w:color w:val="auto"/>
              </w:rPr>
              <w:t>Do not affect public safety</w:t>
            </w:r>
            <w:r w:rsidR="003C0B3D">
              <w:rPr>
                <w:rFonts w:eastAsia="Arial" w:cs="Arial"/>
                <w:bCs/>
                <w:color w:val="auto"/>
              </w:rPr>
              <w:t>;</w:t>
            </w:r>
          </w:p>
          <w:p w14:paraId="07519621" w14:textId="77777777" w:rsidR="008F21DB" w:rsidRPr="000663FF" w:rsidRDefault="008F21DB" w:rsidP="00905CC9">
            <w:pPr>
              <w:keepNext w:val="0"/>
              <w:spacing w:before="0"/>
              <w:jc w:val="left"/>
              <w:rPr>
                <w:rFonts w:eastAsia="Arial" w:cs="Arial"/>
                <w:bCs/>
                <w:color w:val="auto"/>
              </w:rPr>
            </w:pPr>
          </w:p>
          <w:p w14:paraId="57E0627C" w14:textId="6C1731F8" w:rsidR="0052626B" w:rsidRPr="000663FF" w:rsidRDefault="0052626B" w:rsidP="00874A98">
            <w:pPr>
              <w:keepNext w:val="0"/>
              <w:numPr>
                <w:ilvl w:val="0"/>
                <w:numId w:val="199"/>
              </w:numPr>
              <w:spacing w:before="0"/>
              <w:ind w:left="709"/>
              <w:jc w:val="left"/>
              <w:rPr>
                <w:rFonts w:eastAsia="Arial" w:cs="Arial"/>
                <w:bCs/>
                <w:color w:val="auto"/>
              </w:rPr>
            </w:pPr>
            <w:r w:rsidRPr="000663FF">
              <w:rPr>
                <w:rFonts w:eastAsia="Arial" w:cs="Arial"/>
                <w:bCs/>
                <w:color w:val="auto"/>
              </w:rPr>
              <w:t>Do not have a negative impact on the character of an area or a building</w:t>
            </w:r>
            <w:r w:rsidR="003C0B3D" w:rsidRPr="000663FF">
              <w:rPr>
                <w:rFonts w:eastAsia="Arial" w:cs="Arial"/>
                <w:bCs/>
                <w:color w:val="auto"/>
              </w:rPr>
              <w:t>; and</w:t>
            </w:r>
            <w:r w:rsidRPr="000663FF">
              <w:rPr>
                <w:rFonts w:eastAsia="Arial" w:cs="Arial"/>
                <w:bCs/>
                <w:color w:val="auto"/>
              </w:rPr>
              <w:t xml:space="preserve"> </w:t>
            </w:r>
          </w:p>
          <w:p w14:paraId="3580B95D" w14:textId="77777777" w:rsidR="008F21DB" w:rsidRPr="000663FF" w:rsidRDefault="008F21DB" w:rsidP="00905CC9">
            <w:pPr>
              <w:keepNext w:val="0"/>
              <w:spacing w:before="0"/>
              <w:jc w:val="left"/>
              <w:rPr>
                <w:rFonts w:eastAsia="Arial" w:cs="Arial"/>
                <w:bCs/>
                <w:color w:val="auto"/>
              </w:rPr>
            </w:pPr>
          </w:p>
          <w:p w14:paraId="562F1253" w14:textId="528B249D" w:rsidR="0052626B" w:rsidRPr="008F21DB" w:rsidRDefault="0052626B" w:rsidP="00874A98">
            <w:pPr>
              <w:keepNext w:val="0"/>
              <w:numPr>
                <w:ilvl w:val="0"/>
                <w:numId w:val="199"/>
              </w:numPr>
              <w:spacing w:before="0"/>
              <w:ind w:left="709"/>
              <w:jc w:val="left"/>
              <w:rPr>
                <w:rFonts w:eastAsia="Arial" w:cs="Arial"/>
                <w:bCs/>
                <w:color w:val="auto"/>
              </w:rPr>
            </w:pPr>
            <w:r w:rsidRPr="008F21DB">
              <w:rPr>
                <w:rFonts w:eastAsia="Arial" w:cs="Arial"/>
                <w:bCs/>
                <w:color w:val="auto"/>
              </w:rPr>
              <w:t xml:space="preserve">Preserve or enhance the special character of conservation </w:t>
            </w:r>
            <w:r w:rsidR="00EA7D34" w:rsidRPr="008F21DB">
              <w:rPr>
                <w:rFonts w:eastAsia="Arial" w:cs="Arial"/>
                <w:bCs/>
                <w:color w:val="auto"/>
              </w:rPr>
              <w:t>areas and</w:t>
            </w:r>
            <w:r w:rsidRPr="008F21DB">
              <w:rPr>
                <w:rFonts w:eastAsia="Arial" w:cs="Arial"/>
                <w:bCs/>
                <w:color w:val="auto"/>
              </w:rPr>
              <w:t xml:space="preserve"> </w:t>
            </w:r>
            <w:r w:rsidRPr="000663FF">
              <w:rPr>
                <w:rFonts w:eastAsia="Arial" w:cs="Arial"/>
                <w:bCs/>
                <w:color w:val="auto"/>
              </w:rPr>
              <w:t xml:space="preserve">do </w:t>
            </w:r>
            <w:r w:rsidRPr="008F21DB">
              <w:rPr>
                <w:rFonts w:eastAsia="Arial" w:cs="Arial"/>
                <w:bCs/>
                <w:color w:val="auto"/>
              </w:rPr>
              <w:t>not have an adverse effect on listed buildings, Scheduled Ancient Monuments and other heritage assets or their setting.</w:t>
            </w:r>
          </w:p>
          <w:p w14:paraId="66DEEDD7" w14:textId="77777777" w:rsidR="0052626B" w:rsidRPr="008F21DB" w:rsidRDefault="0052626B" w:rsidP="00905CC9">
            <w:pPr>
              <w:keepNext w:val="0"/>
              <w:spacing w:before="0"/>
              <w:jc w:val="left"/>
              <w:rPr>
                <w:rFonts w:eastAsia="Arial" w:cs="Arial"/>
                <w:bCs/>
                <w:color w:val="auto"/>
              </w:rPr>
            </w:pPr>
          </w:p>
        </w:tc>
      </w:tr>
      <w:bookmarkEnd w:id="319"/>
      <w:tr w:rsidR="0052626B" w:rsidRPr="0052626B" w14:paraId="010CD15F" w14:textId="77777777" w:rsidTr="00DD4136">
        <w:tc>
          <w:tcPr>
            <w:tcW w:w="2122" w:type="dxa"/>
          </w:tcPr>
          <w:p w14:paraId="5AB23995" w14:textId="77777777" w:rsidR="0052626B" w:rsidRPr="0052626B" w:rsidRDefault="0052626B" w:rsidP="00905CC9">
            <w:pPr>
              <w:keepNext w:val="0"/>
              <w:tabs>
                <w:tab w:val="left" w:pos="680"/>
                <w:tab w:val="left" w:pos="1133"/>
                <w:tab w:val="left" w:pos="2267"/>
              </w:tabs>
              <w:spacing w:before="0"/>
              <w:ind w:right="284"/>
              <w:jc w:val="left"/>
              <w:rPr>
                <w:rFonts w:eastAsia="Arial"/>
                <w:b/>
                <w:color w:val="auto"/>
                <w:sz w:val="20"/>
              </w:rPr>
            </w:pPr>
            <w:r w:rsidRPr="0052626B">
              <w:rPr>
                <w:rFonts w:eastAsia="Arial"/>
                <w:bCs/>
                <w:color w:val="auto"/>
                <w:sz w:val="20"/>
              </w:rPr>
              <w:t>Evidence base</w:t>
            </w:r>
          </w:p>
        </w:tc>
        <w:tc>
          <w:tcPr>
            <w:tcW w:w="7512" w:type="dxa"/>
            <w:gridSpan w:val="2"/>
          </w:tcPr>
          <w:p w14:paraId="0257E585" w14:textId="097D73FD" w:rsidR="0052626B" w:rsidRPr="0052626B" w:rsidRDefault="0052626B" w:rsidP="00874A98">
            <w:pPr>
              <w:keepNext w:val="0"/>
              <w:numPr>
                <w:ilvl w:val="0"/>
                <w:numId w:val="200"/>
              </w:numPr>
              <w:tabs>
                <w:tab w:val="left" w:pos="680"/>
                <w:tab w:val="left" w:pos="1133"/>
                <w:tab w:val="left" w:pos="2267"/>
              </w:tabs>
              <w:spacing w:before="0" w:after="160" w:line="252" w:lineRule="auto"/>
              <w:ind w:right="284"/>
              <w:contextualSpacing/>
              <w:jc w:val="left"/>
              <w:rPr>
                <w:rFonts w:eastAsia="Arial"/>
                <w:b/>
                <w:color w:val="auto"/>
                <w:sz w:val="20"/>
              </w:rPr>
            </w:pPr>
            <w:r w:rsidRPr="0052626B">
              <w:rPr>
                <w:rFonts w:eastAsia="Arial"/>
                <w:bCs/>
                <w:color w:val="auto"/>
                <w:sz w:val="20"/>
              </w:rPr>
              <w:t>Sustainability Appraisal</w:t>
            </w:r>
            <w:r w:rsidRPr="000663FF">
              <w:rPr>
                <w:rFonts w:eastAsia="Arial"/>
                <w:bCs/>
                <w:color w:val="auto"/>
                <w:sz w:val="20"/>
              </w:rPr>
              <w:t>, 202</w:t>
            </w:r>
            <w:r w:rsidR="0025538D" w:rsidRPr="000663FF">
              <w:rPr>
                <w:rFonts w:eastAsia="Arial"/>
                <w:bCs/>
                <w:color w:val="auto"/>
                <w:sz w:val="20"/>
              </w:rPr>
              <w:t>3</w:t>
            </w:r>
            <w:r w:rsidRPr="000663FF">
              <w:rPr>
                <w:rFonts w:eastAsia="Arial"/>
                <w:bCs/>
                <w:color w:val="auto"/>
                <w:sz w:val="20"/>
              </w:rPr>
              <w:t xml:space="preserve">. </w:t>
            </w:r>
            <w:r w:rsidR="0025538D" w:rsidRPr="000663FF">
              <w:rPr>
                <w:rFonts w:eastAsia="Arial"/>
                <w:bCs/>
                <w:color w:val="auto"/>
                <w:sz w:val="20"/>
              </w:rPr>
              <w:t>WSP UK Limited</w:t>
            </w:r>
            <w:r w:rsidRPr="000663FF">
              <w:rPr>
                <w:rFonts w:eastAsia="Arial"/>
                <w:bCs/>
                <w:color w:val="auto"/>
                <w:sz w:val="20"/>
              </w:rPr>
              <w:t xml:space="preserve">. </w:t>
            </w:r>
          </w:p>
        </w:tc>
      </w:tr>
      <w:tr w:rsidR="0052626B" w:rsidRPr="0052626B" w14:paraId="2360570C" w14:textId="77777777" w:rsidTr="00DD4136">
        <w:tc>
          <w:tcPr>
            <w:tcW w:w="2122" w:type="dxa"/>
          </w:tcPr>
          <w:p w14:paraId="63C8E9E0" w14:textId="77777777" w:rsidR="0052626B" w:rsidRPr="0052626B" w:rsidRDefault="0052626B" w:rsidP="00905CC9">
            <w:pPr>
              <w:keepNext w:val="0"/>
              <w:tabs>
                <w:tab w:val="left" w:pos="680"/>
                <w:tab w:val="left" w:pos="1133"/>
                <w:tab w:val="left" w:pos="2267"/>
              </w:tabs>
              <w:spacing w:before="0"/>
              <w:ind w:right="284"/>
              <w:jc w:val="left"/>
              <w:rPr>
                <w:rFonts w:eastAsia="Arial"/>
                <w:b/>
                <w:color w:val="auto"/>
                <w:sz w:val="22"/>
              </w:rPr>
            </w:pPr>
            <w:r w:rsidRPr="0052626B">
              <w:rPr>
                <w:rFonts w:eastAsia="Arial"/>
                <w:bCs/>
                <w:color w:val="auto"/>
                <w:sz w:val="20"/>
              </w:rPr>
              <w:t>National Planning Policy and Guidance</w:t>
            </w:r>
          </w:p>
        </w:tc>
        <w:tc>
          <w:tcPr>
            <w:tcW w:w="7512" w:type="dxa"/>
            <w:gridSpan w:val="2"/>
          </w:tcPr>
          <w:p w14:paraId="2DC12856" w14:textId="08A6ED96" w:rsidR="0052626B" w:rsidRPr="0052626B" w:rsidRDefault="0052626B" w:rsidP="00874A98">
            <w:pPr>
              <w:keepNext w:val="0"/>
              <w:numPr>
                <w:ilvl w:val="0"/>
                <w:numId w:val="119"/>
              </w:numPr>
              <w:tabs>
                <w:tab w:val="left" w:pos="680"/>
                <w:tab w:val="left" w:pos="1133"/>
                <w:tab w:val="left" w:pos="2267"/>
              </w:tabs>
              <w:spacing w:before="0" w:after="160" w:line="252" w:lineRule="auto"/>
              <w:ind w:right="284"/>
              <w:contextualSpacing/>
              <w:jc w:val="left"/>
              <w:rPr>
                <w:rFonts w:eastAsia="Arial"/>
                <w:bCs/>
                <w:color w:val="auto"/>
                <w:sz w:val="20"/>
              </w:rPr>
            </w:pPr>
            <w:r w:rsidRPr="0052626B">
              <w:rPr>
                <w:rFonts w:eastAsia="Arial"/>
                <w:bCs/>
                <w:color w:val="auto"/>
                <w:sz w:val="20"/>
              </w:rPr>
              <w:t>NPPF 20</w:t>
            </w:r>
            <w:r w:rsidR="004173E0">
              <w:rPr>
                <w:rFonts w:eastAsia="Arial"/>
                <w:bCs/>
                <w:color w:val="auto"/>
                <w:sz w:val="20"/>
              </w:rPr>
              <w:t>23</w:t>
            </w:r>
            <w:r w:rsidRPr="0052626B">
              <w:rPr>
                <w:rFonts w:eastAsia="Arial"/>
                <w:bCs/>
                <w:color w:val="auto"/>
                <w:sz w:val="20"/>
              </w:rPr>
              <w:t>, Part 2: Achieving sustainable development.</w:t>
            </w:r>
          </w:p>
          <w:p w14:paraId="66353C8A" w14:textId="77777777" w:rsidR="0052626B" w:rsidRPr="0052626B" w:rsidRDefault="0052626B" w:rsidP="00905CC9">
            <w:pPr>
              <w:keepNext w:val="0"/>
              <w:tabs>
                <w:tab w:val="left" w:pos="680"/>
                <w:tab w:val="left" w:pos="1133"/>
                <w:tab w:val="left" w:pos="2267"/>
              </w:tabs>
              <w:spacing w:before="0"/>
              <w:ind w:right="284"/>
              <w:jc w:val="left"/>
              <w:rPr>
                <w:rFonts w:eastAsia="Arial"/>
                <w:b/>
                <w:color w:val="auto"/>
                <w:sz w:val="22"/>
              </w:rPr>
            </w:pPr>
          </w:p>
        </w:tc>
      </w:tr>
    </w:tbl>
    <w:p w14:paraId="41F823D4" w14:textId="77777777" w:rsidR="0052626B" w:rsidRPr="0052626B" w:rsidRDefault="0052626B" w:rsidP="0052626B">
      <w:pPr>
        <w:keepNext w:val="0"/>
        <w:spacing w:before="0"/>
        <w:rPr>
          <w:rFonts w:eastAsia="Arial" w:cs="Arial"/>
          <w:b/>
          <w:color w:val="A91A37"/>
        </w:rPr>
      </w:pPr>
    </w:p>
    <w:p w14:paraId="25F14E24" w14:textId="354F8209" w:rsidR="0052626B" w:rsidRDefault="0052626B" w:rsidP="0052626B">
      <w:pPr>
        <w:keepNext w:val="0"/>
        <w:spacing w:before="0"/>
        <w:ind w:left="527"/>
        <w:rPr>
          <w:rFonts w:cs="Arial"/>
          <w:color w:val="auto"/>
          <w:szCs w:val="24"/>
          <w:lang w:eastAsia="en-US"/>
        </w:rPr>
      </w:pPr>
    </w:p>
    <w:p w14:paraId="2C089E74" w14:textId="61B399E3" w:rsidR="00E864C3" w:rsidRDefault="0052626B" w:rsidP="00E864C3">
      <w:pPr>
        <w:keepNext w:val="0"/>
        <w:numPr>
          <w:ilvl w:val="1"/>
          <w:numId w:val="7"/>
        </w:numPr>
        <w:tabs>
          <w:tab w:val="clear" w:pos="525"/>
        </w:tabs>
        <w:spacing w:before="0"/>
        <w:ind w:left="709" w:hanging="709"/>
        <w:rPr>
          <w:rFonts w:cs="Arial"/>
          <w:color w:val="auto"/>
          <w:szCs w:val="24"/>
          <w:lang w:eastAsia="en-US"/>
        </w:rPr>
      </w:pPr>
      <w:r w:rsidRPr="0052626B">
        <w:rPr>
          <w:rFonts w:cs="Arial"/>
          <w:color w:val="auto"/>
          <w:szCs w:val="24"/>
          <w:lang w:eastAsia="en-US"/>
        </w:rPr>
        <w:t xml:space="preserve">The Policy aims to ensure that adverts do not have detrimental impacts and contribute to </w:t>
      </w:r>
      <w:r w:rsidR="00340B1E">
        <w:rPr>
          <w:rFonts w:cs="Arial"/>
          <w:color w:val="auto"/>
          <w:szCs w:val="24"/>
          <w:lang w:eastAsia="en-US"/>
        </w:rPr>
        <w:t>maintaining</w:t>
      </w:r>
      <w:r w:rsidRPr="0052626B">
        <w:rPr>
          <w:rFonts w:cs="Arial"/>
          <w:color w:val="auto"/>
          <w:szCs w:val="24"/>
          <w:lang w:eastAsia="en-US"/>
        </w:rPr>
        <w:t xml:space="preserve"> the character and appearance of an area.  </w:t>
      </w:r>
    </w:p>
    <w:p w14:paraId="422379D3" w14:textId="77777777" w:rsidR="00E864C3" w:rsidRDefault="00E864C3" w:rsidP="00E864C3">
      <w:pPr>
        <w:keepNext w:val="0"/>
        <w:spacing w:before="0"/>
        <w:ind w:left="709"/>
        <w:rPr>
          <w:rFonts w:cs="Arial"/>
          <w:color w:val="auto"/>
          <w:szCs w:val="24"/>
          <w:lang w:eastAsia="en-US"/>
        </w:rPr>
      </w:pPr>
    </w:p>
    <w:p w14:paraId="325CFFEA" w14:textId="71D5A42F" w:rsidR="0052626B" w:rsidRPr="00E864C3" w:rsidRDefault="0052626B" w:rsidP="00E864C3">
      <w:pPr>
        <w:keepNext w:val="0"/>
        <w:numPr>
          <w:ilvl w:val="1"/>
          <w:numId w:val="7"/>
        </w:numPr>
        <w:tabs>
          <w:tab w:val="clear" w:pos="525"/>
        </w:tabs>
        <w:spacing w:before="0"/>
        <w:ind w:left="709" w:hanging="709"/>
        <w:rPr>
          <w:rFonts w:cs="Arial"/>
          <w:color w:val="auto"/>
          <w:szCs w:val="24"/>
          <w:lang w:eastAsia="en-US"/>
        </w:rPr>
      </w:pPr>
      <w:r w:rsidRPr="00E864C3">
        <w:rPr>
          <w:rFonts w:cs="Arial"/>
          <w:color w:val="auto"/>
          <w:szCs w:val="24"/>
          <w:lang w:eastAsia="en-US"/>
        </w:rPr>
        <w:t>Outdoor advertisements are essential to commercial activity in a diverse economy. Outdoor advertisements take many forms. Among the most common are:</w:t>
      </w:r>
    </w:p>
    <w:p w14:paraId="2F949C4E" w14:textId="77777777" w:rsidR="0052626B" w:rsidRPr="0052626B" w:rsidRDefault="0052626B" w:rsidP="0052626B">
      <w:pPr>
        <w:pStyle w:val="ListParagraph"/>
        <w:spacing w:after="0" w:line="240" w:lineRule="auto"/>
        <w:rPr>
          <w:rFonts w:ascii="Arial" w:hAnsi="Arial" w:cs="Arial"/>
          <w:color w:val="auto"/>
          <w:szCs w:val="24"/>
        </w:rPr>
      </w:pPr>
    </w:p>
    <w:p w14:paraId="608831A4" w14:textId="23F363ED" w:rsidR="0052626B" w:rsidRPr="0052626B" w:rsidRDefault="0052626B" w:rsidP="00874A98">
      <w:pPr>
        <w:pStyle w:val="ListParagraph"/>
        <w:numPr>
          <w:ilvl w:val="0"/>
          <w:numId w:val="201"/>
        </w:numPr>
        <w:spacing w:after="0" w:line="240" w:lineRule="auto"/>
        <w:rPr>
          <w:rFonts w:ascii="Arial" w:hAnsi="Arial" w:cs="Arial"/>
          <w:color w:val="auto"/>
          <w:szCs w:val="24"/>
        </w:rPr>
      </w:pPr>
      <w:r w:rsidRPr="0052626B">
        <w:rPr>
          <w:rFonts w:ascii="Arial" w:hAnsi="Arial" w:cs="Arial"/>
          <w:color w:val="auto"/>
          <w:szCs w:val="24"/>
        </w:rPr>
        <w:t>fascia signs and projecting signs on shops.</w:t>
      </w:r>
    </w:p>
    <w:p w14:paraId="2E8E27F6" w14:textId="6D6DAF85" w:rsidR="0052626B" w:rsidRPr="0052626B" w:rsidRDefault="0052626B" w:rsidP="00874A98">
      <w:pPr>
        <w:pStyle w:val="ListParagraph"/>
        <w:numPr>
          <w:ilvl w:val="0"/>
          <w:numId w:val="201"/>
        </w:numPr>
        <w:spacing w:after="0" w:line="240" w:lineRule="auto"/>
        <w:rPr>
          <w:rFonts w:ascii="Arial" w:hAnsi="Arial" w:cs="Arial"/>
          <w:color w:val="auto"/>
          <w:szCs w:val="24"/>
        </w:rPr>
      </w:pPr>
      <w:r w:rsidRPr="0052626B">
        <w:rPr>
          <w:rFonts w:ascii="Arial" w:hAnsi="Arial" w:cs="Arial"/>
          <w:color w:val="auto"/>
          <w:szCs w:val="24"/>
        </w:rPr>
        <w:t>pole signs at petrol-filling stations.</w:t>
      </w:r>
    </w:p>
    <w:p w14:paraId="617715BA" w14:textId="3218687F" w:rsidR="0052626B" w:rsidRPr="0052626B" w:rsidRDefault="0052626B" w:rsidP="00874A98">
      <w:pPr>
        <w:pStyle w:val="ListParagraph"/>
        <w:numPr>
          <w:ilvl w:val="0"/>
          <w:numId w:val="201"/>
        </w:numPr>
        <w:spacing w:after="0" w:line="240" w:lineRule="auto"/>
        <w:rPr>
          <w:rFonts w:ascii="Arial" w:hAnsi="Arial" w:cs="Arial"/>
          <w:color w:val="auto"/>
          <w:szCs w:val="24"/>
        </w:rPr>
      </w:pPr>
      <w:r w:rsidRPr="0052626B">
        <w:rPr>
          <w:rFonts w:ascii="Arial" w:hAnsi="Arial" w:cs="Arial"/>
          <w:color w:val="auto"/>
          <w:szCs w:val="24"/>
        </w:rPr>
        <w:t>sign boards at factories.</w:t>
      </w:r>
    </w:p>
    <w:p w14:paraId="5A237C56" w14:textId="04D9C99E" w:rsidR="0052626B" w:rsidRPr="0052626B" w:rsidRDefault="0052626B" w:rsidP="00874A98">
      <w:pPr>
        <w:pStyle w:val="ListParagraph"/>
        <w:numPr>
          <w:ilvl w:val="0"/>
          <w:numId w:val="201"/>
        </w:numPr>
        <w:spacing w:after="0" w:line="240" w:lineRule="auto"/>
        <w:rPr>
          <w:rFonts w:ascii="Arial" w:hAnsi="Arial" w:cs="Arial"/>
          <w:color w:val="auto"/>
          <w:szCs w:val="24"/>
        </w:rPr>
      </w:pPr>
      <w:r w:rsidRPr="0052626B">
        <w:rPr>
          <w:rFonts w:ascii="Arial" w:hAnsi="Arial" w:cs="Arial"/>
          <w:color w:val="auto"/>
          <w:szCs w:val="24"/>
        </w:rPr>
        <w:t>advance signs alongside the highway.</w:t>
      </w:r>
    </w:p>
    <w:p w14:paraId="50208096" w14:textId="62BCECEA" w:rsidR="0052626B" w:rsidRPr="0052626B" w:rsidRDefault="0052626B" w:rsidP="00874A98">
      <w:pPr>
        <w:pStyle w:val="ListParagraph"/>
        <w:numPr>
          <w:ilvl w:val="0"/>
          <w:numId w:val="201"/>
        </w:numPr>
        <w:spacing w:after="0" w:line="240" w:lineRule="auto"/>
        <w:rPr>
          <w:rFonts w:ascii="Arial" w:hAnsi="Arial" w:cs="Arial"/>
          <w:color w:val="auto"/>
          <w:szCs w:val="24"/>
        </w:rPr>
      </w:pPr>
      <w:r w:rsidRPr="0052626B">
        <w:rPr>
          <w:rFonts w:ascii="Arial" w:hAnsi="Arial" w:cs="Arial"/>
          <w:color w:val="auto"/>
          <w:szCs w:val="24"/>
        </w:rPr>
        <w:t>menu boards at restaurants and cafés.</w:t>
      </w:r>
    </w:p>
    <w:p w14:paraId="16C1BBE9" w14:textId="77390D37" w:rsidR="0052626B" w:rsidRPr="0052626B" w:rsidRDefault="0052626B" w:rsidP="00874A98">
      <w:pPr>
        <w:pStyle w:val="ListParagraph"/>
        <w:numPr>
          <w:ilvl w:val="0"/>
          <w:numId w:val="201"/>
        </w:numPr>
        <w:spacing w:after="0" w:line="240" w:lineRule="auto"/>
        <w:rPr>
          <w:rFonts w:ascii="Arial" w:hAnsi="Arial" w:cs="Arial"/>
          <w:color w:val="auto"/>
          <w:szCs w:val="24"/>
        </w:rPr>
      </w:pPr>
      <w:r w:rsidRPr="0052626B">
        <w:rPr>
          <w:rFonts w:ascii="Arial" w:hAnsi="Arial" w:cs="Arial"/>
          <w:color w:val="auto"/>
          <w:szCs w:val="24"/>
        </w:rPr>
        <w:t>poster hoardings.</w:t>
      </w:r>
    </w:p>
    <w:p w14:paraId="2E2DD6C2" w14:textId="21528EB2" w:rsidR="0052626B" w:rsidRPr="0052626B" w:rsidRDefault="0052626B" w:rsidP="00874A98">
      <w:pPr>
        <w:pStyle w:val="ListParagraph"/>
        <w:numPr>
          <w:ilvl w:val="0"/>
          <w:numId w:val="201"/>
        </w:numPr>
        <w:spacing w:after="0" w:line="240" w:lineRule="auto"/>
        <w:rPr>
          <w:rFonts w:ascii="Arial" w:hAnsi="Arial" w:cs="Arial"/>
          <w:color w:val="auto"/>
          <w:szCs w:val="24"/>
        </w:rPr>
      </w:pPr>
      <w:r w:rsidRPr="0052626B">
        <w:rPr>
          <w:rFonts w:ascii="Arial" w:hAnsi="Arial" w:cs="Arial"/>
          <w:color w:val="auto"/>
          <w:szCs w:val="24"/>
        </w:rPr>
        <w:t>notices announcing the visit of a travelling fair.</w:t>
      </w:r>
    </w:p>
    <w:p w14:paraId="34D2950A" w14:textId="77777777" w:rsidR="0052626B" w:rsidRPr="0052626B" w:rsidRDefault="0052626B" w:rsidP="0052626B">
      <w:pPr>
        <w:pStyle w:val="ListParagraph"/>
        <w:spacing w:after="0" w:line="240" w:lineRule="auto"/>
        <w:rPr>
          <w:rFonts w:ascii="Arial" w:hAnsi="Arial" w:cs="Arial"/>
          <w:color w:val="auto"/>
          <w:szCs w:val="24"/>
        </w:rPr>
      </w:pPr>
    </w:p>
    <w:p w14:paraId="74FAF1FB" w14:textId="5A2225F7" w:rsidR="00E864C3" w:rsidRDefault="0052626B" w:rsidP="00E864C3">
      <w:pPr>
        <w:keepNext w:val="0"/>
        <w:numPr>
          <w:ilvl w:val="1"/>
          <w:numId w:val="7"/>
        </w:numPr>
        <w:tabs>
          <w:tab w:val="clear" w:pos="525"/>
        </w:tabs>
        <w:spacing w:before="0"/>
        <w:ind w:left="709" w:hanging="709"/>
        <w:rPr>
          <w:rFonts w:cs="Arial"/>
          <w:color w:val="auto"/>
          <w:szCs w:val="24"/>
          <w:lang w:eastAsia="en-US"/>
        </w:rPr>
      </w:pPr>
      <w:r w:rsidRPr="0052626B">
        <w:rPr>
          <w:rFonts w:cs="Arial"/>
          <w:color w:val="auto"/>
          <w:szCs w:val="24"/>
          <w:lang w:eastAsia="en-US"/>
        </w:rPr>
        <w:t>Advertising is a part of everyday life, but poorly sited or badly designed advertisements and signage can have a detrimental effect on the character and appearance of areas and may raise issues of public safety. Advertisements and signage should not dominate the street scene in terms of size, scale, lighting and positioning.</w:t>
      </w:r>
    </w:p>
    <w:p w14:paraId="6B175144" w14:textId="77777777" w:rsidR="00E864C3" w:rsidRDefault="00E864C3" w:rsidP="00E864C3">
      <w:pPr>
        <w:keepNext w:val="0"/>
        <w:spacing w:before="0"/>
        <w:ind w:left="709"/>
        <w:rPr>
          <w:rFonts w:cs="Arial"/>
          <w:color w:val="auto"/>
          <w:szCs w:val="24"/>
          <w:lang w:eastAsia="en-US"/>
        </w:rPr>
      </w:pPr>
    </w:p>
    <w:p w14:paraId="06FFF5C5" w14:textId="35B67C7F" w:rsidR="00992A53" w:rsidRPr="00E864C3" w:rsidRDefault="0052626B" w:rsidP="00E864C3">
      <w:pPr>
        <w:keepNext w:val="0"/>
        <w:numPr>
          <w:ilvl w:val="1"/>
          <w:numId w:val="7"/>
        </w:numPr>
        <w:tabs>
          <w:tab w:val="clear" w:pos="525"/>
        </w:tabs>
        <w:spacing w:before="0"/>
        <w:ind w:left="709" w:hanging="709"/>
        <w:rPr>
          <w:rFonts w:cs="Arial"/>
          <w:color w:val="auto"/>
          <w:szCs w:val="24"/>
          <w:lang w:eastAsia="en-US"/>
        </w:rPr>
      </w:pPr>
      <w:r w:rsidRPr="00E864C3">
        <w:rPr>
          <w:rFonts w:cs="Arial"/>
          <w:color w:val="auto"/>
          <w:szCs w:val="24"/>
          <w:lang w:eastAsia="en-US"/>
        </w:rPr>
        <w:t>The design of advertisements should complement the architecture of the host building</w:t>
      </w:r>
      <w:r w:rsidR="00992A53" w:rsidRPr="00E864C3">
        <w:rPr>
          <w:rFonts w:cs="Arial"/>
          <w:color w:val="auto"/>
          <w:szCs w:val="24"/>
          <w:lang w:eastAsia="en-US"/>
        </w:rPr>
        <w:t xml:space="preserve"> </w:t>
      </w:r>
      <w:r w:rsidRPr="00E864C3">
        <w:rPr>
          <w:rFonts w:cs="Arial"/>
          <w:color w:val="auto"/>
          <w:szCs w:val="24"/>
          <w:lang w:eastAsia="en-US"/>
        </w:rPr>
        <w:t xml:space="preserve">and the area. Consideration should also be given to the cumulative effect of other </w:t>
      </w:r>
      <w:r w:rsidR="00992A53" w:rsidRPr="00E864C3">
        <w:rPr>
          <w:rFonts w:cs="Arial"/>
          <w:color w:val="auto"/>
          <w:szCs w:val="24"/>
          <w:lang w:eastAsia="en-US"/>
        </w:rPr>
        <w:t>s</w:t>
      </w:r>
      <w:r w:rsidRPr="00E864C3">
        <w:rPr>
          <w:rFonts w:cs="Arial"/>
          <w:color w:val="auto"/>
          <w:szCs w:val="24"/>
          <w:lang w:eastAsia="en-US"/>
        </w:rPr>
        <w:t>ignage</w:t>
      </w:r>
      <w:r w:rsidR="0004042E">
        <w:rPr>
          <w:rFonts w:cs="Arial"/>
          <w:color w:val="auto"/>
          <w:szCs w:val="24"/>
          <w:lang w:eastAsia="en-US"/>
        </w:rPr>
        <w:t>.</w:t>
      </w:r>
      <w:r w:rsidRPr="00E864C3">
        <w:rPr>
          <w:rFonts w:cs="Arial"/>
          <w:color w:val="auto"/>
          <w:szCs w:val="24"/>
          <w:lang w:eastAsia="en-US"/>
        </w:rPr>
        <w:t xml:space="preserve"> In particular regard should be had to:</w:t>
      </w:r>
    </w:p>
    <w:p w14:paraId="770B27A8" w14:textId="77777777" w:rsidR="00992A53" w:rsidRDefault="00992A53" w:rsidP="00992A53">
      <w:pPr>
        <w:keepNext w:val="0"/>
        <w:spacing w:before="0"/>
        <w:rPr>
          <w:rFonts w:cs="Arial"/>
          <w:color w:val="auto"/>
          <w:szCs w:val="24"/>
          <w:lang w:eastAsia="en-US"/>
        </w:rPr>
      </w:pPr>
    </w:p>
    <w:p w14:paraId="18B91407" w14:textId="4F6F6A03" w:rsidR="00992A53" w:rsidRPr="00992A53" w:rsidRDefault="00992A53" w:rsidP="00874A98">
      <w:pPr>
        <w:pStyle w:val="ListParagraph"/>
        <w:numPr>
          <w:ilvl w:val="0"/>
          <w:numId w:val="202"/>
        </w:numPr>
        <w:spacing w:after="0" w:line="240" w:lineRule="auto"/>
        <w:ind w:left="1069"/>
        <w:rPr>
          <w:rFonts w:ascii="Arial" w:hAnsi="Arial" w:cs="Arial"/>
          <w:color w:val="auto"/>
          <w:szCs w:val="24"/>
        </w:rPr>
      </w:pPr>
      <w:r w:rsidRPr="00992A53">
        <w:rPr>
          <w:rFonts w:ascii="Arial" w:hAnsi="Arial" w:cs="Arial"/>
          <w:color w:val="auto"/>
          <w:szCs w:val="24"/>
        </w:rPr>
        <w:t>the impact on architectural features.</w:t>
      </w:r>
    </w:p>
    <w:p w14:paraId="0D015012" w14:textId="0042D753" w:rsidR="00992A53" w:rsidRPr="00992A53" w:rsidRDefault="00992A53" w:rsidP="00874A98">
      <w:pPr>
        <w:pStyle w:val="ListParagraph"/>
        <w:numPr>
          <w:ilvl w:val="0"/>
          <w:numId w:val="202"/>
        </w:numPr>
        <w:spacing w:after="0" w:line="240" w:lineRule="auto"/>
        <w:ind w:left="1069"/>
        <w:rPr>
          <w:rFonts w:ascii="Arial" w:hAnsi="Arial" w:cs="Arial"/>
          <w:color w:val="auto"/>
          <w:szCs w:val="24"/>
        </w:rPr>
      </w:pPr>
      <w:r w:rsidRPr="00992A53">
        <w:rPr>
          <w:rFonts w:ascii="Arial" w:hAnsi="Arial" w:cs="Arial"/>
          <w:color w:val="auto"/>
          <w:szCs w:val="24"/>
        </w:rPr>
        <w:t>the size and style of signage boards and lettering.</w:t>
      </w:r>
    </w:p>
    <w:p w14:paraId="6B81037B" w14:textId="1F4B43A7" w:rsidR="00992A53" w:rsidRPr="00992A53" w:rsidRDefault="00992A53" w:rsidP="00874A98">
      <w:pPr>
        <w:pStyle w:val="ListParagraph"/>
        <w:numPr>
          <w:ilvl w:val="0"/>
          <w:numId w:val="202"/>
        </w:numPr>
        <w:spacing w:after="0" w:line="240" w:lineRule="auto"/>
        <w:ind w:left="1069"/>
        <w:rPr>
          <w:rFonts w:ascii="Arial" w:hAnsi="Arial" w:cs="Arial"/>
          <w:color w:val="auto"/>
          <w:szCs w:val="24"/>
        </w:rPr>
      </w:pPr>
      <w:r w:rsidRPr="00992A53">
        <w:rPr>
          <w:rFonts w:ascii="Arial" w:hAnsi="Arial" w:cs="Arial"/>
          <w:color w:val="auto"/>
          <w:szCs w:val="24"/>
        </w:rPr>
        <w:t>materials, colour and finish.</w:t>
      </w:r>
    </w:p>
    <w:p w14:paraId="24AD17C2" w14:textId="256F0F80" w:rsidR="00992A53" w:rsidRPr="00992A53" w:rsidRDefault="00992A53" w:rsidP="00874A98">
      <w:pPr>
        <w:pStyle w:val="ListParagraph"/>
        <w:numPr>
          <w:ilvl w:val="0"/>
          <w:numId w:val="202"/>
        </w:numPr>
        <w:spacing w:after="0" w:line="240" w:lineRule="auto"/>
        <w:ind w:left="1069"/>
        <w:rPr>
          <w:rFonts w:ascii="Arial" w:hAnsi="Arial" w:cs="Arial"/>
          <w:color w:val="auto"/>
          <w:szCs w:val="24"/>
        </w:rPr>
      </w:pPr>
      <w:r w:rsidRPr="00992A53">
        <w:rPr>
          <w:rFonts w:ascii="Arial" w:hAnsi="Arial" w:cs="Arial"/>
          <w:color w:val="auto"/>
          <w:szCs w:val="24"/>
        </w:rPr>
        <w:t>the effects of illumination, where appropriate.</w:t>
      </w:r>
    </w:p>
    <w:p w14:paraId="1F75393B" w14:textId="77777777" w:rsidR="00992A53" w:rsidRPr="0052626B" w:rsidRDefault="00992A53" w:rsidP="00E864C3">
      <w:pPr>
        <w:keepNext w:val="0"/>
        <w:spacing w:before="0"/>
        <w:ind w:left="709"/>
        <w:rPr>
          <w:rFonts w:cs="Arial"/>
          <w:color w:val="auto"/>
          <w:szCs w:val="24"/>
          <w:lang w:eastAsia="en-US"/>
        </w:rPr>
      </w:pPr>
    </w:p>
    <w:p w14:paraId="52D973B3" w14:textId="294C5D4B" w:rsidR="00992A53" w:rsidRDefault="0052626B" w:rsidP="00E864C3">
      <w:pPr>
        <w:keepNext w:val="0"/>
        <w:spacing w:before="0"/>
        <w:ind w:left="709"/>
        <w:rPr>
          <w:rFonts w:cs="Arial"/>
          <w:color w:val="auto"/>
          <w:szCs w:val="24"/>
          <w:lang w:eastAsia="en-US"/>
        </w:rPr>
      </w:pPr>
      <w:r w:rsidRPr="00992A53">
        <w:rPr>
          <w:rFonts w:cs="Arial"/>
          <w:color w:val="auto"/>
          <w:szCs w:val="24"/>
          <w:lang w:eastAsia="en-US"/>
        </w:rPr>
        <w:t xml:space="preserve">These design details should be considered as an integral part of the </w:t>
      </w:r>
      <w:r w:rsidR="0004042E" w:rsidRPr="000663FF">
        <w:rPr>
          <w:rFonts w:cs="Arial"/>
          <w:color w:val="auto"/>
          <w:szCs w:val="24"/>
          <w:lang w:eastAsia="en-US"/>
        </w:rPr>
        <w:t xml:space="preserve">host building. </w:t>
      </w:r>
      <w:r w:rsidR="00992A53" w:rsidRPr="000663FF">
        <w:rPr>
          <w:rFonts w:cs="Arial"/>
          <w:color w:val="auto"/>
          <w:szCs w:val="24"/>
          <w:lang w:eastAsia="en-US"/>
        </w:rPr>
        <w:t xml:space="preserve"> </w:t>
      </w:r>
    </w:p>
    <w:p w14:paraId="2AD0C7A5" w14:textId="77777777" w:rsidR="008F21DB" w:rsidRDefault="008F21DB" w:rsidP="00992A53">
      <w:pPr>
        <w:keepNext w:val="0"/>
        <w:spacing w:before="0"/>
        <w:ind w:left="525"/>
        <w:rPr>
          <w:rFonts w:cs="Arial"/>
          <w:color w:val="auto"/>
          <w:szCs w:val="24"/>
          <w:lang w:eastAsia="en-US"/>
        </w:rPr>
      </w:pPr>
    </w:p>
    <w:p w14:paraId="7E8D41F0" w14:textId="3D6F0A1E" w:rsidR="00E864C3" w:rsidRDefault="00992A53" w:rsidP="00E864C3">
      <w:pPr>
        <w:keepNext w:val="0"/>
        <w:numPr>
          <w:ilvl w:val="1"/>
          <w:numId w:val="7"/>
        </w:numPr>
        <w:tabs>
          <w:tab w:val="clear" w:pos="525"/>
        </w:tabs>
        <w:spacing w:before="0"/>
        <w:ind w:left="709" w:hanging="711"/>
        <w:rPr>
          <w:rFonts w:cs="Arial"/>
          <w:color w:val="auto"/>
          <w:szCs w:val="24"/>
          <w:lang w:eastAsia="en-US"/>
        </w:rPr>
      </w:pPr>
      <w:r>
        <w:rPr>
          <w:rFonts w:cs="Arial"/>
          <w:color w:val="auto"/>
          <w:szCs w:val="24"/>
          <w:lang w:eastAsia="en-US"/>
        </w:rPr>
        <w:t>T</w:t>
      </w:r>
      <w:r w:rsidR="0052626B" w:rsidRPr="00992A53">
        <w:rPr>
          <w:rFonts w:cs="Arial"/>
          <w:color w:val="auto"/>
          <w:szCs w:val="24"/>
          <w:lang w:eastAsia="en-US"/>
        </w:rPr>
        <w:t xml:space="preserve">he Council places an emphasis on improvements to town centres and shopping parades.  </w:t>
      </w:r>
      <w:r w:rsidR="0004042E" w:rsidRPr="000663FF">
        <w:rPr>
          <w:rFonts w:cs="Arial"/>
          <w:color w:val="auto"/>
          <w:szCs w:val="24"/>
          <w:lang w:eastAsia="en-US"/>
        </w:rPr>
        <w:t xml:space="preserve">In these areas, advertisements should enhance the </w:t>
      </w:r>
      <w:r w:rsidR="0052626B" w:rsidRPr="000663FF">
        <w:rPr>
          <w:rFonts w:cs="Arial"/>
          <w:color w:val="auto"/>
          <w:szCs w:val="24"/>
          <w:lang w:eastAsia="en-US"/>
        </w:rPr>
        <w:t xml:space="preserve">appearance </w:t>
      </w:r>
      <w:r w:rsidR="0004042E" w:rsidRPr="000663FF">
        <w:rPr>
          <w:rFonts w:cs="Arial"/>
          <w:color w:val="auto"/>
          <w:szCs w:val="24"/>
          <w:lang w:eastAsia="en-US"/>
        </w:rPr>
        <w:t xml:space="preserve">and character </w:t>
      </w:r>
      <w:r w:rsidR="0052626B" w:rsidRPr="000663FF">
        <w:rPr>
          <w:rFonts w:cs="Arial"/>
          <w:color w:val="auto"/>
          <w:szCs w:val="24"/>
          <w:lang w:eastAsia="en-US"/>
        </w:rPr>
        <w:t xml:space="preserve">of the </w:t>
      </w:r>
      <w:r w:rsidR="0052626B" w:rsidRPr="00992A53">
        <w:rPr>
          <w:rFonts w:cs="Arial"/>
          <w:color w:val="auto"/>
          <w:szCs w:val="24"/>
          <w:lang w:eastAsia="en-US"/>
        </w:rPr>
        <w:t>area.  Shop front fascia signage should fit flush with the fascia (unless it can be demonstrated that this is not possible), be positioned below the first floor and blend with the architectural style of the shop front and overall colour scheme.</w:t>
      </w:r>
    </w:p>
    <w:p w14:paraId="6304CE36" w14:textId="77777777" w:rsidR="00E864C3" w:rsidRDefault="00E864C3" w:rsidP="00E864C3">
      <w:pPr>
        <w:keepNext w:val="0"/>
        <w:spacing w:before="0"/>
        <w:ind w:left="709"/>
        <w:rPr>
          <w:rFonts w:cs="Arial"/>
          <w:color w:val="auto"/>
          <w:szCs w:val="24"/>
          <w:lang w:eastAsia="en-US"/>
        </w:rPr>
      </w:pPr>
    </w:p>
    <w:p w14:paraId="3FFC7ABC" w14:textId="0AD691B6" w:rsidR="008B5327" w:rsidRPr="001302E3" w:rsidRDefault="0052626B" w:rsidP="001302E3">
      <w:pPr>
        <w:keepNext w:val="0"/>
        <w:numPr>
          <w:ilvl w:val="1"/>
          <w:numId w:val="7"/>
        </w:numPr>
        <w:tabs>
          <w:tab w:val="clear" w:pos="525"/>
        </w:tabs>
        <w:spacing w:before="0"/>
        <w:ind w:left="709" w:hanging="711"/>
        <w:rPr>
          <w:rFonts w:cs="Arial"/>
          <w:color w:val="auto"/>
          <w:szCs w:val="24"/>
          <w:lang w:eastAsia="en-US"/>
        </w:rPr>
      </w:pPr>
      <w:r w:rsidRPr="00E864C3">
        <w:rPr>
          <w:rFonts w:cs="Arial"/>
          <w:color w:val="auto"/>
          <w:szCs w:val="24"/>
          <w:lang w:eastAsia="en-US"/>
        </w:rPr>
        <w:t xml:space="preserve">Where advertisements affect </w:t>
      </w:r>
      <w:r w:rsidR="0004042E">
        <w:rPr>
          <w:rFonts w:cs="Arial"/>
          <w:color w:val="auto"/>
          <w:szCs w:val="24"/>
          <w:lang w:eastAsia="en-US"/>
        </w:rPr>
        <w:t xml:space="preserve">a </w:t>
      </w:r>
      <w:r w:rsidRPr="00E864C3">
        <w:rPr>
          <w:rFonts w:cs="Arial"/>
          <w:color w:val="auto"/>
          <w:szCs w:val="24"/>
          <w:lang w:eastAsia="en-US"/>
        </w:rPr>
        <w:t>heritage asset, the test is to ensure that no harm occurs to the heritage asset or its setting. In order to prevent this, the Council will require a planning statement to be submitted with an application which sets out how the character of the heritage asset an</w:t>
      </w:r>
      <w:r w:rsidR="0004042E">
        <w:rPr>
          <w:rFonts w:cs="Arial"/>
          <w:color w:val="auto"/>
          <w:szCs w:val="24"/>
          <w:lang w:eastAsia="en-US"/>
        </w:rPr>
        <w:t>d</w:t>
      </w:r>
      <w:r w:rsidRPr="00E864C3">
        <w:rPr>
          <w:rFonts w:cs="Arial"/>
          <w:color w:val="auto"/>
          <w:szCs w:val="24"/>
          <w:lang w:eastAsia="en-US"/>
        </w:rPr>
        <w:t>, where appropriate, their setting has been taken into account in the size and design of the advertisement</w:t>
      </w:r>
      <w:r w:rsidR="001302E3">
        <w:rPr>
          <w:rFonts w:cs="Arial"/>
          <w:color w:val="auto"/>
          <w:szCs w:val="24"/>
          <w:lang w:eastAsia="en-US"/>
        </w:rPr>
        <w:t>s.</w:t>
      </w:r>
    </w:p>
    <w:p w14:paraId="0675F051" w14:textId="6B9384A1" w:rsidR="006977E7" w:rsidRDefault="006977E7">
      <w:pPr>
        <w:keepNext w:val="0"/>
        <w:spacing w:before="0"/>
        <w:rPr>
          <w:rFonts w:cs="Arial"/>
          <w:color w:val="auto"/>
          <w:szCs w:val="24"/>
          <w:lang w:eastAsia="en-US"/>
        </w:rPr>
      </w:pPr>
    </w:p>
    <w:p w14:paraId="009FFECA" w14:textId="77777777" w:rsidR="00A81691" w:rsidRDefault="00A81691" w:rsidP="008F21DB">
      <w:pPr>
        <w:keepNext w:val="0"/>
        <w:spacing w:before="0"/>
        <w:rPr>
          <w:rFonts w:cs="Arial"/>
          <w:b/>
          <w:bCs/>
          <w:color w:val="auto"/>
          <w:sz w:val="28"/>
          <w:szCs w:val="28"/>
          <w:lang w:eastAsia="en-US"/>
        </w:rPr>
      </w:pPr>
    </w:p>
    <w:p w14:paraId="5B46D99D" w14:textId="77777777" w:rsidR="00905CC9" w:rsidRDefault="00905CC9" w:rsidP="008F21DB">
      <w:pPr>
        <w:keepNext w:val="0"/>
        <w:spacing w:before="0"/>
        <w:rPr>
          <w:rFonts w:cs="Arial"/>
          <w:b/>
          <w:bCs/>
          <w:color w:val="auto"/>
          <w:sz w:val="28"/>
          <w:szCs w:val="28"/>
          <w:lang w:eastAsia="en-US"/>
        </w:rPr>
      </w:pPr>
    </w:p>
    <w:p w14:paraId="0918105A" w14:textId="68DF582E" w:rsidR="0052626B" w:rsidRPr="00825421" w:rsidRDefault="006977E7" w:rsidP="00825421">
      <w:pPr>
        <w:pStyle w:val="Heading2"/>
        <w:jc w:val="left"/>
        <w:rPr>
          <w:sz w:val="28"/>
          <w:szCs w:val="28"/>
        </w:rPr>
      </w:pPr>
      <w:bookmarkStart w:id="320" w:name="_Toc145511622"/>
      <w:r w:rsidRPr="00825421">
        <w:rPr>
          <w:sz w:val="28"/>
          <w:szCs w:val="28"/>
        </w:rPr>
        <w:t xml:space="preserve">Policy </w:t>
      </w:r>
      <w:r w:rsidR="0052626B" w:rsidRPr="00825421">
        <w:rPr>
          <w:sz w:val="28"/>
          <w:szCs w:val="28"/>
        </w:rPr>
        <w:t>SD1</w:t>
      </w:r>
      <w:r w:rsidR="0064018F" w:rsidRPr="00825421">
        <w:rPr>
          <w:sz w:val="28"/>
          <w:szCs w:val="28"/>
        </w:rPr>
        <w:t>3</w:t>
      </w:r>
      <w:r w:rsidR="0052626B" w:rsidRPr="00825421">
        <w:rPr>
          <w:sz w:val="28"/>
          <w:szCs w:val="28"/>
        </w:rPr>
        <w:t>: Provision and Protection of Health and Community Facilities</w:t>
      </w:r>
      <w:bookmarkEnd w:id="320"/>
    </w:p>
    <w:p w14:paraId="2F0C626A" w14:textId="7448D853" w:rsidR="0052626B" w:rsidRDefault="0052626B" w:rsidP="0052626B">
      <w:pPr>
        <w:keepNext w:val="0"/>
        <w:spacing w:before="0"/>
        <w:ind w:left="525"/>
        <w:rPr>
          <w:rFonts w:cs="Arial"/>
          <w:color w:val="auto"/>
          <w:szCs w:val="24"/>
          <w:lang w:eastAsia="en-US"/>
        </w:rPr>
      </w:pPr>
    </w:p>
    <w:tbl>
      <w:tblPr>
        <w:tblStyle w:val="TableGrid3"/>
        <w:tblW w:w="0" w:type="auto"/>
        <w:tblLook w:val="04A0" w:firstRow="1" w:lastRow="0" w:firstColumn="1" w:lastColumn="0" w:noHBand="0" w:noVBand="1"/>
      </w:tblPr>
      <w:tblGrid>
        <w:gridCol w:w="2376"/>
        <w:gridCol w:w="284"/>
        <w:gridCol w:w="6627"/>
      </w:tblGrid>
      <w:tr w:rsidR="00992A53" w:rsidRPr="00992A53" w14:paraId="1DC63564" w14:textId="77777777" w:rsidTr="0073396F">
        <w:trPr>
          <w:trHeight w:val="421"/>
        </w:trPr>
        <w:tc>
          <w:tcPr>
            <w:tcW w:w="9287" w:type="dxa"/>
            <w:gridSpan w:val="3"/>
          </w:tcPr>
          <w:p w14:paraId="1BDA2FFE" w14:textId="77777777" w:rsidR="00E864C3" w:rsidRDefault="00E864C3" w:rsidP="00905CC9">
            <w:pPr>
              <w:keepNext w:val="0"/>
              <w:tabs>
                <w:tab w:val="left" w:pos="680"/>
              </w:tabs>
              <w:spacing w:before="0"/>
              <w:jc w:val="left"/>
              <w:rPr>
                <w:rFonts w:eastAsia="Arial"/>
                <w:b/>
                <w:color w:val="auto"/>
                <w:spacing w:val="-1"/>
              </w:rPr>
            </w:pPr>
            <w:bookmarkStart w:id="321" w:name="_Hlk78903403"/>
          </w:p>
          <w:p w14:paraId="0D120CF2" w14:textId="77777777" w:rsidR="00992A53" w:rsidRDefault="00992A53" w:rsidP="00905CC9">
            <w:pPr>
              <w:keepNext w:val="0"/>
              <w:tabs>
                <w:tab w:val="left" w:pos="680"/>
              </w:tabs>
              <w:spacing w:before="0"/>
              <w:jc w:val="left"/>
              <w:rPr>
                <w:rFonts w:eastAsia="Arial"/>
                <w:b/>
                <w:color w:val="auto"/>
                <w:spacing w:val="-1"/>
              </w:rPr>
            </w:pPr>
            <w:r w:rsidRPr="008F21DB">
              <w:rPr>
                <w:rFonts w:eastAsia="Arial"/>
                <w:b/>
                <w:color w:val="auto"/>
                <w:spacing w:val="-1"/>
              </w:rPr>
              <w:t>Policy SD1</w:t>
            </w:r>
            <w:r w:rsidR="0064018F">
              <w:rPr>
                <w:rFonts w:eastAsia="Arial"/>
                <w:b/>
                <w:color w:val="auto"/>
                <w:spacing w:val="-1"/>
              </w:rPr>
              <w:t>3</w:t>
            </w:r>
            <w:r w:rsidRPr="008F21DB">
              <w:rPr>
                <w:rFonts w:eastAsia="Arial"/>
                <w:b/>
                <w:color w:val="auto"/>
                <w:spacing w:val="-1"/>
              </w:rPr>
              <w:t>: Provision and Protection of Health and Community Facilities</w:t>
            </w:r>
          </w:p>
          <w:p w14:paraId="3E2B4A17" w14:textId="1C6FEE34" w:rsidR="00E864C3" w:rsidRPr="00992A53" w:rsidRDefault="00E864C3" w:rsidP="00905CC9">
            <w:pPr>
              <w:keepNext w:val="0"/>
              <w:tabs>
                <w:tab w:val="left" w:pos="680"/>
              </w:tabs>
              <w:spacing w:before="0"/>
              <w:jc w:val="left"/>
              <w:rPr>
                <w:rFonts w:eastAsia="Arial"/>
                <w:b/>
                <w:color w:val="auto"/>
                <w:spacing w:val="-1"/>
              </w:rPr>
            </w:pPr>
          </w:p>
        </w:tc>
      </w:tr>
      <w:tr w:rsidR="00992A53" w:rsidRPr="00992A53" w14:paraId="66F7460A" w14:textId="77777777" w:rsidTr="0073396F">
        <w:tc>
          <w:tcPr>
            <w:tcW w:w="2660" w:type="dxa"/>
            <w:gridSpan w:val="2"/>
          </w:tcPr>
          <w:p w14:paraId="57FAF96B" w14:textId="77777777" w:rsidR="00992A53" w:rsidRPr="008F21DB" w:rsidRDefault="00992A53" w:rsidP="00905CC9">
            <w:pPr>
              <w:keepNext w:val="0"/>
              <w:tabs>
                <w:tab w:val="left" w:pos="680"/>
              </w:tabs>
              <w:spacing w:before="0"/>
              <w:jc w:val="left"/>
              <w:rPr>
                <w:rFonts w:eastAsia="Arial"/>
                <w:bCs/>
                <w:color w:val="auto"/>
              </w:rPr>
            </w:pPr>
            <w:r w:rsidRPr="008F21DB">
              <w:rPr>
                <w:rFonts w:eastAsia="Arial"/>
                <w:bCs/>
                <w:color w:val="auto"/>
              </w:rPr>
              <w:t>Strategic Objectives</w:t>
            </w:r>
          </w:p>
        </w:tc>
        <w:tc>
          <w:tcPr>
            <w:tcW w:w="6627" w:type="dxa"/>
          </w:tcPr>
          <w:p w14:paraId="523F71A2" w14:textId="77777777" w:rsidR="00992A53" w:rsidRPr="008F21DB" w:rsidRDefault="00992A53" w:rsidP="00905CC9">
            <w:pPr>
              <w:keepNext w:val="0"/>
              <w:tabs>
                <w:tab w:val="left" w:pos="680"/>
              </w:tabs>
              <w:spacing w:before="40" w:after="40"/>
              <w:jc w:val="left"/>
              <w:rPr>
                <w:rFonts w:eastAsia="Arial"/>
                <w:bCs/>
                <w:color w:val="auto"/>
              </w:rPr>
            </w:pPr>
            <w:r w:rsidRPr="008F21DB">
              <w:rPr>
                <w:rFonts w:eastAsia="Arial"/>
                <w:bCs/>
                <w:color w:val="auto"/>
              </w:rPr>
              <w:t>SO1, SO2, SO4, SO5, SO7, SO8, SO9, SO10, SO14.</w:t>
            </w:r>
          </w:p>
        </w:tc>
      </w:tr>
      <w:tr w:rsidR="00992A53" w:rsidRPr="00992A53" w14:paraId="6DC447B1" w14:textId="77777777" w:rsidTr="0073396F">
        <w:tc>
          <w:tcPr>
            <w:tcW w:w="9287" w:type="dxa"/>
            <w:gridSpan w:val="3"/>
            <w:shd w:val="clear" w:color="auto" w:fill="DAC4F8"/>
          </w:tcPr>
          <w:p w14:paraId="3746E6F1" w14:textId="77777777" w:rsidR="00992A53" w:rsidRPr="00992A53" w:rsidRDefault="00992A53" w:rsidP="00905CC9">
            <w:pPr>
              <w:keepNext w:val="0"/>
              <w:tabs>
                <w:tab w:val="left" w:pos="680"/>
                <w:tab w:val="left" w:pos="1133"/>
                <w:tab w:val="left" w:pos="2267"/>
              </w:tabs>
              <w:spacing w:before="0"/>
              <w:ind w:left="360" w:right="284"/>
              <w:jc w:val="left"/>
              <w:rPr>
                <w:rFonts w:eastAsia="Arial" w:cs="Arial"/>
                <w:bCs/>
                <w:color w:val="auto"/>
              </w:rPr>
            </w:pPr>
          </w:p>
          <w:p w14:paraId="36168850" w14:textId="77777777" w:rsidR="00992A53" w:rsidRPr="00992A53" w:rsidRDefault="00992A53" w:rsidP="00874A98">
            <w:pPr>
              <w:keepNext w:val="0"/>
              <w:numPr>
                <w:ilvl w:val="0"/>
                <w:numId w:val="203"/>
              </w:numPr>
              <w:tabs>
                <w:tab w:val="left" w:pos="680"/>
                <w:tab w:val="left" w:pos="1133"/>
                <w:tab w:val="left" w:pos="2267"/>
              </w:tabs>
              <w:spacing w:before="0"/>
              <w:ind w:right="284"/>
              <w:jc w:val="left"/>
              <w:rPr>
                <w:rFonts w:eastAsia="Arial" w:cs="Arial"/>
                <w:bCs/>
                <w:color w:val="auto"/>
              </w:rPr>
            </w:pPr>
            <w:r w:rsidRPr="00992A53">
              <w:rPr>
                <w:rFonts w:eastAsia="Arial" w:cs="Arial"/>
                <w:bCs/>
                <w:color w:val="auto"/>
              </w:rPr>
              <w:t>The Council will work with developers and strategic partners to provide District wide high quality, accessible and inclusive health, and community facilities by:</w:t>
            </w:r>
          </w:p>
          <w:p w14:paraId="197839F5" w14:textId="7D713A5D" w:rsidR="00992A53" w:rsidRPr="00992A53" w:rsidRDefault="0073396F" w:rsidP="00905CC9">
            <w:pPr>
              <w:keepNext w:val="0"/>
              <w:tabs>
                <w:tab w:val="left" w:pos="2267"/>
              </w:tabs>
              <w:spacing w:before="0"/>
              <w:ind w:left="720"/>
              <w:jc w:val="left"/>
              <w:rPr>
                <w:rFonts w:eastAsia="Arial" w:cs="Arial"/>
                <w:bCs/>
                <w:color w:val="auto"/>
              </w:rPr>
            </w:pPr>
            <w:r>
              <w:rPr>
                <w:rFonts w:eastAsia="Arial" w:cs="Arial"/>
                <w:bCs/>
                <w:color w:val="auto"/>
              </w:rPr>
              <w:tab/>
            </w:r>
          </w:p>
          <w:p w14:paraId="34543E20" w14:textId="6B5DC839" w:rsidR="00992A53" w:rsidRPr="00992A53" w:rsidRDefault="00992A53" w:rsidP="00874A98">
            <w:pPr>
              <w:keepNext w:val="0"/>
              <w:numPr>
                <w:ilvl w:val="0"/>
                <w:numId w:val="204"/>
              </w:numPr>
              <w:spacing w:before="0"/>
              <w:jc w:val="left"/>
              <w:rPr>
                <w:rFonts w:eastAsia="Arial" w:cs="Arial"/>
                <w:bCs/>
                <w:color w:val="auto"/>
              </w:rPr>
            </w:pPr>
            <w:r w:rsidRPr="00992A53">
              <w:rPr>
                <w:rFonts w:eastAsia="Arial" w:cs="Arial"/>
                <w:bCs/>
                <w:color w:val="auto"/>
              </w:rPr>
              <w:t>Enhancing health, wellbeing, social, spiritual, sport, leisure and cultural provision for the use by schools, clubs, community organisations and the public;</w:t>
            </w:r>
          </w:p>
          <w:p w14:paraId="1EE02E77" w14:textId="77777777" w:rsidR="00992A53" w:rsidRPr="00992A53" w:rsidRDefault="00992A53" w:rsidP="00905CC9">
            <w:pPr>
              <w:keepNext w:val="0"/>
              <w:spacing w:before="0"/>
              <w:ind w:left="720"/>
              <w:jc w:val="left"/>
              <w:rPr>
                <w:rFonts w:eastAsia="Arial" w:cs="Arial"/>
                <w:bCs/>
                <w:color w:val="auto"/>
              </w:rPr>
            </w:pPr>
          </w:p>
          <w:p w14:paraId="196340BB" w14:textId="77777777" w:rsidR="00992A53" w:rsidRPr="00992A53" w:rsidRDefault="00992A53" w:rsidP="00874A98">
            <w:pPr>
              <w:keepNext w:val="0"/>
              <w:numPr>
                <w:ilvl w:val="0"/>
                <w:numId w:val="204"/>
              </w:numPr>
              <w:spacing w:before="0"/>
              <w:contextualSpacing/>
              <w:jc w:val="left"/>
              <w:rPr>
                <w:rFonts w:eastAsia="Arial" w:cs="Arial"/>
                <w:bCs/>
                <w:color w:val="auto"/>
              </w:rPr>
            </w:pPr>
            <w:r w:rsidRPr="00992A53">
              <w:rPr>
                <w:rFonts w:eastAsia="Arial" w:cs="Arial"/>
                <w:bCs/>
                <w:color w:val="auto"/>
              </w:rPr>
              <w:t xml:space="preserve">Encouraging the co-location of educational, health and community facilities where opportunities arise; </w:t>
            </w:r>
          </w:p>
          <w:p w14:paraId="0FB713F0" w14:textId="77777777" w:rsidR="00992A53" w:rsidRPr="00992A53" w:rsidRDefault="00992A53" w:rsidP="00905CC9">
            <w:pPr>
              <w:keepNext w:val="0"/>
              <w:spacing w:before="0"/>
              <w:ind w:left="720"/>
              <w:jc w:val="left"/>
              <w:rPr>
                <w:rFonts w:eastAsia="Arial" w:cs="Arial"/>
                <w:bCs/>
                <w:color w:val="auto"/>
              </w:rPr>
            </w:pPr>
          </w:p>
          <w:p w14:paraId="7D849508" w14:textId="77777777" w:rsidR="00992A53" w:rsidRPr="00992A53" w:rsidRDefault="00992A53" w:rsidP="00874A98">
            <w:pPr>
              <w:keepNext w:val="0"/>
              <w:numPr>
                <w:ilvl w:val="0"/>
                <w:numId w:val="203"/>
              </w:numPr>
              <w:tabs>
                <w:tab w:val="left" w:pos="680"/>
                <w:tab w:val="left" w:pos="1133"/>
                <w:tab w:val="left" w:pos="2267"/>
              </w:tabs>
              <w:spacing w:before="0"/>
              <w:ind w:right="284"/>
              <w:jc w:val="left"/>
              <w:rPr>
                <w:rFonts w:eastAsia="Arial" w:cs="Arial"/>
                <w:bCs/>
                <w:color w:val="auto"/>
              </w:rPr>
            </w:pPr>
            <w:r w:rsidRPr="00992A53">
              <w:rPr>
                <w:rFonts w:eastAsia="Arial" w:cs="Arial"/>
                <w:bCs/>
                <w:color w:val="auto"/>
              </w:rPr>
              <w:t>Where additional facilities are needed as a result of a development proposal, the Council will require the provision of:</w:t>
            </w:r>
          </w:p>
          <w:p w14:paraId="6256529C" w14:textId="77777777" w:rsidR="00992A53" w:rsidRPr="00992A53" w:rsidRDefault="00992A53" w:rsidP="00905CC9">
            <w:pPr>
              <w:keepNext w:val="0"/>
              <w:tabs>
                <w:tab w:val="left" w:pos="680"/>
                <w:tab w:val="left" w:pos="1133"/>
                <w:tab w:val="left" w:pos="2267"/>
              </w:tabs>
              <w:spacing w:before="0"/>
              <w:ind w:left="360" w:right="284"/>
              <w:jc w:val="left"/>
              <w:rPr>
                <w:rFonts w:eastAsia="Arial" w:cs="Arial"/>
                <w:bCs/>
                <w:color w:val="auto"/>
              </w:rPr>
            </w:pPr>
          </w:p>
          <w:p w14:paraId="24AC0A82" w14:textId="77777777" w:rsidR="00992A53" w:rsidRPr="00992A53" w:rsidRDefault="00992A53" w:rsidP="00874A98">
            <w:pPr>
              <w:keepNext w:val="0"/>
              <w:numPr>
                <w:ilvl w:val="0"/>
                <w:numId w:val="205"/>
              </w:numPr>
              <w:tabs>
                <w:tab w:val="left" w:pos="680"/>
                <w:tab w:val="left" w:pos="1133"/>
                <w:tab w:val="left" w:pos="2267"/>
              </w:tabs>
              <w:spacing w:before="0"/>
              <w:ind w:right="284"/>
              <w:contextualSpacing/>
              <w:jc w:val="left"/>
              <w:rPr>
                <w:rFonts w:eastAsia="Arial" w:cs="Arial"/>
                <w:bCs/>
                <w:color w:val="auto"/>
              </w:rPr>
            </w:pPr>
            <w:r w:rsidRPr="00992A53">
              <w:rPr>
                <w:rFonts w:eastAsia="Arial" w:cs="Arial"/>
                <w:bCs/>
                <w:color w:val="auto"/>
              </w:rPr>
              <w:t>a new community facility on site or contributions towards the expansion of existing or new community provision off site; and/or</w:t>
            </w:r>
          </w:p>
          <w:p w14:paraId="771BDCEA" w14:textId="77777777" w:rsidR="00992A53" w:rsidRPr="00992A53" w:rsidRDefault="00992A53" w:rsidP="00874A98">
            <w:pPr>
              <w:keepNext w:val="0"/>
              <w:numPr>
                <w:ilvl w:val="0"/>
                <w:numId w:val="205"/>
              </w:numPr>
              <w:spacing w:before="0"/>
              <w:contextualSpacing/>
              <w:jc w:val="left"/>
              <w:rPr>
                <w:rFonts w:eastAsia="Arial" w:cs="Arial"/>
                <w:bCs/>
                <w:color w:val="auto"/>
              </w:rPr>
            </w:pPr>
            <w:r w:rsidRPr="00992A53">
              <w:rPr>
                <w:rFonts w:eastAsia="Arial" w:cs="Arial"/>
                <w:bCs/>
                <w:color w:val="auto"/>
              </w:rPr>
              <w:t xml:space="preserve">a new health facility on site or contributions towards the expansion of existing or new health provision off site. </w:t>
            </w:r>
          </w:p>
          <w:p w14:paraId="02F6E5FD" w14:textId="77777777" w:rsidR="00992A53" w:rsidRPr="00992A53" w:rsidRDefault="00992A53" w:rsidP="00905CC9">
            <w:pPr>
              <w:keepNext w:val="0"/>
              <w:spacing w:before="0"/>
              <w:jc w:val="left"/>
              <w:rPr>
                <w:rFonts w:eastAsia="Arial" w:cs="Arial"/>
                <w:bCs/>
                <w:color w:val="auto"/>
              </w:rPr>
            </w:pPr>
          </w:p>
          <w:p w14:paraId="54E1BA74" w14:textId="77777777" w:rsidR="00992A53" w:rsidRPr="00992A53" w:rsidRDefault="00992A53" w:rsidP="00905CC9">
            <w:pPr>
              <w:keepNext w:val="0"/>
              <w:spacing w:before="0"/>
              <w:ind w:left="360"/>
              <w:jc w:val="left"/>
              <w:rPr>
                <w:rFonts w:eastAsia="Arial" w:cs="Arial"/>
                <w:bCs/>
                <w:color w:val="auto"/>
              </w:rPr>
            </w:pPr>
            <w:r w:rsidRPr="00992A53">
              <w:rPr>
                <w:rFonts w:eastAsia="Arial" w:cs="Arial"/>
                <w:bCs/>
                <w:color w:val="auto"/>
              </w:rPr>
              <w:t>For larger development schemes, the Council may require the applicant to submit a Health Impact Assessment to identify the health implications for the local population arising from the development.</w:t>
            </w:r>
          </w:p>
          <w:p w14:paraId="72BAE009" w14:textId="77777777" w:rsidR="00992A53" w:rsidRPr="00992A53" w:rsidRDefault="00992A53" w:rsidP="00905CC9">
            <w:pPr>
              <w:keepNext w:val="0"/>
              <w:tabs>
                <w:tab w:val="left" w:pos="680"/>
                <w:tab w:val="left" w:pos="1133"/>
                <w:tab w:val="left" w:pos="2267"/>
              </w:tabs>
              <w:spacing w:before="0"/>
              <w:ind w:left="360" w:right="284"/>
              <w:jc w:val="left"/>
              <w:rPr>
                <w:rFonts w:eastAsia="Arial" w:cs="Arial"/>
                <w:bCs/>
                <w:color w:val="auto"/>
              </w:rPr>
            </w:pPr>
          </w:p>
          <w:p w14:paraId="0631BFB2" w14:textId="77777777" w:rsidR="00992A53" w:rsidRPr="00992A53" w:rsidRDefault="00992A53" w:rsidP="00874A98">
            <w:pPr>
              <w:keepNext w:val="0"/>
              <w:numPr>
                <w:ilvl w:val="0"/>
                <w:numId w:val="203"/>
              </w:numPr>
              <w:tabs>
                <w:tab w:val="left" w:pos="680"/>
                <w:tab w:val="left" w:pos="1133"/>
                <w:tab w:val="left" w:pos="2267"/>
              </w:tabs>
              <w:spacing w:before="0"/>
              <w:ind w:right="284"/>
              <w:jc w:val="left"/>
              <w:rPr>
                <w:rFonts w:eastAsia="Arial" w:cs="Arial"/>
                <w:bCs/>
                <w:color w:val="auto"/>
                <w:szCs w:val="24"/>
              </w:rPr>
            </w:pPr>
            <w:r w:rsidRPr="00992A53">
              <w:rPr>
                <w:rFonts w:eastAsia="Arial" w:cs="Arial"/>
                <w:bCs/>
                <w:color w:val="auto"/>
                <w:szCs w:val="24"/>
              </w:rPr>
              <w:t>Development for the alternative use of buildings or sites required for the provision of health and community facilities will not be permitted unless:</w:t>
            </w:r>
          </w:p>
          <w:p w14:paraId="3D93BE0C" w14:textId="77777777" w:rsidR="00992A53" w:rsidRPr="00992A53" w:rsidRDefault="00992A53" w:rsidP="00905CC9">
            <w:pPr>
              <w:keepNext w:val="0"/>
              <w:tabs>
                <w:tab w:val="left" w:pos="680"/>
                <w:tab w:val="left" w:pos="1133"/>
                <w:tab w:val="left" w:pos="2267"/>
              </w:tabs>
              <w:spacing w:before="0"/>
              <w:ind w:right="284"/>
              <w:jc w:val="left"/>
              <w:rPr>
                <w:rFonts w:eastAsia="Arial" w:cs="Arial"/>
                <w:bCs/>
                <w:color w:val="auto"/>
              </w:rPr>
            </w:pPr>
          </w:p>
          <w:p w14:paraId="0ECE0F10" w14:textId="2454F1BE" w:rsidR="00992A53" w:rsidRDefault="00992A53" w:rsidP="00874A98">
            <w:pPr>
              <w:pStyle w:val="ListParagraph"/>
              <w:numPr>
                <w:ilvl w:val="0"/>
                <w:numId w:val="206"/>
              </w:numPr>
              <w:tabs>
                <w:tab w:val="left" w:pos="680"/>
                <w:tab w:val="left" w:pos="1133"/>
                <w:tab w:val="left" w:pos="2267"/>
              </w:tabs>
              <w:spacing w:after="0" w:line="240" w:lineRule="auto"/>
              <w:ind w:right="284"/>
              <w:jc w:val="left"/>
              <w:rPr>
                <w:rFonts w:ascii="Arial" w:eastAsia="Arial" w:hAnsi="Arial" w:cs="Arial"/>
                <w:bCs/>
                <w:color w:val="auto"/>
              </w:rPr>
            </w:pPr>
            <w:r w:rsidRPr="00992A53">
              <w:rPr>
                <w:rFonts w:ascii="Arial" w:eastAsia="Arial" w:hAnsi="Arial" w:cs="Arial"/>
                <w:bCs/>
                <w:color w:val="auto"/>
              </w:rPr>
              <w:t xml:space="preserve">Adequate replacement provision is made; </w:t>
            </w:r>
          </w:p>
          <w:p w14:paraId="69CACE54" w14:textId="77777777" w:rsidR="00992A53" w:rsidRPr="00992A53" w:rsidRDefault="00992A53" w:rsidP="00905CC9">
            <w:pPr>
              <w:pStyle w:val="ListParagraph"/>
              <w:tabs>
                <w:tab w:val="left" w:pos="680"/>
                <w:tab w:val="left" w:pos="1133"/>
                <w:tab w:val="left" w:pos="2267"/>
              </w:tabs>
              <w:spacing w:after="0" w:line="240" w:lineRule="auto"/>
              <w:ind w:right="284"/>
              <w:jc w:val="left"/>
              <w:rPr>
                <w:rFonts w:ascii="Arial" w:eastAsia="Arial" w:hAnsi="Arial" w:cs="Arial"/>
                <w:bCs/>
                <w:color w:val="auto"/>
              </w:rPr>
            </w:pPr>
          </w:p>
          <w:p w14:paraId="054847FE" w14:textId="021D08A8" w:rsidR="00992A53" w:rsidRDefault="00992A53" w:rsidP="00874A98">
            <w:pPr>
              <w:pStyle w:val="ListParagraph"/>
              <w:numPr>
                <w:ilvl w:val="0"/>
                <w:numId w:val="206"/>
              </w:numPr>
              <w:tabs>
                <w:tab w:val="left" w:pos="680"/>
                <w:tab w:val="left" w:pos="1133"/>
                <w:tab w:val="left" w:pos="2267"/>
              </w:tabs>
              <w:spacing w:after="0" w:line="240" w:lineRule="auto"/>
              <w:ind w:right="284"/>
              <w:jc w:val="left"/>
              <w:rPr>
                <w:rFonts w:ascii="Arial" w:eastAsia="Arial" w:hAnsi="Arial" w:cs="Arial"/>
                <w:bCs/>
                <w:color w:val="auto"/>
              </w:rPr>
            </w:pPr>
            <w:r w:rsidRPr="00992A53">
              <w:rPr>
                <w:rFonts w:ascii="Arial" w:eastAsia="Arial" w:hAnsi="Arial" w:cs="Arial"/>
                <w:bCs/>
                <w:color w:val="auto"/>
              </w:rPr>
              <w:t>There is no longer a requirement for the facility in that location or a</w:t>
            </w:r>
            <w:r w:rsidRPr="00992A53">
              <w:rPr>
                <w:rFonts w:ascii="Arial" w:hAnsi="Arial" w:cs="Arial"/>
                <w:bCs/>
                <w:color w:val="auto"/>
                <w:szCs w:val="24"/>
              </w:rPr>
              <w:t xml:space="preserve">n alternative facility in the locality has the capacity to meet those need; </w:t>
            </w:r>
            <w:r w:rsidRPr="00992A53">
              <w:rPr>
                <w:rFonts w:ascii="Arial" w:eastAsia="Arial" w:hAnsi="Arial" w:cs="Arial"/>
                <w:bCs/>
                <w:color w:val="auto"/>
              </w:rPr>
              <w:t>an</w:t>
            </w:r>
            <w:r>
              <w:rPr>
                <w:rFonts w:ascii="Arial" w:eastAsia="Arial" w:hAnsi="Arial" w:cs="Arial"/>
                <w:bCs/>
                <w:color w:val="auto"/>
              </w:rPr>
              <w:t>d</w:t>
            </w:r>
          </w:p>
          <w:p w14:paraId="2EE1B7CD" w14:textId="77777777" w:rsidR="00992A53" w:rsidRPr="00992A53" w:rsidRDefault="00992A53" w:rsidP="00905CC9">
            <w:pPr>
              <w:pStyle w:val="ListParagraph"/>
              <w:tabs>
                <w:tab w:val="left" w:pos="680"/>
                <w:tab w:val="left" w:pos="1133"/>
                <w:tab w:val="left" w:pos="2267"/>
              </w:tabs>
              <w:spacing w:after="0" w:line="240" w:lineRule="auto"/>
              <w:ind w:right="284"/>
              <w:jc w:val="left"/>
              <w:rPr>
                <w:rFonts w:ascii="Arial" w:eastAsia="Arial" w:hAnsi="Arial" w:cs="Arial"/>
                <w:bCs/>
                <w:color w:val="auto"/>
              </w:rPr>
            </w:pPr>
          </w:p>
          <w:p w14:paraId="20EADD84" w14:textId="17A73927" w:rsidR="00992A53" w:rsidRPr="00992A53" w:rsidRDefault="00992A53" w:rsidP="00874A98">
            <w:pPr>
              <w:pStyle w:val="ListParagraph"/>
              <w:numPr>
                <w:ilvl w:val="0"/>
                <w:numId w:val="206"/>
              </w:numPr>
              <w:tabs>
                <w:tab w:val="left" w:pos="680"/>
                <w:tab w:val="left" w:pos="1133"/>
                <w:tab w:val="left" w:pos="2267"/>
              </w:tabs>
              <w:spacing w:after="0" w:line="240" w:lineRule="auto"/>
              <w:ind w:right="284"/>
              <w:jc w:val="left"/>
              <w:rPr>
                <w:rFonts w:ascii="Arial" w:eastAsia="Arial" w:hAnsi="Arial" w:cs="Arial"/>
                <w:bCs/>
                <w:color w:val="auto"/>
              </w:rPr>
            </w:pPr>
            <w:r w:rsidRPr="00992A53">
              <w:rPr>
                <w:rFonts w:ascii="Arial" w:eastAsia="Arial" w:hAnsi="Arial" w:cs="Arial"/>
                <w:bCs/>
                <w:color w:val="auto"/>
              </w:rPr>
              <w:t>For commercial community facilities, it can be demonstrated the current use is no longer economically viable and there is no prospect of it becoming viable.</w:t>
            </w:r>
          </w:p>
          <w:p w14:paraId="6D40E5FF" w14:textId="77777777" w:rsidR="00992A53" w:rsidRPr="00992A53" w:rsidRDefault="00992A53" w:rsidP="00905CC9">
            <w:pPr>
              <w:keepNext w:val="0"/>
              <w:tabs>
                <w:tab w:val="left" w:pos="680"/>
                <w:tab w:val="left" w:pos="1133"/>
                <w:tab w:val="left" w:pos="2267"/>
              </w:tabs>
              <w:spacing w:before="0"/>
              <w:ind w:right="284"/>
              <w:jc w:val="left"/>
              <w:rPr>
                <w:rFonts w:eastAsia="Arial" w:cs="Arial"/>
                <w:bCs/>
                <w:color w:val="auto"/>
              </w:rPr>
            </w:pPr>
          </w:p>
        </w:tc>
      </w:tr>
      <w:bookmarkEnd w:id="321"/>
      <w:tr w:rsidR="00992A53" w:rsidRPr="00992A53" w14:paraId="6C058776" w14:textId="77777777" w:rsidTr="0073396F">
        <w:tc>
          <w:tcPr>
            <w:tcW w:w="2376" w:type="dxa"/>
          </w:tcPr>
          <w:p w14:paraId="1DFF4C69" w14:textId="77777777" w:rsidR="00992A53" w:rsidRPr="00992A53" w:rsidRDefault="00992A53" w:rsidP="00905CC9">
            <w:pPr>
              <w:keepNext w:val="0"/>
              <w:tabs>
                <w:tab w:val="left" w:pos="680"/>
                <w:tab w:val="left" w:pos="1133"/>
                <w:tab w:val="left" w:pos="2267"/>
              </w:tabs>
              <w:spacing w:before="0"/>
              <w:ind w:right="284"/>
              <w:jc w:val="left"/>
              <w:rPr>
                <w:rFonts w:eastAsia="Arial"/>
                <w:b/>
                <w:color w:val="7030A0"/>
                <w:szCs w:val="24"/>
              </w:rPr>
            </w:pPr>
            <w:r w:rsidRPr="00992A53">
              <w:rPr>
                <w:rFonts w:eastAsia="Arial"/>
                <w:bCs/>
                <w:color w:val="auto"/>
                <w:sz w:val="20"/>
              </w:rPr>
              <w:t>Evidence base</w:t>
            </w:r>
          </w:p>
        </w:tc>
        <w:tc>
          <w:tcPr>
            <w:tcW w:w="6911" w:type="dxa"/>
            <w:gridSpan w:val="2"/>
          </w:tcPr>
          <w:p w14:paraId="5E3A62D0" w14:textId="3CB5EE38" w:rsidR="00276F87" w:rsidRPr="000663FF" w:rsidRDefault="00992A53" w:rsidP="00874A98">
            <w:pPr>
              <w:pStyle w:val="ListParagraph"/>
              <w:numPr>
                <w:ilvl w:val="0"/>
                <w:numId w:val="209"/>
              </w:numPr>
              <w:tabs>
                <w:tab w:val="left" w:pos="680"/>
                <w:tab w:val="left" w:pos="1133"/>
                <w:tab w:val="left" w:pos="2267"/>
              </w:tabs>
              <w:spacing w:after="0" w:line="240" w:lineRule="auto"/>
              <w:ind w:left="357" w:right="284" w:hanging="357"/>
              <w:jc w:val="left"/>
              <w:rPr>
                <w:rFonts w:ascii="Arial" w:eastAsia="Arial" w:hAnsi="Arial" w:cs="Arial"/>
                <w:bCs/>
                <w:color w:val="auto"/>
                <w:sz w:val="20"/>
                <w:szCs w:val="20"/>
              </w:rPr>
            </w:pPr>
            <w:r w:rsidRPr="000663FF">
              <w:rPr>
                <w:rFonts w:ascii="Arial" w:eastAsia="Arial" w:hAnsi="Arial" w:cs="Arial"/>
                <w:bCs/>
                <w:color w:val="auto"/>
                <w:sz w:val="20"/>
                <w:szCs w:val="20"/>
              </w:rPr>
              <w:t>Sustainability Appraisal, 202</w:t>
            </w:r>
            <w:r w:rsidR="0025538D" w:rsidRPr="000663FF">
              <w:rPr>
                <w:rFonts w:ascii="Arial" w:eastAsia="Arial" w:hAnsi="Arial" w:cs="Arial"/>
                <w:bCs/>
                <w:color w:val="auto"/>
                <w:sz w:val="20"/>
                <w:szCs w:val="20"/>
              </w:rPr>
              <w:t>3</w:t>
            </w:r>
            <w:r w:rsidRPr="000663FF">
              <w:rPr>
                <w:rFonts w:ascii="Arial" w:eastAsia="Arial" w:hAnsi="Arial" w:cs="Arial"/>
                <w:bCs/>
                <w:color w:val="auto"/>
                <w:sz w:val="20"/>
                <w:szCs w:val="20"/>
              </w:rPr>
              <w:t xml:space="preserve">. </w:t>
            </w:r>
            <w:r w:rsidR="0025538D" w:rsidRPr="000663FF">
              <w:rPr>
                <w:rFonts w:ascii="Arial" w:eastAsia="Arial" w:hAnsi="Arial" w:cs="Arial"/>
                <w:bCs/>
                <w:color w:val="auto"/>
                <w:sz w:val="20"/>
                <w:szCs w:val="20"/>
              </w:rPr>
              <w:t>WSP UK Limited</w:t>
            </w:r>
            <w:r w:rsidRPr="000663FF">
              <w:rPr>
                <w:rFonts w:ascii="Arial" w:eastAsia="Arial" w:hAnsi="Arial" w:cs="Arial"/>
                <w:bCs/>
                <w:color w:val="auto"/>
                <w:sz w:val="20"/>
                <w:szCs w:val="20"/>
              </w:rPr>
              <w:t xml:space="preserve">. </w:t>
            </w:r>
          </w:p>
          <w:p w14:paraId="66231C67" w14:textId="1E67609A" w:rsidR="00276F87" w:rsidRPr="000663FF" w:rsidRDefault="00276F87" w:rsidP="00874A98">
            <w:pPr>
              <w:pStyle w:val="ListParagraph"/>
              <w:numPr>
                <w:ilvl w:val="0"/>
                <w:numId w:val="209"/>
              </w:numPr>
              <w:tabs>
                <w:tab w:val="left" w:pos="680"/>
                <w:tab w:val="left" w:pos="1133"/>
                <w:tab w:val="left" w:pos="2267"/>
              </w:tabs>
              <w:spacing w:after="0" w:line="240" w:lineRule="auto"/>
              <w:ind w:left="357" w:right="284" w:hanging="357"/>
              <w:jc w:val="left"/>
              <w:rPr>
                <w:rFonts w:ascii="Arial" w:eastAsia="Arial" w:hAnsi="Arial" w:cs="Arial"/>
                <w:bCs/>
                <w:color w:val="auto"/>
                <w:sz w:val="20"/>
                <w:szCs w:val="20"/>
              </w:rPr>
            </w:pPr>
            <w:r w:rsidRPr="000663FF">
              <w:rPr>
                <w:rFonts w:ascii="Arial" w:eastAsia="Arial" w:hAnsi="Arial" w:cs="Arial"/>
                <w:bCs/>
                <w:color w:val="auto"/>
                <w:sz w:val="20"/>
              </w:rPr>
              <w:t>Ashfield Health and Wellbeing Partnership Strategy Be Healthy, Be Happy, 2021 – 2025 Ashfield Health and Wellbeing Partnership.</w:t>
            </w:r>
          </w:p>
        </w:tc>
      </w:tr>
      <w:tr w:rsidR="00992A53" w:rsidRPr="00992A53" w14:paraId="11BFCD94" w14:textId="77777777" w:rsidTr="0073396F">
        <w:tc>
          <w:tcPr>
            <w:tcW w:w="2376" w:type="dxa"/>
          </w:tcPr>
          <w:p w14:paraId="2B2AB739" w14:textId="77777777" w:rsidR="00992A53" w:rsidRPr="00992A53" w:rsidRDefault="00992A53" w:rsidP="00905CC9">
            <w:pPr>
              <w:keepNext w:val="0"/>
              <w:tabs>
                <w:tab w:val="left" w:pos="680"/>
                <w:tab w:val="left" w:pos="1133"/>
                <w:tab w:val="left" w:pos="2267"/>
              </w:tabs>
              <w:spacing w:before="0"/>
              <w:ind w:right="284"/>
              <w:jc w:val="left"/>
              <w:rPr>
                <w:rFonts w:eastAsia="Arial"/>
                <w:b/>
                <w:color w:val="538135"/>
                <w:sz w:val="22"/>
              </w:rPr>
            </w:pPr>
            <w:r w:rsidRPr="00992A53">
              <w:rPr>
                <w:rFonts w:eastAsia="Arial"/>
                <w:bCs/>
                <w:color w:val="auto"/>
                <w:sz w:val="20"/>
              </w:rPr>
              <w:t>National Planning Policy and Guidance</w:t>
            </w:r>
          </w:p>
        </w:tc>
        <w:tc>
          <w:tcPr>
            <w:tcW w:w="6911" w:type="dxa"/>
            <w:gridSpan w:val="2"/>
          </w:tcPr>
          <w:p w14:paraId="20C3DB34" w14:textId="58417FB7" w:rsidR="00992A53" w:rsidRPr="000663FF" w:rsidRDefault="00992A53" w:rsidP="00874A98">
            <w:pPr>
              <w:keepNext w:val="0"/>
              <w:numPr>
                <w:ilvl w:val="0"/>
                <w:numId w:val="119"/>
              </w:numPr>
              <w:tabs>
                <w:tab w:val="left" w:pos="680"/>
                <w:tab w:val="left" w:pos="1133"/>
                <w:tab w:val="left" w:pos="2267"/>
              </w:tabs>
              <w:spacing w:before="0" w:after="160" w:line="252" w:lineRule="auto"/>
              <w:ind w:right="284"/>
              <w:contextualSpacing/>
              <w:jc w:val="left"/>
              <w:rPr>
                <w:rFonts w:eastAsia="Arial"/>
                <w:bCs/>
                <w:color w:val="auto"/>
                <w:sz w:val="20"/>
              </w:rPr>
            </w:pPr>
            <w:r w:rsidRPr="000663FF">
              <w:rPr>
                <w:rFonts w:eastAsia="Arial"/>
                <w:bCs/>
                <w:color w:val="auto"/>
                <w:sz w:val="20"/>
              </w:rPr>
              <w:t>NPPF 20</w:t>
            </w:r>
            <w:r w:rsidR="004173E0" w:rsidRPr="000663FF">
              <w:rPr>
                <w:rFonts w:eastAsia="Arial"/>
                <w:bCs/>
                <w:color w:val="auto"/>
                <w:sz w:val="20"/>
              </w:rPr>
              <w:t>23</w:t>
            </w:r>
            <w:r w:rsidRPr="000663FF">
              <w:rPr>
                <w:rFonts w:eastAsia="Arial"/>
                <w:bCs/>
                <w:color w:val="auto"/>
                <w:sz w:val="20"/>
              </w:rPr>
              <w:t>, Part 2: Achieving sustainable development.</w:t>
            </w:r>
          </w:p>
          <w:p w14:paraId="14BD1709" w14:textId="10D6AC11" w:rsidR="00992A53" w:rsidRPr="000663FF" w:rsidRDefault="00992A53" w:rsidP="00874A98">
            <w:pPr>
              <w:keepNext w:val="0"/>
              <w:numPr>
                <w:ilvl w:val="0"/>
                <w:numId w:val="119"/>
              </w:numPr>
              <w:tabs>
                <w:tab w:val="left" w:pos="680"/>
                <w:tab w:val="left" w:pos="1133"/>
                <w:tab w:val="left" w:pos="2267"/>
              </w:tabs>
              <w:spacing w:before="0" w:after="160" w:line="252" w:lineRule="auto"/>
              <w:ind w:right="284"/>
              <w:contextualSpacing/>
              <w:jc w:val="left"/>
              <w:rPr>
                <w:rFonts w:eastAsia="Arial"/>
                <w:bCs/>
                <w:color w:val="auto"/>
                <w:sz w:val="20"/>
              </w:rPr>
            </w:pPr>
            <w:r w:rsidRPr="000663FF">
              <w:rPr>
                <w:rFonts w:eastAsia="Arial"/>
                <w:bCs/>
                <w:color w:val="auto"/>
                <w:sz w:val="20"/>
              </w:rPr>
              <w:t>NPPF 20</w:t>
            </w:r>
            <w:r w:rsidR="004173E0" w:rsidRPr="000663FF">
              <w:rPr>
                <w:rFonts w:eastAsia="Arial"/>
                <w:bCs/>
                <w:color w:val="auto"/>
                <w:sz w:val="20"/>
              </w:rPr>
              <w:t>23</w:t>
            </w:r>
            <w:r w:rsidRPr="000663FF">
              <w:rPr>
                <w:rFonts w:eastAsia="Arial"/>
                <w:bCs/>
                <w:color w:val="auto"/>
                <w:sz w:val="20"/>
              </w:rPr>
              <w:t>, Part 8: Promoting healthy and safe communities.</w:t>
            </w:r>
          </w:p>
          <w:p w14:paraId="35297023" w14:textId="232647EF" w:rsidR="00992A53" w:rsidRPr="000663FF" w:rsidRDefault="00992A53" w:rsidP="00874A98">
            <w:pPr>
              <w:keepNext w:val="0"/>
              <w:numPr>
                <w:ilvl w:val="0"/>
                <w:numId w:val="119"/>
              </w:numPr>
              <w:tabs>
                <w:tab w:val="left" w:pos="680"/>
                <w:tab w:val="left" w:pos="1133"/>
                <w:tab w:val="left" w:pos="2267"/>
              </w:tabs>
              <w:spacing w:before="0" w:after="160" w:line="252" w:lineRule="auto"/>
              <w:ind w:right="284"/>
              <w:contextualSpacing/>
              <w:jc w:val="left"/>
              <w:rPr>
                <w:rFonts w:eastAsia="Arial"/>
                <w:bCs/>
                <w:color w:val="auto"/>
                <w:sz w:val="20"/>
              </w:rPr>
            </w:pPr>
            <w:r w:rsidRPr="000663FF">
              <w:rPr>
                <w:rFonts w:eastAsia="Arial"/>
                <w:bCs/>
                <w:color w:val="auto"/>
                <w:sz w:val="20"/>
              </w:rPr>
              <w:t xml:space="preserve">Planning Practice Guidance: Healthy and safe communities as </w:t>
            </w:r>
            <w:r w:rsidR="008F21DB" w:rsidRPr="000663FF">
              <w:rPr>
                <w:rFonts w:eastAsia="Arial"/>
                <w:bCs/>
                <w:color w:val="auto"/>
                <w:sz w:val="20"/>
              </w:rPr>
              <w:t>of</w:t>
            </w:r>
            <w:r w:rsidRPr="000663FF">
              <w:rPr>
                <w:rFonts w:eastAsia="Arial"/>
                <w:bCs/>
                <w:color w:val="auto"/>
                <w:sz w:val="20"/>
              </w:rPr>
              <w:t xml:space="preserve"> August 202</w:t>
            </w:r>
            <w:r w:rsidR="0025538D" w:rsidRPr="000663FF">
              <w:rPr>
                <w:rFonts w:eastAsia="Arial"/>
                <w:bCs/>
                <w:color w:val="auto"/>
                <w:sz w:val="20"/>
              </w:rPr>
              <w:t>2</w:t>
            </w:r>
            <w:r w:rsidRPr="000663FF">
              <w:rPr>
                <w:rFonts w:eastAsia="Arial"/>
                <w:bCs/>
                <w:color w:val="auto"/>
                <w:sz w:val="20"/>
              </w:rPr>
              <w:t>.</w:t>
            </w:r>
          </w:p>
        </w:tc>
      </w:tr>
    </w:tbl>
    <w:p w14:paraId="063E5899" w14:textId="77777777" w:rsidR="00992A53" w:rsidRPr="00DD4136" w:rsidRDefault="00992A53" w:rsidP="00992A53">
      <w:pPr>
        <w:keepNext w:val="0"/>
        <w:tabs>
          <w:tab w:val="left" w:pos="680"/>
          <w:tab w:val="left" w:pos="1133"/>
          <w:tab w:val="left" w:pos="2267"/>
        </w:tabs>
        <w:spacing w:before="0"/>
        <w:ind w:right="284"/>
        <w:rPr>
          <w:rFonts w:eastAsia="Arial"/>
          <w:b/>
          <w:color w:val="auto"/>
        </w:rPr>
      </w:pPr>
    </w:p>
    <w:p w14:paraId="20D9910B" w14:textId="77777777" w:rsidR="00992A53" w:rsidRPr="00DD4136" w:rsidRDefault="00992A53" w:rsidP="00992A53">
      <w:pPr>
        <w:keepNext w:val="0"/>
        <w:tabs>
          <w:tab w:val="left" w:pos="680"/>
          <w:tab w:val="left" w:pos="1133"/>
          <w:tab w:val="left" w:pos="2267"/>
        </w:tabs>
        <w:spacing w:before="0"/>
        <w:ind w:right="284"/>
        <w:rPr>
          <w:rFonts w:eastAsia="Arial"/>
          <w:b/>
          <w:color w:val="auto"/>
        </w:rPr>
      </w:pPr>
    </w:p>
    <w:p w14:paraId="011C5345" w14:textId="32196E5F" w:rsidR="00E864C3" w:rsidRDefault="00FF4973" w:rsidP="00E864C3">
      <w:pPr>
        <w:keepNext w:val="0"/>
        <w:numPr>
          <w:ilvl w:val="1"/>
          <w:numId w:val="7"/>
        </w:numPr>
        <w:tabs>
          <w:tab w:val="clear" w:pos="525"/>
        </w:tabs>
        <w:spacing w:before="0"/>
        <w:ind w:left="709" w:hanging="709"/>
        <w:rPr>
          <w:rFonts w:cs="Arial"/>
          <w:color w:val="auto"/>
          <w:szCs w:val="24"/>
          <w:lang w:eastAsia="en-US"/>
        </w:rPr>
      </w:pPr>
      <w:r w:rsidRPr="00E864C3">
        <w:rPr>
          <w:rFonts w:cs="Arial"/>
          <w:color w:val="auto"/>
          <w:szCs w:val="24"/>
        </w:rPr>
        <w:t>The provision of a full range of community and health services is of importance to the social and economic well-being of Ashfield residents.  These facilities play an important role in facilitating social interaction</w:t>
      </w:r>
      <w:r w:rsidR="00451C69">
        <w:rPr>
          <w:rFonts w:cs="Arial"/>
          <w:color w:val="auto"/>
          <w:szCs w:val="24"/>
        </w:rPr>
        <w:t xml:space="preserve">, providing recreational, educational  and cultural needs </w:t>
      </w:r>
      <w:r w:rsidRPr="00E864C3">
        <w:rPr>
          <w:rFonts w:cs="Arial"/>
          <w:color w:val="auto"/>
          <w:szCs w:val="24"/>
        </w:rPr>
        <w:t xml:space="preserve">and creating healthy, inclusive communities. </w:t>
      </w:r>
    </w:p>
    <w:p w14:paraId="4DD40764" w14:textId="77777777" w:rsidR="00E864C3" w:rsidRDefault="00E864C3" w:rsidP="00E864C3">
      <w:pPr>
        <w:keepNext w:val="0"/>
        <w:spacing w:before="0"/>
        <w:rPr>
          <w:rFonts w:cs="Arial"/>
          <w:color w:val="auto"/>
          <w:szCs w:val="24"/>
          <w:lang w:eastAsia="en-US"/>
        </w:rPr>
      </w:pPr>
    </w:p>
    <w:p w14:paraId="38B4E24D" w14:textId="14ABEEC2" w:rsidR="00E864C3" w:rsidRDefault="00FF4973" w:rsidP="00E864C3">
      <w:pPr>
        <w:keepNext w:val="0"/>
        <w:numPr>
          <w:ilvl w:val="1"/>
          <w:numId w:val="7"/>
        </w:numPr>
        <w:tabs>
          <w:tab w:val="clear" w:pos="525"/>
        </w:tabs>
        <w:spacing w:before="0"/>
        <w:ind w:left="709" w:hanging="709"/>
        <w:rPr>
          <w:rFonts w:cs="Arial"/>
          <w:color w:val="auto"/>
          <w:szCs w:val="24"/>
          <w:lang w:eastAsia="en-US"/>
        </w:rPr>
      </w:pPr>
      <w:r w:rsidRPr="00E864C3">
        <w:rPr>
          <w:rFonts w:cs="Arial"/>
          <w:color w:val="auto"/>
          <w:szCs w:val="24"/>
        </w:rPr>
        <w:t xml:space="preserve">Community facilities include local shops, meeting places, sports venues, open space, cultural buildings, public houses and places of worship.  This list is not exhaustive and they may include other community facilities or other local services, which enhance the sustainability of communities and residential environments. </w:t>
      </w:r>
    </w:p>
    <w:p w14:paraId="6FDE9BEA" w14:textId="77777777" w:rsidR="00E864C3" w:rsidRDefault="00E864C3" w:rsidP="00E864C3">
      <w:pPr>
        <w:keepNext w:val="0"/>
        <w:spacing w:before="0"/>
        <w:rPr>
          <w:rFonts w:cs="Arial"/>
          <w:color w:val="auto"/>
          <w:szCs w:val="24"/>
          <w:lang w:eastAsia="en-US"/>
        </w:rPr>
      </w:pPr>
    </w:p>
    <w:p w14:paraId="5818CB9B" w14:textId="2552E850" w:rsidR="00E864C3" w:rsidRDefault="00FF4973" w:rsidP="00E864C3">
      <w:pPr>
        <w:keepNext w:val="0"/>
        <w:numPr>
          <w:ilvl w:val="1"/>
          <w:numId w:val="7"/>
        </w:numPr>
        <w:tabs>
          <w:tab w:val="clear" w:pos="525"/>
        </w:tabs>
        <w:spacing w:before="0"/>
        <w:ind w:left="709" w:hanging="709"/>
        <w:rPr>
          <w:rFonts w:cs="Arial"/>
          <w:color w:val="auto"/>
          <w:szCs w:val="24"/>
          <w:lang w:eastAsia="en-US"/>
        </w:rPr>
      </w:pPr>
      <w:r w:rsidRPr="00E864C3">
        <w:rPr>
          <w:rFonts w:cs="Arial"/>
          <w:color w:val="auto"/>
          <w:szCs w:val="24"/>
        </w:rPr>
        <w:t xml:space="preserve">The Council will support the co-location of community facilities and other services, where viable. Working in partnership with other service providers and the voluntary sector provides an effective and accessible way to meet the needs of communities. If services and facilities can be housed within a single building or area there can be numerous benefits to users and providers; aiding accessibility, increasing users and sharing resources.   </w:t>
      </w:r>
    </w:p>
    <w:p w14:paraId="78A716BB" w14:textId="77777777" w:rsidR="00E864C3" w:rsidRDefault="00E864C3" w:rsidP="00E864C3">
      <w:pPr>
        <w:keepNext w:val="0"/>
        <w:spacing w:before="0"/>
        <w:rPr>
          <w:rFonts w:cs="Arial"/>
          <w:color w:val="auto"/>
          <w:szCs w:val="24"/>
          <w:lang w:eastAsia="en-US"/>
        </w:rPr>
      </w:pPr>
    </w:p>
    <w:p w14:paraId="0A2F2AB3" w14:textId="380DE618" w:rsidR="00FF4973" w:rsidRPr="00E864C3" w:rsidRDefault="00FF4973" w:rsidP="00E864C3">
      <w:pPr>
        <w:keepNext w:val="0"/>
        <w:numPr>
          <w:ilvl w:val="1"/>
          <w:numId w:val="7"/>
        </w:numPr>
        <w:tabs>
          <w:tab w:val="clear" w:pos="525"/>
        </w:tabs>
        <w:spacing w:before="0"/>
        <w:ind w:left="709" w:hanging="709"/>
        <w:rPr>
          <w:rFonts w:cs="Arial"/>
          <w:color w:val="auto"/>
          <w:szCs w:val="24"/>
          <w:lang w:eastAsia="en-US"/>
        </w:rPr>
      </w:pPr>
      <w:r w:rsidRPr="00E864C3">
        <w:rPr>
          <w:rFonts w:cs="Arial"/>
          <w:color w:val="auto"/>
          <w:szCs w:val="24"/>
        </w:rPr>
        <w:t xml:space="preserve">New development has the potential to result in increased pressure on Ashfield’s existing health and community facilities, either cumulatively or individually. Where appropriate, the Council will expect schemes that create additional demand for health and community facilities to make an appropriate contribution to meet local needs. This may be through on-site provision or a contribution towards improving existing facilities close to the development, or within the appropriate catchment for the health or community facilities. When assessing the impact of new </w:t>
      </w:r>
      <w:r w:rsidR="00EA7D34" w:rsidRPr="00E864C3">
        <w:rPr>
          <w:rFonts w:cs="Arial"/>
          <w:color w:val="auto"/>
          <w:szCs w:val="24"/>
        </w:rPr>
        <w:t>development,</w:t>
      </w:r>
      <w:r w:rsidRPr="00E864C3">
        <w:rPr>
          <w:rFonts w:cs="Arial"/>
          <w:color w:val="auto"/>
          <w:szCs w:val="24"/>
        </w:rPr>
        <w:t xml:space="preserve"> the Council will consider: </w:t>
      </w:r>
    </w:p>
    <w:p w14:paraId="0335899A" w14:textId="77777777" w:rsidR="00FF4973" w:rsidRDefault="00FF4973" w:rsidP="00FF4973">
      <w:pPr>
        <w:pStyle w:val="ListParagraph"/>
        <w:spacing w:after="0" w:line="240" w:lineRule="auto"/>
        <w:rPr>
          <w:rFonts w:ascii="Arial" w:hAnsi="Arial" w:cs="Arial"/>
          <w:color w:val="auto"/>
          <w:szCs w:val="24"/>
        </w:rPr>
      </w:pPr>
    </w:p>
    <w:p w14:paraId="54C422B5" w14:textId="77777777" w:rsidR="00FF4973" w:rsidRPr="00FF4973" w:rsidRDefault="00FF4973" w:rsidP="00874A98">
      <w:pPr>
        <w:pStyle w:val="ListParagraph"/>
        <w:numPr>
          <w:ilvl w:val="0"/>
          <w:numId w:val="207"/>
        </w:numPr>
        <w:spacing w:after="0" w:line="240" w:lineRule="auto"/>
        <w:rPr>
          <w:rFonts w:ascii="Arial" w:hAnsi="Arial" w:cs="Arial"/>
          <w:color w:val="auto"/>
          <w:szCs w:val="24"/>
        </w:rPr>
      </w:pPr>
      <w:r w:rsidRPr="00FF4973">
        <w:rPr>
          <w:rFonts w:ascii="Arial" w:hAnsi="Arial" w:cs="Arial"/>
          <w:color w:val="auto"/>
          <w:szCs w:val="24"/>
        </w:rPr>
        <w:t>the likely number of future occupants of the development and their impact on the demand for health and community facilities;</w:t>
      </w:r>
    </w:p>
    <w:p w14:paraId="2E9E8D91" w14:textId="77777777" w:rsidR="00FF4973" w:rsidRPr="00FF4973" w:rsidRDefault="00FF4973" w:rsidP="00874A98">
      <w:pPr>
        <w:pStyle w:val="ListParagraph"/>
        <w:numPr>
          <w:ilvl w:val="0"/>
          <w:numId w:val="207"/>
        </w:numPr>
        <w:spacing w:after="0" w:line="240" w:lineRule="auto"/>
        <w:rPr>
          <w:rFonts w:ascii="Arial" w:hAnsi="Arial" w:cs="Arial"/>
          <w:color w:val="auto"/>
          <w:szCs w:val="24"/>
        </w:rPr>
      </w:pPr>
      <w:r w:rsidRPr="00FF4973">
        <w:rPr>
          <w:rFonts w:ascii="Arial" w:hAnsi="Arial" w:cs="Arial"/>
          <w:color w:val="auto"/>
          <w:szCs w:val="24"/>
        </w:rPr>
        <w:t xml:space="preserve">the capacity of existing health and community facilities and their accessible to the development; </w:t>
      </w:r>
    </w:p>
    <w:p w14:paraId="251FCE41" w14:textId="593DB03A" w:rsidR="00FF4973" w:rsidRPr="00FF4973" w:rsidRDefault="00FF4973" w:rsidP="00874A98">
      <w:pPr>
        <w:pStyle w:val="ListParagraph"/>
        <w:numPr>
          <w:ilvl w:val="0"/>
          <w:numId w:val="207"/>
        </w:numPr>
        <w:spacing w:after="0" w:line="240" w:lineRule="auto"/>
        <w:rPr>
          <w:rFonts w:ascii="Arial" w:hAnsi="Arial" w:cs="Arial"/>
          <w:color w:val="auto"/>
          <w:szCs w:val="24"/>
        </w:rPr>
      </w:pPr>
      <w:r w:rsidRPr="00FF4973">
        <w:rPr>
          <w:rFonts w:ascii="Arial" w:hAnsi="Arial" w:cs="Arial"/>
          <w:color w:val="auto"/>
          <w:szCs w:val="24"/>
        </w:rPr>
        <w:t>the accommodation requirements of community service providers operating in the area.</w:t>
      </w:r>
    </w:p>
    <w:p w14:paraId="4E85C043" w14:textId="77777777" w:rsidR="00FF4973" w:rsidRPr="00FF4973" w:rsidRDefault="00FF4973" w:rsidP="00FF4973">
      <w:pPr>
        <w:pStyle w:val="ListParagraph"/>
        <w:spacing w:after="0" w:line="240" w:lineRule="auto"/>
        <w:rPr>
          <w:rFonts w:ascii="Arial" w:hAnsi="Arial" w:cs="Arial"/>
          <w:color w:val="auto"/>
          <w:szCs w:val="24"/>
        </w:rPr>
      </w:pPr>
    </w:p>
    <w:p w14:paraId="2FA16702" w14:textId="4A2B0A82" w:rsidR="00FF4973" w:rsidRDefault="00FF4973" w:rsidP="00E864C3">
      <w:pPr>
        <w:keepNext w:val="0"/>
        <w:numPr>
          <w:ilvl w:val="1"/>
          <w:numId w:val="7"/>
        </w:numPr>
        <w:tabs>
          <w:tab w:val="clear" w:pos="525"/>
        </w:tabs>
        <w:spacing w:before="0"/>
        <w:ind w:left="709" w:hanging="709"/>
        <w:rPr>
          <w:rFonts w:cs="Arial"/>
          <w:color w:val="auto"/>
          <w:szCs w:val="24"/>
          <w:lang w:eastAsia="en-US"/>
        </w:rPr>
      </w:pPr>
      <w:r w:rsidRPr="00FF4973">
        <w:rPr>
          <w:rFonts w:cs="Arial"/>
          <w:color w:val="auto"/>
          <w:szCs w:val="24"/>
        </w:rPr>
        <w:t xml:space="preserve">A Health Impact Assessment may be required on developments of 50 dwellings or more. It is anticipated that any Health Impact Assessment will utilise </w:t>
      </w:r>
      <w:r w:rsidR="00F46258" w:rsidRPr="00F46258">
        <w:rPr>
          <w:rFonts w:cs="Arial"/>
          <w:color w:val="auto"/>
          <w:szCs w:val="24"/>
        </w:rPr>
        <w:t>The Nottinghamshire Planning and Health Framework (2019 -2022)</w:t>
      </w:r>
      <w:r w:rsidRPr="00FF4973">
        <w:rPr>
          <w:rFonts w:cs="Arial"/>
          <w:color w:val="auto"/>
          <w:szCs w:val="24"/>
        </w:rPr>
        <w:t xml:space="preserve"> document or any update.</w:t>
      </w:r>
    </w:p>
    <w:p w14:paraId="49CDFF4C" w14:textId="7EC7DDBF" w:rsidR="00FF4973" w:rsidRDefault="00FF4973" w:rsidP="00FF4973">
      <w:pPr>
        <w:keepNext w:val="0"/>
        <w:spacing w:before="0"/>
        <w:ind w:left="527"/>
        <w:rPr>
          <w:rFonts w:cs="Arial"/>
          <w:color w:val="auto"/>
          <w:szCs w:val="24"/>
        </w:rPr>
      </w:pPr>
    </w:p>
    <w:p w14:paraId="5492F21B" w14:textId="2FB25ADC" w:rsidR="00FF4973" w:rsidRPr="00A430E6" w:rsidRDefault="000663FF" w:rsidP="00FF4973">
      <w:pPr>
        <w:keepNext w:val="0"/>
        <w:spacing w:before="0"/>
        <w:ind w:left="527"/>
        <w:rPr>
          <w:rFonts w:cs="Arial"/>
          <w:b/>
          <w:bCs/>
          <w:color w:val="auto"/>
          <w:szCs w:val="24"/>
          <w:lang w:eastAsia="en-US"/>
        </w:rPr>
      </w:pPr>
      <w:r>
        <w:rPr>
          <w:rFonts w:cs="Arial"/>
          <w:b/>
          <w:bCs/>
          <w:color w:val="auto"/>
          <w:szCs w:val="24"/>
          <w:lang w:eastAsia="en-US"/>
        </w:rPr>
        <w:t xml:space="preserve">  </w:t>
      </w:r>
      <w:r w:rsidR="00FF4973" w:rsidRPr="00A430E6">
        <w:rPr>
          <w:rFonts w:cs="Arial"/>
          <w:b/>
          <w:bCs/>
          <w:color w:val="auto"/>
          <w:szCs w:val="24"/>
          <w:lang w:eastAsia="en-US"/>
        </w:rPr>
        <w:t>Loss of Health or Community Facilities</w:t>
      </w:r>
    </w:p>
    <w:p w14:paraId="2D6AE202" w14:textId="786D266A" w:rsidR="00FF4973" w:rsidRPr="00FF4973" w:rsidRDefault="00FF4973" w:rsidP="00E864C3">
      <w:pPr>
        <w:keepNext w:val="0"/>
        <w:numPr>
          <w:ilvl w:val="1"/>
          <w:numId w:val="7"/>
        </w:numPr>
        <w:tabs>
          <w:tab w:val="clear" w:pos="525"/>
        </w:tabs>
        <w:spacing w:before="0"/>
        <w:ind w:left="709" w:hanging="709"/>
        <w:rPr>
          <w:rFonts w:cs="Arial"/>
          <w:color w:val="auto"/>
          <w:szCs w:val="24"/>
          <w:lang w:eastAsia="en-US"/>
        </w:rPr>
      </w:pPr>
      <w:r w:rsidRPr="00FF4973">
        <w:rPr>
          <w:rFonts w:cs="Arial"/>
          <w:color w:val="auto"/>
          <w:szCs w:val="24"/>
        </w:rPr>
        <w:t xml:space="preserve">The Council will resist the loss of health and community facilities unless there is no longer a requirement for the facility in that location. The application will need to demonstrate that: </w:t>
      </w:r>
    </w:p>
    <w:p w14:paraId="443BC6CB" w14:textId="77777777" w:rsidR="00FF4973" w:rsidRPr="00FF4973" w:rsidRDefault="00FF4973" w:rsidP="00FF4973">
      <w:pPr>
        <w:keepNext w:val="0"/>
        <w:spacing w:before="0"/>
        <w:rPr>
          <w:rFonts w:cs="Arial"/>
          <w:color w:val="auto"/>
          <w:szCs w:val="24"/>
          <w:lang w:eastAsia="en-US"/>
        </w:rPr>
      </w:pPr>
    </w:p>
    <w:p w14:paraId="76DC8666" w14:textId="77777777" w:rsidR="00FF4973" w:rsidRPr="00FF4973" w:rsidRDefault="00FF4973" w:rsidP="00874A98">
      <w:pPr>
        <w:pStyle w:val="ListParagraph"/>
        <w:numPr>
          <w:ilvl w:val="0"/>
          <w:numId w:val="208"/>
        </w:numPr>
        <w:spacing w:after="0" w:line="240" w:lineRule="auto"/>
        <w:rPr>
          <w:rFonts w:ascii="Arial" w:hAnsi="Arial" w:cs="Arial"/>
          <w:color w:val="auto"/>
          <w:szCs w:val="24"/>
        </w:rPr>
      </w:pPr>
      <w:r w:rsidRPr="00FF4973">
        <w:rPr>
          <w:rFonts w:ascii="Arial" w:hAnsi="Arial" w:cs="Arial"/>
          <w:color w:val="auto"/>
          <w:szCs w:val="24"/>
        </w:rPr>
        <w:t xml:space="preserve">No shortfall in provision will be created by the loss; </w:t>
      </w:r>
    </w:p>
    <w:p w14:paraId="192F02D1" w14:textId="77777777" w:rsidR="00FF4973" w:rsidRPr="00FF4973" w:rsidRDefault="00FF4973" w:rsidP="00874A98">
      <w:pPr>
        <w:pStyle w:val="ListParagraph"/>
        <w:numPr>
          <w:ilvl w:val="0"/>
          <w:numId w:val="208"/>
        </w:numPr>
        <w:spacing w:after="0" w:line="240" w:lineRule="auto"/>
        <w:rPr>
          <w:rFonts w:ascii="Arial" w:hAnsi="Arial" w:cs="Arial"/>
          <w:color w:val="auto"/>
          <w:szCs w:val="24"/>
        </w:rPr>
      </w:pPr>
      <w:r w:rsidRPr="00FF4973">
        <w:rPr>
          <w:rFonts w:ascii="Arial" w:hAnsi="Arial" w:cs="Arial"/>
          <w:color w:val="auto"/>
          <w:szCs w:val="24"/>
        </w:rPr>
        <w:t>Adequate alternative facilities are already available in the area;</w:t>
      </w:r>
    </w:p>
    <w:p w14:paraId="61D3F604" w14:textId="77777777" w:rsidR="00FF4973" w:rsidRPr="00FF4973" w:rsidRDefault="00FF4973" w:rsidP="00874A98">
      <w:pPr>
        <w:pStyle w:val="ListParagraph"/>
        <w:numPr>
          <w:ilvl w:val="0"/>
          <w:numId w:val="208"/>
        </w:numPr>
        <w:spacing w:after="0" w:line="240" w:lineRule="auto"/>
        <w:rPr>
          <w:rFonts w:ascii="Arial" w:hAnsi="Arial" w:cs="Arial"/>
          <w:color w:val="auto"/>
          <w:szCs w:val="24"/>
        </w:rPr>
      </w:pPr>
      <w:r w:rsidRPr="00FF4973">
        <w:rPr>
          <w:rFonts w:ascii="Arial" w:hAnsi="Arial" w:cs="Arial"/>
          <w:color w:val="auto"/>
          <w:szCs w:val="24"/>
        </w:rPr>
        <w:t>A replacement facility that meets the needs of the local population will be provided;</w:t>
      </w:r>
    </w:p>
    <w:p w14:paraId="41F42092" w14:textId="243008F2" w:rsidR="00FF4973" w:rsidRPr="00FF4973" w:rsidRDefault="00FF4973" w:rsidP="00874A98">
      <w:pPr>
        <w:pStyle w:val="ListParagraph"/>
        <w:numPr>
          <w:ilvl w:val="0"/>
          <w:numId w:val="208"/>
        </w:numPr>
        <w:spacing w:after="0" w:line="240" w:lineRule="auto"/>
        <w:rPr>
          <w:rFonts w:ascii="Arial" w:hAnsi="Arial" w:cs="Arial"/>
          <w:color w:val="auto"/>
          <w:szCs w:val="24"/>
        </w:rPr>
      </w:pPr>
      <w:r w:rsidRPr="00FF4973">
        <w:rPr>
          <w:rFonts w:ascii="Arial" w:hAnsi="Arial" w:cs="Arial"/>
          <w:color w:val="auto"/>
          <w:szCs w:val="24"/>
        </w:rPr>
        <w:t>The facility is no longer required in its current use;</w:t>
      </w:r>
    </w:p>
    <w:p w14:paraId="0F3D4F8A" w14:textId="77777777" w:rsidR="00FF4973" w:rsidRPr="00FF4973" w:rsidRDefault="00FF4973" w:rsidP="00FF4973">
      <w:pPr>
        <w:keepNext w:val="0"/>
        <w:spacing w:before="0"/>
        <w:ind w:left="527"/>
        <w:rPr>
          <w:rFonts w:cs="Arial"/>
          <w:color w:val="auto"/>
          <w:szCs w:val="24"/>
          <w:lang w:eastAsia="en-US"/>
        </w:rPr>
      </w:pPr>
    </w:p>
    <w:p w14:paraId="082B07DD" w14:textId="3CF534B3" w:rsidR="00FF4973" w:rsidRPr="00F46258" w:rsidRDefault="00FF4973" w:rsidP="0052341B">
      <w:pPr>
        <w:keepNext w:val="0"/>
        <w:numPr>
          <w:ilvl w:val="1"/>
          <w:numId w:val="7"/>
        </w:numPr>
        <w:tabs>
          <w:tab w:val="clear" w:pos="525"/>
        </w:tabs>
        <w:spacing w:before="0"/>
        <w:ind w:left="709" w:hanging="709"/>
        <w:rPr>
          <w:rFonts w:cs="Arial"/>
          <w:color w:val="auto"/>
          <w:szCs w:val="24"/>
          <w:lang w:eastAsia="en-US"/>
        </w:rPr>
      </w:pPr>
      <w:r w:rsidRPr="00F46258">
        <w:rPr>
          <w:rFonts w:cs="Arial"/>
          <w:color w:val="auto"/>
          <w:szCs w:val="24"/>
        </w:rPr>
        <w:t>In addition, for commercial community facilities run for business purposes to make a</w:t>
      </w:r>
      <w:r w:rsidR="00E864C3" w:rsidRPr="00F46258">
        <w:rPr>
          <w:rFonts w:cs="Arial"/>
          <w:color w:val="auto"/>
          <w:szCs w:val="24"/>
        </w:rPr>
        <w:t xml:space="preserve"> </w:t>
      </w:r>
      <w:r w:rsidRPr="00F46258">
        <w:rPr>
          <w:rFonts w:cs="Arial"/>
          <w:color w:val="auto"/>
          <w:szCs w:val="24"/>
        </w:rPr>
        <w:t>profit (although there may be exceptions), such as local shops or public houses, the Council will require evidence that the facility is not viable</w:t>
      </w:r>
      <w:r w:rsidR="00F46258" w:rsidRPr="00F46258">
        <w:rPr>
          <w:rFonts w:cs="Arial"/>
          <w:color w:val="auto"/>
          <w:szCs w:val="24"/>
        </w:rPr>
        <w:t xml:space="preserve"> in accordance with Policy SD6: Assessing Development Viability and Development Demand.</w:t>
      </w:r>
      <w:r w:rsidRPr="00F46258">
        <w:rPr>
          <w:rFonts w:cs="Arial"/>
          <w:color w:val="auto"/>
          <w:szCs w:val="24"/>
        </w:rPr>
        <w:t xml:space="preserve"> The Council will utilise existing tools such as The Campaign for Real Ale “Public House Viability Test”  or other similar evaluation method to help assess the viability of the business and to make an informed judgement on the need for the facility in the locality.  </w:t>
      </w:r>
    </w:p>
    <w:p w14:paraId="7CE1CAC2" w14:textId="7D2C6D7C" w:rsidR="00882EFF" w:rsidRPr="00263F59" w:rsidRDefault="00882EFF" w:rsidP="00882EFF">
      <w:pPr>
        <w:keepNext w:val="0"/>
        <w:spacing w:before="0"/>
        <w:rPr>
          <w:rFonts w:cs="Arial"/>
          <w:color w:val="auto"/>
          <w:szCs w:val="24"/>
          <w:lang w:eastAsia="en-US"/>
        </w:rPr>
      </w:pPr>
    </w:p>
    <w:p w14:paraId="2C7120EA" w14:textId="0B087605" w:rsidR="00882EFF" w:rsidRDefault="00882EFF" w:rsidP="00882EFF">
      <w:pPr>
        <w:keepNext w:val="0"/>
        <w:spacing w:before="0"/>
        <w:rPr>
          <w:rFonts w:cs="Arial"/>
          <w:color w:val="auto"/>
          <w:szCs w:val="24"/>
          <w:lang w:eastAsia="en-US"/>
        </w:rPr>
      </w:pPr>
    </w:p>
    <w:p w14:paraId="5EA45C74" w14:textId="627BC8A6" w:rsidR="00882EFF" w:rsidRDefault="00882EFF" w:rsidP="00882EFF">
      <w:pPr>
        <w:keepNext w:val="0"/>
        <w:spacing w:before="0"/>
        <w:rPr>
          <w:rFonts w:cs="Arial"/>
          <w:color w:val="auto"/>
          <w:szCs w:val="24"/>
          <w:lang w:eastAsia="en-US"/>
        </w:rPr>
      </w:pPr>
    </w:p>
    <w:p w14:paraId="2495A286" w14:textId="77777777" w:rsidR="00897CE3" w:rsidRDefault="00897CE3" w:rsidP="00163F59">
      <w:pPr>
        <w:keepNext w:val="0"/>
        <w:framePr w:w="8016" w:wrap="auto" w:hAnchor="text" w:x="2127"/>
        <w:spacing w:before="0"/>
        <w:rPr>
          <w:rFonts w:cs="Arial"/>
          <w:b/>
          <w:bCs/>
          <w:iCs/>
          <w:color w:val="auto"/>
          <w:sz w:val="28"/>
          <w:szCs w:val="28"/>
          <w:lang w:eastAsia="en-US"/>
        </w:rPr>
        <w:sectPr w:rsidR="00897CE3" w:rsidSect="00163F59">
          <w:headerReference w:type="default" r:id="rId38"/>
          <w:pgSz w:w="11906" w:h="16838" w:code="9"/>
          <w:pgMar w:top="1258" w:right="1133" w:bottom="1079" w:left="1134" w:header="709" w:footer="709" w:gutter="0"/>
          <w:cols w:space="708"/>
          <w:docGrid w:linePitch="360"/>
        </w:sectPr>
      </w:pPr>
      <w:bookmarkStart w:id="322" w:name="_Toc465075244"/>
    </w:p>
    <w:p w14:paraId="0FE5A365" w14:textId="4765B9CC" w:rsidR="004D690C" w:rsidRPr="0086757D" w:rsidRDefault="004D690C" w:rsidP="00364726">
      <w:pPr>
        <w:pStyle w:val="Heading1"/>
      </w:pPr>
      <w:bookmarkStart w:id="323" w:name="_Toc145511623"/>
      <w:bookmarkStart w:id="324" w:name="_Hlk138171978"/>
      <w:r w:rsidRPr="0086757D">
        <w:t>Appendix 1 - Glossary of Terms and Abbreviations</w:t>
      </w:r>
      <w:bookmarkEnd w:id="322"/>
      <w:bookmarkEnd w:id="323"/>
    </w:p>
    <w:p w14:paraId="77BA1F99" w14:textId="77777777" w:rsidR="004D690C" w:rsidRPr="00263F59" w:rsidRDefault="004D690C" w:rsidP="004D690C">
      <w:pPr>
        <w:keepNext w:val="0"/>
        <w:spacing w:before="0"/>
        <w:rPr>
          <w:rFonts w:cs="Arial"/>
          <w:b/>
          <w:bCs/>
          <w:color w:val="auto"/>
          <w:szCs w:val="24"/>
        </w:rPr>
      </w:pPr>
    </w:p>
    <w:p w14:paraId="3A5B1C7B" w14:textId="77777777" w:rsidR="004D690C" w:rsidRPr="003C7E62" w:rsidRDefault="004D690C" w:rsidP="004D690C">
      <w:pPr>
        <w:keepNext w:val="0"/>
        <w:autoSpaceDE w:val="0"/>
        <w:autoSpaceDN w:val="0"/>
        <w:adjustRightInd w:val="0"/>
        <w:spacing w:before="0"/>
        <w:rPr>
          <w:rFonts w:cs="Arial"/>
          <w:strike/>
          <w:color w:val="auto"/>
        </w:rPr>
      </w:pPr>
      <w:r w:rsidRPr="003C7E62">
        <w:rPr>
          <w:rFonts w:cs="Arial"/>
          <w:b/>
          <w:color w:val="auto"/>
        </w:rPr>
        <w:t>Affordable Housing:</w:t>
      </w:r>
      <w:r w:rsidRPr="003C7E62">
        <w:rPr>
          <w:rFonts w:cs="Arial"/>
          <w:color w:val="auto"/>
        </w:rPr>
        <w:t xml:space="preserve"> </w:t>
      </w:r>
      <w:r w:rsidRPr="003C7E62">
        <w:rPr>
          <w:rFonts w:cs="Arial"/>
          <w:color w:val="auto"/>
          <w:szCs w:val="24"/>
        </w:rPr>
        <w:t xml:space="preserve">A definition of affordable housing is set out in the Glossary of the National Planning Policy Framework. </w:t>
      </w:r>
    </w:p>
    <w:p w14:paraId="546063BD" w14:textId="77777777" w:rsidR="004D690C" w:rsidRPr="00263F59" w:rsidRDefault="004D690C" w:rsidP="004D690C">
      <w:pPr>
        <w:keepNext w:val="0"/>
        <w:autoSpaceDE w:val="0"/>
        <w:autoSpaceDN w:val="0"/>
        <w:adjustRightInd w:val="0"/>
        <w:spacing w:before="0"/>
        <w:rPr>
          <w:rFonts w:cs="Arial"/>
          <w:color w:val="auto"/>
          <w:szCs w:val="24"/>
        </w:rPr>
      </w:pPr>
    </w:p>
    <w:p w14:paraId="10DF2753" w14:textId="77777777" w:rsidR="004D690C" w:rsidRPr="003C7E62" w:rsidRDefault="004D690C" w:rsidP="004D690C">
      <w:pPr>
        <w:keepNext w:val="0"/>
        <w:spacing w:before="0"/>
        <w:rPr>
          <w:rFonts w:cs="Arial"/>
          <w:color w:val="auto"/>
        </w:rPr>
      </w:pPr>
      <w:r w:rsidRPr="003C7E62">
        <w:rPr>
          <w:rFonts w:cs="Arial"/>
          <w:b/>
          <w:bCs/>
          <w:color w:val="auto"/>
        </w:rPr>
        <w:t>Agricultural Building:</w:t>
      </w:r>
      <w:r w:rsidRPr="003C7E62">
        <w:rPr>
          <w:rFonts w:cs="Arial"/>
          <w:color w:val="auto"/>
        </w:rPr>
        <w:t xml:space="preserve"> Is a structure designed and constructed to house farm implements, hay, grain, poultry, livestock or other horticultural products.  This structure shall not be a place of human habitation or a place of employment where agricultural products are processed, treated or packaged; nor shall it be a place used by the public.</w:t>
      </w:r>
    </w:p>
    <w:p w14:paraId="5BF45093" w14:textId="77777777" w:rsidR="004D690C" w:rsidRPr="003C7E62" w:rsidRDefault="004D690C" w:rsidP="004D690C">
      <w:pPr>
        <w:keepNext w:val="0"/>
        <w:spacing w:before="0"/>
        <w:rPr>
          <w:rFonts w:cs="Arial"/>
          <w:color w:val="auto"/>
        </w:rPr>
      </w:pPr>
    </w:p>
    <w:p w14:paraId="46C404CC" w14:textId="192ACF4D" w:rsidR="004D690C" w:rsidRPr="003C7E62" w:rsidRDefault="00E247B9" w:rsidP="004D690C">
      <w:pPr>
        <w:keepNext w:val="0"/>
        <w:spacing w:before="0"/>
        <w:rPr>
          <w:rFonts w:cs="Arial"/>
          <w:bCs/>
          <w:color w:val="auto"/>
          <w:szCs w:val="24"/>
        </w:rPr>
      </w:pPr>
      <w:r w:rsidRPr="000663FF">
        <w:rPr>
          <w:rFonts w:cs="Arial"/>
          <w:b/>
          <w:color w:val="auto"/>
          <w:szCs w:val="24"/>
        </w:rPr>
        <w:t xml:space="preserve">Ancient </w:t>
      </w:r>
      <w:r w:rsidR="004D690C" w:rsidRPr="000663FF">
        <w:rPr>
          <w:rFonts w:cs="Arial"/>
          <w:b/>
          <w:color w:val="auto"/>
          <w:szCs w:val="24"/>
        </w:rPr>
        <w:t>o</w:t>
      </w:r>
      <w:r w:rsidR="004D690C" w:rsidRPr="003C7E62">
        <w:rPr>
          <w:rFonts w:cs="Arial"/>
          <w:b/>
          <w:color w:val="auto"/>
          <w:szCs w:val="24"/>
        </w:rPr>
        <w:t>r Veteran Tree:</w:t>
      </w:r>
      <w:r w:rsidR="004D690C" w:rsidRPr="003C7E62">
        <w:rPr>
          <w:rFonts w:cs="Arial"/>
          <w:color w:val="auto"/>
          <w:szCs w:val="24"/>
        </w:rPr>
        <w:t xml:space="preserve"> A tree which, because of its great age, size or condition is of exceptional value for wildlife, in the landscape or culturally</w:t>
      </w:r>
      <w:r w:rsidR="004D690C" w:rsidRPr="003C7E62">
        <w:rPr>
          <w:rFonts w:cs="Arial"/>
          <w:bCs/>
          <w:color w:val="auto"/>
          <w:szCs w:val="24"/>
        </w:rPr>
        <w:t>.</w:t>
      </w:r>
    </w:p>
    <w:p w14:paraId="68F8E770" w14:textId="77777777" w:rsidR="004D690C" w:rsidRPr="003C7E62" w:rsidRDefault="004D690C" w:rsidP="004D690C">
      <w:pPr>
        <w:keepNext w:val="0"/>
        <w:spacing w:before="0"/>
        <w:rPr>
          <w:rFonts w:cs="Arial"/>
          <w:b/>
          <w:color w:val="auto"/>
        </w:rPr>
      </w:pPr>
    </w:p>
    <w:p w14:paraId="2FD3B205" w14:textId="6BB319BA" w:rsidR="004D690C" w:rsidRPr="003C7E62" w:rsidRDefault="004D690C" w:rsidP="004D690C">
      <w:pPr>
        <w:keepNext w:val="0"/>
        <w:spacing w:before="0"/>
        <w:rPr>
          <w:rFonts w:cs="Arial"/>
          <w:color w:val="auto"/>
        </w:rPr>
      </w:pPr>
      <w:r w:rsidRPr="003C7E62">
        <w:rPr>
          <w:rFonts w:cs="Arial"/>
          <w:b/>
          <w:color w:val="auto"/>
        </w:rPr>
        <w:t>Allocation:</w:t>
      </w:r>
      <w:r w:rsidRPr="003C7E62">
        <w:rPr>
          <w:rFonts w:cs="Arial"/>
          <w:color w:val="auto"/>
        </w:rPr>
        <w:t xml:space="preserve"> Land identified </w:t>
      </w:r>
      <w:r w:rsidR="00C52BB8">
        <w:rPr>
          <w:rFonts w:cs="Arial"/>
          <w:color w:val="auto"/>
        </w:rPr>
        <w:t xml:space="preserve">in the Local Plan </w:t>
      </w:r>
      <w:r w:rsidRPr="003C7E62">
        <w:rPr>
          <w:rFonts w:cs="Arial"/>
          <w:color w:val="auto"/>
        </w:rPr>
        <w:t>as appropriate for a specific land use.</w:t>
      </w:r>
    </w:p>
    <w:p w14:paraId="676126BB" w14:textId="77777777" w:rsidR="004D690C" w:rsidRPr="003C7E62" w:rsidRDefault="004D690C" w:rsidP="004D690C">
      <w:pPr>
        <w:keepNext w:val="0"/>
        <w:spacing w:before="0"/>
        <w:rPr>
          <w:rFonts w:cs="Arial"/>
          <w:color w:val="auto"/>
        </w:rPr>
      </w:pPr>
    </w:p>
    <w:p w14:paraId="1517C7A0" w14:textId="77777777" w:rsidR="004D690C" w:rsidRPr="003C7E62" w:rsidRDefault="004D690C" w:rsidP="004D690C">
      <w:pPr>
        <w:keepNext w:val="0"/>
        <w:spacing w:before="0"/>
        <w:rPr>
          <w:rFonts w:cs="Arial"/>
          <w:color w:val="auto"/>
        </w:rPr>
      </w:pPr>
      <w:r w:rsidRPr="003C7E62">
        <w:rPr>
          <w:rFonts w:cs="Arial"/>
          <w:b/>
          <w:color w:val="auto"/>
        </w:rPr>
        <w:t>Ancient Monument:</w:t>
      </w:r>
      <w:r w:rsidRPr="003C7E62">
        <w:rPr>
          <w:rFonts w:cs="Arial"/>
          <w:color w:val="auto"/>
        </w:rPr>
        <w:t xml:space="preserve"> A structure regarded by the Secretary of State for the Environment, Transport and the Regions as being of national importance by virtue of its historic, architectural, traditional or archaeological interest. Scheduled Ancient Monuments are listed in a schedule compiled under the requirements of Section 1 of the </w:t>
      </w:r>
      <w:smartTag w:uri="urn:schemas-microsoft-com:office:smarttags" w:element="place">
        <w:smartTag w:uri="urn:schemas-microsoft-com:office:smarttags" w:element="PlaceName">
          <w:r w:rsidRPr="003C7E62">
            <w:rPr>
              <w:rFonts w:cs="Arial"/>
              <w:color w:val="auto"/>
            </w:rPr>
            <w:t>Ancient</w:t>
          </w:r>
        </w:smartTag>
        <w:r w:rsidRPr="003C7E62">
          <w:rPr>
            <w:rFonts w:cs="Arial"/>
            <w:color w:val="auto"/>
          </w:rPr>
          <w:t xml:space="preserve"> </w:t>
        </w:r>
        <w:smartTag w:uri="urn:schemas-microsoft-com:office:smarttags" w:element="PlaceType">
          <w:r w:rsidRPr="003C7E62">
            <w:rPr>
              <w:rFonts w:cs="Arial"/>
              <w:color w:val="auto"/>
            </w:rPr>
            <w:t>Monuments</w:t>
          </w:r>
        </w:smartTag>
      </w:smartTag>
      <w:r w:rsidRPr="003C7E62">
        <w:rPr>
          <w:rFonts w:cs="Arial"/>
          <w:color w:val="auto"/>
        </w:rPr>
        <w:t xml:space="preserve"> and Archaeological Areas Act, 1979.</w:t>
      </w:r>
    </w:p>
    <w:p w14:paraId="4C5209FC" w14:textId="77777777" w:rsidR="004D690C" w:rsidRPr="003C7E62" w:rsidRDefault="004D690C" w:rsidP="004D690C">
      <w:pPr>
        <w:keepNext w:val="0"/>
        <w:spacing w:before="0"/>
        <w:rPr>
          <w:rFonts w:cs="Arial"/>
          <w:color w:val="auto"/>
        </w:rPr>
      </w:pPr>
    </w:p>
    <w:p w14:paraId="0255DF9E" w14:textId="77777777" w:rsidR="004D690C" w:rsidRPr="003C7E62" w:rsidRDefault="004D690C" w:rsidP="004D690C">
      <w:pPr>
        <w:keepNext w:val="0"/>
        <w:spacing w:before="0"/>
        <w:rPr>
          <w:rFonts w:cs="Arial"/>
          <w:color w:val="auto"/>
        </w:rPr>
      </w:pPr>
      <w:r w:rsidRPr="003C7E62">
        <w:rPr>
          <w:rFonts w:cs="Arial"/>
          <w:b/>
          <w:color w:val="auto"/>
        </w:rPr>
        <w:t>Annual Monitoring Report (AMR):</w:t>
      </w:r>
      <w:r w:rsidRPr="003C7E62">
        <w:rPr>
          <w:rFonts w:cs="Arial"/>
          <w:color w:val="auto"/>
        </w:rPr>
        <w:t xml:space="preserve"> A report which is produced annually to establish what is happening now and what may happen in the future and compare trends against existing Local Plan policies to determine if changes need to be made.</w:t>
      </w:r>
    </w:p>
    <w:p w14:paraId="3370666C" w14:textId="77777777" w:rsidR="004D690C" w:rsidRPr="003C7E62" w:rsidRDefault="004D690C" w:rsidP="004D690C">
      <w:pPr>
        <w:keepNext w:val="0"/>
        <w:spacing w:before="0"/>
        <w:rPr>
          <w:rFonts w:cs="Arial"/>
          <w:color w:val="auto"/>
        </w:rPr>
      </w:pPr>
    </w:p>
    <w:p w14:paraId="7A1615A6" w14:textId="77777777" w:rsidR="004D690C" w:rsidRDefault="004D690C" w:rsidP="004D690C">
      <w:pPr>
        <w:keepNext w:val="0"/>
        <w:spacing w:before="0"/>
        <w:rPr>
          <w:rFonts w:cs="Arial"/>
          <w:color w:val="auto"/>
        </w:rPr>
      </w:pPr>
      <w:r w:rsidRPr="003C7E62">
        <w:rPr>
          <w:rFonts w:cs="Arial"/>
          <w:b/>
          <w:color w:val="auto"/>
        </w:rPr>
        <w:t xml:space="preserve">Archaeological Interest: </w:t>
      </w:r>
      <w:r w:rsidRPr="003C7E62">
        <w:rPr>
          <w:rFonts w:cs="Arial"/>
          <w:color w:val="auto"/>
        </w:rPr>
        <w:t>There will be archaeological interest in a heritage asset if it holds, or potentially may hold, evidence of the past human activity worthy of expert investigation at some point.  Heritage assets with archaeological interest are the primary source of evidence about the substance and evolution of places, and of the people and cultures that made them.</w:t>
      </w:r>
    </w:p>
    <w:p w14:paraId="64919CC9" w14:textId="77777777" w:rsidR="002D2E81" w:rsidRDefault="002D2E81" w:rsidP="004D690C">
      <w:pPr>
        <w:keepNext w:val="0"/>
        <w:spacing w:before="0"/>
        <w:rPr>
          <w:rFonts w:cs="Arial"/>
          <w:color w:val="auto"/>
        </w:rPr>
      </w:pPr>
    </w:p>
    <w:p w14:paraId="385AF817" w14:textId="128DC349" w:rsidR="002D2E81" w:rsidRPr="000663FF" w:rsidRDefault="002D2E81" w:rsidP="004D690C">
      <w:pPr>
        <w:keepNext w:val="0"/>
        <w:spacing w:before="0"/>
        <w:rPr>
          <w:rFonts w:cs="Arial"/>
          <w:color w:val="auto"/>
        </w:rPr>
      </w:pPr>
      <w:r w:rsidRPr="000663FF">
        <w:rPr>
          <w:rFonts w:cs="Arial"/>
          <w:b/>
          <w:bCs/>
          <w:color w:val="auto"/>
        </w:rPr>
        <w:t xml:space="preserve">Archaeological Desk-Based Assessment: </w:t>
      </w:r>
      <w:r w:rsidRPr="000663FF">
        <w:rPr>
          <w:rFonts w:cs="Arial"/>
          <w:color w:val="auto"/>
        </w:rPr>
        <w:t>Is an assessment of the known or potential archaeological resource within a specified area or site, consisting of a collation of existing written and graphic information in order to identify the likely character, extent, quality and worth of the known or potential archaeological resource in a local, regional or national context as appropriate.</w:t>
      </w:r>
    </w:p>
    <w:p w14:paraId="3C497F09" w14:textId="77777777" w:rsidR="004D690C" w:rsidRPr="002D2E81" w:rsidRDefault="004D690C" w:rsidP="004D690C">
      <w:pPr>
        <w:keepNext w:val="0"/>
        <w:spacing w:before="0"/>
        <w:rPr>
          <w:rFonts w:cs="Arial"/>
          <w:b/>
          <w:color w:val="4472C4" w:themeColor="accent1"/>
        </w:rPr>
      </w:pPr>
    </w:p>
    <w:p w14:paraId="6A9B4E50" w14:textId="32AA5765" w:rsidR="004D690C" w:rsidRPr="003C7E62" w:rsidRDefault="004D690C" w:rsidP="004D690C">
      <w:pPr>
        <w:keepNext w:val="0"/>
        <w:autoSpaceDE w:val="0"/>
        <w:autoSpaceDN w:val="0"/>
        <w:adjustRightInd w:val="0"/>
        <w:spacing w:before="0"/>
        <w:rPr>
          <w:rFonts w:cs="Arial"/>
          <w:color w:val="000000"/>
        </w:rPr>
      </w:pPr>
      <w:r w:rsidRPr="003C7E62">
        <w:rPr>
          <w:rFonts w:cs="Arial"/>
          <w:b/>
          <w:color w:val="auto"/>
        </w:rPr>
        <w:t>Basic Payment Scheme</w:t>
      </w:r>
      <w:r w:rsidRPr="003C7E62">
        <w:rPr>
          <w:rFonts w:cs="Arial"/>
          <w:color w:val="auto"/>
        </w:rPr>
        <w:t xml:space="preserve">: </w:t>
      </w:r>
      <w:r w:rsidR="00F05D84">
        <w:rPr>
          <w:rFonts w:cs="Arial"/>
          <w:color w:val="auto"/>
        </w:rPr>
        <w:t xml:space="preserve">Was part </w:t>
      </w:r>
      <w:r w:rsidRPr="003C7E62">
        <w:rPr>
          <w:rFonts w:cs="Arial"/>
          <w:color w:val="auto"/>
          <w:lang w:val="en-US"/>
        </w:rPr>
        <w:t xml:space="preserve">of the Common Agricultural Policy (CAP), </w:t>
      </w:r>
      <w:r w:rsidR="00F05D84">
        <w:rPr>
          <w:rFonts w:cs="Arial"/>
          <w:color w:val="auto"/>
          <w:lang w:val="en-US"/>
        </w:rPr>
        <w:t xml:space="preserve">as </w:t>
      </w:r>
      <w:r w:rsidRPr="003C7E62">
        <w:rPr>
          <w:rFonts w:cs="Arial"/>
          <w:color w:val="auto"/>
          <w:lang w:val="en-US"/>
        </w:rPr>
        <w:t xml:space="preserve">the principal agricultural subsidy scheme in the European Union.  Under the scheme farmers have freedom to farm to the demands of the market as payments are not linked to production, and environmentally friendly farming practices, known </w:t>
      </w:r>
      <w:r w:rsidRPr="003C7E62">
        <w:rPr>
          <w:rFonts w:cs="Arial"/>
          <w:color w:val="000000"/>
          <w:lang w:val="en-US"/>
        </w:rPr>
        <w:t xml:space="preserve">as </w:t>
      </w:r>
      <w:hyperlink r:id="rId39" w:history="1">
        <w:r w:rsidRPr="003C7E62">
          <w:rPr>
            <w:rFonts w:cs="Arial"/>
            <w:color w:val="000000"/>
            <w:u w:val="single"/>
            <w:lang w:val="en-US"/>
          </w:rPr>
          <w:t>cross compliance</w:t>
        </w:r>
      </w:hyperlink>
      <w:r w:rsidRPr="003C7E62">
        <w:rPr>
          <w:rFonts w:cs="Arial"/>
          <w:color w:val="000000"/>
          <w:lang w:val="en-US"/>
        </w:rPr>
        <w:t>, are acknowledged.</w:t>
      </w:r>
    </w:p>
    <w:p w14:paraId="63184F4B" w14:textId="77777777" w:rsidR="004D690C" w:rsidRPr="003C7E62" w:rsidRDefault="004D690C" w:rsidP="004D690C">
      <w:pPr>
        <w:keepNext w:val="0"/>
        <w:spacing w:before="0"/>
        <w:rPr>
          <w:rFonts w:cs="Arial"/>
          <w:b/>
          <w:color w:val="auto"/>
        </w:rPr>
      </w:pPr>
    </w:p>
    <w:p w14:paraId="36A6D03B" w14:textId="77777777" w:rsidR="004D690C" w:rsidRPr="003C7E62" w:rsidRDefault="004D690C" w:rsidP="004D690C">
      <w:pPr>
        <w:keepNext w:val="0"/>
        <w:spacing w:before="0"/>
        <w:rPr>
          <w:rFonts w:cs="Arial"/>
          <w:color w:val="auto"/>
        </w:rPr>
      </w:pPr>
      <w:r w:rsidRPr="003C7E62">
        <w:rPr>
          <w:rFonts w:cs="Arial"/>
          <w:b/>
          <w:color w:val="auto"/>
        </w:rPr>
        <w:t>Best and most versatile agricultural land:</w:t>
      </w:r>
      <w:r w:rsidRPr="003C7E62">
        <w:rPr>
          <w:rFonts w:cs="Arial"/>
          <w:color w:val="auto"/>
        </w:rPr>
        <w:t xml:space="preserve"> Land in grades 1, 2 and 3a of the Agricultural Land Classification.</w:t>
      </w:r>
    </w:p>
    <w:p w14:paraId="388F350F" w14:textId="77777777" w:rsidR="004D690C" w:rsidRPr="003C7E62" w:rsidRDefault="004D690C" w:rsidP="004D690C">
      <w:pPr>
        <w:keepNext w:val="0"/>
        <w:spacing w:before="0"/>
        <w:rPr>
          <w:rFonts w:cs="Arial"/>
          <w:b/>
          <w:color w:val="auto"/>
        </w:rPr>
      </w:pPr>
    </w:p>
    <w:p w14:paraId="68F3612E" w14:textId="77777777" w:rsidR="004D690C" w:rsidRPr="003C7E62" w:rsidRDefault="004D690C" w:rsidP="004D690C">
      <w:pPr>
        <w:keepNext w:val="0"/>
        <w:spacing w:before="0"/>
        <w:rPr>
          <w:rFonts w:cs="Arial"/>
          <w:color w:val="auto"/>
        </w:rPr>
      </w:pPr>
      <w:r w:rsidRPr="003C7E62">
        <w:rPr>
          <w:rFonts w:cs="Arial"/>
          <w:b/>
          <w:color w:val="auto"/>
        </w:rPr>
        <w:t>Biodiversity:</w:t>
      </w:r>
      <w:r w:rsidRPr="003C7E62">
        <w:rPr>
          <w:rFonts w:cs="Arial"/>
          <w:color w:val="auto"/>
        </w:rPr>
        <w:t xml:space="preserve"> The range of life forms which constitute the living world, from microscopic organisms to the largest tree or animal, and the habitat and ecosystem in which they live.</w:t>
      </w:r>
    </w:p>
    <w:p w14:paraId="5BE40EA8" w14:textId="77777777" w:rsidR="004D690C" w:rsidRPr="003C7E62" w:rsidRDefault="004D690C" w:rsidP="004D690C">
      <w:pPr>
        <w:keepNext w:val="0"/>
        <w:spacing w:before="0"/>
        <w:rPr>
          <w:rFonts w:cs="Arial"/>
          <w:color w:val="auto"/>
        </w:rPr>
      </w:pPr>
    </w:p>
    <w:p w14:paraId="571320EA" w14:textId="3E4F7DA7" w:rsidR="004D690C" w:rsidRPr="003C7E62" w:rsidRDefault="004D690C" w:rsidP="004D690C">
      <w:pPr>
        <w:keepNext w:val="0"/>
        <w:autoSpaceDE w:val="0"/>
        <w:autoSpaceDN w:val="0"/>
        <w:adjustRightInd w:val="0"/>
        <w:spacing w:before="0"/>
        <w:rPr>
          <w:rFonts w:cs="Arial"/>
          <w:color w:val="auto"/>
          <w:szCs w:val="24"/>
        </w:rPr>
      </w:pPr>
      <w:r w:rsidRPr="003C7E62">
        <w:rPr>
          <w:rFonts w:eastAsia="Calibri" w:cs="Arial"/>
          <w:b/>
          <w:color w:val="auto"/>
          <w:szCs w:val="24"/>
          <w:lang w:eastAsia="en-US"/>
        </w:rPr>
        <w:t>Blue Infrastructure (space)</w:t>
      </w:r>
      <w:r w:rsidRPr="003C7E62">
        <w:rPr>
          <w:rFonts w:eastAsia="Calibri" w:cs="Arial"/>
          <w:color w:val="auto"/>
          <w:szCs w:val="24"/>
          <w:lang w:eastAsia="en-US"/>
        </w:rPr>
        <w:t xml:space="preserve">: Encompasses </w:t>
      </w:r>
      <w:r w:rsidRPr="000663FF">
        <w:rPr>
          <w:rFonts w:eastAsia="Calibri" w:cs="Arial"/>
          <w:color w:val="auto"/>
          <w:szCs w:val="24"/>
          <w:lang w:eastAsia="en-US"/>
        </w:rPr>
        <w:t xml:space="preserve">all </w:t>
      </w:r>
      <w:r w:rsidR="00BC77F4" w:rsidRPr="000663FF">
        <w:rPr>
          <w:rFonts w:eastAsia="Calibri" w:cs="Arial"/>
          <w:color w:val="auto"/>
          <w:szCs w:val="24"/>
          <w:lang w:eastAsia="en-US"/>
        </w:rPr>
        <w:t xml:space="preserve">watercourses </w:t>
      </w:r>
      <w:r w:rsidRPr="003C7E62">
        <w:rPr>
          <w:rFonts w:eastAsia="Calibri" w:cs="Arial"/>
          <w:color w:val="auto"/>
          <w:szCs w:val="24"/>
          <w:lang w:eastAsia="en-US"/>
        </w:rPr>
        <w:t>and wetland</w:t>
      </w:r>
      <w:r w:rsidR="00BC77F4">
        <w:rPr>
          <w:rFonts w:eastAsia="Calibri" w:cs="Arial"/>
          <w:color w:val="auto"/>
          <w:szCs w:val="24"/>
          <w:lang w:eastAsia="en-US"/>
        </w:rPr>
        <w:t>s</w:t>
      </w:r>
      <w:r w:rsidRPr="003C7E62">
        <w:rPr>
          <w:rFonts w:eastAsia="Calibri" w:cs="Arial"/>
          <w:color w:val="auto"/>
          <w:szCs w:val="24"/>
          <w:lang w:eastAsia="en-US"/>
        </w:rPr>
        <w:t xml:space="preserve"> </w:t>
      </w:r>
      <w:r w:rsidRPr="00BC77F4">
        <w:rPr>
          <w:rFonts w:eastAsia="Calibri" w:cs="Arial"/>
          <w:strike/>
          <w:color w:val="auto"/>
          <w:szCs w:val="24"/>
          <w:lang w:eastAsia="en-US"/>
        </w:rPr>
        <w:t>network</w:t>
      </w:r>
      <w:r w:rsidRPr="003C7E62">
        <w:rPr>
          <w:rFonts w:eastAsia="Calibri" w:cs="Arial"/>
          <w:color w:val="auto"/>
          <w:szCs w:val="24"/>
          <w:lang w:eastAsia="en-US"/>
        </w:rPr>
        <w:t xml:space="preserve"> (rivers, streams, lakes, canals, ponds, reservoirs wetlands, etc.)  </w:t>
      </w:r>
      <w:r w:rsidRPr="003C7E62">
        <w:rPr>
          <w:rFonts w:cs="Arial"/>
          <w:color w:val="auto"/>
          <w:szCs w:val="24"/>
        </w:rPr>
        <w:t>These ‘blue’ features</w:t>
      </w:r>
      <w:r w:rsidRPr="003C7E62">
        <w:rPr>
          <w:rFonts w:eastAsia="Calibri" w:cs="Arial"/>
          <w:color w:val="auto"/>
          <w:szCs w:val="24"/>
          <w:lang w:eastAsia="en-US"/>
        </w:rPr>
        <w:t xml:space="preserve"> can </w:t>
      </w:r>
      <w:r w:rsidRPr="003C7E62">
        <w:rPr>
          <w:rFonts w:cs="Arial"/>
          <w:color w:val="auto"/>
          <w:szCs w:val="24"/>
        </w:rPr>
        <w:t>play an important part within a green</w:t>
      </w:r>
      <w:r w:rsidRPr="003C7E62">
        <w:rPr>
          <w:rFonts w:eastAsia="Calibri" w:cs="Arial"/>
          <w:color w:val="auto"/>
          <w:szCs w:val="24"/>
          <w:lang w:eastAsia="en-US"/>
        </w:rPr>
        <w:t xml:space="preserve"> </w:t>
      </w:r>
      <w:r w:rsidRPr="003C7E62">
        <w:rPr>
          <w:rFonts w:cs="Arial"/>
          <w:color w:val="auto"/>
          <w:szCs w:val="24"/>
        </w:rPr>
        <w:t>infrastructure strategy.</w:t>
      </w:r>
    </w:p>
    <w:p w14:paraId="13E2A1B4" w14:textId="77777777" w:rsidR="004D690C" w:rsidRPr="003C7E62" w:rsidRDefault="004D690C" w:rsidP="004D690C">
      <w:pPr>
        <w:keepNext w:val="0"/>
        <w:autoSpaceDE w:val="0"/>
        <w:autoSpaceDN w:val="0"/>
        <w:adjustRightInd w:val="0"/>
        <w:spacing w:before="0"/>
        <w:rPr>
          <w:rFonts w:eastAsia="Calibri" w:cs="Arial"/>
          <w:color w:val="auto"/>
          <w:szCs w:val="24"/>
          <w:lang w:eastAsia="en-US"/>
        </w:rPr>
      </w:pPr>
    </w:p>
    <w:p w14:paraId="7862310E" w14:textId="77777777" w:rsidR="004D690C" w:rsidRPr="003C7E62" w:rsidRDefault="004D690C" w:rsidP="004D690C">
      <w:pPr>
        <w:keepNext w:val="0"/>
        <w:spacing w:before="0"/>
        <w:rPr>
          <w:rFonts w:cs="Arial"/>
          <w:color w:val="auto"/>
        </w:rPr>
      </w:pPr>
      <w:r w:rsidRPr="003C7E62">
        <w:rPr>
          <w:rFonts w:cs="Arial"/>
          <w:b/>
          <w:color w:val="auto"/>
        </w:rPr>
        <w:t xml:space="preserve">BREEAM: </w:t>
      </w:r>
      <w:r w:rsidRPr="003C7E62">
        <w:rPr>
          <w:rFonts w:cs="Arial"/>
          <w:color w:val="auto"/>
        </w:rPr>
        <w:t>An Environmental Assessment Method used to assess the environmental performance of both new and existing buildings.  It is regarded by the UK’s construction and property sectors as the measure of best practice in environmental design and management.</w:t>
      </w:r>
    </w:p>
    <w:p w14:paraId="6A00EEE7" w14:textId="77777777" w:rsidR="004D690C" w:rsidRPr="003C7E62" w:rsidRDefault="004D690C" w:rsidP="004D690C">
      <w:pPr>
        <w:keepNext w:val="0"/>
        <w:spacing w:before="0"/>
        <w:rPr>
          <w:rFonts w:cs="Arial"/>
          <w:color w:val="auto"/>
        </w:rPr>
      </w:pPr>
    </w:p>
    <w:p w14:paraId="40DA07D5" w14:textId="77777777" w:rsidR="004D690C" w:rsidRPr="003C7E62" w:rsidRDefault="004D690C" w:rsidP="004D690C">
      <w:pPr>
        <w:keepNext w:val="0"/>
        <w:spacing w:before="0"/>
        <w:rPr>
          <w:rFonts w:cs="Arial"/>
          <w:color w:val="auto"/>
        </w:rPr>
      </w:pPr>
      <w:r w:rsidRPr="003C7E62">
        <w:rPr>
          <w:rFonts w:cs="Arial"/>
          <w:b/>
          <w:color w:val="auto"/>
        </w:rPr>
        <w:t xml:space="preserve">Brownfield Land: </w:t>
      </w:r>
      <w:r w:rsidRPr="003C7E62">
        <w:rPr>
          <w:rFonts w:cs="Arial"/>
          <w:color w:val="auto"/>
        </w:rPr>
        <w:t>A general term used to define land which has been previously developed.  It excludes land that was previously developed but where the remains of permanent structure or fixed surface structures have blended into the landscape in the progress of time (See NPPF Glossary ‘Previously developed land’.)</w:t>
      </w:r>
    </w:p>
    <w:p w14:paraId="076B5026" w14:textId="77777777" w:rsidR="004D690C" w:rsidRPr="003C7E62" w:rsidRDefault="004D690C" w:rsidP="004D690C">
      <w:pPr>
        <w:keepNext w:val="0"/>
        <w:spacing w:before="0"/>
        <w:rPr>
          <w:rFonts w:cs="Arial"/>
          <w:color w:val="auto"/>
        </w:rPr>
      </w:pPr>
    </w:p>
    <w:p w14:paraId="7F2D0037" w14:textId="7E559A47" w:rsidR="00C154B9" w:rsidRPr="000663FF" w:rsidRDefault="00C154B9" w:rsidP="004D690C">
      <w:pPr>
        <w:keepNext w:val="0"/>
        <w:spacing w:before="0"/>
        <w:rPr>
          <w:rFonts w:cs="Arial"/>
          <w:bCs/>
          <w:color w:val="auto"/>
        </w:rPr>
      </w:pPr>
      <w:r w:rsidRPr="000663FF">
        <w:rPr>
          <w:rFonts w:cs="Arial"/>
          <w:b/>
          <w:color w:val="auto"/>
        </w:rPr>
        <w:t>Bus Service Improvement Plan (BSIP)</w:t>
      </w:r>
      <w:r w:rsidR="00723572" w:rsidRPr="000663FF">
        <w:rPr>
          <w:rFonts w:cs="Arial"/>
          <w:b/>
          <w:color w:val="auto"/>
        </w:rPr>
        <w:t>:</w:t>
      </w:r>
      <w:r w:rsidRPr="000663FF">
        <w:rPr>
          <w:rFonts w:cs="Arial"/>
          <w:b/>
          <w:color w:val="auto"/>
        </w:rPr>
        <w:t xml:space="preserve"> </w:t>
      </w:r>
      <w:r w:rsidR="00723572" w:rsidRPr="000663FF">
        <w:rPr>
          <w:rFonts w:cs="Arial"/>
          <w:bCs/>
          <w:color w:val="auto"/>
        </w:rPr>
        <w:t>Sets out how local transport authorities (LTAs) and bus operators can work together to develop a bus service improvement plan which is indented to improve bus services.</w:t>
      </w:r>
    </w:p>
    <w:p w14:paraId="2DCA1203" w14:textId="77777777" w:rsidR="00C154B9" w:rsidRPr="000663FF" w:rsidRDefault="00C154B9" w:rsidP="004D690C">
      <w:pPr>
        <w:keepNext w:val="0"/>
        <w:spacing w:before="0"/>
        <w:rPr>
          <w:rFonts w:cs="Arial"/>
          <w:b/>
          <w:color w:val="auto"/>
        </w:rPr>
      </w:pPr>
    </w:p>
    <w:p w14:paraId="3AEE6625" w14:textId="5B1B320E" w:rsidR="004D690C" w:rsidRPr="003C7E62" w:rsidRDefault="004D690C" w:rsidP="004D690C">
      <w:pPr>
        <w:keepNext w:val="0"/>
        <w:spacing w:before="0"/>
        <w:rPr>
          <w:rFonts w:cs="Arial"/>
          <w:color w:val="auto"/>
        </w:rPr>
      </w:pPr>
      <w:r w:rsidRPr="000663FF">
        <w:rPr>
          <w:rFonts w:cs="Arial"/>
          <w:b/>
          <w:color w:val="auto"/>
        </w:rPr>
        <w:t>Census of Population:</w:t>
      </w:r>
      <w:r w:rsidRPr="000663FF">
        <w:rPr>
          <w:rFonts w:cs="Arial"/>
          <w:color w:val="auto"/>
        </w:rPr>
        <w:t xml:space="preserve">  A survey </w:t>
      </w:r>
      <w:r w:rsidRPr="003C7E62">
        <w:rPr>
          <w:rFonts w:cs="Arial"/>
          <w:color w:val="auto"/>
        </w:rPr>
        <w:t xml:space="preserve">of the entire population of the United Kingdom, undertaken on a ten-yearly basis. </w:t>
      </w:r>
    </w:p>
    <w:p w14:paraId="66D176F3" w14:textId="77777777" w:rsidR="004D690C" w:rsidRPr="003C7E62" w:rsidRDefault="004D690C" w:rsidP="004D690C">
      <w:pPr>
        <w:keepNext w:val="0"/>
        <w:spacing w:before="0"/>
        <w:rPr>
          <w:rFonts w:cs="Arial"/>
          <w:color w:val="auto"/>
        </w:rPr>
      </w:pPr>
    </w:p>
    <w:p w14:paraId="0CCD3C7F" w14:textId="77777777" w:rsidR="004D690C" w:rsidRPr="003C7E62" w:rsidRDefault="004D690C" w:rsidP="004D690C">
      <w:pPr>
        <w:keepNext w:val="0"/>
        <w:spacing w:before="0"/>
        <w:rPr>
          <w:rFonts w:cs="Arial"/>
          <w:b/>
          <w:color w:val="auto"/>
        </w:rPr>
      </w:pPr>
      <w:r w:rsidRPr="003C7E62">
        <w:rPr>
          <w:rFonts w:cs="Arial"/>
          <w:b/>
          <w:color w:val="auto"/>
          <w:lang w:val="en"/>
        </w:rPr>
        <w:t>Character:</w:t>
      </w:r>
      <w:r w:rsidRPr="003C7E62">
        <w:rPr>
          <w:rFonts w:cs="Arial"/>
          <w:color w:val="auto"/>
          <w:lang w:val="en"/>
        </w:rPr>
        <w:t xml:space="preserve"> A term relating to Conservation Areas or Listed Buildings, but also to the appearance of any rural or urban location in terms of its landscape or the layout of streets and open spaces, often giving places their own distinct identity.</w:t>
      </w:r>
    </w:p>
    <w:p w14:paraId="38967D0C" w14:textId="77777777" w:rsidR="004D690C" w:rsidRPr="003C7E62" w:rsidRDefault="004D690C" w:rsidP="004D690C">
      <w:pPr>
        <w:keepNext w:val="0"/>
        <w:spacing w:before="0"/>
        <w:rPr>
          <w:rFonts w:cs="Arial"/>
          <w:b/>
          <w:color w:val="auto"/>
        </w:rPr>
      </w:pPr>
    </w:p>
    <w:p w14:paraId="004815F2" w14:textId="77777777" w:rsidR="004D690C" w:rsidRPr="003C7E62" w:rsidRDefault="004D690C" w:rsidP="004D690C">
      <w:pPr>
        <w:keepNext w:val="0"/>
        <w:spacing w:before="0"/>
        <w:rPr>
          <w:rFonts w:cs="Arial"/>
          <w:color w:val="auto"/>
        </w:rPr>
      </w:pPr>
      <w:r w:rsidRPr="003C7E62">
        <w:rPr>
          <w:rFonts w:cs="Arial"/>
          <w:b/>
          <w:color w:val="auto"/>
        </w:rPr>
        <w:t xml:space="preserve">Civic Space: </w:t>
      </w:r>
      <w:r w:rsidRPr="003C7E62">
        <w:rPr>
          <w:rFonts w:cs="Arial"/>
          <w:color w:val="auto"/>
        </w:rPr>
        <w:t>A subset of open space consisting of urban squares, markets and other paved or hard landscaped areas with a civic function.</w:t>
      </w:r>
    </w:p>
    <w:p w14:paraId="687E9D8F" w14:textId="77777777" w:rsidR="004D690C" w:rsidRPr="003C7E62" w:rsidRDefault="004D690C" w:rsidP="004D690C">
      <w:pPr>
        <w:keepNext w:val="0"/>
        <w:spacing w:before="0"/>
        <w:rPr>
          <w:rFonts w:cs="Arial"/>
          <w:b/>
          <w:color w:val="auto"/>
        </w:rPr>
      </w:pPr>
    </w:p>
    <w:p w14:paraId="5C6F5D14" w14:textId="77777777" w:rsidR="004D690C" w:rsidRPr="003C7E62" w:rsidRDefault="004D690C" w:rsidP="004D690C">
      <w:pPr>
        <w:keepNext w:val="0"/>
        <w:spacing w:before="0"/>
        <w:rPr>
          <w:rFonts w:cs="Arial"/>
          <w:color w:val="auto"/>
        </w:rPr>
      </w:pPr>
      <w:r w:rsidRPr="003C7E62">
        <w:rPr>
          <w:rFonts w:cs="Arial"/>
          <w:b/>
          <w:color w:val="auto"/>
        </w:rPr>
        <w:t xml:space="preserve">Community facilities: </w:t>
      </w:r>
      <w:r w:rsidRPr="003C7E62">
        <w:rPr>
          <w:rFonts w:cs="Arial"/>
          <w:color w:val="auto"/>
        </w:rPr>
        <w:t>Community facilities</w:t>
      </w:r>
      <w:r w:rsidRPr="003C7E62">
        <w:rPr>
          <w:rFonts w:cs="Arial"/>
          <w:b/>
          <w:color w:val="auto"/>
        </w:rPr>
        <w:t xml:space="preserve"> </w:t>
      </w:r>
      <w:r w:rsidRPr="003C7E62">
        <w:rPr>
          <w:rFonts w:cs="Arial"/>
          <w:color w:val="auto"/>
        </w:rPr>
        <w:t>are set out in the National Planning Policy Framework as including local shops, meeting places, sports venues, cultural buildings, public houses and places of worship and other local services to enhance the sustainability of communities and residential environments.</w:t>
      </w:r>
    </w:p>
    <w:p w14:paraId="3752A03B" w14:textId="77777777" w:rsidR="004D690C" w:rsidRPr="003C7E62" w:rsidRDefault="004D690C" w:rsidP="004D690C">
      <w:pPr>
        <w:keepNext w:val="0"/>
        <w:spacing w:before="0"/>
        <w:rPr>
          <w:rFonts w:cs="Arial"/>
          <w:b/>
          <w:color w:val="auto"/>
        </w:rPr>
      </w:pPr>
    </w:p>
    <w:p w14:paraId="77D9DAB6" w14:textId="77777777" w:rsidR="004D690C" w:rsidRPr="003C7E62" w:rsidRDefault="004D690C" w:rsidP="004D690C">
      <w:pPr>
        <w:keepNext w:val="0"/>
        <w:spacing w:before="0"/>
        <w:rPr>
          <w:rFonts w:cs="Arial"/>
          <w:color w:val="auto"/>
        </w:rPr>
      </w:pPr>
      <w:r w:rsidRPr="003C7E62">
        <w:rPr>
          <w:rFonts w:cs="Arial"/>
          <w:b/>
          <w:color w:val="auto"/>
        </w:rPr>
        <w:t xml:space="preserve">Comparison Goods: </w:t>
      </w:r>
      <w:r w:rsidRPr="003C7E62">
        <w:rPr>
          <w:rFonts w:cs="Arial"/>
          <w:color w:val="auto"/>
        </w:rPr>
        <w:t>A term used in retailing to indicate goods purchased for longer term use and likely to be subject to ‘comparison’ between suppliers before purchase. For example, clothing, footwear, household goods, books, stationery, chemist goods, photographic goods, jewellery, cycles, pushchairs.</w:t>
      </w:r>
    </w:p>
    <w:p w14:paraId="7BA86BCE" w14:textId="77777777" w:rsidR="004D690C" w:rsidRPr="003C7E62" w:rsidRDefault="004D690C" w:rsidP="004D690C">
      <w:pPr>
        <w:keepNext w:val="0"/>
        <w:tabs>
          <w:tab w:val="left" w:pos="680"/>
        </w:tabs>
        <w:spacing w:before="0"/>
        <w:rPr>
          <w:rFonts w:eastAsia="Arial" w:cs="Arial"/>
          <w:b/>
          <w:bCs/>
          <w:iCs/>
          <w:color w:val="auto"/>
          <w:szCs w:val="24"/>
        </w:rPr>
      </w:pPr>
    </w:p>
    <w:p w14:paraId="073CA910" w14:textId="77777777" w:rsidR="004D690C" w:rsidRPr="003C7E62" w:rsidRDefault="004D690C" w:rsidP="004D690C">
      <w:pPr>
        <w:keepNext w:val="0"/>
        <w:tabs>
          <w:tab w:val="left" w:pos="680"/>
        </w:tabs>
        <w:spacing w:before="0"/>
        <w:rPr>
          <w:rFonts w:eastAsia="Arial" w:cs="Arial"/>
          <w:color w:val="auto"/>
          <w:szCs w:val="24"/>
        </w:rPr>
      </w:pPr>
      <w:r w:rsidRPr="003C7E62">
        <w:rPr>
          <w:rFonts w:eastAsia="Arial" w:cs="Arial"/>
          <w:b/>
          <w:bCs/>
          <w:iCs/>
          <w:color w:val="auto"/>
          <w:szCs w:val="24"/>
        </w:rPr>
        <w:t xml:space="preserve">Conversion Method Statement: </w:t>
      </w:r>
      <w:r w:rsidRPr="003C7E62">
        <w:rPr>
          <w:rFonts w:eastAsia="Arial" w:cs="Arial"/>
          <w:color w:val="auto"/>
          <w:szCs w:val="24"/>
        </w:rPr>
        <w:t>A Conversion Method Statement sets out the specific programme of works to be undertaken in order to convert a building and should be submitted as part of a planning application for the conversion of a building.</w:t>
      </w:r>
    </w:p>
    <w:p w14:paraId="3D2E7B97" w14:textId="77777777" w:rsidR="004D690C" w:rsidRPr="003C7E62" w:rsidRDefault="004D690C" w:rsidP="004D690C">
      <w:pPr>
        <w:keepNext w:val="0"/>
        <w:spacing w:before="0"/>
        <w:rPr>
          <w:rFonts w:cs="Arial"/>
          <w:b/>
          <w:color w:val="auto"/>
        </w:rPr>
      </w:pPr>
    </w:p>
    <w:p w14:paraId="3B483336" w14:textId="77777777" w:rsidR="004D690C" w:rsidRPr="003C7E62" w:rsidRDefault="004D690C" w:rsidP="004D690C">
      <w:pPr>
        <w:keepNext w:val="0"/>
        <w:spacing w:before="0"/>
        <w:rPr>
          <w:rFonts w:cs="Arial"/>
          <w:color w:val="auto"/>
        </w:rPr>
      </w:pPr>
      <w:r w:rsidRPr="003C7E62">
        <w:rPr>
          <w:rFonts w:cs="Arial"/>
          <w:b/>
          <w:color w:val="auto"/>
        </w:rPr>
        <w:t>Conservation Area:</w:t>
      </w:r>
      <w:r w:rsidRPr="003C7E62">
        <w:rPr>
          <w:rFonts w:cs="Arial"/>
          <w:color w:val="auto"/>
        </w:rPr>
        <w:t xml:space="preserve"> An area designated by Local Planning Authority under Section 69 of the Planning (Listed Buildings and Conservation Areas) Act, 1990, regarded as being an area of special architectural or historic interest, the character or appearance of which is desirable to preserve or enhance.</w:t>
      </w:r>
    </w:p>
    <w:p w14:paraId="5BE172E9" w14:textId="77777777" w:rsidR="004D690C" w:rsidRPr="003C7E62" w:rsidRDefault="004D690C" w:rsidP="004D690C">
      <w:pPr>
        <w:keepNext w:val="0"/>
        <w:spacing w:before="0"/>
        <w:rPr>
          <w:rFonts w:cs="Arial"/>
          <w:color w:val="auto"/>
        </w:rPr>
      </w:pPr>
    </w:p>
    <w:p w14:paraId="73023BBE" w14:textId="09CC5974" w:rsidR="004D690C" w:rsidRPr="003C7E62" w:rsidRDefault="004D690C" w:rsidP="004D690C">
      <w:pPr>
        <w:keepNext w:val="0"/>
        <w:spacing w:before="0"/>
        <w:rPr>
          <w:rFonts w:cs="Arial"/>
          <w:color w:val="auto"/>
        </w:rPr>
      </w:pPr>
      <w:r w:rsidRPr="003C7E62">
        <w:rPr>
          <w:rFonts w:cs="Arial"/>
          <w:b/>
          <w:color w:val="auto"/>
        </w:rPr>
        <w:t>Convenience Goods:</w:t>
      </w:r>
      <w:r w:rsidRPr="003C7E62">
        <w:rPr>
          <w:rFonts w:cs="Arial"/>
          <w:color w:val="auto"/>
        </w:rPr>
        <w:t xml:space="preserve"> A term used in retailing to indicate goods purchased for regular consumption.  For </w:t>
      </w:r>
      <w:r w:rsidR="00EA7D34" w:rsidRPr="003C7E62">
        <w:rPr>
          <w:rFonts w:cs="Arial"/>
          <w:color w:val="auto"/>
        </w:rPr>
        <w:t>example,</w:t>
      </w:r>
      <w:r w:rsidRPr="003C7E62">
        <w:rPr>
          <w:rFonts w:cs="Arial"/>
          <w:color w:val="auto"/>
        </w:rPr>
        <w:t xml:space="preserve"> food, groceries, drink, confectionary, tobacco, newspapers.</w:t>
      </w:r>
    </w:p>
    <w:p w14:paraId="37BAE5D4" w14:textId="77777777" w:rsidR="004D690C" w:rsidRPr="003C7E62" w:rsidRDefault="004D690C" w:rsidP="004D690C">
      <w:pPr>
        <w:keepNext w:val="0"/>
        <w:spacing w:before="0"/>
        <w:rPr>
          <w:rFonts w:cs="Arial"/>
          <w:color w:val="auto"/>
        </w:rPr>
      </w:pPr>
    </w:p>
    <w:p w14:paraId="180FCEF5" w14:textId="0A7AB924" w:rsidR="004D690C" w:rsidRPr="003C7E62" w:rsidRDefault="004D690C" w:rsidP="004D690C">
      <w:pPr>
        <w:keepNext w:val="0"/>
        <w:spacing w:before="0"/>
        <w:rPr>
          <w:rFonts w:cs="Arial"/>
          <w:color w:val="auto"/>
        </w:rPr>
      </w:pPr>
      <w:r w:rsidRPr="003C7E62">
        <w:rPr>
          <w:rFonts w:cs="Arial"/>
          <w:b/>
          <w:color w:val="auto"/>
        </w:rPr>
        <w:t>Countryside:</w:t>
      </w:r>
      <w:r w:rsidRPr="003C7E62">
        <w:rPr>
          <w:rFonts w:cs="Arial"/>
          <w:color w:val="auto"/>
        </w:rPr>
        <w:t xml:space="preserve"> For the purposes of the Local Plan, it refers the rural parts of the District lying outside the defined Main Urban Areas and Named Settlements.  </w:t>
      </w:r>
    </w:p>
    <w:p w14:paraId="318357C9" w14:textId="77777777" w:rsidR="004D690C" w:rsidRPr="003C7E62" w:rsidRDefault="004D690C" w:rsidP="004D690C">
      <w:pPr>
        <w:keepNext w:val="0"/>
        <w:spacing w:before="0"/>
        <w:rPr>
          <w:rFonts w:cs="Arial"/>
          <w:color w:val="auto"/>
        </w:rPr>
      </w:pPr>
    </w:p>
    <w:p w14:paraId="16CB7823" w14:textId="77777777" w:rsidR="004D690C" w:rsidRPr="003C7E62" w:rsidRDefault="004D690C" w:rsidP="004D690C">
      <w:pPr>
        <w:keepNext w:val="0"/>
        <w:spacing w:before="0"/>
        <w:rPr>
          <w:rFonts w:cs="Arial"/>
          <w:color w:val="auto"/>
        </w:rPr>
      </w:pPr>
      <w:r w:rsidRPr="003C7E62">
        <w:rPr>
          <w:rFonts w:cs="Arial"/>
          <w:b/>
          <w:color w:val="auto"/>
        </w:rPr>
        <w:t>Density:</w:t>
      </w:r>
      <w:r w:rsidRPr="003C7E62">
        <w:rPr>
          <w:rFonts w:cs="Arial"/>
          <w:color w:val="auto"/>
        </w:rPr>
        <w:t xml:space="preserve"> The intensity of development in a given area. Usually measured, for housing, in terms of number of dwellings per hectare.</w:t>
      </w:r>
    </w:p>
    <w:p w14:paraId="16CCA072" w14:textId="77777777" w:rsidR="004D690C" w:rsidRPr="003C7E62" w:rsidRDefault="004D690C" w:rsidP="004D690C">
      <w:pPr>
        <w:keepNext w:val="0"/>
        <w:spacing w:before="0"/>
        <w:rPr>
          <w:rFonts w:cs="Arial"/>
          <w:color w:val="auto"/>
        </w:rPr>
      </w:pPr>
    </w:p>
    <w:p w14:paraId="43340510" w14:textId="77777777" w:rsidR="004D690C" w:rsidRPr="003C7E62" w:rsidRDefault="004D690C" w:rsidP="004D690C">
      <w:pPr>
        <w:keepNext w:val="0"/>
        <w:spacing w:before="0"/>
        <w:rPr>
          <w:rFonts w:cs="Arial"/>
          <w:color w:val="auto"/>
        </w:rPr>
      </w:pPr>
      <w:r w:rsidRPr="003C7E62">
        <w:rPr>
          <w:rFonts w:cs="Arial"/>
          <w:b/>
          <w:color w:val="auto"/>
        </w:rPr>
        <w:t xml:space="preserve">Department for Communities and Local Government (CLG): </w:t>
      </w:r>
      <w:r w:rsidRPr="003C7E62">
        <w:rPr>
          <w:rFonts w:cs="Arial"/>
          <w:color w:val="auto"/>
        </w:rPr>
        <w:t>The Government Department responsible for planning and local government.</w:t>
      </w:r>
    </w:p>
    <w:p w14:paraId="3DB313E0" w14:textId="77777777" w:rsidR="004D690C" w:rsidRPr="003C7E62" w:rsidRDefault="004D690C" w:rsidP="004D690C">
      <w:pPr>
        <w:keepNext w:val="0"/>
        <w:autoSpaceDE w:val="0"/>
        <w:autoSpaceDN w:val="0"/>
        <w:adjustRightInd w:val="0"/>
        <w:spacing w:before="0" w:after="40" w:line="261" w:lineRule="atLeast"/>
        <w:rPr>
          <w:rFonts w:cs="Arial"/>
          <w:color w:val="auto"/>
          <w:sz w:val="26"/>
          <w:szCs w:val="26"/>
        </w:rPr>
      </w:pPr>
    </w:p>
    <w:p w14:paraId="1A0E42C8" w14:textId="77777777" w:rsidR="004D690C" w:rsidRPr="003C7E62" w:rsidRDefault="004D690C" w:rsidP="004D690C">
      <w:pPr>
        <w:keepNext w:val="0"/>
        <w:autoSpaceDE w:val="0"/>
        <w:autoSpaceDN w:val="0"/>
        <w:adjustRightInd w:val="0"/>
        <w:spacing w:before="0" w:after="40" w:line="261" w:lineRule="atLeast"/>
        <w:rPr>
          <w:rFonts w:cs="Arial"/>
          <w:color w:val="auto"/>
          <w:szCs w:val="24"/>
        </w:rPr>
      </w:pPr>
      <w:r w:rsidRPr="003C7E62">
        <w:rPr>
          <w:rFonts w:cs="Arial"/>
          <w:b/>
          <w:color w:val="auto"/>
          <w:szCs w:val="24"/>
        </w:rPr>
        <w:t>Designated Heritage Asset:</w:t>
      </w:r>
      <w:r w:rsidRPr="003C7E62">
        <w:rPr>
          <w:rFonts w:cs="Arial"/>
          <w:color w:val="auto"/>
          <w:szCs w:val="24"/>
        </w:rPr>
        <w:t xml:space="preserve"> A World Heritage Site, Scheduled Monument, Listed Building, Protected Wreck Site, Registered Park and Garden, Registered Battlefield or Conservation Area designated under the relevant legislation.</w:t>
      </w:r>
    </w:p>
    <w:p w14:paraId="3024B44B" w14:textId="77777777" w:rsidR="004D690C" w:rsidRPr="003C7E62" w:rsidRDefault="004D690C" w:rsidP="004D690C">
      <w:pPr>
        <w:keepNext w:val="0"/>
        <w:autoSpaceDE w:val="0"/>
        <w:autoSpaceDN w:val="0"/>
        <w:adjustRightInd w:val="0"/>
        <w:spacing w:before="0"/>
        <w:rPr>
          <w:rFonts w:cs="Arial"/>
          <w:color w:val="auto"/>
          <w:szCs w:val="24"/>
          <w:lang w:val="en-US"/>
        </w:rPr>
      </w:pPr>
    </w:p>
    <w:p w14:paraId="0B257F96" w14:textId="77777777" w:rsidR="004D690C" w:rsidRPr="003C7E62" w:rsidRDefault="004D690C" w:rsidP="004D690C">
      <w:pPr>
        <w:keepNext w:val="0"/>
        <w:spacing w:before="0"/>
        <w:rPr>
          <w:rFonts w:cs="Arial"/>
          <w:color w:val="C00000"/>
        </w:rPr>
      </w:pPr>
      <w:r w:rsidRPr="003C7E62">
        <w:rPr>
          <w:rFonts w:cs="Arial"/>
          <w:b/>
          <w:color w:val="auto"/>
        </w:rPr>
        <w:t>Development Plan Document (DPD):</w:t>
      </w:r>
      <w:r w:rsidRPr="003C7E62">
        <w:rPr>
          <w:rFonts w:cs="Arial"/>
          <w:color w:val="auto"/>
        </w:rPr>
        <w:t xml:space="preserve"> A spatial planning document under the provisions of Planning and Compulsory Purchase Act 2004 which is designed to secure the development and use of land in the local planning authority’s area.  It includes the Local Plan</w:t>
      </w:r>
    </w:p>
    <w:p w14:paraId="389C44E8" w14:textId="77777777" w:rsidR="004D690C" w:rsidRPr="003C7E62" w:rsidRDefault="004D690C" w:rsidP="004D690C">
      <w:pPr>
        <w:keepNext w:val="0"/>
        <w:spacing w:before="0"/>
        <w:rPr>
          <w:rFonts w:cs="Arial"/>
          <w:color w:val="auto"/>
        </w:rPr>
      </w:pPr>
    </w:p>
    <w:p w14:paraId="5E0C4096" w14:textId="40B22E9B" w:rsidR="004D690C" w:rsidRPr="003C7E62" w:rsidRDefault="004D690C" w:rsidP="004D690C">
      <w:pPr>
        <w:keepNext w:val="0"/>
        <w:spacing w:before="0"/>
        <w:rPr>
          <w:rFonts w:cs="Arial"/>
          <w:color w:val="auto"/>
        </w:rPr>
      </w:pPr>
      <w:r w:rsidRPr="003C7E62">
        <w:rPr>
          <w:rFonts w:cs="Arial"/>
          <w:b/>
          <w:color w:val="auto"/>
        </w:rPr>
        <w:t xml:space="preserve">Duty to cooperate: </w:t>
      </w:r>
      <w:r w:rsidRPr="003C7E62">
        <w:rPr>
          <w:rFonts w:cs="Arial"/>
          <w:color w:val="auto"/>
        </w:rPr>
        <w:t xml:space="preserve">The duty to cooperate, </w:t>
      </w:r>
      <w:r w:rsidR="009F0EC8">
        <w:rPr>
          <w:rFonts w:cs="Arial"/>
          <w:color w:val="auto"/>
        </w:rPr>
        <w:t>(NPPF paragraph 24)</w:t>
      </w:r>
      <w:r w:rsidRPr="003C7E62">
        <w:rPr>
          <w:rFonts w:cs="Arial"/>
          <w:color w:val="auto"/>
        </w:rPr>
        <w:t>, is a requirement by the Government for public bodies to work together on planning issues that cross administrative boundaries, particularly those which relate to strategic priorities.  Local Planning Authorities must work with neighbouring authorities and other bodies, where necessary, to ensure that the development requirements of both the district and the surrounding areas are met.</w:t>
      </w:r>
    </w:p>
    <w:p w14:paraId="17169F33" w14:textId="77777777" w:rsidR="004D690C" w:rsidRPr="003C7E62" w:rsidRDefault="004D690C" w:rsidP="004D690C">
      <w:pPr>
        <w:keepNext w:val="0"/>
        <w:spacing w:before="0"/>
        <w:rPr>
          <w:rFonts w:cs="Arial"/>
          <w:b/>
          <w:color w:val="auto"/>
        </w:rPr>
      </w:pPr>
    </w:p>
    <w:p w14:paraId="58CC93E7" w14:textId="69A427C6" w:rsidR="004D690C" w:rsidRPr="003C7E62" w:rsidRDefault="004D690C" w:rsidP="004D690C">
      <w:pPr>
        <w:keepNext w:val="0"/>
        <w:spacing w:before="0"/>
        <w:rPr>
          <w:rFonts w:cs="Arial"/>
          <w:bCs/>
          <w:color w:val="auto"/>
        </w:rPr>
      </w:pPr>
      <w:r w:rsidRPr="003C7E62">
        <w:rPr>
          <w:rFonts w:cs="Arial"/>
          <w:b/>
          <w:color w:val="auto"/>
        </w:rPr>
        <w:t xml:space="preserve">Economic development: </w:t>
      </w:r>
      <w:r w:rsidRPr="003C7E62">
        <w:rPr>
          <w:rFonts w:cs="Arial"/>
          <w:bCs/>
          <w:color w:val="auto"/>
        </w:rPr>
        <w:t>includes development within the office uses, industry and warehousing uses, public and community uses, leisure and tourism uses and main town centre uses. It also includes any other development which provides employment opportunities, generates wealth or produces or generates an economic output or product. It does not include housing development.</w:t>
      </w:r>
    </w:p>
    <w:p w14:paraId="774C5238" w14:textId="77777777" w:rsidR="004D690C" w:rsidRPr="003C7E62" w:rsidRDefault="004D690C" w:rsidP="004D690C">
      <w:pPr>
        <w:keepNext w:val="0"/>
        <w:spacing w:before="0"/>
        <w:rPr>
          <w:rFonts w:cs="Arial"/>
          <w:b/>
          <w:color w:val="auto"/>
        </w:rPr>
      </w:pPr>
    </w:p>
    <w:p w14:paraId="59E61FCC" w14:textId="45FB32F8" w:rsidR="004D690C" w:rsidRPr="003C7E62" w:rsidRDefault="004D690C" w:rsidP="004D690C">
      <w:pPr>
        <w:keepNext w:val="0"/>
        <w:spacing w:before="0"/>
        <w:rPr>
          <w:rFonts w:cs="Arial"/>
          <w:color w:val="auto"/>
        </w:rPr>
      </w:pPr>
      <w:r w:rsidRPr="003C7E62">
        <w:rPr>
          <w:rFonts w:cs="Arial"/>
          <w:b/>
          <w:color w:val="auto"/>
        </w:rPr>
        <w:t xml:space="preserve">Edge of centre: </w:t>
      </w:r>
      <w:r w:rsidRPr="003C7E62">
        <w:rPr>
          <w:rFonts w:cs="Arial"/>
          <w:color w:val="auto"/>
        </w:rPr>
        <w:t xml:space="preserve">For retail purposes, a location that is well connected to and up to 300 metres from the Primary Shopping Area. For all other main town centre uses, a location within 300 metres of a town centre boundary. For office development, this includes locations outside the town centre but within 500 metres of a public transport interchange.  In determining whether a site falls within the definition of edge of centre, account should be taken of local circumstances.  </w:t>
      </w:r>
    </w:p>
    <w:p w14:paraId="6C5EBEC2" w14:textId="77777777" w:rsidR="004D690C" w:rsidRPr="003C7E62" w:rsidRDefault="004D690C" w:rsidP="004D690C">
      <w:pPr>
        <w:keepNext w:val="0"/>
        <w:spacing w:before="0"/>
        <w:rPr>
          <w:rFonts w:cs="Arial"/>
          <w:b/>
          <w:color w:val="auto"/>
        </w:rPr>
      </w:pPr>
    </w:p>
    <w:p w14:paraId="09C8F6AA" w14:textId="18EB2205" w:rsidR="004D690C" w:rsidRPr="003C7E62" w:rsidRDefault="004D690C" w:rsidP="004D690C">
      <w:pPr>
        <w:keepNext w:val="0"/>
        <w:spacing w:before="0"/>
        <w:rPr>
          <w:rFonts w:cs="Arial"/>
          <w:b/>
          <w:color w:val="auto"/>
        </w:rPr>
      </w:pPr>
      <w:r w:rsidRPr="003C7E62">
        <w:rPr>
          <w:rFonts w:cs="Arial"/>
          <w:b/>
          <w:color w:val="auto"/>
        </w:rPr>
        <w:t xml:space="preserve">Employment Land: </w:t>
      </w:r>
      <w:r w:rsidRPr="003C7E62">
        <w:rPr>
          <w:rFonts w:cs="Arial"/>
          <w:color w:val="auto"/>
        </w:rPr>
        <w:t>For the purposes of this Local Plan, the term employment land will normally refer to land intended for us</w:t>
      </w:r>
      <w:r w:rsidR="00C52BB8">
        <w:rPr>
          <w:rFonts w:cs="Arial"/>
          <w:color w:val="auto"/>
        </w:rPr>
        <w:t>e as offices, light industrial, general industrial or storage and distribution.  Under the T</w:t>
      </w:r>
      <w:r w:rsidRPr="003C7E62">
        <w:rPr>
          <w:rFonts w:cs="Arial"/>
          <w:color w:val="auto"/>
        </w:rPr>
        <w:t>own and Country Planning (Use Classes) Order 1987 (as amended)</w:t>
      </w:r>
      <w:r w:rsidR="00C52BB8">
        <w:rPr>
          <w:rFonts w:cs="Arial"/>
          <w:color w:val="auto"/>
        </w:rPr>
        <w:t>, S</w:t>
      </w:r>
      <w:r w:rsidRPr="003C7E62">
        <w:rPr>
          <w:rFonts w:cs="Arial"/>
          <w:color w:val="auto"/>
        </w:rPr>
        <w:t xml:space="preserve">ui Generis employment uses outside these categories but of a similar character may also be appropriate, subject to normal site planning considerations. </w:t>
      </w:r>
    </w:p>
    <w:p w14:paraId="7DAB97AB" w14:textId="77777777" w:rsidR="004D690C" w:rsidRPr="003C7E62" w:rsidRDefault="004D690C" w:rsidP="004D690C">
      <w:pPr>
        <w:keepNext w:val="0"/>
        <w:spacing w:before="0"/>
        <w:rPr>
          <w:rFonts w:cs="Arial"/>
          <w:b/>
          <w:color w:val="auto"/>
        </w:rPr>
      </w:pPr>
    </w:p>
    <w:p w14:paraId="3AE67900" w14:textId="77777777" w:rsidR="004D690C" w:rsidRPr="003C7E62" w:rsidRDefault="004D690C" w:rsidP="004D690C">
      <w:pPr>
        <w:keepNext w:val="0"/>
        <w:spacing w:before="0"/>
        <w:rPr>
          <w:rFonts w:cs="Arial"/>
          <w:color w:val="auto"/>
        </w:rPr>
      </w:pPr>
      <w:r w:rsidRPr="003C7E62">
        <w:rPr>
          <w:rFonts w:cs="Arial"/>
          <w:b/>
          <w:color w:val="auto"/>
        </w:rPr>
        <w:t xml:space="preserve">Environmental Assets: </w:t>
      </w:r>
      <w:r w:rsidRPr="003C7E62">
        <w:rPr>
          <w:rFonts w:cs="Arial"/>
          <w:color w:val="auto"/>
        </w:rPr>
        <w:t>Physical features and conditions of notable value occurring within the District.</w:t>
      </w:r>
    </w:p>
    <w:p w14:paraId="36BCD4D6" w14:textId="77777777" w:rsidR="004D690C" w:rsidRPr="003C7E62" w:rsidRDefault="004D690C" w:rsidP="004D690C">
      <w:pPr>
        <w:keepNext w:val="0"/>
        <w:spacing w:before="0"/>
        <w:rPr>
          <w:rFonts w:cs="Arial"/>
          <w:color w:val="auto"/>
          <w:lang w:val="en-US"/>
        </w:rPr>
      </w:pPr>
    </w:p>
    <w:p w14:paraId="053DD56F" w14:textId="0F84D6D0" w:rsidR="004D690C" w:rsidRPr="003C7E62" w:rsidRDefault="004D690C" w:rsidP="004D690C">
      <w:pPr>
        <w:keepNext w:val="0"/>
        <w:spacing w:before="0"/>
        <w:rPr>
          <w:rFonts w:cs="Arial"/>
          <w:color w:val="auto"/>
          <w:lang w:val="en-US"/>
        </w:rPr>
      </w:pPr>
      <w:r w:rsidRPr="003C7E62">
        <w:rPr>
          <w:rFonts w:cs="Arial"/>
          <w:b/>
          <w:color w:val="auto"/>
          <w:lang w:val="en-US"/>
        </w:rPr>
        <w:t>Farm shops:</w:t>
      </w:r>
      <w:r w:rsidRPr="003C7E62">
        <w:rPr>
          <w:rFonts w:cs="Arial"/>
          <w:color w:val="auto"/>
          <w:lang w:val="en-US"/>
        </w:rPr>
        <w:t xml:space="preserve"> A farm shop will form an ancillary activity to a commercial farm</w:t>
      </w:r>
      <w:r w:rsidR="00C52BB8">
        <w:rPr>
          <w:rFonts w:cs="Arial"/>
          <w:color w:val="auto"/>
          <w:lang w:val="en-US"/>
        </w:rPr>
        <w:t>.</w:t>
      </w:r>
      <w:r w:rsidRPr="003C7E62">
        <w:rPr>
          <w:rFonts w:cs="Arial"/>
          <w:color w:val="auto"/>
          <w:lang w:val="en-US"/>
        </w:rPr>
        <w:t xml:space="preserve"> </w:t>
      </w:r>
    </w:p>
    <w:p w14:paraId="3031C5F0" w14:textId="77777777" w:rsidR="004D690C" w:rsidRPr="003C7E62" w:rsidRDefault="004D690C" w:rsidP="004D690C">
      <w:pPr>
        <w:keepNext w:val="0"/>
        <w:tabs>
          <w:tab w:val="left" w:pos="1680"/>
        </w:tabs>
        <w:spacing w:before="0"/>
        <w:rPr>
          <w:rFonts w:cs="Arial"/>
          <w:b/>
          <w:color w:val="auto"/>
        </w:rPr>
      </w:pPr>
    </w:p>
    <w:p w14:paraId="43425F4E" w14:textId="77777777" w:rsidR="00FE2359" w:rsidRPr="000663FF" w:rsidRDefault="00FE2359" w:rsidP="00FE2359">
      <w:pPr>
        <w:keepNext w:val="0"/>
        <w:tabs>
          <w:tab w:val="left" w:pos="1080"/>
          <w:tab w:val="num" w:pos="2160"/>
        </w:tabs>
        <w:spacing w:before="0"/>
        <w:rPr>
          <w:rFonts w:cs="Arial"/>
          <w:b/>
          <w:color w:val="auto"/>
        </w:rPr>
      </w:pPr>
      <w:r w:rsidRPr="000663FF">
        <w:rPr>
          <w:rFonts w:cs="Arial"/>
          <w:b/>
          <w:color w:val="auto"/>
        </w:rPr>
        <w:t xml:space="preserve">First Homes: </w:t>
      </w:r>
      <w:r w:rsidRPr="000663FF">
        <w:rPr>
          <w:rFonts w:eastAsia="Calibri"/>
          <w:color w:val="auto"/>
          <w:szCs w:val="22"/>
          <w:lang w:eastAsia="en-US"/>
        </w:rPr>
        <w:t>First Homes are a specific kind of discounted market sale housing and should be considered to meet the definition of ‘affordable housing’ for planning purposes. Specifically, First Homes are discounted market sale units which:</w:t>
      </w:r>
    </w:p>
    <w:p w14:paraId="644F012F" w14:textId="77777777" w:rsidR="00FE2359" w:rsidRPr="000663FF" w:rsidRDefault="00FE2359" w:rsidP="00874A98">
      <w:pPr>
        <w:keepNext w:val="0"/>
        <w:numPr>
          <w:ilvl w:val="0"/>
          <w:numId w:val="323"/>
        </w:numPr>
        <w:shd w:val="clear" w:color="auto" w:fill="FFFFFF"/>
        <w:spacing w:before="300" w:after="300" w:line="252" w:lineRule="auto"/>
        <w:jc w:val="both"/>
        <w:rPr>
          <w:rFonts w:cs="Arial"/>
          <w:color w:val="auto"/>
          <w:szCs w:val="24"/>
        </w:rPr>
      </w:pPr>
      <w:r w:rsidRPr="000663FF">
        <w:rPr>
          <w:rFonts w:cs="Arial"/>
          <w:color w:val="auto"/>
          <w:szCs w:val="24"/>
        </w:rPr>
        <w:t>must be discounted by a minimum of 30% against the market value;</w:t>
      </w:r>
    </w:p>
    <w:p w14:paraId="45ED5DB6" w14:textId="77777777" w:rsidR="00FE2359" w:rsidRPr="000663FF" w:rsidRDefault="00FE2359" w:rsidP="00874A98">
      <w:pPr>
        <w:keepNext w:val="0"/>
        <w:numPr>
          <w:ilvl w:val="0"/>
          <w:numId w:val="323"/>
        </w:numPr>
        <w:shd w:val="clear" w:color="auto" w:fill="FFFFFF"/>
        <w:spacing w:before="300" w:after="300" w:line="252" w:lineRule="auto"/>
        <w:jc w:val="both"/>
        <w:rPr>
          <w:rFonts w:cs="Arial"/>
          <w:color w:val="auto"/>
          <w:szCs w:val="24"/>
        </w:rPr>
      </w:pPr>
      <w:r w:rsidRPr="000663FF">
        <w:rPr>
          <w:rFonts w:cs="Arial"/>
          <w:color w:val="auto"/>
          <w:szCs w:val="24"/>
        </w:rPr>
        <w:t>are sold to a person or persons meeting the First Homes eligibility criteria;</w:t>
      </w:r>
    </w:p>
    <w:p w14:paraId="3E30EFB3" w14:textId="77777777" w:rsidR="00FE2359" w:rsidRPr="000663FF" w:rsidRDefault="00FE2359" w:rsidP="00874A98">
      <w:pPr>
        <w:keepNext w:val="0"/>
        <w:numPr>
          <w:ilvl w:val="0"/>
          <w:numId w:val="323"/>
        </w:numPr>
        <w:shd w:val="clear" w:color="auto" w:fill="FFFFFF"/>
        <w:spacing w:before="300" w:after="300" w:line="252" w:lineRule="auto"/>
        <w:jc w:val="both"/>
        <w:rPr>
          <w:rFonts w:cs="Arial"/>
          <w:color w:val="auto"/>
          <w:szCs w:val="24"/>
        </w:rPr>
      </w:pPr>
      <w:r w:rsidRPr="000663FF">
        <w:rPr>
          <w:rFonts w:cs="Arial"/>
          <w:color w:val="auto"/>
          <w:szCs w:val="24"/>
        </w:rPr>
        <w:t>on their first sale, will have a restriction registered on the title at HM Land Registry to ensure this discount (as a percentage of current market value) and certain other restrictions are passed on at each subsequent title transfer; and,</w:t>
      </w:r>
    </w:p>
    <w:p w14:paraId="76688509" w14:textId="77777777" w:rsidR="00FE2359" w:rsidRPr="000663FF" w:rsidRDefault="00FE2359" w:rsidP="00874A98">
      <w:pPr>
        <w:keepNext w:val="0"/>
        <w:numPr>
          <w:ilvl w:val="0"/>
          <w:numId w:val="323"/>
        </w:numPr>
        <w:shd w:val="clear" w:color="auto" w:fill="FFFFFF"/>
        <w:spacing w:before="300" w:after="300" w:line="252" w:lineRule="auto"/>
        <w:jc w:val="both"/>
        <w:rPr>
          <w:rFonts w:cs="Arial"/>
          <w:color w:val="auto"/>
          <w:szCs w:val="24"/>
        </w:rPr>
      </w:pPr>
      <w:r w:rsidRPr="000663FF">
        <w:rPr>
          <w:rFonts w:cs="Arial"/>
          <w:color w:val="auto"/>
          <w:szCs w:val="24"/>
        </w:rPr>
        <w:t>after the discount has been applied, the first sale must be at a price no higher than £250,000 (or £420,000 in Greater London).</w:t>
      </w:r>
    </w:p>
    <w:p w14:paraId="22C49066" w14:textId="77777777" w:rsidR="00FE2359" w:rsidRPr="000663FF" w:rsidRDefault="00FE2359" w:rsidP="00FE2359">
      <w:pPr>
        <w:keepNext w:val="0"/>
        <w:shd w:val="clear" w:color="auto" w:fill="FFFFFF"/>
        <w:spacing w:before="300" w:after="300"/>
        <w:rPr>
          <w:rFonts w:cs="Arial"/>
          <w:color w:val="auto"/>
          <w:szCs w:val="24"/>
        </w:rPr>
      </w:pPr>
      <w:r w:rsidRPr="000663FF">
        <w:rPr>
          <w:rFonts w:cs="Arial"/>
          <w:color w:val="auto"/>
          <w:szCs w:val="24"/>
        </w:rPr>
        <w:t>First Homes are the government’s preferred discounted market tenure and should account for at least 25% of all affordable housing units delivered by developers through planning obligations.</w:t>
      </w:r>
    </w:p>
    <w:p w14:paraId="69E462B5" w14:textId="77777777" w:rsidR="00FE2359" w:rsidRPr="000663FF" w:rsidRDefault="00FE2359" w:rsidP="00FE2359">
      <w:pPr>
        <w:keepNext w:val="0"/>
        <w:tabs>
          <w:tab w:val="left" w:pos="1080"/>
          <w:tab w:val="num" w:pos="2160"/>
        </w:tabs>
        <w:spacing w:before="0"/>
        <w:rPr>
          <w:rFonts w:cs="Arial"/>
          <w:bCs/>
          <w:i/>
          <w:iCs/>
          <w:color w:val="auto"/>
        </w:rPr>
      </w:pPr>
      <w:r w:rsidRPr="000663FF">
        <w:rPr>
          <w:rFonts w:cs="Arial"/>
          <w:bCs/>
          <w:i/>
          <w:iCs/>
          <w:color w:val="auto"/>
        </w:rPr>
        <w:t xml:space="preserve">(See </w:t>
      </w:r>
      <w:hyperlink r:id="rId40" w:history="1">
        <w:r w:rsidRPr="000663FF">
          <w:rPr>
            <w:rFonts w:cs="Arial"/>
            <w:bCs/>
            <w:i/>
            <w:iCs/>
            <w:color w:val="auto"/>
            <w:u w:val="single"/>
          </w:rPr>
          <w:t>Planning Practice Guidance First Homes</w:t>
        </w:r>
      </w:hyperlink>
      <w:r w:rsidRPr="000663FF">
        <w:rPr>
          <w:rFonts w:cs="Arial"/>
          <w:bCs/>
          <w:i/>
          <w:iCs/>
          <w:color w:val="auto"/>
        </w:rPr>
        <w:t>)</w:t>
      </w:r>
    </w:p>
    <w:p w14:paraId="10631E23" w14:textId="77777777" w:rsidR="00FE2359" w:rsidRPr="000663FF" w:rsidRDefault="00FE2359" w:rsidP="004D690C">
      <w:pPr>
        <w:keepNext w:val="0"/>
        <w:tabs>
          <w:tab w:val="left" w:pos="1080"/>
          <w:tab w:val="num" w:pos="2160"/>
        </w:tabs>
        <w:spacing w:before="0"/>
        <w:rPr>
          <w:rFonts w:cs="Arial"/>
          <w:b/>
          <w:color w:val="auto"/>
        </w:rPr>
      </w:pPr>
    </w:p>
    <w:p w14:paraId="7F243E8F" w14:textId="32EEDB62" w:rsidR="004D690C" w:rsidRPr="003C7E62" w:rsidRDefault="004D690C" w:rsidP="004D690C">
      <w:pPr>
        <w:keepNext w:val="0"/>
        <w:tabs>
          <w:tab w:val="left" w:pos="1080"/>
          <w:tab w:val="num" w:pos="2160"/>
        </w:tabs>
        <w:spacing w:before="0"/>
        <w:rPr>
          <w:rFonts w:cs="Arial"/>
          <w:color w:val="auto"/>
        </w:rPr>
      </w:pPr>
      <w:r w:rsidRPr="003C7E62">
        <w:rPr>
          <w:rFonts w:cs="Arial"/>
          <w:b/>
          <w:color w:val="auto"/>
        </w:rPr>
        <w:t>Green Belt:</w:t>
      </w:r>
      <w:r w:rsidRPr="003C7E62">
        <w:rPr>
          <w:rFonts w:cs="Arial"/>
          <w:color w:val="auto"/>
        </w:rPr>
        <w:t xml:space="preserve"> Describes an area of land surrounding certain cities and large built-up areas whose fundamental aim is to prevent urban sprawl by keeping land permanently open; the essential characteristics of Green </w:t>
      </w:r>
      <w:r w:rsidR="00E478F6">
        <w:rPr>
          <w:rFonts w:cs="Arial"/>
          <w:color w:val="auto"/>
        </w:rPr>
        <w:t>B</w:t>
      </w:r>
      <w:r w:rsidRPr="003C7E62">
        <w:rPr>
          <w:rFonts w:cs="Arial"/>
          <w:color w:val="auto"/>
        </w:rPr>
        <w:t>elts are their openness and their permanence.  (See N</w:t>
      </w:r>
      <w:r w:rsidR="00E478F6">
        <w:rPr>
          <w:rFonts w:cs="Arial"/>
          <w:color w:val="auto"/>
        </w:rPr>
        <w:t>PPF)</w:t>
      </w:r>
      <w:r w:rsidRPr="003C7E62">
        <w:rPr>
          <w:rFonts w:cs="Arial"/>
          <w:color w:val="auto"/>
        </w:rPr>
        <w:t>.  The Green Belt is identified as having five distinct purposes:</w:t>
      </w:r>
    </w:p>
    <w:p w14:paraId="2C810310" w14:textId="77777777" w:rsidR="004D690C" w:rsidRPr="003C7E62" w:rsidRDefault="004D690C" w:rsidP="00D01157">
      <w:pPr>
        <w:keepNext w:val="0"/>
        <w:numPr>
          <w:ilvl w:val="0"/>
          <w:numId w:val="9"/>
        </w:numPr>
        <w:tabs>
          <w:tab w:val="left" w:pos="1080"/>
          <w:tab w:val="num" w:pos="2160"/>
        </w:tabs>
        <w:spacing w:before="0"/>
        <w:rPr>
          <w:rFonts w:cs="Arial"/>
          <w:color w:val="auto"/>
        </w:rPr>
      </w:pPr>
      <w:r w:rsidRPr="003C7E62">
        <w:rPr>
          <w:rFonts w:cs="Arial"/>
          <w:color w:val="auto"/>
        </w:rPr>
        <w:t>to check the unrestricted sprawl of large built up areas;</w:t>
      </w:r>
    </w:p>
    <w:p w14:paraId="6C5F5440" w14:textId="77777777" w:rsidR="004D690C" w:rsidRPr="003C7E62" w:rsidRDefault="004D690C" w:rsidP="00D01157">
      <w:pPr>
        <w:keepNext w:val="0"/>
        <w:numPr>
          <w:ilvl w:val="0"/>
          <w:numId w:val="9"/>
        </w:numPr>
        <w:tabs>
          <w:tab w:val="left" w:pos="1080"/>
          <w:tab w:val="num" w:pos="2160"/>
        </w:tabs>
        <w:spacing w:before="0"/>
        <w:rPr>
          <w:rFonts w:cs="Arial"/>
          <w:color w:val="auto"/>
        </w:rPr>
      </w:pPr>
      <w:r w:rsidRPr="003C7E62">
        <w:rPr>
          <w:rFonts w:cs="Arial"/>
          <w:color w:val="auto"/>
        </w:rPr>
        <w:t>to prevent neighbouring towns from merging into one another;</w:t>
      </w:r>
    </w:p>
    <w:p w14:paraId="20301A7B" w14:textId="77777777" w:rsidR="004D690C" w:rsidRPr="003C7E62" w:rsidRDefault="004D690C" w:rsidP="00D01157">
      <w:pPr>
        <w:keepNext w:val="0"/>
        <w:numPr>
          <w:ilvl w:val="0"/>
          <w:numId w:val="9"/>
        </w:numPr>
        <w:tabs>
          <w:tab w:val="left" w:pos="1080"/>
          <w:tab w:val="num" w:pos="2160"/>
        </w:tabs>
        <w:spacing w:before="0"/>
        <w:rPr>
          <w:rFonts w:cs="Arial"/>
          <w:color w:val="auto"/>
        </w:rPr>
      </w:pPr>
      <w:r w:rsidRPr="003C7E62">
        <w:rPr>
          <w:rFonts w:cs="Arial"/>
          <w:color w:val="auto"/>
        </w:rPr>
        <w:t>to assist in safeguarding the countryside from encroachment;</w:t>
      </w:r>
    </w:p>
    <w:p w14:paraId="7074A4A4" w14:textId="77777777" w:rsidR="004D690C" w:rsidRPr="003C7E62" w:rsidRDefault="004D690C" w:rsidP="00D01157">
      <w:pPr>
        <w:keepNext w:val="0"/>
        <w:numPr>
          <w:ilvl w:val="0"/>
          <w:numId w:val="9"/>
        </w:numPr>
        <w:tabs>
          <w:tab w:val="left" w:pos="1080"/>
          <w:tab w:val="num" w:pos="2160"/>
        </w:tabs>
        <w:spacing w:before="0"/>
        <w:rPr>
          <w:rFonts w:cs="Arial"/>
          <w:color w:val="auto"/>
        </w:rPr>
      </w:pPr>
      <w:r w:rsidRPr="003C7E62">
        <w:rPr>
          <w:rFonts w:cs="Arial"/>
          <w:color w:val="auto"/>
        </w:rPr>
        <w:t>to preserve the setting and special character of historic towns,  and;</w:t>
      </w:r>
    </w:p>
    <w:p w14:paraId="45DD1E1D" w14:textId="77777777" w:rsidR="004D690C" w:rsidRPr="003C7E62" w:rsidRDefault="004D690C" w:rsidP="00D01157">
      <w:pPr>
        <w:keepNext w:val="0"/>
        <w:numPr>
          <w:ilvl w:val="0"/>
          <w:numId w:val="9"/>
        </w:numPr>
        <w:tabs>
          <w:tab w:val="left" w:pos="1080"/>
          <w:tab w:val="num" w:pos="2160"/>
        </w:tabs>
        <w:spacing w:before="0"/>
        <w:rPr>
          <w:rFonts w:cs="Arial"/>
          <w:color w:val="auto"/>
        </w:rPr>
      </w:pPr>
      <w:r w:rsidRPr="003C7E62">
        <w:rPr>
          <w:rFonts w:cs="Arial"/>
          <w:color w:val="auto"/>
        </w:rPr>
        <w:t xml:space="preserve">to assist in urban regeneration by encouraging the recycling of derelict and other urban land. </w:t>
      </w:r>
    </w:p>
    <w:p w14:paraId="4ED92629" w14:textId="77777777" w:rsidR="004D690C" w:rsidRPr="003C7E62" w:rsidRDefault="004D690C" w:rsidP="004D690C">
      <w:pPr>
        <w:keepNext w:val="0"/>
        <w:tabs>
          <w:tab w:val="left" w:pos="1080"/>
          <w:tab w:val="num" w:pos="2160"/>
        </w:tabs>
        <w:spacing w:before="0"/>
        <w:rPr>
          <w:rFonts w:cs="Arial"/>
          <w:color w:val="auto"/>
        </w:rPr>
      </w:pPr>
    </w:p>
    <w:p w14:paraId="7B99D4BF" w14:textId="77777777" w:rsidR="004D690C" w:rsidRPr="003C7E62" w:rsidRDefault="004D690C" w:rsidP="004D690C">
      <w:pPr>
        <w:keepNext w:val="0"/>
        <w:tabs>
          <w:tab w:val="num" w:pos="1701"/>
        </w:tabs>
        <w:spacing w:before="0"/>
        <w:rPr>
          <w:rFonts w:cs="Arial"/>
          <w:color w:val="auto"/>
          <w:lang w:val="en-US"/>
        </w:rPr>
      </w:pPr>
      <w:r w:rsidRPr="003C7E62">
        <w:rPr>
          <w:rFonts w:cs="Arial"/>
          <w:b/>
          <w:color w:val="auto"/>
        </w:rPr>
        <w:t xml:space="preserve">Greenfield Run-off: </w:t>
      </w:r>
      <w:r w:rsidRPr="003C7E62">
        <w:rPr>
          <w:rFonts w:cs="Arial"/>
          <w:color w:val="auto"/>
          <w:lang w:val="en-US"/>
        </w:rPr>
        <w:t xml:space="preserve">This is the surface water run-off from a greenfield site before development. </w:t>
      </w:r>
    </w:p>
    <w:p w14:paraId="5783AC21" w14:textId="77777777" w:rsidR="004D690C" w:rsidRPr="003C7E62" w:rsidRDefault="004D690C" w:rsidP="004D690C">
      <w:pPr>
        <w:keepNext w:val="0"/>
        <w:tabs>
          <w:tab w:val="num" w:pos="1701"/>
        </w:tabs>
        <w:spacing w:before="0"/>
        <w:rPr>
          <w:rFonts w:cs="Arial"/>
          <w:b/>
          <w:color w:val="auto"/>
        </w:rPr>
      </w:pPr>
    </w:p>
    <w:p w14:paraId="716F5ADB" w14:textId="56717DA6" w:rsidR="004D690C" w:rsidRPr="000663FF" w:rsidRDefault="004D690C" w:rsidP="004D690C">
      <w:pPr>
        <w:keepNext w:val="0"/>
        <w:tabs>
          <w:tab w:val="num" w:pos="1701"/>
        </w:tabs>
        <w:spacing w:before="0"/>
        <w:rPr>
          <w:rFonts w:cs="Arial"/>
          <w:color w:val="auto"/>
        </w:rPr>
      </w:pPr>
      <w:r w:rsidRPr="003C7E62">
        <w:rPr>
          <w:rFonts w:cs="Arial"/>
          <w:b/>
          <w:color w:val="auto"/>
        </w:rPr>
        <w:t xml:space="preserve">Green Infrastructure: </w:t>
      </w:r>
      <w:r w:rsidR="00424EEF" w:rsidRPr="000663FF">
        <w:rPr>
          <w:rFonts w:cs="Arial"/>
          <w:color w:val="auto"/>
        </w:rPr>
        <w:t xml:space="preserve">A </w:t>
      </w:r>
      <w:r w:rsidRPr="000663FF">
        <w:rPr>
          <w:rFonts w:cs="Arial"/>
          <w:color w:val="auto"/>
        </w:rPr>
        <w:t xml:space="preserve">network of </w:t>
      </w:r>
      <w:r w:rsidR="00424EEF" w:rsidRPr="000663FF">
        <w:rPr>
          <w:rFonts w:cs="Arial"/>
          <w:color w:val="auto"/>
        </w:rPr>
        <w:t xml:space="preserve">multi-functional </w:t>
      </w:r>
      <w:r w:rsidRPr="000663FF">
        <w:rPr>
          <w:rFonts w:cs="Arial"/>
          <w:color w:val="auto"/>
        </w:rPr>
        <w:t xml:space="preserve">green </w:t>
      </w:r>
      <w:r w:rsidR="00424EEF" w:rsidRPr="000663FF">
        <w:rPr>
          <w:rFonts w:cs="Arial"/>
          <w:color w:val="auto"/>
        </w:rPr>
        <w:t xml:space="preserve">and </w:t>
      </w:r>
      <w:r w:rsidRPr="000663FF">
        <w:rPr>
          <w:rFonts w:cs="Arial"/>
          <w:color w:val="auto"/>
        </w:rPr>
        <w:t>blue space</w:t>
      </w:r>
      <w:r w:rsidR="00625A85" w:rsidRPr="000663FF">
        <w:rPr>
          <w:rFonts w:cs="Arial"/>
          <w:color w:val="auto"/>
        </w:rPr>
        <w:t>s</w:t>
      </w:r>
      <w:r w:rsidRPr="000663FF">
        <w:rPr>
          <w:rFonts w:cs="Arial"/>
          <w:color w:val="auto"/>
        </w:rPr>
        <w:t xml:space="preserve"> and </w:t>
      </w:r>
      <w:r w:rsidR="00424EEF" w:rsidRPr="000663FF">
        <w:rPr>
          <w:rFonts w:cs="Arial"/>
          <w:color w:val="auto"/>
        </w:rPr>
        <w:t>other natural featu</w:t>
      </w:r>
      <w:r w:rsidR="00625A85" w:rsidRPr="000663FF">
        <w:rPr>
          <w:rFonts w:cs="Arial"/>
          <w:color w:val="auto"/>
        </w:rPr>
        <w:t>r</w:t>
      </w:r>
      <w:r w:rsidR="00424EEF" w:rsidRPr="000663FF">
        <w:rPr>
          <w:rFonts w:cs="Arial"/>
          <w:color w:val="auto"/>
        </w:rPr>
        <w:t xml:space="preserve">es, urban and rural, which is capable of delivering a wide range of environmental, economic, health and well-being benefits for nature, climate, local and wider communities and prosperity. </w:t>
      </w:r>
      <w:r w:rsidRPr="000663FF">
        <w:rPr>
          <w:rFonts w:cs="Arial"/>
          <w:bCs/>
          <w:color w:val="auto"/>
        </w:rPr>
        <w:t>This includes but is not limited to</w:t>
      </w:r>
      <w:r w:rsidRPr="000663FF">
        <w:rPr>
          <w:rFonts w:cs="Arial"/>
          <w:color w:val="auto"/>
        </w:rPr>
        <w:t xml:space="preserve"> parks</w:t>
      </w:r>
      <w:r w:rsidR="00383F74" w:rsidRPr="000663FF">
        <w:rPr>
          <w:rFonts w:cs="Arial"/>
          <w:color w:val="auto"/>
        </w:rPr>
        <w:t xml:space="preserve"> (including historic parks and gardens)</w:t>
      </w:r>
      <w:r w:rsidRPr="000663FF">
        <w:rPr>
          <w:rFonts w:cs="Arial"/>
          <w:color w:val="auto"/>
        </w:rPr>
        <w:t xml:space="preserve">, open spaces, playing fields, woodlands, allotments, cemeteries, private gardens and river corridors, green roofs and wall as well as </w:t>
      </w:r>
      <w:r w:rsidR="00705DCE" w:rsidRPr="000663FF">
        <w:rPr>
          <w:rFonts w:cs="Arial"/>
          <w:color w:val="auto"/>
        </w:rPr>
        <w:t xml:space="preserve">archaeological features, </w:t>
      </w:r>
      <w:r w:rsidRPr="000663FF">
        <w:rPr>
          <w:rFonts w:cs="Arial"/>
          <w:color w:val="auto"/>
        </w:rPr>
        <w:t>agricultural land, country parks, private estates</w:t>
      </w:r>
      <w:r w:rsidR="00424EEF" w:rsidRPr="000663FF">
        <w:rPr>
          <w:rFonts w:cs="Arial"/>
          <w:color w:val="auto"/>
        </w:rPr>
        <w:t xml:space="preserve">, </w:t>
      </w:r>
      <w:r w:rsidR="00705DCE" w:rsidRPr="000663FF">
        <w:rPr>
          <w:rFonts w:cs="Arial"/>
          <w:color w:val="auto"/>
        </w:rPr>
        <w:t>and</w:t>
      </w:r>
      <w:r w:rsidRPr="000663FF">
        <w:rPr>
          <w:rFonts w:cs="Arial"/>
          <w:color w:val="auto"/>
        </w:rPr>
        <w:t xml:space="preserve"> wasteland. </w:t>
      </w:r>
    </w:p>
    <w:p w14:paraId="57FD80D6" w14:textId="77777777" w:rsidR="004D690C" w:rsidRPr="003C7E62" w:rsidRDefault="004D690C" w:rsidP="004D690C">
      <w:pPr>
        <w:keepNext w:val="0"/>
        <w:spacing w:before="100" w:beforeAutospacing="1" w:after="100" w:afterAutospacing="1"/>
        <w:rPr>
          <w:rFonts w:cs="Arial"/>
          <w:color w:val="000000"/>
          <w:sz w:val="19"/>
          <w:szCs w:val="19"/>
        </w:rPr>
      </w:pPr>
      <w:r w:rsidRPr="000663FF">
        <w:rPr>
          <w:rFonts w:cs="Arial"/>
          <w:b/>
          <w:color w:val="auto"/>
          <w:szCs w:val="24"/>
        </w:rPr>
        <w:t xml:space="preserve">Greenfield Land: </w:t>
      </w:r>
      <w:r w:rsidRPr="000663FF">
        <w:rPr>
          <w:rFonts w:cs="Arial"/>
          <w:color w:val="auto"/>
          <w:szCs w:val="24"/>
        </w:rPr>
        <w:t xml:space="preserve">A term used to define </w:t>
      </w:r>
      <w:r w:rsidRPr="003C7E62">
        <w:rPr>
          <w:rFonts w:cs="Arial"/>
          <w:color w:val="auto"/>
          <w:szCs w:val="24"/>
        </w:rPr>
        <w:t xml:space="preserve">land that has never been built on or where the remains of any structure or activity have been blended into the landscape over time. </w:t>
      </w:r>
      <w:smartTag w:uri="urn:schemas-microsoft-com:office:smarttags" w:element="place">
        <w:smartTag w:uri="urn:schemas-microsoft-com:office:smarttags" w:element="City">
          <w:r w:rsidRPr="003C7E62">
            <w:rPr>
              <w:rFonts w:cs="Arial"/>
              <w:color w:val="auto"/>
              <w:szCs w:val="24"/>
            </w:rPr>
            <w:t>Greenfield</w:t>
          </w:r>
        </w:smartTag>
      </w:smartTag>
      <w:r w:rsidRPr="003C7E62">
        <w:rPr>
          <w:rFonts w:cs="Arial"/>
          <w:color w:val="auto"/>
          <w:szCs w:val="24"/>
        </w:rPr>
        <w:t xml:space="preserve"> land should not be confused with Green Belt land (see definition above).</w:t>
      </w:r>
    </w:p>
    <w:p w14:paraId="3344868E" w14:textId="77777777" w:rsidR="004D690C" w:rsidRPr="003C7E62" w:rsidRDefault="004D690C" w:rsidP="004D690C">
      <w:pPr>
        <w:keepNext w:val="0"/>
        <w:spacing w:before="0"/>
        <w:rPr>
          <w:rFonts w:cs="Arial"/>
          <w:color w:val="auto"/>
          <w:lang w:val="en"/>
        </w:rPr>
      </w:pPr>
      <w:r w:rsidRPr="003C7E62">
        <w:rPr>
          <w:rFonts w:cs="Arial"/>
          <w:b/>
          <w:color w:val="auto"/>
        </w:rPr>
        <w:t xml:space="preserve">Green Wedge: </w:t>
      </w:r>
      <w:r w:rsidRPr="003C7E62">
        <w:rPr>
          <w:rFonts w:cs="Arial"/>
          <w:color w:val="auto"/>
          <w:lang w:val="en"/>
        </w:rPr>
        <w:t>Green wedges are local policy designations comprising open areas around and between parts of settlements, which maintain the distinction between the countryside and built up areas, prevent the coalescence (merging) of adjacent places and can also provide recreational opportunities.</w:t>
      </w:r>
    </w:p>
    <w:p w14:paraId="66EAD63E" w14:textId="77777777" w:rsidR="004D690C" w:rsidRPr="003C7E62" w:rsidRDefault="004D690C" w:rsidP="004D690C">
      <w:pPr>
        <w:keepNext w:val="0"/>
        <w:spacing w:before="0"/>
        <w:rPr>
          <w:rFonts w:cs="Arial"/>
          <w:b/>
          <w:color w:val="auto"/>
          <w:lang w:val="en"/>
        </w:rPr>
      </w:pPr>
    </w:p>
    <w:p w14:paraId="5A29EE80" w14:textId="77777777" w:rsidR="004D690C" w:rsidRPr="003C7E62" w:rsidRDefault="004D690C" w:rsidP="004D690C">
      <w:pPr>
        <w:keepNext w:val="0"/>
        <w:spacing w:before="0"/>
        <w:rPr>
          <w:rFonts w:cs="Arial"/>
          <w:b/>
          <w:color w:val="auto"/>
          <w:lang w:val="en"/>
        </w:rPr>
      </w:pPr>
      <w:r w:rsidRPr="003C7E62">
        <w:rPr>
          <w:rFonts w:cs="Arial"/>
          <w:b/>
          <w:color w:val="auto"/>
          <w:lang w:val="en"/>
        </w:rPr>
        <w:t>Groundwater:</w:t>
      </w:r>
      <w:r w:rsidRPr="003C7E62">
        <w:rPr>
          <w:rFonts w:cs="Arial"/>
          <w:color w:val="auto"/>
          <w:lang w:val="en"/>
        </w:rPr>
        <w:t xml:space="preserve"> An important part of the natural water cycle present underground, within strata known as aquifers.</w:t>
      </w:r>
      <w:r w:rsidRPr="003C7E62">
        <w:rPr>
          <w:rFonts w:cs="Arial"/>
          <w:b/>
          <w:color w:val="auto"/>
          <w:lang w:val="en"/>
        </w:rPr>
        <w:t xml:space="preserve"> </w:t>
      </w:r>
    </w:p>
    <w:p w14:paraId="15AF8682" w14:textId="77777777" w:rsidR="004D690C" w:rsidRPr="003C7E62" w:rsidRDefault="004D690C" w:rsidP="004D690C">
      <w:pPr>
        <w:keepNext w:val="0"/>
        <w:spacing w:before="0"/>
        <w:rPr>
          <w:rFonts w:cs="Arial"/>
          <w:b/>
          <w:color w:val="auto"/>
          <w:lang w:val="en"/>
        </w:rPr>
      </w:pPr>
    </w:p>
    <w:p w14:paraId="09C7F32F" w14:textId="568E1950" w:rsidR="004D690C" w:rsidRPr="003C7E62" w:rsidRDefault="004D690C" w:rsidP="004D690C">
      <w:pPr>
        <w:keepNext w:val="0"/>
        <w:spacing w:before="0"/>
        <w:rPr>
          <w:rFonts w:cs="Arial"/>
          <w:color w:val="auto"/>
        </w:rPr>
      </w:pPr>
      <w:r w:rsidRPr="003C7E62">
        <w:rPr>
          <w:rFonts w:cs="Arial"/>
          <w:b/>
          <w:color w:val="auto"/>
          <w:lang w:val="en"/>
        </w:rPr>
        <w:t>Gypsies and Travel</w:t>
      </w:r>
      <w:r w:rsidR="00FE2359">
        <w:rPr>
          <w:rFonts w:cs="Arial"/>
          <w:b/>
          <w:color w:val="auto"/>
          <w:lang w:val="en"/>
        </w:rPr>
        <w:t>l</w:t>
      </w:r>
      <w:r w:rsidRPr="003C7E62">
        <w:rPr>
          <w:rFonts w:cs="Arial"/>
          <w:b/>
          <w:color w:val="auto"/>
          <w:lang w:val="en"/>
        </w:rPr>
        <w:t>ers:</w:t>
      </w:r>
      <w:r w:rsidRPr="003C7E62">
        <w:rPr>
          <w:rFonts w:cs="Arial"/>
          <w:color w:val="auto"/>
          <w:lang w:val="en"/>
        </w:rPr>
        <w:t xml:space="preserve"> </w:t>
      </w:r>
      <w:r w:rsidRPr="003C7E62">
        <w:rPr>
          <w:rFonts w:cs="Arial"/>
          <w:color w:val="auto"/>
        </w:rPr>
        <w:t>Persons of nomadic habit of life whatever their race or origin, including such persons who on grounds only of their own or their family’s or dependants’ educational or health needs or old age have ceased to travel temporarily, but excluding members of an organised group of travelling showpeople or circus people travelling together as such.</w:t>
      </w:r>
    </w:p>
    <w:p w14:paraId="56C91043" w14:textId="77777777" w:rsidR="004D690C" w:rsidRPr="003C7E62" w:rsidRDefault="004D690C" w:rsidP="004D690C">
      <w:pPr>
        <w:keepNext w:val="0"/>
        <w:autoSpaceDE w:val="0"/>
        <w:autoSpaceDN w:val="0"/>
        <w:adjustRightInd w:val="0"/>
        <w:spacing w:before="0"/>
        <w:rPr>
          <w:rFonts w:cs="Arial"/>
          <w:color w:val="000000"/>
          <w:szCs w:val="24"/>
          <w:lang w:val="en-US" w:eastAsia="en-US"/>
        </w:rPr>
      </w:pPr>
    </w:p>
    <w:p w14:paraId="7A81D166" w14:textId="77777777" w:rsidR="004D690C" w:rsidRPr="003C7E62" w:rsidRDefault="004D690C" w:rsidP="004D690C">
      <w:pPr>
        <w:keepNext w:val="0"/>
        <w:spacing w:before="0"/>
        <w:rPr>
          <w:rFonts w:cs="Arial"/>
          <w:color w:val="auto"/>
        </w:rPr>
      </w:pPr>
      <w:r w:rsidRPr="003C7E62">
        <w:rPr>
          <w:rFonts w:cs="Arial"/>
          <w:b/>
          <w:color w:val="auto"/>
        </w:rPr>
        <w:t>Ha/ha (Hectare):</w:t>
      </w:r>
      <w:r w:rsidRPr="003C7E62">
        <w:rPr>
          <w:rFonts w:cs="Arial"/>
          <w:color w:val="auto"/>
        </w:rPr>
        <w:t xml:space="preserve"> An area 10,000 sq. metres or 2.471 acres.</w:t>
      </w:r>
    </w:p>
    <w:p w14:paraId="614B27F2" w14:textId="77777777" w:rsidR="004D690C" w:rsidRPr="003C7E62" w:rsidRDefault="004D690C" w:rsidP="004D690C">
      <w:pPr>
        <w:keepNext w:val="0"/>
        <w:spacing w:before="0"/>
        <w:rPr>
          <w:rFonts w:cs="Arial"/>
          <w:color w:val="auto"/>
        </w:rPr>
      </w:pPr>
    </w:p>
    <w:p w14:paraId="1B484C5A" w14:textId="77777777" w:rsidR="004D690C" w:rsidRPr="003C7E62" w:rsidRDefault="004D690C" w:rsidP="004D690C">
      <w:pPr>
        <w:keepNext w:val="0"/>
        <w:autoSpaceDE w:val="0"/>
        <w:autoSpaceDN w:val="0"/>
        <w:adjustRightInd w:val="0"/>
        <w:spacing w:before="0"/>
        <w:rPr>
          <w:rFonts w:cs="Arial"/>
          <w:b/>
          <w:color w:val="auto"/>
        </w:rPr>
      </w:pPr>
      <w:r w:rsidRPr="003C7E62">
        <w:rPr>
          <w:rFonts w:eastAsia="Calibri" w:cs="Arial"/>
          <w:b/>
          <w:bCs/>
          <w:color w:val="auto"/>
          <w:szCs w:val="24"/>
          <w:lang w:eastAsia="en-US"/>
        </w:rPr>
        <w:t>Health and Wellbeing</w:t>
      </w:r>
      <w:r w:rsidRPr="003C7E62">
        <w:rPr>
          <w:rFonts w:eastAsia="Calibri" w:cs="Arial"/>
          <w:bCs/>
          <w:color w:val="auto"/>
          <w:szCs w:val="24"/>
          <w:lang w:eastAsia="en-US"/>
        </w:rPr>
        <w:t>: H</w:t>
      </w:r>
      <w:r w:rsidRPr="003C7E62">
        <w:rPr>
          <w:rFonts w:eastAsia="Calibri" w:cs="Arial"/>
          <w:color w:val="auto"/>
          <w:szCs w:val="24"/>
          <w:lang w:eastAsia="en-US"/>
        </w:rPr>
        <w:t>ealth is often considered as being an absence of illness or disability.  Health and wellbeing is much wider and is a combination of physical, mental and social factors.  (Nottinghamshire Health &amp; Wellbeing Strategy 2014 -2017).</w:t>
      </w:r>
    </w:p>
    <w:p w14:paraId="3FA5DF94" w14:textId="77777777" w:rsidR="004D690C" w:rsidRPr="003C7E62" w:rsidRDefault="004D690C" w:rsidP="004D690C">
      <w:pPr>
        <w:keepNext w:val="0"/>
        <w:spacing w:before="0"/>
        <w:rPr>
          <w:rFonts w:cs="Arial"/>
          <w:b/>
          <w:color w:val="auto"/>
        </w:rPr>
      </w:pPr>
    </w:p>
    <w:p w14:paraId="597F0429" w14:textId="77777777" w:rsidR="004D690C" w:rsidRPr="003C7E62" w:rsidRDefault="004D690C" w:rsidP="004D690C">
      <w:pPr>
        <w:keepNext w:val="0"/>
        <w:spacing w:before="0"/>
        <w:rPr>
          <w:rFonts w:cs="Arial"/>
          <w:color w:val="auto"/>
        </w:rPr>
      </w:pPr>
      <w:r w:rsidRPr="003C7E62">
        <w:rPr>
          <w:rFonts w:cs="Arial"/>
          <w:b/>
          <w:color w:val="auto"/>
        </w:rPr>
        <w:t xml:space="preserve">Heritage Asset: </w:t>
      </w:r>
      <w:r w:rsidRPr="003C7E62">
        <w:rPr>
          <w:rFonts w:cs="Arial"/>
          <w:color w:val="auto"/>
        </w:rPr>
        <w:t>A building, monument, site, place, area or landscape identified as having a degree of significance meriting consideration in planning decisions, because of its heritage interest.  Heritage asset includes designated heritage assets and assets identified by the local planning authority (including local listing).</w:t>
      </w:r>
    </w:p>
    <w:p w14:paraId="78CF7919" w14:textId="77777777" w:rsidR="004D690C" w:rsidRPr="003C7E62" w:rsidRDefault="004D690C" w:rsidP="004D690C">
      <w:pPr>
        <w:keepNext w:val="0"/>
        <w:spacing w:before="0"/>
        <w:rPr>
          <w:rFonts w:cs="Arial"/>
          <w:color w:val="auto"/>
        </w:rPr>
      </w:pPr>
    </w:p>
    <w:p w14:paraId="4A65BCFA" w14:textId="77777777" w:rsidR="004D690C" w:rsidRPr="003C7E62" w:rsidRDefault="004D690C" w:rsidP="004D690C">
      <w:pPr>
        <w:keepNext w:val="0"/>
        <w:autoSpaceDE w:val="0"/>
        <w:autoSpaceDN w:val="0"/>
        <w:adjustRightInd w:val="0"/>
        <w:spacing w:before="0" w:after="40" w:line="261" w:lineRule="atLeast"/>
        <w:rPr>
          <w:rFonts w:cs="Arial"/>
          <w:color w:val="auto"/>
          <w:szCs w:val="24"/>
        </w:rPr>
      </w:pPr>
      <w:r w:rsidRPr="003C7E62">
        <w:rPr>
          <w:rFonts w:cs="Arial"/>
          <w:b/>
          <w:color w:val="auto"/>
          <w:szCs w:val="24"/>
        </w:rPr>
        <w:t>Historic Environment:</w:t>
      </w:r>
      <w:r w:rsidRPr="003C7E62">
        <w:rPr>
          <w:rFonts w:cs="Arial"/>
          <w:color w:val="auto"/>
          <w:szCs w:val="24"/>
        </w:rPr>
        <w:t xml:space="preserve"> All aspects of the environment resulting from the interaction between people and places through time, including all surviving physical remains of past human activity, whether visible, buried or submerged, and landscaped and planted or managed flora.</w:t>
      </w:r>
    </w:p>
    <w:p w14:paraId="3C0F9744" w14:textId="77777777" w:rsidR="004D690C" w:rsidRPr="003C7E62" w:rsidRDefault="004D690C" w:rsidP="004D690C">
      <w:pPr>
        <w:keepNext w:val="0"/>
        <w:autoSpaceDE w:val="0"/>
        <w:autoSpaceDN w:val="0"/>
        <w:adjustRightInd w:val="0"/>
        <w:spacing w:before="0" w:after="40" w:line="261" w:lineRule="atLeast"/>
        <w:rPr>
          <w:rFonts w:cs="Arial"/>
          <w:color w:val="000000"/>
          <w:szCs w:val="24"/>
        </w:rPr>
      </w:pPr>
    </w:p>
    <w:p w14:paraId="3D2ADA61" w14:textId="77777777" w:rsidR="004D690C" w:rsidRPr="003C7E62" w:rsidRDefault="004D690C" w:rsidP="004D690C">
      <w:pPr>
        <w:keepNext w:val="0"/>
        <w:autoSpaceDE w:val="0"/>
        <w:autoSpaceDN w:val="0"/>
        <w:adjustRightInd w:val="0"/>
        <w:spacing w:before="0" w:after="40" w:line="261" w:lineRule="atLeast"/>
        <w:rPr>
          <w:rFonts w:cs="Arial"/>
          <w:color w:val="auto"/>
          <w:szCs w:val="24"/>
        </w:rPr>
      </w:pPr>
      <w:r w:rsidRPr="003C7E62">
        <w:rPr>
          <w:rFonts w:cs="Arial"/>
          <w:b/>
          <w:color w:val="auto"/>
          <w:szCs w:val="24"/>
        </w:rPr>
        <w:t>Historic Environment Record:</w:t>
      </w:r>
      <w:r w:rsidRPr="003C7E62">
        <w:rPr>
          <w:rFonts w:cs="Arial"/>
          <w:color w:val="auto"/>
          <w:szCs w:val="24"/>
        </w:rPr>
        <w:t xml:space="preserve"> Information services that seek to provide access to comprehensive and dynamic resources relating to the historic environment of a defined geographic area for public benefit and use.</w:t>
      </w:r>
    </w:p>
    <w:p w14:paraId="30088A70" w14:textId="77777777" w:rsidR="004D690C" w:rsidRPr="003C7E62" w:rsidRDefault="004D690C" w:rsidP="004D690C">
      <w:pPr>
        <w:keepNext w:val="0"/>
        <w:autoSpaceDE w:val="0"/>
        <w:autoSpaceDN w:val="0"/>
        <w:adjustRightInd w:val="0"/>
        <w:spacing w:before="0"/>
        <w:rPr>
          <w:rFonts w:cs="Arial"/>
          <w:color w:val="000000"/>
          <w:szCs w:val="24"/>
          <w:lang w:val="en-US"/>
        </w:rPr>
      </w:pPr>
    </w:p>
    <w:p w14:paraId="52B3C44D" w14:textId="77777777" w:rsidR="004D690C" w:rsidRPr="003C7E62" w:rsidRDefault="004D690C" w:rsidP="004D690C">
      <w:pPr>
        <w:keepNext w:val="0"/>
        <w:autoSpaceDE w:val="0"/>
        <w:autoSpaceDN w:val="0"/>
        <w:adjustRightInd w:val="0"/>
        <w:spacing w:before="0"/>
        <w:rPr>
          <w:rFonts w:cs="Arial"/>
          <w:b/>
          <w:bCs/>
          <w:color w:val="auto"/>
          <w:szCs w:val="24"/>
        </w:rPr>
      </w:pPr>
      <w:r w:rsidRPr="003C7E62">
        <w:rPr>
          <w:rFonts w:cs="Arial"/>
          <w:b/>
          <w:color w:val="auto"/>
          <w:szCs w:val="24"/>
        </w:rPr>
        <w:t>Infrastructure</w:t>
      </w:r>
      <w:r w:rsidRPr="003C7E62">
        <w:rPr>
          <w:rFonts w:cs="Arial"/>
          <w:color w:val="auto"/>
          <w:szCs w:val="24"/>
        </w:rPr>
        <w:t>: The basic structures and facilities necessary for the efficient functioning of a given geographical area.</w:t>
      </w:r>
    </w:p>
    <w:p w14:paraId="557EA11A" w14:textId="77777777" w:rsidR="004D690C" w:rsidRPr="003C7E62" w:rsidRDefault="004D690C" w:rsidP="004D690C">
      <w:pPr>
        <w:keepNext w:val="0"/>
        <w:autoSpaceDE w:val="0"/>
        <w:autoSpaceDN w:val="0"/>
        <w:adjustRightInd w:val="0"/>
        <w:spacing w:before="0"/>
        <w:rPr>
          <w:rFonts w:cs="Arial"/>
          <w:b/>
          <w:bCs/>
          <w:color w:val="auto"/>
          <w:szCs w:val="24"/>
        </w:rPr>
      </w:pPr>
    </w:p>
    <w:p w14:paraId="75F74832" w14:textId="77777777" w:rsidR="004D690C" w:rsidRPr="003C7E62" w:rsidRDefault="004D690C" w:rsidP="004D690C">
      <w:pPr>
        <w:keepNext w:val="0"/>
        <w:spacing w:before="0"/>
        <w:rPr>
          <w:rFonts w:cs="Arial"/>
          <w:color w:val="000000"/>
          <w:szCs w:val="24"/>
          <w:lang w:val="en-US"/>
        </w:rPr>
      </w:pPr>
      <w:r w:rsidRPr="003C7E62">
        <w:rPr>
          <w:rFonts w:cs="Arial"/>
          <w:b/>
          <w:color w:val="000000"/>
          <w:szCs w:val="24"/>
          <w:lang w:val="en-US"/>
        </w:rPr>
        <w:t xml:space="preserve">Key Diagram:   </w:t>
      </w:r>
      <w:r w:rsidRPr="003C7E62">
        <w:rPr>
          <w:rFonts w:cs="Arial"/>
          <w:color w:val="000000"/>
          <w:szCs w:val="24"/>
          <w:lang w:val="en-US"/>
        </w:rPr>
        <w:t>Map, picture, figure or plan which is integral to the importance of the document.</w:t>
      </w:r>
    </w:p>
    <w:p w14:paraId="2A9999A1" w14:textId="77777777" w:rsidR="004D690C" w:rsidRPr="003C7E62" w:rsidRDefault="004D690C" w:rsidP="004D690C">
      <w:pPr>
        <w:keepNext w:val="0"/>
        <w:spacing w:before="0"/>
        <w:rPr>
          <w:rFonts w:cs="Arial"/>
          <w:b/>
          <w:color w:val="auto"/>
        </w:rPr>
      </w:pPr>
    </w:p>
    <w:p w14:paraId="61A78BE1" w14:textId="77777777" w:rsidR="004D690C" w:rsidRPr="003C7E62" w:rsidRDefault="004D690C" w:rsidP="004D690C">
      <w:pPr>
        <w:keepNext w:val="0"/>
        <w:spacing w:before="0"/>
        <w:rPr>
          <w:rFonts w:cs="Arial"/>
          <w:color w:val="auto"/>
        </w:rPr>
      </w:pPr>
      <w:r w:rsidRPr="003C7E62">
        <w:rPr>
          <w:rFonts w:cs="Arial"/>
          <w:b/>
          <w:color w:val="auto"/>
        </w:rPr>
        <w:t>Knowledge Economy:</w:t>
      </w:r>
      <w:r w:rsidRPr="003C7E62">
        <w:rPr>
          <w:rFonts w:cs="Arial"/>
          <w:color w:val="auto"/>
        </w:rPr>
        <w:t xml:space="preserve"> Classification of a particular individual industry, if 25% of its workforce is qualified to graduate standard.</w:t>
      </w:r>
    </w:p>
    <w:p w14:paraId="73AE2122" w14:textId="77777777" w:rsidR="004D690C" w:rsidRPr="003C7E62" w:rsidRDefault="004D690C" w:rsidP="004D690C">
      <w:pPr>
        <w:keepNext w:val="0"/>
        <w:spacing w:before="0"/>
        <w:rPr>
          <w:rFonts w:cs="Arial"/>
          <w:color w:val="auto"/>
        </w:rPr>
      </w:pPr>
    </w:p>
    <w:p w14:paraId="7A3A12DA" w14:textId="77777777" w:rsidR="004D690C" w:rsidRPr="003C7E62" w:rsidRDefault="004D690C" w:rsidP="004D690C">
      <w:pPr>
        <w:keepNext w:val="0"/>
        <w:spacing w:before="0"/>
        <w:rPr>
          <w:rFonts w:cs="Arial"/>
          <w:color w:val="auto"/>
        </w:rPr>
      </w:pPr>
      <w:r w:rsidRPr="003C7E62">
        <w:rPr>
          <w:rFonts w:cs="Arial"/>
          <w:b/>
          <w:color w:val="auto"/>
        </w:rPr>
        <w:t>Listed Buildings:</w:t>
      </w:r>
      <w:r w:rsidRPr="003C7E62">
        <w:rPr>
          <w:rFonts w:cs="Arial"/>
          <w:color w:val="auto"/>
        </w:rPr>
        <w:t xml:space="preserve"> A building or structure of special architectural or historic interest included on a list prepared by the Secretary of State for Culture, Media and Sport under Section 1 of the Planning (Listed Buildings and Conservation Areas) Act, 1990. Consent is required for its demolition in whole or part, and for any works of alteration or extension (both internal and external) which would affect its special interest.</w:t>
      </w:r>
    </w:p>
    <w:p w14:paraId="20F23EFE" w14:textId="77777777" w:rsidR="004D690C" w:rsidRPr="003C7E62" w:rsidRDefault="004D690C" w:rsidP="004D690C">
      <w:pPr>
        <w:keepNext w:val="0"/>
        <w:spacing w:before="0"/>
        <w:rPr>
          <w:rFonts w:cs="Arial"/>
          <w:color w:val="auto"/>
        </w:rPr>
      </w:pPr>
    </w:p>
    <w:p w14:paraId="08674B40" w14:textId="5B03EDCA" w:rsidR="004D690C" w:rsidRPr="003C7E62" w:rsidRDefault="004D690C" w:rsidP="004D690C">
      <w:pPr>
        <w:keepNext w:val="0"/>
        <w:spacing w:before="0"/>
        <w:rPr>
          <w:rFonts w:cs="Arial"/>
          <w:color w:val="auto"/>
        </w:rPr>
      </w:pPr>
      <w:r w:rsidRPr="003C7E62">
        <w:rPr>
          <w:rFonts w:cs="Arial"/>
          <w:b/>
          <w:color w:val="auto"/>
        </w:rPr>
        <w:t>Local Development Document (LDD):</w:t>
      </w:r>
      <w:r w:rsidRPr="003C7E62">
        <w:rPr>
          <w:rFonts w:cs="Arial"/>
          <w:color w:val="auto"/>
        </w:rPr>
        <w:t xml:space="preserve"> A </w:t>
      </w:r>
      <w:r w:rsidR="00C52BB8">
        <w:rPr>
          <w:rFonts w:cs="Arial"/>
          <w:color w:val="auto"/>
        </w:rPr>
        <w:t>d</w:t>
      </w:r>
      <w:r w:rsidRPr="003C7E62">
        <w:rPr>
          <w:rFonts w:cs="Arial"/>
          <w:color w:val="auto"/>
        </w:rPr>
        <w:t>ocument under the provisions of Planning and Compulsory Purchase Act 2004 that can be either a Development Plan Document or a Supplementary Planning Document.</w:t>
      </w:r>
    </w:p>
    <w:p w14:paraId="7DBE99D5" w14:textId="77777777" w:rsidR="004D690C" w:rsidRPr="003C7E62" w:rsidRDefault="004D690C" w:rsidP="004D690C">
      <w:pPr>
        <w:keepNext w:val="0"/>
        <w:spacing w:before="0"/>
        <w:rPr>
          <w:rFonts w:cs="Arial"/>
          <w:color w:val="auto"/>
        </w:rPr>
      </w:pPr>
    </w:p>
    <w:p w14:paraId="14207A71" w14:textId="77777777" w:rsidR="004D690C" w:rsidRPr="003C7E62" w:rsidRDefault="004D690C" w:rsidP="004D690C">
      <w:pPr>
        <w:keepNext w:val="0"/>
        <w:spacing w:before="0"/>
        <w:rPr>
          <w:rFonts w:cs="Arial"/>
          <w:b/>
          <w:color w:val="993366"/>
          <w:szCs w:val="24"/>
        </w:rPr>
      </w:pPr>
      <w:r w:rsidRPr="003C7E62">
        <w:rPr>
          <w:rFonts w:cs="Arial"/>
          <w:b/>
          <w:color w:val="auto"/>
          <w:szCs w:val="24"/>
        </w:rPr>
        <w:t>Local Development Framework (LDF):</w:t>
      </w:r>
      <w:r w:rsidRPr="003C7E62">
        <w:rPr>
          <w:rFonts w:cs="Arial"/>
          <w:b/>
          <w:color w:val="993366"/>
          <w:szCs w:val="24"/>
        </w:rPr>
        <w:t xml:space="preserve"> </w:t>
      </w:r>
      <w:r w:rsidRPr="003C7E62">
        <w:rPr>
          <w:rFonts w:cs="Arial"/>
          <w:color w:val="auto"/>
          <w:szCs w:val="24"/>
        </w:rPr>
        <w:t>A term used to describe a portfolio of Local Development Documents, which set out the spatial strategy for the development of the district. It is now typically identified as the Local Plan.</w:t>
      </w:r>
    </w:p>
    <w:p w14:paraId="3D05F07B" w14:textId="77777777" w:rsidR="004D690C" w:rsidRPr="003C7E62" w:rsidRDefault="004D690C" w:rsidP="004D690C">
      <w:pPr>
        <w:keepNext w:val="0"/>
        <w:spacing w:before="0"/>
        <w:rPr>
          <w:rFonts w:cs="Arial"/>
          <w:color w:val="auto"/>
        </w:rPr>
      </w:pPr>
    </w:p>
    <w:p w14:paraId="27E777B3" w14:textId="77777777" w:rsidR="004D690C" w:rsidRPr="003C7E62" w:rsidRDefault="004D690C" w:rsidP="004D690C">
      <w:pPr>
        <w:keepNext w:val="0"/>
        <w:spacing w:before="0"/>
        <w:rPr>
          <w:rFonts w:cs="Arial"/>
          <w:color w:val="C00000"/>
        </w:rPr>
      </w:pPr>
      <w:r w:rsidRPr="003C7E62">
        <w:rPr>
          <w:rFonts w:cs="Arial"/>
          <w:b/>
          <w:color w:val="auto"/>
        </w:rPr>
        <w:t>Local Development Scheme (LDS):</w:t>
      </w:r>
      <w:r w:rsidRPr="003C7E62">
        <w:rPr>
          <w:rFonts w:cs="Arial"/>
          <w:color w:val="auto"/>
        </w:rPr>
        <w:t xml:space="preserve"> A document setting out the timescales for the production of the Local Development Documents. (Usually the Local Plan).</w:t>
      </w:r>
    </w:p>
    <w:p w14:paraId="75E7DFC5" w14:textId="77777777" w:rsidR="004D690C" w:rsidRPr="003C7E62" w:rsidRDefault="004D690C" w:rsidP="004D690C">
      <w:pPr>
        <w:keepNext w:val="0"/>
        <w:spacing w:before="0"/>
        <w:rPr>
          <w:rFonts w:cs="Arial"/>
          <w:color w:val="auto"/>
        </w:rPr>
      </w:pPr>
    </w:p>
    <w:p w14:paraId="5B808F49" w14:textId="11DA5830" w:rsidR="004D690C" w:rsidRPr="003C7E62" w:rsidRDefault="004D690C" w:rsidP="004D690C">
      <w:pPr>
        <w:keepNext w:val="0"/>
        <w:autoSpaceDE w:val="0"/>
        <w:autoSpaceDN w:val="0"/>
        <w:adjustRightInd w:val="0"/>
        <w:spacing w:before="0"/>
        <w:rPr>
          <w:rFonts w:cs="Arial"/>
          <w:color w:val="auto"/>
        </w:rPr>
      </w:pPr>
      <w:r w:rsidRPr="003C7E62">
        <w:rPr>
          <w:rFonts w:cs="Arial"/>
          <w:b/>
          <w:color w:val="auto"/>
        </w:rPr>
        <w:t xml:space="preserve">Local Labour </w:t>
      </w:r>
      <w:r w:rsidR="00C52BB8">
        <w:rPr>
          <w:rFonts w:cs="Arial"/>
          <w:b/>
          <w:color w:val="auto"/>
        </w:rPr>
        <w:t>F</w:t>
      </w:r>
      <w:r w:rsidRPr="003C7E62">
        <w:rPr>
          <w:rFonts w:cs="Arial"/>
          <w:b/>
          <w:color w:val="auto"/>
        </w:rPr>
        <w:t>orce:</w:t>
      </w:r>
      <w:r w:rsidRPr="003C7E62">
        <w:rPr>
          <w:rFonts w:cs="Arial"/>
          <w:color w:val="auto"/>
        </w:rPr>
        <w:t xml:space="preserve"> There are a number of different definitions of local labour markets.  However, in simple terms the labour market is made up of: </w:t>
      </w:r>
    </w:p>
    <w:p w14:paraId="6E05D422" w14:textId="77777777" w:rsidR="004D690C" w:rsidRPr="003C7E62" w:rsidRDefault="004D690C" w:rsidP="004D690C">
      <w:pPr>
        <w:keepNext w:val="0"/>
        <w:autoSpaceDE w:val="0"/>
        <w:autoSpaceDN w:val="0"/>
        <w:adjustRightInd w:val="0"/>
        <w:spacing w:before="0"/>
        <w:rPr>
          <w:rFonts w:cs="Arial"/>
          <w:color w:val="auto"/>
          <w:sz w:val="10"/>
        </w:rPr>
      </w:pPr>
    </w:p>
    <w:p w14:paraId="70A81CC7" w14:textId="77777777" w:rsidR="004D690C" w:rsidRPr="003C7E62" w:rsidRDefault="004D690C" w:rsidP="00DC46C4">
      <w:pPr>
        <w:keepNext w:val="0"/>
        <w:numPr>
          <w:ilvl w:val="0"/>
          <w:numId w:val="8"/>
        </w:numPr>
        <w:spacing w:before="0" w:after="120"/>
        <w:rPr>
          <w:rFonts w:cs="Arial"/>
          <w:color w:val="auto"/>
        </w:rPr>
      </w:pPr>
      <w:r w:rsidRPr="003C7E62">
        <w:rPr>
          <w:rFonts w:cs="Arial"/>
          <w:color w:val="auto"/>
        </w:rPr>
        <w:t xml:space="preserve">self-containment, which is measured as the share of the population of an area that is employed locally, and the share of the employed who also live in the local area. </w:t>
      </w:r>
    </w:p>
    <w:p w14:paraId="7C64E504" w14:textId="77777777" w:rsidR="004D690C" w:rsidRPr="003C7E62" w:rsidRDefault="004D690C" w:rsidP="00DC46C4">
      <w:pPr>
        <w:keepNext w:val="0"/>
        <w:numPr>
          <w:ilvl w:val="0"/>
          <w:numId w:val="8"/>
        </w:numPr>
        <w:spacing w:before="0" w:after="120"/>
        <w:rPr>
          <w:rFonts w:cs="Arial"/>
          <w:color w:val="auto"/>
        </w:rPr>
      </w:pPr>
      <w:r w:rsidRPr="003C7E62">
        <w:rPr>
          <w:rFonts w:cs="Arial"/>
          <w:color w:val="auto"/>
        </w:rPr>
        <w:t xml:space="preserve">the commuting relationships of the area with other areas  </w:t>
      </w:r>
    </w:p>
    <w:p w14:paraId="45B2CBDB" w14:textId="77777777" w:rsidR="004D690C" w:rsidRPr="003C7E62" w:rsidRDefault="004D690C" w:rsidP="004D690C">
      <w:pPr>
        <w:keepNext w:val="0"/>
        <w:autoSpaceDE w:val="0"/>
        <w:autoSpaceDN w:val="0"/>
        <w:adjustRightInd w:val="0"/>
        <w:spacing w:before="0"/>
        <w:rPr>
          <w:rFonts w:cs="Arial"/>
          <w:color w:val="auto"/>
          <w:lang w:val="en"/>
        </w:rPr>
      </w:pPr>
    </w:p>
    <w:p w14:paraId="77435EB5" w14:textId="77777777" w:rsidR="004D690C" w:rsidRPr="003C7E62" w:rsidRDefault="004D690C" w:rsidP="004D690C">
      <w:pPr>
        <w:keepNext w:val="0"/>
        <w:autoSpaceDE w:val="0"/>
        <w:autoSpaceDN w:val="0"/>
        <w:adjustRightInd w:val="0"/>
        <w:spacing w:before="0"/>
        <w:rPr>
          <w:rFonts w:cs="Arial"/>
          <w:color w:val="auto"/>
          <w:lang w:val="en"/>
        </w:rPr>
      </w:pPr>
      <w:r w:rsidRPr="003C7E62">
        <w:rPr>
          <w:rFonts w:cs="Arial"/>
          <w:color w:val="auto"/>
          <w:lang w:val="en"/>
        </w:rPr>
        <w:t>The local</w:t>
      </w:r>
      <w:r w:rsidRPr="003C7E62">
        <w:rPr>
          <w:rFonts w:cs="Arial"/>
          <w:color w:val="auto"/>
        </w:rPr>
        <w:t xml:space="preserve"> labour</w:t>
      </w:r>
      <w:r w:rsidRPr="003C7E62">
        <w:rPr>
          <w:rFonts w:cs="Arial"/>
          <w:color w:val="auto"/>
          <w:lang w:val="en"/>
        </w:rPr>
        <w:t xml:space="preserve"> force reflects the population of Ashfield that lives within the District and </w:t>
      </w:r>
      <w:r w:rsidRPr="003C7E62">
        <w:rPr>
          <w:rFonts w:cs="Arial"/>
          <w:color w:val="auto"/>
        </w:rPr>
        <w:t>which is economically active, being identified by the application of economic activity rates (by age and sex) to the population.</w:t>
      </w:r>
    </w:p>
    <w:p w14:paraId="6E9530E6" w14:textId="77777777" w:rsidR="004D690C" w:rsidRPr="003C7E62" w:rsidRDefault="004D690C" w:rsidP="004D690C">
      <w:pPr>
        <w:keepNext w:val="0"/>
        <w:spacing w:before="0"/>
        <w:rPr>
          <w:rFonts w:cs="Arial"/>
          <w:b/>
          <w:color w:val="auto"/>
        </w:rPr>
      </w:pPr>
    </w:p>
    <w:p w14:paraId="6C81DE2A" w14:textId="77777777" w:rsidR="004D690C" w:rsidRPr="003C7E62" w:rsidRDefault="004D690C" w:rsidP="004D690C">
      <w:pPr>
        <w:keepNext w:val="0"/>
        <w:spacing w:before="0"/>
        <w:rPr>
          <w:rFonts w:cs="Arial"/>
          <w:color w:val="auto"/>
        </w:rPr>
      </w:pPr>
      <w:r w:rsidRPr="003C7E62">
        <w:rPr>
          <w:rFonts w:cs="Arial"/>
          <w:b/>
          <w:color w:val="auto"/>
        </w:rPr>
        <w:t>Local Nature Reserve (LNR):</w:t>
      </w:r>
      <w:r w:rsidRPr="003C7E62">
        <w:rPr>
          <w:rFonts w:cs="Arial"/>
          <w:color w:val="auto"/>
        </w:rPr>
        <w:t xml:space="preserve"> Established by a Local Authority under the powers of the National Parks and Access to the Countryside Act 1949.</w:t>
      </w:r>
    </w:p>
    <w:p w14:paraId="4D34DFC7" w14:textId="77777777" w:rsidR="004D690C" w:rsidRPr="003C7E62" w:rsidRDefault="004D690C" w:rsidP="004D690C">
      <w:pPr>
        <w:keepNext w:val="0"/>
        <w:spacing w:before="0"/>
        <w:rPr>
          <w:rFonts w:cs="Arial"/>
          <w:color w:val="auto"/>
        </w:rPr>
      </w:pPr>
    </w:p>
    <w:p w14:paraId="0079AC24" w14:textId="7D141575" w:rsidR="004D690C" w:rsidRPr="003C7E62" w:rsidRDefault="004D690C" w:rsidP="004D690C">
      <w:pPr>
        <w:keepNext w:val="0"/>
        <w:spacing w:before="0"/>
        <w:rPr>
          <w:rFonts w:cs="Arial"/>
          <w:color w:val="auto"/>
        </w:rPr>
      </w:pPr>
      <w:r w:rsidRPr="003C7E62">
        <w:rPr>
          <w:rFonts w:cs="Arial"/>
          <w:b/>
          <w:color w:val="auto"/>
        </w:rPr>
        <w:t>Local Plan:</w:t>
      </w:r>
      <w:r w:rsidRPr="003C7E62">
        <w:rPr>
          <w:rFonts w:cs="Arial"/>
          <w:color w:val="auto"/>
        </w:rPr>
        <w:t xml:space="preserve"> Comprises a Written Statement and a Policies Map.  The Written Statement includes the Authority’s detailed policies and proposals for the development and use of land together with reasoned justification for these proposals.</w:t>
      </w:r>
      <w:r w:rsidR="00C52BB8">
        <w:rPr>
          <w:rFonts w:cs="Arial"/>
          <w:color w:val="auto"/>
        </w:rPr>
        <w:t xml:space="preserve">  (A development plan document).</w:t>
      </w:r>
    </w:p>
    <w:p w14:paraId="56CD8232" w14:textId="77777777" w:rsidR="004D690C" w:rsidRPr="003C7E62" w:rsidRDefault="004D690C" w:rsidP="004D690C">
      <w:pPr>
        <w:keepNext w:val="0"/>
        <w:spacing w:before="0"/>
        <w:rPr>
          <w:rFonts w:cs="Arial"/>
          <w:color w:val="auto"/>
        </w:rPr>
      </w:pPr>
    </w:p>
    <w:p w14:paraId="25089CF2" w14:textId="77777777" w:rsidR="004D690C" w:rsidRPr="003C7E62" w:rsidRDefault="004D690C" w:rsidP="004D690C">
      <w:pPr>
        <w:keepNext w:val="0"/>
        <w:spacing w:before="0"/>
        <w:rPr>
          <w:rFonts w:cs="Arial"/>
          <w:color w:val="auto"/>
        </w:rPr>
      </w:pPr>
      <w:r w:rsidRPr="003C7E62">
        <w:rPr>
          <w:rFonts w:cs="Arial"/>
          <w:b/>
          <w:color w:val="auto"/>
        </w:rPr>
        <w:t>Local Planning Authority (LPA):</w:t>
      </w:r>
      <w:r w:rsidRPr="003C7E62">
        <w:rPr>
          <w:rFonts w:cs="Arial"/>
          <w:color w:val="auto"/>
        </w:rPr>
        <w:t xml:space="preserve"> A Local Planning Authority is the local authority or council that is empowered by law to exercise planning functions for a particular area of the </w:t>
      </w:r>
      <w:smartTag w:uri="urn:schemas-microsoft-com:office:smarttags" w:element="place">
        <w:smartTag w:uri="urn:schemas-microsoft-com:office:smarttags" w:element="country-region">
          <w:r w:rsidRPr="003C7E62">
            <w:rPr>
              <w:rFonts w:cs="Arial"/>
              <w:color w:val="auto"/>
            </w:rPr>
            <w:t>United Kingdom</w:t>
          </w:r>
        </w:smartTag>
      </w:smartTag>
      <w:r w:rsidRPr="003C7E62">
        <w:rPr>
          <w:rFonts w:cs="Arial"/>
          <w:color w:val="auto"/>
        </w:rPr>
        <w:t>.</w:t>
      </w:r>
    </w:p>
    <w:p w14:paraId="5679BA9E" w14:textId="77777777" w:rsidR="004D690C" w:rsidRPr="003C7E62" w:rsidRDefault="004D690C" w:rsidP="004D690C">
      <w:pPr>
        <w:keepNext w:val="0"/>
        <w:spacing w:before="0"/>
        <w:rPr>
          <w:rFonts w:cs="Arial"/>
          <w:color w:val="auto"/>
        </w:rPr>
      </w:pPr>
    </w:p>
    <w:p w14:paraId="16F91CE9" w14:textId="77777777" w:rsidR="004D690C" w:rsidRPr="003C7E62" w:rsidRDefault="004D690C" w:rsidP="004D690C">
      <w:pPr>
        <w:keepNext w:val="0"/>
        <w:spacing w:before="0"/>
        <w:rPr>
          <w:rFonts w:cs="Arial"/>
          <w:color w:val="auto"/>
        </w:rPr>
      </w:pPr>
      <w:r w:rsidRPr="003C7E62">
        <w:rPr>
          <w:rFonts w:cs="Arial"/>
          <w:b/>
          <w:color w:val="auto"/>
        </w:rPr>
        <w:t>Local Strategic Partnership (LSP):</w:t>
      </w:r>
      <w:r w:rsidRPr="003C7E62">
        <w:rPr>
          <w:rFonts w:cs="Arial"/>
          <w:color w:val="auto"/>
        </w:rPr>
        <w:t xml:space="preserve"> An overall partnership of people that brings together organisations from the public, private, community and voluntary sector within a local authority area, with the objective of improving people's quality of life.</w:t>
      </w:r>
    </w:p>
    <w:p w14:paraId="6DD6E47E" w14:textId="77777777" w:rsidR="004D690C" w:rsidRPr="003C7E62" w:rsidRDefault="004D690C" w:rsidP="004D690C">
      <w:pPr>
        <w:keepNext w:val="0"/>
        <w:spacing w:before="0"/>
        <w:rPr>
          <w:rFonts w:cs="Arial"/>
          <w:color w:val="auto"/>
        </w:rPr>
      </w:pPr>
    </w:p>
    <w:p w14:paraId="6808AB69" w14:textId="77777777" w:rsidR="004D690C" w:rsidRPr="003C7E62" w:rsidRDefault="004D690C" w:rsidP="004D690C">
      <w:pPr>
        <w:keepNext w:val="0"/>
        <w:spacing w:before="0"/>
        <w:rPr>
          <w:rFonts w:cs="Arial"/>
          <w:color w:val="auto"/>
        </w:rPr>
      </w:pPr>
      <w:r w:rsidRPr="003C7E62">
        <w:rPr>
          <w:rFonts w:cs="Arial"/>
          <w:b/>
          <w:color w:val="auto"/>
        </w:rPr>
        <w:t xml:space="preserve">Local Shopping Centre: </w:t>
      </w:r>
      <w:r w:rsidRPr="003C7E62">
        <w:rPr>
          <w:rFonts w:cs="Arial"/>
          <w:color w:val="auto"/>
        </w:rPr>
        <w:t>Shopping areas defined on the Local Plan Policies Map which are smaller than town centres and serve local communities.  Local shopping centres usually contain small scale development which offers a variety of convenience goods and services.</w:t>
      </w:r>
    </w:p>
    <w:p w14:paraId="2FA4BBE1" w14:textId="77777777" w:rsidR="004D690C" w:rsidRPr="003C7E62" w:rsidRDefault="004D690C" w:rsidP="004D690C">
      <w:pPr>
        <w:keepNext w:val="0"/>
        <w:spacing w:before="0"/>
        <w:rPr>
          <w:rFonts w:cs="Arial"/>
          <w:color w:val="auto"/>
        </w:rPr>
      </w:pPr>
    </w:p>
    <w:p w14:paraId="5DC86D52" w14:textId="77777777" w:rsidR="004D690C" w:rsidRPr="003C7E62" w:rsidRDefault="004D690C" w:rsidP="004D690C">
      <w:pPr>
        <w:keepNext w:val="0"/>
        <w:spacing w:before="0"/>
        <w:rPr>
          <w:rFonts w:cs="Arial"/>
          <w:color w:val="auto"/>
        </w:rPr>
      </w:pPr>
      <w:r w:rsidRPr="003C7E62">
        <w:rPr>
          <w:rFonts w:cs="Arial"/>
          <w:b/>
          <w:color w:val="auto"/>
        </w:rPr>
        <w:t xml:space="preserve">Local Transport Plan: </w:t>
      </w:r>
      <w:r w:rsidRPr="003C7E62">
        <w:rPr>
          <w:rFonts w:cs="Arial"/>
          <w:color w:val="auto"/>
        </w:rPr>
        <w:t>Undertaken by Nottinghamshire County Council and by Nottingham City Council the local transport plans sets out the transport strategy and outlines a programme of measures to be delivered over the short, medium and long term.  The strategies covers all types of transport including public transport, walking, cycling, cars and freight.</w:t>
      </w:r>
    </w:p>
    <w:p w14:paraId="6D16C0AC" w14:textId="77777777" w:rsidR="004D690C" w:rsidRPr="003C7E62" w:rsidRDefault="004D690C" w:rsidP="004D690C">
      <w:pPr>
        <w:keepNext w:val="0"/>
        <w:spacing w:before="0"/>
        <w:rPr>
          <w:rFonts w:cs="Arial"/>
          <w:color w:val="auto"/>
        </w:rPr>
      </w:pPr>
    </w:p>
    <w:p w14:paraId="1CEA772E" w14:textId="77777777" w:rsidR="004D690C" w:rsidRPr="003C7E62" w:rsidRDefault="004D690C" w:rsidP="004D690C">
      <w:pPr>
        <w:keepNext w:val="0"/>
        <w:spacing w:before="0"/>
        <w:rPr>
          <w:rFonts w:cs="Arial"/>
          <w:color w:val="auto"/>
        </w:rPr>
      </w:pPr>
      <w:r w:rsidRPr="003C7E62">
        <w:rPr>
          <w:rFonts w:cs="Arial"/>
          <w:b/>
          <w:color w:val="auto"/>
        </w:rPr>
        <w:t xml:space="preserve">Local Wildlife Sites: </w:t>
      </w:r>
      <w:r w:rsidRPr="003C7E62">
        <w:rPr>
          <w:rFonts w:cs="Arial"/>
          <w:color w:val="auto"/>
        </w:rPr>
        <w:t xml:space="preserve">Site of local importance for nature conservation or geology identified by the Nottinghamshire Biological and Geological Records Centre.  They were formally known as Site of Importance for Nature Conservation (SINC).  </w:t>
      </w:r>
    </w:p>
    <w:p w14:paraId="69EADA61" w14:textId="77777777" w:rsidR="004D690C" w:rsidRPr="003C7E62" w:rsidRDefault="004D690C" w:rsidP="004D690C">
      <w:pPr>
        <w:keepNext w:val="0"/>
        <w:spacing w:before="0"/>
        <w:rPr>
          <w:rFonts w:cs="Arial"/>
          <w:color w:val="C00000"/>
        </w:rPr>
      </w:pPr>
    </w:p>
    <w:p w14:paraId="71C89DB1" w14:textId="77777777" w:rsidR="004D690C" w:rsidRPr="003C7E62" w:rsidRDefault="004D690C" w:rsidP="004D690C">
      <w:pPr>
        <w:keepNext w:val="0"/>
        <w:spacing w:before="0"/>
        <w:rPr>
          <w:rFonts w:cs="Arial"/>
          <w:b/>
          <w:color w:val="auto"/>
        </w:rPr>
      </w:pPr>
      <w:r w:rsidRPr="003C7E62">
        <w:rPr>
          <w:rFonts w:cs="Arial"/>
          <w:b/>
          <w:color w:val="auto"/>
        </w:rPr>
        <w:t xml:space="preserve">Minerals Local Plan: </w:t>
      </w:r>
      <w:r w:rsidRPr="003C7E62">
        <w:rPr>
          <w:rFonts w:cs="Arial"/>
          <w:color w:val="auto"/>
        </w:rPr>
        <w:t>In Nottinghamshire prepared by the County Council acting as the Authority responsible for minerals related issues.  Key issues include the amount of minerals we will need to produce to meet demand, the location of future sites and the social and environmental impacts of mineral working.</w:t>
      </w:r>
    </w:p>
    <w:p w14:paraId="38568311" w14:textId="77777777" w:rsidR="004D690C" w:rsidRPr="003C7E62" w:rsidRDefault="004D690C" w:rsidP="004D690C">
      <w:pPr>
        <w:keepNext w:val="0"/>
        <w:spacing w:before="0"/>
        <w:rPr>
          <w:rFonts w:cs="Arial"/>
          <w:b/>
          <w:color w:val="auto"/>
        </w:rPr>
      </w:pPr>
    </w:p>
    <w:p w14:paraId="53D6852F" w14:textId="547795C2" w:rsidR="004D690C" w:rsidRPr="00405C0A" w:rsidRDefault="004D690C" w:rsidP="00405C0A">
      <w:pPr>
        <w:keepNext w:val="0"/>
        <w:autoSpaceDE w:val="0"/>
        <w:autoSpaceDN w:val="0"/>
        <w:adjustRightInd w:val="0"/>
        <w:spacing w:before="0"/>
        <w:rPr>
          <w:rFonts w:cs="Arial"/>
          <w:b/>
          <w:color w:val="auto"/>
          <w:szCs w:val="24"/>
        </w:rPr>
      </w:pPr>
      <w:r w:rsidRPr="00405C0A">
        <w:rPr>
          <w:rFonts w:cs="Arial"/>
          <w:b/>
          <w:color w:val="auto"/>
          <w:szCs w:val="24"/>
        </w:rPr>
        <w:t xml:space="preserve">National Planning Policy Framework: </w:t>
      </w:r>
      <w:r w:rsidRPr="00405C0A">
        <w:rPr>
          <w:rFonts w:cs="Arial"/>
          <w:color w:val="auto"/>
          <w:szCs w:val="24"/>
        </w:rPr>
        <w:t>The N</w:t>
      </w:r>
      <w:r w:rsidR="00E478F6">
        <w:rPr>
          <w:rFonts w:cs="Arial"/>
          <w:color w:val="auto"/>
          <w:szCs w:val="24"/>
        </w:rPr>
        <w:t>PPF</w:t>
      </w:r>
      <w:r w:rsidRPr="00405C0A">
        <w:rPr>
          <w:rFonts w:cs="Arial"/>
          <w:color w:val="auto"/>
          <w:szCs w:val="24"/>
        </w:rPr>
        <w:t xml:space="preserve"> sets out the Government’s planning policies for England and how these are expected to be applied.  It provides a framework of polices within which local people and their accountable council can produce their own distinctive local and neighbourhood plans, which reflect the needs and priorities of their communities. </w:t>
      </w:r>
    </w:p>
    <w:p w14:paraId="67C040DA" w14:textId="77777777" w:rsidR="004D690C" w:rsidRPr="003C7E62" w:rsidRDefault="004D690C" w:rsidP="00405C0A">
      <w:pPr>
        <w:keepNext w:val="0"/>
        <w:spacing w:before="0"/>
        <w:rPr>
          <w:rFonts w:cs="Arial"/>
          <w:color w:val="auto"/>
        </w:rPr>
      </w:pPr>
    </w:p>
    <w:p w14:paraId="5584D0CC" w14:textId="77777777" w:rsidR="004D690C" w:rsidRPr="003C7E62" w:rsidRDefault="004D690C" w:rsidP="00405C0A">
      <w:pPr>
        <w:keepNext w:val="0"/>
        <w:spacing w:before="0"/>
        <w:rPr>
          <w:rFonts w:cs="Arial"/>
          <w:color w:val="C00000"/>
        </w:rPr>
      </w:pPr>
      <w:r w:rsidRPr="003C7E62">
        <w:rPr>
          <w:rFonts w:cs="Arial"/>
          <w:b/>
          <w:color w:val="auto"/>
        </w:rPr>
        <w:t>Nottingham Express Transit (NET):</w:t>
      </w:r>
      <w:r w:rsidRPr="003C7E62">
        <w:rPr>
          <w:rFonts w:cs="Arial"/>
          <w:color w:val="auto"/>
        </w:rPr>
        <w:t xml:space="preserve"> The light rail system for Greater Nottingham with stops at Hucknall and Butlers Hill in Ashfield.</w:t>
      </w:r>
      <w:r w:rsidRPr="003C7E62">
        <w:rPr>
          <w:rFonts w:cs="Arial"/>
          <w:color w:val="C00000"/>
        </w:rPr>
        <w:t xml:space="preserve">  </w:t>
      </w:r>
    </w:p>
    <w:p w14:paraId="634B07A3" w14:textId="77777777" w:rsidR="004D690C" w:rsidRPr="003C7E62" w:rsidRDefault="004D690C" w:rsidP="00405C0A">
      <w:pPr>
        <w:keepNext w:val="0"/>
        <w:spacing w:before="0"/>
        <w:rPr>
          <w:rFonts w:cs="Arial"/>
          <w:b/>
          <w:color w:val="auto"/>
        </w:rPr>
      </w:pPr>
    </w:p>
    <w:p w14:paraId="5070D6C6" w14:textId="77777777" w:rsidR="004D690C" w:rsidRPr="003C7E62" w:rsidRDefault="004D690C" w:rsidP="00E605B7">
      <w:pPr>
        <w:rPr>
          <w:rFonts w:cs="Arial"/>
          <w:bCs/>
          <w:iCs/>
          <w:color w:val="C00000"/>
          <w:szCs w:val="24"/>
          <w:lang w:val="en" w:eastAsia="en-US"/>
        </w:rPr>
      </w:pPr>
      <w:r w:rsidRPr="003C7E62">
        <w:rPr>
          <w:rFonts w:cs="Arial"/>
          <w:b/>
          <w:iCs/>
          <w:color w:val="auto"/>
          <w:szCs w:val="24"/>
          <w:lang w:eastAsia="en-US"/>
        </w:rPr>
        <w:t xml:space="preserve">Open Space: </w:t>
      </w:r>
      <w:r w:rsidRPr="003C7E62">
        <w:rPr>
          <w:rFonts w:cs="Arial"/>
          <w:bCs/>
          <w:iCs/>
          <w:color w:val="auto"/>
          <w:szCs w:val="24"/>
          <w:lang w:eastAsia="en-US"/>
        </w:rPr>
        <w:t xml:space="preserve">Any unbuilt land within the boundary of a village, town or city which provides, or has the potential to provide, environmental, social and/or economic benefits to communities, </w:t>
      </w:r>
      <w:r w:rsidRPr="003C7E62">
        <w:rPr>
          <w:rFonts w:cs="Arial"/>
          <w:bCs/>
          <w:iCs/>
          <w:color w:val="auto"/>
          <w:szCs w:val="24"/>
          <w:lang w:val="en" w:eastAsia="en-US"/>
        </w:rPr>
        <w:t>including visual amenity</w:t>
      </w:r>
      <w:r w:rsidRPr="003C7E62">
        <w:rPr>
          <w:rFonts w:cs="Arial"/>
          <w:bCs/>
          <w:iCs/>
          <w:color w:val="auto"/>
          <w:szCs w:val="24"/>
          <w:lang w:eastAsia="en-US"/>
        </w:rPr>
        <w:t xml:space="preserve">, whether direct or indirect. </w:t>
      </w:r>
      <w:r w:rsidRPr="003C7E62">
        <w:rPr>
          <w:rFonts w:cs="Arial"/>
          <w:b/>
          <w:bCs/>
          <w:i/>
          <w:iCs/>
          <w:color w:val="auto"/>
          <w:szCs w:val="24"/>
          <w:lang w:val="en" w:eastAsia="en-US"/>
        </w:rPr>
        <w:t xml:space="preserve"> </w:t>
      </w:r>
      <w:r w:rsidRPr="003C7E62">
        <w:rPr>
          <w:rFonts w:cs="Arial"/>
          <w:bCs/>
          <w:iCs/>
          <w:color w:val="auto"/>
          <w:szCs w:val="24"/>
          <w:lang w:eastAsia="en-US"/>
        </w:rPr>
        <w:t xml:space="preserve">It can include </w:t>
      </w:r>
      <w:r w:rsidRPr="003C7E62">
        <w:rPr>
          <w:rFonts w:cs="Arial"/>
          <w:bCs/>
          <w:iCs/>
          <w:color w:val="auto"/>
          <w:szCs w:val="24"/>
          <w:lang w:val="en" w:eastAsia="en-US"/>
        </w:rPr>
        <w:t>areas of water such as rivers, canals, lakes and reservoirs.</w:t>
      </w:r>
      <w:r w:rsidRPr="003C7E62">
        <w:rPr>
          <w:rFonts w:cs="Arial"/>
          <w:bCs/>
          <w:iCs/>
          <w:color w:val="C00000"/>
          <w:szCs w:val="24"/>
          <w:lang w:val="en" w:eastAsia="en-US"/>
        </w:rPr>
        <w:t xml:space="preserve">   </w:t>
      </w:r>
    </w:p>
    <w:p w14:paraId="13EC4C9D" w14:textId="77777777" w:rsidR="004D690C" w:rsidRPr="003C7E62" w:rsidRDefault="004D690C" w:rsidP="00405C0A">
      <w:pPr>
        <w:keepNext w:val="0"/>
        <w:spacing w:before="0"/>
        <w:rPr>
          <w:rFonts w:cs="Arial"/>
          <w:color w:val="auto"/>
          <w:lang w:val="en" w:eastAsia="en-US"/>
        </w:rPr>
      </w:pPr>
    </w:p>
    <w:p w14:paraId="6B43DEFA" w14:textId="77777777" w:rsidR="004D690C" w:rsidRPr="003C7E62" w:rsidRDefault="004D690C" w:rsidP="00405C0A">
      <w:pPr>
        <w:keepNext w:val="0"/>
        <w:spacing w:before="0"/>
        <w:rPr>
          <w:rFonts w:cs="Arial"/>
          <w:color w:val="auto"/>
          <w:lang w:eastAsia="en-US"/>
        </w:rPr>
      </w:pPr>
      <w:r w:rsidRPr="003C7E62">
        <w:rPr>
          <w:rFonts w:cs="Arial"/>
          <w:b/>
          <w:color w:val="auto"/>
          <w:lang w:eastAsia="en-US"/>
        </w:rPr>
        <w:t xml:space="preserve">Out of centre: </w:t>
      </w:r>
      <w:r w:rsidRPr="003C7E62">
        <w:rPr>
          <w:rFonts w:cs="Arial"/>
          <w:color w:val="auto"/>
          <w:lang w:eastAsia="en-US"/>
        </w:rPr>
        <w:t>A location which is not in or on the edge of a centre but not necessarily outside the urban area.</w:t>
      </w:r>
    </w:p>
    <w:p w14:paraId="25CE02A6" w14:textId="77777777" w:rsidR="004D690C" w:rsidRPr="003C7E62" w:rsidRDefault="004D690C" w:rsidP="00405C0A">
      <w:pPr>
        <w:keepNext w:val="0"/>
        <w:spacing w:before="0"/>
        <w:rPr>
          <w:rFonts w:cs="Arial"/>
          <w:color w:val="auto"/>
        </w:rPr>
      </w:pPr>
    </w:p>
    <w:p w14:paraId="6B486E72" w14:textId="77777777" w:rsidR="004D690C" w:rsidRPr="003C7E62" w:rsidRDefault="004D690C" w:rsidP="00405C0A">
      <w:pPr>
        <w:keepNext w:val="0"/>
        <w:autoSpaceDE w:val="0"/>
        <w:autoSpaceDN w:val="0"/>
        <w:adjustRightInd w:val="0"/>
        <w:spacing w:before="0"/>
        <w:rPr>
          <w:rFonts w:cs="Arial"/>
          <w:color w:val="auto"/>
        </w:rPr>
      </w:pPr>
      <w:r w:rsidRPr="003C7E62">
        <w:rPr>
          <w:rFonts w:cs="Arial"/>
          <w:b/>
          <w:color w:val="auto"/>
        </w:rPr>
        <w:t xml:space="preserve">Physical Infrastructure: </w:t>
      </w:r>
      <w:r w:rsidRPr="003C7E62">
        <w:rPr>
          <w:rFonts w:cs="Arial"/>
          <w:color w:val="auto"/>
        </w:rPr>
        <w:t xml:space="preserve">Physical infrastructure refers to the technical services that support, sustain or enhance living conditions.  </w:t>
      </w:r>
      <w:r w:rsidRPr="003C7E62">
        <w:rPr>
          <w:rFonts w:cs="Arial"/>
          <w:bCs/>
          <w:color w:val="auto"/>
        </w:rPr>
        <w:t xml:space="preserve">This includes but is not limited to </w:t>
      </w:r>
      <w:r w:rsidRPr="003C7E62">
        <w:rPr>
          <w:rFonts w:cs="Arial"/>
          <w:color w:val="auto"/>
        </w:rPr>
        <w:t xml:space="preserve">providing energy, water, telecommunications, highways, bridges, airports, waste management and disposal that allow communities and local businesses to thrive. </w:t>
      </w:r>
    </w:p>
    <w:p w14:paraId="54C20AF1" w14:textId="77777777" w:rsidR="004D690C" w:rsidRPr="003C7E62" w:rsidRDefault="004D690C" w:rsidP="00405C0A">
      <w:pPr>
        <w:keepNext w:val="0"/>
        <w:autoSpaceDE w:val="0"/>
        <w:autoSpaceDN w:val="0"/>
        <w:adjustRightInd w:val="0"/>
        <w:spacing w:before="0"/>
        <w:rPr>
          <w:rFonts w:cs="Arial"/>
          <w:color w:val="auto"/>
        </w:rPr>
      </w:pPr>
    </w:p>
    <w:p w14:paraId="332A9F63" w14:textId="77777777" w:rsidR="004D690C" w:rsidRPr="003C7E62" w:rsidRDefault="004D690C" w:rsidP="00405C0A">
      <w:pPr>
        <w:keepNext w:val="0"/>
        <w:autoSpaceDE w:val="0"/>
        <w:autoSpaceDN w:val="0"/>
        <w:adjustRightInd w:val="0"/>
        <w:spacing w:before="0"/>
        <w:rPr>
          <w:rFonts w:cs="Arial"/>
          <w:b/>
          <w:color w:val="auto"/>
        </w:rPr>
      </w:pPr>
      <w:r w:rsidRPr="003C7E62">
        <w:rPr>
          <w:rFonts w:cs="Arial"/>
          <w:b/>
          <w:color w:val="auto"/>
        </w:rPr>
        <w:t xml:space="preserve">Pitch: </w:t>
      </w:r>
      <w:r w:rsidRPr="003C7E62">
        <w:rPr>
          <w:rFonts w:cs="Arial"/>
          <w:color w:val="auto"/>
        </w:rPr>
        <w:t>A pitch on a “gypsy and traveller” site. As a general guide an average family pitch should be capable of accommodating an amenity building, a large trailer and touring caravan, parking space for 2 vehicles and a small garden area. (CLG, Designing Gypsy &amp; Traveller Sites: Good Practice Guidance, 2008).</w:t>
      </w:r>
    </w:p>
    <w:p w14:paraId="053158A8" w14:textId="77777777" w:rsidR="004D690C" w:rsidRPr="003C7E62" w:rsidRDefault="004D690C" w:rsidP="00405C0A">
      <w:pPr>
        <w:keepNext w:val="0"/>
        <w:spacing w:before="0"/>
        <w:rPr>
          <w:rFonts w:cs="Arial"/>
          <w:b/>
          <w:color w:val="auto"/>
        </w:rPr>
      </w:pPr>
    </w:p>
    <w:p w14:paraId="5122E7A4" w14:textId="77777777" w:rsidR="004D690C" w:rsidRPr="003C7E62" w:rsidRDefault="004D690C" w:rsidP="00405C0A">
      <w:pPr>
        <w:keepNext w:val="0"/>
        <w:spacing w:before="0"/>
        <w:rPr>
          <w:rFonts w:cs="Arial"/>
          <w:color w:val="auto"/>
        </w:rPr>
      </w:pPr>
      <w:r w:rsidRPr="003C7E62">
        <w:rPr>
          <w:rFonts w:cs="Arial"/>
          <w:b/>
          <w:color w:val="auto"/>
        </w:rPr>
        <w:t>Planning and Compulsory Purchase Act 2004:</w:t>
      </w:r>
      <w:r w:rsidRPr="003C7E62">
        <w:rPr>
          <w:rFonts w:cs="Arial"/>
          <w:color w:val="auto"/>
        </w:rPr>
        <w:t xml:space="preserve"> Government legislation which sets out the provisions for the local planning system.</w:t>
      </w:r>
    </w:p>
    <w:p w14:paraId="431D6AC6" w14:textId="77777777" w:rsidR="004D690C" w:rsidRPr="003C7E62" w:rsidRDefault="004D690C" w:rsidP="00405C0A">
      <w:pPr>
        <w:keepNext w:val="0"/>
        <w:spacing w:before="0"/>
        <w:rPr>
          <w:rFonts w:cs="Arial"/>
          <w:color w:val="auto"/>
        </w:rPr>
      </w:pPr>
    </w:p>
    <w:p w14:paraId="5A9612DB" w14:textId="068828D0" w:rsidR="004D690C" w:rsidRPr="003C7E62" w:rsidRDefault="004D690C" w:rsidP="00405C0A">
      <w:pPr>
        <w:keepNext w:val="0"/>
        <w:spacing w:before="0"/>
        <w:rPr>
          <w:rFonts w:cs="Arial"/>
          <w:color w:val="auto"/>
          <w:szCs w:val="24"/>
        </w:rPr>
      </w:pPr>
      <w:r w:rsidRPr="003C7E62">
        <w:rPr>
          <w:rFonts w:cs="Arial"/>
          <w:b/>
          <w:color w:val="auto"/>
          <w:szCs w:val="24"/>
        </w:rPr>
        <w:t>Planning Practice Guidance:</w:t>
      </w:r>
      <w:r w:rsidRPr="003C7E62">
        <w:rPr>
          <w:rFonts w:cs="Arial"/>
          <w:color w:val="auto"/>
          <w:szCs w:val="24"/>
        </w:rPr>
        <w:t xml:space="preserve"> Published by the Department for Communities and Local Government to provide guidance to the N</w:t>
      </w:r>
      <w:r w:rsidR="00E478F6">
        <w:rPr>
          <w:rFonts w:cs="Arial"/>
          <w:color w:val="auto"/>
          <w:szCs w:val="24"/>
        </w:rPr>
        <w:t>PPF</w:t>
      </w:r>
      <w:r w:rsidRPr="003C7E62">
        <w:rPr>
          <w:rFonts w:cs="Arial"/>
          <w:color w:val="auto"/>
          <w:szCs w:val="24"/>
        </w:rPr>
        <w:t xml:space="preserve">. </w:t>
      </w:r>
    </w:p>
    <w:p w14:paraId="4A5E4F19" w14:textId="77777777" w:rsidR="004D690C" w:rsidRPr="003C7E62" w:rsidRDefault="004D690C" w:rsidP="00405C0A">
      <w:pPr>
        <w:keepNext w:val="0"/>
        <w:spacing w:before="0"/>
        <w:rPr>
          <w:rFonts w:cs="Arial"/>
          <w:color w:val="auto"/>
        </w:rPr>
      </w:pPr>
    </w:p>
    <w:p w14:paraId="1F0D4F5F" w14:textId="77777777" w:rsidR="004D690C" w:rsidRPr="003C7E62" w:rsidRDefault="004D690C" w:rsidP="00405C0A">
      <w:pPr>
        <w:keepNext w:val="0"/>
        <w:autoSpaceDE w:val="0"/>
        <w:autoSpaceDN w:val="0"/>
        <w:adjustRightInd w:val="0"/>
        <w:spacing w:before="0"/>
        <w:rPr>
          <w:rFonts w:cs="Arial"/>
          <w:color w:val="000000"/>
          <w:szCs w:val="24"/>
          <w:lang w:val="en-US" w:eastAsia="en-US"/>
        </w:rPr>
      </w:pPr>
      <w:r w:rsidRPr="003C7E62">
        <w:rPr>
          <w:rFonts w:cs="Arial"/>
          <w:b/>
          <w:color w:val="000000"/>
          <w:szCs w:val="24"/>
          <w:lang w:val="en-US" w:eastAsia="en-US"/>
        </w:rPr>
        <w:t xml:space="preserve">Plot: </w:t>
      </w:r>
      <w:r w:rsidRPr="003C7E62">
        <w:rPr>
          <w:rFonts w:cs="Arial"/>
          <w:color w:val="000000"/>
          <w:szCs w:val="24"/>
          <w:lang w:val="en-US" w:eastAsia="en-US"/>
        </w:rPr>
        <w:t>A pitch on a “travelling showpeople” site (often called a “yard”).  T</w:t>
      </w:r>
      <w:r w:rsidRPr="003C7E62">
        <w:rPr>
          <w:rFonts w:cs="Arial"/>
          <w:color w:val="000000"/>
          <w:szCs w:val="24"/>
          <w:lang w:val="en-US"/>
        </w:rPr>
        <w:t>he area of land for which a site license is paid and includes the area set aside by one family unit as well as land set aside for the storage and maintenance of their equipment.  The Showman’s Guild recommend a minimum area of 0.2 ha (0.5 acres) per yard.</w:t>
      </w:r>
    </w:p>
    <w:p w14:paraId="5CAAA875" w14:textId="77777777" w:rsidR="004D690C" w:rsidRPr="003C7E62" w:rsidRDefault="004D690C" w:rsidP="00405C0A">
      <w:pPr>
        <w:keepNext w:val="0"/>
        <w:spacing w:before="0"/>
        <w:rPr>
          <w:rFonts w:cs="Arial"/>
          <w:b/>
          <w:color w:val="auto"/>
        </w:rPr>
      </w:pPr>
    </w:p>
    <w:p w14:paraId="1A0D6C25" w14:textId="77777777" w:rsidR="004D690C" w:rsidRPr="003C7E62" w:rsidRDefault="004D690C" w:rsidP="00405C0A">
      <w:pPr>
        <w:keepNext w:val="0"/>
        <w:spacing w:before="0"/>
        <w:rPr>
          <w:rFonts w:cs="Arial"/>
          <w:color w:val="auto"/>
        </w:rPr>
      </w:pPr>
      <w:r w:rsidRPr="003C7E62">
        <w:rPr>
          <w:rFonts w:cs="Arial"/>
          <w:b/>
          <w:color w:val="auto"/>
        </w:rPr>
        <w:t xml:space="preserve">Previously Developed Land (PDL): </w:t>
      </w:r>
      <w:r w:rsidRPr="003C7E62">
        <w:rPr>
          <w:rFonts w:cs="Arial"/>
          <w:color w:val="auto"/>
        </w:rPr>
        <w:t>Land which has in the past been a developed site (see Brownfield land).</w:t>
      </w:r>
    </w:p>
    <w:p w14:paraId="0FFA808A" w14:textId="77777777" w:rsidR="004D690C" w:rsidRPr="003C7E62" w:rsidRDefault="004D690C" w:rsidP="00405C0A">
      <w:pPr>
        <w:keepNext w:val="0"/>
        <w:spacing w:before="0"/>
        <w:rPr>
          <w:rFonts w:cs="Arial"/>
          <w:b/>
          <w:color w:val="auto"/>
        </w:rPr>
      </w:pPr>
    </w:p>
    <w:p w14:paraId="2125B966" w14:textId="77777777" w:rsidR="004D690C" w:rsidRPr="003C7E62" w:rsidRDefault="004D690C" w:rsidP="00405C0A">
      <w:pPr>
        <w:keepNext w:val="0"/>
        <w:spacing w:before="0"/>
        <w:rPr>
          <w:rFonts w:cs="Arial"/>
          <w:color w:val="auto"/>
        </w:rPr>
      </w:pPr>
      <w:r w:rsidRPr="003C7E62">
        <w:rPr>
          <w:rFonts w:cs="Arial"/>
          <w:b/>
          <w:color w:val="auto"/>
        </w:rPr>
        <w:t xml:space="preserve">Primary Shopping Area: </w:t>
      </w:r>
      <w:r w:rsidRPr="003C7E62">
        <w:rPr>
          <w:rFonts w:cs="Arial"/>
          <w:color w:val="auto"/>
        </w:rPr>
        <w:t>Defined area where retail development is concentrated (generally comprising primary and those secondary frontages which are contiguous and closely relating to the primary frontage).</w:t>
      </w:r>
    </w:p>
    <w:p w14:paraId="3F464E3A" w14:textId="77777777" w:rsidR="004D690C" w:rsidRPr="003C7E62" w:rsidRDefault="004D690C" w:rsidP="00405C0A">
      <w:pPr>
        <w:keepNext w:val="0"/>
        <w:spacing w:before="0"/>
        <w:rPr>
          <w:rFonts w:cs="Arial"/>
          <w:color w:val="auto"/>
        </w:rPr>
      </w:pPr>
    </w:p>
    <w:p w14:paraId="27C6EC02" w14:textId="153B1B94" w:rsidR="003E1553" w:rsidRPr="003E1553" w:rsidRDefault="003E1553" w:rsidP="003E1553">
      <w:pPr>
        <w:keepNext w:val="0"/>
        <w:spacing w:before="0"/>
        <w:rPr>
          <w:rFonts w:cs="Arial"/>
          <w:bCs/>
          <w:color w:val="auto"/>
        </w:rPr>
      </w:pPr>
      <w:r w:rsidRPr="003E1553">
        <w:rPr>
          <w:rFonts w:cs="Arial"/>
          <w:b/>
          <w:color w:val="auto"/>
        </w:rPr>
        <w:t xml:space="preserve">Prior Approval - </w:t>
      </w:r>
      <w:r w:rsidRPr="003E1553">
        <w:rPr>
          <w:rFonts w:cs="Arial"/>
          <w:bCs/>
          <w:color w:val="auto"/>
        </w:rPr>
        <w:t>In relation to planning permission this can be granted through:</w:t>
      </w:r>
    </w:p>
    <w:p w14:paraId="4D5EE143" w14:textId="006B19BC" w:rsidR="003E1553" w:rsidRPr="003E1553" w:rsidRDefault="003E1553" w:rsidP="003E1553">
      <w:pPr>
        <w:keepNext w:val="0"/>
        <w:spacing w:before="0"/>
        <w:rPr>
          <w:rFonts w:cs="Arial"/>
          <w:b/>
          <w:color w:val="auto"/>
        </w:rPr>
      </w:pPr>
      <w:r w:rsidRPr="003E1553">
        <w:rPr>
          <w:rFonts w:cs="Arial"/>
          <w:bCs/>
          <w:color w:val="auto"/>
        </w:rPr>
        <w:t xml:space="preserve"> </w:t>
      </w:r>
    </w:p>
    <w:p w14:paraId="059798D2" w14:textId="150960BB" w:rsidR="003E1553" w:rsidRDefault="003E1553" w:rsidP="00874A98">
      <w:pPr>
        <w:pStyle w:val="ListParagraph"/>
        <w:numPr>
          <w:ilvl w:val="0"/>
          <w:numId w:val="309"/>
        </w:numPr>
        <w:spacing w:after="0" w:line="240" w:lineRule="auto"/>
        <w:rPr>
          <w:rFonts w:ascii="Arial" w:hAnsi="Arial" w:cs="Arial"/>
          <w:bCs/>
          <w:color w:val="auto"/>
        </w:rPr>
      </w:pPr>
      <w:r w:rsidRPr="003E1553">
        <w:rPr>
          <w:rFonts w:ascii="Arial" w:hAnsi="Arial" w:cs="Arial"/>
          <w:bCs/>
          <w:color w:val="auto"/>
        </w:rPr>
        <w:t>A planning application which is submitted to the local planning authority, who can balance the impact of the development including on the environment and community with the economic benefits, and make a decision; and</w:t>
      </w:r>
    </w:p>
    <w:p w14:paraId="23D09D9B" w14:textId="77777777" w:rsidR="003E1553" w:rsidRPr="003E1553" w:rsidRDefault="003E1553" w:rsidP="003E1553">
      <w:pPr>
        <w:pStyle w:val="ListParagraph"/>
        <w:spacing w:after="0" w:line="240" w:lineRule="auto"/>
        <w:ind w:left="360"/>
        <w:rPr>
          <w:rFonts w:ascii="Arial" w:hAnsi="Arial" w:cs="Arial"/>
          <w:bCs/>
          <w:color w:val="auto"/>
        </w:rPr>
      </w:pPr>
    </w:p>
    <w:p w14:paraId="14758299" w14:textId="7582A9E9" w:rsidR="003E1553" w:rsidRPr="003E1553" w:rsidRDefault="003E1553" w:rsidP="00874A98">
      <w:pPr>
        <w:pStyle w:val="ListParagraph"/>
        <w:numPr>
          <w:ilvl w:val="0"/>
          <w:numId w:val="309"/>
        </w:numPr>
        <w:spacing w:after="0" w:line="240" w:lineRule="auto"/>
        <w:rPr>
          <w:rFonts w:ascii="Arial" w:hAnsi="Arial" w:cs="Arial"/>
          <w:bCs/>
          <w:color w:val="auto"/>
        </w:rPr>
      </w:pPr>
      <w:r w:rsidRPr="003E1553">
        <w:rPr>
          <w:rFonts w:ascii="Arial" w:hAnsi="Arial" w:cs="Arial"/>
          <w:bCs/>
          <w:color w:val="auto"/>
        </w:rPr>
        <w:t>Government can grant planning permission for specific types of development under the General Permitted Development Order.  Most permitted development rights are subject to conditions and limitations. One such condition on certain classes of permitted development is the need to apply to the Local Planning Authority for its 'Prior Approval'; or to determine if its 'Prior Approval' will be required. This allows the Local Planning Authority to consider the proposals, their likely impacts in regard to certain factors (e.g. transport and highways) and how these may be mitigated.</w:t>
      </w:r>
    </w:p>
    <w:p w14:paraId="12DB40D4" w14:textId="77777777" w:rsidR="003E1553" w:rsidRPr="003E1553" w:rsidRDefault="003E1553" w:rsidP="003E1553">
      <w:pPr>
        <w:keepNext w:val="0"/>
        <w:spacing w:before="0"/>
        <w:rPr>
          <w:rFonts w:cs="Arial"/>
          <w:bCs/>
          <w:color w:val="auto"/>
        </w:rPr>
      </w:pPr>
    </w:p>
    <w:p w14:paraId="0733EE8D" w14:textId="7B1FED30" w:rsidR="004D690C" w:rsidRPr="003C7E62" w:rsidRDefault="004D690C" w:rsidP="00405C0A">
      <w:pPr>
        <w:keepNext w:val="0"/>
        <w:spacing w:before="0"/>
        <w:rPr>
          <w:rFonts w:cs="Arial"/>
          <w:b/>
          <w:color w:val="auto"/>
        </w:rPr>
      </w:pPr>
      <w:r w:rsidRPr="003C7E62">
        <w:rPr>
          <w:rFonts w:cs="Arial"/>
          <w:b/>
          <w:color w:val="auto"/>
        </w:rPr>
        <w:t xml:space="preserve">Recreational Equine Development: </w:t>
      </w:r>
      <w:r w:rsidRPr="003C7E62">
        <w:rPr>
          <w:rFonts w:cs="Arial"/>
          <w:color w:val="auto"/>
        </w:rPr>
        <w:t>Means the keeping and training of horses/ponies which are owned by the occupant or owner of the property for leisure purposes.  The horses/ponies are not kept for remuneration, hire or sale and the development is not open for public use.</w:t>
      </w:r>
    </w:p>
    <w:p w14:paraId="6E5344C7" w14:textId="77777777" w:rsidR="004D690C" w:rsidRPr="003C7E62" w:rsidRDefault="004D690C" w:rsidP="00405C0A">
      <w:pPr>
        <w:keepNext w:val="0"/>
        <w:spacing w:before="0"/>
        <w:rPr>
          <w:rFonts w:cs="Arial"/>
          <w:b/>
          <w:color w:val="000000"/>
          <w:szCs w:val="24"/>
          <w:lang w:val="en-US"/>
        </w:rPr>
      </w:pPr>
    </w:p>
    <w:p w14:paraId="0B8270EB" w14:textId="77777777" w:rsidR="004D690C" w:rsidRPr="003C7E62" w:rsidRDefault="004D690C" w:rsidP="00405C0A">
      <w:pPr>
        <w:keepNext w:val="0"/>
        <w:spacing w:before="0"/>
        <w:rPr>
          <w:rFonts w:cs="Arial"/>
          <w:color w:val="auto"/>
          <w:szCs w:val="24"/>
        </w:rPr>
      </w:pPr>
      <w:r w:rsidRPr="003C7E62">
        <w:rPr>
          <w:rFonts w:cs="Arial"/>
          <w:b/>
          <w:color w:val="auto"/>
          <w:szCs w:val="24"/>
        </w:rPr>
        <w:t>Regeneration</w:t>
      </w:r>
      <w:r w:rsidRPr="003C7E62">
        <w:rPr>
          <w:rFonts w:cs="Arial"/>
          <w:color w:val="auto"/>
          <w:szCs w:val="24"/>
        </w:rPr>
        <w:t xml:space="preserve">: The </w:t>
      </w:r>
      <w:r w:rsidRPr="003C7E62">
        <w:rPr>
          <w:rFonts w:cs="Arial"/>
          <w:iCs/>
          <w:color w:val="auto"/>
          <w:szCs w:val="24"/>
        </w:rPr>
        <w:t xml:space="preserve">Review of sub national economic development and regeneration, </w:t>
      </w:r>
      <w:r w:rsidRPr="003C7E62">
        <w:rPr>
          <w:rFonts w:cs="Arial"/>
          <w:color w:val="auto"/>
          <w:szCs w:val="24"/>
        </w:rPr>
        <w:t xml:space="preserve">July 2007 defined regeneration “as the broad process of reversing physical, economic and social decline in an area where market forces will not do this without intervention”.  (HM Treasury, Department for Business, </w:t>
      </w:r>
      <w:smartTag w:uri="urn:schemas-microsoft-com:office:smarttags" w:element="place">
        <w:smartTag w:uri="urn:schemas-microsoft-com:office:smarttags" w:element="City">
          <w:r w:rsidRPr="003C7E62">
            <w:rPr>
              <w:rFonts w:cs="Arial"/>
              <w:color w:val="auto"/>
              <w:szCs w:val="24"/>
            </w:rPr>
            <w:t>Enterprise</w:t>
          </w:r>
        </w:smartTag>
      </w:smartTag>
      <w:r w:rsidRPr="003C7E62">
        <w:rPr>
          <w:rFonts w:cs="Arial"/>
          <w:color w:val="auto"/>
          <w:szCs w:val="24"/>
        </w:rPr>
        <w:t xml:space="preserve"> and Regulatory Reform and Department for Communities and Local Government).  Consequently, regeneration is a comprehensive approach, which includes:</w:t>
      </w:r>
    </w:p>
    <w:p w14:paraId="2632AD22" w14:textId="77777777" w:rsidR="004D690C" w:rsidRPr="003C7E62" w:rsidRDefault="004D690C" w:rsidP="00D01157">
      <w:pPr>
        <w:keepNext w:val="0"/>
        <w:numPr>
          <w:ilvl w:val="0"/>
          <w:numId w:val="10"/>
        </w:numPr>
        <w:autoSpaceDE w:val="0"/>
        <w:autoSpaceDN w:val="0"/>
        <w:adjustRightInd w:val="0"/>
        <w:spacing w:before="0"/>
        <w:rPr>
          <w:rFonts w:cs="Arial"/>
          <w:color w:val="auto"/>
        </w:rPr>
      </w:pPr>
      <w:r w:rsidRPr="003C7E62">
        <w:rPr>
          <w:rFonts w:cs="Arial"/>
          <w:bCs/>
          <w:color w:val="auto"/>
        </w:rPr>
        <w:t xml:space="preserve">Economic attributes </w:t>
      </w:r>
      <w:r w:rsidRPr="003C7E62">
        <w:rPr>
          <w:rFonts w:cs="Arial"/>
          <w:color w:val="auto"/>
        </w:rPr>
        <w:t>– relating to employment, skills, and economic opportunities;</w:t>
      </w:r>
    </w:p>
    <w:p w14:paraId="0128A8F4" w14:textId="77777777" w:rsidR="004D690C" w:rsidRPr="003C7E62" w:rsidRDefault="004D690C" w:rsidP="00D01157">
      <w:pPr>
        <w:keepNext w:val="0"/>
        <w:numPr>
          <w:ilvl w:val="0"/>
          <w:numId w:val="10"/>
        </w:numPr>
        <w:autoSpaceDE w:val="0"/>
        <w:autoSpaceDN w:val="0"/>
        <w:adjustRightInd w:val="0"/>
        <w:spacing w:before="0"/>
        <w:rPr>
          <w:rFonts w:cs="Arial"/>
          <w:color w:val="auto"/>
        </w:rPr>
      </w:pPr>
      <w:r w:rsidRPr="003C7E62">
        <w:rPr>
          <w:rFonts w:cs="Arial"/>
          <w:bCs/>
          <w:color w:val="auto"/>
        </w:rPr>
        <w:t xml:space="preserve">Social attributes </w:t>
      </w:r>
      <w:r w:rsidRPr="003C7E62">
        <w:rPr>
          <w:rFonts w:cs="Arial"/>
          <w:color w:val="auto"/>
        </w:rPr>
        <w:t>– quality of life, health, crime, community engagement;</w:t>
      </w:r>
    </w:p>
    <w:p w14:paraId="0FE64394" w14:textId="77777777" w:rsidR="004D690C" w:rsidRPr="003C7E62" w:rsidRDefault="004D690C" w:rsidP="00D01157">
      <w:pPr>
        <w:keepNext w:val="0"/>
        <w:numPr>
          <w:ilvl w:val="0"/>
          <w:numId w:val="10"/>
        </w:numPr>
        <w:autoSpaceDE w:val="0"/>
        <w:autoSpaceDN w:val="0"/>
        <w:adjustRightInd w:val="0"/>
        <w:spacing w:before="0"/>
        <w:rPr>
          <w:rFonts w:cs="Arial"/>
          <w:color w:val="auto"/>
        </w:rPr>
      </w:pPr>
      <w:r w:rsidRPr="003C7E62">
        <w:rPr>
          <w:rFonts w:cs="Arial"/>
          <w:bCs/>
          <w:color w:val="auto"/>
        </w:rPr>
        <w:t xml:space="preserve">Physical attributes </w:t>
      </w:r>
      <w:r w:rsidRPr="003C7E62">
        <w:rPr>
          <w:rFonts w:cs="Arial"/>
          <w:color w:val="auto"/>
        </w:rPr>
        <w:t>– housing types and condition, neighbourhood centres, the public realm; and</w:t>
      </w:r>
    </w:p>
    <w:p w14:paraId="0FBB3B51" w14:textId="77777777" w:rsidR="004D690C" w:rsidRPr="003C7E62" w:rsidRDefault="004D690C" w:rsidP="00D01157">
      <w:pPr>
        <w:keepNext w:val="0"/>
        <w:numPr>
          <w:ilvl w:val="0"/>
          <w:numId w:val="10"/>
        </w:numPr>
        <w:autoSpaceDE w:val="0"/>
        <w:autoSpaceDN w:val="0"/>
        <w:adjustRightInd w:val="0"/>
        <w:spacing w:before="0"/>
        <w:rPr>
          <w:rFonts w:cs="Arial"/>
          <w:color w:val="auto"/>
        </w:rPr>
      </w:pPr>
      <w:r w:rsidRPr="003C7E62">
        <w:rPr>
          <w:rFonts w:cs="Arial"/>
          <w:bCs/>
          <w:color w:val="auto"/>
        </w:rPr>
        <w:t xml:space="preserve">Environmental attributes </w:t>
      </w:r>
      <w:r w:rsidRPr="003C7E62">
        <w:rPr>
          <w:rFonts w:cs="Arial"/>
          <w:color w:val="auto"/>
        </w:rPr>
        <w:t>– the impact on biodiversity, low energy efficiency, localised pollution and poor visual appearance.</w:t>
      </w:r>
    </w:p>
    <w:p w14:paraId="1CDF5A66" w14:textId="77777777" w:rsidR="004D690C" w:rsidRPr="003C7E62" w:rsidRDefault="004D690C" w:rsidP="00405C0A">
      <w:pPr>
        <w:keepNext w:val="0"/>
        <w:spacing w:before="0"/>
        <w:rPr>
          <w:rFonts w:cs="Arial"/>
          <w:b/>
          <w:color w:val="auto"/>
          <w:szCs w:val="24"/>
        </w:rPr>
      </w:pPr>
    </w:p>
    <w:p w14:paraId="3F9BAD38" w14:textId="77777777" w:rsidR="004D690C" w:rsidRPr="003C7E62" w:rsidRDefault="004D690C" w:rsidP="00405C0A">
      <w:pPr>
        <w:keepNext w:val="0"/>
        <w:spacing w:before="0"/>
        <w:rPr>
          <w:rFonts w:cs="Arial"/>
          <w:b/>
          <w:color w:val="993366"/>
          <w:szCs w:val="24"/>
        </w:rPr>
      </w:pPr>
      <w:r w:rsidRPr="003C7E62">
        <w:rPr>
          <w:rFonts w:cs="Arial"/>
          <w:b/>
          <w:color w:val="auto"/>
          <w:szCs w:val="24"/>
        </w:rPr>
        <w:t>Regional Plan, Regional Spatial Strategy (RSS):</w:t>
      </w:r>
      <w:r w:rsidRPr="003C7E62">
        <w:rPr>
          <w:rFonts w:cs="Arial"/>
          <w:b/>
          <w:color w:val="993366"/>
          <w:szCs w:val="24"/>
        </w:rPr>
        <w:t xml:space="preserve"> </w:t>
      </w:r>
      <w:r w:rsidRPr="003C7E62">
        <w:rPr>
          <w:rFonts w:cs="Arial"/>
          <w:color w:val="auto"/>
          <w:szCs w:val="24"/>
        </w:rPr>
        <w:t>The East Midlands Regional Plan (RSS) was issued in March 2009, and provided a framework of planning policies for East Midland Region. This document was formally revoked in April 2013.</w:t>
      </w:r>
    </w:p>
    <w:p w14:paraId="52511B57" w14:textId="77777777" w:rsidR="004D690C" w:rsidRPr="003C7E62" w:rsidRDefault="004D690C" w:rsidP="00405C0A">
      <w:pPr>
        <w:keepNext w:val="0"/>
        <w:spacing w:before="0"/>
        <w:rPr>
          <w:rFonts w:cs="Arial"/>
          <w:b/>
          <w:color w:val="auto"/>
        </w:rPr>
      </w:pPr>
    </w:p>
    <w:p w14:paraId="0C92C09C" w14:textId="77777777" w:rsidR="004D690C" w:rsidRPr="003C7E62" w:rsidRDefault="004D690C" w:rsidP="00405C0A">
      <w:pPr>
        <w:keepNext w:val="0"/>
        <w:spacing w:before="0"/>
        <w:rPr>
          <w:rFonts w:cs="Arial"/>
          <w:color w:val="auto"/>
        </w:rPr>
      </w:pPr>
      <w:r w:rsidRPr="003C7E62">
        <w:rPr>
          <w:rFonts w:cs="Arial"/>
          <w:b/>
          <w:color w:val="auto"/>
        </w:rPr>
        <w:t>Renewable Energy:</w:t>
      </w:r>
      <w:r w:rsidRPr="003C7E62">
        <w:rPr>
          <w:rFonts w:cs="Arial"/>
          <w:color w:val="auto"/>
        </w:rPr>
        <w:t xml:space="preserve"> The term ‘renewable energy’ covers those resources which occur and recur naturally in the environment.  Such resources include heat from the earth or sun, power from the wind and from water and energy from plant material and from the recycling of domestic, industrial or agricultural waste, and from recovering energy from domestic, industrial or agricultural waste.</w:t>
      </w:r>
    </w:p>
    <w:p w14:paraId="74F3D8A4" w14:textId="77777777" w:rsidR="004D690C" w:rsidRPr="003C7E62" w:rsidRDefault="004D690C" w:rsidP="00405C0A">
      <w:pPr>
        <w:keepNext w:val="0"/>
        <w:spacing w:before="0"/>
        <w:rPr>
          <w:rFonts w:cs="Arial"/>
          <w:color w:val="auto"/>
        </w:rPr>
      </w:pPr>
    </w:p>
    <w:p w14:paraId="49CAFFB7" w14:textId="3092580E" w:rsidR="004D690C" w:rsidRPr="003C7E62" w:rsidRDefault="004D690C" w:rsidP="00405C0A">
      <w:pPr>
        <w:keepNext w:val="0"/>
        <w:spacing w:before="0"/>
        <w:rPr>
          <w:rFonts w:cs="Arial"/>
          <w:color w:val="auto"/>
        </w:rPr>
      </w:pPr>
      <w:r w:rsidRPr="003C7E62">
        <w:rPr>
          <w:rFonts w:cs="Arial"/>
          <w:b/>
          <w:color w:val="auto"/>
        </w:rPr>
        <w:t>Robin Hood Line:</w:t>
      </w:r>
      <w:r w:rsidRPr="003C7E62">
        <w:rPr>
          <w:rFonts w:cs="Arial"/>
          <w:color w:val="auto"/>
        </w:rPr>
        <w:t xml:space="preserve"> The passenger railway line developed to connect Nottingham to Worksop.  Stations in Ashfield are located at Hucknall, Kirkby-in-Ashfield and Sutton Parkway</w:t>
      </w:r>
      <w:r w:rsidR="00C52BB8">
        <w:rPr>
          <w:rFonts w:cs="Arial"/>
          <w:color w:val="auto"/>
        </w:rPr>
        <w:t>.</w:t>
      </w:r>
    </w:p>
    <w:p w14:paraId="0BC0FE4E" w14:textId="77777777" w:rsidR="004D690C" w:rsidRPr="003C7E62" w:rsidRDefault="004D690C" w:rsidP="00405C0A">
      <w:pPr>
        <w:keepNext w:val="0"/>
        <w:spacing w:before="0"/>
        <w:rPr>
          <w:rFonts w:cs="Arial"/>
          <w:color w:val="auto"/>
        </w:rPr>
      </w:pPr>
    </w:p>
    <w:p w14:paraId="05E89C41" w14:textId="77777777" w:rsidR="004D690C" w:rsidRPr="003C7E62" w:rsidRDefault="004D690C" w:rsidP="00405C0A">
      <w:pPr>
        <w:keepNext w:val="0"/>
        <w:spacing w:before="0"/>
        <w:rPr>
          <w:rFonts w:cs="Arial"/>
          <w:color w:val="auto"/>
        </w:rPr>
      </w:pPr>
      <w:r w:rsidRPr="003C7E62">
        <w:rPr>
          <w:rFonts w:cs="Arial"/>
          <w:b/>
          <w:color w:val="auto"/>
        </w:rPr>
        <w:t>Rural Area:</w:t>
      </w:r>
      <w:r w:rsidRPr="003C7E62">
        <w:rPr>
          <w:rFonts w:cs="Arial"/>
          <w:color w:val="auto"/>
        </w:rPr>
        <w:t xml:space="preserve"> Those parts of the District identified as Green Belt or Countryside.</w:t>
      </w:r>
    </w:p>
    <w:p w14:paraId="47BF19A4" w14:textId="77777777" w:rsidR="004D690C" w:rsidRPr="003C7E62" w:rsidRDefault="004D690C" w:rsidP="00405C0A">
      <w:pPr>
        <w:keepNext w:val="0"/>
        <w:spacing w:before="0"/>
        <w:rPr>
          <w:rFonts w:cs="Arial"/>
          <w:b/>
          <w:color w:val="auto"/>
        </w:rPr>
      </w:pPr>
    </w:p>
    <w:p w14:paraId="094792FB" w14:textId="77777777" w:rsidR="004D690C" w:rsidRPr="003C7E62" w:rsidRDefault="004D690C" w:rsidP="00405C0A">
      <w:pPr>
        <w:keepNext w:val="0"/>
        <w:spacing w:before="0"/>
        <w:rPr>
          <w:rFonts w:cs="Arial"/>
          <w:color w:val="auto"/>
        </w:rPr>
      </w:pPr>
      <w:r w:rsidRPr="003C7E62">
        <w:rPr>
          <w:rFonts w:cs="Arial"/>
          <w:b/>
          <w:color w:val="auto"/>
        </w:rPr>
        <w:t xml:space="preserve">The Rurals – </w:t>
      </w:r>
      <w:r w:rsidRPr="003C7E62">
        <w:rPr>
          <w:rFonts w:cs="Arial"/>
          <w:color w:val="auto"/>
        </w:rPr>
        <w:t>Covers the District Council wards of Selston, Jacksdale and Underwood and the villages of Selston, Jacksdale, Bagthorpe and Underwood.</w:t>
      </w:r>
    </w:p>
    <w:p w14:paraId="19DE57F7" w14:textId="77777777" w:rsidR="004D690C" w:rsidRPr="003C7E62" w:rsidRDefault="004D690C" w:rsidP="00405C0A">
      <w:pPr>
        <w:keepNext w:val="0"/>
        <w:spacing w:before="0"/>
        <w:rPr>
          <w:rFonts w:cs="Arial"/>
          <w:b/>
          <w:color w:val="auto"/>
        </w:rPr>
      </w:pPr>
    </w:p>
    <w:p w14:paraId="01E15BBA" w14:textId="72589EDA" w:rsidR="004D690C" w:rsidRPr="003C7E62" w:rsidRDefault="004D690C" w:rsidP="00405C0A">
      <w:pPr>
        <w:keepNext w:val="0"/>
        <w:spacing w:before="0"/>
        <w:rPr>
          <w:rFonts w:cs="Arial"/>
          <w:b/>
          <w:color w:val="auto"/>
        </w:rPr>
      </w:pPr>
      <w:r w:rsidRPr="003C7E62">
        <w:rPr>
          <w:rFonts w:cs="Arial"/>
          <w:b/>
          <w:color w:val="auto"/>
        </w:rPr>
        <w:t xml:space="preserve">Saved Policies: </w:t>
      </w:r>
      <w:r w:rsidRPr="003C7E62">
        <w:rPr>
          <w:rFonts w:cs="Arial"/>
          <w:color w:val="auto"/>
        </w:rPr>
        <w:t xml:space="preserve">Policies in the current Local Plan which have been </w:t>
      </w:r>
      <w:r w:rsidR="00C52BB8">
        <w:rPr>
          <w:rFonts w:cs="Arial"/>
          <w:color w:val="auto"/>
        </w:rPr>
        <w:t>retained and are utilised in making planning decisions.</w:t>
      </w:r>
    </w:p>
    <w:p w14:paraId="3D889C80" w14:textId="77777777" w:rsidR="004D690C" w:rsidRPr="003C7E62" w:rsidRDefault="004D690C" w:rsidP="00405C0A">
      <w:pPr>
        <w:keepNext w:val="0"/>
        <w:spacing w:before="0"/>
        <w:rPr>
          <w:rFonts w:cs="Arial"/>
          <w:color w:val="auto"/>
        </w:rPr>
      </w:pPr>
    </w:p>
    <w:p w14:paraId="77B90F20" w14:textId="77777777" w:rsidR="004D690C" w:rsidRPr="003C7E62" w:rsidRDefault="004D690C" w:rsidP="00405C0A">
      <w:pPr>
        <w:keepNext w:val="0"/>
        <w:autoSpaceDE w:val="0"/>
        <w:autoSpaceDN w:val="0"/>
        <w:adjustRightInd w:val="0"/>
        <w:spacing w:before="0"/>
        <w:rPr>
          <w:rFonts w:cs="Arial"/>
          <w:b/>
          <w:color w:val="auto"/>
        </w:rPr>
      </w:pPr>
      <w:r w:rsidRPr="003C7E62">
        <w:rPr>
          <w:rFonts w:cs="Arial"/>
          <w:b/>
          <w:color w:val="auto"/>
        </w:rPr>
        <w:t xml:space="preserve">Section 106 agreement (s106): </w:t>
      </w:r>
      <w:r w:rsidRPr="003C7E62">
        <w:rPr>
          <w:rFonts w:cs="Arial"/>
          <w:color w:val="auto"/>
        </w:rPr>
        <w:t>Planning obligations (or “section 106 agreements”) are an established and valuable mechanism for securing necessary infrastructure arising from a development proposal.  They are commonly used to bring development in line with the objectives of sustainable development as outlined through the relevant local, regional and national planning policies.  The agreements can be used, for example, to provide new or improved open spaces, better sustainable transport links, or more affordable housing.</w:t>
      </w:r>
    </w:p>
    <w:p w14:paraId="118629A0" w14:textId="77777777" w:rsidR="004D690C" w:rsidRPr="003C7E62" w:rsidRDefault="004D690C" w:rsidP="00405C0A">
      <w:pPr>
        <w:keepNext w:val="0"/>
        <w:autoSpaceDE w:val="0"/>
        <w:autoSpaceDN w:val="0"/>
        <w:adjustRightInd w:val="0"/>
        <w:spacing w:before="0"/>
        <w:rPr>
          <w:rFonts w:cs="Arial"/>
          <w:color w:val="000000"/>
          <w:szCs w:val="24"/>
        </w:rPr>
      </w:pPr>
    </w:p>
    <w:p w14:paraId="62F7A149" w14:textId="3156D93F" w:rsidR="004D690C" w:rsidRPr="003C7E62" w:rsidRDefault="004D690C" w:rsidP="00405C0A">
      <w:pPr>
        <w:keepNext w:val="0"/>
        <w:autoSpaceDE w:val="0"/>
        <w:autoSpaceDN w:val="0"/>
        <w:adjustRightInd w:val="0"/>
        <w:spacing w:before="0"/>
        <w:rPr>
          <w:rFonts w:cs="Arial"/>
          <w:b/>
          <w:color w:val="auto"/>
          <w:szCs w:val="24"/>
        </w:rPr>
      </w:pPr>
      <w:r w:rsidRPr="003C7E62">
        <w:rPr>
          <w:rFonts w:cs="Arial"/>
          <w:b/>
          <w:color w:val="auto"/>
          <w:szCs w:val="24"/>
          <w:lang w:val="en"/>
        </w:rPr>
        <w:t>Sequential approach/sequential test:</w:t>
      </w:r>
      <w:r w:rsidRPr="003C7E62">
        <w:rPr>
          <w:rFonts w:cs="Arial"/>
          <w:color w:val="auto"/>
          <w:szCs w:val="24"/>
          <w:lang w:val="en"/>
        </w:rPr>
        <w:t xml:space="preserve"> A planning principle that seeks to identify, allocate or develop certain types or locations of land before others.  For example, brownfield housing sites before greenfield sites, or town</w:t>
      </w:r>
      <w:r w:rsidRPr="003C7E62">
        <w:rPr>
          <w:rFonts w:cs="Arial"/>
          <w:color w:val="auto"/>
          <w:szCs w:val="24"/>
        </w:rPr>
        <w:t xml:space="preserve"> centre</w:t>
      </w:r>
      <w:r w:rsidRPr="003C7E62">
        <w:rPr>
          <w:rFonts w:cs="Arial"/>
          <w:color w:val="auto"/>
          <w:szCs w:val="24"/>
          <w:lang w:val="en"/>
        </w:rPr>
        <w:t xml:space="preserve"> retail sites before </w:t>
      </w:r>
      <w:proofErr w:type="spellStart"/>
      <w:r w:rsidRPr="003C7E62">
        <w:rPr>
          <w:rFonts w:cs="Arial"/>
          <w:color w:val="auto"/>
          <w:szCs w:val="24"/>
          <w:lang w:val="en"/>
        </w:rPr>
        <w:t>out-of</w:t>
      </w:r>
      <w:proofErr w:type="spellEnd"/>
      <w:r w:rsidRPr="003C7E62">
        <w:rPr>
          <w:rFonts w:cs="Arial"/>
          <w:color w:val="auto"/>
          <w:szCs w:val="24"/>
        </w:rPr>
        <w:t>-centre</w:t>
      </w:r>
      <w:r w:rsidRPr="003C7E62">
        <w:rPr>
          <w:rFonts w:cs="Arial"/>
          <w:color w:val="auto"/>
          <w:szCs w:val="24"/>
          <w:lang w:val="en"/>
        </w:rPr>
        <w:t xml:space="preserve"> sites</w:t>
      </w:r>
      <w:r w:rsidR="00C52BB8">
        <w:rPr>
          <w:rFonts w:cs="Arial"/>
          <w:color w:val="auto"/>
          <w:szCs w:val="24"/>
          <w:lang w:val="en"/>
        </w:rPr>
        <w:t xml:space="preserve"> or Flood Zone 1 before Flood Zone 2 or 3</w:t>
      </w:r>
      <w:r w:rsidRPr="003C7E62">
        <w:rPr>
          <w:rFonts w:cs="Arial"/>
          <w:color w:val="auto"/>
          <w:szCs w:val="24"/>
          <w:lang w:val="en"/>
        </w:rPr>
        <w:t>.</w:t>
      </w:r>
    </w:p>
    <w:p w14:paraId="50F35645" w14:textId="77777777" w:rsidR="004D690C" w:rsidRPr="003C7E62" w:rsidRDefault="004D690C" w:rsidP="00405C0A">
      <w:pPr>
        <w:keepNext w:val="0"/>
        <w:autoSpaceDE w:val="0"/>
        <w:autoSpaceDN w:val="0"/>
        <w:adjustRightInd w:val="0"/>
        <w:spacing w:before="0"/>
        <w:rPr>
          <w:rFonts w:cs="Arial"/>
          <w:b/>
          <w:color w:val="auto"/>
          <w:szCs w:val="24"/>
        </w:rPr>
      </w:pPr>
    </w:p>
    <w:p w14:paraId="22416C5C" w14:textId="77777777" w:rsidR="004D690C" w:rsidRPr="003C7E62" w:rsidRDefault="004D690C" w:rsidP="00405C0A">
      <w:pPr>
        <w:keepNext w:val="0"/>
        <w:autoSpaceDE w:val="0"/>
        <w:autoSpaceDN w:val="0"/>
        <w:adjustRightInd w:val="0"/>
        <w:spacing w:before="0"/>
        <w:rPr>
          <w:rFonts w:cs="Arial"/>
          <w:color w:val="auto"/>
          <w:szCs w:val="24"/>
        </w:rPr>
      </w:pPr>
      <w:r w:rsidRPr="003C7E62">
        <w:rPr>
          <w:rFonts w:cs="Arial"/>
          <w:b/>
          <w:color w:val="auto"/>
          <w:szCs w:val="24"/>
        </w:rPr>
        <w:t>Setting of a Heritage Asset:</w:t>
      </w:r>
      <w:r w:rsidRPr="003C7E62">
        <w:rPr>
          <w:rFonts w:cs="Arial"/>
          <w:color w:val="auto"/>
          <w:szCs w:val="24"/>
        </w:rPr>
        <w:t xml:space="preserve"> The surroundings in which a heritage asset is experienced. Its extent is not fixed and may change as the asset and its surroundings evolve.  Elements of setting may make a positive or negative contribution to the significance of an asset, may affect the ability to appreciate that significance or may be neutral.</w:t>
      </w:r>
    </w:p>
    <w:p w14:paraId="42E6D05A" w14:textId="77777777" w:rsidR="004D690C" w:rsidRPr="003C7E62" w:rsidRDefault="004D690C" w:rsidP="00405C0A">
      <w:pPr>
        <w:keepNext w:val="0"/>
        <w:autoSpaceDE w:val="0"/>
        <w:autoSpaceDN w:val="0"/>
        <w:adjustRightInd w:val="0"/>
        <w:spacing w:before="0"/>
        <w:rPr>
          <w:rFonts w:cs="Arial"/>
          <w:color w:val="000000"/>
          <w:szCs w:val="24"/>
          <w:lang w:val="en-US"/>
        </w:rPr>
      </w:pPr>
    </w:p>
    <w:p w14:paraId="2BD3D8C0" w14:textId="77777777" w:rsidR="004D690C" w:rsidRPr="003C7E62" w:rsidRDefault="004D690C" w:rsidP="00405C0A">
      <w:pPr>
        <w:keepNext w:val="0"/>
        <w:autoSpaceDE w:val="0"/>
        <w:autoSpaceDN w:val="0"/>
        <w:adjustRightInd w:val="0"/>
        <w:spacing w:before="0"/>
        <w:rPr>
          <w:rFonts w:cs="Arial"/>
          <w:color w:val="auto"/>
        </w:rPr>
      </w:pPr>
      <w:r w:rsidRPr="003C7E62">
        <w:rPr>
          <w:rFonts w:cs="Arial"/>
          <w:b/>
          <w:color w:val="auto"/>
        </w:rPr>
        <w:t xml:space="preserve">Shopping parades: </w:t>
      </w:r>
      <w:r w:rsidRPr="003C7E62">
        <w:rPr>
          <w:rFonts w:cs="Arial"/>
          <w:color w:val="auto"/>
        </w:rPr>
        <w:t>A small row of shops within a predominantly residential area which provide convenience goods and retail services to the local community.</w:t>
      </w:r>
    </w:p>
    <w:p w14:paraId="792EFF3C" w14:textId="77777777" w:rsidR="004D690C" w:rsidRPr="003C7E62" w:rsidRDefault="004D690C" w:rsidP="00405C0A">
      <w:pPr>
        <w:keepNext w:val="0"/>
        <w:autoSpaceDE w:val="0"/>
        <w:autoSpaceDN w:val="0"/>
        <w:adjustRightInd w:val="0"/>
        <w:spacing w:before="0"/>
        <w:rPr>
          <w:rFonts w:cs="Arial"/>
          <w:color w:val="auto"/>
        </w:rPr>
      </w:pPr>
    </w:p>
    <w:p w14:paraId="1B029790" w14:textId="77777777" w:rsidR="004D690C" w:rsidRPr="003C7E62" w:rsidRDefault="004D690C" w:rsidP="00405C0A">
      <w:pPr>
        <w:keepNext w:val="0"/>
        <w:autoSpaceDE w:val="0"/>
        <w:autoSpaceDN w:val="0"/>
        <w:adjustRightInd w:val="0"/>
        <w:spacing w:before="0"/>
        <w:rPr>
          <w:rFonts w:cs="Arial"/>
          <w:color w:val="auto"/>
          <w:szCs w:val="24"/>
        </w:rPr>
      </w:pPr>
      <w:r w:rsidRPr="003C7E62">
        <w:rPr>
          <w:rFonts w:cs="Arial"/>
          <w:b/>
          <w:color w:val="auto"/>
          <w:szCs w:val="24"/>
        </w:rPr>
        <w:t>Significance (For Heritage Policy):</w:t>
      </w:r>
      <w:r w:rsidRPr="003C7E62">
        <w:rPr>
          <w:rFonts w:cs="Arial"/>
          <w:color w:val="auto"/>
          <w:szCs w:val="24"/>
        </w:rPr>
        <w:t xml:space="preserve"> The value of a heritage asset to this and future generations because of its heritage interest.  That interest may be archaeological, architectural, artistic or historic.  Significance derives not only from a heritage asset’s physical presence, but also from its setting.</w:t>
      </w:r>
    </w:p>
    <w:p w14:paraId="4D7D1F0B" w14:textId="77777777" w:rsidR="004D690C" w:rsidRPr="003C7E62" w:rsidRDefault="004D690C" w:rsidP="00405C0A">
      <w:pPr>
        <w:keepNext w:val="0"/>
        <w:spacing w:before="0"/>
        <w:rPr>
          <w:rFonts w:cs="Arial"/>
          <w:b/>
          <w:color w:val="auto"/>
        </w:rPr>
      </w:pPr>
    </w:p>
    <w:p w14:paraId="541CB785" w14:textId="77777777" w:rsidR="004D690C" w:rsidRPr="003C7E62" w:rsidRDefault="004D690C" w:rsidP="00405C0A">
      <w:pPr>
        <w:keepNext w:val="0"/>
        <w:spacing w:before="0"/>
        <w:rPr>
          <w:rFonts w:cs="Arial"/>
          <w:color w:val="C00000"/>
        </w:rPr>
      </w:pPr>
      <w:r w:rsidRPr="003C7E62">
        <w:rPr>
          <w:rFonts w:cs="Arial"/>
          <w:b/>
          <w:color w:val="auto"/>
        </w:rPr>
        <w:t>Site of Importance for Nature Conservation (SINC):</w:t>
      </w:r>
      <w:r w:rsidRPr="003C7E62">
        <w:rPr>
          <w:rFonts w:cs="Arial"/>
          <w:color w:val="auto"/>
        </w:rPr>
        <w:t xml:space="preserve"> Site of local importance for nature conservation or geology identified by the Nottinghamshire Biological and Geological Records Centre.  They have been renamed as Local Wildlife Sites</w:t>
      </w:r>
      <w:r w:rsidRPr="003C7E62">
        <w:rPr>
          <w:rFonts w:cs="Arial"/>
          <w:color w:val="C00000"/>
        </w:rPr>
        <w:t xml:space="preserve">. </w:t>
      </w:r>
    </w:p>
    <w:p w14:paraId="6CB950F1" w14:textId="77777777" w:rsidR="004D690C" w:rsidRPr="003C7E62" w:rsidRDefault="004D690C" w:rsidP="00405C0A">
      <w:pPr>
        <w:keepNext w:val="0"/>
        <w:spacing w:before="0"/>
        <w:rPr>
          <w:rFonts w:cs="Arial"/>
          <w:color w:val="auto"/>
        </w:rPr>
      </w:pPr>
    </w:p>
    <w:p w14:paraId="1C630F69" w14:textId="77777777" w:rsidR="004D690C" w:rsidRPr="003C7E62" w:rsidRDefault="004D690C" w:rsidP="00405C0A">
      <w:pPr>
        <w:keepNext w:val="0"/>
        <w:spacing w:before="0"/>
        <w:rPr>
          <w:rFonts w:cs="Arial"/>
          <w:color w:val="auto"/>
        </w:rPr>
      </w:pPr>
      <w:r w:rsidRPr="003C7E62">
        <w:rPr>
          <w:rFonts w:cs="Arial"/>
          <w:b/>
          <w:color w:val="auto"/>
        </w:rPr>
        <w:t>Site of Special Scientific Interest (SSSI):</w:t>
      </w:r>
      <w:r w:rsidRPr="003C7E62">
        <w:rPr>
          <w:rFonts w:cs="Arial"/>
          <w:color w:val="auto"/>
        </w:rPr>
        <w:t xml:space="preserve"> The designation under Section 28 of the Wildlife and Countryside Act, 1981, of an area of land of special interest by reason of its flora, fauna, geological or physiological features.</w:t>
      </w:r>
    </w:p>
    <w:p w14:paraId="1F52EB50" w14:textId="77777777" w:rsidR="004D690C" w:rsidRPr="003C7E62" w:rsidRDefault="004D690C" w:rsidP="00405C0A">
      <w:pPr>
        <w:keepNext w:val="0"/>
        <w:spacing w:before="0"/>
        <w:rPr>
          <w:rFonts w:cs="Arial"/>
          <w:color w:val="auto"/>
        </w:rPr>
      </w:pPr>
    </w:p>
    <w:p w14:paraId="4B1A306E" w14:textId="77777777" w:rsidR="004D690C" w:rsidRPr="003C7E62" w:rsidRDefault="004D690C" w:rsidP="00405C0A">
      <w:pPr>
        <w:keepNext w:val="0"/>
        <w:spacing w:before="0"/>
        <w:rPr>
          <w:rFonts w:cs="Arial"/>
          <w:color w:val="auto"/>
        </w:rPr>
      </w:pPr>
      <w:r w:rsidRPr="003C7E62">
        <w:rPr>
          <w:rFonts w:cs="Arial"/>
          <w:b/>
          <w:color w:val="auto"/>
        </w:rPr>
        <w:t xml:space="preserve">Small Dwelling: </w:t>
      </w:r>
      <w:r w:rsidRPr="003C7E62">
        <w:rPr>
          <w:rFonts w:cs="Arial"/>
          <w:color w:val="auto"/>
        </w:rPr>
        <w:t>A dwelling with a floor area of 80 square metres or less as it existed on the 1 July 1982, or as the dwelling was originally built or legally established, if the residential use post-dates 1 July 1982.</w:t>
      </w:r>
    </w:p>
    <w:p w14:paraId="46C0DA08" w14:textId="77777777" w:rsidR="004D690C" w:rsidRPr="003C7E62" w:rsidRDefault="004D690C" w:rsidP="00405C0A">
      <w:pPr>
        <w:keepNext w:val="0"/>
        <w:spacing w:before="0"/>
        <w:rPr>
          <w:rFonts w:cs="Arial"/>
          <w:b/>
          <w:color w:val="auto"/>
        </w:rPr>
      </w:pPr>
    </w:p>
    <w:p w14:paraId="6F793839" w14:textId="77777777" w:rsidR="004D690C" w:rsidRPr="003C7E62" w:rsidRDefault="004D690C" w:rsidP="00405C0A">
      <w:pPr>
        <w:keepNext w:val="0"/>
        <w:autoSpaceDE w:val="0"/>
        <w:autoSpaceDN w:val="0"/>
        <w:adjustRightInd w:val="0"/>
        <w:spacing w:before="0"/>
        <w:rPr>
          <w:rFonts w:cs="Arial"/>
          <w:color w:val="auto"/>
          <w:szCs w:val="24"/>
        </w:rPr>
      </w:pPr>
      <w:r w:rsidRPr="003C7E62">
        <w:rPr>
          <w:rFonts w:cs="Arial"/>
          <w:b/>
          <w:color w:val="auto"/>
          <w:szCs w:val="24"/>
        </w:rPr>
        <w:t xml:space="preserve">Smarter choices: </w:t>
      </w:r>
      <w:r w:rsidRPr="003C7E62">
        <w:rPr>
          <w:rFonts w:cs="Arial"/>
          <w:color w:val="auto"/>
          <w:szCs w:val="24"/>
        </w:rPr>
        <w:t>Smarter choices are ‘soft’ transport measures which are aimed at helping people to choose to reduce their car use while enhancing the attractiveness of alternatives.  They include workplace and school travel plans; personalised travel planning, public transport information and marketing; car clubs and car sharing schemes; teleworking, teleconferencing and home shopping.</w:t>
      </w:r>
    </w:p>
    <w:p w14:paraId="186EE250" w14:textId="77777777" w:rsidR="004D690C" w:rsidRPr="003C7E62" w:rsidRDefault="004D690C" w:rsidP="00405C0A">
      <w:pPr>
        <w:keepNext w:val="0"/>
        <w:autoSpaceDE w:val="0"/>
        <w:autoSpaceDN w:val="0"/>
        <w:adjustRightInd w:val="0"/>
        <w:spacing w:before="0"/>
        <w:rPr>
          <w:rFonts w:cs="Arial"/>
          <w:b/>
          <w:color w:val="auto"/>
        </w:rPr>
      </w:pPr>
    </w:p>
    <w:p w14:paraId="70ECD76C" w14:textId="77777777" w:rsidR="004D690C" w:rsidRPr="003C7E62" w:rsidRDefault="004D690C" w:rsidP="00405C0A">
      <w:pPr>
        <w:keepNext w:val="0"/>
        <w:autoSpaceDE w:val="0"/>
        <w:autoSpaceDN w:val="0"/>
        <w:adjustRightInd w:val="0"/>
        <w:spacing w:before="0"/>
        <w:rPr>
          <w:rFonts w:cs="Arial"/>
          <w:color w:val="auto"/>
        </w:rPr>
      </w:pPr>
      <w:r w:rsidRPr="003C7E62">
        <w:rPr>
          <w:rFonts w:cs="Arial"/>
          <w:b/>
          <w:color w:val="auto"/>
        </w:rPr>
        <w:t xml:space="preserve">Social Infrastructure: </w:t>
      </w:r>
      <w:r w:rsidRPr="003C7E62">
        <w:rPr>
          <w:rFonts w:cs="Arial"/>
          <w:color w:val="auto"/>
        </w:rPr>
        <w:t xml:space="preserve">Social infrastructure includes a wide variety of services that are essential to the sustainability and wellbeing of a community.  </w:t>
      </w:r>
      <w:r w:rsidRPr="003C7E62">
        <w:rPr>
          <w:rFonts w:cs="Arial"/>
          <w:bCs/>
          <w:color w:val="auto"/>
        </w:rPr>
        <w:t>This includes but is not limited too</w:t>
      </w:r>
      <w:r w:rsidRPr="003C7E62">
        <w:rPr>
          <w:rFonts w:cs="Arial"/>
          <w:color w:val="auto"/>
        </w:rPr>
        <w:t xml:space="preserve"> educational facilities including early years education, primary education, secondary education, further education and adult learning; Health services including primary and secondary health; sports and leisure facilities; libraries; theatres; community centres, meeting rooms and halls; cemeteries; faith facilities; and public houses.</w:t>
      </w:r>
    </w:p>
    <w:p w14:paraId="49114B8F" w14:textId="77777777" w:rsidR="004D690C" w:rsidRPr="003C7E62" w:rsidRDefault="004D690C" w:rsidP="00405C0A">
      <w:pPr>
        <w:keepNext w:val="0"/>
        <w:autoSpaceDE w:val="0"/>
        <w:autoSpaceDN w:val="0"/>
        <w:adjustRightInd w:val="0"/>
        <w:spacing w:before="0"/>
        <w:rPr>
          <w:rFonts w:cs="Arial"/>
          <w:b/>
          <w:bCs/>
          <w:color w:val="auto"/>
        </w:rPr>
      </w:pPr>
    </w:p>
    <w:p w14:paraId="2C94C464" w14:textId="319B2D6B" w:rsidR="004D690C" w:rsidRPr="003C7E62" w:rsidRDefault="004D690C" w:rsidP="00405C0A">
      <w:pPr>
        <w:keepNext w:val="0"/>
        <w:spacing w:before="0"/>
        <w:rPr>
          <w:rFonts w:cs="Arial"/>
          <w:bCs/>
          <w:color w:val="auto"/>
        </w:rPr>
      </w:pPr>
      <w:r w:rsidRPr="003C7E62">
        <w:rPr>
          <w:rFonts w:cs="Arial"/>
          <w:b/>
          <w:color w:val="auto"/>
        </w:rPr>
        <w:t>Soundness</w:t>
      </w:r>
      <w:r w:rsidRPr="003C7E62">
        <w:rPr>
          <w:rFonts w:cs="Arial"/>
          <w:bCs/>
          <w:color w:val="auto"/>
        </w:rPr>
        <w:t>: Under the National Planning Policy Framework 20</w:t>
      </w:r>
      <w:r w:rsidR="00E478F6">
        <w:rPr>
          <w:rFonts w:cs="Arial"/>
          <w:bCs/>
          <w:color w:val="auto"/>
        </w:rPr>
        <w:t>21</w:t>
      </w:r>
      <w:r w:rsidRPr="003C7E62">
        <w:rPr>
          <w:rFonts w:cs="Arial"/>
          <w:bCs/>
          <w:color w:val="auto"/>
        </w:rPr>
        <w:t xml:space="preserve"> paragraph 35</w:t>
      </w:r>
    </w:p>
    <w:p w14:paraId="378C9A92" w14:textId="3CB97C33" w:rsidR="004D690C" w:rsidRPr="00E478F6" w:rsidRDefault="004D690C" w:rsidP="00E478F6">
      <w:pPr>
        <w:keepNext w:val="0"/>
        <w:spacing w:before="0"/>
        <w:rPr>
          <w:rFonts w:cs="Arial"/>
          <w:bCs/>
          <w:color w:val="auto"/>
          <w:szCs w:val="24"/>
        </w:rPr>
      </w:pPr>
      <w:r w:rsidRPr="003C7E62">
        <w:rPr>
          <w:rFonts w:cs="Arial"/>
          <w:bCs/>
          <w:color w:val="auto"/>
        </w:rPr>
        <w:t xml:space="preserve"> a </w:t>
      </w:r>
      <w:r w:rsidRPr="003C7E62">
        <w:rPr>
          <w:rFonts w:cs="Arial"/>
          <w:bCs/>
          <w:color w:val="auto"/>
          <w:szCs w:val="24"/>
        </w:rPr>
        <w:t>local planning authority should submit a plan for examination which it considers is “sound” – namely that it is:</w:t>
      </w:r>
    </w:p>
    <w:p w14:paraId="32DE8F03" w14:textId="77777777" w:rsidR="00E478F6" w:rsidRPr="00E478F6" w:rsidRDefault="00E478F6" w:rsidP="00E478F6">
      <w:pPr>
        <w:keepNext w:val="0"/>
        <w:spacing w:before="0"/>
        <w:rPr>
          <w:rFonts w:cs="Arial"/>
          <w:bCs/>
          <w:color w:val="auto"/>
          <w:szCs w:val="24"/>
        </w:rPr>
      </w:pPr>
    </w:p>
    <w:p w14:paraId="175DDEC4" w14:textId="77777777" w:rsidR="00E478F6" w:rsidRPr="00E478F6" w:rsidRDefault="00E478F6" w:rsidP="00874A98">
      <w:pPr>
        <w:pStyle w:val="ListParagraph"/>
        <w:numPr>
          <w:ilvl w:val="0"/>
          <w:numId w:val="304"/>
        </w:numPr>
        <w:spacing w:after="0" w:line="240" w:lineRule="auto"/>
        <w:rPr>
          <w:rFonts w:ascii="Arial" w:hAnsi="Arial" w:cs="Arial"/>
          <w:bCs/>
          <w:color w:val="auto"/>
        </w:rPr>
      </w:pPr>
      <w:r w:rsidRPr="00E478F6">
        <w:rPr>
          <w:rFonts w:ascii="Arial" w:hAnsi="Arial" w:cs="Arial"/>
          <w:bCs/>
          <w:color w:val="auto"/>
        </w:rPr>
        <w:t>Positively prepared – providing a strategy which, as a minimum, seeks to meet the area’s objectively assessed needs21; and is informed by agreements with other authorities, so that unmet need from neighbouring areas is accommodated where it is practical to do so and is consistent with achieving sustainable development;</w:t>
      </w:r>
    </w:p>
    <w:p w14:paraId="18E7DB33" w14:textId="77777777" w:rsidR="00E478F6" w:rsidRPr="00E478F6" w:rsidRDefault="00E478F6" w:rsidP="00874A98">
      <w:pPr>
        <w:pStyle w:val="ListParagraph"/>
        <w:numPr>
          <w:ilvl w:val="0"/>
          <w:numId w:val="304"/>
        </w:numPr>
        <w:spacing w:after="0" w:line="240" w:lineRule="auto"/>
        <w:rPr>
          <w:rFonts w:ascii="Arial" w:hAnsi="Arial" w:cs="Arial"/>
          <w:bCs/>
          <w:color w:val="auto"/>
        </w:rPr>
      </w:pPr>
      <w:r w:rsidRPr="00E478F6">
        <w:rPr>
          <w:rFonts w:ascii="Arial" w:hAnsi="Arial" w:cs="Arial"/>
          <w:bCs/>
          <w:color w:val="auto"/>
        </w:rPr>
        <w:t>Justified – an appropriate strategy, taking into account the reasonable alternatives, and based on proportionate evidence;</w:t>
      </w:r>
    </w:p>
    <w:p w14:paraId="298EE737" w14:textId="77777777" w:rsidR="00E478F6" w:rsidRPr="00E478F6" w:rsidRDefault="00E478F6" w:rsidP="00874A98">
      <w:pPr>
        <w:pStyle w:val="ListParagraph"/>
        <w:numPr>
          <w:ilvl w:val="0"/>
          <w:numId w:val="304"/>
        </w:numPr>
        <w:spacing w:after="0" w:line="240" w:lineRule="auto"/>
        <w:rPr>
          <w:rFonts w:ascii="Arial" w:hAnsi="Arial" w:cs="Arial"/>
          <w:bCs/>
          <w:color w:val="auto"/>
        </w:rPr>
      </w:pPr>
      <w:r w:rsidRPr="00E478F6">
        <w:rPr>
          <w:rFonts w:ascii="Arial" w:hAnsi="Arial" w:cs="Arial"/>
          <w:bCs/>
          <w:color w:val="auto"/>
        </w:rPr>
        <w:t>Effective – deliverable over the plan period, and based on effective joint working on cross-boundary strategic matters that have been dealt with rather than deferred, as evidenced by the statement of common ground; and</w:t>
      </w:r>
    </w:p>
    <w:p w14:paraId="368870BD" w14:textId="0509FCA6" w:rsidR="004D690C" w:rsidRDefault="00E478F6" w:rsidP="00874A98">
      <w:pPr>
        <w:pStyle w:val="ListParagraph"/>
        <w:numPr>
          <w:ilvl w:val="0"/>
          <w:numId w:val="304"/>
        </w:numPr>
        <w:spacing w:after="0" w:line="240" w:lineRule="auto"/>
        <w:rPr>
          <w:rFonts w:ascii="Arial" w:hAnsi="Arial" w:cs="Arial"/>
          <w:bCs/>
          <w:color w:val="auto"/>
        </w:rPr>
      </w:pPr>
      <w:r w:rsidRPr="00E478F6">
        <w:rPr>
          <w:rFonts w:ascii="Arial" w:hAnsi="Arial" w:cs="Arial"/>
          <w:bCs/>
          <w:color w:val="auto"/>
        </w:rPr>
        <w:t>Consistent with national policy – enabling the delivery of sustainable development in accordance with the policies in this Framework and other statements of national planning policy, where relevant.</w:t>
      </w:r>
    </w:p>
    <w:p w14:paraId="6B2E0E9F" w14:textId="77777777" w:rsidR="00E478F6" w:rsidRPr="00E478F6" w:rsidRDefault="00E478F6" w:rsidP="00E478F6">
      <w:pPr>
        <w:pStyle w:val="ListParagraph"/>
        <w:spacing w:after="0" w:line="240" w:lineRule="auto"/>
        <w:ind w:left="360"/>
        <w:rPr>
          <w:rFonts w:ascii="Arial" w:hAnsi="Arial" w:cs="Arial"/>
          <w:bCs/>
          <w:color w:val="auto"/>
        </w:rPr>
      </w:pPr>
    </w:p>
    <w:p w14:paraId="32687AC0" w14:textId="632250F3" w:rsidR="004D690C" w:rsidRPr="003C7E62" w:rsidRDefault="004D690C" w:rsidP="00405C0A">
      <w:pPr>
        <w:keepNext w:val="0"/>
        <w:spacing w:before="0"/>
        <w:rPr>
          <w:rFonts w:eastAsia="Calibri" w:cs="Arial"/>
          <w:color w:val="auto"/>
          <w:szCs w:val="24"/>
          <w:lang w:eastAsia="en-US"/>
        </w:rPr>
      </w:pPr>
      <w:r w:rsidRPr="003C7E62">
        <w:rPr>
          <w:rFonts w:eastAsia="Calibri" w:cs="Arial"/>
          <w:b/>
          <w:color w:val="auto"/>
          <w:szCs w:val="24"/>
          <w:lang w:eastAsia="en-US"/>
        </w:rPr>
        <w:t>Starter Homes:</w:t>
      </w:r>
      <w:r w:rsidRPr="003C7E62">
        <w:rPr>
          <w:rFonts w:eastAsia="Calibri" w:cs="Arial"/>
          <w:color w:val="auto"/>
          <w:szCs w:val="24"/>
          <w:lang w:eastAsia="en-US"/>
        </w:rPr>
        <w:t xml:space="preserve"> Defined under the Housing and Planning Act 2016 as a new dwelling which is available for purchase by qualifying first-time buyers only (being at least 23 years old but has not yet reached the age of 40).  They are sold at a discount of at least 20% of the market value with a price cap (2016) outside Greater London of £250,000.  Any future sale or letting is subject any regulations made by the Secretary of State.  There is a statutory duty on local planning authorities to require starter homes on a planning application.   </w:t>
      </w:r>
    </w:p>
    <w:p w14:paraId="6D39E5AC" w14:textId="77777777" w:rsidR="004D690C" w:rsidRPr="003C7E62" w:rsidRDefault="004D690C" w:rsidP="00405C0A">
      <w:pPr>
        <w:keepNext w:val="0"/>
        <w:spacing w:before="0"/>
        <w:rPr>
          <w:rFonts w:cs="Arial"/>
          <w:b/>
          <w:color w:val="auto"/>
        </w:rPr>
      </w:pPr>
    </w:p>
    <w:p w14:paraId="612CF417" w14:textId="77777777" w:rsidR="004D690C" w:rsidRPr="003C7E62" w:rsidRDefault="004D690C" w:rsidP="00405C0A">
      <w:pPr>
        <w:keepNext w:val="0"/>
        <w:spacing w:before="0"/>
        <w:rPr>
          <w:rFonts w:cs="Arial"/>
          <w:color w:val="auto"/>
        </w:rPr>
      </w:pPr>
      <w:r w:rsidRPr="003C7E62">
        <w:rPr>
          <w:rFonts w:cs="Arial"/>
          <w:b/>
          <w:color w:val="auto"/>
        </w:rPr>
        <w:t>Statement of Community Involvement (SCI):</w:t>
      </w:r>
      <w:r w:rsidRPr="003C7E62">
        <w:rPr>
          <w:rFonts w:cs="Arial"/>
          <w:color w:val="auto"/>
        </w:rPr>
        <w:t xml:space="preserve">  This document informs of how</w:t>
      </w:r>
      <w:r w:rsidRPr="003C7E62">
        <w:rPr>
          <w:rFonts w:cs="Arial"/>
          <w:color w:val="auto"/>
          <w:lang w:val="en"/>
        </w:rPr>
        <w:t xml:space="preserve"> the Council intends to engage the community on all major planning applications and in the preparation of the Local Plan.</w:t>
      </w:r>
      <w:r w:rsidRPr="003C7E62">
        <w:rPr>
          <w:rFonts w:cs="Arial"/>
          <w:color w:val="auto"/>
        </w:rPr>
        <w:t xml:space="preserve"> </w:t>
      </w:r>
    </w:p>
    <w:p w14:paraId="149CF2E5" w14:textId="77777777" w:rsidR="004D690C" w:rsidRPr="003C7E62" w:rsidRDefault="004D690C" w:rsidP="00405C0A">
      <w:pPr>
        <w:keepNext w:val="0"/>
        <w:spacing w:before="0"/>
        <w:rPr>
          <w:rFonts w:cs="Arial"/>
          <w:color w:val="auto"/>
        </w:rPr>
      </w:pPr>
    </w:p>
    <w:p w14:paraId="641EFB2E" w14:textId="77777777" w:rsidR="004D690C" w:rsidRPr="003C7E62" w:rsidRDefault="004D690C" w:rsidP="00405C0A">
      <w:pPr>
        <w:keepNext w:val="0"/>
        <w:spacing w:before="0"/>
        <w:rPr>
          <w:rFonts w:cs="Arial"/>
          <w:color w:val="auto"/>
        </w:rPr>
      </w:pPr>
      <w:r w:rsidRPr="003C7E62">
        <w:rPr>
          <w:rFonts w:cs="Arial"/>
          <w:b/>
          <w:color w:val="auto"/>
        </w:rPr>
        <w:t>Supplementary Planning Document (SPD):</w:t>
      </w:r>
      <w:r w:rsidRPr="003C7E62">
        <w:rPr>
          <w:rFonts w:cs="Arial"/>
          <w:color w:val="auto"/>
        </w:rPr>
        <w:t xml:space="preserve"> Provide supplementary information in respect of the policies in Development Plan Documents (Local Plan).  They do not form part of the Development Plan and are not subject to independent examination.</w:t>
      </w:r>
    </w:p>
    <w:p w14:paraId="1396F233" w14:textId="77777777" w:rsidR="004D690C" w:rsidRPr="003C7E62" w:rsidRDefault="004D690C" w:rsidP="00405C0A">
      <w:pPr>
        <w:keepNext w:val="0"/>
        <w:spacing w:before="0"/>
        <w:rPr>
          <w:rFonts w:cs="Arial"/>
          <w:color w:val="auto"/>
        </w:rPr>
      </w:pPr>
    </w:p>
    <w:p w14:paraId="20D643E1" w14:textId="77777777" w:rsidR="004D690C" w:rsidRPr="003C7E62" w:rsidRDefault="004D690C" w:rsidP="00405C0A">
      <w:pPr>
        <w:keepNext w:val="0"/>
        <w:spacing w:before="0"/>
        <w:rPr>
          <w:rFonts w:cs="Arial"/>
          <w:color w:val="C00000"/>
        </w:rPr>
      </w:pPr>
      <w:r w:rsidRPr="003C7E62">
        <w:rPr>
          <w:rFonts w:cs="Arial"/>
          <w:b/>
          <w:color w:val="auto"/>
        </w:rPr>
        <w:t>Sustainability Appraisal (SA):</w:t>
      </w:r>
      <w:r w:rsidRPr="003C7E62">
        <w:rPr>
          <w:rFonts w:cs="Arial"/>
          <w:color w:val="auto"/>
        </w:rPr>
        <w:t xml:space="preserve"> Examines the social, environmental and economic effects of strategies and policies in a Local Plan from the outset of preparation </w:t>
      </w:r>
      <w:r w:rsidRPr="003C7E62">
        <w:rPr>
          <w:rFonts w:cs="Arial"/>
          <w:color w:val="auto"/>
          <w:lang w:val="en"/>
        </w:rPr>
        <w:t>to allow decisions to be made that accord with sustainable development.</w:t>
      </w:r>
    </w:p>
    <w:p w14:paraId="56F6CECD" w14:textId="77777777" w:rsidR="004D690C" w:rsidRPr="003C7E62" w:rsidRDefault="004D690C" w:rsidP="00405C0A">
      <w:pPr>
        <w:keepNext w:val="0"/>
        <w:spacing w:before="0"/>
        <w:rPr>
          <w:rFonts w:cs="Arial"/>
          <w:color w:val="auto"/>
        </w:rPr>
      </w:pPr>
    </w:p>
    <w:p w14:paraId="556873ED" w14:textId="77777777" w:rsidR="004D690C" w:rsidRPr="003C7E62" w:rsidRDefault="004D690C" w:rsidP="00405C0A">
      <w:pPr>
        <w:keepNext w:val="0"/>
        <w:spacing w:before="0"/>
        <w:rPr>
          <w:rFonts w:cs="Arial"/>
          <w:color w:val="auto"/>
        </w:rPr>
      </w:pPr>
      <w:r w:rsidRPr="003C7E62">
        <w:rPr>
          <w:rFonts w:cs="Arial"/>
          <w:b/>
          <w:color w:val="auto"/>
        </w:rPr>
        <w:t xml:space="preserve">Sustainable Communities: </w:t>
      </w:r>
      <w:r w:rsidRPr="003C7E62">
        <w:rPr>
          <w:rFonts w:cs="Arial"/>
          <w:color w:val="auto"/>
        </w:rPr>
        <w:t>Places in which people want to live, now and in the future.  They embody the principles of sustainable development at the local level.  This means they improve quality of life for all whilst safeguarding the environment for future generations. (Source DCLG)</w:t>
      </w:r>
    </w:p>
    <w:p w14:paraId="233422B1" w14:textId="77777777" w:rsidR="004D690C" w:rsidRPr="003C7E62" w:rsidRDefault="004D690C" w:rsidP="00405C0A">
      <w:pPr>
        <w:keepNext w:val="0"/>
        <w:spacing w:before="0"/>
        <w:rPr>
          <w:rFonts w:cs="Arial"/>
          <w:color w:val="auto"/>
        </w:rPr>
      </w:pPr>
    </w:p>
    <w:p w14:paraId="2223A0BE" w14:textId="77777777" w:rsidR="004D690C" w:rsidRPr="003C7E62" w:rsidRDefault="004D690C" w:rsidP="00405C0A">
      <w:pPr>
        <w:keepNext w:val="0"/>
        <w:spacing w:before="0"/>
        <w:rPr>
          <w:rFonts w:cs="Arial"/>
          <w:color w:val="auto"/>
        </w:rPr>
      </w:pPr>
      <w:r w:rsidRPr="003C7E62">
        <w:rPr>
          <w:rFonts w:cs="Arial"/>
          <w:b/>
          <w:color w:val="auto"/>
        </w:rPr>
        <w:t>Sustainable Community Strategy:</w:t>
      </w:r>
      <w:r w:rsidRPr="003C7E62">
        <w:rPr>
          <w:rFonts w:cs="Arial"/>
          <w:color w:val="auto"/>
        </w:rPr>
        <w:t xml:space="preserve"> A joint plan agreed by the Local Strategic Partnerships to enhance the economic, social and environmental wellbeing of each District/Borough.</w:t>
      </w:r>
    </w:p>
    <w:p w14:paraId="4BDA5497" w14:textId="77777777" w:rsidR="004D690C" w:rsidRPr="003C7E62" w:rsidRDefault="004D690C" w:rsidP="00405C0A">
      <w:pPr>
        <w:keepNext w:val="0"/>
        <w:spacing w:before="0"/>
        <w:rPr>
          <w:rFonts w:cs="Arial"/>
          <w:color w:val="auto"/>
        </w:rPr>
      </w:pPr>
    </w:p>
    <w:p w14:paraId="11EC0E35" w14:textId="77777777" w:rsidR="004D690C" w:rsidRPr="003C7E62" w:rsidRDefault="004D690C" w:rsidP="00405C0A">
      <w:pPr>
        <w:keepNext w:val="0"/>
        <w:spacing w:before="0"/>
        <w:rPr>
          <w:rFonts w:cs="Arial"/>
          <w:color w:val="auto"/>
        </w:rPr>
      </w:pPr>
      <w:r w:rsidRPr="003C7E62">
        <w:rPr>
          <w:rFonts w:cs="Arial"/>
          <w:b/>
          <w:color w:val="auto"/>
        </w:rPr>
        <w:t>Sustainable Development:</w:t>
      </w:r>
      <w:r w:rsidRPr="003C7E62">
        <w:rPr>
          <w:rFonts w:cs="Arial"/>
          <w:color w:val="auto"/>
        </w:rPr>
        <w:t xml:space="preserve"> </w:t>
      </w:r>
      <w:r w:rsidRPr="003C7E62">
        <w:rPr>
          <w:rFonts w:cs="Arial"/>
          <w:color w:val="auto"/>
          <w:szCs w:val="24"/>
        </w:rPr>
        <w:t xml:space="preserve">International and national bodies have set out broad principles of sustainable development.  Resolution 42/187 of the United Nations General Assembly defined sustainable development as meeting the needs of the present without compromising the ability of future generations to meet their own needs.  The UK Sustainable Development Strategy </w:t>
      </w:r>
      <w:r w:rsidRPr="003C7E62">
        <w:rPr>
          <w:rFonts w:cs="Arial"/>
          <w:i/>
          <w:iCs/>
          <w:color w:val="auto"/>
          <w:szCs w:val="24"/>
        </w:rPr>
        <w:t xml:space="preserve">Securing the Future </w:t>
      </w:r>
      <w:r w:rsidRPr="003C7E62">
        <w:rPr>
          <w:rFonts w:cs="Arial"/>
          <w:color w:val="auto"/>
          <w:szCs w:val="24"/>
        </w:rPr>
        <w:t>set out five ‘guiding principles’ of sustainable development: living within the planet’s environmental limits; ensuring a strong, healthy and just society; achieving a sustainable economy; promoting good governance; and using sound science responsibly.</w:t>
      </w:r>
    </w:p>
    <w:p w14:paraId="27E9C991" w14:textId="77777777" w:rsidR="004D690C" w:rsidRPr="003C7E62" w:rsidRDefault="004D690C" w:rsidP="00405C0A">
      <w:pPr>
        <w:keepNext w:val="0"/>
        <w:spacing w:before="0"/>
        <w:rPr>
          <w:rFonts w:cs="Arial"/>
          <w:color w:val="auto"/>
        </w:rPr>
      </w:pPr>
    </w:p>
    <w:p w14:paraId="4EE69000" w14:textId="77777777" w:rsidR="004D690C" w:rsidRPr="003C7E62" w:rsidRDefault="004D690C" w:rsidP="00405C0A">
      <w:pPr>
        <w:keepNext w:val="0"/>
        <w:autoSpaceDE w:val="0"/>
        <w:autoSpaceDN w:val="0"/>
        <w:adjustRightInd w:val="0"/>
        <w:spacing w:before="0"/>
        <w:rPr>
          <w:rFonts w:cs="Arial"/>
          <w:color w:val="auto"/>
          <w:szCs w:val="24"/>
          <w:lang w:val="en-US" w:eastAsia="en-US"/>
        </w:rPr>
      </w:pPr>
      <w:r w:rsidRPr="003C7E62">
        <w:rPr>
          <w:rFonts w:cs="Arial"/>
          <w:b/>
          <w:color w:val="auto"/>
          <w:szCs w:val="24"/>
          <w:lang w:val="en-US" w:eastAsia="en-US"/>
        </w:rPr>
        <w:t>Town</w:t>
      </w:r>
      <w:r w:rsidRPr="003C7E62">
        <w:rPr>
          <w:rFonts w:cs="Arial"/>
          <w:b/>
          <w:color w:val="auto"/>
          <w:szCs w:val="24"/>
          <w:lang w:eastAsia="en-US"/>
        </w:rPr>
        <w:t xml:space="preserve"> centre</w:t>
      </w:r>
      <w:r w:rsidRPr="003C7E62">
        <w:rPr>
          <w:rFonts w:cs="Arial"/>
          <w:b/>
          <w:color w:val="auto"/>
          <w:szCs w:val="24"/>
          <w:lang w:val="en-US" w:eastAsia="en-US"/>
        </w:rPr>
        <w:t xml:space="preserve">: </w:t>
      </w:r>
      <w:r w:rsidRPr="003C7E62">
        <w:rPr>
          <w:rFonts w:cs="Arial"/>
          <w:color w:val="auto"/>
          <w:szCs w:val="24"/>
          <w:lang w:val="en-US" w:eastAsia="en-US"/>
        </w:rPr>
        <w:t>An area defined on the Local Plan Policies Map which includes primary shopping areas.  Town centres are predominantly occupied by main town center uses within or adjacent to the primary shopping area.  Main town</w:t>
      </w:r>
      <w:r w:rsidRPr="003C7E62">
        <w:rPr>
          <w:rFonts w:cs="Arial"/>
          <w:color w:val="auto"/>
          <w:szCs w:val="24"/>
          <w:lang w:eastAsia="en-US"/>
        </w:rPr>
        <w:t xml:space="preserve"> centre</w:t>
      </w:r>
      <w:r w:rsidRPr="003C7E62">
        <w:rPr>
          <w:rFonts w:cs="Arial"/>
          <w:color w:val="auto"/>
          <w:szCs w:val="24"/>
          <w:lang w:val="en-US" w:eastAsia="en-US"/>
        </w:rPr>
        <w:t xml:space="preserve"> uses include:  Retail development (including warehouse clubs and factory outlet centres); leisure, entertainment facilities the more intensive sport and recreation uses (including cinemas, restaurants, drive through restaurants, bars and pubs, night-clubs, casinos, health and fitness centres, indoor bowling centres, and bingo halls); offices, and arts, culture and tourism development (including theatres, museum, galleries and concert halls, hotels and conference facilities).  </w:t>
      </w:r>
    </w:p>
    <w:p w14:paraId="7E2F1F0C" w14:textId="77777777" w:rsidR="004D690C" w:rsidRPr="003C7E62" w:rsidRDefault="004D690C" w:rsidP="00405C0A">
      <w:pPr>
        <w:keepNext w:val="0"/>
        <w:autoSpaceDE w:val="0"/>
        <w:autoSpaceDN w:val="0"/>
        <w:adjustRightInd w:val="0"/>
        <w:spacing w:before="0"/>
        <w:rPr>
          <w:rFonts w:cs="Arial"/>
          <w:b/>
          <w:color w:val="auto"/>
          <w:szCs w:val="24"/>
          <w:lang w:val="en-US" w:eastAsia="en-US"/>
        </w:rPr>
      </w:pPr>
    </w:p>
    <w:p w14:paraId="70C70166" w14:textId="77777777" w:rsidR="004D690C" w:rsidRPr="003C7E62" w:rsidRDefault="004D690C" w:rsidP="00405C0A">
      <w:pPr>
        <w:keepNext w:val="0"/>
        <w:autoSpaceDE w:val="0"/>
        <w:autoSpaceDN w:val="0"/>
        <w:adjustRightInd w:val="0"/>
        <w:spacing w:before="0"/>
        <w:rPr>
          <w:rFonts w:cs="Arial"/>
          <w:color w:val="auto"/>
          <w:szCs w:val="24"/>
          <w:lang w:val="en-US" w:eastAsia="en-US"/>
        </w:rPr>
      </w:pPr>
      <w:r w:rsidRPr="003C7E62">
        <w:rPr>
          <w:rFonts w:cs="Arial"/>
          <w:b/>
          <w:color w:val="auto"/>
          <w:szCs w:val="24"/>
          <w:lang w:val="en-US" w:eastAsia="en-US"/>
        </w:rPr>
        <w:t xml:space="preserve">Transport assessment: </w:t>
      </w:r>
      <w:r w:rsidRPr="003C7E62">
        <w:rPr>
          <w:rFonts w:cs="Arial"/>
          <w:color w:val="auto"/>
          <w:szCs w:val="24"/>
          <w:lang w:val="en-US" w:eastAsia="en-US"/>
        </w:rPr>
        <w:t>A comprehensive and systematic process that sets out transport issues relating to a proposed development.  It identifies what measures will be required to improve accessibility and safety for all modes of travel, particularly for alternatives to the car such as walking, cycling and public transport and what measures will need to be taken to deal with the anticipated transport impacts of the development.</w:t>
      </w:r>
    </w:p>
    <w:p w14:paraId="1D8D9194" w14:textId="77777777" w:rsidR="004D690C" w:rsidRPr="003C7E62" w:rsidRDefault="004D690C" w:rsidP="00405C0A">
      <w:pPr>
        <w:keepNext w:val="0"/>
        <w:autoSpaceDE w:val="0"/>
        <w:autoSpaceDN w:val="0"/>
        <w:adjustRightInd w:val="0"/>
        <w:spacing w:before="0"/>
        <w:rPr>
          <w:rFonts w:cs="Arial"/>
          <w:color w:val="auto"/>
          <w:szCs w:val="24"/>
          <w:lang w:val="en-US" w:eastAsia="en-US"/>
        </w:rPr>
      </w:pPr>
    </w:p>
    <w:p w14:paraId="5B16A76A" w14:textId="77777777" w:rsidR="004D690C" w:rsidRPr="003C7E62" w:rsidRDefault="004D690C" w:rsidP="00405C0A">
      <w:pPr>
        <w:keepNext w:val="0"/>
        <w:autoSpaceDE w:val="0"/>
        <w:autoSpaceDN w:val="0"/>
        <w:adjustRightInd w:val="0"/>
        <w:spacing w:before="0"/>
        <w:rPr>
          <w:rFonts w:cs="Arial"/>
          <w:color w:val="auto"/>
          <w:szCs w:val="24"/>
          <w:lang w:val="en-US" w:eastAsia="en-US"/>
        </w:rPr>
      </w:pPr>
      <w:r w:rsidRPr="003C7E62">
        <w:rPr>
          <w:rFonts w:cs="Arial"/>
          <w:b/>
          <w:color w:val="auto"/>
          <w:szCs w:val="24"/>
          <w:lang w:val="en-US" w:eastAsia="en-US"/>
        </w:rPr>
        <w:t>Transport statement:</w:t>
      </w:r>
      <w:r w:rsidRPr="003C7E62">
        <w:rPr>
          <w:rFonts w:cs="Arial"/>
          <w:color w:val="auto"/>
          <w:szCs w:val="24"/>
          <w:lang w:val="en-US" w:eastAsia="en-US"/>
        </w:rPr>
        <w:t xml:space="preserve"> A simplified version of a transport assessment where it is agreed the transport issues arising out of development proposals are limited and a full transport assessment is not required.</w:t>
      </w:r>
    </w:p>
    <w:p w14:paraId="0F2186BF" w14:textId="77777777" w:rsidR="004D690C" w:rsidRPr="003C7E62" w:rsidRDefault="004D690C" w:rsidP="00405C0A">
      <w:pPr>
        <w:keepNext w:val="0"/>
        <w:autoSpaceDE w:val="0"/>
        <w:autoSpaceDN w:val="0"/>
        <w:adjustRightInd w:val="0"/>
        <w:spacing w:before="0"/>
        <w:rPr>
          <w:rFonts w:cs="Arial"/>
          <w:color w:val="auto"/>
          <w:szCs w:val="24"/>
          <w:lang w:val="en-US" w:eastAsia="en-US"/>
        </w:rPr>
      </w:pPr>
    </w:p>
    <w:p w14:paraId="143AFCD2" w14:textId="77777777" w:rsidR="004D690C" w:rsidRPr="003C7E62" w:rsidRDefault="004D690C" w:rsidP="00405C0A">
      <w:pPr>
        <w:keepNext w:val="0"/>
        <w:autoSpaceDE w:val="0"/>
        <w:autoSpaceDN w:val="0"/>
        <w:adjustRightInd w:val="0"/>
        <w:spacing w:before="0"/>
        <w:rPr>
          <w:rFonts w:cs="Arial"/>
          <w:color w:val="auto"/>
          <w:szCs w:val="24"/>
          <w:lang w:val="en-US" w:eastAsia="en-US"/>
        </w:rPr>
      </w:pPr>
      <w:r w:rsidRPr="003C7E62">
        <w:rPr>
          <w:rFonts w:cs="Arial"/>
          <w:b/>
          <w:color w:val="auto"/>
          <w:szCs w:val="24"/>
          <w:lang w:val="en-US" w:eastAsia="en-US"/>
        </w:rPr>
        <w:t>Travel plan:</w:t>
      </w:r>
      <w:r w:rsidRPr="003C7E62">
        <w:rPr>
          <w:rFonts w:cs="Arial"/>
          <w:color w:val="auto"/>
          <w:szCs w:val="24"/>
          <w:lang w:val="en-US" w:eastAsia="en-US"/>
        </w:rPr>
        <w:t xml:space="preserve"> A long-term management strategy for an organisation or site that seeks to deliver sustainable transport objectives through action and is articulated in a document that is regularly reviewed.</w:t>
      </w:r>
    </w:p>
    <w:p w14:paraId="3601B6F1" w14:textId="77777777" w:rsidR="004D690C" w:rsidRPr="003C7E62" w:rsidRDefault="004D690C" w:rsidP="00405C0A">
      <w:pPr>
        <w:keepNext w:val="0"/>
        <w:autoSpaceDE w:val="0"/>
        <w:autoSpaceDN w:val="0"/>
        <w:adjustRightInd w:val="0"/>
        <w:spacing w:before="0"/>
        <w:rPr>
          <w:rFonts w:cs="Arial"/>
          <w:b/>
          <w:color w:val="auto"/>
          <w:szCs w:val="24"/>
          <w:lang w:val="en-US" w:eastAsia="en-US"/>
        </w:rPr>
      </w:pPr>
    </w:p>
    <w:p w14:paraId="7AD40D4B" w14:textId="77777777" w:rsidR="004D690C" w:rsidRPr="003C7E62" w:rsidRDefault="004D690C" w:rsidP="00405C0A">
      <w:pPr>
        <w:keepNext w:val="0"/>
        <w:autoSpaceDE w:val="0"/>
        <w:autoSpaceDN w:val="0"/>
        <w:adjustRightInd w:val="0"/>
        <w:spacing w:before="0"/>
        <w:rPr>
          <w:rFonts w:cs="Arial"/>
          <w:color w:val="auto"/>
          <w:szCs w:val="24"/>
          <w:lang w:val="en-US" w:eastAsia="en-US"/>
        </w:rPr>
      </w:pPr>
      <w:r w:rsidRPr="003C7E62">
        <w:rPr>
          <w:rFonts w:cs="Arial"/>
          <w:b/>
          <w:color w:val="auto"/>
          <w:szCs w:val="24"/>
          <w:lang w:eastAsia="en-US"/>
        </w:rPr>
        <w:t>Traveller (</w:t>
      </w:r>
      <w:r w:rsidRPr="003C7E62">
        <w:rPr>
          <w:rFonts w:cs="Arial"/>
          <w:b/>
          <w:color w:val="000000"/>
          <w:szCs w:val="24"/>
          <w:lang w:val="en-US" w:eastAsia="en-US"/>
        </w:rPr>
        <w:t>gypsies and travelers</w:t>
      </w:r>
      <w:r w:rsidRPr="003C7E62">
        <w:rPr>
          <w:rFonts w:cs="Arial"/>
          <w:color w:val="000000"/>
          <w:szCs w:val="24"/>
          <w:lang w:val="en-US" w:eastAsia="en-US"/>
        </w:rPr>
        <w:t>)</w:t>
      </w:r>
      <w:r w:rsidRPr="003C7E62">
        <w:rPr>
          <w:rFonts w:cs="Arial"/>
          <w:b/>
          <w:color w:val="auto"/>
          <w:szCs w:val="24"/>
          <w:lang w:val="en-US" w:eastAsia="en-US"/>
        </w:rPr>
        <w:t>:</w:t>
      </w:r>
      <w:r w:rsidRPr="003C7E62">
        <w:rPr>
          <w:rFonts w:cs="Arial"/>
          <w:color w:val="auto"/>
          <w:szCs w:val="24"/>
          <w:lang w:val="en-US" w:eastAsia="en-US"/>
        </w:rPr>
        <w:t xml:space="preserve"> ‘</w:t>
      </w:r>
      <w:r w:rsidRPr="003C7E62">
        <w:rPr>
          <w:rFonts w:cs="Arial"/>
          <w:iCs/>
          <w:color w:val="auto"/>
          <w:szCs w:val="24"/>
          <w:lang w:val="en-US" w:eastAsia="en-US"/>
        </w:rPr>
        <w:t>Persons of nomadic habit of life whatever their race or origin, including such persons who on grounds only of their own or their family’s or dependents’ educational or health needs or old age have ceased to travel temporarily, but excluding members of an</w:t>
      </w:r>
      <w:r w:rsidRPr="003C7E62">
        <w:rPr>
          <w:rFonts w:cs="Arial"/>
          <w:iCs/>
          <w:color w:val="auto"/>
          <w:szCs w:val="24"/>
          <w:lang w:eastAsia="en-US"/>
        </w:rPr>
        <w:t xml:space="preserve"> organised</w:t>
      </w:r>
      <w:r w:rsidRPr="003C7E62">
        <w:rPr>
          <w:rFonts w:cs="Arial"/>
          <w:iCs/>
          <w:color w:val="auto"/>
          <w:szCs w:val="24"/>
          <w:lang w:val="en-US" w:eastAsia="en-US"/>
        </w:rPr>
        <w:t xml:space="preserve"> group of travelling showpeople or circus people travelling together as such.’  </w:t>
      </w:r>
      <w:r w:rsidRPr="003C7E62">
        <w:rPr>
          <w:rFonts w:cs="Arial"/>
          <w:color w:val="auto"/>
          <w:szCs w:val="24"/>
          <w:lang w:val="en-US" w:eastAsia="en-US"/>
        </w:rPr>
        <w:t>Planning policy for</w:t>
      </w:r>
      <w:r w:rsidRPr="003C7E62">
        <w:rPr>
          <w:rFonts w:cs="Arial"/>
          <w:color w:val="auto"/>
          <w:szCs w:val="24"/>
          <w:lang w:eastAsia="en-US"/>
        </w:rPr>
        <w:t xml:space="preserve"> traveller</w:t>
      </w:r>
      <w:r w:rsidRPr="003C7E62">
        <w:rPr>
          <w:rFonts w:cs="Arial"/>
          <w:color w:val="auto"/>
          <w:szCs w:val="24"/>
          <w:lang w:val="en-US" w:eastAsia="en-US"/>
        </w:rPr>
        <w:t xml:space="preserve"> sites 2015, Department of Communities and Local Government. </w:t>
      </w:r>
    </w:p>
    <w:p w14:paraId="340EFCF8" w14:textId="77777777" w:rsidR="004D690C" w:rsidRPr="003C7E62" w:rsidRDefault="004D690C" w:rsidP="00405C0A">
      <w:pPr>
        <w:keepNext w:val="0"/>
        <w:autoSpaceDE w:val="0"/>
        <w:autoSpaceDN w:val="0"/>
        <w:adjustRightInd w:val="0"/>
        <w:spacing w:before="0"/>
        <w:rPr>
          <w:rFonts w:cs="Arial"/>
          <w:color w:val="auto"/>
          <w:szCs w:val="24"/>
          <w:lang w:val="en-US" w:eastAsia="en-US"/>
        </w:rPr>
      </w:pPr>
    </w:p>
    <w:p w14:paraId="3E0B8059" w14:textId="3D20399D" w:rsidR="004D690C" w:rsidRPr="003C7E62" w:rsidRDefault="004D690C" w:rsidP="00405C0A">
      <w:pPr>
        <w:keepNext w:val="0"/>
        <w:autoSpaceDE w:val="0"/>
        <w:autoSpaceDN w:val="0"/>
        <w:adjustRightInd w:val="0"/>
        <w:spacing w:before="0"/>
        <w:rPr>
          <w:rFonts w:cs="Arial"/>
          <w:color w:val="C00000"/>
          <w:szCs w:val="24"/>
          <w:lang w:val="en-US" w:eastAsia="en-US"/>
        </w:rPr>
      </w:pPr>
      <w:r w:rsidRPr="003C7E62">
        <w:rPr>
          <w:rFonts w:cs="Arial"/>
          <w:b/>
          <w:color w:val="000000"/>
          <w:szCs w:val="24"/>
          <w:lang w:val="en" w:eastAsia="en-US"/>
        </w:rPr>
        <w:t xml:space="preserve">Travelling Showpeople: </w:t>
      </w:r>
      <w:r w:rsidRPr="003C7E62">
        <w:rPr>
          <w:rFonts w:cs="Arial"/>
          <w:i/>
          <w:iCs/>
          <w:color w:val="000000"/>
          <w:szCs w:val="24"/>
          <w:lang w:val="en-US" w:eastAsia="en-US"/>
        </w:rPr>
        <w:t xml:space="preserve"> </w:t>
      </w:r>
      <w:r w:rsidRPr="003C7E62">
        <w:rPr>
          <w:rFonts w:cs="Arial"/>
          <w:iCs/>
          <w:color w:val="auto"/>
          <w:szCs w:val="24"/>
          <w:lang w:val="en-US" w:eastAsia="en-US"/>
        </w:rPr>
        <w:t xml:space="preserve">Members of a group </w:t>
      </w:r>
      <w:proofErr w:type="spellStart"/>
      <w:r w:rsidRPr="003C7E62">
        <w:rPr>
          <w:rFonts w:cs="Arial"/>
          <w:iCs/>
          <w:color w:val="auto"/>
          <w:szCs w:val="24"/>
          <w:lang w:val="en-US" w:eastAsia="en-US"/>
        </w:rPr>
        <w:t>organised</w:t>
      </w:r>
      <w:proofErr w:type="spellEnd"/>
      <w:r w:rsidRPr="003C7E62">
        <w:rPr>
          <w:rFonts w:cs="Arial"/>
          <w:iCs/>
          <w:color w:val="auto"/>
          <w:szCs w:val="24"/>
          <w:lang w:val="en-US" w:eastAsia="en-US"/>
        </w:rPr>
        <w:t xml:space="preserve"> for the purposes of holding fairs, circuses or shows (whether or not travelling together as such).  This includes such persons who on the grounds of their own or their family’s or </w:t>
      </w:r>
      <w:r w:rsidR="00EA7D34" w:rsidRPr="003C7E62">
        <w:rPr>
          <w:rFonts w:cs="Arial"/>
          <w:iCs/>
          <w:color w:val="auto"/>
          <w:szCs w:val="24"/>
          <w:lang w:val="en-US" w:eastAsia="en-US"/>
        </w:rPr>
        <w:t>dependents’</w:t>
      </w:r>
      <w:r w:rsidRPr="003C7E62">
        <w:rPr>
          <w:rFonts w:cs="Arial"/>
          <w:iCs/>
          <w:color w:val="auto"/>
          <w:szCs w:val="24"/>
          <w:lang w:val="en-US" w:eastAsia="en-US"/>
        </w:rPr>
        <w:t xml:space="preserve"> more localised pattern of trading, educational or health needs or old age have ceased to travel temporarily, but excludes Gypsies and Travellers as defined above. </w:t>
      </w:r>
      <w:r w:rsidRPr="003C7E62">
        <w:rPr>
          <w:rFonts w:cs="Arial"/>
          <w:color w:val="auto"/>
          <w:szCs w:val="24"/>
          <w:lang w:val="en-US" w:eastAsia="en-US"/>
        </w:rPr>
        <w:t>Planning policy for</w:t>
      </w:r>
      <w:r w:rsidRPr="003C7E62">
        <w:rPr>
          <w:rFonts w:cs="Arial"/>
          <w:color w:val="auto"/>
          <w:szCs w:val="24"/>
          <w:lang w:eastAsia="en-US"/>
        </w:rPr>
        <w:t xml:space="preserve"> traveller</w:t>
      </w:r>
      <w:r w:rsidRPr="003C7E62">
        <w:rPr>
          <w:rFonts w:cs="Arial"/>
          <w:color w:val="auto"/>
          <w:szCs w:val="24"/>
          <w:lang w:val="en-US" w:eastAsia="en-US"/>
        </w:rPr>
        <w:t xml:space="preserve"> sites 2015, Department for Communities and Local Government.</w:t>
      </w:r>
      <w:r w:rsidRPr="003C7E62">
        <w:rPr>
          <w:rFonts w:cs="Arial"/>
          <w:color w:val="C00000"/>
          <w:szCs w:val="24"/>
          <w:lang w:val="en-US" w:eastAsia="en-US"/>
        </w:rPr>
        <w:t xml:space="preserve"> </w:t>
      </w:r>
    </w:p>
    <w:p w14:paraId="5A47B065" w14:textId="77777777" w:rsidR="004D690C" w:rsidRPr="003C7E62" w:rsidRDefault="004D690C" w:rsidP="00405C0A">
      <w:pPr>
        <w:keepNext w:val="0"/>
        <w:autoSpaceDE w:val="0"/>
        <w:autoSpaceDN w:val="0"/>
        <w:adjustRightInd w:val="0"/>
        <w:spacing w:before="0"/>
        <w:rPr>
          <w:rFonts w:cs="Arial"/>
          <w:color w:val="000000"/>
          <w:szCs w:val="24"/>
        </w:rPr>
      </w:pPr>
    </w:p>
    <w:p w14:paraId="0B46F946" w14:textId="77777777" w:rsidR="004D690C" w:rsidRPr="003C7E62" w:rsidRDefault="004D690C" w:rsidP="00405C0A">
      <w:pPr>
        <w:keepNext w:val="0"/>
        <w:spacing w:before="0"/>
        <w:rPr>
          <w:rFonts w:cs="Arial"/>
          <w:color w:val="auto"/>
        </w:rPr>
      </w:pPr>
      <w:r w:rsidRPr="003C7E62">
        <w:rPr>
          <w:rFonts w:cs="Arial"/>
          <w:b/>
          <w:color w:val="auto"/>
        </w:rPr>
        <w:t>Waste Local Plan:</w:t>
      </w:r>
      <w:r w:rsidRPr="003C7E62">
        <w:rPr>
          <w:rFonts w:cs="Arial"/>
          <w:color w:val="auto"/>
        </w:rPr>
        <w:t xml:space="preserve"> In Nottinghamshire prepared by the County Council acting as the Authority responsible for waste related issues including disposal, treatment, transfer and recycling within the County.</w:t>
      </w:r>
    </w:p>
    <w:p w14:paraId="3CD59918" w14:textId="77777777" w:rsidR="004D690C" w:rsidRPr="003C7E62" w:rsidRDefault="004D690C" w:rsidP="00405C0A">
      <w:pPr>
        <w:keepNext w:val="0"/>
        <w:spacing w:before="0"/>
        <w:rPr>
          <w:rFonts w:cs="Arial"/>
          <w:color w:val="auto"/>
        </w:rPr>
      </w:pPr>
    </w:p>
    <w:p w14:paraId="695EFD11" w14:textId="77777777" w:rsidR="004D690C" w:rsidRPr="003C7E62" w:rsidRDefault="004D690C" w:rsidP="00405C0A">
      <w:pPr>
        <w:keepNext w:val="0"/>
        <w:spacing w:before="0"/>
        <w:rPr>
          <w:rFonts w:cs="Arial"/>
          <w:color w:val="auto"/>
        </w:rPr>
      </w:pPr>
      <w:r w:rsidRPr="003C7E62">
        <w:rPr>
          <w:rFonts w:cs="Arial"/>
          <w:b/>
          <w:color w:val="auto"/>
        </w:rPr>
        <w:t xml:space="preserve">Wellbeing: </w:t>
      </w:r>
      <w:r w:rsidRPr="003C7E62">
        <w:rPr>
          <w:rFonts w:cs="Arial"/>
          <w:color w:val="auto"/>
        </w:rPr>
        <w:t>See health and wellbeing.</w:t>
      </w:r>
    </w:p>
    <w:p w14:paraId="7C1F5CB9" w14:textId="77777777" w:rsidR="004D690C" w:rsidRPr="003C7E62" w:rsidRDefault="004D690C" w:rsidP="00405C0A">
      <w:pPr>
        <w:keepNext w:val="0"/>
        <w:spacing w:before="0"/>
        <w:rPr>
          <w:rFonts w:cs="Arial"/>
          <w:b/>
          <w:color w:val="auto"/>
        </w:rPr>
      </w:pPr>
    </w:p>
    <w:p w14:paraId="09DB74BE" w14:textId="77777777" w:rsidR="000A31CA" w:rsidRDefault="004D690C" w:rsidP="000A31CA">
      <w:pPr>
        <w:keepNext w:val="0"/>
        <w:spacing w:before="0"/>
        <w:rPr>
          <w:rFonts w:cs="Arial"/>
          <w:iCs/>
          <w:color w:val="auto"/>
        </w:rPr>
      </w:pPr>
      <w:r w:rsidRPr="003C7E62">
        <w:rPr>
          <w:rFonts w:cs="Arial"/>
          <w:b/>
          <w:color w:val="auto"/>
        </w:rPr>
        <w:t>Worklessness:</w:t>
      </w:r>
      <w:r w:rsidRPr="003C7E62">
        <w:rPr>
          <w:rFonts w:cs="Arial"/>
          <w:color w:val="auto"/>
        </w:rPr>
        <w:t xml:space="preserve"> R</w:t>
      </w:r>
      <w:r w:rsidRPr="003C7E62">
        <w:rPr>
          <w:rFonts w:cs="Arial"/>
          <w:iCs/>
          <w:color w:val="auto"/>
        </w:rPr>
        <w:t>efers to people who are unemployed or economically inactive, and who are in receipt of working age benefits.’ (Social Exclusion Unit, 2004).</w:t>
      </w:r>
    </w:p>
    <w:bookmarkEnd w:id="324"/>
    <w:p w14:paraId="66BF6B71" w14:textId="77777777" w:rsidR="000A31CA" w:rsidRDefault="000A31CA" w:rsidP="000A31CA">
      <w:pPr>
        <w:keepNext w:val="0"/>
        <w:spacing w:before="0"/>
        <w:rPr>
          <w:rFonts w:cs="Arial"/>
          <w:iCs/>
          <w:color w:val="auto"/>
        </w:rPr>
      </w:pPr>
    </w:p>
    <w:p w14:paraId="36BDC7B0" w14:textId="77777777" w:rsidR="000A31CA" w:rsidRDefault="000A31CA" w:rsidP="000A31CA">
      <w:pPr>
        <w:keepNext w:val="0"/>
        <w:spacing w:before="0"/>
        <w:rPr>
          <w:rFonts w:cs="Arial"/>
          <w:iCs/>
          <w:color w:val="auto"/>
        </w:rPr>
      </w:pPr>
    </w:p>
    <w:p w14:paraId="5848B4EF" w14:textId="03AA4027" w:rsidR="00DC3F42" w:rsidRDefault="00DC3F42">
      <w:pPr>
        <w:keepNext w:val="0"/>
        <w:spacing w:before="0"/>
        <w:rPr>
          <w:rFonts w:cs="Arial"/>
          <w:iCs/>
          <w:color w:val="auto"/>
        </w:rPr>
      </w:pPr>
      <w:r>
        <w:rPr>
          <w:rFonts w:cs="Arial"/>
          <w:iCs/>
          <w:color w:val="auto"/>
        </w:rPr>
        <w:br w:type="page"/>
      </w:r>
    </w:p>
    <w:p w14:paraId="75BB390E" w14:textId="6447ABC2" w:rsidR="00DC3F42" w:rsidRPr="006B643D" w:rsidRDefault="00DC3F42" w:rsidP="00364726">
      <w:pPr>
        <w:pStyle w:val="Heading1"/>
        <w:rPr>
          <w:color w:val="FF0000"/>
        </w:rPr>
      </w:pPr>
      <w:bookmarkStart w:id="325" w:name="_Toc145511624"/>
      <w:r w:rsidRPr="001E13A6">
        <w:t>Appendix 2 - Five Year Land Supply and Housing Trajectory</w:t>
      </w:r>
      <w:bookmarkEnd w:id="325"/>
      <w:r w:rsidR="006B643D" w:rsidRPr="001E13A6">
        <w:t xml:space="preserve"> </w:t>
      </w:r>
    </w:p>
    <w:p w14:paraId="356BDD07" w14:textId="77777777" w:rsidR="000A31CA" w:rsidRDefault="000A31CA" w:rsidP="000A31CA">
      <w:pPr>
        <w:keepNext w:val="0"/>
        <w:spacing w:before="0"/>
        <w:rPr>
          <w:rFonts w:cs="Arial"/>
          <w:iCs/>
          <w:color w:val="auto"/>
        </w:rPr>
      </w:pPr>
    </w:p>
    <w:p w14:paraId="6109A056" w14:textId="77777777" w:rsidR="003125C6" w:rsidRDefault="003125C6" w:rsidP="00DC3F42">
      <w:pPr>
        <w:keepNext w:val="0"/>
        <w:spacing w:before="0"/>
        <w:rPr>
          <w:rFonts w:cs="Arial"/>
          <w:b/>
          <w:bCs/>
        </w:rPr>
      </w:pPr>
    </w:p>
    <w:p w14:paraId="34BDFE06" w14:textId="3418EBBE" w:rsidR="003125C6" w:rsidRPr="003125C6" w:rsidRDefault="003125C6" w:rsidP="00DC3F42">
      <w:pPr>
        <w:keepNext w:val="0"/>
        <w:spacing w:before="0"/>
        <w:rPr>
          <w:rFonts w:cs="Arial"/>
          <w:b/>
          <w:bCs/>
        </w:rPr>
      </w:pPr>
      <w:r w:rsidRPr="003125C6">
        <w:rPr>
          <w:rFonts w:cs="Arial"/>
          <w:b/>
          <w:bCs/>
        </w:rPr>
        <w:t xml:space="preserve">Five Year Housing Land Supply </w:t>
      </w:r>
      <w:r w:rsidR="001E13A6" w:rsidRPr="000663FF">
        <w:rPr>
          <w:rFonts w:cs="Arial"/>
          <w:b/>
          <w:bCs/>
          <w:color w:val="auto"/>
        </w:rPr>
        <w:t xml:space="preserve">at April 2025 </w:t>
      </w:r>
      <w:r w:rsidRPr="000663FF">
        <w:rPr>
          <w:rFonts w:cs="Arial"/>
          <w:b/>
          <w:bCs/>
          <w:color w:val="auto"/>
        </w:rPr>
        <w:t>(</w:t>
      </w:r>
      <w:r w:rsidRPr="003125C6">
        <w:rPr>
          <w:rFonts w:cs="Arial"/>
          <w:b/>
          <w:bCs/>
        </w:rPr>
        <w:t>post adoption)</w:t>
      </w:r>
    </w:p>
    <w:p w14:paraId="25566C7F" w14:textId="77777777" w:rsidR="003125C6" w:rsidRDefault="003125C6" w:rsidP="00DC3F42">
      <w:pPr>
        <w:keepNext w:val="0"/>
        <w:spacing w:before="0"/>
        <w:rPr>
          <w:rFonts w:cs="Arial"/>
        </w:rPr>
      </w:pPr>
    </w:p>
    <w:p w14:paraId="0515F543" w14:textId="0C3077FC" w:rsidR="00DC3F42" w:rsidRDefault="00DC3F42" w:rsidP="00DC3F42">
      <w:pPr>
        <w:keepNext w:val="0"/>
        <w:spacing w:before="0"/>
        <w:rPr>
          <w:rFonts w:cs="Arial"/>
        </w:rPr>
      </w:pPr>
      <w:r w:rsidRPr="007B4977">
        <w:rPr>
          <w:rFonts w:cs="Arial"/>
        </w:rPr>
        <w:t>The National Planning Policy Framework (NPPF) places a duty on Local Planning Authorities to demonstrate a supply of specific deliverable sites sufficient to provide five years’ worth of housing against their requirements</w:t>
      </w:r>
      <w:r w:rsidR="003125C6">
        <w:rPr>
          <w:rFonts w:cs="Arial"/>
        </w:rPr>
        <w:t xml:space="preserve"> (5YHLS)</w:t>
      </w:r>
      <w:r w:rsidRPr="007B4977">
        <w:rPr>
          <w:rFonts w:cs="Arial"/>
        </w:rPr>
        <w:t xml:space="preserve">. </w:t>
      </w:r>
    </w:p>
    <w:p w14:paraId="53BA7127" w14:textId="77777777" w:rsidR="00DC3F42" w:rsidRDefault="00DC3F42" w:rsidP="00DC3F42">
      <w:pPr>
        <w:keepNext w:val="0"/>
        <w:spacing w:before="0"/>
        <w:rPr>
          <w:rFonts w:cs="Arial"/>
        </w:rPr>
      </w:pPr>
    </w:p>
    <w:p w14:paraId="35D97259" w14:textId="4650821B" w:rsidR="00DC3F42" w:rsidRPr="007B4977" w:rsidRDefault="00FA5EDA" w:rsidP="00DC3F42">
      <w:pPr>
        <w:keepNext w:val="0"/>
        <w:spacing w:before="0"/>
        <w:rPr>
          <w:rFonts w:cs="Arial"/>
        </w:rPr>
      </w:pPr>
      <w:r>
        <w:rPr>
          <w:rFonts w:cs="Arial"/>
        </w:rPr>
        <w:t xml:space="preserve">The following calculation refers to a five year period </w:t>
      </w:r>
      <w:r w:rsidRPr="00CF6F0D">
        <w:rPr>
          <w:rFonts w:cs="Arial"/>
          <w:b/>
          <w:bCs/>
        </w:rPr>
        <w:t>post adoption</w:t>
      </w:r>
      <w:r>
        <w:rPr>
          <w:rFonts w:cs="Arial"/>
        </w:rPr>
        <w:t xml:space="preserve"> to ensure that the Local Plan will meet the requirements of the NPPF.</w:t>
      </w:r>
      <w:r w:rsidR="0073396F">
        <w:rPr>
          <w:rFonts w:cs="Arial"/>
        </w:rPr>
        <w:br/>
      </w:r>
    </w:p>
    <w:p w14:paraId="5E760D60" w14:textId="199C26EB" w:rsidR="000A31CA" w:rsidRPr="000663FF" w:rsidRDefault="0073396F" w:rsidP="00B5314A">
      <w:pPr>
        <w:keepNext w:val="0"/>
        <w:spacing w:before="0"/>
        <w:ind w:left="993"/>
        <w:rPr>
          <w:b/>
          <w:bCs/>
          <w:color w:val="auto"/>
          <w:sz w:val="16"/>
          <w:szCs w:val="16"/>
        </w:rPr>
      </w:pPr>
      <w:r w:rsidRPr="000663FF">
        <w:rPr>
          <w:rFonts w:cs="Arial"/>
          <w:b/>
          <w:bCs/>
          <w:color w:val="auto"/>
          <w:szCs w:val="24"/>
        </w:rPr>
        <w:t>Five Year Housing Requirement (Dwellings)</w:t>
      </w:r>
      <w:r w:rsidRPr="000663FF">
        <w:rPr>
          <w:rFonts w:cs="Arial"/>
          <w:b/>
          <w:bCs/>
          <w:color w:val="auto"/>
          <w:szCs w:val="24"/>
        </w:rPr>
        <w:br/>
      </w:r>
    </w:p>
    <w:tbl>
      <w:tblPr>
        <w:tblStyle w:val="TableGrid3"/>
        <w:tblW w:w="7660" w:type="dxa"/>
        <w:tblInd w:w="988" w:type="dxa"/>
        <w:tblLook w:val="04A0" w:firstRow="1" w:lastRow="0" w:firstColumn="1" w:lastColumn="0" w:noHBand="0" w:noVBand="1"/>
      </w:tblPr>
      <w:tblGrid>
        <w:gridCol w:w="6700"/>
        <w:gridCol w:w="960"/>
      </w:tblGrid>
      <w:tr w:rsidR="000663FF" w:rsidRPr="000663FF" w14:paraId="55AB8997" w14:textId="77777777" w:rsidTr="00BD42C4">
        <w:trPr>
          <w:trHeight w:val="300"/>
        </w:trPr>
        <w:tc>
          <w:tcPr>
            <w:tcW w:w="6700" w:type="dxa"/>
            <w:shd w:val="clear" w:color="auto" w:fill="D9E1F2"/>
            <w:hideMark/>
          </w:tcPr>
          <w:p w14:paraId="2947FBA4" w14:textId="7DC772E5" w:rsidR="001E13A6" w:rsidRPr="000663FF" w:rsidRDefault="001E13A6" w:rsidP="00BD42C4">
            <w:pPr>
              <w:keepNext w:val="0"/>
              <w:spacing w:before="0"/>
              <w:rPr>
                <w:rFonts w:cs="Arial"/>
                <w:color w:val="auto"/>
                <w:szCs w:val="24"/>
              </w:rPr>
            </w:pPr>
            <w:r w:rsidRPr="000663FF">
              <w:rPr>
                <w:rFonts w:cs="Arial"/>
                <w:color w:val="auto"/>
                <w:szCs w:val="24"/>
              </w:rPr>
              <w:t>Local Housing Need @ 446 dpa x 5 years</w:t>
            </w:r>
          </w:p>
        </w:tc>
        <w:tc>
          <w:tcPr>
            <w:tcW w:w="960" w:type="dxa"/>
            <w:shd w:val="clear" w:color="auto" w:fill="D9E1F2"/>
            <w:noWrap/>
            <w:hideMark/>
          </w:tcPr>
          <w:p w14:paraId="498D881C" w14:textId="720C1B87" w:rsidR="001E13A6" w:rsidRPr="000663FF" w:rsidRDefault="001E13A6" w:rsidP="00BD42C4">
            <w:pPr>
              <w:keepNext w:val="0"/>
              <w:spacing w:before="0"/>
              <w:jc w:val="right"/>
              <w:rPr>
                <w:rFonts w:cs="Arial"/>
                <w:color w:val="auto"/>
                <w:szCs w:val="24"/>
              </w:rPr>
            </w:pPr>
            <w:r w:rsidRPr="000663FF">
              <w:rPr>
                <w:rFonts w:cs="Arial"/>
                <w:color w:val="auto"/>
                <w:szCs w:val="24"/>
              </w:rPr>
              <w:t>2230</w:t>
            </w:r>
          </w:p>
        </w:tc>
      </w:tr>
      <w:tr w:rsidR="000663FF" w:rsidRPr="000663FF" w14:paraId="6D7C120E" w14:textId="77777777" w:rsidTr="00BD42C4">
        <w:trPr>
          <w:trHeight w:val="300"/>
        </w:trPr>
        <w:tc>
          <w:tcPr>
            <w:tcW w:w="6700" w:type="dxa"/>
            <w:shd w:val="clear" w:color="auto" w:fill="D9E1F2"/>
            <w:hideMark/>
          </w:tcPr>
          <w:p w14:paraId="30CA4384" w14:textId="77777777" w:rsidR="001E13A6" w:rsidRPr="000663FF" w:rsidRDefault="001E13A6" w:rsidP="00BD42C4">
            <w:pPr>
              <w:keepNext w:val="0"/>
              <w:spacing w:before="0"/>
              <w:rPr>
                <w:rFonts w:cs="Arial"/>
                <w:color w:val="auto"/>
                <w:szCs w:val="24"/>
              </w:rPr>
            </w:pPr>
            <w:r w:rsidRPr="000663FF">
              <w:rPr>
                <w:rFonts w:cs="Arial"/>
                <w:color w:val="auto"/>
                <w:szCs w:val="24"/>
              </w:rPr>
              <w:t>Add 20% buffer</w:t>
            </w:r>
          </w:p>
        </w:tc>
        <w:tc>
          <w:tcPr>
            <w:tcW w:w="960" w:type="dxa"/>
            <w:shd w:val="clear" w:color="auto" w:fill="D9E1F2"/>
            <w:noWrap/>
            <w:hideMark/>
          </w:tcPr>
          <w:p w14:paraId="5A8CFABD" w14:textId="68BB64D3" w:rsidR="001E13A6" w:rsidRPr="000663FF" w:rsidRDefault="001E13A6" w:rsidP="00BD42C4">
            <w:pPr>
              <w:keepNext w:val="0"/>
              <w:spacing w:before="0"/>
              <w:jc w:val="right"/>
              <w:rPr>
                <w:rFonts w:cs="Arial"/>
                <w:color w:val="auto"/>
                <w:szCs w:val="24"/>
              </w:rPr>
            </w:pPr>
            <w:r w:rsidRPr="000663FF">
              <w:rPr>
                <w:rFonts w:cs="Arial"/>
                <w:color w:val="auto"/>
                <w:szCs w:val="24"/>
              </w:rPr>
              <w:t>4</w:t>
            </w:r>
            <w:r w:rsidR="00954FA6">
              <w:rPr>
                <w:rFonts w:cs="Arial"/>
                <w:color w:val="auto"/>
                <w:szCs w:val="24"/>
              </w:rPr>
              <w:t>46</w:t>
            </w:r>
          </w:p>
        </w:tc>
      </w:tr>
      <w:tr w:rsidR="000663FF" w:rsidRPr="000663FF" w14:paraId="78BDD8E4" w14:textId="77777777" w:rsidTr="00BD42C4">
        <w:trPr>
          <w:trHeight w:val="315"/>
        </w:trPr>
        <w:tc>
          <w:tcPr>
            <w:tcW w:w="6700" w:type="dxa"/>
            <w:shd w:val="clear" w:color="auto" w:fill="D9E1F2"/>
            <w:hideMark/>
          </w:tcPr>
          <w:p w14:paraId="4BCD846B" w14:textId="77777777" w:rsidR="001E13A6" w:rsidRPr="000663FF" w:rsidRDefault="001E13A6" w:rsidP="00BD42C4">
            <w:pPr>
              <w:keepNext w:val="0"/>
              <w:spacing w:before="0"/>
              <w:rPr>
                <w:rFonts w:cs="Arial"/>
                <w:b/>
                <w:bCs/>
                <w:color w:val="auto"/>
                <w:szCs w:val="24"/>
              </w:rPr>
            </w:pPr>
            <w:r w:rsidRPr="000663FF">
              <w:rPr>
                <w:rFonts w:cs="Arial"/>
                <w:b/>
                <w:bCs/>
                <w:color w:val="auto"/>
                <w:szCs w:val="24"/>
              </w:rPr>
              <w:t>Total 5 year requirement including buffer</w:t>
            </w:r>
          </w:p>
        </w:tc>
        <w:tc>
          <w:tcPr>
            <w:tcW w:w="960" w:type="dxa"/>
            <w:shd w:val="clear" w:color="auto" w:fill="D9E1F2"/>
            <w:noWrap/>
            <w:hideMark/>
          </w:tcPr>
          <w:p w14:paraId="265DD4EA" w14:textId="0FB0DD34" w:rsidR="001E13A6" w:rsidRPr="000663FF" w:rsidRDefault="001E13A6" w:rsidP="00BD42C4">
            <w:pPr>
              <w:keepNext w:val="0"/>
              <w:spacing w:before="0"/>
              <w:jc w:val="right"/>
              <w:rPr>
                <w:rFonts w:cs="Arial"/>
                <w:b/>
                <w:bCs/>
                <w:color w:val="auto"/>
                <w:szCs w:val="24"/>
              </w:rPr>
            </w:pPr>
            <w:r w:rsidRPr="000663FF">
              <w:rPr>
                <w:rFonts w:cs="Arial"/>
                <w:b/>
                <w:bCs/>
                <w:color w:val="auto"/>
                <w:szCs w:val="24"/>
              </w:rPr>
              <w:t>2676</w:t>
            </w:r>
          </w:p>
        </w:tc>
      </w:tr>
      <w:tr w:rsidR="000663FF" w:rsidRPr="000663FF" w14:paraId="5702824C" w14:textId="77777777" w:rsidTr="00BD42C4">
        <w:trPr>
          <w:trHeight w:val="375"/>
        </w:trPr>
        <w:tc>
          <w:tcPr>
            <w:tcW w:w="6700" w:type="dxa"/>
            <w:shd w:val="clear" w:color="auto" w:fill="D9E1F2"/>
            <w:hideMark/>
          </w:tcPr>
          <w:p w14:paraId="26369266" w14:textId="77777777" w:rsidR="001E13A6" w:rsidRPr="000663FF" w:rsidRDefault="001E13A6" w:rsidP="00BD42C4">
            <w:pPr>
              <w:keepNext w:val="0"/>
              <w:spacing w:before="0"/>
              <w:rPr>
                <w:rFonts w:cs="Arial"/>
                <w:b/>
                <w:bCs/>
                <w:color w:val="auto"/>
                <w:szCs w:val="24"/>
              </w:rPr>
            </w:pPr>
            <w:r w:rsidRPr="000663FF">
              <w:rPr>
                <w:rFonts w:cs="Arial"/>
                <w:b/>
                <w:bCs/>
                <w:color w:val="auto"/>
                <w:szCs w:val="24"/>
              </w:rPr>
              <w:t>Annual requirement including buffer</w:t>
            </w:r>
          </w:p>
        </w:tc>
        <w:tc>
          <w:tcPr>
            <w:tcW w:w="960" w:type="dxa"/>
            <w:shd w:val="clear" w:color="auto" w:fill="D9E1F2"/>
            <w:noWrap/>
            <w:hideMark/>
          </w:tcPr>
          <w:p w14:paraId="169B185E" w14:textId="3ACFB34B" w:rsidR="001E13A6" w:rsidRPr="000663FF" w:rsidRDefault="001E13A6" w:rsidP="00BD42C4">
            <w:pPr>
              <w:keepNext w:val="0"/>
              <w:spacing w:before="0"/>
              <w:jc w:val="right"/>
              <w:rPr>
                <w:rFonts w:cs="Arial"/>
                <w:b/>
                <w:bCs/>
                <w:color w:val="auto"/>
                <w:szCs w:val="24"/>
              </w:rPr>
            </w:pPr>
            <w:r w:rsidRPr="000663FF">
              <w:rPr>
                <w:rFonts w:cs="Arial"/>
                <w:b/>
                <w:bCs/>
                <w:color w:val="auto"/>
                <w:szCs w:val="24"/>
              </w:rPr>
              <w:t>535</w:t>
            </w:r>
          </w:p>
        </w:tc>
      </w:tr>
    </w:tbl>
    <w:p w14:paraId="203F75C0" w14:textId="3FD677B5" w:rsidR="00FA5EDA" w:rsidRPr="000663FF" w:rsidRDefault="0073396F" w:rsidP="00B5314A">
      <w:pPr>
        <w:keepNext w:val="0"/>
        <w:spacing w:before="0"/>
        <w:ind w:left="993"/>
        <w:rPr>
          <w:b/>
          <w:bCs/>
          <w:color w:val="auto"/>
          <w:sz w:val="16"/>
          <w:szCs w:val="16"/>
        </w:rPr>
      </w:pPr>
      <w:r w:rsidRPr="000663FF">
        <w:rPr>
          <w:b/>
          <w:bCs/>
          <w:color w:val="auto"/>
          <w:sz w:val="16"/>
          <w:szCs w:val="16"/>
        </w:rPr>
        <w:br/>
      </w:r>
      <w:r w:rsidRPr="000663FF">
        <w:rPr>
          <w:rFonts w:cs="Arial"/>
          <w:b/>
          <w:bCs/>
          <w:color w:val="auto"/>
          <w:szCs w:val="24"/>
        </w:rPr>
        <w:t>Housing Land Supply (Dwellings)</w:t>
      </w:r>
      <w:r w:rsidRPr="000663FF">
        <w:rPr>
          <w:rFonts w:cs="Arial"/>
          <w:b/>
          <w:bCs/>
          <w:color w:val="auto"/>
          <w:szCs w:val="24"/>
        </w:rPr>
        <w:br/>
      </w:r>
    </w:p>
    <w:tbl>
      <w:tblPr>
        <w:tblStyle w:val="TableGrid3"/>
        <w:tblW w:w="7660" w:type="dxa"/>
        <w:tblInd w:w="988" w:type="dxa"/>
        <w:tblLook w:val="04A0" w:firstRow="1" w:lastRow="0" w:firstColumn="1" w:lastColumn="0" w:noHBand="0" w:noVBand="1"/>
      </w:tblPr>
      <w:tblGrid>
        <w:gridCol w:w="6700"/>
        <w:gridCol w:w="960"/>
      </w:tblGrid>
      <w:tr w:rsidR="000663FF" w:rsidRPr="000663FF" w14:paraId="3554167E" w14:textId="77777777" w:rsidTr="00BD42C4">
        <w:trPr>
          <w:trHeight w:val="300"/>
        </w:trPr>
        <w:tc>
          <w:tcPr>
            <w:tcW w:w="6700" w:type="dxa"/>
            <w:shd w:val="clear" w:color="auto" w:fill="B4C6E7"/>
            <w:hideMark/>
          </w:tcPr>
          <w:p w14:paraId="20A37DD5" w14:textId="712AB3A6" w:rsidR="001E13A6" w:rsidRPr="000663FF" w:rsidRDefault="0004606E" w:rsidP="00BD42C4">
            <w:pPr>
              <w:keepNext w:val="0"/>
              <w:spacing w:before="0"/>
              <w:rPr>
                <w:rFonts w:cs="Arial"/>
                <w:color w:val="auto"/>
                <w:szCs w:val="24"/>
              </w:rPr>
            </w:pPr>
            <w:r w:rsidRPr="000663FF">
              <w:rPr>
                <w:rFonts w:cs="Arial"/>
                <w:color w:val="auto"/>
                <w:szCs w:val="24"/>
              </w:rPr>
              <w:t>A</w:t>
            </w:r>
            <w:r w:rsidR="001E13A6" w:rsidRPr="000663FF">
              <w:rPr>
                <w:rFonts w:cs="Arial"/>
                <w:color w:val="auto"/>
                <w:szCs w:val="24"/>
              </w:rPr>
              <w:t xml:space="preserve">llocations </w:t>
            </w:r>
            <w:r w:rsidRPr="000663FF">
              <w:rPr>
                <w:rFonts w:cs="Arial"/>
                <w:color w:val="auto"/>
                <w:szCs w:val="24"/>
              </w:rPr>
              <w:t xml:space="preserve">without planning permission </w:t>
            </w:r>
            <w:r w:rsidR="001E13A6" w:rsidRPr="000663FF">
              <w:rPr>
                <w:rFonts w:cs="Arial"/>
                <w:color w:val="auto"/>
                <w:szCs w:val="24"/>
              </w:rPr>
              <w:t>deliverable within 5 years (202</w:t>
            </w:r>
            <w:r w:rsidRPr="000663FF">
              <w:rPr>
                <w:rFonts w:cs="Arial"/>
                <w:color w:val="auto"/>
                <w:szCs w:val="24"/>
              </w:rPr>
              <w:t>5</w:t>
            </w:r>
            <w:r w:rsidR="001E13A6" w:rsidRPr="000663FF">
              <w:rPr>
                <w:rFonts w:cs="Arial"/>
                <w:color w:val="auto"/>
                <w:szCs w:val="24"/>
              </w:rPr>
              <w:t>-20</w:t>
            </w:r>
            <w:r w:rsidRPr="000663FF">
              <w:rPr>
                <w:rFonts w:cs="Arial"/>
                <w:color w:val="auto"/>
                <w:szCs w:val="24"/>
              </w:rPr>
              <w:t>30</w:t>
            </w:r>
            <w:r w:rsidR="001E13A6" w:rsidRPr="000663FF">
              <w:rPr>
                <w:rFonts w:cs="Arial"/>
                <w:color w:val="auto"/>
                <w:szCs w:val="24"/>
              </w:rPr>
              <w:t>)</w:t>
            </w:r>
          </w:p>
        </w:tc>
        <w:tc>
          <w:tcPr>
            <w:tcW w:w="960" w:type="dxa"/>
            <w:shd w:val="clear" w:color="auto" w:fill="B4C6E7"/>
            <w:noWrap/>
            <w:hideMark/>
          </w:tcPr>
          <w:p w14:paraId="3B1F2826" w14:textId="5554F93C" w:rsidR="001E13A6" w:rsidRPr="000663FF" w:rsidRDefault="00954FA6" w:rsidP="00BD42C4">
            <w:pPr>
              <w:keepNext w:val="0"/>
              <w:spacing w:before="0"/>
              <w:jc w:val="right"/>
              <w:rPr>
                <w:rFonts w:cs="Arial"/>
                <w:color w:val="auto"/>
                <w:sz w:val="22"/>
              </w:rPr>
            </w:pPr>
            <w:r>
              <w:rPr>
                <w:rFonts w:cs="Arial"/>
                <w:color w:val="auto"/>
                <w:sz w:val="22"/>
              </w:rPr>
              <w:t>2059</w:t>
            </w:r>
          </w:p>
        </w:tc>
      </w:tr>
      <w:tr w:rsidR="000663FF" w:rsidRPr="000663FF" w14:paraId="7A7D6D99" w14:textId="77777777" w:rsidTr="00BD42C4">
        <w:trPr>
          <w:trHeight w:val="300"/>
        </w:trPr>
        <w:tc>
          <w:tcPr>
            <w:tcW w:w="6700" w:type="dxa"/>
            <w:shd w:val="clear" w:color="auto" w:fill="B4C6E7"/>
            <w:hideMark/>
          </w:tcPr>
          <w:p w14:paraId="75EFADB2" w14:textId="71065FDD" w:rsidR="001E13A6" w:rsidRPr="000663FF" w:rsidRDefault="0004606E" w:rsidP="00BD42C4">
            <w:pPr>
              <w:keepNext w:val="0"/>
              <w:spacing w:before="0"/>
              <w:rPr>
                <w:rFonts w:cs="Arial"/>
                <w:color w:val="auto"/>
                <w:szCs w:val="24"/>
              </w:rPr>
            </w:pPr>
            <w:r w:rsidRPr="000663FF">
              <w:rPr>
                <w:rFonts w:cs="Arial"/>
                <w:color w:val="auto"/>
                <w:szCs w:val="24"/>
              </w:rPr>
              <w:t>P</w:t>
            </w:r>
            <w:r w:rsidR="001E13A6" w:rsidRPr="000663FF">
              <w:rPr>
                <w:rFonts w:cs="Arial"/>
                <w:color w:val="auto"/>
                <w:szCs w:val="24"/>
              </w:rPr>
              <w:t>lanning permissions deliverable within 5 years</w:t>
            </w:r>
            <w:r w:rsidRPr="000663FF">
              <w:rPr>
                <w:rFonts w:cs="Arial"/>
                <w:color w:val="auto"/>
                <w:szCs w:val="24"/>
              </w:rPr>
              <w:t xml:space="preserve"> (2025-2030)</w:t>
            </w:r>
          </w:p>
        </w:tc>
        <w:tc>
          <w:tcPr>
            <w:tcW w:w="960" w:type="dxa"/>
            <w:shd w:val="clear" w:color="auto" w:fill="B4C6E7"/>
            <w:noWrap/>
            <w:hideMark/>
          </w:tcPr>
          <w:p w14:paraId="06E78246" w14:textId="74D16619" w:rsidR="001E13A6" w:rsidRPr="000663FF" w:rsidRDefault="0004606E" w:rsidP="00BD42C4">
            <w:pPr>
              <w:keepNext w:val="0"/>
              <w:spacing w:before="0"/>
              <w:jc w:val="right"/>
              <w:rPr>
                <w:rFonts w:cs="Arial"/>
                <w:color w:val="auto"/>
                <w:sz w:val="22"/>
              </w:rPr>
            </w:pPr>
            <w:r w:rsidRPr="000663FF">
              <w:rPr>
                <w:rFonts w:cs="Arial"/>
                <w:color w:val="auto"/>
                <w:sz w:val="22"/>
              </w:rPr>
              <w:t>1</w:t>
            </w:r>
            <w:r w:rsidR="008D51D6" w:rsidRPr="000663FF">
              <w:rPr>
                <w:rFonts w:cs="Arial"/>
                <w:color w:val="auto"/>
                <w:sz w:val="22"/>
              </w:rPr>
              <w:t>3</w:t>
            </w:r>
            <w:r w:rsidR="00F33392" w:rsidRPr="000663FF">
              <w:rPr>
                <w:rFonts w:cs="Arial"/>
                <w:color w:val="auto"/>
                <w:sz w:val="22"/>
              </w:rPr>
              <w:t>32</w:t>
            </w:r>
          </w:p>
        </w:tc>
      </w:tr>
      <w:tr w:rsidR="000663FF" w:rsidRPr="000663FF" w14:paraId="2A1E992D" w14:textId="77777777" w:rsidTr="00461E90">
        <w:trPr>
          <w:trHeight w:val="300"/>
        </w:trPr>
        <w:tc>
          <w:tcPr>
            <w:tcW w:w="6700" w:type="dxa"/>
            <w:shd w:val="clear" w:color="auto" w:fill="B4C6E7"/>
            <w:hideMark/>
          </w:tcPr>
          <w:p w14:paraId="38E2934C" w14:textId="77777777" w:rsidR="001E13A6" w:rsidRPr="000663FF" w:rsidRDefault="001E13A6" w:rsidP="00BD42C4">
            <w:pPr>
              <w:keepNext w:val="0"/>
              <w:spacing w:before="0"/>
              <w:rPr>
                <w:rFonts w:cs="Arial"/>
                <w:color w:val="auto"/>
                <w:szCs w:val="24"/>
              </w:rPr>
            </w:pPr>
            <w:r w:rsidRPr="000663FF">
              <w:rPr>
                <w:rFonts w:cs="Arial"/>
                <w:color w:val="auto"/>
                <w:szCs w:val="24"/>
              </w:rPr>
              <w:t>Discount applied to permissions based on historic lapse rate</w:t>
            </w:r>
          </w:p>
        </w:tc>
        <w:tc>
          <w:tcPr>
            <w:tcW w:w="960" w:type="dxa"/>
            <w:shd w:val="clear" w:color="auto" w:fill="B4C6E7" w:themeFill="accent1" w:themeFillTint="66"/>
            <w:noWrap/>
            <w:hideMark/>
          </w:tcPr>
          <w:p w14:paraId="6739A93E" w14:textId="23725519" w:rsidR="001E13A6" w:rsidRPr="000663FF" w:rsidRDefault="001E13A6" w:rsidP="00BD42C4">
            <w:pPr>
              <w:keepNext w:val="0"/>
              <w:spacing w:before="0"/>
              <w:jc w:val="right"/>
              <w:rPr>
                <w:rFonts w:cs="Arial"/>
                <w:color w:val="auto"/>
                <w:szCs w:val="24"/>
              </w:rPr>
            </w:pPr>
            <w:r w:rsidRPr="000663FF">
              <w:rPr>
                <w:rFonts w:cs="Arial"/>
                <w:color w:val="auto"/>
                <w:szCs w:val="24"/>
              </w:rPr>
              <w:t>-105</w:t>
            </w:r>
          </w:p>
        </w:tc>
      </w:tr>
      <w:tr w:rsidR="000663FF" w:rsidRPr="000663FF" w14:paraId="4FA3AD33" w14:textId="77777777" w:rsidTr="00BD42C4">
        <w:trPr>
          <w:trHeight w:val="300"/>
        </w:trPr>
        <w:tc>
          <w:tcPr>
            <w:tcW w:w="6700" w:type="dxa"/>
            <w:shd w:val="clear" w:color="auto" w:fill="B4C6E7"/>
            <w:hideMark/>
          </w:tcPr>
          <w:p w14:paraId="72E70B2B" w14:textId="77777777" w:rsidR="001E13A6" w:rsidRPr="000663FF" w:rsidRDefault="001E13A6" w:rsidP="00BD42C4">
            <w:pPr>
              <w:keepNext w:val="0"/>
              <w:spacing w:before="0"/>
              <w:rPr>
                <w:rFonts w:cs="Arial"/>
                <w:color w:val="auto"/>
                <w:szCs w:val="24"/>
              </w:rPr>
            </w:pPr>
            <w:r w:rsidRPr="000663FF">
              <w:rPr>
                <w:rFonts w:cs="Arial"/>
                <w:color w:val="auto"/>
                <w:szCs w:val="24"/>
              </w:rPr>
              <w:t>Permitted Development deliverable within 5 years</w:t>
            </w:r>
          </w:p>
        </w:tc>
        <w:tc>
          <w:tcPr>
            <w:tcW w:w="960" w:type="dxa"/>
            <w:shd w:val="clear" w:color="auto" w:fill="B4C6E7"/>
            <w:noWrap/>
            <w:hideMark/>
          </w:tcPr>
          <w:p w14:paraId="24A456D3" w14:textId="29EEB530" w:rsidR="001E13A6" w:rsidRPr="000663FF" w:rsidRDefault="001E13A6" w:rsidP="00BD42C4">
            <w:pPr>
              <w:keepNext w:val="0"/>
              <w:spacing w:before="0"/>
              <w:jc w:val="right"/>
              <w:rPr>
                <w:rFonts w:cs="Arial"/>
                <w:color w:val="auto"/>
                <w:szCs w:val="24"/>
              </w:rPr>
            </w:pPr>
            <w:r w:rsidRPr="000663FF">
              <w:rPr>
                <w:rFonts w:cs="Arial"/>
                <w:color w:val="auto"/>
                <w:szCs w:val="24"/>
              </w:rPr>
              <w:t>2</w:t>
            </w:r>
          </w:p>
        </w:tc>
      </w:tr>
      <w:tr w:rsidR="000663FF" w:rsidRPr="000663FF" w14:paraId="03D562EC" w14:textId="77777777" w:rsidTr="00BD42C4">
        <w:trPr>
          <w:trHeight w:val="360"/>
        </w:trPr>
        <w:tc>
          <w:tcPr>
            <w:tcW w:w="6700" w:type="dxa"/>
            <w:shd w:val="clear" w:color="auto" w:fill="B4C6E7"/>
            <w:hideMark/>
          </w:tcPr>
          <w:p w14:paraId="5538617B" w14:textId="77777777" w:rsidR="001E13A6" w:rsidRPr="000663FF" w:rsidRDefault="001E13A6" w:rsidP="00BD42C4">
            <w:pPr>
              <w:keepNext w:val="0"/>
              <w:spacing w:before="0"/>
              <w:rPr>
                <w:rFonts w:cs="Arial"/>
                <w:color w:val="auto"/>
                <w:szCs w:val="24"/>
              </w:rPr>
            </w:pPr>
            <w:r w:rsidRPr="000663FF">
              <w:rPr>
                <w:rFonts w:cs="Arial"/>
                <w:color w:val="auto"/>
                <w:szCs w:val="24"/>
              </w:rPr>
              <w:t>Residential Institutions (C2) deliverable within 5 years</w:t>
            </w:r>
            <w:r w:rsidRPr="000663FF">
              <w:rPr>
                <w:rFonts w:cs="Arial"/>
                <w:color w:val="auto"/>
                <w:szCs w:val="24"/>
                <w:vertAlign w:val="superscript"/>
              </w:rPr>
              <w:t>#</w:t>
            </w:r>
          </w:p>
        </w:tc>
        <w:tc>
          <w:tcPr>
            <w:tcW w:w="960" w:type="dxa"/>
            <w:shd w:val="clear" w:color="auto" w:fill="B4C6E7"/>
            <w:noWrap/>
            <w:hideMark/>
          </w:tcPr>
          <w:p w14:paraId="6F00915C" w14:textId="18FB4BEC" w:rsidR="001E13A6" w:rsidRPr="000663FF" w:rsidRDefault="001E13A6" w:rsidP="00BD42C4">
            <w:pPr>
              <w:keepNext w:val="0"/>
              <w:spacing w:before="0"/>
              <w:jc w:val="right"/>
              <w:rPr>
                <w:rFonts w:cs="Arial"/>
                <w:color w:val="auto"/>
                <w:szCs w:val="24"/>
              </w:rPr>
            </w:pPr>
            <w:r w:rsidRPr="000663FF">
              <w:rPr>
                <w:rFonts w:cs="Arial"/>
                <w:color w:val="auto"/>
                <w:szCs w:val="24"/>
              </w:rPr>
              <w:t>5</w:t>
            </w:r>
          </w:p>
        </w:tc>
      </w:tr>
      <w:tr w:rsidR="000663FF" w:rsidRPr="000663FF" w14:paraId="107F2767" w14:textId="77777777" w:rsidTr="00BD42C4">
        <w:trPr>
          <w:trHeight w:val="300"/>
        </w:trPr>
        <w:tc>
          <w:tcPr>
            <w:tcW w:w="6700" w:type="dxa"/>
            <w:shd w:val="clear" w:color="auto" w:fill="B4C6E7"/>
            <w:hideMark/>
          </w:tcPr>
          <w:p w14:paraId="2C40ABD0" w14:textId="71C046BA" w:rsidR="001E13A6" w:rsidRPr="000663FF" w:rsidRDefault="001E13A6" w:rsidP="00BD42C4">
            <w:pPr>
              <w:keepNext w:val="0"/>
              <w:spacing w:before="0"/>
              <w:rPr>
                <w:rFonts w:cs="Arial"/>
                <w:color w:val="auto"/>
                <w:szCs w:val="24"/>
              </w:rPr>
            </w:pPr>
            <w:r w:rsidRPr="000663FF">
              <w:rPr>
                <w:rFonts w:cs="Arial"/>
                <w:color w:val="auto"/>
                <w:szCs w:val="24"/>
              </w:rPr>
              <w:t>Small site windfall allowance (2028 to 2030)</w:t>
            </w:r>
          </w:p>
        </w:tc>
        <w:tc>
          <w:tcPr>
            <w:tcW w:w="960" w:type="dxa"/>
            <w:shd w:val="clear" w:color="auto" w:fill="B4C6E7"/>
            <w:noWrap/>
            <w:hideMark/>
          </w:tcPr>
          <w:p w14:paraId="480C0741" w14:textId="77777777" w:rsidR="001E13A6" w:rsidRPr="000663FF" w:rsidRDefault="001E13A6" w:rsidP="00BD42C4">
            <w:pPr>
              <w:keepNext w:val="0"/>
              <w:spacing w:before="0"/>
              <w:jc w:val="right"/>
              <w:rPr>
                <w:rFonts w:cs="Arial"/>
                <w:color w:val="auto"/>
                <w:szCs w:val="24"/>
              </w:rPr>
            </w:pPr>
            <w:r w:rsidRPr="000663FF">
              <w:rPr>
                <w:rFonts w:cs="Arial"/>
                <w:color w:val="auto"/>
                <w:szCs w:val="24"/>
              </w:rPr>
              <w:t>120</w:t>
            </w:r>
          </w:p>
        </w:tc>
      </w:tr>
      <w:tr w:rsidR="000663FF" w:rsidRPr="000663FF" w14:paraId="2ADC3553" w14:textId="77777777" w:rsidTr="00BD42C4">
        <w:trPr>
          <w:trHeight w:val="630"/>
        </w:trPr>
        <w:tc>
          <w:tcPr>
            <w:tcW w:w="6700" w:type="dxa"/>
            <w:shd w:val="clear" w:color="auto" w:fill="B4C6E7"/>
            <w:hideMark/>
          </w:tcPr>
          <w:p w14:paraId="79174546" w14:textId="670ACEAF" w:rsidR="001E13A6" w:rsidRPr="000663FF" w:rsidRDefault="001E13A6" w:rsidP="00BD42C4">
            <w:pPr>
              <w:keepNext w:val="0"/>
              <w:spacing w:before="0"/>
              <w:rPr>
                <w:rFonts w:cs="Arial"/>
                <w:b/>
                <w:bCs/>
                <w:color w:val="auto"/>
                <w:szCs w:val="24"/>
              </w:rPr>
            </w:pPr>
            <w:r w:rsidRPr="000663FF">
              <w:rPr>
                <w:rFonts w:cs="Arial"/>
                <w:b/>
                <w:bCs/>
                <w:color w:val="auto"/>
                <w:szCs w:val="24"/>
              </w:rPr>
              <w:t xml:space="preserve">Total </w:t>
            </w:r>
            <w:r w:rsidR="0004606E" w:rsidRPr="000663FF">
              <w:rPr>
                <w:rFonts w:cs="Arial"/>
                <w:b/>
                <w:bCs/>
                <w:color w:val="auto"/>
                <w:szCs w:val="24"/>
              </w:rPr>
              <w:t>deliverable housing land supply 2025-2030</w:t>
            </w:r>
          </w:p>
        </w:tc>
        <w:tc>
          <w:tcPr>
            <w:tcW w:w="960" w:type="dxa"/>
            <w:shd w:val="clear" w:color="auto" w:fill="B4C6E7"/>
            <w:noWrap/>
            <w:hideMark/>
          </w:tcPr>
          <w:p w14:paraId="0CC98ABD" w14:textId="3BAF0175" w:rsidR="001E13A6" w:rsidRPr="000663FF" w:rsidRDefault="001E13A6" w:rsidP="00BD42C4">
            <w:pPr>
              <w:keepNext w:val="0"/>
              <w:spacing w:before="0"/>
              <w:jc w:val="right"/>
              <w:rPr>
                <w:rFonts w:cs="Arial"/>
                <w:b/>
                <w:bCs/>
                <w:color w:val="auto"/>
                <w:szCs w:val="24"/>
              </w:rPr>
            </w:pPr>
            <w:r w:rsidRPr="000663FF">
              <w:rPr>
                <w:rFonts w:cs="Arial"/>
                <w:b/>
                <w:bCs/>
                <w:color w:val="auto"/>
                <w:szCs w:val="24"/>
              </w:rPr>
              <w:t>3</w:t>
            </w:r>
            <w:r w:rsidR="00954FA6">
              <w:rPr>
                <w:rFonts w:cs="Arial"/>
                <w:b/>
                <w:bCs/>
                <w:color w:val="auto"/>
                <w:szCs w:val="24"/>
              </w:rPr>
              <w:t>413</w:t>
            </w:r>
          </w:p>
        </w:tc>
      </w:tr>
    </w:tbl>
    <w:p w14:paraId="1A47329A" w14:textId="3E76D346" w:rsidR="00F325CB" w:rsidRPr="000663FF" w:rsidRDefault="00B5314A" w:rsidP="00B5314A">
      <w:pPr>
        <w:ind w:left="993"/>
        <w:rPr>
          <w:b/>
          <w:bCs/>
          <w:color w:val="auto"/>
          <w:sz w:val="16"/>
          <w:szCs w:val="16"/>
        </w:rPr>
      </w:pPr>
      <w:r w:rsidRPr="000663FF">
        <w:rPr>
          <w:rFonts w:cs="Arial"/>
          <w:b/>
          <w:bCs/>
          <w:color w:val="auto"/>
          <w:szCs w:val="24"/>
        </w:rPr>
        <w:t>Calculation of 5 year Housing Land Supply</w:t>
      </w:r>
      <w:r w:rsidRPr="000663FF">
        <w:rPr>
          <w:rFonts w:cs="Arial"/>
          <w:b/>
          <w:bCs/>
          <w:color w:val="auto"/>
          <w:szCs w:val="24"/>
        </w:rPr>
        <w:br/>
      </w:r>
    </w:p>
    <w:tbl>
      <w:tblPr>
        <w:tblStyle w:val="TableGrid3"/>
        <w:tblW w:w="7660" w:type="dxa"/>
        <w:tblInd w:w="988" w:type="dxa"/>
        <w:tblLook w:val="04A0" w:firstRow="1" w:lastRow="0" w:firstColumn="1" w:lastColumn="0" w:noHBand="0" w:noVBand="1"/>
      </w:tblPr>
      <w:tblGrid>
        <w:gridCol w:w="6700"/>
        <w:gridCol w:w="960"/>
      </w:tblGrid>
      <w:tr w:rsidR="000663FF" w:rsidRPr="000663FF" w14:paraId="2D4D6105" w14:textId="77777777" w:rsidTr="00BD42C4">
        <w:trPr>
          <w:trHeight w:val="300"/>
        </w:trPr>
        <w:tc>
          <w:tcPr>
            <w:tcW w:w="6700" w:type="dxa"/>
            <w:shd w:val="clear" w:color="auto" w:fill="D9D9D9"/>
            <w:hideMark/>
          </w:tcPr>
          <w:p w14:paraId="21547EA9" w14:textId="77777777" w:rsidR="00D9165E" w:rsidRPr="000663FF" w:rsidRDefault="00D9165E" w:rsidP="00BD42C4">
            <w:pPr>
              <w:keepNext w:val="0"/>
              <w:spacing w:before="0"/>
              <w:rPr>
                <w:rFonts w:cs="Arial"/>
                <w:color w:val="auto"/>
                <w:szCs w:val="24"/>
              </w:rPr>
            </w:pPr>
            <w:r w:rsidRPr="000663FF">
              <w:rPr>
                <w:rFonts w:cs="Arial"/>
                <w:color w:val="auto"/>
                <w:szCs w:val="24"/>
              </w:rPr>
              <w:t>Deliverable sites for the 5 year period</w:t>
            </w:r>
          </w:p>
        </w:tc>
        <w:tc>
          <w:tcPr>
            <w:tcW w:w="960" w:type="dxa"/>
            <w:shd w:val="clear" w:color="auto" w:fill="D9D9D9"/>
            <w:noWrap/>
            <w:hideMark/>
          </w:tcPr>
          <w:p w14:paraId="418BDA95" w14:textId="31FE24F4" w:rsidR="00D9165E" w:rsidRPr="000663FF" w:rsidRDefault="00D9165E" w:rsidP="00BD42C4">
            <w:pPr>
              <w:keepNext w:val="0"/>
              <w:spacing w:before="0"/>
              <w:jc w:val="right"/>
              <w:rPr>
                <w:rFonts w:cs="Arial"/>
                <w:color w:val="auto"/>
                <w:szCs w:val="24"/>
              </w:rPr>
            </w:pPr>
            <w:r w:rsidRPr="000663FF">
              <w:rPr>
                <w:rFonts w:cs="Arial"/>
                <w:color w:val="auto"/>
                <w:szCs w:val="24"/>
              </w:rPr>
              <w:t>3</w:t>
            </w:r>
            <w:r w:rsidR="00954FA6">
              <w:rPr>
                <w:rFonts w:cs="Arial"/>
                <w:color w:val="auto"/>
                <w:szCs w:val="24"/>
              </w:rPr>
              <w:t>413</w:t>
            </w:r>
          </w:p>
        </w:tc>
      </w:tr>
      <w:tr w:rsidR="000663FF" w:rsidRPr="000663FF" w14:paraId="133E3E49" w14:textId="77777777" w:rsidTr="00BD42C4">
        <w:trPr>
          <w:trHeight w:val="315"/>
        </w:trPr>
        <w:tc>
          <w:tcPr>
            <w:tcW w:w="6700" w:type="dxa"/>
            <w:shd w:val="clear" w:color="auto" w:fill="D9D9D9"/>
            <w:hideMark/>
          </w:tcPr>
          <w:p w14:paraId="0C8FBCF5" w14:textId="77777777" w:rsidR="00D9165E" w:rsidRPr="000663FF" w:rsidRDefault="00D9165E" w:rsidP="00BD42C4">
            <w:pPr>
              <w:keepNext w:val="0"/>
              <w:spacing w:before="0"/>
              <w:rPr>
                <w:rFonts w:cs="Arial"/>
                <w:color w:val="auto"/>
                <w:szCs w:val="24"/>
              </w:rPr>
            </w:pPr>
            <w:r w:rsidRPr="000663FF">
              <w:rPr>
                <w:rFonts w:cs="Arial"/>
                <w:color w:val="auto"/>
                <w:szCs w:val="24"/>
              </w:rPr>
              <w:t>Divided by annual requirement for next 5 years</w:t>
            </w:r>
          </w:p>
        </w:tc>
        <w:tc>
          <w:tcPr>
            <w:tcW w:w="960" w:type="dxa"/>
            <w:shd w:val="clear" w:color="auto" w:fill="D9D9D9"/>
            <w:noWrap/>
            <w:hideMark/>
          </w:tcPr>
          <w:p w14:paraId="0150C911" w14:textId="0D285B1F" w:rsidR="00D9165E" w:rsidRPr="000663FF" w:rsidRDefault="00D9165E" w:rsidP="00BD42C4">
            <w:pPr>
              <w:keepNext w:val="0"/>
              <w:spacing w:before="0"/>
              <w:jc w:val="right"/>
              <w:rPr>
                <w:rFonts w:cs="Arial"/>
                <w:color w:val="auto"/>
                <w:szCs w:val="24"/>
              </w:rPr>
            </w:pPr>
            <w:r w:rsidRPr="000663FF">
              <w:rPr>
                <w:rFonts w:cs="Arial"/>
                <w:color w:val="auto"/>
                <w:szCs w:val="24"/>
              </w:rPr>
              <w:t>535</w:t>
            </w:r>
          </w:p>
        </w:tc>
      </w:tr>
      <w:tr w:rsidR="000663FF" w:rsidRPr="000663FF" w14:paraId="2F0EA5BD" w14:textId="77777777" w:rsidTr="00BD42C4">
        <w:trPr>
          <w:trHeight w:val="330"/>
        </w:trPr>
        <w:tc>
          <w:tcPr>
            <w:tcW w:w="6700" w:type="dxa"/>
            <w:shd w:val="clear" w:color="auto" w:fill="D9D9D9"/>
            <w:hideMark/>
          </w:tcPr>
          <w:p w14:paraId="55E83755" w14:textId="77777777" w:rsidR="00D9165E" w:rsidRPr="000663FF" w:rsidRDefault="00D9165E" w:rsidP="00BD42C4">
            <w:pPr>
              <w:keepNext w:val="0"/>
              <w:spacing w:before="0"/>
              <w:rPr>
                <w:rFonts w:cs="Arial"/>
                <w:b/>
                <w:bCs/>
                <w:color w:val="auto"/>
                <w:szCs w:val="24"/>
              </w:rPr>
            </w:pPr>
            <w:r w:rsidRPr="000663FF">
              <w:rPr>
                <w:rFonts w:cs="Arial"/>
                <w:b/>
                <w:bCs/>
                <w:color w:val="auto"/>
                <w:szCs w:val="24"/>
              </w:rPr>
              <w:t>Equates in years to</w:t>
            </w:r>
          </w:p>
        </w:tc>
        <w:tc>
          <w:tcPr>
            <w:tcW w:w="960" w:type="dxa"/>
            <w:shd w:val="clear" w:color="auto" w:fill="D9D9D9"/>
            <w:noWrap/>
            <w:hideMark/>
          </w:tcPr>
          <w:p w14:paraId="489FA1CA" w14:textId="7E860290" w:rsidR="00D9165E" w:rsidRPr="000663FF" w:rsidRDefault="008D51D6" w:rsidP="00BD42C4">
            <w:pPr>
              <w:keepNext w:val="0"/>
              <w:spacing w:before="0"/>
              <w:jc w:val="right"/>
              <w:rPr>
                <w:rFonts w:cs="Arial"/>
                <w:b/>
                <w:bCs/>
                <w:color w:val="auto"/>
                <w:szCs w:val="24"/>
              </w:rPr>
            </w:pPr>
            <w:r w:rsidRPr="000663FF">
              <w:rPr>
                <w:rFonts w:cs="Arial"/>
                <w:b/>
                <w:bCs/>
                <w:color w:val="auto"/>
                <w:szCs w:val="24"/>
              </w:rPr>
              <w:t>6.</w:t>
            </w:r>
            <w:r w:rsidR="00954FA6">
              <w:rPr>
                <w:rFonts w:cs="Arial"/>
                <w:b/>
                <w:bCs/>
                <w:color w:val="auto"/>
                <w:szCs w:val="24"/>
              </w:rPr>
              <w:t>38</w:t>
            </w:r>
          </w:p>
        </w:tc>
      </w:tr>
      <w:tr w:rsidR="000663FF" w:rsidRPr="000663FF" w14:paraId="3D599A77" w14:textId="77777777" w:rsidTr="00BD42C4">
        <w:trPr>
          <w:trHeight w:val="480"/>
        </w:trPr>
        <w:tc>
          <w:tcPr>
            <w:tcW w:w="6700" w:type="dxa"/>
            <w:shd w:val="clear" w:color="auto" w:fill="D9D9D9"/>
            <w:hideMark/>
          </w:tcPr>
          <w:p w14:paraId="5FF917F4" w14:textId="77777777" w:rsidR="00D9165E" w:rsidRPr="000663FF" w:rsidRDefault="00D9165E" w:rsidP="00BD42C4">
            <w:pPr>
              <w:keepNext w:val="0"/>
              <w:spacing w:before="0"/>
              <w:rPr>
                <w:rFonts w:cs="Arial"/>
                <w:b/>
                <w:bCs/>
                <w:color w:val="auto"/>
                <w:szCs w:val="24"/>
              </w:rPr>
            </w:pPr>
            <w:r w:rsidRPr="000663FF">
              <w:rPr>
                <w:rFonts w:cs="Arial"/>
                <w:b/>
                <w:bCs/>
                <w:color w:val="auto"/>
                <w:szCs w:val="24"/>
              </w:rPr>
              <w:t>Oversupply (+) or undersupply (-) of dwellings</w:t>
            </w:r>
          </w:p>
        </w:tc>
        <w:tc>
          <w:tcPr>
            <w:tcW w:w="960" w:type="dxa"/>
            <w:shd w:val="clear" w:color="auto" w:fill="D9D9D9"/>
            <w:noWrap/>
            <w:hideMark/>
          </w:tcPr>
          <w:p w14:paraId="7218D2BD" w14:textId="12DBFA09" w:rsidR="00D9165E" w:rsidRPr="000663FF" w:rsidRDefault="00954FA6" w:rsidP="00BD42C4">
            <w:pPr>
              <w:keepNext w:val="0"/>
              <w:spacing w:before="0"/>
              <w:jc w:val="right"/>
              <w:rPr>
                <w:rFonts w:cs="Arial"/>
                <w:b/>
                <w:bCs/>
                <w:color w:val="auto"/>
                <w:szCs w:val="24"/>
              </w:rPr>
            </w:pPr>
            <w:r>
              <w:rPr>
                <w:rFonts w:cs="Arial"/>
                <w:b/>
                <w:bCs/>
                <w:color w:val="auto"/>
                <w:szCs w:val="24"/>
              </w:rPr>
              <w:t>737</w:t>
            </w:r>
          </w:p>
        </w:tc>
      </w:tr>
    </w:tbl>
    <w:p w14:paraId="3A866343" w14:textId="4118F828" w:rsidR="0073396F" w:rsidRPr="00B5314A" w:rsidRDefault="0073396F" w:rsidP="0073396F">
      <w:pPr>
        <w:ind w:left="993"/>
        <w:rPr>
          <w:b/>
          <w:bCs/>
          <w:color w:val="auto"/>
          <w:sz w:val="16"/>
          <w:szCs w:val="16"/>
        </w:rPr>
      </w:pPr>
      <w:r w:rsidRPr="000663FF">
        <w:rPr>
          <w:rFonts w:cs="Arial"/>
          <w:color w:val="auto"/>
          <w:sz w:val="20"/>
          <w:vertAlign w:val="superscript"/>
        </w:rPr>
        <w:t>#</w:t>
      </w:r>
      <w:r w:rsidRPr="000663FF">
        <w:rPr>
          <w:rFonts w:cs="Arial"/>
          <w:color w:val="auto"/>
          <w:sz w:val="20"/>
        </w:rPr>
        <w:t xml:space="preserve"> dwelling equivalent based on planning practice guidance ratio of 1.8</w:t>
      </w:r>
      <w:r w:rsidR="00B5314A">
        <w:rPr>
          <w:rFonts w:cs="Arial"/>
          <w:color w:val="auto"/>
          <w:sz w:val="20"/>
        </w:rPr>
        <w:br/>
      </w:r>
    </w:p>
    <w:p w14:paraId="4A142443" w14:textId="2ECEAB4E" w:rsidR="00F325CB" w:rsidRPr="000663FF" w:rsidRDefault="00F325CB" w:rsidP="00F325CB">
      <w:pPr>
        <w:tabs>
          <w:tab w:val="left" w:pos="4140"/>
        </w:tabs>
        <w:rPr>
          <w:color w:val="auto"/>
          <w:szCs w:val="24"/>
        </w:rPr>
      </w:pPr>
      <w:r>
        <w:rPr>
          <w:color w:val="auto"/>
          <w:szCs w:val="24"/>
        </w:rPr>
        <w:t xml:space="preserve">It should be noted that the council do not ordinarily include </w:t>
      </w:r>
      <w:r w:rsidR="003125C6">
        <w:rPr>
          <w:color w:val="auto"/>
          <w:szCs w:val="24"/>
        </w:rPr>
        <w:t xml:space="preserve">a small site windfall allowance in the 5YHLS calculation.  However, as this </w:t>
      </w:r>
      <w:r w:rsidR="001C3010">
        <w:rPr>
          <w:color w:val="auto"/>
          <w:szCs w:val="24"/>
        </w:rPr>
        <w:t>calculation</w:t>
      </w:r>
      <w:r w:rsidR="003125C6">
        <w:rPr>
          <w:color w:val="auto"/>
          <w:szCs w:val="24"/>
        </w:rPr>
        <w:t xml:space="preserve"> </w:t>
      </w:r>
      <w:r w:rsidR="003125C6" w:rsidRPr="000663FF">
        <w:rPr>
          <w:color w:val="auto"/>
          <w:szCs w:val="24"/>
        </w:rPr>
        <w:t xml:space="preserve">relates to the </w:t>
      </w:r>
      <w:r w:rsidR="001C3010" w:rsidRPr="000663FF">
        <w:rPr>
          <w:color w:val="auto"/>
          <w:szCs w:val="24"/>
        </w:rPr>
        <w:t xml:space="preserve">post adoption </w:t>
      </w:r>
      <w:r w:rsidR="003125C6" w:rsidRPr="000663FF">
        <w:rPr>
          <w:color w:val="auto"/>
          <w:szCs w:val="24"/>
        </w:rPr>
        <w:t>time period 202</w:t>
      </w:r>
      <w:r w:rsidR="00D9165E" w:rsidRPr="000663FF">
        <w:rPr>
          <w:color w:val="auto"/>
          <w:szCs w:val="24"/>
        </w:rPr>
        <w:t>5</w:t>
      </w:r>
      <w:r w:rsidR="003125C6" w:rsidRPr="000663FF">
        <w:rPr>
          <w:color w:val="auto"/>
          <w:szCs w:val="24"/>
        </w:rPr>
        <w:t xml:space="preserve"> to 20</w:t>
      </w:r>
      <w:r w:rsidR="00D9165E" w:rsidRPr="000663FF">
        <w:rPr>
          <w:color w:val="auto"/>
          <w:szCs w:val="24"/>
        </w:rPr>
        <w:t>30</w:t>
      </w:r>
      <w:r w:rsidR="003125C6" w:rsidRPr="000663FF">
        <w:rPr>
          <w:color w:val="auto"/>
          <w:szCs w:val="24"/>
        </w:rPr>
        <w:t>, it is appropriate to include a figure for years 202</w:t>
      </w:r>
      <w:r w:rsidR="00D9165E" w:rsidRPr="000663FF">
        <w:rPr>
          <w:color w:val="auto"/>
          <w:szCs w:val="24"/>
        </w:rPr>
        <w:t>8</w:t>
      </w:r>
      <w:r w:rsidR="003125C6" w:rsidRPr="000663FF">
        <w:rPr>
          <w:color w:val="auto"/>
          <w:szCs w:val="24"/>
        </w:rPr>
        <w:t>-20</w:t>
      </w:r>
      <w:r w:rsidR="00D9165E" w:rsidRPr="000663FF">
        <w:rPr>
          <w:color w:val="auto"/>
          <w:szCs w:val="24"/>
        </w:rPr>
        <w:t>30</w:t>
      </w:r>
      <w:r w:rsidR="003125C6" w:rsidRPr="000663FF">
        <w:rPr>
          <w:color w:val="auto"/>
          <w:szCs w:val="24"/>
        </w:rPr>
        <w:t xml:space="preserve"> </w:t>
      </w:r>
      <w:r w:rsidR="00F13C46" w:rsidRPr="000663FF">
        <w:rPr>
          <w:color w:val="auto"/>
          <w:szCs w:val="24"/>
        </w:rPr>
        <w:t>and is offset by excluding</w:t>
      </w:r>
      <w:r w:rsidR="003125C6" w:rsidRPr="000663FF">
        <w:rPr>
          <w:color w:val="auto"/>
          <w:szCs w:val="24"/>
        </w:rPr>
        <w:t xml:space="preserve"> </w:t>
      </w:r>
      <w:r w:rsidR="001C3010" w:rsidRPr="000663FF">
        <w:rPr>
          <w:color w:val="auto"/>
          <w:szCs w:val="24"/>
        </w:rPr>
        <w:t xml:space="preserve">potential </w:t>
      </w:r>
      <w:r w:rsidR="003125C6" w:rsidRPr="000663FF">
        <w:rPr>
          <w:color w:val="auto"/>
          <w:szCs w:val="24"/>
        </w:rPr>
        <w:t>delivery from current planning permissions</w:t>
      </w:r>
      <w:r w:rsidR="00F13C46" w:rsidRPr="000663FF">
        <w:rPr>
          <w:color w:val="auto"/>
          <w:szCs w:val="24"/>
        </w:rPr>
        <w:t xml:space="preserve"> for the years 202</w:t>
      </w:r>
      <w:r w:rsidR="001C3010" w:rsidRPr="000663FF">
        <w:rPr>
          <w:color w:val="auto"/>
          <w:szCs w:val="24"/>
        </w:rPr>
        <w:t>3</w:t>
      </w:r>
      <w:r w:rsidR="00F13C46" w:rsidRPr="000663FF">
        <w:rPr>
          <w:color w:val="auto"/>
          <w:szCs w:val="24"/>
        </w:rPr>
        <w:t>-202</w:t>
      </w:r>
      <w:r w:rsidR="001C3010" w:rsidRPr="000663FF">
        <w:rPr>
          <w:color w:val="auto"/>
          <w:szCs w:val="24"/>
        </w:rPr>
        <w:t>5</w:t>
      </w:r>
      <w:r w:rsidR="00F13C46" w:rsidRPr="000663FF">
        <w:rPr>
          <w:color w:val="auto"/>
          <w:szCs w:val="24"/>
        </w:rPr>
        <w:t>.</w:t>
      </w:r>
    </w:p>
    <w:p w14:paraId="46F506FD" w14:textId="01C00778" w:rsidR="00F325CB" w:rsidRPr="00F325CB" w:rsidRDefault="00F325CB" w:rsidP="00F325CB">
      <w:pPr>
        <w:tabs>
          <w:tab w:val="left" w:pos="4140"/>
        </w:tabs>
        <w:rPr>
          <w:szCs w:val="24"/>
        </w:rPr>
        <w:sectPr w:rsidR="00F325CB" w:rsidRPr="00F325CB" w:rsidSect="000A31CA">
          <w:headerReference w:type="default" r:id="rId41"/>
          <w:pgSz w:w="11906" w:h="16838" w:code="9"/>
          <w:pgMar w:top="1258" w:right="1133" w:bottom="1079" w:left="1134" w:header="709" w:footer="709" w:gutter="0"/>
          <w:cols w:space="708"/>
          <w:docGrid w:linePitch="360"/>
        </w:sectPr>
      </w:pPr>
      <w:r w:rsidRPr="000663FF">
        <w:rPr>
          <w:color w:val="auto"/>
          <w:szCs w:val="24"/>
        </w:rPr>
        <w:tab/>
      </w:r>
    </w:p>
    <w:p w14:paraId="4F04B8BE" w14:textId="72A95245" w:rsidR="006C686F" w:rsidRDefault="006C686F" w:rsidP="005B39D2">
      <w:pPr>
        <w:keepNext w:val="0"/>
        <w:autoSpaceDE w:val="0"/>
        <w:autoSpaceDN w:val="0"/>
        <w:adjustRightInd w:val="0"/>
        <w:spacing w:before="0"/>
        <w:rPr>
          <w:b/>
          <w:bCs/>
          <w:color w:val="auto"/>
          <w:sz w:val="28"/>
          <w:szCs w:val="28"/>
        </w:rPr>
      </w:pPr>
      <w:r>
        <w:rPr>
          <w:b/>
          <w:bCs/>
          <w:color w:val="auto"/>
          <w:sz w:val="28"/>
          <w:szCs w:val="28"/>
        </w:rPr>
        <w:t>Anticipated Annual Housing Delivery by Site</w:t>
      </w:r>
    </w:p>
    <w:p w14:paraId="64C61A73" w14:textId="1EF19182" w:rsidR="006C686F" w:rsidRDefault="006C686F" w:rsidP="005B39D2">
      <w:pPr>
        <w:keepNext w:val="0"/>
        <w:autoSpaceDE w:val="0"/>
        <w:autoSpaceDN w:val="0"/>
        <w:adjustRightInd w:val="0"/>
        <w:spacing w:before="0"/>
        <w:rPr>
          <w:b/>
          <w:bCs/>
          <w:color w:val="auto"/>
          <w:sz w:val="28"/>
          <w:szCs w:val="28"/>
        </w:rPr>
      </w:pPr>
    </w:p>
    <w:p w14:paraId="0EC3A567" w14:textId="77777777" w:rsidR="006C686F" w:rsidRPr="006C686F" w:rsidRDefault="006C686F" w:rsidP="006C686F">
      <w:pPr>
        <w:keepNext w:val="0"/>
        <w:spacing w:before="0"/>
        <w:rPr>
          <w:rFonts w:cs="Arial"/>
          <w:color w:val="auto"/>
          <w:szCs w:val="24"/>
        </w:rPr>
      </w:pPr>
      <w:r w:rsidRPr="006C686F">
        <w:rPr>
          <w:rFonts w:cs="Arial"/>
          <w:color w:val="auto"/>
          <w:szCs w:val="24"/>
        </w:rPr>
        <w:t>The following schedule gives details of anticipated delivery on individual sites where the yield exceeds 10 dwellings, together with a summary of delivery on smaller sites.</w:t>
      </w:r>
    </w:p>
    <w:p w14:paraId="3467F900" w14:textId="77777777" w:rsidR="006C686F" w:rsidRDefault="006C686F" w:rsidP="005B39D2">
      <w:pPr>
        <w:keepNext w:val="0"/>
        <w:autoSpaceDE w:val="0"/>
        <w:autoSpaceDN w:val="0"/>
        <w:adjustRightInd w:val="0"/>
        <w:spacing w:before="0"/>
        <w:rPr>
          <w:b/>
          <w:bCs/>
          <w:color w:val="auto"/>
          <w:sz w:val="28"/>
          <w:szCs w:val="28"/>
        </w:rPr>
      </w:pPr>
    </w:p>
    <w:p w14:paraId="6C8413F3" w14:textId="5D5E7FD4" w:rsidR="006C686F" w:rsidRPr="007B2953" w:rsidRDefault="007B2953" w:rsidP="005B39D2">
      <w:pPr>
        <w:keepNext w:val="0"/>
        <w:autoSpaceDE w:val="0"/>
        <w:autoSpaceDN w:val="0"/>
        <w:adjustRightInd w:val="0"/>
        <w:spacing w:before="0"/>
        <w:rPr>
          <w:color w:val="auto"/>
          <w:szCs w:val="24"/>
          <w:u w:val="single"/>
        </w:rPr>
      </w:pPr>
      <w:r w:rsidRPr="007B2953">
        <w:rPr>
          <w:color w:val="auto"/>
          <w:szCs w:val="24"/>
          <w:u w:val="single"/>
        </w:rPr>
        <w:t>Hucknall Area</w:t>
      </w:r>
    </w:p>
    <w:p w14:paraId="0D5AD8B6" w14:textId="77777777" w:rsidR="007B2953" w:rsidRDefault="007B2953" w:rsidP="005B39D2">
      <w:pPr>
        <w:keepNext w:val="0"/>
        <w:autoSpaceDE w:val="0"/>
        <w:autoSpaceDN w:val="0"/>
        <w:adjustRightInd w:val="0"/>
        <w:spacing w:before="0"/>
        <w:rPr>
          <w:b/>
          <w:bCs/>
          <w:color w:val="auto"/>
          <w:sz w:val="28"/>
          <w:szCs w:val="28"/>
        </w:rPr>
      </w:pPr>
    </w:p>
    <w:p w14:paraId="5E4C31AC" w14:textId="588B7096" w:rsidR="00E10D5A" w:rsidRDefault="003820F9">
      <w:pPr>
        <w:keepNext w:val="0"/>
        <w:spacing w:before="0"/>
        <w:rPr>
          <w:b/>
          <w:bCs/>
          <w:color w:val="auto"/>
          <w:sz w:val="28"/>
          <w:szCs w:val="28"/>
        </w:rPr>
      </w:pPr>
      <w:r w:rsidRPr="003820F9">
        <w:rPr>
          <w:noProof/>
        </w:rPr>
        <w:drawing>
          <wp:inline distT="0" distB="0" distL="0" distR="0" wp14:anchorId="703EA4AD" wp14:editId="24FF118C">
            <wp:extent cx="13622670" cy="5816009"/>
            <wp:effectExtent l="0" t="0" r="0" b="0"/>
            <wp:docPr id="728926761" name="Picture 2" descr="Anticipated Annual Housing Delivery by Site - Hucknall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926761" name="Picture 2" descr="Anticipated Annual Housing Delivery by Site - Hucknall area"/>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3659474" cy="5831722"/>
                    </a:xfrm>
                    <a:prstGeom prst="rect">
                      <a:avLst/>
                    </a:prstGeom>
                    <a:noFill/>
                    <a:ln>
                      <a:noFill/>
                    </a:ln>
                  </pic:spPr>
                </pic:pic>
              </a:graphicData>
            </a:graphic>
          </wp:inline>
        </w:drawing>
      </w:r>
    </w:p>
    <w:p w14:paraId="03A5ACB6" w14:textId="77777777" w:rsidR="004E73DE" w:rsidRDefault="004E73DE">
      <w:pPr>
        <w:keepNext w:val="0"/>
        <w:spacing w:before="0"/>
        <w:rPr>
          <w:color w:val="auto"/>
          <w:szCs w:val="24"/>
          <w:u w:val="single"/>
        </w:rPr>
      </w:pPr>
      <w:r>
        <w:rPr>
          <w:color w:val="auto"/>
          <w:szCs w:val="24"/>
          <w:u w:val="single"/>
        </w:rPr>
        <w:br w:type="page"/>
      </w:r>
    </w:p>
    <w:p w14:paraId="0694C79D" w14:textId="6C61EBF3" w:rsidR="00E10D5A" w:rsidRPr="00E10D5A" w:rsidRDefault="00E10D5A">
      <w:pPr>
        <w:keepNext w:val="0"/>
        <w:spacing w:before="0"/>
        <w:rPr>
          <w:color w:val="auto"/>
          <w:szCs w:val="24"/>
          <w:u w:val="single"/>
        </w:rPr>
      </w:pPr>
      <w:r w:rsidRPr="00E10D5A">
        <w:rPr>
          <w:color w:val="auto"/>
          <w:szCs w:val="24"/>
          <w:u w:val="single"/>
        </w:rPr>
        <w:t>Kirkby Area</w:t>
      </w:r>
    </w:p>
    <w:p w14:paraId="502860B6" w14:textId="77777777" w:rsidR="00E10D5A" w:rsidRDefault="00E10D5A">
      <w:pPr>
        <w:keepNext w:val="0"/>
        <w:spacing w:before="0"/>
        <w:rPr>
          <w:b/>
          <w:bCs/>
          <w:color w:val="auto"/>
          <w:sz w:val="28"/>
          <w:szCs w:val="28"/>
        </w:rPr>
      </w:pPr>
    </w:p>
    <w:p w14:paraId="189FE8E7" w14:textId="573E41C4" w:rsidR="006C4B5A" w:rsidRDefault="006141BF">
      <w:pPr>
        <w:keepNext w:val="0"/>
        <w:spacing w:before="0"/>
        <w:rPr>
          <w:b/>
          <w:bCs/>
          <w:color w:val="auto"/>
          <w:sz w:val="28"/>
          <w:szCs w:val="28"/>
        </w:rPr>
      </w:pPr>
      <w:r w:rsidRPr="006141BF">
        <w:rPr>
          <w:noProof/>
        </w:rPr>
        <w:drawing>
          <wp:inline distT="0" distB="0" distL="0" distR="0" wp14:anchorId="6822D237" wp14:editId="73EA5256">
            <wp:extent cx="13612095" cy="4446624"/>
            <wp:effectExtent l="19050" t="19050" r="8890" b="11430"/>
            <wp:docPr id="28" name="Picture 28" descr="Anticipated Annual Housing Delivery by Site - Kirkby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nticipated Annual Housing Delivery by Site - Kirkby area"/>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3631281" cy="4452891"/>
                    </a:xfrm>
                    <a:prstGeom prst="rect">
                      <a:avLst/>
                    </a:prstGeom>
                    <a:noFill/>
                    <a:ln>
                      <a:solidFill>
                        <a:schemeClr val="tx1"/>
                      </a:solidFill>
                    </a:ln>
                  </pic:spPr>
                </pic:pic>
              </a:graphicData>
            </a:graphic>
          </wp:inline>
        </w:drawing>
      </w:r>
    </w:p>
    <w:p w14:paraId="69F19A98" w14:textId="77777777" w:rsidR="00AD472B" w:rsidRDefault="00AD472B">
      <w:pPr>
        <w:keepNext w:val="0"/>
        <w:spacing w:before="0"/>
        <w:rPr>
          <w:b/>
          <w:bCs/>
          <w:color w:val="auto"/>
          <w:sz w:val="28"/>
          <w:szCs w:val="28"/>
        </w:rPr>
      </w:pPr>
      <w:r>
        <w:rPr>
          <w:b/>
          <w:bCs/>
          <w:color w:val="auto"/>
          <w:sz w:val="28"/>
          <w:szCs w:val="28"/>
        </w:rPr>
        <w:br w:type="page"/>
      </w:r>
    </w:p>
    <w:p w14:paraId="606E10A4" w14:textId="50CC0BF3" w:rsidR="00AD472B" w:rsidRPr="00E10D5A" w:rsidRDefault="00AD472B" w:rsidP="00AD472B">
      <w:pPr>
        <w:keepNext w:val="0"/>
        <w:spacing w:before="0"/>
        <w:rPr>
          <w:color w:val="auto"/>
          <w:szCs w:val="24"/>
          <w:u w:val="single"/>
        </w:rPr>
      </w:pPr>
      <w:r w:rsidRPr="00E936E0">
        <w:rPr>
          <w:color w:val="auto"/>
          <w:szCs w:val="24"/>
          <w:u w:val="single"/>
        </w:rPr>
        <w:t>Sutton Area</w:t>
      </w:r>
    </w:p>
    <w:p w14:paraId="30E51BF3" w14:textId="3EF341D8" w:rsidR="00AD472B" w:rsidRDefault="00AD472B">
      <w:pPr>
        <w:keepNext w:val="0"/>
        <w:spacing w:before="0"/>
        <w:rPr>
          <w:b/>
          <w:bCs/>
          <w:color w:val="auto"/>
          <w:sz w:val="28"/>
          <w:szCs w:val="28"/>
        </w:rPr>
      </w:pPr>
    </w:p>
    <w:p w14:paraId="1531C9C6" w14:textId="71CA3574" w:rsidR="00AD472B" w:rsidRDefault="00FC1551">
      <w:pPr>
        <w:keepNext w:val="0"/>
        <w:spacing w:before="0"/>
        <w:rPr>
          <w:b/>
          <w:bCs/>
          <w:color w:val="auto"/>
          <w:sz w:val="28"/>
          <w:szCs w:val="28"/>
        </w:rPr>
      </w:pPr>
      <w:r w:rsidRPr="00FC1551">
        <w:rPr>
          <w:noProof/>
        </w:rPr>
        <w:drawing>
          <wp:inline distT="0" distB="0" distL="0" distR="0" wp14:anchorId="6098FDEF" wp14:editId="4B3557F4">
            <wp:extent cx="13806382" cy="6411432"/>
            <wp:effectExtent l="0" t="0" r="5080" b="8890"/>
            <wp:docPr id="1072139779" name="Picture 3" descr="Anticipated Annual Housing Delivery by Site - Sutton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2139779" name="Picture 3" descr="Anticipated Annual Housing Delivery by Site - Sutton area"/>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3826765" cy="6420898"/>
                    </a:xfrm>
                    <a:prstGeom prst="rect">
                      <a:avLst/>
                    </a:prstGeom>
                    <a:noFill/>
                    <a:ln>
                      <a:noFill/>
                    </a:ln>
                  </pic:spPr>
                </pic:pic>
              </a:graphicData>
            </a:graphic>
          </wp:inline>
        </w:drawing>
      </w:r>
    </w:p>
    <w:p w14:paraId="162F9098" w14:textId="77777777" w:rsidR="00FC1551" w:rsidRDefault="00FC1551">
      <w:pPr>
        <w:keepNext w:val="0"/>
        <w:spacing w:before="0"/>
        <w:rPr>
          <w:b/>
          <w:bCs/>
          <w:color w:val="auto"/>
          <w:sz w:val="28"/>
          <w:szCs w:val="28"/>
        </w:rPr>
      </w:pPr>
    </w:p>
    <w:p w14:paraId="3624C570" w14:textId="77777777" w:rsidR="00FC1551" w:rsidRDefault="00FC1551">
      <w:pPr>
        <w:keepNext w:val="0"/>
        <w:spacing w:before="0"/>
        <w:rPr>
          <w:b/>
          <w:bCs/>
          <w:color w:val="auto"/>
          <w:sz w:val="28"/>
          <w:szCs w:val="28"/>
        </w:rPr>
      </w:pPr>
    </w:p>
    <w:p w14:paraId="7C356B40" w14:textId="0F0C20D5" w:rsidR="00FC1551" w:rsidRDefault="00FC1551">
      <w:pPr>
        <w:keepNext w:val="0"/>
        <w:spacing w:before="0"/>
        <w:rPr>
          <w:b/>
          <w:bCs/>
          <w:color w:val="auto"/>
          <w:sz w:val="28"/>
          <w:szCs w:val="28"/>
        </w:rPr>
      </w:pPr>
      <w:r w:rsidRPr="00FC1551">
        <w:rPr>
          <w:noProof/>
        </w:rPr>
        <w:drawing>
          <wp:inline distT="0" distB="0" distL="0" distR="0" wp14:anchorId="4B5A06A5" wp14:editId="70880C6D">
            <wp:extent cx="13761245" cy="4635796"/>
            <wp:effectExtent l="0" t="0" r="0" b="0"/>
            <wp:docPr id="1634949642" name="Picture 4" descr="Anticipated Annual Housing Delivery by Site - Sutton area continu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4949642" name="Picture 4" descr="Anticipated Annual Housing Delivery by Site - Sutton area continued"/>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3780221" cy="4642188"/>
                    </a:xfrm>
                    <a:prstGeom prst="rect">
                      <a:avLst/>
                    </a:prstGeom>
                    <a:noFill/>
                    <a:ln>
                      <a:noFill/>
                    </a:ln>
                  </pic:spPr>
                </pic:pic>
              </a:graphicData>
            </a:graphic>
          </wp:inline>
        </w:drawing>
      </w:r>
    </w:p>
    <w:p w14:paraId="2A8D51F1" w14:textId="3BB725E4" w:rsidR="008B431E" w:rsidRDefault="008B431E">
      <w:pPr>
        <w:keepNext w:val="0"/>
        <w:spacing w:before="0"/>
        <w:rPr>
          <w:b/>
          <w:bCs/>
          <w:color w:val="auto"/>
          <w:sz w:val="28"/>
          <w:szCs w:val="28"/>
        </w:rPr>
      </w:pPr>
      <w:r>
        <w:rPr>
          <w:b/>
          <w:bCs/>
          <w:color w:val="auto"/>
          <w:sz w:val="28"/>
          <w:szCs w:val="28"/>
        </w:rPr>
        <w:br w:type="page"/>
      </w:r>
    </w:p>
    <w:p w14:paraId="18A18ACA" w14:textId="77777777" w:rsidR="00F7468D" w:rsidRPr="00F7468D" w:rsidRDefault="00F7468D">
      <w:pPr>
        <w:keepNext w:val="0"/>
        <w:spacing w:before="0"/>
        <w:rPr>
          <w:color w:val="auto"/>
          <w:szCs w:val="24"/>
          <w:u w:val="single"/>
        </w:rPr>
      </w:pPr>
      <w:r w:rsidRPr="00F7468D">
        <w:rPr>
          <w:color w:val="auto"/>
          <w:szCs w:val="24"/>
          <w:u w:val="single"/>
        </w:rPr>
        <w:t>Selston, Jacksdale, Underwood Area</w:t>
      </w:r>
    </w:p>
    <w:p w14:paraId="6C006831" w14:textId="77777777" w:rsidR="00F7468D" w:rsidRDefault="00F7468D">
      <w:pPr>
        <w:keepNext w:val="0"/>
        <w:spacing w:before="0"/>
        <w:rPr>
          <w:color w:val="auto"/>
          <w:sz w:val="28"/>
          <w:szCs w:val="28"/>
          <w:u w:val="single"/>
        </w:rPr>
      </w:pPr>
    </w:p>
    <w:p w14:paraId="3DC9FF44" w14:textId="416DCAC5" w:rsidR="00461E90" w:rsidRDefault="00461E90">
      <w:pPr>
        <w:keepNext w:val="0"/>
        <w:spacing w:before="0"/>
        <w:rPr>
          <w:color w:val="auto"/>
          <w:sz w:val="28"/>
          <w:szCs w:val="28"/>
          <w:u w:val="single"/>
        </w:rPr>
      </w:pPr>
      <w:r>
        <w:rPr>
          <w:noProof/>
          <w:color w:val="auto"/>
          <w:sz w:val="28"/>
          <w:szCs w:val="28"/>
          <w:u w:val="single"/>
        </w:rPr>
        <w:drawing>
          <wp:inline distT="0" distB="0" distL="0" distR="0" wp14:anchorId="6CB1EBF0" wp14:editId="5DCFE9E4">
            <wp:extent cx="13637895" cy="4584700"/>
            <wp:effectExtent l="0" t="0" r="1905" b="6350"/>
            <wp:docPr id="1026731072" name="Picture 1" descr="Anticipated Annual Housing Delivery by Site - Selston, Jacksdale and Underwood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731072" name="Picture 1" descr="Anticipated Annual Housing Delivery by Site - Selston, Jacksdale and Underwood Area"/>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3637895" cy="4584700"/>
                    </a:xfrm>
                    <a:prstGeom prst="rect">
                      <a:avLst/>
                    </a:prstGeom>
                    <a:noFill/>
                  </pic:spPr>
                </pic:pic>
              </a:graphicData>
            </a:graphic>
          </wp:inline>
        </w:drawing>
      </w:r>
    </w:p>
    <w:p w14:paraId="425470A1" w14:textId="77777777" w:rsidR="00461E90" w:rsidRDefault="00461E90">
      <w:pPr>
        <w:keepNext w:val="0"/>
        <w:spacing w:before="0"/>
        <w:rPr>
          <w:color w:val="auto"/>
          <w:sz w:val="28"/>
          <w:szCs w:val="28"/>
          <w:u w:val="single"/>
        </w:rPr>
      </w:pPr>
    </w:p>
    <w:p w14:paraId="135FA3DD" w14:textId="007C8A32" w:rsidR="00984404" w:rsidRDefault="00984404">
      <w:pPr>
        <w:keepNext w:val="0"/>
        <w:spacing w:before="0"/>
        <w:rPr>
          <w:color w:val="auto"/>
          <w:sz w:val="28"/>
          <w:szCs w:val="28"/>
          <w:u w:val="single"/>
        </w:rPr>
      </w:pPr>
    </w:p>
    <w:p w14:paraId="39ACCB33" w14:textId="77777777" w:rsidR="00984404" w:rsidRDefault="00984404">
      <w:pPr>
        <w:keepNext w:val="0"/>
        <w:spacing w:before="0"/>
        <w:rPr>
          <w:color w:val="auto"/>
          <w:sz w:val="28"/>
          <w:szCs w:val="28"/>
          <w:u w:val="single"/>
        </w:rPr>
      </w:pPr>
      <w:r>
        <w:rPr>
          <w:color w:val="auto"/>
          <w:sz w:val="28"/>
          <w:szCs w:val="28"/>
          <w:u w:val="single"/>
        </w:rPr>
        <w:br w:type="page"/>
      </w:r>
    </w:p>
    <w:p w14:paraId="4D83A514" w14:textId="190277B6" w:rsidR="00D90C26" w:rsidRDefault="00984404">
      <w:pPr>
        <w:keepNext w:val="0"/>
        <w:spacing w:before="0"/>
      </w:pPr>
      <w:r w:rsidRPr="00E936E0">
        <w:rPr>
          <w:color w:val="auto"/>
          <w:szCs w:val="24"/>
          <w:u w:val="single"/>
        </w:rPr>
        <w:t>District Summary</w:t>
      </w:r>
    </w:p>
    <w:p w14:paraId="3519A2F5" w14:textId="77777777" w:rsidR="002B549C" w:rsidRPr="002B549C" w:rsidRDefault="002B549C">
      <w:pPr>
        <w:keepNext w:val="0"/>
        <w:spacing w:before="0"/>
        <w:rPr>
          <w:noProof/>
          <w:sz w:val="16"/>
          <w:szCs w:val="16"/>
        </w:rPr>
      </w:pPr>
    </w:p>
    <w:p w14:paraId="0EB742E8" w14:textId="17696235" w:rsidR="00132D2B" w:rsidRPr="002B549C" w:rsidRDefault="00132D2B">
      <w:pPr>
        <w:keepNext w:val="0"/>
        <w:spacing w:before="0"/>
        <w:rPr>
          <w:sz w:val="16"/>
          <w:szCs w:val="16"/>
        </w:rPr>
      </w:pPr>
    </w:p>
    <w:p w14:paraId="4B57B0EE" w14:textId="1DDC9732" w:rsidR="002B549C" w:rsidRPr="002B549C" w:rsidRDefault="00461E90">
      <w:pPr>
        <w:keepNext w:val="0"/>
        <w:spacing w:before="0"/>
        <w:rPr>
          <w:noProof/>
          <w:sz w:val="16"/>
          <w:szCs w:val="16"/>
        </w:rPr>
      </w:pPr>
      <w:r>
        <w:rPr>
          <w:noProof/>
          <w:sz w:val="16"/>
          <w:szCs w:val="16"/>
        </w:rPr>
        <w:drawing>
          <wp:inline distT="0" distB="0" distL="0" distR="0" wp14:anchorId="70611245" wp14:editId="3FE507E6">
            <wp:extent cx="13637149" cy="5231219"/>
            <wp:effectExtent l="0" t="0" r="3175" b="7620"/>
            <wp:docPr id="1227717992" name="Picture 2" descr="Anticipated Annual Housing Delivery by Site - District Summ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717992" name="Picture 2" descr="Anticipated Annual Housing Delivery by Site - District Summary"/>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3639127" cy="5231978"/>
                    </a:xfrm>
                    <a:prstGeom prst="rect">
                      <a:avLst/>
                    </a:prstGeom>
                    <a:noFill/>
                  </pic:spPr>
                </pic:pic>
              </a:graphicData>
            </a:graphic>
          </wp:inline>
        </w:drawing>
      </w:r>
    </w:p>
    <w:p w14:paraId="6CEF3238" w14:textId="00522F57" w:rsidR="002B549C" w:rsidRPr="002B549C" w:rsidRDefault="002B549C">
      <w:pPr>
        <w:keepNext w:val="0"/>
        <w:spacing w:before="0"/>
        <w:rPr>
          <w:sz w:val="16"/>
          <w:szCs w:val="16"/>
        </w:rPr>
      </w:pPr>
    </w:p>
    <w:p w14:paraId="6FAB942E" w14:textId="0FEAAAFA" w:rsidR="002B549C" w:rsidRDefault="002B549C">
      <w:pPr>
        <w:keepNext w:val="0"/>
        <w:spacing w:before="0"/>
      </w:pPr>
    </w:p>
    <w:p w14:paraId="48467535" w14:textId="77777777" w:rsidR="00D90C26" w:rsidRDefault="00D90C26">
      <w:pPr>
        <w:keepNext w:val="0"/>
        <w:spacing w:before="0"/>
        <w:rPr>
          <w:color w:val="auto"/>
          <w:sz w:val="28"/>
          <w:szCs w:val="28"/>
          <w:u w:val="single"/>
        </w:rPr>
      </w:pPr>
    </w:p>
    <w:p w14:paraId="14FCA25B" w14:textId="38ADF031" w:rsidR="007B2953" w:rsidRPr="00F7468D" w:rsidRDefault="007B2953">
      <w:pPr>
        <w:keepNext w:val="0"/>
        <w:spacing w:before="0"/>
        <w:rPr>
          <w:color w:val="auto"/>
          <w:sz w:val="28"/>
          <w:szCs w:val="28"/>
          <w:u w:val="single"/>
        </w:rPr>
      </w:pPr>
      <w:r w:rsidRPr="00F7468D">
        <w:rPr>
          <w:color w:val="auto"/>
          <w:sz w:val="28"/>
          <w:szCs w:val="28"/>
          <w:u w:val="single"/>
        </w:rPr>
        <w:br w:type="page"/>
      </w:r>
    </w:p>
    <w:p w14:paraId="1F2A2B8C" w14:textId="403B4A23" w:rsidR="00C602FD" w:rsidRPr="000663FF" w:rsidRDefault="006C686F" w:rsidP="005B39D2">
      <w:pPr>
        <w:keepNext w:val="0"/>
        <w:autoSpaceDE w:val="0"/>
        <w:autoSpaceDN w:val="0"/>
        <w:adjustRightInd w:val="0"/>
        <w:spacing w:before="0"/>
        <w:rPr>
          <w:b/>
          <w:bCs/>
          <w:color w:val="auto"/>
          <w:sz w:val="28"/>
          <w:szCs w:val="28"/>
        </w:rPr>
      </w:pPr>
      <w:r w:rsidRPr="003768E4">
        <w:rPr>
          <w:b/>
          <w:bCs/>
          <w:color w:val="auto"/>
          <w:sz w:val="28"/>
          <w:szCs w:val="28"/>
        </w:rPr>
        <w:t xml:space="preserve">Ashfield Housing Trajectory </w:t>
      </w:r>
      <w:r w:rsidR="003768E4" w:rsidRPr="000663FF">
        <w:rPr>
          <w:b/>
          <w:bCs/>
          <w:color w:val="auto"/>
          <w:sz w:val="28"/>
          <w:szCs w:val="28"/>
        </w:rPr>
        <w:t>2023 to 2040</w:t>
      </w:r>
    </w:p>
    <w:p w14:paraId="6FF84C08" w14:textId="1A6C9EFC" w:rsidR="00C602FD" w:rsidRDefault="00C602FD" w:rsidP="005B39D2">
      <w:pPr>
        <w:keepNext w:val="0"/>
        <w:autoSpaceDE w:val="0"/>
        <w:autoSpaceDN w:val="0"/>
        <w:adjustRightInd w:val="0"/>
        <w:spacing w:before="0"/>
        <w:rPr>
          <w:b/>
          <w:bCs/>
          <w:color w:val="auto"/>
          <w:sz w:val="28"/>
          <w:szCs w:val="28"/>
        </w:rPr>
      </w:pPr>
    </w:p>
    <w:p w14:paraId="4414EE39" w14:textId="77777777" w:rsidR="000A31CA" w:rsidRDefault="000A31CA" w:rsidP="005B39D2">
      <w:pPr>
        <w:keepNext w:val="0"/>
        <w:autoSpaceDE w:val="0"/>
        <w:autoSpaceDN w:val="0"/>
        <w:adjustRightInd w:val="0"/>
        <w:spacing w:before="0"/>
        <w:rPr>
          <w:b/>
          <w:bCs/>
          <w:color w:val="auto"/>
          <w:sz w:val="28"/>
          <w:szCs w:val="28"/>
        </w:rPr>
      </w:pPr>
    </w:p>
    <w:p w14:paraId="1B6D63A6" w14:textId="0B5DB9B0" w:rsidR="00461E90" w:rsidRDefault="00461E90" w:rsidP="005B39D2">
      <w:pPr>
        <w:keepNext w:val="0"/>
        <w:autoSpaceDE w:val="0"/>
        <w:autoSpaceDN w:val="0"/>
        <w:adjustRightInd w:val="0"/>
        <w:spacing w:before="0"/>
        <w:rPr>
          <w:b/>
          <w:bCs/>
          <w:color w:val="auto"/>
          <w:sz w:val="28"/>
          <w:szCs w:val="28"/>
        </w:rPr>
        <w:sectPr w:rsidR="00461E90" w:rsidSect="00461E90">
          <w:headerReference w:type="default" r:id="rId48"/>
          <w:footerReference w:type="default" r:id="rId49"/>
          <w:pgSz w:w="23811" w:h="16838" w:orient="landscape" w:code="8"/>
          <w:pgMar w:top="1134" w:right="1258" w:bottom="1133" w:left="1079" w:header="709" w:footer="709" w:gutter="0"/>
          <w:cols w:space="708"/>
          <w:docGrid w:linePitch="360"/>
        </w:sectPr>
      </w:pPr>
      <w:r>
        <w:rPr>
          <w:b/>
          <w:bCs/>
          <w:noProof/>
          <w:color w:val="auto"/>
          <w:sz w:val="28"/>
          <w:szCs w:val="28"/>
        </w:rPr>
        <w:drawing>
          <wp:inline distT="0" distB="0" distL="0" distR="0" wp14:anchorId="1AFA3CB3" wp14:editId="5E8DFC88">
            <wp:extent cx="13576359" cy="7857461"/>
            <wp:effectExtent l="0" t="0" r="6350" b="0"/>
            <wp:docPr id="1611274667" name="Picture 3" descr="Ashfield Housing Trajectory 2023 to 2040 - data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1274667" name="Picture 3" descr="Ashfield Housing Trajectory 2023 to 2040 - data table"/>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3608230" cy="7875906"/>
                    </a:xfrm>
                    <a:prstGeom prst="rect">
                      <a:avLst/>
                    </a:prstGeom>
                    <a:noFill/>
                  </pic:spPr>
                </pic:pic>
              </a:graphicData>
            </a:graphic>
          </wp:inline>
        </w:drawing>
      </w:r>
    </w:p>
    <w:p w14:paraId="6DDBDCBA" w14:textId="69AD7C24" w:rsidR="000A31CA" w:rsidRDefault="00461E90" w:rsidP="005B39D2">
      <w:pPr>
        <w:keepNext w:val="0"/>
        <w:autoSpaceDE w:val="0"/>
        <w:autoSpaceDN w:val="0"/>
        <w:adjustRightInd w:val="0"/>
        <w:spacing w:before="0"/>
        <w:rPr>
          <w:b/>
          <w:bCs/>
          <w:color w:val="auto"/>
          <w:sz w:val="28"/>
          <w:szCs w:val="28"/>
        </w:rPr>
      </w:pPr>
      <w:r>
        <w:rPr>
          <w:noProof/>
        </w:rPr>
        <w:drawing>
          <wp:inline distT="0" distB="0" distL="0" distR="0" wp14:anchorId="3F805F4C" wp14:editId="7E927683">
            <wp:extent cx="5911702" cy="8442251"/>
            <wp:effectExtent l="0" t="0" r="13335" b="16510"/>
            <wp:docPr id="72153277" name="Chart 1" descr="Ashfield Housing trajectory chart 2023 to 2040">
              <a:extLst xmlns:a="http://schemas.openxmlformats.org/drawingml/2006/main">
                <a:ext uri="{FF2B5EF4-FFF2-40B4-BE49-F238E27FC236}">
                  <a16:creationId xmlns:a16="http://schemas.microsoft.com/office/drawing/2014/main" id="{AC1843B7-C5C4-4DF5-AB61-C42BDEEA2B1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1F788753" w14:textId="77777777" w:rsidR="00497B96" w:rsidRPr="00C602FD" w:rsidRDefault="00C602FD" w:rsidP="00497B96">
      <w:pPr>
        <w:pStyle w:val="Heading1"/>
      </w:pPr>
      <w:r>
        <w:rPr>
          <w:sz w:val="28"/>
          <w:szCs w:val="28"/>
        </w:rPr>
        <w:br w:type="page"/>
      </w:r>
      <w:bookmarkStart w:id="326" w:name="_Toc145511633"/>
      <w:bookmarkStart w:id="327" w:name="_Toc145511626"/>
      <w:r w:rsidR="00497B96" w:rsidRPr="00C602FD">
        <w:t xml:space="preserve">Appendix </w:t>
      </w:r>
      <w:r w:rsidR="00497B96">
        <w:t>3</w:t>
      </w:r>
      <w:r w:rsidR="00497B96" w:rsidRPr="00C602FD">
        <w:t xml:space="preserve"> - Environmental Protection – Matters For Consideration In Taking</w:t>
      </w:r>
      <w:r w:rsidR="00497B96">
        <w:t xml:space="preserve"> </w:t>
      </w:r>
      <w:r w:rsidR="00497B96" w:rsidRPr="00C602FD">
        <w:t>Decisions On Planning Applications</w:t>
      </w:r>
      <w:bookmarkEnd w:id="326"/>
    </w:p>
    <w:p w14:paraId="6DEC46AD" w14:textId="77777777" w:rsidR="00497B96" w:rsidRDefault="00497B96" w:rsidP="00497B96">
      <w:pPr>
        <w:keepNext w:val="0"/>
        <w:autoSpaceDE w:val="0"/>
        <w:autoSpaceDN w:val="0"/>
        <w:adjustRightInd w:val="0"/>
        <w:spacing w:before="0"/>
        <w:rPr>
          <w:rFonts w:cs="Arial"/>
          <w:szCs w:val="24"/>
        </w:rPr>
      </w:pPr>
    </w:p>
    <w:p w14:paraId="1C605EA6" w14:textId="77777777" w:rsidR="00497B96" w:rsidRPr="005B39D2" w:rsidRDefault="00497B96" w:rsidP="00497B96">
      <w:pPr>
        <w:keepNext w:val="0"/>
        <w:autoSpaceDE w:val="0"/>
        <w:autoSpaceDN w:val="0"/>
        <w:adjustRightInd w:val="0"/>
        <w:spacing w:before="0"/>
        <w:rPr>
          <w:rFonts w:cs="Arial"/>
          <w:szCs w:val="24"/>
        </w:rPr>
      </w:pPr>
      <w:r w:rsidRPr="005B39D2">
        <w:rPr>
          <w:rFonts w:cs="Arial"/>
          <w:szCs w:val="24"/>
        </w:rPr>
        <w:t>The following matters (not in any order of importance) should be considered in the</w:t>
      </w:r>
    </w:p>
    <w:p w14:paraId="381BCD43" w14:textId="77777777" w:rsidR="00497B96" w:rsidRPr="00886087" w:rsidRDefault="00497B96" w:rsidP="00497B96">
      <w:pPr>
        <w:keepNext w:val="0"/>
        <w:autoSpaceDE w:val="0"/>
        <w:autoSpaceDN w:val="0"/>
        <w:adjustRightInd w:val="0"/>
        <w:spacing w:before="0"/>
        <w:rPr>
          <w:rFonts w:cs="Arial"/>
          <w:szCs w:val="24"/>
        </w:rPr>
      </w:pPr>
      <w:r w:rsidRPr="005B39D2">
        <w:rPr>
          <w:rFonts w:cs="Arial"/>
          <w:szCs w:val="24"/>
        </w:rPr>
        <w:t>determination of planning applications where pollution considerations arise:</w:t>
      </w:r>
    </w:p>
    <w:p w14:paraId="1D9E5DB5" w14:textId="77777777" w:rsidR="00497B96" w:rsidRPr="00886087" w:rsidRDefault="00497B96" w:rsidP="00497B96">
      <w:pPr>
        <w:keepNext w:val="0"/>
        <w:autoSpaceDE w:val="0"/>
        <w:autoSpaceDN w:val="0"/>
        <w:adjustRightInd w:val="0"/>
        <w:spacing w:before="0"/>
        <w:rPr>
          <w:rFonts w:cs="Arial"/>
          <w:szCs w:val="24"/>
        </w:rPr>
      </w:pPr>
    </w:p>
    <w:p w14:paraId="5F7D9E7A" w14:textId="77777777" w:rsidR="00497B96" w:rsidRDefault="00497B96" w:rsidP="00874A98">
      <w:pPr>
        <w:pStyle w:val="ListParagraph"/>
        <w:numPr>
          <w:ilvl w:val="0"/>
          <w:numId w:val="311"/>
        </w:numPr>
        <w:autoSpaceDE w:val="0"/>
        <w:autoSpaceDN w:val="0"/>
        <w:adjustRightInd w:val="0"/>
        <w:spacing w:after="0" w:line="240" w:lineRule="auto"/>
        <w:ind w:left="357" w:hanging="357"/>
        <w:rPr>
          <w:rFonts w:ascii="Arial" w:hAnsi="Arial" w:cs="Arial"/>
          <w:szCs w:val="24"/>
        </w:rPr>
      </w:pPr>
      <w:r w:rsidRPr="00886087">
        <w:rPr>
          <w:rFonts w:ascii="Arial" w:hAnsi="Arial" w:cs="Arial"/>
          <w:szCs w:val="24"/>
        </w:rPr>
        <w:t>The possible impact of potentially polluting development (both direct and indirect) on land use, including effects on health, the natural environment or general amenity.</w:t>
      </w:r>
    </w:p>
    <w:p w14:paraId="71359139" w14:textId="77777777" w:rsidR="00497B96" w:rsidRPr="00886087" w:rsidRDefault="00497B96" w:rsidP="00497B96">
      <w:pPr>
        <w:pStyle w:val="ListParagraph"/>
        <w:autoSpaceDE w:val="0"/>
        <w:autoSpaceDN w:val="0"/>
        <w:adjustRightInd w:val="0"/>
        <w:spacing w:after="0" w:line="240" w:lineRule="auto"/>
        <w:ind w:left="357"/>
        <w:rPr>
          <w:rFonts w:ascii="Arial" w:hAnsi="Arial" w:cs="Arial"/>
          <w:szCs w:val="24"/>
        </w:rPr>
      </w:pPr>
    </w:p>
    <w:p w14:paraId="2F112EEB" w14:textId="77777777" w:rsidR="00497B96" w:rsidRDefault="00497B96" w:rsidP="00874A98">
      <w:pPr>
        <w:pStyle w:val="ListParagraph"/>
        <w:numPr>
          <w:ilvl w:val="0"/>
          <w:numId w:val="311"/>
        </w:numPr>
        <w:autoSpaceDE w:val="0"/>
        <w:autoSpaceDN w:val="0"/>
        <w:adjustRightInd w:val="0"/>
        <w:spacing w:after="0" w:line="240" w:lineRule="auto"/>
        <w:ind w:left="357" w:hanging="357"/>
        <w:rPr>
          <w:rFonts w:ascii="Arial" w:hAnsi="Arial" w:cs="Arial"/>
          <w:szCs w:val="24"/>
        </w:rPr>
      </w:pPr>
      <w:r w:rsidRPr="00886087">
        <w:rPr>
          <w:rFonts w:ascii="Arial" w:hAnsi="Arial" w:cs="Arial"/>
          <w:szCs w:val="24"/>
        </w:rPr>
        <w:t>The potential sensitivity of the area to adverse effects from pollution, in particular reflected in landscape, the quality of soil, air, and ground and surface waters, nature conservation including Sites of Special Scientific Interest (SSSIs), Protection Areas (SPAs),Wetland of International Importance (RAMSAR sites), and Local Wildlife Sites agricultural land quality, water supply (Source Protection Zones), Special Areas of Conservation (SAC), archaeological designations and the need to protect natural resources.</w:t>
      </w:r>
    </w:p>
    <w:p w14:paraId="4141C6E9" w14:textId="77777777" w:rsidR="00497B96" w:rsidRPr="00886087" w:rsidRDefault="00497B96" w:rsidP="00497B96">
      <w:pPr>
        <w:autoSpaceDE w:val="0"/>
        <w:autoSpaceDN w:val="0"/>
        <w:adjustRightInd w:val="0"/>
        <w:spacing w:before="0"/>
        <w:rPr>
          <w:rFonts w:cs="Arial"/>
          <w:szCs w:val="24"/>
        </w:rPr>
      </w:pPr>
    </w:p>
    <w:p w14:paraId="1378B4CF" w14:textId="77777777" w:rsidR="00497B96" w:rsidRDefault="00497B96" w:rsidP="00874A98">
      <w:pPr>
        <w:pStyle w:val="ListParagraph"/>
        <w:numPr>
          <w:ilvl w:val="0"/>
          <w:numId w:val="311"/>
        </w:numPr>
        <w:autoSpaceDE w:val="0"/>
        <w:autoSpaceDN w:val="0"/>
        <w:adjustRightInd w:val="0"/>
        <w:spacing w:after="0" w:line="240" w:lineRule="auto"/>
        <w:ind w:left="357" w:hanging="357"/>
        <w:rPr>
          <w:rFonts w:ascii="Arial" w:hAnsi="Arial" w:cs="Arial"/>
          <w:szCs w:val="24"/>
        </w:rPr>
      </w:pPr>
      <w:r w:rsidRPr="00886087">
        <w:rPr>
          <w:rFonts w:ascii="Arial" w:hAnsi="Arial" w:cs="Arial"/>
          <w:szCs w:val="24"/>
        </w:rPr>
        <w:t>The environmental benefits that the development might bring, such as: resulting reductions in the need to travel; – accompanying improvements to transport infrastructure; restoration of former habitats; enhancement or creation of habitats; and the remediation of past contamination.</w:t>
      </w:r>
    </w:p>
    <w:p w14:paraId="18BD2CB6" w14:textId="77777777" w:rsidR="00497B96" w:rsidRPr="00886087" w:rsidRDefault="00497B96" w:rsidP="00497B96">
      <w:pPr>
        <w:pStyle w:val="ListParagraph"/>
        <w:autoSpaceDE w:val="0"/>
        <w:autoSpaceDN w:val="0"/>
        <w:adjustRightInd w:val="0"/>
        <w:spacing w:after="0" w:line="240" w:lineRule="auto"/>
        <w:ind w:left="357"/>
        <w:rPr>
          <w:rFonts w:ascii="Arial" w:hAnsi="Arial" w:cs="Arial"/>
          <w:szCs w:val="24"/>
        </w:rPr>
      </w:pPr>
    </w:p>
    <w:p w14:paraId="2C690ED8" w14:textId="77777777" w:rsidR="00497B96" w:rsidRDefault="00497B96" w:rsidP="00874A98">
      <w:pPr>
        <w:pStyle w:val="ListParagraph"/>
        <w:numPr>
          <w:ilvl w:val="0"/>
          <w:numId w:val="311"/>
        </w:numPr>
        <w:autoSpaceDE w:val="0"/>
        <w:autoSpaceDN w:val="0"/>
        <w:adjustRightInd w:val="0"/>
        <w:spacing w:after="0" w:line="240" w:lineRule="auto"/>
        <w:ind w:left="357" w:hanging="357"/>
        <w:rPr>
          <w:rFonts w:ascii="Arial" w:hAnsi="Arial" w:cs="Arial"/>
          <w:szCs w:val="24"/>
        </w:rPr>
      </w:pPr>
      <w:r w:rsidRPr="00886087">
        <w:rPr>
          <w:rFonts w:ascii="Arial" w:hAnsi="Arial" w:cs="Arial"/>
          <w:szCs w:val="24"/>
        </w:rPr>
        <w:t>The economic and wider social need for development (including potentially polluting development) such as the provision of a product or service, the generation of secondary trade with local businesses, the creation of new jobs and meeting regional or national environmental objectives including: the need to identify land, or establish criteria, for the acceptable location of potentially polluting developments and the availability of alternative sites; and the need to separate necessary but potentially polluting and other land uses (recognising the potential conflict with sustainable development over mixed-use developments) so as to reduce conflicts, for example by identifying where necessary areas around existing sources of pollution (including roads) in which proposed new developments and uses should be carefully considered in terms of their potential as pollution receptors.</w:t>
      </w:r>
    </w:p>
    <w:p w14:paraId="556B4E4F" w14:textId="77777777" w:rsidR="00497B96" w:rsidRPr="00886087" w:rsidRDefault="00497B96" w:rsidP="00497B96">
      <w:pPr>
        <w:autoSpaceDE w:val="0"/>
        <w:autoSpaceDN w:val="0"/>
        <w:adjustRightInd w:val="0"/>
        <w:spacing w:before="0"/>
        <w:rPr>
          <w:rFonts w:cs="Arial"/>
          <w:szCs w:val="24"/>
        </w:rPr>
      </w:pPr>
    </w:p>
    <w:p w14:paraId="10A7FE60" w14:textId="77777777" w:rsidR="00497B96" w:rsidRDefault="00497B96" w:rsidP="00874A98">
      <w:pPr>
        <w:pStyle w:val="ListParagraph"/>
        <w:numPr>
          <w:ilvl w:val="0"/>
          <w:numId w:val="311"/>
        </w:numPr>
        <w:autoSpaceDE w:val="0"/>
        <w:autoSpaceDN w:val="0"/>
        <w:adjustRightInd w:val="0"/>
        <w:spacing w:after="0" w:line="240" w:lineRule="auto"/>
        <w:rPr>
          <w:rFonts w:ascii="Arial" w:hAnsi="Arial" w:cs="Arial"/>
          <w:szCs w:val="24"/>
        </w:rPr>
      </w:pPr>
      <w:r w:rsidRPr="00886087">
        <w:rPr>
          <w:rFonts w:ascii="Arial" w:hAnsi="Arial" w:cs="Arial"/>
          <w:szCs w:val="24"/>
        </w:rPr>
        <w:t>The existing, and likely future, air quality in an area, including any Air Quality Management Areas (AQMAs) or other areas where air quality is likely to be poor (including the consideration of cumulative impacts of a number of smaller developments on air quality, and the impact of development proposals in rural areas with low existing levels of background air pollution).</w:t>
      </w:r>
    </w:p>
    <w:p w14:paraId="17D65BE7" w14:textId="77777777" w:rsidR="00497B96" w:rsidRPr="00886087" w:rsidRDefault="00497B96" w:rsidP="00497B96">
      <w:pPr>
        <w:autoSpaceDE w:val="0"/>
        <w:autoSpaceDN w:val="0"/>
        <w:adjustRightInd w:val="0"/>
        <w:spacing w:before="0"/>
        <w:rPr>
          <w:rFonts w:cs="Arial"/>
          <w:szCs w:val="24"/>
        </w:rPr>
      </w:pPr>
    </w:p>
    <w:p w14:paraId="15907B25" w14:textId="77777777" w:rsidR="00497B96" w:rsidRDefault="00497B96" w:rsidP="00874A98">
      <w:pPr>
        <w:pStyle w:val="ListParagraph"/>
        <w:numPr>
          <w:ilvl w:val="0"/>
          <w:numId w:val="311"/>
        </w:numPr>
        <w:autoSpaceDE w:val="0"/>
        <w:autoSpaceDN w:val="0"/>
        <w:adjustRightInd w:val="0"/>
        <w:spacing w:after="0" w:line="240" w:lineRule="auto"/>
        <w:rPr>
          <w:rFonts w:ascii="Arial" w:hAnsi="Arial" w:cs="Arial"/>
          <w:szCs w:val="24"/>
        </w:rPr>
      </w:pPr>
      <w:r w:rsidRPr="00886087">
        <w:rPr>
          <w:rFonts w:ascii="Arial" w:hAnsi="Arial" w:cs="Arial"/>
          <w:szCs w:val="24"/>
        </w:rPr>
        <w:t>The need for compliance with any statutory environmental quality standards or objectives (including the air quality objectives prescribed by the Air Quality Regulations 2000 and Amending Regulations 2002, the water quality objectives prescribed in EU legislation including the 1991 Urban Waste Water Treatment Directive and Nitrate Vulnerable Zones identified under the 1991 Nitrates Directive.</w:t>
      </w:r>
    </w:p>
    <w:p w14:paraId="62D10631" w14:textId="77777777" w:rsidR="00497B96" w:rsidRPr="00886087" w:rsidRDefault="00497B96" w:rsidP="00497B96">
      <w:pPr>
        <w:pStyle w:val="ListParagraph"/>
        <w:rPr>
          <w:rFonts w:ascii="Arial" w:hAnsi="Arial" w:cs="Arial"/>
          <w:szCs w:val="24"/>
        </w:rPr>
      </w:pPr>
    </w:p>
    <w:p w14:paraId="07E77825" w14:textId="77777777" w:rsidR="00497B96" w:rsidRPr="00886087" w:rsidRDefault="00497B96" w:rsidP="00497B96">
      <w:pPr>
        <w:pStyle w:val="ListParagraph"/>
        <w:autoSpaceDE w:val="0"/>
        <w:autoSpaceDN w:val="0"/>
        <w:adjustRightInd w:val="0"/>
        <w:spacing w:after="0" w:line="240" w:lineRule="auto"/>
        <w:ind w:left="360"/>
        <w:rPr>
          <w:rFonts w:ascii="Arial" w:hAnsi="Arial" w:cs="Arial"/>
          <w:szCs w:val="24"/>
        </w:rPr>
      </w:pPr>
    </w:p>
    <w:p w14:paraId="55F8DDF6" w14:textId="77777777" w:rsidR="00497B96" w:rsidRDefault="00497B96" w:rsidP="00874A98">
      <w:pPr>
        <w:pStyle w:val="ListParagraph"/>
        <w:numPr>
          <w:ilvl w:val="0"/>
          <w:numId w:val="311"/>
        </w:numPr>
        <w:autoSpaceDE w:val="0"/>
        <w:autoSpaceDN w:val="0"/>
        <w:adjustRightInd w:val="0"/>
        <w:spacing w:after="0" w:line="240" w:lineRule="auto"/>
        <w:rPr>
          <w:rFonts w:ascii="Arial" w:hAnsi="Arial" w:cs="Arial"/>
          <w:szCs w:val="24"/>
        </w:rPr>
      </w:pPr>
      <w:r w:rsidRPr="00886087">
        <w:rPr>
          <w:rFonts w:ascii="Arial" w:hAnsi="Arial" w:cs="Arial"/>
          <w:szCs w:val="24"/>
        </w:rPr>
        <w:t>The need to ensure that land, after development, is not capable of being determined as contaminated land under Part IIA of the EPA 1990 and that all unacceptable risks have been addressed.</w:t>
      </w:r>
    </w:p>
    <w:p w14:paraId="4767FAE3" w14:textId="77777777" w:rsidR="00497B96" w:rsidRPr="00886087" w:rsidRDefault="00497B96" w:rsidP="00497B96">
      <w:pPr>
        <w:pStyle w:val="ListParagraph"/>
        <w:autoSpaceDE w:val="0"/>
        <w:autoSpaceDN w:val="0"/>
        <w:adjustRightInd w:val="0"/>
        <w:spacing w:after="0" w:line="240" w:lineRule="auto"/>
        <w:ind w:left="360"/>
        <w:rPr>
          <w:rFonts w:ascii="Arial" w:hAnsi="Arial" w:cs="Arial"/>
          <w:szCs w:val="24"/>
        </w:rPr>
      </w:pPr>
    </w:p>
    <w:p w14:paraId="7B10AC1B" w14:textId="77777777" w:rsidR="00497B96" w:rsidRDefault="00497B96" w:rsidP="00874A98">
      <w:pPr>
        <w:pStyle w:val="ListParagraph"/>
        <w:numPr>
          <w:ilvl w:val="0"/>
          <w:numId w:val="311"/>
        </w:numPr>
        <w:autoSpaceDE w:val="0"/>
        <w:autoSpaceDN w:val="0"/>
        <w:adjustRightInd w:val="0"/>
        <w:spacing w:after="0" w:line="240" w:lineRule="auto"/>
        <w:rPr>
          <w:rFonts w:ascii="Arial" w:hAnsi="Arial" w:cs="Arial"/>
          <w:szCs w:val="24"/>
        </w:rPr>
      </w:pPr>
      <w:r w:rsidRPr="00886087">
        <w:rPr>
          <w:rFonts w:ascii="Arial" w:hAnsi="Arial" w:cs="Arial"/>
          <w:szCs w:val="24"/>
        </w:rPr>
        <w:t>The need to limit and where possible reduce greenhouse gas emissions and take account of potential effects of climate change.</w:t>
      </w:r>
    </w:p>
    <w:p w14:paraId="49A77940" w14:textId="77777777" w:rsidR="00497B96" w:rsidRPr="00886087" w:rsidRDefault="00497B96" w:rsidP="00497B96">
      <w:pPr>
        <w:autoSpaceDE w:val="0"/>
        <w:autoSpaceDN w:val="0"/>
        <w:adjustRightInd w:val="0"/>
        <w:spacing w:before="0"/>
        <w:rPr>
          <w:rFonts w:cs="Arial"/>
          <w:szCs w:val="24"/>
        </w:rPr>
      </w:pPr>
    </w:p>
    <w:p w14:paraId="38E36664" w14:textId="77777777" w:rsidR="00497B96" w:rsidRDefault="00497B96" w:rsidP="00874A98">
      <w:pPr>
        <w:pStyle w:val="ListParagraph"/>
        <w:numPr>
          <w:ilvl w:val="0"/>
          <w:numId w:val="311"/>
        </w:numPr>
        <w:autoSpaceDE w:val="0"/>
        <w:autoSpaceDN w:val="0"/>
        <w:adjustRightInd w:val="0"/>
        <w:spacing w:after="0" w:line="240" w:lineRule="auto"/>
        <w:rPr>
          <w:rFonts w:ascii="Arial" w:hAnsi="Arial" w:cs="Arial"/>
          <w:szCs w:val="24"/>
        </w:rPr>
      </w:pPr>
      <w:r w:rsidRPr="00886087">
        <w:rPr>
          <w:rFonts w:ascii="Arial" w:hAnsi="Arial" w:cs="Arial"/>
          <w:szCs w:val="24"/>
        </w:rPr>
        <w:t>The possible adverse impacts on water quality and the impact of any possible discharge of effluent or leachates which may pose a threat to surface or underground water resources directly or indirectly through surrounding soil.</w:t>
      </w:r>
    </w:p>
    <w:p w14:paraId="06DBD184" w14:textId="77777777" w:rsidR="00497B96" w:rsidRPr="00886087" w:rsidRDefault="00497B96" w:rsidP="00497B96">
      <w:pPr>
        <w:autoSpaceDE w:val="0"/>
        <w:autoSpaceDN w:val="0"/>
        <w:adjustRightInd w:val="0"/>
        <w:spacing w:before="0"/>
        <w:rPr>
          <w:rFonts w:cs="Arial"/>
          <w:szCs w:val="24"/>
        </w:rPr>
      </w:pPr>
    </w:p>
    <w:p w14:paraId="3A01577F" w14:textId="77777777" w:rsidR="00497B96" w:rsidRDefault="00497B96" w:rsidP="00874A98">
      <w:pPr>
        <w:pStyle w:val="ListParagraph"/>
        <w:numPr>
          <w:ilvl w:val="0"/>
          <w:numId w:val="311"/>
        </w:numPr>
        <w:autoSpaceDE w:val="0"/>
        <w:autoSpaceDN w:val="0"/>
        <w:adjustRightInd w:val="0"/>
        <w:spacing w:after="0" w:line="240" w:lineRule="auto"/>
        <w:rPr>
          <w:rFonts w:ascii="Arial" w:hAnsi="Arial" w:cs="Arial"/>
          <w:szCs w:val="24"/>
        </w:rPr>
      </w:pPr>
      <w:r w:rsidRPr="00886087">
        <w:rPr>
          <w:rFonts w:ascii="Arial" w:hAnsi="Arial" w:cs="Arial"/>
          <w:szCs w:val="24"/>
        </w:rPr>
        <w:t>The need to make suitable provision for the drainage of surface water.</w:t>
      </w:r>
    </w:p>
    <w:p w14:paraId="608672DC" w14:textId="77777777" w:rsidR="00497B96" w:rsidRPr="00886087" w:rsidRDefault="00497B96" w:rsidP="00497B96">
      <w:pPr>
        <w:autoSpaceDE w:val="0"/>
        <w:autoSpaceDN w:val="0"/>
        <w:adjustRightInd w:val="0"/>
        <w:spacing w:before="0"/>
        <w:rPr>
          <w:rFonts w:cs="Arial"/>
          <w:szCs w:val="24"/>
        </w:rPr>
      </w:pPr>
    </w:p>
    <w:p w14:paraId="20F145F4" w14:textId="77777777" w:rsidR="00497B96" w:rsidRDefault="00497B96" w:rsidP="00874A98">
      <w:pPr>
        <w:pStyle w:val="ListParagraph"/>
        <w:numPr>
          <w:ilvl w:val="0"/>
          <w:numId w:val="311"/>
        </w:numPr>
        <w:autoSpaceDE w:val="0"/>
        <w:autoSpaceDN w:val="0"/>
        <w:adjustRightInd w:val="0"/>
        <w:spacing w:after="0" w:line="240" w:lineRule="auto"/>
        <w:rPr>
          <w:rFonts w:ascii="Arial" w:hAnsi="Arial" w:cs="Arial"/>
          <w:szCs w:val="24"/>
        </w:rPr>
      </w:pPr>
      <w:r w:rsidRPr="00886087">
        <w:rPr>
          <w:rFonts w:ascii="Arial" w:hAnsi="Arial" w:cs="Arial"/>
          <w:szCs w:val="24"/>
        </w:rPr>
        <w:t>The provision of sewerage and sewage treatment and the availability of existing sewage infrastructure.</w:t>
      </w:r>
    </w:p>
    <w:p w14:paraId="631567EC" w14:textId="77777777" w:rsidR="00497B96" w:rsidRPr="00886087" w:rsidRDefault="00497B96" w:rsidP="00497B96">
      <w:pPr>
        <w:pStyle w:val="ListParagraph"/>
        <w:autoSpaceDE w:val="0"/>
        <w:autoSpaceDN w:val="0"/>
        <w:adjustRightInd w:val="0"/>
        <w:spacing w:after="0" w:line="240" w:lineRule="auto"/>
        <w:ind w:left="360"/>
        <w:rPr>
          <w:rFonts w:ascii="Arial" w:hAnsi="Arial" w:cs="Arial"/>
          <w:szCs w:val="24"/>
        </w:rPr>
      </w:pPr>
    </w:p>
    <w:p w14:paraId="4740B11C" w14:textId="77777777" w:rsidR="00497B96" w:rsidRDefault="00497B96" w:rsidP="00874A98">
      <w:pPr>
        <w:pStyle w:val="ListParagraph"/>
        <w:numPr>
          <w:ilvl w:val="0"/>
          <w:numId w:val="311"/>
        </w:numPr>
        <w:autoSpaceDE w:val="0"/>
        <w:autoSpaceDN w:val="0"/>
        <w:adjustRightInd w:val="0"/>
        <w:spacing w:after="0" w:line="240" w:lineRule="auto"/>
        <w:rPr>
          <w:rFonts w:ascii="Arial" w:hAnsi="Arial" w:cs="Arial"/>
          <w:szCs w:val="24"/>
        </w:rPr>
      </w:pPr>
      <w:r w:rsidRPr="00886087">
        <w:rPr>
          <w:rFonts w:ascii="Arial" w:hAnsi="Arial" w:cs="Arial"/>
          <w:szCs w:val="24"/>
        </w:rPr>
        <w:t>Existing action and management plans with a bearing on environmental quality including: Air Quality Management Area Action Plans, inspection strategies and programmes for contaminated land, River Basin Management Plans, Catchment Abstraction Management Strategies, Catchment Flood Management Plans, Biodiversity Action Plans Noise Management Plans and Noise Action Plans, Sustainable Community Strategies.</w:t>
      </w:r>
    </w:p>
    <w:p w14:paraId="17D759FD" w14:textId="77777777" w:rsidR="00497B96" w:rsidRPr="00886087" w:rsidRDefault="00497B96" w:rsidP="00497B96">
      <w:pPr>
        <w:autoSpaceDE w:val="0"/>
        <w:autoSpaceDN w:val="0"/>
        <w:adjustRightInd w:val="0"/>
        <w:spacing w:before="0"/>
        <w:rPr>
          <w:rFonts w:cs="Arial"/>
          <w:szCs w:val="24"/>
        </w:rPr>
      </w:pPr>
    </w:p>
    <w:p w14:paraId="3BA3F815" w14:textId="77777777" w:rsidR="00497B96" w:rsidRDefault="00497B96" w:rsidP="00874A98">
      <w:pPr>
        <w:pStyle w:val="ListParagraph"/>
        <w:numPr>
          <w:ilvl w:val="0"/>
          <w:numId w:val="311"/>
        </w:numPr>
        <w:autoSpaceDE w:val="0"/>
        <w:autoSpaceDN w:val="0"/>
        <w:adjustRightInd w:val="0"/>
        <w:spacing w:after="0" w:line="240" w:lineRule="auto"/>
        <w:rPr>
          <w:rFonts w:ascii="Arial" w:hAnsi="Arial" w:cs="Arial"/>
          <w:szCs w:val="24"/>
        </w:rPr>
      </w:pPr>
      <w:r w:rsidRPr="00886087">
        <w:rPr>
          <w:rFonts w:ascii="Arial" w:hAnsi="Arial" w:cs="Arial"/>
          <w:szCs w:val="24"/>
        </w:rPr>
        <w:t>The possibility that (whether or not some aspects of the development are subject to pollution control), emissions of smoke, fumes, gases, dust, steam, smell, vibration or noise from the development might nevertheless be seriously detrimental to amenity in addition to constituting a statutory nuisance under the Environmental Protection Act 1990.</w:t>
      </w:r>
    </w:p>
    <w:p w14:paraId="1C7107CF" w14:textId="77777777" w:rsidR="00497B96" w:rsidRPr="00886087" w:rsidRDefault="00497B96" w:rsidP="00497B96">
      <w:pPr>
        <w:autoSpaceDE w:val="0"/>
        <w:autoSpaceDN w:val="0"/>
        <w:adjustRightInd w:val="0"/>
        <w:spacing w:before="0"/>
        <w:rPr>
          <w:rFonts w:cs="Arial"/>
          <w:szCs w:val="24"/>
        </w:rPr>
      </w:pPr>
    </w:p>
    <w:p w14:paraId="3745634C" w14:textId="77777777" w:rsidR="00497B96" w:rsidRDefault="00497B96" w:rsidP="00874A98">
      <w:pPr>
        <w:pStyle w:val="ListParagraph"/>
        <w:numPr>
          <w:ilvl w:val="0"/>
          <w:numId w:val="311"/>
        </w:numPr>
        <w:autoSpaceDE w:val="0"/>
        <w:autoSpaceDN w:val="0"/>
        <w:adjustRightInd w:val="0"/>
        <w:spacing w:after="0" w:line="240" w:lineRule="auto"/>
        <w:rPr>
          <w:rFonts w:ascii="Arial" w:hAnsi="Arial" w:cs="Arial"/>
          <w:szCs w:val="24"/>
        </w:rPr>
      </w:pPr>
      <w:r w:rsidRPr="00886087">
        <w:rPr>
          <w:rFonts w:ascii="Arial" w:hAnsi="Arial" w:cs="Arial"/>
          <w:szCs w:val="24"/>
        </w:rPr>
        <w:t>The possibility that the development might present a Major Accident Hazard under the Control of Major Accident Hazard Regulations 1999 or an unacceptable risk to the health or safety of the public arising from the development.</w:t>
      </w:r>
    </w:p>
    <w:p w14:paraId="7BFF1EF1" w14:textId="77777777" w:rsidR="00497B96" w:rsidRPr="00886087" w:rsidRDefault="00497B96" w:rsidP="00497B96">
      <w:pPr>
        <w:autoSpaceDE w:val="0"/>
        <w:autoSpaceDN w:val="0"/>
        <w:adjustRightInd w:val="0"/>
        <w:spacing w:before="0"/>
        <w:rPr>
          <w:rFonts w:cs="Arial"/>
          <w:szCs w:val="24"/>
        </w:rPr>
      </w:pPr>
    </w:p>
    <w:p w14:paraId="0552F692" w14:textId="77777777" w:rsidR="00497B96" w:rsidRPr="00886087" w:rsidRDefault="00497B96" w:rsidP="00874A98">
      <w:pPr>
        <w:pStyle w:val="ListParagraph"/>
        <w:numPr>
          <w:ilvl w:val="0"/>
          <w:numId w:val="311"/>
        </w:numPr>
        <w:autoSpaceDE w:val="0"/>
        <w:autoSpaceDN w:val="0"/>
        <w:adjustRightInd w:val="0"/>
        <w:spacing w:after="0" w:line="240" w:lineRule="auto"/>
        <w:rPr>
          <w:rFonts w:ascii="Arial" w:hAnsi="Arial" w:cs="Arial"/>
          <w:szCs w:val="24"/>
        </w:rPr>
      </w:pPr>
      <w:r w:rsidRPr="00886087">
        <w:rPr>
          <w:rFonts w:ascii="Arial" w:hAnsi="Arial" w:cs="Arial"/>
          <w:szCs w:val="24"/>
        </w:rPr>
        <w:t>The need to limit and, where possible, reduce the adverse impact of light pollution.</w:t>
      </w:r>
    </w:p>
    <w:p w14:paraId="5AC9EB9F" w14:textId="77777777" w:rsidR="00497B96" w:rsidRPr="00886087" w:rsidRDefault="00497B96" w:rsidP="00497B96">
      <w:pPr>
        <w:keepNext w:val="0"/>
        <w:autoSpaceDE w:val="0"/>
        <w:autoSpaceDN w:val="0"/>
        <w:adjustRightInd w:val="0"/>
        <w:spacing w:before="0"/>
        <w:rPr>
          <w:rFonts w:cs="Arial"/>
          <w:szCs w:val="24"/>
        </w:rPr>
      </w:pPr>
    </w:p>
    <w:p w14:paraId="0F610F87" w14:textId="46E97146" w:rsidR="00497B96" w:rsidRDefault="00497B96">
      <w:pPr>
        <w:keepNext w:val="0"/>
        <w:spacing w:before="0"/>
        <w:rPr>
          <w:rFonts w:cs="Arial"/>
          <w:b/>
          <w:bCs/>
          <w:szCs w:val="24"/>
        </w:rPr>
      </w:pPr>
      <w:r>
        <w:rPr>
          <w:rFonts w:cs="Arial"/>
          <w:b/>
          <w:bCs/>
          <w:szCs w:val="24"/>
        </w:rPr>
        <w:br w:type="page"/>
      </w:r>
    </w:p>
    <w:p w14:paraId="75270DCF" w14:textId="199D5C93" w:rsidR="00D24D66" w:rsidRPr="00967C7D" w:rsidRDefault="004A7713" w:rsidP="00364726">
      <w:pPr>
        <w:pStyle w:val="Heading1"/>
        <w:rPr>
          <w:rFonts w:cs="Arial"/>
        </w:rPr>
      </w:pPr>
      <w:r w:rsidRPr="00967C7D">
        <w:t>Appendix 4 - Wind Energy Opportunities Within Ashfield</w:t>
      </w:r>
      <w:bookmarkEnd w:id="327"/>
      <w:r w:rsidRPr="00967C7D">
        <w:rPr>
          <w:rFonts w:cs="Arial"/>
        </w:rPr>
        <w:t xml:space="preserve"> </w:t>
      </w:r>
    </w:p>
    <w:p w14:paraId="03CC1439" w14:textId="4730760B" w:rsidR="00D24D66" w:rsidRDefault="00D24D66" w:rsidP="005B39D2">
      <w:pPr>
        <w:keepNext w:val="0"/>
        <w:autoSpaceDE w:val="0"/>
        <w:autoSpaceDN w:val="0"/>
        <w:adjustRightInd w:val="0"/>
        <w:spacing w:before="0"/>
        <w:rPr>
          <w:rFonts w:cs="Arial"/>
          <w:b/>
          <w:bCs/>
          <w:szCs w:val="24"/>
        </w:rPr>
      </w:pPr>
    </w:p>
    <w:p w14:paraId="0A46BDAC" w14:textId="7767499A" w:rsidR="00D24D66" w:rsidRDefault="00D24D66" w:rsidP="005B39D2">
      <w:pPr>
        <w:keepNext w:val="0"/>
        <w:autoSpaceDE w:val="0"/>
        <w:autoSpaceDN w:val="0"/>
        <w:adjustRightInd w:val="0"/>
        <w:spacing w:before="0"/>
        <w:rPr>
          <w:rFonts w:cs="Arial"/>
          <w:b/>
          <w:bCs/>
          <w:szCs w:val="24"/>
        </w:rPr>
      </w:pPr>
      <w:r w:rsidRPr="00D24D66">
        <w:rPr>
          <w:rFonts w:cs="Arial"/>
          <w:b/>
          <w:bCs/>
          <w:noProof/>
          <w:szCs w:val="24"/>
        </w:rPr>
        <w:drawing>
          <wp:inline distT="0" distB="0" distL="0" distR="0" wp14:anchorId="47ABEECB" wp14:editId="55F4CF6A">
            <wp:extent cx="5457825" cy="7871637"/>
            <wp:effectExtent l="0" t="0" r="0" b="0"/>
            <wp:docPr id="9" name="Picture 9" descr="Appendix 4 - Wind Energy Opportunities Within Ashfield - East Midlands Renewable Energy Study - Ashfield -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ppendix 4 - Wind Energy Opportunities Within Ashfield - East Midlands Renewable Energy Study - Ashfield - Map"/>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475327" cy="7896880"/>
                    </a:xfrm>
                    <a:prstGeom prst="rect">
                      <a:avLst/>
                    </a:prstGeom>
                    <a:noFill/>
                    <a:ln>
                      <a:noFill/>
                    </a:ln>
                  </pic:spPr>
                </pic:pic>
              </a:graphicData>
            </a:graphic>
          </wp:inline>
        </w:drawing>
      </w:r>
    </w:p>
    <w:p w14:paraId="3A844DBF" w14:textId="319F7AB6" w:rsidR="00D24D66" w:rsidRDefault="00D24D66" w:rsidP="005B39D2">
      <w:pPr>
        <w:keepNext w:val="0"/>
        <w:autoSpaceDE w:val="0"/>
        <w:autoSpaceDN w:val="0"/>
        <w:adjustRightInd w:val="0"/>
        <w:spacing w:before="0"/>
        <w:rPr>
          <w:rFonts w:cs="Arial"/>
          <w:b/>
          <w:bCs/>
          <w:szCs w:val="24"/>
        </w:rPr>
      </w:pPr>
      <w:r>
        <w:rPr>
          <w:rFonts w:cs="Arial"/>
          <w:b/>
          <w:bCs/>
          <w:szCs w:val="24"/>
        </w:rPr>
        <w:br w:type="page"/>
      </w:r>
    </w:p>
    <w:p w14:paraId="5A2D0E0C" w14:textId="03C1B770" w:rsidR="00C602FD" w:rsidRPr="00967C7D" w:rsidRDefault="00C602FD" w:rsidP="00364726">
      <w:pPr>
        <w:pStyle w:val="Heading1"/>
      </w:pPr>
      <w:bookmarkStart w:id="328" w:name="_Toc145511627"/>
      <w:r w:rsidRPr="00967C7D">
        <w:t>Appendix 5 - Agricultural, Forestry and Other Occupational Dwellings</w:t>
      </w:r>
      <w:bookmarkEnd w:id="328"/>
    </w:p>
    <w:p w14:paraId="7E17F5CE" w14:textId="77777777" w:rsidR="00C602FD" w:rsidRDefault="00C602FD" w:rsidP="00C602FD">
      <w:pPr>
        <w:keepNext w:val="0"/>
        <w:autoSpaceDE w:val="0"/>
        <w:autoSpaceDN w:val="0"/>
        <w:adjustRightInd w:val="0"/>
        <w:spacing w:before="0"/>
        <w:rPr>
          <w:rFonts w:cs="Arial"/>
          <w:b/>
          <w:bCs/>
          <w:sz w:val="28"/>
          <w:szCs w:val="28"/>
        </w:rPr>
      </w:pPr>
    </w:p>
    <w:p w14:paraId="7303DB5E" w14:textId="77777777" w:rsidR="00C602FD" w:rsidRPr="00C602FD" w:rsidRDefault="00C602FD" w:rsidP="00874A98">
      <w:pPr>
        <w:keepNext w:val="0"/>
        <w:numPr>
          <w:ilvl w:val="1"/>
          <w:numId w:val="312"/>
        </w:numPr>
        <w:autoSpaceDE w:val="0"/>
        <w:autoSpaceDN w:val="0"/>
        <w:adjustRightInd w:val="0"/>
        <w:spacing w:before="0"/>
        <w:ind w:left="600"/>
        <w:rPr>
          <w:rFonts w:cs="Arial"/>
          <w:color w:val="231F20"/>
        </w:rPr>
      </w:pPr>
      <w:r w:rsidRPr="00C602FD">
        <w:rPr>
          <w:rFonts w:cs="Arial"/>
          <w:color w:val="auto"/>
        </w:rPr>
        <w:t>National planning guidance makes clear that isolated new houses in rural areas require special justification for planning permission to be granted.  One of the few circumstances in which isolated residential development may be justified is when accommodation is required to enable agricultural, forestry and certain other full-time workers to live at, or in the immediate vicinity of, their place of work.  It will often be as convenient and more sustainable for such workers to live in nearby towns or villages, or suitable existing dwellings, so avoiding new and potentially intrusive development in the countryside.  Howev</w:t>
      </w:r>
      <w:r w:rsidRPr="00C602FD">
        <w:rPr>
          <w:rFonts w:cs="Arial"/>
          <w:color w:val="231F20"/>
        </w:rPr>
        <w:t>er, there will be some cases where the nature and demands of the work concerned make it essential for one or more people engaged in the enterprise to live at, or very close to, the site of their work.  Whether this is essential in any particular case will depend on the needs of the enterprise concerned and not on the personal preferences or circumstances of any of the individuals involved.</w:t>
      </w:r>
    </w:p>
    <w:p w14:paraId="76039C82" w14:textId="77777777" w:rsidR="00C602FD" w:rsidRPr="00C602FD" w:rsidRDefault="00C602FD" w:rsidP="00C602FD">
      <w:pPr>
        <w:keepNext w:val="0"/>
        <w:tabs>
          <w:tab w:val="num" w:pos="480"/>
        </w:tabs>
        <w:autoSpaceDE w:val="0"/>
        <w:autoSpaceDN w:val="0"/>
        <w:adjustRightInd w:val="0"/>
        <w:spacing w:before="0"/>
        <w:ind w:left="480" w:hanging="240"/>
        <w:rPr>
          <w:rFonts w:cs="Arial"/>
          <w:color w:val="231F20"/>
        </w:rPr>
      </w:pPr>
    </w:p>
    <w:p w14:paraId="03980EB5" w14:textId="77777777" w:rsidR="00C602FD" w:rsidRPr="00C602FD" w:rsidRDefault="00C602FD" w:rsidP="00874A98">
      <w:pPr>
        <w:keepNext w:val="0"/>
        <w:numPr>
          <w:ilvl w:val="1"/>
          <w:numId w:val="312"/>
        </w:numPr>
        <w:autoSpaceDE w:val="0"/>
        <w:autoSpaceDN w:val="0"/>
        <w:adjustRightInd w:val="0"/>
        <w:spacing w:before="0"/>
        <w:ind w:left="600"/>
        <w:rPr>
          <w:rFonts w:cs="Arial"/>
          <w:color w:val="231F20"/>
        </w:rPr>
      </w:pPr>
      <w:r w:rsidRPr="00C602FD">
        <w:rPr>
          <w:rFonts w:cs="Arial"/>
          <w:color w:val="231F20"/>
        </w:rPr>
        <w:t>It is essential that all applications for planning permission for new occupational dwellings in the countryside are scrutinised thoroughly with the aim of detecting attempts to abuse (e.g. through speculative proposals) the concession that the planning system makes for such dwellings.  In particular, it will be important to establish whether the stated intentions to engage in farming, forestry or any other rural-based enterprise, are genuine, are reasonably likely to materialise and are capable of being sustained for a reasonable period of time.  It will also be important to establish that the needs of the intended enterprise require one or more of the people engaged in it to live nearby.</w:t>
      </w:r>
    </w:p>
    <w:p w14:paraId="7B78E362" w14:textId="77777777" w:rsidR="00C602FD" w:rsidRPr="00C602FD" w:rsidRDefault="00C602FD" w:rsidP="00C602FD">
      <w:pPr>
        <w:keepNext w:val="0"/>
        <w:tabs>
          <w:tab w:val="num" w:pos="480"/>
        </w:tabs>
        <w:autoSpaceDE w:val="0"/>
        <w:autoSpaceDN w:val="0"/>
        <w:adjustRightInd w:val="0"/>
        <w:spacing w:before="0"/>
        <w:ind w:left="480" w:hanging="240"/>
        <w:rPr>
          <w:rFonts w:cs="Arial"/>
          <w:color w:val="231F20"/>
        </w:rPr>
      </w:pPr>
    </w:p>
    <w:p w14:paraId="67B81831" w14:textId="77777777" w:rsidR="00C602FD" w:rsidRPr="00C602FD" w:rsidRDefault="00C602FD" w:rsidP="00874A98">
      <w:pPr>
        <w:keepNext w:val="0"/>
        <w:numPr>
          <w:ilvl w:val="1"/>
          <w:numId w:val="312"/>
        </w:numPr>
        <w:autoSpaceDE w:val="0"/>
        <w:autoSpaceDN w:val="0"/>
        <w:adjustRightInd w:val="0"/>
        <w:spacing w:before="0"/>
        <w:ind w:left="600"/>
        <w:rPr>
          <w:rFonts w:cs="Arial"/>
          <w:color w:val="231F20"/>
        </w:rPr>
      </w:pPr>
      <w:r w:rsidRPr="00C602FD">
        <w:rPr>
          <w:rFonts w:cs="Arial"/>
          <w:color w:val="231F20"/>
        </w:rPr>
        <w:t>New permanent dwellings should only be allowed to support existing agricultural activities on well-established agricultural units, providing:</w:t>
      </w:r>
    </w:p>
    <w:p w14:paraId="1C84F7BB" w14:textId="77777777" w:rsidR="00C602FD" w:rsidRPr="00C602FD" w:rsidRDefault="00C602FD" w:rsidP="00C602FD">
      <w:pPr>
        <w:keepNext w:val="0"/>
        <w:tabs>
          <w:tab w:val="left" w:pos="480"/>
        </w:tabs>
        <w:autoSpaceDE w:val="0"/>
        <w:autoSpaceDN w:val="0"/>
        <w:adjustRightInd w:val="0"/>
        <w:spacing w:before="0"/>
        <w:rPr>
          <w:rFonts w:cs="Arial"/>
          <w:color w:val="231F20"/>
        </w:rPr>
      </w:pPr>
    </w:p>
    <w:p w14:paraId="342071F0" w14:textId="77777777" w:rsidR="00C602FD" w:rsidRPr="00C602FD" w:rsidRDefault="00C602FD" w:rsidP="00874A98">
      <w:pPr>
        <w:keepNext w:val="0"/>
        <w:numPr>
          <w:ilvl w:val="0"/>
          <w:numId w:val="314"/>
        </w:numPr>
        <w:tabs>
          <w:tab w:val="left" w:pos="720"/>
          <w:tab w:val="left" w:pos="1320"/>
        </w:tabs>
        <w:autoSpaceDE w:val="0"/>
        <w:autoSpaceDN w:val="0"/>
        <w:adjustRightInd w:val="0"/>
        <w:spacing w:before="0" w:after="120"/>
        <w:rPr>
          <w:rFonts w:cs="Arial"/>
          <w:color w:val="231F20"/>
        </w:rPr>
      </w:pPr>
      <w:r w:rsidRPr="00C602FD">
        <w:rPr>
          <w:rFonts w:cs="Arial"/>
          <w:color w:val="231F20"/>
        </w:rPr>
        <w:t xml:space="preserve">there is a clearly established </w:t>
      </w:r>
      <w:r w:rsidRPr="00C602FD">
        <w:rPr>
          <w:rFonts w:cs="Arial"/>
          <w:i/>
          <w:iCs/>
          <w:color w:val="231F20"/>
        </w:rPr>
        <w:t>existing</w:t>
      </w:r>
      <w:r w:rsidRPr="00C602FD">
        <w:rPr>
          <w:rFonts w:cs="Arial"/>
          <w:iCs/>
          <w:color w:val="231F20"/>
        </w:rPr>
        <w:t xml:space="preserve"> </w:t>
      </w:r>
      <w:r w:rsidRPr="00C602FD">
        <w:rPr>
          <w:rFonts w:cs="Arial"/>
          <w:color w:val="231F20"/>
        </w:rPr>
        <w:t>functional need (see paragraph 4 below);</w:t>
      </w:r>
    </w:p>
    <w:p w14:paraId="5BBFD615" w14:textId="77777777" w:rsidR="00C602FD" w:rsidRPr="00C602FD" w:rsidRDefault="00C602FD" w:rsidP="00874A98">
      <w:pPr>
        <w:keepNext w:val="0"/>
        <w:numPr>
          <w:ilvl w:val="0"/>
          <w:numId w:val="314"/>
        </w:numPr>
        <w:tabs>
          <w:tab w:val="left" w:pos="720"/>
          <w:tab w:val="left" w:pos="1320"/>
        </w:tabs>
        <w:autoSpaceDE w:val="0"/>
        <w:autoSpaceDN w:val="0"/>
        <w:adjustRightInd w:val="0"/>
        <w:spacing w:before="0" w:after="120"/>
        <w:rPr>
          <w:rFonts w:cs="Arial"/>
          <w:color w:val="231F20"/>
        </w:rPr>
      </w:pPr>
      <w:proofErr w:type="spellStart"/>
      <w:r w:rsidRPr="00C602FD">
        <w:rPr>
          <w:rFonts w:cs="Arial"/>
          <w:color w:val="231F20"/>
        </w:rPr>
        <w:t>the</w:t>
      </w:r>
      <w:proofErr w:type="spellEnd"/>
      <w:r w:rsidRPr="00C602FD">
        <w:rPr>
          <w:rFonts w:cs="Arial"/>
          <w:color w:val="231F20"/>
        </w:rPr>
        <w:t xml:space="preserve"> need relates to a </w:t>
      </w:r>
      <w:r w:rsidRPr="00C602FD">
        <w:rPr>
          <w:rFonts w:cs="Arial"/>
          <w:i/>
          <w:iCs/>
          <w:color w:val="231F20"/>
        </w:rPr>
        <w:t xml:space="preserve">full-time </w:t>
      </w:r>
      <w:r w:rsidRPr="00C602FD">
        <w:rPr>
          <w:rFonts w:cs="Arial"/>
          <w:color w:val="231F20"/>
        </w:rPr>
        <w:t>worker, or one who is primarily employed in agriculture and does not relate to a part-time requirement;</w:t>
      </w:r>
    </w:p>
    <w:p w14:paraId="6984D1EC" w14:textId="77777777" w:rsidR="00C602FD" w:rsidRPr="00C602FD" w:rsidRDefault="00C602FD" w:rsidP="00874A98">
      <w:pPr>
        <w:keepNext w:val="0"/>
        <w:numPr>
          <w:ilvl w:val="0"/>
          <w:numId w:val="314"/>
        </w:numPr>
        <w:tabs>
          <w:tab w:val="left" w:pos="720"/>
          <w:tab w:val="left" w:pos="1320"/>
        </w:tabs>
        <w:autoSpaceDE w:val="0"/>
        <w:autoSpaceDN w:val="0"/>
        <w:adjustRightInd w:val="0"/>
        <w:spacing w:before="0" w:after="120"/>
        <w:rPr>
          <w:rFonts w:cs="Arial"/>
          <w:color w:val="231F20"/>
        </w:rPr>
      </w:pPr>
      <w:r w:rsidRPr="00C602FD">
        <w:rPr>
          <w:rFonts w:cs="Arial"/>
          <w:color w:val="231F20"/>
        </w:rPr>
        <w:t>the unit and the agricultural activity concerned have been established for at least three years, have been profitable for at least one of them, are currently financially sound, and have a clear prospect of remaining so (see paragraph 8 below);</w:t>
      </w:r>
    </w:p>
    <w:p w14:paraId="277632F6" w14:textId="77777777" w:rsidR="00C602FD" w:rsidRPr="00C602FD" w:rsidRDefault="00C602FD" w:rsidP="00874A98">
      <w:pPr>
        <w:keepNext w:val="0"/>
        <w:numPr>
          <w:ilvl w:val="0"/>
          <w:numId w:val="314"/>
        </w:numPr>
        <w:tabs>
          <w:tab w:val="left" w:pos="720"/>
          <w:tab w:val="left" w:pos="1320"/>
        </w:tabs>
        <w:autoSpaceDE w:val="0"/>
        <w:autoSpaceDN w:val="0"/>
        <w:adjustRightInd w:val="0"/>
        <w:spacing w:before="0" w:after="120"/>
        <w:rPr>
          <w:rFonts w:cs="Arial"/>
          <w:color w:val="231F20"/>
        </w:rPr>
      </w:pPr>
      <w:r w:rsidRPr="00C602FD">
        <w:rPr>
          <w:rFonts w:cs="Arial"/>
          <w:color w:val="231F20"/>
        </w:rPr>
        <w:t>the functional need could not be fulfilled by another existing dwelling on the unit, or any other existing accommodation in the area which is suitable and available for occupation by the workers concerned; and</w:t>
      </w:r>
    </w:p>
    <w:p w14:paraId="7C8DD43E" w14:textId="77777777" w:rsidR="00C602FD" w:rsidRPr="00C602FD" w:rsidRDefault="00C602FD" w:rsidP="00874A98">
      <w:pPr>
        <w:keepNext w:val="0"/>
        <w:numPr>
          <w:ilvl w:val="0"/>
          <w:numId w:val="314"/>
        </w:numPr>
        <w:tabs>
          <w:tab w:val="left" w:pos="720"/>
          <w:tab w:val="left" w:pos="1320"/>
        </w:tabs>
        <w:autoSpaceDE w:val="0"/>
        <w:autoSpaceDN w:val="0"/>
        <w:adjustRightInd w:val="0"/>
        <w:spacing w:before="0" w:after="120"/>
        <w:rPr>
          <w:rFonts w:cs="Arial"/>
          <w:color w:val="231F20"/>
        </w:rPr>
      </w:pPr>
      <w:r w:rsidRPr="00C602FD">
        <w:rPr>
          <w:rFonts w:cs="Arial"/>
          <w:color w:val="231F20"/>
        </w:rPr>
        <w:t>other planning requirements, e.g. in relation to access, or impact on the countryside, are satisfied.</w:t>
      </w:r>
    </w:p>
    <w:p w14:paraId="6814364C" w14:textId="77777777" w:rsidR="00C602FD" w:rsidRPr="00C602FD" w:rsidRDefault="00C602FD" w:rsidP="00C602FD">
      <w:pPr>
        <w:keepNext w:val="0"/>
        <w:tabs>
          <w:tab w:val="left" w:pos="480"/>
        </w:tabs>
        <w:autoSpaceDE w:val="0"/>
        <w:autoSpaceDN w:val="0"/>
        <w:adjustRightInd w:val="0"/>
        <w:spacing w:before="0"/>
        <w:rPr>
          <w:rFonts w:cs="Arial"/>
          <w:color w:val="231F20"/>
        </w:rPr>
      </w:pPr>
    </w:p>
    <w:p w14:paraId="6A73F17A" w14:textId="77777777" w:rsidR="00C602FD" w:rsidRPr="00C602FD" w:rsidRDefault="00C602FD" w:rsidP="00874A98">
      <w:pPr>
        <w:keepNext w:val="0"/>
        <w:numPr>
          <w:ilvl w:val="1"/>
          <w:numId w:val="312"/>
        </w:numPr>
        <w:autoSpaceDE w:val="0"/>
        <w:autoSpaceDN w:val="0"/>
        <w:adjustRightInd w:val="0"/>
        <w:spacing w:before="0"/>
        <w:ind w:left="600"/>
        <w:rPr>
          <w:rFonts w:cs="Arial"/>
          <w:color w:val="231F20"/>
        </w:rPr>
      </w:pPr>
      <w:r w:rsidRPr="00C602FD">
        <w:rPr>
          <w:rFonts w:cs="Arial"/>
          <w:color w:val="231F20"/>
        </w:rPr>
        <w:t xml:space="preserve">A functional test is necessary to establish whether it is essential for the proper functioning of the enterprise for one or more workers to be readily available at most times.  Such a requirement might arise, for example, if workers are needed to be on hand day and night: </w:t>
      </w:r>
    </w:p>
    <w:p w14:paraId="127A5D06" w14:textId="77777777" w:rsidR="00C602FD" w:rsidRPr="00C602FD" w:rsidRDefault="00C602FD" w:rsidP="00874A98">
      <w:pPr>
        <w:keepNext w:val="0"/>
        <w:numPr>
          <w:ilvl w:val="0"/>
          <w:numId w:val="315"/>
        </w:numPr>
        <w:autoSpaceDE w:val="0"/>
        <w:autoSpaceDN w:val="0"/>
        <w:adjustRightInd w:val="0"/>
        <w:spacing w:before="0" w:after="120"/>
        <w:rPr>
          <w:rFonts w:cs="Arial"/>
          <w:color w:val="231F20"/>
        </w:rPr>
      </w:pPr>
      <w:r w:rsidRPr="00C602FD">
        <w:rPr>
          <w:rFonts w:cs="Arial"/>
          <w:color w:val="231F20"/>
        </w:rPr>
        <w:t>in case animals or agricultural processes require essential care at short notice;</w:t>
      </w:r>
    </w:p>
    <w:p w14:paraId="7B4F7888" w14:textId="77777777" w:rsidR="00C602FD" w:rsidRPr="00C602FD" w:rsidRDefault="00C602FD" w:rsidP="00874A98">
      <w:pPr>
        <w:keepNext w:val="0"/>
        <w:numPr>
          <w:ilvl w:val="0"/>
          <w:numId w:val="315"/>
        </w:numPr>
        <w:autoSpaceDE w:val="0"/>
        <w:autoSpaceDN w:val="0"/>
        <w:adjustRightInd w:val="0"/>
        <w:spacing w:before="0" w:after="120"/>
        <w:rPr>
          <w:rFonts w:cs="Arial"/>
          <w:color w:val="231F20"/>
        </w:rPr>
      </w:pPr>
      <w:r w:rsidRPr="00C602FD">
        <w:rPr>
          <w:rFonts w:cs="Arial"/>
          <w:color w:val="231F20"/>
        </w:rPr>
        <w:t xml:space="preserve">to deal quickly with emergencies that could otherwise cause serious loss of crops or products, for example, by frost damage or the failure of automatic systems. </w:t>
      </w:r>
    </w:p>
    <w:p w14:paraId="32CFF2F1" w14:textId="77777777" w:rsidR="00C602FD" w:rsidRPr="00C602FD" w:rsidRDefault="00C602FD" w:rsidP="00874A98">
      <w:pPr>
        <w:keepNext w:val="0"/>
        <w:numPr>
          <w:ilvl w:val="1"/>
          <w:numId w:val="312"/>
        </w:numPr>
        <w:autoSpaceDE w:val="0"/>
        <w:autoSpaceDN w:val="0"/>
        <w:adjustRightInd w:val="0"/>
        <w:spacing w:before="0"/>
        <w:ind w:left="600"/>
        <w:rPr>
          <w:rFonts w:cs="Arial"/>
          <w:color w:val="231F20"/>
        </w:rPr>
      </w:pPr>
      <w:r w:rsidRPr="00C602FD">
        <w:rPr>
          <w:rFonts w:cs="Arial"/>
          <w:color w:val="231F20"/>
        </w:rPr>
        <w:t>In cases where there is particularly concerned about possible abuse, the Council will investigate the history of the holding to establish the recent pattern of use of land and buildings and whether, for example, any dwellings, or buildings suitable for conversion to dwellings, have recently been sold separately from the farmland concerned.  Such a sale could constitute evidence of lack of agricultural need.</w:t>
      </w:r>
    </w:p>
    <w:p w14:paraId="6EA7D300" w14:textId="77777777" w:rsidR="00C602FD" w:rsidRPr="00C602FD" w:rsidRDefault="00C602FD" w:rsidP="00C602FD">
      <w:pPr>
        <w:keepNext w:val="0"/>
        <w:tabs>
          <w:tab w:val="left" w:pos="480"/>
        </w:tabs>
        <w:autoSpaceDE w:val="0"/>
        <w:autoSpaceDN w:val="0"/>
        <w:adjustRightInd w:val="0"/>
        <w:spacing w:before="0"/>
        <w:ind w:left="360"/>
        <w:rPr>
          <w:rFonts w:cs="Arial"/>
          <w:color w:val="231F20"/>
        </w:rPr>
      </w:pPr>
    </w:p>
    <w:p w14:paraId="3756A3D5" w14:textId="77777777" w:rsidR="00C602FD" w:rsidRPr="00C602FD" w:rsidRDefault="00C602FD" w:rsidP="00874A98">
      <w:pPr>
        <w:keepNext w:val="0"/>
        <w:numPr>
          <w:ilvl w:val="1"/>
          <w:numId w:val="312"/>
        </w:numPr>
        <w:autoSpaceDE w:val="0"/>
        <w:autoSpaceDN w:val="0"/>
        <w:adjustRightInd w:val="0"/>
        <w:spacing w:before="0"/>
        <w:ind w:left="600"/>
        <w:rPr>
          <w:rFonts w:cs="Arial"/>
          <w:color w:val="231F20"/>
        </w:rPr>
      </w:pPr>
      <w:r w:rsidRPr="00C602FD">
        <w:rPr>
          <w:rFonts w:cs="Arial"/>
          <w:color w:val="231F20"/>
        </w:rPr>
        <w:t>The protection of livestock from theft or injury by intruders may contribute on animal welfare grounds to the need for a new agricultural dwelling, although it will not by itself be sufficient to justify one.  Requirements arising from food processing, as opposed to agriculture, cannot be used to justify an agricultural dwelling.  Nor can agricultural needs justify the provision of isolated new dwellings as retirement homes for farmers.</w:t>
      </w:r>
    </w:p>
    <w:p w14:paraId="11D7ED89" w14:textId="77777777" w:rsidR="00C602FD" w:rsidRPr="00C602FD" w:rsidRDefault="00C602FD" w:rsidP="00C602FD">
      <w:pPr>
        <w:keepNext w:val="0"/>
        <w:tabs>
          <w:tab w:val="left" w:pos="480"/>
        </w:tabs>
        <w:autoSpaceDE w:val="0"/>
        <w:autoSpaceDN w:val="0"/>
        <w:adjustRightInd w:val="0"/>
        <w:spacing w:before="0"/>
        <w:rPr>
          <w:rFonts w:cs="Arial"/>
          <w:color w:val="231F20"/>
        </w:rPr>
      </w:pPr>
    </w:p>
    <w:p w14:paraId="23C05B5E" w14:textId="77777777" w:rsidR="00C602FD" w:rsidRPr="00C602FD" w:rsidRDefault="00C602FD" w:rsidP="00874A98">
      <w:pPr>
        <w:keepNext w:val="0"/>
        <w:numPr>
          <w:ilvl w:val="1"/>
          <w:numId w:val="312"/>
        </w:numPr>
        <w:autoSpaceDE w:val="0"/>
        <w:autoSpaceDN w:val="0"/>
        <w:adjustRightInd w:val="0"/>
        <w:spacing w:before="0"/>
        <w:ind w:left="600"/>
        <w:rPr>
          <w:rFonts w:cs="Arial"/>
          <w:color w:val="231F20"/>
        </w:rPr>
      </w:pPr>
      <w:r w:rsidRPr="00C602FD">
        <w:rPr>
          <w:rFonts w:cs="Arial"/>
          <w:color w:val="231F20"/>
        </w:rPr>
        <w:t>If a functional requirement is established, it will then be necessary to consider the number of workers needed to meet it, for which the scale and nature of the enterprise will be relevant.</w:t>
      </w:r>
    </w:p>
    <w:p w14:paraId="257DDA46" w14:textId="77777777" w:rsidR="00C602FD" w:rsidRPr="00C602FD" w:rsidRDefault="00C602FD" w:rsidP="00C602FD">
      <w:pPr>
        <w:keepNext w:val="0"/>
        <w:tabs>
          <w:tab w:val="left" w:pos="480"/>
        </w:tabs>
        <w:autoSpaceDE w:val="0"/>
        <w:autoSpaceDN w:val="0"/>
        <w:adjustRightInd w:val="0"/>
        <w:spacing w:before="0"/>
        <w:rPr>
          <w:rFonts w:cs="Arial"/>
          <w:color w:val="231F20"/>
        </w:rPr>
      </w:pPr>
    </w:p>
    <w:p w14:paraId="682B80F3" w14:textId="63E9F169" w:rsidR="00C602FD" w:rsidRPr="00C602FD" w:rsidRDefault="00C602FD" w:rsidP="00874A98">
      <w:pPr>
        <w:keepNext w:val="0"/>
        <w:numPr>
          <w:ilvl w:val="1"/>
          <w:numId w:val="312"/>
        </w:numPr>
        <w:autoSpaceDE w:val="0"/>
        <w:autoSpaceDN w:val="0"/>
        <w:adjustRightInd w:val="0"/>
        <w:spacing w:before="0"/>
        <w:ind w:left="600"/>
        <w:rPr>
          <w:rFonts w:cs="Arial"/>
          <w:color w:val="231F20"/>
        </w:rPr>
      </w:pPr>
      <w:r w:rsidRPr="00C602FD">
        <w:rPr>
          <w:rFonts w:cs="Arial"/>
          <w:color w:val="231F20"/>
        </w:rPr>
        <w:t xml:space="preserve">New permanent accommodation cannot be justified on agricultural </w:t>
      </w:r>
      <w:r w:rsidRPr="00C602FD">
        <w:rPr>
          <w:rFonts w:cs="Arial"/>
          <w:color w:val="231F20"/>
        </w:rPr>
        <w:tab/>
        <w:t xml:space="preserve">grounds unless the farming enterprise is economically viable.  A </w:t>
      </w:r>
      <w:r w:rsidRPr="00C602FD">
        <w:rPr>
          <w:rFonts w:cs="Arial"/>
          <w:i/>
          <w:iCs/>
          <w:color w:val="231F20"/>
        </w:rPr>
        <w:t xml:space="preserve">financial test </w:t>
      </w:r>
      <w:r w:rsidRPr="00C602FD">
        <w:rPr>
          <w:rFonts w:cs="Arial"/>
          <w:color w:val="231F20"/>
        </w:rPr>
        <w:t>is necessary for this purpose, and to provide evidence of the size of dwelling which the unit can sustain.  In applying this test (see paragraph 3(iii) above), the Council will take a realistic approach to the level of profitability, taking account of the nature of the enterprise concerned.  Some enterprises which aim to operate broadly on a subsistence basis, but which nonetheless provide wider benefits (e.g. in managing attractive landscapes or wildlife habitats), can be sustained on relatively low financial returns.</w:t>
      </w:r>
    </w:p>
    <w:p w14:paraId="67FEDC17" w14:textId="77777777" w:rsidR="00C602FD" w:rsidRPr="00C602FD" w:rsidRDefault="00C602FD" w:rsidP="00C602FD">
      <w:pPr>
        <w:keepNext w:val="0"/>
        <w:tabs>
          <w:tab w:val="left" w:pos="480"/>
        </w:tabs>
        <w:autoSpaceDE w:val="0"/>
        <w:autoSpaceDN w:val="0"/>
        <w:adjustRightInd w:val="0"/>
        <w:spacing w:before="0"/>
        <w:rPr>
          <w:rFonts w:cs="Arial"/>
          <w:color w:val="231F20"/>
        </w:rPr>
      </w:pPr>
    </w:p>
    <w:p w14:paraId="374E5B30" w14:textId="77777777" w:rsidR="00C602FD" w:rsidRPr="00C602FD" w:rsidRDefault="00C602FD" w:rsidP="00874A98">
      <w:pPr>
        <w:keepNext w:val="0"/>
        <w:numPr>
          <w:ilvl w:val="1"/>
          <w:numId w:val="312"/>
        </w:numPr>
        <w:autoSpaceDE w:val="0"/>
        <w:autoSpaceDN w:val="0"/>
        <w:adjustRightInd w:val="0"/>
        <w:spacing w:before="0"/>
        <w:ind w:left="600"/>
        <w:rPr>
          <w:rFonts w:cs="Arial"/>
          <w:color w:val="231F20"/>
        </w:rPr>
      </w:pPr>
      <w:r w:rsidRPr="00C602FD">
        <w:rPr>
          <w:rFonts w:cs="Arial"/>
          <w:color w:val="231F20"/>
        </w:rPr>
        <w:t xml:space="preserve">Agricultural dwellings should be of a size commensurate with the established functional requirement.  Dwellings that are unusually large in relation to the agricultural needs of the unit, or unusually expensive </w:t>
      </w:r>
      <w:r w:rsidRPr="00C602FD">
        <w:rPr>
          <w:rFonts w:cs="Arial"/>
          <w:color w:val="231F20"/>
        </w:rPr>
        <w:tab/>
        <w:t>to construct in relation to the income it can sustain in the long-term, should not be permitted.  It is the requirements of the enterprise, rather than those of the owner or occupier, that are relevant in determining the size of dwelling that is appropriate to a particular holding.</w:t>
      </w:r>
    </w:p>
    <w:p w14:paraId="540D0B71" w14:textId="77777777" w:rsidR="00C602FD" w:rsidRPr="00C602FD" w:rsidRDefault="00C602FD" w:rsidP="00C602FD">
      <w:pPr>
        <w:keepNext w:val="0"/>
        <w:tabs>
          <w:tab w:val="left" w:pos="480"/>
        </w:tabs>
        <w:autoSpaceDE w:val="0"/>
        <w:autoSpaceDN w:val="0"/>
        <w:adjustRightInd w:val="0"/>
        <w:spacing w:before="0"/>
        <w:rPr>
          <w:rFonts w:cs="Arial"/>
          <w:color w:val="231F20"/>
        </w:rPr>
      </w:pPr>
    </w:p>
    <w:p w14:paraId="137CC113" w14:textId="37D2D2FF" w:rsidR="00C602FD" w:rsidRPr="00C602FD" w:rsidRDefault="00C602FD" w:rsidP="00874A98">
      <w:pPr>
        <w:keepNext w:val="0"/>
        <w:numPr>
          <w:ilvl w:val="1"/>
          <w:numId w:val="312"/>
        </w:numPr>
        <w:autoSpaceDE w:val="0"/>
        <w:autoSpaceDN w:val="0"/>
        <w:adjustRightInd w:val="0"/>
        <w:spacing w:before="0"/>
        <w:ind w:left="600"/>
        <w:rPr>
          <w:rFonts w:cs="Arial"/>
          <w:color w:val="231F20"/>
        </w:rPr>
      </w:pPr>
      <w:r w:rsidRPr="00C602FD">
        <w:rPr>
          <w:rFonts w:cs="Arial"/>
          <w:color w:val="231F20"/>
        </w:rPr>
        <w:t>The Council will consider making planning permissions subject to conditions removing some of the permitted development rights under part 1 of the Town and Country Planning (General Permitted Development) Order 1995 for development within the curtilage of a dwelling house.  For example, proposed extensions could result in a dwelling whose size exceeded what could be justified by the functional requirement, and affect the continued viability of maintaining the property for its intended use, given the income that the agricultural unit can sustain.  However, it will always be preferable for such conditions to restrict the use of specific permitted development rights rather than to be drafted in terms which withdraw all those in a Class (see paragraphs 86-90 of the Annex to DOE Circular 11/95).</w:t>
      </w:r>
    </w:p>
    <w:p w14:paraId="3407B345" w14:textId="77777777" w:rsidR="00C602FD" w:rsidRPr="00C602FD" w:rsidRDefault="00C602FD" w:rsidP="00C602FD">
      <w:pPr>
        <w:keepNext w:val="0"/>
        <w:tabs>
          <w:tab w:val="left" w:pos="480"/>
        </w:tabs>
        <w:autoSpaceDE w:val="0"/>
        <w:autoSpaceDN w:val="0"/>
        <w:adjustRightInd w:val="0"/>
        <w:spacing w:before="0"/>
        <w:rPr>
          <w:rFonts w:cs="Arial"/>
          <w:color w:val="231F20"/>
        </w:rPr>
      </w:pPr>
    </w:p>
    <w:p w14:paraId="26752ED7" w14:textId="77777777" w:rsidR="00C602FD" w:rsidRPr="00C602FD" w:rsidRDefault="00C602FD" w:rsidP="00874A98">
      <w:pPr>
        <w:keepNext w:val="0"/>
        <w:numPr>
          <w:ilvl w:val="1"/>
          <w:numId w:val="312"/>
        </w:numPr>
        <w:autoSpaceDE w:val="0"/>
        <w:autoSpaceDN w:val="0"/>
        <w:adjustRightInd w:val="0"/>
        <w:spacing w:before="0"/>
        <w:ind w:left="600"/>
        <w:rPr>
          <w:rFonts w:cs="Arial"/>
          <w:color w:val="231F20"/>
        </w:rPr>
      </w:pPr>
      <w:r w:rsidRPr="00C602FD">
        <w:rPr>
          <w:rFonts w:cs="Arial"/>
          <w:color w:val="231F20"/>
        </w:rPr>
        <w:t>Agricultural dwellings should be sited so as to meet the identified functional need and to be well-related to existing farm buildings, or other dwellings.</w:t>
      </w:r>
    </w:p>
    <w:p w14:paraId="7892C099" w14:textId="77777777" w:rsidR="00C602FD" w:rsidRPr="00C602FD" w:rsidRDefault="00C602FD" w:rsidP="00C602FD">
      <w:pPr>
        <w:keepNext w:val="0"/>
        <w:autoSpaceDE w:val="0"/>
        <w:autoSpaceDN w:val="0"/>
        <w:adjustRightInd w:val="0"/>
        <w:spacing w:before="0"/>
        <w:rPr>
          <w:rFonts w:cs="Arial"/>
          <w:b/>
          <w:bCs/>
          <w:color w:val="231F20"/>
        </w:rPr>
      </w:pPr>
    </w:p>
    <w:p w14:paraId="30F3AD43" w14:textId="77777777" w:rsidR="00C602FD" w:rsidRPr="00C602FD" w:rsidRDefault="00C602FD" w:rsidP="00C602FD">
      <w:pPr>
        <w:keepNext w:val="0"/>
        <w:autoSpaceDE w:val="0"/>
        <w:autoSpaceDN w:val="0"/>
        <w:adjustRightInd w:val="0"/>
        <w:spacing w:before="0"/>
        <w:rPr>
          <w:rFonts w:cs="Arial"/>
          <w:b/>
          <w:bCs/>
          <w:color w:val="231F20"/>
        </w:rPr>
      </w:pPr>
      <w:r w:rsidRPr="00C602FD">
        <w:rPr>
          <w:rFonts w:cs="Arial"/>
          <w:b/>
          <w:bCs/>
          <w:color w:val="231F20"/>
        </w:rPr>
        <w:t>Temporary agricultural dwellings</w:t>
      </w:r>
    </w:p>
    <w:p w14:paraId="0F4AAA9A" w14:textId="77777777" w:rsidR="00C602FD" w:rsidRPr="00C602FD" w:rsidRDefault="00C602FD" w:rsidP="00C602FD">
      <w:pPr>
        <w:keepNext w:val="0"/>
        <w:tabs>
          <w:tab w:val="left" w:pos="480"/>
        </w:tabs>
        <w:autoSpaceDE w:val="0"/>
        <w:autoSpaceDN w:val="0"/>
        <w:adjustRightInd w:val="0"/>
        <w:spacing w:before="0"/>
        <w:rPr>
          <w:rFonts w:cs="Arial"/>
          <w:color w:val="231F20"/>
        </w:rPr>
      </w:pPr>
    </w:p>
    <w:p w14:paraId="3E7F7F75" w14:textId="77777777" w:rsidR="00C602FD" w:rsidRPr="00C602FD" w:rsidRDefault="00C602FD" w:rsidP="00874A98">
      <w:pPr>
        <w:keepNext w:val="0"/>
        <w:numPr>
          <w:ilvl w:val="1"/>
          <w:numId w:val="312"/>
        </w:numPr>
        <w:autoSpaceDE w:val="0"/>
        <w:autoSpaceDN w:val="0"/>
        <w:adjustRightInd w:val="0"/>
        <w:spacing w:before="0"/>
        <w:ind w:left="600"/>
        <w:rPr>
          <w:rFonts w:cs="Arial"/>
          <w:color w:val="231F20"/>
        </w:rPr>
      </w:pPr>
      <w:r w:rsidRPr="00C602FD">
        <w:rPr>
          <w:rFonts w:cs="Arial"/>
          <w:color w:val="231F20"/>
        </w:rPr>
        <w:t>If a new dwelling is essential to support a new farming activity, whether on a newly-created agricultural unit or an established one, it should normally, for the first three years, be provided by a caravan, a wooden structure which can be easily dismantled, or other temporary accommodation.  It should satisfy the following criteria:</w:t>
      </w:r>
    </w:p>
    <w:p w14:paraId="3C49771B" w14:textId="77777777" w:rsidR="00C602FD" w:rsidRPr="00C602FD" w:rsidRDefault="00C602FD" w:rsidP="00C602FD">
      <w:pPr>
        <w:keepNext w:val="0"/>
        <w:tabs>
          <w:tab w:val="left" w:pos="480"/>
        </w:tabs>
        <w:autoSpaceDE w:val="0"/>
        <w:autoSpaceDN w:val="0"/>
        <w:adjustRightInd w:val="0"/>
        <w:spacing w:before="0"/>
        <w:ind w:left="360"/>
        <w:rPr>
          <w:rFonts w:cs="Arial"/>
          <w:color w:val="231F20"/>
        </w:rPr>
      </w:pPr>
    </w:p>
    <w:p w14:paraId="696B2B36" w14:textId="77777777" w:rsidR="00C602FD" w:rsidRPr="00C602FD" w:rsidRDefault="00C602FD" w:rsidP="00874A98">
      <w:pPr>
        <w:keepNext w:val="0"/>
        <w:numPr>
          <w:ilvl w:val="0"/>
          <w:numId w:val="316"/>
        </w:numPr>
        <w:autoSpaceDE w:val="0"/>
        <w:autoSpaceDN w:val="0"/>
        <w:adjustRightInd w:val="0"/>
        <w:spacing w:before="0" w:after="120"/>
        <w:rPr>
          <w:rFonts w:cs="Arial"/>
          <w:color w:val="231F20"/>
        </w:rPr>
      </w:pPr>
      <w:r w:rsidRPr="00C602FD">
        <w:rPr>
          <w:rFonts w:cs="Arial"/>
          <w:color w:val="231F20"/>
        </w:rPr>
        <w:t>clear evidence of a firm intention and ability to develop the enterprise concerned (significant investment in new farm buildings is often a good indication of intentions);</w:t>
      </w:r>
    </w:p>
    <w:p w14:paraId="4F659FBE" w14:textId="77777777" w:rsidR="00C602FD" w:rsidRPr="00C602FD" w:rsidRDefault="00C602FD" w:rsidP="00874A98">
      <w:pPr>
        <w:keepNext w:val="0"/>
        <w:numPr>
          <w:ilvl w:val="0"/>
          <w:numId w:val="316"/>
        </w:numPr>
        <w:autoSpaceDE w:val="0"/>
        <w:autoSpaceDN w:val="0"/>
        <w:adjustRightInd w:val="0"/>
        <w:spacing w:before="0" w:after="120"/>
        <w:rPr>
          <w:rFonts w:cs="Arial"/>
          <w:color w:val="231F20"/>
        </w:rPr>
      </w:pPr>
      <w:r w:rsidRPr="00C602FD">
        <w:rPr>
          <w:rFonts w:cs="Arial"/>
          <w:color w:val="231F20"/>
        </w:rPr>
        <w:t>functional need (see paragraph 4 of this Appendix);</w:t>
      </w:r>
    </w:p>
    <w:p w14:paraId="08AE0FCC" w14:textId="77777777" w:rsidR="00C602FD" w:rsidRPr="00C602FD" w:rsidRDefault="00C602FD" w:rsidP="00874A98">
      <w:pPr>
        <w:keepNext w:val="0"/>
        <w:numPr>
          <w:ilvl w:val="0"/>
          <w:numId w:val="316"/>
        </w:numPr>
        <w:autoSpaceDE w:val="0"/>
        <w:autoSpaceDN w:val="0"/>
        <w:adjustRightInd w:val="0"/>
        <w:spacing w:before="0" w:after="120"/>
        <w:rPr>
          <w:rFonts w:cs="Arial"/>
          <w:color w:val="231F20"/>
        </w:rPr>
      </w:pPr>
      <w:r w:rsidRPr="00C602FD">
        <w:rPr>
          <w:rFonts w:cs="Arial"/>
          <w:color w:val="231F20"/>
        </w:rPr>
        <w:t>clear evidence that the proposed enterprise has been planned on a sound financial basis;</w:t>
      </w:r>
    </w:p>
    <w:p w14:paraId="18A0BB6F" w14:textId="77777777" w:rsidR="00C602FD" w:rsidRPr="00C602FD" w:rsidRDefault="00C602FD" w:rsidP="00874A98">
      <w:pPr>
        <w:keepNext w:val="0"/>
        <w:numPr>
          <w:ilvl w:val="0"/>
          <w:numId w:val="316"/>
        </w:numPr>
        <w:autoSpaceDE w:val="0"/>
        <w:autoSpaceDN w:val="0"/>
        <w:adjustRightInd w:val="0"/>
        <w:spacing w:before="0" w:after="120"/>
        <w:rPr>
          <w:rFonts w:cs="Arial"/>
          <w:color w:val="231F20"/>
        </w:rPr>
      </w:pPr>
      <w:r w:rsidRPr="00C602FD">
        <w:rPr>
          <w:rFonts w:cs="Arial"/>
          <w:color w:val="231F20"/>
        </w:rPr>
        <w:t>the functional need could not be fulfilled by another existing dwelling on the unit, or any other existing accommodation in the area which is suitable and available for occupation by the workers concerned; and</w:t>
      </w:r>
    </w:p>
    <w:p w14:paraId="69435F3F" w14:textId="77777777" w:rsidR="00C602FD" w:rsidRPr="00C602FD" w:rsidRDefault="00C602FD" w:rsidP="00874A98">
      <w:pPr>
        <w:keepNext w:val="0"/>
        <w:numPr>
          <w:ilvl w:val="0"/>
          <w:numId w:val="316"/>
        </w:numPr>
        <w:autoSpaceDE w:val="0"/>
        <w:autoSpaceDN w:val="0"/>
        <w:adjustRightInd w:val="0"/>
        <w:spacing w:before="0" w:after="120"/>
        <w:rPr>
          <w:rFonts w:cs="Arial"/>
          <w:color w:val="231F20"/>
        </w:rPr>
      </w:pPr>
      <w:r w:rsidRPr="00C602FD">
        <w:rPr>
          <w:rFonts w:cs="Arial"/>
          <w:color w:val="231F20"/>
        </w:rPr>
        <w:t>other normal planning requirements, e.g. on siting and access, are satisfied.</w:t>
      </w:r>
    </w:p>
    <w:p w14:paraId="58A9F07E" w14:textId="77777777" w:rsidR="00C602FD" w:rsidRPr="00C602FD" w:rsidRDefault="00C602FD" w:rsidP="00C602FD">
      <w:pPr>
        <w:keepNext w:val="0"/>
        <w:tabs>
          <w:tab w:val="left" w:pos="480"/>
        </w:tabs>
        <w:autoSpaceDE w:val="0"/>
        <w:autoSpaceDN w:val="0"/>
        <w:adjustRightInd w:val="0"/>
        <w:spacing w:before="0"/>
        <w:ind w:left="360"/>
        <w:rPr>
          <w:rFonts w:cs="Arial"/>
          <w:color w:val="231F20"/>
        </w:rPr>
      </w:pPr>
    </w:p>
    <w:p w14:paraId="0A7BEE3D" w14:textId="77777777" w:rsidR="00C602FD" w:rsidRPr="00C602FD" w:rsidRDefault="00C602FD" w:rsidP="00874A98">
      <w:pPr>
        <w:keepNext w:val="0"/>
        <w:numPr>
          <w:ilvl w:val="1"/>
          <w:numId w:val="312"/>
        </w:numPr>
        <w:autoSpaceDE w:val="0"/>
        <w:autoSpaceDN w:val="0"/>
        <w:adjustRightInd w:val="0"/>
        <w:spacing w:before="0"/>
        <w:ind w:left="600"/>
        <w:rPr>
          <w:rFonts w:cs="Arial"/>
          <w:color w:val="231F20"/>
        </w:rPr>
      </w:pPr>
      <w:r w:rsidRPr="00C602FD">
        <w:rPr>
          <w:rFonts w:cs="Arial"/>
          <w:color w:val="231F20"/>
        </w:rPr>
        <w:t xml:space="preserve">If permission for temporary accommodation is granted, permission for a permanent dwelling should not subsequently be given unless the criteria in paragraph 3 above are met.  The Council will make clear the </w:t>
      </w:r>
      <w:r w:rsidRPr="00C602FD">
        <w:rPr>
          <w:rFonts w:cs="Arial"/>
          <w:color w:val="231F20"/>
        </w:rPr>
        <w:tab/>
        <w:t>period for which the temporary permission is granted, the fact that the temporary dwelling will have to be removed, and the requirements that will have to be met if a permanent permission is to be granted.  The Council not normally grant successive extensions to a temporary permission over a period of more than three years, nor should they normally give temporary permissions in locations where they would not permit a permanent dwelling.</w:t>
      </w:r>
    </w:p>
    <w:p w14:paraId="4F6F532E" w14:textId="77777777" w:rsidR="00C602FD" w:rsidRPr="00C602FD" w:rsidRDefault="00C602FD" w:rsidP="00C602FD">
      <w:pPr>
        <w:keepNext w:val="0"/>
        <w:tabs>
          <w:tab w:val="left" w:pos="480"/>
        </w:tabs>
        <w:autoSpaceDE w:val="0"/>
        <w:autoSpaceDN w:val="0"/>
        <w:adjustRightInd w:val="0"/>
        <w:spacing w:before="0"/>
        <w:ind w:left="360"/>
        <w:rPr>
          <w:rFonts w:cs="Arial"/>
          <w:color w:val="231F20"/>
        </w:rPr>
      </w:pPr>
    </w:p>
    <w:p w14:paraId="7CD6EE50" w14:textId="77777777" w:rsidR="00C602FD" w:rsidRPr="00C602FD" w:rsidRDefault="00C602FD" w:rsidP="00C602FD">
      <w:pPr>
        <w:keepNext w:val="0"/>
        <w:autoSpaceDE w:val="0"/>
        <w:autoSpaceDN w:val="0"/>
        <w:adjustRightInd w:val="0"/>
        <w:spacing w:before="0"/>
        <w:rPr>
          <w:rFonts w:cs="Arial"/>
          <w:b/>
          <w:bCs/>
          <w:color w:val="231F20"/>
        </w:rPr>
      </w:pPr>
      <w:r w:rsidRPr="00C602FD">
        <w:rPr>
          <w:rFonts w:cs="Arial"/>
          <w:b/>
          <w:bCs/>
          <w:color w:val="231F20"/>
        </w:rPr>
        <w:t>Forestry dwellings</w:t>
      </w:r>
    </w:p>
    <w:p w14:paraId="5C8174C3" w14:textId="77777777" w:rsidR="00C602FD" w:rsidRPr="00C602FD" w:rsidRDefault="00C602FD" w:rsidP="00C602FD">
      <w:pPr>
        <w:keepNext w:val="0"/>
        <w:tabs>
          <w:tab w:val="left" w:pos="480"/>
        </w:tabs>
        <w:autoSpaceDE w:val="0"/>
        <w:autoSpaceDN w:val="0"/>
        <w:adjustRightInd w:val="0"/>
        <w:spacing w:before="0"/>
        <w:ind w:left="360"/>
        <w:rPr>
          <w:rFonts w:cs="Arial"/>
          <w:color w:val="231F20"/>
        </w:rPr>
      </w:pPr>
    </w:p>
    <w:p w14:paraId="6D6946DC" w14:textId="77777777" w:rsidR="00C602FD" w:rsidRPr="00C602FD" w:rsidRDefault="00C602FD" w:rsidP="00874A98">
      <w:pPr>
        <w:keepNext w:val="0"/>
        <w:numPr>
          <w:ilvl w:val="1"/>
          <w:numId w:val="312"/>
        </w:numPr>
        <w:autoSpaceDE w:val="0"/>
        <w:autoSpaceDN w:val="0"/>
        <w:adjustRightInd w:val="0"/>
        <w:spacing w:before="0"/>
        <w:ind w:left="600"/>
        <w:rPr>
          <w:rFonts w:cs="Arial"/>
          <w:color w:val="231F20"/>
        </w:rPr>
      </w:pPr>
      <w:r w:rsidRPr="00C602FD">
        <w:rPr>
          <w:rFonts w:cs="Arial"/>
          <w:color w:val="231F20"/>
        </w:rPr>
        <w:t>The Council will apply the same criteria to applications for forestry dwellings as to those for agricultural dwellings.  The other principles in the advice on agricultural dwellings are equally relevant to forestry dwellings.  Under conventional methods of forestry management, which can involve the use of a peripatetic workforce, new forestry dwellings may not always be justified, except perhaps to service intensive nursery production of trees.</w:t>
      </w:r>
    </w:p>
    <w:p w14:paraId="2DC6A89D" w14:textId="77777777" w:rsidR="00C602FD" w:rsidRPr="00C602FD" w:rsidRDefault="00C602FD" w:rsidP="00967C7D">
      <w:pPr>
        <w:keepNext w:val="0"/>
        <w:tabs>
          <w:tab w:val="left" w:pos="480"/>
        </w:tabs>
        <w:autoSpaceDE w:val="0"/>
        <w:autoSpaceDN w:val="0"/>
        <w:adjustRightInd w:val="0"/>
        <w:spacing w:before="0"/>
        <w:rPr>
          <w:rFonts w:cs="Arial"/>
          <w:color w:val="231F20"/>
        </w:rPr>
      </w:pPr>
    </w:p>
    <w:p w14:paraId="393F601C" w14:textId="77777777" w:rsidR="00C602FD" w:rsidRPr="00C602FD" w:rsidRDefault="00C602FD" w:rsidP="00C602FD">
      <w:pPr>
        <w:keepNext w:val="0"/>
        <w:autoSpaceDE w:val="0"/>
        <w:autoSpaceDN w:val="0"/>
        <w:adjustRightInd w:val="0"/>
        <w:spacing w:before="0"/>
        <w:rPr>
          <w:rFonts w:cs="Arial"/>
          <w:b/>
          <w:bCs/>
          <w:color w:val="231F20"/>
        </w:rPr>
      </w:pPr>
      <w:r w:rsidRPr="00C602FD">
        <w:rPr>
          <w:rFonts w:cs="Arial"/>
          <w:b/>
          <w:bCs/>
          <w:color w:val="231F20"/>
        </w:rPr>
        <w:t>Other Occupational Dwellings</w:t>
      </w:r>
    </w:p>
    <w:p w14:paraId="4F56DA2D" w14:textId="77777777" w:rsidR="00C602FD" w:rsidRPr="00C602FD" w:rsidRDefault="00C602FD" w:rsidP="00C602FD">
      <w:pPr>
        <w:keepNext w:val="0"/>
        <w:tabs>
          <w:tab w:val="left" w:pos="480"/>
        </w:tabs>
        <w:autoSpaceDE w:val="0"/>
        <w:autoSpaceDN w:val="0"/>
        <w:adjustRightInd w:val="0"/>
        <w:spacing w:before="0"/>
        <w:ind w:left="360"/>
        <w:rPr>
          <w:rFonts w:cs="Arial"/>
          <w:color w:val="231F20"/>
        </w:rPr>
      </w:pPr>
    </w:p>
    <w:p w14:paraId="51FCDF8A" w14:textId="77777777" w:rsidR="00C602FD" w:rsidRPr="00C602FD" w:rsidRDefault="00C602FD" w:rsidP="00874A98">
      <w:pPr>
        <w:keepNext w:val="0"/>
        <w:numPr>
          <w:ilvl w:val="1"/>
          <w:numId w:val="312"/>
        </w:numPr>
        <w:autoSpaceDE w:val="0"/>
        <w:autoSpaceDN w:val="0"/>
        <w:adjustRightInd w:val="0"/>
        <w:spacing w:before="0"/>
        <w:ind w:left="600"/>
        <w:rPr>
          <w:rFonts w:cs="Arial"/>
          <w:color w:val="231F20"/>
        </w:rPr>
      </w:pPr>
      <w:r w:rsidRPr="00C602FD">
        <w:rPr>
          <w:rFonts w:cs="Arial"/>
          <w:color w:val="231F20"/>
        </w:rPr>
        <w:t>There may also be instances where special justification exists for new isolated dwellings associated with other rural based enterprises.  In these cases, the enterprise itself, including any development necessary for the operation of the enterprise, must be acceptable in planning terms and permitted in that rural location, regardless of the consideration of any proposed associated dwelling.  The Council will apply the same stringent levels of assessment to applications for such new occupational dwellings as they apply to applications for agricultural and forestry workers’ dwellings.  They should therefore apply the same criteria and principles in paragraphs 3-13 of this Appendix, in a manner and to the extent that they are relevant to the nature of the enterprise concerned.</w:t>
      </w:r>
    </w:p>
    <w:p w14:paraId="6D18A040" w14:textId="77777777" w:rsidR="00C602FD" w:rsidRPr="00C602FD" w:rsidRDefault="00C602FD" w:rsidP="00C602FD">
      <w:pPr>
        <w:keepNext w:val="0"/>
        <w:tabs>
          <w:tab w:val="left" w:pos="480"/>
        </w:tabs>
        <w:autoSpaceDE w:val="0"/>
        <w:autoSpaceDN w:val="0"/>
        <w:adjustRightInd w:val="0"/>
        <w:spacing w:before="0"/>
        <w:ind w:left="360"/>
        <w:rPr>
          <w:rFonts w:cs="Arial"/>
          <w:color w:val="231F20"/>
        </w:rPr>
      </w:pPr>
    </w:p>
    <w:p w14:paraId="64C89F66" w14:textId="77777777" w:rsidR="00C602FD" w:rsidRPr="00C602FD" w:rsidRDefault="00C602FD" w:rsidP="00C602FD">
      <w:pPr>
        <w:keepNext w:val="0"/>
        <w:autoSpaceDE w:val="0"/>
        <w:autoSpaceDN w:val="0"/>
        <w:adjustRightInd w:val="0"/>
        <w:spacing w:before="0"/>
        <w:rPr>
          <w:rFonts w:cs="Arial"/>
          <w:b/>
          <w:bCs/>
          <w:color w:val="231F20"/>
        </w:rPr>
      </w:pPr>
      <w:r w:rsidRPr="00C602FD">
        <w:rPr>
          <w:rFonts w:cs="Arial"/>
          <w:b/>
          <w:bCs/>
          <w:color w:val="231F20"/>
        </w:rPr>
        <w:t>Occupancy Conditions</w:t>
      </w:r>
    </w:p>
    <w:p w14:paraId="7F97F879" w14:textId="77777777" w:rsidR="00C602FD" w:rsidRPr="00C602FD" w:rsidRDefault="00C602FD" w:rsidP="00C602FD">
      <w:pPr>
        <w:keepNext w:val="0"/>
        <w:tabs>
          <w:tab w:val="left" w:pos="480"/>
        </w:tabs>
        <w:autoSpaceDE w:val="0"/>
        <w:autoSpaceDN w:val="0"/>
        <w:adjustRightInd w:val="0"/>
        <w:spacing w:before="0"/>
        <w:ind w:left="360"/>
        <w:rPr>
          <w:rFonts w:cs="Arial"/>
          <w:color w:val="231F20"/>
        </w:rPr>
      </w:pPr>
    </w:p>
    <w:p w14:paraId="042433CB" w14:textId="77777777" w:rsidR="00C602FD" w:rsidRPr="00C602FD" w:rsidRDefault="00C602FD" w:rsidP="00874A98">
      <w:pPr>
        <w:keepNext w:val="0"/>
        <w:numPr>
          <w:ilvl w:val="1"/>
          <w:numId w:val="312"/>
        </w:numPr>
        <w:autoSpaceDE w:val="0"/>
        <w:autoSpaceDN w:val="0"/>
        <w:adjustRightInd w:val="0"/>
        <w:spacing w:before="0"/>
        <w:ind w:left="600"/>
        <w:rPr>
          <w:rFonts w:cs="Arial"/>
          <w:color w:val="231F20"/>
        </w:rPr>
      </w:pPr>
      <w:r w:rsidRPr="00C602FD">
        <w:rPr>
          <w:rFonts w:cs="Arial"/>
          <w:color w:val="231F20"/>
        </w:rPr>
        <w:t xml:space="preserve">Where the need to provide accommodation to enable farm, forestry or other workers to live at or near their place of work has been accepted as providing the special justification required for new, isolated residential development in the countryside, it will be necessary to ensure that the dwellings are kept available for meeting this need for as long as it exists.  For this purpose planning permission should be made subject to appropriate occupancy conditions.  DOE Circular 11/95 gives further advice and provides model occupancy conditions for agricultural dwellings and for other staff accommodation.  </w:t>
      </w:r>
      <w:r w:rsidRPr="00C602FD">
        <w:rPr>
          <w:rFonts w:cs="Arial"/>
          <w:color w:val="auto"/>
        </w:rPr>
        <w:t xml:space="preserve">This will ensure that the dwelling is not subsequently sold on the open market and ensures that sporadic development is carefully controlled. </w:t>
      </w:r>
    </w:p>
    <w:p w14:paraId="7BE3B3B5" w14:textId="77777777" w:rsidR="00C602FD" w:rsidRPr="00C602FD" w:rsidRDefault="00C602FD" w:rsidP="00C602FD">
      <w:pPr>
        <w:keepNext w:val="0"/>
        <w:tabs>
          <w:tab w:val="left" w:pos="480"/>
        </w:tabs>
        <w:autoSpaceDE w:val="0"/>
        <w:autoSpaceDN w:val="0"/>
        <w:adjustRightInd w:val="0"/>
        <w:spacing w:before="0"/>
        <w:ind w:left="360"/>
        <w:rPr>
          <w:rFonts w:cs="Arial"/>
          <w:color w:val="231F20"/>
        </w:rPr>
      </w:pPr>
    </w:p>
    <w:p w14:paraId="69721319" w14:textId="77777777" w:rsidR="00C602FD" w:rsidRPr="00C602FD" w:rsidRDefault="00C602FD" w:rsidP="00874A98">
      <w:pPr>
        <w:keepNext w:val="0"/>
        <w:numPr>
          <w:ilvl w:val="1"/>
          <w:numId w:val="312"/>
        </w:numPr>
        <w:autoSpaceDE w:val="0"/>
        <w:autoSpaceDN w:val="0"/>
        <w:adjustRightInd w:val="0"/>
        <w:spacing w:before="0"/>
        <w:ind w:left="600"/>
        <w:rPr>
          <w:rFonts w:cs="Arial"/>
          <w:color w:val="231F20"/>
        </w:rPr>
      </w:pPr>
      <w:r w:rsidRPr="00C602FD">
        <w:rPr>
          <w:rFonts w:cs="Arial"/>
          <w:color w:val="auto"/>
        </w:rPr>
        <w:t xml:space="preserve">It will also be necessary to impose an occupancy condition on the existing dwelling where there is an established case for two or more full time workers on a </w:t>
      </w:r>
      <w:r w:rsidRPr="00C602FD">
        <w:rPr>
          <w:rFonts w:cs="Arial"/>
          <w:color w:val="231F20"/>
        </w:rPr>
        <w:t>unit</w:t>
      </w:r>
      <w:r w:rsidRPr="00C602FD">
        <w:rPr>
          <w:rFonts w:cs="Arial"/>
          <w:color w:val="auto"/>
        </w:rPr>
        <w:t>.  Where the existing dwelling does not form part of the planning application then an occupancy condition will be negotiated as part of a legal agreement.</w:t>
      </w:r>
    </w:p>
    <w:p w14:paraId="58539919" w14:textId="77777777" w:rsidR="00C602FD" w:rsidRPr="00C602FD" w:rsidRDefault="00C602FD" w:rsidP="00C602FD">
      <w:pPr>
        <w:keepNext w:val="0"/>
        <w:tabs>
          <w:tab w:val="left" w:pos="480"/>
        </w:tabs>
        <w:autoSpaceDE w:val="0"/>
        <w:autoSpaceDN w:val="0"/>
        <w:adjustRightInd w:val="0"/>
        <w:spacing w:before="0"/>
        <w:rPr>
          <w:rFonts w:cs="Arial"/>
          <w:color w:val="231F20"/>
        </w:rPr>
      </w:pPr>
    </w:p>
    <w:p w14:paraId="1A2526F5" w14:textId="77777777" w:rsidR="00C602FD" w:rsidRPr="00C602FD" w:rsidRDefault="00C602FD" w:rsidP="00874A98">
      <w:pPr>
        <w:keepNext w:val="0"/>
        <w:numPr>
          <w:ilvl w:val="1"/>
          <w:numId w:val="312"/>
        </w:numPr>
        <w:autoSpaceDE w:val="0"/>
        <w:autoSpaceDN w:val="0"/>
        <w:adjustRightInd w:val="0"/>
        <w:spacing w:before="0"/>
        <w:ind w:left="600"/>
        <w:rPr>
          <w:rFonts w:cs="Arial"/>
          <w:color w:val="231F20"/>
        </w:rPr>
      </w:pPr>
      <w:r w:rsidRPr="00C602FD">
        <w:rPr>
          <w:rFonts w:cs="Arial"/>
          <w:color w:val="231F20"/>
        </w:rPr>
        <w:t>Changes in the scale and character of farming and forestry may affect the longer-term requirement for dwellings for which permission has been granted subject to an agricultural or forestry occupancy condition.  Such dwellings, and others in the countryside with an occupancy condition attached, should not be kept vacant, nor should their present occupants be unnecessarily obliged to remain in occupation simply by virtue of planning conditions restricting occupancy which have outlived their usefulness.  However, in</w:t>
      </w:r>
      <w:r w:rsidRPr="00C602FD">
        <w:rPr>
          <w:rFonts w:cs="Arial"/>
          <w:color w:val="auto"/>
        </w:rPr>
        <w:t xml:space="preserve"> order to justify the removal of an occupancy condition the applicant must:</w:t>
      </w:r>
    </w:p>
    <w:p w14:paraId="1E543470" w14:textId="77777777" w:rsidR="00C602FD" w:rsidRPr="00C602FD" w:rsidRDefault="00C602FD" w:rsidP="00C602FD">
      <w:pPr>
        <w:keepNext w:val="0"/>
        <w:autoSpaceDE w:val="0"/>
        <w:autoSpaceDN w:val="0"/>
        <w:adjustRightInd w:val="0"/>
        <w:spacing w:before="0"/>
        <w:rPr>
          <w:rFonts w:cs="Arial"/>
          <w:color w:val="auto"/>
          <w:sz w:val="16"/>
        </w:rPr>
      </w:pPr>
      <w:r w:rsidRPr="00C602FD">
        <w:rPr>
          <w:rFonts w:cs="Arial"/>
          <w:color w:val="231F20"/>
        </w:rPr>
        <w:tab/>
      </w:r>
    </w:p>
    <w:p w14:paraId="1F6C5F57" w14:textId="77777777" w:rsidR="00C602FD" w:rsidRPr="00C602FD" w:rsidRDefault="00C602FD" w:rsidP="00874A98">
      <w:pPr>
        <w:keepNext w:val="0"/>
        <w:numPr>
          <w:ilvl w:val="0"/>
          <w:numId w:val="313"/>
        </w:numPr>
        <w:tabs>
          <w:tab w:val="num" w:pos="1200"/>
        </w:tabs>
        <w:autoSpaceDE w:val="0"/>
        <w:autoSpaceDN w:val="0"/>
        <w:adjustRightInd w:val="0"/>
        <w:spacing w:before="0" w:after="120"/>
        <w:ind w:left="1196" w:hanging="238"/>
        <w:rPr>
          <w:rFonts w:cs="Arial"/>
          <w:color w:val="auto"/>
        </w:rPr>
      </w:pPr>
      <w:r w:rsidRPr="00C602FD">
        <w:rPr>
          <w:rFonts w:cs="Arial"/>
          <w:color w:val="auto"/>
        </w:rPr>
        <w:t xml:space="preserve">outline the changes which have occurred since the granting of </w:t>
      </w:r>
      <w:r w:rsidRPr="00C602FD">
        <w:rPr>
          <w:rFonts w:cs="Arial"/>
          <w:color w:val="auto"/>
        </w:rPr>
        <w:tab/>
        <w:t>the original permission; a minimum time period of 10 years since the granting of the original permission must have elapsed before an application to remove an occupancy condition will be considered;</w:t>
      </w:r>
    </w:p>
    <w:p w14:paraId="1B925E5B" w14:textId="77777777" w:rsidR="00C602FD" w:rsidRPr="00C602FD" w:rsidRDefault="00C602FD" w:rsidP="00874A98">
      <w:pPr>
        <w:keepNext w:val="0"/>
        <w:numPr>
          <w:ilvl w:val="0"/>
          <w:numId w:val="313"/>
        </w:numPr>
        <w:tabs>
          <w:tab w:val="num" w:pos="1200"/>
        </w:tabs>
        <w:autoSpaceDE w:val="0"/>
        <w:autoSpaceDN w:val="0"/>
        <w:adjustRightInd w:val="0"/>
        <w:spacing w:before="0" w:after="120"/>
        <w:ind w:left="1196" w:hanging="238"/>
        <w:rPr>
          <w:rFonts w:cs="Arial"/>
          <w:color w:val="auto"/>
        </w:rPr>
      </w:pPr>
      <w:r w:rsidRPr="00C602FD">
        <w:rPr>
          <w:rFonts w:cs="Arial"/>
          <w:color w:val="auto"/>
        </w:rPr>
        <w:t xml:space="preserve">demonstrate that there is no longer a need for an agricultural/forestry worker’s dwelling on the unit/enterprise or in the area; </w:t>
      </w:r>
    </w:p>
    <w:p w14:paraId="593A830D" w14:textId="2DF55502" w:rsidR="00C602FD" w:rsidRPr="00C602FD" w:rsidRDefault="00C602FD" w:rsidP="00874A98">
      <w:pPr>
        <w:keepNext w:val="0"/>
        <w:numPr>
          <w:ilvl w:val="0"/>
          <w:numId w:val="313"/>
        </w:numPr>
        <w:tabs>
          <w:tab w:val="num" w:pos="1200"/>
        </w:tabs>
        <w:autoSpaceDE w:val="0"/>
        <w:autoSpaceDN w:val="0"/>
        <w:adjustRightInd w:val="0"/>
        <w:spacing w:before="0" w:after="120"/>
        <w:ind w:left="1196" w:hanging="238"/>
        <w:rPr>
          <w:rFonts w:cs="Arial"/>
          <w:color w:val="auto"/>
        </w:rPr>
      </w:pPr>
      <w:r w:rsidRPr="00C602FD">
        <w:rPr>
          <w:rFonts w:cs="Arial"/>
          <w:color w:val="auto"/>
        </w:rPr>
        <w:t>provide documentary evidence to show that an attempt has been made to let or sell the property at a realistic price (less than full market value) for at least one year with the occupancy condition.</w:t>
      </w:r>
    </w:p>
    <w:p w14:paraId="34C27A31" w14:textId="7D7E239A" w:rsidR="00C602FD" w:rsidRDefault="00C602FD" w:rsidP="00C602FD">
      <w:pPr>
        <w:keepNext w:val="0"/>
        <w:autoSpaceDE w:val="0"/>
        <w:autoSpaceDN w:val="0"/>
        <w:adjustRightInd w:val="0"/>
        <w:spacing w:before="0"/>
        <w:rPr>
          <w:rFonts w:cs="Arial"/>
          <w:b/>
          <w:bCs/>
          <w:color w:val="auto"/>
        </w:rPr>
      </w:pPr>
      <w:r w:rsidRPr="00C602FD">
        <w:rPr>
          <w:rFonts w:cs="Arial"/>
          <w:b/>
          <w:bCs/>
          <w:color w:val="auto"/>
        </w:rPr>
        <w:tab/>
      </w:r>
    </w:p>
    <w:p w14:paraId="23D675EE" w14:textId="77777777" w:rsidR="00C602FD" w:rsidRPr="00C602FD" w:rsidRDefault="00C602FD" w:rsidP="00C602FD">
      <w:pPr>
        <w:keepNext w:val="0"/>
        <w:autoSpaceDE w:val="0"/>
        <w:autoSpaceDN w:val="0"/>
        <w:adjustRightInd w:val="0"/>
        <w:spacing w:before="0"/>
        <w:rPr>
          <w:rFonts w:cs="Arial"/>
          <w:b/>
          <w:bCs/>
          <w:color w:val="auto"/>
        </w:rPr>
      </w:pPr>
      <w:r w:rsidRPr="00C602FD">
        <w:rPr>
          <w:rFonts w:cs="Arial"/>
          <w:b/>
          <w:bCs/>
          <w:color w:val="auto"/>
        </w:rPr>
        <w:tab/>
        <w:t>Note:</w:t>
      </w:r>
    </w:p>
    <w:p w14:paraId="7576F3EA" w14:textId="77777777" w:rsidR="00C602FD" w:rsidRPr="00C602FD" w:rsidRDefault="00C602FD" w:rsidP="00C602FD">
      <w:pPr>
        <w:keepNext w:val="0"/>
        <w:autoSpaceDE w:val="0"/>
        <w:autoSpaceDN w:val="0"/>
        <w:adjustRightInd w:val="0"/>
        <w:spacing w:before="0"/>
        <w:rPr>
          <w:rFonts w:cs="Arial"/>
          <w:b/>
          <w:bCs/>
          <w:color w:val="auto"/>
          <w:sz w:val="12"/>
        </w:rPr>
      </w:pPr>
    </w:p>
    <w:p w14:paraId="6F784AA5" w14:textId="77777777" w:rsidR="00C602FD" w:rsidRPr="00C602FD" w:rsidRDefault="00C602FD" w:rsidP="00874A98">
      <w:pPr>
        <w:keepNext w:val="0"/>
        <w:numPr>
          <w:ilvl w:val="1"/>
          <w:numId w:val="313"/>
        </w:numPr>
        <w:tabs>
          <w:tab w:val="num" w:pos="1276"/>
        </w:tabs>
        <w:autoSpaceDE w:val="0"/>
        <w:autoSpaceDN w:val="0"/>
        <w:adjustRightInd w:val="0"/>
        <w:spacing w:before="0" w:after="120"/>
        <w:ind w:left="1276" w:hanging="425"/>
        <w:rPr>
          <w:rFonts w:cs="Arial"/>
          <w:color w:val="231F20"/>
        </w:rPr>
      </w:pPr>
      <w:r w:rsidRPr="00C602FD">
        <w:rPr>
          <w:rFonts w:cs="Arial"/>
          <w:color w:val="auto"/>
        </w:rPr>
        <w:t>The argument that the dwelling is not suitable for an agricultural worker i.e. too large and expensive will not be considered as a relevant issue.</w:t>
      </w:r>
    </w:p>
    <w:p w14:paraId="74D498D8" w14:textId="77777777" w:rsidR="00C602FD" w:rsidRPr="00C602FD" w:rsidRDefault="00C602FD" w:rsidP="00874A98">
      <w:pPr>
        <w:keepNext w:val="0"/>
        <w:numPr>
          <w:ilvl w:val="1"/>
          <w:numId w:val="313"/>
        </w:numPr>
        <w:tabs>
          <w:tab w:val="num" w:pos="1276"/>
        </w:tabs>
        <w:autoSpaceDE w:val="0"/>
        <w:autoSpaceDN w:val="0"/>
        <w:adjustRightInd w:val="0"/>
        <w:spacing w:before="0" w:after="120"/>
        <w:ind w:left="1276" w:hanging="425"/>
        <w:rPr>
          <w:rFonts w:cs="Arial"/>
          <w:color w:val="231F20"/>
        </w:rPr>
      </w:pPr>
      <w:r w:rsidRPr="00C602FD">
        <w:rPr>
          <w:rFonts w:cs="Arial"/>
          <w:color w:val="auto"/>
        </w:rPr>
        <w:t>In addition personal circumstances will not be relevant as it is the needs of the holding and not the individual which must be the overriding issue.</w:t>
      </w:r>
    </w:p>
    <w:p w14:paraId="1AF88EE2" w14:textId="77777777" w:rsidR="00C602FD" w:rsidRPr="00C602FD" w:rsidRDefault="00C602FD" w:rsidP="00C602FD">
      <w:pPr>
        <w:keepNext w:val="0"/>
        <w:autoSpaceDE w:val="0"/>
        <w:autoSpaceDN w:val="0"/>
        <w:adjustRightInd w:val="0"/>
        <w:spacing w:before="0"/>
        <w:jc w:val="both"/>
        <w:rPr>
          <w:rFonts w:cs="Arial"/>
          <w:b/>
          <w:bCs/>
          <w:color w:val="auto"/>
        </w:rPr>
      </w:pPr>
    </w:p>
    <w:p w14:paraId="0D80DB86" w14:textId="427BFF8B" w:rsidR="00C602FD" w:rsidRDefault="00C602FD" w:rsidP="00364726">
      <w:pPr>
        <w:pStyle w:val="Heading1"/>
      </w:pPr>
      <w:bookmarkStart w:id="329" w:name="_Toc145511628"/>
      <w:r w:rsidRPr="00C602FD">
        <w:t>Appendix 6 - Policy EV4: Green Infrastructure, Biodiversity and Geo</w:t>
      </w:r>
      <w:r w:rsidR="00F100ED">
        <w:t>diversity</w:t>
      </w:r>
      <w:r w:rsidRPr="00C602FD">
        <w:t xml:space="preserve"> Sites</w:t>
      </w:r>
      <w:bookmarkEnd w:id="329"/>
    </w:p>
    <w:p w14:paraId="1A7CD80F" w14:textId="77777777" w:rsidR="00614ECC" w:rsidRDefault="00614ECC" w:rsidP="00C602FD">
      <w:pPr>
        <w:keepNext w:val="0"/>
        <w:autoSpaceDE w:val="0"/>
        <w:autoSpaceDN w:val="0"/>
        <w:adjustRightInd w:val="0"/>
        <w:spacing w:before="0"/>
        <w:rPr>
          <w:rFonts w:cs="Arial"/>
          <w:b/>
          <w:bCs/>
          <w:color w:val="auto"/>
          <w:szCs w:val="24"/>
        </w:rPr>
      </w:pPr>
    </w:p>
    <w:p w14:paraId="28824335" w14:textId="76FB1C62" w:rsidR="00B5314A" w:rsidRPr="00C602FD" w:rsidRDefault="00B5314A" w:rsidP="00C602FD">
      <w:pPr>
        <w:keepNext w:val="0"/>
        <w:autoSpaceDE w:val="0"/>
        <w:autoSpaceDN w:val="0"/>
        <w:adjustRightInd w:val="0"/>
        <w:spacing w:before="0"/>
        <w:rPr>
          <w:rFonts w:cs="Arial"/>
          <w:b/>
          <w:bCs/>
          <w:szCs w:val="24"/>
        </w:rPr>
      </w:pPr>
      <w:r w:rsidRPr="00C602FD">
        <w:rPr>
          <w:rFonts w:cs="Arial"/>
          <w:b/>
          <w:bCs/>
          <w:color w:val="auto"/>
          <w:szCs w:val="24"/>
        </w:rPr>
        <w:t>Site of Special Scientific Interest (SSSI)</w:t>
      </w:r>
      <w:r>
        <w:rPr>
          <w:rFonts w:cs="Arial"/>
          <w:b/>
          <w:bCs/>
          <w:color w:val="auto"/>
          <w:szCs w:val="24"/>
        </w:rPr>
        <w:br/>
      </w:r>
    </w:p>
    <w:tbl>
      <w:tblPr>
        <w:tblStyle w:val="TableGrid3"/>
        <w:tblW w:w="9696" w:type="dxa"/>
        <w:tblLook w:val="0020" w:firstRow="1" w:lastRow="0" w:firstColumn="0" w:lastColumn="0" w:noHBand="0" w:noVBand="0"/>
      </w:tblPr>
      <w:tblGrid>
        <w:gridCol w:w="992"/>
        <w:gridCol w:w="2325"/>
        <w:gridCol w:w="4822"/>
        <w:gridCol w:w="1557"/>
      </w:tblGrid>
      <w:tr w:rsidR="00B5314A" w:rsidRPr="00C602FD" w14:paraId="0A1C3C0E" w14:textId="77777777" w:rsidTr="006B75FA">
        <w:trPr>
          <w:trHeight w:val="255"/>
        </w:trPr>
        <w:tc>
          <w:tcPr>
            <w:tcW w:w="992" w:type="dxa"/>
            <w:noWrap/>
          </w:tcPr>
          <w:p w14:paraId="4BFE5D36" w14:textId="77777777" w:rsidR="00B5314A" w:rsidRPr="00C602FD" w:rsidRDefault="00B5314A" w:rsidP="009353B1">
            <w:pPr>
              <w:keepNext w:val="0"/>
              <w:spacing w:before="0"/>
              <w:rPr>
                <w:rFonts w:ascii="Calibri" w:hAnsi="Calibri" w:cs="Arial"/>
                <w:b/>
                <w:bCs/>
                <w:color w:val="000000"/>
              </w:rPr>
            </w:pPr>
            <w:r w:rsidRPr="00C602FD">
              <w:rPr>
                <w:rFonts w:ascii="Calibri" w:hAnsi="Calibri" w:cs="Arial"/>
                <w:b/>
                <w:bCs/>
                <w:color w:val="000000"/>
              </w:rPr>
              <w:t>Plan Ref.</w:t>
            </w:r>
          </w:p>
        </w:tc>
        <w:tc>
          <w:tcPr>
            <w:tcW w:w="2325" w:type="dxa"/>
            <w:noWrap/>
          </w:tcPr>
          <w:p w14:paraId="784AC7DE" w14:textId="77777777" w:rsidR="00B5314A" w:rsidRPr="00C602FD" w:rsidRDefault="00B5314A" w:rsidP="009353B1">
            <w:pPr>
              <w:keepNext w:val="0"/>
              <w:spacing w:before="0"/>
              <w:rPr>
                <w:rFonts w:ascii="Calibri" w:hAnsi="Calibri" w:cs="Arial"/>
                <w:b/>
                <w:bCs/>
                <w:color w:val="000000"/>
              </w:rPr>
            </w:pPr>
            <w:r w:rsidRPr="00C602FD">
              <w:rPr>
                <w:rFonts w:ascii="Calibri" w:hAnsi="Calibri" w:cs="Arial"/>
                <w:b/>
                <w:bCs/>
                <w:color w:val="000000"/>
              </w:rPr>
              <w:t>Site Name</w:t>
            </w:r>
          </w:p>
        </w:tc>
        <w:tc>
          <w:tcPr>
            <w:tcW w:w="4822" w:type="dxa"/>
            <w:noWrap/>
          </w:tcPr>
          <w:p w14:paraId="67E27506" w14:textId="77777777" w:rsidR="00B5314A" w:rsidRPr="00C602FD" w:rsidRDefault="00B5314A" w:rsidP="009353B1">
            <w:pPr>
              <w:keepNext w:val="0"/>
              <w:spacing w:before="0"/>
              <w:rPr>
                <w:rFonts w:ascii="Calibri" w:hAnsi="Calibri" w:cs="Arial"/>
                <w:b/>
                <w:bCs/>
                <w:color w:val="000000"/>
              </w:rPr>
            </w:pPr>
            <w:r w:rsidRPr="00C602FD">
              <w:rPr>
                <w:rFonts w:ascii="Calibri" w:hAnsi="Calibri" w:cs="Arial"/>
                <w:b/>
                <w:bCs/>
                <w:color w:val="000000"/>
              </w:rPr>
              <w:t>Description</w:t>
            </w:r>
          </w:p>
        </w:tc>
        <w:tc>
          <w:tcPr>
            <w:tcW w:w="1557" w:type="dxa"/>
            <w:tcBorders>
              <w:bottom w:val="single" w:sz="4" w:space="0" w:color="auto"/>
            </w:tcBorders>
          </w:tcPr>
          <w:p w14:paraId="75B05E3D" w14:textId="50BD99C6" w:rsidR="00B5314A" w:rsidRPr="00C602FD" w:rsidRDefault="006B75FA" w:rsidP="009353B1">
            <w:pPr>
              <w:keepNext w:val="0"/>
              <w:spacing w:before="0"/>
              <w:rPr>
                <w:rFonts w:ascii="Calibri" w:hAnsi="Calibri" w:cs="Arial"/>
                <w:b/>
                <w:bCs/>
                <w:color w:val="000000"/>
              </w:rPr>
            </w:pPr>
            <w:r>
              <w:rPr>
                <w:rFonts w:ascii="Calibri" w:hAnsi="Calibri" w:cs="Arial"/>
                <w:b/>
                <w:bCs/>
                <w:color w:val="000000"/>
              </w:rPr>
              <w:t>Ward</w:t>
            </w:r>
          </w:p>
        </w:tc>
      </w:tr>
      <w:tr w:rsidR="006B75FA" w:rsidRPr="00C602FD" w14:paraId="65E8E47B" w14:textId="77777777" w:rsidTr="000663FF">
        <w:trPr>
          <w:trHeight w:val="255"/>
        </w:trPr>
        <w:tc>
          <w:tcPr>
            <w:tcW w:w="992" w:type="dxa"/>
          </w:tcPr>
          <w:p w14:paraId="6BB54A2A" w14:textId="0AADEF19" w:rsidR="006B75FA" w:rsidRPr="00C602FD" w:rsidRDefault="006B75FA" w:rsidP="006B75FA">
            <w:pPr>
              <w:keepNext w:val="0"/>
              <w:spacing w:before="0"/>
              <w:rPr>
                <w:rFonts w:ascii="Calibri" w:hAnsi="Calibri" w:cs="Arial"/>
                <w:color w:val="000000"/>
                <w:sz w:val="22"/>
              </w:rPr>
            </w:pPr>
            <w:r>
              <w:rPr>
                <w:rFonts w:ascii="Calibri" w:hAnsi="Calibri" w:cs="Arial"/>
                <w:color w:val="000000"/>
                <w:sz w:val="22"/>
              </w:rPr>
              <w:t>EV4sa</w:t>
            </w:r>
          </w:p>
        </w:tc>
        <w:tc>
          <w:tcPr>
            <w:tcW w:w="2325" w:type="dxa"/>
          </w:tcPr>
          <w:p w14:paraId="24EB1A21" w14:textId="66965EFB" w:rsidR="006B75FA" w:rsidRPr="00C602FD" w:rsidRDefault="006B75FA" w:rsidP="006B75FA">
            <w:pPr>
              <w:keepNext w:val="0"/>
              <w:spacing w:before="0"/>
              <w:rPr>
                <w:rFonts w:ascii="Calibri" w:hAnsi="Calibri" w:cs="Arial"/>
                <w:color w:val="000000"/>
                <w:sz w:val="22"/>
              </w:rPr>
            </w:pPr>
            <w:r w:rsidRPr="00C602FD">
              <w:rPr>
                <w:rFonts w:ascii="Calibri" w:hAnsi="Calibri" w:cs="Arial"/>
                <w:color w:val="000000"/>
                <w:sz w:val="22"/>
              </w:rPr>
              <w:t>Annesley Woodhouse Quarries</w:t>
            </w:r>
          </w:p>
        </w:tc>
        <w:tc>
          <w:tcPr>
            <w:tcW w:w="4822" w:type="dxa"/>
            <w:noWrap/>
          </w:tcPr>
          <w:p w14:paraId="6A563AFA" w14:textId="31C6A8CA" w:rsidR="006B75FA" w:rsidRPr="00C602FD" w:rsidRDefault="006B75FA" w:rsidP="006B75FA">
            <w:pPr>
              <w:keepNext w:val="0"/>
              <w:spacing w:before="0"/>
              <w:jc w:val="left"/>
              <w:rPr>
                <w:rFonts w:ascii="Calibri" w:hAnsi="Calibri" w:cs="Arial"/>
                <w:color w:val="000000"/>
              </w:rPr>
            </w:pPr>
            <w:r w:rsidRPr="00C602FD">
              <w:rPr>
                <w:rFonts w:ascii="Calibri" w:hAnsi="Calibri" w:cs="Arial"/>
                <w:color w:val="000000"/>
                <w:sz w:val="22"/>
              </w:rPr>
              <w:t>An excellent Magnesian Limestone grassland.</w:t>
            </w:r>
          </w:p>
        </w:tc>
        <w:tc>
          <w:tcPr>
            <w:tcW w:w="1557" w:type="dxa"/>
            <w:tcBorders>
              <w:top w:val="single" w:sz="4" w:space="0" w:color="auto"/>
              <w:left w:val="nil"/>
              <w:bottom w:val="single" w:sz="4" w:space="0" w:color="auto"/>
              <w:right w:val="single" w:sz="4" w:space="0" w:color="auto"/>
            </w:tcBorders>
            <w:shd w:val="clear" w:color="auto" w:fill="auto"/>
          </w:tcPr>
          <w:p w14:paraId="0921849B" w14:textId="3D2FB0F0" w:rsidR="006B75FA" w:rsidRPr="00C602FD" w:rsidRDefault="006B75FA" w:rsidP="00E16AB7">
            <w:pPr>
              <w:keepNext w:val="0"/>
              <w:spacing w:before="0"/>
              <w:jc w:val="left"/>
              <w:rPr>
                <w:rFonts w:ascii="Calibri" w:hAnsi="Calibri" w:cs="Arial"/>
                <w:color w:val="000000"/>
              </w:rPr>
            </w:pPr>
            <w:r>
              <w:rPr>
                <w:rFonts w:ascii="Calibri" w:hAnsi="Calibri" w:cs="Calibri"/>
                <w:color w:val="000000"/>
                <w:sz w:val="22"/>
              </w:rPr>
              <w:t>Annesley &amp; Kirkby Woodhouse</w:t>
            </w:r>
          </w:p>
        </w:tc>
      </w:tr>
      <w:tr w:rsidR="006B75FA" w:rsidRPr="00C602FD" w14:paraId="00A001C2" w14:textId="77777777" w:rsidTr="000663FF">
        <w:trPr>
          <w:trHeight w:val="233"/>
        </w:trPr>
        <w:tc>
          <w:tcPr>
            <w:tcW w:w="992" w:type="dxa"/>
          </w:tcPr>
          <w:p w14:paraId="78389C28" w14:textId="7D8156D3" w:rsidR="006B75FA" w:rsidRPr="00C602FD" w:rsidRDefault="006B75FA" w:rsidP="006B75FA">
            <w:pPr>
              <w:keepNext w:val="0"/>
              <w:spacing w:before="0"/>
              <w:rPr>
                <w:rFonts w:ascii="Calibri" w:hAnsi="Calibri" w:cs="Arial"/>
                <w:color w:val="000000"/>
                <w:sz w:val="22"/>
              </w:rPr>
            </w:pPr>
            <w:r w:rsidRPr="00C602FD">
              <w:rPr>
                <w:rFonts w:ascii="Calibri" w:hAnsi="Calibri" w:cs="Arial"/>
                <w:color w:val="000000"/>
                <w:sz w:val="22"/>
              </w:rPr>
              <w:t>EV4s</w:t>
            </w:r>
            <w:r>
              <w:rPr>
                <w:rFonts w:ascii="Calibri" w:hAnsi="Calibri" w:cs="Arial"/>
                <w:color w:val="000000"/>
                <w:sz w:val="22"/>
              </w:rPr>
              <w:t>b</w:t>
            </w:r>
          </w:p>
        </w:tc>
        <w:tc>
          <w:tcPr>
            <w:tcW w:w="2325" w:type="dxa"/>
          </w:tcPr>
          <w:p w14:paraId="2ECB97C7" w14:textId="11D208C6" w:rsidR="00614ECC" w:rsidRPr="00C602FD" w:rsidRDefault="006B75FA" w:rsidP="00E14543">
            <w:pPr>
              <w:keepNext w:val="0"/>
              <w:spacing w:before="0"/>
              <w:rPr>
                <w:rFonts w:ascii="Calibri" w:hAnsi="Calibri" w:cs="Arial"/>
                <w:color w:val="000000"/>
                <w:sz w:val="22"/>
              </w:rPr>
            </w:pPr>
            <w:r w:rsidRPr="00C602FD">
              <w:rPr>
                <w:rFonts w:ascii="Calibri" w:hAnsi="Calibri" w:cs="Arial"/>
                <w:color w:val="000000"/>
                <w:sz w:val="22"/>
              </w:rPr>
              <w:t>Bagthorpe Meadows</w:t>
            </w:r>
          </w:p>
        </w:tc>
        <w:tc>
          <w:tcPr>
            <w:tcW w:w="4822" w:type="dxa"/>
            <w:noWrap/>
          </w:tcPr>
          <w:p w14:paraId="538A80D6" w14:textId="77777777" w:rsidR="006B75FA" w:rsidRPr="00C602FD" w:rsidRDefault="006B75FA" w:rsidP="006B75FA">
            <w:pPr>
              <w:keepNext w:val="0"/>
              <w:spacing w:before="0"/>
              <w:jc w:val="left"/>
              <w:rPr>
                <w:rFonts w:ascii="Calibri" w:hAnsi="Calibri" w:cs="Arial"/>
                <w:color w:val="000000"/>
              </w:rPr>
            </w:pPr>
            <w:r w:rsidRPr="00C602FD">
              <w:rPr>
                <w:rFonts w:ascii="Calibri" w:hAnsi="Calibri" w:cs="Arial"/>
                <w:color w:val="000000"/>
              </w:rPr>
              <w:t>Lowland acid and neutral grassland.</w:t>
            </w:r>
          </w:p>
        </w:tc>
        <w:tc>
          <w:tcPr>
            <w:tcW w:w="1557" w:type="dxa"/>
            <w:tcBorders>
              <w:top w:val="single" w:sz="4" w:space="0" w:color="auto"/>
              <w:left w:val="nil"/>
              <w:bottom w:val="single" w:sz="4" w:space="0" w:color="auto"/>
              <w:right w:val="single" w:sz="4" w:space="0" w:color="auto"/>
            </w:tcBorders>
            <w:shd w:val="clear" w:color="auto" w:fill="auto"/>
          </w:tcPr>
          <w:p w14:paraId="037D7FE4" w14:textId="12827BA8" w:rsidR="006B75FA" w:rsidRPr="00C602FD" w:rsidRDefault="00E14543" w:rsidP="00E16AB7">
            <w:pPr>
              <w:keepNext w:val="0"/>
              <w:spacing w:before="0"/>
              <w:jc w:val="left"/>
              <w:rPr>
                <w:rFonts w:ascii="Calibri" w:hAnsi="Calibri" w:cs="Arial"/>
                <w:color w:val="000000"/>
              </w:rPr>
            </w:pPr>
            <w:r>
              <w:rPr>
                <w:rFonts w:ascii="Calibri" w:hAnsi="Calibri" w:cs="Calibri"/>
                <w:color w:val="000000"/>
                <w:sz w:val="22"/>
              </w:rPr>
              <w:t>U</w:t>
            </w:r>
            <w:r w:rsidR="006B75FA">
              <w:rPr>
                <w:rFonts w:ascii="Calibri" w:hAnsi="Calibri" w:cs="Calibri"/>
                <w:color w:val="000000"/>
                <w:sz w:val="22"/>
              </w:rPr>
              <w:t>nderwood</w:t>
            </w:r>
          </w:p>
        </w:tc>
      </w:tr>
      <w:tr w:rsidR="006B75FA" w:rsidRPr="00C602FD" w14:paraId="751481DE" w14:textId="77777777" w:rsidTr="000663FF">
        <w:trPr>
          <w:trHeight w:val="255"/>
        </w:trPr>
        <w:tc>
          <w:tcPr>
            <w:tcW w:w="992" w:type="dxa"/>
          </w:tcPr>
          <w:p w14:paraId="15701E3C" w14:textId="337A2C8E" w:rsidR="006B75FA" w:rsidRPr="00C602FD" w:rsidRDefault="006B75FA" w:rsidP="006B75FA">
            <w:pPr>
              <w:keepNext w:val="0"/>
              <w:spacing w:before="0"/>
              <w:rPr>
                <w:rFonts w:ascii="Calibri" w:hAnsi="Calibri" w:cs="Arial"/>
                <w:color w:val="000000"/>
                <w:sz w:val="22"/>
              </w:rPr>
            </w:pPr>
            <w:r w:rsidRPr="00C602FD">
              <w:rPr>
                <w:rFonts w:ascii="Calibri" w:hAnsi="Calibri" w:cs="Arial"/>
                <w:color w:val="000000"/>
                <w:sz w:val="22"/>
              </w:rPr>
              <w:t>EV4s</w:t>
            </w:r>
            <w:r>
              <w:rPr>
                <w:rFonts w:ascii="Calibri" w:hAnsi="Calibri" w:cs="Arial"/>
                <w:color w:val="000000"/>
                <w:sz w:val="22"/>
              </w:rPr>
              <w:t>c</w:t>
            </w:r>
          </w:p>
        </w:tc>
        <w:tc>
          <w:tcPr>
            <w:tcW w:w="2325" w:type="dxa"/>
          </w:tcPr>
          <w:p w14:paraId="0944A477" w14:textId="77777777" w:rsidR="006B75FA" w:rsidRPr="00C602FD" w:rsidRDefault="006B75FA" w:rsidP="006B75FA">
            <w:pPr>
              <w:keepNext w:val="0"/>
              <w:spacing w:before="0"/>
              <w:rPr>
                <w:rFonts w:ascii="Calibri" w:hAnsi="Calibri" w:cs="Arial"/>
                <w:color w:val="000000"/>
                <w:sz w:val="22"/>
              </w:rPr>
            </w:pPr>
            <w:r w:rsidRPr="00C602FD">
              <w:rPr>
                <w:rFonts w:ascii="Calibri" w:hAnsi="Calibri" w:cs="Arial"/>
                <w:color w:val="000000"/>
                <w:sz w:val="22"/>
              </w:rPr>
              <w:t>Bogs Farm Quarry</w:t>
            </w:r>
          </w:p>
        </w:tc>
        <w:tc>
          <w:tcPr>
            <w:tcW w:w="4822" w:type="dxa"/>
            <w:noWrap/>
          </w:tcPr>
          <w:p w14:paraId="29661ED8" w14:textId="77777777" w:rsidR="006B75FA" w:rsidRPr="00C602FD" w:rsidRDefault="006B75FA" w:rsidP="006B75FA">
            <w:pPr>
              <w:keepNext w:val="0"/>
              <w:spacing w:before="0"/>
              <w:jc w:val="left"/>
              <w:rPr>
                <w:rFonts w:ascii="Calibri" w:hAnsi="Calibri" w:cs="Arial"/>
                <w:color w:val="000000"/>
                <w:sz w:val="22"/>
              </w:rPr>
            </w:pPr>
            <w:r w:rsidRPr="00C602FD">
              <w:rPr>
                <w:rFonts w:ascii="Calibri" w:hAnsi="Calibri" w:cs="Arial"/>
                <w:color w:val="000000"/>
                <w:sz w:val="22"/>
              </w:rPr>
              <w:t>Species-rich pools, flushes and grassland developed in a former quarry.</w:t>
            </w:r>
          </w:p>
        </w:tc>
        <w:tc>
          <w:tcPr>
            <w:tcW w:w="1557" w:type="dxa"/>
            <w:tcBorders>
              <w:top w:val="single" w:sz="4" w:space="0" w:color="auto"/>
              <w:left w:val="nil"/>
              <w:bottom w:val="single" w:sz="4" w:space="0" w:color="auto"/>
              <w:right w:val="single" w:sz="4" w:space="0" w:color="auto"/>
            </w:tcBorders>
            <w:shd w:val="clear" w:color="auto" w:fill="auto"/>
          </w:tcPr>
          <w:p w14:paraId="4DBA09BD" w14:textId="2489AC18" w:rsidR="006B75FA" w:rsidRPr="00C602FD" w:rsidRDefault="006B75FA" w:rsidP="00E16AB7">
            <w:pPr>
              <w:keepNext w:val="0"/>
              <w:spacing w:before="0"/>
              <w:jc w:val="left"/>
              <w:rPr>
                <w:rFonts w:ascii="Calibri" w:hAnsi="Calibri" w:cs="Arial"/>
                <w:color w:val="000000"/>
                <w:sz w:val="22"/>
              </w:rPr>
            </w:pPr>
            <w:r>
              <w:rPr>
                <w:rFonts w:ascii="Calibri" w:hAnsi="Calibri" w:cs="Calibri"/>
                <w:color w:val="000000"/>
                <w:sz w:val="22"/>
              </w:rPr>
              <w:t>Annesley &amp; Kirkby Woodhouse</w:t>
            </w:r>
          </w:p>
        </w:tc>
      </w:tr>
      <w:tr w:rsidR="006B75FA" w:rsidRPr="00C602FD" w14:paraId="3833585C" w14:textId="77777777" w:rsidTr="000663FF">
        <w:trPr>
          <w:trHeight w:val="255"/>
        </w:trPr>
        <w:tc>
          <w:tcPr>
            <w:tcW w:w="992" w:type="dxa"/>
          </w:tcPr>
          <w:p w14:paraId="2EC720E1" w14:textId="269E7419" w:rsidR="006B75FA" w:rsidRPr="00C602FD" w:rsidRDefault="006B75FA" w:rsidP="006B75FA">
            <w:pPr>
              <w:keepNext w:val="0"/>
              <w:spacing w:before="0"/>
              <w:rPr>
                <w:rFonts w:ascii="Calibri" w:hAnsi="Calibri" w:cs="Arial"/>
                <w:color w:val="000000"/>
                <w:sz w:val="22"/>
              </w:rPr>
            </w:pPr>
            <w:r w:rsidRPr="00C602FD">
              <w:rPr>
                <w:rFonts w:ascii="Calibri" w:hAnsi="Calibri" w:cs="Arial"/>
                <w:color w:val="000000"/>
                <w:sz w:val="22"/>
              </w:rPr>
              <w:t>EV4s</w:t>
            </w:r>
            <w:r>
              <w:rPr>
                <w:rFonts w:ascii="Calibri" w:hAnsi="Calibri" w:cs="Arial"/>
                <w:color w:val="000000"/>
                <w:sz w:val="22"/>
              </w:rPr>
              <w:t>d</w:t>
            </w:r>
          </w:p>
        </w:tc>
        <w:tc>
          <w:tcPr>
            <w:tcW w:w="2325" w:type="dxa"/>
          </w:tcPr>
          <w:p w14:paraId="28451BB3" w14:textId="0FC63071" w:rsidR="006B75FA" w:rsidRPr="00C602FD" w:rsidRDefault="006B75FA" w:rsidP="006B75FA">
            <w:pPr>
              <w:keepNext w:val="0"/>
              <w:spacing w:before="0"/>
              <w:rPr>
                <w:rFonts w:ascii="Calibri" w:hAnsi="Calibri" w:cs="Arial"/>
                <w:color w:val="000000"/>
                <w:sz w:val="22"/>
              </w:rPr>
            </w:pPr>
            <w:r w:rsidRPr="00C602FD">
              <w:rPr>
                <w:rFonts w:ascii="Calibri" w:hAnsi="Calibri" w:cs="Arial"/>
                <w:color w:val="000000"/>
                <w:sz w:val="22"/>
              </w:rPr>
              <w:t>Bulwell Wood, Hucknall</w:t>
            </w:r>
          </w:p>
        </w:tc>
        <w:tc>
          <w:tcPr>
            <w:tcW w:w="4822" w:type="dxa"/>
            <w:noWrap/>
          </w:tcPr>
          <w:p w14:paraId="7E447232" w14:textId="413D2482" w:rsidR="006B75FA" w:rsidRPr="00C602FD" w:rsidRDefault="006B75FA" w:rsidP="006B75FA">
            <w:pPr>
              <w:keepNext w:val="0"/>
              <w:spacing w:before="0"/>
              <w:jc w:val="left"/>
              <w:rPr>
                <w:rFonts w:ascii="Calibri" w:hAnsi="Calibri" w:cs="Arial"/>
                <w:color w:val="000000"/>
                <w:sz w:val="22"/>
              </w:rPr>
            </w:pPr>
            <w:r w:rsidRPr="00C602FD">
              <w:rPr>
                <w:rFonts w:ascii="Calibri" w:hAnsi="Calibri" w:cs="Arial"/>
                <w:color w:val="000000"/>
                <w:sz w:val="22"/>
              </w:rPr>
              <w:t>An ancient deciduous woodland with a characteristic ground flora.</w:t>
            </w:r>
          </w:p>
        </w:tc>
        <w:tc>
          <w:tcPr>
            <w:tcW w:w="1557" w:type="dxa"/>
            <w:tcBorders>
              <w:top w:val="single" w:sz="4" w:space="0" w:color="auto"/>
              <w:left w:val="nil"/>
              <w:bottom w:val="single" w:sz="4" w:space="0" w:color="auto"/>
              <w:right w:val="single" w:sz="4" w:space="0" w:color="auto"/>
            </w:tcBorders>
            <w:shd w:val="clear" w:color="auto" w:fill="auto"/>
          </w:tcPr>
          <w:p w14:paraId="22DDF601" w14:textId="05C5FC09" w:rsidR="006B75FA" w:rsidRPr="00C602FD" w:rsidRDefault="006B75FA" w:rsidP="00E16AB7">
            <w:pPr>
              <w:keepNext w:val="0"/>
              <w:spacing w:before="0"/>
              <w:jc w:val="left"/>
              <w:rPr>
                <w:rFonts w:ascii="Calibri" w:hAnsi="Calibri" w:cs="Arial"/>
                <w:color w:val="000000"/>
                <w:sz w:val="22"/>
              </w:rPr>
            </w:pPr>
            <w:r>
              <w:rPr>
                <w:rFonts w:ascii="Calibri" w:hAnsi="Calibri" w:cs="Calibri"/>
                <w:color w:val="000000"/>
                <w:sz w:val="22"/>
              </w:rPr>
              <w:t>Hucknall West</w:t>
            </w:r>
          </w:p>
        </w:tc>
      </w:tr>
      <w:tr w:rsidR="006B75FA" w:rsidRPr="00C602FD" w14:paraId="2725FE40" w14:textId="77777777" w:rsidTr="000663FF">
        <w:trPr>
          <w:trHeight w:val="255"/>
        </w:trPr>
        <w:tc>
          <w:tcPr>
            <w:tcW w:w="992" w:type="dxa"/>
          </w:tcPr>
          <w:p w14:paraId="1984D2E5" w14:textId="0B2E28FB" w:rsidR="006B75FA" w:rsidRPr="00C602FD" w:rsidRDefault="006B75FA" w:rsidP="006B75FA">
            <w:pPr>
              <w:keepNext w:val="0"/>
              <w:spacing w:before="0"/>
              <w:rPr>
                <w:rFonts w:ascii="Calibri" w:hAnsi="Calibri" w:cs="Arial"/>
                <w:color w:val="000000"/>
                <w:sz w:val="22"/>
              </w:rPr>
            </w:pPr>
            <w:r>
              <w:rPr>
                <w:rFonts w:ascii="Calibri" w:hAnsi="Calibri" w:cs="Arial"/>
                <w:color w:val="000000"/>
                <w:sz w:val="22"/>
              </w:rPr>
              <w:t>EV4se</w:t>
            </w:r>
          </w:p>
        </w:tc>
        <w:tc>
          <w:tcPr>
            <w:tcW w:w="2325" w:type="dxa"/>
          </w:tcPr>
          <w:p w14:paraId="179B6CB7" w14:textId="6678A335" w:rsidR="006B75FA" w:rsidRPr="00C602FD" w:rsidRDefault="006B75FA" w:rsidP="006B75FA">
            <w:pPr>
              <w:keepNext w:val="0"/>
              <w:spacing w:before="0"/>
              <w:rPr>
                <w:rFonts w:ascii="Calibri" w:hAnsi="Calibri" w:cs="Arial"/>
                <w:color w:val="000000"/>
                <w:sz w:val="22"/>
              </w:rPr>
            </w:pPr>
            <w:r w:rsidRPr="00C602FD">
              <w:rPr>
                <w:rFonts w:ascii="Calibri" w:hAnsi="Calibri" w:cs="Arial"/>
                <w:color w:val="000000"/>
                <w:sz w:val="22"/>
              </w:rPr>
              <w:t>Dovedale Wood</w:t>
            </w:r>
          </w:p>
        </w:tc>
        <w:tc>
          <w:tcPr>
            <w:tcW w:w="4822" w:type="dxa"/>
            <w:noWrap/>
          </w:tcPr>
          <w:p w14:paraId="40A673EF" w14:textId="3D1A289B" w:rsidR="006B75FA" w:rsidRPr="00C602FD" w:rsidRDefault="006B75FA" w:rsidP="006B75FA">
            <w:pPr>
              <w:keepNext w:val="0"/>
              <w:spacing w:before="0"/>
              <w:rPr>
                <w:rFonts w:ascii="Calibri" w:hAnsi="Calibri" w:cs="Arial"/>
                <w:color w:val="000000"/>
                <w:sz w:val="22"/>
              </w:rPr>
            </w:pPr>
            <w:r w:rsidRPr="00C602FD">
              <w:rPr>
                <w:rFonts w:ascii="Calibri" w:hAnsi="Calibri" w:cs="Arial"/>
                <w:color w:val="000000"/>
                <w:sz w:val="22"/>
              </w:rPr>
              <w:t>Broadleaved, mixed and yew woodland.</w:t>
            </w:r>
          </w:p>
        </w:tc>
        <w:tc>
          <w:tcPr>
            <w:tcW w:w="1557" w:type="dxa"/>
            <w:tcBorders>
              <w:top w:val="single" w:sz="4" w:space="0" w:color="auto"/>
              <w:left w:val="nil"/>
              <w:bottom w:val="single" w:sz="4" w:space="0" w:color="auto"/>
              <w:right w:val="single" w:sz="4" w:space="0" w:color="auto"/>
            </w:tcBorders>
            <w:shd w:val="clear" w:color="auto" w:fill="auto"/>
          </w:tcPr>
          <w:p w14:paraId="4CBA6E4B" w14:textId="3BEC902C" w:rsidR="006B75FA" w:rsidRPr="00C602FD" w:rsidRDefault="006B75FA" w:rsidP="00E16AB7">
            <w:pPr>
              <w:keepNext w:val="0"/>
              <w:spacing w:before="0"/>
              <w:jc w:val="left"/>
              <w:rPr>
                <w:rFonts w:ascii="Calibri" w:hAnsi="Calibri" w:cs="Arial"/>
                <w:color w:val="000000"/>
                <w:sz w:val="22"/>
              </w:rPr>
            </w:pPr>
            <w:r>
              <w:rPr>
                <w:rFonts w:ascii="Calibri" w:hAnsi="Calibri" w:cs="Calibri"/>
                <w:color w:val="000000"/>
                <w:sz w:val="22"/>
              </w:rPr>
              <w:t>Stanton Hill &amp; Teversal</w:t>
            </w:r>
          </w:p>
        </w:tc>
      </w:tr>
      <w:tr w:rsidR="006B75FA" w:rsidRPr="00C602FD" w14:paraId="4A47F871" w14:textId="77777777" w:rsidTr="000663FF">
        <w:trPr>
          <w:trHeight w:val="255"/>
        </w:trPr>
        <w:tc>
          <w:tcPr>
            <w:tcW w:w="992" w:type="dxa"/>
          </w:tcPr>
          <w:p w14:paraId="24D18CA7" w14:textId="2937A45E" w:rsidR="006B75FA" w:rsidRPr="00C602FD" w:rsidRDefault="006B75FA" w:rsidP="006B75FA">
            <w:pPr>
              <w:keepNext w:val="0"/>
              <w:spacing w:before="0"/>
              <w:rPr>
                <w:rFonts w:ascii="Calibri" w:hAnsi="Calibri" w:cs="Arial"/>
                <w:color w:val="000000"/>
                <w:sz w:val="22"/>
              </w:rPr>
            </w:pPr>
            <w:r w:rsidRPr="00C602FD">
              <w:rPr>
                <w:rFonts w:ascii="Calibri" w:hAnsi="Calibri" w:cs="Arial"/>
                <w:color w:val="000000"/>
                <w:sz w:val="22"/>
              </w:rPr>
              <w:t>EV4s</w:t>
            </w:r>
            <w:r>
              <w:rPr>
                <w:rFonts w:ascii="Calibri" w:hAnsi="Calibri" w:cs="Arial"/>
                <w:color w:val="000000"/>
                <w:sz w:val="22"/>
              </w:rPr>
              <w:t>f</w:t>
            </w:r>
          </w:p>
        </w:tc>
        <w:tc>
          <w:tcPr>
            <w:tcW w:w="2325" w:type="dxa"/>
          </w:tcPr>
          <w:p w14:paraId="160DA43C" w14:textId="26B41D93" w:rsidR="006B75FA" w:rsidRPr="00C602FD" w:rsidRDefault="006B75FA" w:rsidP="006B75FA">
            <w:pPr>
              <w:keepNext w:val="0"/>
              <w:spacing w:before="0"/>
              <w:rPr>
                <w:rFonts w:ascii="Calibri" w:hAnsi="Calibri" w:cs="Arial"/>
                <w:color w:val="000000"/>
                <w:sz w:val="22"/>
              </w:rPr>
            </w:pPr>
            <w:r w:rsidRPr="00C602FD">
              <w:rPr>
                <w:rFonts w:ascii="Calibri" w:hAnsi="Calibri" w:cs="Arial"/>
                <w:color w:val="000000"/>
                <w:sz w:val="22"/>
              </w:rPr>
              <w:t>Friezeland Grassland</w:t>
            </w:r>
          </w:p>
        </w:tc>
        <w:tc>
          <w:tcPr>
            <w:tcW w:w="4822" w:type="dxa"/>
            <w:noWrap/>
          </w:tcPr>
          <w:p w14:paraId="246242CD" w14:textId="66DF4560" w:rsidR="006B75FA" w:rsidRPr="00C602FD" w:rsidRDefault="006B75FA" w:rsidP="006B75FA">
            <w:pPr>
              <w:keepNext w:val="0"/>
              <w:spacing w:before="0"/>
              <w:jc w:val="left"/>
              <w:rPr>
                <w:rFonts w:ascii="Calibri" w:hAnsi="Calibri" w:cs="Arial"/>
                <w:color w:val="000000"/>
                <w:sz w:val="22"/>
              </w:rPr>
            </w:pPr>
            <w:r w:rsidRPr="00C602FD">
              <w:rPr>
                <w:rFonts w:ascii="Calibri" w:hAnsi="Calibri" w:cs="Arial"/>
                <w:color w:val="000000"/>
                <w:sz w:val="22"/>
              </w:rPr>
              <w:t>An interesting range of habitat types and plant communities developed on disturbed clays and sands.</w:t>
            </w:r>
          </w:p>
        </w:tc>
        <w:tc>
          <w:tcPr>
            <w:tcW w:w="1557" w:type="dxa"/>
            <w:tcBorders>
              <w:top w:val="single" w:sz="4" w:space="0" w:color="auto"/>
              <w:left w:val="nil"/>
              <w:bottom w:val="single" w:sz="4" w:space="0" w:color="auto"/>
              <w:right w:val="single" w:sz="4" w:space="0" w:color="auto"/>
            </w:tcBorders>
            <w:shd w:val="clear" w:color="auto" w:fill="auto"/>
          </w:tcPr>
          <w:p w14:paraId="68A9845E" w14:textId="7677342D" w:rsidR="006B75FA" w:rsidRPr="00C602FD" w:rsidRDefault="006B75FA" w:rsidP="00E16AB7">
            <w:pPr>
              <w:keepNext w:val="0"/>
              <w:spacing w:before="0"/>
              <w:jc w:val="left"/>
              <w:rPr>
                <w:rFonts w:ascii="Calibri" w:hAnsi="Calibri" w:cs="Arial"/>
                <w:color w:val="000000"/>
                <w:sz w:val="22"/>
              </w:rPr>
            </w:pPr>
            <w:r>
              <w:rPr>
                <w:rFonts w:ascii="Calibri" w:hAnsi="Calibri" w:cs="Calibri"/>
                <w:color w:val="000000"/>
                <w:sz w:val="22"/>
              </w:rPr>
              <w:t>Underwood</w:t>
            </w:r>
          </w:p>
        </w:tc>
      </w:tr>
      <w:tr w:rsidR="006B75FA" w:rsidRPr="00C602FD" w14:paraId="555B2BAF" w14:textId="77777777" w:rsidTr="000663FF">
        <w:trPr>
          <w:trHeight w:val="255"/>
        </w:trPr>
        <w:tc>
          <w:tcPr>
            <w:tcW w:w="992" w:type="dxa"/>
          </w:tcPr>
          <w:p w14:paraId="4612EF47" w14:textId="3D2E55A1" w:rsidR="006B75FA" w:rsidRPr="00C602FD" w:rsidRDefault="006B75FA" w:rsidP="006B75FA">
            <w:pPr>
              <w:keepNext w:val="0"/>
              <w:spacing w:before="0"/>
              <w:rPr>
                <w:rFonts w:ascii="Calibri" w:hAnsi="Calibri" w:cs="Arial"/>
                <w:color w:val="000000"/>
                <w:sz w:val="22"/>
              </w:rPr>
            </w:pPr>
            <w:r w:rsidRPr="00C602FD">
              <w:rPr>
                <w:rFonts w:ascii="Calibri" w:hAnsi="Calibri" w:cs="Arial"/>
                <w:color w:val="000000"/>
                <w:sz w:val="22"/>
              </w:rPr>
              <w:t>EV4s</w:t>
            </w:r>
            <w:r>
              <w:rPr>
                <w:rFonts w:ascii="Calibri" w:hAnsi="Calibri" w:cs="Arial"/>
                <w:color w:val="000000"/>
                <w:sz w:val="22"/>
              </w:rPr>
              <w:t>g</w:t>
            </w:r>
          </w:p>
        </w:tc>
        <w:tc>
          <w:tcPr>
            <w:tcW w:w="2325" w:type="dxa"/>
          </w:tcPr>
          <w:p w14:paraId="5F7243AB" w14:textId="095898DC" w:rsidR="006B75FA" w:rsidRPr="00C602FD" w:rsidRDefault="006B75FA" w:rsidP="006B75FA">
            <w:pPr>
              <w:keepNext w:val="0"/>
              <w:spacing w:before="0"/>
              <w:rPr>
                <w:rFonts w:ascii="Calibri" w:hAnsi="Calibri" w:cs="Arial"/>
                <w:color w:val="000000"/>
                <w:sz w:val="22"/>
              </w:rPr>
            </w:pPr>
            <w:r w:rsidRPr="00C602FD">
              <w:rPr>
                <w:rFonts w:ascii="Calibri" w:hAnsi="Calibri" w:cs="Arial"/>
                <w:color w:val="000000"/>
                <w:sz w:val="22"/>
              </w:rPr>
              <w:t>Kirkby Grives</w:t>
            </w:r>
          </w:p>
        </w:tc>
        <w:tc>
          <w:tcPr>
            <w:tcW w:w="4822" w:type="dxa"/>
            <w:noWrap/>
          </w:tcPr>
          <w:p w14:paraId="3D9ADEE6" w14:textId="26ECD4CA" w:rsidR="006B75FA" w:rsidRPr="00C602FD" w:rsidRDefault="006B75FA" w:rsidP="006B75FA">
            <w:pPr>
              <w:keepNext w:val="0"/>
              <w:spacing w:before="0"/>
              <w:jc w:val="left"/>
              <w:rPr>
                <w:rFonts w:ascii="Calibri" w:hAnsi="Calibri" w:cs="Arial"/>
                <w:color w:val="000000"/>
                <w:sz w:val="22"/>
              </w:rPr>
            </w:pPr>
            <w:r w:rsidRPr="00C602FD">
              <w:rPr>
                <w:rFonts w:ascii="Calibri" w:hAnsi="Calibri" w:cs="Arial"/>
                <w:color w:val="000000"/>
                <w:sz w:val="22"/>
              </w:rPr>
              <w:t>Very fine examples of calcareous and more neutral grassland, with scrub and floristically species-rich communities.</w:t>
            </w:r>
          </w:p>
        </w:tc>
        <w:tc>
          <w:tcPr>
            <w:tcW w:w="1557" w:type="dxa"/>
            <w:tcBorders>
              <w:top w:val="single" w:sz="4" w:space="0" w:color="auto"/>
              <w:left w:val="nil"/>
              <w:bottom w:val="single" w:sz="4" w:space="0" w:color="auto"/>
              <w:right w:val="single" w:sz="4" w:space="0" w:color="auto"/>
            </w:tcBorders>
            <w:shd w:val="clear" w:color="auto" w:fill="auto"/>
          </w:tcPr>
          <w:p w14:paraId="7965E6FB" w14:textId="2EAC21EC" w:rsidR="006B75FA" w:rsidRPr="00C602FD" w:rsidRDefault="006B75FA" w:rsidP="00E16AB7">
            <w:pPr>
              <w:keepNext w:val="0"/>
              <w:spacing w:before="0"/>
              <w:jc w:val="left"/>
              <w:rPr>
                <w:rFonts w:ascii="Calibri" w:hAnsi="Calibri" w:cs="Arial"/>
                <w:color w:val="000000"/>
                <w:sz w:val="22"/>
              </w:rPr>
            </w:pPr>
            <w:r>
              <w:rPr>
                <w:rFonts w:ascii="Calibri" w:hAnsi="Calibri" w:cs="Calibri"/>
                <w:color w:val="000000"/>
                <w:sz w:val="22"/>
              </w:rPr>
              <w:t>Kirkby Cross &amp; Portland</w:t>
            </w:r>
          </w:p>
        </w:tc>
      </w:tr>
      <w:tr w:rsidR="006B75FA" w:rsidRPr="00C602FD" w14:paraId="1F23B6A7" w14:textId="77777777" w:rsidTr="000663FF">
        <w:trPr>
          <w:trHeight w:val="255"/>
        </w:trPr>
        <w:tc>
          <w:tcPr>
            <w:tcW w:w="992" w:type="dxa"/>
          </w:tcPr>
          <w:p w14:paraId="25A7C632" w14:textId="1E589098" w:rsidR="006B75FA" w:rsidRPr="00C602FD" w:rsidRDefault="006B75FA" w:rsidP="006B75FA">
            <w:pPr>
              <w:keepNext w:val="0"/>
              <w:spacing w:before="0"/>
              <w:rPr>
                <w:rFonts w:ascii="Calibri" w:hAnsi="Calibri" w:cs="Arial"/>
                <w:color w:val="000000"/>
                <w:sz w:val="22"/>
              </w:rPr>
            </w:pPr>
            <w:bookmarkStart w:id="330" w:name="_Hlk83027064"/>
            <w:r w:rsidRPr="00C602FD">
              <w:rPr>
                <w:rFonts w:ascii="Calibri" w:hAnsi="Calibri" w:cs="Arial"/>
                <w:color w:val="000000"/>
                <w:sz w:val="22"/>
              </w:rPr>
              <w:t>EV4s</w:t>
            </w:r>
            <w:r>
              <w:rPr>
                <w:rFonts w:ascii="Calibri" w:hAnsi="Calibri" w:cs="Arial"/>
                <w:color w:val="000000"/>
                <w:sz w:val="22"/>
              </w:rPr>
              <w:t>h</w:t>
            </w:r>
          </w:p>
        </w:tc>
        <w:tc>
          <w:tcPr>
            <w:tcW w:w="2325" w:type="dxa"/>
          </w:tcPr>
          <w:p w14:paraId="306B3C0A" w14:textId="77777777" w:rsidR="006B75FA" w:rsidRPr="00C602FD" w:rsidRDefault="006B75FA" w:rsidP="006B75FA">
            <w:pPr>
              <w:keepNext w:val="0"/>
              <w:spacing w:before="0"/>
              <w:rPr>
                <w:rFonts w:ascii="Calibri" w:hAnsi="Calibri" w:cs="Arial"/>
                <w:color w:val="000000"/>
                <w:sz w:val="22"/>
              </w:rPr>
            </w:pPr>
            <w:r w:rsidRPr="00C602FD">
              <w:rPr>
                <w:rFonts w:ascii="Calibri" w:hAnsi="Calibri" w:cs="Arial"/>
                <w:color w:val="000000"/>
                <w:sz w:val="22"/>
              </w:rPr>
              <w:t>Teversal Pastures</w:t>
            </w:r>
          </w:p>
        </w:tc>
        <w:tc>
          <w:tcPr>
            <w:tcW w:w="4822" w:type="dxa"/>
            <w:noWrap/>
          </w:tcPr>
          <w:p w14:paraId="1CEB173D" w14:textId="77777777" w:rsidR="006B75FA" w:rsidRPr="00C602FD" w:rsidRDefault="006B75FA" w:rsidP="006B75FA">
            <w:pPr>
              <w:keepNext w:val="0"/>
              <w:spacing w:before="0"/>
              <w:jc w:val="left"/>
              <w:rPr>
                <w:rFonts w:ascii="Calibri" w:hAnsi="Calibri" w:cs="Arial"/>
                <w:color w:val="000000"/>
                <w:sz w:val="22"/>
              </w:rPr>
            </w:pPr>
            <w:r w:rsidRPr="00C602FD">
              <w:rPr>
                <w:rFonts w:ascii="Calibri" w:hAnsi="Calibri" w:cs="Arial"/>
                <w:color w:val="000000"/>
                <w:sz w:val="22"/>
              </w:rPr>
              <w:t>Excellent neutral grasslands with marsh and wet woodland - of botanical and zoological interest.</w:t>
            </w:r>
          </w:p>
        </w:tc>
        <w:tc>
          <w:tcPr>
            <w:tcW w:w="1557" w:type="dxa"/>
            <w:tcBorders>
              <w:top w:val="single" w:sz="4" w:space="0" w:color="auto"/>
              <w:left w:val="nil"/>
              <w:bottom w:val="single" w:sz="4" w:space="0" w:color="auto"/>
              <w:right w:val="single" w:sz="4" w:space="0" w:color="auto"/>
            </w:tcBorders>
            <w:shd w:val="clear" w:color="auto" w:fill="auto"/>
          </w:tcPr>
          <w:p w14:paraId="01E73D34" w14:textId="36944B3B" w:rsidR="006B75FA" w:rsidRPr="00C602FD" w:rsidRDefault="006B75FA" w:rsidP="00E16AB7">
            <w:pPr>
              <w:keepNext w:val="0"/>
              <w:spacing w:before="0"/>
              <w:jc w:val="left"/>
              <w:rPr>
                <w:rFonts w:ascii="Calibri" w:hAnsi="Calibri" w:cs="Arial"/>
                <w:color w:val="000000"/>
                <w:sz w:val="22"/>
              </w:rPr>
            </w:pPr>
            <w:r>
              <w:rPr>
                <w:rFonts w:ascii="Calibri" w:hAnsi="Calibri" w:cs="Calibri"/>
                <w:color w:val="000000"/>
                <w:sz w:val="22"/>
              </w:rPr>
              <w:t>Skegby</w:t>
            </w:r>
          </w:p>
        </w:tc>
      </w:tr>
      <w:tr w:rsidR="006B75FA" w:rsidRPr="00C602FD" w14:paraId="0043AB95" w14:textId="77777777" w:rsidTr="000663FF">
        <w:trPr>
          <w:trHeight w:val="255"/>
        </w:trPr>
        <w:tc>
          <w:tcPr>
            <w:tcW w:w="992" w:type="dxa"/>
          </w:tcPr>
          <w:p w14:paraId="118C2638" w14:textId="63EE1E94" w:rsidR="006B75FA" w:rsidRPr="00C602FD" w:rsidRDefault="006B75FA" w:rsidP="006B75FA">
            <w:pPr>
              <w:keepNext w:val="0"/>
              <w:spacing w:before="0"/>
              <w:rPr>
                <w:rFonts w:ascii="Calibri" w:hAnsi="Calibri" w:cs="Arial"/>
                <w:color w:val="000000"/>
                <w:sz w:val="22"/>
              </w:rPr>
            </w:pPr>
            <w:r w:rsidRPr="00C602FD">
              <w:rPr>
                <w:rFonts w:ascii="Calibri" w:hAnsi="Calibri" w:cs="Arial"/>
                <w:color w:val="000000"/>
                <w:sz w:val="22"/>
              </w:rPr>
              <w:t>EV4s</w:t>
            </w:r>
            <w:r>
              <w:rPr>
                <w:rFonts w:ascii="Calibri" w:hAnsi="Calibri" w:cs="Arial"/>
                <w:color w:val="000000"/>
                <w:sz w:val="22"/>
              </w:rPr>
              <w:t>i</w:t>
            </w:r>
          </w:p>
        </w:tc>
        <w:tc>
          <w:tcPr>
            <w:tcW w:w="2325" w:type="dxa"/>
          </w:tcPr>
          <w:p w14:paraId="48A2F2B5" w14:textId="77777777" w:rsidR="006B75FA" w:rsidRPr="00C602FD" w:rsidRDefault="006B75FA" w:rsidP="006B75FA">
            <w:pPr>
              <w:keepNext w:val="0"/>
              <w:spacing w:before="0"/>
              <w:rPr>
                <w:rFonts w:ascii="Calibri" w:hAnsi="Calibri" w:cs="Arial"/>
                <w:color w:val="000000"/>
                <w:sz w:val="22"/>
              </w:rPr>
            </w:pPr>
            <w:r w:rsidRPr="00C602FD">
              <w:rPr>
                <w:rFonts w:ascii="Calibri" w:hAnsi="Calibri" w:cs="Arial"/>
                <w:color w:val="000000"/>
                <w:sz w:val="22"/>
              </w:rPr>
              <w:t>Teversal-Pleasley Railway</w:t>
            </w:r>
          </w:p>
        </w:tc>
        <w:tc>
          <w:tcPr>
            <w:tcW w:w="4822" w:type="dxa"/>
            <w:noWrap/>
          </w:tcPr>
          <w:p w14:paraId="2E45E4B8" w14:textId="77777777" w:rsidR="006B75FA" w:rsidRPr="00C602FD" w:rsidRDefault="006B75FA" w:rsidP="006B75FA">
            <w:pPr>
              <w:keepNext w:val="0"/>
              <w:spacing w:before="0"/>
              <w:jc w:val="left"/>
              <w:rPr>
                <w:rFonts w:ascii="Calibri" w:hAnsi="Calibri" w:cs="Arial"/>
                <w:color w:val="000000"/>
                <w:sz w:val="22"/>
              </w:rPr>
            </w:pPr>
            <w:r w:rsidRPr="00C602FD">
              <w:rPr>
                <w:rFonts w:ascii="Calibri" w:hAnsi="Calibri" w:cs="Arial"/>
                <w:color w:val="000000"/>
                <w:sz w:val="22"/>
              </w:rPr>
              <w:t>A range of habitats, with especially valuable calcareous grassland, along a length of railway.</w:t>
            </w:r>
          </w:p>
        </w:tc>
        <w:tc>
          <w:tcPr>
            <w:tcW w:w="1557" w:type="dxa"/>
            <w:tcBorders>
              <w:top w:val="single" w:sz="4" w:space="0" w:color="auto"/>
              <w:left w:val="nil"/>
              <w:bottom w:val="single" w:sz="4" w:space="0" w:color="auto"/>
              <w:right w:val="single" w:sz="4" w:space="0" w:color="auto"/>
            </w:tcBorders>
            <w:shd w:val="clear" w:color="auto" w:fill="auto"/>
          </w:tcPr>
          <w:p w14:paraId="4A642DF3" w14:textId="71E4C370" w:rsidR="006B75FA" w:rsidRPr="00C602FD" w:rsidRDefault="006B75FA" w:rsidP="00E16AB7">
            <w:pPr>
              <w:keepNext w:val="0"/>
              <w:spacing w:before="0"/>
              <w:jc w:val="left"/>
              <w:rPr>
                <w:rFonts w:ascii="Calibri" w:hAnsi="Calibri" w:cs="Arial"/>
                <w:color w:val="000000"/>
                <w:sz w:val="22"/>
              </w:rPr>
            </w:pPr>
            <w:r>
              <w:rPr>
                <w:rFonts w:ascii="Calibri" w:hAnsi="Calibri" w:cs="Calibri"/>
                <w:color w:val="000000"/>
                <w:sz w:val="22"/>
              </w:rPr>
              <w:t>Stanton Hill &amp; Teversal</w:t>
            </w:r>
          </w:p>
        </w:tc>
      </w:tr>
      <w:bookmarkEnd w:id="330"/>
    </w:tbl>
    <w:p w14:paraId="0CEA7F58" w14:textId="5A483D05" w:rsidR="00C602FD" w:rsidRDefault="00C602FD" w:rsidP="00C602FD">
      <w:pPr>
        <w:keepNext w:val="0"/>
        <w:autoSpaceDE w:val="0"/>
        <w:autoSpaceDN w:val="0"/>
        <w:adjustRightInd w:val="0"/>
        <w:spacing w:before="0"/>
        <w:rPr>
          <w:rFonts w:cs="Arial"/>
          <w:b/>
          <w:bCs/>
          <w:sz w:val="28"/>
          <w:szCs w:val="28"/>
        </w:rPr>
      </w:pPr>
    </w:p>
    <w:p w14:paraId="2059C43B" w14:textId="22BD66E2" w:rsidR="00B5314A" w:rsidRPr="000663FF" w:rsidRDefault="00B5314A" w:rsidP="00C602FD">
      <w:pPr>
        <w:keepNext w:val="0"/>
        <w:autoSpaceDE w:val="0"/>
        <w:autoSpaceDN w:val="0"/>
        <w:adjustRightInd w:val="0"/>
        <w:spacing w:before="0"/>
        <w:rPr>
          <w:rFonts w:cs="Arial"/>
          <w:b/>
          <w:bCs/>
          <w:color w:val="auto"/>
          <w:szCs w:val="24"/>
        </w:rPr>
      </w:pPr>
      <w:r w:rsidRPr="000663FF">
        <w:rPr>
          <w:rFonts w:cs="Arial"/>
          <w:b/>
          <w:bCs/>
          <w:color w:val="auto"/>
          <w:szCs w:val="24"/>
        </w:rPr>
        <w:t>Local Nature Reserve (LNR)</w:t>
      </w:r>
    </w:p>
    <w:p w14:paraId="5720A135" w14:textId="19D547A5" w:rsidR="003C5064" w:rsidRPr="000663FF" w:rsidRDefault="003C5064" w:rsidP="00C602FD">
      <w:pPr>
        <w:keepNext w:val="0"/>
        <w:autoSpaceDE w:val="0"/>
        <w:autoSpaceDN w:val="0"/>
        <w:adjustRightInd w:val="0"/>
        <w:spacing w:before="0"/>
        <w:rPr>
          <w:rFonts w:cs="Arial"/>
          <w:b/>
          <w:bCs/>
          <w:color w:val="auto"/>
          <w:szCs w:val="24"/>
        </w:rPr>
      </w:pPr>
    </w:p>
    <w:tbl>
      <w:tblPr>
        <w:tblW w:w="9776" w:type="dxa"/>
        <w:tblLook w:val="04A0" w:firstRow="1" w:lastRow="0" w:firstColumn="1" w:lastColumn="0" w:noHBand="0" w:noVBand="1"/>
      </w:tblPr>
      <w:tblGrid>
        <w:gridCol w:w="1009"/>
        <w:gridCol w:w="2388"/>
        <w:gridCol w:w="4678"/>
        <w:gridCol w:w="1701"/>
      </w:tblGrid>
      <w:tr w:rsidR="000663FF" w:rsidRPr="000663FF" w14:paraId="7A77F23A" w14:textId="77777777" w:rsidTr="00585F2B">
        <w:trPr>
          <w:trHeight w:val="580"/>
        </w:trPr>
        <w:tc>
          <w:tcPr>
            <w:tcW w:w="1009" w:type="dxa"/>
            <w:tcBorders>
              <w:top w:val="single" w:sz="4" w:space="0" w:color="auto"/>
              <w:left w:val="single" w:sz="4" w:space="0" w:color="auto"/>
              <w:bottom w:val="single" w:sz="4" w:space="0" w:color="auto"/>
              <w:right w:val="single" w:sz="4" w:space="0" w:color="auto"/>
            </w:tcBorders>
            <w:shd w:val="clear" w:color="auto" w:fill="auto"/>
            <w:vAlign w:val="bottom"/>
          </w:tcPr>
          <w:p w14:paraId="2EE476C8" w14:textId="77777777" w:rsidR="003C5064" w:rsidRPr="000663FF" w:rsidRDefault="003C5064" w:rsidP="00585F2B">
            <w:pPr>
              <w:keepNext w:val="0"/>
              <w:spacing w:before="0"/>
              <w:rPr>
                <w:rFonts w:ascii="Calibri" w:hAnsi="Calibri" w:cs="Calibri"/>
                <w:b/>
                <w:bCs/>
                <w:color w:val="auto"/>
                <w:szCs w:val="24"/>
              </w:rPr>
            </w:pPr>
            <w:r w:rsidRPr="000663FF">
              <w:rPr>
                <w:rFonts w:ascii="Calibri" w:hAnsi="Calibri" w:cs="Calibri"/>
                <w:b/>
                <w:bCs/>
                <w:color w:val="auto"/>
                <w:szCs w:val="24"/>
              </w:rPr>
              <w:t>Plan Ref.</w:t>
            </w:r>
          </w:p>
        </w:tc>
        <w:tc>
          <w:tcPr>
            <w:tcW w:w="2388" w:type="dxa"/>
            <w:tcBorders>
              <w:top w:val="single" w:sz="4" w:space="0" w:color="auto"/>
              <w:left w:val="nil"/>
              <w:bottom w:val="single" w:sz="4" w:space="0" w:color="auto"/>
              <w:right w:val="single" w:sz="4" w:space="0" w:color="auto"/>
            </w:tcBorders>
            <w:shd w:val="clear" w:color="auto" w:fill="auto"/>
            <w:vAlign w:val="bottom"/>
          </w:tcPr>
          <w:p w14:paraId="0DADAF13" w14:textId="77777777" w:rsidR="003C5064" w:rsidRPr="000663FF" w:rsidRDefault="003C5064" w:rsidP="00585F2B">
            <w:pPr>
              <w:keepNext w:val="0"/>
              <w:spacing w:before="0"/>
              <w:rPr>
                <w:rFonts w:ascii="Calibri" w:hAnsi="Calibri" w:cs="Calibri"/>
                <w:b/>
                <w:bCs/>
                <w:color w:val="auto"/>
                <w:szCs w:val="24"/>
              </w:rPr>
            </w:pPr>
            <w:r w:rsidRPr="000663FF">
              <w:rPr>
                <w:rFonts w:ascii="Calibri" w:hAnsi="Calibri" w:cs="Calibri"/>
                <w:b/>
                <w:bCs/>
                <w:color w:val="auto"/>
                <w:szCs w:val="24"/>
              </w:rPr>
              <w:t>Site Name</w:t>
            </w:r>
          </w:p>
        </w:tc>
        <w:tc>
          <w:tcPr>
            <w:tcW w:w="4678" w:type="dxa"/>
            <w:tcBorders>
              <w:top w:val="single" w:sz="4" w:space="0" w:color="auto"/>
              <w:left w:val="nil"/>
              <w:bottom w:val="single" w:sz="4" w:space="0" w:color="auto"/>
              <w:right w:val="single" w:sz="4" w:space="0" w:color="auto"/>
            </w:tcBorders>
            <w:shd w:val="clear" w:color="auto" w:fill="auto"/>
            <w:vAlign w:val="bottom"/>
          </w:tcPr>
          <w:p w14:paraId="5B222C44" w14:textId="77777777" w:rsidR="003C5064" w:rsidRPr="000663FF" w:rsidRDefault="003C5064" w:rsidP="00585F2B">
            <w:pPr>
              <w:keepNext w:val="0"/>
              <w:spacing w:before="0"/>
              <w:rPr>
                <w:rFonts w:ascii="Calibri" w:hAnsi="Calibri" w:cs="Calibri"/>
                <w:b/>
                <w:bCs/>
                <w:color w:val="auto"/>
                <w:szCs w:val="24"/>
              </w:rPr>
            </w:pPr>
            <w:r w:rsidRPr="000663FF">
              <w:rPr>
                <w:rFonts w:ascii="Calibri" w:hAnsi="Calibri" w:cs="Calibri"/>
                <w:b/>
                <w:bCs/>
                <w:color w:val="auto"/>
                <w:szCs w:val="24"/>
              </w:rPr>
              <w:t>Description</w:t>
            </w:r>
          </w:p>
        </w:tc>
        <w:tc>
          <w:tcPr>
            <w:tcW w:w="1701" w:type="dxa"/>
            <w:tcBorders>
              <w:top w:val="single" w:sz="4" w:space="0" w:color="auto"/>
              <w:left w:val="nil"/>
              <w:bottom w:val="single" w:sz="4" w:space="0" w:color="auto"/>
              <w:right w:val="single" w:sz="4" w:space="0" w:color="auto"/>
            </w:tcBorders>
            <w:shd w:val="clear" w:color="auto" w:fill="auto"/>
            <w:vAlign w:val="bottom"/>
          </w:tcPr>
          <w:p w14:paraId="490907AA" w14:textId="77777777" w:rsidR="003C5064" w:rsidRPr="000663FF" w:rsidRDefault="003C5064" w:rsidP="00585F2B">
            <w:pPr>
              <w:keepNext w:val="0"/>
              <w:spacing w:before="0"/>
              <w:rPr>
                <w:rFonts w:ascii="Calibri" w:hAnsi="Calibri" w:cs="Calibri"/>
                <w:b/>
                <w:bCs/>
                <w:color w:val="auto"/>
                <w:szCs w:val="24"/>
              </w:rPr>
            </w:pPr>
            <w:r w:rsidRPr="000663FF">
              <w:rPr>
                <w:rFonts w:ascii="Calibri" w:hAnsi="Calibri" w:cs="Calibri"/>
                <w:b/>
                <w:bCs/>
                <w:color w:val="auto"/>
                <w:szCs w:val="24"/>
              </w:rPr>
              <w:t>Ward</w:t>
            </w:r>
          </w:p>
        </w:tc>
      </w:tr>
      <w:tr w:rsidR="000663FF" w:rsidRPr="000663FF" w14:paraId="0373DE24" w14:textId="77777777" w:rsidTr="000663FF">
        <w:trPr>
          <w:trHeight w:val="580"/>
        </w:trPr>
        <w:tc>
          <w:tcPr>
            <w:tcW w:w="1009" w:type="dxa"/>
            <w:tcBorders>
              <w:top w:val="single" w:sz="4" w:space="0" w:color="auto"/>
              <w:left w:val="single" w:sz="4" w:space="0" w:color="auto"/>
              <w:bottom w:val="single" w:sz="4" w:space="0" w:color="auto"/>
              <w:right w:val="single" w:sz="4" w:space="0" w:color="auto"/>
            </w:tcBorders>
            <w:shd w:val="clear" w:color="auto" w:fill="auto"/>
          </w:tcPr>
          <w:p w14:paraId="6694835E" w14:textId="18CC38B9" w:rsidR="003C5064" w:rsidRPr="000663FF" w:rsidRDefault="00EA55F8" w:rsidP="00585F2B">
            <w:pPr>
              <w:keepNext w:val="0"/>
              <w:spacing w:before="0"/>
              <w:rPr>
                <w:rFonts w:ascii="Calibri" w:hAnsi="Calibri" w:cs="Calibri"/>
                <w:color w:val="auto"/>
                <w:sz w:val="22"/>
                <w:szCs w:val="22"/>
              </w:rPr>
            </w:pPr>
            <w:bookmarkStart w:id="331" w:name="_Hlk121824932"/>
            <w:r w:rsidRPr="000663FF">
              <w:rPr>
                <w:rFonts w:ascii="Calibri" w:hAnsi="Calibri" w:cs="Calibri"/>
                <w:color w:val="auto"/>
                <w:sz w:val="22"/>
                <w:szCs w:val="22"/>
              </w:rPr>
              <w:t>EV4na</w:t>
            </w:r>
          </w:p>
        </w:tc>
        <w:tc>
          <w:tcPr>
            <w:tcW w:w="2388" w:type="dxa"/>
            <w:tcBorders>
              <w:top w:val="single" w:sz="4" w:space="0" w:color="auto"/>
              <w:left w:val="nil"/>
              <w:bottom w:val="single" w:sz="4" w:space="0" w:color="auto"/>
              <w:right w:val="single" w:sz="4" w:space="0" w:color="auto"/>
            </w:tcBorders>
            <w:shd w:val="clear" w:color="auto" w:fill="auto"/>
          </w:tcPr>
          <w:p w14:paraId="6A80A75B" w14:textId="633E7D9B" w:rsidR="003C5064" w:rsidRPr="000663FF" w:rsidRDefault="00272D79" w:rsidP="00585F2B">
            <w:pPr>
              <w:keepNext w:val="0"/>
              <w:spacing w:before="0"/>
              <w:rPr>
                <w:rFonts w:ascii="Calibri" w:hAnsi="Calibri" w:cs="Calibri"/>
                <w:color w:val="auto"/>
                <w:sz w:val="22"/>
                <w:szCs w:val="22"/>
              </w:rPr>
            </w:pPr>
            <w:r w:rsidRPr="000663FF">
              <w:rPr>
                <w:rFonts w:ascii="Calibri" w:hAnsi="Calibri" w:cs="Calibri"/>
                <w:color w:val="auto"/>
                <w:sz w:val="22"/>
                <w:szCs w:val="22"/>
              </w:rPr>
              <w:t>Brierley Forest Park</w:t>
            </w:r>
          </w:p>
        </w:tc>
        <w:tc>
          <w:tcPr>
            <w:tcW w:w="4678" w:type="dxa"/>
            <w:tcBorders>
              <w:top w:val="single" w:sz="4" w:space="0" w:color="auto"/>
              <w:left w:val="nil"/>
              <w:bottom w:val="single" w:sz="4" w:space="0" w:color="auto"/>
              <w:right w:val="single" w:sz="4" w:space="0" w:color="auto"/>
            </w:tcBorders>
            <w:shd w:val="clear" w:color="auto" w:fill="auto"/>
            <w:vAlign w:val="bottom"/>
          </w:tcPr>
          <w:p w14:paraId="64A131B6" w14:textId="2CFA2865" w:rsidR="003C5064" w:rsidRPr="000663FF" w:rsidRDefault="00FC267B" w:rsidP="00585F2B">
            <w:pPr>
              <w:keepNext w:val="0"/>
              <w:spacing w:before="0"/>
              <w:rPr>
                <w:rFonts w:asciiTheme="minorHAnsi" w:hAnsiTheme="minorHAnsi" w:cstheme="minorHAnsi"/>
                <w:color w:val="auto"/>
                <w:sz w:val="22"/>
                <w:szCs w:val="22"/>
              </w:rPr>
            </w:pPr>
            <w:r w:rsidRPr="000663FF">
              <w:rPr>
                <w:rFonts w:asciiTheme="minorHAnsi" w:hAnsiTheme="minorHAnsi" w:cstheme="minorHAnsi"/>
                <w:color w:val="auto"/>
                <w:sz w:val="22"/>
                <w:szCs w:val="22"/>
                <w:shd w:val="clear" w:color="auto" w:fill="FFFFFF"/>
              </w:rPr>
              <w:t>A series of plantation woodlands, hay meadows, water bodies, streams and wetland areas.</w:t>
            </w:r>
          </w:p>
        </w:tc>
        <w:tc>
          <w:tcPr>
            <w:tcW w:w="1701" w:type="dxa"/>
            <w:tcBorders>
              <w:top w:val="single" w:sz="4" w:space="0" w:color="auto"/>
              <w:left w:val="nil"/>
              <w:bottom w:val="single" w:sz="4" w:space="0" w:color="auto"/>
              <w:right w:val="single" w:sz="4" w:space="0" w:color="auto"/>
            </w:tcBorders>
            <w:shd w:val="clear" w:color="auto" w:fill="auto"/>
          </w:tcPr>
          <w:p w14:paraId="16FD034A" w14:textId="4C1F33B5" w:rsidR="003C5064" w:rsidRPr="000663FF" w:rsidRDefault="00715CE5" w:rsidP="00585F2B">
            <w:pPr>
              <w:keepNext w:val="0"/>
              <w:spacing w:before="0"/>
              <w:rPr>
                <w:rFonts w:ascii="Calibri" w:hAnsi="Calibri" w:cs="Calibri"/>
                <w:color w:val="auto"/>
                <w:sz w:val="22"/>
                <w:szCs w:val="22"/>
              </w:rPr>
            </w:pPr>
            <w:r w:rsidRPr="000663FF">
              <w:rPr>
                <w:rFonts w:ascii="Calibri" w:hAnsi="Calibri" w:cs="Calibri"/>
                <w:color w:val="auto"/>
                <w:sz w:val="22"/>
                <w:szCs w:val="22"/>
              </w:rPr>
              <w:t>Huthwaite &amp; Brierley</w:t>
            </w:r>
          </w:p>
        </w:tc>
      </w:tr>
      <w:tr w:rsidR="000663FF" w:rsidRPr="000663FF" w14:paraId="087E0148" w14:textId="77777777" w:rsidTr="000663FF">
        <w:trPr>
          <w:trHeight w:val="580"/>
        </w:trPr>
        <w:tc>
          <w:tcPr>
            <w:tcW w:w="1009" w:type="dxa"/>
            <w:tcBorders>
              <w:top w:val="nil"/>
              <w:left w:val="single" w:sz="4" w:space="0" w:color="auto"/>
              <w:bottom w:val="single" w:sz="4" w:space="0" w:color="auto"/>
              <w:right w:val="single" w:sz="4" w:space="0" w:color="auto"/>
            </w:tcBorders>
            <w:shd w:val="clear" w:color="auto" w:fill="auto"/>
          </w:tcPr>
          <w:p w14:paraId="0F1DBDA8" w14:textId="21E68FA3" w:rsidR="00715CE5" w:rsidRPr="000663FF" w:rsidRDefault="00715CE5" w:rsidP="00715CE5">
            <w:pPr>
              <w:keepNext w:val="0"/>
              <w:spacing w:before="0"/>
              <w:rPr>
                <w:rFonts w:ascii="Calibri" w:hAnsi="Calibri" w:cs="Calibri"/>
                <w:color w:val="auto"/>
                <w:sz w:val="22"/>
                <w:szCs w:val="22"/>
              </w:rPr>
            </w:pPr>
            <w:r w:rsidRPr="000663FF">
              <w:rPr>
                <w:rFonts w:ascii="Calibri" w:hAnsi="Calibri" w:cs="Calibri"/>
                <w:color w:val="auto"/>
                <w:sz w:val="22"/>
                <w:szCs w:val="22"/>
              </w:rPr>
              <w:t>EV4nb</w:t>
            </w:r>
          </w:p>
        </w:tc>
        <w:tc>
          <w:tcPr>
            <w:tcW w:w="2388" w:type="dxa"/>
            <w:tcBorders>
              <w:top w:val="nil"/>
              <w:left w:val="nil"/>
              <w:bottom w:val="single" w:sz="4" w:space="0" w:color="auto"/>
              <w:right w:val="single" w:sz="4" w:space="0" w:color="auto"/>
            </w:tcBorders>
            <w:shd w:val="clear" w:color="auto" w:fill="auto"/>
          </w:tcPr>
          <w:p w14:paraId="0301A0D0" w14:textId="6A55D340" w:rsidR="00715CE5" w:rsidRPr="000663FF" w:rsidRDefault="00715CE5" w:rsidP="00715CE5">
            <w:pPr>
              <w:keepNext w:val="0"/>
              <w:spacing w:before="0"/>
              <w:rPr>
                <w:rFonts w:ascii="Calibri" w:hAnsi="Calibri" w:cs="Calibri"/>
                <w:color w:val="auto"/>
                <w:sz w:val="22"/>
                <w:szCs w:val="22"/>
              </w:rPr>
            </w:pPr>
            <w:r w:rsidRPr="000663FF">
              <w:rPr>
                <w:rFonts w:ascii="Calibri" w:hAnsi="Calibri" w:cs="Calibri"/>
                <w:color w:val="auto"/>
                <w:sz w:val="22"/>
                <w:szCs w:val="22"/>
              </w:rPr>
              <w:t>Kings Mill Reservoir</w:t>
            </w:r>
          </w:p>
        </w:tc>
        <w:tc>
          <w:tcPr>
            <w:tcW w:w="4678" w:type="dxa"/>
            <w:tcBorders>
              <w:top w:val="nil"/>
              <w:left w:val="nil"/>
              <w:bottom w:val="single" w:sz="4" w:space="0" w:color="auto"/>
              <w:right w:val="single" w:sz="4" w:space="0" w:color="auto"/>
            </w:tcBorders>
            <w:shd w:val="clear" w:color="auto" w:fill="auto"/>
            <w:vAlign w:val="bottom"/>
          </w:tcPr>
          <w:p w14:paraId="708309AD" w14:textId="73D960BF" w:rsidR="00715CE5" w:rsidRPr="000663FF" w:rsidRDefault="00FC267B" w:rsidP="00715CE5">
            <w:pPr>
              <w:keepNext w:val="0"/>
              <w:spacing w:before="0"/>
              <w:rPr>
                <w:rFonts w:asciiTheme="minorHAnsi" w:hAnsiTheme="minorHAnsi" w:cstheme="minorHAnsi"/>
                <w:color w:val="auto"/>
                <w:sz w:val="22"/>
                <w:szCs w:val="22"/>
              </w:rPr>
            </w:pPr>
            <w:r w:rsidRPr="000663FF">
              <w:rPr>
                <w:rFonts w:asciiTheme="minorHAnsi" w:hAnsiTheme="minorHAnsi" w:cstheme="minorHAnsi"/>
                <w:color w:val="auto"/>
                <w:sz w:val="22"/>
                <w:szCs w:val="22"/>
              </w:rPr>
              <w:t>A large reservoir and area of natural beauty on the Sutton-in-Ashfield and Mansfield border. It provides a habitat for a wide range of wildlife.</w:t>
            </w:r>
          </w:p>
        </w:tc>
        <w:tc>
          <w:tcPr>
            <w:tcW w:w="1701" w:type="dxa"/>
            <w:tcBorders>
              <w:top w:val="nil"/>
              <w:left w:val="nil"/>
              <w:bottom w:val="single" w:sz="4" w:space="0" w:color="auto"/>
              <w:right w:val="single" w:sz="4" w:space="0" w:color="auto"/>
            </w:tcBorders>
            <w:shd w:val="clear" w:color="auto" w:fill="auto"/>
          </w:tcPr>
          <w:p w14:paraId="6E1721F1" w14:textId="60391886" w:rsidR="00715CE5" w:rsidRPr="000663FF" w:rsidRDefault="00715CE5" w:rsidP="00715CE5">
            <w:pPr>
              <w:keepNext w:val="0"/>
              <w:spacing w:before="0"/>
              <w:rPr>
                <w:rFonts w:ascii="Calibri" w:hAnsi="Calibri" w:cs="Calibri"/>
                <w:color w:val="auto"/>
                <w:sz w:val="22"/>
                <w:szCs w:val="22"/>
              </w:rPr>
            </w:pPr>
            <w:r w:rsidRPr="000663FF">
              <w:rPr>
                <w:rFonts w:ascii="Calibri" w:hAnsi="Calibri" w:cs="Calibri"/>
                <w:color w:val="auto"/>
                <w:sz w:val="22"/>
                <w:szCs w:val="22"/>
              </w:rPr>
              <w:t>Sutton Junction &amp; Harlow Wood</w:t>
            </w:r>
          </w:p>
        </w:tc>
      </w:tr>
      <w:tr w:rsidR="000663FF" w:rsidRPr="000663FF" w14:paraId="64BE70DC" w14:textId="77777777" w:rsidTr="000663FF">
        <w:trPr>
          <w:trHeight w:val="580"/>
        </w:trPr>
        <w:tc>
          <w:tcPr>
            <w:tcW w:w="1009" w:type="dxa"/>
            <w:tcBorders>
              <w:top w:val="single" w:sz="4" w:space="0" w:color="auto"/>
              <w:left w:val="single" w:sz="4" w:space="0" w:color="auto"/>
              <w:bottom w:val="single" w:sz="4" w:space="0" w:color="auto"/>
              <w:right w:val="single" w:sz="4" w:space="0" w:color="auto"/>
            </w:tcBorders>
            <w:shd w:val="clear" w:color="auto" w:fill="auto"/>
          </w:tcPr>
          <w:p w14:paraId="6503DBD4" w14:textId="3218CFC6" w:rsidR="00715CE5" w:rsidRPr="000663FF" w:rsidRDefault="00715CE5" w:rsidP="00715CE5">
            <w:pPr>
              <w:keepNext w:val="0"/>
              <w:spacing w:before="0"/>
              <w:rPr>
                <w:rFonts w:ascii="Calibri" w:hAnsi="Calibri" w:cs="Calibri"/>
                <w:color w:val="auto"/>
                <w:sz w:val="22"/>
                <w:szCs w:val="22"/>
              </w:rPr>
            </w:pPr>
            <w:r w:rsidRPr="000663FF">
              <w:rPr>
                <w:rFonts w:ascii="Calibri" w:hAnsi="Calibri" w:cs="Calibri"/>
                <w:color w:val="auto"/>
                <w:sz w:val="22"/>
                <w:szCs w:val="22"/>
              </w:rPr>
              <w:t>EV4nc</w:t>
            </w:r>
          </w:p>
        </w:tc>
        <w:tc>
          <w:tcPr>
            <w:tcW w:w="2388" w:type="dxa"/>
            <w:tcBorders>
              <w:top w:val="single" w:sz="4" w:space="0" w:color="auto"/>
              <w:left w:val="nil"/>
              <w:bottom w:val="single" w:sz="4" w:space="0" w:color="auto"/>
              <w:right w:val="single" w:sz="4" w:space="0" w:color="auto"/>
            </w:tcBorders>
            <w:shd w:val="clear" w:color="auto" w:fill="auto"/>
          </w:tcPr>
          <w:p w14:paraId="60154874" w14:textId="26B7BC13" w:rsidR="00715CE5" w:rsidRPr="000663FF" w:rsidRDefault="00715CE5" w:rsidP="00715CE5">
            <w:pPr>
              <w:keepNext w:val="0"/>
              <w:spacing w:before="0"/>
              <w:rPr>
                <w:rFonts w:ascii="Calibri" w:hAnsi="Calibri" w:cs="Calibri"/>
                <w:color w:val="auto"/>
                <w:sz w:val="22"/>
                <w:szCs w:val="22"/>
              </w:rPr>
            </w:pPr>
            <w:r w:rsidRPr="000663FF">
              <w:rPr>
                <w:rFonts w:ascii="Calibri" w:hAnsi="Calibri" w:cs="Calibri"/>
                <w:color w:val="auto"/>
                <w:sz w:val="22"/>
                <w:szCs w:val="22"/>
              </w:rPr>
              <w:t>Portland Park</w:t>
            </w:r>
          </w:p>
        </w:tc>
        <w:tc>
          <w:tcPr>
            <w:tcW w:w="4678" w:type="dxa"/>
            <w:tcBorders>
              <w:top w:val="single" w:sz="4" w:space="0" w:color="auto"/>
              <w:left w:val="nil"/>
              <w:bottom w:val="single" w:sz="4" w:space="0" w:color="auto"/>
              <w:right w:val="single" w:sz="4" w:space="0" w:color="auto"/>
            </w:tcBorders>
            <w:shd w:val="clear" w:color="auto" w:fill="auto"/>
            <w:vAlign w:val="bottom"/>
          </w:tcPr>
          <w:p w14:paraId="2B896E52" w14:textId="6AFAEB05" w:rsidR="00715CE5" w:rsidRPr="000663FF" w:rsidRDefault="00FC267B" w:rsidP="00715CE5">
            <w:pPr>
              <w:keepNext w:val="0"/>
              <w:spacing w:before="0"/>
              <w:rPr>
                <w:rFonts w:ascii="Calibri" w:hAnsi="Calibri" w:cs="Calibri"/>
                <w:color w:val="auto"/>
                <w:sz w:val="22"/>
                <w:szCs w:val="22"/>
              </w:rPr>
            </w:pPr>
            <w:r w:rsidRPr="000663FF">
              <w:rPr>
                <w:rFonts w:ascii="Calibri" w:hAnsi="Calibri" w:cs="Calibri"/>
                <w:color w:val="auto"/>
                <w:sz w:val="22"/>
                <w:szCs w:val="22"/>
              </w:rPr>
              <w:t>Located on a band of magnesium limestone</w:t>
            </w:r>
            <w:r w:rsidR="00E14543" w:rsidRPr="000663FF">
              <w:rPr>
                <w:rFonts w:ascii="Calibri" w:hAnsi="Calibri" w:cs="Calibri"/>
                <w:color w:val="auto"/>
                <w:sz w:val="22"/>
                <w:szCs w:val="22"/>
              </w:rPr>
              <w:t>, providing woodland with several areas of species rich grassland and a number of wetland areas.</w:t>
            </w:r>
          </w:p>
        </w:tc>
        <w:tc>
          <w:tcPr>
            <w:tcW w:w="1701" w:type="dxa"/>
            <w:tcBorders>
              <w:top w:val="single" w:sz="4" w:space="0" w:color="auto"/>
              <w:left w:val="nil"/>
              <w:bottom w:val="single" w:sz="4" w:space="0" w:color="auto"/>
              <w:right w:val="single" w:sz="4" w:space="0" w:color="auto"/>
            </w:tcBorders>
            <w:shd w:val="clear" w:color="auto" w:fill="auto"/>
          </w:tcPr>
          <w:p w14:paraId="525A1402" w14:textId="2CC406DC" w:rsidR="00715CE5" w:rsidRPr="000663FF" w:rsidRDefault="00715CE5" w:rsidP="00715CE5">
            <w:pPr>
              <w:keepNext w:val="0"/>
              <w:spacing w:before="0"/>
              <w:rPr>
                <w:rFonts w:ascii="Calibri" w:hAnsi="Calibri" w:cs="Calibri"/>
                <w:color w:val="auto"/>
                <w:sz w:val="22"/>
                <w:szCs w:val="22"/>
              </w:rPr>
            </w:pPr>
            <w:r w:rsidRPr="000663FF">
              <w:rPr>
                <w:rFonts w:ascii="Calibri" w:hAnsi="Calibri" w:cs="Calibri"/>
                <w:color w:val="auto"/>
                <w:sz w:val="22"/>
                <w:szCs w:val="22"/>
              </w:rPr>
              <w:t>Kirkby Cross &amp; Portland</w:t>
            </w:r>
          </w:p>
        </w:tc>
      </w:tr>
      <w:tr w:rsidR="000663FF" w:rsidRPr="000663FF" w14:paraId="67497746" w14:textId="77777777" w:rsidTr="000663FF">
        <w:trPr>
          <w:trHeight w:val="580"/>
        </w:trPr>
        <w:tc>
          <w:tcPr>
            <w:tcW w:w="1009" w:type="dxa"/>
            <w:tcBorders>
              <w:top w:val="single" w:sz="4" w:space="0" w:color="auto"/>
              <w:left w:val="single" w:sz="4" w:space="0" w:color="auto"/>
              <w:bottom w:val="single" w:sz="4" w:space="0" w:color="auto"/>
              <w:right w:val="single" w:sz="4" w:space="0" w:color="auto"/>
            </w:tcBorders>
            <w:shd w:val="clear" w:color="auto" w:fill="auto"/>
          </w:tcPr>
          <w:p w14:paraId="78FC837B" w14:textId="6085B006" w:rsidR="00715CE5" w:rsidRPr="000663FF" w:rsidRDefault="00715CE5" w:rsidP="00715CE5">
            <w:pPr>
              <w:keepNext w:val="0"/>
              <w:spacing w:before="0"/>
              <w:rPr>
                <w:rFonts w:ascii="Calibri" w:hAnsi="Calibri" w:cs="Calibri"/>
                <w:color w:val="auto"/>
                <w:sz w:val="22"/>
                <w:szCs w:val="22"/>
              </w:rPr>
            </w:pPr>
            <w:r w:rsidRPr="000663FF">
              <w:rPr>
                <w:rFonts w:ascii="Calibri" w:hAnsi="Calibri" w:cs="Calibri"/>
                <w:color w:val="auto"/>
                <w:sz w:val="22"/>
                <w:szCs w:val="22"/>
              </w:rPr>
              <w:t>EV4nd</w:t>
            </w:r>
          </w:p>
        </w:tc>
        <w:tc>
          <w:tcPr>
            <w:tcW w:w="2388" w:type="dxa"/>
            <w:tcBorders>
              <w:top w:val="single" w:sz="4" w:space="0" w:color="auto"/>
              <w:left w:val="nil"/>
              <w:bottom w:val="single" w:sz="4" w:space="0" w:color="auto"/>
              <w:right w:val="single" w:sz="4" w:space="0" w:color="auto"/>
            </w:tcBorders>
            <w:shd w:val="clear" w:color="auto" w:fill="auto"/>
          </w:tcPr>
          <w:p w14:paraId="0A4D048A" w14:textId="40F5D458" w:rsidR="00715CE5" w:rsidRPr="000663FF" w:rsidRDefault="00715CE5" w:rsidP="00715CE5">
            <w:pPr>
              <w:keepNext w:val="0"/>
              <w:spacing w:before="0"/>
              <w:rPr>
                <w:rFonts w:ascii="Calibri" w:hAnsi="Calibri" w:cs="Calibri"/>
                <w:color w:val="auto"/>
                <w:sz w:val="22"/>
                <w:szCs w:val="22"/>
              </w:rPr>
            </w:pPr>
            <w:r w:rsidRPr="000663FF">
              <w:rPr>
                <w:rFonts w:ascii="Calibri" w:hAnsi="Calibri" w:cs="Calibri"/>
                <w:color w:val="auto"/>
                <w:sz w:val="22"/>
                <w:szCs w:val="22"/>
              </w:rPr>
              <w:t>Teversal/Pleasley Network (east)</w:t>
            </w:r>
          </w:p>
        </w:tc>
        <w:tc>
          <w:tcPr>
            <w:tcW w:w="4678" w:type="dxa"/>
            <w:tcBorders>
              <w:top w:val="single" w:sz="4" w:space="0" w:color="auto"/>
              <w:left w:val="nil"/>
              <w:bottom w:val="single" w:sz="4" w:space="0" w:color="auto"/>
              <w:right w:val="single" w:sz="4" w:space="0" w:color="auto"/>
            </w:tcBorders>
            <w:shd w:val="clear" w:color="auto" w:fill="auto"/>
            <w:vAlign w:val="bottom"/>
          </w:tcPr>
          <w:p w14:paraId="47B3E98A" w14:textId="31FE51A6" w:rsidR="00715CE5" w:rsidRPr="000663FF" w:rsidRDefault="00E14543" w:rsidP="00715CE5">
            <w:pPr>
              <w:keepNext w:val="0"/>
              <w:spacing w:before="0"/>
              <w:rPr>
                <w:rFonts w:asciiTheme="minorHAnsi" w:hAnsiTheme="minorHAnsi" w:cstheme="minorHAnsi"/>
                <w:color w:val="auto"/>
                <w:sz w:val="22"/>
                <w:szCs w:val="22"/>
              </w:rPr>
            </w:pPr>
            <w:r w:rsidRPr="000663FF">
              <w:rPr>
                <w:rFonts w:asciiTheme="minorHAnsi" w:hAnsiTheme="minorHAnsi" w:cstheme="minorHAnsi"/>
                <w:color w:val="auto"/>
                <w:sz w:val="22"/>
                <w:szCs w:val="22"/>
                <w:shd w:val="clear" w:color="auto" w:fill="FFFFFF"/>
              </w:rPr>
              <w:t>An area of mature Oak and Ash woodlands, wildflower meadows, limestone grassland terraces and pools and wetlands.</w:t>
            </w:r>
          </w:p>
        </w:tc>
        <w:tc>
          <w:tcPr>
            <w:tcW w:w="1701" w:type="dxa"/>
            <w:tcBorders>
              <w:top w:val="single" w:sz="4" w:space="0" w:color="auto"/>
              <w:left w:val="nil"/>
              <w:bottom w:val="single" w:sz="4" w:space="0" w:color="auto"/>
              <w:right w:val="single" w:sz="4" w:space="0" w:color="auto"/>
            </w:tcBorders>
            <w:shd w:val="clear" w:color="auto" w:fill="auto"/>
          </w:tcPr>
          <w:p w14:paraId="5C1330F1" w14:textId="773F54D6" w:rsidR="00715CE5" w:rsidRPr="000663FF" w:rsidRDefault="00096475" w:rsidP="00715CE5">
            <w:pPr>
              <w:keepNext w:val="0"/>
              <w:spacing w:before="0"/>
              <w:rPr>
                <w:rFonts w:ascii="Calibri" w:hAnsi="Calibri" w:cs="Calibri"/>
                <w:color w:val="auto"/>
                <w:sz w:val="22"/>
                <w:szCs w:val="22"/>
              </w:rPr>
            </w:pPr>
            <w:r w:rsidRPr="000663FF">
              <w:rPr>
                <w:rFonts w:ascii="Calibri" w:hAnsi="Calibri" w:cs="Calibri"/>
                <w:color w:val="auto"/>
                <w:sz w:val="22"/>
                <w:szCs w:val="22"/>
              </w:rPr>
              <w:t>Skegby</w:t>
            </w:r>
          </w:p>
        </w:tc>
      </w:tr>
      <w:tr w:rsidR="000663FF" w:rsidRPr="000663FF" w14:paraId="4B209C09" w14:textId="77777777" w:rsidTr="000663FF">
        <w:trPr>
          <w:trHeight w:val="580"/>
        </w:trPr>
        <w:tc>
          <w:tcPr>
            <w:tcW w:w="1009" w:type="dxa"/>
            <w:tcBorders>
              <w:top w:val="single" w:sz="4" w:space="0" w:color="auto"/>
              <w:left w:val="single" w:sz="4" w:space="0" w:color="auto"/>
              <w:bottom w:val="single" w:sz="4" w:space="0" w:color="auto"/>
              <w:right w:val="single" w:sz="4" w:space="0" w:color="auto"/>
            </w:tcBorders>
            <w:shd w:val="clear" w:color="auto" w:fill="auto"/>
          </w:tcPr>
          <w:p w14:paraId="3AE2232F" w14:textId="2D834540" w:rsidR="00715CE5" w:rsidRPr="000663FF" w:rsidRDefault="00715CE5" w:rsidP="00715CE5">
            <w:pPr>
              <w:keepNext w:val="0"/>
              <w:spacing w:before="0"/>
              <w:rPr>
                <w:rFonts w:ascii="Calibri" w:hAnsi="Calibri" w:cs="Calibri"/>
                <w:color w:val="auto"/>
                <w:sz w:val="22"/>
                <w:szCs w:val="22"/>
              </w:rPr>
            </w:pPr>
            <w:r w:rsidRPr="000663FF">
              <w:rPr>
                <w:rFonts w:ascii="Calibri" w:hAnsi="Calibri" w:cs="Calibri"/>
                <w:color w:val="auto"/>
                <w:sz w:val="22"/>
                <w:szCs w:val="22"/>
              </w:rPr>
              <w:t>EV4ne</w:t>
            </w:r>
          </w:p>
        </w:tc>
        <w:tc>
          <w:tcPr>
            <w:tcW w:w="2388" w:type="dxa"/>
            <w:tcBorders>
              <w:top w:val="single" w:sz="4" w:space="0" w:color="auto"/>
              <w:left w:val="nil"/>
              <w:bottom w:val="single" w:sz="4" w:space="0" w:color="auto"/>
              <w:right w:val="single" w:sz="4" w:space="0" w:color="auto"/>
            </w:tcBorders>
            <w:shd w:val="clear" w:color="auto" w:fill="auto"/>
          </w:tcPr>
          <w:p w14:paraId="106C9DB7" w14:textId="4AB31EC8" w:rsidR="00715CE5" w:rsidRPr="000663FF" w:rsidRDefault="00715CE5" w:rsidP="00715CE5">
            <w:pPr>
              <w:keepNext w:val="0"/>
              <w:spacing w:before="0"/>
              <w:rPr>
                <w:rFonts w:ascii="Calibri" w:hAnsi="Calibri" w:cs="Calibri"/>
                <w:color w:val="auto"/>
                <w:sz w:val="22"/>
                <w:szCs w:val="22"/>
              </w:rPr>
            </w:pPr>
            <w:r w:rsidRPr="000663FF">
              <w:rPr>
                <w:rFonts w:ascii="Calibri" w:hAnsi="Calibri" w:cs="Calibri"/>
                <w:color w:val="auto"/>
                <w:sz w:val="22"/>
                <w:szCs w:val="22"/>
              </w:rPr>
              <w:t>Teversal/Pleasley Network (west)</w:t>
            </w:r>
          </w:p>
        </w:tc>
        <w:tc>
          <w:tcPr>
            <w:tcW w:w="4678" w:type="dxa"/>
            <w:tcBorders>
              <w:top w:val="single" w:sz="4" w:space="0" w:color="auto"/>
              <w:left w:val="nil"/>
              <w:bottom w:val="single" w:sz="4" w:space="0" w:color="auto"/>
              <w:right w:val="single" w:sz="4" w:space="0" w:color="auto"/>
            </w:tcBorders>
            <w:shd w:val="clear" w:color="auto" w:fill="auto"/>
            <w:vAlign w:val="bottom"/>
          </w:tcPr>
          <w:p w14:paraId="31EB2E94" w14:textId="2567B14E" w:rsidR="00715CE5" w:rsidRPr="000663FF" w:rsidRDefault="00E14543" w:rsidP="00715CE5">
            <w:pPr>
              <w:keepNext w:val="0"/>
              <w:spacing w:before="0"/>
              <w:rPr>
                <w:rFonts w:ascii="Calibri" w:hAnsi="Calibri" w:cs="Calibri"/>
                <w:color w:val="auto"/>
                <w:sz w:val="22"/>
                <w:szCs w:val="22"/>
              </w:rPr>
            </w:pPr>
            <w:r w:rsidRPr="000663FF">
              <w:rPr>
                <w:rFonts w:asciiTheme="minorHAnsi" w:hAnsiTheme="minorHAnsi" w:cstheme="minorHAnsi"/>
                <w:color w:val="auto"/>
                <w:sz w:val="22"/>
                <w:szCs w:val="22"/>
                <w:shd w:val="clear" w:color="auto" w:fill="FFFFFF"/>
              </w:rPr>
              <w:t>An area of mature Oak and Ash woodlands, wildflower meadows, limestone grassland terraces and pools and wetlands.</w:t>
            </w:r>
          </w:p>
        </w:tc>
        <w:tc>
          <w:tcPr>
            <w:tcW w:w="1701" w:type="dxa"/>
            <w:tcBorders>
              <w:top w:val="single" w:sz="4" w:space="0" w:color="auto"/>
              <w:left w:val="nil"/>
              <w:bottom w:val="single" w:sz="4" w:space="0" w:color="auto"/>
              <w:right w:val="single" w:sz="4" w:space="0" w:color="auto"/>
            </w:tcBorders>
            <w:shd w:val="clear" w:color="auto" w:fill="auto"/>
          </w:tcPr>
          <w:p w14:paraId="2666A6FA" w14:textId="114452BE" w:rsidR="00715CE5" w:rsidRPr="000663FF" w:rsidRDefault="00096475" w:rsidP="00715CE5">
            <w:pPr>
              <w:keepNext w:val="0"/>
              <w:spacing w:before="0"/>
              <w:rPr>
                <w:rFonts w:ascii="Calibri" w:hAnsi="Calibri" w:cs="Calibri"/>
                <w:color w:val="auto"/>
                <w:sz w:val="22"/>
                <w:szCs w:val="22"/>
              </w:rPr>
            </w:pPr>
            <w:r w:rsidRPr="000663FF">
              <w:rPr>
                <w:rFonts w:ascii="Calibri" w:hAnsi="Calibri" w:cs="Calibri"/>
                <w:color w:val="auto"/>
                <w:sz w:val="22"/>
                <w:szCs w:val="22"/>
              </w:rPr>
              <w:t>Skegby</w:t>
            </w:r>
          </w:p>
        </w:tc>
      </w:tr>
      <w:tr w:rsidR="000663FF" w:rsidRPr="000663FF" w14:paraId="682F1F09" w14:textId="77777777" w:rsidTr="000663FF">
        <w:trPr>
          <w:trHeight w:val="580"/>
        </w:trPr>
        <w:tc>
          <w:tcPr>
            <w:tcW w:w="1009" w:type="dxa"/>
            <w:tcBorders>
              <w:top w:val="single" w:sz="4" w:space="0" w:color="auto"/>
              <w:left w:val="single" w:sz="4" w:space="0" w:color="auto"/>
              <w:bottom w:val="single" w:sz="4" w:space="0" w:color="auto"/>
              <w:right w:val="single" w:sz="4" w:space="0" w:color="auto"/>
            </w:tcBorders>
            <w:shd w:val="clear" w:color="auto" w:fill="auto"/>
          </w:tcPr>
          <w:p w14:paraId="7D14297B" w14:textId="0B776643" w:rsidR="00715CE5" w:rsidRPr="000663FF" w:rsidRDefault="00715CE5" w:rsidP="00715CE5">
            <w:pPr>
              <w:keepNext w:val="0"/>
              <w:spacing w:before="0"/>
              <w:rPr>
                <w:rFonts w:ascii="Calibri" w:hAnsi="Calibri" w:cs="Calibri"/>
                <w:color w:val="auto"/>
                <w:sz w:val="22"/>
                <w:szCs w:val="22"/>
              </w:rPr>
            </w:pPr>
            <w:r w:rsidRPr="000663FF">
              <w:rPr>
                <w:rFonts w:ascii="Calibri" w:hAnsi="Calibri" w:cs="Calibri"/>
                <w:color w:val="auto"/>
                <w:sz w:val="22"/>
                <w:szCs w:val="22"/>
              </w:rPr>
              <w:t>EV4nf</w:t>
            </w:r>
          </w:p>
        </w:tc>
        <w:tc>
          <w:tcPr>
            <w:tcW w:w="2388" w:type="dxa"/>
            <w:tcBorders>
              <w:top w:val="single" w:sz="4" w:space="0" w:color="auto"/>
              <w:left w:val="nil"/>
              <w:bottom w:val="single" w:sz="4" w:space="0" w:color="auto"/>
              <w:right w:val="single" w:sz="4" w:space="0" w:color="auto"/>
            </w:tcBorders>
            <w:shd w:val="clear" w:color="auto" w:fill="auto"/>
          </w:tcPr>
          <w:p w14:paraId="098849A0" w14:textId="22CD83F6" w:rsidR="00715CE5" w:rsidRPr="000663FF" w:rsidRDefault="00715CE5" w:rsidP="00715CE5">
            <w:pPr>
              <w:keepNext w:val="0"/>
              <w:spacing w:before="0"/>
              <w:rPr>
                <w:rFonts w:ascii="Calibri" w:hAnsi="Calibri" w:cs="Calibri"/>
                <w:color w:val="auto"/>
                <w:sz w:val="22"/>
                <w:szCs w:val="22"/>
              </w:rPr>
            </w:pPr>
            <w:r w:rsidRPr="000663FF">
              <w:rPr>
                <w:rFonts w:ascii="Calibri" w:hAnsi="Calibri" w:cs="Calibri"/>
                <w:color w:val="auto"/>
                <w:sz w:val="22"/>
                <w:szCs w:val="22"/>
              </w:rPr>
              <w:t>Bulwell Hall Park Meadows</w:t>
            </w:r>
          </w:p>
        </w:tc>
        <w:tc>
          <w:tcPr>
            <w:tcW w:w="4678" w:type="dxa"/>
            <w:tcBorders>
              <w:top w:val="single" w:sz="4" w:space="0" w:color="auto"/>
              <w:left w:val="nil"/>
              <w:bottom w:val="single" w:sz="4" w:space="0" w:color="auto"/>
              <w:right w:val="single" w:sz="4" w:space="0" w:color="auto"/>
            </w:tcBorders>
            <w:shd w:val="clear" w:color="auto" w:fill="auto"/>
            <w:vAlign w:val="bottom"/>
          </w:tcPr>
          <w:p w14:paraId="4C7D2F01" w14:textId="0B75DB69" w:rsidR="00715CE5" w:rsidRPr="000663FF" w:rsidRDefault="00C9531F" w:rsidP="00715CE5">
            <w:pPr>
              <w:keepNext w:val="0"/>
              <w:spacing w:before="0"/>
              <w:rPr>
                <w:rFonts w:asciiTheme="minorHAnsi" w:hAnsiTheme="minorHAnsi" w:cstheme="minorHAnsi"/>
                <w:color w:val="auto"/>
                <w:sz w:val="22"/>
                <w:szCs w:val="22"/>
              </w:rPr>
            </w:pPr>
            <w:r w:rsidRPr="000663FF">
              <w:rPr>
                <w:rFonts w:asciiTheme="minorHAnsi" w:hAnsiTheme="minorHAnsi" w:cstheme="minorHAnsi"/>
                <w:color w:val="auto"/>
                <w:sz w:val="22"/>
                <w:szCs w:val="22"/>
                <w:shd w:val="clear" w:color="auto" w:fill="FFFFFF"/>
              </w:rPr>
              <w:t>A mix of wildflower meadows, ancient woodland, streams and lake.</w:t>
            </w:r>
          </w:p>
        </w:tc>
        <w:tc>
          <w:tcPr>
            <w:tcW w:w="1701" w:type="dxa"/>
            <w:tcBorders>
              <w:top w:val="single" w:sz="4" w:space="0" w:color="auto"/>
              <w:left w:val="nil"/>
              <w:bottom w:val="single" w:sz="4" w:space="0" w:color="auto"/>
              <w:right w:val="single" w:sz="4" w:space="0" w:color="auto"/>
            </w:tcBorders>
            <w:shd w:val="clear" w:color="auto" w:fill="auto"/>
          </w:tcPr>
          <w:p w14:paraId="798115D2" w14:textId="19AE8565" w:rsidR="00715CE5" w:rsidRPr="000663FF" w:rsidRDefault="00096475" w:rsidP="00715CE5">
            <w:pPr>
              <w:keepNext w:val="0"/>
              <w:spacing w:before="0"/>
              <w:rPr>
                <w:rFonts w:ascii="Calibri" w:hAnsi="Calibri" w:cs="Calibri"/>
                <w:color w:val="auto"/>
                <w:sz w:val="22"/>
                <w:szCs w:val="22"/>
              </w:rPr>
            </w:pPr>
            <w:r w:rsidRPr="000663FF">
              <w:rPr>
                <w:rFonts w:ascii="Calibri" w:hAnsi="Calibri" w:cs="Calibri"/>
                <w:color w:val="auto"/>
                <w:sz w:val="22"/>
                <w:szCs w:val="22"/>
              </w:rPr>
              <w:t>Hucknall West</w:t>
            </w:r>
          </w:p>
        </w:tc>
      </w:tr>
      <w:bookmarkEnd w:id="331"/>
    </w:tbl>
    <w:p w14:paraId="3D277FE4" w14:textId="77777777" w:rsidR="000663FF" w:rsidRDefault="000663FF" w:rsidP="00C602FD">
      <w:pPr>
        <w:keepNext w:val="0"/>
        <w:autoSpaceDE w:val="0"/>
        <w:autoSpaceDN w:val="0"/>
        <w:adjustRightInd w:val="0"/>
        <w:spacing w:before="0"/>
        <w:rPr>
          <w:rFonts w:cs="Arial"/>
          <w:b/>
          <w:bCs/>
          <w:color w:val="auto"/>
          <w:szCs w:val="24"/>
        </w:rPr>
      </w:pPr>
    </w:p>
    <w:p w14:paraId="6FA882DA" w14:textId="5CEAF78B" w:rsidR="003C5064" w:rsidRPr="000663FF" w:rsidRDefault="00614ECC" w:rsidP="00C602FD">
      <w:pPr>
        <w:keepNext w:val="0"/>
        <w:autoSpaceDE w:val="0"/>
        <w:autoSpaceDN w:val="0"/>
        <w:adjustRightInd w:val="0"/>
        <w:spacing w:before="0"/>
        <w:rPr>
          <w:rFonts w:cs="Arial"/>
          <w:b/>
          <w:bCs/>
          <w:color w:val="auto"/>
          <w:szCs w:val="24"/>
        </w:rPr>
      </w:pPr>
      <w:r w:rsidRPr="000663FF">
        <w:rPr>
          <w:rFonts w:cs="Arial"/>
          <w:b/>
          <w:bCs/>
          <w:color w:val="auto"/>
          <w:szCs w:val="24"/>
        </w:rPr>
        <w:t>Local Wildlife Sites (LWS) and Local Geological Sites (LGS)</w:t>
      </w:r>
    </w:p>
    <w:p w14:paraId="10231A7D" w14:textId="77777777" w:rsidR="00B5314A" w:rsidRPr="000663FF" w:rsidRDefault="00B5314A" w:rsidP="00C602FD">
      <w:pPr>
        <w:keepNext w:val="0"/>
        <w:autoSpaceDE w:val="0"/>
        <w:autoSpaceDN w:val="0"/>
        <w:adjustRightInd w:val="0"/>
        <w:spacing w:before="0"/>
        <w:rPr>
          <w:rFonts w:cs="Arial"/>
          <w:b/>
          <w:bCs/>
          <w:color w:val="auto"/>
          <w:sz w:val="28"/>
          <w:szCs w:val="28"/>
        </w:rPr>
      </w:pPr>
    </w:p>
    <w:tbl>
      <w:tblPr>
        <w:tblW w:w="9776" w:type="dxa"/>
        <w:tblLook w:val="04A0" w:firstRow="1" w:lastRow="0" w:firstColumn="1" w:lastColumn="0" w:noHBand="0" w:noVBand="1"/>
      </w:tblPr>
      <w:tblGrid>
        <w:gridCol w:w="1009"/>
        <w:gridCol w:w="2388"/>
        <w:gridCol w:w="4395"/>
        <w:gridCol w:w="1984"/>
      </w:tblGrid>
      <w:tr w:rsidR="000663FF" w:rsidRPr="000663FF" w14:paraId="273B9457" w14:textId="77777777" w:rsidTr="00DC0D18">
        <w:trPr>
          <w:trHeight w:val="580"/>
        </w:trPr>
        <w:tc>
          <w:tcPr>
            <w:tcW w:w="1009" w:type="dxa"/>
            <w:tcBorders>
              <w:top w:val="single" w:sz="4" w:space="0" w:color="auto"/>
              <w:left w:val="single" w:sz="4" w:space="0" w:color="auto"/>
              <w:bottom w:val="single" w:sz="4" w:space="0" w:color="auto"/>
              <w:right w:val="single" w:sz="4" w:space="0" w:color="auto"/>
            </w:tcBorders>
            <w:shd w:val="clear" w:color="auto" w:fill="auto"/>
            <w:vAlign w:val="bottom"/>
          </w:tcPr>
          <w:p w14:paraId="549A76D6" w14:textId="37D61CB7" w:rsidR="00FA2CC6" w:rsidRPr="000663FF" w:rsidRDefault="00FA2CC6" w:rsidP="00FA2CC6">
            <w:pPr>
              <w:keepNext w:val="0"/>
              <w:spacing w:before="0"/>
              <w:rPr>
                <w:rFonts w:ascii="Calibri" w:hAnsi="Calibri" w:cs="Calibri"/>
                <w:b/>
                <w:bCs/>
                <w:color w:val="auto"/>
                <w:szCs w:val="24"/>
              </w:rPr>
            </w:pPr>
            <w:bookmarkStart w:id="332" w:name="_Hlk121824351"/>
            <w:r w:rsidRPr="000663FF">
              <w:rPr>
                <w:rFonts w:ascii="Calibri" w:hAnsi="Calibri" w:cs="Calibri"/>
                <w:b/>
                <w:bCs/>
                <w:color w:val="auto"/>
                <w:szCs w:val="24"/>
              </w:rPr>
              <w:t>Plan Ref.</w:t>
            </w:r>
          </w:p>
        </w:tc>
        <w:tc>
          <w:tcPr>
            <w:tcW w:w="2388" w:type="dxa"/>
            <w:tcBorders>
              <w:top w:val="single" w:sz="4" w:space="0" w:color="auto"/>
              <w:left w:val="nil"/>
              <w:bottom w:val="single" w:sz="4" w:space="0" w:color="auto"/>
              <w:right w:val="single" w:sz="4" w:space="0" w:color="auto"/>
            </w:tcBorders>
            <w:shd w:val="clear" w:color="auto" w:fill="auto"/>
            <w:vAlign w:val="bottom"/>
          </w:tcPr>
          <w:p w14:paraId="44CDCFCD" w14:textId="3544EDAF" w:rsidR="00FA2CC6" w:rsidRPr="000663FF" w:rsidRDefault="00FA2CC6" w:rsidP="00FA2CC6">
            <w:pPr>
              <w:keepNext w:val="0"/>
              <w:spacing w:before="0"/>
              <w:rPr>
                <w:rFonts w:ascii="Calibri" w:hAnsi="Calibri" w:cs="Calibri"/>
                <w:b/>
                <w:bCs/>
                <w:color w:val="auto"/>
                <w:szCs w:val="24"/>
              </w:rPr>
            </w:pPr>
            <w:r w:rsidRPr="000663FF">
              <w:rPr>
                <w:rFonts w:ascii="Calibri" w:hAnsi="Calibri" w:cs="Calibri"/>
                <w:b/>
                <w:bCs/>
                <w:color w:val="auto"/>
                <w:szCs w:val="24"/>
              </w:rPr>
              <w:t>Site Name</w:t>
            </w:r>
          </w:p>
        </w:tc>
        <w:tc>
          <w:tcPr>
            <w:tcW w:w="4395" w:type="dxa"/>
            <w:tcBorders>
              <w:top w:val="single" w:sz="4" w:space="0" w:color="auto"/>
              <w:left w:val="nil"/>
              <w:bottom w:val="single" w:sz="4" w:space="0" w:color="auto"/>
              <w:right w:val="single" w:sz="4" w:space="0" w:color="auto"/>
            </w:tcBorders>
            <w:shd w:val="clear" w:color="auto" w:fill="auto"/>
            <w:vAlign w:val="bottom"/>
          </w:tcPr>
          <w:p w14:paraId="26A9C012" w14:textId="1DF0066F" w:rsidR="00FA2CC6" w:rsidRPr="000663FF" w:rsidRDefault="00FA2CC6" w:rsidP="00FA2CC6">
            <w:pPr>
              <w:keepNext w:val="0"/>
              <w:spacing w:before="0"/>
              <w:rPr>
                <w:rFonts w:ascii="Calibri" w:hAnsi="Calibri" w:cs="Calibri"/>
                <w:b/>
                <w:bCs/>
                <w:color w:val="auto"/>
                <w:szCs w:val="24"/>
              </w:rPr>
            </w:pPr>
            <w:r w:rsidRPr="000663FF">
              <w:rPr>
                <w:rFonts w:ascii="Calibri" w:hAnsi="Calibri" w:cs="Calibri"/>
                <w:b/>
                <w:bCs/>
                <w:color w:val="auto"/>
                <w:szCs w:val="24"/>
              </w:rPr>
              <w:t>Description</w:t>
            </w:r>
          </w:p>
        </w:tc>
        <w:tc>
          <w:tcPr>
            <w:tcW w:w="1984" w:type="dxa"/>
            <w:tcBorders>
              <w:top w:val="single" w:sz="4" w:space="0" w:color="auto"/>
              <w:left w:val="nil"/>
              <w:bottom w:val="single" w:sz="4" w:space="0" w:color="auto"/>
              <w:right w:val="single" w:sz="4" w:space="0" w:color="auto"/>
            </w:tcBorders>
            <w:shd w:val="clear" w:color="auto" w:fill="auto"/>
            <w:vAlign w:val="bottom"/>
          </w:tcPr>
          <w:p w14:paraId="593A28C9" w14:textId="07868061" w:rsidR="00FA2CC6" w:rsidRPr="000663FF" w:rsidRDefault="00FA2CC6" w:rsidP="00FA2CC6">
            <w:pPr>
              <w:keepNext w:val="0"/>
              <w:spacing w:before="0"/>
              <w:rPr>
                <w:rFonts w:ascii="Calibri" w:hAnsi="Calibri" w:cs="Calibri"/>
                <w:b/>
                <w:bCs/>
                <w:color w:val="auto"/>
                <w:szCs w:val="24"/>
              </w:rPr>
            </w:pPr>
            <w:r w:rsidRPr="000663FF">
              <w:rPr>
                <w:rFonts w:ascii="Calibri" w:hAnsi="Calibri" w:cs="Calibri"/>
                <w:b/>
                <w:bCs/>
                <w:color w:val="auto"/>
                <w:szCs w:val="24"/>
              </w:rPr>
              <w:t>Ward</w:t>
            </w:r>
          </w:p>
        </w:tc>
      </w:tr>
      <w:tr w:rsidR="000663FF" w:rsidRPr="000663FF" w14:paraId="63E8446A" w14:textId="77777777" w:rsidTr="00DC0D18">
        <w:trPr>
          <w:trHeight w:val="580"/>
        </w:trPr>
        <w:tc>
          <w:tcPr>
            <w:tcW w:w="1009" w:type="dxa"/>
            <w:tcBorders>
              <w:top w:val="single" w:sz="4" w:space="0" w:color="auto"/>
              <w:left w:val="single" w:sz="4" w:space="0" w:color="auto"/>
              <w:bottom w:val="single" w:sz="4" w:space="0" w:color="auto"/>
              <w:right w:val="single" w:sz="4" w:space="0" w:color="auto"/>
            </w:tcBorders>
            <w:shd w:val="clear" w:color="auto" w:fill="auto"/>
            <w:hideMark/>
          </w:tcPr>
          <w:p w14:paraId="6949754A"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EV4wa</w:t>
            </w:r>
          </w:p>
        </w:tc>
        <w:tc>
          <w:tcPr>
            <w:tcW w:w="2388" w:type="dxa"/>
            <w:tcBorders>
              <w:top w:val="single" w:sz="4" w:space="0" w:color="auto"/>
              <w:left w:val="nil"/>
              <w:bottom w:val="single" w:sz="4" w:space="0" w:color="auto"/>
              <w:right w:val="single" w:sz="4" w:space="0" w:color="auto"/>
            </w:tcBorders>
            <w:shd w:val="clear" w:color="auto" w:fill="auto"/>
            <w:hideMark/>
          </w:tcPr>
          <w:p w14:paraId="42259251"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Allen's Green Dumble</w:t>
            </w:r>
          </w:p>
        </w:tc>
        <w:tc>
          <w:tcPr>
            <w:tcW w:w="4395" w:type="dxa"/>
            <w:tcBorders>
              <w:top w:val="single" w:sz="4" w:space="0" w:color="auto"/>
              <w:left w:val="nil"/>
              <w:bottom w:val="single" w:sz="4" w:space="0" w:color="auto"/>
              <w:right w:val="single" w:sz="4" w:space="0" w:color="auto"/>
            </w:tcBorders>
            <w:shd w:val="clear" w:color="auto" w:fill="auto"/>
            <w:hideMark/>
          </w:tcPr>
          <w:p w14:paraId="366AFF9F" w14:textId="4FB8AEC7" w:rsidR="00FA2CC6" w:rsidRPr="000663FF" w:rsidRDefault="00DC0D18"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 xml:space="preserve">Steep unmanaged wooded </w:t>
            </w:r>
            <w:proofErr w:type="spellStart"/>
            <w:r w:rsidR="00FA2CC6" w:rsidRPr="000663FF">
              <w:rPr>
                <w:rFonts w:ascii="Calibri" w:hAnsi="Calibri" w:cs="Calibri"/>
                <w:color w:val="auto"/>
                <w:sz w:val="22"/>
                <w:szCs w:val="22"/>
              </w:rPr>
              <w:t>dumble</w:t>
            </w:r>
            <w:proofErr w:type="spellEnd"/>
            <w:r w:rsidR="00FA2CC6" w:rsidRPr="000663FF">
              <w:rPr>
                <w:rFonts w:ascii="Calibri" w:hAnsi="Calibri" w:cs="Calibri"/>
                <w:color w:val="auto"/>
                <w:sz w:val="22"/>
                <w:szCs w:val="22"/>
              </w:rPr>
              <w:t xml:space="preserve"> and coal-measures grassland</w:t>
            </w:r>
          </w:p>
        </w:tc>
        <w:tc>
          <w:tcPr>
            <w:tcW w:w="1984" w:type="dxa"/>
            <w:tcBorders>
              <w:top w:val="single" w:sz="4" w:space="0" w:color="auto"/>
              <w:left w:val="nil"/>
              <w:bottom w:val="single" w:sz="4" w:space="0" w:color="auto"/>
              <w:right w:val="single" w:sz="4" w:space="0" w:color="auto"/>
            </w:tcBorders>
            <w:shd w:val="clear" w:color="auto" w:fill="auto"/>
            <w:hideMark/>
          </w:tcPr>
          <w:p w14:paraId="41DD5A91"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Jacksdale &amp; Westwood</w:t>
            </w:r>
          </w:p>
        </w:tc>
      </w:tr>
      <w:tr w:rsidR="000663FF" w:rsidRPr="000663FF" w14:paraId="75B6DBD3" w14:textId="77777777" w:rsidTr="00DC0D18">
        <w:trPr>
          <w:trHeight w:val="580"/>
        </w:trPr>
        <w:tc>
          <w:tcPr>
            <w:tcW w:w="1009" w:type="dxa"/>
            <w:tcBorders>
              <w:top w:val="nil"/>
              <w:left w:val="single" w:sz="4" w:space="0" w:color="auto"/>
              <w:bottom w:val="single" w:sz="4" w:space="0" w:color="auto"/>
              <w:right w:val="single" w:sz="4" w:space="0" w:color="auto"/>
            </w:tcBorders>
            <w:shd w:val="clear" w:color="auto" w:fill="auto"/>
            <w:hideMark/>
          </w:tcPr>
          <w:p w14:paraId="60958B3F"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EV4waa</w:t>
            </w:r>
          </w:p>
        </w:tc>
        <w:tc>
          <w:tcPr>
            <w:tcW w:w="2388" w:type="dxa"/>
            <w:tcBorders>
              <w:top w:val="nil"/>
              <w:left w:val="nil"/>
              <w:bottom w:val="single" w:sz="4" w:space="0" w:color="auto"/>
              <w:right w:val="single" w:sz="4" w:space="0" w:color="auto"/>
            </w:tcBorders>
            <w:shd w:val="clear" w:color="auto" w:fill="auto"/>
            <w:hideMark/>
          </w:tcPr>
          <w:p w14:paraId="640BC993"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Allen's Green Grassland</w:t>
            </w:r>
          </w:p>
        </w:tc>
        <w:tc>
          <w:tcPr>
            <w:tcW w:w="4395" w:type="dxa"/>
            <w:tcBorders>
              <w:top w:val="nil"/>
              <w:left w:val="nil"/>
              <w:bottom w:val="single" w:sz="4" w:space="0" w:color="auto"/>
              <w:right w:val="single" w:sz="4" w:space="0" w:color="auto"/>
            </w:tcBorders>
            <w:shd w:val="clear" w:color="auto" w:fill="auto"/>
            <w:hideMark/>
          </w:tcPr>
          <w:p w14:paraId="3340F680" w14:textId="054E5DAA" w:rsidR="00FA2CC6" w:rsidRPr="000663FF" w:rsidRDefault="00DC0D18"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 locally species-rich Coal Measures grassland</w:t>
            </w:r>
          </w:p>
        </w:tc>
        <w:tc>
          <w:tcPr>
            <w:tcW w:w="1984" w:type="dxa"/>
            <w:tcBorders>
              <w:top w:val="nil"/>
              <w:left w:val="nil"/>
              <w:bottom w:val="single" w:sz="4" w:space="0" w:color="auto"/>
              <w:right w:val="single" w:sz="4" w:space="0" w:color="auto"/>
            </w:tcBorders>
            <w:shd w:val="clear" w:color="auto" w:fill="auto"/>
            <w:hideMark/>
          </w:tcPr>
          <w:p w14:paraId="5E3D6E21"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Selston</w:t>
            </w:r>
          </w:p>
        </w:tc>
      </w:tr>
      <w:tr w:rsidR="000663FF" w:rsidRPr="000663FF" w14:paraId="49588F4E" w14:textId="77777777" w:rsidTr="00DC0D18">
        <w:trPr>
          <w:trHeight w:val="580"/>
        </w:trPr>
        <w:tc>
          <w:tcPr>
            <w:tcW w:w="1009" w:type="dxa"/>
            <w:tcBorders>
              <w:top w:val="nil"/>
              <w:left w:val="single" w:sz="4" w:space="0" w:color="auto"/>
              <w:bottom w:val="single" w:sz="4" w:space="0" w:color="auto"/>
              <w:right w:val="single" w:sz="4" w:space="0" w:color="auto"/>
            </w:tcBorders>
            <w:shd w:val="clear" w:color="auto" w:fill="auto"/>
            <w:hideMark/>
          </w:tcPr>
          <w:p w14:paraId="031C26D1"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EV4wab</w:t>
            </w:r>
          </w:p>
        </w:tc>
        <w:tc>
          <w:tcPr>
            <w:tcW w:w="2388" w:type="dxa"/>
            <w:tcBorders>
              <w:top w:val="nil"/>
              <w:left w:val="nil"/>
              <w:bottom w:val="single" w:sz="4" w:space="0" w:color="auto"/>
              <w:right w:val="single" w:sz="4" w:space="0" w:color="auto"/>
            </w:tcBorders>
            <w:shd w:val="clear" w:color="auto" w:fill="auto"/>
            <w:hideMark/>
          </w:tcPr>
          <w:p w14:paraId="6A09C876"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Annesley Cemetery</w:t>
            </w:r>
          </w:p>
        </w:tc>
        <w:tc>
          <w:tcPr>
            <w:tcW w:w="4395" w:type="dxa"/>
            <w:tcBorders>
              <w:top w:val="nil"/>
              <w:left w:val="nil"/>
              <w:bottom w:val="single" w:sz="4" w:space="0" w:color="auto"/>
              <w:right w:val="single" w:sz="4" w:space="0" w:color="auto"/>
            </w:tcBorders>
            <w:shd w:val="clear" w:color="auto" w:fill="auto"/>
            <w:hideMark/>
          </w:tcPr>
          <w:p w14:paraId="145C3AFA" w14:textId="1EA6E82C" w:rsidR="00FA2CC6" w:rsidRPr="000663FF" w:rsidRDefault="00DC0D18"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 notable acid grassland community persisting in a cemetery</w:t>
            </w:r>
          </w:p>
        </w:tc>
        <w:tc>
          <w:tcPr>
            <w:tcW w:w="1984" w:type="dxa"/>
            <w:tcBorders>
              <w:top w:val="nil"/>
              <w:left w:val="nil"/>
              <w:bottom w:val="single" w:sz="4" w:space="0" w:color="auto"/>
              <w:right w:val="single" w:sz="4" w:space="0" w:color="auto"/>
            </w:tcBorders>
            <w:shd w:val="clear" w:color="auto" w:fill="auto"/>
            <w:hideMark/>
          </w:tcPr>
          <w:p w14:paraId="314F46B6"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Annesley &amp; Kirkby Woodhouse</w:t>
            </w:r>
          </w:p>
        </w:tc>
      </w:tr>
      <w:tr w:rsidR="000663FF" w:rsidRPr="000663FF" w14:paraId="154E0124" w14:textId="77777777" w:rsidTr="00DC0D18">
        <w:trPr>
          <w:trHeight w:val="580"/>
        </w:trPr>
        <w:tc>
          <w:tcPr>
            <w:tcW w:w="1009" w:type="dxa"/>
            <w:tcBorders>
              <w:top w:val="nil"/>
              <w:left w:val="single" w:sz="4" w:space="0" w:color="auto"/>
              <w:bottom w:val="single" w:sz="4" w:space="0" w:color="auto"/>
              <w:right w:val="single" w:sz="4" w:space="0" w:color="auto"/>
            </w:tcBorders>
            <w:shd w:val="clear" w:color="auto" w:fill="auto"/>
            <w:hideMark/>
          </w:tcPr>
          <w:p w14:paraId="657E7F59"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EV4wac</w:t>
            </w:r>
          </w:p>
        </w:tc>
        <w:tc>
          <w:tcPr>
            <w:tcW w:w="2388" w:type="dxa"/>
            <w:tcBorders>
              <w:top w:val="nil"/>
              <w:left w:val="nil"/>
              <w:bottom w:val="single" w:sz="4" w:space="0" w:color="auto"/>
              <w:right w:val="single" w:sz="4" w:space="0" w:color="auto"/>
            </w:tcBorders>
            <w:shd w:val="clear" w:color="auto" w:fill="auto"/>
            <w:hideMark/>
          </w:tcPr>
          <w:p w14:paraId="40E85545"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Annesley Forest</w:t>
            </w:r>
          </w:p>
        </w:tc>
        <w:tc>
          <w:tcPr>
            <w:tcW w:w="4395" w:type="dxa"/>
            <w:tcBorders>
              <w:top w:val="nil"/>
              <w:left w:val="nil"/>
              <w:bottom w:val="single" w:sz="4" w:space="0" w:color="auto"/>
              <w:right w:val="single" w:sz="4" w:space="0" w:color="auto"/>
            </w:tcBorders>
            <w:shd w:val="clear" w:color="auto" w:fill="auto"/>
            <w:hideMark/>
          </w:tcPr>
          <w:p w14:paraId="2C1C0D09" w14:textId="0425A6B8" w:rsidR="00FA2CC6" w:rsidRPr="000663FF" w:rsidRDefault="00DC0D18"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 mixed forestry plantation with a noteworthy and diverse flora</w:t>
            </w:r>
          </w:p>
        </w:tc>
        <w:tc>
          <w:tcPr>
            <w:tcW w:w="1984" w:type="dxa"/>
            <w:tcBorders>
              <w:top w:val="nil"/>
              <w:left w:val="nil"/>
              <w:bottom w:val="single" w:sz="4" w:space="0" w:color="auto"/>
              <w:right w:val="single" w:sz="4" w:space="0" w:color="auto"/>
            </w:tcBorders>
            <w:shd w:val="clear" w:color="auto" w:fill="auto"/>
            <w:hideMark/>
          </w:tcPr>
          <w:p w14:paraId="4B2CEB5C"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Annesley &amp; Kirkby Woodhouse</w:t>
            </w:r>
          </w:p>
        </w:tc>
      </w:tr>
      <w:bookmarkEnd w:id="332"/>
      <w:tr w:rsidR="000663FF" w:rsidRPr="000663FF" w14:paraId="0B562939" w14:textId="77777777" w:rsidTr="00DC0D18">
        <w:trPr>
          <w:trHeight w:val="617"/>
        </w:trPr>
        <w:tc>
          <w:tcPr>
            <w:tcW w:w="1009" w:type="dxa"/>
            <w:tcBorders>
              <w:top w:val="nil"/>
              <w:left w:val="single" w:sz="4" w:space="0" w:color="auto"/>
              <w:bottom w:val="single" w:sz="4" w:space="0" w:color="auto"/>
              <w:right w:val="single" w:sz="4" w:space="0" w:color="auto"/>
            </w:tcBorders>
            <w:shd w:val="clear" w:color="auto" w:fill="auto"/>
            <w:hideMark/>
          </w:tcPr>
          <w:p w14:paraId="6C8E77F3"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EV4wad</w:t>
            </w:r>
          </w:p>
        </w:tc>
        <w:tc>
          <w:tcPr>
            <w:tcW w:w="2388" w:type="dxa"/>
            <w:tcBorders>
              <w:top w:val="nil"/>
              <w:left w:val="nil"/>
              <w:bottom w:val="single" w:sz="4" w:space="0" w:color="auto"/>
              <w:right w:val="single" w:sz="4" w:space="0" w:color="auto"/>
            </w:tcBorders>
            <w:shd w:val="clear" w:color="auto" w:fill="auto"/>
            <w:hideMark/>
          </w:tcPr>
          <w:p w14:paraId="309C961F"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Annesley Park Duck Decoy</w:t>
            </w:r>
          </w:p>
        </w:tc>
        <w:tc>
          <w:tcPr>
            <w:tcW w:w="4395" w:type="dxa"/>
            <w:tcBorders>
              <w:top w:val="nil"/>
              <w:left w:val="nil"/>
              <w:bottom w:val="single" w:sz="4" w:space="0" w:color="auto"/>
              <w:right w:val="single" w:sz="4" w:space="0" w:color="auto"/>
            </w:tcBorders>
            <w:shd w:val="clear" w:color="auto" w:fill="auto"/>
            <w:hideMark/>
          </w:tcPr>
          <w:p w14:paraId="0237EC05" w14:textId="27FBD105" w:rsidR="00FA2CC6" w:rsidRPr="000663FF" w:rsidRDefault="00DC0D18"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 lake with a noteworthy flora, together with a mostly naturally regenerated woodland</w:t>
            </w:r>
          </w:p>
        </w:tc>
        <w:tc>
          <w:tcPr>
            <w:tcW w:w="1984" w:type="dxa"/>
            <w:tcBorders>
              <w:top w:val="nil"/>
              <w:left w:val="nil"/>
              <w:bottom w:val="single" w:sz="4" w:space="0" w:color="auto"/>
              <w:right w:val="single" w:sz="4" w:space="0" w:color="auto"/>
            </w:tcBorders>
            <w:shd w:val="clear" w:color="auto" w:fill="auto"/>
            <w:hideMark/>
          </w:tcPr>
          <w:p w14:paraId="36663D9B"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Annesley &amp; Kirkby Woodhouse</w:t>
            </w:r>
          </w:p>
        </w:tc>
      </w:tr>
      <w:tr w:rsidR="000663FF" w:rsidRPr="000663FF" w14:paraId="1F8F3A5B" w14:textId="77777777" w:rsidTr="00DC0D18">
        <w:trPr>
          <w:trHeight w:val="580"/>
        </w:trPr>
        <w:tc>
          <w:tcPr>
            <w:tcW w:w="1009" w:type="dxa"/>
            <w:tcBorders>
              <w:top w:val="nil"/>
              <w:left w:val="single" w:sz="4" w:space="0" w:color="auto"/>
              <w:bottom w:val="single" w:sz="4" w:space="0" w:color="auto"/>
              <w:right w:val="single" w:sz="4" w:space="0" w:color="auto"/>
            </w:tcBorders>
            <w:shd w:val="clear" w:color="auto" w:fill="auto"/>
            <w:hideMark/>
          </w:tcPr>
          <w:p w14:paraId="037825E2"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EV4wae</w:t>
            </w:r>
          </w:p>
        </w:tc>
        <w:tc>
          <w:tcPr>
            <w:tcW w:w="2388" w:type="dxa"/>
            <w:tcBorders>
              <w:top w:val="nil"/>
              <w:left w:val="nil"/>
              <w:bottom w:val="single" w:sz="4" w:space="0" w:color="auto"/>
              <w:right w:val="single" w:sz="4" w:space="0" w:color="auto"/>
            </w:tcBorders>
            <w:shd w:val="clear" w:color="auto" w:fill="auto"/>
            <w:hideMark/>
          </w:tcPr>
          <w:p w14:paraId="33520F17"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Annesley Park Pond</w:t>
            </w:r>
          </w:p>
        </w:tc>
        <w:tc>
          <w:tcPr>
            <w:tcW w:w="4395" w:type="dxa"/>
            <w:tcBorders>
              <w:top w:val="nil"/>
              <w:left w:val="nil"/>
              <w:bottom w:val="single" w:sz="4" w:space="0" w:color="auto"/>
              <w:right w:val="single" w:sz="4" w:space="0" w:color="auto"/>
            </w:tcBorders>
            <w:shd w:val="clear" w:color="auto" w:fill="auto"/>
            <w:hideMark/>
          </w:tcPr>
          <w:p w14:paraId="6E19C3D6" w14:textId="028E61DF" w:rsidR="00FA2CC6" w:rsidRPr="000663FF" w:rsidRDefault="00DC0D18"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 relatively large field pond that is rich in aquatic and marginal species</w:t>
            </w:r>
          </w:p>
        </w:tc>
        <w:tc>
          <w:tcPr>
            <w:tcW w:w="1984" w:type="dxa"/>
            <w:tcBorders>
              <w:top w:val="nil"/>
              <w:left w:val="nil"/>
              <w:bottom w:val="single" w:sz="4" w:space="0" w:color="auto"/>
              <w:right w:val="single" w:sz="4" w:space="0" w:color="auto"/>
            </w:tcBorders>
            <w:shd w:val="clear" w:color="auto" w:fill="auto"/>
            <w:hideMark/>
          </w:tcPr>
          <w:p w14:paraId="6D7AEAD1"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Annesley &amp; Kirkby Woodhouse</w:t>
            </w:r>
          </w:p>
        </w:tc>
      </w:tr>
      <w:tr w:rsidR="000663FF" w:rsidRPr="000663FF" w14:paraId="237A031C" w14:textId="77777777" w:rsidTr="00DC0D18">
        <w:trPr>
          <w:trHeight w:val="580"/>
        </w:trPr>
        <w:tc>
          <w:tcPr>
            <w:tcW w:w="1009" w:type="dxa"/>
            <w:tcBorders>
              <w:top w:val="nil"/>
              <w:left w:val="single" w:sz="4" w:space="0" w:color="auto"/>
              <w:bottom w:val="single" w:sz="4" w:space="0" w:color="auto"/>
              <w:right w:val="single" w:sz="4" w:space="0" w:color="auto"/>
            </w:tcBorders>
            <w:shd w:val="clear" w:color="auto" w:fill="auto"/>
            <w:hideMark/>
          </w:tcPr>
          <w:p w14:paraId="54BE7439"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EV4waf</w:t>
            </w:r>
          </w:p>
        </w:tc>
        <w:tc>
          <w:tcPr>
            <w:tcW w:w="2388" w:type="dxa"/>
            <w:tcBorders>
              <w:top w:val="nil"/>
              <w:left w:val="nil"/>
              <w:bottom w:val="single" w:sz="4" w:space="0" w:color="auto"/>
              <w:right w:val="single" w:sz="4" w:space="0" w:color="auto"/>
            </w:tcBorders>
            <w:shd w:val="clear" w:color="auto" w:fill="auto"/>
            <w:hideMark/>
          </w:tcPr>
          <w:p w14:paraId="297D8D45"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Annesley Pit</w:t>
            </w:r>
          </w:p>
        </w:tc>
        <w:tc>
          <w:tcPr>
            <w:tcW w:w="4395" w:type="dxa"/>
            <w:tcBorders>
              <w:top w:val="nil"/>
              <w:left w:val="nil"/>
              <w:bottom w:val="single" w:sz="4" w:space="0" w:color="auto"/>
              <w:right w:val="single" w:sz="4" w:space="0" w:color="auto"/>
            </w:tcBorders>
            <w:shd w:val="clear" w:color="auto" w:fill="auto"/>
            <w:hideMark/>
          </w:tcPr>
          <w:p w14:paraId="50A14C62" w14:textId="2B4D4C34" w:rsidR="00FA2CC6" w:rsidRPr="000663FF" w:rsidRDefault="00DC0D18"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 diverse site of botanical and zoological importance</w:t>
            </w:r>
          </w:p>
        </w:tc>
        <w:tc>
          <w:tcPr>
            <w:tcW w:w="1984" w:type="dxa"/>
            <w:tcBorders>
              <w:top w:val="nil"/>
              <w:left w:val="nil"/>
              <w:bottom w:val="single" w:sz="4" w:space="0" w:color="auto"/>
              <w:right w:val="single" w:sz="4" w:space="0" w:color="auto"/>
            </w:tcBorders>
            <w:shd w:val="clear" w:color="auto" w:fill="auto"/>
            <w:hideMark/>
          </w:tcPr>
          <w:p w14:paraId="56FC2DE8"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Annesley &amp; Kirkby Woodhouse</w:t>
            </w:r>
          </w:p>
        </w:tc>
      </w:tr>
      <w:tr w:rsidR="000663FF" w:rsidRPr="000663FF" w14:paraId="5CBC51BC" w14:textId="77777777" w:rsidTr="00DC0D18">
        <w:trPr>
          <w:trHeight w:val="580"/>
        </w:trPr>
        <w:tc>
          <w:tcPr>
            <w:tcW w:w="1009" w:type="dxa"/>
            <w:tcBorders>
              <w:top w:val="nil"/>
              <w:left w:val="single" w:sz="4" w:space="0" w:color="auto"/>
              <w:bottom w:val="single" w:sz="4" w:space="0" w:color="auto"/>
              <w:right w:val="single" w:sz="4" w:space="0" w:color="auto"/>
            </w:tcBorders>
            <w:shd w:val="clear" w:color="auto" w:fill="auto"/>
            <w:hideMark/>
          </w:tcPr>
          <w:p w14:paraId="1AD61D3E"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EV4wag</w:t>
            </w:r>
          </w:p>
        </w:tc>
        <w:tc>
          <w:tcPr>
            <w:tcW w:w="2388" w:type="dxa"/>
            <w:tcBorders>
              <w:top w:val="nil"/>
              <w:left w:val="nil"/>
              <w:bottom w:val="single" w:sz="4" w:space="0" w:color="auto"/>
              <w:right w:val="single" w:sz="4" w:space="0" w:color="auto"/>
            </w:tcBorders>
            <w:shd w:val="clear" w:color="auto" w:fill="auto"/>
            <w:hideMark/>
          </w:tcPr>
          <w:p w14:paraId="232CA5B9"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Annesley Scarp Grassland</w:t>
            </w:r>
          </w:p>
        </w:tc>
        <w:tc>
          <w:tcPr>
            <w:tcW w:w="4395" w:type="dxa"/>
            <w:tcBorders>
              <w:top w:val="nil"/>
              <w:left w:val="nil"/>
              <w:bottom w:val="single" w:sz="4" w:space="0" w:color="auto"/>
              <w:right w:val="single" w:sz="4" w:space="0" w:color="auto"/>
            </w:tcBorders>
            <w:shd w:val="clear" w:color="auto" w:fill="auto"/>
            <w:hideMark/>
          </w:tcPr>
          <w:p w14:paraId="02DE67A7" w14:textId="4F713677" w:rsidR="00FA2CC6" w:rsidRPr="000663FF" w:rsidRDefault="00DC0D18"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 species-rich calcareous grassland</w:t>
            </w:r>
          </w:p>
        </w:tc>
        <w:tc>
          <w:tcPr>
            <w:tcW w:w="1984" w:type="dxa"/>
            <w:tcBorders>
              <w:top w:val="nil"/>
              <w:left w:val="nil"/>
              <w:bottom w:val="single" w:sz="4" w:space="0" w:color="auto"/>
              <w:right w:val="single" w:sz="4" w:space="0" w:color="auto"/>
            </w:tcBorders>
            <w:shd w:val="clear" w:color="auto" w:fill="auto"/>
            <w:hideMark/>
          </w:tcPr>
          <w:p w14:paraId="293B230C"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Annesley &amp; Kirkby Woodhouse</w:t>
            </w:r>
          </w:p>
        </w:tc>
      </w:tr>
      <w:tr w:rsidR="000663FF" w:rsidRPr="000663FF" w14:paraId="059DFAD2" w14:textId="77777777" w:rsidTr="00DC0D18">
        <w:trPr>
          <w:trHeight w:val="580"/>
        </w:trPr>
        <w:tc>
          <w:tcPr>
            <w:tcW w:w="1009" w:type="dxa"/>
            <w:tcBorders>
              <w:top w:val="nil"/>
              <w:left w:val="single" w:sz="4" w:space="0" w:color="auto"/>
              <w:bottom w:val="single" w:sz="4" w:space="0" w:color="auto"/>
              <w:right w:val="single" w:sz="4" w:space="0" w:color="auto"/>
            </w:tcBorders>
            <w:shd w:val="clear" w:color="auto" w:fill="auto"/>
            <w:hideMark/>
          </w:tcPr>
          <w:p w14:paraId="3F9889FD"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EV4wah</w:t>
            </w:r>
          </w:p>
        </w:tc>
        <w:tc>
          <w:tcPr>
            <w:tcW w:w="2388" w:type="dxa"/>
            <w:tcBorders>
              <w:top w:val="nil"/>
              <w:left w:val="nil"/>
              <w:bottom w:val="single" w:sz="4" w:space="0" w:color="auto"/>
              <w:right w:val="single" w:sz="4" w:space="0" w:color="auto"/>
            </w:tcBorders>
            <w:shd w:val="clear" w:color="auto" w:fill="auto"/>
            <w:hideMark/>
          </w:tcPr>
          <w:p w14:paraId="59F28FF1"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Annesley Track Verge</w:t>
            </w:r>
          </w:p>
        </w:tc>
        <w:tc>
          <w:tcPr>
            <w:tcW w:w="4395" w:type="dxa"/>
            <w:tcBorders>
              <w:top w:val="nil"/>
              <w:left w:val="nil"/>
              <w:bottom w:val="single" w:sz="4" w:space="0" w:color="auto"/>
              <w:right w:val="single" w:sz="4" w:space="0" w:color="auto"/>
            </w:tcBorders>
            <w:shd w:val="clear" w:color="auto" w:fill="auto"/>
            <w:hideMark/>
          </w:tcPr>
          <w:p w14:paraId="4988F302" w14:textId="45436053" w:rsidR="00FA2CC6" w:rsidRPr="000663FF" w:rsidRDefault="00DC0D18"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Grassy track verges bounded by species-rich hedgerows</w:t>
            </w:r>
          </w:p>
        </w:tc>
        <w:tc>
          <w:tcPr>
            <w:tcW w:w="1984" w:type="dxa"/>
            <w:tcBorders>
              <w:top w:val="nil"/>
              <w:left w:val="nil"/>
              <w:bottom w:val="single" w:sz="4" w:space="0" w:color="auto"/>
              <w:right w:val="single" w:sz="4" w:space="0" w:color="auto"/>
            </w:tcBorders>
            <w:shd w:val="clear" w:color="auto" w:fill="auto"/>
            <w:hideMark/>
          </w:tcPr>
          <w:p w14:paraId="25DF6121"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Annesley &amp; Kirkby Woodhouse</w:t>
            </w:r>
          </w:p>
        </w:tc>
      </w:tr>
      <w:tr w:rsidR="000663FF" w:rsidRPr="000663FF" w14:paraId="108AF1C5" w14:textId="77777777" w:rsidTr="00DC0D18">
        <w:trPr>
          <w:trHeight w:val="580"/>
        </w:trPr>
        <w:tc>
          <w:tcPr>
            <w:tcW w:w="1009" w:type="dxa"/>
            <w:tcBorders>
              <w:top w:val="nil"/>
              <w:left w:val="single" w:sz="4" w:space="0" w:color="auto"/>
              <w:bottom w:val="single" w:sz="4" w:space="0" w:color="auto"/>
              <w:right w:val="single" w:sz="4" w:space="0" w:color="auto"/>
            </w:tcBorders>
            <w:shd w:val="clear" w:color="auto" w:fill="auto"/>
            <w:hideMark/>
          </w:tcPr>
          <w:p w14:paraId="18ABF6E0"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EV4wai</w:t>
            </w:r>
          </w:p>
        </w:tc>
        <w:tc>
          <w:tcPr>
            <w:tcW w:w="2388" w:type="dxa"/>
            <w:tcBorders>
              <w:top w:val="nil"/>
              <w:left w:val="nil"/>
              <w:bottom w:val="single" w:sz="4" w:space="0" w:color="auto"/>
              <w:right w:val="single" w:sz="4" w:space="0" w:color="auto"/>
            </w:tcBorders>
            <w:shd w:val="clear" w:color="auto" w:fill="auto"/>
            <w:hideMark/>
          </w:tcPr>
          <w:p w14:paraId="182AA5C7"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Annesley Woodhouse Cemetery</w:t>
            </w:r>
          </w:p>
        </w:tc>
        <w:tc>
          <w:tcPr>
            <w:tcW w:w="4395" w:type="dxa"/>
            <w:tcBorders>
              <w:top w:val="nil"/>
              <w:left w:val="nil"/>
              <w:bottom w:val="single" w:sz="4" w:space="0" w:color="auto"/>
              <w:right w:val="single" w:sz="4" w:space="0" w:color="auto"/>
            </w:tcBorders>
            <w:shd w:val="clear" w:color="auto" w:fill="auto"/>
            <w:hideMark/>
          </w:tcPr>
          <w:p w14:paraId="372671D3" w14:textId="68BE45A3" w:rsidR="00FA2CC6" w:rsidRPr="000663FF" w:rsidRDefault="00DC0D18"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Noteworthy grassland</w:t>
            </w:r>
          </w:p>
        </w:tc>
        <w:tc>
          <w:tcPr>
            <w:tcW w:w="1984" w:type="dxa"/>
            <w:tcBorders>
              <w:top w:val="nil"/>
              <w:left w:val="nil"/>
              <w:bottom w:val="single" w:sz="4" w:space="0" w:color="auto"/>
              <w:right w:val="single" w:sz="4" w:space="0" w:color="auto"/>
            </w:tcBorders>
            <w:shd w:val="clear" w:color="auto" w:fill="auto"/>
            <w:hideMark/>
          </w:tcPr>
          <w:p w14:paraId="58E97DC6"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Annesley &amp; Kirkby Woodhouse</w:t>
            </w:r>
          </w:p>
        </w:tc>
      </w:tr>
      <w:tr w:rsidR="000663FF" w:rsidRPr="000663FF" w14:paraId="543421A4" w14:textId="77777777" w:rsidTr="00DC0D18">
        <w:trPr>
          <w:trHeight w:val="580"/>
        </w:trPr>
        <w:tc>
          <w:tcPr>
            <w:tcW w:w="1009" w:type="dxa"/>
            <w:tcBorders>
              <w:top w:val="nil"/>
              <w:left w:val="single" w:sz="4" w:space="0" w:color="auto"/>
              <w:bottom w:val="single" w:sz="4" w:space="0" w:color="auto"/>
              <w:right w:val="single" w:sz="4" w:space="0" w:color="auto"/>
            </w:tcBorders>
            <w:shd w:val="clear" w:color="auto" w:fill="auto"/>
            <w:hideMark/>
          </w:tcPr>
          <w:p w14:paraId="3D69C811"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EV4waj</w:t>
            </w:r>
          </w:p>
        </w:tc>
        <w:tc>
          <w:tcPr>
            <w:tcW w:w="2388" w:type="dxa"/>
            <w:tcBorders>
              <w:top w:val="nil"/>
              <w:left w:val="nil"/>
              <w:bottom w:val="single" w:sz="4" w:space="0" w:color="auto"/>
              <w:right w:val="single" w:sz="4" w:space="0" w:color="auto"/>
            </w:tcBorders>
            <w:shd w:val="clear" w:color="auto" w:fill="auto"/>
            <w:hideMark/>
          </w:tcPr>
          <w:p w14:paraId="1E2D022E"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Annesley Woodhouse Grassland</w:t>
            </w:r>
          </w:p>
        </w:tc>
        <w:tc>
          <w:tcPr>
            <w:tcW w:w="4395" w:type="dxa"/>
            <w:tcBorders>
              <w:top w:val="nil"/>
              <w:left w:val="nil"/>
              <w:bottom w:val="single" w:sz="4" w:space="0" w:color="auto"/>
              <w:right w:val="single" w:sz="4" w:space="0" w:color="auto"/>
            </w:tcBorders>
            <w:shd w:val="clear" w:color="auto" w:fill="auto"/>
            <w:hideMark/>
          </w:tcPr>
          <w:p w14:paraId="3FB9558F" w14:textId="66827400" w:rsidR="00FA2CC6" w:rsidRPr="000663FF" w:rsidRDefault="00DC0D18"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 fine example of a damp coal measures grassland</w:t>
            </w:r>
          </w:p>
        </w:tc>
        <w:tc>
          <w:tcPr>
            <w:tcW w:w="1984" w:type="dxa"/>
            <w:tcBorders>
              <w:top w:val="nil"/>
              <w:left w:val="nil"/>
              <w:bottom w:val="single" w:sz="4" w:space="0" w:color="auto"/>
              <w:right w:val="single" w:sz="4" w:space="0" w:color="auto"/>
            </w:tcBorders>
            <w:shd w:val="clear" w:color="auto" w:fill="auto"/>
            <w:hideMark/>
          </w:tcPr>
          <w:p w14:paraId="4414274A"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Annesley &amp; Kirkby Woodhouse</w:t>
            </w:r>
          </w:p>
        </w:tc>
      </w:tr>
      <w:tr w:rsidR="000663FF" w:rsidRPr="000663FF" w14:paraId="3E4220E2" w14:textId="77777777" w:rsidTr="00DC0D18">
        <w:trPr>
          <w:trHeight w:val="580"/>
        </w:trPr>
        <w:tc>
          <w:tcPr>
            <w:tcW w:w="1009" w:type="dxa"/>
            <w:tcBorders>
              <w:top w:val="nil"/>
              <w:left w:val="single" w:sz="4" w:space="0" w:color="auto"/>
              <w:bottom w:val="single" w:sz="4" w:space="0" w:color="auto"/>
              <w:right w:val="single" w:sz="4" w:space="0" w:color="auto"/>
            </w:tcBorders>
            <w:shd w:val="clear" w:color="auto" w:fill="auto"/>
            <w:hideMark/>
          </w:tcPr>
          <w:p w14:paraId="6EFB6FA9"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EV4wak</w:t>
            </w:r>
          </w:p>
        </w:tc>
        <w:tc>
          <w:tcPr>
            <w:tcW w:w="2388" w:type="dxa"/>
            <w:tcBorders>
              <w:top w:val="nil"/>
              <w:left w:val="nil"/>
              <w:bottom w:val="single" w:sz="4" w:space="0" w:color="auto"/>
              <w:right w:val="single" w:sz="4" w:space="0" w:color="auto"/>
            </w:tcBorders>
            <w:shd w:val="clear" w:color="auto" w:fill="auto"/>
            <w:hideMark/>
          </w:tcPr>
          <w:p w14:paraId="3EF7937E"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Annesley Woodhouse Pond Grassland</w:t>
            </w:r>
          </w:p>
        </w:tc>
        <w:tc>
          <w:tcPr>
            <w:tcW w:w="4395" w:type="dxa"/>
            <w:tcBorders>
              <w:top w:val="nil"/>
              <w:left w:val="nil"/>
              <w:bottom w:val="single" w:sz="4" w:space="0" w:color="auto"/>
              <w:right w:val="single" w:sz="4" w:space="0" w:color="auto"/>
            </w:tcBorders>
            <w:shd w:val="clear" w:color="auto" w:fill="auto"/>
            <w:hideMark/>
          </w:tcPr>
          <w:p w14:paraId="3AE20E3C" w14:textId="35A91285" w:rsidR="00FA2CC6" w:rsidRPr="000663FF" w:rsidRDefault="00DC0D18"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Damp grassland with species-rich flushes</w:t>
            </w:r>
          </w:p>
        </w:tc>
        <w:tc>
          <w:tcPr>
            <w:tcW w:w="1984" w:type="dxa"/>
            <w:tcBorders>
              <w:top w:val="nil"/>
              <w:left w:val="nil"/>
              <w:bottom w:val="single" w:sz="4" w:space="0" w:color="auto"/>
              <w:right w:val="single" w:sz="4" w:space="0" w:color="auto"/>
            </w:tcBorders>
            <w:shd w:val="clear" w:color="auto" w:fill="auto"/>
            <w:hideMark/>
          </w:tcPr>
          <w:p w14:paraId="0D48D5E3"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Annesley &amp; Kirkby Woodhouse</w:t>
            </w:r>
          </w:p>
        </w:tc>
      </w:tr>
      <w:tr w:rsidR="000663FF" w:rsidRPr="000663FF" w14:paraId="2A097BF2" w14:textId="77777777" w:rsidTr="00DC0D18">
        <w:trPr>
          <w:trHeight w:val="580"/>
        </w:trPr>
        <w:tc>
          <w:tcPr>
            <w:tcW w:w="1009" w:type="dxa"/>
            <w:tcBorders>
              <w:top w:val="nil"/>
              <w:left w:val="single" w:sz="4" w:space="0" w:color="auto"/>
              <w:bottom w:val="single" w:sz="4" w:space="0" w:color="auto"/>
              <w:right w:val="single" w:sz="4" w:space="0" w:color="auto"/>
            </w:tcBorders>
            <w:shd w:val="clear" w:color="auto" w:fill="auto"/>
            <w:hideMark/>
          </w:tcPr>
          <w:p w14:paraId="09F45985"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EV4wal</w:t>
            </w:r>
          </w:p>
        </w:tc>
        <w:tc>
          <w:tcPr>
            <w:tcW w:w="2388" w:type="dxa"/>
            <w:tcBorders>
              <w:top w:val="nil"/>
              <w:left w:val="nil"/>
              <w:bottom w:val="single" w:sz="4" w:space="0" w:color="auto"/>
              <w:right w:val="single" w:sz="4" w:space="0" w:color="auto"/>
            </w:tcBorders>
            <w:shd w:val="clear" w:color="auto" w:fill="auto"/>
            <w:hideMark/>
          </w:tcPr>
          <w:p w14:paraId="7E1AE781"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Annesley Woodhouse Quarry</w:t>
            </w:r>
          </w:p>
        </w:tc>
        <w:tc>
          <w:tcPr>
            <w:tcW w:w="4395" w:type="dxa"/>
            <w:tcBorders>
              <w:top w:val="nil"/>
              <w:left w:val="nil"/>
              <w:bottom w:val="single" w:sz="4" w:space="0" w:color="auto"/>
              <w:right w:val="single" w:sz="4" w:space="0" w:color="auto"/>
            </w:tcBorders>
            <w:shd w:val="clear" w:color="auto" w:fill="auto"/>
            <w:hideMark/>
          </w:tcPr>
          <w:p w14:paraId="693035CC" w14:textId="32384F16" w:rsidR="00FA2CC6" w:rsidRPr="000663FF" w:rsidRDefault="00DC0D18"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An excellent Magnesian Limestone grassland</w:t>
            </w:r>
          </w:p>
        </w:tc>
        <w:tc>
          <w:tcPr>
            <w:tcW w:w="1984" w:type="dxa"/>
            <w:tcBorders>
              <w:top w:val="nil"/>
              <w:left w:val="nil"/>
              <w:bottom w:val="single" w:sz="4" w:space="0" w:color="auto"/>
              <w:right w:val="single" w:sz="4" w:space="0" w:color="auto"/>
            </w:tcBorders>
            <w:shd w:val="clear" w:color="auto" w:fill="auto"/>
            <w:hideMark/>
          </w:tcPr>
          <w:p w14:paraId="798CCFB6"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Annesley &amp; Kirkby Woodhouse</w:t>
            </w:r>
          </w:p>
        </w:tc>
      </w:tr>
      <w:tr w:rsidR="000663FF" w:rsidRPr="000663FF" w14:paraId="78325261" w14:textId="77777777" w:rsidTr="00DC0D18">
        <w:trPr>
          <w:trHeight w:val="580"/>
        </w:trPr>
        <w:tc>
          <w:tcPr>
            <w:tcW w:w="1009" w:type="dxa"/>
            <w:tcBorders>
              <w:top w:val="nil"/>
              <w:left w:val="single" w:sz="4" w:space="0" w:color="auto"/>
              <w:bottom w:val="single" w:sz="4" w:space="0" w:color="auto"/>
              <w:right w:val="single" w:sz="4" w:space="0" w:color="auto"/>
            </w:tcBorders>
            <w:shd w:val="clear" w:color="auto" w:fill="auto"/>
            <w:hideMark/>
          </w:tcPr>
          <w:p w14:paraId="48E4AC16"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EV4wam</w:t>
            </w:r>
          </w:p>
        </w:tc>
        <w:tc>
          <w:tcPr>
            <w:tcW w:w="2388" w:type="dxa"/>
            <w:tcBorders>
              <w:top w:val="nil"/>
              <w:left w:val="nil"/>
              <w:bottom w:val="single" w:sz="4" w:space="0" w:color="auto"/>
              <w:right w:val="single" w:sz="4" w:space="0" w:color="auto"/>
            </w:tcBorders>
            <w:shd w:val="clear" w:color="auto" w:fill="auto"/>
            <w:hideMark/>
          </w:tcPr>
          <w:p w14:paraId="07AA922D"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Annesley Woodhouse Woodland</w:t>
            </w:r>
          </w:p>
        </w:tc>
        <w:tc>
          <w:tcPr>
            <w:tcW w:w="4395" w:type="dxa"/>
            <w:tcBorders>
              <w:top w:val="nil"/>
              <w:left w:val="nil"/>
              <w:bottom w:val="single" w:sz="4" w:space="0" w:color="auto"/>
              <w:right w:val="single" w:sz="4" w:space="0" w:color="auto"/>
            </w:tcBorders>
            <w:shd w:val="clear" w:color="auto" w:fill="auto"/>
            <w:hideMark/>
          </w:tcPr>
          <w:p w14:paraId="35B67515"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A mixed woodland with a rich ground flora and wet flush communities</w:t>
            </w:r>
          </w:p>
        </w:tc>
        <w:tc>
          <w:tcPr>
            <w:tcW w:w="1984" w:type="dxa"/>
            <w:tcBorders>
              <w:top w:val="nil"/>
              <w:left w:val="nil"/>
              <w:bottom w:val="single" w:sz="4" w:space="0" w:color="auto"/>
              <w:right w:val="single" w:sz="4" w:space="0" w:color="auto"/>
            </w:tcBorders>
            <w:shd w:val="clear" w:color="auto" w:fill="auto"/>
            <w:hideMark/>
          </w:tcPr>
          <w:p w14:paraId="33B66AF7"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Annesley &amp; Kirkby Woodhouse</w:t>
            </w:r>
          </w:p>
        </w:tc>
      </w:tr>
      <w:tr w:rsidR="000663FF" w:rsidRPr="000663FF" w14:paraId="69B4480A" w14:textId="77777777" w:rsidTr="00DC0D18">
        <w:trPr>
          <w:trHeight w:val="580"/>
        </w:trPr>
        <w:tc>
          <w:tcPr>
            <w:tcW w:w="1009" w:type="dxa"/>
            <w:tcBorders>
              <w:top w:val="nil"/>
              <w:left w:val="single" w:sz="4" w:space="0" w:color="auto"/>
              <w:bottom w:val="single" w:sz="4" w:space="0" w:color="auto"/>
              <w:right w:val="single" w:sz="4" w:space="0" w:color="auto"/>
            </w:tcBorders>
            <w:shd w:val="clear" w:color="auto" w:fill="auto"/>
            <w:hideMark/>
          </w:tcPr>
          <w:p w14:paraId="3D8F4C79"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EV4wan</w:t>
            </w:r>
          </w:p>
        </w:tc>
        <w:tc>
          <w:tcPr>
            <w:tcW w:w="2388" w:type="dxa"/>
            <w:tcBorders>
              <w:top w:val="nil"/>
              <w:left w:val="nil"/>
              <w:bottom w:val="single" w:sz="4" w:space="0" w:color="auto"/>
              <w:right w:val="single" w:sz="4" w:space="0" w:color="auto"/>
            </w:tcBorders>
            <w:shd w:val="clear" w:color="auto" w:fill="auto"/>
            <w:hideMark/>
          </w:tcPr>
          <w:p w14:paraId="3D7593E6"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Annesley Woodland I</w:t>
            </w:r>
          </w:p>
        </w:tc>
        <w:tc>
          <w:tcPr>
            <w:tcW w:w="4395" w:type="dxa"/>
            <w:tcBorders>
              <w:top w:val="nil"/>
              <w:left w:val="nil"/>
              <w:bottom w:val="single" w:sz="4" w:space="0" w:color="auto"/>
              <w:right w:val="single" w:sz="4" w:space="0" w:color="auto"/>
            </w:tcBorders>
            <w:shd w:val="clear" w:color="auto" w:fill="auto"/>
            <w:hideMark/>
          </w:tcPr>
          <w:p w14:paraId="62B7C581" w14:textId="353EBF82" w:rsidR="00FA2CC6" w:rsidRPr="000663FF" w:rsidRDefault="00DC0D18"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 noteworthy mosaic of dry and wet deciduous woodland</w:t>
            </w:r>
          </w:p>
        </w:tc>
        <w:tc>
          <w:tcPr>
            <w:tcW w:w="1984" w:type="dxa"/>
            <w:tcBorders>
              <w:top w:val="nil"/>
              <w:left w:val="nil"/>
              <w:bottom w:val="single" w:sz="4" w:space="0" w:color="auto"/>
              <w:right w:val="single" w:sz="4" w:space="0" w:color="auto"/>
            </w:tcBorders>
            <w:shd w:val="clear" w:color="auto" w:fill="auto"/>
            <w:hideMark/>
          </w:tcPr>
          <w:p w14:paraId="3F20D5BB"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Annesley &amp; Kirkby Woodhouse</w:t>
            </w:r>
          </w:p>
        </w:tc>
      </w:tr>
      <w:tr w:rsidR="000663FF" w:rsidRPr="000663FF" w14:paraId="5420AE3C" w14:textId="77777777" w:rsidTr="00DC0D18">
        <w:trPr>
          <w:trHeight w:val="624"/>
        </w:trPr>
        <w:tc>
          <w:tcPr>
            <w:tcW w:w="1009" w:type="dxa"/>
            <w:tcBorders>
              <w:top w:val="single" w:sz="4" w:space="0" w:color="auto"/>
              <w:left w:val="single" w:sz="4" w:space="0" w:color="auto"/>
              <w:bottom w:val="single" w:sz="4" w:space="0" w:color="auto"/>
              <w:right w:val="single" w:sz="4" w:space="0" w:color="auto"/>
            </w:tcBorders>
            <w:shd w:val="clear" w:color="auto" w:fill="auto"/>
            <w:hideMark/>
          </w:tcPr>
          <w:p w14:paraId="443C910F"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EV4wao</w:t>
            </w:r>
          </w:p>
        </w:tc>
        <w:tc>
          <w:tcPr>
            <w:tcW w:w="2388" w:type="dxa"/>
            <w:tcBorders>
              <w:top w:val="single" w:sz="4" w:space="0" w:color="auto"/>
              <w:left w:val="single" w:sz="4" w:space="0" w:color="auto"/>
              <w:bottom w:val="single" w:sz="4" w:space="0" w:color="auto"/>
              <w:right w:val="single" w:sz="4" w:space="0" w:color="auto"/>
            </w:tcBorders>
            <w:shd w:val="clear" w:color="auto" w:fill="auto"/>
            <w:hideMark/>
          </w:tcPr>
          <w:p w14:paraId="6295B5BA"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Annesley Woodland II</w:t>
            </w:r>
          </w:p>
        </w:tc>
        <w:tc>
          <w:tcPr>
            <w:tcW w:w="4395" w:type="dxa"/>
            <w:tcBorders>
              <w:top w:val="single" w:sz="4" w:space="0" w:color="auto"/>
              <w:left w:val="single" w:sz="4" w:space="0" w:color="auto"/>
              <w:bottom w:val="single" w:sz="4" w:space="0" w:color="auto"/>
              <w:right w:val="single" w:sz="4" w:space="0" w:color="auto"/>
            </w:tcBorders>
            <w:shd w:val="clear" w:color="auto" w:fill="auto"/>
            <w:hideMark/>
          </w:tcPr>
          <w:p w14:paraId="24699323" w14:textId="4345A0C3" w:rsidR="00FA2CC6" w:rsidRPr="000663FF" w:rsidRDefault="00DC0D18"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 small valley with notable deciduous woodland, flush and aquatic communities</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013E7525"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Annesley &amp; Kirkby Woodhouse</w:t>
            </w:r>
          </w:p>
        </w:tc>
      </w:tr>
      <w:tr w:rsidR="000663FF" w:rsidRPr="000663FF" w14:paraId="23AE76AB" w14:textId="77777777" w:rsidTr="00DC0D18">
        <w:trPr>
          <w:trHeight w:val="290"/>
        </w:trPr>
        <w:tc>
          <w:tcPr>
            <w:tcW w:w="1009" w:type="dxa"/>
            <w:tcBorders>
              <w:top w:val="single" w:sz="4" w:space="0" w:color="auto"/>
              <w:left w:val="single" w:sz="4" w:space="0" w:color="auto"/>
              <w:bottom w:val="single" w:sz="4" w:space="0" w:color="auto"/>
              <w:right w:val="single" w:sz="4" w:space="0" w:color="auto"/>
            </w:tcBorders>
            <w:shd w:val="clear" w:color="auto" w:fill="auto"/>
            <w:hideMark/>
          </w:tcPr>
          <w:p w14:paraId="04C90A92"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EV4wap</w:t>
            </w:r>
          </w:p>
        </w:tc>
        <w:tc>
          <w:tcPr>
            <w:tcW w:w="2388" w:type="dxa"/>
            <w:tcBorders>
              <w:top w:val="single" w:sz="4" w:space="0" w:color="auto"/>
              <w:left w:val="nil"/>
              <w:bottom w:val="single" w:sz="4" w:space="0" w:color="auto"/>
              <w:right w:val="single" w:sz="4" w:space="0" w:color="auto"/>
            </w:tcBorders>
            <w:shd w:val="clear" w:color="auto" w:fill="auto"/>
            <w:hideMark/>
          </w:tcPr>
          <w:p w14:paraId="2FA728A8"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Ashfield District By-pass Meadows</w:t>
            </w:r>
          </w:p>
        </w:tc>
        <w:tc>
          <w:tcPr>
            <w:tcW w:w="4395" w:type="dxa"/>
            <w:tcBorders>
              <w:top w:val="single" w:sz="4" w:space="0" w:color="auto"/>
              <w:left w:val="nil"/>
              <w:bottom w:val="single" w:sz="4" w:space="0" w:color="auto"/>
              <w:right w:val="single" w:sz="4" w:space="0" w:color="auto"/>
            </w:tcBorders>
            <w:shd w:val="clear" w:color="auto" w:fill="auto"/>
            <w:hideMark/>
          </w:tcPr>
          <w:p w14:paraId="3ACF6F8D" w14:textId="1EA4ACE0" w:rsidR="00FA2CC6" w:rsidRPr="000663FF" w:rsidRDefault="00DC0D18"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Herb-rich meadows</w:t>
            </w:r>
          </w:p>
        </w:tc>
        <w:tc>
          <w:tcPr>
            <w:tcW w:w="1984" w:type="dxa"/>
            <w:tcBorders>
              <w:top w:val="single" w:sz="4" w:space="0" w:color="auto"/>
              <w:left w:val="nil"/>
              <w:bottom w:val="single" w:sz="4" w:space="0" w:color="auto"/>
              <w:right w:val="single" w:sz="4" w:space="0" w:color="auto"/>
            </w:tcBorders>
            <w:shd w:val="clear" w:color="auto" w:fill="auto"/>
            <w:hideMark/>
          </w:tcPr>
          <w:p w14:paraId="42F748BE"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Larwood</w:t>
            </w:r>
          </w:p>
        </w:tc>
      </w:tr>
      <w:tr w:rsidR="000663FF" w:rsidRPr="000663FF" w14:paraId="3F3BC6BC" w14:textId="77777777" w:rsidTr="00DC0D18">
        <w:trPr>
          <w:trHeight w:val="870"/>
        </w:trPr>
        <w:tc>
          <w:tcPr>
            <w:tcW w:w="1009" w:type="dxa"/>
            <w:tcBorders>
              <w:top w:val="nil"/>
              <w:left w:val="single" w:sz="4" w:space="0" w:color="auto"/>
              <w:bottom w:val="single" w:sz="4" w:space="0" w:color="auto"/>
              <w:right w:val="single" w:sz="4" w:space="0" w:color="auto"/>
            </w:tcBorders>
            <w:shd w:val="clear" w:color="auto" w:fill="auto"/>
            <w:hideMark/>
          </w:tcPr>
          <w:p w14:paraId="770B4932"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EV4waq</w:t>
            </w:r>
          </w:p>
        </w:tc>
        <w:tc>
          <w:tcPr>
            <w:tcW w:w="2388" w:type="dxa"/>
            <w:tcBorders>
              <w:top w:val="nil"/>
              <w:left w:val="nil"/>
              <w:bottom w:val="single" w:sz="4" w:space="0" w:color="auto"/>
              <w:right w:val="single" w:sz="4" w:space="0" w:color="auto"/>
            </w:tcBorders>
            <w:shd w:val="clear" w:color="auto" w:fill="auto"/>
            <w:hideMark/>
          </w:tcPr>
          <w:p w14:paraId="07040385"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Bagthorpe Brook</w:t>
            </w:r>
          </w:p>
        </w:tc>
        <w:tc>
          <w:tcPr>
            <w:tcW w:w="4395" w:type="dxa"/>
            <w:tcBorders>
              <w:top w:val="nil"/>
              <w:left w:val="nil"/>
              <w:bottom w:val="single" w:sz="4" w:space="0" w:color="auto"/>
              <w:right w:val="single" w:sz="4" w:space="0" w:color="auto"/>
            </w:tcBorders>
            <w:shd w:val="clear" w:color="auto" w:fill="auto"/>
            <w:hideMark/>
          </w:tcPr>
          <w:p w14:paraId="4007BEA3" w14:textId="2E88C7D2" w:rsidR="00FA2CC6" w:rsidRPr="000663FF" w:rsidRDefault="00DC0D18"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 brook with species-rich semi-natural woodland, relict coal measures grassland and scrub communitie</w:t>
            </w:r>
            <w:r w:rsidR="00605918" w:rsidRPr="000663FF">
              <w:rPr>
                <w:rFonts w:ascii="Calibri" w:hAnsi="Calibri" w:cs="Calibri"/>
                <w:color w:val="auto"/>
                <w:sz w:val="22"/>
                <w:szCs w:val="22"/>
              </w:rPr>
              <w:t>s</w:t>
            </w:r>
          </w:p>
        </w:tc>
        <w:tc>
          <w:tcPr>
            <w:tcW w:w="1984" w:type="dxa"/>
            <w:tcBorders>
              <w:top w:val="nil"/>
              <w:left w:val="nil"/>
              <w:bottom w:val="single" w:sz="4" w:space="0" w:color="auto"/>
              <w:right w:val="single" w:sz="4" w:space="0" w:color="auto"/>
            </w:tcBorders>
            <w:shd w:val="clear" w:color="auto" w:fill="auto"/>
            <w:hideMark/>
          </w:tcPr>
          <w:p w14:paraId="04294B56"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Jacksdale &amp; Westwood</w:t>
            </w:r>
          </w:p>
        </w:tc>
      </w:tr>
      <w:tr w:rsidR="000663FF" w:rsidRPr="000663FF" w14:paraId="322614F4" w14:textId="77777777" w:rsidTr="00DC0D18">
        <w:trPr>
          <w:trHeight w:val="580"/>
        </w:trPr>
        <w:tc>
          <w:tcPr>
            <w:tcW w:w="1009" w:type="dxa"/>
            <w:tcBorders>
              <w:top w:val="nil"/>
              <w:left w:val="single" w:sz="4" w:space="0" w:color="auto"/>
              <w:bottom w:val="single" w:sz="4" w:space="0" w:color="auto"/>
              <w:right w:val="single" w:sz="4" w:space="0" w:color="auto"/>
            </w:tcBorders>
            <w:shd w:val="clear" w:color="auto" w:fill="auto"/>
            <w:hideMark/>
          </w:tcPr>
          <w:p w14:paraId="7343DF61"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EV4war</w:t>
            </w:r>
          </w:p>
        </w:tc>
        <w:tc>
          <w:tcPr>
            <w:tcW w:w="2388" w:type="dxa"/>
            <w:tcBorders>
              <w:top w:val="nil"/>
              <w:left w:val="nil"/>
              <w:bottom w:val="single" w:sz="4" w:space="0" w:color="auto"/>
              <w:right w:val="single" w:sz="4" w:space="0" w:color="auto"/>
            </w:tcBorders>
            <w:shd w:val="clear" w:color="auto" w:fill="auto"/>
            <w:hideMark/>
          </w:tcPr>
          <w:p w14:paraId="0DDD7837"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Bagthorpe Brook Grassland</w:t>
            </w:r>
          </w:p>
        </w:tc>
        <w:tc>
          <w:tcPr>
            <w:tcW w:w="4395" w:type="dxa"/>
            <w:tcBorders>
              <w:top w:val="nil"/>
              <w:left w:val="nil"/>
              <w:bottom w:val="single" w:sz="4" w:space="0" w:color="auto"/>
              <w:right w:val="single" w:sz="4" w:space="0" w:color="auto"/>
            </w:tcBorders>
            <w:shd w:val="clear" w:color="auto" w:fill="auto"/>
            <w:hideMark/>
          </w:tcPr>
          <w:p w14:paraId="04597FB8" w14:textId="506690D7" w:rsidR="00FA2CC6" w:rsidRPr="000663FF" w:rsidRDefault="00DC0D18"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 notable coal-measures grassland</w:t>
            </w:r>
          </w:p>
        </w:tc>
        <w:tc>
          <w:tcPr>
            <w:tcW w:w="1984" w:type="dxa"/>
            <w:tcBorders>
              <w:top w:val="nil"/>
              <w:left w:val="nil"/>
              <w:bottom w:val="single" w:sz="4" w:space="0" w:color="auto"/>
              <w:right w:val="single" w:sz="4" w:space="0" w:color="auto"/>
            </w:tcBorders>
            <w:shd w:val="clear" w:color="auto" w:fill="auto"/>
            <w:hideMark/>
          </w:tcPr>
          <w:p w14:paraId="78856FFC"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Jacksdale &amp; Westwood</w:t>
            </w:r>
          </w:p>
        </w:tc>
      </w:tr>
      <w:tr w:rsidR="000663FF" w:rsidRPr="000663FF" w14:paraId="136B6A4E" w14:textId="77777777" w:rsidTr="00DC0D18">
        <w:trPr>
          <w:trHeight w:val="580"/>
        </w:trPr>
        <w:tc>
          <w:tcPr>
            <w:tcW w:w="1009" w:type="dxa"/>
            <w:tcBorders>
              <w:top w:val="single" w:sz="4" w:space="0" w:color="auto"/>
              <w:left w:val="single" w:sz="4" w:space="0" w:color="auto"/>
              <w:bottom w:val="single" w:sz="4" w:space="0" w:color="auto"/>
              <w:right w:val="single" w:sz="4" w:space="0" w:color="auto"/>
            </w:tcBorders>
            <w:shd w:val="clear" w:color="auto" w:fill="auto"/>
            <w:hideMark/>
          </w:tcPr>
          <w:p w14:paraId="79FE9899"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EV4was</w:t>
            </w:r>
          </w:p>
        </w:tc>
        <w:tc>
          <w:tcPr>
            <w:tcW w:w="2388" w:type="dxa"/>
            <w:tcBorders>
              <w:top w:val="single" w:sz="4" w:space="0" w:color="auto"/>
              <w:left w:val="nil"/>
              <w:bottom w:val="single" w:sz="4" w:space="0" w:color="auto"/>
              <w:right w:val="single" w:sz="4" w:space="0" w:color="auto"/>
            </w:tcBorders>
            <w:shd w:val="clear" w:color="auto" w:fill="auto"/>
            <w:hideMark/>
          </w:tcPr>
          <w:p w14:paraId="37311C1F"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Bagthorpe Grassland</w:t>
            </w:r>
          </w:p>
        </w:tc>
        <w:tc>
          <w:tcPr>
            <w:tcW w:w="4395" w:type="dxa"/>
            <w:tcBorders>
              <w:top w:val="single" w:sz="4" w:space="0" w:color="auto"/>
              <w:left w:val="nil"/>
              <w:bottom w:val="single" w:sz="4" w:space="0" w:color="auto"/>
              <w:right w:val="single" w:sz="4" w:space="0" w:color="auto"/>
            </w:tcBorders>
            <w:shd w:val="clear" w:color="auto" w:fill="auto"/>
            <w:hideMark/>
          </w:tcPr>
          <w:p w14:paraId="72109286" w14:textId="09CF61E0" w:rsidR="00FA2CC6" w:rsidRPr="000663FF" w:rsidRDefault="00DC0D18"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 grassland with an impressive herb and grass content</w:t>
            </w:r>
          </w:p>
        </w:tc>
        <w:tc>
          <w:tcPr>
            <w:tcW w:w="1984" w:type="dxa"/>
            <w:tcBorders>
              <w:top w:val="single" w:sz="4" w:space="0" w:color="auto"/>
              <w:left w:val="nil"/>
              <w:bottom w:val="single" w:sz="4" w:space="0" w:color="auto"/>
              <w:right w:val="single" w:sz="4" w:space="0" w:color="auto"/>
            </w:tcBorders>
            <w:shd w:val="clear" w:color="auto" w:fill="auto"/>
            <w:hideMark/>
          </w:tcPr>
          <w:p w14:paraId="00D2008A"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Underwood</w:t>
            </w:r>
          </w:p>
        </w:tc>
      </w:tr>
      <w:tr w:rsidR="000663FF" w:rsidRPr="000663FF" w14:paraId="30144ABD" w14:textId="77777777" w:rsidTr="00DC0D18">
        <w:trPr>
          <w:trHeight w:val="580"/>
        </w:trPr>
        <w:tc>
          <w:tcPr>
            <w:tcW w:w="1009" w:type="dxa"/>
            <w:tcBorders>
              <w:top w:val="single" w:sz="4" w:space="0" w:color="auto"/>
              <w:left w:val="single" w:sz="4" w:space="0" w:color="auto"/>
              <w:bottom w:val="single" w:sz="4" w:space="0" w:color="auto"/>
              <w:right w:val="single" w:sz="4" w:space="0" w:color="auto"/>
            </w:tcBorders>
            <w:shd w:val="clear" w:color="auto" w:fill="auto"/>
            <w:hideMark/>
          </w:tcPr>
          <w:p w14:paraId="1AD9E058"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EV4wat</w:t>
            </w:r>
          </w:p>
        </w:tc>
        <w:tc>
          <w:tcPr>
            <w:tcW w:w="2388" w:type="dxa"/>
            <w:tcBorders>
              <w:top w:val="single" w:sz="4" w:space="0" w:color="auto"/>
              <w:left w:val="nil"/>
              <w:bottom w:val="single" w:sz="4" w:space="0" w:color="auto"/>
              <w:right w:val="single" w:sz="4" w:space="0" w:color="auto"/>
            </w:tcBorders>
            <w:shd w:val="clear" w:color="auto" w:fill="auto"/>
            <w:hideMark/>
          </w:tcPr>
          <w:p w14:paraId="3380632D"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Bagthorpe Grasslands</w:t>
            </w:r>
          </w:p>
        </w:tc>
        <w:tc>
          <w:tcPr>
            <w:tcW w:w="4395" w:type="dxa"/>
            <w:tcBorders>
              <w:top w:val="single" w:sz="4" w:space="0" w:color="auto"/>
              <w:left w:val="nil"/>
              <w:bottom w:val="single" w:sz="4" w:space="0" w:color="auto"/>
              <w:right w:val="single" w:sz="4" w:space="0" w:color="auto"/>
            </w:tcBorders>
            <w:shd w:val="clear" w:color="auto" w:fill="auto"/>
            <w:hideMark/>
          </w:tcPr>
          <w:p w14:paraId="5F699751" w14:textId="73EA72B6" w:rsidR="00FA2CC6" w:rsidRPr="000663FF" w:rsidRDefault="00DC0D18"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Traditionally managed grasslands with a rich and varied botanical interest</w:t>
            </w:r>
          </w:p>
        </w:tc>
        <w:tc>
          <w:tcPr>
            <w:tcW w:w="1984" w:type="dxa"/>
            <w:tcBorders>
              <w:top w:val="single" w:sz="4" w:space="0" w:color="auto"/>
              <w:left w:val="nil"/>
              <w:bottom w:val="single" w:sz="4" w:space="0" w:color="auto"/>
              <w:right w:val="single" w:sz="4" w:space="0" w:color="auto"/>
            </w:tcBorders>
            <w:shd w:val="clear" w:color="auto" w:fill="auto"/>
            <w:hideMark/>
          </w:tcPr>
          <w:p w14:paraId="70DED813"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Underwood</w:t>
            </w:r>
          </w:p>
        </w:tc>
      </w:tr>
      <w:tr w:rsidR="000663FF" w:rsidRPr="000663FF" w14:paraId="4A626DAF" w14:textId="77777777" w:rsidTr="00DC0D18">
        <w:trPr>
          <w:trHeight w:val="580"/>
        </w:trPr>
        <w:tc>
          <w:tcPr>
            <w:tcW w:w="1009" w:type="dxa"/>
            <w:tcBorders>
              <w:top w:val="nil"/>
              <w:left w:val="single" w:sz="4" w:space="0" w:color="auto"/>
              <w:bottom w:val="single" w:sz="4" w:space="0" w:color="auto"/>
              <w:right w:val="single" w:sz="4" w:space="0" w:color="auto"/>
            </w:tcBorders>
            <w:shd w:val="clear" w:color="auto" w:fill="auto"/>
            <w:hideMark/>
          </w:tcPr>
          <w:p w14:paraId="1583F5A0"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EV4wau</w:t>
            </w:r>
          </w:p>
        </w:tc>
        <w:tc>
          <w:tcPr>
            <w:tcW w:w="2388" w:type="dxa"/>
            <w:tcBorders>
              <w:top w:val="nil"/>
              <w:left w:val="nil"/>
              <w:bottom w:val="single" w:sz="4" w:space="0" w:color="auto"/>
              <w:right w:val="single" w:sz="4" w:space="0" w:color="auto"/>
            </w:tcBorders>
            <w:shd w:val="clear" w:color="auto" w:fill="auto"/>
            <w:hideMark/>
          </w:tcPr>
          <w:p w14:paraId="0272C11D"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Bagthorpe Meadow</w:t>
            </w:r>
          </w:p>
        </w:tc>
        <w:tc>
          <w:tcPr>
            <w:tcW w:w="4395" w:type="dxa"/>
            <w:tcBorders>
              <w:top w:val="nil"/>
              <w:left w:val="nil"/>
              <w:bottom w:val="single" w:sz="4" w:space="0" w:color="auto"/>
              <w:right w:val="single" w:sz="4" w:space="0" w:color="auto"/>
            </w:tcBorders>
            <w:shd w:val="clear" w:color="auto" w:fill="auto"/>
            <w:hideMark/>
          </w:tcPr>
          <w:p w14:paraId="07671BAD" w14:textId="4529F195" w:rsidR="00FA2CC6" w:rsidRPr="000663FF" w:rsidRDefault="00DC0D18"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 species-rich coal measures type hay meadow</w:t>
            </w:r>
          </w:p>
        </w:tc>
        <w:tc>
          <w:tcPr>
            <w:tcW w:w="1984" w:type="dxa"/>
            <w:tcBorders>
              <w:top w:val="nil"/>
              <w:left w:val="nil"/>
              <w:bottom w:val="single" w:sz="4" w:space="0" w:color="auto"/>
              <w:right w:val="single" w:sz="4" w:space="0" w:color="auto"/>
            </w:tcBorders>
            <w:shd w:val="clear" w:color="auto" w:fill="auto"/>
            <w:hideMark/>
          </w:tcPr>
          <w:p w14:paraId="199D80C9"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Jacksdale &amp; Westwood</w:t>
            </w:r>
          </w:p>
        </w:tc>
      </w:tr>
      <w:tr w:rsidR="000663FF" w:rsidRPr="000663FF" w14:paraId="5F6BA212" w14:textId="77777777" w:rsidTr="00DC0D18">
        <w:trPr>
          <w:trHeight w:val="580"/>
        </w:trPr>
        <w:tc>
          <w:tcPr>
            <w:tcW w:w="1009" w:type="dxa"/>
            <w:tcBorders>
              <w:top w:val="nil"/>
              <w:left w:val="single" w:sz="4" w:space="0" w:color="auto"/>
              <w:bottom w:val="single" w:sz="4" w:space="0" w:color="auto"/>
              <w:right w:val="single" w:sz="4" w:space="0" w:color="auto"/>
            </w:tcBorders>
            <w:shd w:val="clear" w:color="auto" w:fill="auto"/>
            <w:hideMark/>
          </w:tcPr>
          <w:p w14:paraId="3D16B8E4"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EV4wav</w:t>
            </w:r>
          </w:p>
        </w:tc>
        <w:tc>
          <w:tcPr>
            <w:tcW w:w="2388" w:type="dxa"/>
            <w:tcBorders>
              <w:top w:val="nil"/>
              <w:left w:val="nil"/>
              <w:bottom w:val="single" w:sz="4" w:space="0" w:color="auto"/>
              <w:right w:val="single" w:sz="4" w:space="0" w:color="auto"/>
            </w:tcBorders>
            <w:shd w:val="clear" w:color="auto" w:fill="auto"/>
            <w:hideMark/>
          </w:tcPr>
          <w:p w14:paraId="2BBFCA9C"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Bagthorpe Pastures</w:t>
            </w:r>
          </w:p>
        </w:tc>
        <w:tc>
          <w:tcPr>
            <w:tcW w:w="4395" w:type="dxa"/>
            <w:tcBorders>
              <w:top w:val="nil"/>
              <w:left w:val="nil"/>
              <w:bottom w:val="single" w:sz="4" w:space="0" w:color="auto"/>
              <w:right w:val="single" w:sz="4" w:space="0" w:color="auto"/>
            </w:tcBorders>
            <w:shd w:val="clear" w:color="auto" w:fill="auto"/>
            <w:hideMark/>
          </w:tcPr>
          <w:p w14:paraId="77CC9CF5" w14:textId="7525C574" w:rsidR="00FA2CC6" w:rsidRPr="000663FF" w:rsidRDefault="00DC0D18"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Notable pastures with an especially valuable stream</w:t>
            </w:r>
          </w:p>
        </w:tc>
        <w:tc>
          <w:tcPr>
            <w:tcW w:w="1984" w:type="dxa"/>
            <w:tcBorders>
              <w:top w:val="nil"/>
              <w:left w:val="nil"/>
              <w:bottom w:val="single" w:sz="4" w:space="0" w:color="auto"/>
              <w:right w:val="single" w:sz="4" w:space="0" w:color="auto"/>
            </w:tcBorders>
            <w:shd w:val="clear" w:color="auto" w:fill="auto"/>
            <w:hideMark/>
          </w:tcPr>
          <w:p w14:paraId="7FAE5E7B"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Underwood</w:t>
            </w:r>
          </w:p>
        </w:tc>
      </w:tr>
      <w:tr w:rsidR="000663FF" w:rsidRPr="000663FF" w14:paraId="57846D10" w14:textId="77777777" w:rsidTr="00DC0D18">
        <w:trPr>
          <w:trHeight w:val="870"/>
        </w:trPr>
        <w:tc>
          <w:tcPr>
            <w:tcW w:w="1009" w:type="dxa"/>
            <w:tcBorders>
              <w:top w:val="nil"/>
              <w:left w:val="single" w:sz="4" w:space="0" w:color="auto"/>
              <w:bottom w:val="single" w:sz="4" w:space="0" w:color="auto"/>
              <w:right w:val="single" w:sz="4" w:space="0" w:color="auto"/>
            </w:tcBorders>
            <w:shd w:val="clear" w:color="auto" w:fill="auto"/>
            <w:hideMark/>
          </w:tcPr>
          <w:p w14:paraId="3F358373"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EV4waw</w:t>
            </w:r>
          </w:p>
        </w:tc>
        <w:tc>
          <w:tcPr>
            <w:tcW w:w="2388" w:type="dxa"/>
            <w:tcBorders>
              <w:top w:val="nil"/>
              <w:left w:val="nil"/>
              <w:bottom w:val="single" w:sz="4" w:space="0" w:color="auto"/>
              <w:right w:val="single" w:sz="4" w:space="0" w:color="auto"/>
            </w:tcBorders>
            <w:shd w:val="clear" w:color="auto" w:fill="auto"/>
            <w:hideMark/>
          </w:tcPr>
          <w:p w14:paraId="0300B6BC"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Bagthorpe Plantation</w:t>
            </w:r>
          </w:p>
        </w:tc>
        <w:tc>
          <w:tcPr>
            <w:tcW w:w="4395" w:type="dxa"/>
            <w:tcBorders>
              <w:top w:val="nil"/>
              <w:left w:val="nil"/>
              <w:bottom w:val="single" w:sz="4" w:space="0" w:color="auto"/>
              <w:right w:val="single" w:sz="4" w:space="0" w:color="auto"/>
            </w:tcBorders>
            <w:shd w:val="clear" w:color="auto" w:fill="auto"/>
            <w:hideMark/>
          </w:tcPr>
          <w:p w14:paraId="4D6F099C" w14:textId="4514FBA9" w:rsidR="00FA2CC6" w:rsidRPr="000663FF" w:rsidRDefault="00DC0D18"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 plantation with dry and wet deciduous woodland communities and a notable species diversity</w:t>
            </w:r>
          </w:p>
        </w:tc>
        <w:tc>
          <w:tcPr>
            <w:tcW w:w="1984" w:type="dxa"/>
            <w:tcBorders>
              <w:top w:val="nil"/>
              <w:left w:val="nil"/>
              <w:bottom w:val="single" w:sz="4" w:space="0" w:color="auto"/>
              <w:right w:val="single" w:sz="4" w:space="0" w:color="auto"/>
            </w:tcBorders>
            <w:shd w:val="clear" w:color="auto" w:fill="auto"/>
            <w:hideMark/>
          </w:tcPr>
          <w:p w14:paraId="37D0922C"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Underwood</w:t>
            </w:r>
          </w:p>
        </w:tc>
      </w:tr>
      <w:tr w:rsidR="000663FF" w:rsidRPr="000663FF" w14:paraId="33AA1A51" w14:textId="77777777" w:rsidTr="00DC0D18">
        <w:trPr>
          <w:trHeight w:val="669"/>
        </w:trPr>
        <w:tc>
          <w:tcPr>
            <w:tcW w:w="1009" w:type="dxa"/>
            <w:tcBorders>
              <w:top w:val="nil"/>
              <w:left w:val="single" w:sz="4" w:space="0" w:color="auto"/>
              <w:bottom w:val="single" w:sz="4" w:space="0" w:color="auto"/>
              <w:right w:val="single" w:sz="4" w:space="0" w:color="auto"/>
            </w:tcBorders>
            <w:shd w:val="clear" w:color="auto" w:fill="auto"/>
            <w:hideMark/>
          </w:tcPr>
          <w:p w14:paraId="0E58D8CE"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EV4wax</w:t>
            </w:r>
          </w:p>
        </w:tc>
        <w:tc>
          <w:tcPr>
            <w:tcW w:w="2388" w:type="dxa"/>
            <w:tcBorders>
              <w:top w:val="nil"/>
              <w:left w:val="nil"/>
              <w:bottom w:val="single" w:sz="4" w:space="0" w:color="auto"/>
              <w:right w:val="single" w:sz="4" w:space="0" w:color="auto"/>
            </w:tcBorders>
            <w:shd w:val="clear" w:color="auto" w:fill="auto"/>
            <w:hideMark/>
          </w:tcPr>
          <w:p w14:paraId="01821016"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Bentinck Colliery</w:t>
            </w:r>
          </w:p>
        </w:tc>
        <w:tc>
          <w:tcPr>
            <w:tcW w:w="4395" w:type="dxa"/>
            <w:tcBorders>
              <w:top w:val="nil"/>
              <w:left w:val="nil"/>
              <w:bottom w:val="single" w:sz="4" w:space="0" w:color="auto"/>
              <w:right w:val="single" w:sz="4" w:space="0" w:color="auto"/>
            </w:tcBorders>
            <w:shd w:val="clear" w:color="auto" w:fill="auto"/>
            <w:hideMark/>
          </w:tcPr>
          <w:p w14:paraId="75AFC6C6" w14:textId="51075A6F" w:rsidR="00FA2CC6" w:rsidRPr="000663FF" w:rsidRDefault="00DC0D18"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 site supporting a butterfly species of high conservation priority in Nottinghamshire</w:t>
            </w:r>
          </w:p>
        </w:tc>
        <w:tc>
          <w:tcPr>
            <w:tcW w:w="1984" w:type="dxa"/>
            <w:tcBorders>
              <w:top w:val="nil"/>
              <w:left w:val="nil"/>
              <w:bottom w:val="single" w:sz="4" w:space="0" w:color="auto"/>
              <w:right w:val="single" w:sz="4" w:space="0" w:color="auto"/>
            </w:tcBorders>
            <w:shd w:val="clear" w:color="auto" w:fill="auto"/>
            <w:hideMark/>
          </w:tcPr>
          <w:p w14:paraId="73698F44"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Annesley &amp; Kirkby Woodhouse</w:t>
            </w:r>
          </w:p>
        </w:tc>
      </w:tr>
      <w:tr w:rsidR="000663FF" w:rsidRPr="000663FF" w14:paraId="476CF621" w14:textId="77777777" w:rsidTr="00DC0D18">
        <w:trPr>
          <w:trHeight w:val="781"/>
        </w:trPr>
        <w:tc>
          <w:tcPr>
            <w:tcW w:w="1009" w:type="dxa"/>
            <w:tcBorders>
              <w:top w:val="nil"/>
              <w:left w:val="single" w:sz="4" w:space="0" w:color="auto"/>
              <w:bottom w:val="single" w:sz="4" w:space="0" w:color="auto"/>
              <w:right w:val="single" w:sz="4" w:space="0" w:color="auto"/>
            </w:tcBorders>
            <w:shd w:val="clear" w:color="auto" w:fill="auto"/>
            <w:hideMark/>
          </w:tcPr>
          <w:p w14:paraId="1FC05D96"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EV4way</w:t>
            </w:r>
          </w:p>
        </w:tc>
        <w:tc>
          <w:tcPr>
            <w:tcW w:w="2388" w:type="dxa"/>
            <w:tcBorders>
              <w:top w:val="nil"/>
              <w:left w:val="nil"/>
              <w:bottom w:val="single" w:sz="4" w:space="0" w:color="auto"/>
              <w:right w:val="single" w:sz="4" w:space="0" w:color="auto"/>
            </w:tcBorders>
            <w:shd w:val="clear" w:color="auto" w:fill="auto"/>
            <w:hideMark/>
          </w:tcPr>
          <w:p w14:paraId="31D2F3E6"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Bentinck Void</w:t>
            </w:r>
          </w:p>
        </w:tc>
        <w:tc>
          <w:tcPr>
            <w:tcW w:w="4395" w:type="dxa"/>
            <w:tcBorders>
              <w:top w:val="nil"/>
              <w:left w:val="nil"/>
              <w:bottom w:val="single" w:sz="4" w:space="0" w:color="auto"/>
              <w:right w:val="single" w:sz="4" w:space="0" w:color="auto"/>
            </w:tcBorders>
            <w:shd w:val="clear" w:color="auto" w:fill="auto"/>
            <w:hideMark/>
          </w:tcPr>
          <w:p w14:paraId="04E37F12" w14:textId="22253E93" w:rsidR="00FA2CC6" w:rsidRPr="000663FF" w:rsidRDefault="00DC0D18"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 mosaic of habitats of botanical and zoological note on the site of a former mine</w:t>
            </w:r>
          </w:p>
        </w:tc>
        <w:tc>
          <w:tcPr>
            <w:tcW w:w="1984" w:type="dxa"/>
            <w:tcBorders>
              <w:top w:val="nil"/>
              <w:left w:val="nil"/>
              <w:bottom w:val="single" w:sz="4" w:space="0" w:color="auto"/>
              <w:right w:val="single" w:sz="4" w:space="0" w:color="auto"/>
            </w:tcBorders>
            <w:shd w:val="clear" w:color="auto" w:fill="auto"/>
            <w:hideMark/>
          </w:tcPr>
          <w:p w14:paraId="268E9814"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Annesley &amp; Kirkby Woodhouse</w:t>
            </w:r>
          </w:p>
        </w:tc>
      </w:tr>
      <w:tr w:rsidR="000663FF" w:rsidRPr="000663FF" w14:paraId="417088AF" w14:textId="77777777" w:rsidTr="00DC0D18">
        <w:trPr>
          <w:trHeight w:val="290"/>
        </w:trPr>
        <w:tc>
          <w:tcPr>
            <w:tcW w:w="1009" w:type="dxa"/>
            <w:tcBorders>
              <w:top w:val="nil"/>
              <w:left w:val="single" w:sz="4" w:space="0" w:color="auto"/>
              <w:bottom w:val="single" w:sz="4" w:space="0" w:color="auto"/>
              <w:right w:val="single" w:sz="4" w:space="0" w:color="auto"/>
            </w:tcBorders>
            <w:shd w:val="clear" w:color="auto" w:fill="auto"/>
            <w:hideMark/>
          </w:tcPr>
          <w:p w14:paraId="3A2B390A"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EV4waz</w:t>
            </w:r>
          </w:p>
        </w:tc>
        <w:tc>
          <w:tcPr>
            <w:tcW w:w="2388" w:type="dxa"/>
            <w:tcBorders>
              <w:top w:val="nil"/>
              <w:left w:val="nil"/>
              <w:bottom w:val="single" w:sz="4" w:space="0" w:color="auto"/>
              <w:right w:val="single" w:sz="4" w:space="0" w:color="auto"/>
            </w:tcBorders>
            <w:shd w:val="clear" w:color="auto" w:fill="auto"/>
            <w:hideMark/>
          </w:tcPr>
          <w:p w14:paraId="27380170"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Blackwell Road Grassland</w:t>
            </w:r>
          </w:p>
        </w:tc>
        <w:tc>
          <w:tcPr>
            <w:tcW w:w="4395" w:type="dxa"/>
            <w:tcBorders>
              <w:top w:val="nil"/>
              <w:left w:val="nil"/>
              <w:bottom w:val="single" w:sz="4" w:space="0" w:color="auto"/>
              <w:right w:val="single" w:sz="4" w:space="0" w:color="auto"/>
            </w:tcBorders>
            <w:shd w:val="clear" w:color="auto" w:fill="auto"/>
            <w:hideMark/>
          </w:tcPr>
          <w:p w14:paraId="2A9BE022" w14:textId="09DE569C" w:rsidR="00FA2CC6" w:rsidRPr="000663FF" w:rsidRDefault="00DC0D18"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 notable dry grassland community</w:t>
            </w:r>
          </w:p>
        </w:tc>
        <w:tc>
          <w:tcPr>
            <w:tcW w:w="1984" w:type="dxa"/>
            <w:tcBorders>
              <w:top w:val="nil"/>
              <w:left w:val="nil"/>
              <w:bottom w:val="single" w:sz="4" w:space="0" w:color="auto"/>
              <w:right w:val="single" w:sz="4" w:space="0" w:color="auto"/>
            </w:tcBorders>
            <w:shd w:val="clear" w:color="auto" w:fill="auto"/>
            <w:hideMark/>
          </w:tcPr>
          <w:p w14:paraId="38F245E7"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Huthwaite &amp; Brierley</w:t>
            </w:r>
          </w:p>
        </w:tc>
      </w:tr>
      <w:tr w:rsidR="000663FF" w:rsidRPr="000663FF" w14:paraId="046EC5B4" w14:textId="77777777" w:rsidTr="00DC0D18">
        <w:trPr>
          <w:trHeight w:val="569"/>
        </w:trPr>
        <w:tc>
          <w:tcPr>
            <w:tcW w:w="1009" w:type="dxa"/>
            <w:tcBorders>
              <w:top w:val="nil"/>
              <w:left w:val="single" w:sz="4" w:space="0" w:color="auto"/>
              <w:bottom w:val="single" w:sz="4" w:space="0" w:color="auto"/>
              <w:right w:val="single" w:sz="4" w:space="0" w:color="auto"/>
            </w:tcBorders>
            <w:shd w:val="clear" w:color="auto" w:fill="auto"/>
            <w:hideMark/>
          </w:tcPr>
          <w:p w14:paraId="15386C48"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EV4wb</w:t>
            </w:r>
          </w:p>
        </w:tc>
        <w:tc>
          <w:tcPr>
            <w:tcW w:w="2388" w:type="dxa"/>
            <w:tcBorders>
              <w:top w:val="nil"/>
              <w:left w:val="nil"/>
              <w:bottom w:val="single" w:sz="4" w:space="0" w:color="auto"/>
              <w:right w:val="single" w:sz="4" w:space="0" w:color="auto"/>
            </w:tcBorders>
            <w:shd w:val="clear" w:color="auto" w:fill="auto"/>
            <w:hideMark/>
          </w:tcPr>
          <w:p w14:paraId="309EBD4E" w14:textId="3F905075" w:rsidR="00FA2CC6" w:rsidRPr="000663FF" w:rsidRDefault="004E3652" w:rsidP="00FA2CC6">
            <w:pPr>
              <w:keepNext w:val="0"/>
              <w:spacing w:before="0"/>
              <w:rPr>
                <w:rFonts w:ascii="Calibri" w:hAnsi="Calibri" w:cs="Calibri"/>
                <w:color w:val="auto"/>
                <w:sz w:val="22"/>
                <w:szCs w:val="22"/>
              </w:rPr>
            </w:pPr>
            <w:r w:rsidRPr="000663FF">
              <w:rPr>
                <w:rFonts w:ascii="Calibri" w:hAnsi="Calibri" w:cs="Calibri"/>
                <w:color w:val="auto"/>
                <w:sz w:val="22"/>
                <w:szCs w:val="22"/>
              </w:rPr>
              <w:t>Blenheim</w:t>
            </w:r>
            <w:r w:rsidR="00FA2CC6" w:rsidRPr="000663FF">
              <w:rPr>
                <w:rFonts w:ascii="Calibri" w:hAnsi="Calibri" w:cs="Calibri"/>
                <w:color w:val="auto"/>
                <w:sz w:val="22"/>
                <w:szCs w:val="22"/>
              </w:rPr>
              <w:t xml:space="preserve"> Lane Ponds</w:t>
            </w:r>
          </w:p>
        </w:tc>
        <w:tc>
          <w:tcPr>
            <w:tcW w:w="4395" w:type="dxa"/>
            <w:tcBorders>
              <w:top w:val="nil"/>
              <w:left w:val="nil"/>
              <w:bottom w:val="single" w:sz="4" w:space="0" w:color="auto"/>
              <w:right w:val="single" w:sz="4" w:space="0" w:color="auto"/>
            </w:tcBorders>
            <w:shd w:val="clear" w:color="auto" w:fill="auto"/>
            <w:hideMark/>
          </w:tcPr>
          <w:p w14:paraId="54D1272F" w14:textId="31AD63E8" w:rsidR="00FA2CC6" w:rsidRPr="000663FF" w:rsidRDefault="00DC0D18"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Species-rich pools surrounded by a noteworthy grassland and newly planted saplings'</w:t>
            </w:r>
          </w:p>
        </w:tc>
        <w:tc>
          <w:tcPr>
            <w:tcW w:w="1984" w:type="dxa"/>
            <w:tcBorders>
              <w:top w:val="nil"/>
              <w:left w:val="nil"/>
              <w:bottom w:val="single" w:sz="4" w:space="0" w:color="auto"/>
              <w:right w:val="single" w:sz="4" w:space="0" w:color="auto"/>
            </w:tcBorders>
            <w:shd w:val="clear" w:color="auto" w:fill="auto"/>
            <w:hideMark/>
          </w:tcPr>
          <w:p w14:paraId="76D92BB5"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Hucknall West</w:t>
            </w:r>
          </w:p>
        </w:tc>
      </w:tr>
      <w:tr w:rsidR="000663FF" w:rsidRPr="000663FF" w14:paraId="463906C5" w14:textId="77777777" w:rsidTr="00DC0D18">
        <w:trPr>
          <w:trHeight w:val="407"/>
        </w:trPr>
        <w:tc>
          <w:tcPr>
            <w:tcW w:w="1009" w:type="dxa"/>
            <w:tcBorders>
              <w:top w:val="nil"/>
              <w:left w:val="single" w:sz="4" w:space="0" w:color="auto"/>
              <w:bottom w:val="single" w:sz="4" w:space="0" w:color="auto"/>
              <w:right w:val="single" w:sz="4" w:space="0" w:color="auto"/>
            </w:tcBorders>
            <w:shd w:val="clear" w:color="auto" w:fill="auto"/>
            <w:hideMark/>
          </w:tcPr>
          <w:p w14:paraId="28A3431D"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EV4wba</w:t>
            </w:r>
          </w:p>
        </w:tc>
        <w:tc>
          <w:tcPr>
            <w:tcW w:w="2388" w:type="dxa"/>
            <w:tcBorders>
              <w:top w:val="nil"/>
              <w:left w:val="nil"/>
              <w:bottom w:val="single" w:sz="4" w:space="0" w:color="auto"/>
              <w:right w:val="single" w:sz="4" w:space="0" w:color="auto"/>
            </w:tcBorders>
            <w:shd w:val="clear" w:color="auto" w:fill="auto"/>
            <w:hideMark/>
          </w:tcPr>
          <w:p w14:paraId="1A527645"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Blenheim Farm</w:t>
            </w:r>
          </w:p>
        </w:tc>
        <w:tc>
          <w:tcPr>
            <w:tcW w:w="4395" w:type="dxa"/>
            <w:tcBorders>
              <w:top w:val="nil"/>
              <w:left w:val="nil"/>
              <w:bottom w:val="single" w:sz="4" w:space="0" w:color="auto"/>
              <w:right w:val="single" w:sz="4" w:space="0" w:color="auto"/>
            </w:tcBorders>
            <w:shd w:val="clear" w:color="auto" w:fill="auto"/>
            <w:hideMark/>
          </w:tcPr>
          <w:p w14:paraId="688FFA86" w14:textId="63DE8ED3" w:rsidR="00FA2CC6" w:rsidRPr="000663FF" w:rsidRDefault="00DC0D18"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An area of notable calcareous grassland and pond</w:t>
            </w:r>
          </w:p>
        </w:tc>
        <w:tc>
          <w:tcPr>
            <w:tcW w:w="1984" w:type="dxa"/>
            <w:tcBorders>
              <w:top w:val="nil"/>
              <w:left w:val="nil"/>
              <w:bottom w:val="single" w:sz="4" w:space="0" w:color="auto"/>
              <w:right w:val="single" w:sz="4" w:space="0" w:color="auto"/>
            </w:tcBorders>
            <w:shd w:val="clear" w:color="auto" w:fill="auto"/>
            <w:hideMark/>
          </w:tcPr>
          <w:p w14:paraId="768ACF20"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Hucknall West</w:t>
            </w:r>
          </w:p>
        </w:tc>
      </w:tr>
      <w:tr w:rsidR="000663FF" w:rsidRPr="000663FF" w14:paraId="4456FA98" w14:textId="77777777" w:rsidTr="00DC0D18">
        <w:trPr>
          <w:trHeight w:val="580"/>
        </w:trPr>
        <w:tc>
          <w:tcPr>
            <w:tcW w:w="1009" w:type="dxa"/>
            <w:tcBorders>
              <w:top w:val="nil"/>
              <w:left w:val="single" w:sz="4" w:space="0" w:color="auto"/>
              <w:bottom w:val="single" w:sz="4" w:space="0" w:color="auto"/>
              <w:right w:val="single" w:sz="4" w:space="0" w:color="auto"/>
            </w:tcBorders>
            <w:shd w:val="clear" w:color="auto" w:fill="auto"/>
            <w:hideMark/>
          </w:tcPr>
          <w:p w14:paraId="14C58F0F"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EV4wbb</w:t>
            </w:r>
          </w:p>
        </w:tc>
        <w:tc>
          <w:tcPr>
            <w:tcW w:w="2388" w:type="dxa"/>
            <w:tcBorders>
              <w:top w:val="nil"/>
              <w:left w:val="nil"/>
              <w:bottom w:val="single" w:sz="4" w:space="0" w:color="auto"/>
              <w:right w:val="single" w:sz="4" w:space="0" w:color="auto"/>
            </w:tcBorders>
            <w:shd w:val="clear" w:color="auto" w:fill="auto"/>
            <w:hideMark/>
          </w:tcPr>
          <w:p w14:paraId="7A0DDD9B"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Blenheim Lane Grassland</w:t>
            </w:r>
          </w:p>
        </w:tc>
        <w:tc>
          <w:tcPr>
            <w:tcW w:w="4395" w:type="dxa"/>
            <w:tcBorders>
              <w:top w:val="nil"/>
              <w:left w:val="nil"/>
              <w:bottom w:val="single" w:sz="4" w:space="0" w:color="auto"/>
              <w:right w:val="single" w:sz="4" w:space="0" w:color="auto"/>
            </w:tcBorders>
            <w:shd w:val="clear" w:color="auto" w:fill="auto"/>
            <w:hideMark/>
          </w:tcPr>
          <w:p w14:paraId="00FB7521" w14:textId="6C1A22CB" w:rsidR="00FA2CC6" w:rsidRPr="000663FF" w:rsidRDefault="00DC0D18"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 species-rich calcareous grassland with a clear stream</w:t>
            </w:r>
          </w:p>
        </w:tc>
        <w:tc>
          <w:tcPr>
            <w:tcW w:w="1984" w:type="dxa"/>
            <w:tcBorders>
              <w:top w:val="nil"/>
              <w:left w:val="nil"/>
              <w:bottom w:val="single" w:sz="4" w:space="0" w:color="auto"/>
              <w:right w:val="single" w:sz="4" w:space="0" w:color="auto"/>
            </w:tcBorders>
            <w:shd w:val="clear" w:color="auto" w:fill="auto"/>
            <w:hideMark/>
          </w:tcPr>
          <w:p w14:paraId="49C9232B"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Hucknall West</w:t>
            </w:r>
          </w:p>
        </w:tc>
      </w:tr>
      <w:tr w:rsidR="000663FF" w:rsidRPr="000663FF" w14:paraId="6E1B2A86" w14:textId="77777777" w:rsidTr="00DC0D18">
        <w:trPr>
          <w:trHeight w:val="580"/>
        </w:trPr>
        <w:tc>
          <w:tcPr>
            <w:tcW w:w="1009" w:type="dxa"/>
            <w:tcBorders>
              <w:top w:val="nil"/>
              <w:left w:val="single" w:sz="4" w:space="0" w:color="auto"/>
              <w:bottom w:val="single" w:sz="4" w:space="0" w:color="auto"/>
              <w:right w:val="single" w:sz="4" w:space="0" w:color="auto"/>
            </w:tcBorders>
            <w:shd w:val="clear" w:color="auto" w:fill="auto"/>
            <w:hideMark/>
          </w:tcPr>
          <w:p w14:paraId="57D87395"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EV4wbc</w:t>
            </w:r>
          </w:p>
        </w:tc>
        <w:tc>
          <w:tcPr>
            <w:tcW w:w="2388" w:type="dxa"/>
            <w:tcBorders>
              <w:top w:val="nil"/>
              <w:left w:val="nil"/>
              <w:bottom w:val="single" w:sz="4" w:space="0" w:color="auto"/>
              <w:right w:val="single" w:sz="4" w:space="0" w:color="auto"/>
            </w:tcBorders>
            <w:shd w:val="clear" w:color="auto" w:fill="auto"/>
            <w:hideMark/>
          </w:tcPr>
          <w:p w14:paraId="25D6F738"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Blenheim Lane Hedgerows</w:t>
            </w:r>
          </w:p>
        </w:tc>
        <w:tc>
          <w:tcPr>
            <w:tcW w:w="4395" w:type="dxa"/>
            <w:tcBorders>
              <w:top w:val="nil"/>
              <w:left w:val="nil"/>
              <w:bottom w:val="single" w:sz="4" w:space="0" w:color="auto"/>
              <w:right w:val="single" w:sz="4" w:space="0" w:color="auto"/>
            </w:tcBorders>
            <w:shd w:val="clear" w:color="auto" w:fill="auto"/>
            <w:hideMark/>
          </w:tcPr>
          <w:p w14:paraId="42D6DBE3" w14:textId="41B5C666" w:rsidR="00FA2CC6" w:rsidRPr="000663FF" w:rsidRDefault="00DC0D18"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Hedgerows along a lane supporting notable shrub and tree species</w:t>
            </w:r>
          </w:p>
        </w:tc>
        <w:tc>
          <w:tcPr>
            <w:tcW w:w="1984" w:type="dxa"/>
            <w:tcBorders>
              <w:top w:val="nil"/>
              <w:left w:val="nil"/>
              <w:bottom w:val="single" w:sz="4" w:space="0" w:color="auto"/>
              <w:right w:val="single" w:sz="4" w:space="0" w:color="auto"/>
            </w:tcBorders>
            <w:shd w:val="clear" w:color="auto" w:fill="auto"/>
            <w:hideMark/>
          </w:tcPr>
          <w:p w14:paraId="47BE6450"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Hucknall West</w:t>
            </w:r>
          </w:p>
        </w:tc>
      </w:tr>
      <w:tr w:rsidR="000663FF" w:rsidRPr="000663FF" w14:paraId="29535288" w14:textId="77777777" w:rsidTr="00DC0D18">
        <w:trPr>
          <w:trHeight w:val="580"/>
        </w:trPr>
        <w:tc>
          <w:tcPr>
            <w:tcW w:w="1009" w:type="dxa"/>
            <w:tcBorders>
              <w:top w:val="nil"/>
              <w:left w:val="single" w:sz="4" w:space="0" w:color="auto"/>
              <w:bottom w:val="single" w:sz="4" w:space="0" w:color="auto"/>
              <w:right w:val="single" w:sz="4" w:space="0" w:color="auto"/>
            </w:tcBorders>
            <w:shd w:val="clear" w:color="auto" w:fill="auto"/>
            <w:hideMark/>
          </w:tcPr>
          <w:p w14:paraId="233B523D"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EV4wbd</w:t>
            </w:r>
          </w:p>
        </w:tc>
        <w:tc>
          <w:tcPr>
            <w:tcW w:w="2388" w:type="dxa"/>
            <w:tcBorders>
              <w:top w:val="nil"/>
              <w:left w:val="nil"/>
              <w:bottom w:val="single" w:sz="4" w:space="0" w:color="auto"/>
              <w:right w:val="single" w:sz="4" w:space="0" w:color="auto"/>
            </w:tcBorders>
            <w:shd w:val="clear" w:color="auto" w:fill="auto"/>
            <w:hideMark/>
          </w:tcPr>
          <w:p w14:paraId="35CEB5DE"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Blenheim Lane Quarry</w:t>
            </w:r>
          </w:p>
        </w:tc>
        <w:tc>
          <w:tcPr>
            <w:tcW w:w="4395" w:type="dxa"/>
            <w:tcBorders>
              <w:top w:val="nil"/>
              <w:left w:val="nil"/>
              <w:bottom w:val="single" w:sz="4" w:space="0" w:color="auto"/>
              <w:right w:val="single" w:sz="4" w:space="0" w:color="auto"/>
            </w:tcBorders>
            <w:shd w:val="clear" w:color="auto" w:fill="auto"/>
            <w:hideMark/>
          </w:tcPr>
          <w:p w14:paraId="5623D8F8" w14:textId="75890C3F" w:rsidR="00FA2CC6" w:rsidRPr="000663FF" w:rsidRDefault="00DC0D18"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Former quarry with calcareous grassland and scrub communities</w:t>
            </w:r>
          </w:p>
        </w:tc>
        <w:tc>
          <w:tcPr>
            <w:tcW w:w="1984" w:type="dxa"/>
            <w:tcBorders>
              <w:top w:val="nil"/>
              <w:left w:val="nil"/>
              <w:bottom w:val="single" w:sz="4" w:space="0" w:color="auto"/>
              <w:right w:val="single" w:sz="4" w:space="0" w:color="auto"/>
            </w:tcBorders>
            <w:shd w:val="clear" w:color="auto" w:fill="auto"/>
            <w:hideMark/>
          </w:tcPr>
          <w:p w14:paraId="38477B56"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Hucknall West</w:t>
            </w:r>
          </w:p>
        </w:tc>
      </w:tr>
      <w:tr w:rsidR="000663FF" w:rsidRPr="000663FF" w14:paraId="3E055180" w14:textId="77777777" w:rsidTr="00DC0D18">
        <w:trPr>
          <w:trHeight w:val="580"/>
        </w:trPr>
        <w:tc>
          <w:tcPr>
            <w:tcW w:w="1009" w:type="dxa"/>
            <w:tcBorders>
              <w:top w:val="nil"/>
              <w:left w:val="single" w:sz="4" w:space="0" w:color="auto"/>
              <w:bottom w:val="single" w:sz="4" w:space="0" w:color="auto"/>
              <w:right w:val="single" w:sz="4" w:space="0" w:color="auto"/>
            </w:tcBorders>
            <w:shd w:val="clear" w:color="auto" w:fill="auto"/>
            <w:hideMark/>
          </w:tcPr>
          <w:p w14:paraId="7C91FF66"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EV4wbe</w:t>
            </w:r>
          </w:p>
        </w:tc>
        <w:tc>
          <w:tcPr>
            <w:tcW w:w="2388" w:type="dxa"/>
            <w:tcBorders>
              <w:top w:val="nil"/>
              <w:left w:val="nil"/>
              <w:bottom w:val="single" w:sz="4" w:space="0" w:color="auto"/>
              <w:right w:val="single" w:sz="4" w:space="0" w:color="auto"/>
            </w:tcBorders>
            <w:shd w:val="clear" w:color="auto" w:fill="auto"/>
            <w:hideMark/>
          </w:tcPr>
          <w:p w14:paraId="07FFDDA6"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Blidworth Road Verge</w:t>
            </w:r>
          </w:p>
        </w:tc>
        <w:tc>
          <w:tcPr>
            <w:tcW w:w="4395" w:type="dxa"/>
            <w:tcBorders>
              <w:top w:val="nil"/>
              <w:left w:val="nil"/>
              <w:bottom w:val="single" w:sz="4" w:space="0" w:color="auto"/>
              <w:right w:val="single" w:sz="4" w:space="0" w:color="auto"/>
            </w:tcBorders>
            <w:shd w:val="clear" w:color="auto" w:fill="auto"/>
            <w:hideMark/>
          </w:tcPr>
          <w:p w14:paraId="7DE6EADD" w14:textId="25A7BAE2" w:rsidR="00FA2CC6" w:rsidRPr="000663FF" w:rsidRDefault="00DC0D18"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Species-rich grassland along a stretch of road verge</w:t>
            </w:r>
          </w:p>
        </w:tc>
        <w:tc>
          <w:tcPr>
            <w:tcW w:w="1984" w:type="dxa"/>
            <w:tcBorders>
              <w:top w:val="nil"/>
              <w:left w:val="nil"/>
              <w:bottom w:val="single" w:sz="4" w:space="0" w:color="auto"/>
              <w:right w:val="single" w:sz="4" w:space="0" w:color="auto"/>
            </w:tcBorders>
            <w:shd w:val="clear" w:color="auto" w:fill="auto"/>
            <w:hideMark/>
          </w:tcPr>
          <w:p w14:paraId="1ECD1E04"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Abbey Hill</w:t>
            </w:r>
          </w:p>
        </w:tc>
      </w:tr>
      <w:tr w:rsidR="000663FF" w:rsidRPr="000663FF" w14:paraId="7697EF0E" w14:textId="77777777" w:rsidTr="00DC0D18">
        <w:trPr>
          <w:trHeight w:val="290"/>
        </w:trPr>
        <w:tc>
          <w:tcPr>
            <w:tcW w:w="1009" w:type="dxa"/>
            <w:tcBorders>
              <w:top w:val="nil"/>
              <w:left w:val="single" w:sz="4" w:space="0" w:color="auto"/>
              <w:bottom w:val="single" w:sz="4" w:space="0" w:color="auto"/>
              <w:right w:val="single" w:sz="4" w:space="0" w:color="auto"/>
            </w:tcBorders>
            <w:shd w:val="clear" w:color="auto" w:fill="auto"/>
            <w:hideMark/>
          </w:tcPr>
          <w:p w14:paraId="6D14715E"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EV4wbf</w:t>
            </w:r>
          </w:p>
        </w:tc>
        <w:tc>
          <w:tcPr>
            <w:tcW w:w="2388" w:type="dxa"/>
            <w:tcBorders>
              <w:top w:val="nil"/>
              <w:left w:val="nil"/>
              <w:bottom w:val="single" w:sz="4" w:space="0" w:color="auto"/>
              <w:right w:val="single" w:sz="4" w:space="0" w:color="auto"/>
            </w:tcBorders>
            <w:shd w:val="clear" w:color="auto" w:fill="auto"/>
            <w:hideMark/>
          </w:tcPr>
          <w:p w14:paraId="444E0322"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Boar Hill</w:t>
            </w:r>
          </w:p>
        </w:tc>
        <w:tc>
          <w:tcPr>
            <w:tcW w:w="4395" w:type="dxa"/>
            <w:tcBorders>
              <w:top w:val="nil"/>
              <w:left w:val="nil"/>
              <w:bottom w:val="single" w:sz="4" w:space="0" w:color="auto"/>
              <w:right w:val="single" w:sz="4" w:space="0" w:color="auto"/>
            </w:tcBorders>
            <w:shd w:val="clear" w:color="auto" w:fill="auto"/>
            <w:hideMark/>
          </w:tcPr>
          <w:p w14:paraId="7FDAFD0C" w14:textId="2EB93C74" w:rsidR="00FA2CC6" w:rsidRPr="000663FF" w:rsidRDefault="00DC0D18"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 bank of calcareous grassland</w:t>
            </w:r>
          </w:p>
        </w:tc>
        <w:tc>
          <w:tcPr>
            <w:tcW w:w="1984" w:type="dxa"/>
            <w:tcBorders>
              <w:top w:val="nil"/>
              <w:left w:val="nil"/>
              <w:bottom w:val="single" w:sz="4" w:space="0" w:color="auto"/>
              <w:right w:val="single" w:sz="4" w:space="0" w:color="auto"/>
            </w:tcBorders>
            <w:shd w:val="clear" w:color="auto" w:fill="auto"/>
            <w:hideMark/>
          </w:tcPr>
          <w:p w14:paraId="0F2AC36D"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Larwood</w:t>
            </w:r>
          </w:p>
        </w:tc>
      </w:tr>
      <w:tr w:rsidR="000663FF" w:rsidRPr="000663FF" w14:paraId="66EB405C" w14:textId="77777777" w:rsidTr="00DC0D18">
        <w:trPr>
          <w:trHeight w:val="716"/>
        </w:trPr>
        <w:tc>
          <w:tcPr>
            <w:tcW w:w="1009" w:type="dxa"/>
            <w:tcBorders>
              <w:top w:val="nil"/>
              <w:left w:val="single" w:sz="4" w:space="0" w:color="auto"/>
              <w:bottom w:val="single" w:sz="4" w:space="0" w:color="auto"/>
              <w:right w:val="single" w:sz="4" w:space="0" w:color="auto"/>
            </w:tcBorders>
            <w:shd w:val="clear" w:color="auto" w:fill="auto"/>
            <w:hideMark/>
          </w:tcPr>
          <w:p w14:paraId="3DBAF0B6"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EV4wbg</w:t>
            </w:r>
          </w:p>
        </w:tc>
        <w:tc>
          <w:tcPr>
            <w:tcW w:w="2388" w:type="dxa"/>
            <w:tcBorders>
              <w:top w:val="nil"/>
              <w:left w:val="nil"/>
              <w:bottom w:val="single" w:sz="4" w:space="0" w:color="auto"/>
              <w:right w:val="single" w:sz="4" w:space="0" w:color="auto"/>
            </w:tcBorders>
            <w:shd w:val="clear" w:color="auto" w:fill="auto"/>
            <w:hideMark/>
          </w:tcPr>
          <w:p w14:paraId="47B13D13"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Bogs Farm Quarry</w:t>
            </w:r>
          </w:p>
        </w:tc>
        <w:tc>
          <w:tcPr>
            <w:tcW w:w="4395" w:type="dxa"/>
            <w:tcBorders>
              <w:top w:val="nil"/>
              <w:left w:val="nil"/>
              <w:bottom w:val="single" w:sz="4" w:space="0" w:color="auto"/>
              <w:right w:val="single" w:sz="4" w:space="0" w:color="auto"/>
            </w:tcBorders>
            <w:shd w:val="clear" w:color="auto" w:fill="auto"/>
            <w:hideMark/>
          </w:tcPr>
          <w:p w14:paraId="7580DC43" w14:textId="13510B81" w:rsidR="00FA2CC6" w:rsidRPr="000663FF" w:rsidRDefault="00DC0D18"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Species-rich pools, flushes and grassland developed in a former quarry</w:t>
            </w:r>
          </w:p>
        </w:tc>
        <w:tc>
          <w:tcPr>
            <w:tcW w:w="1984" w:type="dxa"/>
            <w:tcBorders>
              <w:top w:val="nil"/>
              <w:left w:val="nil"/>
              <w:bottom w:val="single" w:sz="4" w:space="0" w:color="auto"/>
              <w:right w:val="single" w:sz="4" w:space="0" w:color="auto"/>
            </w:tcBorders>
            <w:shd w:val="clear" w:color="auto" w:fill="auto"/>
            <w:hideMark/>
          </w:tcPr>
          <w:p w14:paraId="6B8EF8CA"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Annesley &amp; Kirkby Woodhouse</w:t>
            </w:r>
          </w:p>
        </w:tc>
      </w:tr>
      <w:tr w:rsidR="000663FF" w:rsidRPr="000663FF" w14:paraId="6AC6AABA" w14:textId="77777777" w:rsidTr="00DC0D18">
        <w:trPr>
          <w:trHeight w:val="580"/>
        </w:trPr>
        <w:tc>
          <w:tcPr>
            <w:tcW w:w="1009" w:type="dxa"/>
            <w:tcBorders>
              <w:top w:val="single" w:sz="4" w:space="0" w:color="auto"/>
              <w:left w:val="single" w:sz="4" w:space="0" w:color="auto"/>
              <w:bottom w:val="single" w:sz="4" w:space="0" w:color="auto"/>
              <w:right w:val="single" w:sz="4" w:space="0" w:color="auto"/>
            </w:tcBorders>
            <w:shd w:val="clear" w:color="auto" w:fill="auto"/>
            <w:hideMark/>
          </w:tcPr>
          <w:p w14:paraId="6A1107AC"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EV4wbh</w:t>
            </w:r>
          </w:p>
        </w:tc>
        <w:tc>
          <w:tcPr>
            <w:tcW w:w="2388" w:type="dxa"/>
            <w:tcBorders>
              <w:top w:val="single" w:sz="4" w:space="0" w:color="auto"/>
              <w:left w:val="single" w:sz="4" w:space="0" w:color="auto"/>
              <w:bottom w:val="single" w:sz="4" w:space="0" w:color="auto"/>
              <w:right w:val="single" w:sz="4" w:space="0" w:color="auto"/>
            </w:tcBorders>
            <w:shd w:val="clear" w:color="auto" w:fill="auto"/>
            <w:hideMark/>
          </w:tcPr>
          <w:p w14:paraId="2A605429"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Border Marsh, Huthwaite</w:t>
            </w:r>
          </w:p>
        </w:tc>
        <w:tc>
          <w:tcPr>
            <w:tcW w:w="4395" w:type="dxa"/>
            <w:tcBorders>
              <w:top w:val="single" w:sz="4" w:space="0" w:color="auto"/>
              <w:left w:val="single" w:sz="4" w:space="0" w:color="auto"/>
              <w:bottom w:val="single" w:sz="4" w:space="0" w:color="auto"/>
              <w:right w:val="single" w:sz="4" w:space="0" w:color="auto"/>
            </w:tcBorders>
            <w:shd w:val="clear" w:color="auto" w:fill="auto"/>
            <w:hideMark/>
          </w:tcPr>
          <w:p w14:paraId="4C897A57" w14:textId="529AFB39" w:rsidR="00FA2CC6" w:rsidRPr="000663FF" w:rsidRDefault="00DC0D18"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 notable marshy community on the county boundary</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51274674"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Huthwaite &amp; Brierley</w:t>
            </w:r>
          </w:p>
        </w:tc>
      </w:tr>
      <w:tr w:rsidR="000663FF" w:rsidRPr="000663FF" w14:paraId="33B44371" w14:textId="77777777" w:rsidTr="00DC0D18">
        <w:trPr>
          <w:trHeight w:val="290"/>
        </w:trPr>
        <w:tc>
          <w:tcPr>
            <w:tcW w:w="1009" w:type="dxa"/>
            <w:tcBorders>
              <w:top w:val="single" w:sz="4" w:space="0" w:color="auto"/>
              <w:left w:val="single" w:sz="4" w:space="0" w:color="auto"/>
              <w:bottom w:val="single" w:sz="4" w:space="0" w:color="auto"/>
              <w:right w:val="single" w:sz="4" w:space="0" w:color="auto"/>
            </w:tcBorders>
            <w:shd w:val="clear" w:color="auto" w:fill="auto"/>
            <w:hideMark/>
          </w:tcPr>
          <w:p w14:paraId="6290928F"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EV4wbi</w:t>
            </w:r>
          </w:p>
        </w:tc>
        <w:tc>
          <w:tcPr>
            <w:tcW w:w="2388" w:type="dxa"/>
            <w:tcBorders>
              <w:top w:val="single" w:sz="4" w:space="0" w:color="auto"/>
              <w:left w:val="nil"/>
              <w:bottom w:val="single" w:sz="4" w:space="0" w:color="auto"/>
              <w:right w:val="single" w:sz="4" w:space="0" w:color="auto"/>
            </w:tcBorders>
            <w:shd w:val="clear" w:color="auto" w:fill="auto"/>
            <w:hideMark/>
          </w:tcPr>
          <w:p w14:paraId="5F5374DA"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Brierley Forest Marsh</w:t>
            </w:r>
          </w:p>
        </w:tc>
        <w:tc>
          <w:tcPr>
            <w:tcW w:w="4395" w:type="dxa"/>
            <w:tcBorders>
              <w:top w:val="single" w:sz="4" w:space="0" w:color="auto"/>
              <w:left w:val="nil"/>
              <w:bottom w:val="single" w:sz="4" w:space="0" w:color="auto"/>
              <w:right w:val="single" w:sz="4" w:space="0" w:color="auto"/>
            </w:tcBorders>
            <w:shd w:val="clear" w:color="auto" w:fill="auto"/>
            <w:hideMark/>
          </w:tcPr>
          <w:p w14:paraId="1FB6C788" w14:textId="61353E11" w:rsidR="00FA2CC6" w:rsidRPr="000663FF" w:rsidRDefault="00DC0D18"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Wet neutral grassland</w:t>
            </w:r>
          </w:p>
        </w:tc>
        <w:tc>
          <w:tcPr>
            <w:tcW w:w="1984" w:type="dxa"/>
            <w:tcBorders>
              <w:top w:val="single" w:sz="4" w:space="0" w:color="auto"/>
              <w:left w:val="nil"/>
              <w:bottom w:val="single" w:sz="4" w:space="0" w:color="auto"/>
              <w:right w:val="single" w:sz="4" w:space="0" w:color="auto"/>
            </w:tcBorders>
            <w:shd w:val="clear" w:color="auto" w:fill="auto"/>
            <w:hideMark/>
          </w:tcPr>
          <w:p w14:paraId="42117B4E"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Huthwaite &amp; Brierley</w:t>
            </w:r>
          </w:p>
        </w:tc>
      </w:tr>
      <w:tr w:rsidR="000663FF" w:rsidRPr="000663FF" w14:paraId="1D81BDD9" w14:textId="77777777" w:rsidTr="00DC0D18">
        <w:trPr>
          <w:trHeight w:val="580"/>
        </w:trPr>
        <w:tc>
          <w:tcPr>
            <w:tcW w:w="1009" w:type="dxa"/>
            <w:tcBorders>
              <w:top w:val="nil"/>
              <w:left w:val="single" w:sz="4" w:space="0" w:color="auto"/>
              <w:bottom w:val="single" w:sz="4" w:space="0" w:color="auto"/>
              <w:right w:val="single" w:sz="4" w:space="0" w:color="auto"/>
            </w:tcBorders>
            <w:shd w:val="clear" w:color="auto" w:fill="auto"/>
            <w:hideMark/>
          </w:tcPr>
          <w:p w14:paraId="258C134E"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EV4wbj</w:t>
            </w:r>
          </w:p>
        </w:tc>
        <w:tc>
          <w:tcPr>
            <w:tcW w:w="2388" w:type="dxa"/>
            <w:tcBorders>
              <w:top w:val="nil"/>
              <w:left w:val="nil"/>
              <w:bottom w:val="single" w:sz="4" w:space="0" w:color="auto"/>
              <w:right w:val="single" w:sz="4" w:space="0" w:color="auto"/>
            </w:tcBorders>
            <w:shd w:val="clear" w:color="auto" w:fill="auto"/>
            <w:hideMark/>
          </w:tcPr>
          <w:p w14:paraId="09CD553B"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Brierley Park Marshy Grassland</w:t>
            </w:r>
          </w:p>
        </w:tc>
        <w:tc>
          <w:tcPr>
            <w:tcW w:w="4395" w:type="dxa"/>
            <w:tcBorders>
              <w:top w:val="nil"/>
              <w:left w:val="nil"/>
              <w:bottom w:val="single" w:sz="4" w:space="0" w:color="auto"/>
              <w:right w:val="single" w:sz="4" w:space="0" w:color="auto"/>
            </w:tcBorders>
            <w:shd w:val="clear" w:color="auto" w:fill="auto"/>
            <w:hideMark/>
          </w:tcPr>
          <w:p w14:paraId="254B6D43" w14:textId="425C5404" w:rsidR="00FA2CC6" w:rsidRPr="000663FF" w:rsidRDefault="00DC0D18"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An interesting and valuable remnant of rough marshy grassland</w:t>
            </w:r>
          </w:p>
        </w:tc>
        <w:tc>
          <w:tcPr>
            <w:tcW w:w="1984" w:type="dxa"/>
            <w:tcBorders>
              <w:top w:val="nil"/>
              <w:left w:val="nil"/>
              <w:bottom w:val="single" w:sz="4" w:space="0" w:color="auto"/>
              <w:right w:val="single" w:sz="4" w:space="0" w:color="auto"/>
            </w:tcBorders>
            <w:shd w:val="clear" w:color="auto" w:fill="auto"/>
            <w:hideMark/>
          </w:tcPr>
          <w:p w14:paraId="59AB58FD"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Huthwaite &amp; Brierley</w:t>
            </w:r>
          </w:p>
        </w:tc>
      </w:tr>
      <w:tr w:rsidR="000663FF" w:rsidRPr="000663FF" w14:paraId="3C071723" w14:textId="77777777" w:rsidTr="00DC0D18">
        <w:trPr>
          <w:trHeight w:val="290"/>
        </w:trPr>
        <w:tc>
          <w:tcPr>
            <w:tcW w:w="1009" w:type="dxa"/>
            <w:tcBorders>
              <w:top w:val="nil"/>
              <w:left w:val="single" w:sz="4" w:space="0" w:color="auto"/>
              <w:bottom w:val="single" w:sz="4" w:space="0" w:color="auto"/>
              <w:right w:val="single" w:sz="4" w:space="0" w:color="auto"/>
            </w:tcBorders>
            <w:shd w:val="clear" w:color="auto" w:fill="auto"/>
            <w:hideMark/>
          </w:tcPr>
          <w:p w14:paraId="155D02CE"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EV4wbk</w:t>
            </w:r>
          </w:p>
        </w:tc>
        <w:tc>
          <w:tcPr>
            <w:tcW w:w="2388" w:type="dxa"/>
            <w:tcBorders>
              <w:top w:val="nil"/>
              <w:left w:val="nil"/>
              <w:bottom w:val="single" w:sz="4" w:space="0" w:color="auto"/>
              <w:right w:val="single" w:sz="4" w:space="0" w:color="auto"/>
            </w:tcBorders>
            <w:shd w:val="clear" w:color="auto" w:fill="auto"/>
            <w:hideMark/>
          </w:tcPr>
          <w:p w14:paraId="2C414B90"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Brookside Farm Grassland, Bagthorpe</w:t>
            </w:r>
          </w:p>
        </w:tc>
        <w:tc>
          <w:tcPr>
            <w:tcW w:w="4395" w:type="dxa"/>
            <w:tcBorders>
              <w:top w:val="nil"/>
              <w:left w:val="nil"/>
              <w:bottom w:val="single" w:sz="4" w:space="0" w:color="auto"/>
              <w:right w:val="single" w:sz="4" w:space="0" w:color="auto"/>
            </w:tcBorders>
            <w:shd w:val="clear" w:color="auto" w:fill="auto"/>
            <w:hideMark/>
          </w:tcPr>
          <w:p w14:paraId="5FFCAC07" w14:textId="103B2E02" w:rsidR="00FA2CC6" w:rsidRPr="000663FF" w:rsidRDefault="00DC0D18"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Neutral grassland</w:t>
            </w:r>
          </w:p>
        </w:tc>
        <w:tc>
          <w:tcPr>
            <w:tcW w:w="1984" w:type="dxa"/>
            <w:tcBorders>
              <w:top w:val="nil"/>
              <w:left w:val="nil"/>
              <w:bottom w:val="single" w:sz="4" w:space="0" w:color="auto"/>
              <w:right w:val="single" w:sz="4" w:space="0" w:color="auto"/>
            </w:tcBorders>
            <w:shd w:val="clear" w:color="auto" w:fill="auto"/>
            <w:hideMark/>
          </w:tcPr>
          <w:p w14:paraId="7B6064C7"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Underwood</w:t>
            </w:r>
          </w:p>
        </w:tc>
      </w:tr>
      <w:tr w:rsidR="000663FF" w:rsidRPr="000663FF" w14:paraId="097CCB6E" w14:textId="77777777" w:rsidTr="00DC0D18">
        <w:trPr>
          <w:trHeight w:val="580"/>
        </w:trPr>
        <w:tc>
          <w:tcPr>
            <w:tcW w:w="1009" w:type="dxa"/>
            <w:tcBorders>
              <w:top w:val="nil"/>
              <w:left w:val="single" w:sz="4" w:space="0" w:color="auto"/>
              <w:bottom w:val="single" w:sz="4" w:space="0" w:color="auto"/>
              <w:right w:val="single" w:sz="4" w:space="0" w:color="auto"/>
            </w:tcBorders>
            <w:shd w:val="clear" w:color="auto" w:fill="auto"/>
            <w:hideMark/>
          </w:tcPr>
          <w:p w14:paraId="770F6278"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EV4wbl</w:t>
            </w:r>
          </w:p>
        </w:tc>
        <w:tc>
          <w:tcPr>
            <w:tcW w:w="2388" w:type="dxa"/>
            <w:tcBorders>
              <w:top w:val="nil"/>
              <w:left w:val="nil"/>
              <w:bottom w:val="single" w:sz="4" w:space="0" w:color="auto"/>
              <w:right w:val="single" w:sz="4" w:space="0" w:color="auto"/>
            </w:tcBorders>
            <w:shd w:val="clear" w:color="auto" w:fill="auto"/>
            <w:hideMark/>
          </w:tcPr>
          <w:p w14:paraId="24417DBF"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Bulwell Hall Park</w:t>
            </w:r>
          </w:p>
        </w:tc>
        <w:tc>
          <w:tcPr>
            <w:tcW w:w="4395" w:type="dxa"/>
            <w:tcBorders>
              <w:top w:val="nil"/>
              <w:left w:val="nil"/>
              <w:bottom w:val="single" w:sz="4" w:space="0" w:color="auto"/>
              <w:right w:val="single" w:sz="4" w:space="0" w:color="auto"/>
            </w:tcBorders>
            <w:shd w:val="clear" w:color="auto" w:fill="auto"/>
            <w:hideMark/>
          </w:tcPr>
          <w:p w14:paraId="7F81CE71" w14:textId="4960A9B0" w:rsidR="00FA2CC6" w:rsidRPr="000663FF" w:rsidRDefault="00DC0D18"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An excellent assemblage of species-rich habitats in a large city park</w:t>
            </w:r>
          </w:p>
        </w:tc>
        <w:tc>
          <w:tcPr>
            <w:tcW w:w="1984" w:type="dxa"/>
            <w:tcBorders>
              <w:top w:val="nil"/>
              <w:left w:val="nil"/>
              <w:bottom w:val="single" w:sz="4" w:space="0" w:color="auto"/>
              <w:right w:val="single" w:sz="4" w:space="0" w:color="auto"/>
            </w:tcBorders>
            <w:shd w:val="clear" w:color="auto" w:fill="auto"/>
            <w:hideMark/>
          </w:tcPr>
          <w:p w14:paraId="31D9BEE3"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Hucknall West</w:t>
            </w:r>
          </w:p>
        </w:tc>
      </w:tr>
      <w:tr w:rsidR="000663FF" w:rsidRPr="000663FF" w14:paraId="7409D446" w14:textId="77777777" w:rsidTr="00DC0D18">
        <w:trPr>
          <w:trHeight w:val="580"/>
        </w:trPr>
        <w:tc>
          <w:tcPr>
            <w:tcW w:w="1009" w:type="dxa"/>
            <w:tcBorders>
              <w:top w:val="single" w:sz="4" w:space="0" w:color="auto"/>
              <w:left w:val="single" w:sz="4" w:space="0" w:color="auto"/>
              <w:bottom w:val="single" w:sz="4" w:space="0" w:color="auto"/>
              <w:right w:val="single" w:sz="4" w:space="0" w:color="auto"/>
            </w:tcBorders>
            <w:shd w:val="clear" w:color="auto" w:fill="auto"/>
            <w:hideMark/>
          </w:tcPr>
          <w:p w14:paraId="139500F2"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EV4wbm</w:t>
            </w:r>
          </w:p>
        </w:tc>
        <w:tc>
          <w:tcPr>
            <w:tcW w:w="2388" w:type="dxa"/>
            <w:tcBorders>
              <w:top w:val="single" w:sz="4" w:space="0" w:color="auto"/>
              <w:left w:val="nil"/>
              <w:bottom w:val="single" w:sz="4" w:space="0" w:color="auto"/>
              <w:right w:val="single" w:sz="4" w:space="0" w:color="auto"/>
            </w:tcBorders>
            <w:shd w:val="clear" w:color="auto" w:fill="auto"/>
            <w:hideMark/>
          </w:tcPr>
          <w:p w14:paraId="5652106A"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Bulwell Wood and Pond</w:t>
            </w:r>
          </w:p>
        </w:tc>
        <w:tc>
          <w:tcPr>
            <w:tcW w:w="4395" w:type="dxa"/>
            <w:tcBorders>
              <w:top w:val="single" w:sz="4" w:space="0" w:color="auto"/>
              <w:left w:val="nil"/>
              <w:bottom w:val="single" w:sz="4" w:space="0" w:color="auto"/>
              <w:right w:val="single" w:sz="4" w:space="0" w:color="auto"/>
            </w:tcBorders>
            <w:shd w:val="clear" w:color="auto" w:fill="auto"/>
            <w:hideMark/>
          </w:tcPr>
          <w:p w14:paraId="254C9DCF" w14:textId="1C5AB02A" w:rsidR="00FA2CC6" w:rsidRPr="000663FF" w:rsidRDefault="00DC0D18"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An ancient deciduous woodland with a characteristic ground flora</w:t>
            </w:r>
          </w:p>
        </w:tc>
        <w:tc>
          <w:tcPr>
            <w:tcW w:w="1984" w:type="dxa"/>
            <w:tcBorders>
              <w:top w:val="single" w:sz="4" w:space="0" w:color="auto"/>
              <w:left w:val="nil"/>
              <w:bottom w:val="single" w:sz="4" w:space="0" w:color="auto"/>
              <w:right w:val="single" w:sz="4" w:space="0" w:color="auto"/>
            </w:tcBorders>
            <w:shd w:val="clear" w:color="auto" w:fill="auto"/>
            <w:hideMark/>
          </w:tcPr>
          <w:p w14:paraId="074EC5E0"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Hucknall West</w:t>
            </w:r>
          </w:p>
        </w:tc>
      </w:tr>
      <w:tr w:rsidR="000663FF" w:rsidRPr="000663FF" w14:paraId="4A97DB11" w14:textId="77777777" w:rsidTr="00DC0D18">
        <w:trPr>
          <w:trHeight w:val="580"/>
        </w:trPr>
        <w:tc>
          <w:tcPr>
            <w:tcW w:w="1009" w:type="dxa"/>
            <w:tcBorders>
              <w:top w:val="single" w:sz="4" w:space="0" w:color="auto"/>
              <w:left w:val="single" w:sz="4" w:space="0" w:color="auto"/>
              <w:bottom w:val="single" w:sz="4" w:space="0" w:color="auto"/>
              <w:right w:val="single" w:sz="4" w:space="0" w:color="auto"/>
            </w:tcBorders>
            <w:shd w:val="clear" w:color="auto" w:fill="auto"/>
            <w:hideMark/>
          </w:tcPr>
          <w:p w14:paraId="38218095"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EV4wbn</w:t>
            </w:r>
          </w:p>
        </w:tc>
        <w:tc>
          <w:tcPr>
            <w:tcW w:w="2388" w:type="dxa"/>
            <w:tcBorders>
              <w:top w:val="single" w:sz="4" w:space="0" w:color="auto"/>
              <w:left w:val="nil"/>
              <w:bottom w:val="single" w:sz="4" w:space="0" w:color="auto"/>
              <w:right w:val="single" w:sz="4" w:space="0" w:color="auto"/>
            </w:tcBorders>
            <w:shd w:val="clear" w:color="auto" w:fill="auto"/>
            <w:hideMark/>
          </w:tcPr>
          <w:p w14:paraId="784EB768"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Cauldwell Brook</w:t>
            </w:r>
          </w:p>
        </w:tc>
        <w:tc>
          <w:tcPr>
            <w:tcW w:w="4395" w:type="dxa"/>
            <w:tcBorders>
              <w:top w:val="single" w:sz="4" w:space="0" w:color="auto"/>
              <w:left w:val="nil"/>
              <w:bottom w:val="single" w:sz="4" w:space="0" w:color="auto"/>
              <w:right w:val="single" w:sz="4" w:space="0" w:color="auto"/>
            </w:tcBorders>
            <w:shd w:val="clear" w:color="auto" w:fill="auto"/>
            <w:hideMark/>
          </w:tcPr>
          <w:p w14:paraId="7EDF0478" w14:textId="5BFAC4E8" w:rsidR="00FA2CC6" w:rsidRPr="000663FF" w:rsidRDefault="00A41302"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 length of stream of zoological importance</w:t>
            </w:r>
          </w:p>
        </w:tc>
        <w:tc>
          <w:tcPr>
            <w:tcW w:w="1984" w:type="dxa"/>
            <w:tcBorders>
              <w:top w:val="single" w:sz="4" w:space="0" w:color="auto"/>
              <w:left w:val="nil"/>
              <w:bottom w:val="single" w:sz="4" w:space="0" w:color="auto"/>
              <w:right w:val="single" w:sz="4" w:space="0" w:color="auto"/>
            </w:tcBorders>
            <w:shd w:val="clear" w:color="auto" w:fill="auto"/>
            <w:hideMark/>
          </w:tcPr>
          <w:p w14:paraId="4CBB5AD1"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Sutton Junction &amp; Harlow Wood</w:t>
            </w:r>
          </w:p>
        </w:tc>
      </w:tr>
      <w:tr w:rsidR="000663FF" w:rsidRPr="000663FF" w14:paraId="43A6CAE7" w14:textId="77777777" w:rsidTr="00DC0D18">
        <w:trPr>
          <w:trHeight w:val="580"/>
        </w:trPr>
        <w:tc>
          <w:tcPr>
            <w:tcW w:w="1009" w:type="dxa"/>
            <w:tcBorders>
              <w:top w:val="nil"/>
              <w:left w:val="single" w:sz="4" w:space="0" w:color="auto"/>
              <w:bottom w:val="single" w:sz="4" w:space="0" w:color="auto"/>
              <w:right w:val="single" w:sz="4" w:space="0" w:color="auto"/>
            </w:tcBorders>
            <w:shd w:val="clear" w:color="auto" w:fill="auto"/>
            <w:hideMark/>
          </w:tcPr>
          <w:p w14:paraId="3EBBFE88"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EV4wbo</w:t>
            </w:r>
          </w:p>
        </w:tc>
        <w:tc>
          <w:tcPr>
            <w:tcW w:w="2388" w:type="dxa"/>
            <w:tcBorders>
              <w:top w:val="nil"/>
              <w:left w:val="nil"/>
              <w:bottom w:val="single" w:sz="4" w:space="0" w:color="auto"/>
              <w:right w:val="single" w:sz="4" w:space="0" w:color="auto"/>
            </w:tcBorders>
            <w:shd w:val="clear" w:color="auto" w:fill="auto"/>
            <w:hideMark/>
          </w:tcPr>
          <w:p w14:paraId="4D207BB3"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Cauldwell Brook Marsh</w:t>
            </w:r>
          </w:p>
        </w:tc>
        <w:tc>
          <w:tcPr>
            <w:tcW w:w="4395" w:type="dxa"/>
            <w:tcBorders>
              <w:top w:val="nil"/>
              <w:left w:val="nil"/>
              <w:bottom w:val="single" w:sz="4" w:space="0" w:color="auto"/>
              <w:right w:val="single" w:sz="4" w:space="0" w:color="auto"/>
            </w:tcBorders>
            <w:shd w:val="clear" w:color="auto" w:fill="auto"/>
            <w:hideMark/>
          </w:tcPr>
          <w:p w14:paraId="72366920" w14:textId="3E60EF7E" w:rsidR="00FA2CC6" w:rsidRPr="000663FF" w:rsidRDefault="00A41302"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Marshy grassland in willow plantation by tributary of Cauldwell Brook</w:t>
            </w:r>
          </w:p>
        </w:tc>
        <w:tc>
          <w:tcPr>
            <w:tcW w:w="1984" w:type="dxa"/>
            <w:tcBorders>
              <w:top w:val="nil"/>
              <w:left w:val="nil"/>
              <w:bottom w:val="single" w:sz="4" w:space="0" w:color="auto"/>
              <w:right w:val="single" w:sz="4" w:space="0" w:color="auto"/>
            </w:tcBorders>
            <w:shd w:val="clear" w:color="auto" w:fill="auto"/>
            <w:hideMark/>
          </w:tcPr>
          <w:p w14:paraId="2C6BEE6E"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Sutton Junction &amp; Harlow Wood</w:t>
            </w:r>
          </w:p>
        </w:tc>
      </w:tr>
      <w:tr w:rsidR="000663FF" w:rsidRPr="000663FF" w14:paraId="184554AD" w14:textId="77777777" w:rsidTr="00DC0D18">
        <w:trPr>
          <w:trHeight w:val="580"/>
        </w:trPr>
        <w:tc>
          <w:tcPr>
            <w:tcW w:w="1009" w:type="dxa"/>
            <w:tcBorders>
              <w:top w:val="nil"/>
              <w:left w:val="single" w:sz="4" w:space="0" w:color="auto"/>
              <w:bottom w:val="single" w:sz="4" w:space="0" w:color="auto"/>
              <w:right w:val="single" w:sz="4" w:space="0" w:color="auto"/>
            </w:tcBorders>
            <w:shd w:val="clear" w:color="auto" w:fill="auto"/>
            <w:hideMark/>
          </w:tcPr>
          <w:p w14:paraId="70C2CAB2"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EV4wbp</w:t>
            </w:r>
          </w:p>
        </w:tc>
        <w:tc>
          <w:tcPr>
            <w:tcW w:w="2388" w:type="dxa"/>
            <w:tcBorders>
              <w:top w:val="nil"/>
              <w:left w:val="nil"/>
              <w:bottom w:val="single" w:sz="4" w:space="0" w:color="auto"/>
              <w:right w:val="single" w:sz="4" w:space="0" w:color="auto"/>
            </w:tcBorders>
            <w:shd w:val="clear" w:color="auto" w:fill="auto"/>
            <w:hideMark/>
          </w:tcPr>
          <w:p w14:paraId="7BE6F324"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Cauldwell Dam and Drain</w:t>
            </w:r>
          </w:p>
        </w:tc>
        <w:tc>
          <w:tcPr>
            <w:tcW w:w="4395" w:type="dxa"/>
            <w:tcBorders>
              <w:top w:val="nil"/>
              <w:left w:val="nil"/>
              <w:bottom w:val="single" w:sz="4" w:space="0" w:color="auto"/>
              <w:right w:val="single" w:sz="4" w:space="0" w:color="auto"/>
            </w:tcBorders>
            <w:shd w:val="clear" w:color="auto" w:fill="auto"/>
            <w:hideMark/>
          </w:tcPr>
          <w:p w14:paraId="660A9C3E" w14:textId="27D08E3D" w:rsidR="00FA2CC6" w:rsidRPr="000663FF" w:rsidRDefault="00A41302"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 pond, marsh and drain with a noteworthy community</w:t>
            </w:r>
          </w:p>
        </w:tc>
        <w:tc>
          <w:tcPr>
            <w:tcW w:w="1984" w:type="dxa"/>
            <w:tcBorders>
              <w:top w:val="nil"/>
              <w:left w:val="nil"/>
              <w:bottom w:val="single" w:sz="4" w:space="0" w:color="auto"/>
              <w:right w:val="single" w:sz="4" w:space="0" w:color="auto"/>
            </w:tcBorders>
            <w:shd w:val="clear" w:color="auto" w:fill="auto"/>
            <w:hideMark/>
          </w:tcPr>
          <w:p w14:paraId="4018F394"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Sutton Junction &amp; Harlow Wood</w:t>
            </w:r>
          </w:p>
        </w:tc>
      </w:tr>
      <w:tr w:rsidR="000663FF" w:rsidRPr="000663FF" w14:paraId="6BF4B9EC" w14:textId="77777777" w:rsidTr="00DC0D18">
        <w:trPr>
          <w:trHeight w:val="580"/>
        </w:trPr>
        <w:tc>
          <w:tcPr>
            <w:tcW w:w="1009" w:type="dxa"/>
            <w:tcBorders>
              <w:top w:val="nil"/>
              <w:left w:val="single" w:sz="4" w:space="0" w:color="auto"/>
              <w:bottom w:val="single" w:sz="4" w:space="0" w:color="auto"/>
              <w:right w:val="single" w:sz="4" w:space="0" w:color="auto"/>
            </w:tcBorders>
            <w:shd w:val="clear" w:color="auto" w:fill="auto"/>
            <w:hideMark/>
          </w:tcPr>
          <w:p w14:paraId="36CE3782"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EV4wbq</w:t>
            </w:r>
          </w:p>
        </w:tc>
        <w:tc>
          <w:tcPr>
            <w:tcW w:w="2388" w:type="dxa"/>
            <w:tcBorders>
              <w:top w:val="nil"/>
              <w:left w:val="nil"/>
              <w:bottom w:val="single" w:sz="4" w:space="0" w:color="auto"/>
              <w:right w:val="single" w:sz="4" w:space="0" w:color="auto"/>
            </w:tcBorders>
            <w:shd w:val="clear" w:color="auto" w:fill="auto"/>
            <w:hideMark/>
          </w:tcPr>
          <w:p w14:paraId="203434B8"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Chesterfield Road Grassland, </w:t>
            </w:r>
            <w:proofErr w:type="spellStart"/>
            <w:r w:rsidRPr="000663FF">
              <w:rPr>
                <w:rFonts w:ascii="Calibri" w:hAnsi="Calibri" w:cs="Calibri"/>
                <w:color w:val="auto"/>
                <w:sz w:val="22"/>
                <w:szCs w:val="22"/>
              </w:rPr>
              <w:t>Whiteborough</w:t>
            </w:r>
            <w:proofErr w:type="spellEnd"/>
          </w:p>
        </w:tc>
        <w:tc>
          <w:tcPr>
            <w:tcW w:w="4395" w:type="dxa"/>
            <w:tcBorders>
              <w:top w:val="nil"/>
              <w:left w:val="nil"/>
              <w:bottom w:val="single" w:sz="4" w:space="0" w:color="auto"/>
              <w:right w:val="single" w:sz="4" w:space="0" w:color="auto"/>
            </w:tcBorders>
            <w:shd w:val="clear" w:color="auto" w:fill="auto"/>
            <w:hideMark/>
          </w:tcPr>
          <w:p w14:paraId="0DD73D0E" w14:textId="06ED8F5C" w:rsidR="00FA2CC6" w:rsidRPr="000663FF" w:rsidRDefault="00A41302"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 neutral grassland of note</w:t>
            </w:r>
          </w:p>
        </w:tc>
        <w:tc>
          <w:tcPr>
            <w:tcW w:w="1984" w:type="dxa"/>
            <w:tcBorders>
              <w:top w:val="nil"/>
              <w:left w:val="nil"/>
              <w:bottom w:val="single" w:sz="4" w:space="0" w:color="auto"/>
              <w:right w:val="single" w:sz="4" w:space="0" w:color="auto"/>
            </w:tcBorders>
            <w:shd w:val="clear" w:color="auto" w:fill="auto"/>
            <w:hideMark/>
          </w:tcPr>
          <w:p w14:paraId="154DFD22"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Stanton Hill &amp; Teversal</w:t>
            </w:r>
          </w:p>
        </w:tc>
      </w:tr>
      <w:tr w:rsidR="000663FF" w:rsidRPr="000663FF" w14:paraId="018D7365" w14:textId="77777777" w:rsidTr="00DC0D18">
        <w:trPr>
          <w:trHeight w:val="680"/>
        </w:trPr>
        <w:tc>
          <w:tcPr>
            <w:tcW w:w="1009" w:type="dxa"/>
            <w:tcBorders>
              <w:top w:val="nil"/>
              <w:left w:val="single" w:sz="4" w:space="0" w:color="auto"/>
              <w:bottom w:val="single" w:sz="4" w:space="0" w:color="auto"/>
              <w:right w:val="single" w:sz="4" w:space="0" w:color="auto"/>
            </w:tcBorders>
            <w:shd w:val="clear" w:color="auto" w:fill="auto"/>
            <w:hideMark/>
          </w:tcPr>
          <w:p w14:paraId="268D71E5"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EV4wbr</w:t>
            </w:r>
          </w:p>
        </w:tc>
        <w:tc>
          <w:tcPr>
            <w:tcW w:w="2388" w:type="dxa"/>
            <w:tcBorders>
              <w:top w:val="nil"/>
              <w:left w:val="nil"/>
              <w:bottom w:val="single" w:sz="4" w:space="0" w:color="auto"/>
              <w:right w:val="single" w:sz="4" w:space="0" w:color="auto"/>
            </w:tcBorders>
            <w:shd w:val="clear" w:color="auto" w:fill="auto"/>
            <w:hideMark/>
          </w:tcPr>
          <w:p w14:paraId="1B572C0B"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Chesterfield Road Pastures, Huthwaite</w:t>
            </w:r>
          </w:p>
        </w:tc>
        <w:tc>
          <w:tcPr>
            <w:tcW w:w="4395" w:type="dxa"/>
            <w:tcBorders>
              <w:top w:val="nil"/>
              <w:left w:val="nil"/>
              <w:bottom w:val="single" w:sz="4" w:space="0" w:color="auto"/>
              <w:right w:val="single" w:sz="4" w:space="0" w:color="auto"/>
            </w:tcBorders>
            <w:shd w:val="clear" w:color="auto" w:fill="auto"/>
            <w:hideMark/>
          </w:tcPr>
          <w:p w14:paraId="7A417144" w14:textId="62A15DB0" w:rsidR="00FA2CC6" w:rsidRPr="000663FF" w:rsidRDefault="00A41302"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 network of four grazed pastures with an impressive diversity of community types</w:t>
            </w:r>
          </w:p>
        </w:tc>
        <w:tc>
          <w:tcPr>
            <w:tcW w:w="1984" w:type="dxa"/>
            <w:tcBorders>
              <w:top w:val="nil"/>
              <w:left w:val="nil"/>
              <w:bottom w:val="single" w:sz="4" w:space="0" w:color="auto"/>
              <w:right w:val="single" w:sz="4" w:space="0" w:color="auto"/>
            </w:tcBorders>
            <w:shd w:val="clear" w:color="auto" w:fill="auto"/>
            <w:hideMark/>
          </w:tcPr>
          <w:p w14:paraId="3BA344A6"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Huthwaite &amp; Brierley</w:t>
            </w:r>
          </w:p>
        </w:tc>
      </w:tr>
      <w:tr w:rsidR="000663FF" w:rsidRPr="000663FF" w14:paraId="5782E2F6" w14:textId="77777777" w:rsidTr="00DC0D18">
        <w:trPr>
          <w:trHeight w:val="580"/>
        </w:trPr>
        <w:tc>
          <w:tcPr>
            <w:tcW w:w="1009" w:type="dxa"/>
            <w:tcBorders>
              <w:top w:val="nil"/>
              <w:left w:val="single" w:sz="4" w:space="0" w:color="auto"/>
              <w:bottom w:val="single" w:sz="4" w:space="0" w:color="auto"/>
              <w:right w:val="single" w:sz="4" w:space="0" w:color="auto"/>
            </w:tcBorders>
            <w:shd w:val="clear" w:color="auto" w:fill="auto"/>
            <w:hideMark/>
          </w:tcPr>
          <w:p w14:paraId="2A908A10"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EV4wbs</w:t>
            </w:r>
          </w:p>
        </w:tc>
        <w:tc>
          <w:tcPr>
            <w:tcW w:w="2388" w:type="dxa"/>
            <w:tcBorders>
              <w:top w:val="nil"/>
              <w:left w:val="nil"/>
              <w:bottom w:val="single" w:sz="4" w:space="0" w:color="auto"/>
              <w:right w:val="single" w:sz="4" w:space="0" w:color="auto"/>
            </w:tcBorders>
            <w:shd w:val="clear" w:color="auto" w:fill="auto"/>
            <w:hideMark/>
          </w:tcPr>
          <w:p w14:paraId="060D4D47" w14:textId="77777777" w:rsidR="00FA2CC6" w:rsidRPr="000663FF" w:rsidRDefault="00FA2CC6" w:rsidP="00FA2CC6">
            <w:pPr>
              <w:keepNext w:val="0"/>
              <w:spacing w:before="0"/>
              <w:rPr>
                <w:rFonts w:ascii="Calibri" w:hAnsi="Calibri" w:cs="Calibri"/>
                <w:color w:val="auto"/>
                <w:sz w:val="22"/>
                <w:szCs w:val="22"/>
              </w:rPr>
            </w:pPr>
            <w:proofErr w:type="spellStart"/>
            <w:r w:rsidRPr="000663FF">
              <w:rPr>
                <w:rFonts w:ascii="Calibri" w:hAnsi="Calibri" w:cs="Calibri"/>
                <w:color w:val="auto"/>
                <w:sz w:val="22"/>
                <w:szCs w:val="22"/>
              </w:rPr>
              <w:t>Coppy</w:t>
            </w:r>
            <w:proofErr w:type="spellEnd"/>
            <w:r w:rsidRPr="000663FF">
              <w:rPr>
                <w:rFonts w:ascii="Calibri" w:hAnsi="Calibri" w:cs="Calibri"/>
                <w:color w:val="auto"/>
                <w:sz w:val="22"/>
                <w:szCs w:val="22"/>
              </w:rPr>
              <w:t xml:space="preserve"> Wood</w:t>
            </w:r>
          </w:p>
        </w:tc>
        <w:tc>
          <w:tcPr>
            <w:tcW w:w="4395" w:type="dxa"/>
            <w:tcBorders>
              <w:top w:val="nil"/>
              <w:left w:val="nil"/>
              <w:bottom w:val="single" w:sz="4" w:space="0" w:color="auto"/>
              <w:right w:val="single" w:sz="4" w:space="0" w:color="auto"/>
            </w:tcBorders>
            <w:shd w:val="clear" w:color="auto" w:fill="auto"/>
            <w:hideMark/>
          </w:tcPr>
          <w:p w14:paraId="475A4405" w14:textId="63941BA7" w:rsidR="00FA2CC6" w:rsidRPr="000663FF" w:rsidRDefault="00A41302"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 remnant area of ancient woodland with a surviving ground flora</w:t>
            </w:r>
          </w:p>
        </w:tc>
        <w:tc>
          <w:tcPr>
            <w:tcW w:w="1984" w:type="dxa"/>
            <w:tcBorders>
              <w:top w:val="nil"/>
              <w:left w:val="nil"/>
              <w:bottom w:val="single" w:sz="4" w:space="0" w:color="auto"/>
              <w:right w:val="single" w:sz="4" w:space="0" w:color="auto"/>
            </w:tcBorders>
            <w:shd w:val="clear" w:color="auto" w:fill="auto"/>
            <w:hideMark/>
          </w:tcPr>
          <w:p w14:paraId="6CF03DE1"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Stanton Hill &amp; Teversal</w:t>
            </w:r>
          </w:p>
        </w:tc>
      </w:tr>
      <w:tr w:rsidR="000663FF" w:rsidRPr="000663FF" w14:paraId="438FED54" w14:textId="77777777" w:rsidTr="00DC0D18">
        <w:trPr>
          <w:trHeight w:val="580"/>
        </w:trPr>
        <w:tc>
          <w:tcPr>
            <w:tcW w:w="1009" w:type="dxa"/>
            <w:tcBorders>
              <w:top w:val="nil"/>
              <w:left w:val="single" w:sz="4" w:space="0" w:color="auto"/>
              <w:bottom w:val="single" w:sz="4" w:space="0" w:color="auto"/>
              <w:right w:val="single" w:sz="4" w:space="0" w:color="auto"/>
            </w:tcBorders>
            <w:shd w:val="clear" w:color="auto" w:fill="auto"/>
            <w:hideMark/>
          </w:tcPr>
          <w:p w14:paraId="5349EBE1"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EV4wbt</w:t>
            </w:r>
          </w:p>
        </w:tc>
        <w:tc>
          <w:tcPr>
            <w:tcW w:w="2388" w:type="dxa"/>
            <w:tcBorders>
              <w:top w:val="nil"/>
              <w:left w:val="nil"/>
              <w:bottom w:val="single" w:sz="4" w:space="0" w:color="auto"/>
              <w:right w:val="single" w:sz="4" w:space="0" w:color="auto"/>
            </w:tcBorders>
            <w:shd w:val="clear" w:color="auto" w:fill="auto"/>
            <w:hideMark/>
          </w:tcPr>
          <w:p w14:paraId="55EB01E2"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County Dumble</w:t>
            </w:r>
          </w:p>
        </w:tc>
        <w:tc>
          <w:tcPr>
            <w:tcW w:w="4395" w:type="dxa"/>
            <w:tcBorders>
              <w:top w:val="nil"/>
              <w:left w:val="nil"/>
              <w:bottom w:val="single" w:sz="4" w:space="0" w:color="auto"/>
              <w:right w:val="single" w:sz="4" w:space="0" w:color="auto"/>
            </w:tcBorders>
            <w:shd w:val="clear" w:color="auto" w:fill="auto"/>
            <w:hideMark/>
          </w:tcPr>
          <w:p w14:paraId="33B43190" w14:textId="43F5B307" w:rsidR="00FA2CC6" w:rsidRPr="000663FF" w:rsidRDefault="00A41302"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 wooded stream supporting a noteworthy flora</w:t>
            </w:r>
          </w:p>
        </w:tc>
        <w:tc>
          <w:tcPr>
            <w:tcW w:w="1984" w:type="dxa"/>
            <w:tcBorders>
              <w:top w:val="nil"/>
              <w:left w:val="nil"/>
              <w:bottom w:val="single" w:sz="4" w:space="0" w:color="auto"/>
              <w:right w:val="single" w:sz="4" w:space="0" w:color="auto"/>
            </w:tcBorders>
            <w:shd w:val="clear" w:color="auto" w:fill="auto"/>
            <w:hideMark/>
          </w:tcPr>
          <w:p w14:paraId="22DE41D2"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Stanton Hill &amp; Teversal</w:t>
            </w:r>
          </w:p>
        </w:tc>
      </w:tr>
      <w:tr w:rsidR="000663FF" w:rsidRPr="000663FF" w14:paraId="3D104CE0" w14:textId="77777777" w:rsidTr="00DC0D18">
        <w:trPr>
          <w:trHeight w:val="580"/>
        </w:trPr>
        <w:tc>
          <w:tcPr>
            <w:tcW w:w="1009" w:type="dxa"/>
            <w:tcBorders>
              <w:top w:val="nil"/>
              <w:left w:val="single" w:sz="4" w:space="0" w:color="auto"/>
              <w:bottom w:val="single" w:sz="4" w:space="0" w:color="auto"/>
              <w:right w:val="single" w:sz="4" w:space="0" w:color="auto"/>
            </w:tcBorders>
            <w:shd w:val="clear" w:color="auto" w:fill="auto"/>
            <w:hideMark/>
          </w:tcPr>
          <w:p w14:paraId="039099C5"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EV4wbu</w:t>
            </w:r>
          </w:p>
        </w:tc>
        <w:tc>
          <w:tcPr>
            <w:tcW w:w="2388" w:type="dxa"/>
            <w:tcBorders>
              <w:top w:val="nil"/>
              <w:left w:val="nil"/>
              <w:bottom w:val="single" w:sz="4" w:space="0" w:color="auto"/>
              <w:right w:val="single" w:sz="4" w:space="0" w:color="auto"/>
            </w:tcBorders>
            <w:shd w:val="clear" w:color="auto" w:fill="auto"/>
            <w:hideMark/>
          </w:tcPr>
          <w:p w14:paraId="5D67BD68"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Coxmoor Golf Course</w:t>
            </w:r>
          </w:p>
        </w:tc>
        <w:tc>
          <w:tcPr>
            <w:tcW w:w="4395" w:type="dxa"/>
            <w:tcBorders>
              <w:top w:val="nil"/>
              <w:left w:val="nil"/>
              <w:bottom w:val="single" w:sz="4" w:space="0" w:color="auto"/>
              <w:right w:val="single" w:sz="4" w:space="0" w:color="auto"/>
            </w:tcBorders>
            <w:shd w:val="clear" w:color="auto" w:fill="auto"/>
            <w:hideMark/>
          </w:tcPr>
          <w:p w14:paraId="6FDA2A60" w14:textId="43E1F9D2" w:rsidR="00FA2CC6" w:rsidRPr="000663FF" w:rsidRDefault="00A41302"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An excellent habitat mosaic with a most impressive flora</w:t>
            </w:r>
          </w:p>
        </w:tc>
        <w:tc>
          <w:tcPr>
            <w:tcW w:w="1984" w:type="dxa"/>
            <w:tcBorders>
              <w:top w:val="nil"/>
              <w:left w:val="nil"/>
              <w:bottom w:val="single" w:sz="4" w:space="0" w:color="auto"/>
              <w:right w:val="single" w:sz="4" w:space="0" w:color="auto"/>
            </w:tcBorders>
            <w:shd w:val="clear" w:color="auto" w:fill="auto"/>
            <w:hideMark/>
          </w:tcPr>
          <w:p w14:paraId="1F989EC9"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Sutton Junction &amp; Harlow Wood</w:t>
            </w:r>
          </w:p>
        </w:tc>
      </w:tr>
      <w:tr w:rsidR="000663FF" w:rsidRPr="000663FF" w14:paraId="60D69D21" w14:textId="77777777" w:rsidTr="00DC0D18">
        <w:trPr>
          <w:trHeight w:val="580"/>
        </w:trPr>
        <w:tc>
          <w:tcPr>
            <w:tcW w:w="1009" w:type="dxa"/>
            <w:tcBorders>
              <w:top w:val="nil"/>
              <w:left w:val="single" w:sz="4" w:space="0" w:color="auto"/>
              <w:bottom w:val="single" w:sz="4" w:space="0" w:color="auto"/>
              <w:right w:val="single" w:sz="4" w:space="0" w:color="auto"/>
            </w:tcBorders>
            <w:shd w:val="clear" w:color="auto" w:fill="auto"/>
            <w:hideMark/>
          </w:tcPr>
          <w:p w14:paraId="35620EA2"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EV4wbw</w:t>
            </w:r>
          </w:p>
        </w:tc>
        <w:tc>
          <w:tcPr>
            <w:tcW w:w="2388" w:type="dxa"/>
            <w:tcBorders>
              <w:top w:val="nil"/>
              <w:left w:val="nil"/>
              <w:bottom w:val="single" w:sz="4" w:space="0" w:color="auto"/>
              <w:right w:val="single" w:sz="4" w:space="0" w:color="auto"/>
            </w:tcBorders>
            <w:shd w:val="clear" w:color="auto" w:fill="auto"/>
            <w:hideMark/>
          </w:tcPr>
          <w:p w14:paraId="0DD82DDA"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Crossley Avenue Grassland</w:t>
            </w:r>
          </w:p>
        </w:tc>
        <w:tc>
          <w:tcPr>
            <w:tcW w:w="4395" w:type="dxa"/>
            <w:tcBorders>
              <w:top w:val="nil"/>
              <w:left w:val="nil"/>
              <w:bottom w:val="single" w:sz="4" w:space="0" w:color="auto"/>
              <w:right w:val="single" w:sz="4" w:space="0" w:color="auto"/>
            </w:tcBorders>
            <w:shd w:val="clear" w:color="auto" w:fill="auto"/>
            <w:hideMark/>
          </w:tcPr>
          <w:p w14:paraId="3963C53C" w14:textId="4F39C4CE" w:rsidR="00FA2CC6" w:rsidRPr="000663FF" w:rsidRDefault="00A41302"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 noteworthy calcareous grassland with a field pond</w:t>
            </w:r>
          </w:p>
        </w:tc>
        <w:tc>
          <w:tcPr>
            <w:tcW w:w="1984" w:type="dxa"/>
            <w:tcBorders>
              <w:top w:val="nil"/>
              <w:left w:val="nil"/>
              <w:bottom w:val="single" w:sz="4" w:space="0" w:color="auto"/>
              <w:right w:val="single" w:sz="4" w:space="0" w:color="auto"/>
            </w:tcBorders>
            <w:shd w:val="clear" w:color="auto" w:fill="auto"/>
            <w:hideMark/>
          </w:tcPr>
          <w:p w14:paraId="43925BC0"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Huthwaite &amp; Brierley</w:t>
            </w:r>
          </w:p>
        </w:tc>
      </w:tr>
      <w:tr w:rsidR="000663FF" w:rsidRPr="000663FF" w14:paraId="48E195BF" w14:textId="77777777" w:rsidTr="00DC0D18">
        <w:trPr>
          <w:trHeight w:val="580"/>
        </w:trPr>
        <w:tc>
          <w:tcPr>
            <w:tcW w:w="1009" w:type="dxa"/>
            <w:tcBorders>
              <w:top w:val="nil"/>
              <w:left w:val="single" w:sz="4" w:space="0" w:color="auto"/>
              <w:bottom w:val="single" w:sz="4" w:space="0" w:color="auto"/>
              <w:right w:val="single" w:sz="4" w:space="0" w:color="auto"/>
            </w:tcBorders>
            <w:shd w:val="clear" w:color="auto" w:fill="auto"/>
            <w:hideMark/>
          </w:tcPr>
          <w:p w14:paraId="2456E6AA"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EV4wbw</w:t>
            </w:r>
          </w:p>
        </w:tc>
        <w:tc>
          <w:tcPr>
            <w:tcW w:w="2388" w:type="dxa"/>
            <w:tcBorders>
              <w:top w:val="nil"/>
              <w:left w:val="nil"/>
              <w:bottom w:val="single" w:sz="4" w:space="0" w:color="auto"/>
              <w:right w:val="single" w:sz="4" w:space="0" w:color="auto"/>
            </w:tcBorders>
            <w:shd w:val="clear" w:color="auto" w:fill="auto"/>
            <w:hideMark/>
          </w:tcPr>
          <w:p w14:paraId="34DBBBE9"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Crossley Plantation</w:t>
            </w:r>
          </w:p>
        </w:tc>
        <w:tc>
          <w:tcPr>
            <w:tcW w:w="4395" w:type="dxa"/>
            <w:tcBorders>
              <w:top w:val="nil"/>
              <w:left w:val="nil"/>
              <w:bottom w:val="single" w:sz="4" w:space="0" w:color="auto"/>
              <w:right w:val="single" w:sz="4" w:space="0" w:color="auto"/>
            </w:tcBorders>
            <w:shd w:val="clear" w:color="auto" w:fill="auto"/>
            <w:hideMark/>
          </w:tcPr>
          <w:p w14:paraId="6CC49D4D" w14:textId="763FF2AB" w:rsidR="00FA2CC6" w:rsidRPr="000663FF" w:rsidRDefault="00A41302"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 mature neglected plantation site with a very rich ground flora</w:t>
            </w:r>
          </w:p>
        </w:tc>
        <w:tc>
          <w:tcPr>
            <w:tcW w:w="1984" w:type="dxa"/>
            <w:tcBorders>
              <w:top w:val="nil"/>
              <w:left w:val="nil"/>
              <w:bottom w:val="single" w:sz="4" w:space="0" w:color="auto"/>
              <w:right w:val="single" w:sz="4" w:space="0" w:color="auto"/>
            </w:tcBorders>
            <w:shd w:val="clear" w:color="auto" w:fill="auto"/>
            <w:hideMark/>
          </w:tcPr>
          <w:p w14:paraId="4DD39400"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Stanton Hill &amp; Teversal</w:t>
            </w:r>
          </w:p>
        </w:tc>
      </w:tr>
      <w:tr w:rsidR="000663FF" w:rsidRPr="000663FF" w14:paraId="5A22BF27" w14:textId="77777777" w:rsidTr="00DC0D18">
        <w:trPr>
          <w:trHeight w:val="580"/>
        </w:trPr>
        <w:tc>
          <w:tcPr>
            <w:tcW w:w="1009" w:type="dxa"/>
            <w:tcBorders>
              <w:top w:val="nil"/>
              <w:left w:val="single" w:sz="4" w:space="0" w:color="auto"/>
              <w:bottom w:val="single" w:sz="4" w:space="0" w:color="auto"/>
              <w:right w:val="single" w:sz="4" w:space="0" w:color="auto"/>
            </w:tcBorders>
            <w:shd w:val="clear" w:color="auto" w:fill="auto"/>
            <w:hideMark/>
          </w:tcPr>
          <w:p w14:paraId="113AA0BF"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EV4wbx</w:t>
            </w:r>
          </w:p>
        </w:tc>
        <w:tc>
          <w:tcPr>
            <w:tcW w:w="2388" w:type="dxa"/>
            <w:tcBorders>
              <w:top w:val="nil"/>
              <w:left w:val="nil"/>
              <w:bottom w:val="single" w:sz="4" w:space="0" w:color="auto"/>
              <w:right w:val="single" w:sz="4" w:space="0" w:color="auto"/>
            </w:tcBorders>
            <w:shd w:val="clear" w:color="auto" w:fill="auto"/>
            <w:hideMark/>
          </w:tcPr>
          <w:p w14:paraId="1135897E"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Davis's Bottom</w:t>
            </w:r>
          </w:p>
        </w:tc>
        <w:tc>
          <w:tcPr>
            <w:tcW w:w="4395" w:type="dxa"/>
            <w:tcBorders>
              <w:top w:val="nil"/>
              <w:left w:val="nil"/>
              <w:bottom w:val="single" w:sz="4" w:space="0" w:color="auto"/>
              <w:right w:val="single" w:sz="4" w:space="0" w:color="auto"/>
            </w:tcBorders>
            <w:shd w:val="clear" w:color="auto" w:fill="auto"/>
            <w:hideMark/>
          </w:tcPr>
          <w:p w14:paraId="4DE872E6" w14:textId="0892A080" w:rsidR="00FA2CC6" w:rsidRPr="000663FF" w:rsidRDefault="00A41302"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 valuable woodland with a notable ground flora</w:t>
            </w:r>
          </w:p>
        </w:tc>
        <w:tc>
          <w:tcPr>
            <w:tcW w:w="1984" w:type="dxa"/>
            <w:tcBorders>
              <w:top w:val="nil"/>
              <w:left w:val="nil"/>
              <w:bottom w:val="single" w:sz="4" w:space="0" w:color="auto"/>
              <w:right w:val="single" w:sz="4" w:space="0" w:color="auto"/>
            </w:tcBorders>
            <w:shd w:val="clear" w:color="auto" w:fill="auto"/>
            <w:hideMark/>
          </w:tcPr>
          <w:p w14:paraId="698CD05F"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Annesley &amp; Kirkby Woodhouse</w:t>
            </w:r>
          </w:p>
        </w:tc>
      </w:tr>
      <w:tr w:rsidR="000663FF" w:rsidRPr="000663FF" w14:paraId="4C7108A7" w14:textId="77777777" w:rsidTr="00DC0D18">
        <w:trPr>
          <w:trHeight w:val="580"/>
        </w:trPr>
        <w:tc>
          <w:tcPr>
            <w:tcW w:w="1009" w:type="dxa"/>
            <w:tcBorders>
              <w:top w:val="nil"/>
              <w:left w:val="single" w:sz="4" w:space="0" w:color="auto"/>
              <w:bottom w:val="single" w:sz="4" w:space="0" w:color="auto"/>
              <w:right w:val="single" w:sz="4" w:space="0" w:color="auto"/>
            </w:tcBorders>
            <w:shd w:val="clear" w:color="auto" w:fill="auto"/>
            <w:hideMark/>
          </w:tcPr>
          <w:p w14:paraId="020C1190"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EV4wby</w:t>
            </w:r>
          </w:p>
        </w:tc>
        <w:tc>
          <w:tcPr>
            <w:tcW w:w="2388" w:type="dxa"/>
            <w:tcBorders>
              <w:top w:val="nil"/>
              <w:left w:val="nil"/>
              <w:bottom w:val="single" w:sz="4" w:space="0" w:color="auto"/>
              <w:right w:val="single" w:sz="4" w:space="0" w:color="auto"/>
            </w:tcBorders>
            <w:shd w:val="clear" w:color="auto" w:fill="auto"/>
            <w:hideMark/>
          </w:tcPr>
          <w:p w14:paraId="240A8559"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Davis's Bottom Grassland</w:t>
            </w:r>
          </w:p>
        </w:tc>
        <w:tc>
          <w:tcPr>
            <w:tcW w:w="4395" w:type="dxa"/>
            <w:tcBorders>
              <w:top w:val="nil"/>
              <w:left w:val="nil"/>
              <w:bottom w:val="single" w:sz="4" w:space="0" w:color="auto"/>
              <w:right w:val="single" w:sz="4" w:space="0" w:color="auto"/>
            </w:tcBorders>
            <w:shd w:val="clear" w:color="auto" w:fill="auto"/>
            <w:hideMark/>
          </w:tcPr>
          <w:p w14:paraId="42AA7E7A" w14:textId="7C2412FB" w:rsidR="00FA2CC6" w:rsidRPr="000663FF" w:rsidRDefault="00A41302"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 grassland with a notable species assemblage</w:t>
            </w:r>
          </w:p>
        </w:tc>
        <w:tc>
          <w:tcPr>
            <w:tcW w:w="1984" w:type="dxa"/>
            <w:tcBorders>
              <w:top w:val="nil"/>
              <w:left w:val="nil"/>
              <w:bottom w:val="single" w:sz="4" w:space="0" w:color="auto"/>
              <w:right w:val="single" w:sz="4" w:space="0" w:color="auto"/>
            </w:tcBorders>
            <w:shd w:val="clear" w:color="auto" w:fill="auto"/>
            <w:hideMark/>
          </w:tcPr>
          <w:p w14:paraId="21C2E251"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Annesley &amp; Kirkby Woodhouse</w:t>
            </w:r>
          </w:p>
        </w:tc>
      </w:tr>
      <w:tr w:rsidR="000663FF" w:rsidRPr="000663FF" w14:paraId="1D777834" w14:textId="77777777" w:rsidTr="00DC0D18">
        <w:trPr>
          <w:trHeight w:val="870"/>
        </w:trPr>
        <w:tc>
          <w:tcPr>
            <w:tcW w:w="1009" w:type="dxa"/>
            <w:tcBorders>
              <w:top w:val="nil"/>
              <w:left w:val="single" w:sz="4" w:space="0" w:color="auto"/>
              <w:bottom w:val="single" w:sz="4" w:space="0" w:color="auto"/>
              <w:right w:val="single" w:sz="4" w:space="0" w:color="auto"/>
            </w:tcBorders>
            <w:shd w:val="clear" w:color="auto" w:fill="auto"/>
            <w:hideMark/>
          </w:tcPr>
          <w:p w14:paraId="2765D698"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EV4wbz</w:t>
            </w:r>
          </w:p>
        </w:tc>
        <w:tc>
          <w:tcPr>
            <w:tcW w:w="2388" w:type="dxa"/>
            <w:tcBorders>
              <w:top w:val="nil"/>
              <w:left w:val="nil"/>
              <w:bottom w:val="single" w:sz="4" w:space="0" w:color="auto"/>
              <w:right w:val="single" w:sz="4" w:space="0" w:color="auto"/>
            </w:tcBorders>
            <w:shd w:val="clear" w:color="auto" w:fill="auto"/>
            <w:hideMark/>
          </w:tcPr>
          <w:p w14:paraId="08E65C97"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Davis's Bottom Pasture</w:t>
            </w:r>
          </w:p>
        </w:tc>
        <w:tc>
          <w:tcPr>
            <w:tcW w:w="4395" w:type="dxa"/>
            <w:tcBorders>
              <w:top w:val="nil"/>
              <w:left w:val="nil"/>
              <w:bottom w:val="single" w:sz="4" w:space="0" w:color="auto"/>
              <w:right w:val="single" w:sz="4" w:space="0" w:color="auto"/>
            </w:tcBorders>
            <w:shd w:val="clear" w:color="auto" w:fill="auto"/>
            <w:hideMark/>
          </w:tcPr>
          <w:p w14:paraId="087AB864" w14:textId="0EF92823" w:rsidR="00FA2CC6" w:rsidRPr="000663FF" w:rsidRDefault="00A41302"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Two through-grazed grasslands with an excellent herb-rich sward showing calcareous and Coal Measure</w:t>
            </w:r>
          </w:p>
        </w:tc>
        <w:tc>
          <w:tcPr>
            <w:tcW w:w="1984" w:type="dxa"/>
            <w:tcBorders>
              <w:top w:val="nil"/>
              <w:left w:val="nil"/>
              <w:bottom w:val="single" w:sz="4" w:space="0" w:color="auto"/>
              <w:right w:val="single" w:sz="4" w:space="0" w:color="auto"/>
            </w:tcBorders>
            <w:shd w:val="clear" w:color="auto" w:fill="auto"/>
            <w:hideMark/>
          </w:tcPr>
          <w:p w14:paraId="67009C42"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Annesley &amp; Kirkby Woodhouse</w:t>
            </w:r>
          </w:p>
        </w:tc>
      </w:tr>
      <w:tr w:rsidR="000663FF" w:rsidRPr="000663FF" w14:paraId="205E9588" w14:textId="77777777" w:rsidTr="00DC0D18">
        <w:trPr>
          <w:trHeight w:val="580"/>
        </w:trPr>
        <w:tc>
          <w:tcPr>
            <w:tcW w:w="1009" w:type="dxa"/>
            <w:tcBorders>
              <w:top w:val="nil"/>
              <w:left w:val="single" w:sz="4" w:space="0" w:color="auto"/>
              <w:bottom w:val="single" w:sz="4" w:space="0" w:color="auto"/>
              <w:right w:val="single" w:sz="4" w:space="0" w:color="auto"/>
            </w:tcBorders>
            <w:shd w:val="clear" w:color="auto" w:fill="auto"/>
            <w:hideMark/>
          </w:tcPr>
          <w:p w14:paraId="0B4B2FC5"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EV4wc</w:t>
            </w:r>
          </w:p>
        </w:tc>
        <w:tc>
          <w:tcPr>
            <w:tcW w:w="2388" w:type="dxa"/>
            <w:tcBorders>
              <w:top w:val="nil"/>
              <w:left w:val="nil"/>
              <w:bottom w:val="single" w:sz="4" w:space="0" w:color="auto"/>
              <w:right w:val="single" w:sz="4" w:space="0" w:color="auto"/>
            </w:tcBorders>
            <w:shd w:val="clear" w:color="auto" w:fill="auto"/>
            <w:hideMark/>
          </w:tcPr>
          <w:p w14:paraId="5E7459FA" w14:textId="77777777" w:rsidR="00FA2CC6" w:rsidRPr="000663FF" w:rsidRDefault="00FA2CC6" w:rsidP="00FA2CC6">
            <w:pPr>
              <w:keepNext w:val="0"/>
              <w:spacing w:before="0"/>
              <w:rPr>
                <w:rFonts w:ascii="Calibri" w:hAnsi="Calibri" w:cs="Calibri"/>
                <w:color w:val="auto"/>
                <w:sz w:val="22"/>
                <w:szCs w:val="22"/>
              </w:rPr>
            </w:pPr>
            <w:proofErr w:type="spellStart"/>
            <w:r w:rsidRPr="000663FF">
              <w:rPr>
                <w:rFonts w:ascii="Calibri" w:hAnsi="Calibri" w:cs="Calibri"/>
                <w:color w:val="auto"/>
                <w:sz w:val="22"/>
                <w:szCs w:val="22"/>
              </w:rPr>
              <w:t>Dawgate's</w:t>
            </w:r>
            <w:proofErr w:type="spellEnd"/>
            <w:r w:rsidRPr="000663FF">
              <w:rPr>
                <w:rFonts w:ascii="Calibri" w:hAnsi="Calibri" w:cs="Calibri"/>
                <w:color w:val="auto"/>
                <w:sz w:val="22"/>
                <w:szCs w:val="22"/>
              </w:rPr>
              <w:t xml:space="preserve"> Lane Grassland</w:t>
            </w:r>
          </w:p>
        </w:tc>
        <w:tc>
          <w:tcPr>
            <w:tcW w:w="4395" w:type="dxa"/>
            <w:tcBorders>
              <w:top w:val="nil"/>
              <w:left w:val="nil"/>
              <w:bottom w:val="single" w:sz="4" w:space="0" w:color="auto"/>
              <w:right w:val="single" w:sz="4" w:space="0" w:color="auto"/>
            </w:tcBorders>
            <w:shd w:val="clear" w:color="auto" w:fill="auto"/>
            <w:hideMark/>
          </w:tcPr>
          <w:p w14:paraId="30ACBB9D" w14:textId="0785916C" w:rsidR="00FA2CC6" w:rsidRPr="000663FF" w:rsidRDefault="00A41302"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Steep, unimproved grassland with a noteworthy sward</w:t>
            </w:r>
          </w:p>
        </w:tc>
        <w:tc>
          <w:tcPr>
            <w:tcW w:w="1984" w:type="dxa"/>
            <w:tcBorders>
              <w:top w:val="nil"/>
              <w:left w:val="nil"/>
              <w:bottom w:val="single" w:sz="4" w:space="0" w:color="auto"/>
              <w:right w:val="single" w:sz="4" w:space="0" w:color="auto"/>
            </w:tcBorders>
            <w:shd w:val="clear" w:color="auto" w:fill="auto"/>
            <w:hideMark/>
          </w:tcPr>
          <w:p w14:paraId="6DA6502C"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Skegby</w:t>
            </w:r>
          </w:p>
        </w:tc>
      </w:tr>
      <w:tr w:rsidR="000663FF" w:rsidRPr="000663FF" w14:paraId="7AEB8479" w14:textId="77777777" w:rsidTr="00DC0D18">
        <w:trPr>
          <w:trHeight w:val="637"/>
        </w:trPr>
        <w:tc>
          <w:tcPr>
            <w:tcW w:w="1009" w:type="dxa"/>
            <w:tcBorders>
              <w:top w:val="single" w:sz="4" w:space="0" w:color="auto"/>
              <w:left w:val="single" w:sz="4" w:space="0" w:color="auto"/>
              <w:bottom w:val="single" w:sz="4" w:space="0" w:color="auto"/>
              <w:right w:val="single" w:sz="4" w:space="0" w:color="auto"/>
            </w:tcBorders>
            <w:shd w:val="clear" w:color="auto" w:fill="auto"/>
            <w:hideMark/>
          </w:tcPr>
          <w:p w14:paraId="679B4B76"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EV4wca</w:t>
            </w:r>
          </w:p>
        </w:tc>
        <w:tc>
          <w:tcPr>
            <w:tcW w:w="2388" w:type="dxa"/>
            <w:tcBorders>
              <w:top w:val="single" w:sz="4" w:space="0" w:color="auto"/>
              <w:left w:val="single" w:sz="4" w:space="0" w:color="auto"/>
              <w:bottom w:val="single" w:sz="4" w:space="0" w:color="auto"/>
              <w:right w:val="single" w:sz="4" w:space="0" w:color="auto"/>
            </w:tcBorders>
            <w:shd w:val="clear" w:color="auto" w:fill="auto"/>
            <w:hideMark/>
          </w:tcPr>
          <w:p w14:paraId="4BAACB87" w14:textId="77777777" w:rsidR="00FA2CC6" w:rsidRPr="000663FF" w:rsidRDefault="00FA2CC6" w:rsidP="00FA2CC6">
            <w:pPr>
              <w:keepNext w:val="0"/>
              <w:spacing w:before="0"/>
              <w:rPr>
                <w:rFonts w:ascii="Calibri" w:hAnsi="Calibri" w:cs="Calibri"/>
                <w:color w:val="auto"/>
                <w:sz w:val="22"/>
                <w:szCs w:val="22"/>
              </w:rPr>
            </w:pPr>
            <w:proofErr w:type="spellStart"/>
            <w:r w:rsidRPr="000663FF">
              <w:rPr>
                <w:rFonts w:ascii="Calibri" w:hAnsi="Calibri" w:cs="Calibri"/>
                <w:color w:val="auto"/>
                <w:sz w:val="22"/>
                <w:szCs w:val="22"/>
              </w:rPr>
              <w:t>Dobpark</w:t>
            </w:r>
            <w:proofErr w:type="spellEnd"/>
            <w:r w:rsidRPr="000663FF">
              <w:rPr>
                <w:rFonts w:ascii="Calibri" w:hAnsi="Calibri" w:cs="Calibri"/>
                <w:color w:val="auto"/>
                <w:sz w:val="22"/>
                <w:szCs w:val="22"/>
              </w:rPr>
              <w:t xml:space="preserve"> Grassland</w:t>
            </w:r>
          </w:p>
        </w:tc>
        <w:tc>
          <w:tcPr>
            <w:tcW w:w="4395" w:type="dxa"/>
            <w:tcBorders>
              <w:top w:val="single" w:sz="4" w:space="0" w:color="auto"/>
              <w:left w:val="single" w:sz="4" w:space="0" w:color="auto"/>
              <w:bottom w:val="single" w:sz="4" w:space="0" w:color="auto"/>
              <w:right w:val="single" w:sz="4" w:space="0" w:color="auto"/>
            </w:tcBorders>
            <w:shd w:val="clear" w:color="auto" w:fill="auto"/>
            <w:hideMark/>
          </w:tcPr>
          <w:p w14:paraId="724ED5D4" w14:textId="2A289362" w:rsidR="00FA2CC6" w:rsidRPr="000663FF" w:rsidRDefault="00A41302"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Remnant area of pastures incorporating some notable marshy areas</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556E1369"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Hucknall West</w:t>
            </w:r>
          </w:p>
        </w:tc>
      </w:tr>
      <w:tr w:rsidR="000663FF" w:rsidRPr="000663FF" w14:paraId="57003D17" w14:textId="77777777" w:rsidTr="00DC0D18">
        <w:trPr>
          <w:trHeight w:val="580"/>
        </w:trPr>
        <w:tc>
          <w:tcPr>
            <w:tcW w:w="1009" w:type="dxa"/>
            <w:tcBorders>
              <w:top w:val="single" w:sz="4" w:space="0" w:color="auto"/>
              <w:left w:val="single" w:sz="4" w:space="0" w:color="auto"/>
              <w:bottom w:val="single" w:sz="4" w:space="0" w:color="auto"/>
              <w:right w:val="single" w:sz="4" w:space="0" w:color="auto"/>
            </w:tcBorders>
            <w:shd w:val="clear" w:color="auto" w:fill="auto"/>
            <w:hideMark/>
          </w:tcPr>
          <w:p w14:paraId="38461449"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EV4wcb</w:t>
            </w:r>
          </w:p>
        </w:tc>
        <w:tc>
          <w:tcPr>
            <w:tcW w:w="2388" w:type="dxa"/>
            <w:tcBorders>
              <w:top w:val="single" w:sz="4" w:space="0" w:color="auto"/>
              <w:left w:val="nil"/>
              <w:bottom w:val="single" w:sz="4" w:space="0" w:color="auto"/>
              <w:right w:val="single" w:sz="4" w:space="0" w:color="auto"/>
            </w:tcBorders>
            <w:shd w:val="clear" w:color="auto" w:fill="auto"/>
            <w:hideMark/>
          </w:tcPr>
          <w:p w14:paraId="738517F2"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Dovedale Farm Field Bank</w:t>
            </w:r>
          </w:p>
        </w:tc>
        <w:tc>
          <w:tcPr>
            <w:tcW w:w="4395" w:type="dxa"/>
            <w:tcBorders>
              <w:top w:val="single" w:sz="4" w:space="0" w:color="auto"/>
              <w:left w:val="nil"/>
              <w:bottom w:val="single" w:sz="4" w:space="0" w:color="auto"/>
              <w:right w:val="single" w:sz="4" w:space="0" w:color="auto"/>
            </w:tcBorders>
            <w:shd w:val="clear" w:color="auto" w:fill="auto"/>
            <w:hideMark/>
          </w:tcPr>
          <w:p w14:paraId="53F4A08A" w14:textId="71AAE473" w:rsidR="00FA2CC6" w:rsidRPr="000663FF" w:rsidRDefault="00A41302"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 species-rich grassland bank</w:t>
            </w:r>
          </w:p>
        </w:tc>
        <w:tc>
          <w:tcPr>
            <w:tcW w:w="1984" w:type="dxa"/>
            <w:tcBorders>
              <w:top w:val="single" w:sz="4" w:space="0" w:color="auto"/>
              <w:left w:val="nil"/>
              <w:bottom w:val="single" w:sz="4" w:space="0" w:color="auto"/>
              <w:right w:val="single" w:sz="4" w:space="0" w:color="auto"/>
            </w:tcBorders>
            <w:shd w:val="clear" w:color="auto" w:fill="auto"/>
            <w:hideMark/>
          </w:tcPr>
          <w:p w14:paraId="6ABFB143"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Stanton Hill &amp; Teversal</w:t>
            </w:r>
          </w:p>
        </w:tc>
      </w:tr>
      <w:tr w:rsidR="000663FF" w:rsidRPr="000663FF" w14:paraId="1F6ED2DE" w14:textId="77777777" w:rsidTr="00DC0D18">
        <w:trPr>
          <w:trHeight w:val="617"/>
        </w:trPr>
        <w:tc>
          <w:tcPr>
            <w:tcW w:w="1009" w:type="dxa"/>
            <w:tcBorders>
              <w:top w:val="nil"/>
              <w:left w:val="single" w:sz="4" w:space="0" w:color="auto"/>
              <w:bottom w:val="single" w:sz="4" w:space="0" w:color="auto"/>
              <w:right w:val="single" w:sz="4" w:space="0" w:color="auto"/>
            </w:tcBorders>
            <w:shd w:val="clear" w:color="auto" w:fill="auto"/>
            <w:hideMark/>
          </w:tcPr>
          <w:p w14:paraId="3F348ED2"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EV4wcc</w:t>
            </w:r>
          </w:p>
        </w:tc>
        <w:tc>
          <w:tcPr>
            <w:tcW w:w="2388" w:type="dxa"/>
            <w:tcBorders>
              <w:top w:val="nil"/>
              <w:left w:val="nil"/>
              <w:bottom w:val="single" w:sz="4" w:space="0" w:color="auto"/>
              <w:right w:val="single" w:sz="4" w:space="0" w:color="auto"/>
            </w:tcBorders>
            <w:shd w:val="clear" w:color="auto" w:fill="auto"/>
            <w:hideMark/>
          </w:tcPr>
          <w:p w14:paraId="5E57E49B"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Dovedale Wood</w:t>
            </w:r>
          </w:p>
        </w:tc>
        <w:tc>
          <w:tcPr>
            <w:tcW w:w="4395" w:type="dxa"/>
            <w:tcBorders>
              <w:top w:val="nil"/>
              <w:left w:val="nil"/>
              <w:bottom w:val="single" w:sz="4" w:space="0" w:color="auto"/>
              <w:right w:val="single" w:sz="4" w:space="0" w:color="auto"/>
            </w:tcBorders>
            <w:shd w:val="clear" w:color="auto" w:fill="auto"/>
            <w:hideMark/>
          </w:tcPr>
          <w:p w14:paraId="6CE9F1BC" w14:textId="440B056A" w:rsidR="00FA2CC6" w:rsidRPr="000663FF" w:rsidRDefault="00A41302"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An ancient deciduous woodland with an excellent ground flora and invertebrate interest</w:t>
            </w:r>
          </w:p>
        </w:tc>
        <w:tc>
          <w:tcPr>
            <w:tcW w:w="1984" w:type="dxa"/>
            <w:tcBorders>
              <w:top w:val="nil"/>
              <w:left w:val="nil"/>
              <w:bottom w:val="single" w:sz="4" w:space="0" w:color="auto"/>
              <w:right w:val="single" w:sz="4" w:space="0" w:color="auto"/>
            </w:tcBorders>
            <w:shd w:val="clear" w:color="auto" w:fill="auto"/>
            <w:hideMark/>
          </w:tcPr>
          <w:p w14:paraId="65EBBAEC"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Stanton Hill &amp; Teversal</w:t>
            </w:r>
          </w:p>
        </w:tc>
      </w:tr>
      <w:tr w:rsidR="000663FF" w:rsidRPr="000663FF" w14:paraId="27B03842" w14:textId="77777777" w:rsidTr="00DC0D18">
        <w:trPr>
          <w:trHeight w:val="580"/>
        </w:trPr>
        <w:tc>
          <w:tcPr>
            <w:tcW w:w="1009" w:type="dxa"/>
            <w:tcBorders>
              <w:top w:val="nil"/>
              <w:left w:val="single" w:sz="4" w:space="0" w:color="auto"/>
              <w:bottom w:val="single" w:sz="4" w:space="0" w:color="auto"/>
              <w:right w:val="single" w:sz="4" w:space="0" w:color="auto"/>
            </w:tcBorders>
            <w:shd w:val="clear" w:color="auto" w:fill="auto"/>
            <w:hideMark/>
          </w:tcPr>
          <w:p w14:paraId="799C4E09"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EV4wcd</w:t>
            </w:r>
          </w:p>
        </w:tc>
        <w:tc>
          <w:tcPr>
            <w:tcW w:w="2388" w:type="dxa"/>
            <w:tcBorders>
              <w:top w:val="nil"/>
              <w:left w:val="nil"/>
              <w:bottom w:val="single" w:sz="4" w:space="0" w:color="auto"/>
              <w:right w:val="single" w:sz="4" w:space="0" w:color="auto"/>
            </w:tcBorders>
            <w:shd w:val="clear" w:color="auto" w:fill="auto"/>
            <w:hideMark/>
          </w:tcPr>
          <w:p w14:paraId="7C6AA2BB"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Dovedale Wood Grassland</w:t>
            </w:r>
          </w:p>
        </w:tc>
        <w:tc>
          <w:tcPr>
            <w:tcW w:w="4395" w:type="dxa"/>
            <w:tcBorders>
              <w:top w:val="nil"/>
              <w:left w:val="nil"/>
              <w:bottom w:val="single" w:sz="4" w:space="0" w:color="auto"/>
              <w:right w:val="single" w:sz="4" w:space="0" w:color="auto"/>
            </w:tcBorders>
            <w:shd w:val="clear" w:color="auto" w:fill="auto"/>
            <w:hideMark/>
          </w:tcPr>
          <w:p w14:paraId="21F1DCB1" w14:textId="75DB943D" w:rsidR="00FA2CC6" w:rsidRPr="000663FF" w:rsidRDefault="00A41302"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 floristically rich grassland with Coal Measures indicator species</w:t>
            </w:r>
          </w:p>
        </w:tc>
        <w:tc>
          <w:tcPr>
            <w:tcW w:w="1984" w:type="dxa"/>
            <w:tcBorders>
              <w:top w:val="nil"/>
              <w:left w:val="nil"/>
              <w:bottom w:val="single" w:sz="4" w:space="0" w:color="auto"/>
              <w:right w:val="single" w:sz="4" w:space="0" w:color="auto"/>
            </w:tcBorders>
            <w:shd w:val="clear" w:color="auto" w:fill="auto"/>
            <w:hideMark/>
          </w:tcPr>
          <w:p w14:paraId="56AC3669"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Stanton Hill &amp; Teversal</w:t>
            </w:r>
          </w:p>
        </w:tc>
      </w:tr>
      <w:tr w:rsidR="000663FF" w:rsidRPr="000663FF" w14:paraId="71B60AF7" w14:textId="77777777" w:rsidTr="00A41302">
        <w:trPr>
          <w:trHeight w:val="290"/>
        </w:trPr>
        <w:tc>
          <w:tcPr>
            <w:tcW w:w="1009" w:type="dxa"/>
            <w:tcBorders>
              <w:top w:val="nil"/>
              <w:left w:val="single" w:sz="4" w:space="0" w:color="auto"/>
              <w:bottom w:val="single" w:sz="4" w:space="0" w:color="auto"/>
              <w:right w:val="single" w:sz="4" w:space="0" w:color="auto"/>
            </w:tcBorders>
            <w:shd w:val="clear" w:color="auto" w:fill="auto"/>
            <w:hideMark/>
          </w:tcPr>
          <w:p w14:paraId="2E6AF4D9"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EV4wce</w:t>
            </w:r>
          </w:p>
        </w:tc>
        <w:tc>
          <w:tcPr>
            <w:tcW w:w="2388" w:type="dxa"/>
            <w:tcBorders>
              <w:top w:val="nil"/>
              <w:left w:val="nil"/>
              <w:bottom w:val="single" w:sz="4" w:space="0" w:color="auto"/>
              <w:right w:val="single" w:sz="4" w:space="0" w:color="auto"/>
            </w:tcBorders>
            <w:shd w:val="clear" w:color="auto" w:fill="auto"/>
            <w:hideMark/>
          </w:tcPr>
          <w:p w14:paraId="583FFD80"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Dumbles Bungalow Grassland</w:t>
            </w:r>
          </w:p>
        </w:tc>
        <w:tc>
          <w:tcPr>
            <w:tcW w:w="4395" w:type="dxa"/>
            <w:tcBorders>
              <w:top w:val="nil"/>
              <w:left w:val="nil"/>
              <w:bottom w:val="single" w:sz="4" w:space="0" w:color="auto"/>
              <w:right w:val="single" w:sz="4" w:space="0" w:color="auto"/>
            </w:tcBorders>
            <w:shd w:val="clear" w:color="auto" w:fill="auto"/>
            <w:hideMark/>
          </w:tcPr>
          <w:p w14:paraId="29ECFB15" w14:textId="03D2D51C" w:rsidR="00FA2CC6" w:rsidRPr="000663FF" w:rsidRDefault="00A41302"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 species-rich coal-measures grassland</w:t>
            </w:r>
          </w:p>
        </w:tc>
        <w:tc>
          <w:tcPr>
            <w:tcW w:w="1984" w:type="dxa"/>
            <w:tcBorders>
              <w:top w:val="nil"/>
              <w:left w:val="nil"/>
              <w:bottom w:val="single" w:sz="4" w:space="0" w:color="auto"/>
              <w:right w:val="single" w:sz="4" w:space="0" w:color="auto"/>
            </w:tcBorders>
            <w:shd w:val="clear" w:color="auto" w:fill="auto"/>
            <w:hideMark/>
          </w:tcPr>
          <w:p w14:paraId="03691778"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Larwood</w:t>
            </w:r>
          </w:p>
        </w:tc>
      </w:tr>
      <w:tr w:rsidR="000663FF" w:rsidRPr="000663FF" w14:paraId="162EACD8" w14:textId="77777777" w:rsidTr="000663FF">
        <w:trPr>
          <w:trHeight w:val="543"/>
        </w:trPr>
        <w:tc>
          <w:tcPr>
            <w:tcW w:w="1009" w:type="dxa"/>
            <w:tcBorders>
              <w:top w:val="single" w:sz="4" w:space="0" w:color="auto"/>
              <w:left w:val="single" w:sz="4" w:space="0" w:color="auto"/>
              <w:bottom w:val="single" w:sz="4" w:space="0" w:color="auto"/>
              <w:right w:val="single" w:sz="4" w:space="0" w:color="auto"/>
            </w:tcBorders>
            <w:shd w:val="clear" w:color="auto" w:fill="auto"/>
            <w:hideMark/>
          </w:tcPr>
          <w:p w14:paraId="6FCFA4A8"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EV4wcf</w:t>
            </w:r>
          </w:p>
        </w:tc>
        <w:tc>
          <w:tcPr>
            <w:tcW w:w="2388" w:type="dxa"/>
            <w:tcBorders>
              <w:top w:val="single" w:sz="4" w:space="0" w:color="auto"/>
              <w:left w:val="nil"/>
              <w:bottom w:val="single" w:sz="4" w:space="0" w:color="auto"/>
              <w:right w:val="single" w:sz="4" w:space="0" w:color="auto"/>
            </w:tcBorders>
            <w:shd w:val="clear" w:color="auto" w:fill="auto"/>
            <w:hideMark/>
          </w:tcPr>
          <w:p w14:paraId="0BECB5D9" w14:textId="77777777" w:rsidR="00FA2CC6" w:rsidRPr="000663FF" w:rsidRDefault="00FA2CC6" w:rsidP="00FA2CC6">
            <w:pPr>
              <w:keepNext w:val="0"/>
              <w:spacing w:before="0"/>
              <w:rPr>
                <w:rFonts w:ascii="Calibri" w:hAnsi="Calibri" w:cs="Calibri"/>
                <w:color w:val="auto"/>
                <w:sz w:val="22"/>
                <w:szCs w:val="22"/>
              </w:rPr>
            </w:pPr>
            <w:proofErr w:type="spellStart"/>
            <w:r w:rsidRPr="000663FF">
              <w:rPr>
                <w:rFonts w:ascii="Calibri" w:hAnsi="Calibri" w:cs="Calibri"/>
                <w:color w:val="auto"/>
                <w:sz w:val="22"/>
                <w:szCs w:val="22"/>
              </w:rPr>
              <w:t>Eelhole</w:t>
            </w:r>
            <w:proofErr w:type="spellEnd"/>
            <w:r w:rsidRPr="000663FF">
              <w:rPr>
                <w:rFonts w:ascii="Calibri" w:hAnsi="Calibri" w:cs="Calibri"/>
                <w:color w:val="auto"/>
                <w:sz w:val="22"/>
                <w:szCs w:val="22"/>
              </w:rPr>
              <w:t xml:space="preserve"> Wood</w:t>
            </w:r>
          </w:p>
        </w:tc>
        <w:tc>
          <w:tcPr>
            <w:tcW w:w="4395" w:type="dxa"/>
            <w:tcBorders>
              <w:top w:val="single" w:sz="4" w:space="0" w:color="auto"/>
              <w:left w:val="nil"/>
              <w:bottom w:val="single" w:sz="4" w:space="0" w:color="auto"/>
              <w:right w:val="single" w:sz="4" w:space="0" w:color="auto"/>
            </w:tcBorders>
            <w:shd w:val="clear" w:color="auto" w:fill="auto"/>
            <w:hideMark/>
          </w:tcPr>
          <w:p w14:paraId="13090034" w14:textId="4A464AD8" w:rsidR="00FA2CC6" w:rsidRPr="000663FF" w:rsidRDefault="00A41302"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 valuable, deciduous woodland with areas of open acidic and grassland in an urban setting</w:t>
            </w:r>
          </w:p>
        </w:tc>
        <w:tc>
          <w:tcPr>
            <w:tcW w:w="1984" w:type="dxa"/>
            <w:tcBorders>
              <w:top w:val="single" w:sz="4" w:space="0" w:color="auto"/>
              <w:left w:val="nil"/>
              <w:bottom w:val="single" w:sz="4" w:space="0" w:color="auto"/>
              <w:right w:val="single" w:sz="4" w:space="0" w:color="auto"/>
            </w:tcBorders>
            <w:shd w:val="clear" w:color="auto" w:fill="auto"/>
            <w:hideMark/>
          </w:tcPr>
          <w:p w14:paraId="5B599179"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Hucknall West</w:t>
            </w:r>
          </w:p>
        </w:tc>
      </w:tr>
      <w:tr w:rsidR="000663FF" w:rsidRPr="000663FF" w14:paraId="76BE26CF" w14:textId="77777777" w:rsidTr="000663FF">
        <w:trPr>
          <w:trHeight w:val="580"/>
        </w:trPr>
        <w:tc>
          <w:tcPr>
            <w:tcW w:w="1009" w:type="dxa"/>
            <w:tcBorders>
              <w:top w:val="single" w:sz="4" w:space="0" w:color="auto"/>
              <w:left w:val="single" w:sz="4" w:space="0" w:color="auto"/>
              <w:bottom w:val="single" w:sz="4" w:space="0" w:color="auto"/>
              <w:right w:val="single" w:sz="4" w:space="0" w:color="auto"/>
            </w:tcBorders>
            <w:shd w:val="clear" w:color="auto" w:fill="auto"/>
            <w:hideMark/>
          </w:tcPr>
          <w:p w14:paraId="17A9A4CD"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EV4wcg</w:t>
            </w:r>
          </w:p>
        </w:tc>
        <w:tc>
          <w:tcPr>
            <w:tcW w:w="2388" w:type="dxa"/>
            <w:tcBorders>
              <w:top w:val="single" w:sz="4" w:space="0" w:color="auto"/>
              <w:left w:val="nil"/>
              <w:bottom w:val="single" w:sz="4" w:space="0" w:color="auto"/>
              <w:right w:val="single" w:sz="4" w:space="0" w:color="auto"/>
            </w:tcBorders>
            <w:shd w:val="clear" w:color="auto" w:fill="auto"/>
            <w:hideMark/>
          </w:tcPr>
          <w:p w14:paraId="62240724"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Erewash Grassland</w:t>
            </w:r>
          </w:p>
        </w:tc>
        <w:tc>
          <w:tcPr>
            <w:tcW w:w="4395" w:type="dxa"/>
            <w:tcBorders>
              <w:top w:val="single" w:sz="4" w:space="0" w:color="auto"/>
              <w:left w:val="nil"/>
              <w:bottom w:val="single" w:sz="4" w:space="0" w:color="auto"/>
              <w:right w:val="single" w:sz="4" w:space="0" w:color="auto"/>
            </w:tcBorders>
            <w:shd w:val="clear" w:color="auto" w:fill="auto"/>
            <w:hideMark/>
          </w:tcPr>
          <w:p w14:paraId="1B32D289" w14:textId="05B218BD" w:rsidR="00FA2CC6" w:rsidRPr="000663FF" w:rsidRDefault="00A41302"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Neutral grassland</w:t>
            </w:r>
          </w:p>
        </w:tc>
        <w:tc>
          <w:tcPr>
            <w:tcW w:w="1984" w:type="dxa"/>
            <w:tcBorders>
              <w:top w:val="single" w:sz="4" w:space="0" w:color="auto"/>
              <w:left w:val="nil"/>
              <w:bottom w:val="single" w:sz="4" w:space="0" w:color="auto"/>
              <w:right w:val="single" w:sz="4" w:space="0" w:color="auto"/>
            </w:tcBorders>
            <w:shd w:val="clear" w:color="auto" w:fill="auto"/>
            <w:hideMark/>
          </w:tcPr>
          <w:p w14:paraId="07C39F2D"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Kirkby Cross &amp; Portland</w:t>
            </w:r>
          </w:p>
        </w:tc>
      </w:tr>
      <w:tr w:rsidR="000663FF" w:rsidRPr="000663FF" w14:paraId="038A8ACF" w14:textId="77777777" w:rsidTr="000663FF">
        <w:trPr>
          <w:trHeight w:val="580"/>
        </w:trPr>
        <w:tc>
          <w:tcPr>
            <w:tcW w:w="1009" w:type="dxa"/>
            <w:tcBorders>
              <w:top w:val="single" w:sz="4" w:space="0" w:color="auto"/>
              <w:left w:val="single" w:sz="4" w:space="0" w:color="auto"/>
              <w:bottom w:val="single" w:sz="4" w:space="0" w:color="auto"/>
              <w:right w:val="single" w:sz="4" w:space="0" w:color="auto"/>
            </w:tcBorders>
            <w:shd w:val="clear" w:color="auto" w:fill="auto"/>
            <w:hideMark/>
          </w:tcPr>
          <w:p w14:paraId="77E3CC81"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EV4wch</w:t>
            </w:r>
          </w:p>
        </w:tc>
        <w:tc>
          <w:tcPr>
            <w:tcW w:w="2388" w:type="dxa"/>
            <w:tcBorders>
              <w:top w:val="single" w:sz="4" w:space="0" w:color="auto"/>
              <w:left w:val="nil"/>
              <w:bottom w:val="single" w:sz="4" w:space="0" w:color="auto"/>
              <w:right w:val="single" w:sz="4" w:space="0" w:color="auto"/>
            </w:tcBorders>
            <w:shd w:val="clear" w:color="auto" w:fill="auto"/>
            <w:hideMark/>
          </w:tcPr>
          <w:p w14:paraId="7929740F"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Erewash Meadow 1 Kirkby Grives</w:t>
            </w:r>
          </w:p>
        </w:tc>
        <w:tc>
          <w:tcPr>
            <w:tcW w:w="4395" w:type="dxa"/>
            <w:tcBorders>
              <w:top w:val="single" w:sz="4" w:space="0" w:color="auto"/>
              <w:left w:val="nil"/>
              <w:bottom w:val="single" w:sz="4" w:space="0" w:color="auto"/>
              <w:right w:val="single" w:sz="4" w:space="0" w:color="auto"/>
            </w:tcBorders>
            <w:shd w:val="clear" w:color="auto" w:fill="auto"/>
            <w:hideMark/>
          </w:tcPr>
          <w:p w14:paraId="465665C0" w14:textId="1C6BBD17" w:rsidR="00FA2CC6" w:rsidRPr="000663FF" w:rsidRDefault="00A41302"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 notable hay meadow</w:t>
            </w:r>
          </w:p>
        </w:tc>
        <w:tc>
          <w:tcPr>
            <w:tcW w:w="1984" w:type="dxa"/>
            <w:tcBorders>
              <w:top w:val="single" w:sz="4" w:space="0" w:color="auto"/>
              <w:left w:val="nil"/>
              <w:bottom w:val="single" w:sz="4" w:space="0" w:color="auto"/>
              <w:right w:val="single" w:sz="4" w:space="0" w:color="auto"/>
            </w:tcBorders>
            <w:shd w:val="clear" w:color="auto" w:fill="auto"/>
            <w:hideMark/>
          </w:tcPr>
          <w:p w14:paraId="7B8A4BCA"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Kirkby Cross &amp; Portland</w:t>
            </w:r>
          </w:p>
        </w:tc>
      </w:tr>
      <w:tr w:rsidR="000663FF" w:rsidRPr="000663FF" w14:paraId="74E3EF7E" w14:textId="77777777" w:rsidTr="00DC0D18">
        <w:trPr>
          <w:trHeight w:val="580"/>
        </w:trPr>
        <w:tc>
          <w:tcPr>
            <w:tcW w:w="1009" w:type="dxa"/>
            <w:tcBorders>
              <w:top w:val="nil"/>
              <w:left w:val="single" w:sz="4" w:space="0" w:color="auto"/>
              <w:bottom w:val="single" w:sz="4" w:space="0" w:color="auto"/>
              <w:right w:val="single" w:sz="4" w:space="0" w:color="auto"/>
            </w:tcBorders>
            <w:shd w:val="clear" w:color="auto" w:fill="auto"/>
            <w:hideMark/>
          </w:tcPr>
          <w:p w14:paraId="74FBD594"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EV4wci</w:t>
            </w:r>
          </w:p>
        </w:tc>
        <w:tc>
          <w:tcPr>
            <w:tcW w:w="2388" w:type="dxa"/>
            <w:tcBorders>
              <w:top w:val="nil"/>
              <w:left w:val="nil"/>
              <w:bottom w:val="single" w:sz="4" w:space="0" w:color="auto"/>
              <w:right w:val="single" w:sz="4" w:space="0" w:color="auto"/>
            </w:tcBorders>
            <w:shd w:val="clear" w:color="auto" w:fill="auto"/>
            <w:hideMark/>
          </w:tcPr>
          <w:p w14:paraId="7C3D794F"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Erewash Meadow, Portland Park</w:t>
            </w:r>
          </w:p>
        </w:tc>
        <w:tc>
          <w:tcPr>
            <w:tcW w:w="4395" w:type="dxa"/>
            <w:tcBorders>
              <w:top w:val="nil"/>
              <w:left w:val="nil"/>
              <w:bottom w:val="single" w:sz="4" w:space="0" w:color="auto"/>
              <w:right w:val="single" w:sz="4" w:space="0" w:color="auto"/>
            </w:tcBorders>
            <w:shd w:val="clear" w:color="auto" w:fill="auto"/>
            <w:hideMark/>
          </w:tcPr>
          <w:p w14:paraId="5D63D74A" w14:textId="6C41D832" w:rsidR="00FA2CC6" w:rsidRPr="000663FF" w:rsidRDefault="00A41302"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 hay meadow with a coal measures grassland flora</w:t>
            </w:r>
          </w:p>
        </w:tc>
        <w:tc>
          <w:tcPr>
            <w:tcW w:w="1984" w:type="dxa"/>
            <w:tcBorders>
              <w:top w:val="nil"/>
              <w:left w:val="nil"/>
              <w:bottom w:val="single" w:sz="4" w:space="0" w:color="auto"/>
              <w:right w:val="single" w:sz="4" w:space="0" w:color="auto"/>
            </w:tcBorders>
            <w:shd w:val="clear" w:color="auto" w:fill="auto"/>
            <w:hideMark/>
          </w:tcPr>
          <w:p w14:paraId="5A471B02"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Annesley &amp; Kirkby Woodhouse</w:t>
            </w:r>
          </w:p>
        </w:tc>
      </w:tr>
      <w:tr w:rsidR="000663FF" w:rsidRPr="000663FF" w14:paraId="513BED06" w14:textId="77777777" w:rsidTr="00DC0D18">
        <w:trPr>
          <w:trHeight w:val="580"/>
        </w:trPr>
        <w:tc>
          <w:tcPr>
            <w:tcW w:w="1009" w:type="dxa"/>
            <w:tcBorders>
              <w:top w:val="nil"/>
              <w:left w:val="single" w:sz="4" w:space="0" w:color="auto"/>
              <w:bottom w:val="single" w:sz="4" w:space="0" w:color="auto"/>
              <w:right w:val="single" w:sz="4" w:space="0" w:color="auto"/>
            </w:tcBorders>
            <w:shd w:val="clear" w:color="auto" w:fill="auto"/>
            <w:hideMark/>
          </w:tcPr>
          <w:p w14:paraId="6767B7D2"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EV4wcj</w:t>
            </w:r>
          </w:p>
        </w:tc>
        <w:tc>
          <w:tcPr>
            <w:tcW w:w="2388" w:type="dxa"/>
            <w:tcBorders>
              <w:top w:val="nil"/>
              <w:left w:val="nil"/>
              <w:bottom w:val="single" w:sz="4" w:space="0" w:color="auto"/>
              <w:right w:val="single" w:sz="4" w:space="0" w:color="auto"/>
            </w:tcBorders>
            <w:shd w:val="clear" w:color="auto" w:fill="auto"/>
            <w:hideMark/>
          </w:tcPr>
          <w:p w14:paraId="1103E7A8"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Farley's Disused Railway</w:t>
            </w:r>
          </w:p>
        </w:tc>
        <w:tc>
          <w:tcPr>
            <w:tcW w:w="4395" w:type="dxa"/>
            <w:tcBorders>
              <w:top w:val="nil"/>
              <w:left w:val="nil"/>
              <w:bottom w:val="single" w:sz="4" w:space="0" w:color="auto"/>
              <w:right w:val="single" w:sz="4" w:space="0" w:color="auto"/>
            </w:tcBorders>
            <w:shd w:val="clear" w:color="auto" w:fill="auto"/>
            <w:hideMark/>
          </w:tcPr>
          <w:p w14:paraId="5DDACEE1" w14:textId="350FE2E3" w:rsidR="00FA2CC6" w:rsidRPr="000663FF" w:rsidRDefault="00A41302"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 valuable wooded and scrubby habitat with a most interesting flora</w:t>
            </w:r>
          </w:p>
        </w:tc>
        <w:tc>
          <w:tcPr>
            <w:tcW w:w="1984" w:type="dxa"/>
            <w:tcBorders>
              <w:top w:val="nil"/>
              <w:left w:val="nil"/>
              <w:bottom w:val="single" w:sz="4" w:space="0" w:color="auto"/>
              <w:right w:val="single" w:sz="4" w:space="0" w:color="auto"/>
            </w:tcBorders>
            <w:shd w:val="clear" w:color="auto" w:fill="auto"/>
            <w:hideMark/>
          </w:tcPr>
          <w:p w14:paraId="2E3F6615"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Hucknall West</w:t>
            </w:r>
          </w:p>
        </w:tc>
      </w:tr>
      <w:tr w:rsidR="000663FF" w:rsidRPr="000663FF" w14:paraId="59E3DAFB" w14:textId="77777777" w:rsidTr="00DC0D18">
        <w:trPr>
          <w:trHeight w:val="290"/>
        </w:trPr>
        <w:tc>
          <w:tcPr>
            <w:tcW w:w="1009" w:type="dxa"/>
            <w:tcBorders>
              <w:top w:val="nil"/>
              <w:left w:val="single" w:sz="4" w:space="0" w:color="auto"/>
              <w:bottom w:val="single" w:sz="4" w:space="0" w:color="auto"/>
              <w:right w:val="single" w:sz="4" w:space="0" w:color="auto"/>
            </w:tcBorders>
            <w:shd w:val="clear" w:color="auto" w:fill="auto"/>
            <w:hideMark/>
          </w:tcPr>
          <w:p w14:paraId="0300DE45"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EV4wck</w:t>
            </w:r>
          </w:p>
        </w:tc>
        <w:tc>
          <w:tcPr>
            <w:tcW w:w="2388" w:type="dxa"/>
            <w:tcBorders>
              <w:top w:val="nil"/>
              <w:left w:val="nil"/>
              <w:bottom w:val="single" w:sz="4" w:space="0" w:color="auto"/>
              <w:right w:val="single" w:sz="4" w:space="0" w:color="auto"/>
            </w:tcBorders>
            <w:shd w:val="clear" w:color="auto" w:fill="auto"/>
            <w:hideMark/>
          </w:tcPr>
          <w:p w14:paraId="535B9D6F"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Farley's Grassland</w:t>
            </w:r>
          </w:p>
        </w:tc>
        <w:tc>
          <w:tcPr>
            <w:tcW w:w="4395" w:type="dxa"/>
            <w:tcBorders>
              <w:top w:val="nil"/>
              <w:left w:val="nil"/>
              <w:bottom w:val="single" w:sz="4" w:space="0" w:color="auto"/>
              <w:right w:val="single" w:sz="4" w:space="0" w:color="auto"/>
            </w:tcBorders>
            <w:shd w:val="clear" w:color="auto" w:fill="auto"/>
            <w:hideMark/>
          </w:tcPr>
          <w:p w14:paraId="7CB39725" w14:textId="3D7FE785" w:rsidR="00FA2CC6" w:rsidRPr="000663FF" w:rsidRDefault="00A41302"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 species-rich coal measures grassland</w:t>
            </w:r>
          </w:p>
        </w:tc>
        <w:tc>
          <w:tcPr>
            <w:tcW w:w="1984" w:type="dxa"/>
            <w:tcBorders>
              <w:top w:val="nil"/>
              <w:left w:val="nil"/>
              <w:bottom w:val="single" w:sz="4" w:space="0" w:color="auto"/>
              <w:right w:val="single" w:sz="4" w:space="0" w:color="auto"/>
            </w:tcBorders>
            <w:shd w:val="clear" w:color="auto" w:fill="auto"/>
            <w:hideMark/>
          </w:tcPr>
          <w:p w14:paraId="10BA65E6"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Hucknall South</w:t>
            </w:r>
          </w:p>
        </w:tc>
      </w:tr>
      <w:tr w:rsidR="000663FF" w:rsidRPr="000663FF" w14:paraId="0AC29F77" w14:textId="77777777" w:rsidTr="00DC0D18">
        <w:trPr>
          <w:trHeight w:val="580"/>
        </w:trPr>
        <w:tc>
          <w:tcPr>
            <w:tcW w:w="1009" w:type="dxa"/>
            <w:tcBorders>
              <w:top w:val="nil"/>
              <w:left w:val="single" w:sz="4" w:space="0" w:color="auto"/>
              <w:bottom w:val="single" w:sz="4" w:space="0" w:color="auto"/>
              <w:right w:val="single" w:sz="4" w:space="0" w:color="auto"/>
            </w:tcBorders>
            <w:shd w:val="clear" w:color="auto" w:fill="auto"/>
            <w:hideMark/>
          </w:tcPr>
          <w:p w14:paraId="1554B264"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EV4wcl</w:t>
            </w:r>
          </w:p>
        </w:tc>
        <w:tc>
          <w:tcPr>
            <w:tcW w:w="2388" w:type="dxa"/>
            <w:tcBorders>
              <w:top w:val="nil"/>
              <w:left w:val="nil"/>
              <w:bottom w:val="single" w:sz="4" w:space="0" w:color="auto"/>
              <w:right w:val="single" w:sz="4" w:space="0" w:color="auto"/>
            </w:tcBorders>
            <w:shd w:val="clear" w:color="auto" w:fill="auto"/>
            <w:hideMark/>
          </w:tcPr>
          <w:p w14:paraId="6D4C6CAF"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Felley Brook</w:t>
            </w:r>
          </w:p>
        </w:tc>
        <w:tc>
          <w:tcPr>
            <w:tcW w:w="4395" w:type="dxa"/>
            <w:tcBorders>
              <w:top w:val="nil"/>
              <w:left w:val="nil"/>
              <w:bottom w:val="single" w:sz="4" w:space="0" w:color="auto"/>
              <w:right w:val="single" w:sz="4" w:space="0" w:color="auto"/>
            </w:tcBorders>
            <w:shd w:val="clear" w:color="auto" w:fill="auto"/>
            <w:hideMark/>
          </w:tcPr>
          <w:p w14:paraId="27F264EB" w14:textId="6EE1B6F9" w:rsidR="00FA2CC6" w:rsidRPr="000663FF" w:rsidRDefault="00A41302"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 stream of zoological note</w:t>
            </w:r>
          </w:p>
        </w:tc>
        <w:tc>
          <w:tcPr>
            <w:tcW w:w="1984" w:type="dxa"/>
            <w:tcBorders>
              <w:top w:val="nil"/>
              <w:left w:val="nil"/>
              <w:bottom w:val="single" w:sz="4" w:space="0" w:color="auto"/>
              <w:right w:val="single" w:sz="4" w:space="0" w:color="auto"/>
            </w:tcBorders>
            <w:shd w:val="clear" w:color="auto" w:fill="auto"/>
            <w:hideMark/>
          </w:tcPr>
          <w:p w14:paraId="19166237"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Annesley &amp; Kirkby Woodhouse</w:t>
            </w:r>
          </w:p>
        </w:tc>
      </w:tr>
      <w:tr w:rsidR="000663FF" w:rsidRPr="000663FF" w14:paraId="330EC458" w14:textId="77777777" w:rsidTr="00DC0D18">
        <w:trPr>
          <w:trHeight w:val="580"/>
        </w:trPr>
        <w:tc>
          <w:tcPr>
            <w:tcW w:w="1009" w:type="dxa"/>
            <w:tcBorders>
              <w:top w:val="nil"/>
              <w:left w:val="single" w:sz="4" w:space="0" w:color="auto"/>
              <w:bottom w:val="single" w:sz="4" w:space="0" w:color="auto"/>
              <w:right w:val="single" w:sz="4" w:space="0" w:color="auto"/>
            </w:tcBorders>
            <w:shd w:val="clear" w:color="auto" w:fill="auto"/>
            <w:hideMark/>
          </w:tcPr>
          <w:p w14:paraId="676C56A5"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EV4wcm</w:t>
            </w:r>
          </w:p>
        </w:tc>
        <w:tc>
          <w:tcPr>
            <w:tcW w:w="2388" w:type="dxa"/>
            <w:tcBorders>
              <w:top w:val="nil"/>
              <w:left w:val="nil"/>
              <w:bottom w:val="single" w:sz="4" w:space="0" w:color="auto"/>
              <w:right w:val="single" w:sz="4" w:space="0" w:color="auto"/>
            </w:tcBorders>
            <w:shd w:val="clear" w:color="auto" w:fill="auto"/>
            <w:hideMark/>
          </w:tcPr>
          <w:p w14:paraId="4244DD8B"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Felley Brook Wood</w:t>
            </w:r>
          </w:p>
        </w:tc>
        <w:tc>
          <w:tcPr>
            <w:tcW w:w="4395" w:type="dxa"/>
            <w:tcBorders>
              <w:top w:val="nil"/>
              <w:left w:val="nil"/>
              <w:bottom w:val="single" w:sz="4" w:space="0" w:color="auto"/>
              <w:right w:val="single" w:sz="4" w:space="0" w:color="auto"/>
            </w:tcBorders>
            <w:shd w:val="clear" w:color="auto" w:fill="auto"/>
            <w:hideMark/>
          </w:tcPr>
          <w:p w14:paraId="66F40306" w14:textId="6187B8AD" w:rsidR="00FA2CC6" w:rsidRPr="000663FF" w:rsidRDefault="00DC0D18"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&amp; LGS - </w:t>
            </w:r>
            <w:r w:rsidR="00FA2CC6" w:rsidRPr="000663FF">
              <w:rPr>
                <w:rFonts w:ascii="Calibri" w:hAnsi="Calibri" w:cs="Calibri"/>
                <w:color w:val="auto"/>
                <w:sz w:val="22"/>
                <w:szCs w:val="22"/>
              </w:rPr>
              <w:t>A semi-natural riparian woodland with a notable ground flora</w:t>
            </w:r>
          </w:p>
        </w:tc>
        <w:tc>
          <w:tcPr>
            <w:tcW w:w="1984" w:type="dxa"/>
            <w:tcBorders>
              <w:top w:val="nil"/>
              <w:left w:val="nil"/>
              <w:bottom w:val="single" w:sz="4" w:space="0" w:color="auto"/>
              <w:right w:val="single" w:sz="4" w:space="0" w:color="auto"/>
            </w:tcBorders>
            <w:shd w:val="clear" w:color="auto" w:fill="auto"/>
            <w:hideMark/>
          </w:tcPr>
          <w:p w14:paraId="3A24DBBD"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Annesley &amp; Kirkby Woodhouse</w:t>
            </w:r>
          </w:p>
        </w:tc>
      </w:tr>
      <w:tr w:rsidR="000663FF" w:rsidRPr="000663FF" w14:paraId="43D46177" w14:textId="77777777" w:rsidTr="00DC0D18">
        <w:trPr>
          <w:trHeight w:val="870"/>
        </w:trPr>
        <w:tc>
          <w:tcPr>
            <w:tcW w:w="1009" w:type="dxa"/>
            <w:tcBorders>
              <w:top w:val="nil"/>
              <w:left w:val="single" w:sz="4" w:space="0" w:color="auto"/>
              <w:bottom w:val="single" w:sz="4" w:space="0" w:color="auto"/>
              <w:right w:val="single" w:sz="4" w:space="0" w:color="auto"/>
            </w:tcBorders>
            <w:shd w:val="clear" w:color="auto" w:fill="auto"/>
            <w:hideMark/>
          </w:tcPr>
          <w:p w14:paraId="588F1FE9"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EV4wcn</w:t>
            </w:r>
          </w:p>
        </w:tc>
        <w:tc>
          <w:tcPr>
            <w:tcW w:w="2388" w:type="dxa"/>
            <w:tcBorders>
              <w:top w:val="nil"/>
              <w:left w:val="nil"/>
              <w:bottom w:val="single" w:sz="4" w:space="0" w:color="auto"/>
              <w:right w:val="single" w:sz="4" w:space="0" w:color="auto"/>
            </w:tcBorders>
            <w:shd w:val="clear" w:color="auto" w:fill="auto"/>
            <w:hideMark/>
          </w:tcPr>
          <w:p w14:paraId="05C8137A"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Felley Dumble</w:t>
            </w:r>
          </w:p>
        </w:tc>
        <w:tc>
          <w:tcPr>
            <w:tcW w:w="4395" w:type="dxa"/>
            <w:tcBorders>
              <w:top w:val="nil"/>
              <w:left w:val="nil"/>
              <w:bottom w:val="single" w:sz="4" w:space="0" w:color="auto"/>
              <w:right w:val="single" w:sz="4" w:space="0" w:color="auto"/>
            </w:tcBorders>
            <w:shd w:val="clear" w:color="auto" w:fill="auto"/>
            <w:hideMark/>
          </w:tcPr>
          <w:p w14:paraId="679FDD06" w14:textId="5B7DB1B1" w:rsidR="00FA2CC6" w:rsidRPr="000663FF" w:rsidRDefault="007A1A00"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 good habitat mosaic of woodland, scrub, banks, stream and pond with a noteworthy flora</w:t>
            </w:r>
          </w:p>
        </w:tc>
        <w:tc>
          <w:tcPr>
            <w:tcW w:w="1984" w:type="dxa"/>
            <w:tcBorders>
              <w:top w:val="nil"/>
              <w:left w:val="nil"/>
              <w:bottom w:val="single" w:sz="4" w:space="0" w:color="auto"/>
              <w:right w:val="single" w:sz="4" w:space="0" w:color="auto"/>
            </w:tcBorders>
            <w:shd w:val="clear" w:color="auto" w:fill="auto"/>
            <w:hideMark/>
          </w:tcPr>
          <w:p w14:paraId="7AEF27BC"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Annesley &amp; Kirkby Woodhouse</w:t>
            </w:r>
          </w:p>
        </w:tc>
      </w:tr>
      <w:tr w:rsidR="000663FF" w:rsidRPr="000663FF" w14:paraId="2F5698EF" w14:textId="77777777" w:rsidTr="00DC0D18">
        <w:trPr>
          <w:trHeight w:val="580"/>
        </w:trPr>
        <w:tc>
          <w:tcPr>
            <w:tcW w:w="1009" w:type="dxa"/>
            <w:tcBorders>
              <w:top w:val="nil"/>
              <w:left w:val="single" w:sz="4" w:space="0" w:color="auto"/>
              <w:bottom w:val="single" w:sz="4" w:space="0" w:color="auto"/>
              <w:right w:val="single" w:sz="4" w:space="0" w:color="auto"/>
            </w:tcBorders>
            <w:shd w:val="clear" w:color="auto" w:fill="auto"/>
            <w:hideMark/>
          </w:tcPr>
          <w:p w14:paraId="45ABE9F9"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EV4wco</w:t>
            </w:r>
          </w:p>
        </w:tc>
        <w:tc>
          <w:tcPr>
            <w:tcW w:w="2388" w:type="dxa"/>
            <w:tcBorders>
              <w:top w:val="nil"/>
              <w:left w:val="nil"/>
              <w:bottom w:val="single" w:sz="4" w:space="0" w:color="auto"/>
              <w:right w:val="single" w:sz="4" w:space="0" w:color="auto"/>
            </w:tcBorders>
            <w:shd w:val="clear" w:color="auto" w:fill="auto"/>
            <w:hideMark/>
          </w:tcPr>
          <w:p w14:paraId="6F3BC3D4"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Felley Mill Pond</w:t>
            </w:r>
          </w:p>
        </w:tc>
        <w:tc>
          <w:tcPr>
            <w:tcW w:w="4395" w:type="dxa"/>
            <w:tcBorders>
              <w:top w:val="nil"/>
              <w:left w:val="nil"/>
              <w:bottom w:val="single" w:sz="4" w:space="0" w:color="auto"/>
              <w:right w:val="single" w:sz="4" w:space="0" w:color="auto"/>
            </w:tcBorders>
            <w:shd w:val="clear" w:color="auto" w:fill="auto"/>
            <w:hideMark/>
          </w:tcPr>
          <w:p w14:paraId="62D49C11" w14:textId="0016C725" w:rsidR="00FA2CC6" w:rsidRPr="000663FF" w:rsidRDefault="007A1A00"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 drying pool with woodland and damp grassland</w:t>
            </w:r>
          </w:p>
        </w:tc>
        <w:tc>
          <w:tcPr>
            <w:tcW w:w="1984" w:type="dxa"/>
            <w:tcBorders>
              <w:top w:val="nil"/>
              <w:left w:val="nil"/>
              <w:bottom w:val="single" w:sz="4" w:space="0" w:color="auto"/>
              <w:right w:val="single" w:sz="4" w:space="0" w:color="auto"/>
            </w:tcBorders>
            <w:shd w:val="clear" w:color="auto" w:fill="auto"/>
            <w:hideMark/>
          </w:tcPr>
          <w:p w14:paraId="1174225A"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Annesley &amp; Kirkby Woodhouse</w:t>
            </w:r>
          </w:p>
        </w:tc>
      </w:tr>
      <w:tr w:rsidR="000663FF" w:rsidRPr="000663FF" w14:paraId="0A8BAC50" w14:textId="77777777" w:rsidTr="00DC0D18">
        <w:trPr>
          <w:trHeight w:val="441"/>
        </w:trPr>
        <w:tc>
          <w:tcPr>
            <w:tcW w:w="1009" w:type="dxa"/>
            <w:tcBorders>
              <w:top w:val="nil"/>
              <w:left w:val="single" w:sz="4" w:space="0" w:color="auto"/>
              <w:bottom w:val="single" w:sz="4" w:space="0" w:color="auto"/>
              <w:right w:val="single" w:sz="4" w:space="0" w:color="auto"/>
            </w:tcBorders>
            <w:shd w:val="clear" w:color="auto" w:fill="auto"/>
            <w:hideMark/>
          </w:tcPr>
          <w:p w14:paraId="2835D22E"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EV4wcp</w:t>
            </w:r>
          </w:p>
        </w:tc>
        <w:tc>
          <w:tcPr>
            <w:tcW w:w="2388" w:type="dxa"/>
            <w:tcBorders>
              <w:top w:val="nil"/>
              <w:left w:val="nil"/>
              <w:bottom w:val="single" w:sz="4" w:space="0" w:color="auto"/>
              <w:right w:val="single" w:sz="4" w:space="0" w:color="auto"/>
            </w:tcBorders>
            <w:shd w:val="clear" w:color="auto" w:fill="auto"/>
            <w:hideMark/>
          </w:tcPr>
          <w:p w14:paraId="33CD01E2"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Felley Priory Pond</w:t>
            </w:r>
          </w:p>
        </w:tc>
        <w:tc>
          <w:tcPr>
            <w:tcW w:w="4395" w:type="dxa"/>
            <w:tcBorders>
              <w:top w:val="nil"/>
              <w:left w:val="nil"/>
              <w:bottom w:val="single" w:sz="4" w:space="0" w:color="auto"/>
              <w:right w:val="single" w:sz="4" w:space="0" w:color="auto"/>
            </w:tcBorders>
            <w:shd w:val="clear" w:color="auto" w:fill="auto"/>
            <w:hideMark/>
          </w:tcPr>
          <w:p w14:paraId="5ACE0667" w14:textId="04E282E1" w:rsidR="00FA2CC6" w:rsidRPr="000663FF" w:rsidRDefault="007A1A00"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 pond with a notable aquatic and bankside flora</w:t>
            </w:r>
          </w:p>
        </w:tc>
        <w:tc>
          <w:tcPr>
            <w:tcW w:w="1984" w:type="dxa"/>
            <w:tcBorders>
              <w:top w:val="nil"/>
              <w:left w:val="nil"/>
              <w:bottom w:val="single" w:sz="4" w:space="0" w:color="auto"/>
              <w:right w:val="single" w:sz="4" w:space="0" w:color="auto"/>
            </w:tcBorders>
            <w:shd w:val="clear" w:color="auto" w:fill="auto"/>
            <w:hideMark/>
          </w:tcPr>
          <w:p w14:paraId="2CD88C50"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Underwood</w:t>
            </w:r>
          </w:p>
        </w:tc>
      </w:tr>
      <w:tr w:rsidR="000663FF" w:rsidRPr="000663FF" w14:paraId="14ED3919" w14:textId="77777777" w:rsidTr="00DC0D18">
        <w:trPr>
          <w:trHeight w:val="580"/>
        </w:trPr>
        <w:tc>
          <w:tcPr>
            <w:tcW w:w="1009" w:type="dxa"/>
            <w:tcBorders>
              <w:top w:val="nil"/>
              <w:left w:val="single" w:sz="4" w:space="0" w:color="auto"/>
              <w:bottom w:val="single" w:sz="4" w:space="0" w:color="auto"/>
              <w:right w:val="single" w:sz="4" w:space="0" w:color="auto"/>
            </w:tcBorders>
            <w:shd w:val="clear" w:color="auto" w:fill="auto"/>
            <w:hideMark/>
          </w:tcPr>
          <w:p w14:paraId="2B5E24F9"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EV4wcq</w:t>
            </w:r>
          </w:p>
        </w:tc>
        <w:tc>
          <w:tcPr>
            <w:tcW w:w="2388" w:type="dxa"/>
            <w:tcBorders>
              <w:top w:val="nil"/>
              <w:left w:val="nil"/>
              <w:bottom w:val="single" w:sz="4" w:space="0" w:color="auto"/>
              <w:right w:val="single" w:sz="4" w:space="0" w:color="auto"/>
            </w:tcBorders>
            <w:shd w:val="clear" w:color="auto" w:fill="auto"/>
            <w:hideMark/>
          </w:tcPr>
          <w:p w14:paraId="55BD28DE"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Forest Road Grassland</w:t>
            </w:r>
          </w:p>
        </w:tc>
        <w:tc>
          <w:tcPr>
            <w:tcW w:w="4395" w:type="dxa"/>
            <w:tcBorders>
              <w:top w:val="nil"/>
              <w:left w:val="nil"/>
              <w:bottom w:val="single" w:sz="4" w:space="0" w:color="auto"/>
              <w:right w:val="single" w:sz="4" w:space="0" w:color="auto"/>
            </w:tcBorders>
            <w:shd w:val="clear" w:color="auto" w:fill="auto"/>
            <w:hideMark/>
          </w:tcPr>
          <w:p w14:paraId="54D5A044" w14:textId="00C39A35" w:rsidR="00FA2CC6" w:rsidRPr="000663FF" w:rsidRDefault="007A1A00"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 species rich coal measures grassland</w:t>
            </w:r>
          </w:p>
        </w:tc>
        <w:tc>
          <w:tcPr>
            <w:tcW w:w="1984" w:type="dxa"/>
            <w:tcBorders>
              <w:top w:val="nil"/>
              <w:left w:val="nil"/>
              <w:bottom w:val="single" w:sz="4" w:space="0" w:color="auto"/>
              <w:right w:val="single" w:sz="4" w:space="0" w:color="auto"/>
            </w:tcBorders>
            <w:shd w:val="clear" w:color="auto" w:fill="auto"/>
            <w:hideMark/>
          </w:tcPr>
          <w:p w14:paraId="227245D1"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Annesley &amp; Kirkby Woodhouse</w:t>
            </w:r>
          </w:p>
        </w:tc>
      </w:tr>
      <w:tr w:rsidR="000663FF" w:rsidRPr="000663FF" w14:paraId="2B4537EA" w14:textId="77777777" w:rsidTr="00DC0D18">
        <w:trPr>
          <w:trHeight w:val="573"/>
        </w:trPr>
        <w:tc>
          <w:tcPr>
            <w:tcW w:w="1009" w:type="dxa"/>
            <w:tcBorders>
              <w:top w:val="nil"/>
              <w:left w:val="single" w:sz="4" w:space="0" w:color="auto"/>
              <w:bottom w:val="single" w:sz="4" w:space="0" w:color="auto"/>
              <w:right w:val="single" w:sz="4" w:space="0" w:color="auto"/>
            </w:tcBorders>
            <w:shd w:val="clear" w:color="auto" w:fill="auto"/>
            <w:hideMark/>
          </w:tcPr>
          <w:p w14:paraId="6BB42336"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EV4wcr</w:t>
            </w:r>
          </w:p>
        </w:tc>
        <w:tc>
          <w:tcPr>
            <w:tcW w:w="2388" w:type="dxa"/>
            <w:tcBorders>
              <w:top w:val="nil"/>
              <w:left w:val="nil"/>
              <w:bottom w:val="single" w:sz="4" w:space="0" w:color="auto"/>
              <w:right w:val="single" w:sz="4" w:space="0" w:color="auto"/>
            </w:tcBorders>
            <w:shd w:val="clear" w:color="auto" w:fill="auto"/>
            <w:hideMark/>
          </w:tcPr>
          <w:p w14:paraId="78B7B21E"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Fountain Dale</w:t>
            </w:r>
          </w:p>
        </w:tc>
        <w:tc>
          <w:tcPr>
            <w:tcW w:w="4395" w:type="dxa"/>
            <w:tcBorders>
              <w:top w:val="nil"/>
              <w:left w:val="nil"/>
              <w:bottom w:val="single" w:sz="4" w:space="0" w:color="auto"/>
              <w:right w:val="single" w:sz="4" w:space="0" w:color="auto"/>
            </w:tcBorders>
            <w:shd w:val="clear" w:color="auto" w:fill="auto"/>
            <w:hideMark/>
          </w:tcPr>
          <w:p w14:paraId="3A39317E" w14:textId="6AFF8151" w:rsidR="00FA2CC6" w:rsidRPr="000663FF" w:rsidRDefault="007A1A00"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 damp, open valley woodland with drying out fish pools, and clearings of an acidic character</w:t>
            </w:r>
          </w:p>
        </w:tc>
        <w:tc>
          <w:tcPr>
            <w:tcW w:w="1984" w:type="dxa"/>
            <w:tcBorders>
              <w:top w:val="nil"/>
              <w:left w:val="nil"/>
              <w:bottom w:val="single" w:sz="4" w:space="0" w:color="auto"/>
              <w:right w:val="single" w:sz="4" w:space="0" w:color="auto"/>
            </w:tcBorders>
            <w:shd w:val="clear" w:color="auto" w:fill="auto"/>
            <w:hideMark/>
          </w:tcPr>
          <w:p w14:paraId="3F2C8DB5"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Sutton Junction &amp; Harlow Wood</w:t>
            </w:r>
          </w:p>
        </w:tc>
      </w:tr>
      <w:tr w:rsidR="000663FF" w:rsidRPr="000663FF" w14:paraId="4D3FFA3B" w14:textId="77777777" w:rsidTr="00DC0D18">
        <w:trPr>
          <w:trHeight w:val="580"/>
        </w:trPr>
        <w:tc>
          <w:tcPr>
            <w:tcW w:w="1009" w:type="dxa"/>
            <w:tcBorders>
              <w:top w:val="nil"/>
              <w:left w:val="single" w:sz="4" w:space="0" w:color="auto"/>
              <w:bottom w:val="single" w:sz="4" w:space="0" w:color="auto"/>
              <w:right w:val="single" w:sz="4" w:space="0" w:color="auto"/>
            </w:tcBorders>
            <w:shd w:val="clear" w:color="auto" w:fill="auto"/>
            <w:hideMark/>
          </w:tcPr>
          <w:p w14:paraId="197ED9B6"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EV4wcs</w:t>
            </w:r>
          </w:p>
        </w:tc>
        <w:tc>
          <w:tcPr>
            <w:tcW w:w="2388" w:type="dxa"/>
            <w:tcBorders>
              <w:top w:val="nil"/>
              <w:left w:val="nil"/>
              <w:bottom w:val="single" w:sz="4" w:space="0" w:color="auto"/>
              <w:right w:val="single" w:sz="4" w:space="0" w:color="auto"/>
            </w:tcBorders>
            <w:shd w:val="clear" w:color="auto" w:fill="auto"/>
            <w:hideMark/>
          </w:tcPr>
          <w:p w14:paraId="3272DC75" w14:textId="77777777" w:rsidR="00FA2CC6" w:rsidRPr="000663FF" w:rsidRDefault="00FA2CC6" w:rsidP="00FA2CC6">
            <w:pPr>
              <w:keepNext w:val="0"/>
              <w:spacing w:before="0"/>
              <w:rPr>
                <w:rFonts w:ascii="Calibri" w:hAnsi="Calibri" w:cs="Calibri"/>
                <w:color w:val="auto"/>
                <w:sz w:val="22"/>
                <w:szCs w:val="22"/>
              </w:rPr>
            </w:pPr>
            <w:proofErr w:type="spellStart"/>
            <w:r w:rsidRPr="000663FF">
              <w:rPr>
                <w:rFonts w:ascii="Calibri" w:hAnsi="Calibri" w:cs="Calibri"/>
                <w:color w:val="auto"/>
                <w:sz w:val="22"/>
                <w:szCs w:val="22"/>
              </w:rPr>
              <w:t>Franderground</w:t>
            </w:r>
            <w:proofErr w:type="spellEnd"/>
            <w:r w:rsidRPr="000663FF">
              <w:rPr>
                <w:rFonts w:ascii="Calibri" w:hAnsi="Calibri" w:cs="Calibri"/>
                <w:color w:val="auto"/>
                <w:sz w:val="22"/>
                <w:szCs w:val="22"/>
              </w:rPr>
              <w:t xml:space="preserve"> Farm Disused Railway</w:t>
            </w:r>
          </w:p>
        </w:tc>
        <w:tc>
          <w:tcPr>
            <w:tcW w:w="4395" w:type="dxa"/>
            <w:tcBorders>
              <w:top w:val="nil"/>
              <w:left w:val="nil"/>
              <w:bottom w:val="single" w:sz="4" w:space="0" w:color="auto"/>
              <w:right w:val="single" w:sz="4" w:space="0" w:color="auto"/>
            </w:tcBorders>
            <w:shd w:val="clear" w:color="auto" w:fill="auto"/>
            <w:hideMark/>
          </w:tcPr>
          <w:p w14:paraId="7B8036F6" w14:textId="6710F28F" w:rsidR="00FA2CC6" w:rsidRPr="000663FF" w:rsidRDefault="007A1A00"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 wooded disused railway with a notable flora</w:t>
            </w:r>
          </w:p>
        </w:tc>
        <w:tc>
          <w:tcPr>
            <w:tcW w:w="1984" w:type="dxa"/>
            <w:tcBorders>
              <w:top w:val="nil"/>
              <w:left w:val="nil"/>
              <w:bottom w:val="single" w:sz="4" w:space="0" w:color="auto"/>
              <w:right w:val="single" w:sz="4" w:space="0" w:color="auto"/>
            </w:tcBorders>
            <w:shd w:val="clear" w:color="auto" w:fill="auto"/>
            <w:hideMark/>
          </w:tcPr>
          <w:p w14:paraId="00C97FFF"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Larwood</w:t>
            </w:r>
          </w:p>
        </w:tc>
      </w:tr>
      <w:tr w:rsidR="000663FF" w:rsidRPr="000663FF" w14:paraId="65F17773" w14:textId="77777777" w:rsidTr="00DC0D18">
        <w:trPr>
          <w:trHeight w:val="870"/>
        </w:trPr>
        <w:tc>
          <w:tcPr>
            <w:tcW w:w="1009" w:type="dxa"/>
            <w:tcBorders>
              <w:top w:val="single" w:sz="4" w:space="0" w:color="auto"/>
              <w:left w:val="single" w:sz="4" w:space="0" w:color="auto"/>
              <w:bottom w:val="single" w:sz="4" w:space="0" w:color="auto"/>
              <w:right w:val="single" w:sz="4" w:space="0" w:color="auto"/>
            </w:tcBorders>
            <w:shd w:val="clear" w:color="auto" w:fill="auto"/>
            <w:hideMark/>
          </w:tcPr>
          <w:p w14:paraId="2A6F83CD"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EV4wct</w:t>
            </w:r>
          </w:p>
        </w:tc>
        <w:tc>
          <w:tcPr>
            <w:tcW w:w="2388" w:type="dxa"/>
            <w:tcBorders>
              <w:top w:val="single" w:sz="4" w:space="0" w:color="auto"/>
              <w:left w:val="single" w:sz="4" w:space="0" w:color="auto"/>
              <w:bottom w:val="single" w:sz="4" w:space="0" w:color="auto"/>
              <w:right w:val="single" w:sz="4" w:space="0" w:color="auto"/>
            </w:tcBorders>
            <w:shd w:val="clear" w:color="auto" w:fill="auto"/>
            <w:hideMark/>
          </w:tcPr>
          <w:p w14:paraId="132010AA" w14:textId="77777777" w:rsidR="00FA2CC6" w:rsidRPr="000663FF" w:rsidRDefault="00FA2CC6" w:rsidP="00FA2CC6">
            <w:pPr>
              <w:keepNext w:val="0"/>
              <w:spacing w:before="0"/>
              <w:rPr>
                <w:rFonts w:ascii="Calibri" w:hAnsi="Calibri" w:cs="Calibri"/>
                <w:color w:val="auto"/>
                <w:sz w:val="22"/>
                <w:szCs w:val="22"/>
              </w:rPr>
            </w:pPr>
            <w:proofErr w:type="spellStart"/>
            <w:r w:rsidRPr="000663FF">
              <w:rPr>
                <w:rFonts w:ascii="Calibri" w:hAnsi="Calibri" w:cs="Calibri"/>
                <w:color w:val="auto"/>
                <w:sz w:val="22"/>
                <w:szCs w:val="22"/>
              </w:rPr>
              <w:t>Freizeland</w:t>
            </w:r>
            <w:proofErr w:type="spellEnd"/>
            <w:r w:rsidRPr="000663FF">
              <w:rPr>
                <w:rFonts w:ascii="Calibri" w:hAnsi="Calibri" w:cs="Calibri"/>
                <w:color w:val="auto"/>
                <w:sz w:val="22"/>
                <w:szCs w:val="22"/>
              </w:rPr>
              <w:t xml:space="preserve"> Grassland</w:t>
            </w:r>
          </w:p>
        </w:tc>
        <w:tc>
          <w:tcPr>
            <w:tcW w:w="4395" w:type="dxa"/>
            <w:tcBorders>
              <w:top w:val="single" w:sz="4" w:space="0" w:color="auto"/>
              <w:left w:val="single" w:sz="4" w:space="0" w:color="auto"/>
              <w:bottom w:val="single" w:sz="4" w:space="0" w:color="auto"/>
              <w:right w:val="single" w:sz="4" w:space="0" w:color="auto"/>
            </w:tcBorders>
            <w:shd w:val="clear" w:color="auto" w:fill="auto"/>
            <w:hideMark/>
          </w:tcPr>
          <w:p w14:paraId="502BFE48" w14:textId="10364DF7" w:rsidR="00FA2CC6" w:rsidRPr="000663FF" w:rsidRDefault="007A1A00"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An interesting range of habitat types and plant communities developed on disturbed clays and sands</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42C6F6A9"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Underwood</w:t>
            </w:r>
          </w:p>
        </w:tc>
      </w:tr>
      <w:tr w:rsidR="000663FF" w:rsidRPr="000663FF" w14:paraId="43D35624" w14:textId="77777777" w:rsidTr="00DC0D18">
        <w:trPr>
          <w:trHeight w:val="290"/>
        </w:trPr>
        <w:tc>
          <w:tcPr>
            <w:tcW w:w="1009" w:type="dxa"/>
            <w:tcBorders>
              <w:top w:val="single" w:sz="4" w:space="0" w:color="auto"/>
              <w:left w:val="single" w:sz="4" w:space="0" w:color="auto"/>
              <w:bottom w:val="single" w:sz="4" w:space="0" w:color="auto"/>
              <w:right w:val="single" w:sz="4" w:space="0" w:color="auto"/>
            </w:tcBorders>
            <w:shd w:val="clear" w:color="auto" w:fill="auto"/>
            <w:hideMark/>
          </w:tcPr>
          <w:p w14:paraId="7B80709C"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EV4wcu</w:t>
            </w:r>
          </w:p>
        </w:tc>
        <w:tc>
          <w:tcPr>
            <w:tcW w:w="2388" w:type="dxa"/>
            <w:tcBorders>
              <w:top w:val="single" w:sz="4" w:space="0" w:color="auto"/>
              <w:left w:val="nil"/>
              <w:bottom w:val="single" w:sz="4" w:space="0" w:color="auto"/>
              <w:right w:val="single" w:sz="4" w:space="0" w:color="auto"/>
            </w:tcBorders>
            <w:shd w:val="clear" w:color="auto" w:fill="auto"/>
            <w:hideMark/>
          </w:tcPr>
          <w:p w14:paraId="096CF7DA"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Fulwood Grassland</w:t>
            </w:r>
          </w:p>
        </w:tc>
        <w:tc>
          <w:tcPr>
            <w:tcW w:w="4395" w:type="dxa"/>
            <w:tcBorders>
              <w:top w:val="single" w:sz="4" w:space="0" w:color="auto"/>
              <w:left w:val="nil"/>
              <w:bottom w:val="single" w:sz="4" w:space="0" w:color="auto"/>
              <w:right w:val="single" w:sz="4" w:space="0" w:color="auto"/>
            </w:tcBorders>
            <w:shd w:val="clear" w:color="auto" w:fill="auto"/>
            <w:hideMark/>
          </w:tcPr>
          <w:p w14:paraId="346D1E51" w14:textId="0E59B36E" w:rsidR="00FA2CC6" w:rsidRPr="000663FF" w:rsidRDefault="007A1A00"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Damp coal-measures grassland</w:t>
            </w:r>
          </w:p>
        </w:tc>
        <w:tc>
          <w:tcPr>
            <w:tcW w:w="1984" w:type="dxa"/>
            <w:tcBorders>
              <w:top w:val="single" w:sz="4" w:space="0" w:color="auto"/>
              <w:left w:val="nil"/>
              <w:bottom w:val="single" w:sz="4" w:space="0" w:color="auto"/>
              <w:right w:val="single" w:sz="4" w:space="0" w:color="auto"/>
            </w:tcBorders>
            <w:shd w:val="clear" w:color="auto" w:fill="auto"/>
            <w:hideMark/>
          </w:tcPr>
          <w:p w14:paraId="5930E523"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Ashfields</w:t>
            </w:r>
          </w:p>
        </w:tc>
      </w:tr>
      <w:tr w:rsidR="000663FF" w:rsidRPr="000663FF" w14:paraId="619B3DBF" w14:textId="77777777" w:rsidTr="00DC0D18">
        <w:trPr>
          <w:trHeight w:val="290"/>
        </w:trPr>
        <w:tc>
          <w:tcPr>
            <w:tcW w:w="1009" w:type="dxa"/>
            <w:tcBorders>
              <w:top w:val="nil"/>
              <w:left w:val="single" w:sz="4" w:space="0" w:color="auto"/>
              <w:bottom w:val="single" w:sz="4" w:space="0" w:color="auto"/>
              <w:right w:val="single" w:sz="4" w:space="0" w:color="auto"/>
            </w:tcBorders>
            <w:shd w:val="clear" w:color="auto" w:fill="auto"/>
            <w:hideMark/>
          </w:tcPr>
          <w:p w14:paraId="1D9C8889"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EV4wcv</w:t>
            </w:r>
          </w:p>
        </w:tc>
        <w:tc>
          <w:tcPr>
            <w:tcW w:w="2388" w:type="dxa"/>
            <w:tcBorders>
              <w:top w:val="nil"/>
              <w:left w:val="nil"/>
              <w:bottom w:val="single" w:sz="4" w:space="0" w:color="auto"/>
              <w:right w:val="single" w:sz="4" w:space="0" w:color="auto"/>
            </w:tcBorders>
            <w:shd w:val="clear" w:color="auto" w:fill="auto"/>
            <w:hideMark/>
          </w:tcPr>
          <w:p w14:paraId="192EA100"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Fulwood Grassland II</w:t>
            </w:r>
          </w:p>
        </w:tc>
        <w:tc>
          <w:tcPr>
            <w:tcW w:w="4395" w:type="dxa"/>
            <w:tcBorders>
              <w:top w:val="nil"/>
              <w:left w:val="nil"/>
              <w:bottom w:val="single" w:sz="4" w:space="0" w:color="auto"/>
              <w:right w:val="single" w:sz="4" w:space="0" w:color="auto"/>
            </w:tcBorders>
            <w:shd w:val="clear" w:color="auto" w:fill="auto"/>
            <w:hideMark/>
          </w:tcPr>
          <w:p w14:paraId="2CE33D71" w14:textId="22454D5E" w:rsidR="00FA2CC6" w:rsidRPr="000663FF" w:rsidRDefault="007A1A00"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 noteworthy hay meadow</w:t>
            </w:r>
          </w:p>
        </w:tc>
        <w:tc>
          <w:tcPr>
            <w:tcW w:w="1984" w:type="dxa"/>
            <w:tcBorders>
              <w:top w:val="nil"/>
              <w:left w:val="nil"/>
              <w:bottom w:val="single" w:sz="4" w:space="0" w:color="auto"/>
              <w:right w:val="single" w:sz="4" w:space="0" w:color="auto"/>
            </w:tcBorders>
            <w:shd w:val="clear" w:color="auto" w:fill="auto"/>
            <w:hideMark/>
          </w:tcPr>
          <w:p w14:paraId="24B8D39F"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Larwood</w:t>
            </w:r>
          </w:p>
        </w:tc>
      </w:tr>
      <w:tr w:rsidR="000663FF" w:rsidRPr="000663FF" w14:paraId="2520A91D" w14:textId="77777777" w:rsidTr="00DC0D18">
        <w:trPr>
          <w:trHeight w:val="354"/>
        </w:trPr>
        <w:tc>
          <w:tcPr>
            <w:tcW w:w="1009" w:type="dxa"/>
            <w:tcBorders>
              <w:top w:val="single" w:sz="4" w:space="0" w:color="auto"/>
              <w:left w:val="single" w:sz="4" w:space="0" w:color="auto"/>
              <w:bottom w:val="single" w:sz="4" w:space="0" w:color="auto"/>
              <w:right w:val="single" w:sz="4" w:space="0" w:color="auto"/>
            </w:tcBorders>
            <w:shd w:val="clear" w:color="auto" w:fill="auto"/>
            <w:hideMark/>
          </w:tcPr>
          <w:p w14:paraId="1B9CB110"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EV4wcw</w:t>
            </w:r>
          </w:p>
        </w:tc>
        <w:tc>
          <w:tcPr>
            <w:tcW w:w="2388" w:type="dxa"/>
            <w:tcBorders>
              <w:top w:val="single" w:sz="4" w:space="0" w:color="auto"/>
              <w:left w:val="single" w:sz="4" w:space="0" w:color="auto"/>
              <w:bottom w:val="single" w:sz="4" w:space="0" w:color="auto"/>
              <w:right w:val="single" w:sz="4" w:space="0" w:color="auto"/>
            </w:tcBorders>
            <w:shd w:val="clear" w:color="auto" w:fill="auto"/>
            <w:hideMark/>
          </w:tcPr>
          <w:p w14:paraId="65418322"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Fulwood Grassland III</w:t>
            </w:r>
          </w:p>
        </w:tc>
        <w:tc>
          <w:tcPr>
            <w:tcW w:w="4395" w:type="dxa"/>
            <w:tcBorders>
              <w:top w:val="single" w:sz="4" w:space="0" w:color="auto"/>
              <w:left w:val="single" w:sz="4" w:space="0" w:color="auto"/>
              <w:bottom w:val="single" w:sz="4" w:space="0" w:color="auto"/>
              <w:right w:val="single" w:sz="4" w:space="0" w:color="auto"/>
            </w:tcBorders>
            <w:shd w:val="clear" w:color="auto" w:fill="auto"/>
            <w:hideMark/>
          </w:tcPr>
          <w:p w14:paraId="1D50A4C4" w14:textId="57B5D0C9" w:rsidR="00FA2CC6" w:rsidRPr="000663FF" w:rsidRDefault="007A1A00"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 traditionally managed coal measures grassland</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39CDBEE2"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Larwood</w:t>
            </w:r>
          </w:p>
        </w:tc>
      </w:tr>
      <w:tr w:rsidR="000663FF" w:rsidRPr="000663FF" w14:paraId="62308B04" w14:textId="77777777" w:rsidTr="00DC0D18">
        <w:trPr>
          <w:trHeight w:val="580"/>
        </w:trPr>
        <w:tc>
          <w:tcPr>
            <w:tcW w:w="1009" w:type="dxa"/>
            <w:tcBorders>
              <w:top w:val="single" w:sz="4" w:space="0" w:color="auto"/>
              <w:left w:val="single" w:sz="4" w:space="0" w:color="auto"/>
              <w:bottom w:val="single" w:sz="4" w:space="0" w:color="auto"/>
              <w:right w:val="single" w:sz="4" w:space="0" w:color="auto"/>
            </w:tcBorders>
            <w:shd w:val="clear" w:color="auto" w:fill="auto"/>
            <w:hideMark/>
          </w:tcPr>
          <w:p w14:paraId="71047C2C"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EV4wcx</w:t>
            </w:r>
          </w:p>
        </w:tc>
        <w:tc>
          <w:tcPr>
            <w:tcW w:w="2388" w:type="dxa"/>
            <w:tcBorders>
              <w:top w:val="single" w:sz="4" w:space="0" w:color="auto"/>
              <w:left w:val="nil"/>
              <w:bottom w:val="single" w:sz="4" w:space="0" w:color="auto"/>
              <w:right w:val="single" w:sz="4" w:space="0" w:color="auto"/>
            </w:tcBorders>
            <w:shd w:val="clear" w:color="auto" w:fill="auto"/>
            <w:hideMark/>
          </w:tcPr>
          <w:p w14:paraId="541C9E7E"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Fulwood Meadow</w:t>
            </w:r>
          </w:p>
        </w:tc>
        <w:tc>
          <w:tcPr>
            <w:tcW w:w="4395" w:type="dxa"/>
            <w:tcBorders>
              <w:top w:val="single" w:sz="4" w:space="0" w:color="auto"/>
              <w:left w:val="nil"/>
              <w:bottom w:val="single" w:sz="4" w:space="0" w:color="auto"/>
              <w:right w:val="single" w:sz="4" w:space="0" w:color="auto"/>
            </w:tcBorders>
            <w:shd w:val="clear" w:color="auto" w:fill="auto"/>
            <w:hideMark/>
          </w:tcPr>
          <w:p w14:paraId="68F92103" w14:textId="75178D5A" w:rsidR="00FA2CC6" w:rsidRPr="000663FF" w:rsidRDefault="007A1A00"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 base-rich unimproved neutral grassland with a noteworthy flora</w:t>
            </w:r>
          </w:p>
        </w:tc>
        <w:tc>
          <w:tcPr>
            <w:tcW w:w="1984" w:type="dxa"/>
            <w:tcBorders>
              <w:top w:val="single" w:sz="4" w:space="0" w:color="auto"/>
              <w:left w:val="nil"/>
              <w:bottom w:val="single" w:sz="4" w:space="0" w:color="auto"/>
              <w:right w:val="single" w:sz="4" w:space="0" w:color="auto"/>
            </w:tcBorders>
            <w:shd w:val="clear" w:color="auto" w:fill="auto"/>
            <w:hideMark/>
          </w:tcPr>
          <w:p w14:paraId="387456BE"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Larwood</w:t>
            </w:r>
          </w:p>
        </w:tc>
      </w:tr>
      <w:tr w:rsidR="000663FF" w:rsidRPr="000663FF" w14:paraId="610864F0" w14:textId="77777777" w:rsidTr="00DC0D18">
        <w:trPr>
          <w:trHeight w:val="580"/>
        </w:trPr>
        <w:tc>
          <w:tcPr>
            <w:tcW w:w="1009" w:type="dxa"/>
            <w:tcBorders>
              <w:top w:val="nil"/>
              <w:left w:val="single" w:sz="4" w:space="0" w:color="auto"/>
              <w:bottom w:val="single" w:sz="4" w:space="0" w:color="auto"/>
              <w:right w:val="single" w:sz="4" w:space="0" w:color="auto"/>
            </w:tcBorders>
            <w:shd w:val="clear" w:color="auto" w:fill="auto"/>
            <w:hideMark/>
          </w:tcPr>
          <w:p w14:paraId="7B520A0B"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EV4wcy</w:t>
            </w:r>
          </w:p>
        </w:tc>
        <w:tc>
          <w:tcPr>
            <w:tcW w:w="2388" w:type="dxa"/>
            <w:tcBorders>
              <w:top w:val="nil"/>
              <w:left w:val="nil"/>
              <w:bottom w:val="single" w:sz="4" w:space="0" w:color="auto"/>
              <w:right w:val="single" w:sz="4" w:space="0" w:color="auto"/>
            </w:tcBorders>
            <w:shd w:val="clear" w:color="auto" w:fill="auto"/>
            <w:hideMark/>
          </w:tcPr>
          <w:p w14:paraId="15582FED"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Glasswork Grassland, Kirkby-in-Ashfield District</w:t>
            </w:r>
          </w:p>
        </w:tc>
        <w:tc>
          <w:tcPr>
            <w:tcW w:w="4395" w:type="dxa"/>
            <w:tcBorders>
              <w:top w:val="nil"/>
              <w:left w:val="nil"/>
              <w:bottom w:val="single" w:sz="4" w:space="0" w:color="auto"/>
              <w:right w:val="single" w:sz="4" w:space="0" w:color="auto"/>
            </w:tcBorders>
            <w:shd w:val="clear" w:color="auto" w:fill="auto"/>
            <w:hideMark/>
          </w:tcPr>
          <w:p w14:paraId="7333482C" w14:textId="2396A9D6" w:rsidR="00FA2CC6" w:rsidRPr="000663FF" w:rsidRDefault="007A1A00"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 notable magnesian limestone grassland community</w:t>
            </w:r>
          </w:p>
        </w:tc>
        <w:tc>
          <w:tcPr>
            <w:tcW w:w="1984" w:type="dxa"/>
            <w:tcBorders>
              <w:top w:val="nil"/>
              <w:left w:val="nil"/>
              <w:bottom w:val="single" w:sz="4" w:space="0" w:color="auto"/>
              <w:right w:val="single" w:sz="4" w:space="0" w:color="auto"/>
            </w:tcBorders>
            <w:shd w:val="clear" w:color="auto" w:fill="auto"/>
            <w:hideMark/>
          </w:tcPr>
          <w:p w14:paraId="1164BF37"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Kirkby Cross &amp; Portland</w:t>
            </w:r>
          </w:p>
        </w:tc>
      </w:tr>
      <w:tr w:rsidR="000663FF" w:rsidRPr="000663FF" w14:paraId="247F90BD" w14:textId="77777777" w:rsidTr="00DC0D18">
        <w:trPr>
          <w:trHeight w:val="580"/>
        </w:trPr>
        <w:tc>
          <w:tcPr>
            <w:tcW w:w="1009" w:type="dxa"/>
            <w:tcBorders>
              <w:top w:val="nil"/>
              <w:left w:val="single" w:sz="4" w:space="0" w:color="auto"/>
              <w:bottom w:val="single" w:sz="4" w:space="0" w:color="auto"/>
              <w:right w:val="single" w:sz="4" w:space="0" w:color="auto"/>
            </w:tcBorders>
            <w:shd w:val="clear" w:color="auto" w:fill="auto"/>
            <w:hideMark/>
          </w:tcPr>
          <w:p w14:paraId="1A1541BA"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EV4wcz</w:t>
            </w:r>
          </w:p>
        </w:tc>
        <w:tc>
          <w:tcPr>
            <w:tcW w:w="2388" w:type="dxa"/>
            <w:tcBorders>
              <w:top w:val="nil"/>
              <w:left w:val="nil"/>
              <w:bottom w:val="single" w:sz="4" w:space="0" w:color="auto"/>
              <w:right w:val="single" w:sz="4" w:space="0" w:color="auto"/>
            </w:tcBorders>
            <w:shd w:val="clear" w:color="auto" w:fill="auto"/>
            <w:hideMark/>
          </w:tcPr>
          <w:p w14:paraId="3C873DAF"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Halfmoon Plantation</w:t>
            </w:r>
          </w:p>
        </w:tc>
        <w:tc>
          <w:tcPr>
            <w:tcW w:w="4395" w:type="dxa"/>
            <w:tcBorders>
              <w:top w:val="nil"/>
              <w:left w:val="nil"/>
              <w:bottom w:val="single" w:sz="4" w:space="0" w:color="auto"/>
              <w:right w:val="single" w:sz="4" w:space="0" w:color="auto"/>
            </w:tcBorders>
            <w:shd w:val="clear" w:color="auto" w:fill="auto"/>
            <w:hideMark/>
          </w:tcPr>
          <w:p w14:paraId="2B56367F" w14:textId="65FE3F32" w:rsidR="00FA2CC6" w:rsidRPr="000663FF" w:rsidRDefault="007A1A00"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 valuable habitat mosaic of woodland, scrub, and acidic grassland</w:t>
            </w:r>
          </w:p>
        </w:tc>
        <w:tc>
          <w:tcPr>
            <w:tcW w:w="1984" w:type="dxa"/>
            <w:tcBorders>
              <w:top w:val="nil"/>
              <w:left w:val="nil"/>
              <w:bottom w:val="single" w:sz="4" w:space="0" w:color="auto"/>
              <w:right w:val="single" w:sz="4" w:space="0" w:color="auto"/>
            </w:tcBorders>
            <w:shd w:val="clear" w:color="auto" w:fill="auto"/>
            <w:hideMark/>
          </w:tcPr>
          <w:p w14:paraId="25756A66"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Kingsway</w:t>
            </w:r>
          </w:p>
        </w:tc>
      </w:tr>
      <w:tr w:rsidR="000663FF" w:rsidRPr="000663FF" w14:paraId="09D17B54" w14:textId="77777777" w:rsidTr="00DC0D18">
        <w:trPr>
          <w:trHeight w:val="290"/>
        </w:trPr>
        <w:tc>
          <w:tcPr>
            <w:tcW w:w="1009" w:type="dxa"/>
            <w:tcBorders>
              <w:top w:val="nil"/>
              <w:left w:val="single" w:sz="4" w:space="0" w:color="auto"/>
              <w:bottom w:val="single" w:sz="4" w:space="0" w:color="auto"/>
              <w:right w:val="single" w:sz="4" w:space="0" w:color="auto"/>
            </w:tcBorders>
            <w:shd w:val="clear" w:color="auto" w:fill="auto"/>
            <w:hideMark/>
          </w:tcPr>
          <w:p w14:paraId="4CE079A7"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EV4wd</w:t>
            </w:r>
          </w:p>
        </w:tc>
        <w:tc>
          <w:tcPr>
            <w:tcW w:w="2388" w:type="dxa"/>
            <w:tcBorders>
              <w:top w:val="nil"/>
              <w:left w:val="nil"/>
              <w:bottom w:val="single" w:sz="4" w:space="0" w:color="auto"/>
              <w:right w:val="single" w:sz="4" w:space="0" w:color="auto"/>
            </w:tcBorders>
            <w:shd w:val="clear" w:color="auto" w:fill="auto"/>
            <w:hideMark/>
          </w:tcPr>
          <w:p w14:paraId="5AA7D116"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Hall Green Grassland</w:t>
            </w:r>
          </w:p>
        </w:tc>
        <w:tc>
          <w:tcPr>
            <w:tcW w:w="4395" w:type="dxa"/>
            <w:tcBorders>
              <w:top w:val="nil"/>
              <w:left w:val="nil"/>
              <w:bottom w:val="single" w:sz="4" w:space="0" w:color="auto"/>
              <w:right w:val="single" w:sz="4" w:space="0" w:color="auto"/>
            </w:tcBorders>
            <w:shd w:val="clear" w:color="auto" w:fill="auto"/>
            <w:hideMark/>
          </w:tcPr>
          <w:p w14:paraId="730D1587" w14:textId="65CB53CD" w:rsidR="00FA2CC6" w:rsidRPr="000663FF" w:rsidRDefault="007A1A00"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 classic Coal Measures grassland</w:t>
            </w:r>
          </w:p>
        </w:tc>
        <w:tc>
          <w:tcPr>
            <w:tcW w:w="1984" w:type="dxa"/>
            <w:tcBorders>
              <w:top w:val="nil"/>
              <w:left w:val="nil"/>
              <w:bottom w:val="single" w:sz="4" w:space="0" w:color="auto"/>
              <w:right w:val="single" w:sz="4" w:space="0" w:color="auto"/>
            </w:tcBorders>
            <w:shd w:val="clear" w:color="auto" w:fill="auto"/>
            <w:hideMark/>
          </w:tcPr>
          <w:p w14:paraId="57FFC265"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Selston</w:t>
            </w:r>
          </w:p>
        </w:tc>
      </w:tr>
      <w:tr w:rsidR="000663FF" w:rsidRPr="000663FF" w14:paraId="79534AEB" w14:textId="77777777" w:rsidTr="007A1A00">
        <w:trPr>
          <w:trHeight w:val="580"/>
        </w:trPr>
        <w:tc>
          <w:tcPr>
            <w:tcW w:w="1009" w:type="dxa"/>
            <w:tcBorders>
              <w:top w:val="nil"/>
              <w:left w:val="single" w:sz="4" w:space="0" w:color="auto"/>
              <w:bottom w:val="single" w:sz="4" w:space="0" w:color="auto"/>
              <w:right w:val="single" w:sz="4" w:space="0" w:color="auto"/>
            </w:tcBorders>
            <w:shd w:val="clear" w:color="auto" w:fill="auto"/>
            <w:hideMark/>
          </w:tcPr>
          <w:p w14:paraId="447508CD"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EV4wda</w:t>
            </w:r>
          </w:p>
        </w:tc>
        <w:tc>
          <w:tcPr>
            <w:tcW w:w="2388" w:type="dxa"/>
            <w:tcBorders>
              <w:top w:val="nil"/>
              <w:left w:val="nil"/>
              <w:bottom w:val="single" w:sz="4" w:space="0" w:color="auto"/>
              <w:right w:val="single" w:sz="4" w:space="0" w:color="auto"/>
            </w:tcBorders>
            <w:shd w:val="clear" w:color="auto" w:fill="auto"/>
            <w:hideMark/>
          </w:tcPr>
          <w:p w14:paraId="58DF7EA8"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Hall Green Meadow</w:t>
            </w:r>
          </w:p>
        </w:tc>
        <w:tc>
          <w:tcPr>
            <w:tcW w:w="4395" w:type="dxa"/>
            <w:tcBorders>
              <w:top w:val="nil"/>
              <w:left w:val="nil"/>
              <w:bottom w:val="single" w:sz="4" w:space="0" w:color="auto"/>
              <w:right w:val="single" w:sz="4" w:space="0" w:color="auto"/>
            </w:tcBorders>
            <w:shd w:val="clear" w:color="auto" w:fill="auto"/>
            <w:hideMark/>
          </w:tcPr>
          <w:p w14:paraId="110AD93D" w14:textId="445ADC3A" w:rsidR="00FA2CC6" w:rsidRPr="000663FF" w:rsidRDefault="007A1A00"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 large, unimproved coal measures type hay meadow</w:t>
            </w:r>
          </w:p>
        </w:tc>
        <w:tc>
          <w:tcPr>
            <w:tcW w:w="1984" w:type="dxa"/>
            <w:tcBorders>
              <w:top w:val="nil"/>
              <w:left w:val="nil"/>
              <w:bottom w:val="single" w:sz="4" w:space="0" w:color="auto"/>
              <w:right w:val="single" w:sz="4" w:space="0" w:color="auto"/>
            </w:tcBorders>
            <w:shd w:val="clear" w:color="auto" w:fill="auto"/>
            <w:hideMark/>
          </w:tcPr>
          <w:p w14:paraId="683CA358"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Selston</w:t>
            </w:r>
          </w:p>
        </w:tc>
      </w:tr>
      <w:tr w:rsidR="000663FF" w:rsidRPr="000663FF" w14:paraId="1FF29137" w14:textId="77777777" w:rsidTr="000663FF">
        <w:trPr>
          <w:trHeight w:val="580"/>
        </w:trPr>
        <w:tc>
          <w:tcPr>
            <w:tcW w:w="1009" w:type="dxa"/>
            <w:tcBorders>
              <w:top w:val="single" w:sz="4" w:space="0" w:color="auto"/>
              <w:left w:val="single" w:sz="4" w:space="0" w:color="auto"/>
              <w:bottom w:val="single" w:sz="4" w:space="0" w:color="auto"/>
              <w:right w:val="single" w:sz="4" w:space="0" w:color="auto"/>
            </w:tcBorders>
            <w:shd w:val="clear" w:color="auto" w:fill="auto"/>
            <w:hideMark/>
          </w:tcPr>
          <w:p w14:paraId="0B6E256A"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EV4wdb</w:t>
            </w:r>
          </w:p>
        </w:tc>
        <w:tc>
          <w:tcPr>
            <w:tcW w:w="2388" w:type="dxa"/>
            <w:tcBorders>
              <w:top w:val="single" w:sz="4" w:space="0" w:color="auto"/>
              <w:left w:val="nil"/>
              <w:bottom w:val="single" w:sz="4" w:space="0" w:color="auto"/>
              <w:right w:val="single" w:sz="4" w:space="0" w:color="auto"/>
            </w:tcBorders>
            <w:shd w:val="clear" w:color="auto" w:fill="auto"/>
            <w:hideMark/>
          </w:tcPr>
          <w:p w14:paraId="1B9E19B8"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Hamilton Hill</w:t>
            </w:r>
          </w:p>
        </w:tc>
        <w:tc>
          <w:tcPr>
            <w:tcW w:w="4395" w:type="dxa"/>
            <w:tcBorders>
              <w:top w:val="single" w:sz="4" w:space="0" w:color="auto"/>
              <w:left w:val="nil"/>
              <w:bottom w:val="single" w:sz="4" w:space="0" w:color="auto"/>
              <w:right w:val="single" w:sz="4" w:space="0" w:color="auto"/>
            </w:tcBorders>
            <w:shd w:val="clear" w:color="auto" w:fill="auto"/>
            <w:hideMark/>
          </w:tcPr>
          <w:p w14:paraId="1B4D62E4" w14:textId="6CBF8777" w:rsidR="00FA2CC6" w:rsidRPr="000663FF" w:rsidRDefault="007A1A00"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 xml:space="preserve">A remnant acid grassland on </w:t>
            </w:r>
            <w:proofErr w:type="spellStart"/>
            <w:r w:rsidR="00FA2CC6" w:rsidRPr="000663FF">
              <w:rPr>
                <w:rFonts w:ascii="Calibri" w:hAnsi="Calibri" w:cs="Calibri"/>
                <w:color w:val="auto"/>
                <w:sz w:val="22"/>
                <w:szCs w:val="22"/>
              </w:rPr>
              <w:t>a</w:t>
            </w:r>
            <w:proofErr w:type="spellEnd"/>
            <w:r w:rsidR="00FA2CC6" w:rsidRPr="000663FF">
              <w:rPr>
                <w:rFonts w:ascii="Calibri" w:hAnsi="Calibri" w:cs="Calibri"/>
                <w:color w:val="auto"/>
                <w:sz w:val="22"/>
                <w:szCs w:val="22"/>
              </w:rPr>
              <w:t xml:space="preserve"> isolated hill</w:t>
            </w:r>
          </w:p>
        </w:tc>
        <w:tc>
          <w:tcPr>
            <w:tcW w:w="1984" w:type="dxa"/>
            <w:tcBorders>
              <w:top w:val="single" w:sz="4" w:space="0" w:color="auto"/>
              <w:left w:val="nil"/>
              <w:bottom w:val="single" w:sz="4" w:space="0" w:color="auto"/>
              <w:right w:val="single" w:sz="4" w:space="0" w:color="auto"/>
            </w:tcBorders>
            <w:shd w:val="clear" w:color="auto" w:fill="auto"/>
            <w:hideMark/>
          </w:tcPr>
          <w:p w14:paraId="02D77D67"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Sutton Junction &amp; Harlow Wood</w:t>
            </w:r>
          </w:p>
        </w:tc>
      </w:tr>
      <w:tr w:rsidR="000663FF" w:rsidRPr="000663FF" w14:paraId="5330205B" w14:textId="77777777" w:rsidTr="000663FF">
        <w:trPr>
          <w:trHeight w:val="580"/>
        </w:trPr>
        <w:tc>
          <w:tcPr>
            <w:tcW w:w="1009" w:type="dxa"/>
            <w:tcBorders>
              <w:top w:val="single" w:sz="4" w:space="0" w:color="auto"/>
              <w:left w:val="single" w:sz="4" w:space="0" w:color="auto"/>
              <w:bottom w:val="single" w:sz="4" w:space="0" w:color="auto"/>
              <w:right w:val="single" w:sz="4" w:space="0" w:color="auto"/>
            </w:tcBorders>
            <w:shd w:val="clear" w:color="auto" w:fill="auto"/>
            <w:hideMark/>
          </w:tcPr>
          <w:p w14:paraId="37B9B8AF"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EV4wdc</w:t>
            </w:r>
          </w:p>
        </w:tc>
        <w:tc>
          <w:tcPr>
            <w:tcW w:w="2388" w:type="dxa"/>
            <w:tcBorders>
              <w:top w:val="single" w:sz="4" w:space="0" w:color="auto"/>
              <w:left w:val="nil"/>
              <w:bottom w:val="single" w:sz="4" w:space="0" w:color="auto"/>
              <w:right w:val="single" w:sz="4" w:space="0" w:color="auto"/>
            </w:tcBorders>
            <w:shd w:val="clear" w:color="auto" w:fill="auto"/>
            <w:hideMark/>
          </w:tcPr>
          <w:p w14:paraId="6AEEE9EA" w14:textId="77777777" w:rsidR="00FA2CC6" w:rsidRPr="000663FF" w:rsidRDefault="00FA2CC6" w:rsidP="00FA2CC6">
            <w:pPr>
              <w:keepNext w:val="0"/>
              <w:spacing w:before="0"/>
              <w:rPr>
                <w:rFonts w:ascii="Calibri" w:hAnsi="Calibri" w:cs="Calibri"/>
                <w:color w:val="auto"/>
                <w:sz w:val="22"/>
                <w:szCs w:val="22"/>
              </w:rPr>
            </w:pPr>
            <w:proofErr w:type="spellStart"/>
            <w:r w:rsidRPr="000663FF">
              <w:rPr>
                <w:rFonts w:ascii="Calibri" w:hAnsi="Calibri" w:cs="Calibri"/>
                <w:color w:val="auto"/>
                <w:sz w:val="22"/>
                <w:szCs w:val="22"/>
              </w:rPr>
              <w:t>Handstubbing's</w:t>
            </w:r>
            <w:proofErr w:type="spellEnd"/>
            <w:r w:rsidRPr="000663FF">
              <w:rPr>
                <w:rFonts w:ascii="Calibri" w:hAnsi="Calibri" w:cs="Calibri"/>
                <w:color w:val="auto"/>
                <w:sz w:val="22"/>
                <w:szCs w:val="22"/>
              </w:rPr>
              <w:t xml:space="preserve"> Meadows</w:t>
            </w:r>
          </w:p>
        </w:tc>
        <w:tc>
          <w:tcPr>
            <w:tcW w:w="4395" w:type="dxa"/>
            <w:tcBorders>
              <w:top w:val="single" w:sz="4" w:space="0" w:color="auto"/>
              <w:left w:val="nil"/>
              <w:bottom w:val="single" w:sz="4" w:space="0" w:color="auto"/>
              <w:right w:val="single" w:sz="4" w:space="0" w:color="auto"/>
            </w:tcBorders>
            <w:shd w:val="clear" w:color="auto" w:fill="auto"/>
            <w:hideMark/>
          </w:tcPr>
          <w:p w14:paraId="6A9095C4" w14:textId="18652171" w:rsidR="00FA2CC6" w:rsidRPr="000663FF" w:rsidRDefault="007A1A00"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 series of hay -cut species rich neutral grasslands</w:t>
            </w:r>
          </w:p>
        </w:tc>
        <w:tc>
          <w:tcPr>
            <w:tcW w:w="1984" w:type="dxa"/>
            <w:tcBorders>
              <w:top w:val="single" w:sz="4" w:space="0" w:color="auto"/>
              <w:left w:val="nil"/>
              <w:bottom w:val="single" w:sz="4" w:space="0" w:color="auto"/>
              <w:right w:val="single" w:sz="4" w:space="0" w:color="auto"/>
            </w:tcBorders>
            <w:shd w:val="clear" w:color="auto" w:fill="auto"/>
            <w:hideMark/>
          </w:tcPr>
          <w:p w14:paraId="47CE5F70"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Selston</w:t>
            </w:r>
          </w:p>
        </w:tc>
      </w:tr>
      <w:tr w:rsidR="000663FF" w:rsidRPr="000663FF" w14:paraId="01AFCE98" w14:textId="77777777" w:rsidTr="000663FF">
        <w:trPr>
          <w:trHeight w:val="580"/>
        </w:trPr>
        <w:tc>
          <w:tcPr>
            <w:tcW w:w="1009" w:type="dxa"/>
            <w:tcBorders>
              <w:top w:val="single" w:sz="4" w:space="0" w:color="auto"/>
              <w:left w:val="single" w:sz="4" w:space="0" w:color="auto"/>
              <w:bottom w:val="single" w:sz="4" w:space="0" w:color="auto"/>
              <w:right w:val="single" w:sz="4" w:space="0" w:color="auto"/>
            </w:tcBorders>
            <w:shd w:val="clear" w:color="auto" w:fill="auto"/>
            <w:hideMark/>
          </w:tcPr>
          <w:p w14:paraId="785626A3"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EV4wdd</w:t>
            </w:r>
          </w:p>
        </w:tc>
        <w:tc>
          <w:tcPr>
            <w:tcW w:w="2388" w:type="dxa"/>
            <w:tcBorders>
              <w:top w:val="single" w:sz="4" w:space="0" w:color="auto"/>
              <w:left w:val="nil"/>
              <w:bottom w:val="single" w:sz="4" w:space="0" w:color="auto"/>
              <w:right w:val="single" w:sz="4" w:space="0" w:color="auto"/>
            </w:tcBorders>
            <w:shd w:val="clear" w:color="auto" w:fill="auto"/>
            <w:hideMark/>
          </w:tcPr>
          <w:p w14:paraId="1C15246B"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Hardwick Farm Grasslands</w:t>
            </w:r>
          </w:p>
        </w:tc>
        <w:tc>
          <w:tcPr>
            <w:tcW w:w="4395" w:type="dxa"/>
            <w:tcBorders>
              <w:top w:val="single" w:sz="4" w:space="0" w:color="auto"/>
              <w:left w:val="nil"/>
              <w:bottom w:val="single" w:sz="4" w:space="0" w:color="auto"/>
              <w:right w:val="single" w:sz="4" w:space="0" w:color="auto"/>
            </w:tcBorders>
            <w:shd w:val="clear" w:color="auto" w:fill="auto"/>
            <w:hideMark/>
          </w:tcPr>
          <w:p w14:paraId="7222D13E" w14:textId="7AC0B3C1" w:rsidR="00FA2CC6" w:rsidRPr="000663FF" w:rsidRDefault="007A1A00"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Large area of neutral grassland</w:t>
            </w:r>
          </w:p>
        </w:tc>
        <w:tc>
          <w:tcPr>
            <w:tcW w:w="1984" w:type="dxa"/>
            <w:tcBorders>
              <w:top w:val="single" w:sz="4" w:space="0" w:color="auto"/>
              <w:left w:val="nil"/>
              <w:bottom w:val="single" w:sz="4" w:space="0" w:color="auto"/>
              <w:right w:val="single" w:sz="4" w:space="0" w:color="auto"/>
            </w:tcBorders>
            <w:shd w:val="clear" w:color="auto" w:fill="auto"/>
            <w:hideMark/>
          </w:tcPr>
          <w:p w14:paraId="3CC23674"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Stanton Hill &amp; Teversal</w:t>
            </w:r>
          </w:p>
        </w:tc>
      </w:tr>
      <w:tr w:rsidR="000663FF" w:rsidRPr="000663FF" w14:paraId="36905908" w14:textId="77777777" w:rsidTr="00DC0D18">
        <w:trPr>
          <w:trHeight w:val="580"/>
        </w:trPr>
        <w:tc>
          <w:tcPr>
            <w:tcW w:w="1009" w:type="dxa"/>
            <w:tcBorders>
              <w:top w:val="nil"/>
              <w:left w:val="single" w:sz="4" w:space="0" w:color="auto"/>
              <w:bottom w:val="single" w:sz="4" w:space="0" w:color="auto"/>
              <w:right w:val="single" w:sz="4" w:space="0" w:color="auto"/>
            </w:tcBorders>
            <w:shd w:val="clear" w:color="auto" w:fill="auto"/>
            <w:hideMark/>
          </w:tcPr>
          <w:p w14:paraId="50955783"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EV4wde</w:t>
            </w:r>
          </w:p>
        </w:tc>
        <w:tc>
          <w:tcPr>
            <w:tcW w:w="2388" w:type="dxa"/>
            <w:tcBorders>
              <w:top w:val="nil"/>
              <w:left w:val="nil"/>
              <w:bottom w:val="single" w:sz="4" w:space="0" w:color="auto"/>
              <w:right w:val="single" w:sz="4" w:space="0" w:color="auto"/>
            </w:tcBorders>
            <w:shd w:val="clear" w:color="auto" w:fill="auto"/>
            <w:hideMark/>
          </w:tcPr>
          <w:p w14:paraId="0C4B2293"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Harlow Wood</w:t>
            </w:r>
          </w:p>
        </w:tc>
        <w:tc>
          <w:tcPr>
            <w:tcW w:w="4395" w:type="dxa"/>
            <w:tcBorders>
              <w:top w:val="nil"/>
              <w:left w:val="nil"/>
              <w:bottom w:val="single" w:sz="4" w:space="0" w:color="auto"/>
              <w:right w:val="single" w:sz="4" w:space="0" w:color="auto"/>
            </w:tcBorders>
            <w:shd w:val="clear" w:color="auto" w:fill="auto"/>
            <w:hideMark/>
          </w:tcPr>
          <w:p w14:paraId="397A0DB0" w14:textId="4DBCECCC" w:rsidR="00FA2CC6" w:rsidRPr="000663FF" w:rsidRDefault="007A1A00"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An extensive coniferous plantation with a noteworthy flora</w:t>
            </w:r>
          </w:p>
        </w:tc>
        <w:tc>
          <w:tcPr>
            <w:tcW w:w="1984" w:type="dxa"/>
            <w:tcBorders>
              <w:top w:val="nil"/>
              <w:left w:val="nil"/>
              <w:bottom w:val="single" w:sz="4" w:space="0" w:color="auto"/>
              <w:right w:val="single" w:sz="4" w:space="0" w:color="auto"/>
            </w:tcBorders>
            <w:shd w:val="clear" w:color="auto" w:fill="auto"/>
            <w:hideMark/>
          </w:tcPr>
          <w:p w14:paraId="1A6BD9D4"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Sutton Junction &amp; Harlow Wood</w:t>
            </w:r>
          </w:p>
        </w:tc>
      </w:tr>
      <w:tr w:rsidR="000663FF" w:rsidRPr="000663FF" w14:paraId="11047A40" w14:textId="77777777" w:rsidTr="00DC0D18">
        <w:trPr>
          <w:trHeight w:val="485"/>
        </w:trPr>
        <w:tc>
          <w:tcPr>
            <w:tcW w:w="1009" w:type="dxa"/>
            <w:tcBorders>
              <w:top w:val="nil"/>
              <w:left w:val="single" w:sz="4" w:space="0" w:color="auto"/>
              <w:bottom w:val="single" w:sz="4" w:space="0" w:color="auto"/>
              <w:right w:val="single" w:sz="4" w:space="0" w:color="auto"/>
            </w:tcBorders>
            <w:shd w:val="clear" w:color="auto" w:fill="auto"/>
            <w:hideMark/>
          </w:tcPr>
          <w:p w14:paraId="5AB45887"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EV4wdf</w:t>
            </w:r>
          </w:p>
        </w:tc>
        <w:tc>
          <w:tcPr>
            <w:tcW w:w="2388" w:type="dxa"/>
            <w:tcBorders>
              <w:top w:val="nil"/>
              <w:left w:val="nil"/>
              <w:bottom w:val="single" w:sz="4" w:space="0" w:color="auto"/>
              <w:right w:val="single" w:sz="4" w:space="0" w:color="auto"/>
            </w:tcBorders>
            <w:shd w:val="clear" w:color="auto" w:fill="auto"/>
            <w:hideMark/>
          </w:tcPr>
          <w:p w14:paraId="53B51DF7"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Heald's Wood</w:t>
            </w:r>
          </w:p>
        </w:tc>
        <w:tc>
          <w:tcPr>
            <w:tcW w:w="4395" w:type="dxa"/>
            <w:tcBorders>
              <w:top w:val="nil"/>
              <w:left w:val="nil"/>
              <w:bottom w:val="single" w:sz="4" w:space="0" w:color="auto"/>
              <w:right w:val="single" w:sz="4" w:space="0" w:color="auto"/>
            </w:tcBorders>
            <w:shd w:val="clear" w:color="auto" w:fill="auto"/>
            <w:hideMark/>
          </w:tcPr>
          <w:p w14:paraId="664B6E49" w14:textId="63D52759" w:rsidR="00FA2CC6" w:rsidRPr="000663FF" w:rsidRDefault="007A1A00"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An ancient semi-natural woodland with a species-rich ground flora on a steep North facing slope</w:t>
            </w:r>
          </w:p>
        </w:tc>
        <w:tc>
          <w:tcPr>
            <w:tcW w:w="1984" w:type="dxa"/>
            <w:tcBorders>
              <w:top w:val="nil"/>
              <w:left w:val="nil"/>
              <w:bottom w:val="single" w:sz="4" w:space="0" w:color="auto"/>
              <w:right w:val="single" w:sz="4" w:space="0" w:color="auto"/>
            </w:tcBorders>
            <w:shd w:val="clear" w:color="auto" w:fill="auto"/>
            <w:hideMark/>
          </w:tcPr>
          <w:p w14:paraId="76D2D363"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Skegby</w:t>
            </w:r>
          </w:p>
        </w:tc>
      </w:tr>
      <w:tr w:rsidR="000663FF" w:rsidRPr="000663FF" w14:paraId="3DA4EC1D" w14:textId="77777777" w:rsidTr="00DC0D18">
        <w:trPr>
          <w:trHeight w:val="580"/>
        </w:trPr>
        <w:tc>
          <w:tcPr>
            <w:tcW w:w="1009" w:type="dxa"/>
            <w:tcBorders>
              <w:top w:val="nil"/>
              <w:left w:val="single" w:sz="4" w:space="0" w:color="auto"/>
              <w:bottom w:val="single" w:sz="4" w:space="0" w:color="auto"/>
              <w:right w:val="single" w:sz="4" w:space="0" w:color="auto"/>
            </w:tcBorders>
            <w:shd w:val="clear" w:color="auto" w:fill="auto"/>
            <w:hideMark/>
          </w:tcPr>
          <w:p w14:paraId="73D29155"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EV4wdg</w:t>
            </w:r>
          </w:p>
        </w:tc>
        <w:tc>
          <w:tcPr>
            <w:tcW w:w="2388" w:type="dxa"/>
            <w:tcBorders>
              <w:top w:val="nil"/>
              <w:left w:val="nil"/>
              <w:bottom w:val="single" w:sz="4" w:space="0" w:color="auto"/>
              <w:right w:val="single" w:sz="4" w:space="0" w:color="auto"/>
            </w:tcBorders>
            <w:shd w:val="clear" w:color="auto" w:fill="auto"/>
            <w:hideMark/>
          </w:tcPr>
          <w:p w14:paraId="701E70E6"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Heald's Wood Grassland</w:t>
            </w:r>
          </w:p>
        </w:tc>
        <w:tc>
          <w:tcPr>
            <w:tcW w:w="4395" w:type="dxa"/>
            <w:tcBorders>
              <w:top w:val="nil"/>
              <w:left w:val="nil"/>
              <w:bottom w:val="single" w:sz="4" w:space="0" w:color="auto"/>
              <w:right w:val="single" w:sz="4" w:space="0" w:color="auto"/>
            </w:tcBorders>
            <w:shd w:val="clear" w:color="auto" w:fill="auto"/>
            <w:hideMark/>
          </w:tcPr>
          <w:p w14:paraId="5ADE0DAE" w14:textId="035367FD" w:rsidR="00FA2CC6" w:rsidRPr="000663FF" w:rsidRDefault="007A1A00"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 notable calcicole grassland community</w:t>
            </w:r>
          </w:p>
        </w:tc>
        <w:tc>
          <w:tcPr>
            <w:tcW w:w="1984" w:type="dxa"/>
            <w:tcBorders>
              <w:top w:val="nil"/>
              <w:left w:val="nil"/>
              <w:bottom w:val="single" w:sz="4" w:space="0" w:color="auto"/>
              <w:right w:val="single" w:sz="4" w:space="0" w:color="auto"/>
            </w:tcBorders>
            <w:shd w:val="clear" w:color="auto" w:fill="auto"/>
            <w:hideMark/>
          </w:tcPr>
          <w:p w14:paraId="13BFBC3B"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Stanton Hill &amp; Teversal</w:t>
            </w:r>
          </w:p>
        </w:tc>
      </w:tr>
      <w:tr w:rsidR="000663FF" w:rsidRPr="000663FF" w14:paraId="4133FD3C" w14:textId="77777777" w:rsidTr="00DC0D18">
        <w:trPr>
          <w:trHeight w:val="870"/>
        </w:trPr>
        <w:tc>
          <w:tcPr>
            <w:tcW w:w="1009" w:type="dxa"/>
            <w:tcBorders>
              <w:top w:val="nil"/>
              <w:left w:val="single" w:sz="4" w:space="0" w:color="auto"/>
              <w:bottom w:val="single" w:sz="4" w:space="0" w:color="auto"/>
              <w:right w:val="single" w:sz="4" w:space="0" w:color="auto"/>
            </w:tcBorders>
            <w:shd w:val="clear" w:color="auto" w:fill="auto"/>
            <w:hideMark/>
          </w:tcPr>
          <w:p w14:paraId="7B02F5B7"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EV4wdh</w:t>
            </w:r>
          </w:p>
        </w:tc>
        <w:tc>
          <w:tcPr>
            <w:tcW w:w="2388" w:type="dxa"/>
            <w:tcBorders>
              <w:top w:val="nil"/>
              <w:left w:val="nil"/>
              <w:bottom w:val="single" w:sz="4" w:space="0" w:color="auto"/>
              <w:right w:val="single" w:sz="4" w:space="0" w:color="auto"/>
            </w:tcBorders>
            <w:shd w:val="clear" w:color="auto" w:fill="auto"/>
            <w:hideMark/>
          </w:tcPr>
          <w:p w14:paraId="3B995DE0"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Heatherdale Pond</w:t>
            </w:r>
          </w:p>
        </w:tc>
        <w:tc>
          <w:tcPr>
            <w:tcW w:w="4395" w:type="dxa"/>
            <w:tcBorders>
              <w:top w:val="nil"/>
              <w:left w:val="nil"/>
              <w:bottom w:val="single" w:sz="4" w:space="0" w:color="auto"/>
              <w:right w:val="single" w:sz="4" w:space="0" w:color="auto"/>
            </w:tcBorders>
            <w:shd w:val="clear" w:color="auto" w:fill="auto"/>
            <w:hideMark/>
          </w:tcPr>
          <w:p w14:paraId="05B31F8A" w14:textId="31C9028B" w:rsidR="00FA2CC6" w:rsidRPr="000663FF" w:rsidRDefault="007A1A00"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 pond with a noteworthy aquatic flora and a complementary wooded fringe</w:t>
            </w:r>
          </w:p>
        </w:tc>
        <w:tc>
          <w:tcPr>
            <w:tcW w:w="1984" w:type="dxa"/>
            <w:tcBorders>
              <w:top w:val="nil"/>
              <w:left w:val="nil"/>
              <w:bottom w:val="single" w:sz="4" w:space="0" w:color="auto"/>
              <w:right w:val="single" w:sz="4" w:space="0" w:color="auto"/>
            </w:tcBorders>
            <w:shd w:val="clear" w:color="auto" w:fill="auto"/>
            <w:hideMark/>
          </w:tcPr>
          <w:p w14:paraId="43CD9759"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Annesley &amp; Kirkby Woodhouse</w:t>
            </w:r>
          </w:p>
        </w:tc>
      </w:tr>
      <w:tr w:rsidR="000663FF" w:rsidRPr="000663FF" w14:paraId="1FCC1C77" w14:textId="77777777" w:rsidTr="00DC0D18">
        <w:trPr>
          <w:trHeight w:val="580"/>
        </w:trPr>
        <w:tc>
          <w:tcPr>
            <w:tcW w:w="1009" w:type="dxa"/>
            <w:tcBorders>
              <w:top w:val="nil"/>
              <w:left w:val="single" w:sz="4" w:space="0" w:color="auto"/>
              <w:bottom w:val="single" w:sz="4" w:space="0" w:color="auto"/>
              <w:right w:val="single" w:sz="4" w:space="0" w:color="auto"/>
            </w:tcBorders>
            <w:shd w:val="clear" w:color="auto" w:fill="auto"/>
            <w:hideMark/>
          </w:tcPr>
          <w:p w14:paraId="0286C0B7"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EV4wdi</w:t>
            </w:r>
          </w:p>
        </w:tc>
        <w:tc>
          <w:tcPr>
            <w:tcW w:w="2388" w:type="dxa"/>
            <w:tcBorders>
              <w:top w:val="nil"/>
              <w:left w:val="nil"/>
              <w:bottom w:val="single" w:sz="4" w:space="0" w:color="auto"/>
              <w:right w:val="single" w:sz="4" w:space="0" w:color="auto"/>
            </w:tcBorders>
            <w:shd w:val="clear" w:color="auto" w:fill="auto"/>
            <w:hideMark/>
          </w:tcPr>
          <w:p w14:paraId="069BDEC3"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Herod's Hill Grassland</w:t>
            </w:r>
          </w:p>
        </w:tc>
        <w:tc>
          <w:tcPr>
            <w:tcW w:w="4395" w:type="dxa"/>
            <w:tcBorders>
              <w:top w:val="nil"/>
              <w:left w:val="nil"/>
              <w:bottom w:val="single" w:sz="4" w:space="0" w:color="auto"/>
              <w:right w:val="single" w:sz="4" w:space="0" w:color="auto"/>
            </w:tcBorders>
            <w:shd w:val="clear" w:color="auto" w:fill="auto"/>
            <w:hideMark/>
          </w:tcPr>
          <w:p w14:paraId="24BD8DC0" w14:textId="077359BB" w:rsidR="00FA2CC6" w:rsidRPr="000663FF" w:rsidRDefault="007A1A00"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Well-established, species-rich pastures</w:t>
            </w:r>
          </w:p>
        </w:tc>
        <w:tc>
          <w:tcPr>
            <w:tcW w:w="1984" w:type="dxa"/>
            <w:tcBorders>
              <w:top w:val="nil"/>
              <w:left w:val="nil"/>
              <w:bottom w:val="single" w:sz="4" w:space="0" w:color="auto"/>
              <w:right w:val="single" w:sz="4" w:space="0" w:color="auto"/>
            </w:tcBorders>
            <w:shd w:val="clear" w:color="auto" w:fill="auto"/>
            <w:hideMark/>
          </w:tcPr>
          <w:p w14:paraId="16F3BDFC"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Huthwaite &amp; Brierley</w:t>
            </w:r>
          </w:p>
        </w:tc>
      </w:tr>
      <w:tr w:rsidR="000663FF" w:rsidRPr="000663FF" w14:paraId="4717CD73" w14:textId="77777777" w:rsidTr="00DC0D18">
        <w:trPr>
          <w:trHeight w:val="870"/>
        </w:trPr>
        <w:tc>
          <w:tcPr>
            <w:tcW w:w="1009" w:type="dxa"/>
            <w:tcBorders>
              <w:top w:val="nil"/>
              <w:left w:val="single" w:sz="4" w:space="0" w:color="auto"/>
              <w:bottom w:val="single" w:sz="4" w:space="0" w:color="auto"/>
              <w:right w:val="single" w:sz="4" w:space="0" w:color="auto"/>
            </w:tcBorders>
            <w:shd w:val="clear" w:color="auto" w:fill="auto"/>
            <w:hideMark/>
          </w:tcPr>
          <w:p w14:paraId="746CCDFE"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EV4wdj</w:t>
            </w:r>
          </w:p>
        </w:tc>
        <w:tc>
          <w:tcPr>
            <w:tcW w:w="2388" w:type="dxa"/>
            <w:tcBorders>
              <w:top w:val="nil"/>
              <w:left w:val="nil"/>
              <w:bottom w:val="single" w:sz="4" w:space="0" w:color="auto"/>
              <w:right w:val="single" w:sz="4" w:space="0" w:color="auto"/>
            </w:tcBorders>
            <w:shd w:val="clear" w:color="auto" w:fill="auto"/>
            <w:hideMark/>
          </w:tcPr>
          <w:p w14:paraId="0D2779C8"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High Park Wood</w:t>
            </w:r>
          </w:p>
        </w:tc>
        <w:tc>
          <w:tcPr>
            <w:tcW w:w="4395" w:type="dxa"/>
            <w:tcBorders>
              <w:top w:val="nil"/>
              <w:left w:val="nil"/>
              <w:bottom w:val="single" w:sz="4" w:space="0" w:color="auto"/>
              <w:right w:val="single" w:sz="4" w:space="0" w:color="auto"/>
            </w:tcBorders>
            <w:shd w:val="clear" w:color="auto" w:fill="auto"/>
            <w:hideMark/>
          </w:tcPr>
          <w:p w14:paraId="3E77AA20" w14:textId="6F460D22" w:rsidR="00FA2CC6" w:rsidRPr="000663FF" w:rsidRDefault="007A1A00"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 predominantly coniferous plantation with deciduous portions and numerous species-rich pockets</w:t>
            </w:r>
          </w:p>
        </w:tc>
        <w:tc>
          <w:tcPr>
            <w:tcW w:w="1984" w:type="dxa"/>
            <w:tcBorders>
              <w:top w:val="nil"/>
              <w:left w:val="nil"/>
              <w:bottom w:val="single" w:sz="4" w:space="0" w:color="auto"/>
              <w:right w:val="single" w:sz="4" w:space="0" w:color="auto"/>
            </w:tcBorders>
            <w:shd w:val="clear" w:color="auto" w:fill="auto"/>
            <w:hideMark/>
          </w:tcPr>
          <w:p w14:paraId="0FC65782"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Annesley &amp; Kirkby Woodhouse</w:t>
            </w:r>
          </w:p>
        </w:tc>
      </w:tr>
      <w:tr w:rsidR="000663FF" w:rsidRPr="000663FF" w14:paraId="05195BDD" w14:textId="77777777" w:rsidTr="00DC0D18">
        <w:trPr>
          <w:trHeight w:val="549"/>
        </w:trPr>
        <w:tc>
          <w:tcPr>
            <w:tcW w:w="1009" w:type="dxa"/>
            <w:tcBorders>
              <w:top w:val="nil"/>
              <w:left w:val="single" w:sz="4" w:space="0" w:color="auto"/>
              <w:bottom w:val="single" w:sz="4" w:space="0" w:color="auto"/>
              <w:right w:val="single" w:sz="4" w:space="0" w:color="auto"/>
            </w:tcBorders>
            <w:shd w:val="clear" w:color="auto" w:fill="auto"/>
            <w:hideMark/>
          </w:tcPr>
          <w:p w14:paraId="77318998"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EV4wdk</w:t>
            </w:r>
          </w:p>
        </w:tc>
        <w:tc>
          <w:tcPr>
            <w:tcW w:w="2388" w:type="dxa"/>
            <w:tcBorders>
              <w:top w:val="nil"/>
              <w:left w:val="nil"/>
              <w:bottom w:val="single" w:sz="4" w:space="0" w:color="auto"/>
              <w:right w:val="single" w:sz="4" w:space="0" w:color="auto"/>
            </w:tcBorders>
            <w:shd w:val="clear" w:color="auto" w:fill="auto"/>
            <w:hideMark/>
          </w:tcPr>
          <w:p w14:paraId="42787DBC" w14:textId="77777777" w:rsidR="00FA2CC6" w:rsidRPr="000663FF" w:rsidRDefault="00FA2CC6" w:rsidP="00FA2CC6">
            <w:pPr>
              <w:keepNext w:val="0"/>
              <w:spacing w:before="0"/>
              <w:rPr>
                <w:rFonts w:ascii="Calibri" w:hAnsi="Calibri" w:cs="Calibri"/>
                <w:color w:val="auto"/>
                <w:sz w:val="22"/>
                <w:szCs w:val="22"/>
              </w:rPr>
            </w:pPr>
            <w:proofErr w:type="spellStart"/>
            <w:r w:rsidRPr="000663FF">
              <w:rPr>
                <w:rFonts w:ascii="Calibri" w:hAnsi="Calibri" w:cs="Calibri"/>
                <w:color w:val="auto"/>
                <w:sz w:val="22"/>
                <w:szCs w:val="22"/>
              </w:rPr>
              <w:t>Hollinwell</w:t>
            </w:r>
            <w:proofErr w:type="spellEnd"/>
            <w:r w:rsidRPr="000663FF">
              <w:rPr>
                <w:rFonts w:ascii="Calibri" w:hAnsi="Calibri" w:cs="Calibri"/>
                <w:color w:val="auto"/>
                <w:sz w:val="22"/>
                <w:szCs w:val="22"/>
              </w:rPr>
              <w:t xml:space="preserve"> Golf Course</w:t>
            </w:r>
          </w:p>
        </w:tc>
        <w:tc>
          <w:tcPr>
            <w:tcW w:w="4395" w:type="dxa"/>
            <w:tcBorders>
              <w:top w:val="nil"/>
              <w:left w:val="nil"/>
              <w:bottom w:val="single" w:sz="4" w:space="0" w:color="auto"/>
              <w:right w:val="single" w:sz="4" w:space="0" w:color="auto"/>
            </w:tcBorders>
            <w:shd w:val="clear" w:color="auto" w:fill="auto"/>
            <w:hideMark/>
          </w:tcPr>
          <w:p w14:paraId="237C7655" w14:textId="71A1418B" w:rsidR="00FA2CC6" w:rsidRPr="000663FF" w:rsidRDefault="007A1A00"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An extensive area incorporating a number of acidic habitat types with characteristic species</w:t>
            </w:r>
          </w:p>
        </w:tc>
        <w:tc>
          <w:tcPr>
            <w:tcW w:w="1984" w:type="dxa"/>
            <w:tcBorders>
              <w:top w:val="nil"/>
              <w:left w:val="nil"/>
              <w:bottom w:val="single" w:sz="4" w:space="0" w:color="auto"/>
              <w:right w:val="single" w:sz="4" w:space="0" w:color="auto"/>
            </w:tcBorders>
            <w:shd w:val="clear" w:color="auto" w:fill="auto"/>
            <w:hideMark/>
          </w:tcPr>
          <w:p w14:paraId="78D456F8"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Kingsway</w:t>
            </w:r>
          </w:p>
        </w:tc>
      </w:tr>
      <w:tr w:rsidR="000663FF" w:rsidRPr="000663FF" w14:paraId="0272C845" w14:textId="77777777" w:rsidTr="00DC0D18">
        <w:trPr>
          <w:trHeight w:val="580"/>
        </w:trPr>
        <w:tc>
          <w:tcPr>
            <w:tcW w:w="1009" w:type="dxa"/>
            <w:tcBorders>
              <w:top w:val="nil"/>
              <w:left w:val="single" w:sz="4" w:space="0" w:color="auto"/>
              <w:bottom w:val="single" w:sz="4" w:space="0" w:color="auto"/>
              <w:right w:val="single" w:sz="4" w:space="0" w:color="auto"/>
            </w:tcBorders>
            <w:shd w:val="clear" w:color="auto" w:fill="auto"/>
            <w:hideMark/>
          </w:tcPr>
          <w:p w14:paraId="38E5D2D3"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EV4wdl</w:t>
            </w:r>
          </w:p>
        </w:tc>
        <w:tc>
          <w:tcPr>
            <w:tcW w:w="2388" w:type="dxa"/>
            <w:tcBorders>
              <w:top w:val="nil"/>
              <w:left w:val="nil"/>
              <w:bottom w:val="single" w:sz="4" w:space="0" w:color="auto"/>
              <w:right w:val="single" w:sz="4" w:space="0" w:color="auto"/>
            </w:tcBorders>
            <w:shd w:val="clear" w:color="auto" w:fill="auto"/>
            <w:hideMark/>
          </w:tcPr>
          <w:p w14:paraId="63D5C290"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Holly Hill, Selston</w:t>
            </w:r>
          </w:p>
        </w:tc>
        <w:tc>
          <w:tcPr>
            <w:tcW w:w="4395" w:type="dxa"/>
            <w:tcBorders>
              <w:top w:val="nil"/>
              <w:left w:val="nil"/>
              <w:bottom w:val="single" w:sz="4" w:space="0" w:color="auto"/>
              <w:right w:val="single" w:sz="4" w:space="0" w:color="auto"/>
            </w:tcBorders>
            <w:shd w:val="clear" w:color="auto" w:fill="auto"/>
            <w:hideMark/>
          </w:tcPr>
          <w:p w14:paraId="1A960D52" w14:textId="525C76CB" w:rsidR="00FA2CC6" w:rsidRPr="000663FF" w:rsidRDefault="007A1A00"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An interesting area of scrub with coal measure grassland</w:t>
            </w:r>
          </w:p>
        </w:tc>
        <w:tc>
          <w:tcPr>
            <w:tcW w:w="1984" w:type="dxa"/>
            <w:tcBorders>
              <w:top w:val="nil"/>
              <w:left w:val="nil"/>
              <w:bottom w:val="single" w:sz="4" w:space="0" w:color="auto"/>
              <w:right w:val="single" w:sz="4" w:space="0" w:color="auto"/>
            </w:tcBorders>
            <w:shd w:val="clear" w:color="auto" w:fill="auto"/>
            <w:hideMark/>
          </w:tcPr>
          <w:p w14:paraId="0989B1B3"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Selston</w:t>
            </w:r>
          </w:p>
        </w:tc>
      </w:tr>
      <w:tr w:rsidR="000663FF" w:rsidRPr="000663FF" w14:paraId="3C6666B6" w14:textId="77777777" w:rsidTr="00DC0D18">
        <w:trPr>
          <w:trHeight w:val="640"/>
        </w:trPr>
        <w:tc>
          <w:tcPr>
            <w:tcW w:w="1009" w:type="dxa"/>
            <w:tcBorders>
              <w:top w:val="single" w:sz="4" w:space="0" w:color="auto"/>
              <w:left w:val="single" w:sz="4" w:space="0" w:color="auto"/>
              <w:bottom w:val="single" w:sz="4" w:space="0" w:color="auto"/>
              <w:right w:val="single" w:sz="4" w:space="0" w:color="auto"/>
            </w:tcBorders>
            <w:shd w:val="clear" w:color="auto" w:fill="auto"/>
            <w:hideMark/>
          </w:tcPr>
          <w:p w14:paraId="0879A0F0"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EV4wdm</w:t>
            </w:r>
          </w:p>
        </w:tc>
        <w:tc>
          <w:tcPr>
            <w:tcW w:w="2388" w:type="dxa"/>
            <w:tcBorders>
              <w:top w:val="single" w:sz="4" w:space="0" w:color="auto"/>
              <w:left w:val="single" w:sz="4" w:space="0" w:color="auto"/>
              <w:bottom w:val="single" w:sz="4" w:space="0" w:color="auto"/>
              <w:right w:val="single" w:sz="4" w:space="0" w:color="auto"/>
            </w:tcBorders>
            <w:shd w:val="clear" w:color="auto" w:fill="auto"/>
            <w:hideMark/>
          </w:tcPr>
          <w:p w14:paraId="3D1FCE90"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Hucknall Airfield</w:t>
            </w:r>
          </w:p>
        </w:tc>
        <w:tc>
          <w:tcPr>
            <w:tcW w:w="4395" w:type="dxa"/>
            <w:tcBorders>
              <w:top w:val="single" w:sz="4" w:space="0" w:color="auto"/>
              <w:left w:val="single" w:sz="4" w:space="0" w:color="auto"/>
              <w:bottom w:val="single" w:sz="4" w:space="0" w:color="auto"/>
              <w:right w:val="single" w:sz="4" w:space="0" w:color="auto"/>
            </w:tcBorders>
            <w:shd w:val="clear" w:color="auto" w:fill="auto"/>
            <w:hideMark/>
          </w:tcPr>
          <w:p w14:paraId="08443DB4" w14:textId="404628FB" w:rsidR="00FA2CC6" w:rsidRPr="000663FF" w:rsidRDefault="007A1A00"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 significant area of species-rich calcareous and base-rich neutral grassland</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3CFFCCF3"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Hucknall West</w:t>
            </w:r>
          </w:p>
        </w:tc>
      </w:tr>
      <w:tr w:rsidR="000663FF" w:rsidRPr="000663FF" w14:paraId="4C43F88B" w14:textId="77777777" w:rsidTr="00DC0D18">
        <w:trPr>
          <w:trHeight w:val="447"/>
        </w:trPr>
        <w:tc>
          <w:tcPr>
            <w:tcW w:w="1009" w:type="dxa"/>
            <w:tcBorders>
              <w:top w:val="single" w:sz="4" w:space="0" w:color="auto"/>
              <w:left w:val="single" w:sz="4" w:space="0" w:color="auto"/>
              <w:bottom w:val="single" w:sz="4" w:space="0" w:color="auto"/>
              <w:right w:val="single" w:sz="4" w:space="0" w:color="auto"/>
            </w:tcBorders>
            <w:shd w:val="clear" w:color="auto" w:fill="auto"/>
            <w:hideMark/>
          </w:tcPr>
          <w:p w14:paraId="3F7F2531"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EV4wdn</w:t>
            </w:r>
          </w:p>
        </w:tc>
        <w:tc>
          <w:tcPr>
            <w:tcW w:w="2388" w:type="dxa"/>
            <w:tcBorders>
              <w:top w:val="single" w:sz="4" w:space="0" w:color="auto"/>
              <w:left w:val="nil"/>
              <w:bottom w:val="single" w:sz="4" w:space="0" w:color="auto"/>
              <w:right w:val="single" w:sz="4" w:space="0" w:color="auto"/>
            </w:tcBorders>
            <w:shd w:val="clear" w:color="auto" w:fill="auto"/>
            <w:hideMark/>
          </w:tcPr>
          <w:p w14:paraId="0BC290CF"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Hucknall Colliery Site</w:t>
            </w:r>
          </w:p>
        </w:tc>
        <w:tc>
          <w:tcPr>
            <w:tcW w:w="4395" w:type="dxa"/>
            <w:tcBorders>
              <w:top w:val="single" w:sz="4" w:space="0" w:color="auto"/>
              <w:left w:val="nil"/>
              <w:bottom w:val="single" w:sz="4" w:space="0" w:color="auto"/>
              <w:right w:val="single" w:sz="4" w:space="0" w:color="auto"/>
            </w:tcBorders>
            <w:shd w:val="clear" w:color="auto" w:fill="auto"/>
            <w:hideMark/>
          </w:tcPr>
          <w:p w14:paraId="423A1E08" w14:textId="5E9EF9DA" w:rsidR="00FA2CC6" w:rsidRPr="000663FF" w:rsidRDefault="007A1A00"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Landscaped colliery spoil, colonised by plants of nutrient poor habitats with areas of tree planting</w:t>
            </w:r>
          </w:p>
        </w:tc>
        <w:tc>
          <w:tcPr>
            <w:tcW w:w="1984" w:type="dxa"/>
            <w:tcBorders>
              <w:top w:val="single" w:sz="4" w:space="0" w:color="auto"/>
              <w:left w:val="nil"/>
              <w:bottom w:val="single" w:sz="4" w:space="0" w:color="auto"/>
              <w:right w:val="single" w:sz="4" w:space="0" w:color="auto"/>
            </w:tcBorders>
            <w:shd w:val="clear" w:color="auto" w:fill="auto"/>
            <w:hideMark/>
          </w:tcPr>
          <w:p w14:paraId="4A9EE1A9"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Hucknall North</w:t>
            </w:r>
          </w:p>
        </w:tc>
      </w:tr>
      <w:tr w:rsidR="000663FF" w:rsidRPr="000663FF" w14:paraId="4D53C9AE" w14:textId="77777777" w:rsidTr="00DC0D18">
        <w:trPr>
          <w:trHeight w:val="611"/>
        </w:trPr>
        <w:tc>
          <w:tcPr>
            <w:tcW w:w="1009" w:type="dxa"/>
            <w:tcBorders>
              <w:top w:val="nil"/>
              <w:left w:val="single" w:sz="4" w:space="0" w:color="auto"/>
              <w:bottom w:val="single" w:sz="4" w:space="0" w:color="auto"/>
              <w:right w:val="single" w:sz="4" w:space="0" w:color="auto"/>
            </w:tcBorders>
            <w:shd w:val="clear" w:color="auto" w:fill="auto"/>
            <w:hideMark/>
          </w:tcPr>
          <w:p w14:paraId="66A2D8C4"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EV4wdo</w:t>
            </w:r>
          </w:p>
        </w:tc>
        <w:tc>
          <w:tcPr>
            <w:tcW w:w="2388" w:type="dxa"/>
            <w:tcBorders>
              <w:top w:val="nil"/>
              <w:left w:val="nil"/>
              <w:bottom w:val="single" w:sz="4" w:space="0" w:color="auto"/>
              <w:right w:val="single" w:sz="4" w:space="0" w:color="auto"/>
            </w:tcBorders>
            <w:shd w:val="clear" w:color="auto" w:fill="auto"/>
            <w:hideMark/>
          </w:tcPr>
          <w:p w14:paraId="1062C31A"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Hucknall Disused Railways</w:t>
            </w:r>
          </w:p>
        </w:tc>
        <w:tc>
          <w:tcPr>
            <w:tcW w:w="4395" w:type="dxa"/>
            <w:tcBorders>
              <w:top w:val="nil"/>
              <w:left w:val="nil"/>
              <w:bottom w:val="single" w:sz="4" w:space="0" w:color="auto"/>
              <w:right w:val="single" w:sz="4" w:space="0" w:color="auto"/>
            </w:tcBorders>
            <w:shd w:val="clear" w:color="auto" w:fill="auto"/>
            <w:hideMark/>
          </w:tcPr>
          <w:p w14:paraId="37E38580" w14:textId="13E403C7" w:rsidR="00FA2CC6" w:rsidRPr="000663FF" w:rsidRDefault="007A1A00"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 valuable length of disused railways with a notable, characteristic community</w:t>
            </w:r>
          </w:p>
        </w:tc>
        <w:tc>
          <w:tcPr>
            <w:tcW w:w="1984" w:type="dxa"/>
            <w:tcBorders>
              <w:top w:val="nil"/>
              <w:left w:val="nil"/>
              <w:bottom w:val="single" w:sz="4" w:space="0" w:color="auto"/>
              <w:right w:val="single" w:sz="4" w:space="0" w:color="auto"/>
            </w:tcBorders>
            <w:shd w:val="clear" w:color="auto" w:fill="auto"/>
            <w:hideMark/>
          </w:tcPr>
          <w:p w14:paraId="2E855D29"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Huthwaite &amp; Brierley</w:t>
            </w:r>
          </w:p>
        </w:tc>
      </w:tr>
      <w:tr w:rsidR="000663FF" w:rsidRPr="000663FF" w14:paraId="52C4B99E" w14:textId="77777777" w:rsidTr="00DC0D18">
        <w:trPr>
          <w:trHeight w:val="580"/>
        </w:trPr>
        <w:tc>
          <w:tcPr>
            <w:tcW w:w="1009" w:type="dxa"/>
            <w:tcBorders>
              <w:top w:val="nil"/>
              <w:left w:val="single" w:sz="4" w:space="0" w:color="auto"/>
              <w:bottom w:val="single" w:sz="4" w:space="0" w:color="auto"/>
              <w:right w:val="single" w:sz="4" w:space="0" w:color="auto"/>
            </w:tcBorders>
            <w:shd w:val="clear" w:color="auto" w:fill="auto"/>
            <w:hideMark/>
          </w:tcPr>
          <w:p w14:paraId="226D059C"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EV4wdp</w:t>
            </w:r>
          </w:p>
        </w:tc>
        <w:tc>
          <w:tcPr>
            <w:tcW w:w="2388" w:type="dxa"/>
            <w:tcBorders>
              <w:top w:val="nil"/>
              <w:left w:val="nil"/>
              <w:bottom w:val="single" w:sz="4" w:space="0" w:color="auto"/>
              <w:right w:val="single" w:sz="4" w:space="0" w:color="auto"/>
            </w:tcBorders>
            <w:shd w:val="clear" w:color="auto" w:fill="auto"/>
            <w:hideMark/>
          </w:tcPr>
          <w:p w14:paraId="4B7CECA4"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Huthwaite </w:t>
            </w:r>
            <w:proofErr w:type="spellStart"/>
            <w:r w:rsidRPr="000663FF">
              <w:rPr>
                <w:rFonts w:ascii="Calibri" w:hAnsi="Calibri" w:cs="Calibri"/>
                <w:color w:val="auto"/>
                <w:sz w:val="22"/>
                <w:szCs w:val="22"/>
              </w:rPr>
              <w:t>Commonside</w:t>
            </w:r>
            <w:proofErr w:type="spellEnd"/>
            <w:r w:rsidRPr="000663FF">
              <w:rPr>
                <w:rFonts w:ascii="Calibri" w:hAnsi="Calibri" w:cs="Calibri"/>
                <w:color w:val="auto"/>
                <w:sz w:val="22"/>
                <w:szCs w:val="22"/>
              </w:rPr>
              <w:t xml:space="preserve"> Industrial Estate Grassland (III)</w:t>
            </w:r>
          </w:p>
        </w:tc>
        <w:tc>
          <w:tcPr>
            <w:tcW w:w="4395" w:type="dxa"/>
            <w:tcBorders>
              <w:top w:val="nil"/>
              <w:left w:val="nil"/>
              <w:bottom w:val="single" w:sz="4" w:space="0" w:color="auto"/>
              <w:right w:val="single" w:sz="4" w:space="0" w:color="auto"/>
            </w:tcBorders>
            <w:shd w:val="clear" w:color="auto" w:fill="auto"/>
            <w:hideMark/>
          </w:tcPr>
          <w:p w14:paraId="128F278C" w14:textId="2D71AC21" w:rsidR="00FA2CC6" w:rsidRPr="000663FF" w:rsidRDefault="007A1A00"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Remnant coal-measures grassland</w:t>
            </w:r>
          </w:p>
        </w:tc>
        <w:tc>
          <w:tcPr>
            <w:tcW w:w="1984" w:type="dxa"/>
            <w:tcBorders>
              <w:top w:val="nil"/>
              <w:left w:val="nil"/>
              <w:bottom w:val="single" w:sz="4" w:space="0" w:color="auto"/>
              <w:right w:val="single" w:sz="4" w:space="0" w:color="auto"/>
            </w:tcBorders>
            <w:shd w:val="clear" w:color="auto" w:fill="auto"/>
            <w:hideMark/>
          </w:tcPr>
          <w:p w14:paraId="18ECE2C7"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Huthwaite &amp; Brierley</w:t>
            </w:r>
          </w:p>
        </w:tc>
      </w:tr>
      <w:tr w:rsidR="000663FF" w:rsidRPr="000663FF" w14:paraId="116EB51C" w14:textId="77777777" w:rsidTr="00DC0D18">
        <w:trPr>
          <w:trHeight w:val="870"/>
        </w:trPr>
        <w:tc>
          <w:tcPr>
            <w:tcW w:w="1009" w:type="dxa"/>
            <w:tcBorders>
              <w:top w:val="nil"/>
              <w:left w:val="single" w:sz="4" w:space="0" w:color="auto"/>
              <w:bottom w:val="single" w:sz="4" w:space="0" w:color="auto"/>
              <w:right w:val="single" w:sz="4" w:space="0" w:color="auto"/>
            </w:tcBorders>
            <w:shd w:val="clear" w:color="auto" w:fill="auto"/>
            <w:hideMark/>
          </w:tcPr>
          <w:p w14:paraId="6011CD9F"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EV4wdq</w:t>
            </w:r>
          </w:p>
        </w:tc>
        <w:tc>
          <w:tcPr>
            <w:tcW w:w="2388" w:type="dxa"/>
            <w:tcBorders>
              <w:top w:val="nil"/>
              <w:left w:val="nil"/>
              <w:bottom w:val="single" w:sz="4" w:space="0" w:color="auto"/>
              <w:right w:val="single" w:sz="4" w:space="0" w:color="auto"/>
            </w:tcBorders>
            <w:shd w:val="clear" w:color="auto" w:fill="auto"/>
            <w:hideMark/>
          </w:tcPr>
          <w:p w14:paraId="260A23D5"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Huthwaite Grassland</w:t>
            </w:r>
          </w:p>
        </w:tc>
        <w:tc>
          <w:tcPr>
            <w:tcW w:w="4395" w:type="dxa"/>
            <w:tcBorders>
              <w:top w:val="nil"/>
              <w:left w:val="nil"/>
              <w:bottom w:val="single" w:sz="4" w:space="0" w:color="auto"/>
              <w:right w:val="single" w:sz="4" w:space="0" w:color="auto"/>
            </w:tcBorders>
            <w:shd w:val="clear" w:color="auto" w:fill="auto"/>
            <w:hideMark/>
          </w:tcPr>
          <w:p w14:paraId="6E0D5866" w14:textId="7CE548B9" w:rsidR="00FA2CC6" w:rsidRPr="000663FF" w:rsidRDefault="007A1A00"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 noteworthy meadow with both dry, acidic and neutral grassland communities</w:t>
            </w:r>
          </w:p>
        </w:tc>
        <w:tc>
          <w:tcPr>
            <w:tcW w:w="1984" w:type="dxa"/>
            <w:tcBorders>
              <w:top w:val="nil"/>
              <w:left w:val="nil"/>
              <w:bottom w:val="single" w:sz="4" w:space="0" w:color="auto"/>
              <w:right w:val="single" w:sz="4" w:space="0" w:color="auto"/>
            </w:tcBorders>
            <w:shd w:val="clear" w:color="auto" w:fill="auto"/>
            <w:hideMark/>
          </w:tcPr>
          <w:p w14:paraId="11053FD6"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Huthwaite &amp; Brierley</w:t>
            </w:r>
          </w:p>
        </w:tc>
      </w:tr>
      <w:tr w:rsidR="000663FF" w:rsidRPr="000663FF" w14:paraId="771BC4C1" w14:textId="77777777" w:rsidTr="00DC0D18">
        <w:trPr>
          <w:trHeight w:val="637"/>
        </w:trPr>
        <w:tc>
          <w:tcPr>
            <w:tcW w:w="1009" w:type="dxa"/>
            <w:tcBorders>
              <w:top w:val="single" w:sz="4" w:space="0" w:color="auto"/>
              <w:left w:val="single" w:sz="4" w:space="0" w:color="auto"/>
              <w:bottom w:val="single" w:sz="4" w:space="0" w:color="auto"/>
              <w:right w:val="single" w:sz="4" w:space="0" w:color="auto"/>
            </w:tcBorders>
            <w:shd w:val="clear" w:color="auto" w:fill="auto"/>
            <w:hideMark/>
          </w:tcPr>
          <w:p w14:paraId="5F26A7C5"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EV4wdr</w:t>
            </w:r>
          </w:p>
        </w:tc>
        <w:tc>
          <w:tcPr>
            <w:tcW w:w="2388" w:type="dxa"/>
            <w:tcBorders>
              <w:top w:val="single" w:sz="4" w:space="0" w:color="auto"/>
              <w:left w:val="single" w:sz="4" w:space="0" w:color="auto"/>
              <w:bottom w:val="single" w:sz="4" w:space="0" w:color="auto"/>
              <w:right w:val="single" w:sz="4" w:space="0" w:color="auto"/>
            </w:tcBorders>
            <w:shd w:val="clear" w:color="auto" w:fill="auto"/>
            <w:hideMark/>
          </w:tcPr>
          <w:p w14:paraId="68FF1E09"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Huthwaite Meadow</w:t>
            </w:r>
          </w:p>
        </w:tc>
        <w:tc>
          <w:tcPr>
            <w:tcW w:w="4395" w:type="dxa"/>
            <w:tcBorders>
              <w:top w:val="single" w:sz="4" w:space="0" w:color="auto"/>
              <w:left w:val="single" w:sz="4" w:space="0" w:color="auto"/>
              <w:bottom w:val="single" w:sz="4" w:space="0" w:color="auto"/>
              <w:right w:val="single" w:sz="4" w:space="0" w:color="auto"/>
            </w:tcBorders>
            <w:shd w:val="clear" w:color="auto" w:fill="auto"/>
            <w:hideMark/>
          </w:tcPr>
          <w:p w14:paraId="1E302792" w14:textId="0323E024" w:rsidR="00FA2CC6" w:rsidRPr="000663FF" w:rsidRDefault="007A1A00"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 mosaic of coal-measures grassland, base-rich flushes and mature scrub along a stream</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386ADFE2"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Huthwaite &amp; Brierley</w:t>
            </w:r>
          </w:p>
        </w:tc>
      </w:tr>
      <w:tr w:rsidR="000663FF" w:rsidRPr="000663FF" w14:paraId="3E08D8D4" w14:textId="77777777" w:rsidTr="00DC0D18">
        <w:trPr>
          <w:trHeight w:val="580"/>
        </w:trPr>
        <w:tc>
          <w:tcPr>
            <w:tcW w:w="1009" w:type="dxa"/>
            <w:tcBorders>
              <w:top w:val="single" w:sz="4" w:space="0" w:color="auto"/>
              <w:left w:val="single" w:sz="4" w:space="0" w:color="auto"/>
              <w:bottom w:val="single" w:sz="4" w:space="0" w:color="auto"/>
              <w:right w:val="single" w:sz="4" w:space="0" w:color="auto"/>
            </w:tcBorders>
            <w:shd w:val="clear" w:color="auto" w:fill="auto"/>
            <w:hideMark/>
          </w:tcPr>
          <w:p w14:paraId="7F581047"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EV4wds</w:t>
            </w:r>
          </w:p>
        </w:tc>
        <w:tc>
          <w:tcPr>
            <w:tcW w:w="2388" w:type="dxa"/>
            <w:tcBorders>
              <w:top w:val="single" w:sz="4" w:space="0" w:color="auto"/>
              <w:left w:val="nil"/>
              <w:bottom w:val="single" w:sz="4" w:space="0" w:color="auto"/>
              <w:right w:val="single" w:sz="4" w:space="0" w:color="auto"/>
            </w:tcBorders>
            <w:shd w:val="clear" w:color="auto" w:fill="auto"/>
            <w:hideMark/>
          </w:tcPr>
          <w:p w14:paraId="707570D8"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Jacksdale Meadow East</w:t>
            </w:r>
          </w:p>
        </w:tc>
        <w:tc>
          <w:tcPr>
            <w:tcW w:w="4395" w:type="dxa"/>
            <w:tcBorders>
              <w:top w:val="single" w:sz="4" w:space="0" w:color="auto"/>
              <w:left w:val="nil"/>
              <w:bottom w:val="single" w:sz="4" w:space="0" w:color="auto"/>
              <w:right w:val="single" w:sz="4" w:space="0" w:color="auto"/>
            </w:tcBorders>
            <w:shd w:val="clear" w:color="auto" w:fill="auto"/>
            <w:hideMark/>
          </w:tcPr>
          <w:p w14:paraId="647714D0" w14:textId="125A6D2B" w:rsidR="00FA2CC6" w:rsidRPr="000663FF" w:rsidRDefault="007A1A00"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 notable hay meadow</w:t>
            </w:r>
          </w:p>
        </w:tc>
        <w:tc>
          <w:tcPr>
            <w:tcW w:w="1984" w:type="dxa"/>
            <w:tcBorders>
              <w:top w:val="single" w:sz="4" w:space="0" w:color="auto"/>
              <w:left w:val="nil"/>
              <w:bottom w:val="single" w:sz="4" w:space="0" w:color="auto"/>
              <w:right w:val="single" w:sz="4" w:space="0" w:color="auto"/>
            </w:tcBorders>
            <w:shd w:val="clear" w:color="auto" w:fill="auto"/>
            <w:hideMark/>
          </w:tcPr>
          <w:p w14:paraId="476663A0"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Jacksdale &amp; Westwood</w:t>
            </w:r>
          </w:p>
        </w:tc>
      </w:tr>
      <w:tr w:rsidR="000663FF" w:rsidRPr="000663FF" w14:paraId="19E54D05" w14:textId="77777777" w:rsidTr="007A1A00">
        <w:trPr>
          <w:trHeight w:val="580"/>
        </w:trPr>
        <w:tc>
          <w:tcPr>
            <w:tcW w:w="1009" w:type="dxa"/>
            <w:tcBorders>
              <w:top w:val="nil"/>
              <w:left w:val="single" w:sz="4" w:space="0" w:color="auto"/>
              <w:bottom w:val="single" w:sz="4" w:space="0" w:color="auto"/>
              <w:right w:val="single" w:sz="4" w:space="0" w:color="auto"/>
            </w:tcBorders>
            <w:shd w:val="clear" w:color="auto" w:fill="auto"/>
            <w:hideMark/>
          </w:tcPr>
          <w:p w14:paraId="7472FF79"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EV4wdt</w:t>
            </w:r>
          </w:p>
        </w:tc>
        <w:tc>
          <w:tcPr>
            <w:tcW w:w="2388" w:type="dxa"/>
            <w:tcBorders>
              <w:top w:val="nil"/>
              <w:left w:val="nil"/>
              <w:bottom w:val="single" w:sz="4" w:space="0" w:color="auto"/>
              <w:right w:val="single" w:sz="4" w:space="0" w:color="auto"/>
            </w:tcBorders>
            <w:shd w:val="clear" w:color="auto" w:fill="auto"/>
            <w:hideMark/>
          </w:tcPr>
          <w:p w14:paraId="7ABFC994"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King's Mill Reservoir</w:t>
            </w:r>
          </w:p>
        </w:tc>
        <w:tc>
          <w:tcPr>
            <w:tcW w:w="4395" w:type="dxa"/>
            <w:tcBorders>
              <w:top w:val="nil"/>
              <w:left w:val="nil"/>
              <w:bottom w:val="single" w:sz="4" w:space="0" w:color="auto"/>
              <w:right w:val="single" w:sz="4" w:space="0" w:color="auto"/>
            </w:tcBorders>
            <w:shd w:val="clear" w:color="auto" w:fill="auto"/>
            <w:hideMark/>
          </w:tcPr>
          <w:p w14:paraId="2AA52016" w14:textId="321AC4EB" w:rsidR="00FA2CC6" w:rsidRPr="000663FF" w:rsidRDefault="007A1A00"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 valuable water body for fauna and flora</w:t>
            </w:r>
          </w:p>
        </w:tc>
        <w:tc>
          <w:tcPr>
            <w:tcW w:w="1984" w:type="dxa"/>
            <w:tcBorders>
              <w:top w:val="nil"/>
              <w:left w:val="nil"/>
              <w:bottom w:val="single" w:sz="4" w:space="0" w:color="auto"/>
              <w:right w:val="single" w:sz="4" w:space="0" w:color="auto"/>
            </w:tcBorders>
            <w:shd w:val="clear" w:color="auto" w:fill="auto"/>
            <w:hideMark/>
          </w:tcPr>
          <w:p w14:paraId="1BCCC66F"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Sutton Junction &amp; Harlow Wood</w:t>
            </w:r>
          </w:p>
        </w:tc>
      </w:tr>
      <w:tr w:rsidR="000663FF" w:rsidRPr="000663FF" w14:paraId="1FDE76C9" w14:textId="77777777" w:rsidTr="000663FF">
        <w:trPr>
          <w:trHeight w:val="580"/>
        </w:trPr>
        <w:tc>
          <w:tcPr>
            <w:tcW w:w="1009" w:type="dxa"/>
            <w:tcBorders>
              <w:top w:val="single" w:sz="4" w:space="0" w:color="auto"/>
              <w:left w:val="single" w:sz="4" w:space="0" w:color="auto"/>
              <w:bottom w:val="single" w:sz="4" w:space="0" w:color="auto"/>
              <w:right w:val="single" w:sz="4" w:space="0" w:color="auto"/>
            </w:tcBorders>
            <w:shd w:val="clear" w:color="auto" w:fill="auto"/>
            <w:hideMark/>
          </w:tcPr>
          <w:p w14:paraId="0CC8713E"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EV4wdu</w:t>
            </w:r>
          </w:p>
        </w:tc>
        <w:tc>
          <w:tcPr>
            <w:tcW w:w="2388" w:type="dxa"/>
            <w:tcBorders>
              <w:top w:val="single" w:sz="4" w:space="0" w:color="auto"/>
              <w:left w:val="nil"/>
              <w:bottom w:val="single" w:sz="4" w:space="0" w:color="auto"/>
              <w:right w:val="single" w:sz="4" w:space="0" w:color="auto"/>
            </w:tcBorders>
            <w:shd w:val="clear" w:color="auto" w:fill="auto"/>
            <w:hideMark/>
          </w:tcPr>
          <w:p w14:paraId="00AD0263"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Kirby Bentinck Colliery Yard</w:t>
            </w:r>
          </w:p>
        </w:tc>
        <w:tc>
          <w:tcPr>
            <w:tcW w:w="4395" w:type="dxa"/>
            <w:tcBorders>
              <w:top w:val="single" w:sz="4" w:space="0" w:color="auto"/>
              <w:left w:val="nil"/>
              <w:bottom w:val="single" w:sz="4" w:space="0" w:color="auto"/>
              <w:right w:val="single" w:sz="4" w:space="0" w:color="auto"/>
            </w:tcBorders>
            <w:shd w:val="clear" w:color="auto" w:fill="auto"/>
            <w:hideMark/>
          </w:tcPr>
          <w:p w14:paraId="08413F8C" w14:textId="480141FD" w:rsidR="00FA2CC6" w:rsidRPr="000663FF" w:rsidRDefault="007A1A00"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Colliery yard of botanical interest</w:t>
            </w:r>
          </w:p>
        </w:tc>
        <w:tc>
          <w:tcPr>
            <w:tcW w:w="1984" w:type="dxa"/>
            <w:tcBorders>
              <w:top w:val="single" w:sz="4" w:space="0" w:color="auto"/>
              <w:left w:val="nil"/>
              <w:bottom w:val="single" w:sz="4" w:space="0" w:color="auto"/>
              <w:right w:val="single" w:sz="4" w:space="0" w:color="auto"/>
            </w:tcBorders>
            <w:shd w:val="clear" w:color="auto" w:fill="auto"/>
            <w:hideMark/>
          </w:tcPr>
          <w:p w14:paraId="4A2F9E73"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Kirkby Cross &amp; Portland</w:t>
            </w:r>
          </w:p>
        </w:tc>
      </w:tr>
      <w:tr w:rsidR="000663FF" w:rsidRPr="000663FF" w14:paraId="2A0CFE80" w14:textId="77777777" w:rsidTr="000663FF">
        <w:trPr>
          <w:trHeight w:val="580"/>
        </w:trPr>
        <w:tc>
          <w:tcPr>
            <w:tcW w:w="1009" w:type="dxa"/>
            <w:tcBorders>
              <w:top w:val="single" w:sz="4" w:space="0" w:color="auto"/>
              <w:left w:val="single" w:sz="4" w:space="0" w:color="auto"/>
              <w:bottom w:val="single" w:sz="4" w:space="0" w:color="auto"/>
              <w:right w:val="single" w:sz="4" w:space="0" w:color="auto"/>
            </w:tcBorders>
            <w:shd w:val="clear" w:color="auto" w:fill="auto"/>
            <w:hideMark/>
          </w:tcPr>
          <w:p w14:paraId="347FC673"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EV4wdv</w:t>
            </w:r>
          </w:p>
        </w:tc>
        <w:tc>
          <w:tcPr>
            <w:tcW w:w="2388" w:type="dxa"/>
            <w:tcBorders>
              <w:top w:val="single" w:sz="4" w:space="0" w:color="auto"/>
              <w:left w:val="nil"/>
              <w:bottom w:val="single" w:sz="4" w:space="0" w:color="auto"/>
              <w:right w:val="single" w:sz="4" w:space="0" w:color="auto"/>
            </w:tcBorders>
            <w:shd w:val="clear" w:color="auto" w:fill="auto"/>
            <w:hideMark/>
          </w:tcPr>
          <w:p w14:paraId="24ED03EB"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Kirkby Bentinck Dismantled Railway</w:t>
            </w:r>
          </w:p>
        </w:tc>
        <w:tc>
          <w:tcPr>
            <w:tcW w:w="4395" w:type="dxa"/>
            <w:tcBorders>
              <w:top w:val="single" w:sz="4" w:space="0" w:color="auto"/>
              <w:left w:val="nil"/>
              <w:bottom w:val="single" w:sz="4" w:space="0" w:color="auto"/>
              <w:right w:val="single" w:sz="4" w:space="0" w:color="auto"/>
            </w:tcBorders>
            <w:shd w:val="clear" w:color="auto" w:fill="auto"/>
            <w:hideMark/>
          </w:tcPr>
          <w:p w14:paraId="33BC158E" w14:textId="74C4E25A" w:rsidR="00FA2CC6" w:rsidRPr="000663FF" w:rsidRDefault="007A1A00"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 mosaic of scrub and grassland with diverse calcicole species</w:t>
            </w:r>
          </w:p>
        </w:tc>
        <w:tc>
          <w:tcPr>
            <w:tcW w:w="1984" w:type="dxa"/>
            <w:tcBorders>
              <w:top w:val="single" w:sz="4" w:space="0" w:color="auto"/>
              <w:left w:val="nil"/>
              <w:bottom w:val="single" w:sz="4" w:space="0" w:color="auto"/>
              <w:right w:val="single" w:sz="4" w:space="0" w:color="auto"/>
            </w:tcBorders>
            <w:shd w:val="clear" w:color="auto" w:fill="auto"/>
            <w:hideMark/>
          </w:tcPr>
          <w:p w14:paraId="5193B17E"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Kirkby Cross &amp; Portland</w:t>
            </w:r>
          </w:p>
        </w:tc>
      </w:tr>
      <w:tr w:rsidR="000663FF" w:rsidRPr="000663FF" w14:paraId="6788F1FB" w14:textId="77777777" w:rsidTr="000663FF">
        <w:trPr>
          <w:trHeight w:val="580"/>
        </w:trPr>
        <w:tc>
          <w:tcPr>
            <w:tcW w:w="1009" w:type="dxa"/>
            <w:tcBorders>
              <w:top w:val="single" w:sz="4" w:space="0" w:color="auto"/>
              <w:left w:val="single" w:sz="4" w:space="0" w:color="auto"/>
              <w:bottom w:val="single" w:sz="4" w:space="0" w:color="auto"/>
              <w:right w:val="single" w:sz="4" w:space="0" w:color="auto"/>
            </w:tcBorders>
            <w:shd w:val="clear" w:color="auto" w:fill="auto"/>
            <w:hideMark/>
          </w:tcPr>
          <w:p w14:paraId="4F8C322A"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EV4wdw</w:t>
            </w:r>
          </w:p>
        </w:tc>
        <w:tc>
          <w:tcPr>
            <w:tcW w:w="2388" w:type="dxa"/>
            <w:tcBorders>
              <w:top w:val="single" w:sz="4" w:space="0" w:color="auto"/>
              <w:left w:val="nil"/>
              <w:bottom w:val="single" w:sz="4" w:space="0" w:color="auto"/>
              <w:right w:val="single" w:sz="4" w:space="0" w:color="auto"/>
            </w:tcBorders>
            <w:shd w:val="clear" w:color="auto" w:fill="auto"/>
            <w:hideMark/>
          </w:tcPr>
          <w:p w14:paraId="506D61E7"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Kirkby Bentinck Dismantled Railway Spoil</w:t>
            </w:r>
          </w:p>
        </w:tc>
        <w:tc>
          <w:tcPr>
            <w:tcW w:w="4395" w:type="dxa"/>
            <w:tcBorders>
              <w:top w:val="single" w:sz="4" w:space="0" w:color="auto"/>
              <w:left w:val="nil"/>
              <w:bottom w:val="single" w:sz="4" w:space="0" w:color="auto"/>
              <w:right w:val="single" w:sz="4" w:space="0" w:color="auto"/>
            </w:tcBorders>
            <w:shd w:val="clear" w:color="auto" w:fill="auto"/>
            <w:hideMark/>
          </w:tcPr>
          <w:p w14:paraId="0F51C34C" w14:textId="402C903B" w:rsidR="00FA2CC6" w:rsidRPr="000663FF" w:rsidRDefault="007A1A00"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 naturally vegetated spoil heap and valuable dismantled railway habitat</w:t>
            </w:r>
          </w:p>
        </w:tc>
        <w:tc>
          <w:tcPr>
            <w:tcW w:w="1984" w:type="dxa"/>
            <w:tcBorders>
              <w:top w:val="single" w:sz="4" w:space="0" w:color="auto"/>
              <w:left w:val="nil"/>
              <w:bottom w:val="single" w:sz="4" w:space="0" w:color="auto"/>
              <w:right w:val="single" w:sz="4" w:space="0" w:color="auto"/>
            </w:tcBorders>
            <w:shd w:val="clear" w:color="auto" w:fill="auto"/>
            <w:hideMark/>
          </w:tcPr>
          <w:p w14:paraId="4EBDEF0F"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Kirkby Cross &amp; Portland</w:t>
            </w:r>
          </w:p>
        </w:tc>
      </w:tr>
      <w:tr w:rsidR="000663FF" w:rsidRPr="000663FF" w14:paraId="274CEA67" w14:textId="77777777" w:rsidTr="00DC0D18">
        <w:trPr>
          <w:trHeight w:val="580"/>
        </w:trPr>
        <w:tc>
          <w:tcPr>
            <w:tcW w:w="1009" w:type="dxa"/>
            <w:tcBorders>
              <w:top w:val="nil"/>
              <w:left w:val="single" w:sz="4" w:space="0" w:color="auto"/>
              <w:bottom w:val="single" w:sz="4" w:space="0" w:color="auto"/>
              <w:right w:val="single" w:sz="4" w:space="0" w:color="auto"/>
            </w:tcBorders>
            <w:shd w:val="clear" w:color="auto" w:fill="auto"/>
            <w:hideMark/>
          </w:tcPr>
          <w:p w14:paraId="0BB81ABB"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EV4wdx</w:t>
            </w:r>
          </w:p>
        </w:tc>
        <w:tc>
          <w:tcPr>
            <w:tcW w:w="2388" w:type="dxa"/>
            <w:tcBorders>
              <w:top w:val="nil"/>
              <w:left w:val="nil"/>
              <w:bottom w:val="single" w:sz="4" w:space="0" w:color="auto"/>
              <w:right w:val="single" w:sz="4" w:space="0" w:color="auto"/>
            </w:tcBorders>
            <w:shd w:val="clear" w:color="auto" w:fill="auto"/>
            <w:hideMark/>
          </w:tcPr>
          <w:p w14:paraId="30E624AB"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Kirkby Bentinck Erewash Meadow</w:t>
            </w:r>
          </w:p>
        </w:tc>
        <w:tc>
          <w:tcPr>
            <w:tcW w:w="4395" w:type="dxa"/>
            <w:tcBorders>
              <w:top w:val="nil"/>
              <w:left w:val="nil"/>
              <w:bottom w:val="single" w:sz="4" w:space="0" w:color="auto"/>
              <w:right w:val="single" w:sz="4" w:space="0" w:color="auto"/>
            </w:tcBorders>
            <w:shd w:val="clear" w:color="auto" w:fill="auto"/>
            <w:hideMark/>
          </w:tcPr>
          <w:p w14:paraId="08197876" w14:textId="08A5F2E4" w:rsidR="00FA2CC6" w:rsidRPr="000663FF" w:rsidRDefault="007A1A00"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Neutral grassland with permanent wet areas supporting notable species</w:t>
            </w:r>
          </w:p>
        </w:tc>
        <w:tc>
          <w:tcPr>
            <w:tcW w:w="1984" w:type="dxa"/>
            <w:tcBorders>
              <w:top w:val="nil"/>
              <w:left w:val="nil"/>
              <w:bottom w:val="single" w:sz="4" w:space="0" w:color="auto"/>
              <w:right w:val="single" w:sz="4" w:space="0" w:color="auto"/>
            </w:tcBorders>
            <w:shd w:val="clear" w:color="auto" w:fill="auto"/>
            <w:hideMark/>
          </w:tcPr>
          <w:p w14:paraId="542EED28"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Kirkby Cross &amp; Portland</w:t>
            </w:r>
          </w:p>
        </w:tc>
      </w:tr>
      <w:tr w:rsidR="000663FF" w:rsidRPr="000663FF" w14:paraId="2144DFA8" w14:textId="77777777" w:rsidTr="00DC0D18">
        <w:trPr>
          <w:trHeight w:val="580"/>
        </w:trPr>
        <w:tc>
          <w:tcPr>
            <w:tcW w:w="1009" w:type="dxa"/>
            <w:tcBorders>
              <w:top w:val="nil"/>
              <w:left w:val="single" w:sz="4" w:space="0" w:color="auto"/>
              <w:bottom w:val="single" w:sz="4" w:space="0" w:color="auto"/>
              <w:right w:val="single" w:sz="4" w:space="0" w:color="auto"/>
            </w:tcBorders>
            <w:shd w:val="clear" w:color="auto" w:fill="auto"/>
            <w:hideMark/>
          </w:tcPr>
          <w:p w14:paraId="4CC94736"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EV4wdy</w:t>
            </w:r>
          </w:p>
        </w:tc>
        <w:tc>
          <w:tcPr>
            <w:tcW w:w="2388" w:type="dxa"/>
            <w:tcBorders>
              <w:top w:val="nil"/>
              <w:left w:val="nil"/>
              <w:bottom w:val="single" w:sz="4" w:space="0" w:color="auto"/>
              <w:right w:val="single" w:sz="4" w:space="0" w:color="auto"/>
            </w:tcBorders>
            <w:shd w:val="clear" w:color="auto" w:fill="auto"/>
            <w:hideMark/>
          </w:tcPr>
          <w:p w14:paraId="60BDBBA1"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Kirkby Bentinck Grassland</w:t>
            </w:r>
          </w:p>
        </w:tc>
        <w:tc>
          <w:tcPr>
            <w:tcW w:w="4395" w:type="dxa"/>
            <w:tcBorders>
              <w:top w:val="nil"/>
              <w:left w:val="nil"/>
              <w:bottom w:val="single" w:sz="4" w:space="0" w:color="auto"/>
              <w:right w:val="single" w:sz="4" w:space="0" w:color="auto"/>
            </w:tcBorders>
            <w:shd w:val="clear" w:color="auto" w:fill="auto"/>
            <w:hideMark/>
          </w:tcPr>
          <w:p w14:paraId="69D40799" w14:textId="06AEBB63" w:rsidR="00FA2CC6" w:rsidRPr="000663FF" w:rsidRDefault="007A1A00"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 once-typical grassland of grazed hay meadows</w:t>
            </w:r>
          </w:p>
        </w:tc>
        <w:tc>
          <w:tcPr>
            <w:tcW w:w="1984" w:type="dxa"/>
            <w:tcBorders>
              <w:top w:val="nil"/>
              <w:left w:val="nil"/>
              <w:bottom w:val="single" w:sz="4" w:space="0" w:color="auto"/>
              <w:right w:val="single" w:sz="4" w:space="0" w:color="auto"/>
            </w:tcBorders>
            <w:shd w:val="clear" w:color="auto" w:fill="auto"/>
            <w:hideMark/>
          </w:tcPr>
          <w:p w14:paraId="063458F2"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Kirkby Cross &amp; Portland</w:t>
            </w:r>
          </w:p>
        </w:tc>
      </w:tr>
      <w:tr w:rsidR="000663FF" w:rsidRPr="000663FF" w14:paraId="0015E1FA" w14:textId="77777777" w:rsidTr="00DC0D18">
        <w:trPr>
          <w:trHeight w:val="580"/>
        </w:trPr>
        <w:tc>
          <w:tcPr>
            <w:tcW w:w="1009" w:type="dxa"/>
            <w:tcBorders>
              <w:top w:val="nil"/>
              <w:left w:val="single" w:sz="4" w:space="0" w:color="auto"/>
              <w:bottom w:val="single" w:sz="4" w:space="0" w:color="auto"/>
              <w:right w:val="single" w:sz="4" w:space="0" w:color="auto"/>
            </w:tcBorders>
            <w:shd w:val="clear" w:color="auto" w:fill="auto"/>
            <w:hideMark/>
          </w:tcPr>
          <w:p w14:paraId="6A44FC28"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EV4wdz</w:t>
            </w:r>
          </w:p>
        </w:tc>
        <w:tc>
          <w:tcPr>
            <w:tcW w:w="2388" w:type="dxa"/>
            <w:tcBorders>
              <w:top w:val="nil"/>
              <w:left w:val="nil"/>
              <w:bottom w:val="single" w:sz="4" w:space="0" w:color="auto"/>
              <w:right w:val="single" w:sz="4" w:space="0" w:color="auto"/>
            </w:tcBorders>
            <w:shd w:val="clear" w:color="auto" w:fill="auto"/>
            <w:hideMark/>
          </w:tcPr>
          <w:p w14:paraId="738A7959"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Kirkby Dismantled Railway</w:t>
            </w:r>
          </w:p>
        </w:tc>
        <w:tc>
          <w:tcPr>
            <w:tcW w:w="4395" w:type="dxa"/>
            <w:tcBorders>
              <w:top w:val="nil"/>
              <w:left w:val="nil"/>
              <w:bottom w:val="single" w:sz="4" w:space="0" w:color="auto"/>
              <w:right w:val="single" w:sz="4" w:space="0" w:color="auto"/>
            </w:tcBorders>
            <w:shd w:val="clear" w:color="auto" w:fill="auto"/>
            <w:hideMark/>
          </w:tcPr>
          <w:p w14:paraId="225E3DF9" w14:textId="785783C0" w:rsidR="00FA2CC6" w:rsidRPr="000663FF" w:rsidRDefault="007A1A00"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 scrubby dismantled railway with a notable calcicolous grassland community</w:t>
            </w:r>
          </w:p>
        </w:tc>
        <w:tc>
          <w:tcPr>
            <w:tcW w:w="1984" w:type="dxa"/>
            <w:tcBorders>
              <w:top w:val="nil"/>
              <w:left w:val="nil"/>
              <w:bottom w:val="single" w:sz="4" w:space="0" w:color="auto"/>
              <w:right w:val="single" w:sz="4" w:space="0" w:color="auto"/>
            </w:tcBorders>
            <w:shd w:val="clear" w:color="auto" w:fill="auto"/>
            <w:hideMark/>
          </w:tcPr>
          <w:p w14:paraId="147C5001"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Larwood</w:t>
            </w:r>
          </w:p>
        </w:tc>
      </w:tr>
      <w:tr w:rsidR="000663FF" w:rsidRPr="000663FF" w14:paraId="449F2BF9" w14:textId="77777777" w:rsidTr="00DC0D18">
        <w:trPr>
          <w:trHeight w:val="580"/>
        </w:trPr>
        <w:tc>
          <w:tcPr>
            <w:tcW w:w="1009" w:type="dxa"/>
            <w:tcBorders>
              <w:top w:val="nil"/>
              <w:left w:val="single" w:sz="4" w:space="0" w:color="auto"/>
              <w:bottom w:val="single" w:sz="4" w:space="0" w:color="auto"/>
              <w:right w:val="single" w:sz="4" w:space="0" w:color="auto"/>
            </w:tcBorders>
            <w:shd w:val="clear" w:color="auto" w:fill="auto"/>
            <w:hideMark/>
          </w:tcPr>
          <w:p w14:paraId="628ADC5B"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EV4we</w:t>
            </w:r>
          </w:p>
        </w:tc>
        <w:tc>
          <w:tcPr>
            <w:tcW w:w="2388" w:type="dxa"/>
            <w:tcBorders>
              <w:top w:val="nil"/>
              <w:left w:val="nil"/>
              <w:bottom w:val="single" w:sz="4" w:space="0" w:color="auto"/>
              <w:right w:val="single" w:sz="4" w:space="0" w:color="auto"/>
            </w:tcBorders>
            <w:shd w:val="clear" w:color="auto" w:fill="auto"/>
            <w:hideMark/>
          </w:tcPr>
          <w:p w14:paraId="0434732B"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Kirkby Grives Grassland</w:t>
            </w:r>
          </w:p>
        </w:tc>
        <w:tc>
          <w:tcPr>
            <w:tcW w:w="4395" w:type="dxa"/>
            <w:tcBorders>
              <w:top w:val="nil"/>
              <w:left w:val="nil"/>
              <w:bottom w:val="single" w:sz="4" w:space="0" w:color="auto"/>
              <w:right w:val="single" w:sz="4" w:space="0" w:color="auto"/>
            </w:tcBorders>
            <w:shd w:val="clear" w:color="auto" w:fill="auto"/>
            <w:hideMark/>
          </w:tcPr>
          <w:p w14:paraId="6B32ED25" w14:textId="50666532" w:rsidR="00FA2CC6" w:rsidRPr="000663FF" w:rsidRDefault="007A1A00"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 rough, damp, notable grassland</w:t>
            </w:r>
          </w:p>
        </w:tc>
        <w:tc>
          <w:tcPr>
            <w:tcW w:w="1984" w:type="dxa"/>
            <w:tcBorders>
              <w:top w:val="nil"/>
              <w:left w:val="nil"/>
              <w:bottom w:val="single" w:sz="4" w:space="0" w:color="auto"/>
              <w:right w:val="single" w:sz="4" w:space="0" w:color="auto"/>
            </w:tcBorders>
            <w:shd w:val="clear" w:color="auto" w:fill="auto"/>
            <w:hideMark/>
          </w:tcPr>
          <w:p w14:paraId="1BC08AF2"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Kirkby Cross &amp; Portland</w:t>
            </w:r>
          </w:p>
        </w:tc>
      </w:tr>
      <w:tr w:rsidR="000663FF" w:rsidRPr="000663FF" w14:paraId="0454B762" w14:textId="77777777" w:rsidTr="00DC0D18">
        <w:trPr>
          <w:trHeight w:val="870"/>
        </w:trPr>
        <w:tc>
          <w:tcPr>
            <w:tcW w:w="1009" w:type="dxa"/>
            <w:tcBorders>
              <w:top w:val="nil"/>
              <w:left w:val="single" w:sz="4" w:space="0" w:color="auto"/>
              <w:bottom w:val="single" w:sz="4" w:space="0" w:color="auto"/>
              <w:right w:val="single" w:sz="4" w:space="0" w:color="auto"/>
            </w:tcBorders>
            <w:shd w:val="clear" w:color="auto" w:fill="auto"/>
            <w:hideMark/>
          </w:tcPr>
          <w:p w14:paraId="2966C2EE"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EV4wea</w:t>
            </w:r>
          </w:p>
        </w:tc>
        <w:tc>
          <w:tcPr>
            <w:tcW w:w="2388" w:type="dxa"/>
            <w:tcBorders>
              <w:top w:val="nil"/>
              <w:left w:val="nil"/>
              <w:bottom w:val="single" w:sz="4" w:space="0" w:color="auto"/>
              <w:right w:val="single" w:sz="4" w:space="0" w:color="auto"/>
            </w:tcBorders>
            <w:shd w:val="clear" w:color="auto" w:fill="auto"/>
            <w:hideMark/>
          </w:tcPr>
          <w:p w14:paraId="6650E546"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Kirkby Grives I</w:t>
            </w:r>
          </w:p>
        </w:tc>
        <w:tc>
          <w:tcPr>
            <w:tcW w:w="4395" w:type="dxa"/>
            <w:tcBorders>
              <w:top w:val="nil"/>
              <w:left w:val="nil"/>
              <w:bottom w:val="single" w:sz="4" w:space="0" w:color="auto"/>
              <w:right w:val="single" w:sz="4" w:space="0" w:color="auto"/>
            </w:tcBorders>
            <w:shd w:val="clear" w:color="auto" w:fill="auto"/>
            <w:hideMark/>
          </w:tcPr>
          <w:p w14:paraId="48788CD7" w14:textId="33260943" w:rsidR="00FA2CC6" w:rsidRPr="000663FF" w:rsidRDefault="007A1A00"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&amp; LGS - </w:t>
            </w:r>
            <w:r w:rsidR="00FA2CC6" w:rsidRPr="000663FF">
              <w:rPr>
                <w:rFonts w:ascii="Calibri" w:hAnsi="Calibri" w:cs="Calibri"/>
                <w:color w:val="auto"/>
                <w:sz w:val="22"/>
                <w:szCs w:val="22"/>
              </w:rPr>
              <w:t>Very fine examples of calcareous and more neutral grassland, with scrub and floristically species-r</w:t>
            </w:r>
          </w:p>
        </w:tc>
        <w:tc>
          <w:tcPr>
            <w:tcW w:w="1984" w:type="dxa"/>
            <w:tcBorders>
              <w:top w:val="nil"/>
              <w:left w:val="nil"/>
              <w:bottom w:val="single" w:sz="4" w:space="0" w:color="auto"/>
              <w:right w:val="single" w:sz="4" w:space="0" w:color="auto"/>
            </w:tcBorders>
            <w:shd w:val="clear" w:color="auto" w:fill="auto"/>
            <w:hideMark/>
          </w:tcPr>
          <w:p w14:paraId="53BFE8D9"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Kirkby Cross &amp; Portland</w:t>
            </w:r>
          </w:p>
        </w:tc>
      </w:tr>
      <w:tr w:rsidR="000663FF" w:rsidRPr="000663FF" w14:paraId="101CE5D8" w14:textId="77777777" w:rsidTr="00DC0D18">
        <w:trPr>
          <w:trHeight w:val="580"/>
        </w:trPr>
        <w:tc>
          <w:tcPr>
            <w:tcW w:w="1009" w:type="dxa"/>
            <w:tcBorders>
              <w:top w:val="nil"/>
              <w:left w:val="single" w:sz="4" w:space="0" w:color="auto"/>
              <w:bottom w:val="single" w:sz="4" w:space="0" w:color="auto"/>
              <w:right w:val="single" w:sz="4" w:space="0" w:color="auto"/>
            </w:tcBorders>
            <w:shd w:val="clear" w:color="auto" w:fill="auto"/>
            <w:hideMark/>
          </w:tcPr>
          <w:p w14:paraId="410BE951"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EV4web</w:t>
            </w:r>
          </w:p>
        </w:tc>
        <w:tc>
          <w:tcPr>
            <w:tcW w:w="2388" w:type="dxa"/>
            <w:tcBorders>
              <w:top w:val="nil"/>
              <w:left w:val="nil"/>
              <w:bottom w:val="single" w:sz="4" w:space="0" w:color="auto"/>
              <w:right w:val="single" w:sz="4" w:space="0" w:color="auto"/>
            </w:tcBorders>
            <w:shd w:val="clear" w:color="auto" w:fill="auto"/>
            <w:hideMark/>
          </w:tcPr>
          <w:p w14:paraId="0102A38B"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Kirkby Grives Grasslands</w:t>
            </w:r>
          </w:p>
        </w:tc>
        <w:tc>
          <w:tcPr>
            <w:tcW w:w="4395" w:type="dxa"/>
            <w:tcBorders>
              <w:top w:val="nil"/>
              <w:left w:val="nil"/>
              <w:bottom w:val="single" w:sz="4" w:space="0" w:color="auto"/>
              <w:right w:val="single" w:sz="4" w:space="0" w:color="auto"/>
            </w:tcBorders>
            <w:shd w:val="clear" w:color="auto" w:fill="auto"/>
            <w:hideMark/>
          </w:tcPr>
          <w:p w14:paraId="5D48BA2D" w14:textId="0345002A" w:rsidR="00FA2CC6" w:rsidRPr="000663FF" w:rsidRDefault="007A1A00"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Two horse grazed grasslands with wet and dry areas</w:t>
            </w:r>
          </w:p>
        </w:tc>
        <w:tc>
          <w:tcPr>
            <w:tcW w:w="1984" w:type="dxa"/>
            <w:tcBorders>
              <w:top w:val="nil"/>
              <w:left w:val="nil"/>
              <w:bottom w:val="single" w:sz="4" w:space="0" w:color="auto"/>
              <w:right w:val="single" w:sz="4" w:space="0" w:color="auto"/>
            </w:tcBorders>
            <w:shd w:val="clear" w:color="auto" w:fill="auto"/>
            <w:hideMark/>
          </w:tcPr>
          <w:p w14:paraId="4A1B3068"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Annesley &amp; Kirkby Woodhouse</w:t>
            </w:r>
          </w:p>
        </w:tc>
      </w:tr>
      <w:tr w:rsidR="000663FF" w:rsidRPr="000663FF" w14:paraId="52897BF0" w14:textId="77777777" w:rsidTr="00DC0D18">
        <w:trPr>
          <w:trHeight w:val="580"/>
        </w:trPr>
        <w:tc>
          <w:tcPr>
            <w:tcW w:w="1009" w:type="dxa"/>
            <w:tcBorders>
              <w:top w:val="nil"/>
              <w:left w:val="single" w:sz="4" w:space="0" w:color="auto"/>
              <w:bottom w:val="single" w:sz="4" w:space="0" w:color="auto"/>
              <w:right w:val="single" w:sz="4" w:space="0" w:color="auto"/>
            </w:tcBorders>
            <w:shd w:val="clear" w:color="auto" w:fill="auto"/>
            <w:hideMark/>
          </w:tcPr>
          <w:p w14:paraId="3FAA3DB3"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EV4wec</w:t>
            </w:r>
          </w:p>
        </w:tc>
        <w:tc>
          <w:tcPr>
            <w:tcW w:w="2388" w:type="dxa"/>
            <w:tcBorders>
              <w:top w:val="nil"/>
              <w:left w:val="nil"/>
              <w:bottom w:val="single" w:sz="4" w:space="0" w:color="auto"/>
              <w:right w:val="single" w:sz="4" w:space="0" w:color="auto"/>
            </w:tcBorders>
            <w:shd w:val="clear" w:color="auto" w:fill="auto"/>
            <w:hideMark/>
          </w:tcPr>
          <w:p w14:paraId="010DD8A5"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Kirkby Grives II</w:t>
            </w:r>
          </w:p>
        </w:tc>
        <w:tc>
          <w:tcPr>
            <w:tcW w:w="4395" w:type="dxa"/>
            <w:tcBorders>
              <w:top w:val="nil"/>
              <w:left w:val="nil"/>
              <w:bottom w:val="single" w:sz="4" w:space="0" w:color="auto"/>
              <w:right w:val="single" w:sz="4" w:space="0" w:color="auto"/>
            </w:tcBorders>
            <w:shd w:val="clear" w:color="auto" w:fill="auto"/>
            <w:hideMark/>
          </w:tcPr>
          <w:p w14:paraId="0B3CD28A" w14:textId="09240C4D" w:rsidR="00FA2CC6" w:rsidRPr="000663FF" w:rsidRDefault="007A1A00"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 very fine calcareous grassland</w:t>
            </w:r>
          </w:p>
        </w:tc>
        <w:tc>
          <w:tcPr>
            <w:tcW w:w="1984" w:type="dxa"/>
            <w:tcBorders>
              <w:top w:val="nil"/>
              <w:left w:val="nil"/>
              <w:bottom w:val="single" w:sz="4" w:space="0" w:color="auto"/>
              <w:right w:val="single" w:sz="4" w:space="0" w:color="auto"/>
            </w:tcBorders>
            <w:shd w:val="clear" w:color="auto" w:fill="auto"/>
            <w:hideMark/>
          </w:tcPr>
          <w:p w14:paraId="3765AC23"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Kirkby Cross &amp; Portland</w:t>
            </w:r>
          </w:p>
        </w:tc>
      </w:tr>
      <w:tr w:rsidR="000663FF" w:rsidRPr="000663FF" w14:paraId="60B4BF46" w14:textId="77777777" w:rsidTr="00DC0D18">
        <w:trPr>
          <w:trHeight w:val="580"/>
        </w:trPr>
        <w:tc>
          <w:tcPr>
            <w:tcW w:w="1009" w:type="dxa"/>
            <w:tcBorders>
              <w:top w:val="single" w:sz="4" w:space="0" w:color="auto"/>
              <w:left w:val="single" w:sz="4" w:space="0" w:color="auto"/>
              <w:bottom w:val="single" w:sz="4" w:space="0" w:color="auto"/>
              <w:right w:val="single" w:sz="4" w:space="0" w:color="auto"/>
            </w:tcBorders>
            <w:shd w:val="clear" w:color="auto" w:fill="auto"/>
            <w:hideMark/>
          </w:tcPr>
          <w:p w14:paraId="7F6497C6"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EV4wed</w:t>
            </w:r>
          </w:p>
        </w:tc>
        <w:tc>
          <w:tcPr>
            <w:tcW w:w="2388" w:type="dxa"/>
            <w:tcBorders>
              <w:top w:val="single" w:sz="4" w:space="0" w:color="auto"/>
              <w:left w:val="single" w:sz="4" w:space="0" w:color="auto"/>
              <w:bottom w:val="single" w:sz="4" w:space="0" w:color="auto"/>
              <w:right w:val="single" w:sz="4" w:space="0" w:color="auto"/>
            </w:tcBorders>
            <w:shd w:val="clear" w:color="auto" w:fill="auto"/>
            <w:hideMark/>
          </w:tcPr>
          <w:p w14:paraId="511F9538"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Kirkby Wasteland</w:t>
            </w:r>
          </w:p>
        </w:tc>
        <w:tc>
          <w:tcPr>
            <w:tcW w:w="4395" w:type="dxa"/>
            <w:tcBorders>
              <w:top w:val="single" w:sz="4" w:space="0" w:color="auto"/>
              <w:left w:val="single" w:sz="4" w:space="0" w:color="auto"/>
              <w:bottom w:val="single" w:sz="4" w:space="0" w:color="auto"/>
              <w:right w:val="single" w:sz="4" w:space="0" w:color="auto"/>
            </w:tcBorders>
            <w:shd w:val="clear" w:color="auto" w:fill="auto"/>
            <w:hideMark/>
          </w:tcPr>
          <w:p w14:paraId="43AC5CC9" w14:textId="2942A32A" w:rsidR="00FA2CC6" w:rsidRPr="000663FF" w:rsidRDefault="007A1A00" w:rsidP="00FA2CC6">
            <w:pPr>
              <w:keepNext w:val="0"/>
              <w:spacing w:before="0"/>
              <w:rPr>
                <w:rFonts w:ascii="Calibri" w:hAnsi="Calibri" w:cs="Calibri"/>
                <w:color w:val="auto"/>
                <w:sz w:val="22"/>
                <w:szCs w:val="22"/>
              </w:rPr>
            </w:pPr>
            <w:r w:rsidRPr="000663FF">
              <w:rPr>
                <w:rFonts w:ascii="Calibri" w:hAnsi="Calibri" w:cs="Calibri"/>
                <w:color w:val="auto"/>
                <w:sz w:val="22"/>
                <w:szCs w:val="22"/>
              </w:rPr>
              <w:t>LWS – I</w:t>
            </w:r>
            <w:r w:rsidR="00FA2CC6" w:rsidRPr="000663FF">
              <w:rPr>
                <w:rFonts w:ascii="Calibri" w:hAnsi="Calibri" w:cs="Calibri"/>
                <w:color w:val="auto"/>
                <w:sz w:val="22"/>
                <w:szCs w:val="22"/>
              </w:rPr>
              <w:t>nteresting</w:t>
            </w:r>
            <w:r w:rsidRPr="000663FF">
              <w:rPr>
                <w:rFonts w:ascii="Calibri" w:hAnsi="Calibri" w:cs="Calibri"/>
                <w:color w:val="auto"/>
                <w:sz w:val="22"/>
                <w:szCs w:val="22"/>
              </w:rPr>
              <w:t>,</w:t>
            </w:r>
            <w:r w:rsidR="00FA2CC6" w:rsidRPr="000663FF">
              <w:rPr>
                <w:rFonts w:ascii="Calibri" w:hAnsi="Calibri" w:cs="Calibri"/>
                <w:color w:val="auto"/>
                <w:sz w:val="22"/>
                <w:szCs w:val="22"/>
              </w:rPr>
              <w:t xml:space="preserve"> neglected grasslands with a number of notable plant species</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467063E2"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Greenwood &amp; Summit</w:t>
            </w:r>
          </w:p>
        </w:tc>
      </w:tr>
      <w:tr w:rsidR="000663FF" w:rsidRPr="000663FF" w14:paraId="54FDDFB9" w14:textId="77777777" w:rsidTr="00DC0D18">
        <w:trPr>
          <w:trHeight w:val="870"/>
        </w:trPr>
        <w:tc>
          <w:tcPr>
            <w:tcW w:w="1009" w:type="dxa"/>
            <w:tcBorders>
              <w:top w:val="single" w:sz="4" w:space="0" w:color="auto"/>
              <w:left w:val="single" w:sz="4" w:space="0" w:color="auto"/>
              <w:bottom w:val="single" w:sz="4" w:space="0" w:color="auto"/>
              <w:right w:val="single" w:sz="4" w:space="0" w:color="auto"/>
            </w:tcBorders>
            <w:shd w:val="clear" w:color="auto" w:fill="auto"/>
            <w:hideMark/>
          </w:tcPr>
          <w:p w14:paraId="111AC908"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EV4wee</w:t>
            </w:r>
          </w:p>
        </w:tc>
        <w:tc>
          <w:tcPr>
            <w:tcW w:w="2388" w:type="dxa"/>
            <w:tcBorders>
              <w:top w:val="single" w:sz="4" w:space="0" w:color="auto"/>
              <w:left w:val="nil"/>
              <w:bottom w:val="single" w:sz="4" w:space="0" w:color="auto"/>
              <w:right w:val="single" w:sz="4" w:space="0" w:color="auto"/>
            </w:tcBorders>
            <w:shd w:val="clear" w:color="auto" w:fill="auto"/>
            <w:hideMark/>
          </w:tcPr>
          <w:p w14:paraId="4B9F0143"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Kirkby Woodhouse Bank</w:t>
            </w:r>
          </w:p>
        </w:tc>
        <w:tc>
          <w:tcPr>
            <w:tcW w:w="4395" w:type="dxa"/>
            <w:tcBorders>
              <w:top w:val="single" w:sz="4" w:space="0" w:color="auto"/>
              <w:left w:val="nil"/>
              <w:bottom w:val="single" w:sz="4" w:space="0" w:color="auto"/>
              <w:right w:val="single" w:sz="4" w:space="0" w:color="auto"/>
            </w:tcBorders>
            <w:shd w:val="clear" w:color="auto" w:fill="auto"/>
            <w:hideMark/>
          </w:tcPr>
          <w:p w14:paraId="2E003A83" w14:textId="4A573E6B" w:rsidR="00FA2CC6" w:rsidRPr="000663FF" w:rsidRDefault="007A1A00"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 steep bank clothed in ruderal vegetation with a notable calcareous community</w:t>
            </w:r>
          </w:p>
        </w:tc>
        <w:tc>
          <w:tcPr>
            <w:tcW w:w="1984" w:type="dxa"/>
            <w:tcBorders>
              <w:top w:val="single" w:sz="4" w:space="0" w:color="auto"/>
              <w:left w:val="nil"/>
              <w:bottom w:val="single" w:sz="4" w:space="0" w:color="auto"/>
              <w:right w:val="single" w:sz="4" w:space="0" w:color="auto"/>
            </w:tcBorders>
            <w:shd w:val="clear" w:color="auto" w:fill="auto"/>
            <w:hideMark/>
          </w:tcPr>
          <w:p w14:paraId="59D17EE4"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Annesley &amp; Kirkby Woodhouse</w:t>
            </w:r>
          </w:p>
        </w:tc>
      </w:tr>
      <w:tr w:rsidR="000663FF" w:rsidRPr="000663FF" w14:paraId="109F9A07" w14:textId="77777777" w:rsidTr="00DC0D18">
        <w:trPr>
          <w:trHeight w:val="892"/>
        </w:trPr>
        <w:tc>
          <w:tcPr>
            <w:tcW w:w="1009" w:type="dxa"/>
            <w:tcBorders>
              <w:top w:val="nil"/>
              <w:left w:val="single" w:sz="4" w:space="0" w:color="auto"/>
              <w:bottom w:val="single" w:sz="4" w:space="0" w:color="auto"/>
              <w:right w:val="single" w:sz="4" w:space="0" w:color="auto"/>
            </w:tcBorders>
            <w:shd w:val="clear" w:color="auto" w:fill="auto"/>
            <w:hideMark/>
          </w:tcPr>
          <w:p w14:paraId="2A7C8F74"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EV4wef</w:t>
            </w:r>
          </w:p>
        </w:tc>
        <w:tc>
          <w:tcPr>
            <w:tcW w:w="2388" w:type="dxa"/>
            <w:tcBorders>
              <w:top w:val="nil"/>
              <w:left w:val="nil"/>
              <w:bottom w:val="single" w:sz="4" w:space="0" w:color="auto"/>
              <w:right w:val="single" w:sz="4" w:space="0" w:color="auto"/>
            </w:tcBorders>
            <w:shd w:val="clear" w:color="auto" w:fill="auto"/>
            <w:hideMark/>
          </w:tcPr>
          <w:p w14:paraId="0798276A"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Kirkby Woodhouse Grassland</w:t>
            </w:r>
          </w:p>
        </w:tc>
        <w:tc>
          <w:tcPr>
            <w:tcW w:w="4395" w:type="dxa"/>
            <w:tcBorders>
              <w:top w:val="nil"/>
              <w:left w:val="nil"/>
              <w:bottom w:val="single" w:sz="4" w:space="0" w:color="auto"/>
              <w:right w:val="single" w:sz="4" w:space="0" w:color="auto"/>
            </w:tcBorders>
            <w:shd w:val="clear" w:color="auto" w:fill="auto"/>
            <w:hideMark/>
          </w:tcPr>
          <w:p w14:paraId="732CD1EA" w14:textId="10027D2B" w:rsidR="00FA2CC6" w:rsidRPr="000663FF" w:rsidRDefault="007A1A00"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 species-rich scarp grassland, incorporating unimproved dry calcareous and damp neutral grassland,</w:t>
            </w:r>
          </w:p>
        </w:tc>
        <w:tc>
          <w:tcPr>
            <w:tcW w:w="1984" w:type="dxa"/>
            <w:tcBorders>
              <w:top w:val="nil"/>
              <w:left w:val="nil"/>
              <w:bottom w:val="single" w:sz="4" w:space="0" w:color="auto"/>
              <w:right w:val="single" w:sz="4" w:space="0" w:color="auto"/>
            </w:tcBorders>
            <w:shd w:val="clear" w:color="auto" w:fill="auto"/>
            <w:hideMark/>
          </w:tcPr>
          <w:p w14:paraId="197DF7FE"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Annesley &amp; Kirkby Woodhouse</w:t>
            </w:r>
          </w:p>
        </w:tc>
      </w:tr>
      <w:tr w:rsidR="000663FF" w:rsidRPr="000663FF" w14:paraId="3A006EC6" w14:textId="77777777" w:rsidTr="00DC0D18">
        <w:trPr>
          <w:trHeight w:val="580"/>
        </w:trPr>
        <w:tc>
          <w:tcPr>
            <w:tcW w:w="1009" w:type="dxa"/>
            <w:tcBorders>
              <w:top w:val="nil"/>
              <w:left w:val="single" w:sz="4" w:space="0" w:color="auto"/>
              <w:bottom w:val="single" w:sz="4" w:space="0" w:color="auto"/>
              <w:right w:val="single" w:sz="4" w:space="0" w:color="auto"/>
            </w:tcBorders>
            <w:shd w:val="clear" w:color="auto" w:fill="auto"/>
            <w:hideMark/>
          </w:tcPr>
          <w:p w14:paraId="55E4AE59"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EV4weg</w:t>
            </w:r>
          </w:p>
        </w:tc>
        <w:tc>
          <w:tcPr>
            <w:tcW w:w="2388" w:type="dxa"/>
            <w:tcBorders>
              <w:top w:val="nil"/>
              <w:left w:val="nil"/>
              <w:bottom w:val="single" w:sz="4" w:space="0" w:color="auto"/>
              <w:right w:val="single" w:sz="4" w:space="0" w:color="auto"/>
            </w:tcBorders>
            <w:shd w:val="clear" w:color="auto" w:fill="auto"/>
            <w:hideMark/>
          </w:tcPr>
          <w:p w14:paraId="410161D3"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Kirkby Woodhouse Limestone Grassland</w:t>
            </w:r>
          </w:p>
        </w:tc>
        <w:tc>
          <w:tcPr>
            <w:tcW w:w="4395" w:type="dxa"/>
            <w:tcBorders>
              <w:top w:val="nil"/>
              <w:left w:val="nil"/>
              <w:bottom w:val="single" w:sz="4" w:space="0" w:color="auto"/>
              <w:right w:val="single" w:sz="4" w:space="0" w:color="auto"/>
            </w:tcBorders>
            <w:shd w:val="clear" w:color="auto" w:fill="auto"/>
            <w:hideMark/>
          </w:tcPr>
          <w:p w14:paraId="6D12BF28" w14:textId="4A889C7C" w:rsidR="00FA2CC6" w:rsidRPr="000663FF" w:rsidRDefault="007A1A00"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 species-rich calcareous bank</w:t>
            </w:r>
          </w:p>
        </w:tc>
        <w:tc>
          <w:tcPr>
            <w:tcW w:w="1984" w:type="dxa"/>
            <w:tcBorders>
              <w:top w:val="nil"/>
              <w:left w:val="nil"/>
              <w:bottom w:val="single" w:sz="4" w:space="0" w:color="auto"/>
              <w:right w:val="single" w:sz="4" w:space="0" w:color="auto"/>
            </w:tcBorders>
            <w:shd w:val="clear" w:color="auto" w:fill="auto"/>
            <w:hideMark/>
          </w:tcPr>
          <w:p w14:paraId="033C43C4"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Annesley &amp; Kirkby Woodhouse</w:t>
            </w:r>
          </w:p>
        </w:tc>
      </w:tr>
      <w:tr w:rsidR="000663FF" w:rsidRPr="000663FF" w14:paraId="0F4B8722" w14:textId="77777777" w:rsidTr="00DC0D18">
        <w:trPr>
          <w:trHeight w:val="580"/>
        </w:trPr>
        <w:tc>
          <w:tcPr>
            <w:tcW w:w="1009" w:type="dxa"/>
            <w:tcBorders>
              <w:top w:val="nil"/>
              <w:left w:val="single" w:sz="4" w:space="0" w:color="auto"/>
              <w:bottom w:val="single" w:sz="4" w:space="0" w:color="auto"/>
              <w:right w:val="single" w:sz="4" w:space="0" w:color="auto"/>
            </w:tcBorders>
            <w:shd w:val="clear" w:color="auto" w:fill="auto"/>
            <w:hideMark/>
          </w:tcPr>
          <w:p w14:paraId="3DA68117"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EV4weh</w:t>
            </w:r>
          </w:p>
        </w:tc>
        <w:tc>
          <w:tcPr>
            <w:tcW w:w="2388" w:type="dxa"/>
            <w:tcBorders>
              <w:top w:val="nil"/>
              <w:left w:val="nil"/>
              <w:bottom w:val="single" w:sz="4" w:space="0" w:color="auto"/>
              <w:right w:val="single" w:sz="4" w:space="0" w:color="auto"/>
            </w:tcBorders>
            <w:shd w:val="clear" w:color="auto" w:fill="auto"/>
            <w:hideMark/>
          </w:tcPr>
          <w:p w14:paraId="37B3340F"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Lady Spencer's Wood</w:t>
            </w:r>
          </w:p>
        </w:tc>
        <w:tc>
          <w:tcPr>
            <w:tcW w:w="4395" w:type="dxa"/>
            <w:tcBorders>
              <w:top w:val="nil"/>
              <w:left w:val="nil"/>
              <w:bottom w:val="single" w:sz="4" w:space="0" w:color="auto"/>
              <w:right w:val="single" w:sz="4" w:space="0" w:color="auto"/>
            </w:tcBorders>
            <w:shd w:val="clear" w:color="auto" w:fill="auto"/>
            <w:hideMark/>
          </w:tcPr>
          <w:p w14:paraId="70E10215" w14:textId="75E80DEC" w:rsidR="00FA2CC6" w:rsidRPr="000663FF" w:rsidRDefault="007A1A00"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Deciduous woodland with a noteworthy ground flora</w:t>
            </w:r>
          </w:p>
        </w:tc>
        <w:tc>
          <w:tcPr>
            <w:tcW w:w="1984" w:type="dxa"/>
            <w:tcBorders>
              <w:top w:val="nil"/>
              <w:left w:val="nil"/>
              <w:bottom w:val="single" w:sz="4" w:space="0" w:color="auto"/>
              <w:right w:val="single" w:sz="4" w:space="0" w:color="auto"/>
            </w:tcBorders>
            <w:shd w:val="clear" w:color="auto" w:fill="auto"/>
            <w:hideMark/>
          </w:tcPr>
          <w:p w14:paraId="0319C948"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Stanton Hill &amp; Teversal</w:t>
            </w:r>
          </w:p>
        </w:tc>
      </w:tr>
      <w:tr w:rsidR="000663FF" w:rsidRPr="000663FF" w14:paraId="52CAB99E" w14:textId="77777777" w:rsidTr="00DC0D18">
        <w:trPr>
          <w:trHeight w:val="870"/>
        </w:trPr>
        <w:tc>
          <w:tcPr>
            <w:tcW w:w="1009" w:type="dxa"/>
            <w:tcBorders>
              <w:top w:val="nil"/>
              <w:left w:val="single" w:sz="4" w:space="0" w:color="auto"/>
              <w:bottom w:val="single" w:sz="4" w:space="0" w:color="auto"/>
              <w:right w:val="single" w:sz="4" w:space="0" w:color="auto"/>
            </w:tcBorders>
            <w:shd w:val="clear" w:color="auto" w:fill="auto"/>
            <w:hideMark/>
          </w:tcPr>
          <w:p w14:paraId="5F8BCAC4"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EV4wei</w:t>
            </w:r>
          </w:p>
        </w:tc>
        <w:tc>
          <w:tcPr>
            <w:tcW w:w="2388" w:type="dxa"/>
            <w:tcBorders>
              <w:top w:val="nil"/>
              <w:left w:val="nil"/>
              <w:bottom w:val="single" w:sz="4" w:space="0" w:color="auto"/>
              <w:right w:val="single" w:sz="4" w:space="0" w:color="auto"/>
            </w:tcBorders>
            <w:shd w:val="clear" w:color="auto" w:fill="auto"/>
            <w:hideMark/>
          </w:tcPr>
          <w:p w14:paraId="10EEA084"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Langton Marshy Grassland</w:t>
            </w:r>
          </w:p>
        </w:tc>
        <w:tc>
          <w:tcPr>
            <w:tcW w:w="4395" w:type="dxa"/>
            <w:tcBorders>
              <w:top w:val="nil"/>
              <w:left w:val="nil"/>
              <w:bottom w:val="single" w:sz="4" w:space="0" w:color="auto"/>
              <w:right w:val="single" w:sz="4" w:space="0" w:color="auto"/>
            </w:tcBorders>
            <w:shd w:val="clear" w:color="auto" w:fill="auto"/>
            <w:hideMark/>
          </w:tcPr>
          <w:p w14:paraId="2D909D3B" w14:textId="0194D651" w:rsidR="00FA2CC6" w:rsidRPr="000663FF" w:rsidRDefault="007A1A00"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Interesting marsh, swamp, and damp grasslands - of both botanical and zoological interest</w:t>
            </w:r>
          </w:p>
        </w:tc>
        <w:tc>
          <w:tcPr>
            <w:tcW w:w="1984" w:type="dxa"/>
            <w:tcBorders>
              <w:top w:val="nil"/>
              <w:left w:val="nil"/>
              <w:bottom w:val="single" w:sz="4" w:space="0" w:color="auto"/>
              <w:right w:val="single" w:sz="4" w:space="0" w:color="auto"/>
            </w:tcBorders>
            <w:shd w:val="clear" w:color="auto" w:fill="auto"/>
            <w:hideMark/>
          </w:tcPr>
          <w:p w14:paraId="1FEC9988"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Kirkby Cross &amp; Portland</w:t>
            </w:r>
          </w:p>
        </w:tc>
      </w:tr>
      <w:tr w:rsidR="000663FF" w:rsidRPr="000663FF" w14:paraId="153C1596" w14:textId="77777777" w:rsidTr="00DC0D18">
        <w:trPr>
          <w:trHeight w:val="580"/>
        </w:trPr>
        <w:tc>
          <w:tcPr>
            <w:tcW w:w="1009" w:type="dxa"/>
            <w:tcBorders>
              <w:top w:val="single" w:sz="4" w:space="0" w:color="auto"/>
              <w:left w:val="single" w:sz="4" w:space="0" w:color="auto"/>
              <w:bottom w:val="single" w:sz="4" w:space="0" w:color="auto"/>
              <w:right w:val="single" w:sz="4" w:space="0" w:color="auto"/>
            </w:tcBorders>
            <w:shd w:val="clear" w:color="auto" w:fill="auto"/>
            <w:hideMark/>
          </w:tcPr>
          <w:p w14:paraId="463FB99D"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EV4wej</w:t>
            </w:r>
          </w:p>
        </w:tc>
        <w:tc>
          <w:tcPr>
            <w:tcW w:w="2388" w:type="dxa"/>
            <w:tcBorders>
              <w:top w:val="single" w:sz="4" w:space="0" w:color="auto"/>
              <w:left w:val="single" w:sz="4" w:space="0" w:color="auto"/>
              <w:bottom w:val="single" w:sz="4" w:space="0" w:color="auto"/>
              <w:right w:val="single" w:sz="4" w:space="0" w:color="auto"/>
            </w:tcBorders>
            <w:shd w:val="clear" w:color="auto" w:fill="auto"/>
            <w:hideMark/>
          </w:tcPr>
          <w:p w14:paraId="15C0A65C"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Langton Meadow</w:t>
            </w:r>
          </w:p>
        </w:tc>
        <w:tc>
          <w:tcPr>
            <w:tcW w:w="4395" w:type="dxa"/>
            <w:tcBorders>
              <w:top w:val="single" w:sz="4" w:space="0" w:color="auto"/>
              <w:left w:val="single" w:sz="4" w:space="0" w:color="auto"/>
              <w:bottom w:val="single" w:sz="4" w:space="0" w:color="auto"/>
              <w:right w:val="single" w:sz="4" w:space="0" w:color="auto"/>
            </w:tcBorders>
            <w:shd w:val="clear" w:color="auto" w:fill="auto"/>
            <w:hideMark/>
          </w:tcPr>
          <w:p w14:paraId="1ABAE799" w14:textId="7C7A452A" w:rsidR="00FA2CC6" w:rsidRPr="000663FF" w:rsidRDefault="007A1A00"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 notable Coal Measures grassland</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0F5399B3"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Kirkby Cross &amp; Portland</w:t>
            </w:r>
          </w:p>
        </w:tc>
      </w:tr>
      <w:tr w:rsidR="000663FF" w:rsidRPr="000663FF" w14:paraId="455381D2" w14:textId="77777777" w:rsidTr="00DC0D18">
        <w:trPr>
          <w:trHeight w:val="580"/>
        </w:trPr>
        <w:tc>
          <w:tcPr>
            <w:tcW w:w="1009" w:type="dxa"/>
            <w:tcBorders>
              <w:top w:val="single" w:sz="4" w:space="0" w:color="auto"/>
              <w:left w:val="single" w:sz="4" w:space="0" w:color="auto"/>
              <w:bottom w:val="single" w:sz="4" w:space="0" w:color="auto"/>
              <w:right w:val="single" w:sz="4" w:space="0" w:color="auto"/>
            </w:tcBorders>
            <w:shd w:val="clear" w:color="auto" w:fill="auto"/>
            <w:hideMark/>
          </w:tcPr>
          <w:p w14:paraId="3D14DFC1"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EV4wek</w:t>
            </w:r>
          </w:p>
        </w:tc>
        <w:tc>
          <w:tcPr>
            <w:tcW w:w="2388" w:type="dxa"/>
            <w:tcBorders>
              <w:top w:val="single" w:sz="4" w:space="0" w:color="auto"/>
              <w:left w:val="nil"/>
              <w:bottom w:val="single" w:sz="4" w:space="0" w:color="auto"/>
              <w:right w:val="single" w:sz="4" w:space="0" w:color="auto"/>
            </w:tcBorders>
            <w:shd w:val="clear" w:color="auto" w:fill="auto"/>
            <w:hideMark/>
          </w:tcPr>
          <w:p w14:paraId="64D8B4CB"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Linby Colliery Railway</w:t>
            </w:r>
          </w:p>
        </w:tc>
        <w:tc>
          <w:tcPr>
            <w:tcW w:w="4395" w:type="dxa"/>
            <w:tcBorders>
              <w:top w:val="single" w:sz="4" w:space="0" w:color="auto"/>
              <w:left w:val="nil"/>
              <w:bottom w:val="single" w:sz="4" w:space="0" w:color="auto"/>
              <w:right w:val="single" w:sz="4" w:space="0" w:color="auto"/>
            </w:tcBorders>
            <w:shd w:val="clear" w:color="auto" w:fill="auto"/>
            <w:hideMark/>
          </w:tcPr>
          <w:p w14:paraId="689CCD19" w14:textId="79BC6453" w:rsidR="00FA2CC6" w:rsidRPr="000663FF" w:rsidRDefault="007A1A00"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An interesting community developed on cinder and ballast</w:t>
            </w:r>
          </w:p>
        </w:tc>
        <w:tc>
          <w:tcPr>
            <w:tcW w:w="1984" w:type="dxa"/>
            <w:tcBorders>
              <w:top w:val="single" w:sz="4" w:space="0" w:color="auto"/>
              <w:left w:val="nil"/>
              <w:bottom w:val="single" w:sz="4" w:space="0" w:color="auto"/>
              <w:right w:val="single" w:sz="4" w:space="0" w:color="auto"/>
            </w:tcBorders>
            <w:shd w:val="clear" w:color="auto" w:fill="auto"/>
            <w:hideMark/>
          </w:tcPr>
          <w:p w14:paraId="627533DD"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Hucknall North</w:t>
            </w:r>
          </w:p>
        </w:tc>
      </w:tr>
      <w:tr w:rsidR="000663FF" w:rsidRPr="000663FF" w14:paraId="13258E44" w14:textId="77777777" w:rsidTr="00DC0D18">
        <w:trPr>
          <w:trHeight w:val="580"/>
        </w:trPr>
        <w:tc>
          <w:tcPr>
            <w:tcW w:w="1009" w:type="dxa"/>
            <w:tcBorders>
              <w:top w:val="nil"/>
              <w:left w:val="single" w:sz="4" w:space="0" w:color="auto"/>
              <w:bottom w:val="single" w:sz="4" w:space="0" w:color="auto"/>
              <w:right w:val="single" w:sz="4" w:space="0" w:color="auto"/>
            </w:tcBorders>
            <w:shd w:val="clear" w:color="auto" w:fill="auto"/>
            <w:hideMark/>
          </w:tcPr>
          <w:p w14:paraId="2FA83BA4"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EV4wel</w:t>
            </w:r>
          </w:p>
        </w:tc>
        <w:tc>
          <w:tcPr>
            <w:tcW w:w="2388" w:type="dxa"/>
            <w:tcBorders>
              <w:top w:val="nil"/>
              <w:left w:val="nil"/>
              <w:bottom w:val="single" w:sz="4" w:space="0" w:color="auto"/>
              <w:right w:val="single" w:sz="4" w:space="0" w:color="auto"/>
            </w:tcBorders>
            <w:shd w:val="clear" w:color="auto" w:fill="auto"/>
            <w:hideMark/>
          </w:tcPr>
          <w:p w14:paraId="6404E110"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Little </w:t>
            </w:r>
            <w:proofErr w:type="spellStart"/>
            <w:r w:rsidRPr="000663FF">
              <w:rPr>
                <w:rFonts w:ascii="Calibri" w:hAnsi="Calibri" w:cs="Calibri"/>
                <w:color w:val="auto"/>
                <w:sz w:val="22"/>
                <w:szCs w:val="22"/>
              </w:rPr>
              <w:t>Dawsgate's</w:t>
            </w:r>
            <w:proofErr w:type="spellEnd"/>
            <w:r w:rsidRPr="000663FF">
              <w:rPr>
                <w:rFonts w:ascii="Calibri" w:hAnsi="Calibri" w:cs="Calibri"/>
                <w:color w:val="auto"/>
                <w:sz w:val="22"/>
                <w:szCs w:val="22"/>
              </w:rPr>
              <w:t xml:space="preserve"> Wood</w:t>
            </w:r>
          </w:p>
        </w:tc>
        <w:tc>
          <w:tcPr>
            <w:tcW w:w="4395" w:type="dxa"/>
            <w:tcBorders>
              <w:top w:val="nil"/>
              <w:left w:val="nil"/>
              <w:bottom w:val="single" w:sz="4" w:space="0" w:color="auto"/>
              <w:right w:val="single" w:sz="4" w:space="0" w:color="auto"/>
            </w:tcBorders>
            <w:shd w:val="clear" w:color="auto" w:fill="auto"/>
            <w:hideMark/>
          </w:tcPr>
          <w:p w14:paraId="2A3AFE87" w14:textId="4B61BEF6" w:rsidR="00FA2CC6" w:rsidRPr="000663FF" w:rsidRDefault="007A1A00"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 deciduous plantation woodland with a remnant ground flora</w:t>
            </w:r>
          </w:p>
        </w:tc>
        <w:tc>
          <w:tcPr>
            <w:tcW w:w="1984" w:type="dxa"/>
            <w:tcBorders>
              <w:top w:val="nil"/>
              <w:left w:val="nil"/>
              <w:bottom w:val="single" w:sz="4" w:space="0" w:color="auto"/>
              <w:right w:val="single" w:sz="4" w:space="0" w:color="auto"/>
            </w:tcBorders>
            <w:shd w:val="clear" w:color="auto" w:fill="auto"/>
            <w:hideMark/>
          </w:tcPr>
          <w:p w14:paraId="3443411C"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Skegby</w:t>
            </w:r>
          </w:p>
        </w:tc>
      </w:tr>
      <w:tr w:rsidR="000663FF" w:rsidRPr="000663FF" w14:paraId="6BC65355" w14:textId="77777777" w:rsidTr="00DC0D18">
        <w:trPr>
          <w:trHeight w:val="580"/>
        </w:trPr>
        <w:tc>
          <w:tcPr>
            <w:tcW w:w="1009" w:type="dxa"/>
            <w:tcBorders>
              <w:top w:val="nil"/>
              <w:left w:val="single" w:sz="4" w:space="0" w:color="auto"/>
              <w:bottom w:val="single" w:sz="4" w:space="0" w:color="auto"/>
              <w:right w:val="single" w:sz="4" w:space="0" w:color="auto"/>
            </w:tcBorders>
            <w:shd w:val="clear" w:color="auto" w:fill="auto"/>
            <w:hideMark/>
          </w:tcPr>
          <w:p w14:paraId="22CF77EF"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EV4wem</w:t>
            </w:r>
          </w:p>
        </w:tc>
        <w:tc>
          <w:tcPr>
            <w:tcW w:w="2388" w:type="dxa"/>
            <w:tcBorders>
              <w:top w:val="nil"/>
              <w:left w:val="nil"/>
              <w:bottom w:val="single" w:sz="4" w:space="0" w:color="auto"/>
              <w:right w:val="single" w:sz="4" w:space="0" w:color="auto"/>
            </w:tcBorders>
            <w:shd w:val="clear" w:color="auto" w:fill="auto"/>
            <w:hideMark/>
          </w:tcPr>
          <w:p w14:paraId="0C38CC44"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Little Oak Plantation</w:t>
            </w:r>
          </w:p>
        </w:tc>
        <w:tc>
          <w:tcPr>
            <w:tcW w:w="4395" w:type="dxa"/>
            <w:tcBorders>
              <w:top w:val="nil"/>
              <w:left w:val="nil"/>
              <w:bottom w:val="single" w:sz="4" w:space="0" w:color="auto"/>
              <w:right w:val="single" w:sz="4" w:space="0" w:color="auto"/>
            </w:tcBorders>
            <w:shd w:val="clear" w:color="auto" w:fill="auto"/>
            <w:hideMark/>
          </w:tcPr>
          <w:p w14:paraId="7A010845" w14:textId="7FE7B21D" w:rsidR="00FA2CC6" w:rsidRPr="000663FF" w:rsidRDefault="007A1A00"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Plantation woodland supporting a noteworthy ground flora</w:t>
            </w:r>
          </w:p>
        </w:tc>
        <w:tc>
          <w:tcPr>
            <w:tcW w:w="1984" w:type="dxa"/>
            <w:tcBorders>
              <w:top w:val="nil"/>
              <w:left w:val="nil"/>
              <w:bottom w:val="single" w:sz="4" w:space="0" w:color="auto"/>
              <w:right w:val="single" w:sz="4" w:space="0" w:color="auto"/>
            </w:tcBorders>
            <w:shd w:val="clear" w:color="auto" w:fill="auto"/>
            <w:hideMark/>
          </w:tcPr>
          <w:p w14:paraId="14A7286B"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Annesley &amp; Kirkby Woodhouse</w:t>
            </w:r>
          </w:p>
        </w:tc>
      </w:tr>
      <w:tr w:rsidR="000663FF" w:rsidRPr="000663FF" w14:paraId="62157D2B" w14:textId="77777777" w:rsidTr="00DC0D18">
        <w:trPr>
          <w:trHeight w:val="580"/>
        </w:trPr>
        <w:tc>
          <w:tcPr>
            <w:tcW w:w="1009" w:type="dxa"/>
            <w:tcBorders>
              <w:top w:val="nil"/>
              <w:left w:val="single" w:sz="4" w:space="0" w:color="auto"/>
              <w:bottom w:val="single" w:sz="4" w:space="0" w:color="auto"/>
              <w:right w:val="single" w:sz="4" w:space="0" w:color="auto"/>
            </w:tcBorders>
            <w:shd w:val="clear" w:color="auto" w:fill="auto"/>
            <w:hideMark/>
          </w:tcPr>
          <w:p w14:paraId="3277C224"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EV4wen</w:t>
            </w:r>
          </w:p>
        </w:tc>
        <w:tc>
          <w:tcPr>
            <w:tcW w:w="2388" w:type="dxa"/>
            <w:tcBorders>
              <w:top w:val="nil"/>
              <w:left w:val="nil"/>
              <w:bottom w:val="single" w:sz="4" w:space="0" w:color="auto"/>
              <w:right w:val="single" w:sz="4" w:space="0" w:color="auto"/>
            </w:tcBorders>
            <w:shd w:val="clear" w:color="auto" w:fill="auto"/>
            <w:hideMark/>
          </w:tcPr>
          <w:p w14:paraId="375FA609"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Long Hill Disused Pit</w:t>
            </w:r>
          </w:p>
        </w:tc>
        <w:tc>
          <w:tcPr>
            <w:tcW w:w="4395" w:type="dxa"/>
            <w:tcBorders>
              <w:top w:val="nil"/>
              <w:left w:val="nil"/>
              <w:bottom w:val="single" w:sz="4" w:space="0" w:color="auto"/>
              <w:right w:val="single" w:sz="4" w:space="0" w:color="auto"/>
            </w:tcBorders>
            <w:shd w:val="clear" w:color="auto" w:fill="auto"/>
            <w:hideMark/>
          </w:tcPr>
          <w:p w14:paraId="6B7181A1" w14:textId="76A8FF10" w:rsidR="00FA2CC6" w:rsidRPr="000663FF" w:rsidRDefault="007A1A00"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Once typical dry grassland commun</w:t>
            </w:r>
            <w:r w:rsidR="00DC0D18" w:rsidRPr="000663FF">
              <w:rPr>
                <w:rFonts w:ascii="Calibri" w:hAnsi="Calibri" w:cs="Calibri"/>
                <w:color w:val="auto"/>
                <w:sz w:val="22"/>
                <w:szCs w:val="22"/>
              </w:rPr>
              <w:t>it</w:t>
            </w:r>
            <w:r w:rsidR="00FA2CC6" w:rsidRPr="000663FF">
              <w:rPr>
                <w:rFonts w:ascii="Calibri" w:hAnsi="Calibri" w:cs="Calibri"/>
                <w:color w:val="auto"/>
                <w:sz w:val="22"/>
                <w:szCs w:val="22"/>
              </w:rPr>
              <w:t>ies on disused workings</w:t>
            </w:r>
          </w:p>
        </w:tc>
        <w:tc>
          <w:tcPr>
            <w:tcW w:w="1984" w:type="dxa"/>
            <w:tcBorders>
              <w:top w:val="nil"/>
              <w:left w:val="nil"/>
              <w:bottom w:val="single" w:sz="4" w:space="0" w:color="auto"/>
              <w:right w:val="single" w:sz="4" w:space="0" w:color="auto"/>
            </w:tcBorders>
            <w:shd w:val="clear" w:color="auto" w:fill="auto"/>
            <w:hideMark/>
          </w:tcPr>
          <w:p w14:paraId="7C86FFEF"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Hucknall West</w:t>
            </w:r>
          </w:p>
        </w:tc>
      </w:tr>
      <w:tr w:rsidR="000663FF" w:rsidRPr="000663FF" w14:paraId="178F1D63" w14:textId="77777777" w:rsidTr="000663FF">
        <w:trPr>
          <w:trHeight w:val="290"/>
        </w:trPr>
        <w:tc>
          <w:tcPr>
            <w:tcW w:w="1009" w:type="dxa"/>
            <w:tcBorders>
              <w:top w:val="nil"/>
              <w:left w:val="single" w:sz="4" w:space="0" w:color="auto"/>
              <w:bottom w:val="single" w:sz="4" w:space="0" w:color="auto"/>
              <w:right w:val="single" w:sz="4" w:space="0" w:color="auto"/>
            </w:tcBorders>
            <w:shd w:val="clear" w:color="auto" w:fill="auto"/>
            <w:hideMark/>
          </w:tcPr>
          <w:p w14:paraId="6D6FB282"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EV4weo</w:t>
            </w:r>
          </w:p>
        </w:tc>
        <w:tc>
          <w:tcPr>
            <w:tcW w:w="2388" w:type="dxa"/>
            <w:tcBorders>
              <w:top w:val="nil"/>
              <w:left w:val="nil"/>
              <w:bottom w:val="single" w:sz="4" w:space="0" w:color="auto"/>
              <w:right w:val="single" w:sz="4" w:space="0" w:color="auto"/>
            </w:tcBorders>
            <w:shd w:val="clear" w:color="auto" w:fill="auto"/>
            <w:hideMark/>
          </w:tcPr>
          <w:p w14:paraId="712027E6"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Long Hill Meadow</w:t>
            </w:r>
          </w:p>
        </w:tc>
        <w:tc>
          <w:tcPr>
            <w:tcW w:w="4395" w:type="dxa"/>
            <w:tcBorders>
              <w:top w:val="nil"/>
              <w:left w:val="nil"/>
              <w:bottom w:val="single" w:sz="4" w:space="0" w:color="auto"/>
              <w:right w:val="single" w:sz="4" w:space="0" w:color="auto"/>
            </w:tcBorders>
            <w:shd w:val="clear" w:color="auto" w:fill="auto"/>
            <w:hideMark/>
          </w:tcPr>
          <w:p w14:paraId="79A79A5D" w14:textId="4C4E04D2" w:rsidR="00FA2CC6" w:rsidRPr="000663FF" w:rsidRDefault="007A1A00"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 damp species-rich meadow</w:t>
            </w:r>
          </w:p>
        </w:tc>
        <w:tc>
          <w:tcPr>
            <w:tcW w:w="1984" w:type="dxa"/>
            <w:tcBorders>
              <w:top w:val="nil"/>
              <w:left w:val="nil"/>
              <w:bottom w:val="single" w:sz="4" w:space="0" w:color="auto"/>
              <w:right w:val="single" w:sz="4" w:space="0" w:color="auto"/>
            </w:tcBorders>
            <w:shd w:val="clear" w:color="auto" w:fill="auto"/>
            <w:hideMark/>
          </w:tcPr>
          <w:p w14:paraId="2DD9CCB6"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Hucknall West</w:t>
            </w:r>
          </w:p>
        </w:tc>
      </w:tr>
      <w:tr w:rsidR="000663FF" w:rsidRPr="000663FF" w14:paraId="6F89C0FE" w14:textId="77777777" w:rsidTr="000663FF">
        <w:trPr>
          <w:trHeight w:val="580"/>
        </w:trPr>
        <w:tc>
          <w:tcPr>
            <w:tcW w:w="1009" w:type="dxa"/>
            <w:tcBorders>
              <w:top w:val="single" w:sz="4" w:space="0" w:color="auto"/>
              <w:left w:val="single" w:sz="4" w:space="0" w:color="auto"/>
              <w:bottom w:val="single" w:sz="4" w:space="0" w:color="auto"/>
              <w:right w:val="single" w:sz="4" w:space="0" w:color="auto"/>
            </w:tcBorders>
            <w:shd w:val="clear" w:color="auto" w:fill="auto"/>
            <w:hideMark/>
          </w:tcPr>
          <w:p w14:paraId="68672C70"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EV4wep</w:t>
            </w:r>
          </w:p>
        </w:tc>
        <w:tc>
          <w:tcPr>
            <w:tcW w:w="2388" w:type="dxa"/>
            <w:tcBorders>
              <w:top w:val="single" w:sz="4" w:space="0" w:color="auto"/>
              <w:left w:val="nil"/>
              <w:bottom w:val="single" w:sz="4" w:space="0" w:color="auto"/>
              <w:right w:val="single" w:sz="4" w:space="0" w:color="auto"/>
            </w:tcBorders>
            <w:shd w:val="clear" w:color="auto" w:fill="auto"/>
            <w:hideMark/>
          </w:tcPr>
          <w:p w14:paraId="5920BDD8" w14:textId="77777777" w:rsidR="00FA2CC6" w:rsidRPr="000663FF" w:rsidRDefault="00FA2CC6" w:rsidP="00FA2CC6">
            <w:pPr>
              <w:keepNext w:val="0"/>
              <w:spacing w:before="0"/>
              <w:rPr>
                <w:rFonts w:ascii="Calibri" w:hAnsi="Calibri" w:cs="Calibri"/>
                <w:color w:val="auto"/>
                <w:sz w:val="22"/>
                <w:szCs w:val="22"/>
              </w:rPr>
            </w:pPr>
            <w:proofErr w:type="spellStart"/>
            <w:r w:rsidRPr="000663FF">
              <w:rPr>
                <w:rFonts w:ascii="Calibri" w:hAnsi="Calibri" w:cs="Calibri"/>
                <w:color w:val="auto"/>
                <w:sz w:val="22"/>
                <w:szCs w:val="22"/>
              </w:rPr>
              <w:t>Longside</w:t>
            </w:r>
            <w:proofErr w:type="spellEnd"/>
            <w:r w:rsidRPr="000663FF">
              <w:rPr>
                <w:rFonts w:ascii="Calibri" w:hAnsi="Calibri" w:cs="Calibri"/>
                <w:color w:val="auto"/>
                <w:sz w:val="22"/>
                <w:szCs w:val="22"/>
              </w:rPr>
              <w:t xml:space="preserve"> Farm Grassland</w:t>
            </w:r>
          </w:p>
        </w:tc>
        <w:tc>
          <w:tcPr>
            <w:tcW w:w="4395" w:type="dxa"/>
            <w:tcBorders>
              <w:top w:val="single" w:sz="4" w:space="0" w:color="auto"/>
              <w:left w:val="nil"/>
              <w:bottom w:val="single" w:sz="4" w:space="0" w:color="auto"/>
              <w:right w:val="single" w:sz="4" w:space="0" w:color="auto"/>
            </w:tcBorders>
            <w:shd w:val="clear" w:color="auto" w:fill="auto"/>
            <w:hideMark/>
          </w:tcPr>
          <w:p w14:paraId="581FFCA8" w14:textId="681BB771" w:rsidR="00FA2CC6" w:rsidRPr="000663FF" w:rsidRDefault="007A1A00"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Two hay meadows and a pasture with diverse floras</w:t>
            </w:r>
          </w:p>
        </w:tc>
        <w:tc>
          <w:tcPr>
            <w:tcW w:w="1984" w:type="dxa"/>
            <w:tcBorders>
              <w:top w:val="single" w:sz="4" w:space="0" w:color="auto"/>
              <w:left w:val="nil"/>
              <w:bottom w:val="single" w:sz="4" w:space="0" w:color="auto"/>
              <w:right w:val="single" w:sz="4" w:space="0" w:color="auto"/>
            </w:tcBorders>
            <w:shd w:val="clear" w:color="auto" w:fill="auto"/>
            <w:hideMark/>
          </w:tcPr>
          <w:p w14:paraId="5E2C962A"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Huthwaite &amp; Brierley</w:t>
            </w:r>
          </w:p>
        </w:tc>
      </w:tr>
      <w:tr w:rsidR="000663FF" w:rsidRPr="000663FF" w14:paraId="423AE706" w14:textId="77777777" w:rsidTr="000663FF">
        <w:trPr>
          <w:trHeight w:val="870"/>
        </w:trPr>
        <w:tc>
          <w:tcPr>
            <w:tcW w:w="1009" w:type="dxa"/>
            <w:tcBorders>
              <w:top w:val="single" w:sz="4" w:space="0" w:color="auto"/>
              <w:left w:val="single" w:sz="4" w:space="0" w:color="auto"/>
              <w:bottom w:val="single" w:sz="4" w:space="0" w:color="auto"/>
              <w:right w:val="single" w:sz="4" w:space="0" w:color="auto"/>
            </w:tcBorders>
            <w:shd w:val="clear" w:color="auto" w:fill="auto"/>
            <w:hideMark/>
          </w:tcPr>
          <w:p w14:paraId="12BDB428"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EV4weq</w:t>
            </w:r>
          </w:p>
        </w:tc>
        <w:tc>
          <w:tcPr>
            <w:tcW w:w="2388" w:type="dxa"/>
            <w:tcBorders>
              <w:top w:val="single" w:sz="4" w:space="0" w:color="auto"/>
              <w:left w:val="nil"/>
              <w:bottom w:val="single" w:sz="4" w:space="0" w:color="auto"/>
              <w:right w:val="single" w:sz="4" w:space="0" w:color="auto"/>
            </w:tcBorders>
            <w:shd w:val="clear" w:color="auto" w:fill="auto"/>
            <w:hideMark/>
          </w:tcPr>
          <w:p w14:paraId="12B51AF5"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Maghole Brook and Ashfield District Dumble</w:t>
            </w:r>
          </w:p>
        </w:tc>
        <w:tc>
          <w:tcPr>
            <w:tcW w:w="4395" w:type="dxa"/>
            <w:tcBorders>
              <w:top w:val="single" w:sz="4" w:space="0" w:color="auto"/>
              <w:left w:val="nil"/>
              <w:bottom w:val="single" w:sz="4" w:space="0" w:color="auto"/>
              <w:right w:val="single" w:sz="4" w:space="0" w:color="auto"/>
            </w:tcBorders>
            <w:shd w:val="clear" w:color="auto" w:fill="auto"/>
            <w:hideMark/>
          </w:tcPr>
          <w:p w14:paraId="48D7D3DD" w14:textId="0A594B03" w:rsidR="00FA2CC6" w:rsidRPr="000663FF" w:rsidRDefault="007A1A00"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 xml:space="preserve">A stream and </w:t>
            </w:r>
            <w:proofErr w:type="spellStart"/>
            <w:r w:rsidR="00FA2CC6" w:rsidRPr="000663FF">
              <w:rPr>
                <w:rFonts w:ascii="Calibri" w:hAnsi="Calibri" w:cs="Calibri"/>
                <w:color w:val="auto"/>
                <w:sz w:val="22"/>
                <w:szCs w:val="22"/>
              </w:rPr>
              <w:t>dumble</w:t>
            </w:r>
            <w:proofErr w:type="spellEnd"/>
            <w:r w:rsidR="00FA2CC6" w:rsidRPr="000663FF">
              <w:rPr>
                <w:rFonts w:ascii="Calibri" w:hAnsi="Calibri" w:cs="Calibri"/>
                <w:color w:val="auto"/>
                <w:sz w:val="22"/>
                <w:szCs w:val="22"/>
              </w:rPr>
              <w:t xml:space="preserve"> with their associated woodland and sections of interesting ground flora</w:t>
            </w:r>
          </w:p>
        </w:tc>
        <w:tc>
          <w:tcPr>
            <w:tcW w:w="1984" w:type="dxa"/>
            <w:tcBorders>
              <w:top w:val="single" w:sz="4" w:space="0" w:color="auto"/>
              <w:left w:val="nil"/>
              <w:bottom w:val="single" w:sz="4" w:space="0" w:color="auto"/>
              <w:right w:val="single" w:sz="4" w:space="0" w:color="auto"/>
            </w:tcBorders>
            <w:shd w:val="clear" w:color="auto" w:fill="auto"/>
            <w:hideMark/>
          </w:tcPr>
          <w:p w14:paraId="1AE79B3B"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Larwood</w:t>
            </w:r>
          </w:p>
        </w:tc>
      </w:tr>
      <w:tr w:rsidR="000663FF" w:rsidRPr="000663FF" w14:paraId="29248A57" w14:textId="77777777" w:rsidTr="00DC0D18">
        <w:trPr>
          <w:trHeight w:val="580"/>
        </w:trPr>
        <w:tc>
          <w:tcPr>
            <w:tcW w:w="1009" w:type="dxa"/>
            <w:tcBorders>
              <w:top w:val="nil"/>
              <w:left w:val="single" w:sz="4" w:space="0" w:color="auto"/>
              <w:bottom w:val="single" w:sz="4" w:space="0" w:color="auto"/>
              <w:right w:val="single" w:sz="4" w:space="0" w:color="auto"/>
            </w:tcBorders>
            <w:shd w:val="clear" w:color="auto" w:fill="auto"/>
            <w:hideMark/>
          </w:tcPr>
          <w:p w14:paraId="68BD9AAF"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EV4wer</w:t>
            </w:r>
          </w:p>
        </w:tc>
        <w:tc>
          <w:tcPr>
            <w:tcW w:w="2388" w:type="dxa"/>
            <w:tcBorders>
              <w:top w:val="nil"/>
              <w:left w:val="nil"/>
              <w:bottom w:val="single" w:sz="4" w:space="0" w:color="auto"/>
              <w:right w:val="single" w:sz="4" w:space="0" w:color="auto"/>
            </w:tcBorders>
            <w:shd w:val="clear" w:color="auto" w:fill="auto"/>
            <w:hideMark/>
          </w:tcPr>
          <w:p w14:paraId="4CE40CAE"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Mawkin Lane Grassland</w:t>
            </w:r>
          </w:p>
        </w:tc>
        <w:tc>
          <w:tcPr>
            <w:tcW w:w="4395" w:type="dxa"/>
            <w:tcBorders>
              <w:top w:val="nil"/>
              <w:left w:val="nil"/>
              <w:bottom w:val="single" w:sz="4" w:space="0" w:color="auto"/>
              <w:right w:val="single" w:sz="4" w:space="0" w:color="auto"/>
            </w:tcBorders>
            <w:shd w:val="clear" w:color="auto" w:fill="auto"/>
            <w:hideMark/>
          </w:tcPr>
          <w:p w14:paraId="63C758A2" w14:textId="1E9F6737" w:rsidR="00FA2CC6" w:rsidRPr="000663FF" w:rsidRDefault="007A1A00"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Notable coal-measures grassland</w:t>
            </w:r>
          </w:p>
        </w:tc>
        <w:tc>
          <w:tcPr>
            <w:tcW w:w="1984" w:type="dxa"/>
            <w:tcBorders>
              <w:top w:val="nil"/>
              <w:left w:val="nil"/>
              <w:bottom w:val="single" w:sz="4" w:space="0" w:color="auto"/>
              <w:right w:val="single" w:sz="4" w:space="0" w:color="auto"/>
            </w:tcBorders>
            <w:shd w:val="clear" w:color="auto" w:fill="auto"/>
            <w:hideMark/>
          </w:tcPr>
          <w:p w14:paraId="71A02E7E"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Kirkby Cross &amp; Portland</w:t>
            </w:r>
          </w:p>
        </w:tc>
      </w:tr>
      <w:tr w:rsidR="000663FF" w:rsidRPr="000663FF" w14:paraId="27B185D9" w14:textId="77777777" w:rsidTr="00DC0D18">
        <w:trPr>
          <w:trHeight w:val="580"/>
        </w:trPr>
        <w:tc>
          <w:tcPr>
            <w:tcW w:w="1009" w:type="dxa"/>
            <w:tcBorders>
              <w:top w:val="nil"/>
              <w:left w:val="single" w:sz="4" w:space="0" w:color="auto"/>
              <w:bottom w:val="single" w:sz="4" w:space="0" w:color="auto"/>
              <w:right w:val="single" w:sz="4" w:space="0" w:color="auto"/>
            </w:tcBorders>
            <w:shd w:val="clear" w:color="auto" w:fill="auto"/>
            <w:hideMark/>
          </w:tcPr>
          <w:p w14:paraId="79DBFB1A"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EV4wes</w:t>
            </w:r>
          </w:p>
        </w:tc>
        <w:tc>
          <w:tcPr>
            <w:tcW w:w="2388" w:type="dxa"/>
            <w:tcBorders>
              <w:top w:val="nil"/>
              <w:left w:val="nil"/>
              <w:bottom w:val="single" w:sz="4" w:space="0" w:color="auto"/>
              <w:right w:val="single" w:sz="4" w:space="0" w:color="auto"/>
            </w:tcBorders>
            <w:shd w:val="clear" w:color="auto" w:fill="auto"/>
            <w:hideMark/>
          </w:tcPr>
          <w:p w14:paraId="073D09F0"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Mawkin's Lane</w:t>
            </w:r>
          </w:p>
        </w:tc>
        <w:tc>
          <w:tcPr>
            <w:tcW w:w="4395" w:type="dxa"/>
            <w:tcBorders>
              <w:top w:val="nil"/>
              <w:left w:val="nil"/>
              <w:bottom w:val="single" w:sz="4" w:space="0" w:color="auto"/>
              <w:right w:val="single" w:sz="4" w:space="0" w:color="auto"/>
            </w:tcBorders>
            <w:shd w:val="clear" w:color="auto" w:fill="auto"/>
            <w:hideMark/>
          </w:tcPr>
          <w:p w14:paraId="4BB2E878" w14:textId="64477A80" w:rsidR="00FA2CC6" w:rsidRPr="000663FF" w:rsidRDefault="007A1A00"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 green path with a notable community</w:t>
            </w:r>
          </w:p>
        </w:tc>
        <w:tc>
          <w:tcPr>
            <w:tcW w:w="1984" w:type="dxa"/>
            <w:tcBorders>
              <w:top w:val="nil"/>
              <w:left w:val="nil"/>
              <w:bottom w:val="single" w:sz="4" w:space="0" w:color="auto"/>
              <w:right w:val="single" w:sz="4" w:space="0" w:color="auto"/>
            </w:tcBorders>
            <w:shd w:val="clear" w:color="auto" w:fill="auto"/>
            <w:hideMark/>
          </w:tcPr>
          <w:p w14:paraId="298D2AD9"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Kirkby Cross &amp; Portland</w:t>
            </w:r>
          </w:p>
        </w:tc>
      </w:tr>
      <w:tr w:rsidR="000663FF" w:rsidRPr="000663FF" w14:paraId="30B273BC" w14:textId="77777777" w:rsidTr="00DC0D18">
        <w:trPr>
          <w:trHeight w:val="870"/>
        </w:trPr>
        <w:tc>
          <w:tcPr>
            <w:tcW w:w="1009" w:type="dxa"/>
            <w:tcBorders>
              <w:top w:val="nil"/>
              <w:left w:val="single" w:sz="4" w:space="0" w:color="auto"/>
              <w:bottom w:val="single" w:sz="4" w:space="0" w:color="auto"/>
              <w:right w:val="single" w:sz="4" w:space="0" w:color="auto"/>
            </w:tcBorders>
            <w:shd w:val="clear" w:color="auto" w:fill="auto"/>
            <w:hideMark/>
          </w:tcPr>
          <w:p w14:paraId="6068A674"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EV4wet</w:t>
            </w:r>
          </w:p>
        </w:tc>
        <w:tc>
          <w:tcPr>
            <w:tcW w:w="2388" w:type="dxa"/>
            <w:tcBorders>
              <w:top w:val="nil"/>
              <w:left w:val="nil"/>
              <w:bottom w:val="single" w:sz="4" w:space="0" w:color="auto"/>
              <w:right w:val="single" w:sz="4" w:space="0" w:color="auto"/>
            </w:tcBorders>
            <w:shd w:val="clear" w:color="auto" w:fill="auto"/>
            <w:hideMark/>
          </w:tcPr>
          <w:p w14:paraId="29C69B11"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Middle Brook and Millington Springs</w:t>
            </w:r>
          </w:p>
        </w:tc>
        <w:tc>
          <w:tcPr>
            <w:tcW w:w="4395" w:type="dxa"/>
            <w:tcBorders>
              <w:top w:val="nil"/>
              <w:left w:val="nil"/>
              <w:bottom w:val="single" w:sz="4" w:space="0" w:color="auto"/>
              <w:right w:val="single" w:sz="4" w:space="0" w:color="auto"/>
            </w:tcBorders>
            <w:shd w:val="clear" w:color="auto" w:fill="auto"/>
            <w:hideMark/>
          </w:tcPr>
          <w:p w14:paraId="4337965F" w14:textId="25337251" w:rsidR="00FA2CC6" w:rsidRPr="000663FF" w:rsidRDefault="007A1A00"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Large area of replanted woodland with an ancient woodland flora along a stream</w:t>
            </w:r>
          </w:p>
        </w:tc>
        <w:tc>
          <w:tcPr>
            <w:tcW w:w="1984" w:type="dxa"/>
            <w:tcBorders>
              <w:top w:val="nil"/>
              <w:left w:val="nil"/>
              <w:bottom w:val="single" w:sz="4" w:space="0" w:color="auto"/>
              <w:right w:val="single" w:sz="4" w:space="0" w:color="auto"/>
            </w:tcBorders>
            <w:shd w:val="clear" w:color="auto" w:fill="auto"/>
            <w:hideMark/>
          </w:tcPr>
          <w:p w14:paraId="46908105"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Underwood</w:t>
            </w:r>
          </w:p>
        </w:tc>
      </w:tr>
      <w:tr w:rsidR="000663FF" w:rsidRPr="000663FF" w14:paraId="4852FD2F" w14:textId="77777777" w:rsidTr="00DC0D18">
        <w:trPr>
          <w:trHeight w:val="580"/>
        </w:trPr>
        <w:tc>
          <w:tcPr>
            <w:tcW w:w="1009" w:type="dxa"/>
            <w:tcBorders>
              <w:top w:val="nil"/>
              <w:left w:val="single" w:sz="4" w:space="0" w:color="auto"/>
              <w:bottom w:val="single" w:sz="4" w:space="0" w:color="auto"/>
              <w:right w:val="single" w:sz="4" w:space="0" w:color="auto"/>
            </w:tcBorders>
            <w:shd w:val="clear" w:color="auto" w:fill="auto"/>
            <w:hideMark/>
          </w:tcPr>
          <w:p w14:paraId="490EC1BF"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EV4weu</w:t>
            </w:r>
          </w:p>
        </w:tc>
        <w:tc>
          <w:tcPr>
            <w:tcW w:w="2388" w:type="dxa"/>
            <w:tcBorders>
              <w:top w:val="nil"/>
              <w:left w:val="nil"/>
              <w:bottom w:val="single" w:sz="4" w:space="0" w:color="auto"/>
              <w:right w:val="single" w:sz="4" w:space="0" w:color="auto"/>
            </w:tcBorders>
            <w:shd w:val="clear" w:color="auto" w:fill="auto"/>
            <w:hideMark/>
          </w:tcPr>
          <w:p w14:paraId="562B9D0B"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Middlebrook Grassland</w:t>
            </w:r>
          </w:p>
        </w:tc>
        <w:tc>
          <w:tcPr>
            <w:tcW w:w="4395" w:type="dxa"/>
            <w:tcBorders>
              <w:top w:val="nil"/>
              <w:left w:val="nil"/>
              <w:bottom w:val="single" w:sz="4" w:space="0" w:color="auto"/>
              <w:right w:val="single" w:sz="4" w:space="0" w:color="auto"/>
            </w:tcBorders>
            <w:shd w:val="clear" w:color="auto" w:fill="auto"/>
            <w:hideMark/>
          </w:tcPr>
          <w:p w14:paraId="623494F9" w14:textId="41B563E5" w:rsidR="00FA2CC6" w:rsidRPr="000663FF" w:rsidRDefault="007A1A00"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 good species-rich example of a Coal Measures type grassland</w:t>
            </w:r>
          </w:p>
        </w:tc>
        <w:tc>
          <w:tcPr>
            <w:tcW w:w="1984" w:type="dxa"/>
            <w:tcBorders>
              <w:top w:val="nil"/>
              <w:left w:val="nil"/>
              <w:bottom w:val="single" w:sz="4" w:space="0" w:color="auto"/>
              <w:right w:val="single" w:sz="4" w:space="0" w:color="auto"/>
            </w:tcBorders>
            <w:shd w:val="clear" w:color="auto" w:fill="auto"/>
            <w:hideMark/>
          </w:tcPr>
          <w:p w14:paraId="1643F677"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Underwood</w:t>
            </w:r>
          </w:p>
        </w:tc>
      </w:tr>
      <w:tr w:rsidR="000663FF" w:rsidRPr="000663FF" w14:paraId="4F64DE81" w14:textId="77777777" w:rsidTr="00DC0D18">
        <w:trPr>
          <w:trHeight w:val="580"/>
        </w:trPr>
        <w:tc>
          <w:tcPr>
            <w:tcW w:w="1009" w:type="dxa"/>
            <w:tcBorders>
              <w:top w:val="nil"/>
              <w:left w:val="single" w:sz="4" w:space="0" w:color="auto"/>
              <w:bottom w:val="single" w:sz="4" w:space="0" w:color="auto"/>
              <w:right w:val="single" w:sz="4" w:space="0" w:color="auto"/>
            </w:tcBorders>
            <w:shd w:val="clear" w:color="auto" w:fill="auto"/>
            <w:hideMark/>
          </w:tcPr>
          <w:p w14:paraId="32C7D8A1"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EV4wev</w:t>
            </w:r>
          </w:p>
        </w:tc>
        <w:tc>
          <w:tcPr>
            <w:tcW w:w="2388" w:type="dxa"/>
            <w:tcBorders>
              <w:top w:val="nil"/>
              <w:left w:val="nil"/>
              <w:bottom w:val="single" w:sz="4" w:space="0" w:color="auto"/>
              <w:right w:val="single" w:sz="4" w:space="0" w:color="auto"/>
            </w:tcBorders>
            <w:shd w:val="clear" w:color="auto" w:fill="auto"/>
            <w:hideMark/>
          </w:tcPr>
          <w:p w14:paraId="37CE6930"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Middlebrook Meadow</w:t>
            </w:r>
          </w:p>
        </w:tc>
        <w:tc>
          <w:tcPr>
            <w:tcW w:w="4395" w:type="dxa"/>
            <w:tcBorders>
              <w:top w:val="nil"/>
              <w:left w:val="nil"/>
              <w:bottom w:val="single" w:sz="4" w:space="0" w:color="auto"/>
              <w:right w:val="single" w:sz="4" w:space="0" w:color="auto"/>
            </w:tcBorders>
            <w:shd w:val="clear" w:color="auto" w:fill="auto"/>
            <w:hideMark/>
          </w:tcPr>
          <w:p w14:paraId="04A621F8" w14:textId="66C61331" w:rsidR="00FA2CC6" w:rsidRPr="000663FF" w:rsidRDefault="007A1A00"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 classic Coal Measures type community</w:t>
            </w:r>
          </w:p>
        </w:tc>
        <w:tc>
          <w:tcPr>
            <w:tcW w:w="1984" w:type="dxa"/>
            <w:tcBorders>
              <w:top w:val="nil"/>
              <w:left w:val="nil"/>
              <w:bottom w:val="single" w:sz="4" w:space="0" w:color="auto"/>
              <w:right w:val="single" w:sz="4" w:space="0" w:color="auto"/>
            </w:tcBorders>
            <w:shd w:val="clear" w:color="auto" w:fill="auto"/>
            <w:hideMark/>
          </w:tcPr>
          <w:p w14:paraId="7471DE2A"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Underwood</w:t>
            </w:r>
          </w:p>
        </w:tc>
      </w:tr>
      <w:tr w:rsidR="000663FF" w:rsidRPr="000663FF" w14:paraId="70148A6F" w14:textId="77777777" w:rsidTr="00DC0D18">
        <w:trPr>
          <w:trHeight w:val="290"/>
        </w:trPr>
        <w:tc>
          <w:tcPr>
            <w:tcW w:w="1009" w:type="dxa"/>
            <w:tcBorders>
              <w:top w:val="single" w:sz="4" w:space="0" w:color="auto"/>
              <w:left w:val="single" w:sz="4" w:space="0" w:color="auto"/>
              <w:bottom w:val="single" w:sz="4" w:space="0" w:color="auto"/>
              <w:right w:val="single" w:sz="4" w:space="0" w:color="auto"/>
            </w:tcBorders>
            <w:shd w:val="clear" w:color="auto" w:fill="auto"/>
            <w:hideMark/>
          </w:tcPr>
          <w:p w14:paraId="6BB8CE68"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EV4wew</w:t>
            </w:r>
          </w:p>
        </w:tc>
        <w:tc>
          <w:tcPr>
            <w:tcW w:w="2388" w:type="dxa"/>
            <w:tcBorders>
              <w:top w:val="single" w:sz="4" w:space="0" w:color="auto"/>
              <w:left w:val="single" w:sz="4" w:space="0" w:color="auto"/>
              <w:bottom w:val="single" w:sz="4" w:space="0" w:color="auto"/>
              <w:right w:val="single" w:sz="4" w:space="0" w:color="auto"/>
            </w:tcBorders>
            <w:shd w:val="clear" w:color="auto" w:fill="auto"/>
            <w:hideMark/>
          </w:tcPr>
          <w:p w14:paraId="2BD359ED"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Mill Lake Pasture, Bestwood</w:t>
            </w:r>
          </w:p>
        </w:tc>
        <w:tc>
          <w:tcPr>
            <w:tcW w:w="4395" w:type="dxa"/>
            <w:tcBorders>
              <w:top w:val="single" w:sz="4" w:space="0" w:color="auto"/>
              <w:left w:val="single" w:sz="4" w:space="0" w:color="auto"/>
              <w:bottom w:val="single" w:sz="4" w:space="0" w:color="auto"/>
              <w:right w:val="single" w:sz="4" w:space="0" w:color="auto"/>
            </w:tcBorders>
            <w:shd w:val="clear" w:color="auto" w:fill="auto"/>
            <w:hideMark/>
          </w:tcPr>
          <w:p w14:paraId="662DB389" w14:textId="57DB382F" w:rsidR="00FA2CC6" w:rsidRPr="000663FF" w:rsidRDefault="007A1A00"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 valuable damp riverside pasture</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024D71D4"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Hucknall South</w:t>
            </w:r>
          </w:p>
        </w:tc>
      </w:tr>
      <w:tr w:rsidR="000663FF" w:rsidRPr="000663FF" w14:paraId="0E3B90AD" w14:textId="77777777" w:rsidTr="00DC0D18">
        <w:trPr>
          <w:trHeight w:val="290"/>
        </w:trPr>
        <w:tc>
          <w:tcPr>
            <w:tcW w:w="1009" w:type="dxa"/>
            <w:tcBorders>
              <w:top w:val="single" w:sz="4" w:space="0" w:color="auto"/>
              <w:left w:val="single" w:sz="4" w:space="0" w:color="auto"/>
              <w:bottom w:val="single" w:sz="4" w:space="0" w:color="auto"/>
              <w:right w:val="single" w:sz="4" w:space="0" w:color="auto"/>
            </w:tcBorders>
            <w:shd w:val="clear" w:color="auto" w:fill="auto"/>
            <w:hideMark/>
          </w:tcPr>
          <w:p w14:paraId="5F0FBBE9"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EV4wex</w:t>
            </w:r>
          </w:p>
        </w:tc>
        <w:tc>
          <w:tcPr>
            <w:tcW w:w="2388" w:type="dxa"/>
            <w:tcBorders>
              <w:top w:val="single" w:sz="4" w:space="0" w:color="auto"/>
              <w:left w:val="nil"/>
              <w:bottom w:val="single" w:sz="4" w:space="0" w:color="auto"/>
              <w:right w:val="single" w:sz="4" w:space="0" w:color="auto"/>
            </w:tcBorders>
            <w:shd w:val="clear" w:color="auto" w:fill="auto"/>
            <w:hideMark/>
          </w:tcPr>
          <w:p w14:paraId="79A8C6A9"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Mill Lake Swamp</w:t>
            </w:r>
          </w:p>
        </w:tc>
        <w:tc>
          <w:tcPr>
            <w:tcW w:w="4395" w:type="dxa"/>
            <w:tcBorders>
              <w:top w:val="single" w:sz="4" w:space="0" w:color="auto"/>
              <w:left w:val="nil"/>
              <w:bottom w:val="single" w:sz="4" w:space="0" w:color="auto"/>
              <w:right w:val="single" w:sz="4" w:space="0" w:color="auto"/>
            </w:tcBorders>
            <w:shd w:val="clear" w:color="auto" w:fill="auto"/>
            <w:hideMark/>
          </w:tcPr>
          <w:p w14:paraId="5ADA4C9C" w14:textId="100746CF" w:rsidR="00FA2CC6" w:rsidRPr="000663FF" w:rsidRDefault="007A1A00"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 valuable tall swamp habitat</w:t>
            </w:r>
          </w:p>
        </w:tc>
        <w:tc>
          <w:tcPr>
            <w:tcW w:w="1984" w:type="dxa"/>
            <w:tcBorders>
              <w:top w:val="single" w:sz="4" w:space="0" w:color="auto"/>
              <w:left w:val="nil"/>
              <w:bottom w:val="single" w:sz="4" w:space="0" w:color="auto"/>
              <w:right w:val="single" w:sz="4" w:space="0" w:color="auto"/>
            </w:tcBorders>
            <w:shd w:val="clear" w:color="auto" w:fill="auto"/>
            <w:hideMark/>
          </w:tcPr>
          <w:p w14:paraId="03B9E966"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Hucknall South</w:t>
            </w:r>
          </w:p>
        </w:tc>
      </w:tr>
      <w:tr w:rsidR="000663FF" w:rsidRPr="000663FF" w14:paraId="05BF91F7" w14:textId="77777777" w:rsidTr="00DC0D18">
        <w:trPr>
          <w:trHeight w:val="580"/>
        </w:trPr>
        <w:tc>
          <w:tcPr>
            <w:tcW w:w="1009" w:type="dxa"/>
            <w:tcBorders>
              <w:top w:val="nil"/>
              <w:left w:val="single" w:sz="4" w:space="0" w:color="auto"/>
              <w:bottom w:val="single" w:sz="4" w:space="0" w:color="auto"/>
              <w:right w:val="single" w:sz="4" w:space="0" w:color="auto"/>
            </w:tcBorders>
            <w:shd w:val="clear" w:color="auto" w:fill="auto"/>
            <w:hideMark/>
          </w:tcPr>
          <w:p w14:paraId="1E29ED2E"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EV4wey</w:t>
            </w:r>
          </w:p>
        </w:tc>
        <w:tc>
          <w:tcPr>
            <w:tcW w:w="2388" w:type="dxa"/>
            <w:tcBorders>
              <w:top w:val="nil"/>
              <w:left w:val="nil"/>
              <w:bottom w:val="single" w:sz="4" w:space="0" w:color="auto"/>
              <w:right w:val="single" w:sz="4" w:space="0" w:color="auto"/>
            </w:tcBorders>
            <w:shd w:val="clear" w:color="auto" w:fill="auto"/>
            <w:hideMark/>
          </w:tcPr>
          <w:p w14:paraId="497CB741"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Mill Lakes, Bestwood</w:t>
            </w:r>
          </w:p>
        </w:tc>
        <w:tc>
          <w:tcPr>
            <w:tcW w:w="4395" w:type="dxa"/>
            <w:tcBorders>
              <w:top w:val="nil"/>
              <w:left w:val="nil"/>
              <w:bottom w:val="single" w:sz="4" w:space="0" w:color="auto"/>
              <w:right w:val="single" w:sz="4" w:space="0" w:color="auto"/>
            </w:tcBorders>
            <w:shd w:val="clear" w:color="auto" w:fill="auto"/>
            <w:hideMark/>
          </w:tcPr>
          <w:p w14:paraId="508F25A2" w14:textId="02341D9D" w:rsidR="00FA2CC6" w:rsidRPr="000663FF" w:rsidRDefault="007A1A00"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 landscaped lake with a good range of species</w:t>
            </w:r>
          </w:p>
        </w:tc>
        <w:tc>
          <w:tcPr>
            <w:tcW w:w="1984" w:type="dxa"/>
            <w:tcBorders>
              <w:top w:val="nil"/>
              <w:left w:val="nil"/>
              <w:bottom w:val="single" w:sz="4" w:space="0" w:color="auto"/>
              <w:right w:val="single" w:sz="4" w:space="0" w:color="auto"/>
            </w:tcBorders>
            <w:shd w:val="clear" w:color="auto" w:fill="auto"/>
            <w:hideMark/>
          </w:tcPr>
          <w:p w14:paraId="1EA39CB5"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Hucknall South</w:t>
            </w:r>
          </w:p>
        </w:tc>
      </w:tr>
      <w:tr w:rsidR="000663FF" w:rsidRPr="000663FF" w14:paraId="7A1128F9" w14:textId="77777777" w:rsidTr="00DC0D18">
        <w:trPr>
          <w:trHeight w:val="580"/>
        </w:trPr>
        <w:tc>
          <w:tcPr>
            <w:tcW w:w="1009" w:type="dxa"/>
            <w:tcBorders>
              <w:top w:val="nil"/>
              <w:left w:val="single" w:sz="4" w:space="0" w:color="auto"/>
              <w:bottom w:val="single" w:sz="4" w:space="0" w:color="auto"/>
              <w:right w:val="single" w:sz="4" w:space="0" w:color="auto"/>
            </w:tcBorders>
            <w:shd w:val="clear" w:color="auto" w:fill="auto"/>
            <w:hideMark/>
          </w:tcPr>
          <w:p w14:paraId="214F6BC7"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EV4wez</w:t>
            </w:r>
          </w:p>
        </w:tc>
        <w:tc>
          <w:tcPr>
            <w:tcW w:w="2388" w:type="dxa"/>
            <w:tcBorders>
              <w:top w:val="nil"/>
              <w:left w:val="nil"/>
              <w:bottom w:val="single" w:sz="4" w:space="0" w:color="auto"/>
              <w:right w:val="single" w:sz="4" w:space="0" w:color="auto"/>
            </w:tcBorders>
            <w:shd w:val="clear" w:color="auto" w:fill="auto"/>
            <w:hideMark/>
          </w:tcPr>
          <w:p w14:paraId="7EE669DC"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Millington Springs Grassland</w:t>
            </w:r>
          </w:p>
        </w:tc>
        <w:tc>
          <w:tcPr>
            <w:tcW w:w="4395" w:type="dxa"/>
            <w:tcBorders>
              <w:top w:val="nil"/>
              <w:left w:val="nil"/>
              <w:bottom w:val="single" w:sz="4" w:space="0" w:color="auto"/>
              <w:right w:val="single" w:sz="4" w:space="0" w:color="auto"/>
            </w:tcBorders>
            <w:shd w:val="clear" w:color="auto" w:fill="auto"/>
            <w:hideMark/>
          </w:tcPr>
          <w:p w14:paraId="68782271" w14:textId="2460BC2C" w:rsidR="00FA2CC6" w:rsidRPr="000663FF" w:rsidRDefault="007A1A00"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 good species-rich example of a damp Coal Measures type grassland</w:t>
            </w:r>
          </w:p>
        </w:tc>
        <w:tc>
          <w:tcPr>
            <w:tcW w:w="1984" w:type="dxa"/>
            <w:tcBorders>
              <w:top w:val="nil"/>
              <w:left w:val="nil"/>
              <w:bottom w:val="single" w:sz="4" w:space="0" w:color="auto"/>
              <w:right w:val="single" w:sz="4" w:space="0" w:color="auto"/>
            </w:tcBorders>
            <w:shd w:val="clear" w:color="auto" w:fill="auto"/>
            <w:hideMark/>
          </w:tcPr>
          <w:p w14:paraId="63CE3D43"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Underwood</w:t>
            </w:r>
          </w:p>
        </w:tc>
      </w:tr>
      <w:tr w:rsidR="000663FF" w:rsidRPr="000663FF" w14:paraId="65DCA0F9" w14:textId="77777777" w:rsidTr="00DC0D18">
        <w:trPr>
          <w:trHeight w:val="870"/>
        </w:trPr>
        <w:tc>
          <w:tcPr>
            <w:tcW w:w="1009" w:type="dxa"/>
            <w:tcBorders>
              <w:top w:val="nil"/>
              <w:left w:val="single" w:sz="4" w:space="0" w:color="auto"/>
              <w:bottom w:val="single" w:sz="4" w:space="0" w:color="auto"/>
              <w:right w:val="single" w:sz="4" w:space="0" w:color="auto"/>
            </w:tcBorders>
            <w:shd w:val="clear" w:color="auto" w:fill="auto"/>
            <w:hideMark/>
          </w:tcPr>
          <w:p w14:paraId="7F5DDF66"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EV4wf</w:t>
            </w:r>
          </w:p>
        </w:tc>
        <w:tc>
          <w:tcPr>
            <w:tcW w:w="2388" w:type="dxa"/>
            <w:tcBorders>
              <w:top w:val="nil"/>
              <w:left w:val="nil"/>
              <w:bottom w:val="single" w:sz="4" w:space="0" w:color="auto"/>
              <w:right w:val="single" w:sz="4" w:space="0" w:color="auto"/>
            </w:tcBorders>
            <w:shd w:val="clear" w:color="auto" w:fill="auto"/>
            <w:hideMark/>
          </w:tcPr>
          <w:p w14:paraId="4F505180"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Moor Road Disused Railway, Bestwood</w:t>
            </w:r>
          </w:p>
        </w:tc>
        <w:tc>
          <w:tcPr>
            <w:tcW w:w="4395" w:type="dxa"/>
            <w:tcBorders>
              <w:top w:val="nil"/>
              <w:left w:val="nil"/>
              <w:bottom w:val="single" w:sz="4" w:space="0" w:color="auto"/>
              <w:right w:val="single" w:sz="4" w:space="0" w:color="auto"/>
            </w:tcBorders>
            <w:shd w:val="clear" w:color="auto" w:fill="auto"/>
            <w:hideMark/>
          </w:tcPr>
          <w:p w14:paraId="575388AB" w14:textId="2E1F96F0" w:rsidR="00FA2CC6" w:rsidRPr="000663FF" w:rsidRDefault="007A1A00"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An interesting length of disused railway vegetated by dense scrub and a notable herb community</w:t>
            </w:r>
          </w:p>
        </w:tc>
        <w:tc>
          <w:tcPr>
            <w:tcW w:w="1984" w:type="dxa"/>
            <w:tcBorders>
              <w:top w:val="nil"/>
              <w:left w:val="nil"/>
              <w:bottom w:val="single" w:sz="4" w:space="0" w:color="auto"/>
              <w:right w:val="single" w:sz="4" w:space="0" w:color="auto"/>
            </w:tcBorders>
            <w:shd w:val="clear" w:color="auto" w:fill="auto"/>
            <w:hideMark/>
          </w:tcPr>
          <w:p w14:paraId="3AAEFAE9"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Hucknall South</w:t>
            </w:r>
          </w:p>
        </w:tc>
      </w:tr>
      <w:tr w:rsidR="000663FF" w:rsidRPr="000663FF" w14:paraId="054AECB5" w14:textId="77777777" w:rsidTr="00DC0D18">
        <w:trPr>
          <w:trHeight w:val="870"/>
        </w:trPr>
        <w:tc>
          <w:tcPr>
            <w:tcW w:w="1009" w:type="dxa"/>
            <w:tcBorders>
              <w:top w:val="nil"/>
              <w:left w:val="single" w:sz="4" w:space="0" w:color="auto"/>
              <w:bottom w:val="single" w:sz="4" w:space="0" w:color="auto"/>
              <w:right w:val="single" w:sz="4" w:space="0" w:color="auto"/>
            </w:tcBorders>
            <w:shd w:val="clear" w:color="auto" w:fill="auto"/>
            <w:hideMark/>
          </w:tcPr>
          <w:p w14:paraId="5C18529D"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EV4wfa</w:t>
            </w:r>
          </w:p>
        </w:tc>
        <w:tc>
          <w:tcPr>
            <w:tcW w:w="2388" w:type="dxa"/>
            <w:tcBorders>
              <w:top w:val="nil"/>
              <w:left w:val="nil"/>
              <w:bottom w:val="single" w:sz="4" w:space="0" w:color="auto"/>
              <w:right w:val="single" w:sz="4" w:space="0" w:color="auto"/>
            </w:tcBorders>
            <w:shd w:val="clear" w:color="auto" w:fill="auto"/>
            <w:hideMark/>
          </w:tcPr>
          <w:p w14:paraId="2C2628ED"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Morning Springs</w:t>
            </w:r>
          </w:p>
        </w:tc>
        <w:tc>
          <w:tcPr>
            <w:tcW w:w="4395" w:type="dxa"/>
            <w:tcBorders>
              <w:top w:val="nil"/>
              <w:left w:val="nil"/>
              <w:bottom w:val="single" w:sz="4" w:space="0" w:color="auto"/>
              <w:right w:val="single" w:sz="4" w:space="0" w:color="auto"/>
            </w:tcBorders>
            <w:shd w:val="clear" w:color="auto" w:fill="auto"/>
            <w:hideMark/>
          </w:tcPr>
          <w:p w14:paraId="4EFCE869" w14:textId="0CEE5373" w:rsidR="00FA2CC6" w:rsidRPr="000663FF" w:rsidRDefault="007A1A00"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 coniferous plantation with deciduous areas and species-rich pockets</w:t>
            </w:r>
          </w:p>
        </w:tc>
        <w:tc>
          <w:tcPr>
            <w:tcW w:w="1984" w:type="dxa"/>
            <w:tcBorders>
              <w:top w:val="nil"/>
              <w:left w:val="nil"/>
              <w:bottom w:val="single" w:sz="4" w:space="0" w:color="auto"/>
              <w:right w:val="single" w:sz="4" w:space="0" w:color="auto"/>
            </w:tcBorders>
            <w:shd w:val="clear" w:color="auto" w:fill="auto"/>
            <w:hideMark/>
          </w:tcPr>
          <w:p w14:paraId="576CD597"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Annesley &amp; Kirkby Woodhouse</w:t>
            </w:r>
          </w:p>
        </w:tc>
      </w:tr>
      <w:tr w:rsidR="000663FF" w:rsidRPr="000663FF" w14:paraId="74AC446C" w14:textId="77777777" w:rsidTr="00DC0D18">
        <w:trPr>
          <w:trHeight w:val="290"/>
        </w:trPr>
        <w:tc>
          <w:tcPr>
            <w:tcW w:w="1009" w:type="dxa"/>
            <w:tcBorders>
              <w:top w:val="nil"/>
              <w:left w:val="single" w:sz="4" w:space="0" w:color="auto"/>
              <w:bottom w:val="single" w:sz="4" w:space="0" w:color="auto"/>
              <w:right w:val="single" w:sz="4" w:space="0" w:color="auto"/>
            </w:tcBorders>
            <w:shd w:val="clear" w:color="auto" w:fill="auto"/>
            <w:hideMark/>
          </w:tcPr>
          <w:p w14:paraId="26678FFB"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EV4wfb</w:t>
            </w:r>
          </w:p>
        </w:tc>
        <w:tc>
          <w:tcPr>
            <w:tcW w:w="2388" w:type="dxa"/>
            <w:tcBorders>
              <w:top w:val="nil"/>
              <w:left w:val="nil"/>
              <w:bottom w:val="single" w:sz="4" w:space="0" w:color="auto"/>
              <w:right w:val="single" w:sz="4" w:space="0" w:color="auto"/>
            </w:tcBorders>
            <w:shd w:val="clear" w:color="auto" w:fill="auto"/>
            <w:hideMark/>
          </w:tcPr>
          <w:p w14:paraId="6E0B5ACF"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Moseley Spring</w:t>
            </w:r>
          </w:p>
        </w:tc>
        <w:tc>
          <w:tcPr>
            <w:tcW w:w="4395" w:type="dxa"/>
            <w:tcBorders>
              <w:top w:val="nil"/>
              <w:left w:val="nil"/>
              <w:bottom w:val="single" w:sz="4" w:space="0" w:color="auto"/>
              <w:right w:val="single" w:sz="4" w:space="0" w:color="auto"/>
            </w:tcBorders>
            <w:shd w:val="clear" w:color="auto" w:fill="auto"/>
            <w:hideMark/>
          </w:tcPr>
          <w:p w14:paraId="44A7B41B" w14:textId="2E042996" w:rsidR="00FA2CC6" w:rsidRPr="000663FF" w:rsidRDefault="007A1A00"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 damp acid woodland</w:t>
            </w:r>
          </w:p>
        </w:tc>
        <w:tc>
          <w:tcPr>
            <w:tcW w:w="1984" w:type="dxa"/>
            <w:tcBorders>
              <w:top w:val="nil"/>
              <w:left w:val="nil"/>
              <w:bottom w:val="single" w:sz="4" w:space="0" w:color="auto"/>
              <w:right w:val="single" w:sz="4" w:space="0" w:color="auto"/>
            </w:tcBorders>
            <w:shd w:val="clear" w:color="auto" w:fill="auto"/>
            <w:hideMark/>
          </w:tcPr>
          <w:p w14:paraId="70B541DA"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Kingsway</w:t>
            </w:r>
          </w:p>
        </w:tc>
      </w:tr>
      <w:tr w:rsidR="000663FF" w:rsidRPr="000663FF" w14:paraId="14BC0856" w14:textId="77777777" w:rsidTr="00DC0D18">
        <w:trPr>
          <w:trHeight w:val="580"/>
        </w:trPr>
        <w:tc>
          <w:tcPr>
            <w:tcW w:w="1009" w:type="dxa"/>
            <w:tcBorders>
              <w:top w:val="nil"/>
              <w:left w:val="single" w:sz="4" w:space="0" w:color="auto"/>
              <w:bottom w:val="single" w:sz="4" w:space="0" w:color="auto"/>
              <w:right w:val="single" w:sz="4" w:space="0" w:color="auto"/>
            </w:tcBorders>
            <w:shd w:val="clear" w:color="auto" w:fill="auto"/>
            <w:hideMark/>
          </w:tcPr>
          <w:p w14:paraId="0FC9E9BC"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EV4wfc</w:t>
            </w:r>
          </w:p>
        </w:tc>
        <w:tc>
          <w:tcPr>
            <w:tcW w:w="2388" w:type="dxa"/>
            <w:tcBorders>
              <w:top w:val="nil"/>
              <w:left w:val="nil"/>
              <w:bottom w:val="single" w:sz="4" w:space="0" w:color="auto"/>
              <w:right w:val="single" w:sz="4" w:space="0" w:color="auto"/>
            </w:tcBorders>
            <w:shd w:val="clear" w:color="auto" w:fill="auto"/>
            <w:hideMark/>
          </w:tcPr>
          <w:p w14:paraId="50188692"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New Hucknall Sidings Grasslands</w:t>
            </w:r>
          </w:p>
        </w:tc>
        <w:tc>
          <w:tcPr>
            <w:tcW w:w="4395" w:type="dxa"/>
            <w:tcBorders>
              <w:top w:val="nil"/>
              <w:left w:val="nil"/>
              <w:bottom w:val="single" w:sz="4" w:space="0" w:color="auto"/>
              <w:right w:val="single" w:sz="4" w:space="0" w:color="auto"/>
            </w:tcBorders>
            <w:shd w:val="clear" w:color="auto" w:fill="auto"/>
            <w:hideMark/>
          </w:tcPr>
          <w:p w14:paraId="57EF6E7F" w14:textId="7DEDBAB2" w:rsidR="00FA2CC6" w:rsidRPr="000663FF" w:rsidRDefault="007A1A00"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 valuable series of grasslands with a number of notable species</w:t>
            </w:r>
          </w:p>
        </w:tc>
        <w:tc>
          <w:tcPr>
            <w:tcW w:w="1984" w:type="dxa"/>
            <w:tcBorders>
              <w:top w:val="nil"/>
              <w:left w:val="nil"/>
              <w:bottom w:val="single" w:sz="4" w:space="0" w:color="auto"/>
              <w:right w:val="single" w:sz="4" w:space="0" w:color="auto"/>
            </w:tcBorders>
            <w:shd w:val="clear" w:color="auto" w:fill="auto"/>
            <w:hideMark/>
          </w:tcPr>
          <w:p w14:paraId="176EE7B7"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Huthwaite &amp; Brierley</w:t>
            </w:r>
          </w:p>
        </w:tc>
      </w:tr>
      <w:tr w:rsidR="000663FF" w:rsidRPr="000663FF" w14:paraId="6908E018" w14:textId="77777777" w:rsidTr="00DC0D18">
        <w:trPr>
          <w:trHeight w:val="580"/>
        </w:trPr>
        <w:tc>
          <w:tcPr>
            <w:tcW w:w="1009" w:type="dxa"/>
            <w:tcBorders>
              <w:top w:val="single" w:sz="4" w:space="0" w:color="auto"/>
              <w:left w:val="single" w:sz="4" w:space="0" w:color="auto"/>
              <w:bottom w:val="single" w:sz="4" w:space="0" w:color="auto"/>
              <w:right w:val="single" w:sz="4" w:space="0" w:color="auto"/>
            </w:tcBorders>
            <w:shd w:val="clear" w:color="auto" w:fill="auto"/>
            <w:hideMark/>
          </w:tcPr>
          <w:p w14:paraId="0C988F35"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EV4wfd</w:t>
            </w:r>
          </w:p>
        </w:tc>
        <w:tc>
          <w:tcPr>
            <w:tcW w:w="2388" w:type="dxa"/>
            <w:tcBorders>
              <w:top w:val="single" w:sz="4" w:space="0" w:color="auto"/>
              <w:left w:val="single" w:sz="4" w:space="0" w:color="auto"/>
              <w:bottom w:val="single" w:sz="4" w:space="0" w:color="auto"/>
              <w:right w:val="single" w:sz="4" w:space="0" w:color="auto"/>
            </w:tcBorders>
            <w:shd w:val="clear" w:color="auto" w:fill="auto"/>
            <w:hideMark/>
          </w:tcPr>
          <w:p w14:paraId="53BA8E10" w14:textId="77777777" w:rsidR="00FA2CC6" w:rsidRPr="000663FF" w:rsidRDefault="00FA2CC6" w:rsidP="00FA2CC6">
            <w:pPr>
              <w:keepNext w:val="0"/>
              <w:spacing w:before="0"/>
              <w:rPr>
                <w:rFonts w:ascii="Calibri" w:hAnsi="Calibri" w:cs="Calibri"/>
                <w:color w:val="auto"/>
                <w:sz w:val="22"/>
                <w:szCs w:val="22"/>
              </w:rPr>
            </w:pPr>
            <w:proofErr w:type="spellStart"/>
            <w:r w:rsidRPr="000663FF">
              <w:rPr>
                <w:rFonts w:ascii="Calibri" w:hAnsi="Calibri" w:cs="Calibri"/>
                <w:color w:val="auto"/>
                <w:sz w:val="22"/>
                <w:szCs w:val="22"/>
              </w:rPr>
              <w:t>Newboundmill</w:t>
            </w:r>
            <w:proofErr w:type="spellEnd"/>
            <w:r w:rsidRPr="000663FF">
              <w:rPr>
                <w:rFonts w:ascii="Calibri" w:hAnsi="Calibri" w:cs="Calibri"/>
                <w:color w:val="auto"/>
                <w:sz w:val="22"/>
                <w:szCs w:val="22"/>
              </w:rPr>
              <w:t xml:space="preserve"> and </w:t>
            </w:r>
            <w:proofErr w:type="spellStart"/>
            <w:r w:rsidRPr="000663FF">
              <w:rPr>
                <w:rFonts w:ascii="Calibri" w:hAnsi="Calibri" w:cs="Calibri"/>
                <w:color w:val="auto"/>
                <w:sz w:val="22"/>
                <w:szCs w:val="22"/>
              </w:rPr>
              <w:t>Blackholme</w:t>
            </w:r>
            <w:proofErr w:type="spellEnd"/>
            <w:r w:rsidRPr="000663FF">
              <w:rPr>
                <w:rFonts w:ascii="Calibri" w:hAnsi="Calibri" w:cs="Calibri"/>
                <w:color w:val="auto"/>
                <w:sz w:val="22"/>
                <w:szCs w:val="22"/>
              </w:rPr>
              <w:t xml:space="preserve"> Woods</w:t>
            </w:r>
          </w:p>
        </w:tc>
        <w:tc>
          <w:tcPr>
            <w:tcW w:w="4395" w:type="dxa"/>
            <w:tcBorders>
              <w:top w:val="single" w:sz="4" w:space="0" w:color="auto"/>
              <w:left w:val="single" w:sz="4" w:space="0" w:color="auto"/>
              <w:bottom w:val="single" w:sz="4" w:space="0" w:color="auto"/>
              <w:right w:val="single" w:sz="4" w:space="0" w:color="auto"/>
            </w:tcBorders>
            <w:shd w:val="clear" w:color="auto" w:fill="auto"/>
            <w:hideMark/>
          </w:tcPr>
          <w:p w14:paraId="36E8E34A" w14:textId="70BC2BEB" w:rsidR="00FA2CC6" w:rsidRPr="000663FF" w:rsidRDefault="007A1A00"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Wet species-rich deciduous woodland</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1F6461CE"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Stanton Hill &amp; Teversal</w:t>
            </w:r>
          </w:p>
        </w:tc>
      </w:tr>
      <w:tr w:rsidR="000663FF" w:rsidRPr="000663FF" w14:paraId="249D2D1D" w14:textId="77777777" w:rsidTr="00DC0D18">
        <w:trPr>
          <w:trHeight w:val="580"/>
        </w:trPr>
        <w:tc>
          <w:tcPr>
            <w:tcW w:w="1009" w:type="dxa"/>
            <w:tcBorders>
              <w:top w:val="single" w:sz="4" w:space="0" w:color="auto"/>
              <w:left w:val="single" w:sz="4" w:space="0" w:color="auto"/>
              <w:bottom w:val="single" w:sz="4" w:space="0" w:color="auto"/>
              <w:right w:val="single" w:sz="4" w:space="0" w:color="auto"/>
            </w:tcBorders>
            <w:shd w:val="clear" w:color="auto" w:fill="auto"/>
            <w:hideMark/>
          </w:tcPr>
          <w:p w14:paraId="1489E4C5"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EV4wfe</w:t>
            </w:r>
          </w:p>
        </w:tc>
        <w:tc>
          <w:tcPr>
            <w:tcW w:w="2388" w:type="dxa"/>
            <w:tcBorders>
              <w:top w:val="single" w:sz="4" w:space="0" w:color="auto"/>
              <w:left w:val="nil"/>
              <w:bottom w:val="single" w:sz="4" w:space="0" w:color="auto"/>
              <w:right w:val="single" w:sz="4" w:space="0" w:color="auto"/>
            </w:tcBorders>
            <w:shd w:val="clear" w:color="auto" w:fill="auto"/>
            <w:hideMark/>
          </w:tcPr>
          <w:p w14:paraId="091A0A33"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Newstead Park (including River Leen System)</w:t>
            </w:r>
          </w:p>
        </w:tc>
        <w:tc>
          <w:tcPr>
            <w:tcW w:w="4395" w:type="dxa"/>
            <w:tcBorders>
              <w:top w:val="single" w:sz="4" w:space="0" w:color="auto"/>
              <w:left w:val="nil"/>
              <w:bottom w:val="single" w:sz="4" w:space="0" w:color="auto"/>
              <w:right w:val="single" w:sz="4" w:space="0" w:color="auto"/>
            </w:tcBorders>
            <w:shd w:val="clear" w:color="auto" w:fill="auto"/>
            <w:hideMark/>
          </w:tcPr>
          <w:p w14:paraId="4705F595" w14:textId="24204743" w:rsidR="00FA2CC6" w:rsidRPr="000663FF" w:rsidRDefault="007A1A00"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An impressive variety of habitats of faunal and floral importance</w:t>
            </w:r>
          </w:p>
        </w:tc>
        <w:tc>
          <w:tcPr>
            <w:tcW w:w="1984" w:type="dxa"/>
            <w:tcBorders>
              <w:top w:val="single" w:sz="4" w:space="0" w:color="auto"/>
              <w:left w:val="nil"/>
              <w:bottom w:val="single" w:sz="4" w:space="0" w:color="auto"/>
              <w:right w:val="single" w:sz="4" w:space="0" w:color="auto"/>
            </w:tcBorders>
            <w:shd w:val="clear" w:color="auto" w:fill="auto"/>
            <w:hideMark/>
          </w:tcPr>
          <w:p w14:paraId="4AAB31AA"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Kingsway</w:t>
            </w:r>
          </w:p>
        </w:tc>
      </w:tr>
      <w:tr w:rsidR="000663FF" w:rsidRPr="000663FF" w14:paraId="6277242C" w14:textId="77777777" w:rsidTr="00DC0D18">
        <w:trPr>
          <w:trHeight w:val="580"/>
        </w:trPr>
        <w:tc>
          <w:tcPr>
            <w:tcW w:w="1009" w:type="dxa"/>
            <w:tcBorders>
              <w:top w:val="nil"/>
              <w:left w:val="single" w:sz="4" w:space="0" w:color="auto"/>
              <w:bottom w:val="single" w:sz="4" w:space="0" w:color="auto"/>
              <w:right w:val="single" w:sz="4" w:space="0" w:color="auto"/>
            </w:tcBorders>
            <w:shd w:val="clear" w:color="auto" w:fill="auto"/>
            <w:hideMark/>
          </w:tcPr>
          <w:p w14:paraId="3CD869A8"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EV4wff</w:t>
            </w:r>
          </w:p>
        </w:tc>
        <w:tc>
          <w:tcPr>
            <w:tcW w:w="2388" w:type="dxa"/>
            <w:tcBorders>
              <w:top w:val="nil"/>
              <w:left w:val="nil"/>
              <w:bottom w:val="single" w:sz="4" w:space="0" w:color="auto"/>
              <w:right w:val="single" w:sz="4" w:space="0" w:color="auto"/>
            </w:tcBorders>
            <w:shd w:val="clear" w:color="auto" w:fill="auto"/>
            <w:hideMark/>
          </w:tcPr>
          <w:p w14:paraId="555A2DBE"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Newstead Robin Hood Line</w:t>
            </w:r>
          </w:p>
        </w:tc>
        <w:tc>
          <w:tcPr>
            <w:tcW w:w="4395" w:type="dxa"/>
            <w:tcBorders>
              <w:top w:val="nil"/>
              <w:left w:val="nil"/>
              <w:bottom w:val="single" w:sz="4" w:space="0" w:color="auto"/>
              <w:right w:val="single" w:sz="4" w:space="0" w:color="auto"/>
            </w:tcBorders>
            <w:shd w:val="clear" w:color="auto" w:fill="auto"/>
            <w:hideMark/>
          </w:tcPr>
          <w:p w14:paraId="7F99B872" w14:textId="055A8DEA" w:rsidR="00FA2CC6" w:rsidRPr="000663FF" w:rsidRDefault="007A1A00"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 site supporting a butterfly species of principle importance</w:t>
            </w:r>
          </w:p>
        </w:tc>
        <w:tc>
          <w:tcPr>
            <w:tcW w:w="1984" w:type="dxa"/>
            <w:tcBorders>
              <w:top w:val="nil"/>
              <w:left w:val="nil"/>
              <w:bottom w:val="single" w:sz="4" w:space="0" w:color="auto"/>
              <w:right w:val="single" w:sz="4" w:space="0" w:color="auto"/>
            </w:tcBorders>
            <w:shd w:val="clear" w:color="auto" w:fill="auto"/>
            <w:hideMark/>
          </w:tcPr>
          <w:p w14:paraId="4745F93B"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Annesley &amp; Kirkby Woodhouse</w:t>
            </w:r>
          </w:p>
        </w:tc>
      </w:tr>
      <w:tr w:rsidR="000663FF" w:rsidRPr="000663FF" w14:paraId="642A7A6D" w14:textId="77777777" w:rsidTr="007A1A00">
        <w:trPr>
          <w:trHeight w:val="824"/>
        </w:trPr>
        <w:tc>
          <w:tcPr>
            <w:tcW w:w="1009" w:type="dxa"/>
            <w:tcBorders>
              <w:top w:val="nil"/>
              <w:left w:val="single" w:sz="4" w:space="0" w:color="auto"/>
              <w:bottom w:val="single" w:sz="4" w:space="0" w:color="auto"/>
              <w:right w:val="single" w:sz="4" w:space="0" w:color="auto"/>
            </w:tcBorders>
            <w:shd w:val="clear" w:color="auto" w:fill="auto"/>
            <w:hideMark/>
          </w:tcPr>
          <w:p w14:paraId="0FB3A0BA"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EV4wfg</w:t>
            </w:r>
          </w:p>
        </w:tc>
        <w:tc>
          <w:tcPr>
            <w:tcW w:w="2388" w:type="dxa"/>
            <w:tcBorders>
              <w:top w:val="nil"/>
              <w:left w:val="nil"/>
              <w:bottom w:val="single" w:sz="4" w:space="0" w:color="auto"/>
              <w:right w:val="single" w:sz="4" w:space="0" w:color="auto"/>
            </w:tcBorders>
            <w:shd w:val="clear" w:color="auto" w:fill="auto"/>
            <w:hideMark/>
          </w:tcPr>
          <w:p w14:paraId="7929B2E5"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Norwood Plantation</w:t>
            </w:r>
          </w:p>
        </w:tc>
        <w:tc>
          <w:tcPr>
            <w:tcW w:w="4395" w:type="dxa"/>
            <w:tcBorders>
              <w:top w:val="nil"/>
              <w:left w:val="nil"/>
              <w:bottom w:val="single" w:sz="4" w:space="0" w:color="auto"/>
              <w:right w:val="single" w:sz="4" w:space="0" w:color="auto"/>
            </w:tcBorders>
            <w:shd w:val="clear" w:color="auto" w:fill="auto"/>
            <w:hideMark/>
          </w:tcPr>
          <w:p w14:paraId="4FC0E54A" w14:textId="12E0ABB2" w:rsidR="00FA2CC6" w:rsidRPr="000663FF" w:rsidRDefault="007A1A00"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 sizeable deciduous woodland, grassland, streamside flush communities and some noteworthy species</w:t>
            </w:r>
          </w:p>
        </w:tc>
        <w:tc>
          <w:tcPr>
            <w:tcW w:w="1984" w:type="dxa"/>
            <w:tcBorders>
              <w:top w:val="nil"/>
              <w:left w:val="nil"/>
              <w:bottom w:val="single" w:sz="4" w:space="0" w:color="auto"/>
              <w:right w:val="single" w:sz="4" w:space="0" w:color="auto"/>
            </w:tcBorders>
            <w:shd w:val="clear" w:color="auto" w:fill="auto"/>
            <w:hideMark/>
          </w:tcPr>
          <w:p w14:paraId="36292984"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Stanton Hill &amp; Teversal</w:t>
            </w:r>
          </w:p>
        </w:tc>
      </w:tr>
      <w:tr w:rsidR="000663FF" w:rsidRPr="000663FF" w14:paraId="52C8B360" w14:textId="77777777" w:rsidTr="007A1A00">
        <w:trPr>
          <w:trHeight w:val="580"/>
        </w:trPr>
        <w:tc>
          <w:tcPr>
            <w:tcW w:w="1009" w:type="dxa"/>
            <w:tcBorders>
              <w:top w:val="single" w:sz="4" w:space="0" w:color="auto"/>
              <w:left w:val="single" w:sz="4" w:space="0" w:color="auto"/>
              <w:bottom w:val="single" w:sz="4" w:space="0" w:color="auto"/>
              <w:right w:val="single" w:sz="4" w:space="0" w:color="auto"/>
            </w:tcBorders>
            <w:shd w:val="clear" w:color="auto" w:fill="auto"/>
            <w:hideMark/>
          </w:tcPr>
          <w:p w14:paraId="4CA7A0C2"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EV4wfh</w:t>
            </w:r>
          </w:p>
        </w:tc>
        <w:tc>
          <w:tcPr>
            <w:tcW w:w="2388" w:type="dxa"/>
            <w:tcBorders>
              <w:top w:val="single" w:sz="4" w:space="0" w:color="auto"/>
              <w:left w:val="nil"/>
              <w:bottom w:val="single" w:sz="4" w:space="0" w:color="auto"/>
              <w:right w:val="single" w:sz="4" w:space="0" w:color="auto"/>
            </w:tcBorders>
            <w:shd w:val="clear" w:color="auto" w:fill="auto"/>
            <w:hideMark/>
          </w:tcPr>
          <w:p w14:paraId="55CF014D"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Oak Plantation, Annesley</w:t>
            </w:r>
          </w:p>
        </w:tc>
        <w:tc>
          <w:tcPr>
            <w:tcW w:w="4395" w:type="dxa"/>
            <w:tcBorders>
              <w:top w:val="single" w:sz="4" w:space="0" w:color="auto"/>
              <w:left w:val="nil"/>
              <w:bottom w:val="single" w:sz="4" w:space="0" w:color="auto"/>
              <w:right w:val="single" w:sz="4" w:space="0" w:color="auto"/>
            </w:tcBorders>
            <w:shd w:val="clear" w:color="auto" w:fill="auto"/>
            <w:hideMark/>
          </w:tcPr>
          <w:p w14:paraId="0171C41D" w14:textId="50277506" w:rsidR="00FA2CC6" w:rsidRPr="000663FF" w:rsidRDefault="007A1A00"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An interesting woodland with a noteworthy ground flora</w:t>
            </w:r>
          </w:p>
        </w:tc>
        <w:tc>
          <w:tcPr>
            <w:tcW w:w="1984" w:type="dxa"/>
            <w:tcBorders>
              <w:top w:val="single" w:sz="4" w:space="0" w:color="auto"/>
              <w:left w:val="nil"/>
              <w:bottom w:val="single" w:sz="4" w:space="0" w:color="auto"/>
              <w:right w:val="single" w:sz="4" w:space="0" w:color="auto"/>
            </w:tcBorders>
            <w:shd w:val="clear" w:color="auto" w:fill="auto"/>
            <w:hideMark/>
          </w:tcPr>
          <w:p w14:paraId="047D378C"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Annesley &amp; Kirkby Woodhouse</w:t>
            </w:r>
          </w:p>
        </w:tc>
      </w:tr>
      <w:tr w:rsidR="000663FF" w:rsidRPr="000663FF" w14:paraId="71CC3FB7" w14:textId="77777777" w:rsidTr="000663FF">
        <w:trPr>
          <w:trHeight w:val="580"/>
        </w:trPr>
        <w:tc>
          <w:tcPr>
            <w:tcW w:w="1009" w:type="dxa"/>
            <w:tcBorders>
              <w:top w:val="single" w:sz="4" w:space="0" w:color="auto"/>
              <w:left w:val="single" w:sz="4" w:space="0" w:color="auto"/>
              <w:bottom w:val="single" w:sz="4" w:space="0" w:color="auto"/>
              <w:right w:val="single" w:sz="4" w:space="0" w:color="auto"/>
            </w:tcBorders>
            <w:shd w:val="clear" w:color="auto" w:fill="auto"/>
            <w:hideMark/>
          </w:tcPr>
          <w:p w14:paraId="78965414"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EV4wfi</w:t>
            </w:r>
          </w:p>
        </w:tc>
        <w:tc>
          <w:tcPr>
            <w:tcW w:w="2388" w:type="dxa"/>
            <w:tcBorders>
              <w:top w:val="single" w:sz="4" w:space="0" w:color="auto"/>
              <w:left w:val="nil"/>
              <w:bottom w:val="single" w:sz="4" w:space="0" w:color="auto"/>
              <w:right w:val="single" w:sz="4" w:space="0" w:color="auto"/>
            </w:tcBorders>
            <w:shd w:val="clear" w:color="auto" w:fill="auto"/>
            <w:hideMark/>
          </w:tcPr>
          <w:p w14:paraId="3A247AED"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Papplewick Ponds</w:t>
            </w:r>
          </w:p>
        </w:tc>
        <w:tc>
          <w:tcPr>
            <w:tcW w:w="4395" w:type="dxa"/>
            <w:tcBorders>
              <w:top w:val="single" w:sz="4" w:space="0" w:color="auto"/>
              <w:left w:val="nil"/>
              <w:bottom w:val="single" w:sz="4" w:space="0" w:color="auto"/>
              <w:right w:val="single" w:sz="4" w:space="0" w:color="auto"/>
            </w:tcBorders>
            <w:shd w:val="clear" w:color="auto" w:fill="auto"/>
            <w:hideMark/>
          </w:tcPr>
          <w:p w14:paraId="248CB316" w14:textId="5187FC92" w:rsidR="00FA2CC6" w:rsidRPr="000663FF" w:rsidRDefault="007A1A00"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Interesting subsidence ponds with some valuable peripheral habitats</w:t>
            </w:r>
          </w:p>
        </w:tc>
        <w:tc>
          <w:tcPr>
            <w:tcW w:w="1984" w:type="dxa"/>
            <w:tcBorders>
              <w:top w:val="single" w:sz="4" w:space="0" w:color="auto"/>
              <w:left w:val="nil"/>
              <w:bottom w:val="single" w:sz="4" w:space="0" w:color="auto"/>
              <w:right w:val="single" w:sz="4" w:space="0" w:color="auto"/>
            </w:tcBorders>
            <w:shd w:val="clear" w:color="auto" w:fill="auto"/>
            <w:hideMark/>
          </w:tcPr>
          <w:p w14:paraId="44BF166D"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Hucknall North</w:t>
            </w:r>
          </w:p>
        </w:tc>
      </w:tr>
      <w:tr w:rsidR="000663FF" w:rsidRPr="000663FF" w14:paraId="02F0AB46" w14:textId="77777777" w:rsidTr="000663FF">
        <w:trPr>
          <w:trHeight w:val="580"/>
        </w:trPr>
        <w:tc>
          <w:tcPr>
            <w:tcW w:w="1009" w:type="dxa"/>
            <w:tcBorders>
              <w:top w:val="single" w:sz="4" w:space="0" w:color="auto"/>
              <w:left w:val="single" w:sz="4" w:space="0" w:color="auto"/>
              <w:bottom w:val="single" w:sz="4" w:space="0" w:color="auto"/>
              <w:right w:val="single" w:sz="4" w:space="0" w:color="auto"/>
            </w:tcBorders>
            <w:shd w:val="clear" w:color="auto" w:fill="auto"/>
            <w:hideMark/>
          </w:tcPr>
          <w:p w14:paraId="43B553CE"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EV4wfj</w:t>
            </w:r>
          </w:p>
        </w:tc>
        <w:tc>
          <w:tcPr>
            <w:tcW w:w="2388" w:type="dxa"/>
            <w:tcBorders>
              <w:top w:val="single" w:sz="4" w:space="0" w:color="auto"/>
              <w:left w:val="nil"/>
              <w:bottom w:val="single" w:sz="4" w:space="0" w:color="auto"/>
              <w:right w:val="single" w:sz="4" w:space="0" w:color="auto"/>
            </w:tcBorders>
            <w:shd w:val="clear" w:color="auto" w:fill="auto"/>
            <w:hideMark/>
          </w:tcPr>
          <w:p w14:paraId="1E5CD749"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Park Forest, Annesley</w:t>
            </w:r>
          </w:p>
        </w:tc>
        <w:tc>
          <w:tcPr>
            <w:tcW w:w="4395" w:type="dxa"/>
            <w:tcBorders>
              <w:top w:val="single" w:sz="4" w:space="0" w:color="auto"/>
              <w:left w:val="nil"/>
              <w:bottom w:val="single" w:sz="4" w:space="0" w:color="auto"/>
              <w:right w:val="single" w:sz="4" w:space="0" w:color="auto"/>
            </w:tcBorders>
            <w:shd w:val="clear" w:color="auto" w:fill="auto"/>
            <w:hideMark/>
          </w:tcPr>
          <w:p w14:paraId="6ABBD000" w14:textId="68F15AF5" w:rsidR="00FA2CC6" w:rsidRPr="000663FF" w:rsidRDefault="007A1A00"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 xml:space="preserve">A mixed forestry plantation on </w:t>
            </w:r>
            <w:proofErr w:type="spellStart"/>
            <w:r w:rsidR="00FA2CC6" w:rsidRPr="000663FF">
              <w:rPr>
                <w:rFonts w:ascii="Calibri" w:hAnsi="Calibri" w:cs="Calibri"/>
                <w:color w:val="auto"/>
                <w:sz w:val="22"/>
                <w:szCs w:val="22"/>
              </w:rPr>
              <w:t>a</w:t>
            </w:r>
            <w:proofErr w:type="spellEnd"/>
            <w:r w:rsidR="00FA2CC6" w:rsidRPr="000663FF">
              <w:rPr>
                <w:rFonts w:ascii="Calibri" w:hAnsi="Calibri" w:cs="Calibri"/>
                <w:color w:val="auto"/>
                <w:sz w:val="22"/>
                <w:szCs w:val="22"/>
              </w:rPr>
              <w:t xml:space="preserve"> ancient woodland site</w:t>
            </w:r>
          </w:p>
        </w:tc>
        <w:tc>
          <w:tcPr>
            <w:tcW w:w="1984" w:type="dxa"/>
            <w:tcBorders>
              <w:top w:val="single" w:sz="4" w:space="0" w:color="auto"/>
              <w:left w:val="nil"/>
              <w:bottom w:val="single" w:sz="4" w:space="0" w:color="auto"/>
              <w:right w:val="single" w:sz="4" w:space="0" w:color="auto"/>
            </w:tcBorders>
            <w:shd w:val="clear" w:color="auto" w:fill="auto"/>
            <w:hideMark/>
          </w:tcPr>
          <w:p w14:paraId="422790F4"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Annesley &amp; Kirkby Woodhouse</w:t>
            </w:r>
          </w:p>
        </w:tc>
      </w:tr>
      <w:tr w:rsidR="000663FF" w:rsidRPr="000663FF" w14:paraId="2F1EDB4E" w14:textId="77777777" w:rsidTr="000663FF">
        <w:trPr>
          <w:trHeight w:val="580"/>
        </w:trPr>
        <w:tc>
          <w:tcPr>
            <w:tcW w:w="1009" w:type="dxa"/>
            <w:tcBorders>
              <w:top w:val="single" w:sz="4" w:space="0" w:color="auto"/>
              <w:left w:val="single" w:sz="4" w:space="0" w:color="auto"/>
              <w:bottom w:val="single" w:sz="4" w:space="0" w:color="auto"/>
              <w:right w:val="single" w:sz="4" w:space="0" w:color="auto"/>
            </w:tcBorders>
            <w:shd w:val="clear" w:color="auto" w:fill="auto"/>
            <w:hideMark/>
          </w:tcPr>
          <w:p w14:paraId="65E74C9B"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EV4wfk</w:t>
            </w:r>
          </w:p>
        </w:tc>
        <w:tc>
          <w:tcPr>
            <w:tcW w:w="2388" w:type="dxa"/>
            <w:tcBorders>
              <w:top w:val="single" w:sz="4" w:space="0" w:color="auto"/>
              <w:left w:val="nil"/>
              <w:bottom w:val="single" w:sz="4" w:space="0" w:color="auto"/>
              <w:right w:val="single" w:sz="4" w:space="0" w:color="auto"/>
            </w:tcBorders>
            <w:shd w:val="clear" w:color="auto" w:fill="auto"/>
            <w:hideMark/>
          </w:tcPr>
          <w:p w14:paraId="7572CEA5"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Pinxton Lane</w:t>
            </w:r>
          </w:p>
        </w:tc>
        <w:tc>
          <w:tcPr>
            <w:tcW w:w="4395" w:type="dxa"/>
            <w:tcBorders>
              <w:top w:val="single" w:sz="4" w:space="0" w:color="auto"/>
              <w:left w:val="nil"/>
              <w:bottom w:val="single" w:sz="4" w:space="0" w:color="auto"/>
              <w:right w:val="single" w:sz="4" w:space="0" w:color="auto"/>
            </w:tcBorders>
            <w:shd w:val="clear" w:color="auto" w:fill="auto"/>
            <w:hideMark/>
          </w:tcPr>
          <w:p w14:paraId="506E75D8" w14:textId="0E3B54C1" w:rsidR="00FA2CC6" w:rsidRPr="000663FF" w:rsidRDefault="007A1A00"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 roadside verge supporting an interesting flora</w:t>
            </w:r>
          </w:p>
        </w:tc>
        <w:tc>
          <w:tcPr>
            <w:tcW w:w="1984" w:type="dxa"/>
            <w:tcBorders>
              <w:top w:val="single" w:sz="4" w:space="0" w:color="auto"/>
              <w:left w:val="nil"/>
              <w:bottom w:val="single" w:sz="4" w:space="0" w:color="auto"/>
              <w:right w:val="single" w:sz="4" w:space="0" w:color="auto"/>
            </w:tcBorders>
            <w:shd w:val="clear" w:color="auto" w:fill="auto"/>
            <w:hideMark/>
          </w:tcPr>
          <w:p w14:paraId="38ABBA82"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Kirkby Cross &amp; Portland</w:t>
            </w:r>
          </w:p>
        </w:tc>
      </w:tr>
      <w:tr w:rsidR="000663FF" w:rsidRPr="000663FF" w14:paraId="267F536F" w14:textId="77777777" w:rsidTr="00DC0D18">
        <w:trPr>
          <w:trHeight w:val="580"/>
        </w:trPr>
        <w:tc>
          <w:tcPr>
            <w:tcW w:w="1009" w:type="dxa"/>
            <w:tcBorders>
              <w:top w:val="nil"/>
              <w:left w:val="single" w:sz="4" w:space="0" w:color="auto"/>
              <w:bottom w:val="single" w:sz="4" w:space="0" w:color="auto"/>
              <w:right w:val="single" w:sz="4" w:space="0" w:color="auto"/>
            </w:tcBorders>
            <w:shd w:val="clear" w:color="auto" w:fill="auto"/>
            <w:hideMark/>
          </w:tcPr>
          <w:p w14:paraId="4DCFFD27"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EV4wfl</w:t>
            </w:r>
          </w:p>
        </w:tc>
        <w:tc>
          <w:tcPr>
            <w:tcW w:w="2388" w:type="dxa"/>
            <w:tcBorders>
              <w:top w:val="nil"/>
              <w:left w:val="nil"/>
              <w:bottom w:val="single" w:sz="4" w:space="0" w:color="auto"/>
              <w:right w:val="single" w:sz="4" w:space="0" w:color="auto"/>
            </w:tcBorders>
            <w:shd w:val="clear" w:color="auto" w:fill="auto"/>
            <w:hideMark/>
          </w:tcPr>
          <w:p w14:paraId="3F2F9563" w14:textId="3D768213"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Pinxton Road Grasslands, Bentinck</w:t>
            </w:r>
          </w:p>
        </w:tc>
        <w:tc>
          <w:tcPr>
            <w:tcW w:w="4395" w:type="dxa"/>
            <w:tcBorders>
              <w:top w:val="nil"/>
              <w:left w:val="nil"/>
              <w:bottom w:val="single" w:sz="4" w:space="0" w:color="auto"/>
              <w:right w:val="single" w:sz="4" w:space="0" w:color="auto"/>
            </w:tcBorders>
            <w:shd w:val="clear" w:color="auto" w:fill="auto"/>
            <w:hideMark/>
          </w:tcPr>
          <w:p w14:paraId="1F82D71A" w14:textId="152F2B3C" w:rsidR="00FA2CC6" w:rsidRPr="000663FF" w:rsidRDefault="007A1A00"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 group of species-rich grasslands</w:t>
            </w:r>
          </w:p>
        </w:tc>
        <w:tc>
          <w:tcPr>
            <w:tcW w:w="1984" w:type="dxa"/>
            <w:tcBorders>
              <w:top w:val="nil"/>
              <w:left w:val="nil"/>
              <w:bottom w:val="single" w:sz="4" w:space="0" w:color="auto"/>
              <w:right w:val="single" w:sz="4" w:space="0" w:color="auto"/>
            </w:tcBorders>
            <w:shd w:val="clear" w:color="auto" w:fill="auto"/>
            <w:hideMark/>
          </w:tcPr>
          <w:p w14:paraId="7982B5A4"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Kirkby Cross &amp; Portland</w:t>
            </w:r>
          </w:p>
        </w:tc>
      </w:tr>
      <w:tr w:rsidR="000663FF" w:rsidRPr="000663FF" w14:paraId="5AE35515" w14:textId="77777777" w:rsidTr="00DC0D18">
        <w:trPr>
          <w:trHeight w:val="580"/>
        </w:trPr>
        <w:tc>
          <w:tcPr>
            <w:tcW w:w="1009" w:type="dxa"/>
            <w:tcBorders>
              <w:top w:val="nil"/>
              <w:left w:val="single" w:sz="4" w:space="0" w:color="auto"/>
              <w:bottom w:val="single" w:sz="4" w:space="0" w:color="auto"/>
              <w:right w:val="single" w:sz="4" w:space="0" w:color="auto"/>
            </w:tcBorders>
            <w:shd w:val="clear" w:color="auto" w:fill="auto"/>
            <w:hideMark/>
          </w:tcPr>
          <w:p w14:paraId="7DB090BA"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EV4wfm</w:t>
            </w:r>
          </w:p>
        </w:tc>
        <w:tc>
          <w:tcPr>
            <w:tcW w:w="2388" w:type="dxa"/>
            <w:tcBorders>
              <w:top w:val="nil"/>
              <w:left w:val="nil"/>
              <w:bottom w:val="single" w:sz="4" w:space="0" w:color="auto"/>
              <w:right w:val="single" w:sz="4" w:space="0" w:color="auto"/>
            </w:tcBorders>
            <w:shd w:val="clear" w:color="auto" w:fill="auto"/>
            <w:hideMark/>
          </w:tcPr>
          <w:p w14:paraId="79AD33BE"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Pleasley Road Grassland</w:t>
            </w:r>
          </w:p>
        </w:tc>
        <w:tc>
          <w:tcPr>
            <w:tcW w:w="4395" w:type="dxa"/>
            <w:tcBorders>
              <w:top w:val="nil"/>
              <w:left w:val="nil"/>
              <w:bottom w:val="single" w:sz="4" w:space="0" w:color="auto"/>
              <w:right w:val="single" w:sz="4" w:space="0" w:color="auto"/>
            </w:tcBorders>
            <w:shd w:val="clear" w:color="auto" w:fill="auto"/>
            <w:hideMark/>
          </w:tcPr>
          <w:p w14:paraId="04A6E9C0" w14:textId="4D9A5C56" w:rsidR="00FA2CC6" w:rsidRPr="000663FF" w:rsidRDefault="007A1A00"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 damp neutral grassland with notable species</w:t>
            </w:r>
          </w:p>
        </w:tc>
        <w:tc>
          <w:tcPr>
            <w:tcW w:w="1984" w:type="dxa"/>
            <w:tcBorders>
              <w:top w:val="nil"/>
              <w:left w:val="nil"/>
              <w:bottom w:val="single" w:sz="4" w:space="0" w:color="auto"/>
              <w:right w:val="single" w:sz="4" w:space="0" w:color="auto"/>
            </w:tcBorders>
            <w:shd w:val="clear" w:color="auto" w:fill="auto"/>
            <w:hideMark/>
          </w:tcPr>
          <w:p w14:paraId="1262299E"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Stanton Hill &amp; Teversal</w:t>
            </w:r>
          </w:p>
        </w:tc>
      </w:tr>
      <w:tr w:rsidR="000663FF" w:rsidRPr="000663FF" w14:paraId="306E1342" w14:textId="77777777" w:rsidTr="00DC0D18">
        <w:trPr>
          <w:trHeight w:val="580"/>
        </w:trPr>
        <w:tc>
          <w:tcPr>
            <w:tcW w:w="1009" w:type="dxa"/>
            <w:tcBorders>
              <w:top w:val="nil"/>
              <w:left w:val="single" w:sz="4" w:space="0" w:color="auto"/>
              <w:bottom w:val="single" w:sz="4" w:space="0" w:color="auto"/>
              <w:right w:val="single" w:sz="4" w:space="0" w:color="auto"/>
            </w:tcBorders>
            <w:shd w:val="clear" w:color="auto" w:fill="auto"/>
            <w:hideMark/>
          </w:tcPr>
          <w:p w14:paraId="5E43F9CB"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EV4wfn</w:t>
            </w:r>
          </w:p>
        </w:tc>
        <w:tc>
          <w:tcPr>
            <w:tcW w:w="2388" w:type="dxa"/>
            <w:tcBorders>
              <w:top w:val="nil"/>
              <w:left w:val="nil"/>
              <w:bottom w:val="single" w:sz="4" w:space="0" w:color="auto"/>
              <w:right w:val="single" w:sz="4" w:space="0" w:color="auto"/>
            </w:tcBorders>
            <w:shd w:val="clear" w:color="auto" w:fill="auto"/>
            <w:hideMark/>
          </w:tcPr>
          <w:p w14:paraId="70D2C18D"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Pye Hill Marshy Grassland</w:t>
            </w:r>
          </w:p>
        </w:tc>
        <w:tc>
          <w:tcPr>
            <w:tcW w:w="4395" w:type="dxa"/>
            <w:tcBorders>
              <w:top w:val="nil"/>
              <w:left w:val="nil"/>
              <w:bottom w:val="single" w:sz="4" w:space="0" w:color="auto"/>
              <w:right w:val="single" w:sz="4" w:space="0" w:color="auto"/>
            </w:tcBorders>
            <w:shd w:val="clear" w:color="auto" w:fill="auto"/>
            <w:hideMark/>
          </w:tcPr>
          <w:p w14:paraId="60583223" w14:textId="35D52A48" w:rsidR="00FA2CC6" w:rsidRPr="000663FF" w:rsidRDefault="007A1A00"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An interesting marshy field with locally characteristic grassland species</w:t>
            </w:r>
          </w:p>
        </w:tc>
        <w:tc>
          <w:tcPr>
            <w:tcW w:w="1984" w:type="dxa"/>
            <w:tcBorders>
              <w:top w:val="nil"/>
              <w:left w:val="nil"/>
              <w:bottom w:val="single" w:sz="4" w:space="0" w:color="auto"/>
              <w:right w:val="single" w:sz="4" w:space="0" w:color="auto"/>
            </w:tcBorders>
            <w:shd w:val="clear" w:color="auto" w:fill="auto"/>
            <w:hideMark/>
          </w:tcPr>
          <w:p w14:paraId="3288428E"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Jacksdale &amp; Westwood</w:t>
            </w:r>
          </w:p>
        </w:tc>
      </w:tr>
      <w:tr w:rsidR="000663FF" w:rsidRPr="000663FF" w14:paraId="0CFAE81E" w14:textId="77777777" w:rsidTr="00DC0D18">
        <w:trPr>
          <w:trHeight w:val="363"/>
        </w:trPr>
        <w:tc>
          <w:tcPr>
            <w:tcW w:w="1009" w:type="dxa"/>
            <w:tcBorders>
              <w:top w:val="nil"/>
              <w:left w:val="single" w:sz="4" w:space="0" w:color="auto"/>
              <w:bottom w:val="single" w:sz="4" w:space="0" w:color="auto"/>
              <w:right w:val="single" w:sz="4" w:space="0" w:color="auto"/>
            </w:tcBorders>
            <w:shd w:val="clear" w:color="auto" w:fill="auto"/>
            <w:hideMark/>
          </w:tcPr>
          <w:p w14:paraId="09E5A45F"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EV4wfo</w:t>
            </w:r>
          </w:p>
        </w:tc>
        <w:tc>
          <w:tcPr>
            <w:tcW w:w="2388" w:type="dxa"/>
            <w:tcBorders>
              <w:top w:val="nil"/>
              <w:left w:val="nil"/>
              <w:bottom w:val="single" w:sz="4" w:space="0" w:color="auto"/>
              <w:right w:val="single" w:sz="4" w:space="0" w:color="auto"/>
            </w:tcBorders>
            <w:shd w:val="clear" w:color="auto" w:fill="auto"/>
            <w:hideMark/>
          </w:tcPr>
          <w:p w14:paraId="49DF7860"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River Leen</w:t>
            </w:r>
          </w:p>
        </w:tc>
        <w:tc>
          <w:tcPr>
            <w:tcW w:w="4395" w:type="dxa"/>
            <w:tcBorders>
              <w:top w:val="nil"/>
              <w:left w:val="nil"/>
              <w:bottom w:val="single" w:sz="4" w:space="0" w:color="auto"/>
              <w:right w:val="single" w:sz="4" w:space="0" w:color="auto"/>
            </w:tcBorders>
            <w:shd w:val="clear" w:color="auto" w:fill="auto"/>
            <w:hideMark/>
          </w:tcPr>
          <w:p w14:paraId="1D19C6A1" w14:textId="4DC3DA3B" w:rsidR="00FA2CC6" w:rsidRPr="000663FF" w:rsidRDefault="007A1A00"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 stretch of river of zoological importance</w:t>
            </w:r>
          </w:p>
        </w:tc>
        <w:tc>
          <w:tcPr>
            <w:tcW w:w="1984" w:type="dxa"/>
            <w:tcBorders>
              <w:top w:val="nil"/>
              <w:left w:val="nil"/>
              <w:bottom w:val="single" w:sz="4" w:space="0" w:color="auto"/>
              <w:right w:val="single" w:sz="4" w:space="0" w:color="auto"/>
            </w:tcBorders>
            <w:shd w:val="clear" w:color="auto" w:fill="auto"/>
            <w:hideMark/>
          </w:tcPr>
          <w:p w14:paraId="00E5DA78"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Hucknall North</w:t>
            </w:r>
          </w:p>
        </w:tc>
      </w:tr>
      <w:tr w:rsidR="000663FF" w:rsidRPr="000663FF" w14:paraId="7AF24A00" w14:textId="77777777" w:rsidTr="00DC0D18">
        <w:trPr>
          <w:trHeight w:val="580"/>
        </w:trPr>
        <w:tc>
          <w:tcPr>
            <w:tcW w:w="1009" w:type="dxa"/>
            <w:tcBorders>
              <w:top w:val="single" w:sz="4" w:space="0" w:color="auto"/>
              <w:left w:val="single" w:sz="4" w:space="0" w:color="auto"/>
              <w:bottom w:val="single" w:sz="4" w:space="0" w:color="auto"/>
              <w:right w:val="single" w:sz="4" w:space="0" w:color="auto"/>
            </w:tcBorders>
            <w:shd w:val="clear" w:color="auto" w:fill="auto"/>
            <w:hideMark/>
          </w:tcPr>
          <w:p w14:paraId="10A7750F"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EV4wfp</w:t>
            </w:r>
          </w:p>
        </w:tc>
        <w:tc>
          <w:tcPr>
            <w:tcW w:w="2388" w:type="dxa"/>
            <w:tcBorders>
              <w:top w:val="single" w:sz="4" w:space="0" w:color="auto"/>
              <w:left w:val="single" w:sz="4" w:space="0" w:color="auto"/>
              <w:bottom w:val="single" w:sz="4" w:space="0" w:color="auto"/>
              <w:right w:val="single" w:sz="4" w:space="0" w:color="auto"/>
            </w:tcBorders>
            <w:shd w:val="clear" w:color="auto" w:fill="auto"/>
            <w:hideMark/>
          </w:tcPr>
          <w:p w14:paraId="03427B3C"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River Leen (Part)</w:t>
            </w:r>
          </w:p>
        </w:tc>
        <w:tc>
          <w:tcPr>
            <w:tcW w:w="4395" w:type="dxa"/>
            <w:tcBorders>
              <w:top w:val="single" w:sz="4" w:space="0" w:color="auto"/>
              <w:left w:val="single" w:sz="4" w:space="0" w:color="auto"/>
              <w:bottom w:val="single" w:sz="4" w:space="0" w:color="auto"/>
              <w:right w:val="single" w:sz="4" w:space="0" w:color="auto"/>
            </w:tcBorders>
            <w:shd w:val="clear" w:color="auto" w:fill="auto"/>
            <w:hideMark/>
          </w:tcPr>
          <w:p w14:paraId="287E6029" w14:textId="6D97ED9C" w:rsidR="00FA2CC6" w:rsidRPr="000663FF" w:rsidRDefault="007A1A00"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City section of a river with important plant and animal communities</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133BDF4D"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Hucknall South</w:t>
            </w:r>
          </w:p>
        </w:tc>
      </w:tr>
      <w:tr w:rsidR="000663FF" w:rsidRPr="000663FF" w14:paraId="68B48E24" w14:textId="77777777" w:rsidTr="00DC0D18">
        <w:trPr>
          <w:trHeight w:val="580"/>
        </w:trPr>
        <w:tc>
          <w:tcPr>
            <w:tcW w:w="1009" w:type="dxa"/>
            <w:tcBorders>
              <w:top w:val="single" w:sz="4" w:space="0" w:color="auto"/>
              <w:left w:val="single" w:sz="4" w:space="0" w:color="auto"/>
              <w:bottom w:val="single" w:sz="4" w:space="0" w:color="auto"/>
              <w:right w:val="single" w:sz="4" w:space="0" w:color="auto"/>
            </w:tcBorders>
            <w:shd w:val="clear" w:color="auto" w:fill="auto"/>
            <w:hideMark/>
          </w:tcPr>
          <w:p w14:paraId="3C0DCCF6"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EV4wfq</w:t>
            </w:r>
          </w:p>
        </w:tc>
        <w:tc>
          <w:tcPr>
            <w:tcW w:w="2388" w:type="dxa"/>
            <w:tcBorders>
              <w:top w:val="single" w:sz="4" w:space="0" w:color="auto"/>
              <w:left w:val="nil"/>
              <w:bottom w:val="single" w:sz="4" w:space="0" w:color="auto"/>
              <w:right w:val="single" w:sz="4" w:space="0" w:color="auto"/>
            </w:tcBorders>
            <w:shd w:val="clear" w:color="auto" w:fill="auto"/>
            <w:hideMark/>
          </w:tcPr>
          <w:p w14:paraId="787CCB43"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River Leen Pastures, Bestwood</w:t>
            </w:r>
          </w:p>
        </w:tc>
        <w:tc>
          <w:tcPr>
            <w:tcW w:w="4395" w:type="dxa"/>
            <w:tcBorders>
              <w:top w:val="single" w:sz="4" w:space="0" w:color="auto"/>
              <w:left w:val="nil"/>
              <w:bottom w:val="single" w:sz="4" w:space="0" w:color="auto"/>
              <w:right w:val="single" w:sz="4" w:space="0" w:color="auto"/>
            </w:tcBorders>
            <w:shd w:val="clear" w:color="auto" w:fill="auto"/>
            <w:hideMark/>
          </w:tcPr>
          <w:p w14:paraId="668EB7A2" w14:textId="78837440" w:rsidR="00FA2CC6" w:rsidRPr="000663FF" w:rsidRDefault="007A1A00"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Fine pastures with an unusual and valuable species composition</w:t>
            </w:r>
          </w:p>
        </w:tc>
        <w:tc>
          <w:tcPr>
            <w:tcW w:w="1984" w:type="dxa"/>
            <w:tcBorders>
              <w:top w:val="single" w:sz="4" w:space="0" w:color="auto"/>
              <w:left w:val="nil"/>
              <w:bottom w:val="single" w:sz="4" w:space="0" w:color="auto"/>
              <w:right w:val="single" w:sz="4" w:space="0" w:color="auto"/>
            </w:tcBorders>
            <w:shd w:val="clear" w:color="auto" w:fill="auto"/>
            <w:hideMark/>
          </w:tcPr>
          <w:p w14:paraId="0C27AA15"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Hucknall South</w:t>
            </w:r>
          </w:p>
        </w:tc>
      </w:tr>
      <w:tr w:rsidR="000663FF" w:rsidRPr="000663FF" w14:paraId="48B62A30" w14:textId="77777777" w:rsidTr="00DC0D18">
        <w:trPr>
          <w:trHeight w:val="580"/>
        </w:trPr>
        <w:tc>
          <w:tcPr>
            <w:tcW w:w="1009" w:type="dxa"/>
            <w:tcBorders>
              <w:top w:val="nil"/>
              <w:left w:val="single" w:sz="4" w:space="0" w:color="auto"/>
              <w:bottom w:val="single" w:sz="4" w:space="0" w:color="auto"/>
              <w:right w:val="single" w:sz="4" w:space="0" w:color="auto"/>
            </w:tcBorders>
            <w:shd w:val="clear" w:color="auto" w:fill="auto"/>
            <w:hideMark/>
          </w:tcPr>
          <w:p w14:paraId="71BDE2DA"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EV4wfr</w:t>
            </w:r>
          </w:p>
        </w:tc>
        <w:tc>
          <w:tcPr>
            <w:tcW w:w="2388" w:type="dxa"/>
            <w:tcBorders>
              <w:top w:val="nil"/>
              <w:left w:val="nil"/>
              <w:bottom w:val="single" w:sz="4" w:space="0" w:color="auto"/>
              <w:right w:val="single" w:sz="4" w:space="0" w:color="auto"/>
            </w:tcBorders>
            <w:shd w:val="clear" w:color="auto" w:fill="auto"/>
            <w:hideMark/>
          </w:tcPr>
          <w:p w14:paraId="1CB4B4FE"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River Meden - </w:t>
            </w:r>
            <w:proofErr w:type="spellStart"/>
            <w:r w:rsidRPr="000663FF">
              <w:rPr>
                <w:rFonts w:ascii="Calibri" w:hAnsi="Calibri" w:cs="Calibri"/>
                <w:color w:val="auto"/>
                <w:sz w:val="22"/>
                <w:szCs w:val="22"/>
              </w:rPr>
              <w:t>Newboundmill</w:t>
            </w:r>
            <w:proofErr w:type="spellEnd"/>
            <w:r w:rsidRPr="000663FF">
              <w:rPr>
                <w:rFonts w:ascii="Calibri" w:hAnsi="Calibri" w:cs="Calibri"/>
                <w:color w:val="auto"/>
                <w:sz w:val="22"/>
                <w:szCs w:val="22"/>
              </w:rPr>
              <w:t xml:space="preserve"> Bridge</w:t>
            </w:r>
          </w:p>
        </w:tc>
        <w:tc>
          <w:tcPr>
            <w:tcW w:w="4395" w:type="dxa"/>
            <w:tcBorders>
              <w:top w:val="nil"/>
              <w:left w:val="nil"/>
              <w:bottom w:val="single" w:sz="4" w:space="0" w:color="auto"/>
              <w:right w:val="single" w:sz="4" w:space="0" w:color="auto"/>
            </w:tcBorders>
            <w:shd w:val="clear" w:color="auto" w:fill="auto"/>
            <w:hideMark/>
          </w:tcPr>
          <w:p w14:paraId="5B90280C" w14:textId="660FC1BF" w:rsidR="00FA2CC6" w:rsidRPr="000663FF" w:rsidRDefault="007A1A00"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 section of the River Meden of interest for Water beetles</w:t>
            </w:r>
          </w:p>
        </w:tc>
        <w:tc>
          <w:tcPr>
            <w:tcW w:w="1984" w:type="dxa"/>
            <w:tcBorders>
              <w:top w:val="nil"/>
              <w:left w:val="nil"/>
              <w:bottom w:val="single" w:sz="4" w:space="0" w:color="auto"/>
              <w:right w:val="single" w:sz="4" w:space="0" w:color="auto"/>
            </w:tcBorders>
            <w:shd w:val="clear" w:color="auto" w:fill="auto"/>
            <w:hideMark/>
          </w:tcPr>
          <w:p w14:paraId="445D41E8"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Skegby</w:t>
            </w:r>
          </w:p>
        </w:tc>
      </w:tr>
      <w:tr w:rsidR="000663FF" w:rsidRPr="000663FF" w14:paraId="254663DA" w14:textId="77777777" w:rsidTr="00DC0D18">
        <w:trPr>
          <w:trHeight w:val="580"/>
        </w:trPr>
        <w:tc>
          <w:tcPr>
            <w:tcW w:w="1009" w:type="dxa"/>
            <w:tcBorders>
              <w:top w:val="nil"/>
              <w:left w:val="single" w:sz="4" w:space="0" w:color="auto"/>
              <w:bottom w:val="single" w:sz="4" w:space="0" w:color="auto"/>
              <w:right w:val="single" w:sz="4" w:space="0" w:color="auto"/>
            </w:tcBorders>
            <w:shd w:val="clear" w:color="auto" w:fill="auto"/>
            <w:hideMark/>
          </w:tcPr>
          <w:p w14:paraId="0F7D432A"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EV4wfs</w:t>
            </w:r>
          </w:p>
        </w:tc>
        <w:tc>
          <w:tcPr>
            <w:tcW w:w="2388" w:type="dxa"/>
            <w:tcBorders>
              <w:top w:val="nil"/>
              <w:left w:val="nil"/>
              <w:bottom w:val="single" w:sz="4" w:space="0" w:color="auto"/>
              <w:right w:val="single" w:sz="4" w:space="0" w:color="auto"/>
            </w:tcBorders>
            <w:shd w:val="clear" w:color="auto" w:fill="auto"/>
            <w:hideMark/>
          </w:tcPr>
          <w:p w14:paraId="53865FEC"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River Meden Grassland, Skegby</w:t>
            </w:r>
          </w:p>
        </w:tc>
        <w:tc>
          <w:tcPr>
            <w:tcW w:w="4395" w:type="dxa"/>
            <w:tcBorders>
              <w:top w:val="nil"/>
              <w:left w:val="nil"/>
              <w:bottom w:val="single" w:sz="4" w:space="0" w:color="auto"/>
              <w:right w:val="single" w:sz="4" w:space="0" w:color="auto"/>
            </w:tcBorders>
            <w:shd w:val="clear" w:color="auto" w:fill="auto"/>
            <w:hideMark/>
          </w:tcPr>
          <w:p w14:paraId="651ACD61" w14:textId="05889807" w:rsidR="00FA2CC6" w:rsidRPr="000663FF" w:rsidRDefault="007A1A00"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Sloping grassland with species-rich calcareous banks</w:t>
            </w:r>
          </w:p>
        </w:tc>
        <w:tc>
          <w:tcPr>
            <w:tcW w:w="1984" w:type="dxa"/>
            <w:tcBorders>
              <w:top w:val="nil"/>
              <w:left w:val="nil"/>
              <w:bottom w:val="single" w:sz="4" w:space="0" w:color="auto"/>
              <w:right w:val="single" w:sz="4" w:space="0" w:color="auto"/>
            </w:tcBorders>
            <w:shd w:val="clear" w:color="auto" w:fill="auto"/>
            <w:hideMark/>
          </w:tcPr>
          <w:p w14:paraId="5045EA9D"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Skegby</w:t>
            </w:r>
          </w:p>
        </w:tc>
      </w:tr>
      <w:tr w:rsidR="000663FF" w:rsidRPr="000663FF" w14:paraId="5193642A" w14:textId="77777777" w:rsidTr="00DC0D18">
        <w:trPr>
          <w:trHeight w:val="870"/>
        </w:trPr>
        <w:tc>
          <w:tcPr>
            <w:tcW w:w="1009" w:type="dxa"/>
            <w:tcBorders>
              <w:top w:val="nil"/>
              <w:left w:val="single" w:sz="4" w:space="0" w:color="auto"/>
              <w:bottom w:val="single" w:sz="4" w:space="0" w:color="auto"/>
              <w:right w:val="single" w:sz="4" w:space="0" w:color="auto"/>
            </w:tcBorders>
            <w:shd w:val="clear" w:color="auto" w:fill="auto"/>
            <w:hideMark/>
          </w:tcPr>
          <w:p w14:paraId="18715B5E"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EV4wft</w:t>
            </w:r>
          </w:p>
        </w:tc>
        <w:tc>
          <w:tcPr>
            <w:tcW w:w="2388" w:type="dxa"/>
            <w:tcBorders>
              <w:top w:val="nil"/>
              <w:left w:val="nil"/>
              <w:bottom w:val="single" w:sz="4" w:space="0" w:color="auto"/>
              <w:right w:val="single" w:sz="4" w:space="0" w:color="auto"/>
            </w:tcBorders>
            <w:shd w:val="clear" w:color="auto" w:fill="auto"/>
            <w:hideMark/>
          </w:tcPr>
          <w:p w14:paraId="4FCAEF54"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Robin Hood Hills</w:t>
            </w:r>
          </w:p>
        </w:tc>
        <w:tc>
          <w:tcPr>
            <w:tcW w:w="4395" w:type="dxa"/>
            <w:tcBorders>
              <w:top w:val="nil"/>
              <w:left w:val="nil"/>
              <w:bottom w:val="single" w:sz="4" w:space="0" w:color="auto"/>
              <w:right w:val="single" w:sz="4" w:space="0" w:color="auto"/>
            </w:tcBorders>
            <w:shd w:val="clear" w:color="auto" w:fill="auto"/>
            <w:hideMark/>
          </w:tcPr>
          <w:p w14:paraId="374C3C9D" w14:textId="23690A5D" w:rsidR="00FA2CC6" w:rsidRPr="000663FF" w:rsidRDefault="007A1A00"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 large area of acidic woodland, extensive bracken and notable heath communities on South facing slo</w:t>
            </w:r>
            <w:r w:rsidR="007A34B9" w:rsidRPr="000663FF">
              <w:rPr>
                <w:rFonts w:ascii="Calibri" w:hAnsi="Calibri" w:cs="Calibri"/>
                <w:color w:val="auto"/>
                <w:sz w:val="22"/>
                <w:szCs w:val="22"/>
              </w:rPr>
              <w:t>pe</w:t>
            </w:r>
          </w:p>
        </w:tc>
        <w:tc>
          <w:tcPr>
            <w:tcW w:w="1984" w:type="dxa"/>
            <w:tcBorders>
              <w:top w:val="nil"/>
              <w:left w:val="nil"/>
              <w:bottom w:val="single" w:sz="4" w:space="0" w:color="auto"/>
              <w:right w:val="single" w:sz="4" w:space="0" w:color="auto"/>
            </w:tcBorders>
            <w:shd w:val="clear" w:color="auto" w:fill="auto"/>
            <w:hideMark/>
          </w:tcPr>
          <w:p w14:paraId="02BE1760"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Annesley &amp; Kirkby Woodhouse</w:t>
            </w:r>
          </w:p>
        </w:tc>
      </w:tr>
      <w:tr w:rsidR="000663FF" w:rsidRPr="000663FF" w14:paraId="3D7C2C0B" w14:textId="77777777" w:rsidTr="00DC0D18">
        <w:trPr>
          <w:trHeight w:val="580"/>
        </w:trPr>
        <w:tc>
          <w:tcPr>
            <w:tcW w:w="1009" w:type="dxa"/>
            <w:tcBorders>
              <w:top w:val="nil"/>
              <w:left w:val="single" w:sz="4" w:space="0" w:color="auto"/>
              <w:bottom w:val="single" w:sz="4" w:space="0" w:color="auto"/>
              <w:right w:val="single" w:sz="4" w:space="0" w:color="auto"/>
            </w:tcBorders>
            <w:shd w:val="clear" w:color="auto" w:fill="auto"/>
            <w:hideMark/>
          </w:tcPr>
          <w:p w14:paraId="1E767222"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EV4wfu</w:t>
            </w:r>
          </w:p>
        </w:tc>
        <w:tc>
          <w:tcPr>
            <w:tcW w:w="2388" w:type="dxa"/>
            <w:tcBorders>
              <w:top w:val="nil"/>
              <w:left w:val="nil"/>
              <w:bottom w:val="single" w:sz="4" w:space="0" w:color="auto"/>
              <w:right w:val="single" w:sz="4" w:space="0" w:color="auto"/>
            </w:tcBorders>
            <w:shd w:val="clear" w:color="auto" w:fill="auto"/>
            <w:hideMark/>
          </w:tcPr>
          <w:p w14:paraId="410548C9" w14:textId="039E20D8" w:rsidR="00FA2CC6" w:rsidRPr="000663FF" w:rsidRDefault="00E44914" w:rsidP="00FA2CC6">
            <w:pPr>
              <w:keepNext w:val="0"/>
              <w:spacing w:before="0"/>
              <w:rPr>
                <w:rFonts w:ascii="Calibri" w:hAnsi="Calibri" w:cs="Calibri"/>
                <w:color w:val="auto"/>
                <w:sz w:val="22"/>
                <w:szCs w:val="22"/>
              </w:rPr>
            </w:pPr>
            <w:r w:rsidRPr="000663FF">
              <w:rPr>
                <w:rFonts w:ascii="Calibri" w:hAnsi="Calibri" w:cs="Calibri"/>
                <w:color w:val="auto"/>
                <w:sz w:val="22"/>
                <w:szCs w:val="22"/>
              </w:rPr>
              <w:t>Hucknall Dismantled Railway</w:t>
            </w:r>
          </w:p>
        </w:tc>
        <w:tc>
          <w:tcPr>
            <w:tcW w:w="4395" w:type="dxa"/>
            <w:tcBorders>
              <w:top w:val="nil"/>
              <w:left w:val="nil"/>
              <w:bottom w:val="single" w:sz="4" w:space="0" w:color="auto"/>
              <w:right w:val="single" w:sz="4" w:space="0" w:color="auto"/>
            </w:tcBorders>
            <w:shd w:val="clear" w:color="auto" w:fill="auto"/>
            <w:hideMark/>
          </w:tcPr>
          <w:p w14:paraId="02C616F9" w14:textId="113A9397" w:rsidR="00FA2CC6" w:rsidRPr="000663FF" w:rsidRDefault="007A1A00"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w:t>
            </w:r>
            <w:r w:rsidR="007A34B9" w:rsidRPr="000663FF">
              <w:rPr>
                <w:rFonts w:ascii="Calibri" w:hAnsi="Calibri" w:cs="Calibri"/>
                <w:color w:val="auto"/>
                <w:sz w:val="22"/>
                <w:szCs w:val="22"/>
              </w:rPr>
              <w:t>–</w:t>
            </w:r>
            <w:r w:rsidRPr="000663FF">
              <w:rPr>
                <w:rFonts w:ascii="Calibri" w:hAnsi="Calibri" w:cs="Calibri"/>
                <w:color w:val="auto"/>
                <w:sz w:val="22"/>
                <w:szCs w:val="22"/>
              </w:rPr>
              <w:t xml:space="preserve"> </w:t>
            </w:r>
            <w:r w:rsidR="007A34B9" w:rsidRPr="000663FF">
              <w:rPr>
                <w:rFonts w:ascii="Calibri" w:hAnsi="Calibri" w:cs="Calibri"/>
                <w:color w:val="auto"/>
                <w:sz w:val="22"/>
                <w:szCs w:val="22"/>
              </w:rPr>
              <w:t>A dismantled railway with a characteristic flora</w:t>
            </w:r>
          </w:p>
        </w:tc>
        <w:tc>
          <w:tcPr>
            <w:tcW w:w="1984" w:type="dxa"/>
            <w:tcBorders>
              <w:top w:val="nil"/>
              <w:left w:val="nil"/>
              <w:bottom w:val="single" w:sz="4" w:space="0" w:color="auto"/>
              <w:right w:val="single" w:sz="4" w:space="0" w:color="auto"/>
            </w:tcBorders>
            <w:shd w:val="clear" w:color="auto" w:fill="auto"/>
            <w:hideMark/>
          </w:tcPr>
          <w:p w14:paraId="046BFAAB"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Huthwaite &amp; Brierley</w:t>
            </w:r>
          </w:p>
        </w:tc>
      </w:tr>
      <w:tr w:rsidR="000663FF" w:rsidRPr="000663FF" w14:paraId="4F1126E3" w14:textId="77777777" w:rsidTr="00DC0D18">
        <w:trPr>
          <w:trHeight w:val="423"/>
        </w:trPr>
        <w:tc>
          <w:tcPr>
            <w:tcW w:w="1009" w:type="dxa"/>
            <w:tcBorders>
              <w:top w:val="nil"/>
              <w:left w:val="single" w:sz="4" w:space="0" w:color="auto"/>
              <w:bottom w:val="single" w:sz="4" w:space="0" w:color="auto"/>
              <w:right w:val="single" w:sz="4" w:space="0" w:color="auto"/>
            </w:tcBorders>
            <w:shd w:val="clear" w:color="auto" w:fill="auto"/>
            <w:hideMark/>
          </w:tcPr>
          <w:p w14:paraId="5FB27C20"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EV4wfv</w:t>
            </w:r>
          </w:p>
        </w:tc>
        <w:tc>
          <w:tcPr>
            <w:tcW w:w="2388" w:type="dxa"/>
            <w:tcBorders>
              <w:top w:val="nil"/>
              <w:left w:val="nil"/>
              <w:bottom w:val="single" w:sz="4" w:space="0" w:color="auto"/>
              <w:right w:val="single" w:sz="4" w:space="0" w:color="auto"/>
            </w:tcBorders>
            <w:shd w:val="clear" w:color="auto" w:fill="auto"/>
            <w:hideMark/>
          </w:tcPr>
          <w:p w14:paraId="5D50B5E2"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Rosemary Hill Pasture</w:t>
            </w:r>
          </w:p>
        </w:tc>
        <w:tc>
          <w:tcPr>
            <w:tcW w:w="4395" w:type="dxa"/>
            <w:tcBorders>
              <w:top w:val="nil"/>
              <w:left w:val="nil"/>
              <w:bottom w:val="single" w:sz="4" w:space="0" w:color="auto"/>
              <w:right w:val="single" w:sz="4" w:space="0" w:color="auto"/>
            </w:tcBorders>
            <w:shd w:val="clear" w:color="auto" w:fill="auto"/>
            <w:hideMark/>
          </w:tcPr>
          <w:p w14:paraId="7C5E8C45" w14:textId="002AFF9B" w:rsidR="00FA2CC6" w:rsidRPr="000663FF" w:rsidRDefault="007A1A00"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Notable pastures with a basic influence</w:t>
            </w:r>
          </w:p>
        </w:tc>
        <w:tc>
          <w:tcPr>
            <w:tcW w:w="1984" w:type="dxa"/>
            <w:tcBorders>
              <w:top w:val="nil"/>
              <w:left w:val="nil"/>
              <w:bottom w:val="single" w:sz="4" w:space="0" w:color="auto"/>
              <w:right w:val="single" w:sz="4" w:space="0" w:color="auto"/>
            </w:tcBorders>
            <w:shd w:val="clear" w:color="auto" w:fill="auto"/>
            <w:hideMark/>
          </w:tcPr>
          <w:p w14:paraId="523825DB"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Selston</w:t>
            </w:r>
          </w:p>
        </w:tc>
      </w:tr>
      <w:tr w:rsidR="000663FF" w:rsidRPr="000663FF" w14:paraId="6C4EBE55" w14:textId="77777777" w:rsidTr="00DC0D18">
        <w:trPr>
          <w:trHeight w:val="637"/>
        </w:trPr>
        <w:tc>
          <w:tcPr>
            <w:tcW w:w="1009" w:type="dxa"/>
            <w:tcBorders>
              <w:top w:val="single" w:sz="4" w:space="0" w:color="auto"/>
              <w:left w:val="single" w:sz="4" w:space="0" w:color="auto"/>
              <w:bottom w:val="single" w:sz="4" w:space="0" w:color="auto"/>
              <w:right w:val="single" w:sz="4" w:space="0" w:color="auto"/>
            </w:tcBorders>
            <w:shd w:val="clear" w:color="auto" w:fill="auto"/>
            <w:hideMark/>
          </w:tcPr>
          <w:p w14:paraId="600DB49F"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EV4wfw</w:t>
            </w:r>
          </w:p>
        </w:tc>
        <w:tc>
          <w:tcPr>
            <w:tcW w:w="2388" w:type="dxa"/>
            <w:tcBorders>
              <w:top w:val="single" w:sz="4" w:space="0" w:color="auto"/>
              <w:left w:val="single" w:sz="4" w:space="0" w:color="auto"/>
              <w:bottom w:val="single" w:sz="4" w:space="0" w:color="auto"/>
              <w:right w:val="single" w:sz="4" w:space="0" w:color="auto"/>
            </w:tcBorders>
            <w:shd w:val="clear" w:color="auto" w:fill="auto"/>
            <w:hideMark/>
          </w:tcPr>
          <w:p w14:paraId="08D70FA8"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School Road Pasture, Bagthorpe</w:t>
            </w:r>
          </w:p>
        </w:tc>
        <w:tc>
          <w:tcPr>
            <w:tcW w:w="4395" w:type="dxa"/>
            <w:tcBorders>
              <w:top w:val="single" w:sz="4" w:space="0" w:color="auto"/>
              <w:left w:val="single" w:sz="4" w:space="0" w:color="auto"/>
              <w:bottom w:val="single" w:sz="4" w:space="0" w:color="auto"/>
              <w:right w:val="single" w:sz="4" w:space="0" w:color="auto"/>
            </w:tcBorders>
            <w:shd w:val="clear" w:color="auto" w:fill="auto"/>
            <w:hideMark/>
          </w:tcPr>
          <w:p w14:paraId="3D8055FB" w14:textId="0C9C7AE9" w:rsidR="00FA2CC6" w:rsidRPr="000663FF" w:rsidRDefault="007A1A00"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An interesting pasture and stream,</w:t>
            </w:r>
            <w:r w:rsidR="00DC0D18" w:rsidRPr="000663FF">
              <w:rPr>
                <w:rFonts w:ascii="Calibri" w:hAnsi="Calibri" w:cs="Calibri"/>
                <w:color w:val="auto"/>
                <w:sz w:val="22"/>
                <w:szCs w:val="22"/>
              </w:rPr>
              <w:t xml:space="preserve"> </w:t>
            </w:r>
            <w:r w:rsidR="00FA2CC6" w:rsidRPr="000663FF">
              <w:rPr>
                <w:rFonts w:ascii="Calibri" w:hAnsi="Calibri" w:cs="Calibri"/>
                <w:color w:val="auto"/>
                <w:sz w:val="22"/>
                <w:szCs w:val="22"/>
              </w:rPr>
              <w:t>showing an excellent species-diversity</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7F6F4FA1"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Underwood</w:t>
            </w:r>
          </w:p>
        </w:tc>
      </w:tr>
      <w:tr w:rsidR="000663FF" w:rsidRPr="000663FF" w14:paraId="4FCF6E79" w14:textId="77777777" w:rsidTr="00DC0D18">
        <w:trPr>
          <w:trHeight w:val="580"/>
        </w:trPr>
        <w:tc>
          <w:tcPr>
            <w:tcW w:w="1009" w:type="dxa"/>
            <w:tcBorders>
              <w:top w:val="single" w:sz="4" w:space="0" w:color="auto"/>
              <w:left w:val="single" w:sz="4" w:space="0" w:color="auto"/>
              <w:bottom w:val="single" w:sz="4" w:space="0" w:color="auto"/>
              <w:right w:val="single" w:sz="4" w:space="0" w:color="auto"/>
            </w:tcBorders>
            <w:shd w:val="clear" w:color="auto" w:fill="auto"/>
            <w:hideMark/>
          </w:tcPr>
          <w:p w14:paraId="23E8C3FB"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EV4wfx</w:t>
            </w:r>
          </w:p>
        </w:tc>
        <w:tc>
          <w:tcPr>
            <w:tcW w:w="2388" w:type="dxa"/>
            <w:tcBorders>
              <w:top w:val="single" w:sz="4" w:space="0" w:color="auto"/>
              <w:left w:val="nil"/>
              <w:bottom w:val="single" w:sz="4" w:space="0" w:color="auto"/>
              <w:right w:val="single" w:sz="4" w:space="0" w:color="auto"/>
            </w:tcBorders>
            <w:shd w:val="clear" w:color="auto" w:fill="auto"/>
            <w:hideMark/>
          </w:tcPr>
          <w:p w14:paraId="33B34CD3"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Selston Common Grasslands</w:t>
            </w:r>
          </w:p>
        </w:tc>
        <w:tc>
          <w:tcPr>
            <w:tcW w:w="4395" w:type="dxa"/>
            <w:tcBorders>
              <w:top w:val="single" w:sz="4" w:space="0" w:color="auto"/>
              <w:left w:val="nil"/>
              <w:bottom w:val="single" w:sz="4" w:space="0" w:color="auto"/>
              <w:right w:val="single" w:sz="4" w:space="0" w:color="auto"/>
            </w:tcBorders>
            <w:shd w:val="clear" w:color="auto" w:fill="auto"/>
            <w:hideMark/>
          </w:tcPr>
          <w:p w14:paraId="00970FED" w14:textId="6A23E674" w:rsidR="00FA2CC6" w:rsidRPr="000663FF" w:rsidRDefault="007A1A00"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 valuable pocket of grasslands with especially notable flush communities</w:t>
            </w:r>
          </w:p>
        </w:tc>
        <w:tc>
          <w:tcPr>
            <w:tcW w:w="1984" w:type="dxa"/>
            <w:tcBorders>
              <w:top w:val="single" w:sz="4" w:space="0" w:color="auto"/>
              <w:left w:val="nil"/>
              <w:bottom w:val="single" w:sz="4" w:space="0" w:color="auto"/>
              <w:right w:val="single" w:sz="4" w:space="0" w:color="auto"/>
            </w:tcBorders>
            <w:shd w:val="clear" w:color="auto" w:fill="auto"/>
            <w:hideMark/>
          </w:tcPr>
          <w:p w14:paraId="3E4A9F56"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Selston</w:t>
            </w:r>
          </w:p>
        </w:tc>
      </w:tr>
      <w:tr w:rsidR="000663FF" w:rsidRPr="000663FF" w14:paraId="061200B5" w14:textId="77777777" w:rsidTr="00DC0D18">
        <w:trPr>
          <w:trHeight w:val="580"/>
        </w:trPr>
        <w:tc>
          <w:tcPr>
            <w:tcW w:w="1009" w:type="dxa"/>
            <w:tcBorders>
              <w:top w:val="nil"/>
              <w:left w:val="single" w:sz="4" w:space="0" w:color="auto"/>
              <w:bottom w:val="single" w:sz="4" w:space="0" w:color="auto"/>
              <w:right w:val="single" w:sz="4" w:space="0" w:color="auto"/>
            </w:tcBorders>
            <w:shd w:val="clear" w:color="auto" w:fill="auto"/>
            <w:hideMark/>
          </w:tcPr>
          <w:p w14:paraId="63CE0128"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EV4wfy</w:t>
            </w:r>
          </w:p>
        </w:tc>
        <w:tc>
          <w:tcPr>
            <w:tcW w:w="2388" w:type="dxa"/>
            <w:tcBorders>
              <w:top w:val="nil"/>
              <w:left w:val="nil"/>
              <w:bottom w:val="single" w:sz="4" w:space="0" w:color="auto"/>
              <w:right w:val="single" w:sz="4" w:space="0" w:color="auto"/>
            </w:tcBorders>
            <w:shd w:val="clear" w:color="auto" w:fill="auto"/>
            <w:hideMark/>
          </w:tcPr>
          <w:p w14:paraId="710F3644"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Selston Golf Course</w:t>
            </w:r>
          </w:p>
        </w:tc>
        <w:tc>
          <w:tcPr>
            <w:tcW w:w="4395" w:type="dxa"/>
            <w:tcBorders>
              <w:top w:val="nil"/>
              <w:left w:val="nil"/>
              <w:bottom w:val="single" w:sz="4" w:space="0" w:color="auto"/>
              <w:right w:val="single" w:sz="4" w:space="0" w:color="auto"/>
            </w:tcBorders>
            <w:shd w:val="clear" w:color="auto" w:fill="auto"/>
            <w:hideMark/>
          </w:tcPr>
          <w:p w14:paraId="6FA1CDA1" w14:textId="7E4CE5FD" w:rsidR="00FA2CC6" w:rsidRPr="000663FF" w:rsidRDefault="007A1A00"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Grassland, scrub and wetland communities of conservation interest</w:t>
            </w:r>
          </w:p>
        </w:tc>
        <w:tc>
          <w:tcPr>
            <w:tcW w:w="1984" w:type="dxa"/>
            <w:tcBorders>
              <w:top w:val="nil"/>
              <w:left w:val="nil"/>
              <w:bottom w:val="single" w:sz="4" w:space="0" w:color="auto"/>
              <w:right w:val="single" w:sz="4" w:space="0" w:color="auto"/>
            </w:tcBorders>
            <w:shd w:val="clear" w:color="auto" w:fill="auto"/>
            <w:hideMark/>
          </w:tcPr>
          <w:p w14:paraId="2D5A8E4E"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Selston</w:t>
            </w:r>
          </w:p>
        </w:tc>
      </w:tr>
      <w:tr w:rsidR="000663FF" w:rsidRPr="000663FF" w14:paraId="3DDE4FB9" w14:textId="77777777" w:rsidTr="00DC0D18">
        <w:trPr>
          <w:trHeight w:val="580"/>
        </w:trPr>
        <w:tc>
          <w:tcPr>
            <w:tcW w:w="1009" w:type="dxa"/>
            <w:tcBorders>
              <w:top w:val="nil"/>
              <w:left w:val="single" w:sz="4" w:space="0" w:color="auto"/>
              <w:bottom w:val="single" w:sz="4" w:space="0" w:color="auto"/>
              <w:right w:val="single" w:sz="4" w:space="0" w:color="auto"/>
            </w:tcBorders>
            <w:shd w:val="clear" w:color="auto" w:fill="auto"/>
            <w:hideMark/>
          </w:tcPr>
          <w:p w14:paraId="7BB1E655"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EV4wfz</w:t>
            </w:r>
          </w:p>
        </w:tc>
        <w:tc>
          <w:tcPr>
            <w:tcW w:w="2388" w:type="dxa"/>
            <w:tcBorders>
              <w:top w:val="nil"/>
              <w:left w:val="nil"/>
              <w:bottom w:val="single" w:sz="4" w:space="0" w:color="auto"/>
              <w:right w:val="single" w:sz="4" w:space="0" w:color="auto"/>
            </w:tcBorders>
            <w:shd w:val="clear" w:color="auto" w:fill="auto"/>
            <w:hideMark/>
          </w:tcPr>
          <w:p w14:paraId="72DE4F20"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Selston Grassland (I)</w:t>
            </w:r>
          </w:p>
        </w:tc>
        <w:tc>
          <w:tcPr>
            <w:tcW w:w="4395" w:type="dxa"/>
            <w:tcBorders>
              <w:top w:val="nil"/>
              <w:left w:val="nil"/>
              <w:bottom w:val="single" w:sz="4" w:space="0" w:color="auto"/>
              <w:right w:val="single" w:sz="4" w:space="0" w:color="auto"/>
            </w:tcBorders>
            <w:shd w:val="clear" w:color="auto" w:fill="auto"/>
            <w:hideMark/>
          </w:tcPr>
          <w:p w14:paraId="558E6F64" w14:textId="67202779" w:rsidR="00FA2CC6" w:rsidRPr="000663FF" w:rsidRDefault="007A1A00"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 little-managed, species-rich grassland</w:t>
            </w:r>
          </w:p>
        </w:tc>
        <w:tc>
          <w:tcPr>
            <w:tcW w:w="1984" w:type="dxa"/>
            <w:tcBorders>
              <w:top w:val="nil"/>
              <w:left w:val="nil"/>
              <w:bottom w:val="single" w:sz="4" w:space="0" w:color="auto"/>
              <w:right w:val="single" w:sz="4" w:space="0" w:color="auto"/>
            </w:tcBorders>
            <w:shd w:val="clear" w:color="auto" w:fill="auto"/>
            <w:hideMark/>
          </w:tcPr>
          <w:p w14:paraId="54543767"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Underwood</w:t>
            </w:r>
          </w:p>
        </w:tc>
      </w:tr>
      <w:tr w:rsidR="000663FF" w:rsidRPr="000663FF" w14:paraId="4A3B9ACB" w14:textId="77777777" w:rsidTr="00DC0D18">
        <w:trPr>
          <w:trHeight w:val="290"/>
        </w:trPr>
        <w:tc>
          <w:tcPr>
            <w:tcW w:w="1009" w:type="dxa"/>
            <w:tcBorders>
              <w:top w:val="nil"/>
              <w:left w:val="single" w:sz="4" w:space="0" w:color="auto"/>
              <w:bottom w:val="single" w:sz="4" w:space="0" w:color="auto"/>
              <w:right w:val="single" w:sz="4" w:space="0" w:color="auto"/>
            </w:tcBorders>
            <w:shd w:val="clear" w:color="auto" w:fill="auto"/>
            <w:hideMark/>
          </w:tcPr>
          <w:p w14:paraId="14A535DD"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EV4wg</w:t>
            </w:r>
          </w:p>
        </w:tc>
        <w:tc>
          <w:tcPr>
            <w:tcW w:w="2388" w:type="dxa"/>
            <w:tcBorders>
              <w:top w:val="nil"/>
              <w:left w:val="nil"/>
              <w:bottom w:val="single" w:sz="4" w:space="0" w:color="auto"/>
              <w:right w:val="single" w:sz="4" w:space="0" w:color="auto"/>
            </w:tcBorders>
            <w:shd w:val="clear" w:color="auto" w:fill="auto"/>
            <w:hideMark/>
          </w:tcPr>
          <w:p w14:paraId="211027F8"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Selston Grassland (II)</w:t>
            </w:r>
          </w:p>
        </w:tc>
        <w:tc>
          <w:tcPr>
            <w:tcW w:w="4395" w:type="dxa"/>
            <w:tcBorders>
              <w:top w:val="nil"/>
              <w:left w:val="nil"/>
              <w:bottom w:val="single" w:sz="4" w:space="0" w:color="auto"/>
              <w:right w:val="single" w:sz="4" w:space="0" w:color="auto"/>
            </w:tcBorders>
            <w:shd w:val="clear" w:color="auto" w:fill="auto"/>
            <w:hideMark/>
          </w:tcPr>
          <w:p w14:paraId="03DA0FEB" w14:textId="579743DE" w:rsidR="00FA2CC6" w:rsidRPr="000663FF" w:rsidRDefault="007A1A00"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 notable grassland community</w:t>
            </w:r>
          </w:p>
        </w:tc>
        <w:tc>
          <w:tcPr>
            <w:tcW w:w="1984" w:type="dxa"/>
            <w:tcBorders>
              <w:top w:val="nil"/>
              <w:left w:val="nil"/>
              <w:bottom w:val="single" w:sz="4" w:space="0" w:color="auto"/>
              <w:right w:val="single" w:sz="4" w:space="0" w:color="auto"/>
            </w:tcBorders>
            <w:shd w:val="clear" w:color="auto" w:fill="auto"/>
            <w:hideMark/>
          </w:tcPr>
          <w:p w14:paraId="5FA14E09"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Underwood</w:t>
            </w:r>
          </w:p>
        </w:tc>
      </w:tr>
      <w:tr w:rsidR="000663FF" w:rsidRPr="000663FF" w14:paraId="48BE8BBD" w14:textId="77777777" w:rsidTr="00DC0D18">
        <w:trPr>
          <w:trHeight w:val="580"/>
        </w:trPr>
        <w:tc>
          <w:tcPr>
            <w:tcW w:w="1009" w:type="dxa"/>
            <w:tcBorders>
              <w:top w:val="nil"/>
              <w:left w:val="single" w:sz="4" w:space="0" w:color="auto"/>
              <w:bottom w:val="single" w:sz="4" w:space="0" w:color="auto"/>
              <w:right w:val="single" w:sz="4" w:space="0" w:color="auto"/>
            </w:tcBorders>
            <w:shd w:val="clear" w:color="auto" w:fill="auto"/>
            <w:hideMark/>
          </w:tcPr>
          <w:p w14:paraId="6BAE2A52"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EV4wga</w:t>
            </w:r>
          </w:p>
        </w:tc>
        <w:tc>
          <w:tcPr>
            <w:tcW w:w="2388" w:type="dxa"/>
            <w:tcBorders>
              <w:top w:val="nil"/>
              <w:left w:val="nil"/>
              <w:bottom w:val="single" w:sz="4" w:space="0" w:color="auto"/>
              <w:right w:val="single" w:sz="4" w:space="0" w:color="auto"/>
            </w:tcBorders>
            <w:shd w:val="clear" w:color="auto" w:fill="auto"/>
            <w:hideMark/>
          </w:tcPr>
          <w:p w14:paraId="139A7E0F"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Selston Meadow</w:t>
            </w:r>
          </w:p>
        </w:tc>
        <w:tc>
          <w:tcPr>
            <w:tcW w:w="4395" w:type="dxa"/>
            <w:tcBorders>
              <w:top w:val="nil"/>
              <w:left w:val="nil"/>
              <w:bottom w:val="single" w:sz="4" w:space="0" w:color="auto"/>
              <w:right w:val="single" w:sz="4" w:space="0" w:color="auto"/>
            </w:tcBorders>
            <w:shd w:val="clear" w:color="auto" w:fill="auto"/>
            <w:hideMark/>
          </w:tcPr>
          <w:p w14:paraId="28E2B914" w14:textId="61137F9A" w:rsidR="00FA2CC6" w:rsidRPr="000663FF" w:rsidRDefault="007A1A00"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 traditionally managed species-rich coal measures type grassland</w:t>
            </w:r>
          </w:p>
        </w:tc>
        <w:tc>
          <w:tcPr>
            <w:tcW w:w="1984" w:type="dxa"/>
            <w:tcBorders>
              <w:top w:val="nil"/>
              <w:left w:val="nil"/>
              <w:bottom w:val="single" w:sz="4" w:space="0" w:color="auto"/>
              <w:right w:val="single" w:sz="4" w:space="0" w:color="auto"/>
            </w:tcBorders>
            <w:shd w:val="clear" w:color="auto" w:fill="auto"/>
            <w:hideMark/>
          </w:tcPr>
          <w:p w14:paraId="1CE2ED83"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Selston</w:t>
            </w:r>
          </w:p>
        </w:tc>
      </w:tr>
      <w:tr w:rsidR="000663FF" w:rsidRPr="000663FF" w14:paraId="2D39D5B2" w14:textId="77777777" w:rsidTr="00DC0D18">
        <w:trPr>
          <w:trHeight w:val="580"/>
        </w:trPr>
        <w:tc>
          <w:tcPr>
            <w:tcW w:w="1009" w:type="dxa"/>
            <w:tcBorders>
              <w:top w:val="nil"/>
              <w:left w:val="single" w:sz="4" w:space="0" w:color="auto"/>
              <w:bottom w:val="single" w:sz="4" w:space="0" w:color="auto"/>
              <w:right w:val="single" w:sz="4" w:space="0" w:color="auto"/>
            </w:tcBorders>
            <w:shd w:val="clear" w:color="auto" w:fill="auto"/>
            <w:hideMark/>
          </w:tcPr>
          <w:p w14:paraId="5103A0A2"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EV4wgb</w:t>
            </w:r>
          </w:p>
        </w:tc>
        <w:tc>
          <w:tcPr>
            <w:tcW w:w="2388" w:type="dxa"/>
            <w:tcBorders>
              <w:top w:val="nil"/>
              <w:left w:val="nil"/>
              <w:bottom w:val="single" w:sz="4" w:space="0" w:color="auto"/>
              <w:right w:val="single" w:sz="4" w:space="0" w:color="auto"/>
            </w:tcBorders>
            <w:shd w:val="clear" w:color="auto" w:fill="auto"/>
            <w:hideMark/>
          </w:tcPr>
          <w:p w14:paraId="133651ED"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Silverhill Colliery</w:t>
            </w:r>
          </w:p>
        </w:tc>
        <w:tc>
          <w:tcPr>
            <w:tcW w:w="4395" w:type="dxa"/>
            <w:tcBorders>
              <w:top w:val="nil"/>
              <w:left w:val="nil"/>
              <w:bottom w:val="single" w:sz="4" w:space="0" w:color="auto"/>
              <w:right w:val="single" w:sz="4" w:space="0" w:color="auto"/>
            </w:tcBorders>
            <w:shd w:val="clear" w:color="auto" w:fill="auto"/>
            <w:hideMark/>
          </w:tcPr>
          <w:p w14:paraId="25F1BA3B" w14:textId="44131CA0" w:rsidR="00FA2CC6" w:rsidRPr="000663FF" w:rsidRDefault="007A1A00"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Former colliery site of botanical and zoological interest</w:t>
            </w:r>
          </w:p>
        </w:tc>
        <w:tc>
          <w:tcPr>
            <w:tcW w:w="1984" w:type="dxa"/>
            <w:tcBorders>
              <w:top w:val="nil"/>
              <w:left w:val="nil"/>
              <w:bottom w:val="single" w:sz="4" w:space="0" w:color="auto"/>
              <w:right w:val="single" w:sz="4" w:space="0" w:color="auto"/>
            </w:tcBorders>
            <w:shd w:val="clear" w:color="auto" w:fill="auto"/>
            <w:hideMark/>
          </w:tcPr>
          <w:p w14:paraId="458227B3"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Stanton Hill &amp; Teversal</w:t>
            </w:r>
          </w:p>
        </w:tc>
      </w:tr>
      <w:tr w:rsidR="000663FF" w:rsidRPr="000663FF" w14:paraId="19C1211D" w14:textId="77777777" w:rsidTr="007A1A00">
        <w:trPr>
          <w:trHeight w:val="580"/>
        </w:trPr>
        <w:tc>
          <w:tcPr>
            <w:tcW w:w="1009" w:type="dxa"/>
            <w:tcBorders>
              <w:top w:val="nil"/>
              <w:left w:val="single" w:sz="4" w:space="0" w:color="auto"/>
              <w:bottom w:val="single" w:sz="4" w:space="0" w:color="auto"/>
              <w:right w:val="single" w:sz="4" w:space="0" w:color="auto"/>
            </w:tcBorders>
            <w:shd w:val="clear" w:color="auto" w:fill="auto"/>
            <w:hideMark/>
          </w:tcPr>
          <w:p w14:paraId="1EC7D513"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EV4wgc</w:t>
            </w:r>
          </w:p>
        </w:tc>
        <w:tc>
          <w:tcPr>
            <w:tcW w:w="2388" w:type="dxa"/>
            <w:tcBorders>
              <w:top w:val="nil"/>
              <w:left w:val="nil"/>
              <w:bottom w:val="single" w:sz="4" w:space="0" w:color="auto"/>
              <w:right w:val="single" w:sz="4" w:space="0" w:color="auto"/>
            </w:tcBorders>
            <w:shd w:val="clear" w:color="auto" w:fill="auto"/>
            <w:hideMark/>
          </w:tcPr>
          <w:p w14:paraId="7345F159"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Silverhill Lane</w:t>
            </w:r>
          </w:p>
        </w:tc>
        <w:tc>
          <w:tcPr>
            <w:tcW w:w="4395" w:type="dxa"/>
            <w:tcBorders>
              <w:top w:val="nil"/>
              <w:left w:val="nil"/>
              <w:bottom w:val="single" w:sz="4" w:space="0" w:color="auto"/>
              <w:right w:val="single" w:sz="4" w:space="0" w:color="auto"/>
            </w:tcBorders>
            <w:shd w:val="clear" w:color="auto" w:fill="auto"/>
            <w:hideMark/>
          </w:tcPr>
          <w:p w14:paraId="5D48CD0E" w14:textId="2C3DEC42" w:rsidR="00FA2CC6" w:rsidRPr="000663FF" w:rsidRDefault="007A1A00"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 xml:space="preserve">An attractive cutting with tall, botanically interesting, </w:t>
            </w:r>
            <w:proofErr w:type="spellStart"/>
            <w:r w:rsidR="00FA2CC6" w:rsidRPr="000663FF">
              <w:rPr>
                <w:rFonts w:ascii="Calibri" w:hAnsi="Calibri" w:cs="Calibri"/>
                <w:color w:val="auto"/>
                <w:sz w:val="22"/>
                <w:szCs w:val="22"/>
              </w:rPr>
              <w:t>hedgebanks</w:t>
            </w:r>
            <w:proofErr w:type="spellEnd"/>
          </w:p>
        </w:tc>
        <w:tc>
          <w:tcPr>
            <w:tcW w:w="1984" w:type="dxa"/>
            <w:tcBorders>
              <w:top w:val="nil"/>
              <w:left w:val="nil"/>
              <w:bottom w:val="single" w:sz="4" w:space="0" w:color="auto"/>
              <w:right w:val="single" w:sz="4" w:space="0" w:color="auto"/>
            </w:tcBorders>
            <w:shd w:val="clear" w:color="auto" w:fill="auto"/>
            <w:hideMark/>
          </w:tcPr>
          <w:p w14:paraId="4CEF7750"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Stanton Hill &amp; Teversal</w:t>
            </w:r>
          </w:p>
        </w:tc>
      </w:tr>
      <w:tr w:rsidR="000663FF" w:rsidRPr="000663FF" w14:paraId="395839DE" w14:textId="77777777" w:rsidTr="007A1A00">
        <w:trPr>
          <w:trHeight w:val="569"/>
        </w:trPr>
        <w:tc>
          <w:tcPr>
            <w:tcW w:w="1009" w:type="dxa"/>
            <w:tcBorders>
              <w:top w:val="single" w:sz="4" w:space="0" w:color="auto"/>
              <w:left w:val="single" w:sz="4" w:space="0" w:color="auto"/>
              <w:bottom w:val="single" w:sz="4" w:space="0" w:color="auto"/>
              <w:right w:val="single" w:sz="4" w:space="0" w:color="auto"/>
            </w:tcBorders>
            <w:shd w:val="clear" w:color="auto" w:fill="auto"/>
            <w:hideMark/>
          </w:tcPr>
          <w:p w14:paraId="21202257"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EV4wgd</w:t>
            </w:r>
          </w:p>
        </w:tc>
        <w:tc>
          <w:tcPr>
            <w:tcW w:w="2388" w:type="dxa"/>
            <w:tcBorders>
              <w:top w:val="single" w:sz="4" w:space="0" w:color="auto"/>
              <w:left w:val="nil"/>
              <w:bottom w:val="single" w:sz="4" w:space="0" w:color="auto"/>
              <w:right w:val="single" w:sz="4" w:space="0" w:color="auto"/>
            </w:tcBorders>
            <w:shd w:val="clear" w:color="auto" w:fill="auto"/>
            <w:hideMark/>
          </w:tcPr>
          <w:p w14:paraId="68D21E0C"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Skegby Disused Quarry I</w:t>
            </w:r>
          </w:p>
        </w:tc>
        <w:tc>
          <w:tcPr>
            <w:tcW w:w="4395" w:type="dxa"/>
            <w:tcBorders>
              <w:top w:val="single" w:sz="4" w:space="0" w:color="auto"/>
              <w:left w:val="nil"/>
              <w:bottom w:val="single" w:sz="4" w:space="0" w:color="auto"/>
              <w:right w:val="single" w:sz="4" w:space="0" w:color="auto"/>
            </w:tcBorders>
            <w:shd w:val="clear" w:color="auto" w:fill="auto"/>
            <w:hideMark/>
          </w:tcPr>
          <w:p w14:paraId="5FD7A646" w14:textId="5E9D7A6A" w:rsidR="00FA2CC6" w:rsidRPr="000663FF" w:rsidRDefault="007A1A00"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Species-rich calcareous community on the lower exposures of a disused quarry</w:t>
            </w:r>
          </w:p>
        </w:tc>
        <w:tc>
          <w:tcPr>
            <w:tcW w:w="1984" w:type="dxa"/>
            <w:tcBorders>
              <w:top w:val="single" w:sz="4" w:space="0" w:color="auto"/>
              <w:left w:val="nil"/>
              <w:bottom w:val="single" w:sz="4" w:space="0" w:color="auto"/>
              <w:right w:val="single" w:sz="4" w:space="0" w:color="auto"/>
            </w:tcBorders>
            <w:shd w:val="clear" w:color="auto" w:fill="auto"/>
            <w:hideMark/>
          </w:tcPr>
          <w:p w14:paraId="6F12A531"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The Dales</w:t>
            </w:r>
          </w:p>
        </w:tc>
      </w:tr>
      <w:tr w:rsidR="000663FF" w:rsidRPr="000663FF" w14:paraId="0F526A48" w14:textId="77777777" w:rsidTr="007A1A00">
        <w:trPr>
          <w:trHeight w:val="549"/>
        </w:trPr>
        <w:tc>
          <w:tcPr>
            <w:tcW w:w="1009" w:type="dxa"/>
            <w:tcBorders>
              <w:top w:val="single" w:sz="4" w:space="0" w:color="auto"/>
              <w:left w:val="single" w:sz="4" w:space="0" w:color="auto"/>
              <w:bottom w:val="single" w:sz="4" w:space="0" w:color="auto"/>
              <w:right w:val="single" w:sz="4" w:space="0" w:color="auto"/>
            </w:tcBorders>
            <w:shd w:val="clear" w:color="auto" w:fill="auto"/>
            <w:hideMark/>
          </w:tcPr>
          <w:p w14:paraId="08B0D73D"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EV4wge</w:t>
            </w:r>
          </w:p>
        </w:tc>
        <w:tc>
          <w:tcPr>
            <w:tcW w:w="2388" w:type="dxa"/>
            <w:tcBorders>
              <w:top w:val="single" w:sz="4" w:space="0" w:color="auto"/>
              <w:left w:val="nil"/>
              <w:bottom w:val="single" w:sz="4" w:space="0" w:color="auto"/>
              <w:right w:val="single" w:sz="4" w:space="0" w:color="auto"/>
            </w:tcBorders>
            <w:shd w:val="clear" w:color="auto" w:fill="auto"/>
            <w:hideMark/>
          </w:tcPr>
          <w:p w14:paraId="033DED9F"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Skegby Disused Quarry III</w:t>
            </w:r>
          </w:p>
        </w:tc>
        <w:tc>
          <w:tcPr>
            <w:tcW w:w="4395" w:type="dxa"/>
            <w:tcBorders>
              <w:top w:val="single" w:sz="4" w:space="0" w:color="auto"/>
              <w:left w:val="nil"/>
              <w:bottom w:val="single" w:sz="4" w:space="0" w:color="auto"/>
              <w:right w:val="single" w:sz="4" w:space="0" w:color="auto"/>
            </w:tcBorders>
            <w:shd w:val="clear" w:color="auto" w:fill="auto"/>
            <w:hideMark/>
          </w:tcPr>
          <w:p w14:paraId="79D1918C" w14:textId="2842AFCB" w:rsidR="00FA2CC6" w:rsidRPr="000663FF" w:rsidRDefault="007A1A00"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 xml:space="preserve">A mosaic of neutral and species-rich calcareous grassland in </w:t>
            </w:r>
            <w:proofErr w:type="spellStart"/>
            <w:r w:rsidR="00FA2CC6" w:rsidRPr="000663FF">
              <w:rPr>
                <w:rFonts w:ascii="Calibri" w:hAnsi="Calibri" w:cs="Calibri"/>
                <w:color w:val="auto"/>
                <w:sz w:val="22"/>
                <w:szCs w:val="22"/>
              </w:rPr>
              <w:t>a</w:t>
            </w:r>
            <w:proofErr w:type="spellEnd"/>
            <w:r w:rsidR="00FA2CC6" w:rsidRPr="000663FF">
              <w:rPr>
                <w:rFonts w:ascii="Calibri" w:hAnsi="Calibri" w:cs="Calibri"/>
                <w:color w:val="auto"/>
                <w:sz w:val="22"/>
                <w:szCs w:val="22"/>
              </w:rPr>
              <w:t xml:space="preserve"> abandoned quarry</w:t>
            </w:r>
          </w:p>
        </w:tc>
        <w:tc>
          <w:tcPr>
            <w:tcW w:w="1984" w:type="dxa"/>
            <w:tcBorders>
              <w:top w:val="single" w:sz="4" w:space="0" w:color="auto"/>
              <w:left w:val="nil"/>
              <w:bottom w:val="single" w:sz="4" w:space="0" w:color="auto"/>
              <w:right w:val="single" w:sz="4" w:space="0" w:color="auto"/>
            </w:tcBorders>
            <w:shd w:val="clear" w:color="auto" w:fill="auto"/>
            <w:hideMark/>
          </w:tcPr>
          <w:p w14:paraId="77C9AF2E"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The Dales</w:t>
            </w:r>
          </w:p>
        </w:tc>
      </w:tr>
      <w:tr w:rsidR="000663FF" w:rsidRPr="000663FF" w14:paraId="15BE1730" w14:textId="77777777" w:rsidTr="000663FF">
        <w:trPr>
          <w:trHeight w:val="580"/>
        </w:trPr>
        <w:tc>
          <w:tcPr>
            <w:tcW w:w="1009" w:type="dxa"/>
            <w:tcBorders>
              <w:top w:val="nil"/>
              <w:left w:val="single" w:sz="4" w:space="0" w:color="auto"/>
              <w:bottom w:val="single" w:sz="4" w:space="0" w:color="auto"/>
              <w:right w:val="single" w:sz="4" w:space="0" w:color="auto"/>
            </w:tcBorders>
            <w:shd w:val="clear" w:color="auto" w:fill="auto"/>
            <w:hideMark/>
          </w:tcPr>
          <w:p w14:paraId="67C3F54A"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EV4wgf</w:t>
            </w:r>
          </w:p>
        </w:tc>
        <w:tc>
          <w:tcPr>
            <w:tcW w:w="2388" w:type="dxa"/>
            <w:tcBorders>
              <w:top w:val="nil"/>
              <w:left w:val="nil"/>
              <w:bottom w:val="single" w:sz="4" w:space="0" w:color="auto"/>
              <w:right w:val="single" w:sz="4" w:space="0" w:color="auto"/>
            </w:tcBorders>
            <w:shd w:val="clear" w:color="auto" w:fill="auto"/>
            <w:hideMark/>
          </w:tcPr>
          <w:p w14:paraId="63A60D5E"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Skegby Grassland II</w:t>
            </w:r>
          </w:p>
        </w:tc>
        <w:tc>
          <w:tcPr>
            <w:tcW w:w="4395" w:type="dxa"/>
            <w:tcBorders>
              <w:top w:val="nil"/>
              <w:left w:val="nil"/>
              <w:bottom w:val="single" w:sz="4" w:space="0" w:color="auto"/>
              <w:right w:val="single" w:sz="4" w:space="0" w:color="auto"/>
            </w:tcBorders>
            <w:shd w:val="clear" w:color="auto" w:fill="auto"/>
            <w:hideMark/>
          </w:tcPr>
          <w:p w14:paraId="745BC828" w14:textId="215EC2EF" w:rsidR="00FA2CC6" w:rsidRPr="000663FF" w:rsidRDefault="007A1A00"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 damp grassland with a valuable collection of herbs</w:t>
            </w:r>
          </w:p>
        </w:tc>
        <w:tc>
          <w:tcPr>
            <w:tcW w:w="1984" w:type="dxa"/>
            <w:tcBorders>
              <w:top w:val="nil"/>
              <w:left w:val="nil"/>
              <w:bottom w:val="single" w:sz="4" w:space="0" w:color="auto"/>
              <w:right w:val="single" w:sz="4" w:space="0" w:color="auto"/>
            </w:tcBorders>
            <w:shd w:val="clear" w:color="auto" w:fill="auto"/>
            <w:hideMark/>
          </w:tcPr>
          <w:p w14:paraId="001A8DC9"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Skegby</w:t>
            </w:r>
          </w:p>
        </w:tc>
      </w:tr>
      <w:tr w:rsidR="000663FF" w:rsidRPr="000663FF" w14:paraId="305E3035" w14:textId="77777777" w:rsidTr="000663FF">
        <w:trPr>
          <w:trHeight w:val="290"/>
        </w:trPr>
        <w:tc>
          <w:tcPr>
            <w:tcW w:w="1009" w:type="dxa"/>
            <w:tcBorders>
              <w:top w:val="single" w:sz="4" w:space="0" w:color="auto"/>
              <w:left w:val="single" w:sz="4" w:space="0" w:color="auto"/>
              <w:bottom w:val="single" w:sz="4" w:space="0" w:color="auto"/>
              <w:right w:val="single" w:sz="4" w:space="0" w:color="auto"/>
            </w:tcBorders>
            <w:shd w:val="clear" w:color="auto" w:fill="auto"/>
            <w:hideMark/>
          </w:tcPr>
          <w:p w14:paraId="388C44A3"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EV4wgg</w:t>
            </w:r>
          </w:p>
        </w:tc>
        <w:tc>
          <w:tcPr>
            <w:tcW w:w="2388" w:type="dxa"/>
            <w:tcBorders>
              <w:top w:val="single" w:sz="4" w:space="0" w:color="auto"/>
              <w:left w:val="nil"/>
              <w:bottom w:val="single" w:sz="4" w:space="0" w:color="auto"/>
              <w:right w:val="single" w:sz="4" w:space="0" w:color="auto"/>
            </w:tcBorders>
            <w:shd w:val="clear" w:color="auto" w:fill="auto"/>
            <w:hideMark/>
          </w:tcPr>
          <w:p w14:paraId="7831EBE6"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Skegby Grassland III</w:t>
            </w:r>
          </w:p>
        </w:tc>
        <w:tc>
          <w:tcPr>
            <w:tcW w:w="4395" w:type="dxa"/>
            <w:tcBorders>
              <w:top w:val="single" w:sz="4" w:space="0" w:color="auto"/>
              <w:left w:val="nil"/>
              <w:bottom w:val="single" w:sz="4" w:space="0" w:color="auto"/>
              <w:right w:val="single" w:sz="4" w:space="0" w:color="auto"/>
            </w:tcBorders>
            <w:shd w:val="clear" w:color="auto" w:fill="auto"/>
            <w:hideMark/>
          </w:tcPr>
          <w:p w14:paraId="2E33BBEF" w14:textId="058BF6A6" w:rsidR="00FA2CC6" w:rsidRPr="000663FF" w:rsidRDefault="00D15A9D"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 valuable wet meadow</w:t>
            </w:r>
          </w:p>
        </w:tc>
        <w:tc>
          <w:tcPr>
            <w:tcW w:w="1984" w:type="dxa"/>
            <w:tcBorders>
              <w:top w:val="single" w:sz="4" w:space="0" w:color="auto"/>
              <w:left w:val="nil"/>
              <w:bottom w:val="single" w:sz="4" w:space="0" w:color="auto"/>
              <w:right w:val="single" w:sz="4" w:space="0" w:color="auto"/>
            </w:tcBorders>
            <w:shd w:val="clear" w:color="auto" w:fill="auto"/>
            <w:hideMark/>
          </w:tcPr>
          <w:p w14:paraId="11BD9086"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Skegby</w:t>
            </w:r>
          </w:p>
        </w:tc>
      </w:tr>
      <w:tr w:rsidR="000663FF" w:rsidRPr="000663FF" w14:paraId="199F9702" w14:textId="77777777" w:rsidTr="000663FF">
        <w:trPr>
          <w:trHeight w:val="580"/>
        </w:trPr>
        <w:tc>
          <w:tcPr>
            <w:tcW w:w="1009" w:type="dxa"/>
            <w:tcBorders>
              <w:top w:val="single" w:sz="4" w:space="0" w:color="auto"/>
              <w:left w:val="single" w:sz="4" w:space="0" w:color="auto"/>
              <w:bottom w:val="single" w:sz="4" w:space="0" w:color="auto"/>
              <w:right w:val="single" w:sz="4" w:space="0" w:color="auto"/>
            </w:tcBorders>
            <w:shd w:val="clear" w:color="auto" w:fill="auto"/>
            <w:hideMark/>
          </w:tcPr>
          <w:p w14:paraId="286C3EB1"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EV4wgh</w:t>
            </w:r>
          </w:p>
        </w:tc>
        <w:tc>
          <w:tcPr>
            <w:tcW w:w="2388" w:type="dxa"/>
            <w:tcBorders>
              <w:top w:val="single" w:sz="4" w:space="0" w:color="auto"/>
              <w:left w:val="nil"/>
              <w:bottom w:val="single" w:sz="4" w:space="0" w:color="auto"/>
              <w:right w:val="single" w:sz="4" w:space="0" w:color="auto"/>
            </w:tcBorders>
            <w:shd w:val="clear" w:color="auto" w:fill="auto"/>
            <w:hideMark/>
          </w:tcPr>
          <w:p w14:paraId="5BADD32E"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Skegby Junction Grassland</w:t>
            </w:r>
          </w:p>
        </w:tc>
        <w:tc>
          <w:tcPr>
            <w:tcW w:w="4395" w:type="dxa"/>
            <w:tcBorders>
              <w:top w:val="single" w:sz="4" w:space="0" w:color="auto"/>
              <w:left w:val="nil"/>
              <w:bottom w:val="single" w:sz="4" w:space="0" w:color="auto"/>
              <w:right w:val="single" w:sz="4" w:space="0" w:color="auto"/>
            </w:tcBorders>
            <w:shd w:val="clear" w:color="auto" w:fill="auto"/>
            <w:hideMark/>
          </w:tcPr>
          <w:p w14:paraId="368B8578" w14:textId="6581DF92" w:rsidR="00FA2CC6" w:rsidRPr="000663FF" w:rsidRDefault="00D15A9D"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 linear hay meadow with characteristic species</w:t>
            </w:r>
          </w:p>
        </w:tc>
        <w:tc>
          <w:tcPr>
            <w:tcW w:w="1984" w:type="dxa"/>
            <w:tcBorders>
              <w:top w:val="single" w:sz="4" w:space="0" w:color="auto"/>
              <w:left w:val="nil"/>
              <w:bottom w:val="single" w:sz="4" w:space="0" w:color="auto"/>
              <w:right w:val="single" w:sz="4" w:space="0" w:color="auto"/>
            </w:tcBorders>
            <w:shd w:val="clear" w:color="auto" w:fill="auto"/>
            <w:hideMark/>
          </w:tcPr>
          <w:p w14:paraId="218C2CCE"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Huthwaite &amp; Brierley</w:t>
            </w:r>
          </w:p>
        </w:tc>
      </w:tr>
      <w:tr w:rsidR="000663FF" w:rsidRPr="000663FF" w14:paraId="1B4BC638" w14:textId="77777777" w:rsidTr="00DC0D18">
        <w:trPr>
          <w:trHeight w:val="580"/>
        </w:trPr>
        <w:tc>
          <w:tcPr>
            <w:tcW w:w="1009" w:type="dxa"/>
            <w:tcBorders>
              <w:top w:val="nil"/>
              <w:left w:val="single" w:sz="4" w:space="0" w:color="auto"/>
              <w:bottom w:val="single" w:sz="4" w:space="0" w:color="auto"/>
              <w:right w:val="single" w:sz="4" w:space="0" w:color="auto"/>
            </w:tcBorders>
            <w:shd w:val="clear" w:color="auto" w:fill="auto"/>
            <w:hideMark/>
          </w:tcPr>
          <w:p w14:paraId="1A70D5BC"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EV4wgi</w:t>
            </w:r>
          </w:p>
        </w:tc>
        <w:tc>
          <w:tcPr>
            <w:tcW w:w="2388" w:type="dxa"/>
            <w:tcBorders>
              <w:top w:val="nil"/>
              <w:left w:val="nil"/>
              <w:bottom w:val="single" w:sz="4" w:space="0" w:color="auto"/>
              <w:right w:val="single" w:sz="4" w:space="0" w:color="auto"/>
            </w:tcBorders>
            <w:shd w:val="clear" w:color="auto" w:fill="auto"/>
            <w:hideMark/>
          </w:tcPr>
          <w:p w14:paraId="75C45500"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Skegby Railway Cutting</w:t>
            </w:r>
          </w:p>
        </w:tc>
        <w:tc>
          <w:tcPr>
            <w:tcW w:w="4395" w:type="dxa"/>
            <w:tcBorders>
              <w:top w:val="nil"/>
              <w:left w:val="nil"/>
              <w:bottom w:val="single" w:sz="4" w:space="0" w:color="auto"/>
              <w:right w:val="single" w:sz="4" w:space="0" w:color="auto"/>
            </w:tcBorders>
            <w:shd w:val="clear" w:color="auto" w:fill="auto"/>
            <w:hideMark/>
          </w:tcPr>
          <w:p w14:paraId="07FDDAB0" w14:textId="19EA97D1" w:rsidR="00FA2CC6" w:rsidRPr="000663FF" w:rsidRDefault="007A1A00"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&amp; LGS - </w:t>
            </w:r>
            <w:r w:rsidR="00FA2CC6" w:rsidRPr="000663FF">
              <w:rPr>
                <w:rFonts w:ascii="Calibri" w:hAnsi="Calibri" w:cs="Calibri"/>
                <w:color w:val="auto"/>
                <w:sz w:val="22"/>
                <w:szCs w:val="22"/>
              </w:rPr>
              <w:t>A good exposure of Lower Magnesian Limestone with botanical interest</w:t>
            </w:r>
          </w:p>
        </w:tc>
        <w:tc>
          <w:tcPr>
            <w:tcW w:w="1984" w:type="dxa"/>
            <w:tcBorders>
              <w:top w:val="nil"/>
              <w:left w:val="nil"/>
              <w:bottom w:val="single" w:sz="4" w:space="0" w:color="auto"/>
              <w:right w:val="single" w:sz="4" w:space="0" w:color="auto"/>
            </w:tcBorders>
            <w:shd w:val="clear" w:color="auto" w:fill="auto"/>
            <w:hideMark/>
          </w:tcPr>
          <w:p w14:paraId="30BB44D1"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The Dales</w:t>
            </w:r>
          </w:p>
        </w:tc>
      </w:tr>
      <w:tr w:rsidR="000663FF" w:rsidRPr="000663FF" w14:paraId="45EEEE5D" w14:textId="77777777" w:rsidTr="00DC0D18">
        <w:trPr>
          <w:trHeight w:val="580"/>
        </w:trPr>
        <w:tc>
          <w:tcPr>
            <w:tcW w:w="1009" w:type="dxa"/>
            <w:tcBorders>
              <w:top w:val="single" w:sz="4" w:space="0" w:color="auto"/>
              <w:left w:val="single" w:sz="4" w:space="0" w:color="auto"/>
              <w:bottom w:val="single" w:sz="4" w:space="0" w:color="auto"/>
              <w:right w:val="single" w:sz="4" w:space="0" w:color="auto"/>
            </w:tcBorders>
            <w:shd w:val="clear" w:color="auto" w:fill="auto"/>
            <w:hideMark/>
          </w:tcPr>
          <w:p w14:paraId="44FFFFFA"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EV4wgj</w:t>
            </w:r>
          </w:p>
        </w:tc>
        <w:tc>
          <w:tcPr>
            <w:tcW w:w="2388" w:type="dxa"/>
            <w:tcBorders>
              <w:top w:val="single" w:sz="4" w:space="0" w:color="auto"/>
              <w:left w:val="single" w:sz="4" w:space="0" w:color="auto"/>
              <w:bottom w:val="single" w:sz="4" w:space="0" w:color="auto"/>
              <w:right w:val="single" w:sz="4" w:space="0" w:color="auto"/>
            </w:tcBorders>
            <w:shd w:val="clear" w:color="auto" w:fill="auto"/>
            <w:hideMark/>
          </w:tcPr>
          <w:p w14:paraId="2C0BE50D"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Skegby Railway Grassland</w:t>
            </w:r>
          </w:p>
        </w:tc>
        <w:tc>
          <w:tcPr>
            <w:tcW w:w="4395" w:type="dxa"/>
            <w:tcBorders>
              <w:top w:val="single" w:sz="4" w:space="0" w:color="auto"/>
              <w:left w:val="single" w:sz="4" w:space="0" w:color="auto"/>
              <w:bottom w:val="single" w:sz="4" w:space="0" w:color="auto"/>
              <w:right w:val="single" w:sz="4" w:space="0" w:color="auto"/>
            </w:tcBorders>
            <w:shd w:val="clear" w:color="auto" w:fill="auto"/>
            <w:hideMark/>
          </w:tcPr>
          <w:p w14:paraId="5F5EE549" w14:textId="426AD6C1" w:rsidR="00FA2CC6" w:rsidRPr="000663FF" w:rsidRDefault="00D15A9D"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 grassland with an impressive herb content</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568EF8E3"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Skegby</w:t>
            </w:r>
          </w:p>
        </w:tc>
      </w:tr>
      <w:tr w:rsidR="000663FF" w:rsidRPr="000663FF" w14:paraId="4369F906" w14:textId="77777777" w:rsidTr="00DC0D18">
        <w:trPr>
          <w:trHeight w:val="290"/>
        </w:trPr>
        <w:tc>
          <w:tcPr>
            <w:tcW w:w="1009" w:type="dxa"/>
            <w:tcBorders>
              <w:top w:val="single" w:sz="4" w:space="0" w:color="auto"/>
              <w:left w:val="single" w:sz="4" w:space="0" w:color="auto"/>
              <w:bottom w:val="single" w:sz="4" w:space="0" w:color="auto"/>
              <w:right w:val="single" w:sz="4" w:space="0" w:color="auto"/>
            </w:tcBorders>
            <w:shd w:val="clear" w:color="auto" w:fill="auto"/>
            <w:hideMark/>
          </w:tcPr>
          <w:p w14:paraId="7A3B2DB7"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EV4wgk</w:t>
            </w:r>
          </w:p>
        </w:tc>
        <w:tc>
          <w:tcPr>
            <w:tcW w:w="2388" w:type="dxa"/>
            <w:tcBorders>
              <w:top w:val="single" w:sz="4" w:space="0" w:color="auto"/>
              <w:left w:val="nil"/>
              <w:bottom w:val="single" w:sz="4" w:space="0" w:color="auto"/>
              <w:right w:val="single" w:sz="4" w:space="0" w:color="auto"/>
            </w:tcBorders>
            <w:shd w:val="clear" w:color="auto" w:fill="auto"/>
            <w:hideMark/>
          </w:tcPr>
          <w:p w14:paraId="4B55ADB5"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Skegby Railway Grassland III</w:t>
            </w:r>
          </w:p>
        </w:tc>
        <w:tc>
          <w:tcPr>
            <w:tcW w:w="4395" w:type="dxa"/>
            <w:tcBorders>
              <w:top w:val="single" w:sz="4" w:space="0" w:color="auto"/>
              <w:left w:val="nil"/>
              <w:bottom w:val="single" w:sz="4" w:space="0" w:color="auto"/>
              <w:right w:val="single" w:sz="4" w:space="0" w:color="auto"/>
            </w:tcBorders>
            <w:shd w:val="clear" w:color="auto" w:fill="auto"/>
            <w:hideMark/>
          </w:tcPr>
          <w:p w14:paraId="30F5C5B5" w14:textId="17BD877A" w:rsidR="00FA2CC6" w:rsidRPr="000663FF" w:rsidRDefault="00D15A9D"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 noteworthy calcareous grassland.</w:t>
            </w:r>
          </w:p>
        </w:tc>
        <w:tc>
          <w:tcPr>
            <w:tcW w:w="1984" w:type="dxa"/>
            <w:tcBorders>
              <w:top w:val="single" w:sz="4" w:space="0" w:color="auto"/>
              <w:left w:val="nil"/>
              <w:bottom w:val="single" w:sz="4" w:space="0" w:color="auto"/>
              <w:right w:val="single" w:sz="4" w:space="0" w:color="auto"/>
            </w:tcBorders>
            <w:shd w:val="clear" w:color="auto" w:fill="auto"/>
            <w:hideMark/>
          </w:tcPr>
          <w:p w14:paraId="5FAE7922"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Skegby</w:t>
            </w:r>
          </w:p>
        </w:tc>
      </w:tr>
      <w:tr w:rsidR="000663FF" w:rsidRPr="000663FF" w14:paraId="6F94ECD7" w14:textId="77777777" w:rsidTr="00DC0D18">
        <w:trPr>
          <w:trHeight w:val="870"/>
        </w:trPr>
        <w:tc>
          <w:tcPr>
            <w:tcW w:w="1009" w:type="dxa"/>
            <w:tcBorders>
              <w:top w:val="nil"/>
              <w:left w:val="single" w:sz="4" w:space="0" w:color="auto"/>
              <w:bottom w:val="single" w:sz="4" w:space="0" w:color="auto"/>
              <w:right w:val="single" w:sz="4" w:space="0" w:color="auto"/>
            </w:tcBorders>
            <w:shd w:val="clear" w:color="auto" w:fill="auto"/>
            <w:hideMark/>
          </w:tcPr>
          <w:p w14:paraId="538335B1"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EV4wgl</w:t>
            </w:r>
          </w:p>
        </w:tc>
        <w:tc>
          <w:tcPr>
            <w:tcW w:w="2388" w:type="dxa"/>
            <w:tcBorders>
              <w:top w:val="nil"/>
              <w:left w:val="nil"/>
              <w:bottom w:val="single" w:sz="4" w:space="0" w:color="auto"/>
              <w:right w:val="single" w:sz="4" w:space="0" w:color="auto"/>
            </w:tcBorders>
            <w:shd w:val="clear" w:color="auto" w:fill="auto"/>
            <w:hideMark/>
          </w:tcPr>
          <w:p w14:paraId="6BAFB152"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Skegby Riparian Woodland</w:t>
            </w:r>
          </w:p>
        </w:tc>
        <w:tc>
          <w:tcPr>
            <w:tcW w:w="4395" w:type="dxa"/>
            <w:tcBorders>
              <w:top w:val="nil"/>
              <w:left w:val="nil"/>
              <w:bottom w:val="single" w:sz="4" w:space="0" w:color="auto"/>
              <w:right w:val="single" w:sz="4" w:space="0" w:color="auto"/>
            </w:tcBorders>
            <w:shd w:val="clear" w:color="auto" w:fill="auto"/>
            <w:hideMark/>
          </w:tcPr>
          <w:p w14:paraId="4E3297D1" w14:textId="607F407C" w:rsidR="00FA2CC6" w:rsidRPr="000663FF" w:rsidRDefault="00D15A9D"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 xml:space="preserve">A grassland, short length of stream and a pond with a </w:t>
            </w:r>
            <w:r w:rsidR="000663FF" w:rsidRPr="000663FF">
              <w:rPr>
                <w:rFonts w:ascii="Calibri" w:hAnsi="Calibri" w:cs="Calibri"/>
                <w:color w:val="auto"/>
                <w:sz w:val="22"/>
                <w:szCs w:val="22"/>
              </w:rPr>
              <w:t>well-developed</w:t>
            </w:r>
            <w:r w:rsidR="00FA2CC6" w:rsidRPr="000663FF">
              <w:rPr>
                <w:rFonts w:ascii="Calibri" w:hAnsi="Calibri" w:cs="Calibri"/>
                <w:color w:val="auto"/>
                <w:sz w:val="22"/>
                <w:szCs w:val="22"/>
              </w:rPr>
              <w:t xml:space="preserve"> submerged and marginal aquatic</w:t>
            </w:r>
          </w:p>
        </w:tc>
        <w:tc>
          <w:tcPr>
            <w:tcW w:w="1984" w:type="dxa"/>
            <w:tcBorders>
              <w:top w:val="nil"/>
              <w:left w:val="nil"/>
              <w:bottom w:val="single" w:sz="4" w:space="0" w:color="auto"/>
              <w:right w:val="single" w:sz="4" w:space="0" w:color="auto"/>
            </w:tcBorders>
            <w:shd w:val="clear" w:color="auto" w:fill="auto"/>
            <w:hideMark/>
          </w:tcPr>
          <w:p w14:paraId="05F6FEAD"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Stanton Hill &amp; Teversal</w:t>
            </w:r>
          </w:p>
        </w:tc>
      </w:tr>
      <w:tr w:rsidR="000663FF" w:rsidRPr="000663FF" w14:paraId="40D130E8" w14:textId="77777777" w:rsidTr="00DC0D18">
        <w:trPr>
          <w:trHeight w:val="870"/>
        </w:trPr>
        <w:tc>
          <w:tcPr>
            <w:tcW w:w="1009" w:type="dxa"/>
            <w:tcBorders>
              <w:top w:val="nil"/>
              <w:left w:val="single" w:sz="4" w:space="0" w:color="auto"/>
              <w:bottom w:val="single" w:sz="4" w:space="0" w:color="auto"/>
              <w:right w:val="single" w:sz="4" w:space="0" w:color="auto"/>
            </w:tcBorders>
            <w:shd w:val="clear" w:color="auto" w:fill="auto"/>
            <w:hideMark/>
          </w:tcPr>
          <w:p w14:paraId="3F4EE493"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EV4wgm</w:t>
            </w:r>
          </w:p>
        </w:tc>
        <w:tc>
          <w:tcPr>
            <w:tcW w:w="2388" w:type="dxa"/>
            <w:tcBorders>
              <w:top w:val="nil"/>
              <w:left w:val="nil"/>
              <w:bottom w:val="single" w:sz="4" w:space="0" w:color="auto"/>
              <w:right w:val="single" w:sz="4" w:space="0" w:color="auto"/>
            </w:tcBorders>
            <w:shd w:val="clear" w:color="auto" w:fill="auto"/>
            <w:hideMark/>
          </w:tcPr>
          <w:p w14:paraId="50A3A79B"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Skegby to Pleasley Railway</w:t>
            </w:r>
          </w:p>
        </w:tc>
        <w:tc>
          <w:tcPr>
            <w:tcW w:w="4395" w:type="dxa"/>
            <w:tcBorders>
              <w:top w:val="nil"/>
              <w:left w:val="nil"/>
              <w:bottom w:val="single" w:sz="4" w:space="0" w:color="auto"/>
              <w:right w:val="single" w:sz="4" w:space="0" w:color="auto"/>
            </w:tcBorders>
            <w:shd w:val="clear" w:color="auto" w:fill="auto"/>
            <w:hideMark/>
          </w:tcPr>
          <w:p w14:paraId="3161B4BC" w14:textId="5A05BC50" w:rsidR="00FA2CC6" w:rsidRPr="000663FF" w:rsidRDefault="00D15A9D"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 range of habitats developed on a disused railway, including some excellent species-rich grassland</w:t>
            </w:r>
          </w:p>
        </w:tc>
        <w:tc>
          <w:tcPr>
            <w:tcW w:w="1984" w:type="dxa"/>
            <w:tcBorders>
              <w:top w:val="nil"/>
              <w:left w:val="nil"/>
              <w:bottom w:val="single" w:sz="4" w:space="0" w:color="auto"/>
              <w:right w:val="single" w:sz="4" w:space="0" w:color="auto"/>
            </w:tcBorders>
            <w:shd w:val="clear" w:color="auto" w:fill="auto"/>
            <w:hideMark/>
          </w:tcPr>
          <w:p w14:paraId="0C5F5875"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Stanton Hill &amp; Teversal</w:t>
            </w:r>
          </w:p>
        </w:tc>
      </w:tr>
      <w:tr w:rsidR="000663FF" w:rsidRPr="000663FF" w14:paraId="786EB135" w14:textId="77777777" w:rsidTr="00DC0D18">
        <w:trPr>
          <w:trHeight w:val="580"/>
        </w:trPr>
        <w:tc>
          <w:tcPr>
            <w:tcW w:w="1009" w:type="dxa"/>
            <w:tcBorders>
              <w:top w:val="nil"/>
              <w:left w:val="single" w:sz="4" w:space="0" w:color="auto"/>
              <w:bottom w:val="single" w:sz="4" w:space="0" w:color="auto"/>
              <w:right w:val="single" w:sz="4" w:space="0" w:color="auto"/>
            </w:tcBorders>
            <w:shd w:val="clear" w:color="auto" w:fill="auto"/>
            <w:hideMark/>
          </w:tcPr>
          <w:p w14:paraId="344E1B29"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EV4wgn</w:t>
            </w:r>
          </w:p>
        </w:tc>
        <w:tc>
          <w:tcPr>
            <w:tcW w:w="2388" w:type="dxa"/>
            <w:tcBorders>
              <w:top w:val="nil"/>
              <w:left w:val="nil"/>
              <w:bottom w:val="single" w:sz="4" w:space="0" w:color="auto"/>
              <w:right w:val="single" w:sz="4" w:space="0" w:color="auto"/>
            </w:tcBorders>
            <w:shd w:val="clear" w:color="auto" w:fill="auto"/>
            <w:hideMark/>
          </w:tcPr>
          <w:p w14:paraId="3374B66F"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Spring Farm Meadows, Huthwaite</w:t>
            </w:r>
          </w:p>
        </w:tc>
        <w:tc>
          <w:tcPr>
            <w:tcW w:w="4395" w:type="dxa"/>
            <w:tcBorders>
              <w:top w:val="nil"/>
              <w:left w:val="nil"/>
              <w:bottom w:val="single" w:sz="4" w:space="0" w:color="auto"/>
              <w:right w:val="single" w:sz="4" w:space="0" w:color="auto"/>
            </w:tcBorders>
            <w:shd w:val="clear" w:color="auto" w:fill="auto"/>
            <w:hideMark/>
          </w:tcPr>
          <w:p w14:paraId="1F877F31" w14:textId="291628E6" w:rsidR="00FA2CC6" w:rsidRPr="000663FF" w:rsidRDefault="00D15A9D"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 sequence of species-rich hay meadows</w:t>
            </w:r>
          </w:p>
        </w:tc>
        <w:tc>
          <w:tcPr>
            <w:tcW w:w="1984" w:type="dxa"/>
            <w:tcBorders>
              <w:top w:val="nil"/>
              <w:left w:val="nil"/>
              <w:bottom w:val="single" w:sz="4" w:space="0" w:color="auto"/>
              <w:right w:val="single" w:sz="4" w:space="0" w:color="auto"/>
            </w:tcBorders>
            <w:shd w:val="clear" w:color="auto" w:fill="auto"/>
            <w:hideMark/>
          </w:tcPr>
          <w:p w14:paraId="2C273D7D"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Huthwaite &amp; Brierley</w:t>
            </w:r>
          </w:p>
        </w:tc>
      </w:tr>
      <w:tr w:rsidR="000663FF" w:rsidRPr="000663FF" w14:paraId="09979C8A" w14:textId="77777777" w:rsidTr="00DC0D18">
        <w:trPr>
          <w:trHeight w:val="580"/>
        </w:trPr>
        <w:tc>
          <w:tcPr>
            <w:tcW w:w="1009" w:type="dxa"/>
            <w:tcBorders>
              <w:top w:val="nil"/>
              <w:left w:val="single" w:sz="4" w:space="0" w:color="auto"/>
              <w:bottom w:val="single" w:sz="4" w:space="0" w:color="auto"/>
              <w:right w:val="single" w:sz="4" w:space="0" w:color="auto"/>
            </w:tcBorders>
            <w:shd w:val="clear" w:color="auto" w:fill="auto"/>
            <w:hideMark/>
          </w:tcPr>
          <w:p w14:paraId="4991456D"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EV4wgo</w:t>
            </w:r>
          </w:p>
        </w:tc>
        <w:tc>
          <w:tcPr>
            <w:tcW w:w="2388" w:type="dxa"/>
            <w:tcBorders>
              <w:top w:val="nil"/>
              <w:left w:val="nil"/>
              <w:bottom w:val="single" w:sz="4" w:space="0" w:color="auto"/>
              <w:right w:val="single" w:sz="4" w:space="0" w:color="auto"/>
            </w:tcBorders>
            <w:shd w:val="clear" w:color="auto" w:fill="auto"/>
            <w:hideMark/>
          </w:tcPr>
          <w:p w14:paraId="65213426"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Spring Farm Pasture, Huthwaite</w:t>
            </w:r>
          </w:p>
        </w:tc>
        <w:tc>
          <w:tcPr>
            <w:tcW w:w="4395" w:type="dxa"/>
            <w:tcBorders>
              <w:top w:val="nil"/>
              <w:left w:val="nil"/>
              <w:bottom w:val="single" w:sz="4" w:space="0" w:color="auto"/>
              <w:right w:val="single" w:sz="4" w:space="0" w:color="auto"/>
            </w:tcBorders>
            <w:shd w:val="clear" w:color="auto" w:fill="auto"/>
            <w:hideMark/>
          </w:tcPr>
          <w:p w14:paraId="45DA6F92" w14:textId="522BBF3E" w:rsidR="00FA2CC6" w:rsidRPr="000663FF" w:rsidRDefault="00D15A9D"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 long-established and notably species-rich grassland community</w:t>
            </w:r>
          </w:p>
        </w:tc>
        <w:tc>
          <w:tcPr>
            <w:tcW w:w="1984" w:type="dxa"/>
            <w:tcBorders>
              <w:top w:val="nil"/>
              <w:left w:val="nil"/>
              <w:bottom w:val="single" w:sz="4" w:space="0" w:color="auto"/>
              <w:right w:val="single" w:sz="4" w:space="0" w:color="auto"/>
            </w:tcBorders>
            <w:shd w:val="clear" w:color="auto" w:fill="auto"/>
            <w:hideMark/>
          </w:tcPr>
          <w:p w14:paraId="67F6FEBE"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Huthwaite &amp; Brierley</w:t>
            </w:r>
          </w:p>
        </w:tc>
      </w:tr>
      <w:tr w:rsidR="000663FF" w:rsidRPr="000663FF" w14:paraId="71BF9404" w14:textId="77777777" w:rsidTr="00DC0D18">
        <w:trPr>
          <w:trHeight w:val="559"/>
        </w:trPr>
        <w:tc>
          <w:tcPr>
            <w:tcW w:w="1009" w:type="dxa"/>
            <w:tcBorders>
              <w:top w:val="nil"/>
              <w:left w:val="single" w:sz="4" w:space="0" w:color="auto"/>
              <w:bottom w:val="single" w:sz="4" w:space="0" w:color="auto"/>
              <w:right w:val="single" w:sz="4" w:space="0" w:color="auto"/>
            </w:tcBorders>
            <w:shd w:val="clear" w:color="auto" w:fill="auto"/>
            <w:hideMark/>
          </w:tcPr>
          <w:p w14:paraId="185D019F"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EV4wgp</w:t>
            </w:r>
          </w:p>
        </w:tc>
        <w:tc>
          <w:tcPr>
            <w:tcW w:w="2388" w:type="dxa"/>
            <w:tcBorders>
              <w:top w:val="nil"/>
              <w:left w:val="nil"/>
              <w:bottom w:val="single" w:sz="4" w:space="0" w:color="auto"/>
              <w:right w:val="single" w:sz="4" w:space="0" w:color="auto"/>
            </w:tcBorders>
            <w:shd w:val="clear" w:color="auto" w:fill="auto"/>
            <w:hideMark/>
          </w:tcPr>
          <w:p w14:paraId="43140009"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Spring Wood, Stanton Hill</w:t>
            </w:r>
          </w:p>
        </w:tc>
        <w:tc>
          <w:tcPr>
            <w:tcW w:w="4395" w:type="dxa"/>
            <w:tcBorders>
              <w:top w:val="nil"/>
              <w:left w:val="nil"/>
              <w:bottom w:val="single" w:sz="4" w:space="0" w:color="auto"/>
              <w:right w:val="single" w:sz="4" w:space="0" w:color="auto"/>
            </w:tcBorders>
            <w:shd w:val="clear" w:color="auto" w:fill="auto"/>
            <w:hideMark/>
          </w:tcPr>
          <w:p w14:paraId="715239D9" w14:textId="7354967F" w:rsidR="00FA2CC6" w:rsidRPr="000663FF" w:rsidRDefault="00D15A9D"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Deciduous woodland and scrub in a shallow valley with noteworthy wet areas and ponds</w:t>
            </w:r>
          </w:p>
        </w:tc>
        <w:tc>
          <w:tcPr>
            <w:tcW w:w="1984" w:type="dxa"/>
            <w:tcBorders>
              <w:top w:val="nil"/>
              <w:left w:val="nil"/>
              <w:bottom w:val="single" w:sz="4" w:space="0" w:color="auto"/>
              <w:right w:val="single" w:sz="4" w:space="0" w:color="auto"/>
            </w:tcBorders>
            <w:shd w:val="clear" w:color="auto" w:fill="auto"/>
            <w:hideMark/>
          </w:tcPr>
          <w:p w14:paraId="7A823F33"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Stanton Hill &amp; Teversal</w:t>
            </w:r>
          </w:p>
        </w:tc>
      </w:tr>
      <w:tr w:rsidR="000663FF" w:rsidRPr="000663FF" w14:paraId="7AE3F55A" w14:textId="77777777" w:rsidTr="00DC0D18">
        <w:trPr>
          <w:trHeight w:val="580"/>
        </w:trPr>
        <w:tc>
          <w:tcPr>
            <w:tcW w:w="1009" w:type="dxa"/>
            <w:tcBorders>
              <w:top w:val="nil"/>
              <w:left w:val="single" w:sz="4" w:space="0" w:color="auto"/>
              <w:bottom w:val="single" w:sz="4" w:space="0" w:color="auto"/>
              <w:right w:val="single" w:sz="4" w:space="0" w:color="auto"/>
            </w:tcBorders>
            <w:shd w:val="clear" w:color="auto" w:fill="auto"/>
            <w:hideMark/>
          </w:tcPr>
          <w:p w14:paraId="5D9E4D78"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EV4wgq</w:t>
            </w:r>
          </w:p>
        </w:tc>
        <w:tc>
          <w:tcPr>
            <w:tcW w:w="2388" w:type="dxa"/>
            <w:tcBorders>
              <w:top w:val="nil"/>
              <w:left w:val="nil"/>
              <w:bottom w:val="single" w:sz="4" w:space="0" w:color="auto"/>
              <w:right w:val="single" w:sz="4" w:space="0" w:color="auto"/>
            </w:tcBorders>
            <w:shd w:val="clear" w:color="auto" w:fill="auto"/>
            <w:hideMark/>
          </w:tcPr>
          <w:p w14:paraId="1D0EE3B7"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Springfield Cottage Grasslands</w:t>
            </w:r>
          </w:p>
        </w:tc>
        <w:tc>
          <w:tcPr>
            <w:tcW w:w="4395" w:type="dxa"/>
            <w:tcBorders>
              <w:top w:val="nil"/>
              <w:left w:val="nil"/>
              <w:bottom w:val="single" w:sz="4" w:space="0" w:color="auto"/>
              <w:right w:val="single" w:sz="4" w:space="0" w:color="auto"/>
            </w:tcBorders>
            <w:shd w:val="clear" w:color="auto" w:fill="auto"/>
            <w:hideMark/>
          </w:tcPr>
          <w:p w14:paraId="5F42A544" w14:textId="0F1E7256" w:rsidR="00FA2CC6" w:rsidRPr="000663FF" w:rsidRDefault="00D15A9D"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 fine series of little-improved, species-rich grasslands</w:t>
            </w:r>
          </w:p>
        </w:tc>
        <w:tc>
          <w:tcPr>
            <w:tcW w:w="1984" w:type="dxa"/>
            <w:tcBorders>
              <w:top w:val="nil"/>
              <w:left w:val="nil"/>
              <w:bottom w:val="single" w:sz="4" w:space="0" w:color="auto"/>
              <w:right w:val="single" w:sz="4" w:space="0" w:color="auto"/>
            </w:tcBorders>
            <w:shd w:val="clear" w:color="auto" w:fill="auto"/>
            <w:hideMark/>
          </w:tcPr>
          <w:p w14:paraId="1ACB0DFA"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Kirkby Cross &amp; Portland</w:t>
            </w:r>
          </w:p>
        </w:tc>
      </w:tr>
      <w:tr w:rsidR="000663FF" w:rsidRPr="000663FF" w14:paraId="72803EC2" w14:textId="77777777" w:rsidTr="00DC0D18">
        <w:trPr>
          <w:trHeight w:val="580"/>
        </w:trPr>
        <w:tc>
          <w:tcPr>
            <w:tcW w:w="1009" w:type="dxa"/>
            <w:tcBorders>
              <w:top w:val="nil"/>
              <w:left w:val="single" w:sz="4" w:space="0" w:color="auto"/>
              <w:bottom w:val="single" w:sz="4" w:space="0" w:color="auto"/>
              <w:right w:val="single" w:sz="4" w:space="0" w:color="auto"/>
            </w:tcBorders>
            <w:shd w:val="clear" w:color="auto" w:fill="auto"/>
            <w:hideMark/>
          </w:tcPr>
          <w:p w14:paraId="16486D1E"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EV4wgr</w:t>
            </w:r>
          </w:p>
        </w:tc>
        <w:tc>
          <w:tcPr>
            <w:tcW w:w="2388" w:type="dxa"/>
            <w:tcBorders>
              <w:top w:val="nil"/>
              <w:left w:val="nil"/>
              <w:bottom w:val="single" w:sz="4" w:space="0" w:color="auto"/>
              <w:right w:val="single" w:sz="4" w:space="0" w:color="auto"/>
            </w:tcBorders>
            <w:shd w:val="clear" w:color="auto" w:fill="auto"/>
            <w:hideMark/>
          </w:tcPr>
          <w:p w14:paraId="738ECF45"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Springfield Grassland Ext</w:t>
            </w:r>
          </w:p>
        </w:tc>
        <w:tc>
          <w:tcPr>
            <w:tcW w:w="4395" w:type="dxa"/>
            <w:tcBorders>
              <w:top w:val="nil"/>
              <w:left w:val="nil"/>
              <w:bottom w:val="single" w:sz="4" w:space="0" w:color="auto"/>
              <w:right w:val="single" w:sz="4" w:space="0" w:color="auto"/>
            </w:tcBorders>
            <w:shd w:val="clear" w:color="auto" w:fill="auto"/>
            <w:hideMark/>
          </w:tcPr>
          <w:p w14:paraId="48B26CD2" w14:textId="1E150BCF" w:rsidR="00FA2CC6" w:rsidRPr="000663FF" w:rsidRDefault="00D15A9D"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Neutral grassland of note</w:t>
            </w:r>
          </w:p>
        </w:tc>
        <w:tc>
          <w:tcPr>
            <w:tcW w:w="1984" w:type="dxa"/>
            <w:tcBorders>
              <w:top w:val="nil"/>
              <w:left w:val="nil"/>
              <w:bottom w:val="single" w:sz="4" w:space="0" w:color="auto"/>
              <w:right w:val="single" w:sz="4" w:space="0" w:color="auto"/>
            </w:tcBorders>
            <w:shd w:val="clear" w:color="auto" w:fill="auto"/>
            <w:hideMark/>
          </w:tcPr>
          <w:p w14:paraId="00059DB8"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Kirkby Cross &amp; Portland</w:t>
            </w:r>
          </w:p>
        </w:tc>
      </w:tr>
      <w:tr w:rsidR="000663FF" w:rsidRPr="000663FF" w14:paraId="35FFCF1C" w14:textId="77777777" w:rsidTr="00DC0D18">
        <w:trPr>
          <w:trHeight w:val="580"/>
        </w:trPr>
        <w:tc>
          <w:tcPr>
            <w:tcW w:w="1009" w:type="dxa"/>
            <w:tcBorders>
              <w:top w:val="single" w:sz="4" w:space="0" w:color="auto"/>
              <w:left w:val="single" w:sz="4" w:space="0" w:color="auto"/>
              <w:bottom w:val="single" w:sz="4" w:space="0" w:color="auto"/>
              <w:right w:val="single" w:sz="4" w:space="0" w:color="auto"/>
            </w:tcBorders>
            <w:shd w:val="clear" w:color="auto" w:fill="auto"/>
            <w:hideMark/>
          </w:tcPr>
          <w:p w14:paraId="3CF48B0B"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EV4wgs</w:t>
            </w:r>
          </w:p>
        </w:tc>
        <w:tc>
          <w:tcPr>
            <w:tcW w:w="2388" w:type="dxa"/>
            <w:tcBorders>
              <w:top w:val="single" w:sz="4" w:space="0" w:color="auto"/>
              <w:left w:val="single" w:sz="4" w:space="0" w:color="auto"/>
              <w:bottom w:val="single" w:sz="4" w:space="0" w:color="auto"/>
              <w:right w:val="single" w:sz="4" w:space="0" w:color="auto"/>
            </w:tcBorders>
            <w:shd w:val="clear" w:color="auto" w:fill="auto"/>
            <w:hideMark/>
          </w:tcPr>
          <w:p w14:paraId="0C870249"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St Helen's Grassland</w:t>
            </w:r>
          </w:p>
        </w:tc>
        <w:tc>
          <w:tcPr>
            <w:tcW w:w="4395" w:type="dxa"/>
            <w:tcBorders>
              <w:top w:val="single" w:sz="4" w:space="0" w:color="auto"/>
              <w:left w:val="single" w:sz="4" w:space="0" w:color="auto"/>
              <w:bottom w:val="single" w:sz="4" w:space="0" w:color="auto"/>
              <w:right w:val="single" w:sz="4" w:space="0" w:color="auto"/>
            </w:tcBorders>
            <w:shd w:val="clear" w:color="auto" w:fill="auto"/>
            <w:hideMark/>
          </w:tcPr>
          <w:p w14:paraId="326F6377" w14:textId="2872D161" w:rsidR="00FA2CC6" w:rsidRPr="000663FF" w:rsidRDefault="00D15A9D"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 noteworthy horse grazed semi-improved neutral grassland</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7647A7DD"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Kirkby Cross &amp; Portland</w:t>
            </w:r>
          </w:p>
        </w:tc>
      </w:tr>
      <w:tr w:rsidR="000663FF" w:rsidRPr="000663FF" w14:paraId="264E9273" w14:textId="77777777" w:rsidTr="00DC0D18">
        <w:trPr>
          <w:trHeight w:val="580"/>
        </w:trPr>
        <w:tc>
          <w:tcPr>
            <w:tcW w:w="1009" w:type="dxa"/>
            <w:tcBorders>
              <w:top w:val="single" w:sz="4" w:space="0" w:color="auto"/>
              <w:left w:val="single" w:sz="4" w:space="0" w:color="auto"/>
              <w:bottom w:val="single" w:sz="4" w:space="0" w:color="auto"/>
              <w:right w:val="single" w:sz="4" w:space="0" w:color="auto"/>
            </w:tcBorders>
            <w:shd w:val="clear" w:color="auto" w:fill="auto"/>
            <w:hideMark/>
          </w:tcPr>
          <w:p w14:paraId="31B92889"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EV4wgt</w:t>
            </w:r>
          </w:p>
        </w:tc>
        <w:tc>
          <w:tcPr>
            <w:tcW w:w="2388" w:type="dxa"/>
            <w:tcBorders>
              <w:top w:val="single" w:sz="4" w:space="0" w:color="auto"/>
              <w:left w:val="nil"/>
              <w:bottom w:val="single" w:sz="4" w:space="0" w:color="auto"/>
              <w:right w:val="single" w:sz="4" w:space="0" w:color="auto"/>
            </w:tcBorders>
            <w:shd w:val="clear" w:color="auto" w:fill="auto"/>
            <w:hideMark/>
          </w:tcPr>
          <w:p w14:paraId="2754CE90"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Stanley Farm Grasslands</w:t>
            </w:r>
          </w:p>
        </w:tc>
        <w:tc>
          <w:tcPr>
            <w:tcW w:w="4395" w:type="dxa"/>
            <w:tcBorders>
              <w:top w:val="single" w:sz="4" w:space="0" w:color="auto"/>
              <w:left w:val="nil"/>
              <w:bottom w:val="single" w:sz="4" w:space="0" w:color="auto"/>
              <w:right w:val="single" w:sz="4" w:space="0" w:color="auto"/>
            </w:tcBorders>
            <w:shd w:val="clear" w:color="auto" w:fill="auto"/>
            <w:hideMark/>
          </w:tcPr>
          <w:p w14:paraId="7B852607" w14:textId="57D72D29" w:rsidR="00FA2CC6" w:rsidRPr="000663FF" w:rsidRDefault="00D15A9D"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Species-rich Coal Measures grasslands along a tree-lined stream</w:t>
            </w:r>
          </w:p>
        </w:tc>
        <w:tc>
          <w:tcPr>
            <w:tcW w:w="1984" w:type="dxa"/>
            <w:tcBorders>
              <w:top w:val="single" w:sz="4" w:space="0" w:color="auto"/>
              <w:left w:val="nil"/>
              <w:bottom w:val="single" w:sz="4" w:space="0" w:color="auto"/>
              <w:right w:val="single" w:sz="4" w:space="0" w:color="auto"/>
            </w:tcBorders>
            <w:shd w:val="clear" w:color="auto" w:fill="auto"/>
            <w:hideMark/>
          </w:tcPr>
          <w:p w14:paraId="3E10D1D4"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Stanton Hill &amp; Teversal</w:t>
            </w:r>
          </w:p>
        </w:tc>
      </w:tr>
      <w:tr w:rsidR="000663FF" w:rsidRPr="000663FF" w14:paraId="0FC94285" w14:textId="77777777" w:rsidTr="00DC0D18">
        <w:trPr>
          <w:trHeight w:val="580"/>
        </w:trPr>
        <w:tc>
          <w:tcPr>
            <w:tcW w:w="1009" w:type="dxa"/>
            <w:tcBorders>
              <w:top w:val="nil"/>
              <w:left w:val="single" w:sz="4" w:space="0" w:color="auto"/>
              <w:bottom w:val="single" w:sz="4" w:space="0" w:color="auto"/>
              <w:right w:val="single" w:sz="4" w:space="0" w:color="auto"/>
            </w:tcBorders>
            <w:shd w:val="clear" w:color="auto" w:fill="auto"/>
            <w:hideMark/>
          </w:tcPr>
          <w:p w14:paraId="2F5516DA"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EV4wgu</w:t>
            </w:r>
          </w:p>
        </w:tc>
        <w:tc>
          <w:tcPr>
            <w:tcW w:w="2388" w:type="dxa"/>
            <w:tcBorders>
              <w:top w:val="nil"/>
              <w:left w:val="nil"/>
              <w:bottom w:val="single" w:sz="4" w:space="0" w:color="auto"/>
              <w:right w:val="single" w:sz="4" w:space="0" w:color="auto"/>
            </w:tcBorders>
            <w:shd w:val="clear" w:color="auto" w:fill="auto"/>
            <w:hideMark/>
          </w:tcPr>
          <w:p w14:paraId="6E5A7133"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Stanley Grange Grassland</w:t>
            </w:r>
          </w:p>
        </w:tc>
        <w:tc>
          <w:tcPr>
            <w:tcW w:w="4395" w:type="dxa"/>
            <w:tcBorders>
              <w:top w:val="nil"/>
              <w:left w:val="nil"/>
              <w:bottom w:val="single" w:sz="4" w:space="0" w:color="auto"/>
              <w:right w:val="single" w:sz="4" w:space="0" w:color="auto"/>
            </w:tcBorders>
            <w:shd w:val="clear" w:color="auto" w:fill="auto"/>
            <w:hideMark/>
          </w:tcPr>
          <w:p w14:paraId="1EB5A0B9" w14:textId="74EC5D33" w:rsidR="00FA2CC6" w:rsidRPr="000663FF" w:rsidRDefault="00D15A9D"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Species-rich coal-measures grassland</w:t>
            </w:r>
          </w:p>
        </w:tc>
        <w:tc>
          <w:tcPr>
            <w:tcW w:w="1984" w:type="dxa"/>
            <w:tcBorders>
              <w:top w:val="nil"/>
              <w:left w:val="nil"/>
              <w:bottom w:val="single" w:sz="4" w:space="0" w:color="auto"/>
              <w:right w:val="single" w:sz="4" w:space="0" w:color="auto"/>
            </w:tcBorders>
            <w:shd w:val="clear" w:color="auto" w:fill="auto"/>
            <w:hideMark/>
          </w:tcPr>
          <w:p w14:paraId="38E3A1F7"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Stanton Hill &amp; Teversal</w:t>
            </w:r>
          </w:p>
        </w:tc>
      </w:tr>
      <w:tr w:rsidR="000663FF" w:rsidRPr="000663FF" w14:paraId="324A2134" w14:textId="77777777" w:rsidTr="00DC0D18">
        <w:trPr>
          <w:trHeight w:val="580"/>
        </w:trPr>
        <w:tc>
          <w:tcPr>
            <w:tcW w:w="1009" w:type="dxa"/>
            <w:tcBorders>
              <w:top w:val="nil"/>
              <w:left w:val="single" w:sz="4" w:space="0" w:color="auto"/>
              <w:bottom w:val="single" w:sz="4" w:space="0" w:color="auto"/>
              <w:right w:val="single" w:sz="4" w:space="0" w:color="auto"/>
            </w:tcBorders>
            <w:shd w:val="clear" w:color="auto" w:fill="auto"/>
            <w:hideMark/>
          </w:tcPr>
          <w:p w14:paraId="3709AE3A"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EV4wgv</w:t>
            </w:r>
          </w:p>
        </w:tc>
        <w:tc>
          <w:tcPr>
            <w:tcW w:w="2388" w:type="dxa"/>
            <w:tcBorders>
              <w:top w:val="nil"/>
              <w:left w:val="nil"/>
              <w:bottom w:val="single" w:sz="4" w:space="0" w:color="auto"/>
              <w:right w:val="single" w:sz="4" w:space="0" w:color="auto"/>
            </w:tcBorders>
            <w:shd w:val="clear" w:color="auto" w:fill="auto"/>
            <w:hideMark/>
          </w:tcPr>
          <w:p w14:paraId="096DAC9C"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Stanley Grasslands</w:t>
            </w:r>
          </w:p>
        </w:tc>
        <w:tc>
          <w:tcPr>
            <w:tcW w:w="4395" w:type="dxa"/>
            <w:tcBorders>
              <w:top w:val="nil"/>
              <w:left w:val="nil"/>
              <w:bottom w:val="single" w:sz="4" w:space="0" w:color="auto"/>
              <w:right w:val="single" w:sz="4" w:space="0" w:color="auto"/>
            </w:tcBorders>
            <w:shd w:val="clear" w:color="auto" w:fill="auto"/>
            <w:hideMark/>
          </w:tcPr>
          <w:p w14:paraId="4F837F5D" w14:textId="2AC06F88" w:rsidR="00FA2CC6" w:rsidRPr="000663FF" w:rsidRDefault="00D15A9D"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An unimproved coal measures type grassland</w:t>
            </w:r>
          </w:p>
        </w:tc>
        <w:tc>
          <w:tcPr>
            <w:tcW w:w="1984" w:type="dxa"/>
            <w:tcBorders>
              <w:top w:val="nil"/>
              <w:left w:val="nil"/>
              <w:bottom w:val="single" w:sz="4" w:space="0" w:color="auto"/>
              <w:right w:val="single" w:sz="4" w:space="0" w:color="auto"/>
            </w:tcBorders>
            <w:shd w:val="clear" w:color="auto" w:fill="auto"/>
            <w:hideMark/>
          </w:tcPr>
          <w:p w14:paraId="02B9F073"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Stanton Hill &amp; Teversal</w:t>
            </w:r>
          </w:p>
        </w:tc>
      </w:tr>
      <w:tr w:rsidR="000663FF" w:rsidRPr="000663FF" w14:paraId="690399FF" w14:textId="77777777" w:rsidTr="00D15A9D">
        <w:trPr>
          <w:trHeight w:val="870"/>
        </w:trPr>
        <w:tc>
          <w:tcPr>
            <w:tcW w:w="1009" w:type="dxa"/>
            <w:tcBorders>
              <w:top w:val="nil"/>
              <w:left w:val="single" w:sz="4" w:space="0" w:color="auto"/>
              <w:bottom w:val="single" w:sz="4" w:space="0" w:color="auto"/>
              <w:right w:val="single" w:sz="4" w:space="0" w:color="auto"/>
            </w:tcBorders>
            <w:shd w:val="clear" w:color="auto" w:fill="auto"/>
            <w:hideMark/>
          </w:tcPr>
          <w:p w14:paraId="60E88EEC"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EV4wgw</w:t>
            </w:r>
          </w:p>
        </w:tc>
        <w:tc>
          <w:tcPr>
            <w:tcW w:w="2388" w:type="dxa"/>
            <w:tcBorders>
              <w:top w:val="nil"/>
              <w:left w:val="nil"/>
              <w:bottom w:val="single" w:sz="4" w:space="0" w:color="auto"/>
              <w:right w:val="single" w:sz="4" w:space="0" w:color="auto"/>
            </w:tcBorders>
            <w:shd w:val="clear" w:color="auto" w:fill="auto"/>
            <w:hideMark/>
          </w:tcPr>
          <w:p w14:paraId="54BFEC11"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Stanton Hill Colliery Dismantled Railway Line</w:t>
            </w:r>
          </w:p>
        </w:tc>
        <w:tc>
          <w:tcPr>
            <w:tcW w:w="4395" w:type="dxa"/>
            <w:tcBorders>
              <w:top w:val="nil"/>
              <w:left w:val="nil"/>
              <w:bottom w:val="single" w:sz="4" w:space="0" w:color="auto"/>
              <w:right w:val="single" w:sz="4" w:space="0" w:color="auto"/>
            </w:tcBorders>
            <w:shd w:val="clear" w:color="auto" w:fill="auto"/>
            <w:hideMark/>
          </w:tcPr>
          <w:p w14:paraId="61D03D70" w14:textId="33836D94" w:rsidR="00FA2CC6" w:rsidRPr="000663FF" w:rsidRDefault="00D15A9D"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 notable mosaic of scrub, relict grassland and track-bed flora along a dismantled railway line</w:t>
            </w:r>
          </w:p>
        </w:tc>
        <w:tc>
          <w:tcPr>
            <w:tcW w:w="1984" w:type="dxa"/>
            <w:tcBorders>
              <w:top w:val="nil"/>
              <w:left w:val="nil"/>
              <w:bottom w:val="single" w:sz="4" w:space="0" w:color="auto"/>
              <w:right w:val="single" w:sz="4" w:space="0" w:color="auto"/>
            </w:tcBorders>
            <w:shd w:val="clear" w:color="auto" w:fill="auto"/>
            <w:hideMark/>
          </w:tcPr>
          <w:p w14:paraId="0CD1D5CC"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Stanton Hill &amp; Teversal</w:t>
            </w:r>
          </w:p>
        </w:tc>
      </w:tr>
      <w:tr w:rsidR="000663FF" w:rsidRPr="000663FF" w14:paraId="10EB6D98" w14:textId="77777777" w:rsidTr="00D15A9D">
        <w:trPr>
          <w:trHeight w:val="580"/>
        </w:trPr>
        <w:tc>
          <w:tcPr>
            <w:tcW w:w="1009" w:type="dxa"/>
            <w:tcBorders>
              <w:top w:val="single" w:sz="4" w:space="0" w:color="auto"/>
              <w:left w:val="single" w:sz="4" w:space="0" w:color="auto"/>
              <w:bottom w:val="single" w:sz="4" w:space="0" w:color="auto"/>
              <w:right w:val="single" w:sz="4" w:space="0" w:color="auto"/>
            </w:tcBorders>
            <w:shd w:val="clear" w:color="auto" w:fill="auto"/>
            <w:hideMark/>
          </w:tcPr>
          <w:p w14:paraId="4A37AFE4"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EV4wgx</w:t>
            </w:r>
          </w:p>
        </w:tc>
        <w:tc>
          <w:tcPr>
            <w:tcW w:w="2388" w:type="dxa"/>
            <w:tcBorders>
              <w:top w:val="single" w:sz="4" w:space="0" w:color="auto"/>
              <w:left w:val="nil"/>
              <w:bottom w:val="single" w:sz="4" w:space="0" w:color="auto"/>
              <w:right w:val="single" w:sz="4" w:space="0" w:color="auto"/>
            </w:tcBorders>
            <w:shd w:val="clear" w:color="auto" w:fill="auto"/>
            <w:hideMark/>
          </w:tcPr>
          <w:p w14:paraId="55639904"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Stanton Hill Colliery Spoil</w:t>
            </w:r>
          </w:p>
        </w:tc>
        <w:tc>
          <w:tcPr>
            <w:tcW w:w="4395" w:type="dxa"/>
            <w:tcBorders>
              <w:top w:val="single" w:sz="4" w:space="0" w:color="auto"/>
              <w:left w:val="nil"/>
              <w:bottom w:val="single" w:sz="4" w:space="0" w:color="auto"/>
              <w:right w:val="single" w:sz="4" w:space="0" w:color="auto"/>
            </w:tcBorders>
            <w:shd w:val="clear" w:color="auto" w:fill="auto"/>
            <w:hideMark/>
          </w:tcPr>
          <w:p w14:paraId="68F20A77" w14:textId="540F90F2" w:rsidR="00FA2CC6" w:rsidRPr="000663FF" w:rsidRDefault="00D15A9D"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Colliery spoil with a collection of rare and notable species</w:t>
            </w:r>
          </w:p>
        </w:tc>
        <w:tc>
          <w:tcPr>
            <w:tcW w:w="1984" w:type="dxa"/>
            <w:tcBorders>
              <w:top w:val="single" w:sz="4" w:space="0" w:color="auto"/>
              <w:left w:val="nil"/>
              <w:bottom w:val="single" w:sz="4" w:space="0" w:color="auto"/>
              <w:right w:val="single" w:sz="4" w:space="0" w:color="auto"/>
            </w:tcBorders>
            <w:shd w:val="clear" w:color="auto" w:fill="auto"/>
            <w:hideMark/>
          </w:tcPr>
          <w:p w14:paraId="2888532B"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Carsic</w:t>
            </w:r>
          </w:p>
        </w:tc>
      </w:tr>
      <w:tr w:rsidR="000663FF" w:rsidRPr="000663FF" w14:paraId="4FA09754" w14:textId="77777777" w:rsidTr="00D15A9D">
        <w:trPr>
          <w:trHeight w:val="580"/>
        </w:trPr>
        <w:tc>
          <w:tcPr>
            <w:tcW w:w="1009" w:type="dxa"/>
            <w:tcBorders>
              <w:top w:val="single" w:sz="4" w:space="0" w:color="auto"/>
              <w:left w:val="single" w:sz="4" w:space="0" w:color="auto"/>
              <w:bottom w:val="single" w:sz="4" w:space="0" w:color="auto"/>
              <w:right w:val="single" w:sz="4" w:space="0" w:color="auto"/>
            </w:tcBorders>
            <w:shd w:val="clear" w:color="auto" w:fill="auto"/>
            <w:hideMark/>
          </w:tcPr>
          <w:p w14:paraId="32D812F2"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EV4wgy</w:t>
            </w:r>
          </w:p>
        </w:tc>
        <w:tc>
          <w:tcPr>
            <w:tcW w:w="2388" w:type="dxa"/>
            <w:tcBorders>
              <w:top w:val="single" w:sz="4" w:space="0" w:color="auto"/>
              <w:left w:val="nil"/>
              <w:bottom w:val="single" w:sz="4" w:space="0" w:color="auto"/>
              <w:right w:val="single" w:sz="4" w:space="0" w:color="auto"/>
            </w:tcBorders>
            <w:shd w:val="clear" w:color="auto" w:fill="auto"/>
            <w:hideMark/>
          </w:tcPr>
          <w:p w14:paraId="265BA6A2"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Stanton Hill EV4whGrasslands</w:t>
            </w:r>
          </w:p>
        </w:tc>
        <w:tc>
          <w:tcPr>
            <w:tcW w:w="4395" w:type="dxa"/>
            <w:tcBorders>
              <w:top w:val="single" w:sz="4" w:space="0" w:color="auto"/>
              <w:left w:val="nil"/>
              <w:bottom w:val="single" w:sz="4" w:space="0" w:color="auto"/>
              <w:right w:val="single" w:sz="4" w:space="0" w:color="auto"/>
            </w:tcBorders>
            <w:shd w:val="clear" w:color="auto" w:fill="auto"/>
            <w:hideMark/>
          </w:tcPr>
          <w:p w14:paraId="25144ABA" w14:textId="74386702" w:rsidR="00FA2CC6" w:rsidRPr="000663FF" w:rsidRDefault="00D15A9D"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Grasslands with a number of notable species</w:t>
            </w:r>
          </w:p>
        </w:tc>
        <w:tc>
          <w:tcPr>
            <w:tcW w:w="1984" w:type="dxa"/>
            <w:tcBorders>
              <w:top w:val="single" w:sz="4" w:space="0" w:color="auto"/>
              <w:left w:val="nil"/>
              <w:bottom w:val="single" w:sz="4" w:space="0" w:color="auto"/>
              <w:right w:val="single" w:sz="4" w:space="0" w:color="auto"/>
            </w:tcBorders>
            <w:shd w:val="clear" w:color="auto" w:fill="auto"/>
            <w:hideMark/>
          </w:tcPr>
          <w:p w14:paraId="16838C0D"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The Dales</w:t>
            </w:r>
          </w:p>
        </w:tc>
      </w:tr>
      <w:tr w:rsidR="000663FF" w:rsidRPr="000663FF" w14:paraId="26E76594" w14:textId="77777777" w:rsidTr="00D15A9D">
        <w:trPr>
          <w:trHeight w:val="618"/>
        </w:trPr>
        <w:tc>
          <w:tcPr>
            <w:tcW w:w="1009" w:type="dxa"/>
            <w:tcBorders>
              <w:top w:val="single" w:sz="4" w:space="0" w:color="auto"/>
              <w:left w:val="single" w:sz="4" w:space="0" w:color="auto"/>
              <w:bottom w:val="single" w:sz="4" w:space="0" w:color="auto"/>
              <w:right w:val="single" w:sz="4" w:space="0" w:color="auto"/>
            </w:tcBorders>
            <w:shd w:val="clear" w:color="auto" w:fill="auto"/>
            <w:hideMark/>
          </w:tcPr>
          <w:p w14:paraId="5EDA4BBA"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EV4wgz</w:t>
            </w:r>
          </w:p>
        </w:tc>
        <w:tc>
          <w:tcPr>
            <w:tcW w:w="2388" w:type="dxa"/>
            <w:tcBorders>
              <w:top w:val="single" w:sz="4" w:space="0" w:color="auto"/>
              <w:left w:val="nil"/>
              <w:bottom w:val="single" w:sz="4" w:space="0" w:color="auto"/>
              <w:right w:val="single" w:sz="4" w:space="0" w:color="auto"/>
            </w:tcBorders>
            <w:shd w:val="clear" w:color="auto" w:fill="auto"/>
            <w:hideMark/>
          </w:tcPr>
          <w:p w14:paraId="77981315"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Stanton Hill Grassland I</w:t>
            </w:r>
          </w:p>
        </w:tc>
        <w:tc>
          <w:tcPr>
            <w:tcW w:w="4395" w:type="dxa"/>
            <w:tcBorders>
              <w:top w:val="single" w:sz="4" w:space="0" w:color="auto"/>
              <w:left w:val="nil"/>
              <w:bottom w:val="single" w:sz="4" w:space="0" w:color="auto"/>
              <w:right w:val="single" w:sz="4" w:space="0" w:color="auto"/>
            </w:tcBorders>
            <w:shd w:val="clear" w:color="auto" w:fill="auto"/>
            <w:hideMark/>
          </w:tcPr>
          <w:p w14:paraId="2020F7C7" w14:textId="4AB7F17C" w:rsidR="00FA2CC6" w:rsidRPr="000663FF" w:rsidRDefault="00F57CF6"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Damp and wet neutral grassland with notable herbs characteristic of inundation communities</w:t>
            </w:r>
          </w:p>
        </w:tc>
        <w:tc>
          <w:tcPr>
            <w:tcW w:w="1984" w:type="dxa"/>
            <w:tcBorders>
              <w:top w:val="single" w:sz="4" w:space="0" w:color="auto"/>
              <w:left w:val="nil"/>
              <w:bottom w:val="single" w:sz="4" w:space="0" w:color="auto"/>
              <w:right w:val="single" w:sz="4" w:space="0" w:color="auto"/>
            </w:tcBorders>
            <w:shd w:val="clear" w:color="auto" w:fill="auto"/>
            <w:hideMark/>
          </w:tcPr>
          <w:p w14:paraId="2BCE5D8B"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Stanton Hill &amp; Teversal</w:t>
            </w:r>
          </w:p>
        </w:tc>
      </w:tr>
      <w:tr w:rsidR="000663FF" w:rsidRPr="000663FF" w14:paraId="4910A6CC" w14:textId="77777777" w:rsidTr="000663FF">
        <w:trPr>
          <w:trHeight w:val="580"/>
        </w:trPr>
        <w:tc>
          <w:tcPr>
            <w:tcW w:w="1009" w:type="dxa"/>
            <w:tcBorders>
              <w:top w:val="nil"/>
              <w:left w:val="single" w:sz="4" w:space="0" w:color="auto"/>
              <w:bottom w:val="single" w:sz="4" w:space="0" w:color="auto"/>
              <w:right w:val="single" w:sz="4" w:space="0" w:color="auto"/>
            </w:tcBorders>
            <w:shd w:val="clear" w:color="auto" w:fill="auto"/>
            <w:hideMark/>
          </w:tcPr>
          <w:p w14:paraId="1630AE91"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EV4wh</w:t>
            </w:r>
          </w:p>
        </w:tc>
        <w:tc>
          <w:tcPr>
            <w:tcW w:w="2388" w:type="dxa"/>
            <w:tcBorders>
              <w:top w:val="nil"/>
              <w:left w:val="nil"/>
              <w:bottom w:val="single" w:sz="4" w:space="0" w:color="auto"/>
              <w:right w:val="single" w:sz="4" w:space="0" w:color="auto"/>
            </w:tcBorders>
            <w:shd w:val="clear" w:color="auto" w:fill="auto"/>
            <w:hideMark/>
          </w:tcPr>
          <w:p w14:paraId="64A5B54F"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Stanton Hill Relict Grassland</w:t>
            </w:r>
          </w:p>
        </w:tc>
        <w:tc>
          <w:tcPr>
            <w:tcW w:w="4395" w:type="dxa"/>
            <w:tcBorders>
              <w:top w:val="nil"/>
              <w:left w:val="nil"/>
              <w:bottom w:val="single" w:sz="4" w:space="0" w:color="auto"/>
              <w:right w:val="single" w:sz="4" w:space="0" w:color="auto"/>
            </w:tcBorders>
            <w:shd w:val="clear" w:color="auto" w:fill="auto"/>
            <w:hideMark/>
          </w:tcPr>
          <w:p w14:paraId="44298039" w14:textId="2122FEBE" w:rsidR="00FA2CC6" w:rsidRPr="000663FF" w:rsidRDefault="00F57CF6"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An unimproved calcareous grassland with a noteworthy flora</w:t>
            </w:r>
          </w:p>
        </w:tc>
        <w:tc>
          <w:tcPr>
            <w:tcW w:w="1984" w:type="dxa"/>
            <w:tcBorders>
              <w:top w:val="nil"/>
              <w:left w:val="nil"/>
              <w:bottom w:val="single" w:sz="4" w:space="0" w:color="auto"/>
              <w:right w:val="single" w:sz="4" w:space="0" w:color="auto"/>
            </w:tcBorders>
            <w:shd w:val="clear" w:color="auto" w:fill="auto"/>
            <w:hideMark/>
          </w:tcPr>
          <w:p w14:paraId="0728F376"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Carsic</w:t>
            </w:r>
          </w:p>
        </w:tc>
      </w:tr>
      <w:tr w:rsidR="000663FF" w:rsidRPr="000663FF" w14:paraId="12663866" w14:textId="77777777" w:rsidTr="000663FF">
        <w:trPr>
          <w:trHeight w:val="396"/>
        </w:trPr>
        <w:tc>
          <w:tcPr>
            <w:tcW w:w="1009" w:type="dxa"/>
            <w:tcBorders>
              <w:top w:val="single" w:sz="4" w:space="0" w:color="auto"/>
              <w:left w:val="single" w:sz="4" w:space="0" w:color="auto"/>
              <w:bottom w:val="single" w:sz="4" w:space="0" w:color="auto"/>
              <w:right w:val="single" w:sz="4" w:space="0" w:color="auto"/>
            </w:tcBorders>
            <w:shd w:val="clear" w:color="auto" w:fill="auto"/>
            <w:hideMark/>
          </w:tcPr>
          <w:p w14:paraId="1EDBAB0A"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EV4wha</w:t>
            </w:r>
          </w:p>
        </w:tc>
        <w:tc>
          <w:tcPr>
            <w:tcW w:w="2388" w:type="dxa"/>
            <w:tcBorders>
              <w:top w:val="single" w:sz="4" w:space="0" w:color="auto"/>
              <w:left w:val="nil"/>
              <w:bottom w:val="single" w:sz="4" w:space="0" w:color="auto"/>
              <w:right w:val="single" w:sz="4" w:space="0" w:color="auto"/>
            </w:tcBorders>
            <w:shd w:val="clear" w:color="auto" w:fill="auto"/>
            <w:hideMark/>
          </w:tcPr>
          <w:p w14:paraId="6C3D6AAF"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Starth Wood</w:t>
            </w:r>
          </w:p>
        </w:tc>
        <w:tc>
          <w:tcPr>
            <w:tcW w:w="4395" w:type="dxa"/>
            <w:tcBorders>
              <w:top w:val="single" w:sz="4" w:space="0" w:color="auto"/>
              <w:left w:val="nil"/>
              <w:bottom w:val="single" w:sz="4" w:space="0" w:color="auto"/>
              <w:right w:val="single" w:sz="4" w:space="0" w:color="auto"/>
            </w:tcBorders>
            <w:shd w:val="clear" w:color="auto" w:fill="auto"/>
            <w:hideMark/>
          </w:tcPr>
          <w:p w14:paraId="0B32A36E" w14:textId="56937186" w:rsidR="00FA2CC6" w:rsidRPr="000663FF" w:rsidRDefault="00F57CF6"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Species-rich deciduous coppice with standards</w:t>
            </w:r>
          </w:p>
        </w:tc>
        <w:tc>
          <w:tcPr>
            <w:tcW w:w="1984" w:type="dxa"/>
            <w:tcBorders>
              <w:top w:val="single" w:sz="4" w:space="0" w:color="auto"/>
              <w:left w:val="nil"/>
              <w:bottom w:val="single" w:sz="4" w:space="0" w:color="auto"/>
              <w:right w:val="single" w:sz="4" w:space="0" w:color="auto"/>
            </w:tcBorders>
            <w:shd w:val="clear" w:color="auto" w:fill="auto"/>
            <w:hideMark/>
          </w:tcPr>
          <w:p w14:paraId="30B45D26"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Hucknall West</w:t>
            </w:r>
          </w:p>
        </w:tc>
      </w:tr>
      <w:tr w:rsidR="000663FF" w:rsidRPr="000663FF" w14:paraId="5ACEF607" w14:textId="77777777" w:rsidTr="000663FF">
        <w:trPr>
          <w:trHeight w:val="290"/>
        </w:trPr>
        <w:tc>
          <w:tcPr>
            <w:tcW w:w="1009" w:type="dxa"/>
            <w:tcBorders>
              <w:top w:val="single" w:sz="4" w:space="0" w:color="auto"/>
              <w:left w:val="single" w:sz="4" w:space="0" w:color="auto"/>
              <w:bottom w:val="single" w:sz="4" w:space="0" w:color="auto"/>
              <w:right w:val="single" w:sz="4" w:space="0" w:color="auto"/>
            </w:tcBorders>
            <w:shd w:val="clear" w:color="auto" w:fill="auto"/>
            <w:hideMark/>
          </w:tcPr>
          <w:p w14:paraId="768E605E"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EV4whb</w:t>
            </w:r>
          </w:p>
        </w:tc>
        <w:tc>
          <w:tcPr>
            <w:tcW w:w="2388" w:type="dxa"/>
            <w:tcBorders>
              <w:top w:val="single" w:sz="4" w:space="0" w:color="auto"/>
              <w:left w:val="nil"/>
              <w:bottom w:val="single" w:sz="4" w:space="0" w:color="auto"/>
              <w:right w:val="single" w:sz="4" w:space="0" w:color="auto"/>
            </w:tcBorders>
            <w:shd w:val="clear" w:color="auto" w:fill="auto"/>
            <w:hideMark/>
          </w:tcPr>
          <w:p w14:paraId="4F13E2A5"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Strawberry Bank Meadow</w:t>
            </w:r>
          </w:p>
        </w:tc>
        <w:tc>
          <w:tcPr>
            <w:tcW w:w="4395" w:type="dxa"/>
            <w:tcBorders>
              <w:top w:val="single" w:sz="4" w:space="0" w:color="auto"/>
              <w:left w:val="nil"/>
              <w:bottom w:val="single" w:sz="4" w:space="0" w:color="auto"/>
              <w:right w:val="single" w:sz="4" w:space="0" w:color="auto"/>
            </w:tcBorders>
            <w:shd w:val="clear" w:color="auto" w:fill="auto"/>
            <w:hideMark/>
          </w:tcPr>
          <w:p w14:paraId="48EAAE61" w14:textId="71770BDA" w:rsidR="00FA2CC6" w:rsidRPr="000663FF" w:rsidRDefault="00F57CF6"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 species-rich hay meadow</w:t>
            </w:r>
          </w:p>
        </w:tc>
        <w:tc>
          <w:tcPr>
            <w:tcW w:w="1984" w:type="dxa"/>
            <w:tcBorders>
              <w:top w:val="single" w:sz="4" w:space="0" w:color="auto"/>
              <w:left w:val="nil"/>
              <w:bottom w:val="single" w:sz="4" w:space="0" w:color="auto"/>
              <w:right w:val="single" w:sz="4" w:space="0" w:color="auto"/>
            </w:tcBorders>
            <w:shd w:val="clear" w:color="auto" w:fill="auto"/>
            <w:hideMark/>
          </w:tcPr>
          <w:p w14:paraId="6E30A24A"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Huthwaite &amp; Brierley</w:t>
            </w:r>
          </w:p>
        </w:tc>
      </w:tr>
      <w:tr w:rsidR="000663FF" w:rsidRPr="000663FF" w14:paraId="0BEF6592" w14:textId="77777777" w:rsidTr="00DC0D18">
        <w:trPr>
          <w:trHeight w:val="580"/>
        </w:trPr>
        <w:tc>
          <w:tcPr>
            <w:tcW w:w="1009" w:type="dxa"/>
            <w:tcBorders>
              <w:top w:val="single" w:sz="4" w:space="0" w:color="auto"/>
              <w:left w:val="single" w:sz="4" w:space="0" w:color="auto"/>
              <w:bottom w:val="single" w:sz="4" w:space="0" w:color="auto"/>
              <w:right w:val="single" w:sz="4" w:space="0" w:color="auto"/>
            </w:tcBorders>
            <w:shd w:val="clear" w:color="auto" w:fill="auto"/>
            <w:hideMark/>
          </w:tcPr>
          <w:p w14:paraId="50C16234"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EV4whc</w:t>
            </w:r>
          </w:p>
        </w:tc>
        <w:tc>
          <w:tcPr>
            <w:tcW w:w="2388" w:type="dxa"/>
            <w:tcBorders>
              <w:top w:val="single" w:sz="4" w:space="0" w:color="auto"/>
              <w:left w:val="single" w:sz="4" w:space="0" w:color="auto"/>
              <w:bottom w:val="single" w:sz="4" w:space="0" w:color="auto"/>
              <w:right w:val="single" w:sz="4" w:space="0" w:color="auto"/>
            </w:tcBorders>
            <w:shd w:val="clear" w:color="auto" w:fill="auto"/>
            <w:hideMark/>
          </w:tcPr>
          <w:p w14:paraId="25E141CE" w14:textId="77777777" w:rsidR="00FA2CC6" w:rsidRPr="000663FF" w:rsidRDefault="00FA2CC6" w:rsidP="00FA2CC6">
            <w:pPr>
              <w:keepNext w:val="0"/>
              <w:spacing w:before="0"/>
              <w:rPr>
                <w:rFonts w:ascii="Calibri" w:hAnsi="Calibri" w:cs="Calibri"/>
                <w:color w:val="auto"/>
                <w:sz w:val="22"/>
                <w:szCs w:val="22"/>
              </w:rPr>
            </w:pPr>
            <w:proofErr w:type="spellStart"/>
            <w:r w:rsidRPr="000663FF">
              <w:rPr>
                <w:rFonts w:ascii="Calibri" w:hAnsi="Calibri" w:cs="Calibri"/>
                <w:color w:val="auto"/>
                <w:sz w:val="22"/>
                <w:szCs w:val="22"/>
              </w:rPr>
              <w:t>Stubbinghill</w:t>
            </w:r>
            <w:proofErr w:type="spellEnd"/>
            <w:r w:rsidRPr="000663FF">
              <w:rPr>
                <w:rFonts w:ascii="Calibri" w:hAnsi="Calibri" w:cs="Calibri"/>
                <w:color w:val="auto"/>
                <w:sz w:val="22"/>
                <w:szCs w:val="22"/>
              </w:rPr>
              <w:t xml:space="preserve"> Farm Meadow</w:t>
            </w:r>
          </w:p>
        </w:tc>
        <w:tc>
          <w:tcPr>
            <w:tcW w:w="4395" w:type="dxa"/>
            <w:tcBorders>
              <w:top w:val="single" w:sz="4" w:space="0" w:color="auto"/>
              <w:left w:val="single" w:sz="4" w:space="0" w:color="auto"/>
              <w:bottom w:val="single" w:sz="4" w:space="0" w:color="auto"/>
              <w:right w:val="single" w:sz="4" w:space="0" w:color="auto"/>
            </w:tcBorders>
            <w:shd w:val="clear" w:color="auto" w:fill="auto"/>
            <w:hideMark/>
          </w:tcPr>
          <w:p w14:paraId="4DA6384D" w14:textId="7F0E92CB" w:rsidR="00FA2CC6" w:rsidRPr="000663FF" w:rsidRDefault="00F57CF6"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 notable meadow with a particularly valuable sloping portion</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7CCAD236"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Huthwaite &amp; Brierley</w:t>
            </w:r>
          </w:p>
        </w:tc>
      </w:tr>
      <w:tr w:rsidR="000663FF" w:rsidRPr="000663FF" w14:paraId="2F25A51C" w14:textId="77777777" w:rsidTr="00DC0D18">
        <w:trPr>
          <w:trHeight w:val="580"/>
        </w:trPr>
        <w:tc>
          <w:tcPr>
            <w:tcW w:w="1009" w:type="dxa"/>
            <w:tcBorders>
              <w:top w:val="single" w:sz="4" w:space="0" w:color="auto"/>
              <w:left w:val="single" w:sz="4" w:space="0" w:color="auto"/>
              <w:bottom w:val="single" w:sz="4" w:space="0" w:color="auto"/>
              <w:right w:val="single" w:sz="4" w:space="0" w:color="auto"/>
            </w:tcBorders>
            <w:shd w:val="clear" w:color="auto" w:fill="auto"/>
            <w:hideMark/>
          </w:tcPr>
          <w:p w14:paraId="7A184091"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EV4whd</w:t>
            </w:r>
          </w:p>
        </w:tc>
        <w:tc>
          <w:tcPr>
            <w:tcW w:w="2388" w:type="dxa"/>
            <w:tcBorders>
              <w:top w:val="single" w:sz="4" w:space="0" w:color="auto"/>
              <w:left w:val="nil"/>
              <w:bottom w:val="single" w:sz="4" w:space="0" w:color="auto"/>
              <w:right w:val="single" w:sz="4" w:space="0" w:color="auto"/>
            </w:tcBorders>
            <w:shd w:val="clear" w:color="auto" w:fill="auto"/>
            <w:hideMark/>
          </w:tcPr>
          <w:p w14:paraId="0F71F32A"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Sunnyside Farm Meadows</w:t>
            </w:r>
          </w:p>
        </w:tc>
        <w:tc>
          <w:tcPr>
            <w:tcW w:w="4395" w:type="dxa"/>
            <w:tcBorders>
              <w:top w:val="single" w:sz="4" w:space="0" w:color="auto"/>
              <w:left w:val="nil"/>
              <w:bottom w:val="single" w:sz="4" w:space="0" w:color="auto"/>
              <w:right w:val="single" w:sz="4" w:space="0" w:color="auto"/>
            </w:tcBorders>
            <w:shd w:val="clear" w:color="auto" w:fill="auto"/>
            <w:hideMark/>
          </w:tcPr>
          <w:p w14:paraId="218A48BC" w14:textId="56250426" w:rsidR="00FA2CC6" w:rsidRPr="000663FF" w:rsidRDefault="00F57CF6"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 fine sequence of variously wet and dry grasslands</w:t>
            </w:r>
          </w:p>
        </w:tc>
        <w:tc>
          <w:tcPr>
            <w:tcW w:w="1984" w:type="dxa"/>
            <w:tcBorders>
              <w:top w:val="single" w:sz="4" w:space="0" w:color="auto"/>
              <w:left w:val="nil"/>
              <w:bottom w:val="single" w:sz="4" w:space="0" w:color="auto"/>
              <w:right w:val="single" w:sz="4" w:space="0" w:color="auto"/>
            </w:tcBorders>
            <w:shd w:val="clear" w:color="auto" w:fill="auto"/>
            <w:hideMark/>
          </w:tcPr>
          <w:p w14:paraId="511509CC"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Huthwaite &amp; Brierley</w:t>
            </w:r>
          </w:p>
        </w:tc>
      </w:tr>
      <w:tr w:rsidR="000663FF" w:rsidRPr="000663FF" w14:paraId="7A3FEEC0" w14:textId="77777777" w:rsidTr="00DC0D18">
        <w:trPr>
          <w:trHeight w:val="580"/>
        </w:trPr>
        <w:tc>
          <w:tcPr>
            <w:tcW w:w="1009" w:type="dxa"/>
            <w:tcBorders>
              <w:top w:val="nil"/>
              <w:left w:val="single" w:sz="4" w:space="0" w:color="auto"/>
              <w:bottom w:val="single" w:sz="4" w:space="0" w:color="auto"/>
              <w:right w:val="single" w:sz="4" w:space="0" w:color="auto"/>
            </w:tcBorders>
            <w:shd w:val="clear" w:color="auto" w:fill="auto"/>
            <w:hideMark/>
          </w:tcPr>
          <w:p w14:paraId="523C0062"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EV4whe</w:t>
            </w:r>
          </w:p>
        </w:tc>
        <w:tc>
          <w:tcPr>
            <w:tcW w:w="2388" w:type="dxa"/>
            <w:tcBorders>
              <w:top w:val="nil"/>
              <w:left w:val="nil"/>
              <w:bottom w:val="single" w:sz="4" w:space="0" w:color="auto"/>
              <w:right w:val="single" w:sz="4" w:space="0" w:color="auto"/>
            </w:tcBorders>
            <w:shd w:val="clear" w:color="auto" w:fill="auto"/>
            <w:hideMark/>
          </w:tcPr>
          <w:p w14:paraId="62E787F1"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Sutton-in-Ashfield District Grassland</w:t>
            </w:r>
          </w:p>
        </w:tc>
        <w:tc>
          <w:tcPr>
            <w:tcW w:w="4395" w:type="dxa"/>
            <w:tcBorders>
              <w:top w:val="nil"/>
              <w:left w:val="nil"/>
              <w:bottom w:val="single" w:sz="4" w:space="0" w:color="auto"/>
              <w:right w:val="single" w:sz="4" w:space="0" w:color="auto"/>
            </w:tcBorders>
            <w:shd w:val="clear" w:color="auto" w:fill="auto"/>
            <w:hideMark/>
          </w:tcPr>
          <w:p w14:paraId="6757084F" w14:textId="651D02DD" w:rsidR="00FA2CC6" w:rsidRPr="000663FF" w:rsidRDefault="00F57CF6"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 species-rich grassland with damp and dry parts</w:t>
            </w:r>
          </w:p>
        </w:tc>
        <w:tc>
          <w:tcPr>
            <w:tcW w:w="1984" w:type="dxa"/>
            <w:tcBorders>
              <w:top w:val="nil"/>
              <w:left w:val="nil"/>
              <w:bottom w:val="single" w:sz="4" w:space="0" w:color="auto"/>
              <w:right w:val="single" w:sz="4" w:space="0" w:color="auto"/>
            </w:tcBorders>
            <w:shd w:val="clear" w:color="auto" w:fill="auto"/>
            <w:hideMark/>
          </w:tcPr>
          <w:p w14:paraId="10E69DC9"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Huthwaite &amp; Brierley</w:t>
            </w:r>
          </w:p>
        </w:tc>
      </w:tr>
      <w:tr w:rsidR="000663FF" w:rsidRPr="000663FF" w14:paraId="14656109" w14:textId="77777777" w:rsidTr="00DC0D18">
        <w:trPr>
          <w:trHeight w:val="580"/>
        </w:trPr>
        <w:tc>
          <w:tcPr>
            <w:tcW w:w="1009" w:type="dxa"/>
            <w:tcBorders>
              <w:top w:val="nil"/>
              <w:left w:val="single" w:sz="4" w:space="0" w:color="auto"/>
              <w:bottom w:val="single" w:sz="4" w:space="0" w:color="auto"/>
              <w:right w:val="single" w:sz="4" w:space="0" w:color="auto"/>
            </w:tcBorders>
            <w:shd w:val="clear" w:color="auto" w:fill="auto"/>
            <w:hideMark/>
          </w:tcPr>
          <w:p w14:paraId="01B72793"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EV4whf</w:t>
            </w:r>
          </w:p>
        </w:tc>
        <w:tc>
          <w:tcPr>
            <w:tcW w:w="2388" w:type="dxa"/>
            <w:tcBorders>
              <w:top w:val="nil"/>
              <w:left w:val="nil"/>
              <w:bottom w:val="single" w:sz="4" w:space="0" w:color="auto"/>
              <w:right w:val="single" w:sz="4" w:space="0" w:color="auto"/>
            </w:tcBorders>
            <w:shd w:val="clear" w:color="auto" w:fill="auto"/>
            <w:hideMark/>
          </w:tcPr>
          <w:p w14:paraId="6A75F490"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Teversal Cemetery</w:t>
            </w:r>
          </w:p>
        </w:tc>
        <w:tc>
          <w:tcPr>
            <w:tcW w:w="4395" w:type="dxa"/>
            <w:tcBorders>
              <w:top w:val="nil"/>
              <w:left w:val="nil"/>
              <w:bottom w:val="single" w:sz="4" w:space="0" w:color="auto"/>
              <w:right w:val="single" w:sz="4" w:space="0" w:color="auto"/>
            </w:tcBorders>
            <w:shd w:val="clear" w:color="auto" w:fill="auto"/>
            <w:hideMark/>
          </w:tcPr>
          <w:p w14:paraId="4A342110" w14:textId="2503C90E" w:rsidR="00FA2CC6" w:rsidRPr="000663FF" w:rsidRDefault="00F57CF6"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 species-rich calcareous grassland within a cemetery</w:t>
            </w:r>
          </w:p>
        </w:tc>
        <w:tc>
          <w:tcPr>
            <w:tcW w:w="1984" w:type="dxa"/>
            <w:tcBorders>
              <w:top w:val="nil"/>
              <w:left w:val="nil"/>
              <w:bottom w:val="single" w:sz="4" w:space="0" w:color="auto"/>
              <w:right w:val="single" w:sz="4" w:space="0" w:color="auto"/>
            </w:tcBorders>
            <w:shd w:val="clear" w:color="auto" w:fill="auto"/>
            <w:hideMark/>
          </w:tcPr>
          <w:p w14:paraId="4CE5511B"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Stanton Hill &amp; Teversal</w:t>
            </w:r>
          </w:p>
        </w:tc>
      </w:tr>
      <w:tr w:rsidR="000663FF" w:rsidRPr="000663FF" w14:paraId="47618EB9" w14:textId="77777777" w:rsidTr="00DC0D18">
        <w:trPr>
          <w:trHeight w:val="563"/>
        </w:trPr>
        <w:tc>
          <w:tcPr>
            <w:tcW w:w="1009" w:type="dxa"/>
            <w:tcBorders>
              <w:top w:val="nil"/>
              <w:left w:val="single" w:sz="4" w:space="0" w:color="auto"/>
              <w:bottom w:val="single" w:sz="4" w:space="0" w:color="auto"/>
              <w:right w:val="single" w:sz="4" w:space="0" w:color="auto"/>
            </w:tcBorders>
            <w:shd w:val="clear" w:color="auto" w:fill="auto"/>
            <w:hideMark/>
          </w:tcPr>
          <w:p w14:paraId="10486326"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EV4whg</w:t>
            </w:r>
          </w:p>
        </w:tc>
        <w:tc>
          <w:tcPr>
            <w:tcW w:w="2388" w:type="dxa"/>
            <w:tcBorders>
              <w:top w:val="nil"/>
              <w:left w:val="nil"/>
              <w:bottom w:val="single" w:sz="4" w:space="0" w:color="auto"/>
              <w:right w:val="single" w:sz="4" w:space="0" w:color="auto"/>
            </w:tcBorders>
            <w:shd w:val="clear" w:color="auto" w:fill="auto"/>
            <w:hideMark/>
          </w:tcPr>
          <w:p w14:paraId="44106A38"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Teversal Disused Railway</w:t>
            </w:r>
          </w:p>
        </w:tc>
        <w:tc>
          <w:tcPr>
            <w:tcW w:w="4395" w:type="dxa"/>
            <w:tcBorders>
              <w:top w:val="nil"/>
              <w:left w:val="nil"/>
              <w:bottom w:val="single" w:sz="4" w:space="0" w:color="auto"/>
              <w:right w:val="single" w:sz="4" w:space="0" w:color="auto"/>
            </w:tcBorders>
            <w:shd w:val="clear" w:color="auto" w:fill="auto"/>
            <w:hideMark/>
          </w:tcPr>
          <w:p w14:paraId="44C7AFC6" w14:textId="0B17672B" w:rsidR="00FA2CC6" w:rsidRPr="000663FF" w:rsidRDefault="00F57CF6"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An interesting stretch of disused railway with a particularly notable calcicolous community</w:t>
            </w:r>
          </w:p>
        </w:tc>
        <w:tc>
          <w:tcPr>
            <w:tcW w:w="1984" w:type="dxa"/>
            <w:tcBorders>
              <w:top w:val="nil"/>
              <w:left w:val="nil"/>
              <w:bottom w:val="single" w:sz="4" w:space="0" w:color="auto"/>
              <w:right w:val="single" w:sz="4" w:space="0" w:color="auto"/>
            </w:tcBorders>
            <w:shd w:val="clear" w:color="auto" w:fill="auto"/>
            <w:hideMark/>
          </w:tcPr>
          <w:p w14:paraId="3BAF1912"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Stanton Hill &amp; Teversal</w:t>
            </w:r>
          </w:p>
        </w:tc>
      </w:tr>
      <w:tr w:rsidR="000663FF" w:rsidRPr="000663FF" w14:paraId="0ABB63FA" w14:textId="77777777" w:rsidTr="00DC0D18">
        <w:trPr>
          <w:trHeight w:val="580"/>
        </w:trPr>
        <w:tc>
          <w:tcPr>
            <w:tcW w:w="1009" w:type="dxa"/>
            <w:tcBorders>
              <w:top w:val="nil"/>
              <w:left w:val="single" w:sz="4" w:space="0" w:color="auto"/>
              <w:bottom w:val="single" w:sz="4" w:space="0" w:color="auto"/>
              <w:right w:val="single" w:sz="4" w:space="0" w:color="auto"/>
            </w:tcBorders>
            <w:shd w:val="clear" w:color="auto" w:fill="auto"/>
            <w:hideMark/>
          </w:tcPr>
          <w:p w14:paraId="04AD181E"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EV4whh</w:t>
            </w:r>
          </w:p>
        </w:tc>
        <w:tc>
          <w:tcPr>
            <w:tcW w:w="2388" w:type="dxa"/>
            <w:tcBorders>
              <w:top w:val="nil"/>
              <w:left w:val="nil"/>
              <w:bottom w:val="single" w:sz="4" w:space="0" w:color="auto"/>
              <w:right w:val="single" w:sz="4" w:space="0" w:color="auto"/>
            </w:tcBorders>
            <w:shd w:val="clear" w:color="auto" w:fill="auto"/>
            <w:hideMark/>
          </w:tcPr>
          <w:p w14:paraId="7F82E041"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Teversal Flush</w:t>
            </w:r>
          </w:p>
        </w:tc>
        <w:tc>
          <w:tcPr>
            <w:tcW w:w="4395" w:type="dxa"/>
            <w:tcBorders>
              <w:top w:val="nil"/>
              <w:left w:val="nil"/>
              <w:bottom w:val="single" w:sz="4" w:space="0" w:color="auto"/>
              <w:right w:val="single" w:sz="4" w:space="0" w:color="auto"/>
            </w:tcBorders>
            <w:shd w:val="clear" w:color="auto" w:fill="auto"/>
            <w:hideMark/>
          </w:tcPr>
          <w:p w14:paraId="5AE22801" w14:textId="1BDD90B3" w:rsidR="00FA2CC6" w:rsidRPr="000663FF" w:rsidRDefault="00F57CF6"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 notable base-rich wet flush community</w:t>
            </w:r>
          </w:p>
        </w:tc>
        <w:tc>
          <w:tcPr>
            <w:tcW w:w="1984" w:type="dxa"/>
            <w:tcBorders>
              <w:top w:val="nil"/>
              <w:left w:val="nil"/>
              <w:bottom w:val="single" w:sz="4" w:space="0" w:color="auto"/>
              <w:right w:val="single" w:sz="4" w:space="0" w:color="auto"/>
            </w:tcBorders>
            <w:shd w:val="clear" w:color="auto" w:fill="auto"/>
            <w:hideMark/>
          </w:tcPr>
          <w:p w14:paraId="31259B16"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Stanton Hill &amp; Teversal</w:t>
            </w:r>
          </w:p>
        </w:tc>
      </w:tr>
      <w:tr w:rsidR="000663FF" w:rsidRPr="000663FF" w14:paraId="5298BC3F" w14:textId="77777777" w:rsidTr="00DC0D18">
        <w:trPr>
          <w:trHeight w:val="513"/>
        </w:trPr>
        <w:tc>
          <w:tcPr>
            <w:tcW w:w="1009" w:type="dxa"/>
            <w:tcBorders>
              <w:top w:val="nil"/>
              <w:left w:val="single" w:sz="4" w:space="0" w:color="auto"/>
              <w:bottom w:val="single" w:sz="4" w:space="0" w:color="auto"/>
              <w:right w:val="single" w:sz="4" w:space="0" w:color="auto"/>
            </w:tcBorders>
            <w:shd w:val="clear" w:color="auto" w:fill="auto"/>
            <w:hideMark/>
          </w:tcPr>
          <w:p w14:paraId="51F71E26"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EV4whi</w:t>
            </w:r>
          </w:p>
        </w:tc>
        <w:tc>
          <w:tcPr>
            <w:tcW w:w="2388" w:type="dxa"/>
            <w:tcBorders>
              <w:top w:val="nil"/>
              <w:left w:val="nil"/>
              <w:bottom w:val="single" w:sz="4" w:space="0" w:color="auto"/>
              <w:right w:val="single" w:sz="4" w:space="0" w:color="auto"/>
            </w:tcBorders>
            <w:shd w:val="clear" w:color="auto" w:fill="auto"/>
            <w:hideMark/>
          </w:tcPr>
          <w:p w14:paraId="104C77B7"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Teversal Pastures</w:t>
            </w:r>
          </w:p>
        </w:tc>
        <w:tc>
          <w:tcPr>
            <w:tcW w:w="4395" w:type="dxa"/>
            <w:tcBorders>
              <w:top w:val="nil"/>
              <w:left w:val="nil"/>
              <w:bottom w:val="single" w:sz="4" w:space="0" w:color="auto"/>
              <w:right w:val="single" w:sz="4" w:space="0" w:color="auto"/>
            </w:tcBorders>
            <w:shd w:val="clear" w:color="auto" w:fill="auto"/>
            <w:hideMark/>
          </w:tcPr>
          <w:p w14:paraId="60996E23" w14:textId="1E04DFB9" w:rsidR="00FA2CC6" w:rsidRPr="000663FF" w:rsidRDefault="00F57CF6"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Excellent neutral grasslands with marsh and wet woodland - of botanical and zoological interest</w:t>
            </w:r>
          </w:p>
        </w:tc>
        <w:tc>
          <w:tcPr>
            <w:tcW w:w="1984" w:type="dxa"/>
            <w:tcBorders>
              <w:top w:val="nil"/>
              <w:left w:val="nil"/>
              <w:bottom w:val="single" w:sz="4" w:space="0" w:color="auto"/>
              <w:right w:val="single" w:sz="4" w:space="0" w:color="auto"/>
            </w:tcBorders>
            <w:shd w:val="clear" w:color="auto" w:fill="auto"/>
            <w:hideMark/>
          </w:tcPr>
          <w:p w14:paraId="79231991"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Skegby</w:t>
            </w:r>
          </w:p>
        </w:tc>
      </w:tr>
      <w:tr w:rsidR="000663FF" w:rsidRPr="000663FF" w14:paraId="6764022F" w14:textId="77777777" w:rsidTr="00DC0D18">
        <w:trPr>
          <w:trHeight w:val="625"/>
        </w:trPr>
        <w:tc>
          <w:tcPr>
            <w:tcW w:w="1009" w:type="dxa"/>
            <w:tcBorders>
              <w:top w:val="nil"/>
              <w:left w:val="single" w:sz="4" w:space="0" w:color="auto"/>
              <w:bottom w:val="single" w:sz="4" w:space="0" w:color="auto"/>
              <w:right w:val="single" w:sz="4" w:space="0" w:color="auto"/>
            </w:tcBorders>
            <w:shd w:val="clear" w:color="auto" w:fill="auto"/>
            <w:hideMark/>
          </w:tcPr>
          <w:p w14:paraId="487A9E5E"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EV4whj</w:t>
            </w:r>
          </w:p>
        </w:tc>
        <w:tc>
          <w:tcPr>
            <w:tcW w:w="2388" w:type="dxa"/>
            <w:tcBorders>
              <w:top w:val="nil"/>
              <w:left w:val="nil"/>
              <w:bottom w:val="single" w:sz="4" w:space="0" w:color="auto"/>
              <w:right w:val="single" w:sz="4" w:space="0" w:color="auto"/>
            </w:tcBorders>
            <w:shd w:val="clear" w:color="auto" w:fill="auto"/>
            <w:hideMark/>
          </w:tcPr>
          <w:p w14:paraId="231A620E"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Teversal to Pleasley Railway</w:t>
            </w:r>
          </w:p>
        </w:tc>
        <w:tc>
          <w:tcPr>
            <w:tcW w:w="4395" w:type="dxa"/>
            <w:tcBorders>
              <w:top w:val="nil"/>
              <w:left w:val="nil"/>
              <w:bottom w:val="single" w:sz="4" w:space="0" w:color="auto"/>
              <w:right w:val="single" w:sz="4" w:space="0" w:color="auto"/>
            </w:tcBorders>
            <w:shd w:val="clear" w:color="auto" w:fill="auto"/>
            <w:hideMark/>
          </w:tcPr>
          <w:p w14:paraId="463067C3" w14:textId="3C0774A1" w:rsidR="00FA2CC6" w:rsidRPr="000663FF" w:rsidRDefault="00F57CF6"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 range of habitats, with especially valuable calcareous grassland, along a length of railway</w:t>
            </w:r>
          </w:p>
        </w:tc>
        <w:tc>
          <w:tcPr>
            <w:tcW w:w="1984" w:type="dxa"/>
            <w:tcBorders>
              <w:top w:val="nil"/>
              <w:left w:val="nil"/>
              <w:bottom w:val="single" w:sz="4" w:space="0" w:color="auto"/>
              <w:right w:val="single" w:sz="4" w:space="0" w:color="auto"/>
            </w:tcBorders>
            <w:shd w:val="clear" w:color="auto" w:fill="auto"/>
            <w:hideMark/>
          </w:tcPr>
          <w:p w14:paraId="4A0971EA"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Stanton Hill &amp; Teversal</w:t>
            </w:r>
          </w:p>
        </w:tc>
      </w:tr>
      <w:tr w:rsidR="000663FF" w:rsidRPr="000663FF" w14:paraId="17FF2E29" w14:textId="77777777" w:rsidTr="00DC0D18">
        <w:trPr>
          <w:trHeight w:val="870"/>
        </w:trPr>
        <w:tc>
          <w:tcPr>
            <w:tcW w:w="1009" w:type="dxa"/>
            <w:tcBorders>
              <w:top w:val="nil"/>
              <w:left w:val="single" w:sz="4" w:space="0" w:color="auto"/>
              <w:bottom w:val="single" w:sz="4" w:space="0" w:color="auto"/>
              <w:right w:val="single" w:sz="4" w:space="0" w:color="auto"/>
            </w:tcBorders>
            <w:shd w:val="clear" w:color="auto" w:fill="auto"/>
            <w:hideMark/>
          </w:tcPr>
          <w:p w14:paraId="02B4BFA9"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EV4whk</w:t>
            </w:r>
          </w:p>
        </w:tc>
        <w:tc>
          <w:tcPr>
            <w:tcW w:w="2388" w:type="dxa"/>
            <w:tcBorders>
              <w:top w:val="nil"/>
              <w:left w:val="nil"/>
              <w:bottom w:val="single" w:sz="4" w:space="0" w:color="auto"/>
              <w:right w:val="single" w:sz="4" w:space="0" w:color="auto"/>
            </w:tcBorders>
            <w:shd w:val="clear" w:color="auto" w:fill="auto"/>
            <w:hideMark/>
          </w:tcPr>
          <w:p w14:paraId="6B297029"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Thieves Wood</w:t>
            </w:r>
          </w:p>
        </w:tc>
        <w:tc>
          <w:tcPr>
            <w:tcW w:w="4395" w:type="dxa"/>
            <w:tcBorders>
              <w:top w:val="nil"/>
              <w:left w:val="nil"/>
              <w:bottom w:val="single" w:sz="4" w:space="0" w:color="auto"/>
              <w:right w:val="single" w:sz="4" w:space="0" w:color="auto"/>
            </w:tcBorders>
            <w:shd w:val="clear" w:color="auto" w:fill="auto"/>
            <w:hideMark/>
          </w:tcPr>
          <w:p w14:paraId="2FC0D6D3" w14:textId="051215B7" w:rsidR="00FA2CC6" w:rsidRPr="000663FF" w:rsidRDefault="00F57CF6"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An extensive coniferous plantation with ancient deciduous portions and an interesting flora and fau</w:t>
            </w:r>
            <w:r w:rsidR="00005C63" w:rsidRPr="000663FF">
              <w:rPr>
                <w:rFonts w:ascii="Calibri" w:hAnsi="Calibri" w:cs="Calibri"/>
                <w:color w:val="auto"/>
                <w:sz w:val="22"/>
                <w:szCs w:val="22"/>
              </w:rPr>
              <w:t>na</w:t>
            </w:r>
          </w:p>
        </w:tc>
        <w:tc>
          <w:tcPr>
            <w:tcW w:w="1984" w:type="dxa"/>
            <w:tcBorders>
              <w:top w:val="nil"/>
              <w:left w:val="nil"/>
              <w:bottom w:val="single" w:sz="4" w:space="0" w:color="auto"/>
              <w:right w:val="single" w:sz="4" w:space="0" w:color="auto"/>
            </w:tcBorders>
            <w:shd w:val="clear" w:color="auto" w:fill="auto"/>
            <w:hideMark/>
          </w:tcPr>
          <w:p w14:paraId="13FE25DC"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Sutton Junction &amp; Harlow Wood</w:t>
            </w:r>
          </w:p>
        </w:tc>
      </w:tr>
      <w:tr w:rsidR="000663FF" w:rsidRPr="000663FF" w14:paraId="27641843" w14:textId="77777777" w:rsidTr="00DC0D18">
        <w:trPr>
          <w:trHeight w:val="580"/>
        </w:trPr>
        <w:tc>
          <w:tcPr>
            <w:tcW w:w="1009" w:type="dxa"/>
            <w:tcBorders>
              <w:top w:val="nil"/>
              <w:left w:val="single" w:sz="4" w:space="0" w:color="auto"/>
              <w:bottom w:val="single" w:sz="4" w:space="0" w:color="auto"/>
              <w:right w:val="single" w:sz="4" w:space="0" w:color="auto"/>
            </w:tcBorders>
            <w:shd w:val="clear" w:color="auto" w:fill="auto"/>
            <w:hideMark/>
          </w:tcPr>
          <w:p w14:paraId="339A8814"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EV4whl</w:t>
            </w:r>
          </w:p>
        </w:tc>
        <w:tc>
          <w:tcPr>
            <w:tcW w:w="2388" w:type="dxa"/>
            <w:tcBorders>
              <w:top w:val="nil"/>
              <w:left w:val="nil"/>
              <w:bottom w:val="single" w:sz="4" w:space="0" w:color="auto"/>
              <w:right w:val="single" w:sz="4" w:space="0" w:color="auto"/>
            </w:tcBorders>
            <w:shd w:val="clear" w:color="auto" w:fill="auto"/>
            <w:hideMark/>
          </w:tcPr>
          <w:p w14:paraId="4A632F0C"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Underwood Football Ground</w:t>
            </w:r>
          </w:p>
        </w:tc>
        <w:tc>
          <w:tcPr>
            <w:tcW w:w="4395" w:type="dxa"/>
            <w:tcBorders>
              <w:top w:val="nil"/>
              <w:left w:val="nil"/>
              <w:bottom w:val="single" w:sz="4" w:space="0" w:color="auto"/>
              <w:right w:val="single" w:sz="4" w:space="0" w:color="auto"/>
            </w:tcBorders>
            <w:shd w:val="clear" w:color="auto" w:fill="auto"/>
            <w:hideMark/>
          </w:tcPr>
          <w:p w14:paraId="5A10B9A6" w14:textId="21D7BD10" w:rsidR="00FA2CC6" w:rsidRPr="000663FF" w:rsidRDefault="00F57CF6"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 football pitch flanked by notable damp areas</w:t>
            </w:r>
          </w:p>
        </w:tc>
        <w:tc>
          <w:tcPr>
            <w:tcW w:w="1984" w:type="dxa"/>
            <w:tcBorders>
              <w:top w:val="nil"/>
              <w:left w:val="nil"/>
              <w:bottom w:val="single" w:sz="4" w:space="0" w:color="auto"/>
              <w:right w:val="single" w:sz="4" w:space="0" w:color="auto"/>
            </w:tcBorders>
            <w:shd w:val="clear" w:color="auto" w:fill="auto"/>
            <w:hideMark/>
          </w:tcPr>
          <w:p w14:paraId="4EAEEA6C"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Underwood</w:t>
            </w:r>
          </w:p>
        </w:tc>
      </w:tr>
      <w:tr w:rsidR="000663FF" w:rsidRPr="000663FF" w14:paraId="41C8C0FE" w14:textId="77777777" w:rsidTr="00DC0D18">
        <w:trPr>
          <w:trHeight w:val="290"/>
        </w:trPr>
        <w:tc>
          <w:tcPr>
            <w:tcW w:w="1009" w:type="dxa"/>
            <w:tcBorders>
              <w:top w:val="nil"/>
              <w:left w:val="single" w:sz="4" w:space="0" w:color="auto"/>
              <w:bottom w:val="single" w:sz="4" w:space="0" w:color="auto"/>
              <w:right w:val="single" w:sz="4" w:space="0" w:color="auto"/>
            </w:tcBorders>
            <w:shd w:val="clear" w:color="auto" w:fill="auto"/>
          </w:tcPr>
          <w:p w14:paraId="1C884488" w14:textId="475F46A5" w:rsidR="00315937" w:rsidRPr="000663FF" w:rsidRDefault="00315937"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EV4whm</w:t>
            </w:r>
          </w:p>
        </w:tc>
        <w:tc>
          <w:tcPr>
            <w:tcW w:w="2388" w:type="dxa"/>
            <w:tcBorders>
              <w:top w:val="nil"/>
              <w:left w:val="nil"/>
              <w:bottom w:val="single" w:sz="4" w:space="0" w:color="auto"/>
              <w:right w:val="single" w:sz="4" w:space="0" w:color="auto"/>
            </w:tcBorders>
            <w:shd w:val="clear" w:color="auto" w:fill="auto"/>
          </w:tcPr>
          <w:p w14:paraId="32B9DDF0" w14:textId="2DE20B67" w:rsidR="00315937" w:rsidRPr="000663FF" w:rsidRDefault="00315937" w:rsidP="00FA2CC6">
            <w:pPr>
              <w:keepNext w:val="0"/>
              <w:spacing w:before="0"/>
              <w:rPr>
                <w:rFonts w:ascii="Calibri" w:hAnsi="Calibri" w:cs="Calibri"/>
                <w:color w:val="auto"/>
                <w:sz w:val="22"/>
                <w:szCs w:val="22"/>
              </w:rPr>
            </w:pPr>
            <w:proofErr w:type="spellStart"/>
            <w:r w:rsidRPr="000663FF">
              <w:rPr>
                <w:rFonts w:ascii="Calibri" w:hAnsi="Calibri" w:cs="Calibri"/>
                <w:color w:val="auto"/>
                <w:sz w:val="22"/>
                <w:szCs w:val="22"/>
              </w:rPr>
              <w:t>Sheepwash</w:t>
            </w:r>
            <w:proofErr w:type="spellEnd"/>
            <w:r w:rsidRPr="000663FF">
              <w:rPr>
                <w:rFonts w:ascii="Calibri" w:hAnsi="Calibri" w:cs="Calibri"/>
                <w:color w:val="auto"/>
                <w:sz w:val="22"/>
                <w:szCs w:val="22"/>
              </w:rPr>
              <w:t xml:space="preserve"> </w:t>
            </w:r>
            <w:r w:rsidR="000123E5" w:rsidRPr="000663FF">
              <w:rPr>
                <w:rFonts w:ascii="Calibri" w:hAnsi="Calibri" w:cs="Calibri"/>
                <w:color w:val="auto"/>
                <w:sz w:val="22"/>
                <w:szCs w:val="22"/>
              </w:rPr>
              <w:t>Lane</w:t>
            </w:r>
          </w:p>
        </w:tc>
        <w:tc>
          <w:tcPr>
            <w:tcW w:w="4395" w:type="dxa"/>
            <w:tcBorders>
              <w:top w:val="nil"/>
              <w:left w:val="nil"/>
              <w:bottom w:val="single" w:sz="4" w:space="0" w:color="auto"/>
              <w:right w:val="single" w:sz="4" w:space="0" w:color="auto"/>
            </w:tcBorders>
            <w:shd w:val="clear" w:color="auto" w:fill="auto"/>
          </w:tcPr>
          <w:p w14:paraId="1F84136F" w14:textId="257119DA" w:rsidR="00315937" w:rsidRPr="000663FF" w:rsidRDefault="00315937"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LGS </w:t>
            </w:r>
            <w:r w:rsidR="000123E5" w:rsidRPr="000663FF">
              <w:rPr>
                <w:rFonts w:ascii="Calibri" w:hAnsi="Calibri" w:cs="Calibri"/>
                <w:color w:val="auto"/>
                <w:sz w:val="22"/>
                <w:szCs w:val="22"/>
              </w:rPr>
              <w:t>–</w:t>
            </w:r>
            <w:r w:rsidRPr="000663FF">
              <w:rPr>
                <w:rFonts w:ascii="Calibri" w:hAnsi="Calibri" w:cs="Calibri"/>
                <w:color w:val="auto"/>
                <w:sz w:val="22"/>
                <w:szCs w:val="22"/>
              </w:rPr>
              <w:t xml:space="preserve"> </w:t>
            </w:r>
            <w:r w:rsidR="00042D67" w:rsidRPr="000663FF">
              <w:rPr>
                <w:rFonts w:ascii="Calibri" w:hAnsi="Calibri" w:cs="Calibri"/>
                <w:color w:val="auto"/>
                <w:sz w:val="22"/>
                <w:szCs w:val="22"/>
              </w:rPr>
              <w:t xml:space="preserve">An old disused quarry and road cutting. The exposure is composed of buff/pink sandy dolostone, parallel bedded and nodular in places.  </w:t>
            </w:r>
          </w:p>
        </w:tc>
        <w:tc>
          <w:tcPr>
            <w:tcW w:w="1984" w:type="dxa"/>
            <w:tcBorders>
              <w:top w:val="nil"/>
              <w:left w:val="nil"/>
              <w:bottom w:val="single" w:sz="4" w:space="0" w:color="auto"/>
              <w:right w:val="single" w:sz="4" w:space="0" w:color="auto"/>
            </w:tcBorders>
            <w:shd w:val="clear" w:color="auto" w:fill="auto"/>
          </w:tcPr>
          <w:p w14:paraId="28EA5B99" w14:textId="51F3F577" w:rsidR="00315937" w:rsidRPr="000663FF" w:rsidRDefault="000123E5" w:rsidP="00FA2CC6">
            <w:pPr>
              <w:keepNext w:val="0"/>
              <w:spacing w:before="0"/>
              <w:rPr>
                <w:rFonts w:ascii="Calibri" w:hAnsi="Calibri" w:cs="Calibri"/>
                <w:color w:val="auto"/>
                <w:sz w:val="22"/>
                <w:szCs w:val="22"/>
              </w:rPr>
            </w:pPr>
            <w:r w:rsidRPr="000663FF">
              <w:rPr>
                <w:rFonts w:ascii="Calibri" w:hAnsi="Calibri" w:cs="Calibri"/>
                <w:color w:val="auto"/>
                <w:sz w:val="22"/>
                <w:szCs w:val="22"/>
              </w:rPr>
              <w:t>Sutton Junction &amp; Harlow Wood</w:t>
            </w:r>
          </w:p>
        </w:tc>
      </w:tr>
      <w:tr w:rsidR="000663FF" w:rsidRPr="000663FF" w14:paraId="6D542920" w14:textId="77777777" w:rsidTr="00DC0D18">
        <w:trPr>
          <w:trHeight w:val="290"/>
        </w:trPr>
        <w:tc>
          <w:tcPr>
            <w:tcW w:w="1009" w:type="dxa"/>
            <w:tcBorders>
              <w:top w:val="nil"/>
              <w:left w:val="single" w:sz="4" w:space="0" w:color="auto"/>
              <w:bottom w:val="single" w:sz="4" w:space="0" w:color="auto"/>
              <w:right w:val="single" w:sz="4" w:space="0" w:color="auto"/>
            </w:tcBorders>
            <w:shd w:val="clear" w:color="auto" w:fill="auto"/>
            <w:hideMark/>
          </w:tcPr>
          <w:p w14:paraId="460392D0"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EV4wi</w:t>
            </w:r>
          </w:p>
        </w:tc>
        <w:tc>
          <w:tcPr>
            <w:tcW w:w="2388" w:type="dxa"/>
            <w:tcBorders>
              <w:top w:val="nil"/>
              <w:left w:val="nil"/>
              <w:bottom w:val="single" w:sz="4" w:space="0" w:color="auto"/>
              <w:right w:val="single" w:sz="4" w:space="0" w:color="auto"/>
            </w:tcBorders>
            <w:shd w:val="clear" w:color="auto" w:fill="auto"/>
            <w:hideMark/>
          </w:tcPr>
          <w:p w14:paraId="1224128D"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Underwood Grassland</w:t>
            </w:r>
          </w:p>
        </w:tc>
        <w:tc>
          <w:tcPr>
            <w:tcW w:w="4395" w:type="dxa"/>
            <w:tcBorders>
              <w:top w:val="nil"/>
              <w:left w:val="nil"/>
              <w:bottom w:val="single" w:sz="4" w:space="0" w:color="auto"/>
              <w:right w:val="single" w:sz="4" w:space="0" w:color="auto"/>
            </w:tcBorders>
            <w:shd w:val="clear" w:color="auto" w:fill="auto"/>
            <w:hideMark/>
          </w:tcPr>
          <w:p w14:paraId="0CE86EA9" w14:textId="6C7CCF66" w:rsidR="00FA2CC6" w:rsidRPr="000663FF" w:rsidRDefault="00F57CF6"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Grasslands with a noteworthy sward</w:t>
            </w:r>
          </w:p>
        </w:tc>
        <w:tc>
          <w:tcPr>
            <w:tcW w:w="1984" w:type="dxa"/>
            <w:tcBorders>
              <w:top w:val="nil"/>
              <w:left w:val="nil"/>
              <w:bottom w:val="single" w:sz="4" w:space="0" w:color="auto"/>
              <w:right w:val="single" w:sz="4" w:space="0" w:color="auto"/>
            </w:tcBorders>
            <w:shd w:val="clear" w:color="auto" w:fill="auto"/>
            <w:hideMark/>
          </w:tcPr>
          <w:p w14:paraId="4BEA0F27"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Underwood</w:t>
            </w:r>
          </w:p>
        </w:tc>
      </w:tr>
      <w:tr w:rsidR="000663FF" w:rsidRPr="000663FF" w14:paraId="1A105FEA" w14:textId="77777777" w:rsidTr="00DC0D18">
        <w:trPr>
          <w:trHeight w:val="580"/>
        </w:trPr>
        <w:tc>
          <w:tcPr>
            <w:tcW w:w="1009" w:type="dxa"/>
            <w:tcBorders>
              <w:top w:val="single" w:sz="4" w:space="0" w:color="auto"/>
              <w:left w:val="single" w:sz="4" w:space="0" w:color="auto"/>
              <w:bottom w:val="single" w:sz="4" w:space="0" w:color="auto"/>
              <w:right w:val="single" w:sz="4" w:space="0" w:color="auto"/>
            </w:tcBorders>
            <w:shd w:val="clear" w:color="auto" w:fill="auto"/>
            <w:hideMark/>
          </w:tcPr>
          <w:p w14:paraId="50BAA849"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EV4wj</w:t>
            </w:r>
          </w:p>
        </w:tc>
        <w:tc>
          <w:tcPr>
            <w:tcW w:w="2388" w:type="dxa"/>
            <w:tcBorders>
              <w:top w:val="single" w:sz="4" w:space="0" w:color="auto"/>
              <w:left w:val="single" w:sz="4" w:space="0" w:color="auto"/>
              <w:bottom w:val="single" w:sz="4" w:space="0" w:color="auto"/>
              <w:right w:val="single" w:sz="4" w:space="0" w:color="auto"/>
            </w:tcBorders>
            <w:shd w:val="clear" w:color="auto" w:fill="auto"/>
            <w:hideMark/>
          </w:tcPr>
          <w:p w14:paraId="23D6D582"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Underwood Meadow</w:t>
            </w:r>
          </w:p>
        </w:tc>
        <w:tc>
          <w:tcPr>
            <w:tcW w:w="4395" w:type="dxa"/>
            <w:tcBorders>
              <w:top w:val="single" w:sz="4" w:space="0" w:color="auto"/>
              <w:left w:val="single" w:sz="4" w:space="0" w:color="auto"/>
              <w:bottom w:val="single" w:sz="4" w:space="0" w:color="auto"/>
              <w:right w:val="single" w:sz="4" w:space="0" w:color="auto"/>
            </w:tcBorders>
            <w:shd w:val="clear" w:color="auto" w:fill="auto"/>
            <w:hideMark/>
          </w:tcPr>
          <w:p w14:paraId="03C99FAB" w14:textId="0B2D6BED" w:rsidR="00FA2CC6" w:rsidRPr="000663FF" w:rsidRDefault="00F57CF6"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 small unimproved hay meadow with a rich diversity of characteristic species</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68FF0284"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Underwood</w:t>
            </w:r>
          </w:p>
        </w:tc>
      </w:tr>
      <w:tr w:rsidR="000663FF" w:rsidRPr="000663FF" w14:paraId="009571F5" w14:textId="77777777" w:rsidTr="00DC0D18">
        <w:trPr>
          <w:trHeight w:val="580"/>
        </w:trPr>
        <w:tc>
          <w:tcPr>
            <w:tcW w:w="1009" w:type="dxa"/>
            <w:tcBorders>
              <w:top w:val="single" w:sz="4" w:space="0" w:color="auto"/>
              <w:left w:val="single" w:sz="4" w:space="0" w:color="auto"/>
              <w:bottom w:val="single" w:sz="4" w:space="0" w:color="auto"/>
              <w:right w:val="single" w:sz="4" w:space="0" w:color="auto"/>
            </w:tcBorders>
            <w:shd w:val="clear" w:color="auto" w:fill="auto"/>
            <w:hideMark/>
          </w:tcPr>
          <w:p w14:paraId="013C654F"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EV4wk</w:t>
            </w:r>
          </w:p>
        </w:tc>
        <w:tc>
          <w:tcPr>
            <w:tcW w:w="2388" w:type="dxa"/>
            <w:tcBorders>
              <w:top w:val="single" w:sz="4" w:space="0" w:color="auto"/>
              <w:left w:val="nil"/>
              <w:bottom w:val="single" w:sz="4" w:space="0" w:color="auto"/>
              <w:right w:val="single" w:sz="4" w:space="0" w:color="auto"/>
            </w:tcBorders>
            <w:shd w:val="clear" w:color="auto" w:fill="auto"/>
            <w:hideMark/>
          </w:tcPr>
          <w:p w14:paraId="05073E40"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Underwood Meadows</w:t>
            </w:r>
          </w:p>
        </w:tc>
        <w:tc>
          <w:tcPr>
            <w:tcW w:w="4395" w:type="dxa"/>
            <w:tcBorders>
              <w:top w:val="single" w:sz="4" w:space="0" w:color="auto"/>
              <w:left w:val="nil"/>
              <w:bottom w:val="single" w:sz="4" w:space="0" w:color="auto"/>
              <w:right w:val="single" w:sz="4" w:space="0" w:color="auto"/>
            </w:tcBorders>
            <w:shd w:val="clear" w:color="auto" w:fill="auto"/>
            <w:hideMark/>
          </w:tcPr>
          <w:p w14:paraId="01EBD9B9" w14:textId="68921DEA" w:rsidR="00FA2CC6" w:rsidRPr="000663FF" w:rsidRDefault="00F57CF6"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Herb-rich meadows with an especially important stream</w:t>
            </w:r>
          </w:p>
        </w:tc>
        <w:tc>
          <w:tcPr>
            <w:tcW w:w="1984" w:type="dxa"/>
            <w:tcBorders>
              <w:top w:val="single" w:sz="4" w:space="0" w:color="auto"/>
              <w:left w:val="nil"/>
              <w:bottom w:val="single" w:sz="4" w:space="0" w:color="auto"/>
              <w:right w:val="single" w:sz="4" w:space="0" w:color="auto"/>
            </w:tcBorders>
            <w:shd w:val="clear" w:color="auto" w:fill="auto"/>
            <w:hideMark/>
          </w:tcPr>
          <w:p w14:paraId="500C3D38"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Underwood</w:t>
            </w:r>
          </w:p>
        </w:tc>
      </w:tr>
      <w:tr w:rsidR="000663FF" w:rsidRPr="000663FF" w14:paraId="02CBB1D3" w14:textId="77777777" w:rsidTr="00DC0D18">
        <w:trPr>
          <w:trHeight w:val="622"/>
        </w:trPr>
        <w:tc>
          <w:tcPr>
            <w:tcW w:w="1009" w:type="dxa"/>
            <w:tcBorders>
              <w:top w:val="nil"/>
              <w:left w:val="single" w:sz="4" w:space="0" w:color="auto"/>
              <w:bottom w:val="single" w:sz="4" w:space="0" w:color="auto"/>
              <w:right w:val="single" w:sz="4" w:space="0" w:color="auto"/>
            </w:tcBorders>
            <w:shd w:val="clear" w:color="auto" w:fill="auto"/>
            <w:hideMark/>
          </w:tcPr>
          <w:p w14:paraId="0041662D"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EV4wl</w:t>
            </w:r>
          </w:p>
        </w:tc>
        <w:tc>
          <w:tcPr>
            <w:tcW w:w="2388" w:type="dxa"/>
            <w:tcBorders>
              <w:top w:val="nil"/>
              <w:left w:val="nil"/>
              <w:bottom w:val="single" w:sz="4" w:space="0" w:color="auto"/>
              <w:right w:val="single" w:sz="4" w:space="0" w:color="auto"/>
            </w:tcBorders>
            <w:shd w:val="clear" w:color="auto" w:fill="auto"/>
            <w:hideMark/>
          </w:tcPr>
          <w:p w14:paraId="67F9793B"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Underwood Plantation</w:t>
            </w:r>
          </w:p>
        </w:tc>
        <w:tc>
          <w:tcPr>
            <w:tcW w:w="4395" w:type="dxa"/>
            <w:tcBorders>
              <w:top w:val="nil"/>
              <w:left w:val="nil"/>
              <w:bottom w:val="single" w:sz="4" w:space="0" w:color="auto"/>
              <w:right w:val="single" w:sz="4" w:space="0" w:color="auto"/>
            </w:tcBorders>
            <w:shd w:val="clear" w:color="auto" w:fill="auto"/>
            <w:hideMark/>
          </w:tcPr>
          <w:p w14:paraId="68ACAA34" w14:textId="48928A66" w:rsidR="00FA2CC6" w:rsidRPr="000663FF" w:rsidRDefault="00F57CF6"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Coniferous plantation with notable acidic flushes, tall wetland herb communities and acidic fen</w:t>
            </w:r>
          </w:p>
        </w:tc>
        <w:tc>
          <w:tcPr>
            <w:tcW w:w="1984" w:type="dxa"/>
            <w:tcBorders>
              <w:top w:val="nil"/>
              <w:left w:val="nil"/>
              <w:bottom w:val="single" w:sz="4" w:space="0" w:color="auto"/>
              <w:right w:val="single" w:sz="4" w:space="0" w:color="auto"/>
            </w:tcBorders>
            <w:shd w:val="clear" w:color="auto" w:fill="auto"/>
            <w:hideMark/>
          </w:tcPr>
          <w:p w14:paraId="430A7232"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Underwood</w:t>
            </w:r>
          </w:p>
        </w:tc>
      </w:tr>
      <w:tr w:rsidR="000663FF" w:rsidRPr="000663FF" w14:paraId="5C4DD492" w14:textId="77777777" w:rsidTr="00DC0D18">
        <w:trPr>
          <w:trHeight w:val="290"/>
        </w:trPr>
        <w:tc>
          <w:tcPr>
            <w:tcW w:w="1009" w:type="dxa"/>
            <w:tcBorders>
              <w:top w:val="nil"/>
              <w:left w:val="single" w:sz="4" w:space="0" w:color="auto"/>
              <w:bottom w:val="single" w:sz="4" w:space="0" w:color="auto"/>
              <w:right w:val="single" w:sz="4" w:space="0" w:color="auto"/>
            </w:tcBorders>
            <w:shd w:val="clear" w:color="auto" w:fill="auto"/>
            <w:hideMark/>
          </w:tcPr>
          <w:p w14:paraId="5B718DF8"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EV4wm</w:t>
            </w:r>
          </w:p>
        </w:tc>
        <w:tc>
          <w:tcPr>
            <w:tcW w:w="2388" w:type="dxa"/>
            <w:tcBorders>
              <w:top w:val="nil"/>
              <w:left w:val="nil"/>
              <w:bottom w:val="single" w:sz="4" w:space="0" w:color="auto"/>
              <w:right w:val="single" w:sz="4" w:space="0" w:color="auto"/>
            </w:tcBorders>
            <w:shd w:val="clear" w:color="auto" w:fill="auto"/>
            <w:hideMark/>
          </w:tcPr>
          <w:p w14:paraId="2E604448"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Washdyke Lane Hedges</w:t>
            </w:r>
          </w:p>
        </w:tc>
        <w:tc>
          <w:tcPr>
            <w:tcW w:w="4395" w:type="dxa"/>
            <w:tcBorders>
              <w:top w:val="nil"/>
              <w:left w:val="nil"/>
              <w:bottom w:val="single" w:sz="4" w:space="0" w:color="auto"/>
              <w:right w:val="single" w:sz="4" w:space="0" w:color="auto"/>
            </w:tcBorders>
            <w:shd w:val="clear" w:color="auto" w:fill="auto"/>
            <w:hideMark/>
          </w:tcPr>
          <w:p w14:paraId="3E2838D3" w14:textId="38D45694" w:rsidR="00FA2CC6" w:rsidRPr="000663FF" w:rsidRDefault="00F57CF6"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Shrub-rich hedges</w:t>
            </w:r>
          </w:p>
        </w:tc>
        <w:tc>
          <w:tcPr>
            <w:tcW w:w="1984" w:type="dxa"/>
            <w:tcBorders>
              <w:top w:val="nil"/>
              <w:left w:val="nil"/>
              <w:bottom w:val="single" w:sz="4" w:space="0" w:color="auto"/>
              <w:right w:val="single" w:sz="4" w:space="0" w:color="auto"/>
            </w:tcBorders>
            <w:shd w:val="clear" w:color="auto" w:fill="auto"/>
            <w:hideMark/>
          </w:tcPr>
          <w:p w14:paraId="2818D91C"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Hucknall West</w:t>
            </w:r>
          </w:p>
        </w:tc>
      </w:tr>
      <w:tr w:rsidR="000663FF" w:rsidRPr="000663FF" w14:paraId="436E1663" w14:textId="77777777" w:rsidTr="00F57CF6">
        <w:trPr>
          <w:trHeight w:val="580"/>
        </w:trPr>
        <w:tc>
          <w:tcPr>
            <w:tcW w:w="1009" w:type="dxa"/>
            <w:tcBorders>
              <w:top w:val="nil"/>
              <w:left w:val="single" w:sz="4" w:space="0" w:color="auto"/>
              <w:bottom w:val="single" w:sz="4" w:space="0" w:color="auto"/>
              <w:right w:val="single" w:sz="4" w:space="0" w:color="auto"/>
            </w:tcBorders>
            <w:shd w:val="clear" w:color="auto" w:fill="auto"/>
            <w:hideMark/>
          </w:tcPr>
          <w:p w14:paraId="30E0D73B"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EV4wn</w:t>
            </w:r>
          </w:p>
        </w:tc>
        <w:tc>
          <w:tcPr>
            <w:tcW w:w="2388" w:type="dxa"/>
            <w:tcBorders>
              <w:top w:val="nil"/>
              <w:left w:val="nil"/>
              <w:bottom w:val="single" w:sz="4" w:space="0" w:color="auto"/>
              <w:right w:val="single" w:sz="4" w:space="0" w:color="auto"/>
            </w:tcBorders>
            <w:shd w:val="clear" w:color="auto" w:fill="auto"/>
            <w:hideMark/>
          </w:tcPr>
          <w:p w14:paraId="3CADC561"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Watnall Coppice East</w:t>
            </w:r>
          </w:p>
        </w:tc>
        <w:tc>
          <w:tcPr>
            <w:tcW w:w="4395" w:type="dxa"/>
            <w:tcBorders>
              <w:top w:val="nil"/>
              <w:left w:val="nil"/>
              <w:bottom w:val="single" w:sz="4" w:space="0" w:color="auto"/>
              <w:right w:val="single" w:sz="4" w:space="0" w:color="auto"/>
            </w:tcBorders>
            <w:shd w:val="clear" w:color="auto" w:fill="auto"/>
            <w:hideMark/>
          </w:tcPr>
          <w:p w14:paraId="7179F6FF" w14:textId="450A3858" w:rsidR="00FA2CC6" w:rsidRPr="000663FF" w:rsidRDefault="00F57CF6"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 deciduous woodland with an impressive flora</w:t>
            </w:r>
          </w:p>
        </w:tc>
        <w:tc>
          <w:tcPr>
            <w:tcW w:w="1984" w:type="dxa"/>
            <w:tcBorders>
              <w:top w:val="nil"/>
              <w:left w:val="nil"/>
              <w:bottom w:val="single" w:sz="4" w:space="0" w:color="auto"/>
              <w:right w:val="single" w:sz="4" w:space="0" w:color="auto"/>
            </w:tcBorders>
            <w:shd w:val="clear" w:color="auto" w:fill="auto"/>
            <w:hideMark/>
          </w:tcPr>
          <w:p w14:paraId="6F058FE4"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Hucknall West</w:t>
            </w:r>
          </w:p>
        </w:tc>
      </w:tr>
      <w:tr w:rsidR="000663FF" w:rsidRPr="000663FF" w14:paraId="47ADD179" w14:textId="77777777" w:rsidTr="00F57CF6">
        <w:trPr>
          <w:trHeight w:val="580"/>
        </w:trPr>
        <w:tc>
          <w:tcPr>
            <w:tcW w:w="1009" w:type="dxa"/>
            <w:tcBorders>
              <w:top w:val="single" w:sz="4" w:space="0" w:color="auto"/>
              <w:left w:val="single" w:sz="4" w:space="0" w:color="auto"/>
              <w:bottom w:val="single" w:sz="4" w:space="0" w:color="auto"/>
              <w:right w:val="single" w:sz="4" w:space="0" w:color="auto"/>
            </w:tcBorders>
            <w:shd w:val="clear" w:color="auto" w:fill="auto"/>
            <w:hideMark/>
          </w:tcPr>
          <w:p w14:paraId="715DB7D7"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EV4wo</w:t>
            </w:r>
          </w:p>
        </w:tc>
        <w:tc>
          <w:tcPr>
            <w:tcW w:w="2388" w:type="dxa"/>
            <w:tcBorders>
              <w:top w:val="single" w:sz="4" w:space="0" w:color="auto"/>
              <w:left w:val="nil"/>
              <w:bottom w:val="single" w:sz="4" w:space="0" w:color="auto"/>
              <w:right w:val="single" w:sz="4" w:space="0" w:color="auto"/>
            </w:tcBorders>
            <w:shd w:val="clear" w:color="auto" w:fill="auto"/>
            <w:hideMark/>
          </w:tcPr>
          <w:p w14:paraId="3362B82E"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Weaver's Lane Grassland</w:t>
            </w:r>
          </w:p>
        </w:tc>
        <w:tc>
          <w:tcPr>
            <w:tcW w:w="4395" w:type="dxa"/>
            <w:tcBorders>
              <w:top w:val="single" w:sz="4" w:space="0" w:color="auto"/>
              <w:left w:val="nil"/>
              <w:bottom w:val="single" w:sz="4" w:space="0" w:color="auto"/>
              <w:right w:val="single" w:sz="4" w:space="0" w:color="auto"/>
            </w:tcBorders>
            <w:shd w:val="clear" w:color="auto" w:fill="auto"/>
            <w:hideMark/>
          </w:tcPr>
          <w:p w14:paraId="6D4086F6" w14:textId="342053DF" w:rsidR="00FA2CC6" w:rsidRPr="000663FF" w:rsidRDefault="00F57CF6"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 notable neutral grassland</w:t>
            </w:r>
          </w:p>
        </w:tc>
        <w:tc>
          <w:tcPr>
            <w:tcW w:w="1984" w:type="dxa"/>
            <w:tcBorders>
              <w:top w:val="single" w:sz="4" w:space="0" w:color="auto"/>
              <w:left w:val="nil"/>
              <w:bottom w:val="single" w:sz="4" w:space="0" w:color="auto"/>
              <w:right w:val="single" w:sz="4" w:space="0" w:color="auto"/>
            </w:tcBorders>
            <w:shd w:val="clear" w:color="auto" w:fill="auto"/>
            <w:hideMark/>
          </w:tcPr>
          <w:p w14:paraId="5F868BCB"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Annesley &amp; Kirkby Woodhouse</w:t>
            </w:r>
          </w:p>
        </w:tc>
      </w:tr>
      <w:tr w:rsidR="000663FF" w:rsidRPr="000663FF" w14:paraId="1C8879AC" w14:textId="77777777" w:rsidTr="000663FF">
        <w:trPr>
          <w:trHeight w:val="580"/>
        </w:trPr>
        <w:tc>
          <w:tcPr>
            <w:tcW w:w="1009" w:type="dxa"/>
            <w:tcBorders>
              <w:top w:val="single" w:sz="4" w:space="0" w:color="auto"/>
              <w:left w:val="single" w:sz="4" w:space="0" w:color="auto"/>
              <w:bottom w:val="single" w:sz="4" w:space="0" w:color="auto"/>
              <w:right w:val="single" w:sz="4" w:space="0" w:color="auto"/>
            </w:tcBorders>
            <w:shd w:val="clear" w:color="auto" w:fill="auto"/>
            <w:hideMark/>
          </w:tcPr>
          <w:p w14:paraId="7249E9EB"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EV4wp</w:t>
            </w:r>
          </w:p>
        </w:tc>
        <w:tc>
          <w:tcPr>
            <w:tcW w:w="2388" w:type="dxa"/>
            <w:tcBorders>
              <w:top w:val="single" w:sz="4" w:space="0" w:color="auto"/>
              <w:left w:val="nil"/>
              <w:bottom w:val="single" w:sz="4" w:space="0" w:color="auto"/>
              <w:right w:val="single" w:sz="4" w:space="0" w:color="auto"/>
            </w:tcBorders>
            <w:shd w:val="clear" w:color="auto" w:fill="auto"/>
            <w:hideMark/>
          </w:tcPr>
          <w:p w14:paraId="189FC9D8"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Weaver's Lane Verge</w:t>
            </w:r>
          </w:p>
        </w:tc>
        <w:tc>
          <w:tcPr>
            <w:tcW w:w="4395" w:type="dxa"/>
            <w:tcBorders>
              <w:top w:val="single" w:sz="4" w:space="0" w:color="auto"/>
              <w:left w:val="nil"/>
              <w:bottom w:val="single" w:sz="4" w:space="0" w:color="auto"/>
              <w:right w:val="single" w:sz="4" w:space="0" w:color="auto"/>
            </w:tcBorders>
            <w:shd w:val="clear" w:color="auto" w:fill="auto"/>
            <w:hideMark/>
          </w:tcPr>
          <w:p w14:paraId="450F257B" w14:textId="573E6BED" w:rsidR="00FA2CC6" w:rsidRPr="000663FF" w:rsidRDefault="00F57CF6"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Notable calcareous communities adjacent to a track</w:t>
            </w:r>
          </w:p>
        </w:tc>
        <w:tc>
          <w:tcPr>
            <w:tcW w:w="1984" w:type="dxa"/>
            <w:tcBorders>
              <w:top w:val="single" w:sz="4" w:space="0" w:color="auto"/>
              <w:left w:val="nil"/>
              <w:bottom w:val="single" w:sz="4" w:space="0" w:color="auto"/>
              <w:right w:val="single" w:sz="4" w:space="0" w:color="auto"/>
            </w:tcBorders>
            <w:shd w:val="clear" w:color="auto" w:fill="auto"/>
            <w:hideMark/>
          </w:tcPr>
          <w:p w14:paraId="711DBA7E"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Annesley &amp; Kirkby Woodhouse</w:t>
            </w:r>
          </w:p>
        </w:tc>
      </w:tr>
      <w:tr w:rsidR="000663FF" w:rsidRPr="000663FF" w14:paraId="4FC39FB5" w14:textId="77777777" w:rsidTr="000663FF">
        <w:trPr>
          <w:trHeight w:val="580"/>
        </w:trPr>
        <w:tc>
          <w:tcPr>
            <w:tcW w:w="1009" w:type="dxa"/>
            <w:tcBorders>
              <w:top w:val="single" w:sz="4" w:space="0" w:color="auto"/>
              <w:left w:val="single" w:sz="4" w:space="0" w:color="auto"/>
              <w:bottom w:val="single" w:sz="4" w:space="0" w:color="auto"/>
              <w:right w:val="single" w:sz="4" w:space="0" w:color="auto"/>
            </w:tcBorders>
            <w:shd w:val="clear" w:color="auto" w:fill="auto"/>
            <w:hideMark/>
          </w:tcPr>
          <w:p w14:paraId="3AB085BD"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EV4wq</w:t>
            </w:r>
          </w:p>
        </w:tc>
        <w:tc>
          <w:tcPr>
            <w:tcW w:w="2388" w:type="dxa"/>
            <w:tcBorders>
              <w:top w:val="single" w:sz="4" w:space="0" w:color="auto"/>
              <w:left w:val="nil"/>
              <w:bottom w:val="single" w:sz="4" w:space="0" w:color="auto"/>
              <w:right w:val="single" w:sz="4" w:space="0" w:color="auto"/>
            </w:tcBorders>
            <w:shd w:val="clear" w:color="auto" w:fill="auto"/>
            <w:hideMark/>
          </w:tcPr>
          <w:p w14:paraId="21077DBA"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Westwood Bents Corner</w:t>
            </w:r>
          </w:p>
        </w:tc>
        <w:tc>
          <w:tcPr>
            <w:tcW w:w="4395" w:type="dxa"/>
            <w:tcBorders>
              <w:top w:val="single" w:sz="4" w:space="0" w:color="auto"/>
              <w:left w:val="nil"/>
              <w:bottom w:val="single" w:sz="4" w:space="0" w:color="auto"/>
              <w:right w:val="single" w:sz="4" w:space="0" w:color="auto"/>
            </w:tcBorders>
            <w:shd w:val="clear" w:color="auto" w:fill="auto"/>
            <w:hideMark/>
          </w:tcPr>
          <w:p w14:paraId="376F08C9" w14:textId="1DA4EF51" w:rsidR="00FA2CC6" w:rsidRPr="000663FF" w:rsidRDefault="007A1A00"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 noteworthy coal-measures grassland</w:t>
            </w:r>
          </w:p>
        </w:tc>
        <w:tc>
          <w:tcPr>
            <w:tcW w:w="1984" w:type="dxa"/>
            <w:tcBorders>
              <w:top w:val="single" w:sz="4" w:space="0" w:color="auto"/>
              <w:left w:val="nil"/>
              <w:bottom w:val="single" w:sz="4" w:space="0" w:color="auto"/>
              <w:right w:val="single" w:sz="4" w:space="0" w:color="auto"/>
            </w:tcBorders>
            <w:shd w:val="clear" w:color="auto" w:fill="auto"/>
            <w:hideMark/>
          </w:tcPr>
          <w:p w14:paraId="39B0D40C"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Jacksdale &amp; Westwood</w:t>
            </w:r>
          </w:p>
        </w:tc>
      </w:tr>
      <w:tr w:rsidR="000663FF" w:rsidRPr="000663FF" w14:paraId="703B6351" w14:textId="77777777" w:rsidTr="000663FF">
        <w:trPr>
          <w:trHeight w:val="580"/>
        </w:trPr>
        <w:tc>
          <w:tcPr>
            <w:tcW w:w="1009" w:type="dxa"/>
            <w:tcBorders>
              <w:top w:val="single" w:sz="4" w:space="0" w:color="auto"/>
              <w:left w:val="single" w:sz="4" w:space="0" w:color="auto"/>
              <w:bottom w:val="single" w:sz="4" w:space="0" w:color="auto"/>
              <w:right w:val="single" w:sz="4" w:space="0" w:color="auto"/>
            </w:tcBorders>
            <w:shd w:val="clear" w:color="auto" w:fill="auto"/>
            <w:hideMark/>
          </w:tcPr>
          <w:p w14:paraId="1ED2CA4F"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EV4wr</w:t>
            </w:r>
          </w:p>
        </w:tc>
        <w:tc>
          <w:tcPr>
            <w:tcW w:w="2388" w:type="dxa"/>
            <w:tcBorders>
              <w:top w:val="single" w:sz="4" w:space="0" w:color="auto"/>
              <w:left w:val="nil"/>
              <w:bottom w:val="single" w:sz="4" w:space="0" w:color="auto"/>
              <w:right w:val="single" w:sz="4" w:space="0" w:color="auto"/>
            </w:tcBorders>
            <w:shd w:val="clear" w:color="auto" w:fill="auto"/>
            <w:hideMark/>
          </w:tcPr>
          <w:p w14:paraId="17A7ED3A"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Wharf Yard Bank, Kirkby Woodhouse</w:t>
            </w:r>
          </w:p>
        </w:tc>
        <w:tc>
          <w:tcPr>
            <w:tcW w:w="4395" w:type="dxa"/>
            <w:tcBorders>
              <w:top w:val="single" w:sz="4" w:space="0" w:color="auto"/>
              <w:left w:val="nil"/>
              <w:bottom w:val="single" w:sz="4" w:space="0" w:color="auto"/>
              <w:right w:val="single" w:sz="4" w:space="0" w:color="auto"/>
            </w:tcBorders>
            <w:shd w:val="clear" w:color="auto" w:fill="auto"/>
            <w:hideMark/>
          </w:tcPr>
          <w:p w14:paraId="20448A36" w14:textId="7F2A87B4" w:rsidR="00FA2CC6" w:rsidRPr="000663FF" w:rsidRDefault="007A1A00"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 herb-rich, calcareous bank</w:t>
            </w:r>
          </w:p>
        </w:tc>
        <w:tc>
          <w:tcPr>
            <w:tcW w:w="1984" w:type="dxa"/>
            <w:tcBorders>
              <w:top w:val="single" w:sz="4" w:space="0" w:color="auto"/>
              <w:left w:val="nil"/>
              <w:bottom w:val="single" w:sz="4" w:space="0" w:color="auto"/>
              <w:right w:val="single" w:sz="4" w:space="0" w:color="auto"/>
            </w:tcBorders>
            <w:shd w:val="clear" w:color="auto" w:fill="auto"/>
            <w:hideMark/>
          </w:tcPr>
          <w:p w14:paraId="0076FFAE"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Annesley &amp; Kirkby Woodhouse</w:t>
            </w:r>
          </w:p>
        </w:tc>
      </w:tr>
      <w:tr w:rsidR="000663FF" w:rsidRPr="000663FF" w14:paraId="60E02510" w14:textId="77777777" w:rsidTr="00DC0D18">
        <w:trPr>
          <w:trHeight w:val="580"/>
        </w:trPr>
        <w:tc>
          <w:tcPr>
            <w:tcW w:w="1009" w:type="dxa"/>
            <w:tcBorders>
              <w:top w:val="single" w:sz="4" w:space="0" w:color="auto"/>
              <w:left w:val="single" w:sz="4" w:space="0" w:color="auto"/>
              <w:bottom w:val="single" w:sz="4" w:space="0" w:color="auto"/>
              <w:right w:val="single" w:sz="4" w:space="0" w:color="auto"/>
            </w:tcBorders>
            <w:shd w:val="clear" w:color="auto" w:fill="auto"/>
            <w:hideMark/>
          </w:tcPr>
          <w:p w14:paraId="315E019B"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EV4ws</w:t>
            </w:r>
          </w:p>
        </w:tc>
        <w:tc>
          <w:tcPr>
            <w:tcW w:w="2388" w:type="dxa"/>
            <w:tcBorders>
              <w:top w:val="single" w:sz="4" w:space="0" w:color="auto"/>
              <w:left w:val="single" w:sz="4" w:space="0" w:color="auto"/>
              <w:bottom w:val="single" w:sz="4" w:space="0" w:color="auto"/>
              <w:right w:val="single" w:sz="4" w:space="0" w:color="auto"/>
            </w:tcBorders>
            <w:shd w:val="clear" w:color="auto" w:fill="auto"/>
            <w:hideMark/>
          </w:tcPr>
          <w:p w14:paraId="7E705AF7" w14:textId="77777777" w:rsidR="00FA2CC6" w:rsidRPr="000663FF" w:rsidRDefault="00FA2CC6" w:rsidP="00FA2CC6">
            <w:pPr>
              <w:keepNext w:val="0"/>
              <w:spacing w:before="0"/>
              <w:rPr>
                <w:rFonts w:ascii="Calibri" w:hAnsi="Calibri" w:cs="Calibri"/>
                <w:color w:val="auto"/>
                <w:sz w:val="22"/>
                <w:szCs w:val="22"/>
              </w:rPr>
            </w:pPr>
            <w:proofErr w:type="spellStart"/>
            <w:r w:rsidRPr="000663FF">
              <w:rPr>
                <w:rFonts w:ascii="Calibri" w:hAnsi="Calibri" w:cs="Calibri"/>
                <w:color w:val="auto"/>
                <w:sz w:val="22"/>
                <w:szCs w:val="22"/>
              </w:rPr>
              <w:t>Whiteborough</w:t>
            </w:r>
            <w:proofErr w:type="spellEnd"/>
            <w:r w:rsidRPr="000663FF">
              <w:rPr>
                <w:rFonts w:ascii="Calibri" w:hAnsi="Calibri" w:cs="Calibri"/>
                <w:color w:val="auto"/>
                <w:sz w:val="22"/>
                <w:szCs w:val="22"/>
              </w:rPr>
              <w:t xml:space="preserve"> Farm Pasture</w:t>
            </w:r>
          </w:p>
        </w:tc>
        <w:tc>
          <w:tcPr>
            <w:tcW w:w="4395" w:type="dxa"/>
            <w:tcBorders>
              <w:top w:val="single" w:sz="4" w:space="0" w:color="auto"/>
              <w:left w:val="single" w:sz="4" w:space="0" w:color="auto"/>
              <w:bottom w:val="single" w:sz="4" w:space="0" w:color="auto"/>
              <w:right w:val="single" w:sz="4" w:space="0" w:color="auto"/>
            </w:tcBorders>
            <w:shd w:val="clear" w:color="auto" w:fill="auto"/>
            <w:hideMark/>
          </w:tcPr>
          <w:p w14:paraId="375EB6C2" w14:textId="2FF25819" w:rsidR="00FA2CC6" w:rsidRPr="000663FF" w:rsidRDefault="007A1A00"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 well-established pasture with a notable plant community</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47960239"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Stanton Hill &amp; Teversal</w:t>
            </w:r>
          </w:p>
        </w:tc>
      </w:tr>
      <w:tr w:rsidR="000663FF" w:rsidRPr="000663FF" w14:paraId="0D2FC97A" w14:textId="77777777" w:rsidTr="00DC0D18">
        <w:trPr>
          <w:trHeight w:val="637"/>
        </w:trPr>
        <w:tc>
          <w:tcPr>
            <w:tcW w:w="1009" w:type="dxa"/>
            <w:tcBorders>
              <w:top w:val="single" w:sz="4" w:space="0" w:color="auto"/>
              <w:left w:val="single" w:sz="4" w:space="0" w:color="auto"/>
              <w:bottom w:val="single" w:sz="4" w:space="0" w:color="auto"/>
              <w:right w:val="single" w:sz="4" w:space="0" w:color="auto"/>
            </w:tcBorders>
            <w:shd w:val="clear" w:color="auto" w:fill="auto"/>
            <w:hideMark/>
          </w:tcPr>
          <w:p w14:paraId="11FAC748"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EV4wt</w:t>
            </w:r>
          </w:p>
        </w:tc>
        <w:tc>
          <w:tcPr>
            <w:tcW w:w="2388" w:type="dxa"/>
            <w:tcBorders>
              <w:top w:val="single" w:sz="4" w:space="0" w:color="auto"/>
              <w:left w:val="nil"/>
              <w:bottom w:val="single" w:sz="4" w:space="0" w:color="auto"/>
              <w:right w:val="single" w:sz="4" w:space="0" w:color="auto"/>
            </w:tcBorders>
            <w:shd w:val="clear" w:color="auto" w:fill="auto"/>
            <w:hideMark/>
          </w:tcPr>
          <w:p w14:paraId="5CBBE148" w14:textId="77777777" w:rsidR="00FA2CC6" w:rsidRPr="000663FF" w:rsidRDefault="00FA2CC6" w:rsidP="00FA2CC6">
            <w:pPr>
              <w:keepNext w:val="0"/>
              <w:spacing w:before="0"/>
              <w:rPr>
                <w:rFonts w:ascii="Calibri" w:hAnsi="Calibri" w:cs="Calibri"/>
                <w:color w:val="auto"/>
                <w:sz w:val="22"/>
                <w:szCs w:val="22"/>
              </w:rPr>
            </w:pPr>
            <w:proofErr w:type="spellStart"/>
            <w:r w:rsidRPr="000663FF">
              <w:rPr>
                <w:rFonts w:ascii="Calibri" w:hAnsi="Calibri" w:cs="Calibri"/>
                <w:color w:val="auto"/>
                <w:sz w:val="22"/>
                <w:szCs w:val="22"/>
              </w:rPr>
              <w:t>Whiteborough</w:t>
            </w:r>
            <w:proofErr w:type="spellEnd"/>
            <w:r w:rsidRPr="000663FF">
              <w:rPr>
                <w:rFonts w:ascii="Calibri" w:hAnsi="Calibri" w:cs="Calibri"/>
                <w:color w:val="auto"/>
                <w:sz w:val="22"/>
                <w:szCs w:val="22"/>
              </w:rPr>
              <w:t xml:space="preserve"> Railway</w:t>
            </w:r>
          </w:p>
        </w:tc>
        <w:tc>
          <w:tcPr>
            <w:tcW w:w="4395" w:type="dxa"/>
            <w:tcBorders>
              <w:top w:val="single" w:sz="4" w:space="0" w:color="auto"/>
              <w:left w:val="nil"/>
              <w:bottom w:val="single" w:sz="4" w:space="0" w:color="auto"/>
              <w:right w:val="single" w:sz="4" w:space="0" w:color="auto"/>
            </w:tcBorders>
            <w:shd w:val="clear" w:color="auto" w:fill="auto"/>
            <w:hideMark/>
          </w:tcPr>
          <w:p w14:paraId="2EBE75FA" w14:textId="0F57A219" w:rsidR="00FA2CC6" w:rsidRPr="000663FF" w:rsidRDefault="007A1A00"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An interesting stretch of active railway with a grassland community of particular note</w:t>
            </w:r>
          </w:p>
        </w:tc>
        <w:tc>
          <w:tcPr>
            <w:tcW w:w="1984" w:type="dxa"/>
            <w:tcBorders>
              <w:top w:val="single" w:sz="4" w:space="0" w:color="auto"/>
              <w:left w:val="nil"/>
              <w:bottom w:val="single" w:sz="4" w:space="0" w:color="auto"/>
              <w:right w:val="single" w:sz="4" w:space="0" w:color="auto"/>
            </w:tcBorders>
            <w:shd w:val="clear" w:color="auto" w:fill="auto"/>
            <w:hideMark/>
          </w:tcPr>
          <w:p w14:paraId="5BC0C419"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Stanton Hill &amp; Teversal</w:t>
            </w:r>
          </w:p>
        </w:tc>
      </w:tr>
      <w:tr w:rsidR="000663FF" w:rsidRPr="000663FF" w14:paraId="4D685FAF" w14:textId="77777777" w:rsidTr="00DC0D18">
        <w:trPr>
          <w:trHeight w:val="580"/>
        </w:trPr>
        <w:tc>
          <w:tcPr>
            <w:tcW w:w="1009" w:type="dxa"/>
            <w:tcBorders>
              <w:top w:val="nil"/>
              <w:left w:val="single" w:sz="4" w:space="0" w:color="auto"/>
              <w:bottom w:val="single" w:sz="4" w:space="0" w:color="auto"/>
              <w:right w:val="single" w:sz="4" w:space="0" w:color="auto"/>
            </w:tcBorders>
            <w:shd w:val="clear" w:color="auto" w:fill="auto"/>
            <w:hideMark/>
          </w:tcPr>
          <w:p w14:paraId="7D51115A"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EV4wu</w:t>
            </w:r>
          </w:p>
        </w:tc>
        <w:tc>
          <w:tcPr>
            <w:tcW w:w="2388" w:type="dxa"/>
            <w:tcBorders>
              <w:top w:val="nil"/>
              <w:left w:val="nil"/>
              <w:bottom w:val="single" w:sz="4" w:space="0" w:color="auto"/>
              <w:right w:val="single" w:sz="4" w:space="0" w:color="auto"/>
            </w:tcBorders>
            <w:shd w:val="clear" w:color="auto" w:fill="auto"/>
            <w:hideMark/>
          </w:tcPr>
          <w:p w14:paraId="2A13A734"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Wighay Road Grassland</w:t>
            </w:r>
          </w:p>
        </w:tc>
        <w:tc>
          <w:tcPr>
            <w:tcW w:w="4395" w:type="dxa"/>
            <w:tcBorders>
              <w:top w:val="nil"/>
              <w:left w:val="nil"/>
              <w:bottom w:val="single" w:sz="4" w:space="0" w:color="auto"/>
              <w:right w:val="single" w:sz="4" w:space="0" w:color="auto"/>
            </w:tcBorders>
            <w:shd w:val="clear" w:color="auto" w:fill="auto"/>
            <w:hideMark/>
          </w:tcPr>
          <w:p w14:paraId="4F0232F5" w14:textId="0EA948B9" w:rsidR="00FA2CC6" w:rsidRPr="000663FF" w:rsidRDefault="007A1A00"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 base-rich grassland with a notable flora</w:t>
            </w:r>
          </w:p>
        </w:tc>
        <w:tc>
          <w:tcPr>
            <w:tcW w:w="1984" w:type="dxa"/>
            <w:tcBorders>
              <w:top w:val="nil"/>
              <w:left w:val="nil"/>
              <w:bottom w:val="single" w:sz="4" w:space="0" w:color="auto"/>
              <w:right w:val="single" w:sz="4" w:space="0" w:color="auto"/>
            </w:tcBorders>
            <w:shd w:val="clear" w:color="auto" w:fill="auto"/>
            <w:hideMark/>
          </w:tcPr>
          <w:p w14:paraId="2269BC45"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Hucknall North</w:t>
            </w:r>
          </w:p>
        </w:tc>
      </w:tr>
      <w:tr w:rsidR="000663FF" w:rsidRPr="000663FF" w14:paraId="44BDCA04" w14:textId="77777777" w:rsidTr="00DC0D18">
        <w:trPr>
          <w:trHeight w:val="580"/>
        </w:trPr>
        <w:tc>
          <w:tcPr>
            <w:tcW w:w="1009" w:type="dxa"/>
            <w:tcBorders>
              <w:top w:val="nil"/>
              <w:left w:val="single" w:sz="4" w:space="0" w:color="auto"/>
              <w:bottom w:val="single" w:sz="4" w:space="0" w:color="auto"/>
              <w:right w:val="single" w:sz="4" w:space="0" w:color="auto"/>
            </w:tcBorders>
            <w:shd w:val="clear" w:color="auto" w:fill="auto"/>
            <w:hideMark/>
          </w:tcPr>
          <w:p w14:paraId="382B9464"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EV4wv</w:t>
            </w:r>
          </w:p>
        </w:tc>
        <w:tc>
          <w:tcPr>
            <w:tcW w:w="2388" w:type="dxa"/>
            <w:tcBorders>
              <w:top w:val="nil"/>
              <w:left w:val="nil"/>
              <w:bottom w:val="single" w:sz="4" w:space="0" w:color="auto"/>
              <w:right w:val="single" w:sz="4" w:space="0" w:color="auto"/>
            </w:tcBorders>
            <w:shd w:val="clear" w:color="auto" w:fill="auto"/>
            <w:hideMark/>
          </w:tcPr>
          <w:p w14:paraId="7AE895AB"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Wighay Wood</w:t>
            </w:r>
          </w:p>
        </w:tc>
        <w:tc>
          <w:tcPr>
            <w:tcW w:w="4395" w:type="dxa"/>
            <w:tcBorders>
              <w:top w:val="nil"/>
              <w:left w:val="nil"/>
              <w:bottom w:val="single" w:sz="4" w:space="0" w:color="auto"/>
              <w:right w:val="single" w:sz="4" w:space="0" w:color="auto"/>
            </w:tcBorders>
            <w:shd w:val="clear" w:color="auto" w:fill="auto"/>
            <w:hideMark/>
          </w:tcPr>
          <w:p w14:paraId="47C2BD0D" w14:textId="478A795B" w:rsidR="00FA2CC6" w:rsidRPr="000663FF" w:rsidRDefault="007A1A00"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 mixed woodland that retains some interest</w:t>
            </w:r>
          </w:p>
        </w:tc>
        <w:tc>
          <w:tcPr>
            <w:tcW w:w="1984" w:type="dxa"/>
            <w:tcBorders>
              <w:top w:val="nil"/>
              <w:left w:val="nil"/>
              <w:bottom w:val="single" w:sz="4" w:space="0" w:color="auto"/>
              <w:right w:val="single" w:sz="4" w:space="0" w:color="auto"/>
            </w:tcBorders>
            <w:shd w:val="clear" w:color="auto" w:fill="auto"/>
            <w:hideMark/>
          </w:tcPr>
          <w:p w14:paraId="14DB8659"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Annesley &amp; Kirkby Woodhouse</w:t>
            </w:r>
          </w:p>
        </w:tc>
      </w:tr>
      <w:tr w:rsidR="000663FF" w:rsidRPr="000663FF" w14:paraId="0ABEA5E9" w14:textId="77777777" w:rsidTr="00DC0D18">
        <w:trPr>
          <w:trHeight w:val="290"/>
        </w:trPr>
        <w:tc>
          <w:tcPr>
            <w:tcW w:w="1009" w:type="dxa"/>
            <w:tcBorders>
              <w:top w:val="nil"/>
              <w:left w:val="single" w:sz="4" w:space="0" w:color="auto"/>
              <w:bottom w:val="single" w:sz="4" w:space="0" w:color="auto"/>
              <w:right w:val="single" w:sz="4" w:space="0" w:color="auto"/>
            </w:tcBorders>
            <w:shd w:val="clear" w:color="auto" w:fill="auto"/>
            <w:hideMark/>
          </w:tcPr>
          <w:p w14:paraId="3FFBD272"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EV4ww</w:t>
            </w:r>
          </w:p>
        </w:tc>
        <w:tc>
          <w:tcPr>
            <w:tcW w:w="2388" w:type="dxa"/>
            <w:tcBorders>
              <w:top w:val="nil"/>
              <w:left w:val="nil"/>
              <w:bottom w:val="single" w:sz="4" w:space="0" w:color="auto"/>
              <w:right w:val="single" w:sz="4" w:space="0" w:color="auto"/>
            </w:tcBorders>
            <w:shd w:val="clear" w:color="auto" w:fill="auto"/>
            <w:hideMark/>
          </w:tcPr>
          <w:p w14:paraId="3AC534D5"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Wighay Wood Stream</w:t>
            </w:r>
          </w:p>
        </w:tc>
        <w:tc>
          <w:tcPr>
            <w:tcW w:w="4395" w:type="dxa"/>
            <w:tcBorders>
              <w:top w:val="nil"/>
              <w:left w:val="nil"/>
              <w:bottom w:val="single" w:sz="4" w:space="0" w:color="auto"/>
              <w:right w:val="single" w:sz="4" w:space="0" w:color="auto"/>
            </w:tcBorders>
            <w:shd w:val="clear" w:color="auto" w:fill="auto"/>
            <w:hideMark/>
          </w:tcPr>
          <w:p w14:paraId="3A88ABEA" w14:textId="265E672F" w:rsidR="00FA2CC6" w:rsidRPr="000663FF" w:rsidRDefault="007A1A00"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 rich woodland lining a clear stream</w:t>
            </w:r>
          </w:p>
        </w:tc>
        <w:tc>
          <w:tcPr>
            <w:tcW w:w="1984" w:type="dxa"/>
            <w:tcBorders>
              <w:top w:val="nil"/>
              <w:left w:val="nil"/>
              <w:bottom w:val="single" w:sz="4" w:space="0" w:color="auto"/>
              <w:right w:val="single" w:sz="4" w:space="0" w:color="auto"/>
            </w:tcBorders>
            <w:shd w:val="clear" w:color="auto" w:fill="auto"/>
            <w:hideMark/>
          </w:tcPr>
          <w:p w14:paraId="2838165D"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Hucknall West</w:t>
            </w:r>
          </w:p>
        </w:tc>
      </w:tr>
      <w:tr w:rsidR="000663FF" w:rsidRPr="000663FF" w14:paraId="7592A83A" w14:textId="77777777" w:rsidTr="00DC0D18">
        <w:trPr>
          <w:trHeight w:val="580"/>
        </w:trPr>
        <w:tc>
          <w:tcPr>
            <w:tcW w:w="1009" w:type="dxa"/>
            <w:tcBorders>
              <w:top w:val="nil"/>
              <w:left w:val="single" w:sz="4" w:space="0" w:color="auto"/>
              <w:bottom w:val="single" w:sz="4" w:space="0" w:color="auto"/>
              <w:right w:val="single" w:sz="4" w:space="0" w:color="auto"/>
            </w:tcBorders>
            <w:shd w:val="clear" w:color="auto" w:fill="auto"/>
            <w:hideMark/>
          </w:tcPr>
          <w:p w14:paraId="4EEF90FE"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EV4wx</w:t>
            </w:r>
          </w:p>
        </w:tc>
        <w:tc>
          <w:tcPr>
            <w:tcW w:w="2388" w:type="dxa"/>
            <w:tcBorders>
              <w:top w:val="nil"/>
              <w:left w:val="nil"/>
              <w:bottom w:val="single" w:sz="4" w:space="0" w:color="auto"/>
              <w:right w:val="single" w:sz="4" w:space="0" w:color="auto"/>
            </w:tcBorders>
            <w:shd w:val="clear" w:color="auto" w:fill="auto"/>
            <w:hideMark/>
          </w:tcPr>
          <w:p w14:paraId="579A46B3"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William Wood</w:t>
            </w:r>
          </w:p>
        </w:tc>
        <w:tc>
          <w:tcPr>
            <w:tcW w:w="4395" w:type="dxa"/>
            <w:tcBorders>
              <w:top w:val="nil"/>
              <w:left w:val="nil"/>
              <w:bottom w:val="single" w:sz="4" w:space="0" w:color="auto"/>
              <w:right w:val="single" w:sz="4" w:space="0" w:color="auto"/>
            </w:tcBorders>
            <w:shd w:val="clear" w:color="auto" w:fill="auto"/>
            <w:hideMark/>
          </w:tcPr>
          <w:p w14:paraId="5497267B" w14:textId="3B26CBAE" w:rsidR="00FA2CC6" w:rsidRPr="000663FF" w:rsidRDefault="007A1A00"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 mature deciduous woodland with a noteworthy ground flora</w:t>
            </w:r>
          </w:p>
        </w:tc>
        <w:tc>
          <w:tcPr>
            <w:tcW w:w="1984" w:type="dxa"/>
            <w:tcBorders>
              <w:top w:val="nil"/>
              <w:left w:val="nil"/>
              <w:bottom w:val="single" w:sz="4" w:space="0" w:color="auto"/>
              <w:right w:val="single" w:sz="4" w:space="0" w:color="auto"/>
            </w:tcBorders>
            <w:shd w:val="clear" w:color="auto" w:fill="auto"/>
            <w:hideMark/>
          </w:tcPr>
          <w:p w14:paraId="45AC1446"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Annesley &amp; Kirkby Woodhouse</w:t>
            </w:r>
          </w:p>
        </w:tc>
      </w:tr>
      <w:tr w:rsidR="000663FF" w:rsidRPr="000663FF" w14:paraId="5E69E6E6" w14:textId="77777777" w:rsidTr="00DC0D18">
        <w:trPr>
          <w:trHeight w:val="290"/>
        </w:trPr>
        <w:tc>
          <w:tcPr>
            <w:tcW w:w="1009" w:type="dxa"/>
            <w:tcBorders>
              <w:top w:val="nil"/>
              <w:left w:val="single" w:sz="4" w:space="0" w:color="auto"/>
              <w:bottom w:val="single" w:sz="4" w:space="0" w:color="auto"/>
              <w:right w:val="single" w:sz="4" w:space="0" w:color="auto"/>
            </w:tcBorders>
            <w:shd w:val="clear" w:color="auto" w:fill="auto"/>
            <w:hideMark/>
          </w:tcPr>
          <w:p w14:paraId="164CC15E"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EV4wy</w:t>
            </w:r>
          </w:p>
        </w:tc>
        <w:tc>
          <w:tcPr>
            <w:tcW w:w="2388" w:type="dxa"/>
            <w:tcBorders>
              <w:top w:val="nil"/>
              <w:left w:val="nil"/>
              <w:bottom w:val="single" w:sz="4" w:space="0" w:color="auto"/>
              <w:right w:val="single" w:sz="4" w:space="0" w:color="auto"/>
            </w:tcBorders>
            <w:shd w:val="clear" w:color="auto" w:fill="auto"/>
            <w:hideMark/>
          </w:tcPr>
          <w:p w14:paraId="19A2F636"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Winter Close Grassland, New Brinsley</w:t>
            </w:r>
          </w:p>
        </w:tc>
        <w:tc>
          <w:tcPr>
            <w:tcW w:w="4395" w:type="dxa"/>
            <w:tcBorders>
              <w:top w:val="nil"/>
              <w:left w:val="nil"/>
              <w:bottom w:val="single" w:sz="4" w:space="0" w:color="auto"/>
              <w:right w:val="single" w:sz="4" w:space="0" w:color="auto"/>
            </w:tcBorders>
            <w:shd w:val="clear" w:color="auto" w:fill="auto"/>
            <w:hideMark/>
          </w:tcPr>
          <w:p w14:paraId="1BCC3EE6" w14:textId="5A609D96" w:rsidR="00FA2CC6" w:rsidRPr="000663FF" w:rsidRDefault="007A1A00"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Neutral grassland</w:t>
            </w:r>
          </w:p>
        </w:tc>
        <w:tc>
          <w:tcPr>
            <w:tcW w:w="1984" w:type="dxa"/>
            <w:tcBorders>
              <w:top w:val="nil"/>
              <w:left w:val="nil"/>
              <w:bottom w:val="single" w:sz="4" w:space="0" w:color="auto"/>
              <w:right w:val="single" w:sz="4" w:space="0" w:color="auto"/>
            </w:tcBorders>
            <w:shd w:val="clear" w:color="auto" w:fill="auto"/>
            <w:hideMark/>
          </w:tcPr>
          <w:p w14:paraId="0595C9C3"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Underwood</w:t>
            </w:r>
          </w:p>
        </w:tc>
      </w:tr>
      <w:tr w:rsidR="000663FF" w:rsidRPr="000663FF" w14:paraId="593264DE" w14:textId="77777777" w:rsidTr="00DC0D18">
        <w:trPr>
          <w:trHeight w:val="580"/>
        </w:trPr>
        <w:tc>
          <w:tcPr>
            <w:tcW w:w="1009" w:type="dxa"/>
            <w:tcBorders>
              <w:top w:val="nil"/>
              <w:left w:val="single" w:sz="4" w:space="0" w:color="auto"/>
              <w:bottom w:val="single" w:sz="4" w:space="0" w:color="auto"/>
              <w:right w:val="single" w:sz="4" w:space="0" w:color="auto"/>
            </w:tcBorders>
            <w:shd w:val="clear" w:color="auto" w:fill="auto"/>
            <w:hideMark/>
          </w:tcPr>
          <w:p w14:paraId="1FCBF414"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EV4wz</w:t>
            </w:r>
          </w:p>
        </w:tc>
        <w:tc>
          <w:tcPr>
            <w:tcW w:w="2388" w:type="dxa"/>
            <w:tcBorders>
              <w:top w:val="nil"/>
              <w:left w:val="nil"/>
              <w:bottom w:val="single" w:sz="4" w:space="0" w:color="auto"/>
              <w:right w:val="single" w:sz="4" w:space="0" w:color="auto"/>
            </w:tcBorders>
            <w:shd w:val="clear" w:color="auto" w:fill="auto"/>
            <w:hideMark/>
          </w:tcPr>
          <w:p w14:paraId="6E5F53AB"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Woodhouse Lane Quarry</w:t>
            </w:r>
          </w:p>
        </w:tc>
        <w:tc>
          <w:tcPr>
            <w:tcW w:w="4395" w:type="dxa"/>
            <w:tcBorders>
              <w:top w:val="nil"/>
              <w:left w:val="nil"/>
              <w:bottom w:val="single" w:sz="4" w:space="0" w:color="auto"/>
              <w:right w:val="single" w:sz="4" w:space="0" w:color="auto"/>
            </w:tcBorders>
            <w:shd w:val="clear" w:color="auto" w:fill="auto"/>
            <w:hideMark/>
          </w:tcPr>
          <w:p w14:paraId="5A19ADFF" w14:textId="57CEFF59" w:rsidR="00FA2CC6" w:rsidRPr="000663FF" w:rsidRDefault="007A1A00"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 calcareous grassland and scrub on an old quarry site</w:t>
            </w:r>
          </w:p>
        </w:tc>
        <w:tc>
          <w:tcPr>
            <w:tcW w:w="1984" w:type="dxa"/>
            <w:tcBorders>
              <w:top w:val="nil"/>
              <w:left w:val="nil"/>
              <w:bottom w:val="single" w:sz="4" w:space="0" w:color="auto"/>
              <w:right w:val="single" w:sz="4" w:space="0" w:color="auto"/>
            </w:tcBorders>
            <w:shd w:val="clear" w:color="auto" w:fill="auto"/>
            <w:hideMark/>
          </w:tcPr>
          <w:p w14:paraId="2634F89D"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Skegby</w:t>
            </w:r>
          </w:p>
        </w:tc>
      </w:tr>
    </w:tbl>
    <w:p w14:paraId="2EECB683" w14:textId="1D191D3D" w:rsidR="00C602FD" w:rsidRPr="000663FF" w:rsidRDefault="00C602FD" w:rsidP="00C602FD">
      <w:pPr>
        <w:keepNext w:val="0"/>
        <w:autoSpaceDE w:val="0"/>
        <w:autoSpaceDN w:val="0"/>
        <w:adjustRightInd w:val="0"/>
        <w:spacing w:before="0"/>
        <w:rPr>
          <w:rFonts w:cs="Arial"/>
          <w:b/>
          <w:bCs/>
          <w:color w:val="auto"/>
          <w:sz w:val="28"/>
          <w:szCs w:val="28"/>
        </w:rPr>
      </w:pPr>
      <w:r w:rsidRPr="000663FF">
        <w:rPr>
          <w:rFonts w:cs="Arial"/>
          <w:i/>
          <w:color w:val="auto"/>
          <w:szCs w:val="24"/>
        </w:rPr>
        <w:br w:type="page"/>
      </w:r>
    </w:p>
    <w:p w14:paraId="23724C25" w14:textId="03400B02" w:rsidR="00C602FD" w:rsidRPr="00967C7D" w:rsidRDefault="00C602FD" w:rsidP="00364726">
      <w:pPr>
        <w:pStyle w:val="Heading1"/>
      </w:pPr>
      <w:bookmarkStart w:id="333" w:name="_Toc145511629"/>
      <w:r w:rsidRPr="00967C7D">
        <w:t>Appendix 7- Policy EV5: Protection of Green Spaces and Recreational Facilities</w:t>
      </w:r>
      <w:bookmarkEnd w:id="333"/>
    </w:p>
    <w:p w14:paraId="56B56C7D" w14:textId="77777777" w:rsidR="00C602FD" w:rsidRDefault="00C602FD" w:rsidP="00C602FD">
      <w:pPr>
        <w:keepNext w:val="0"/>
        <w:autoSpaceDE w:val="0"/>
        <w:autoSpaceDN w:val="0"/>
        <w:adjustRightInd w:val="0"/>
        <w:spacing w:before="0"/>
        <w:rPr>
          <w:rFonts w:cs="Arial"/>
          <w:b/>
          <w:bCs/>
          <w:sz w:val="28"/>
          <w:szCs w:val="28"/>
        </w:rPr>
      </w:pPr>
    </w:p>
    <w:p w14:paraId="7E5C5A91" w14:textId="77777777" w:rsidR="00967C7D" w:rsidRPr="00967C7D" w:rsidRDefault="00967C7D" w:rsidP="00967C7D">
      <w:pPr>
        <w:keepNext w:val="0"/>
        <w:spacing w:before="0"/>
        <w:jc w:val="both"/>
        <w:rPr>
          <w:rFonts w:cs="Arial"/>
          <w:b/>
          <w:color w:val="auto"/>
        </w:rPr>
      </w:pPr>
      <w:r w:rsidRPr="00967C7D">
        <w:rPr>
          <w:rFonts w:cs="Arial"/>
          <w:b/>
          <w:color w:val="auto"/>
        </w:rPr>
        <w:t>Green Spaces and Recreational Facilities</w:t>
      </w:r>
    </w:p>
    <w:p w14:paraId="380B6BFB" w14:textId="77777777" w:rsidR="00967C7D" w:rsidRPr="00967C7D" w:rsidRDefault="00967C7D" w:rsidP="00967C7D">
      <w:pPr>
        <w:keepNext w:val="0"/>
        <w:spacing w:before="0"/>
        <w:jc w:val="both"/>
        <w:rPr>
          <w:rFonts w:cs="Arial"/>
          <w:b/>
          <w:color w:val="auto"/>
        </w:rPr>
      </w:pPr>
    </w:p>
    <w:tbl>
      <w:tblPr>
        <w:tblStyle w:val="TableGrid3"/>
        <w:tblW w:w="9357" w:type="dxa"/>
        <w:tblLook w:val="0020" w:firstRow="1" w:lastRow="0" w:firstColumn="0" w:lastColumn="0" w:noHBand="0" w:noVBand="0"/>
      </w:tblPr>
      <w:tblGrid>
        <w:gridCol w:w="1280"/>
        <w:gridCol w:w="6230"/>
        <w:gridCol w:w="1847"/>
      </w:tblGrid>
      <w:tr w:rsidR="00967C7D" w:rsidRPr="00967C7D" w14:paraId="52D8F12A" w14:textId="77777777" w:rsidTr="00B5314A">
        <w:trPr>
          <w:trHeight w:val="555"/>
        </w:trPr>
        <w:tc>
          <w:tcPr>
            <w:tcW w:w="1280" w:type="dxa"/>
          </w:tcPr>
          <w:p w14:paraId="293A470A" w14:textId="77777777" w:rsidR="00967C7D" w:rsidRPr="00967C7D" w:rsidRDefault="00967C7D" w:rsidP="00967C7D">
            <w:pPr>
              <w:keepNext w:val="0"/>
              <w:spacing w:before="0"/>
              <w:rPr>
                <w:rFonts w:cs="Arial"/>
                <w:b/>
                <w:bCs/>
                <w:color w:val="auto"/>
                <w:sz w:val="20"/>
              </w:rPr>
            </w:pPr>
            <w:r w:rsidRPr="00967C7D">
              <w:rPr>
                <w:rFonts w:cs="Arial"/>
                <w:b/>
                <w:bCs/>
                <w:color w:val="auto"/>
                <w:sz w:val="20"/>
              </w:rPr>
              <w:t>Local Plan Reference</w:t>
            </w:r>
          </w:p>
        </w:tc>
        <w:tc>
          <w:tcPr>
            <w:tcW w:w="6230" w:type="dxa"/>
            <w:noWrap/>
          </w:tcPr>
          <w:p w14:paraId="3BC40FB8" w14:textId="77777777" w:rsidR="00967C7D" w:rsidRPr="00967C7D" w:rsidRDefault="00967C7D" w:rsidP="00967C7D">
            <w:pPr>
              <w:keepNext w:val="0"/>
              <w:spacing w:before="0"/>
              <w:rPr>
                <w:rFonts w:cs="Arial"/>
                <w:b/>
                <w:bCs/>
                <w:color w:val="auto"/>
                <w:sz w:val="20"/>
              </w:rPr>
            </w:pPr>
            <w:r w:rsidRPr="00967C7D">
              <w:rPr>
                <w:rFonts w:cs="Arial"/>
                <w:b/>
                <w:bCs/>
                <w:color w:val="auto"/>
                <w:sz w:val="20"/>
              </w:rPr>
              <w:t>Site Name</w:t>
            </w:r>
          </w:p>
        </w:tc>
        <w:tc>
          <w:tcPr>
            <w:tcW w:w="1847" w:type="dxa"/>
            <w:noWrap/>
          </w:tcPr>
          <w:p w14:paraId="6B9BCB73" w14:textId="77777777" w:rsidR="00967C7D" w:rsidRPr="00967C7D" w:rsidRDefault="00967C7D" w:rsidP="00967C7D">
            <w:pPr>
              <w:keepNext w:val="0"/>
              <w:spacing w:before="0"/>
              <w:rPr>
                <w:rFonts w:cs="Arial"/>
                <w:b/>
                <w:bCs/>
                <w:color w:val="auto"/>
                <w:sz w:val="20"/>
              </w:rPr>
            </w:pPr>
            <w:r w:rsidRPr="00967C7D">
              <w:rPr>
                <w:rFonts w:cs="Arial"/>
                <w:b/>
                <w:bCs/>
                <w:color w:val="auto"/>
                <w:sz w:val="20"/>
              </w:rPr>
              <w:t>Sheet</w:t>
            </w:r>
          </w:p>
        </w:tc>
      </w:tr>
      <w:tr w:rsidR="00967C7D" w:rsidRPr="00967C7D" w14:paraId="1105FD48" w14:textId="77777777" w:rsidTr="00B5314A">
        <w:trPr>
          <w:trHeight w:val="284"/>
        </w:trPr>
        <w:tc>
          <w:tcPr>
            <w:tcW w:w="1280" w:type="dxa"/>
          </w:tcPr>
          <w:p w14:paraId="67A8B1CC" w14:textId="77777777" w:rsidR="00967C7D" w:rsidRPr="00967C7D" w:rsidRDefault="00967C7D" w:rsidP="00967C7D">
            <w:pPr>
              <w:keepNext w:val="0"/>
              <w:spacing w:before="0"/>
              <w:rPr>
                <w:rFonts w:cs="Arial"/>
                <w:bCs/>
                <w:color w:val="auto"/>
                <w:sz w:val="20"/>
              </w:rPr>
            </w:pPr>
            <w:r w:rsidRPr="00967C7D">
              <w:rPr>
                <w:rFonts w:cs="Arial"/>
                <w:bCs/>
                <w:color w:val="auto"/>
                <w:sz w:val="20"/>
              </w:rPr>
              <w:t>EV5/1</w:t>
            </w:r>
          </w:p>
        </w:tc>
        <w:tc>
          <w:tcPr>
            <w:tcW w:w="6230" w:type="dxa"/>
            <w:noWrap/>
          </w:tcPr>
          <w:p w14:paraId="4DB9BB45" w14:textId="77777777" w:rsidR="00967C7D" w:rsidRPr="00967C7D" w:rsidRDefault="00967C7D" w:rsidP="00967C7D">
            <w:pPr>
              <w:keepNext w:val="0"/>
              <w:spacing w:before="0"/>
              <w:rPr>
                <w:rFonts w:cs="Arial"/>
                <w:bCs/>
                <w:color w:val="auto"/>
                <w:sz w:val="20"/>
              </w:rPr>
            </w:pPr>
            <w:r w:rsidRPr="00967C7D">
              <w:rPr>
                <w:rFonts w:cs="Arial"/>
                <w:bCs/>
                <w:color w:val="auto"/>
                <w:sz w:val="20"/>
              </w:rPr>
              <w:t>Hucknall Bypass Embankment - South</w:t>
            </w:r>
          </w:p>
        </w:tc>
        <w:tc>
          <w:tcPr>
            <w:tcW w:w="1847" w:type="dxa"/>
            <w:noWrap/>
          </w:tcPr>
          <w:p w14:paraId="69522FF0" w14:textId="77777777" w:rsidR="00967C7D" w:rsidRPr="00967C7D" w:rsidRDefault="00967C7D" w:rsidP="00967C7D">
            <w:pPr>
              <w:keepNext w:val="0"/>
              <w:spacing w:before="0"/>
              <w:rPr>
                <w:rFonts w:cs="Arial"/>
                <w:bCs/>
                <w:color w:val="auto"/>
                <w:sz w:val="20"/>
              </w:rPr>
            </w:pPr>
            <w:r w:rsidRPr="00967C7D">
              <w:rPr>
                <w:rFonts w:cs="Arial"/>
                <w:bCs/>
                <w:color w:val="auto"/>
                <w:sz w:val="20"/>
              </w:rPr>
              <w:t>South Sheet</w:t>
            </w:r>
          </w:p>
        </w:tc>
      </w:tr>
      <w:tr w:rsidR="00967C7D" w:rsidRPr="00967C7D" w14:paraId="4AFDCCD7" w14:textId="77777777" w:rsidTr="00B5314A">
        <w:trPr>
          <w:trHeight w:val="284"/>
        </w:trPr>
        <w:tc>
          <w:tcPr>
            <w:tcW w:w="1280" w:type="dxa"/>
          </w:tcPr>
          <w:p w14:paraId="2DD266A2" w14:textId="77777777" w:rsidR="00967C7D" w:rsidRPr="00967C7D" w:rsidRDefault="00967C7D" w:rsidP="00967C7D">
            <w:pPr>
              <w:keepNext w:val="0"/>
              <w:spacing w:before="0"/>
              <w:rPr>
                <w:rFonts w:cs="Arial"/>
                <w:bCs/>
                <w:color w:val="auto"/>
                <w:sz w:val="20"/>
              </w:rPr>
            </w:pPr>
            <w:r w:rsidRPr="00967C7D">
              <w:rPr>
                <w:rFonts w:cs="Arial"/>
                <w:bCs/>
                <w:color w:val="auto"/>
                <w:sz w:val="20"/>
              </w:rPr>
              <w:t>EV5/2</w:t>
            </w:r>
          </w:p>
        </w:tc>
        <w:tc>
          <w:tcPr>
            <w:tcW w:w="6230" w:type="dxa"/>
            <w:noWrap/>
          </w:tcPr>
          <w:p w14:paraId="7BB82685" w14:textId="77777777" w:rsidR="00967C7D" w:rsidRPr="00967C7D" w:rsidRDefault="00967C7D" w:rsidP="00967C7D">
            <w:pPr>
              <w:keepNext w:val="0"/>
              <w:spacing w:before="0"/>
              <w:rPr>
                <w:rFonts w:cs="Arial"/>
                <w:bCs/>
                <w:color w:val="auto"/>
                <w:sz w:val="20"/>
              </w:rPr>
            </w:pPr>
            <w:r w:rsidRPr="00967C7D">
              <w:rPr>
                <w:rFonts w:cs="Arial"/>
                <w:bCs/>
                <w:color w:val="auto"/>
                <w:sz w:val="20"/>
              </w:rPr>
              <w:t>Hucknall Lane Nature Area</w:t>
            </w:r>
          </w:p>
        </w:tc>
        <w:tc>
          <w:tcPr>
            <w:tcW w:w="1847" w:type="dxa"/>
            <w:noWrap/>
          </w:tcPr>
          <w:p w14:paraId="62AABC11" w14:textId="77777777" w:rsidR="00967C7D" w:rsidRPr="00967C7D" w:rsidRDefault="00967C7D" w:rsidP="00967C7D">
            <w:pPr>
              <w:keepNext w:val="0"/>
              <w:spacing w:before="0"/>
              <w:rPr>
                <w:rFonts w:cs="Arial"/>
                <w:bCs/>
                <w:color w:val="auto"/>
                <w:sz w:val="20"/>
              </w:rPr>
            </w:pPr>
            <w:r w:rsidRPr="00967C7D">
              <w:rPr>
                <w:rFonts w:cs="Arial"/>
                <w:bCs/>
                <w:color w:val="auto"/>
                <w:sz w:val="20"/>
              </w:rPr>
              <w:t>South Sheet</w:t>
            </w:r>
          </w:p>
        </w:tc>
      </w:tr>
      <w:tr w:rsidR="00967C7D" w:rsidRPr="00967C7D" w14:paraId="537F6E10" w14:textId="77777777" w:rsidTr="00B5314A">
        <w:trPr>
          <w:trHeight w:val="284"/>
        </w:trPr>
        <w:tc>
          <w:tcPr>
            <w:tcW w:w="1280" w:type="dxa"/>
          </w:tcPr>
          <w:p w14:paraId="05A826D5" w14:textId="77777777" w:rsidR="00967C7D" w:rsidRPr="00967C7D" w:rsidRDefault="00967C7D" w:rsidP="00967C7D">
            <w:pPr>
              <w:keepNext w:val="0"/>
              <w:spacing w:before="0"/>
              <w:rPr>
                <w:rFonts w:cs="Arial"/>
                <w:bCs/>
                <w:color w:val="auto"/>
                <w:sz w:val="20"/>
              </w:rPr>
            </w:pPr>
            <w:r w:rsidRPr="00967C7D">
              <w:rPr>
                <w:rFonts w:cs="Arial"/>
                <w:bCs/>
                <w:color w:val="auto"/>
                <w:sz w:val="20"/>
              </w:rPr>
              <w:t>EV5/3</w:t>
            </w:r>
          </w:p>
        </w:tc>
        <w:tc>
          <w:tcPr>
            <w:tcW w:w="6230" w:type="dxa"/>
            <w:noWrap/>
          </w:tcPr>
          <w:p w14:paraId="1EE65AE0" w14:textId="77777777" w:rsidR="00967C7D" w:rsidRPr="00967C7D" w:rsidRDefault="00967C7D" w:rsidP="00967C7D">
            <w:pPr>
              <w:keepNext w:val="0"/>
              <w:spacing w:before="0"/>
              <w:rPr>
                <w:rFonts w:cs="Arial"/>
                <w:bCs/>
                <w:color w:val="auto"/>
                <w:sz w:val="20"/>
              </w:rPr>
            </w:pPr>
            <w:r w:rsidRPr="00967C7D">
              <w:rPr>
                <w:rFonts w:cs="Arial"/>
                <w:bCs/>
                <w:color w:val="auto"/>
                <w:sz w:val="20"/>
              </w:rPr>
              <w:t>Shelton Avenue</w:t>
            </w:r>
          </w:p>
        </w:tc>
        <w:tc>
          <w:tcPr>
            <w:tcW w:w="1847" w:type="dxa"/>
            <w:noWrap/>
          </w:tcPr>
          <w:p w14:paraId="0638FE46" w14:textId="77777777" w:rsidR="00967C7D" w:rsidRPr="00967C7D" w:rsidRDefault="00967C7D" w:rsidP="00967C7D">
            <w:pPr>
              <w:keepNext w:val="0"/>
              <w:spacing w:before="0"/>
              <w:rPr>
                <w:rFonts w:cs="Arial"/>
                <w:bCs/>
                <w:color w:val="auto"/>
                <w:sz w:val="20"/>
              </w:rPr>
            </w:pPr>
            <w:r w:rsidRPr="00967C7D">
              <w:rPr>
                <w:rFonts w:cs="Arial"/>
                <w:bCs/>
                <w:color w:val="auto"/>
                <w:sz w:val="20"/>
              </w:rPr>
              <w:t>South Sheet</w:t>
            </w:r>
          </w:p>
        </w:tc>
      </w:tr>
      <w:tr w:rsidR="00967C7D" w:rsidRPr="00967C7D" w14:paraId="17187491" w14:textId="77777777" w:rsidTr="00B5314A">
        <w:trPr>
          <w:trHeight w:val="284"/>
        </w:trPr>
        <w:tc>
          <w:tcPr>
            <w:tcW w:w="1280" w:type="dxa"/>
          </w:tcPr>
          <w:p w14:paraId="5AAE4336" w14:textId="77777777" w:rsidR="00967C7D" w:rsidRPr="00967C7D" w:rsidRDefault="00967C7D" w:rsidP="00967C7D">
            <w:pPr>
              <w:keepNext w:val="0"/>
              <w:spacing w:before="0"/>
              <w:rPr>
                <w:rFonts w:cs="Arial"/>
                <w:bCs/>
                <w:color w:val="auto"/>
                <w:sz w:val="20"/>
              </w:rPr>
            </w:pPr>
            <w:r w:rsidRPr="00967C7D">
              <w:rPr>
                <w:rFonts w:cs="Arial"/>
                <w:bCs/>
                <w:color w:val="auto"/>
                <w:sz w:val="20"/>
              </w:rPr>
              <w:t>EV5/4</w:t>
            </w:r>
          </w:p>
        </w:tc>
        <w:tc>
          <w:tcPr>
            <w:tcW w:w="6230" w:type="dxa"/>
            <w:noWrap/>
          </w:tcPr>
          <w:p w14:paraId="6A5561EE" w14:textId="77777777" w:rsidR="00967C7D" w:rsidRPr="00967C7D" w:rsidRDefault="00967C7D" w:rsidP="00967C7D">
            <w:pPr>
              <w:keepNext w:val="0"/>
              <w:spacing w:before="0"/>
              <w:rPr>
                <w:rFonts w:cs="Arial"/>
                <w:bCs/>
                <w:color w:val="auto"/>
                <w:sz w:val="20"/>
              </w:rPr>
            </w:pPr>
            <w:r w:rsidRPr="00967C7D">
              <w:rPr>
                <w:rFonts w:cs="Arial"/>
                <w:bCs/>
                <w:color w:val="auto"/>
                <w:sz w:val="20"/>
              </w:rPr>
              <w:t>Rolls Royce Sports Ground</w:t>
            </w:r>
          </w:p>
        </w:tc>
        <w:tc>
          <w:tcPr>
            <w:tcW w:w="1847" w:type="dxa"/>
            <w:noWrap/>
          </w:tcPr>
          <w:p w14:paraId="689AD634" w14:textId="77777777" w:rsidR="00967C7D" w:rsidRPr="00967C7D" w:rsidRDefault="00967C7D" w:rsidP="00967C7D">
            <w:pPr>
              <w:keepNext w:val="0"/>
              <w:spacing w:before="0"/>
              <w:rPr>
                <w:rFonts w:cs="Arial"/>
                <w:bCs/>
                <w:color w:val="auto"/>
                <w:sz w:val="20"/>
              </w:rPr>
            </w:pPr>
            <w:r w:rsidRPr="00967C7D">
              <w:rPr>
                <w:rFonts w:cs="Arial"/>
                <w:bCs/>
                <w:color w:val="auto"/>
                <w:sz w:val="20"/>
              </w:rPr>
              <w:t>South Sheet</w:t>
            </w:r>
          </w:p>
        </w:tc>
      </w:tr>
      <w:tr w:rsidR="0004003D" w:rsidRPr="00967C7D" w14:paraId="6BF387E1" w14:textId="77777777" w:rsidTr="00B5314A">
        <w:trPr>
          <w:trHeight w:val="284"/>
        </w:trPr>
        <w:tc>
          <w:tcPr>
            <w:tcW w:w="1280" w:type="dxa"/>
          </w:tcPr>
          <w:p w14:paraId="767AC346" w14:textId="5EA8BBDE" w:rsidR="0004003D" w:rsidRPr="00967C7D" w:rsidRDefault="0004003D" w:rsidP="00967C7D">
            <w:pPr>
              <w:keepNext w:val="0"/>
              <w:spacing w:before="0"/>
              <w:rPr>
                <w:rFonts w:cs="Arial"/>
                <w:bCs/>
                <w:color w:val="auto"/>
                <w:sz w:val="20"/>
              </w:rPr>
            </w:pPr>
            <w:r>
              <w:rPr>
                <w:rFonts w:cs="Arial"/>
                <w:bCs/>
                <w:color w:val="auto"/>
                <w:sz w:val="20"/>
              </w:rPr>
              <w:t>EV5/5</w:t>
            </w:r>
          </w:p>
        </w:tc>
        <w:tc>
          <w:tcPr>
            <w:tcW w:w="6230" w:type="dxa"/>
            <w:noWrap/>
          </w:tcPr>
          <w:p w14:paraId="5EA25B86" w14:textId="599A095A" w:rsidR="0004003D" w:rsidRPr="00967C7D" w:rsidRDefault="0004003D" w:rsidP="00967C7D">
            <w:pPr>
              <w:keepNext w:val="0"/>
              <w:spacing w:before="0"/>
              <w:rPr>
                <w:rFonts w:cs="Arial"/>
                <w:bCs/>
                <w:color w:val="auto"/>
                <w:sz w:val="20"/>
              </w:rPr>
            </w:pPr>
            <w:r>
              <w:rPr>
                <w:rFonts w:cs="Arial"/>
                <w:bCs/>
                <w:color w:val="auto"/>
                <w:sz w:val="20"/>
              </w:rPr>
              <w:t>Garden Road</w:t>
            </w:r>
          </w:p>
        </w:tc>
        <w:tc>
          <w:tcPr>
            <w:tcW w:w="1847" w:type="dxa"/>
            <w:noWrap/>
          </w:tcPr>
          <w:p w14:paraId="159E10B4" w14:textId="5A4E7F96" w:rsidR="0004003D" w:rsidRPr="00967C7D" w:rsidRDefault="0004003D" w:rsidP="00967C7D">
            <w:pPr>
              <w:keepNext w:val="0"/>
              <w:spacing w:before="0"/>
              <w:rPr>
                <w:rFonts w:cs="Arial"/>
                <w:bCs/>
                <w:color w:val="auto"/>
                <w:sz w:val="20"/>
              </w:rPr>
            </w:pPr>
            <w:r>
              <w:rPr>
                <w:rFonts w:cs="Arial"/>
                <w:bCs/>
                <w:color w:val="auto"/>
                <w:sz w:val="20"/>
              </w:rPr>
              <w:t>South Sheet</w:t>
            </w:r>
          </w:p>
        </w:tc>
      </w:tr>
      <w:tr w:rsidR="00967C7D" w:rsidRPr="00967C7D" w14:paraId="260F4811" w14:textId="77777777" w:rsidTr="00B5314A">
        <w:trPr>
          <w:trHeight w:val="284"/>
        </w:trPr>
        <w:tc>
          <w:tcPr>
            <w:tcW w:w="1280" w:type="dxa"/>
          </w:tcPr>
          <w:p w14:paraId="0C9CE3DD" w14:textId="77777777" w:rsidR="00967C7D" w:rsidRPr="00967C7D" w:rsidRDefault="00967C7D" w:rsidP="00967C7D">
            <w:pPr>
              <w:keepNext w:val="0"/>
              <w:spacing w:before="0"/>
              <w:rPr>
                <w:rFonts w:cs="Arial"/>
                <w:bCs/>
                <w:color w:val="auto"/>
                <w:sz w:val="20"/>
              </w:rPr>
            </w:pPr>
            <w:r w:rsidRPr="00967C7D">
              <w:rPr>
                <w:rFonts w:cs="Arial"/>
                <w:bCs/>
                <w:color w:val="auto"/>
                <w:sz w:val="20"/>
              </w:rPr>
              <w:t>EV5/6</w:t>
            </w:r>
          </w:p>
        </w:tc>
        <w:tc>
          <w:tcPr>
            <w:tcW w:w="6230" w:type="dxa"/>
            <w:noWrap/>
          </w:tcPr>
          <w:p w14:paraId="79DE4144" w14:textId="77777777" w:rsidR="00967C7D" w:rsidRPr="00967C7D" w:rsidRDefault="00967C7D" w:rsidP="00967C7D">
            <w:pPr>
              <w:keepNext w:val="0"/>
              <w:spacing w:before="0"/>
              <w:rPr>
                <w:rFonts w:cs="Arial"/>
                <w:bCs/>
                <w:color w:val="auto"/>
                <w:sz w:val="20"/>
              </w:rPr>
            </w:pPr>
            <w:r w:rsidRPr="00967C7D">
              <w:rPr>
                <w:rFonts w:cs="Arial"/>
                <w:bCs/>
                <w:color w:val="auto"/>
                <w:sz w:val="20"/>
              </w:rPr>
              <w:t>Astral Grove</w:t>
            </w:r>
          </w:p>
        </w:tc>
        <w:tc>
          <w:tcPr>
            <w:tcW w:w="1847" w:type="dxa"/>
            <w:noWrap/>
          </w:tcPr>
          <w:p w14:paraId="5E7ABF71" w14:textId="77777777" w:rsidR="00967C7D" w:rsidRPr="00967C7D" w:rsidRDefault="00967C7D" w:rsidP="00967C7D">
            <w:pPr>
              <w:keepNext w:val="0"/>
              <w:spacing w:before="0"/>
              <w:rPr>
                <w:rFonts w:cs="Arial"/>
                <w:bCs/>
                <w:color w:val="auto"/>
                <w:sz w:val="20"/>
              </w:rPr>
            </w:pPr>
            <w:r w:rsidRPr="00967C7D">
              <w:rPr>
                <w:rFonts w:cs="Arial"/>
                <w:bCs/>
                <w:color w:val="auto"/>
                <w:sz w:val="20"/>
              </w:rPr>
              <w:t>South Sheet</w:t>
            </w:r>
          </w:p>
        </w:tc>
      </w:tr>
      <w:tr w:rsidR="00967C7D" w:rsidRPr="00967C7D" w14:paraId="581C3294" w14:textId="77777777" w:rsidTr="00B5314A">
        <w:trPr>
          <w:trHeight w:val="284"/>
        </w:trPr>
        <w:tc>
          <w:tcPr>
            <w:tcW w:w="1280" w:type="dxa"/>
          </w:tcPr>
          <w:p w14:paraId="334C6AE0" w14:textId="77777777" w:rsidR="00967C7D" w:rsidRPr="00967C7D" w:rsidRDefault="00967C7D" w:rsidP="00967C7D">
            <w:pPr>
              <w:keepNext w:val="0"/>
              <w:spacing w:before="0"/>
              <w:rPr>
                <w:rFonts w:cs="Arial"/>
                <w:bCs/>
                <w:color w:val="auto"/>
                <w:sz w:val="20"/>
              </w:rPr>
            </w:pPr>
            <w:r w:rsidRPr="00967C7D">
              <w:rPr>
                <w:rFonts w:cs="Arial"/>
                <w:bCs/>
                <w:color w:val="auto"/>
                <w:sz w:val="20"/>
              </w:rPr>
              <w:t>EV5/7</w:t>
            </w:r>
          </w:p>
        </w:tc>
        <w:tc>
          <w:tcPr>
            <w:tcW w:w="6230" w:type="dxa"/>
            <w:noWrap/>
          </w:tcPr>
          <w:p w14:paraId="15ACDDC8" w14:textId="77777777" w:rsidR="00967C7D" w:rsidRPr="00967C7D" w:rsidRDefault="00967C7D" w:rsidP="00967C7D">
            <w:pPr>
              <w:keepNext w:val="0"/>
              <w:spacing w:before="0"/>
              <w:rPr>
                <w:rFonts w:cs="Arial"/>
                <w:bCs/>
                <w:color w:val="auto"/>
                <w:sz w:val="20"/>
              </w:rPr>
            </w:pPr>
            <w:r w:rsidRPr="00967C7D">
              <w:rPr>
                <w:rFonts w:cs="Arial"/>
                <w:bCs/>
                <w:color w:val="auto"/>
                <w:sz w:val="20"/>
              </w:rPr>
              <w:t>Lancaster Road</w:t>
            </w:r>
          </w:p>
        </w:tc>
        <w:tc>
          <w:tcPr>
            <w:tcW w:w="1847" w:type="dxa"/>
            <w:noWrap/>
          </w:tcPr>
          <w:p w14:paraId="23C5034C" w14:textId="77777777" w:rsidR="00967C7D" w:rsidRPr="00967C7D" w:rsidRDefault="00967C7D" w:rsidP="00967C7D">
            <w:pPr>
              <w:keepNext w:val="0"/>
              <w:spacing w:before="0"/>
              <w:rPr>
                <w:rFonts w:cs="Arial"/>
                <w:bCs/>
                <w:color w:val="auto"/>
                <w:sz w:val="20"/>
              </w:rPr>
            </w:pPr>
            <w:r w:rsidRPr="00967C7D">
              <w:rPr>
                <w:rFonts w:cs="Arial"/>
                <w:bCs/>
                <w:color w:val="auto"/>
                <w:sz w:val="20"/>
              </w:rPr>
              <w:t>South Sheet</w:t>
            </w:r>
          </w:p>
        </w:tc>
      </w:tr>
      <w:tr w:rsidR="00967C7D" w:rsidRPr="00967C7D" w14:paraId="515342CC" w14:textId="77777777" w:rsidTr="00B5314A">
        <w:trPr>
          <w:trHeight w:val="284"/>
        </w:trPr>
        <w:tc>
          <w:tcPr>
            <w:tcW w:w="1280" w:type="dxa"/>
          </w:tcPr>
          <w:p w14:paraId="4CCD4BE7" w14:textId="77777777" w:rsidR="00967C7D" w:rsidRPr="00967C7D" w:rsidRDefault="00967C7D" w:rsidP="00967C7D">
            <w:pPr>
              <w:keepNext w:val="0"/>
              <w:spacing w:before="0"/>
              <w:rPr>
                <w:rFonts w:cs="Arial"/>
                <w:bCs/>
                <w:color w:val="auto"/>
                <w:sz w:val="20"/>
              </w:rPr>
            </w:pPr>
            <w:r w:rsidRPr="00967C7D">
              <w:rPr>
                <w:rFonts w:cs="Arial"/>
                <w:bCs/>
                <w:color w:val="auto"/>
                <w:sz w:val="20"/>
              </w:rPr>
              <w:t>EV5/8</w:t>
            </w:r>
          </w:p>
        </w:tc>
        <w:tc>
          <w:tcPr>
            <w:tcW w:w="6230" w:type="dxa"/>
            <w:noWrap/>
          </w:tcPr>
          <w:p w14:paraId="7AE5CB95" w14:textId="77777777" w:rsidR="00967C7D" w:rsidRPr="00967C7D" w:rsidRDefault="00967C7D" w:rsidP="00967C7D">
            <w:pPr>
              <w:keepNext w:val="0"/>
              <w:spacing w:before="0"/>
              <w:rPr>
                <w:rFonts w:cs="Arial"/>
                <w:bCs/>
                <w:color w:val="auto"/>
                <w:sz w:val="20"/>
              </w:rPr>
            </w:pPr>
            <w:r w:rsidRPr="00967C7D">
              <w:rPr>
                <w:rFonts w:cs="Arial"/>
                <w:bCs/>
                <w:color w:val="auto"/>
                <w:sz w:val="20"/>
              </w:rPr>
              <w:t xml:space="preserve">Fields off </w:t>
            </w:r>
            <w:proofErr w:type="spellStart"/>
            <w:r w:rsidRPr="00967C7D">
              <w:rPr>
                <w:rFonts w:cs="Arial"/>
                <w:bCs/>
                <w:color w:val="auto"/>
                <w:sz w:val="20"/>
              </w:rPr>
              <w:t>Farleys</w:t>
            </w:r>
            <w:proofErr w:type="spellEnd"/>
            <w:r w:rsidRPr="00967C7D">
              <w:rPr>
                <w:rFonts w:cs="Arial"/>
                <w:bCs/>
                <w:color w:val="auto"/>
                <w:sz w:val="20"/>
              </w:rPr>
              <w:t xml:space="preserve"> Lane</w:t>
            </w:r>
          </w:p>
        </w:tc>
        <w:tc>
          <w:tcPr>
            <w:tcW w:w="1847" w:type="dxa"/>
            <w:noWrap/>
          </w:tcPr>
          <w:p w14:paraId="5CC01E32" w14:textId="77777777" w:rsidR="00967C7D" w:rsidRPr="00967C7D" w:rsidRDefault="00967C7D" w:rsidP="00967C7D">
            <w:pPr>
              <w:keepNext w:val="0"/>
              <w:spacing w:before="0"/>
              <w:rPr>
                <w:rFonts w:cs="Arial"/>
                <w:bCs/>
                <w:color w:val="auto"/>
                <w:sz w:val="20"/>
              </w:rPr>
            </w:pPr>
            <w:r w:rsidRPr="00967C7D">
              <w:rPr>
                <w:rFonts w:cs="Arial"/>
                <w:bCs/>
                <w:color w:val="auto"/>
                <w:sz w:val="20"/>
              </w:rPr>
              <w:t>South Sheet</w:t>
            </w:r>
          </w:p>
        </w:tc>
      </w:tr>
      <w:tr w:rsidR="00967C7D" w:rsidRPr="00967C7D" w14:paraId="04124336" w14:textId="77777777" w:rsidTr="00B5314A">
        <w:trPr>
          <w:trHeight w:val="284"/>
        </w:trPr>
        <w:tc>
          <w:tcPr>
            <w:tcW w:w="1280" w:type="dxa"/>
          </w:tcPr>
          <w:p w14:paraId="023675C3" w14:textId="77777777" w:rsidR="00967C7D" w:rsidRPr="00967C7D" w:rsidRDefault="00967C7D" w:rsidP="00967C7D">
            <w:pPr>
              <w:keepNext w:val="0"/>
              <w:spacing w:before="0"/>
              <w:rPr>
                <w:rFonts w:cs="Arial"/>
                <w:bCs/>
                <w:color w:val="auto"/>
                <w:sz w:val="20"/>
              </w:rPr>
            </w:pPr>
            <w:r w:rsidRPr="00967C7D">
              <w:rPr>
                <w:rFonts w:cs="Arial"/>
                <w:bCs/>
                <w:color w:val="auto"/>
                <w:sz w:val="20"/>
              </w:rPr>
              <w:t>EV5/9</w:t>
            </w:r>
          </w:p>
        </w:tc>
        <w:tc>
          <w:tcPr>
            <w:tcW w:w="6230" w:type="dxa"/>
            <w:noWrap/>
          </w:tcPr>
          <w:p w14:paraId="7E5071A8" w14:textId="77777777" w:rsidR="00967C7D" w:rsidRPr="00967C7D" w:rsidRDefault="00967C7D" w:rsidP="00967C7D">
            <w:pPr>
              <w:keepNext w:val="0"/>
              <w:spacing w:before="0"/>
              <w:rPr>
                <w:rFonts w:cs="Arial"/>
                <w:bCs/>
                <w:color w:val="auto"/>
                <w:sz w:val="20"/>
              </w:rPr>
            </w:pPr>
            <w:r w:rsidRPr="00967C7D">
              <w:rPr>
                <w:rFonts w:cs="Arial"/>
                <w:bCs/>
                <w:color w:val="auto"/>
                <w:sz w:val="20"/>
              </w:rPr>
              <w:t>Kingsway Gardens</w:t>
            </w:r>
          </w:p>
        </w:tc>
        <w:tc>
          <w:tcPr>
            <w:tcW w:w="1847" w:type="dxa"/>
            <w:noWrap/>
          </w:tcPr>
          <w:p w14:paraId="6F254699" w14:textId="77777777" w:rsidR="00967C7D" w:rsidRPr="00967C7D" w:rsidRDefault="00967C7D" w:rsidP="00967C7D">
            <w:pPr>
              <w:keepNext w:val="0"/>
              <w:spacing w:before="0"/>
              <w:rPr>
                <w:rFonts w:cs="Arial"/>
                <w:bCs/>
                <w:color w:val="auto"/>
                <w:sz w:val="20"/>
              </w:rPr>
            </w:pPr>
            <w:r w:rsidRPr="00967C7D">
              <w:rPr>
                <w:rFonts w:cs="Arial"/>
                <w:bCs/>
                <w:color w:val="auto"/>
                <w:sz w:val="20"/>
              </w:rPr>
              <w:t>South Sheet</w:t>
            </w:r>
          </w:p>
        </w:tc>
      </w:tr>
      <w:tr w:rsidR="00967C7D" w:rsidRPr="00967C7D" w14:paraId="11177BF9" w14:textId="77777777" w:rsidTr="00B5314A">
        <w:trPr>
          <w:trHeight w:val="284"/>
        </w:trPr>
        <w:tc>
          <w:tcPr>
            <w:tcW w:w="1280" w:type="dxa"/>
          </w:tcPr>
          <w:p w14:paraId="4BA92A2F" w14:textId="77777777" w:rsidR="00967C7D" w:rsidRPr="00967C7D" w:rsidRDefault="00967C7D" w:rsidP="00967C7D">
            <w:pPr>
              <w:keepNext w:val="0"/>
              <w:spacing w:before="0"/>
              <w:rPr>
                <w:rFonts w:cs="Arial"/>
                <w:bCs/>
                <w:color w:val="auto"/>
                <w:sz w:val="20"/>
              </w:rPr>
            </w:pPr>
            <w:r w:rsidRPr="00967C7D">
              <w:rPr>
                <w:rFonts w:cs="Arial"/>
                <w:bCs/>
                <w:color w:val="auto"/>
                <w:sz w:val="20"/>
              </w:rPr>
              <w:t>EV5/10</w:t>
            </w:r>
          </w:p>
        </w:tc>
        <w:tc>
          <w:tcPr>
            <w:tcW w:w="6230" w:type="dxa"/>
            <w:noWrap/>
          </w:tcPr>
          <w:p w14:paraId="33C4366D" w14:textId="77777777" w:rsidR="00967C7D" w:rsidRPr="00967C7D" w:rsidRDefault="00967C7D" w:rsidP="00967C7D">
            <w:pPr>
              <w:keepNext w:val="0"/>
              <w:spacing w:before="0"/>
              <w:rPr>
                <w:rFonts w:cs="Arial"/>
                <w:bCs/>
                <w:color w:val="auto"/>
                <w:sz w:val="20"/>
              </w:rPr>
            </w:pPr>
            <w:r w:rsidRPr="00967C7D">
              <w:rPr>
                <w:rFonts w:cs="Arial"/>
                <w:bCs/>
                <w:color w:val="auto"/>
                <w:sz w:val="20"/>
              </w:rPr>
              <w:t>Mill Lakes</w:t>
            </w:r>
          </w:p>
        </w:tc>
        <w:tc>
          <w:tcPr>
            <w:tcW w:w="1847" w:type="dxa"/>
            <w:noWrap/>
          </w:tcPr>
          <w:p w14:paraId="0968B5EA" w14:textId="77777777" w:rsidR="00967C7D" w:rsidRPr="00967C7D" w:rsidRDefault="00967C7D" w:rsidP="00967C7D">
            <w:pPr>
              <w:keepNext w:val="0"/>
              <w:spacing w:before="0"/>
              <w:rPr>
                <w:rFonts w:cs="Arial"/>
                <w:bCs/>
                <w:color w:val="auto"/>
                <w:sz w:val="20"/>
              </w:rPr>
            </w:pPr>
            <w:r w:rsidRPr="00967C7D">
              <w:rPr>
                <w:rFonts w:cs="Arial"/>
                <w:bCs/>
                <w:color w:val="auto"/>
                <w:sz w:val="20"/>
              </w:rPr>
              <w:t>South Sheet</w:t>
            </w:r>
          </w:p>
        </w:tc>
      </w:tr>
      <w:tr w:rsidR="00967C7D" w:rsidRPr="00967C7D" w14:paraId="4EF25525" w14:textId="77777777" w:rsidTr="00B5314A">
        <w:trPr>
          <w:trHeight w:val="284"/>
        </w:trPr>
        <w:tc>
          <w:tcPr>
            <w:tcW w:w="1280" w:type="dxa"/>
          </w:tcPr>
          <w:p w14:paraId="4CFBA825" w14:textId="77777777" w:rsidR="00967C7D" w:rsidRPr="00967C7D" w:rsidRDefault="00967C7D" w:rsidP="00967C7D">
            <w:pPr>
              <w:keepNext w:val="0"/>
              <w:spacing w:before="0"/>
              <w:rPr>
                <w:rFonts w:cs="Arial"/>
                <w:bCs/>
                <w:color w:val="auto"/>
                <w:sz w:val="20"/>
              </w:rPr>
            </w:pPr>
            <w:r w:rsidRPr="00967C7D">
              <w:rPr>
                <w:rFonts w:cs="Arial"/>
                <w:bCs/>
                <w:color w:val="auto"/>
                <w:sz w:val="20"/>
              </w:rPr>
              <w:t>EV5/11</w:t>
            </w:r>
          </w:p>
        </w:tc>
        <w:tc>
          <w:tcPr>
            <w:tcW w:w="6230" w:type="dxa"/>
            <w:noWrap/>
          </w:tcPr>
          <w:p w14:paraId="6D6E5F1E" w14:textId="77777777" w:rsidR="00967C7D" w:rsidRPr="00967C7D" w:rsidRDefault="00967C7D" w:rsidP="00967C7D">
            <w:pPr>
              <w:keepNext w:val="0"/>
              <w:spacing w:before="0"/>
              <w:rPr>
                <w:rFonts w:cs="Arial"/>
                <w:bCs/>
                <w:color w:val="auto"/>
                <w:sz w:val="20"/>
              </w:rPr>
            </w:pPr>
            <w:r w:rsidRPr="00967C7D">
              <w:rPr>
                <w:rFonts w:cs="Arial"/>
                <w:bCs/>
                <w:color w:val="auto"/>
                <w:sz w:val="20"/>
              </w:rPr>
              <w:t>Farm Avenue Fields</w:t>
            </w:r>
          </w:p>
        </w:tc>
        <w:tc>
          <w:tcPr>
            <w:tcW w:w="1847" w:type="dxa"/>
            <w:noWrap/>
          </w:tcPr>
          <w:p w14:paraId="3E43ED45" w14:textId="77777777" w:rsidR="00967C7D" w:rsidRPr="00967C7D" w:rsidRDefault="00967C7D" w:rsidP="00967C7D">
            <w:pPr>
              <w:keepNext w:val="0"/>
              <w:spacing w:before="0"/>
              <w:rPr>
                <w:rFonts w:cs="Arial"/>
                <w:bCs/>
                <w:color w:val="auto"/>
                <w:sz w:val="20"/>
              </w:rPr>
            </w:pPr>
            <w:r w:rsidRPr="00967C7D">
              <w:rPr>
                <w:rFonts w:cs="Arial"/>
                <w:bCs/>
                <w:color w:val="auto"/>
                <w:sz w:val="20"/>
              </w:rPr>
              <w:t>South Sheet</w:t>
            </w:r>
          </w:p>
        </w:tc>
      </w:tr>
      <w:tr w:rsidR="00967C7D" w:rsidRPr="00967C7D" w14:paraId="631D2E9A" w14:textId="77777777" w:rsidTr="00B5314A">
        <w:trPr>
          <w:trHeight w:val="284"/>
        </w:trPr>
        <w:tc>
          <w:tcPr>
            <w:tcW w:w="1280" w:type="dxa"/>
          </w:tcPr>
          <w:p w14:paraId="41B9478E" w14:textId="77777777" w:rsidR="00967C7D" w:rsidRPr="00967C7D" w:rsidRDefault="00967C7D" w:rsidP="00967C7D">
            <w:pPr>
              <w:keepNext w:val="0"/>
              <w:spacing w:before="0"/>
              <w:rPr>
                <w:rFonts w:cs="Arial"/>
                <w:bCs/>
                <w:color w:val="auto"/>
                <w:sz w:val="20"/>
              </w:rPr>
            </w:pPr>
            <w:r w:rsidRPr="00967C7D">
              <w:rPr>
                <w:rFonts w:cs="Arial"/>
                <w:bCs/>
                <w:color w:val="auto"/>
                <w:sz w:val="20"/>
              </w:rPr>
              <w:t>EV5/12</w:t>
            </w:r>
          </w:p>
        </w:tc>
        <w:tc>
          <w:tcPr>
            <w:tcW w:w="6230" w:type="dxa"/>
            <w:noWrap/>
          </w:tcPr>
          <w:p w14:paraId="7BFAE7A0" w14:textId="77777777" w:rsidR="00967C7D" w:rsidRPr="00967C7D" w:rsidRDefault="00967C7D" w:rsidP="00967C7D">
            <w:pPr>
              <w:keepNext w:val="0"/>
              <w:spacing w:before="0"/>
              <w:rPr>
                <w:rFonts w:cs="Arial"/>
                <w:bCs/>
                <w:color w:val="auto"/>
                <w:sz w:val="20"/>
              </w:rPr>
            </w:pPr>
            <w:r w:rsidRPr="00967C7D">
              <w:rPr>
                <w:rFonts w:cs="Arial"/>
                <w:bCs/>
                <w:color w:val="auto"/>
                <w:sz w:val="20"/>
              </w:rPr>
              <w:t>Edgewood School and Leisure Centre Playing Fields</w:t>
            </w:r>
          </w:p>
        </w:tc>
        <w:tc>
          <w:tcPr>
            <w:tcW w:w="1847" w:type="dxa"/>
            <w:noWrap/>
          </w:tcPr>
          <w:p w14:paraId="6394EB8B" w14:textId="77777777" w:rsidR="00967C7D" w:rsidRPr="00967C7D" w:rsidRDefault="00967C7D" w:rsidP="00967C7D">
            <w:pPr>
              <w:keepNext w:val="0"/>
              <w:spacing w:before="0"/>
              <w:rPr>
                <w:rFonts w:cs="Arial"/>
                <w:bCs/>
                <w:color w:val="auto"/>
                <w:sz w:val="20"/>
              </w:rPr>
            </w:pPr>
            <w:r w:rsidRPr="00967C7D">
              <w:rPr>
                <w:rFonts w:cs="Arial"/>
                <w:bCs/>
                <w:color w:val="auto"/>
                <w:sz w:val="20"/>
              </w:rPr>
              <w:t>South Sheet</w:t>
            </w:r>
          </w:p>
        </w:tc>
      </w:tr>
      <w:tr w:rsidR="00967C7D" w:rsidRPr="00967C7D" w14:paraId="202233B1" w14:textId="77777777" w:rsidTr="00B5314A">
        <w:trPr>
          <w:trHeight w:val="284"/>
        </w:trPr>
        <w:tc>
          <w:tcPr>
            <w:tcW w:w="1280" w:type="dxa"/>
          </w:tcPr>
          <w:p w14:paraId="7191B47E" w14:textId="77777777" w:rsidR="00967C7D" w:rsidRPr="00967C7D" w:rsidRDefault="00967C7D" w:rsidP="00967C7D">
            <w:pPr>
              <w:keepNext w:val="0"/>
              <w:spacing w:before="0"/>
              <w:rPr>
                <w:rFonts w:cs="Arial"/>
                <w:bCs/>
                <w:color w:val="auto"/>
                <w:sz w:val="20"/>
              </w:rPr>
            </w:pPr>
            <w:r w:rsidRPr="00967C7D">
              <w:rPr>
                <w:rFonts w:cs="Arial"/>
                <w:bCs/>
                <w:color w:val="auto"/>
                <w:sz w:val="20"/>
              </w:rPr>
              <w:t>EV5/13</w:t>
            </w:r>
          </w:p>
        </w:tc>
        <w:tc>
          <w:tcPr>
            <w:tcW w:w="6230" w:type="dxa"/>
            <w:noWrap/>
          </w:tcPr>
          <w:p w14:paraId="7DC62AD9" w14:textId="77777777" w:rsidR="00967C7D" w:rsidRPr="00967C7D" w:rsidRDefault="00967C7D" w:rsidP="00967C7D">
            <w:pPr>
              <w:keepNext w:val="0"/>
              <w:spacing w:before="0"/>
              <w:rPr>
                <w:rFonts w:cs="Arial"/>
                <w:bCs/>
                <w:color w:val="auto"/>
                <w:sz w:val="20"/>
              </w:rPr>
            </w:pPr>
            <w:r w:rsidRPr="00967C7D">
              <w:rPr>
                <w:rFonts w:cs="Arial"/>
                <w:bCs/>
                <w:color w:val="auto"/>
                <w:sz w:val="20"/>
              </w:rPr>
              <w:t>Lime Tree Road Recreation Ground</w:t>
            </w:r>
          </w:p>
        </w:tc>
        <w:tc>
          <w:tcPr>
            <w:tcW w:w="1847" w:type="dxa"/>
            <w:noWrap/>
          </w:tcPr>
          <w:p w14:paraId="3666C862" w14:textId="77777777" w:rsidR="00967C7D" w:rsidRPr="00967C7D" w:rsidRDefault="00967C7D" w:rsidP="00967C7D">
            <w:pPr>
              <w:keepNext w:val="0"/>
              <w:spacing w:before="0"/>
              <w:rPr>
                <w:rFonts w:cs="Arial"/>
                <w:bCs/>
                <w:color w:val="auto"/>
                <w:sz w:val="20"/>
              </w:rPr>
            </w:pPr>
            <w:r w:rsidRPr="00967C7D">
              <w:rPr>
                <w:rFonts w:cs="Arial"/>
                <w:bCs/>
                <w:color w:val="auto"/>
                <w:sz w:val="20"/>
              </w:rPr>
              <w:t>South Sheet</w:t>
            </w:r>
          </w:p>
        </w:tc>
      </w:tr>
      <w:tr w:rsidR="00967C7D" w:rsidRPr="00967C7D" w14:paraId="639C6005" w14:textId="77777777" w:rsidTr="00B5314A">
        <w:trPr>
          <w:trHeight w:val="284"/>
        </w:trPr>
        <w:tc>
          <w:tcPr>
            <w:tcW w:w="1280" w:type="dxa"/>
          </w:tcPr>
          <w:p w14:paraId="5B25C9D7" w14:textId="77777777" w:rsidR="00967C7D" w:rsidRPr="00967C7D" w:rsidRDefault="00967C7D" w:rsidP="00967C7D">
            <w:pPr>
              <w:keepNext w:val="0"/>
              <w:spacing w:before="0"/>
              <w:rPr>
                <w:rFonts w:cs="Arial"/>
                <w:bCs/>
                <w:color w:val="auto"/>
                <w:sz w:val="20"/>
              </w:rPr>
            </w:pPr>
            <w:r w:rsidRPr="00967C7D">
              <w:rPr>
                <w:rFonts w:cs="Arial"/>
                <w:bCs/>
                <w:color w:val="auto"/>
                <w:sz w:val="20"/>
              </w:rPr>
              <w:t>EV5/14</w:t>
            </w:r>
          </w:p>
        </w:tc>
        <w:tc>
          <w:tcPr>
            <w:tcW w:w="6230" w:type="dxa"/>
            <w:noWrap/>
          </w:tcPr>
          <w:p w14:paraId="53BD3451" w14:textId="77777777" w:rsidR="00967C7D" w:rsidRPr="00967C7D" w:rsidRDefault="00967C7D" w:rsidP="00967C7D">
            <w:pPr>
              <w:keepNext w:val="0"/>
              <w:spacing w:before="0"/>
              <w:rPr>
                <w:rFonts w:cs="Arial"/>
                <w:bCs/>
                <w:color w:val="auto"/>
                <w:sz w:val="20"/>
              </w:rPr>
            </w:pPr>
            <w:r w:rsidRPr="00967C7D">
              <w:rPr>
                <w:rFonts w:cs="Arial"/>
                <w:bCs/>
                <w:color w:val="auto"/>
                <w:sz w:val="20"/>
              </w:rPr>
              <w:t>Ruffs Drive/Robin Hood Drive</w:t>
            </w:r>
          </w:p>
        </w:tc>
        <w:tc>
          <w:tcPr>
            <w:tcW w:w="1847" w:type="dxa"/>
            <w:noWrap/>
          </w:tcPr>
          <w:p w14:paraId="1C8CE0E5" w14:textId="77777777" w:rsidR="00967C7D" w:rsidRPr="00967C7D" w:rsidRDefault="00967C7D" w:rsidP="00967C7D">
            <w:pPr>
              <w:keepNext w:val="0"/>
              <w:spacing w:before="0"/>
              <w:rPr>
                <w:rFonts w:cs="Arial"/>
                <w:bCs/>
                <w:color w:val="auto"/>
                <w:sz w:val="20"/>
              </w:rPr>
            </w:pPr>
            <w:r w:rsidRPr="00967C7D">
              <w:rPr>
                <w:rFonts w:cs="Arial"/>
                <w:bCs/>
                <w:color w:val="auto"/>
                <w:sz w:val="20"/>
              </w:rPr>
              <w:t>South Sheet</w:t>
            </w:r>
          </w:p>
        </w:tc>
      </w:tr>
      <w:tr w:rsidR="00967C7D" w:rsidRPr="00967C7D" w14:paraId="376F2DE4" w14:textId="77777777" w:rsidTr="00B5314A">
        <w:trPr>
          <w:trHeight w:val="284"/>
        </w:trPr>
        <w:tc>
          <w:tcPr>
            <w:tcW w:w="1280" w:type="dxa"/>
          </w:tcPr>
          <w:p w14:paraId="011C8DD1" w14:textId="77777777" w:rsidR="00967C7D" w:rsidRPr="00967C7D" w:rsidRDefault="00967C7D" w:rsidP="00967C7D">
            <w:pPr>
              <w:keepNext w:val="0"/>
              <w:spacing w:before="0"/>
              <w:rPr>
                <w:rFonts w:cs="Arial"/>
                <w:bCs/>
                <w:color w:val="auto"/>
                <w:sz w:val="20"/>
              </w:rPr>
            </w:pPr>
            <w:r w:rsidRPr="00967C7D">
              <w:rPr>
                <w:rFonts w:cs="Arial"/>
                <w:bCs/>
                <w:color w:val="auto"/>
                <w:sz w:val="20"/>
              </w:rPr>
              <w:t>EV5/15</w:t>
            </w:r>
          </w:p>
        </w:tc>
        <w:tc>
          <w:tcPr>
            <w:tcW w:w="6230" w:type="dxa"/>
            <w:noWrap/>
          </w:tcPr>
          <w:p w14:paraId="3F7930EA" w14:textId="77777777" w:rsidR="00967C7D" w:rsidRPr="00967C7D" w:rsidRDefault="00967C7D" w:rsidP="00967C7D">
            <w:pPr>
              <w:keepNext w:val="0"/>
              <w:spacing w:before="0"/>
              <w:rPr>
                <w:rFonts w:cs="Arial"/>
                <w:bCs/>
                <w:color w:val="auto"/>
                <w:sz w:val="20"/>
              </w:rPr>
            </w:pPr>
            <w:r w:rsidRPr="00967C7D">
              <w:rPr>
                <w:rFonts w:cs="Arial"/>
                <w:bCs/>
                <w:color w:val="auto"/>
                <w:sz w:val="20"/>
              </w:rPr>
              <w:t>Nabbs Lane Park</w:t>
            </w:r>
          </w:p>
        </w:tc>
        <w:tc>
          <w:tcPr>
            <w:tcW w:w="1847" w:type="dxa"/>
            <w:noWrap/>
          </w:tcPr>
          <w:p w14:paraId="27565E5F" w14:textId="77777777" w:rsidR="00967C7D" w:rsidRPr="00967C7D" w:rsidRDefault="00967C7D" w:rsidP="00967C7D">
            <w:pPr>
              <w:keepNext w:val="0"/>
              <w:spacing w:before="0"/>
              <w:rPr>
                <w:rFonts w:cs="Arial"/>
                <w:bCs/>
                <w:color w:val="auto"/>
                <w:sz w:val="20"/>
              </w:rPr>
            </w:pPr>
            <w:r w:rsidRPr="00967C7D">
              <w:rPr>
                <w:rFonts w:cs="Arial"/>
                <w:bCs/>
                <w:color w:val="auto"/>
                <w:sz w:val="20"/>
              </w:rPr>
              <w:t>South Sheet</w:t>
            </w:r>
          </w:p>
        </w:tc>
      </w:tr>
      <w:tr w:rsidR="00967C7D" w:rsidRPr="00967C7D" w14:paraId="4C6A6BF5" w14:textId="77777777" w:rsidTr="00B5314A">
        <w:trPr>
          <w:trHeight w:val="284"/>
        </w:trPr>
        <w:tc>
          <w:tcPr>
            <w:tcW w:w="1280" w:type="dxa"/>
          </w:tcPr>
          <w:p w14:paraId="3F405354" w14:textId="77777777" w:rsidR="00967C7D" w:rsidRPr="00967C7D" w:rsidRDefault="00967C7D" w:rsidP="00967C7D">
            <w:pPr>
              <w:keepNext w:val="0"/>
              <w:spacing w:before="0"/>
              <w:rPr>
                <w:rFonts w:cs="Arial"/>
                <w:bCs/>
                <w:color w:val="auto"/>
                <w:sz w:val="20"/>
              </w:rPr>
            </w:pPr>
            <w:r w:rsidRPr="00967C7D">
              <w:rPr>
                <w:rFonts w:cs="Arial"/>
                <w:bCs/>
                <w:color w:val="auto"/>
                <w:sz w:val="20"/>
              </w:rPr>
              <w:t>EV5/16</w:t>
            </w:r>
          </w:p>
        </w:tc>
        <w:tc>
          <w:tcPr>
            <w:tcW w:w="6230" w:type="dxa"/>
            <w:noWrap/>
          </w:tcPr>
          <w:p w14:paraId="21C98CA4" w14:textId="77777777" w:rsidR="00967C7D" w:rsidRPr="00967C7D" w:rsidRDefault="00967C7D" w:rsidP="00967C7D">
            <w:pPr>
              <w:keepNext w:val="0"/>
              <w:spacing w:before="0"/>
              <w:rPr>
                <w:rFonts w:cs="Arial"/>
                <w:bCs/>
                <w:color w:val="auto"/>
                <w:sz w:val="20"/>
              </w:rPr>
            </w:pPr>
            <w:proofErr w:type="spellStart"/>
            <w:r w:rsidRPr="00967C7D">
              <w:rPr>
                <w:rFonts w:cs="Arial"/>
                <w:bCs/>
                <w:color w:val="auto"/>
                <w:sz w:val="20"/>
              </w:rPr>
              <w:t>Farleys</w:t>
            </w:r>
            <w:proofErr w:type="spellEnd"/>
            <w:r w:rsidRPr="00967C7D">
              <w:rPr>
                <w:rFonts w:cs="Arial"/>
                <w:bCs/>
                <w:color w:val="auto"/>
                <w:sz w:val="20"/>
              </w:rPr>
              <w:t xml:space="preserve"> Lane</w:t>
            </w:r>
          </w:p>
        </w:tc>
        <w:tc>
          <w:tcPr>
            <w:tcW w:w="1847" w:type="dxa"/>
            <w:noWrap/>
          </w:tcPr>
          <w:p w14:paraId="4C254239" w14:textId="77777777" w:rsidR="00967C7D" w:rsidRPr="00967C7D" w:rsidRDefault="00967C7D" w:rsidP="00967C7D">
            <w:pPr>
              <w:keepNext w:val="0"/>
              <w:spacing w:before="0"/>
              <w:rPr>
                <w:rFonts w:cs="Arial"/>
                <w:bCs/>
                <w:color w:val="auto"/>
                <w:sz w:val="20"/>
              </w:rPr>
            </w:pPr>
            <w:r w:rsidRPr="00967C7D">
              <w:rPr>
                <w:rFonts w:cs="Arial"/>
                <w:bCs/>
                <w:color w:val="auto"/>
                <w:sz w:val="20"/>
              </w:rPr>
              <w:t>South Sheet</w:t>
            </w:r>
          </w:p>
        </w:tc>
      </w:tr>
      <w:tr w:rsidR="00967C7D" w:rsidRPr="00967C7D" w14:paraId="292C6A0C" w14:textId="77777777" w:rsidTr="00B5314A">
        <w:trPr>
          <w:trHeight w:val="284"/>
        </w:trPr>
        <w:tc>
          <w:tcPr>
            <w:tcW w:w="1280" w:type="dxa"/>
          </w:tcPr>
          <w:p w14:paraId="29BC7B62" w14:textId="77777777" w:rsidR="00967C7D" w:rsidRPr="00967C7D" w:rsidRDefault="00967C7D" w:rsidP="00967C7D">
            <w:pPr>
              <w:keepNext w:val="0"/>
              <w:spacing w:before="0"/>
              <w:rPr>
                <w:rFonts w:cs="Arial"/>
                <w:bCs/>
                <w:color w:val="auto"/>
                <w:sz w:val="20"/>
              </w:rPr>
            </w:pPr>
            <w:r w:rsidRPr="00967C7D">
              <w:rPr>
                <w:rFonts w:cs="Arial"/>
                <w:bCs/>
                <w:color w:val="auto"/>
                <w:sz w:val="20"/>
              </w:rPr>
              <w:t>EV5/17</w:t>
            </w:r>
          </w:p>
        </w:tc>
        <w:tc>
          <w:tcPr>
            <w:tcW w:w="6230" w:type="dxa"/>
            <w:noWrap/>
          </w:tcPr>
          <w:p w14:paraId="3ED62F3A" w14:textId="77777777" w:rsidR="00967C7D" w:rsidRPr="00967C7D" w:rsidRDefault="00967C7D" w:rsidP="00967C7D">
            <w:pPr>
              <w:keepNext w:val="0"/>
              <w:spacing w:before="0"/>
              <w:rPr>
                <w:rFonts w:cs="Arial"/>
                <w:bCs/>
                <w:color w:val="auto"/>
                <w:sz w:val="20"/>
              </w:rPr>
            </w:pPr>
            <w:r w:rsidRPr="00967C7D">
              <w:rPr>
                <w:rFonts w:cs="Arial"/>
                <w:bCs/>
                <w:color w:val="auto"/>
                <w:sz w:val="20"/>
              </w:rPr>
              <w:t>Broomhill School Playing Fields</w:t>
            </w:r>
          </w:p>
        </w:tc>
        <w:tc>
          <w:tcPr>
            <w:tcW w:w="1847" w:type="dxa"/>
            <w:noWrap/>
          </w:tcPr>
          <w:p w14:paraId="39DE88A1" w14:textId="77777777" w:rsidR="00967C7D" w:rsidRPr="00967C7D" w:rsidRDefault="00967C7D" w:rsidP="00967C7D">
            <w:pPr>
              <w:keepNext w:val="0"/>
              <w:spacing w:before="0"/>
              <w:rPr>
                <w:rFonts w:cs="Arial"/>
                <w:bCs/>
                <w:color w:val="auto"/>
                <w:sz w:val="20"/>
              </w:rPr>
            </w:pPr>
            <w:r w:rsidRPr="00967C7D">
              <w:rPr>
                <w:rFonts w:cs="Arial"/>
                <w:bCs/>
                <w:color w:val="auto"/>
                <w:sz w:val="20"/>
              </w:rPr>
              <w:t>South Sheet</w:t>
            </w:r>
          </w:p>
        </w:tc>
      </w:tr>
      <w:tr w:rsidR="00967C7D" w:rsidRPr="00967C7D" w14:paraId="18570849" w14:textId="77777777" w:rsidTr="00B5314A">
        <w:trPr>
          <w:trHeight w:val="284"/>
        </w:trPr>
        <w:tc>
          <w:tcPr>
            <w:tcW w:w="1280" w:type="dxa"/>
          </w:tcPr>
          <w:p w14:paraId="27ED14DE" w14:textId="77777777" w:rsidR="00967C7D" w:rsidRPr="00967C7D" w:rsidRDefault="00967C7D" w:rsidP="00967C7D">
            <w:pPr>
              <w:keepNext w:val="0"/>
              <w:spacing w:before="0"/>
              <w:rPr>
                <w:rFonts w:cs="Arial"/>
                <w:bCs/>
                <w:color w:val="auto"/>
                <w:sz w:val="20"/>
              </w:rPr>
            </w:pPr>
            <w:r w:rsidRPr="00967C7D">
              <w:rPr>
                <w:rFonts w:cs="Arial"/>
                <w:bCs/>
                <w:color w:val="auto"/>
                <w:sz w:val="20"/>
              </w:rPr>
              <w:t>EV5/18</w:t>
            </w:r>
          </w:p>
        </w:tc>
        <w:tc>
          <w:tcPr>
            <w:tcW w:w="6230" w:type="dxa"/>
            <w:noWrap/>
          </w:tcPr>
          <w:p w14:paraId="4D465F91" w14:textId="77777777" w:rsidR="00967C7D" w:rsidRPr="00967C7D" w:rsidRDefault="00967C7D" w:rsidP="00967C7D">
            <w:pPr>
              <w:keepNext w:val="0"/>
              <w:spacing w:before="0"/>
              <w:rPr>
                <w:rFonts w:cs="Arial"/>
                <w:bCs/>
                <w:color w:val="auto"/>
                <w:sz w:val="20"/>
              </w:rPr>
            </w:pPr>
            <w:r w:rsidRPr="00967C7D">
              <w:rPr>
                <w:rFonts w:cs="Arial"/>
                <w:bCs/>
                <w:color w:val="auto"/>
                <w:sz w:val="20"/>
              </w:rPr>
              <w:t>Jenny Burton Way</w:t>
            </w:r>
          </w:p>
        </w:tc>
        <w:tc>
          <w:tcPr>
            <w:tcW w:w="1847" w:type="dxa"/>
            <w:noWrap/>
          </w:tcPr>
          <w:p w14:paraId="1FCD0C21" w14:textId="77777777" w:rsidR="00967C7D" w:rsidRPr="00967C7D" w:rsidRDefault="00967C7D" w:rsidP="00967C7D">
            <w:pPr>
              <w:keepNext w:val="0"/>
              <w:spacing w:before="0"/>
              <w:rPr>
                <w:rFonts w:cs="Arial"/>
                <w:bCs/>
                <w:color w:val="auto"/>
                <w:sz w:val="20"/>
              </w:rPr>
            </w:pPr>
            <w:r w:rsidRPr="00967C7D">
              <w:rPr>
                <w:rFonts w:cs="Arial"/>
                <w:bCs/>
                <w:color w:val="auto"/>
                <w:sz w:val="20"/>
              </w:rPr>
              <w:t>South Sheet</w:t>
            </w:r>
          </w:p>
        </w:tc>
      </w:tr>
      <w:tr w:rsidR="00967C7D" w:rsidRPr="00967C7D" w14:paraId="6E7FF06D" w14:textId="77777777" w:rsidTr="00B5314A">
        <w:trPr>
          <w:trHeight w:val="284"/>
        </w:trPr>
        <w:tc>
          <w:tcPr>
            <w:tcW w:w="1280" w:type="dxa"/>
          </w:tcPr>
          <w:p w14:paraId="5DE59822" w14:textId="77777777" w:rsidR="00967C7D" w:rsidRPr="00967C7D" w:rsidRDefault="00967C7D" w:rsidP="00967C7D">
            <w:pPr>
              <w:keepNext w:val="0"/>
              <w:spacing w:before="0"/>
              <w:rPr>
                <w:rFonts w:cs="Arial"/>
                <w:bCs/>
                <w:color w:val="auto"/>
                <w:sz w:val="20"/>
              </w:rPr>
            </w:pPr>
            <w:r w:rsidRPr="00967C7D">
              <w:rPr>
                <w:rFonts w:cs="Arial"/>
                <w:bCs/>
                <w:color w:val="auto"/>
                <w:sz w:val="20"/>
              </w:rPr>
              <w:t>EV5/19</w:t>
            </w:r>
          </w:p>
        </w:tc>
        <w:tc>
          <w:tcPr>
            <w:tcW w:w="6230" w:type="dxa"/>
            <w:noWrap/>
          </w:tcPr>
          <w:p w14:paraId="4C0A325B" w14:textId="77777777" w:rsidR="00967C7D" w:rsidRPr="00967C7D" w:rsidRDefault="00967C7D" w:rsidP="00967C7D">
            <w:pPr>
              <w:keepNext w:val="0"/>
              <w:spacing w:before="0"/>
              <w:rPr>
                <w:rFonts w:cs="Arial"/>
                <w:bCs/>
                <w:color w:val="auto"/>
                <w:sz w:val="20"/>
              </w:rPr>
            </w:pPr>
            <w:proofErr w:type="spellStart"/>
            <w:r w:rsidRPr="00967C7D">
              <w:rPr>
                <w:rFonts w:cs="Arial"/>
                <w:bCs/>
                <w:color w:val="auto"/>
                <w:sz w:val="20"/>
              </w:rPr>
              <w:t>Salterford</w:t>
            </w:r>
            <w:proofErr w:type="spellEnd"/>
            <w:r w:rsidRPr="00967C7D">
              <w:rPr>
                <w:rFonts w:cs="Arial"/>
                <w:bCs/>
                <w:color w:val="auto"/>
                <w:sz w:val="20"/>
              </w:rPr>
              <w:t xml:space="preserve"> Road Open Space</w:t>
            </w:r>
          </w:p>
        </w:tc>
        <w:tc>
          <w:tcPr>
            <w:tcW w:w="1847" w:type="dxa"/>
            <w:noWrap/>
          </w:tcPr>
          <w:p w14:paraId="3E3ABD60" w14:textId="77777777" w:rsidR="00967C7D" w:rsidRPr="00967C7D" w:rsidRDefault="00967C7D" w:rsidP="00967C7D">
            <w:pPr>
              <w:keepNext w:val="0"/>
              <w:spacing w:before="0"/>
              <w:rPr>
                <w:rFonts w:cs="Arial"/>
                <w:bCs/>
                <w:color w:val="auto"/>
                <w:sz w:val="20"/>
              </w:rPr>
            </w:pPr>
            <w:r w:rsidRPr="00967C7D">
              <w:rPr>
                <w:rFonts w:cs="Arial"/>
                <w:bCs/>
                <w:color w:val="auto"/>
                <w:sz w:val="20"/>
              </w:rPr>
              <w:t>South Sheet</w:t>
            </w:r>
          </w:p>
        </w:tc>
      </w:tr>
      <w:tr w:rsidR="00967C7D" w:rsidRPr="00967C7D" w14:paraId="28AA31C2" w14:textId="77777777" w:rsidTr="00B5314A">
        <w:trPr>
          <w:trHeight w:val="284"/>
        </w:trPr>
        <w:tc>
          <w:tcPr>
            <w:tcW w:w="1280" w:type="dxa"/>
          </w:tcPr>
          <w:p w14:paraId="3D377CA9" w14:textId="77777777" w:rsidR="00967C7D" w:rsidRPr="00967C7D" w:rsidRDefault="00967C7D" w:rsidP="00967C7D">
            <w:pPr>
              <w:keepNext w:val="0"/>
              <w:spacing w:before="0"/>
              <w:rPr>
                <w:rFonts w:cs="Arial"/>
                <w:bCs/>
                <w:color w:val="auto"/>
                <w:sz w:val="20"/>
              </w:rPr>
            </w:pPr>
            <w:r w:rsidRPr="00967C7D">
              <w:rPr>
                <w:rFonts w:cs="Arial"/>
                <w:bCs/>
                <w:color w:val="auto"/>
                <w:sz w:val="20"/>
              </w:rPr>
              <w:t>EV5/20</w:t>
            </w:r>
          </w:p>
        </w:tc>
        <w:tc>
          <w:tcPr>
            <w:tcW w:w="6230" w:type="dxa"/>
            <w:noWrap/>
          </w:tcPr>
          <w:p w14:paraId="14B62B00" w14:textId="77777777" w:rsidR="00967C7D" w:rsidRPr="00967C7D" w:rsidRDefault="00967C7D" w:rsidP="00967C7D">
            <w:pPr>
              <w:keepNext w:val="0"/>
              <w:spacing w:before="0"/>
              <w:rPr>
                <w:rFonts w:cs="Arial"/>
                <w:bCs/>
                <w:color w:val="auto"/>
                <w:sz w:val="20"/>
              </w:rPr>
            </w:pPr>
            <w:r w:rsidRPr="00967C7D">
              <w:rPr>
                <w:rFonts w:cs="Arial"/>
                <w:bCs/>
                <w:color w:val="auto"/>
                <w:sz w:val="20"/>
              </w:rPr>
              <w:t>Aerial Way</w:t>
            </w:r>
          </w:p>
        </w:tc>
        <w:tc>
          <w:tcPr>
            <w:tcW w:w="1847" w:type="dxa"/>
            <w:noWrap/>
          </w:tcPr>
          <w:p w14:paraId="2B9C5D0B" w14:textId="77777777" w:rsidR="00967C7D" w:rsidRPr="00967C7D" w:rsidRDefault="00967C7D" w:rsidP="00967C7D">
            <w:pPr>
              <w:keepNext w:val="0"/>
              <w:spacing w:before="0"/>
              <w:rPr>
                <w:rFonts w:cs="Arial"/>
                <w:bCs/>
                <w:color w:val="auto"/>
                <w:sz w:val="20"/>
              </w:rPr>
            </w:pPr>
            <w:r w:rsidRPr="00967C7D">
              <w:rPr>
                <w:rFonts w:cs="Arial"/>
                <w:bCs/>
                <w:color w:val="auto"/>
                <w:sz w:val="20"/>
              </w:rPr>
              <w:t>South Sheet</w:t>
            </w:r>
          </w:p>
        </w:tc>
      </w:tr>
      <w:tr w:rsidR="00967C7D" w:rsidRPr="00967C7D" w14:paraId="72E4C1C1" w14:textId="77777777" w:rsidTr="00B5314A">
        <w:trPr>
          <w:trHeight w:val="284"/>
        </w:trPr>
        <w:tc>
          <w:tcPr>
            <w:tcW w:w="1280" w:type="dxa"/>
          </w:tcPr>
          <w:p w14:paraId="2443B340" w14:textId="77777777" w:rsidR="00967C7D" w:rsidRPr="00967C7D" w:rsidRDefault="00967C7D" w:rsidP="00967C7D">
            <w:pPr>
              <w:keepNext w:val="0"/>
              <w:spacing w:before="0"/>
              <w:rPr>
                <w:rFonts w:cs="Arial"/>
                <w:bCs/>
                <w:color w:val="auto"/>
                <w:sz w:val="20"/>
              </w:rPr>
            </w:pPr>
            <w:r w:rsidRPr="00967C7D">
              <w:rPr>
                <w:rFonts w:cs="Arial"/>
                <w:bCs/>
                <w:color w:val="auto"/>
                <w:sz w:val="20"/>
              </w:rPr>
              <w:t>EV5/21</w:t>
            </w:r>
          </w:p>
        </w:tc>
        <w:tc>
          <w:tcPr>
            <w:tcW w:w="6230" w:type="dxa"/>
            <w:noWrap/>
          </w:tcPr>
          <w:p w14:paraId="54405492" w14:textId="77777777" w:rsidR="00967C7D" w:rsidRPr="00967C7D" w:rsidRDefault="00967C7D" w:rsidP="00967C7D">
            <w:pPr>
              <w:keepNext w:val="0"/>
              <w:spacing w:before="0"/>
              <w:rPr>
                <w:rFonts w:cs="Arial"/>
                <w:bCs/>
                <w:color w:val="auto"/>
                <w:sz w:val="20"/>
              </w:rPr>
            </w:pPr>
            <w:r w:rsidRPr="00967C7D">
              <w:rPr>
                <w:rFonts w:cs="Arial"/>
                <w:bCs/>
                <w:color w:val="auto"/>
                <w:sz w:val="20"/>
              </w:rPr>
              <w:t>Hucknall Cemetery</w:t>
            </w:r>
          </w:p>
        </w:tc>
        <w:tc>
          <w:tcPr>
            <w:tcW w:w="1847" w:type="dxa"/>
            <w:noWrap/>
          </w:tcPr>
          <w:p w14:paraId="42F95954" w14:textId="77777777" w:rsidR="00967C7D" w:rsidRPr="00967C7D" w:rsidRDefault="00967C7D" w:rsidP="00967C7D">
            <w:pPr>
              <w:keepNext w:val="0"/>
              <w:spacing w:before="0"/>
              <w:rPr>
                <w:rFonts w:cs="Arial"/>
                <w:bCs/>
                <w:color w:val="auto"/>
                <w:sz w:val="20"/>
              </w:rPr>
            </w:pPr>
            <w:r w:rsidRPr="00967C7D">
              <w:rPr>
                <w:rFonts w:cs="Arial"/>
                <w:bCs/>
                <w:color w:val="auto"/>
                <w:sz w:val="20"/>
              </w:rPr>
              <w:t>South Sheet</w:t>
            </w:r>
          </w:p>
        </w:tc>
      </w:tr>
      <w:tr w:rsidR="00967C7D" w:rsidRPr="00967C7D" w14:paraId="77C57D0F" w14:textId="77777777" w:rsidTr="00B5314A">
        <w:trPr>
          <w:trHeight w:val="284"/>
        </w:trPr>
        <w:tc>
          <w:tcPr>
            <w:tcW w:w="1280" w:type="dxa"/>
          </w:tcPr>
          <w:p w14:paraId="4CEA0BF0" w14:textId="77777777" w:rsidR="00967C7D" w:rsidRPr="00967C7D" w:rsidRDefault="00967C7D" w:rsidP="00967C7D">
            <w:pPr>
              <w:keepNext w:val="0"/>
              <w:spacing w:before="0"/>
              <w:rPr>
                <w:rFonts w:cs="Arial"/>
                <w:bCs/>
                <w:color w:val="auto"/>
                <w:sz w:val="20"/>
              </w:rPr>
            </w:pPr>
            <w:r w:rsidRPr="00967C7D">
              <w:rPr>
                <w:rFonts w:cs="Arial"/>
                <w:bCs/>
                <w:color w:val="auto"/>
                <w:sz w:val="20"/>
              </w:rPr>
              <w:t>EV5/22</w:t>
            </w:r>
          </w:p>
        </w:tc>
        <w:tc>
          <w:tcPr>
            <w:tcW w:w="6230" w:type="dxa"/>
            <w:noWrap/>
          </w:tcPr>
          <w:p w14:paraId="49D8D5B9" w14:textId="77777777" w:rsidR="00967C7D" w:rsidRPr="00967C7D" w:rsidRDefault="00967C7D" w:rsidP="00967C7D">
            <w:pPr>
              <w:keepNext w:val="0"/>
              <w:spacing w:before="0"/>
              <w:rPr>
                <w:rFonts w:cs="Arial"/>
                <w:bCs/>
                <w:color w:val="auto"/>
                <w:sz w:val="20"/>
              </w:rPr>
            </w:pPr>
            <w:r w:rsidRPr="00967C7D">
              <w:rPr>
                <w:rFonts w:cs="Arial"/>
                <w:bCs/>
                <w:color w:val="auto"/>
                <w:sz w:val="20"/>
              </w:rPr>
              <w:t>Butlers Hill Recreation Ground</w:t>
            </w:r>
          </w:p>
        </w:tc>
        <w:tc>
          <w:tcPr>
            <w:tcW w:w="1847" w:type="dxa"/>
            <w:noWrap/>
          </w:tcPr>
          <w:p w14:paraId="1E8BE463" w14:textId="77777777" w:rsidR="00967C7D" w:rsidRPr="00967C7D" w:rsidRDefault="00967C7D" w:rsidP="00967C7D">
            <w:pPr>
              <w:keepNext w:val="0"/>
              <w:spacing w:before="0"/>
              <w:rPr>
                <w:rFonts w:cs="Arial"/>
                <w:bCs/>
                <w:color w:val="auto"/>
                <w:sz w:val="20"/>
              </w:rPr>
            </w:pPr>
            <w:r w:rsidRPr="00967C7D">
              <w:rPr>
                <w:rFonts w:cs="Arial"/>
                <w:bCs/>
                <w:color w:val="auto"/>
                <w:sz w:val="20"/>
              </w:rPr>
              <w:t>South Sheet</w:t>
            </w:r>
          </w:p>
        </w:tc>
      </w:tr>
      <w:tr w:rsidR="00967C7D" w:rsidRPr="00967C7D" w14:paraId="3CD3F48A" w14:textId="77777777" w:rsidTr="00B5314A">
        <w:trPr>
          <w:trHeight w:val="284"/>
        </w:trPr>
        <w:tc>
          <w:tcPr>
            <w:tcW w:w="1280" w:type="dxa"/>
          </w:tcPr>
          <w:p w14:paraId="6E5B9325" w14:textId="77777777" w:rsidR="00967C7D" w:rsidRPr="00967C7D" w:rsidRDefault="00967C7D" w:rsidP="00967C7D">
            <w:pPr>
              <w:keepNext w:val="0"/>
              <w:spacing w:before="0"/>
              <w:rPr>
                <w:rFonts w:cs="Arial"/>
                <w:bCs/>
                <w:color w:val="auto"/>
                <w:sz w:val="20"/>
              </w:rPr>
            </w:pPr>
            <w:r w:rsidRPr="00967C7D">
              <w:rPr>
                <w:rFonts w:cs="Arial"/>
                <w:bCs/>
                <w:color w:val="auto"/>
                <w:sz w:val="20"/>
              </w:rPr>
              <w:t>EV5/23</w:t>
            </w:r>
          </w:p>
        </w:tc>
        <w:tc>
          <w:tcPr>
            <w:tcW w:w="6230" w:type="dxa"/>
            <w:noWrap/>
          </w:tcPr>
          <w:p w14:paraId="4A28E575" w14:textId="77777777" w:rsidR="00967C7D" w:rsidRPr="00967C7D" w:rsidRDefault="00967C7D" w:rsidP="00967C7D">
            <w:pPr>
              <w:keepNext w:val="0"/>
              <w:spacing w:before="0"/>
              <w:rPr>
                <w:rFonts w:cs="Arial"/>
                <w:bCs/>
                <w:color w:val="auto"/>
                <w:sz w:val="20"/>
              </w:rPr>
            </w:pPr>
            <w:r w:rsidRPr="00967C7D">
              <w:rPr>
                <w:rFonts w:cs="Arial"/>
                <w:bCs/>
                <w:color w:val="auto"/>
                <w:sz w:val="20"/>
              </w:rPr>
              <w:t>Titchfield Park</w:t>
            </w:r>
          </w:p>
        </w:tc>
        <w:tc>
          <w:tcPr>
            <w:tcW w:w="1847" w:type="dxa"/>
            <w:noWrap/>
          </w:tcPr>
          <w:p w14:paraId="1DF78C74" w14:textId="77777777" w:rsidR="00967C7D" w:rsidRPr="00967C7D" w:rsidRDefault="00967C7D" w:rsidP="00967C7D">
            <w:pPr>
              <w:keepNext w:val="0"/>
              <w:spacing w:before="0"/>
              <w:rPr>
                <w:rFonts w:cs="Arial"/>
                <w:bCs/>
                <w:color w:val="auto"/>
                <w:sz w:val="20"/>
              </w:rPr>
            </w:pPr>
            <w:r w:rsidRPr="00967C7D">
              <w:rPr>
                <w:rFonts w:cs="Arial"/>
                <w:bCs/>
                <w:color w:val="auto"/>
                <w:sz w:val="20"/>
              </w:rPr>
              <w:t>South Sheet</w:t>
            </w:r>
          </w:p>
        </w:tc>
      </w:tr>
      <w:tr w:rsidR="00967C7D" w:rsidRPr="00967C7D" w14:paraId="64D3F214" w14:textId="77777777" w:rsidTr="00B5314A">
        <w:trPr>
          <w:trHeight w:val="284"/>
        </w:trPr>
        <w:tc>
          <w:tcPr>
            <w:tcW w:w="1280" w:type="dxa"/>
          </w:tcPr>
          <w:p w14:paraId="2A592707" w14:textId="77777777" w:rsidR="00967C7D" w:rsidRPr="00967C7D" w:rsidRDefault="00967C7D" w:rsidP="00967C7D">
            <w:pPr>
              <w:keepNext w:val="0"/>
              <w:spacing w:before="0"/>
              <w:rPr>
                <w:rFonts w:cs="Arial"/>
                <w:bCs/>
                <w:color w:val="auto"/>
                <w:sz w:val="20"/>
              </w:rPr>
            </w:pPr>
            <w:r w:rsidRPr="00967C7D">
              <w:rPr>
                <w:rFonts w:cs="Arial"/>
                <w:bCs/>
                <w:color w:val="auto"/>
                <w:sz w:val="20"/>
              </w:rPr>
              <w:t>EV5/24</w:t>
            </w:r>
          </w:p>
        </w:tc>
        <w:tc>
          <w:tcPr>
            <w:tcW w:w="6230" w:type="dxa"/>
            <w:noWrap/>
          </w:tcPr>
          <w:p w14:paraId="393B09AA" w14:textId="77777777" w:rsidR="00967C7D" w:rsidRPr="00967C7D" w:rsidRDefault="00967C7D" w:rsidP="00967C7D">
            <w:pPr>
              <w:keepNext w:val="0"/>
              <w:spacing w:before="0"/>
              <w:rPr>
                <w:rFonts w:cs="Arial"/>
                <w:bCs/>
                <w:color w:val="auto"/>
                <w:sz w:val="20"/>
              </w:rPr>
            </w:pPr>
            <w:r w:rsidRPr="00967C7D">
              <w:rPr>
                <w:rFonts w:cs="Arial"/>
                <w:bCs/>
                <w:color w:val="auto"/>
                <w:sz w:val="20"/>
              </w:rPr>
              <w:t>Land off Totnes Close</w:t>
            </w:r>
          </w:p>
        </w:tc>
        <w:tc>
          <w:tcPr>
            <w:tcW w:w="1847" w:type="dxa"/>
            <w:noWrap/>
          </w:tcPr>
          <w:p w14:paraId="28EE9B98" w14:textId="77777777" w:rsidR="00967C7D" w:rsidRPr="00967C7D" w:rsidRDefault="00967C7D" w:rsidP="00967C7D">
            <w:pPr>
              <w:keepNext w:val="0"/>
              <w:spacing w:before="0"/>
              <w:rPr>
                <w:rFonts w:cs="Arial"/>
                <w:bCs/>
                <w:color w:val="auto"/>
                <w:sz w:val="20"/>
              </w:rPr>
            </w:pPr>
            <w:r w:rsidRPr="00967C7D">
              <w:rPr>
                <w:rFonts w:cs="Arial"/>
                <w:bCs/>
                <w:color w:val="auto"/>
                <w:sz w:val="20"/>
              </w:rPr>
              <w:t>South Sheet</w:t>
            </w:r>
          </w:p>
        </w:tc>
      </w:tr>
      <w:tr w:rsidR="00967C7D" w:rsidRPr="00967C7D" w14:paraId="5B480AE8" w14:textId="77777777" w:rsidTr="00B5314A">
        <w:trPr>
          <w:trHeight w:val="284"/>
        </w:trPr>
        <w:tc>
          <w:tcPr>
            <w:tcW w:w="1280" w:type="dxa"/>
          </w:tcPr>
          <w:p w14:paraId="31FADDA1" w14:textId="77777777" w:rsidR="00967C7D" w:rsidRPr="00967C7D" w:rsidRDefault="00967C7D" w:rsidP="00967C7D">
            <w:pPr>
              <w:keepNext w:val="0"/>
              <w:spacing w:before="0"/>
              <w:rPr>
                <w:rFonts w:cs="Arial"/>
                <w:bCs/>
                <w:color w:val="auto"/>
                <w:sz w:val="20"/>
              </w:rPr>
            </w:pPr>
            <w:r w:rsidRPr="00967C7D">
              <w:rPr>
                <w:rFonts w:cs="Arial"/>
                <w:bCs/>
                <w:color w:val="auto"/>
                <w:sz w:val="20"/>
              </w:rPr>
              <w:t>EV5/25</w:t>
            </w:r>
          </w:p>
        </w:tc>
        <w:tc>
          <w:tcPr>
            <w:tcW w:w="6230" w:type="dxa"/>
            <w:noWrap/>
          </w:tcPr>
          <w:p w14:paraId="001546B4" w14:textId="77777777" w:rsidR="00967C7D" w:rsidRPr="00967C7D" w:rsidRDefault="00967C7D" w:rsidP="00967C7D">
            <w:pPr>
              <w:keepNext w:val="0"/>
              <w:spacing w:before="0"/>
              <w:rPr>
                <w:rFonts w:cs="Arial"/>
                <w:bCs/>
                <w:color w:val="auto"/>
                <w:sz w:val="20"/>
              </w:rPr>
            </w:pPr>
            <w:r w:rsidRPr="00967C7D">
              <w:rPr>
                <w:rFonts w:cs="Arial"/>
                <w:bCs/>
                <w:color w:val="auto"/>
                <w:sz w:val="20"/>
              </w:rPr>
              <w:t>The Holgate Comprehensive School Playing Fields</w:t>
            </w:r>
          </w:p>
        </w:tc>
        <w:tc>
          <w:tcPr>
            <w:tcW w:w="1847" w:type="dxa"/>
            <w:noWrap/>
          </w:tcPr>
          <w:p w14:paraId="4B46195E" w14:textId="77777777" w:rsidR="00967C7D" w:rsidRPr="00967C7D" w:rsidRDefault="00967C7D" w:rsidP="00967C7D">
            <w:pPr>
              <w:keepNext w:val="0"/>
              <w:spacing w:before="0"/>
              <w:rPr>
                <w:rFonts w:cs="Arial"/>
                <w:bCs/>
                <w:color w:val="auto"/>
                <w:sz w:val="20"/>
              </w:rPr>
            </w:pPr>
            <w:r w:rsidRPr="00967C7D">
              <w:rPr>
                <w:rFonts w:cs="Arial"/>
                <w:bCs/>
                <w:color w:val="auto"/>
                <w:sz w:val="20"/>
              </w:rPr>
              <w:t>South Sheet</w:t>
            </w:r>
          </w:p>
        </w:tc>
      </w:tr>
      <w:tr w:rsidR="00967C7D" w:rsidRPr="00967C7D" w14:paraId="5A2B670B" w14:textId="77777777" w:rsidTr="00B5314A">
        <w:trPr>
          <w:trHeight w:val="284"/>
        </w:trPr>
        <w:tc>
          <w:tcPr>
            <w:tcW w:w="1280" w:type="dxa"/>
          </w:tcPr>
          <w:p w14:paraId="75D75300" w14:textId="77777777" w:rsidR="00967C7D" w:rsidRPr="00967C7D" w:rsidRDefault="00967C7D" w:rsidP="00967C7D">
            <w:pPr>
              <w:keepNext w:val="0"/>
              <w:spacing w:before="0"/>
              <w:rPr>
                <w:rFonts w:cs="Arial"/>
                <w:bCs/>
                <w:color w:val="auto"/>
                <w:sz w:val="20"/>
              </w:rPr>
            </w:pPr>
            <w:r w:rsidRPr="00967C7D">
              <w:rPr>
                <w:rFonts w:cs="Arial"/>
                <w:bCs/>
                <w:color w:val="auto"/>
                <w:sz w:val="20"/>
              </w:rPr>
              <w:t>EV5/26</w:t>
            </w:r>
          </w:p>
        </w:tc>
        <w:tc>
          <w:tcPr>
            <w:tcW w:w="6230" w:type="dxa"/>
            <w:noWrap/>
          </w:tcPr>
          <w:p w14:paraId="60981657" w14:textId="77777777" w:rsidR="00967C7D" w:rsidRPr="00967C7D" w:rsidRDefault="00967C7D" w:rsidP="00967C7D">
            <w:pPr>
              <w:keepNext w:val="0"/>
              <w:spacing w:before="0"/>
              <w:rPr>
                <w:rFonts w:cs="Arial"/>
                <w:bCs/>
                <w:color w:val="auto"/>
                <w:sz w:val="20"/>
              </w:rPr>
            </w:pPr>
            <w:proofErr w:type="spellStart"/>
            <w:r w:rsidRPr="00967C7D">
              <w:rPr>
                <w:rFonts w:cs="Arial"/>
                <w:bCs/>
                <w:color w:val="auto"/>
                <w:sz w:val="20"/>
              </w:rPr>
              <w:t>Rollestone</w:t>
            </w:r>
            <w:proofErr w:type="spellEnd"/>
            <w:r w:rsidRPr="00967C7D">
              <w:rPr>
                <w:rFonts w:cs="Arial"/>
                <w:bCs/>
                <w:color w:val="auto"/>
                <w:sz w:val="20"/>
              </w:rPr>
              <w:t xml:space="preserve"> to Tiverton Close</w:t>
            </w:r>
          </w:p>
        </w:tc>
        <w:tc>
          <w:tcPr>
            <w:tcW w:w="1847" w:type="dxa"/>
            <w:noWrap/>
          </w:tcPr>
          <w:p w14:paraId="459E04D0" w14:textId="77777777" w:rsidR="00967C7D" w:rsidRPr="00967C7D" w:rsidRDefault="00967C7D" w:rsidP="00967C7D">
            <w:pPr>
              <w:keepNext w:val="0"/>
              <w:spacing w:before="0"/>
              <w:rPr>
                <w:rFonts w:cs="Arial"/>
                <w:bCs/>
                <w:color w:val="auto"/>
                <w:sz w:val="20"/>
              </w:rPr>
            </w:pPr>
            <w:r w:rsidRPr="00967C7D">
              <w:rPr>
                <w:rFonts w:cs="Arial"/>
                <w:bCs/>
                <w:color w:val="auto"/>
                <w:sz w:val="20"/>
              </w:rPr>
              <w:t>South Sheet</w:t>
            </w:r>
          </w:p>
        </w:tc>
      </w:tr>
      <w:tr w:rsidR="00967C7D" w:rsidRPr="00967C7D" w14:paraId="6C1CBF62" w14:textId="77777777" w:rsidTr="00B5314A">
        <w:trPr>
          <w:trHeight w:val="284"/>
        </w:trPr>
        <w:tc>
          <w:tcPr>
            <w:tcW w:w="1280" w:type="dxa"/>
          </w:tcPr>
          <w:p w14:paraId="4E1CF5C6" w14:textId="77777777" w:rsidR="00967C7D" w:rsidRPr="00967C7D" w:rsidRDefault="00967C7D" w:rsidP="00967C7D">
            <w:pPr>
              <w:keepNext w:val="0"/>
              <w:spacing w:before="0"/>
              <w:rPr>
                <w:rFonts w:cs="Arial"/>
                <w:bCs/>
                <w:color w:val="auto"/>
                <w:sz w:val="20"/>
              </w:rPr>
            </w:pPr>
            <w:r w:rsidRPr="00967C7D">
              <w:rPr>
                <w:rFonts w:cs="Arial"/>
                <w:bCs/>
                <w:color w:val="auto"/>
                <w:sz w:val="20"/>
              </w:rPr>
              <w:t>EV5/27</w:t>
            </w:r>
          </w:p>
        </w:tc>
        <w:tc>
          <w:tcPr>
            <w:tcW w:w="6230" w:type="dxa"/>
            <w:noWrap/>
          </w:tcPr>
          <w:p w14:paraId="480D9288" w14:textId="77777777" w:rsidR="00967C7D" w:rsidRPr="00967C7D" w:rsidRDefault="00967C7D" w:rsidP="00967C7D">
            <w:pPr>
              <w:keepNext w:val="0"/>
              <w:spacing w:before="0"/>
              <w:rPr>
                <w:rFonts w:cs="Arial"/>
                <w:bCs/>
                <w:color w:val="auto"/>
                <w:sz w:val="20"/>
              </w:rPr>
            </w:pPr>
            <w:r w:rsidRPr="00967C7D">
              <w:rPr>
                <w:rFonts w:cs="Arial"/>
                <w:bCs/>
                <w:color w:val="auto"/>
                <w:sz w:val="20"/>
              </w:rPr>
              <w:t>Field End of High Leys Road</w:t>
            </w:r>
          </w:p>
        </w:tc>
        <w:tc>
          <w:tcPr>
            <w:tcW w:w="1847" w:type="dxa"/>
            <w:noWrap/>
          </w:tcPr>
          <w:p w14:paraId="4BBB50EF" w14:textId="77777777" w:rsidR="00967C7D" w:rsidRPr="00967C7D" w:rsidRDefault="00967C7D" w:rsidP="00967C7D">
            <w:pPr>
              <w:keepNext w:val="0"/>
              <w:spacing w:before="0"/>
              <w:rPr>
                <w:rFonts w:cs="Arial"/>
                <w:bCs/>
                <w:color w:val="auto"/>
                <w:sz w:val="20"/>
              </w:rPr>
            </w:pPr>
            <w:r w:rsidRPr="00967C7D">
              <w:rPr>
                <w:rFonts w:cs="Arial"/>
                <w:bCs/>
                <w:color w:val="auto"/>
                <w:sz w:val="20"/>
              </w:rPr>
              <w:t>South Sheet</w:t>
            </w:r>
          </w:p>
        </w:tc>
      </w:tr>
      <w:tr w:rsidR="00967C7D" w:rsidRPr="00967C7D" w14:paraId="1CFE83A0" w14:textId="77777777" w:rsidTr="00B5314A">
        <w:trPr>
          <w:trHeight w:val="284"/>
        </w:trPr>
        <w:tc>
          <w:tcPr>
            <w:tcW w:w="1280" w:type="dxa"/>
          </w:tcPr>
          <w:p w14:paraId="25E6F549" w14:textId="77777777" w:rsidR="00967C7D" w:rsidRPr="00967C7D" w:rsidRDefault="00967C7D" w:rsidP="00967C7D">
            <w:pPr>
              <w:keepNext w:val="0"/>
              <w:spacing w:before="0"/>
              <w:rPr>
                <w:rFonts w:cs="Arial"/>
                <w:bCs/>
                <w:color w:val="auto"/>
                <w:sz w:val="20"/>
              </w:rPr>
            </w:pPr>
            <w:r w:rsidRPr="00967C7D">
              <w:rPr>
                <w:rFonts w:cs="Arial"/>
                <w:bCs/>
                <w:color w:val="auto"/>
                <w:sz w:val="20"/>
              </w:rPr>
              <w:t>EV5/28</w:t>
            </w:r>
          </w:p>
        </w:tc>
        <w:tc>
          <w:tcPr>
            <w:tcW w:w="6230" w:type="dxa"/>
            <w:noWrap/>
          </w:tcPr>
          <w:p w14:paraId="285CAD8A" w14:textId="77777777" w:rsidR="00967C7D" w:rsidRPr="00967C7D" w:rsidRDefault="00967C7D" w:rsidP="00967C7D">
            <w:pPr>
              <w:keepNext w:val="0"/>
              <w:spacing w:before="0"/>
              <w:rPr>
                <w:rFonts w:cs="Arial"/>
                <w:bCs/>
                <w:color w:val="auto"/>
                <w:sz w:val="20"/>
              </w:rPr>
            </w:pPr>
            <w:r w:rsidRPr="00967C7D">
              <w:rPr>
                <w:rFonts w:cs="Arial"/>
                <w:bCs/>
                <w:color w:val="auto"/>
                <w:sz w:val="20"/>
              </w:rPr>
              <w:t>Polperro Lagoon</w:t>
            </w:r>
          </w:p>
        </w:tc>
        <w:tc>
          <w:tcPr>
            <w:tcW w:w="1847" w:type="dxa"/>
            <w:noWrap/>
          </w:tcPr>
          <w:p w14:paraId="067A4D92" w14:textId="77777777" w:rsidR="00967C7D" w:rsidRPr="00967C7D" w:rsidRDefault="00967C7D" w:rsidP="00967C7D">
            <w:pPr>
              <w:keepNext w:val="0"/>
              <w:spacing w:before="0"/>
              <w:rPr>
                <w:rFonts w:cs="Arial"/>
                <w:bCs/>
                <w:color w:val="auto"/>
                <w:sz w:val="20"/>
              </w:rPr>
            </w:pPr>
            <w:r w:rsidRPr="00967C7D">
              <w:rPr>
                <w:rFonts w:cs="Arial"/>
                <w:bCs/>
                <w:color w:val="auto"/>
                <w:sz w:val="20"/>
              </w:rPr>
              <w:t>South Sheet</w:t>
            </w:r>
          </w:p>
        </w:tc>
      </w:tr>
      <w:tr w:rsidR="00967C7D" w:rsidRPr="00967C7D" w14:paraId="1EA9C6A1" w14:textId="77777777" w:rsidTr="00B5314A">
        <w:trPr>
          <w:trHeight w:val="284"/>
        </w:trPr>
        <w:tc>
          <w:tcPr>
            <w:tcW w:w="1280" w:type="dxa"/>
          </w:tcPr>
          <w:p w14:paraId="6B0C63B2" w14:textId="77777777" w:rsidR="00967C7D" w:rsidRPr="00967C7D" w:rsidRDefault="00967C7D" w:rsidP="00967C7D">
            <w:pPr>
              <w:keepNext w:val="0"/>
              <w:spacing w:before="0"/>
              <w:rPr>
                <w:rFonts w:cs="Arial"/>
                <w:bCs/>
                <w:color w:val="auto"/>
                <w:sz w:val="20"/>
              </w:rPr>
            </w:pPr>
            <w:r w:rsidRPr="00967C7D">
              <w:rPr>
                <w:rFonts w:cs="Arial"/>
                <w:bCs/>
                <w:color w:val="auto"/>
                <w:sz w:val="20"/>
              </w:rPr>
              <w:t>EV5/29</w:t>
            </w:r>
          </w:p>
        </w:tc>
        <w:tc>
          <w:tcPr>
            <w:tcW w:w="6230" w:type="dxa"/>
            <w:noWrap/>
          </w:tcPr>
          <w:p w14:paraId="555983F2" w14:textId="77777777" w:rsidR="00967C7D" w:rsidRPr="00967C7D" w:rsidRDefault="00967C7D" w:rsidP="00967C7D">
            <w:pPr>
              <w:keepNext w:val="0"/>
              <w:spacing w:before="0"/>
              <w:rPr>
                <w:rFonts w:cs="Arial"/>
                <w:bCs/>
                <w:color w:val="auto"/>
                <w:sz w:val="20"/>
              </w:rPr>
            </w:pPr>
            <w:r w:rsidRPr="00967C7D">
              <w:rPr>
                <w:rFonts w:cs="Arial"/>
                <w:bCs/>
                <w:color w:val="auto"/>
                <w:sz w:val="20"/>
              </w:rPr>
              <w:t>The Holgate Comprehensive School Open Area</w:t>
            </w:r>
          </w:p>
        </w:tc>
        <w:tc>
          <w:tcPr>
            <w:tcW w:w="1847" w:type="dxa"/>
            <w:noWrap/>
          </w:tcPr>
          <w:p w14:paraId="6627C47C" w14:textId="77777777" w:rsidR="00967C7D" w:rsidRPr="00967C7D" w:rsidRDefault="00967C7D" w:rsidP="00967C7D">
            <w:pPr>
              <w:keepNext w:val="0"/>
              <w:spacing w:before="0"/>
              <w:rPr>
                <w:rFonts w:cs="Arial"/>
                <w:bCs/>
                <w:color w:val="auto"/>
                <w:sz w:val="20"/>
              </w:rPr>
            </w:pPr>
            <w:r w:rsidRPr="00967C7D">
              <w:rPr>
                <w:rFonts w:cs="Arial"/>
                <w:bCs/>
                <w:color w:val="auto"/>
                <w:sz w:val="20"/>
              </w:rPr>
              <w:t>South Sheet</w:t>
            </w:r>
          </w:p>
        </w:tc>
      </w:tr>
      <w:tr w:rsidR="00967C7D" w:rsidRPr="00967C7D" w14:paraId="541199B4" w14:textId="77777777" w:rsidTr="00B5314A">
        <w:trPr>
          <w:trHeight w:val="284"/>
        </w:trPr>
        <w:tc>
          <w:tcPr>
            <w:tcW w:w="1280" w:type="dxa"/>
          </w:tcPr>
          <w:p w14:paraId="7067F34F" w14:textId="77777777" w:rsidR="00967C7D" w:rsidRPr="00967C7D" w:rsidRDefault="00967C7D" w:rsidP="00967C7D">
            <w:pPr>
              <w:keepNext w:val="0"/>
              <w:spacing w:before="0"/>
              <w:rPr>
                <w:rFonts w:cs="Arial"/>
                <w:bCs/>
                <w:color w:val="auto"/>
                <w:sz w:val="20"/>
              </w:rPr>
            </w:pPr>
            <w:r w:rsidRPr="00967C7D">
              <w:rPr>
                <w:rFonts w:cs="Arial"/>
                <w:bCs/>
                <w:color w:val="auto"/>
                <w:sz w:val="20"/>
              </w:rPr>
              <w:t>EV5/30</w:t>
            </w:r>
          </w:p>
        </w:tc>
        <w:tc>
          <w:tcPr>
            <w:tcW w:w="6230" w:type="dxa"/>
            <w:noWrap/>
          </w:tcPr>
          <w:p w14:paraId="5EEE15F5" w14:textId="77777777" w:rsidR="00967C7D" w:rsidRPr="00967C7D" w:rsidRDefault="00967C7D" w:rsidP="00967C7D">
            <w:pPr>
              <w:keepNext w:val="0"/>
              <w:spacing w:before="0"/>
              <w:rPr>
                <w:rFonts w:cs="Arial"/>
                <w:bCs/>
                <w:color w:val="auto"/>
                <w:sz w:val="20"/>
              </w:rPr>
            </w:pPr>
            <w:r w:rsidRPr="00967C7D">
              <w:rPr>
                <w:rFonts w:cs="Arial"/>
                <w:bCs/>
                <w:color w:val="auto"/>
                <w:sz w:val="20"/>
              </w:rPr>
              <w:t>Annie Holgate School Playing Field</w:t>
            </w:r>
          </w:p>
        </w:tc>
        <w:tc>
          <w:tcPr>
            <w:tcW w:w="1847" w:type="dxa"/>
            <w:noWrap/>
          </w:tcPr>
          <w:p w14:paraId="6ECD465F" w14:textId="77777777" w:rsidR="00967C7D" w:rsidRPr="00967C7D" w:rsidRDefault="00967C7D" w:rsidP="00967C7D">
            <w:pPr>
              <w:keepNext w:val="0"/>
              <w:spacing w:before="0"/>
              <w:rPr>
                <w:rFonts w:cs="Arial"/>
                <w:bCs/>
                <w:color w:val="auto"/>
                <w:sz w:val="20"/>
              </w:rPr>
            </w:pPr>
            <w:r w:rsidRPr="00967C7D">
              <w:rPr>
                <w:rFonts w:cs="Arial"/>
                <w:bCs/>
                <w:color w:val="auto"/>
                <w:sz w:val="20"/>
              </w:rPr>
              <w:t>South Sheet</w:t>
            </w:r>
          </w:p>
        </w:tc>
      </w:tr>
      <w:tr w:rsidR="00967C7D" w:rsidRPr="00967C7D" w14:paraId="58315656" w14:textId="77777777" w:rsidTr="00B5314A">
        <w:trPr>
          <w:trHeight w:val="284"/>
        </w:trPr>
        <w:tc>
          <w:tcPr>
            <w:tcW w:w="1280" w:type="dxa"/>
          </w:tcPr>
          <w:p w14:paraId="42427D82" w14:textId="77777777" w:rsidR="00967C7D" w:rsidRPr="00967C7D" w:rsidRDefault="00967C7D" w:rsidP="00967C7D">
            <w:pPr>
              <w:keepNext w:val="0"/>
              <w:spacing w:before="0"/>
              <w:rPr>
                <w:rFonts w:cs="Arial"/>
                <w:bCs/>
                <w:color w:val="auto"/>
                <w:sz w:val="20"/>
              </w:rPr>
            </w:pPr>
            <w:r w:rsidRPr="00967C7D">
              <w:rPr>
                <w:rFonts w:cs="Arial"/>
                <w:bCs/>
                <w:color w:val="auto"/>
                <w:sz w:val="20"/>
              </w:rPr>
              <w:t>EV5/31</w:t>
            </w:r>
          </w:p>
        </w:tc>
        <w:tc>
          <w:tcPr>
            <w:tcW w:w="6230" w:type="dxa"/>
            <w:noWrap/>
          </w:tcPr>
          <w:p w14:paraId="0BD5CC61" w14:textId="77777777" w:rsidR="00967C7D" w:rsidRPr="00967C7D" w:rsidRDefault="00967C7D" w:rsidP="00967C7D">
            <w:pPr>
              <w:keepNext w:val="0"/>
              <w:spacing w:before="0"/>
              <w:rPr>
                <w:rFonts w:cs="Arial"/>
                <w:bCs/>
                <w:color w:val="auto"/>
                <w:sz w:val="20"/>
              </w:rPr>
            </w:pPr>
            <w:r w:rsidRPr="00967C7D">
              <w:rPr>
                <w:rFonts w:cs="Arial"/>
                <w:bCs/>
                <w:color w:val="auto"/>
                <w:sz w:val="20"/>
              </w:rPr>
              <w:t>Common Farm</w:t>
            </w:r>
          </w:p>
        </w:tc>
        <w:tc>
          <w:tcPr>
            <w:tcW w:w="1847" w:type="dxa"/>
            <w:noWrap/>
          </w:tcPr>
          <w:p w14:paraId="240E6B26" w14:textId="77777777" w:rsidR="00967C7D" w:rsidRPr="00967C7D" w:rsidRDefault="00967C7D" w:rsidP="00967C7D">
            <w:pPr>
              <w:keepNext w:val="0"/>
              <w:spacing w:before="0"/>
              <w:rPr>
                <w:rFonts w:cs="Arial"/>
                <w:bCs/>
                <w:color w:val="auto"/>
                <w:sz w:val="20"/>
              </w:rPr>
            </w:pPr>
            <w:r w:rsidRPr="00967C7D">
              <w:rPr>
                <w:rFonts w:cs="Arial"/>
                <w:bCs/>
                <w:color w:val="auto"/>
                <w:sz w:val="20"/>
              </w:rPr>
              <w:t>South Sheet</w:t>
            </w:r>
          </w:p>
        </w:tc>
      </w:tr>
      <w:tr w:rsidR="00967C7D" w:rsidRPr="00967C7D" w14:paraId="1D768527" w14:textId="77777777" w:rsidTr="00B5314A">
        <w:trPr>
          <w:trHeight w:val="284"/>
        </w:trPr>
        <w:tc>
          <w:tcPr>
            <w:tcW w:w="1280" w:type="dxa"/>
          </w:tcPr>
          <w:p w14:paraId="77CA10A8" w14:textId="77777777" w:rsidR="00967C7D" w:rsidRPr="00967C7D" w:rsidRDefault="00967C7D" w:rsidP="00967C7D">
            <w:pPr>
              <w:keepNext w:val="0"/>
              <w:spacing w:before="0"/>
              <w:rPr>
                <w:rFonts w:cs="Arial"/>
                <w:bCs/>
                <w:color w:val="auto"/>
                <w:sz w:val="20"/>
              </w:rPr>
            </w:pPr>
            <w:r w:rsidRPr="00967C7D">
              <w:rPr>
                <w:rFonts w:cs="Arial"/>
                <w:bCs/>
                <w:color w:val="auto"/>
                <w:sz w:val="20"/>
              </w:rPr>
              <w:t>EV5/32</w:t>
            </w:r>
          </w:p>
        </w:tc>
        <w:tc>
          <w:tcPr>
            <w:tcW w:w="6230" w:type="dxa"/>
            <w:noWrap/>
          </w:tcPr>
          <w:p w14:paraId="1DEE010F" w14:textId="77777777" w:rsidR="00967C7D" w:rsidRPr="00967C7D" w:rsidRDefault="00967C7D" w:rsidP="00967C7D">
            <w:pPr>
              <w:keepNext w:val="0"/>
              <w:spacing w:before="0"/>
              <w:rPr>
                <w:rFonts w:cs="Arial"/>
                <w:bCs/>
                <w:color w:val="auto"/>
                <w:sz w:val="20"/>
              </w:rPr>
            </w:pPr>
            <w:r w:rsidRPr="00967C7D">
              <w:rPr>
                <w:rFonts w:cs="Arial"/>
                <w:bCs/>
                <w:color w:val="auto"/>
                <w:sz w:val="20"/>
              </w:rPr>
              <w:t>Wigwam Lane Open Area</w:t>
            </w:r>
          </w:p>
        </w:tc>
        <w:tc>
          <w:tcPr>
            <w:tcW w:w="1847" w:type="dxa"/>
            <w:noWrap/>
          </w:tcPr>
          <w:p w14:paraId="4EAB5206" w14:textId="77777777" w:rsidR="00967C7D" w:rsidRPr="00967C7D" w:rsidRDefault="00967C7D" w:rsidP="00967C7D">
            <w:pPr>
              <w:keepNext w:val="0"/>
              <w:spacing w:before="0"/>
              <w:rPr>
                <w:rFonts w:cs="Arial"/>
                <w:bCs/>
                <w:color w:val="auto"/>
                <w:sz w:val="20"/>
              </w:rPr>
            </w:pPr>
            <w:r w:rsidRPr="00967C7D">
              <w:rPr>
                <w:rFonts w:cs="Arial"/>
                <w:bCs/>
                <w:color w:val="auto"/>
                <w:sz w:val="20"/>
              </w:rPr>
              <w:t>South Sheet</w:t>
            </w:r>
          </w:p>
        </w:tc>
      </w:tr>
      <w:tr w:rsidR="00967C7D" w:rsidRPr="00967C7D" w14:paraId="6BEC50CB" w14:textId="77777777" w:rsidTr="00B5314A">
        <w:trPr>
          <w:trHeight w:val="284"/>
        </w:trPr>
        <w:tc>
          <w:tcPr>
            <w:tcW w:w="1280" w:type="dxa"/>
          </w:tcPr>
          <w:p w14:paraId="66DEDBE4" w14:textId="77777777" w:rsidR="00967C7D" w:rsidRPr="00967C7D" w:rsidRDefault="00967C7D" w:rsidP="00967C7D">
            <w:pPr>
              <w:keepNext w:val="0"/>
              <w:spacing w:before="0"/>
              <w:rPr>
                <w:rFonts w:cs="Arial"/>
                <w:bCs/>
                <w:color w:val="auto"/>
                <w:sz w:val="20"/>
              </w:rPr>
            </w:pPr>
            <w:r w:rsidRPr="00967C7D">
              <w:rPr>
                <w:rFonts w:cs="Arial"/>
                <w:bCs/>
                <w:color w:val="auto"/>
                <w:sz w:val="20"/>
              </w:rPr>
              <w:t>EV5/33</w:t>
            </w:r>
          </w:p>
        </w:tc>
        <w:tc>
          <w:tcPr>
            <w:tcW w:w="6230" w:type="dxa"/>
            <w:noWrap/>
          </w:tcPr>
          <w:p w14:paraId="0EA6B8E9" w14:textId="77777777" w:rsidR="00967C7D" w:rsidRPr="00967C7D" w:rsidRDefault="00967C7D" w:rsidP="00967C7D">
            <w:pPr>
              <w:keepNext w:val="0"/>
              <w:spacing w:before="0"/>
              <w:rPr>
                <w:rFonts w:cs="Arial"/>
                <w:bCs/>
                <w:color w:val="auto"/>
                <w:sz w:val="20"/>
              </w:rPr>
            </w:pPr>
            <w:r w:rsidRPr="00967C7D">
              <w:rPr>
                <w:rFonts w:cs="Arial"/>
                <w:bCs/>
                <w:color w:val="auto"/>
                <w:sz w:val="20"/>
              </w:rPr>
              <w:t>Leen Valley Golf Course</w:t>
            </w:r>
          </w:p>
        </w:tc>
        <w:tc>
          <w:tcPr>
            <w:tcW w:w="1847" w:type="dxa"/>
            <w:noWrap/>
          </w:tcPr>
          <w:p w14:paraId="2D107885" w14:textId="77777777" w:rsidR="00967C7D" w:rsidRPr="00967C7D" w:rsidRDefault="00967C7D" w:rsidP="00967C7D">
            <w:pPr>
              <w:keepNext w:val="0"/>
              <w:spacing w:before="0"/>
              <w:rPr>
                <w:rFonts w:cs="Arial"/>
                <w:bCs/>
                <w:color w:val="auto"/>
                <w:sz w:val="20"/>
              </w:rPr>
            </w:pPr>
            <w:r w:rsidRPr="00967C7D">
              <w:rPr>
                <w:rFonts w:cs="Arial"/>
                <w:bCs/>
                <w:color w:val="auto"/>
                <w:sz w:val="20"/>
              </w:rPr>
              <w:t>South Sheet</w:t>
            </w:r>
          </w:p>
        </w:tc>
      </w:tr>
      <w:tr w:rsidR="00967C7D" w:rsidRPr="00967C7D" w14:paraId="4F78DA9A" w14:textId="77777777" w:rsidTr="00B5314A">
        <w:trPr>
          <w:trHeight w:val="284"/>
        </w:trPr>
        <w:tc>
          <w:tcPr>
            <w:tcW w:w="1280" w:type="dxa"/>
          </w:tcPr>
          <w:p w14:paraId="63E46AB7" w14:textId="77777777" w:rsidR="00967C7D" w:rsidRPr="00967C7D" w:rsidRDefault="00967C7D" w:rsidP="00967C7D">
            <w:pPr>
              <w:keepNext w:val="0"/>
              <w:spacing w:before="0"/>
              <w:rPr>
                <w:rFonts w:cs="Arial"/>
                <w:bCs/>
                <w:color w:val="auto"/>
                <w:sz w:val="20"/>
              </w:rPr>
            </w:pPr>
            <w:r w:rsidRPr="00967C7D">
              <w:rPr>
                <w:rFonts w:cs="Arial"/>
                <w:bCs/>
                <w:color w:val="auto"/>
                <w:sz w:val="20"/>
              </w:rPr>
              <w:t>EV5/34</w:t>
            </w:r>
          </w:p>
        </w:tc>
        <w:tc>
          <w:tcPr>
            <w:tcW w:w="6230" w:type="dxa"/>
            <w:noWrap/>
          </w:tcPr>
          <w:p w14:paraId="4CDEC8C5" w14:textId="77777777" w:rsidR="00967C7D" w:rsidRPr="00967C7D" w:rsidRDefault="00967C7D" w:rsidP="00967C7D">
            <w:pPr>
              <w:keepNext w:val="0"/>
              <w:spacing w:before="0"/>
              <w:rPr>
                <w:rFonts w:cs="Arial"/>
                <w:bCs/>
                <w:color w:val="auto"/>
                <w:sz w:val="20"/>
              </w:rPr>
            </w:pPr>
            <w:r w:rsidRPr="00967C7D">
              <w:rPr>
                <w:rFonts w:cs="Arial"/>
                <w:bCs/>
                <w:color w:val="auto"/>
                <w:sz w:val="20"/>
              </w:rPr>
              <w:t>Garden Road</w:t>
            </w:r>
          </w:p>
        </w:tc>
        <w:tc>
          <w:tcPr>
            <w:tcW w:w="1847" w:type="dxa"/>
            <w:noWrap/>
          </w:tcPr>
          <w:p w14:paraId="19C902B0" w14:textId="77777777" w:rsidR="00967C7D" w:rsidRPr="00967C7D" w:rsidRDefault="00967C7D" w:rsidP="00967C7D">
            <w:pPr>
              <w:keepNext w:val="0"/>
              <w:spacing w:before="0"/>
              <w:rPr>
                <w:rFonts w:cs="Arial"/>
                <w:bCs/>
                <w:color w:val="auto"/>
                <w:sz w:val="20"/>
              </w:rPr>
            </w:pPr>
            <w:r w:rsidRPr="00967C7D">
              <w:rPr>
                <w:rFonts w:cs="Arial"/>
                <w:bCs/>
                <w:color w:val="auto"/>
                <w:sz w:val="20"/>
              </w:rPr>
              <w:t>South Sheet</w:t>
            </w:r>
          </w:p>
        </w:tc>
      </w:tr>
      <w:tr w:rsidR="00967C7D" w:rsidRPr="00967C7D" w14:paraId="7D6DB92D" w14:textId="77777777" w:rsidTr="00B5314A">
        <w:trPr>
          <w:trHeight w:val="284"/>
        </w:trPr>
        <w:tc>
          <w:tcPr>
            <w:tcW w:w="1280" w:type="dxa"/>
          </w:tcPr>
          <w:p w14:paraId="6A67166B" w14:textId="77777777" w:rsidR="00967C7D" w:rsidRPr="00967C7D" w:rsidRDefault="00967C7D" w:rsidP="00967C7D">
            <w:pPr>
              <w:keepNext w:val="0"/>
              <w:spacing w:before="0"/>
              <w:rPr>
                <w:rFonts w:cs="Arial"/>
                <w:bCs/>
                <w:color w:val="auto"/>
                <w:sz w:val="20"/>
              </w:rPr>
            </w:pPr>
            <w:r w:rsidRPr="00967C7D">
              <w:rPr>
                <w:rFonts w:cs="Arial"/>
                <w:bCs/>
                <w:color w:val="auto"/>
                <w:sz w:val="20"/>
              </w:rPr>
              <w:t>EV5/35</w:t>
            </w:r>
          </w:p>
        </w:tc>
        <w:tc>
          <w:tcPr>
            <w:tcW w:w="6230" w:type="dxa"/>
            <w:noWrap/>
          </w:tcPr>
          <w:p w14:paraId="0FD3E3DC" w14:textId="77777777" w:rsidR="00967C7D" w:rsidRPr="00967C7D" w:rsidRDefault="00967C7D" w:rsidP="00967C7D">
            <w:pPr>
              <w:keepNext w:val="0"/>
              <w:spacing w:before="0"/>
              <w:rPr>
                <w:rFonts w:cs="Arial"/>
                <w:bCs/>
                <w:color w:val="auto"/>
                <w:sz w:val="20"/>
              </w:rPr>
            </w:pPr>
            <w:r w:rsidRPr="00967C7D">
              <w:rPr>
                <w:rFonts w:cs="Arial"/>
                <w:bCs/>
                <w:color w:val="auto"/>
                <w:sz w:val="20"/>
              </w:rPr>
              <w:t>Wood Lane</w:t>
            </w:r>
          </w:p>
        </w:tc>
        <w:tc>
          <w:tcPr>
            <w:tcW w:w="1847" w:type="dxa"/>
            <w:noWrap/>
          </w:tcPr>
          <w:p w14:paraId="4ED9325B" w14:textId="77777777" w:rsidR="00967C7D" w:rsidRPr="00967C7D" w:rsidRDefault="00967C7D" w:rsidP="00967C7D">
            <w:pPr>
              <w:keepNext w:val="0"/>
              <w:spacing w:before="0"/>
              <w:rPr>
                <w:rFonts w:cs="Arial"/>
                <w:bCs/>
                <w:color w:val="auto"/>
                <w:sz w:val="20"/>
              </w:rPr>
            </w:pPr>
            <w:r w:rsidRPr="00967C7D">
              <w:rPr>
                <w:rFonts w:cs="Arial"/>
                <w:bCs/>
                <w:color w:val="auto"/>
                <w:sz w:val="20"/>
              </w:rPr>
              <w:t>South Sheet</w:t>
            </w:r>
          </w:p>
        </w:tc>
      </w:tr>
      <w:tr w:rsidR="00967C7D" w:rsidRPr="00967C7D" w14:paraId="329D1429" w14:textId="77777777" w:rsidTr="00B5314A">
        <w:trPr>
          <w:trHeight w:val="284"/>
        </w:trPr>
        <w:tc>
          <w:tcPr>
            <w:tcW w:w="1280" w:type="dxa"/>
          </w:tcPr>
          <w:p w14:paraId="7565F7AB" w14:textId="77777777" w:rsidR="00967C7D" w:rsidRPr="00967C7D" w:rsidRDefault="00967C7D" w:rsidP="00967C7D">
            <w:pPr>
              <w:keepNext w:val="0"/>
              <w:spacing w:before="0"/>
              <w:rPr>
                <w:rFonts w:cs="Arial"/>
                <w:bCs/>
                <w:color w:val="auto"/>
                <w:sz w:val="20"/>
              </w:rPr>
            </w:pPr>
            <w:r w:rsidRPr="00967C7D">
              <w:rPr>
                <w:rFonts w:cs="Arial"/>
                <w:bCs/>
                <w:color w:val="auto"/>
                <w:sz w:val="20"/>
              </w:rPr>
              <w:t>EV5/36</w:t>
            </w:r>
          </w:p>
        </w:tc>
        <w:tc>
          <w:tcPr>
            <w:tcW w:w="6230" w:type="dxa"/>
            <w:noWrap/>
          </w:tcPr>
          <w:p w14:paraId="63DB52EE" w14:textId="77777777" w:rsidR="00967C7D" w:rsidRPr="00967C7D" w:rsidRDefault="00967C7D" w:rsidP="00967C7D">
            <w:pPr>
              <w:keepNext w:val="0"/>
              <w:spacing w:before="0"/>
              <w:rPr>
                <w:rFonts w:cs="Arial"/>
                <w:bCs/>
                <w:color w:val="auto"/>
                <w:sz w:val="20"/>
              </w:rPr>
            </w:pPr>
            <w:r w:rsidRPr="00967C7D">
              <w:rPr>
                <w:rFonts w:cs="Arial"/>
                <w:bCs/>
                <w:color w:val="auto"/>
                <w:sz w:val="20"/>
              </w:rPr>
              <w:t>St Mary Magdalen's Church Cemetery</w:t>
            </w:r>
          </w:p>
        </w:tc>
        <w:tc>
          <w:tcPr>
            <w:tcW w:w="1847" w:type="dxa"/>
            <w:noWrap/>
          </w:tcPr>
          <w:p w14:paraId="70095F62" w14:textId="77777777" w:rsidR="00967C7D" w:rsidRPr="00967C7D" w:rsidRDefault="00967C7D" w:rsidP="00967C7D">
            <w:pPr>
              <w:keepNext w:val="0"/>
              <w:spacing w:before="0"/>
              <w:rPr>
                <w:rFonts w:cs="Arial"/>
                <w:bCs/>
                <w:color w:val="auto"/>
                <w:sz w:val="20"/>
              </w:rPr>
            </w:pPr>
            <w:r w:rsidRPr="00967C7D">
              <w:rPr>
                <w:rFonts w:cs="Arial"/>
                <w:bCs/>
                <w:color w:val="auto"/>
                <w:sz w:val="20"/>
              </w:rPr>
              <w:t>South Sheet</w:t>
            </w:r>
          </w:p>
        </w:tc>
      </w:tr>
      <w:tr w:rsidR="00967C7D" w:rsidRPr="00967C7D" w14:paraId="327C355D" w14:textId="77777777" w:rsidTr="00B5314A">
        <w:trPr>
          <w:trHeight w:val="284"/>
        </w:trPr>
        <w:tc>
          <w:tcPr>
            <w:tcW w:w="1280" w:type="dxa"/>
          </w:tcPr>
          <w:p w14:paraId="4F1B2F8D" w14:textId="77777777" w:rsidR="00967C7D" w:rsidRPr="00967C7D" w:rsidRDefault="00967C7D" w:rsidP="00967C7D">
            <w:pPr>
              <w:keepNext w:val="0"/>
              <w:spacing w:before="0"/>
              <w:rPr>
                <w:rFonts w:cs="Arial"/>
                <w:bCs/>
                <w:color w:val="auto"/>
                <w:sz w:val="20"/>
              </w:rPr>
            </w:pPr>
            <w:r w:rsidRPr="00967C7D">
              <w:rPr>
                <w:rFonts w:cs="Arial"/>
                <w:bCs/>
                <w:color w:val="auto"/>
                <w:sz w:val="20"/>
              </w:rPr>
              <w:t>EV5/37</w:t>
            </w:r>
          </w:p>
        </w:tc>
        <w:tc>
          <w:tcPr>
            <w:tcW w:w="6230" w:type="dxa"/>
            <w:noWrap/>
          </w:tcPr>
          <w:p w14:paraId="60FC1913" w14:textId="77777777" w:rsidR="00967C7D" w:rsidRPr="00967C7D" w:rsidRDefault="00967C7D" w:rsidP="00967C7D">
            <w:pPr>
              <w:keepNext w:val="0"/>
              <w:spacing w:before="0"/>
              <w:rPr>
                <w:rFonts w:cs="Arial"/>
                <w:bCs/>
                <w:color w:val="auto"/>
                <w:sz w:val="20"/>
              </w:rPr>
            </w:pPr>
            <w:r w:rsidRPr="00967C7D">
              <w:rPr>
                <w:rFonts w:cs="Arial"/>
                <w:bCs/>
                <w:color w:val="auto"/>
                <w:sz w:val="20"/>
              </w:rPr>
              <w:t>Whyburn Primary School Playing Field</w:t>
            </w:r>
          </w:p>
        </w:tc>
        <w:tc>
          <w:tcPr>
            <w:tcW w:w="1847" w:type="dxa"/>
            <w:noWrap/>
          </w:tcPr>
          <w:p w14:paraId="425ADA79" w14:textId="77777777" w:rsidR="00967C7D" w:rsidRPr="00967C7D" w:rsidRDefault="00967C7D" w:rsidP="00967C7D">
            <w:pPr>
              <w:keepNext w:val="0"/>
              <w:spacing w:before="0"/>
              <w:rPr>
                <w:rFonts w:cs="Arial"/>
                <w:bCs/>
                <w:color w:val="auto"/>
                <w:sz w:val="20"/>
              </w:rPr>
            </w:pPr>
            <w:r w:rsidRPr="00967C7D">
              <w:rPr>
                <w:rFonts w:cs="Arial"/>
                <w:bCs/>
                <w:color w:val="auto"/>
                <w:sz w:val="20"/>
              </w:rPr>
              <w:t>South Sheet</w:t>
            </w:r>
          </w:p>
        </w:tc>
      </w:tr>
      <w:tr w:rsidR="00967C7D" w:rsidRPr="00967C7D" w14:paraId="2B17BE84" w14:textId="77777777" w:rsidTr="00B5314A">
        <w:trPr>
          <w:trHeight w:val="284"/>
        </w:trPr>
        <w:tc>
          <w:tcPr>
            <w:tcW w:w="1280" w:type="dxa"/>
          </w:tcPr>
          <w:p w14:paraId="62180FB8" w14:textId="77777777" w:rsidR="00967C7D" w:rsidRPr="00967C7D" w:rsidRDefault="00967C7D" w:rsidP="00967C7D">
            <w:pPr>
              <w:keepNext w:val="0"/>
              <w:spacing w:before="0"/>
              <w:rPr>
                <w:rFonts w:cs="Arial"/>
                <w:bCs/>
                <w:color w:val="auto"/>
                <w:sz w:val="20"/>
              </w:rPr>
            </w:pPr>
            <w:r w:rsidRPr="00967C7D">
              <w:rPr>
                <w:rFonts w:cs="Arial"/>
                <w:bCs/>
                <w:color w:val="auto"/>
                <w:sz w:val="20"/>
              </w:rPr>
              <w:t>EV5/38</w:t>
            </w:r>
          </w:p>
        </w:tc>
        <w:tc>
          <w:tcPr>
            <w:tcW w:w="6230" w:type="dxa"/>
            <w:noWrap/>
          </w:tcPr>
          <w:p w14:paraId="501FE501" w14:textId="77777777" w:rsidR="00967C7D" w:rsidRPr="00967C7D" w:rsidRDefault="00967C7D" w:rsidP="00967C7D">
            <w:pPr>
              <w:keepNext w:val="0"/>
              <w:spacing w:before="0"/>
              <w:rPr>
                <w:rFonts w:cs="Arial"/>
                <w:bCs/>
                <w:color w:val="auto"/>
                <w:sz w:val="20"/>
              </w:rPr>
            </w:pPr>
            <w:r w:rsidRPr="00967C7D">
              <w:rPr>
                <w:rFonts w:cs="Arial"/>
                <w:bCs/>
                <w:color w:val="auto"/>
                <w:sz w:val="20"/>
              </w:rPr>
              <w:t>Greenwood Vale</w:t>
            </w:r>
          </w:p>
        </w:tc>
        <w:tc>
          <w:tcPr>
            <w:tcW w:w="1847" w:type="dxa"/>
            <w:noWrap/>
          </w:tcPr>
          <w:p w14:paraId="72A12510" w14:textId="77777777" w:rsidR="00967C7D" w:rsidRPr="00967C7D" w:rsidRDefault="00967C7D" w:rsidP="00967C7D">
            <w:pPr>
              <w:keepNext w:val="0"/>
              <w:spacing w:before="0"/>
              <w:rPr>
                <w:rFonts w:cs="Arial"/>
                <w:bCs/>
                <w:color w:val="auto"/>
                <w:sz w:val="20"/>
              </w:rPr>
            </w:pPr>
            <w:r w:rsidRPr="00967C7D">
              <w:rPr>
                <w:rFonts w:cs="Arial"/>
                <w:bCs/>
                <w:color w:val="auto"/>
                <w:sz w:val="20"/>
              </w:rPr>
              <w:t>South Sheet</w:t>
            </w:r>
          </w:p>
        </w:tc>
      </w:tr>
      <w:tr w:rsidR="00967C7D" w:rsidRPr="00967C7D" w14:paraId="315A5B4E" w14:textId="77777777" w:rsidTr="00B5314A">
        <w:trPr>
          <w:trHeight w:val="284"/>
        </w:trPr>
        <w:tc>
          <w:tcPr>
            <w:tcW w:w="1280" w:type="dxa"/>
          </w:tcPr>
          <w:p w14:paraId="48F4906A" w14:textId="77777777" w:rsidR="00967C7D" w:rsidRPr="00967C7D" w:rsidRDefault="00967C7D" w:rsidP="00967C7D">
            <w:pPr>
              <w:keepNext w:val="0"/>
              <w:spacing w:before="0"/>
              <w:rPr>
                <w:rFonts w:cs="Arial"/>
                <w:bCs/>
                <w:color w:val="auto"/>
                <w:sz w:val="20"/>
              </w:rPr>
            </w:pPr>
            <w:r w:rsidRPr="00967C7D">
              <w:rPr>
                <w:rFonts w:cs="Arial"/>
                <w:bCs/>
                <w:color w:val="auto"/>
                <w:sz w:val="20"/>
              </w:rPr>
              <w:t>EV5/39</w:t>
            </w:r>
          </w:p>
        </w:tc>
        <w:tc>
          <w:tcPr>
            <w:tcW w:w="6230" w:type="dxa"/>
            <w:noWrap/>
          </w:tcPr>
          <w:p w14:paraId="695510C4" w14:textId="77777777" w:rsidR="00967C7D" w:rsidRPr="00967C7D" w:rsidRDefault="00967C7D" w:rsidP="00967C7D">
            <w:pPr>
              <w:keepNext w:val="0"/>
              <w:spacing w:before="0"/>
              <w:rPr>
                <w:rFonts w:cs="Arial"/>
                <w:bCs/>
                <w:color w:val="auto"/>
                <w:sz w:val="20"/>
              </w:rPr>
            </w:pPr>
            <w:r w:rsidRPr="00967C7D">
              <w:rPr>
                <w:rFonts w:cs="Arial"/>
                <w:bCs/>
                <w:color w:val="auto"/>
                <w:sz w:val="20"/>
              </w:rPr>
              <w:t>Wigwam Lane Playing Field</w:t>
            </w:r>
          </w:p>
        </w:tc>
        <w:tc>
          <w:tcPr>
            <w:tcW w:w="1847" w:type="dxa"/>
            <w:noWrap/>
          </w:tcPr>
          <w:p w14:paraId="7F711C5F" w14:textId="77777777" w:rsidR="00967C7D" w:rsidRPr="00967C7D" w:rsidRDefault="00967C7D" w:rsidP="00967C7D">
            <w:pPr>
              <w:keepNext w:val="0"/>
              <w:spacing w:before="0"/>
              <w:rPr>
                <w:rFonts w:cs="Arial"/>
                <w:bCs/>
                <w:color w:val="auto"/>
                <w:sz w:val="20"/>
              </w:rPr>
            </w:pPr>
            <w:r w:rsidRPr="00967C7D">
              <w:rPr>
                <w:rFonts w:cs="Arial"/>
                <w:bCs/>
                <w:color w:val="auto"/>
                <w:sz w:val="20"/>
              </w:rPr>
              <w:t>South Sheet</w:t>
            </w:r>
          </w:p>
        </w:tc>
      </w:tr>
      <w:tr w:rsidR="00967C7D" w:rsidRPr="00967C7D" w14:paraId="433495DE" w14:textId="77777777" w:rsidTr="00B5314A">
        <w:trPr>
          <w:trHeight w:val="284"/>
        </w:trPr>
        <w:tc>
          <w:tcPr>
            <w:tcW w:w="1280" w:type="dxa"/>
          </w:tcPr>
          <w:p w14:paraId="726D7D4D" w14:textId="77777777" w:rsidR="00967C7D" w:rsidRPr="00967C7D" w:rsidRDefault="00967C7D" w:rsidP="00967C7D">
            <w:pPr>
              <w:keepNext w:val="0"/>
              <w:spacing w:before="0"/>
              <w:rPr>
                <w:rFonts w:cs="Arial"/>
                <w:bCs/>
                <w:color w:val="auto"/>
                <w:sz w:val="20"/>
              </w:rPr>
            </w:pPr>
            <w:r w:rsidRPr="00967C7D">
              <w:rPr>
                <w:rFonts w:cs="Arial"/>
                <w:bCs/>
                <w:color w:val="auto"/>
                <w:sz w:val="20"/>
              </w:rPr>
              <w:t>EV5/40</w:t>
            </w:r>
          </w:p>
        </w:tc>
        <w:tc>
          <w:tcPr>
            <w:tcW w:w="6230" w:type="dxa"/>
            <w:noWrap/>
          </w:tcPr>
          <w:p w14:paraId="6D6CD520" w14:textId="77777777" w:rsidR="00967C7D" w:rsidRPr="00967C7D" w:rsidRDefault="00967C7D" w:rsidP="00967C7D">
            <w:pPr>
              <w:keepNext w:val="0"/>
              <w:spacing w:before="0"/>
              <w:rPr>
                <w:rFonts w:cs="Arial"/>
                <w:bCs/>
                <w:color w:val="auto"/>
                <w:sz w:val="20"/>
              </w:rPr>
            </w:pPr>
            <w:r w:rsidRPr="00967C7D">
              <w:rPr>
                <w:rFonts w:cs="Arial"/>
                <w:bCs/>
                <w:color w:val="auto"/>
                <w:sz w:val="20"/>
              </w:rPr>
              <w:t>Albert Street Recreation Ground</w:t>
            </w:r>
          </w:p>
        </w:tc>
        <w:tc>
          <w:tcPr>
            <w:tcW w:w="1847" w:type="dxa"/>
            <w:noWrap/>
          </w:tcPr>
          <w:p w14:paraId="03392B08" w14:textId="77777777" w:rsidR="00967C7D" w:rsidRPr="00967C7D" w:rsidRDefault="00967C7D" w:rsidP="00967C7D">
            <w:pPr>
              <w:keepNext w:val="0"/>
              <w:spacing w:before="0"/>
              <w:rPr>
                <w:rFonts w:cs="Arial"/>
                <w:bCs/>
                <w:color w:val="auto"/>
                <w:sz w:val="20"/>
              </w:rPr>
            </w:pPr>
            <w:r w:rsidRPr="00967C7D">
              <w:rPr>
                <w:rFonts w:cs="Arial"/>
                <w:bCs/>
                <w:color w:val="auto"/>
                <w:sz w:val="20"/>
              </w:rPr>
              <w:t>South Sheet</w:t>
            </w:r>
          </w:p>
        </w:tc>
      </w:tr>
      <w:tr w:rsidR="00967C7D" w:rsidRPr="00967C7D" w14:paraId="1DC9B352" w14:textId="77777777" w:rsidTr="00B5314A">
        <w:trPr>
          <w:trHeight w:val="284"/>
        </w:trPr>
        <w:tc>
          <w:tcPr>
            <w:tcW w:w="1280" w:type="dxa"/>
          </w:tcPr>
          <w:p w14:paraId="536635D3" w14:textId="77777777" w:rsidR="00967C7D" w:rsidRPr="00967C7D" w:rsidRDefault="00967C7D" w:rsidP="00967C7D">
            <w:pPr>
              <w:keepNext w:val="0"/>
              <w:spacing w:before="0"/>
              <w:rPr>
                <w:rFonts w:cs="Arial"/>
                <w:bCs/>
                <w:color w:val="auto"/>
                <w:sz w:val="20"/>
              </w:rPr>
            </w:pPr>
            <w:r w:rsidRPr="00967C7D">
              <w:rPr>
                <w:rFonts w:cs="Arial"/>
                <w:bCs/>
                <w:color w:val="auto"/>
                <w:sz w:val="20"/>
              </w:rPr>
              <w:t>EV5/41</w:t>
            </w:r>
          </w:p>
        </w:tc>
        <w:tc>
          <w:tcPr>
            <w:tcW w:w="6230" w:type="dxa"/>
            <w:noWrap/>
          </w:tcPr>
          <w:p w14:paraId="132BB7C5" w14:textId="77777777" w:rsidR="00967C7D" w:rsidRPr="00967C7D" w:rsidRDefault="00967C7D" w:rsidP="00967C7D">
            <w:pPr>
              <w:keepNext w:val="0"/>
              <w:spacing w:before="0"/>
              <w:rPr>
                <w:rFonts w:cs="Arial"/>
                <w:bCs/>
                <w:color w:val="auto"/>
                <w:sz w:val="20"/>
              </w:rPr>
            </w:pPr>
            <w:r w:rsidRPr="00967C7D">
              <w:rPr>
                <w:rFonts w:cs="Arial"/>
                <w:bCs/>
                <w:color w:val="auto"/>
                <w:sz w:val="20"/>
              </w:rPr>
              <w:t>Papplewick Lane Football Pitches</w:t>
            </w:r>
          </w:p>
        </w:tc>
        <w:tc>
          <w:tcPr>
            <w:tcW w:w="1847" w:type="dxa"/>
            <w:noWrap/>
          </w:tcPr>
          <w:p w14:paraId="0F35CB6C" w14:textId="77777777" w:rsidR="00967C7D" w:rsidRPr="00967C7D" w:rsidRDefault="00967C7D" w:rsidP="00967C7D">
            <w:pPr>
              <w:keepNext w:val="0"/>
              <w:spacing w:before="0"/>
              <w:rPr>
                <w:rFonts w:cs="Arial"/>
                <w:bCs/>
                <w:color w:val="auto"/>
                <w:sz w:val="20"/>
              </w:rPr>
            </w:pPr>
            <w:r w:rsidRPr="00967C7D">
              <w:rPr>
                <w:rFonts w:cs="Arial"/>
                <w:bCs/>
                <w:color w:val="auto"/>
                <w:sz w:val="20"/>
              </w:rPr>
              <w:t>South Sheet</w:t>
            </w:r>
          </w:p>
        </w:tc>
      </w:tr>
      <w:tr w:rsidR="00967C7D" w:rsidRPr="00967C7D" w14:paraId="496741FF" w14:textId="77777777" w:rsidTr="00B5314A">
        <w:trPr>
          <w:trHeight w:val="284"/>
        </w:trPr>
        <w:tc>
          <w:tcPr>
            <w:tcW w:w="1280" w:type="dxa"/>
          </w:tcPr>
          <w:p w14:paraId="5DF11665" w14:textId="77777777" w:rsidR="00967C7D" w:rsidRPr="00967C7D" w:rsidRDefault="00967C7D" w:rsidP="00967C7D">
            <w:pPr>
              <w:keepNext w:val="0"/>
              <w:spacing w:before="0"/>
              <w:rPr>
                <w:rFonts w:cs="Arial"/>
                <w:bCs/>
                <w:color w:val="auto"/>
                <w:sz w:val="20"/>
              </w:rPr>
            </w:pPr>
            <w:r w:rsidRPr="00967C7D">
              <w:rPr>
                <w:rFonts w:cs="Arial"/>
                <w:bCs/>
                <w:color w:val="auto"/>
                <w:sz w:val="20"/>
              </w:rPr>
              <w:t>EV5/42</w:t>
            </w:r>
          </w:p>
        </w:tc>
        <w:tc>
          <w:tcPr>
            <w:tcW w:w="6230" w:type="dxa"/>
            <w:noWrap/>
          </w:tcPr>
          <w:p w14:paraId="04F51715" w14:textId="77777777" w:rsidR="00967C7D" w:rsidRPr="00967C7D" w:rsidRDefault="00967C7D" w:rsidP="00967C7D">
            <w:pPr>
              <w:keepNext w:val="0"/>
              <w:spacing w:before="0"/>
              <w:rPr>
                <w:rFonts w:cs="Arial"/>
                <w:bCs/>
                <w:color w:val="auto"/>
                <w:sz w:val="20"/>
              </w:rPr>
            </w:pPr>
            <w:r w:rsidRPr="00967C7D">
              <w:rPr>
                <w:rFonts w:cs="Arial"/>
                <w:bCs/>
                <w:color w:val="auto"/>
                <w:sz w:val="20"/>
              </w:rPr>
              <w:t>Papplewick Leen Corridor</w:t>
            </w:r>
          </w:p>
        </w:tc>
        <w:tc>
          <w:tcPr>
            <w:tcW w:w="1847" w:type="dxa"/>
            <w:noWrap/>
          </w:tcPr>
          <w:p w14:paraId="498333CE" w14:textId="77777777" w:rsidR="00967C7D" w:rsidRPr="00967C7D" w:rsidRDefault="00967C7D" w:rsidP="00967C7D">
            <w:pPr>
              <w:keepNext w:val="0"/>
              <w:spacing w:before="0"/>
              <w:rPr>
                <w:rFonts w:cs="Arial"/>
                <w:bCs/>
                <w:color w:val="auto"/>
                <w:sz w:val="20"/>
              </w:rPr>
            </w:pPr>
            <w:r w:rsidRPr="00967C7D">
              <w:rPr>
                <w:rFonts w:cs="Arial"/>
                <w:bCs/>
                <w:color w:val="auto"/>
                <w:sz w:val="20"/>
              </w:rPr>
              <w:t>South Sheet</w:t>
            </w:r>
          </w:p>
        </w:tc>
      </w:tr>
      <w:tr w:rsidR="00967C7D" w:rsidRPr="00967C7D" w14:paraId="69D7FA73" w14:textId="77777777" w:rsidTr="00B5314A">
        <w:trPr>
          <w:trHeight w:val="284"/>
        </w:trPr>
        <w:tc>
          <w:tcPr>
            <w:tcW w:w="1280" w:type="dxa"/>
          </w:tcPr>
          <w:p w14:paraId="195BBD83" w14:textId="77777777" w:rsidR="00967C7D" w:rsidRPr="00967C7D" w:rsidRDefault="00967C7D" w:rsidP="00967C7D">
            <w:pPr>
              <w:keepNext w:val="0"/>
              <w:spacing w:before="0"/>
              <w:rPr>
                <w:rFonts w:cs="Arial"/>
                <w:bCs/>
                <w:color w:val="auto"/>
                <w:sz w:val="20"/>
              </w:rPr>
            </w:pPr>
            <w:r w:rsidRPr="00967C7D">
              <w:rPr>
                <w:rFonts w:cs="Arial"/>
                <w:bCs/>
                <w:color w:val="auto"/>
                <w:sz w:val="20"/>
              </w:rPr>
              <w:t>EV5/43</w:t>
            </w:r>
          </w:p>
        </w:tc>
        <w:tc>
          <w:tcPr>
            <w:tcW w:w="6230" w:type="dxa"/>
            <w:noWrap/>
          </w:tcPr>
          <w:p w14:paraId="6F821750" w14:textId="77777777" w:rsidR="00967C7D" w:rsidRPr="00967C7D" w:rsidRDefault="00967C7D" w:rsidP="00967C7D">
            <w:pPr>
              <w:keepNext w:val="0"/>
              <w:spacing w:before="0"/>
              <w:rPr>
                <w:rFonts w:cs="Arial"/>
                <w:bCs/>
                <w:color w:val="auto"/>
                <w:sz w:val="20"/>
              </w:rPr>
            </w:pPr>
            <w:r w:rsidRPr="00967C7D">
              <w:rPr>
                <w:rFonts w:cs="Arial"/>
                <w:bCs/>
                <w:color w:val="auto"/>
                <w:sz w:val="20"/>
              </w:rPr>
              <w:t>Hucknall National Junior School Playing Field</w:t>
            </w:r>
          </w:p>
        </w:tc>
        <w:tc>
          <w:tcPr>
            <w:tcW w:w="1847" w:type="dxa"/>
            <w:noWrap/>
          </w:tcPr>
          <w:p w14:paraId="6CC55843" w14:textId="77777777" w:rsidR="00967C7D" w:rsidRPr="00967C7D" w:rsidRDefault="00967C7D" w:rsidP="00967C7D">
            <w:pPr>
              <w:keepNext w:val="0"/>
              <w:spacing w:before="0"/>
              <w:rPr>
                <w:rFonts w:cs="Arial"/>
                <w:bCs/>
                <w:color w:val="auto"/>
                <w:sz w:val="20"/>
              </w:rPr>
            </w:pPr>
            <w:r w:rsidRPr="00967C7D">
              <w:rPr>
                <w:rFonts w:cs="Arial"/>
                <w:bCs/>
                <w:color w:val="auto"/>
                <w:sz w:val="20"/>
              </w:rPr>
              <w:t>South Sheet</w:t>
            </w:r>
          </w:p>
        </w:tc>
      </w:tr>
      <w:tr w:rsidR="00967C7D" w:rsidRPr="00967C7D" w14:paraId="4905C388" w14:textId="77777777" w:rsidTr="00B5314A">
        <w:trPr>
          <w:trHeight w:val="284"/>
        </w:trPr>
        <w:tc>
          <w:tcPr>
            <w:tcW w:w="1280" w:type="dxa"/>
          </w:tcPr>
          <w:p w14:paraId="1DAFEE36" w14:textId="77777777" w:rsidR="00967C7D" w:rsidRPr="00967C7D" w:rsidRDefault="00967C7D" w:rsidP="00967C7D">
            <w:pPr>
              <w:keepNext w:val="0"/>
              <w:spacing w:before="0"/>
              <w:rPr>
                <w:rFonts w:cs="Arial"/>
                <w:bCs/>
                <w:color w:val="auto"/>
                <w:sz w:val="20"/>
              </w:rPr>
            </w:pPr>
            <w:r w:rsidRPr="00967C7D">
              <w:rPr>
                <w:rFonts w:cs="Arial"/>
                <w:bCs/>
                <w:color w:val="auto"/>
                <w:sz w:val="20"/>
              </w:rPr>
              <w:t>EV5/44</w:t>
            </w:r>
          </w:p>
        </w:tc>
        <w:tc>
          <w:tcPr>
            <w:tcW w:w="6230" w:type="dxa"/>
            <w:noWrap/>
          </w:tcPr>
          <w:p w14:paraId="01525EB2" w14:textId="77777777" w:rsidR="00967C7D" w:rsidRPr="00967C7D" w:rsidRDefault="00967C7D" w:rsidP="00967C7D">
            <w:pPr>
              <w:keepNext w:val="0"/>
              <w:spacing w:before="0"/>
              <w:rPr>
                <w:rFonts w:cs="Arial"/>
                <w:bCs/>
                <w:color w:val="auto"/>
                <w:sz w:val="20"/>
              </w:rPr>
            </w:pPr>
            <w:r w:rsidRPr="00967C7D">
              <w:rPr>
                <w:rFonts w:cs="Arial"/>
                <w:bCs/>
                <w:color w:val="auto"/>
                <w:sz w:val="20"/>
              </w:rPr>
              <w:t>Washdyke Lane Recreation Ground/Wighay Park</w:t>
            </w:r>
          </w:p>
        </w:tc>
        <w:tc>
          <w:tcPr>
            <w:tcW w:w="1847" w:type="dxa"/>
            <w:noWrap/>
          </w:tcPr>
          <w:p w14:paraId="5007744E" w14:textId="77777777" w:rsidR="00967C7D" w:rsidRPr="00967C7D" w:rsidRDefault="00967C7D" w:rsidP="00967C7D">
            <w:pPr>
              <w:keepNext w:val="0"/>
              <w:spacing w:before="0"/>
              <w:rPr>
                <w:rFonts w:cs="Arial"/>
                <w:bCs/>
                <w:color w:val="auto"/>
                <w:sz w:val="20"/>
              </w:rPr>
            </w:pPr>
            <w:r w:rsidRPr="00967C7D">
              <w:rPr>
                <w:rFonts w:cs="Arial"/>
                <w:bCs/>
                <w:color w:val="auto"/>
                <w:sz w:val="20"/>
              </w:rPr>
              <w:t>South Sheet</w:t>
            </w:r>
          </w:p>
        </w:tc>
      </w:tr>
      <w:tr w:rsidR="00967C7D" w:rsidRPr="00967C7D" w14:paraId="74DA2F91" w14:textId="77777777" w:rsidTr="00B5314A">
        <w:trPr>
          <w:trHeight w:val="284"/>
        </w:trPr>
        <w:tc>
          <w:tcPr>
            <w:tcW w:w="1280" w:type="dxa"/>
          </w:tcPr>
          <w:p w14:paraId="7D2B0C9F" w14:textId="77777777" w:rsidR="00967C7D" w:rsidRPr="00967C7D" w:rsidRDefault="00967C7D" w:rsidP="00967C7D">
            <w:pPr>
              <w:keepNext w:val="0"/>
              <w:spacing w:before="0"/>
              <w:rPr>
                <w:rFonts w:cs="Arial"/>
                <w:bCs/>
                <w:color w:val="auto"/>
                <w:sz w:val="20"/>
              </w:rPr>
            </w:pPr>
            <w:r w:rsidRPr="00967C7D">
              <w:rPr>
                <w:rFonts w:cs="Arial"/>
                <w:bCs/>
                <w:color w:val="auto"/>
                <w:sz w:val="20"/>
              </w:rPr>
              <w:t>EV5/45</w:t>
            </w:r>
          </w:p>
        </w:tc>
        <w:tc>
          <w:tcPr>
            <w:tcW w:w="6230" w:type="dxa"/>
            <w:noWrap/>
          </w:tcPr>
          <w:p w14:paraId="77903641" w14:textId="77777777" w:rsidR="00967C7D" w:rsidRPr="00967C7D" w:rsidRDefault="00967C7D" w:rsidP="00967C7D">
            <w:pPr>
              <w:keepNext w:val="0"/>
              <w:spacing w:before="0"/>
              <w:rPr>
                <w:rFonts w:cs="Arial"/>
                <w:bCs/>
                <w:color w:val="auto"/>
                <w:sz w:val="20"/>
              </w:rPr>
            </w:pPr>
            <w:r w:rsidRPr="00967C7D">
              <w:rPr>
                <w:rFonts w:cs="Arial"/>
                <w:bCs/>
                <w:color w:val="auto"/>
                <w:sz w:val="20"/>
              </w:rPr>
              <w:t>Field at Leen Mills School</w:t>
            </w:r>
          </w:p>
        </w:tc>
        <w:tc>
          <w:tcPr>
            <w:tcW w:w="1847" w:type="dxa"/>
            <w:noWrap/>
          </w:tcPr>
          <w:p w14:paraId="727E5D9C" w14:textId="77777777" w:rsidR="00967C7D" w:rsidRPr="00967C7D" w:rsidRDefault="00967C7D" w:rsidP="00967C7D">
            <w:pPr>
              <w:keepNext w:val="0"/>
              <w:spacing w:before="0"/>
              <w:rPr>
                <w:rFonts w:cs="Arial"/>
                <w:bCs/>
                <w:color w:val="auto"/>
                <w:sz w:val="20"/>
              </w:rPr>
            </w:pPr>
            <w:r w:rsidRPr="00967C7D">
              <w:rPr>
                <w:rFonts w:cs="Arial"/>
                <w:bCs/>
                <w:color w:val="auto"/>
                <w:sz w:val="20"/>
              </w:rPr>
              <w:t>South Sheet</w:t>
            </w:r>
          </w:p>
        </w:tc>
      </w:tr>
      <w:tr w:rsidR="00967C7D" w:rsidRPr="00967C7D" w14:paraId="629F2894" w14:textId="77777777" w:rsidTr="00B5314A">
        <w:trPr>
          <w:trHeight w:val="284"/>
        </w:trPr>
        <w:tc>
          <w:tcPr>
            <w:tcW w:w="1280" w:type="dxa"/>
          </w:tcPr>
          <w:p w14:paraId="715FBE4A" w14:textId="77777777" w:rsidR="00967C7D" w:rsidRPr="00967C7D" w:rsidRDefault="00967C7D" w:rsidP="00967C7D">
            <w:pPr>
              <w:keepNext w:val="0"/>
              <w:spacing w:before="0"/>
              <w:rPr>
                <w:rFonts w:cs="Arial"/>
                <w:bCs/>
                <w:color w:val="auto"/>
                <w:sz w:val="20"/>
              </w:rPr>
            </w:pPr>
            <w:r w:rsidRPr="00967C7D">
              <w:rPr>
                <w:rFonts w:cs="Arial"/>
                <w:bCs/>
                <w:color w:val="auto"/>
                <w:sz w:val="20"/>
              </w:rPr>
              <w:t>EV5/46</w:t>
            </w:r>
          </w:p>
        </w:tc>
        <w:tc>
          <w:tcPr>
            <w:tcW w:w="6230" w:type="dxa"/>
            <w:noWrap/>
          </w:tcPr>
          <w:p w14:paraId="01141D64" w14:textId="77777777" w:rsidR="00967C7D" w:rsidRPr="00967C7D" w:rsidRDefault="00967C7D" w:rsidP="00967C7D">
            <w:pPr>
              <w:keepNext w:val="0"/>
              <w:spacing w:before="0"/>
              <w:rPr>
                <w:rFonts w:cs="Arial"/>
                <w:bCs/>
                <w:color w:val="auto"/>
                <w:sz w:val="20"/>
              </w:rPr>
            </w:pPr>
            <w:r w:rsidRPr="00967C7D">
              <w:rPr>
                <w:rFonts w:cs="Arial"/>
                <w:bCs/>
                <w:color w:val="auto"/>
                <w:sz w:val="20"/>
              </w:rPr>
              <w:t>Leen Mills School Playing Fields</w:t>
            </w:r>
          </w:p>
        </w:tc>
        <w:tc>
          <w:tcPr>
            <w:tcW w:w="1847" w:type="dxa"/>
            <w:noWrap/>
          </w:tcPr>
          <w:p w14:paraId="7BB82638" w14:textId="77777777" w:rsidR="00967C7D" w:rsidRPr="00967C7D" w:rsidRDefault="00967C7D" w:rsidP="00967C7D">
            <w:pPr>
              <w:keepNext w:val="0"/>
              <w:spacing w:before="0"/>
              <w:rPr>
                <w:rFonts w:cs="Arial"/>
                <w:bCs/>
                <w:color w:val="auto"/>
                <w:sz w:val="20"/>
              </w:rPr>
            </w:pPr>
            <w:r w:rsidRPr="00967C7D">
              <w:rPr>
                <w:rFonts w:cs="Arial"/>
                <w:bCs/>
                <w:color w:val="auto"/>
                <w:sz w:val="20"/>
              </w:rPr>
              <w:t>South Sheet</w:t>
            </w:r>
          </w:p>
        </w:tc>
      </w:tr>
      <w:tr w:rsidR="00967C7D" w:rsidRPr="00967C7D" w14:paraId="737B4237" w14:textId="77777777" w:rsidTr="00B5314A">
        <w:trPr>
          <w:trHeight w:val="284"/>
        </w:trPr>
        <w:tc>
          <w:tcPr>
            <w:tcW w:w="1280" w:type="dxa"/>
          </w:tcPr>
          <w:p w14:paraId="0EE4B346" w14:textId="77777777" w:rsidR="00967C7D" w:rsidRPr="00967C7D" w:rsidRDefault="00967C7D" w:rsidP="00967C7D">
            <w:pPr>
              <w:keepNext w:val="0"/>
              <w:spacing w:before="0"/>
              <w:rPr>
                <w:rFonts w:cs="Arial"/>
                <w:bCs/>
                <w:color w:val="auto"/>
                <w:sz w:val="20"/>
              </w:rPr>
            </w:pPr>
            <w:r w:rsidRPr="00967C7D">
              <w:rPr>
                <w:rFonts w:cs="Arial"/>
                <w:bCs/>
                <w:color w:val="auto"/>
                <w:sz w:val="20"/>
              </w:rPr>
              <w:t>EV5/47</w:t>
            </w:r>
          </w:p>
        </w:tc>
        <w:tc>
          <w:tcPr>
            <w:tcW w:w="6230" w:type="dxa"/>
            <w:noWrap/>
          </w:tcPr>
          <w:p w14:paraId="76BE416B" w14:textId="77777777" w:rsidR="00967C7D" w:rsidRPr="00967C7D" w:rsidRDefault="00967C7D" w:rsidP="00967C7D">
            <w:pPr>
              <w:keepNext w:val="0"/>
              <w:spacing w:before="0"/>
              <w:rPr>
                <w:rFonts w:cs="Arial"/>
                <w:bCs/>
                <w:color w:val="auto"/>
                <w:sz w:val="20"/>
              </w:rPr>
            </w:pPr>
            <w:r w:rsidRPr="00967C7D">
              <w:rPr>
                <w:rFonts w:cs="Arial"/>
                <w:bCs/>
                <w:color w:val="auto"/>
                <w:sz w:val="20"/>
              </w:rPr>
              <w:t>Bishops Way Walk</w:t>
            </w:r>
          </w:p>
        </w:tc>
        <w:tc>
          <w:tcPr>
            <w:tcW w:w="1847" w:type="dxa"/>
            <w:noWrap/>
          </w:tcPr>
          <w:p w14:paraId="7BE0A086" w14:textId="77777777" w:rsidR="00967C7D" w:rsidRPr="00967C7D" w:rsidRDefault="00967C7D" w:rsidP="00967C7D">
            <w:pPr>
              <w:keepNext w:val="0"/>
              <w:spacing w:before="0"/>
              <w:rPr>
                <w:rFonts w:cs="Arial"/>
                <w:bCs/>
                <w:color w:val="auto"/>
                <w:sz w:val="20"/>
              </w:rPr>
            </w:pPr>
            <w:r w:rsidRPr="00967C7D">
              <w:rPr>
                <w:rFonts w:cs="Arial"/>
                <w:bCs/>
                <w:color w:val="auto"/>
                <w:sz w:val="20"/>
              </w:rPr>
              <w:t>South Sheet</w:t>
            </w:r>
          </w:p>
        </w:tc>
      </w:tr>
      <w:tr w:rsidR="00967C7D" w:rsidRPr="00967C7D" w14:paraId="44D9E2FC" w14:textId="77777777" w:rsidTr="00B5314A">
        <w:trPr>
          <w:trHeight w:val="284"/>
        </w:trPr>
        <w:tc>
          <w:tcPr>
            <w:tcW w:w="1280" w:type="dxa"/>
          </w:tcPr>
          <w:p w14:paraId="5AA83CD4" w14:textId="77777777" w:rsidR="00967C7D" w:rsidRPr="00967C7D" w:rsidRDefault="00967C7D" w:rsidP="00967C7D">
            <w:pPr>
              <w:keepNext w:val="0"/>
              <w:spacing w:before="0"/>
              <w:rPr>
                <w:rFonts w:cs="Arial"/>
                <w:bCs/>
                <w:color w:val="auto"/>
                <w:sz w:val="20"/>
              </w:rPr>
            </w:pPr>
            <w:r w:rsidRPr="00967C7D">
              <w:rPr>
                <w:rFonts w:cs="Arial"/>
                <w:bCs/>
                <w:color w:val="auto"/>
                <w:sz w:val="20"/>
              </w:rPr>
              <w:t>EV5/48</w:t>
            </w:r>
          </w:p>
        </w:tc>
        <w:tc>
          <w:tcPr>
            <w:tcW w:w="6230" w:type="dxa"/>
            <w:noWrap/>
          </w:tcPr>
          <w:p w14:paraId="03326CCF" w14:textId="77777777" w:rsidR="00967C7D" w:rsidRPr="00967C7D" w:rsidRDefault="00967C7D" w:rsidP="00967C7D">
            <w:pPr>
              <w:keepNext w:val="0"/>
              <w:spacing w:before="0"/>
              <w:rPr>
                <w:rFonts w:cs="Arial"/>
                <w:bCs/>
                <w:color w:val="auto"/>
                <w:sz w:val="20"/>
              </w:rPr>
            </w:pPr>
            <w:r w:rsidRPr="00967C7D">
              <w:rPr>
                <w:rFonts w:cs="Arial"/>
                <w:bCs/>
                <w:color w:val="auto"/>
                <w:sz w:val="20"/>
              </w:rPr>
              <w:t>Boatswain Drive</w:t>
            </w:r>
          </w:p>
        </w:tc>
        <w:tc>
          <w:tcPr>
            <w:tcW w:w="1847" w:type="dxa"/>
            <w:noWrap/>
          </w:tcPr>
          <w:p w14:paraId="4084E1DE" w14:textId="77777777" w:rsidR="00967C7D" w:rsidRPr="00967C7D" w:rsidRDefault="00967C7D" w:rsidP="00967C7D">
            <w:pPr>
              <w:keepNext w:val="0"/>
              <w:spacing w:before="0"/>
              <w:rPr>
                <w:rFonts w:cs="Arial"/>
                <w:bCs/>
                <w:color w:val="auto"/>
                <w:sz w:val="20"/>
              </w:rPr>
            </w:pPr>
            <w:r w:rsidRPr="00967C7D">
              <w:rPr>
                <w:rFonts w:cs="Arial"/>
                <w:bCs/>
                <w:color w:val="auto"/>
                <w:sz w:val="20"/>
              </w:rPr>
              <w:t>South Sheet</w:t>
            </w:r>
          </w:p>
        </w:tc>
      </w:tr>
      <w:tr w:rsidR="00967C7D" w:rsidRPr="00967C7D" w14:paraId="6EF819E5" w14:textId="77777777" w:rsidTr="00B5314A">
        <w:trPr>
          <w:trHeight w:val="284"/>
        </w:trPr>
        <w:tc>
          <w:tcPr>
            <w:tcW w:w="1280" w:type="dxa"/>
          </w:tcPr>
          <w:p w14:paraId="75E5A626" w14:textId="77777777" w:rsidR="00967C7D" w:rsidRPr="00967C7D" w:rsidRDefault="00967C7D" w:rsidP="00967C7D">
            <w:pPr>
              <w:keepNext w:val="0"/>
              <w:spacing w:before="0"/>
              <w:rPr>
                <w:rFonts w:cs="Arial"/>
                <w:bCs/>
                <w:color w:val="auto"/>
                <w:sz w:val="20"/>
              </w:rPr>
            </w:pPr>
            <w:r w:rsidRPr="00967C7D">
              <w:rPr>
                <w:rFonts w:cs="Arial"/>
                <w:bCs/>
                <w:color w:val="auto"/>
                <w:sz w:val="20"/>
              </w:rPr>
              <w:t>EV5/49</w:t>
            </w:r>
          </w:p>
        </w:tc>
        <w:tc>
          <w:tcPr>
            <w:tcW w:w="6230" w:type="dxa"/>
            <w:noWrap/>
          </w:tcPr>
          <w:p w14:paraId="06240063" w14:textId="77777777" w:rsidR="00967C7D" w:rsidRPr="00967C7D" w:rsidRDefault="00967C7D" w:rsidP="00967C7D">
            <w:pPr>
              <w:keepNext w:val="0"/>
              <w:spacing w:before="0"/>
              <w:rPr>
                <w:rFonts w:cs="Arial"/>
                <w:bCs/>
                <w:color w:val="auto"/>
                <w:sz w:val="20"/>
              </w:rPr>
            </w:pPr>
            <w:r w:rsidRPr="00967C7D">
              <w:rPr>
                <w:rFonts w:cs="Arial"/>
                <w:bCs/>
                <w:color w:val="auto"/>
                <w:sz w:val="20"/>
              </w:rPr>
              <w:t>Dob Park</w:t>
            </w:r>
          </w:p>
        </w:tc>
        <w:tc>
          <w:tcPr>
            <w:tcW w:w="1847" w:type="dxa"/>
            <w:noWrap/>
          </w:tcPr>
          <w:p w14:paraId="2E2F7DC1" w14:textId="77777777" w:rsidR="00967C7D" w:rsidRPr="00967C7D" w:rsidRDefault="00967C7D" w:rsidP="00967C7D">
            <w:pPr>
              <w:keepNext w:val="0"/>
              <w:spacing w:before="0"/>
              <w:rPr>
                <w:rFonts w:cs="Arial"/>
                <w:bCs/>
                <w:color w:val="auto"/>
                <w:sz w:val="20"/>
              </w:rPr>
            </w:pPr>
            <w:r w:rsidRPr="00967C7D">
              <w:rPr>
                <w:rFonts w:cs="Arial"/>
                <w:bCs/>
                <w:color w:val="auto"/>
                <w:sz w:val="20"/>
              </w:rPr>
              <w:t>South Sheet</w:t>
            </w:r>
          </w:p>
        </w:tc>
      </w:tr>
      <w:tr w:rsidR="00967C7D" w:rsidRPr="00967C7D" w14:paraId="7410D31A" w14:textId="77777777" w:rsidTr="00B5314A">
        <w:trPr>
          <w:trHeight w:val="284"/>
        </w:trPr>
        <w:tc>
          <w:tcPr>
            <w:tcW w:w="1280" w:type="dxa"/>
          </w:tcPr>
          <w:p w14:paraId="3F065CA7" w14:textId="77777777" w:rsidR="00967C7D" w:rsidRPr="00967C7D" w:rsidRDefault="00967C7D" w:rsidP="00967C7D">
            <w:pPr>
              <w:keepNext w:val="0"/>
              <w:spacing w:before="0"/>
              <w:rPr>
                <w:rFonts w:cs="Arial"/>
                <w:bCs/>
                <w:color w:val="auto"/>
                <w:sz w:val="20"/>
              </w:rPr>
            </w:pPr>
            <w:r w:rsidRPr="00967C7D">
              <w:rPr>
                <w:rFonts w:cs="Arial"/>
                <w:bCs/>
                <w:color w:val="auto"/>
                <w:sz w:val="20"/>
              </w:rPr>
              <w:t>EV5/50</w:t>
            </w:r>
          </w:p>
        </w:tc>
        <w:tc>
          <w:tcPr>
            <w:tcW w:w="6230" w:type="dxa"/>
            <w:noWrap/>
          </w:tcPr>
          <w:p w14:paraId="721D533F" w14:textId="77777777" w:rsidR="00967C7D" w:rsidRPr="00967C7D" w:rsidRDefault="00967C7D" w:rsidP="00967C7D">
            <w:pPr>
              <w:keepNext w:val="0"/>
              <w:spacing w:before="0"/>
              <w:rPr>
                <w:rFonts w:cs="Arial"/>
                <w:bCs/>
                <w:color w:val="auto"/>
                <w:sz w:val="20"/>
              </w:rPr>
            </w:pPr>
            <w:r w:rsidRPr="00967C7D">
              <w:rPr>
                <w:rFonts w:cs="Arial"/>
                <w:bCs/>
                <w:color w:val="auto"/>
                <w:sz w:val="20"/>
              </w:rPr>
              <w:t>Holy Cross Primary School Playing Fields</w:t>
            </w:r>
          </w:p>
        </w:tc>
        <w:tc>
          <w:tcPr>
            <w:tcW w:w="1847" w:type="dxa"/>
            <w:noWrap/>
          </w:tcPr>
          <w:p w14:paraId="6A0F9D42" w14:textId="77777777" w:rsidR="00967C7D" w:rsidRPr="00967C7D" w:rsidRDefault="00967C7D" w:rsidP="00967C7D">
            <w:pPr>
              <w:keepNext w:val="0"/>
              <w:spacing w:before="0"/>
              <w:rPr>
                <w:rFonts w:cs="Arial"/>
                <w:bCs/>
                <w:color w:val="auto"/>
                <w:sz w:val="20"/>
              </w:rPr>
            </w:pPr>
            <w:r w:rsidRPr="00967C7D">
              <w:rPr>
                <w:rFonts w:cs="Arial"/>
                <w:bCs/>
                <w:color w:val="auto"/>
                <w:sz w:val="20"/>
              </w:rPr>
              <w:t>South Sheet</w:t>
            </w:r>
          </w:p>
        </w:tc>
      </w:tr>
      <w:tr w:rsidR="00967C7D" w:rsidRPr="00967C7D" w14:paraId="183B82A0" w14:textId="77777777" w:rsidTr="00B5314A">
        <w:trPr>
          <w:trHeight w:val="284"/>
        </w:trPr>
        <w:tc>
          <w:tcPr>
            <w:tcW w:w="1280" w:type="dxa"/>
          </w:tcPr>
          <w:p w14:paraId="447F7C63" w14:textId="77777777" w:rsidR="00967C7D" w:rsidRPr="00967C7D" w:rsidRDefault="00967C7D" w:rsidP="00967C7D">
            <w:pPr>
              <w:keepNext w:val="0"/>
              <w:spacing w:before="0"/>
              <w:rPr>
                <w:rFonts w:cs="Arial"/>
                <w:bCs/>
                <w:color w:val="auto"/>
                <w:sz w:val="20"/>
              </w:rPr>
            </w:pPr>
            <w:r w:rsidRPr="00967C7D">
              <w:rPr>
                <w:rFonts w:cs="Arial"/>
                <w:bCs/>
                <w:color w:val="auto"/>
                <w:sz w:val="20"/>
              </w:rPr>
              <w:t>EV5/51</w:t>
            </w:r>
          </w:p>
        </w:tc>
        <w:tc>
          <w:tcPr>
            <w:tcW w:w="6230" w:type="dxa"/>
            <w:noWrap/>
          </w:tcPr>
          <w:p w14:paraId="69D3CA30" w14:textId="77777777" w:rsidR="00967C7D" w:rsidRPr="00967C7D" w:rsidRDefault="00967C7D" w:rsidP="00967C7D">
            <w:pPr>
              <w:keepNext w:val="0"/>
              <w:spacing w:before="0"/>
              <w:rPr>
                <w:rFonts w:cs="Arial"/>
                <w:bCs/>
                <w:color w:val="auto"/>
                <w:sz w:val="20"/>
              </w:rPr>
            </w:pPr>
            <w:r w:rsidRPr="00967C7D">
              <w:rPr>
                <w:rFonts w:cs="Arial"/>
                <w:bCs/>
                <w:color w:val="auto"/>
                <w:sz w:val="20"/>
              </w:rPr>
              <w:t>Barbara Square/ Coronation Road Footpath</w:t>
            </w:r>
          </w:p>
        </w:tc>
        <w:tc>
          <w:tcPr>
            <w:tcW w:w="1847" w:type="dxa"/>
            <w:noWrap/>
          </w:tcPr>
          <w:p w14:paraId="7D0086AC" w14:textId="77777777" w:rsidR="00967C7D" w:rsidRPr="00967C7D" w:rsidRDefault="00967C7D" w:rsidP="00967C7D">
            <w:pPr>
              <w:keepNext w:val="0"/>
              <w:spacing w:before="0"/>
              <w:rPr>
                <w:rFonts w:cs="Arial"/>
                <w:bCs/>
                <w:color w:val="auto"/>
                <w:sz w:val="20"/>
              </w:rPr>
            </w:pPr>
            <w:r w:rsidRPr="00967C7D">
              <w:rPr>
                <w:rFonts w:cs="Arial"/>
                <w:bCs/>
                <w:color w:val="auto"/>
                <w:sz w:val="20"/>
              </w:rPr>
              <w:t>South Sheet</w:t>
            </w:r>
          </w:p>
        </w:tc>
      </w:tr>
      <w:tr w:rsidR="00967C7D" w:rsidRPr="00967C7D" w14:paraId="16FA2D39" w14:textId="77777777" w:rsidTr="00B5314A">
        <w:trPr>
          <w:trHeight w:val="284"/>
        </w:trPr>
        <w:tc>
          <w:tcPr>
            <w:tcW w:w="1280" w:type="dxa"/>
          </w:tcPr>
          <w:p w14:paraId="3E0EFDA1" w14:textId="77777777" w:rsidR="00967C7D" w:rsidRPr="00967C7D" w:rsidRDefault="00967C7D" w:rsidP="00967C7D">
            <w:pPr>
              <w:keepNext w:val="0"/>
              <w:spacing w:before="0"/>
              <w:rPr>
                <w:rFonts w:cs="Arial"/>
                <w:bCs/>
                <w:color w:val="auto"/>
                <w:sz w:val="20"/>
              </w:rPr>
            </w:pPr>
            <w:r w:rsidRPr="00967C7D">
              <w:rPr>
                <w:rFonts w:cs="Arial"/>
                <w:bCs/>
                <w:color w:val="auto"/>
                <w:sz w:val="20"/>
              </w:rPr>
              <w:t>EV5/52</w:t>
            </w:r>
          </w:p>
        </w:tc>
        <w:tc>
          <w:tcPr>
            <w:tcW w:w="6230" w:type="dxa"/>
            <w:noWrap/>
          </w:tcPr>
          <w:p w14:paraId="6024EA98" w14:textId="77777777" w:rsidR="00967C7D" w:rsidRPr="00967C7D" w:rsidRDefault="00967C7D" w:rsidP="00967C7D">
            <w:pPr>
              <w:keepNext w:val="0"/>
              <w:spacing w:before="0"/>
              <w:rPr>
                <w:rFonts w:cs="Arial"/>
                <w:bCs/>
                <w:color w:val="auto"/>
                <w:sz w:val="20"/>
              </w:rPr>
            </w:pPr>
            <w:r w:rsidRPr="00967C7D">
              <w:rPr>
                <w:rFonts w:cs="Arial"/>
                <w:bCs/>
                <w:color w:val="auto"/>
                <w:sz w:val="20"/>
              </w:rPr>
              <w:t>The National School Playing Fields</w:t>
            </w:r>
          </w:p>
        </w:tc>
        <w:tc>
          <w:tcPr>
            <w:tcW w:w="1847" w:type="dxa"/>
            <w:noWrap/>
          </w:tcPr>
          <w:p w14:paraId="0348B2A6" w14:textId="77777777" w:rsidR="00967C7D" w:rsidRPr="00967C7D" w:rsidRDefault="00967C7D" w:rsidP="00967C7D">
            <w:pPr>
              <w:keepNext w:val="0"/>
              <w:spacing w:before="0"/>
              <w:rPr>
                <w:rFonts w:cs="Arial"/>
                <w:bCs/>
                <w:color w:val="auto"/>
                <w:sz w:val="20"/>
              </w:rPr>
            </w:pPr>
            <w:r w:rsidRPr="00967C7D">
              <w:rPr>
                <w:rFonts w:cs="Arial"/>
                <w:bCs/>
                <w:color w:val="auto"/>
                <w:sz w:val="20"/>
              </w:rPr>
              <w:t>South Sheet</w:t>
            </w:r>
          </w:p>
        </w:tc>
      </w:tr>
      <w:tr w:rsidR="00967C7D" w:rsidRPr="00967C7D" w14:paraId="74134703" w14:textId="77777777" w:rsidTr="00B5314A">
        <w:trPr>
          <w:trHeight w:val="284"/>
        </w:trPr>
        <w:tc>
          <w:tcPr>
            <w:tcW w:w="1280" w:type="dxa"/>
          </w:tcPr>
          <w:p w14:paraId="16A5AFEA" w14:textId="77777777" w:rsidR="00967C7D" w:rsidRPr="00967C7D" w:rsidRDefault="00967C7D" w:rsidP="00967C7D">
            <w:pPr>
              <w:keepNext w:val="0"/>
              <w:spacing w:before="0"/>
              <w:rPr>
                <w:rFonts w:cs="Arial"/>
                <w:bCs/>
                <w:color w:val="auto"/>
                <w:sz w:val="20"/>
              </w:rPr>
            </w:pPr>
            <w:r w:rsidRPr="00967C7D">
              <w:rPr>
                <w:rFonts w:cs="Arial"/>
                <w:bCs/>
                <w:color w:val="auto"/>
                <w:sz w:val="20"/>
              </w:rPr>
              <w:t>EV5/53</w:t>
            </w:r>
          </w:p>
        </w:tc>
        <w:tc>
          <w:tcPr>
            <w:tcW w:w="6230" w:type="dxa"/>
            <w:noWrap/>
          </w:tcPr>
          <w:p w14:paraId="6D5A6412" w14:textId="77777777" w:rsidR="00967C7D" w:rsidRPr="00967C7D" w:rsidRDefault="00967C7D" w:rsidP="00967C7D">
            <w:pPr>
              <w:keepNext w:val="0"/>
              <w:spacing w:before="0"/>
              <w:rPr>
                <w:rFonts w:cs="Arial"/>
                <w:bCs/>
                <w:color w:val="auto"/>
                <w:sz w:val="20"/>
              </w:rPr>
            </w:pPr>
            <w:r w:rsidRPr="00967C7D">
              <w:rPr>
                <w:rFonts w:cs="Arial"/>
                <w:bCs/>
                <w:color w:val="auto"/>
                <w:sz w:val="20"/>
              </w:rPr>
              <w:t>The Ranges</w:t>
            </w:r>
          </w:p>
        </w:tc>
        <w:tc>
          <w:tcPr>
            <w:tcW w:w="1847" w:type="dxa"/>
            <w:noWrap/>
          </w:tcPr>
          <w:p w14:paraId="3FBDEBFE" w14:textId="77777777" w:rsidR="00967C7D" w:rsidRPr="00967C7D" w:rsidRDefault="00967C7D" w:rsidP="00967C7D">
            <w:pPr>
              <w:keepNext w:val="0"/>
              <w:spacing w:before="0"/>
              <w:rPr>
                <w:rFonts w:cs="Arial"/>
                <w:bCs/>
                <w:color w:val="auto"/>
                <w:sz w:val="20"/>
              </w:rPr>
            </w:pPr>
            <w:r w:rsidRPr="00967C7D">
              <w:rPr>
                <w:rFonts w:cs="Arial"/>
                <w:bCs/>
                <w:color w:val="auto"/>
                <w:sz w:val="20"/>
              </w:rPr>
              <w:t>South Sheet</w:t>
            </w:r>
          </w:p>
        </w:tc>
      </w:tr>
      <w:tr w:rsidR="00967C7D" w:rsidRPr="00967C7D" w14:paraId="3392EFD3" w14:textId="77777777" w:rsidTr="00B5314A">
        <w:trPr>
          <w:trHeight w:val="284"/>
        </w:trPr>
        <w:tc>
          <w:tcPr>
            <w:tcW w:w="1280" w:type="dxa"/>
          </w:tcPr>
          <w:p w14:paraId="229832D5" w14:textId="77777777" w:rsidR="00967C7D" w:rsidRPr="00967C7D" w:rsidRDefault="00967C7D" w:rsidP="00967C7D">
            <w:pPr>
              <w:keepNext w:val="0"/>
              <w:spacing w:before="0"/>
              <w:rPr>
                <w:rFonts w:cs="Arial"/>
                <w:bCs/>
                <w:color w:val="auto"/>
                <w:sz w:val="20"/>
              </w:rPr>
            </w:pPr>
            <w:r w:rsidRPr="00967C7D">
              <w:rPr>
                <w:rFonts w:cs="Arial"/>
                <w:bCs/>
                <w:color w:val="auto"/>
                <w:sz w:val="20"/>
              </w:rPr>
              <w:t>EV5/54</w:t>
            </w:r>
          </w:p>
        </w:tc>
        <w:tc>
          <w:tcPr>
            <w:tcW w:w="6230" w:type="dxa"/>
            <w:noWrap/>
          </w:tcPr>
          <w:p w14:paraId="43E2C8DB" w14:textId="77777777" w:rsidR="00967C7D" w:rsidRPr="00967C7D" w:rsidRDefault="00967C7D" w:rsidP="00967C7D">
            <w:pPr>
              <w:keepNext w:val="0"/>
              <w:spacing w:before="0"/>
              <w:rPr>
                <w:rFonts w:cs="Arial"/>
                <w:bCs/>
                <w:color w:val="auto"/>
                <w:sz w:val="20"/>
              </w:rPr>
            </w:pPr>
            <w:r w:rsidRPr="00967C7D">
              <w:rPr>
                <w:rFonts w:cs="Arial"/>
                <w:bCs/>
                <w:color w:val="auto"/>
                <w:sz w:val="20"/>
              </w:rPr>
              <w:t>Church Lane Cycle Way</w:t>
            </w:r>
          </w:p>
        </w:tc>
        <w:tc>
          <w:tcPr>
            <w:tcW w:w="1847" w:type="dxa"/>
            <w:noWrap/>
          </w:tcPr>
          <w:p w14:paraId="6E404B3A" w14:textId="77777777" w:rsidR="00967C7D" w:rsidRPr="00967C7D" w:rsidRDefault="00967C7D" w:rsidP="00967C7D">
            <w:pPr>
              <w:keepNext w:val="0"/>
              <w:spacing w:before="0"/>
              <w:rPr>
                <w:rFonts w:cs="Arial"/>
                <w:bCs/>
                <w:color w:val="auto"/>
                <w:sz w:val="20"/>
              </w:rPr>
            </w:pPr>
            <w:r w:rsidRPr="00967C7D">
              <w:rPr>
                <w:rFonts w:cs="Arial"/>
                <w:bCs/>
                <w:color w:val="auto"/>
                <w:sz w:val="20"/>
              </w:rPr>
              <w:t>South Sheet</w:t>
            </w:r>
          </w:p>
        </w:tc>
      </w:tr>
      <w:tr w:rsidR="00967C7D" w:rsidRPr="00967C7D" w14:paraId="713DE5D5" w14:textId="77777777" w:rsidTr="00B5314A">
        <w:trPr>
          <w:trHeight w:val="284"/>
        </w:trPr>
        <w:tc>
          <w:tcPr>
            <w:tcW w:w="1280" w:type="dxa"/>
          </w:tcPr>
          <w:p w14:paraId="27073FF4" w14:textId="77777777" w:rsidR="00967C7D" w:rsidRPr="00967C7D" w:rsidRDefault="00967C7D" w:rsidP="00967C7D">
            <w:pPr>
              <w:keepNext w:val="0"/>
              <w:spacing w:before="0"/>
              <w:rPr>
                <w:rFonts w:cs="Arial"/>
                <w:bCs/>
                <w:color w:val="auto"/>
                <w:sz w:val="20"/>
              </w:rPr>
            </w:pPr>
            <w:r w:rsidRPr="00967C7D">
              <w:rPr>
                <w:rFonts w:cs="Arial"/>
                <w:bCs/>
                <w:color w:val="auto"/>
                <w:sz w:val="20"/>
              </w:rPr>
              <w:t>EV5/55</w:t>
            </w:r>
          </w:p>
        </w:tc>
        <w:tc>
          <w:tcPr>
            <w:tcW w:w="6230" w:type="dxa"/>
            <w:noWrap/>
          </w:tcPr>
          <w:p w14:paraId="5C2D465C" w14:textId="77777777" w:rsidR="00967C7D" w:rsidRPr="00967C7D" w:rsidRDefault="00967C7D" w:rsidP="00967C7D">
            <w:pPr>
              <w:keepNext w:val="0"/>
              <w:spacing w:before="0"/>
              <w:rPr>
                <w:rFonts w:cs="Arial"/>
                <w:bCs/>
                <w:color w:val="auto"/>
                <w:sz w:val="20"/>
              </w:rPr>
            </w:pPr>
            <w:r w:rsidRPr="00967C7D">
              <w:rPr>
                <w:rFonts w:cs="Arial"/>
                <w:bCs/>
                <w:color w:val="auto"/>
                <w:sz w:val="20"/>
              </w:rPr>
              <w:t>Grange Cottage Woods</w:t>
            </w:r>
          </w:p>
        </w:tc>
        <w:tc>
          <w:tcPr>
            <w:tcW w:w="1847" w:type="dxa"/>
            <w:noWrap/>
          </w:tcPr>
          <w:p w14:paraId="4FF125A4" w14:textId="77777777" w:rsidR="00967C7D" w:rsidRPr="00967C7D" w:rsidRDefault="00967C7D" w:rsidP="00967C7D">
            <w:pPr>
              <w:keepNext w:val="0"/>
              <w:spacing w:before="0"/>
              <w:rPr>
                <w:rFonts w:cs="Arial"/>
                <w:bCs/>
                <w:color w:val="auto"/>
                <w:sz w:val="20"/>
              </w:rPr>
            </w:pPr>
            <w:r w:rsidRPr="00967C7D">
              <w:rPr>
                <w:rFonts w:cs="Arial"/>
                <w:bCs/>
                <w:color w:val="auto"/>
                <w:sz w:val="20"/>
              </w:rPr>
              <w:t>South Sheet</w:t>
            </w:r>
          </w:p>
        </w:tc>
      </w:tr>
      <w:tr w:rsidR="00967C7D" w:rsidRPr="00967C7D" w14:paraId="01B08459" w14:textId="77777777" w:rsidTr="00B5314A">
        <w:trPr>
          <w:trHeight w:val="284"/>
        </w:trPr>
        <w:tc>
          <w:tcPr>
            <w:tcW w:w="1280" w:type="dxa"/>
          </w:tcPr>
          <w:p w14:paraId="6EA713BD" w14:textId="77777777" w:rsidR="00967C7D" w:rsidRPr="00967C7D" w:rsidRDefault="00967C7D" w:rsidP="00967C7D">
            <w:pPr>
              <w:keepNext w:val="0"/>
              <w:spacing w:before="0"/>
              <w:rPr>
                <w:rFonts w:cs="Arial"/>
                <w:bCs/>
                <w:color w:val="auto"/>
                <w:sz w:val="20"/>
              </w:rPr>
            </w:pPr>
            <w:r w:rsidRPr="00967C7D">
              <w:rPr>
                <w:rFonts w:cs="Arial"/>
                <w:bCs/>
                <w:color w:val="auto"/>
                <w:sz w:val="20"/>
              </w:rPr>
              <w:t>EV5/56</w:t>
            </w:r>
          </w:p>
        </w:tc>
        <w:tc>
          <w:tcPr>
            <w:tcW w:w="6230" w:type="dxa"/>
            <w:noWrap/>
          </w:tcPr>
          <w:p w14:paraId="1AAD2124" w14:textId="77777777" w:rsidR="00967C7D" w:rsidRPr="00967C7D" w:rsidRDefault="00967C7D" w:rsidP="00967C7D">
            <w:pPr>
              <w:keepNext w:val="0"/>
              <w:spacing w:before="0"/>
              <w:rPr>
                <w:rFonts w:cs="Arial"/>
                <w:bCs/>
                <w:color w:val="auto"/>
                <w:sz w:val="20"/>
              </w:rPr>
            </w:pPr>
            <w:r w:rsidRPr="00967C7D">
              <w:rPr>
                <w:rFonts w:cs="Arial"/>
                <w:bCs/>
                <w:color w:val="auto"/>
                <w:sz w:val="20"/>
              </w:rPr>
              <w:t>Church Lane</w:t>
            </w:r>
          </w:p>
        </w:tc>
        <w:tc>
          <w:tcPr>
            <w:tcW w:w="1847" w:type="dxa"/>
            <w:noWrap/>
          </w:tcPr>
          <w:p w14:paraId="7EDD0FB5" w14:textId="77777777" w:rsidR="00967C7D" w:rsidRPr="00967C7D" w:rsidRDefault="00967C7D" w:rsidP="00967C7D">
            <w:pPr>
              <w:keepNext w:val="0"/>
              <w:spacing w:before="0"/>
              <w:rPr>
                <w:rFonts w:cs="Arial"/>
                <w:bCs/>
                <w:color w:val="auto"/>
                <w:sz w:val="20"/>
              </w:rPr>
            </w:pPr>
            <w:r w:rsidRPr="00967C7D">
              <w:rPr>
                <w:rFonts w:cs="Arial"/>
                <w:bCs/>
                <w:color w:val="auto"/>
                <w:sz w:val="20"/>
              </w:rPr>
              <w:t>South Sheet</w:t>
            </w:r>
          </w:p>
        </w:tc>
      </w:tr>
      <w:tr w:rsidR="00967C7D" w:rsidRPr="00967C7D" w14:paraId="54AE2701" w14:textId="77777777" w:rsidTr="00B5314A">
        <w:trPr>
          <w:trHeight w:val="284"/>
        </w:trPr>
        <w:tc>
          <w:tcPr>
            <w:tcW w:w="1280" w:type="dxa"/>
          </w:tcPr>
          <w:p w14:paraId="6BD20BE4" w14:textId="77777777" w:rsidR="00967C7D" w:rsidRPr="00967C7D" w:rsidRDefault="00967C7D" w:rsidP="00967C7D">
            <w:pPr>
              <w:keepNext w:val="0"/>
              <w:spacing w:before="0"/>
              <w:rPr>
                <w:rFonts w:cs="Arial"/>
                <w:bCs/>
                <w:color w:val="auto"/>
                <w:sz w:val="20"/>
              </w:rPr>
            </w:pPr>
            <w:r w:rsidRPr="00967C7D">
              <w:rPr>
                <w:rFonts w:cs="Arial"/>
                <w:bCs/>
                <w:color w:val="auto"/>
                <w:sz w:val="20"/>
              </w:rPr>
              <w:t>EV5/57</w:t>
            </w:r>
          </w:p>
        </w:tc>
        <w:tc>
          <w:tcPr>
            <w:tcW w:w="6230" w:type="dxa"/>
            <w:noWrap/>
          </w:tcPr>
          <w:p w14:paraId="741F278F" w14:textId="77777777" w:rsidR="00967C7D" w:rsidRPr="00967C7D" w:rsidRDefault="00967C7D" w:rsidP="00967C7D">
            <w:pPr>
              <w:keepNext w:val="0"/>
              <w:spacing w:before="0"/>
              <w:rPr>
                <w:rFonts w:cs="Arial"/>
                <w:bCs/>
                <w:color w:val="auto"/>
                <w:sz w:val="20"/>
              </w:rPr>
            </w:pPr>
            <w:r w:rsidRPr="00967C7D">
              <w:rPr>
                <w:rFonts w:cs="Arial"/>
                <w:bCs/>
                <w:color w:val="auto"/>
                <w:sz w:val="20"/>
              </w:rPr>
              <w:t>Church Lane Open Space</w:t>
            </w:r>
          </w:p>
        </w:tc>
        <w:tc>
          <w:tcPr>
            <w:tcW w:w="1847" w:type="dxa"/>
            <w:noWrap/>
          </w:tcPr>
          <w:p w14:paraId="6A3D81EC" w14:textId="77777777" w:rsidR="00967C7D" w:rsidRPr="00967C7D" w:rsidRDefault="00967C7D" w:rsidP="00967C7D">
            <w:pPr>
              <w:keepNext w:val="0"/>
              <w:spacing w:before="0"/>
              <w:rPr>
                <w:rFonts w:cs="Arial"/>
                <w:bCs/>
                <w:color w:val="auto"/>
                <w:sz w:val="20"/>
              </w:rPr>
            </w:pPr>
            <w:r w:rsidRPr="00967C7D">
              <w:rPr>
                <w:rFonts w:cs="Arial"/>
                <w:bCs/>
                <w:color w:val="auto"/>
                <w:sz w:val="20"/>
              </w:rPr>
              <w:t>South Sheet</w:t>
            </w:r>
          </w:p>
        </w:tc>
      </w:tr>
      <w:tr w:rsidR="00967C7D" w:rsidRPr="00967C7D" w14:paraId="4F29347B" w14:textId="77777777" w:rsidTr="00B5314A">
        <w:trPr>
          <w:trHeight w:val="284"/>
        </w:trPr>
        <w:tc>
          <w:tcPr>
            <w:tcW w:w="1280" w:type="dxa"/>
          </w:tcPr>
          <w:p w14:paraId="381B3D43" w14:textId="77777777" w:rsidR="00967C7D" w:rsidRPr="00967C7D" w:rsidRDefault="00967C7D" w:rsidP="00967C7D">
            <w:pPr>
              <w:keepNext w:val="0"/>
              <w:spacing w:before="0"/>
              <w:rPr>
                <w:rFonts w:cs="Arial"/>
                <w:bCs/>
                <w:color w:val="auto"/>
                <w:sz w:val="20"/>
              </w:rPr>
            </w:pPr>
            <w:r w:rsidRPr="00967C7D">
              <w:rPr>
                <w:rFonts w:cs="Arial"/>
                <w:bCs/>
                <w:color w:val="auto"/>
                <w:sz w:val="20"/>
              </w:rPr>
              <w:t>EV5/58</w:t>
            </w:r>
          </w:p>
        </w:tc>
        <w:tc>
          <w:tcPr>
            <w:tcW w:w="6230" w:type="dxa"/>
            <w:noWrap/>
          </w:tcPr>
          <w:p w14:paraId="0809FC66" w14:textId="77777777" w:rsidR="00967C7D" w:rsidRPr="00967C7D" w:rsidRDefault="00967C7D" w:rsidP="00967C7D">
            <w:pPr>
              <w:keepNext w:val="0"/>
              <w:spacing w:before="0"/>
              <w:rPr>
                <w:rFonts w:cs="Arial"/>
                <w:bCs/>
                <w:color w:val="auto"/>
                <w:sz w:val="20"/>
              </w:rPr>
            </w:pPr>
            <w:r w:rsidRPr="00967C7D">
              <w:rPr>
                <w:rFonts w:cs="Arial"/>
                <w:bCs/>
                <w:color w:val="auto"/>
                <w:sz w:val="20"/>
              </w:rPr>
              <w:t>Fields off Winter Close/ Cordy Lane</w:t>
            </w:r>
          </w:p>
        </w:tc>
        <w:tc>
          <w:tcPr>
            <w:tcW w:w="1847" w:type="dxa"/>
            <w:noWrap/>
          </w:tcPr>
          <w:p w14:paraId="02248C5B" w14:textId="77777777" w:rsidR="00967C7D" w:rsidRPr="00967C7D" w:rsidRDefault="00967C7D" w:rsidP="00967C7D">
            <w:pPr>
              <w:keepNext w:val="0"/>
              <w:spacing w:before="0"/>
              <w:rPr>
                <w:rFonts w:cs="Arial"/>
                <w:bCs/>
                <w:color w:val="auto"/>
                <w:sz w:val="20"/>
              </w:rPr>
            </w:pPr>
            <w:r w:rsidRPr="00967C7D">
              <w:rPr>
                <w:rFonts w:cs="Arial"/>
                <w:bCs/>
                <w:color w:val="auto"/>
                <w:sz w:val="20"/>
              </w:rPr>
              <w:t>South Sheet</w:t>
            </w:r>
          </w:p>
        </w:tc>
      </w:tr>
      <w:tr w:rsidR="00967C7D" w:rsidRPr="00967C7D" w14:paraId="2CB84B64" w14:textId="77777777" w:rsidTr="00B5314A">
        <w:trPr>
          <w:trHeight w:val="284"/>
        </w:trPr>
        <w:tc>
          <w:tcPr>
            <w:tcW w:w="1280" w:type="dxa"/>
          </w:tcPr>
          <w:p w14:paraId="7ACF4014" w14:textId="77777777" w:rsidR="00967C7D" w:rsidRPr="00967C7D" w:rsidRDefault="00967C7D" w:rsidP="00967C7D">
            <w:pPr>
              <w:keepNext w:val="0"/>
              <w:spacing w:before="0"/>
              <w:rPr>
                <w:rFonts w:cs="Arial"/>
                <w:bCs/>
                <w:color w:val="auto"/>
                <w:sz w:val="20"/>
              </w:rPr>
            </w:pPr>
            <w:r w:rsidRPr="00967C7D">
              <w:rPr>
                <w:rFonts w:cs="Arial"/>
                <w:bCs/>
                <w:color w:val="auto"/>
                <w:sz w:val="20"/>
              </w:rPr>
              <w:t>EV5/59</w:t>
            </w:r>
          </w:p>
        </w:tc>
        <w:tc>
          <w:tcPr>
            <w:tcW w:w="6230" w:type="dxa"/>
            <w:noWrap/>
          </w:tcPr>
          <w:p w14:paraId="7BDA3799" w14:textId="77777777" w:rsidR="00967C7D" w:rsidRPr="00967C7D" w:rsidRDefault="00967C7D" w:rsidP="00967C7D">
            <w:pPr>
              <w:keepNext w:val="0"/>
              <w:spacing w:before="0"/>
              <w:rPr>
                <w:rFonts w:cs="Arial"/>
                <w:bCs/>
                <w:color w:val="auto"/>
                <w:sz w:val="20"/>
              </w:rPr>
            </w:pPr>
            <w:r w:rsidRPr="00967C7D">
              <w:rPr>
                <w:rFonts w:cs="Arial"/>
                <w:bCs/>
                <w:color w:val="auto"/>
                <w:sz w:val="20"/>
              </w:rPr>
              <w:t>Felley Wood</w:t>
            </w:r>
          </w:p>
        </w:tc>
        <w:tc>
          <w:tcPr>
            <w:tcW w:w="1847" w:type="dxa"/>
            <w:noWrap/>
          </w:tcPr>
          <w:p w14:paraId="7D93DDFE" w14:textId="77777777" w:rsidR="00967C7D" w:rsidRPr="00967C7D" w:rsidRDefault="00967C7D" w:rsidP="00967C7D">
            <w:pPr>
              <w:keepNext w:val="0"/>
              <w:spacing w:before="0"/>
              <w:rPr>
                <w:rFonts w:cs="Arial"/>
                <w:bCs/>
                <w:color w:val="auto"/>
                <w:sz w:val="20"/>
              </w:rPr>
            </w:pPr>
            <w:r w:rsidRPr="00967C7D">
              <w:rPr>
                <w:rFonts w:cs="Arial"/>
                <w:bCs/>
                <w:color w:val="auto"/>
                <w:sz w:val="20"/>
              </w:rPr>
              <w:t>South Sheet</w:t>
            </w:r>
          </w:p>
        </w:tc>
      </w:tr>
      <w:tr w:rsidR="00967C7D" w:rsidRPr="00967C7D" w14:paraId="50439821" w14:textId="77777777" w:rsidTr="00B5314A">
        <w:trPr>
          <w:trHeight w:val="284"/>
        </w:trPr>
        <w:tc>
          <w:tcPr>
            <w:tcW w:w="1280" w:type="dxa"/>
          </w:tcPr>
          <w:p w14:paraId="35310762" w14:textId="77777777" w:rsidR="00967C7D" w:rsidRPr="00967C7D" w:rsidRDefault="00967C7D" w:rsidP="00967C7D">
            <w:pPr>
              <w:keepNext w:val="0"/>
              <w:spacing w:before="0"/>
              <w:rPr>
                <w:rFonts w:cs="Arial"/>
                <w:bCs/>
                <w:color w:val="auto"/>
                <w:sz w:val="20"/>
              </w:rPr>
            </w:pPr>
            <w:r w:rsidRPr="00967C7D">
              <w:rPr>
                <w:rFonts w:cs="Arial"/>
                <w:bCs/>
                <w:color w:val="auto"/>
                <w:sz w:val="20"/>
              </w:rPr>
              <w:t>EV5/60</w:t>
            </w:r>
          </w:p>
        </w:tc>
        <w:tc>
          <w:tcPr>
            <w:tcW w:w="6230" w:type="dxa"/>
            <w:noWrap/>
          </w:tcPr>
          <w:p w14:paraId="34F4FC17" w14:textId="77777777" w:rsidR="00967C7D" w:rsidRPr="00967C7D" w:rsidRDefault="00967C7D" w:rsidP="00967C7D">
            <w:pPr>
              <w:keepNext w:val="0"/>
              <w:spacing w:before="0"/>
              <w:rPr>
                <w:rFonts w:cs="Arial"/>
                <w:bCs/>
                <w:color w:val="auto"/>
                <w:sz w:val="20"/>
              </w:rPr>
            </w:pPr>
            <w:r w:rsidRPr="00967C7D">
              <w:rPr>
                <w:rFonts w:cs="Arial"/>
                <w:bCs/>
                <w:color w:val="auto"/>
                <w:sz w:val="20"/>
              </w:rPr>
              <w:t>Underwood Church of England School Playing Field</w:t>
            </w:r>
          </w:p>
        </w:tc>
        <w:tc>
          <w:tcPr>
            <w:tcW w:w="1847" w:type="dxa"/>
            <w:noWrap/>
          </w:tcPr>
          <w:p w14:paraId="3577CEC1" w14:textId="77777777" w:rsidR="00967C7D" w:rsidRPr="00967C7D" w:rsidRDefault="00967C7D" w:rsidP="00967C7D">
            <w:pPr>
              <w:keepNext w:val="0"/>
              <w:spacing w:before="0"/>
              <w:rPr>
                <w:rFonts w:cs="Arial"/>
                <w:bCs/>
                <w:color w:val="auto"/>
                <w:sz w:val="20"/>
              </w:rPr>
            </w:pPr>
            <w:r w:rsidRPr="00967C7D">
              <w:rPr>
                <w:rFonts w:cs="Arial"/>
                <w:bCs/>
                <w:color w:val="auto"/>
                <w:sz w:val="20"/>
              </w:rPr>
              <w:t>South Sheet</w:t>
            </w:r>
          </w:p>
        </w:tc>
      </w:tr>
      <w:tr w:rsidR="00967C7D" w:rsidRPr="00967C7D" w14:paraId="61BAE528" w14:textId="77777777" w:rsidTr="00B5314A">
        <w:trPr>
          <w:trHeight w:val="284"/>
        </w:trPr>
        <w:tc>
          <w:tcPr>
            <w:tcW w:w="1280" w:type="dxa"/>
          </w:tcPr>
          <w:p w14:paraId="4C3017E8" w14:textId="77777777" w:rsidR="00967C7D" w:rsidRPr="00967C7D" w:rsidRDefault="00967C7D" w:rsidP="00967C7D">
            <w:pPr>
              <w:keepNext w:val="0"/>
              <w:spacing w:before="0"/>
              <w:rPr>
                <w:rFonts w:cs="Arial"/>
                <w:bCs/>
                <w:color w:val="auto"/>
                <w:sz w:val="20"/>
              </w:rPr>
            </w:pPr>
            <w:r w:rsidRPr="00967C7D">
              <w:rPr>
                <w:rFonts w:cs="Arial"/>
                <w:bCs/>
                <w:color w:val="auto"/>
                <w:sz w:val="20"/>
              </w:rPr>
              <w:t>EV5/61</w:t>
            </w:r>
          </w:p>
        </w:tc>
        <w:tc>
          <w:tcPr>
            <w:tcW w:w="6230" w:type="dxa"/>
            <w:noWrap/>
          </w:tcPr>
          <w:p w14:paraId="6C120B07" w14:textId="77777777" w:rsidR="00967C7D" w:rsidRPr="00967C7D" w:rsidRDefault="00967C7D" w:rsidP="00967C7D">
            <w:pPr>
              <w:keepNext w:val="0"/>
              <w:spacing w:before="0"/>
              <w:rPr>
                <w:rFonts w:cs="Arial"/>
                <w:bCs/>
                <w:color w:val="auto"/>
                <w:sz w:val="20"/>
              </w:rPr>
            </w:pPr>
            <w:r w:rsidRPr="00967C7D">
              <w:rPr>
                <w:rFonts w:cs="Arial"/>
                <w:bCs/>
                <w:color w:val="auto"/>
                <w:sz w:val="20"/>
              </w:rPr>
              <w:t>Alfreton Road Cricket Ground</w:t>
            </w:r>
          </w:p>
        </w:tc>
        <w:tc>
          <w:tcPr>
            <w:tcW w:w="1847" w:type="dxa"/>
            <w:noWrap/>
          </w:tcPr>
          <w:p w14:paraId="0B3DED07" w14:textId="77777777" w:rsidR="00967C7D" w:rsidRPr="00967C7D" w:rsidRDefault="00967C7D" w:rsidP="00967C7D">
            <w:pPr>
              <w:keepNext w:val="0"/>
              <w:spacing w:before="0"/>
              <w:rPr>
                <w:rFonts w:cs="Arial"/>
                <w:bCs/>
                <w:color w:val="auto"/>
                <w:sz w:val="20"/>
              </w:rPr>
            </w:pPr>
            <w:r w:rsidRPr="00967C7D">
              <w:rPr>
                <w:rFonts w:cs="Arial"/>
                <w:bCs/>
                <w:color w:val="auto"/>
                <w:sz w:val="20"/>
              </w:rPr>
              <w:t>South Sheet</w:t>
            </w:r>
          </w:p>
        </w:tc>
      </w:tr>
      <w:tr w:rsidR="00967C7D" w:rsidRPr="00967C7D" w14:paraId="6418C88E" w14:textId="77777777" w:rsidTr="00B5314A">
        <w:trPr>
          <w:trHeight w:val="284"/>
        </w:trPr>
        <w:tc>
          <w:tcPr>
            <w:tcW w:w="1280" w:type="dxa"/>
          </w:tcPr>
          <w:p w14:paraId="59F61189" w14:textId="77777777" w:rsidR="00967C7D" w:rsidRPr="00967C7D" w:rsidRDefault="00967C7D" w:rsidP="00967C7D">
            <w:pPr>
              <w:keepNext w:val="0"/>
              <w:spacing w:before="0"/>
              <w:rPr>
                <w:rFonts w:cs="Arial"/>
                <w:bCs/>
                <w:color w:val="auto"/>
                <w:sz w:val="20"/>
              </w:rPr>
            </w:pPr>
            <w:r w:rsidRPr="00967C7D">
              <w:rPr>
                <w:rFonts w:cs="Arial"/>
                <w:bCs/>
                <w:color w:val="auto"/>
                <w:sz w:val="20"/>
              </w:rPr>
              <w:t>EV5/62</w:t>
            </w:r>
          </w:p>
        </w:tc>
        <w:tc>
          <w:tcPr>
            <w:tcW w:w="6230" w:type="dxa"/>
            <w:noWrap/>
          </w:tcPr>
          <w:p w14:paraId="500BA516" w14:textId="77777777" w:rsidR="00967C7D" w:rsidRPr="00967C7D" w:rsidRDefault="00967C7D" w:rsidP="00967C7D">
            <w:pPr>
              <w:keepNext w:val="0"/>
              <w:spacing w:before="0"/>
              <w:rPr>
                <w:rFonts w:cs="Arial"/>
                <w:bCs/>
                <w:color w:val="auto"/>
                <w:sz w:val="20"/>
              </w:rPr>
            </w:pPr>
            <w:r w:rsidRPr="00967C7D">
              <w:rPr>
                <w:rFonts w:cs="Arial"/>
                <w:bCs/>
                <w:color w:val="auto"/>
                <w:sz w:val="20"/>
              </w:rPr>
              <w:t>Fields off Felley Mill Lane</w:t>
            </w:r>
          </w:p>
        </w:tc>
        <w:tc>
          <w:tcPr>
            <w:tcW w:w="1847" w:type="dxa"/>
            <w:noWrap/>
          </w:tcPr>
          <w:p w14:paraId="69C9218B" w14:textId="77777777" w:rsidR="00967C7D" w:rsidRPr="00967C7D" w:rsidRDefault="00967C7D" w:rsidP="00967C7D">
            <w:pPr>
              <w:keepNext w:val="0"/>
              <w:spacing w:before="0"/>
              <w:rPr>
                <w:rFonts w:cs="Arial"/>
                <w:bCs/>
                <w:color w:val="auto"/>
                <w:sz w:val="20"/>
              </w:rPr>
            </w:pPr>
            <w:r w:rsidRPr="00967C7D">
              <w:rPr>
                <w:rFonts w:cs="Arial"/>
                <w:bCs/>
                <w:color w:val="auto"/>
                <w:sz w:val="20"/>
              </w:rPr>
              <w:t>South Sheet</w:t>
            </w:r>
          </w:p>
        </w:tc>
      </w:tr>
      <w:tr w:rsidR="00967C7D" w:rsidRPr="00967C7D" w14:paraId="042FE3D2" w14:textId="77777777" w:rsidTr="00B5314A">
        <w:trPr>
          <w:trHeight w:val="284"/>
        </w:trPr>
        <w:tc>
          <w:tcPr>
            <w:tcW w:w="1280" w:type="dxa"/>
          </w:tcPr>
          <w:p w14:paraId="25D2E17B" w14:textId="77777777" w:rsidR="00967C7D" w:rsidRPr="00967C7D" w:rsidRDefault="00967C7D" w:rsidP="00967C7D">
            <w:pPr>
              <w:keepNext w:val="0"/>
              <w:spacing w:before="0"/>
              <w:rPr>
                <w:rFonts w:cs="Arial"/>
                <w:bCs/>
                <w:color w:val="auto"/>
                <w:sz w:val="20"/>
              </w:rPr>
            </w:pPr>
            <w:r w:rsidRPr="00967C7D">
              <w:rPr>
                <w:rFonts w:cs="Arial"/>
                <w:bCs/>
                <w:color w:val="auto"/>
                <w:sz w:val="20"/>
              </w:rPr>
              <w:t>EV5/63</w:t>
            </w:r>
          </w:p>
        </w:tc>
        <w:tc>
          <w:tcPr>
            <w:tcW w:w="6230" w:type="dxa"/>
            <w:noWrap/>
          </w:tcPr>
          <w:p w14:paraId="2620E2C2" w14:textId="77777777" w:rsidR="00967C7D" w:rsidRPr="00967C7D" w:rsidRDefault="00967C7D" w:rsidP="00967C7D">
            <w:pPr>
              <w:keepNext w:val="0"/>
              <w:spacing w:before="0"/>
              <w:rPr>
                <w:rFonts w:cs="Arial"/>
                <w:bCs/>
                <w:color w:val="auto"/>
                <w:sz w:val="20"/>
              </w:rPr>
            </w:pPr>
            <w:r w:rsidRPr="00967C7D">
              <w:rPr>
                <w:rFonts w:cs="Arial"/>
                <w:bCs/>
                <w:color w:val="auto"/>
                <w:sz w:val="20"/>
              </w:rPr>
              <w:t>South of Main Road, Underwood Hill Recreation Ground</w:t>
            </w:r>
          </w:p>
        </w:tc>
        <w:tc>
          <w:tcPr>
            <w:tcW w:w="1847" w:type="dxa"/>
            <w:noWrap/>
          </w:tcPr>
          <w:p w14:paraId="56A7F35C" w14:textId="77777777" w:rsidR="00967C7D" w:rsidRPr="00967C7D" w:rsidRDefault="00967C7D" w:rsidP="00967C7D">
            <w:pPr>
              <w:keepNext w:val="0"/>
              <w:spacing w:before="0"/>
              <w:rPr>
                <w:rFonts w:cs="Arial"/>
                <w:bCs/>
                <w:color w:val="auto"/>
                <w:sz w:val="20"/>
              </w:rPr>
            </w:pPr>
            <w:r w:rsidRPr="00967C7D">
              <w:rPr>
                <w:rFonts w:cs="Arial"/>
                <w:bCs/>
                <w:color w:val="auto"/>
                <w:sz w:val="20"/>
              </w:rPr>
              <w:t>South Sheet</w:t>
            </w:r>
          </w:p>
        </w:tc>
      </w:tr>
      <w:tr w:rsidR="00967C7D" w:rsidRPr="00967C7D" w14:paraId="4A8B2AAA" w14:textId="77777777" w:rsidTr="00B5314A">
        <w:trPr>
          <w:trHeight w:val="284"/>
        </w:trPr>
        <w:tc>
          <w:tcPr>
            <w:tcW w:w="1280" w:type="dxa"/>
          </w:tcPr>
          <w:p w14:paraId="3C43A922" w14:textId="77777777" w:rsidR="00967C7D" w:rsidRPr="00967C7D" w:rsidRDefault="00967C7D" w:rsidP="00967C7D">
            <w:pPr>
              <w:keepNext w:val="0"/>
              <w:spacing w:before="0"/>
              <w:rPr>
                <w:rFonts w:cs="Arial"/>
                <w:bCs/>
                <w:color w:val="auto"/>
                <w:sz w:val="20"/>
              </w:rPr>
            </w:pPr>
            <w:r w:rsidRPr="00967C7D">
              <w:rPr>
                <w:rFonts w:cs="Arial"/>
                <w:bCs/>
                <w:color w:val="auto"/>
                <w:sz w:val="20"/>
              </w:rPr>
              <w:t>EV5/64</w:t>
            </w:r>
          </w:p>
        </w:tc>
        <w:tc>
          <w:tcPr>
            <w:tcW w:w="6230" w:type="dxa"/>
            <w:noWrap/>
          </w:tcPr>
          <w:p w14:paraId="0ABC5FE3" w14:textId="77777777" w:rsidR="00967C7D" w:rsidRPr="00967C7D" w:rsidRDefault="00967C7D" w:rsidP="00967C7D">
            <w:pPr>
              <w:keepNext w:val="0"/>
              <w:spacing w:before="0"/>
              <w:rPr>
                <w:rFonts w:cs="Arial"/>
                <w:bCs/>
                <w:color w:val="auto"/>
                <w:sz w:val="20"/>
              </w:rPr>
            </w:pPr>
            <w:r w:rsidRPr="00967C7D">
              <w:rPr>
                <w:rFonts w:cs="Arial"/>
                <w:bCs/>
                <w:color w:val="auto"/>
                <w:sz w:val="20"/>
              </w:rPr>
              <w:t>St Michael and All Angels Church Cemetery</w:t>
            </w:r>
          </w:p>
        </w:tc>
        <w:tc>
          <w:tcPr>
            <w:tcW w:w="1847" w:type="dxa"/>
            <w:noWrap/>
          </w:tcPr>
          <w:p w14:paraId="77B73578" w14:textId="77777777" w:rsidR="00967C7D" w:rsidRPr="00967C7D" w:rsidRDefault="00967C7D" w:rsidP="00967C7D">
            <w:pPr>
              <w:keepNext w:val="0"/>
              <w:spacing w:before="0"/>
              <w:rPr>
                <w:rFonts w:cs="Arial"/>
                <w:bCs/>
                <w:color w:val="auto"/>
                <w:sz w:val="20"/>
              </w:rPr>
            </w:pPr>
            <w:r w:rsidRPr="00967C7D">
              <w:rPr>
                <w:rFonts w:cs="Arial"/>
                <w:bCs/>
                <w:color w:val="auto"/>
                <w:sz w:val="20"/>
              </w:rPr>
              <w:t>South Sheet</w:t>
            </w:r>
          </w:p>
        </w:tc>
      </w:tr>
      <w:tr w:rsidR="00967C7D" w:rsidRPr="00967C7D" w14:paraId="6037BE26" w14:textId="77777777" w:rsidTr="00B5314A">
        <w:trPr>
          <w:trHeight w:val="284"/>
        </w:trPr>
        <w:tc>
          <w:tcPr>
            <w:tcW w:w="1280" w:type="dxa"/>
          </w:tcPr>
          <w:p w14:paraId="57F08F27" w14:textId="77777777" w:rsidR="00967C7D" w:rsidRPr="00967C7D" w:rsidRDefault="00967C7D" w:rsidP="00967C7D">
            <w:pPr>
              <w:keepNext w:val="0"/>
              <w:spacing w:before="0"/>
              <w:rPr>
                <w:rFonts w:cs="Arial"/>
                <w:bCs/>
                <w:color w:val="auto"/>
                <w:sz w:val="20"/>
              </w:rPr>
            </w:pPr>
            <w:r w:rsidRPr="00967C7D">
              <w:rPr>
                <w:rFonts w:cs="Arial"/>
                <w:bCs/>
                <w:color w:val="auto"/>
                <w:sz w:val="20"/>
              </w:rPr>
              <w:t>EV5/65</w:t>
            </w:r>
          </w:p>
        </w:tc>
        <w:tc>
          <w:tcPr>
            <w:tcW w:w="6230" w:type="dxa"/>
            <w:noWrap/>
          </w:tcPr>
          <w:p w14:paraId="42B0AB60" w14:textId="77777777" w:rsidR="00967C7D" w:rsidRPr="00967C7D" w:rsidRDefault="00967C7D" w:rsidP="00967C7D">
            <w:pPr>
              <w:keepNext w:val="0"/>
              <w:spacing w:before="0"/>
              <w:rPr>
                <w:rFonts w:cs="Arial"/>
                <w:bCs/>
                <w:color w:val="auto"/>
                <w:sz w:val="20"/>
              </w:rPr>
            </w:pPr>
            <w:r w:rsidRPr="00967C7D">
              <w:rPr>
                <w:rFonts w:cs="Arial"/>
                <w:bCs/>
                <w:color w:val="auto"/>
                <w:sz w:val="20"/>
              </w:rPr>
              <w:t>Church Lane Recreation Ground, Friezeland</w:t>
            </w:r>
          </w:p>
        </w:tc>
        <w:tc>
          <w:tcPr>
            <w:tcW w:w="1847" w:type="dxa"/>
            <w:noWrap/>
          </w:tcPr>
          <w:p w14:paraId="0EAB6469" w14:textId="77777777" w:rsidR="00967C7D" w:rsidRPr="00967C7D" w:rsidRDefault="00967C7D" w:rsidP="00967C7D">
            <w:pPr>
              <w:keepNext w:val="0"/>
              <w:spacing w:before="0"/>
              <w:rPr>
                <w:rFonts w:cs="Arial"/>
                <w:bCs/>
                <w:color w:val="auto"/>
                <w:sz w:val="20"/>
              </w:rPr>
            </w:pPr>
            <w:r w:rsidRPr="00967C7D">
              <w:rPr>
                <w:rFonts w:cs="Arial"/>
                <w:bCs/>
                <w:color w:val="auto"/>
                <w:sz w:val="20"/>
              </w:rPr>
              <w:t>South Sheet</w:t>
            </w:r>
          </w:p>
        </w:tc>
      </w:tr>
      <w:tr w:rsidR="00967C7D" w:rsidRPr="00967C7D" w14:paraId="65129291" w14:textId="77777777" w:rsidTr="00B5314A">
        <w:trPr>
          <w:trHeight w:val="284"/>
        </w:trPr>
        <w:tc>
          <w:tcPr>
            <w:tcW w:w="1280" w:type="dxa"/>
          </w:tcPr>
          <w:p w14:paraId="5586A5E0" w14:textId="77777777" w:rsidR="00967C7D" w:rsidRPr="00967C7D" w:rsidRDefault="00967C7D" w:rsidP="00967C7D">
            <w:pPr>
              <w:keepNext w:val="0"/>
              <w:spacing w:before="0"/>
              <w:rPr>
                <w:rFonts w:cs="Arial"/>
                <w:bCs/>
                <w:color w:val="auto"/>
                <w:sz w:val="20"/>
              </w:rPr>
            </w:pPr>
            <w:r w:rsidRPr="00967C7D">
              <w:rPr>
                <w:rFonts w:cs="Arial"/>
                <w:bCs/>
                <w:color w:val="auto"/>
                <w:sz w:val="20"/>
              </w:rPr>
              <w:t>EV5/66</w:t>
            </w:r>
          </w:p>
        </w:tc>
        <w:tc>
          <w:tcPr>
            <w:tcW w:w="6230" w:type="dxa"/>
            <w:noWrap/>
          </w:tcPr>
          <w:p w14:paraId="299655B2" w14:textId="77777777" w:rsidR="00967C7D" w:rsidRPr="00967C7D" w:rsidRDefault="00967C7D" w:rsidP="00967C7D">
            <w:pPr>
              <w:keepNext w:val="0"/>
              <w:spacing w:before="0"/>
              <w:rPr>
                <w:rFonts w:cs="Arial"/>
                <w:bCs/>
                <w:color w:val="auto"/>
                <w:sz w:val="20"/>
              </w:rPr>
            </w:pPr>
            <w:r w:rsidRPr="00967C7D">
              <w:rPr>
                <w:rFonts w:cs="Arial"/>
                <w:bCs/>
                <w:color w:val="auto"/>
                <w:sz w:val="20"/>
              </w:rPr>
              <w:t>Underwood Football Club</w:t>
            </w:r>
          </w:p>
        </w:tc>
        <w:tc>
          <w:tcPr>
            <w:tcW w:w="1847" w:type="dxa"/>
            <w:noWrap/>
          </w:tcPr>
          <w:p w14:paraId="076266E8" w14:textId="77777777" w:rsidR="00967C7D" w:rsidRPr="00967C7D" w:rsidRDefault="00967C7D" w:rsidP="00967C7D">
            <w:pPr>
              <w:keepNext w:val="0"/>
              <w:spacing w:before="0"/>
              <w:rPr>
                <w:rFonts w:cs="Arial"/>
                <w:bCs/>
                <w:color w:val="auto"/>
                <w:sz w:val="20"/>
              </w:rPr>
            </w:pPr>
            <w:r w:rsidRPr="00967C7D">
              <w:rPr>
                <w:rFonts w:cs="Arial"/>
                <w:bCs/>
                <w:color w:val="auto"/>
                <w:sz w:val="20"/>
              </w:rPr>
              <w:t>South Sheet</w:t>
            </w:r>
          </w:p>
        </w:tc>
      </w:tr>
      <w:tr w:rsidR="00967C7D" w:rsidRPr="00967C7D" w14:paraId="4EF46C2E" w14:textId="77777777" w:rsidTr="00B5314A">
        <w:trPr>
          <w:trHeight w:val="284"/>
        </w:trPr>
        <w:tc>
          <w:tcPr>
            <w:tcW w:w="1280" w:type="dxa"/>
          </w:tcPr>
          <w:p w14:paraId="148DBF09" w14:textId="77777777" w:rsidR="00967C7D" w:rsidRPr="00967C7D" w:rsidRDefault="00967C7D" w:rsidP="00967C7D">
            <w:pPr>
              <w:keepNext w:val="0"/>
              <w:spacing w:before="0"/>
              <w:rPr>
                <w:rFonts w:cs="Arial"/>
                <w:bCs/>
                <w:color w:val="auto"/>
                <w:sz w:val="20"/>
              </w:rPr>
            </w:pPr>
            <w:r w:rsidRPr="00967C7D">
              <w:rPr>
                <w:rFonts w:cs="Arial"/>
                <w:bCs/>
                <w:color w:val="auto"/>
                <w:sz w:val="20"/>
              </w:rPr>
              <w:t>EV5/67</w:t>
            </w:r>
          </w:p>
        </w:tc>
        <w:tc>
          <w:tcPr>
            <w:tcW w:w="6230" w:type="dxa"/>
            <w:noWrap/>
          </w:tcPr>
          <w:p w14:paraId="1CE68780" w14:textId="77777777" w:rsidR="00967C7D" w:rsidRPr="00967C7D" w:rsidRDefault="00967C7D" w:rsidP="00967C7D">
            <w:pPr>
              <w:keepNext w:val="0"/>
              <w:spacing w:before="0"/>
              <w:rPr>
                <w:rFonts w:cs="Arial"/>
                <w:bCs/>
                <w:color w:val="auto"/>
                <w:sz w:val="20"/>
              </w:rPr>
            </w:pPr>
            <w:r w:rsidRPr="00967C7D">
              <w:rPr>
                <w:rFonts w:cs="Arial"/>
                <w:bCs/>
                <w:color w:val="auto"/>
                <w:sz w:val="20"/>
              </w:rPr>
              <w:t>Bagthorpe Primary School Playing Field</w:t>
            </w:r>
          </w:p>
        </w:tc>
        <w:tc>
          <w:tcPr>
            <w:tcW w:w="1847" w:type="dxa"/>
            <w:noWrap/>
          </w:tcPr>
          <w:p w14:paraId="52E8FB10" w14:textId="77777777" w:rsidR="00967C7D" w:rsidRPr="00967C7D" w:rsidRDefault="00967C7D" w:rsidP="00967C7D">
            <w:pPr>
              <w:keepNext w:val="0"/>
              <w:spacing w:before="0"/>
              <w:rPr>
                <w:rFonts w:cs="Arial"/>
                <w:bCs/>
                <w:color w:val="auto"/>
                <w:sz w:val="20"/>
              </w:rPr>
            </w:pPr>
            <w:r w:rsidRPr="00967C7D">
              <w:rPr>
                <w:rFonts w:cs="Arial"/>
                <w:bCs/>
                <w:color w:val="auto"/>
                <w:sz w:val="20"/>
              </w:rPr>
              <w:t>South Sheet</w:t>
            </w:r>
          </w:p>
        </w:tc>
      </w:tr>
      <w:tr w:rsidR="00967C7D" w:rsidRPr="00967C7D" w14:paraId="640C12DC" w14:textId="77777777" w:rsidTr="00B5314A">
        <w:trPr>
          <w:trHeight w:val="284"/>
        </w:trPr>
        <w:tc>
          <w:tcPr>
            <w:tcW w:w="1280" w:type="dxa"/>
          </w:tcPr>
          <w:p w14:paraId="11E6F29C" w14:textId="77777777" w:rsidR="00967C7D" w:rsidRPr="00967C7D" w:rsidRDefault="00967C7D" w:rsidP="00967C7D">
            <w:pPr>
              <w:keepNext w:val="0"/>
              <w:spacing w:before="0"/>
              <w:rPr>
                <w:rFonts w:cs="Arial"/>
                <w:bCs/>
                <w:color w:val="auto"/>
                <w:sz w:val="20"/>
              </w:rPr>
            </w:pPr>
            <w:r w:rsidRPr="00967C7D">
              <w:rPr>
                <w:rFonts w:cs="Arial"/>
                <w:bCs/>
                <w:color w:val="auto"/>
                <w:sz w:val="20"/>
              </w:rPr>
              <w:t>EV5/68</w:t>
            </w:r>
          </w:p>
        </w:tc>
        <w:tc>
          <w:tcPr>
            <w:tcW w:w="6230" w:type="dxa"/>
            <w:noWrap/>
          </w:tcPr>
          <w:p w14:paraId="63F6129A" w14:textId="77777777" w:rsidR="00967C7D" w:rsidRPr="00967C7D" w:rsidRDefault="00967C7D" w:rsidP="00967C7D">
            <w:pPr>
              <w:keepNext w:val="0"/>
              <w:spacing w:before="0"/>
              <w:rPr>
                <w:rFonts w:cs="Arial"/>
                <w:bCs/>
                <w:color w:val="auto"/>
                <w:sz w:val="20"/>
              </w:rPr>
            </w:pPr>
            <w:r w:rsidRPr="00967C7D">
              <w:rPr>
                <w:rFonts w:cs="Arial"/>
                <w:bCs/>
                <w:color w:val="auto"/>
                <w:sz w:val="20"/>
              </w:rPr>
              <w:t>Fields at Millington Springs</w:t>
            </w:r>
          </w:p>
        </w:tc>
        <w:tc>
          <w:tcPr>
            <w:tcW w:w="1847" w:type="dxa"/>
            <w:noWrap/>
          </w:tcPr>
          <w:p w14:paraId="7234862B" w14:textId="77777777" w:rsidR="00967C7D" w:rsidRPr="00967C7D" w:rsidRDefault="00967C7D" w:rsidP="00967C7D">
            <w:pPr>
              <w:keepNext w:val="0"/>
              <w:spacing w:before="0"/>
              <w:rPr>
                <w:rFonts w:cs="Arial"/>
                <w:bCs/>
                <w:color w:val="auto"/>
                <w:sz w:val="20"/>
              </w:rPr>
            </w:pPr>
            <w:r w:rsidRPr="00967C7D">
              <w:rPr>
                <w:rFonts w:cs="Arial"/>
                <w:bCs/>
                <w:color w:val="auto"/>
                <w:sz w:val="20"/>
              </w:rPr>
              <w:t>South Sheet</w:t>
            </w:r>
          </w:p>
        </w:tc>
      </w:tr>
      <w:tr w:rsidR="00967C7D" w:rsidRPr="00967C7D" w14:paraId="66CF4487" w14:textId="77777777" w:rsidTr="00B5314A">
        <w:trPr>
          <w:trHeight w:val="284"/>
        </w:trPr>
        <w:tc>
          <w:tcPr>
            <w:tcW w:w="1280" w:type="dxa"/>
          </w:tcPr>
          <w:p w14:paraId="3E3C69D9" w14:textId="77777777" w:rsidR="00967C7D" w:rsidRPr="00967C7D" w:rsidRDefault="00967C7D" w:rsidP="00967C7D">
            <w:pPr>
              <w:keepNext w:val="0"/>
              <w:spacing w:before="0"/>
              <w:rPr>
                <w:rFonts w:cs="Arial"/>
                <w:bCs/>
                <w:color w:val="auto"/>
                <w:sz w:val="20"/>
              </w:rPr>
            </w:pPr>
            <w:r w:rsidRPr="00967C7D">
              <w:rPr>
                <w:rFonts w:cs="Arial"/>
                <w:bCs/>
                <w:color w:val="auto"/>
                <w:sz w:val="20"/>
              </w:rPr>
              <w:t>EV5/69</w:t>
            </w:r>
          </w:p>
        </w:tc>
        <w:tc>
          <w:tcPr>
            <w:tcW w:w="6230" w:type="dxa"/>
            <w:noWrap/>
          </w:tcPr>
          <w:p w14:paraId="2EB58133" w14:textId="77777777" w:rsidR="00967C7D" w:rsidRPr="00967C7D" w:rsidRDefault="00967C7D" w:rsidP="00967C7D">
            <w:pPr>
              <w:keepNext w:val="0"/>
              <w:spacing w:before="0"/>
              <w:rPr>
                <w:rFonts w:cs="Arial"/>
                <w:bCs/>
                <w:color w:val="auto"/>
                <w:sz w:val="20"/>
              </w:rPr>
            </w:pPr>
            <w:r w:rsidRPr="00967C7D">
              <w:rPr>
                <w:rFonts w:cs="Arial"/>
                <w:bCs/>
                <w:color w:val="auto"/>
                <w:sz w:val="20"/>
              </w:rPr>
              <w:t>Jacksdale Nature Reserve</w:t>
            </w:r>
          </w:p>
        </w:tc>
        <w:tc>
          <w:tcPr>
            <w:tcW w:w="1847" w:type="dxa"/>
            <w:noWrap/>
          </w:tcPr>
          <w:p w14:paraId="042A536E" w14:textId="77777777" w:rsidR="00967C7D" w:rsidRPr="00967C7D" w:rsidRDefault="00967C7D" w:rsidP="00967C7D">
            <w:pPr>
              <w:keepNext w:val="0"/>
              <w:spacing w:before="0"/>
              <w:rPr>
                <w:rFonts w:cs="Arial"/>
                <w:bCs/>
                <w:color w:val="auto"/>
                <w:sz w:val="20"/>
              </w:rPr>
            </w:pPr>
            <w:r w:rsidRPr="00967C7D">
              <w:rPr>
                <w:rFonts w:cs="Arial"/>
                <w:bCs/>
                <w:color w:val="auto"/>
                <w:sz w:val="20"/>
              </w:rPr>
              <w:t>South Sheet</w:t>
            </w:r>
          </w:p>
        </w:tc>
      </w:tr>
      <w:tr w:rsidR="00967C7D" w:rsidRPr="00967C7D" w14:paraId="5137DEF2" w14:textId="77777777" w:rsidTr="00B5314A">
        <w:trPr>
          <w:trHeight w:val="284"/>
        </w:trPr>
        <w:tc>
          <w:tcPr>
            <w:tcW w:w="1280" w:type="dxa"/>
          </w:tcPr>
          <w:p w14:paraId="3884D745" w14:textId="77777777" w:rsidR="00967C7D" w:rsidRPr="00967C7D" w:rsidRDefault="00967C7D" w:rsidP="00967C7D">
            <w:pPr>
              <w:keepNext w:val="0"/>
              <w:spacing w:before="0"/>
              <w:rPr>
                <w:rFonts w:cs="Arial"/>
                <w:bCs/>
                <w:color w:val="auto"/>
                <w:sz w:val="20"/>
              </w:rPr>
            </w:pPr>
            <w:r w:rsidRPr="00967C7D">
              <w:rPr>
                <w:rFonts w:cs="Arial"/>
                <w:bCs/>
                <w:color w:val="auto"/>
                <w:sz w:val="20"/>
              </w:rPr>
              <w:t>EV5/70</w:t>
            </w:r>
          </w:p>
        </w:tc>
        <w:tc>
          <w:tcPr>
            <w:tcW w:w="6230" w:type="dxa"/>
            <w:noWrap/>
          </w:tcPr>
          <w:p w14:paraId="5B433EF1" w14:textId="77777777" w:rsidR="00967C7D" w:rsidRPr="00967C7D" w:rsidRDefault="00967C7D" w:rsidP="00967C7D">
            <w:pPr>
              <w:keepNext w:val="0"/>
              <w:spacing w:before="0"/>
              <w:rPr>
                <w:rFonts w:cs="Arial"/>
                <w:bCs/>
                <w:color w:val="auto"/>
                <w:sz w:val="20"/>
              </w:rPr>
            </w:pPr>
            <w:r w:rsidRPr="00967C7D">
              <w:rPr>
                <w:rFonts w:cs="Arial"/>
                <w:bCs/>
                <w:color w:val="auto"/>
                <w:sz w:val="20"/>
              </w:rPr>
              <w:t>Land at Miners Welfare Club Jacksdale</w:t>
            </w:r>
          </w:p>
        </w:tc>
        <w:tc>
          <w:tcPr>
            <w:tcW w:w="1847" w:type="dxa"/>
            <w:noWrap/>
          </w:tcPr>
          <w:p w14:paraId="3DD28B54" w14:textId="77777777" w:rsidR="00967C7D" w:rsidRPr="00967C7D" w:rsidRDefault="00967C7D" w:rsidP="00967C7D">
            <w:pPr>
              <w:keepNext w:val="0"/>
              <w:spacing w:before="0"/>
              <w:rPr>
                <w:rFonts w:cs="Arial"/>
                <w:bCs/>
                <w:color w:val="auto"/>
                <w:sz w:val="20"/>
              </w:rPr>
            </w:pPr>
            <w:r w:rsidRPr="00967C7D">
              <w:rPr>
                <w:rFonts w:cs="Arial"/>
                <w:bCs/>
                <w:color w:val="auto"/>
                <w:sz w:val="20"/>
              </w:rPr>
              <w:t>South Sheet</w:t>
            </w:r>
          </w:p>
        </w:tc>
      </w:tr>
      <w:tr w:rsidR="00967C7D" w:rsidRPr="00967C7D" w14:paraId="65941741" w14:textId="77777777" w:rsidTr="00B5314A">
        <w:trPr>
          <w:trHeight w:val="284"/>
        </w:trPr>
        <w:tc>
          <w:tcPr>
            <w:tcW w:w="1280" w:type="dxa"/>
          </w:tcPr>
          <w:p w14:paraId="6770C40D" w14:textId="77777777" w:rsidR="00967C7D" w:rsidRPr="00967C7D" w:rsidRDefault="00967C7D" w:rsidP="00967C7D">
            <w:pPr>
              <w:keepNext w:val="0"/>
              <w:spacing w:before="0"/>
              <w:rPr>
                <w:rFonts w:cs="Arial"/>
                <w:bCs/>
                <w:color w:val="auto"/>
                <w:sz w:val="20"/>
              </w:rPr>
            </w:pPr>
            <w:r w:rsidRPr="00967C7D">
              <w:rPr>
                <w:rFonts w:cs="Arial"/>
                <w:bCs/>
                <w:color w:val="auto"/>
                <w:sz w:val="20"/>
              </w:rPr>
              <w:t>EV5/71</w:t>
            </w:r>
          </w:p>
        </w:tc>
        <w:tc>
          <w:tcPr>
            <w:tcW w:w="6230" w:type="dxa"/>
            <w:noWrap/>
          </w:tcPr>
          <w:p w14:paraId="6C1E1444" w14:textId="77777777" w:rsidR="00967C7D" w:rsidRPr="00967C7D" w:rsidRDefault="00967C7D" w:rsidP="00967C7D">
            <w:pPr>
              <w:keepNext w:val="0"/>
              <w:spacing w:before="0"/>
              <w:rPr>
                <w:rFonts w:cs="Arial"/>
                <w:bCs/>
                <w:color w:val="auto"/>
                <w:sz w:val="20"/>
              </w:rPr>
            </w:pPr>
            <w:r w:rsidRPr="00967C7D">
              <w:rPr>
                <w:rFonts w:cs="Arial"/>
                <w:bCs/>
                <w:color w:val="auto"/>
                <w:sz w:val="20"/>
              </w:rPr>
              <w:t>Main Road Recreation Ground</w:t>
            </w:r>
          </w:p>
        </w:tc>
        <w:tc>
          <w:tcPr>
            <w:tcW w:w="1847" w:type="dxa"/>
            <w:noWrap/>
          </w:tcPr>
          <w:p w14:paraId="58FC63F8" w14:textId="77777777" w:rsidR="00967C7D" w:rsidRPr="00967C7D" w:rsidRDefault="00967C7D" w:rsidP="00967C7D">
            <w:pPr>
              <w:keepNext w:val="0"/>
              <w:spacing w:before="0"/>
              <w:rPr>
                <w:rFonts w:cs="Arial"/>
                <w:bCs/>
                <w:color w:val="auto"/>
                <w:sz w:val="20"/>
              </w:rPr>
            </w:pPr>
            <w:r w:rsidRPr="00967C7D">
              <w:rPr>
                <w:rFonts w:cs="Arial"/>
                <w:bCs/>
                <w:color w:val="auto"/>
                <w:sz w:val="20"/>
              </w:rPr>
              <w:t>South Sheet</w:t>
            </w:r>
          </w:p>
        </w:tc>
      </w:tr>
      <w:tr w:rsidR="00967C7D" w:rsidRPr="00967C7D" w14:paraId="1EFB362C" w14:textId="77777777" w:rsidTr="00B5314A">
        <w:trPr>
          <w:trHeight w:val="284"/>
        </w:trPr>
        <w:tc>
          <w:tcPr>
            <w:tcW w:w="1280" w:type="dxa"/>
          </w:tcPr>
          <w:p w14:paraId="7D4D039C" w14:textId="77777777" w:rsidR="00967C7D" w:rsidRPr="00967C7D" w:rsidRDefault="00967C7D" w:rsidP="00967C7D">
            <w:pPr>
              <w:keepNext w:val="0"/>
              <w:spacing w:before="0"/>
              <w:rPr>
                <w:rFonts w:cs="Arial"/>
                <w:bCs/>
                <w:color w:val="auto"/>
                <w:sz w:val="20"/>
              </w:rPr>
            </w:pPr>
            <w:r w:rsidRPr="00967C7D">
              <w:rPr>
                <w:rFonts w:cs="Arial"/>
                <w:bCs/>
                <w:color w:val="auto"/>
                <w:sz w:val="20"/>
              </w:rPr>
              <w:t>EV5/72</w:t>
            </w:r>
          </w:p>
        </w:tc>
        <w:tc>
          <w:tcPr>
            <w:tcW w:w="6230" w:type="dxa"/>
            <w:noWrap/>
          </w:tcPr>
          <w:p w14:paraId="0E906033" w14:textId="77777777" w:rsidR="00967C7D" w:rsidRPr="00967C7D" w:rsidRDefault="00967C7D" w:rsidP="00967C7D">
            <w:pPr>
              <w:keepNext w:val="0"/>
              <w:spacing w:before="0"/>
              <w:rPr>
                <w:rFonts w:cs="Arial"/>
                <w:bCs/>
                <w:color w:val="auto"/>
                <w:sz w:val="20"/>
              </w:rPr>
            </w:pPr>
            <w:r w:rsidRPr="00967C7D">
              <w:rPr>
                <w:rFonts w:cs="Arial"/>
                <w:bCs/>
                <w:color w:val="auto"/>
                <w:sz w:val="20"/>
              </w:rPr>
              <w:t>Wharf Green</w:t>
            </w:r>
          </w:p>
        </w:tc>
        <w:tc>
          <w:tcPr>
            <w:tcW w:w="1847" w:type="dxa"/>
            <w:noWrap/>
          </w:tcPr>
          <w:p w14:paraId="53C746FD" w14:textId="77777777" w:rsidR="00967C7D" w:rsidRPr="00967C7D" w:rsidRDefault="00967C7D" w:rsidP="00967C7D">
            <w:pPr>
              <w:keepNext w:val="0"/>
              <w:spacing w:before="0"/>
              <w:rPr>
                <w:rFonts w:cs="Arial"/>
                <w:bCs/>
                <w:color w:val="auto"/>
                <w:sz w:val="20"/>
              </w:rPr>
            </w:pPr>
            <w:r w:rsidRPr="00967C7D">
              <w:rPr>
                <w:rFonts w:cs="Arial"/>
                <w:bCs/>
                <w:color w:val="auto"/>
                <w:sz w:val="20"/>
              </w:rPr>
              <w:t>South Sheet</w:t>
            </w:r>
          </w:p>
        </w:tc>
      </w:tr>
      <w:tr w:rsidR="00967C7D" w:rsidRPr="00967C7D" w14:paraId="1B7DCF39" w14:textId="77777777" w:rsidTr="00B5314A">
        <w:trPr>
          <w:trHeight w:val="284"/>
        </w:trPr>
        <w:tc>
          <w:tcPr>
            <w:tcW w:w="1280" w:type="dxa"/>
          </w:tcPr>
          <w:p w14:paraId="2659FCCB" w14:textId="77777777" w:rsidR="00967C7D" w:rsidRPr="00967C7D" w:rsidRDefault="00967C7D" w:rsidP="00967C7D">
            <w:pPr>
              <w:keepNext w:val="0"/>
              <w:spacing w:before="0"/>
              <w:rPr>
                <w:rFonts w:cs="Arial"/>
                <w:bCs/>
                <w:color w:val="auto"/>
                <w:sz w:val="20"/>
              </w:rPr>
            </w:pPr>
            <w:r w:rsidRPr="00967C7D">
              <w:rPr>
                <w:rFonts w:cs="Arial"/>
                <w:bCs/>
                <w:color w:val="auto"/>
                <w:sz w:val="20"/>
              </w:rPr>
              <w:t>EV5/73</w:t>
            </w:r>
          </w:p>
        </w:tc>
        <w:tc>
          <w:tcPr>
            <w:tcW w:w="6230" w:type="dxa"/>
            <w:noWrap/>
          </w:tcPr>
          <w:p w14:paraId="6543C42C" w14:textId="77777777" w:rsidR="00967C7D" w:rsidRPr="00967C7D" w:rsidRDefault="00967C7D" w:rsidP="00967C7D">
            <w:pPr>
              <w:keepNext w:val="0"/>
              <w:spacing w:before="0"/>
              <w:rPr>
                <w:rFonts w:cs="Arial"/>
                <w:bCs/>
                <w:color w:val="auto"/>
                <w:sz w:val="20"/>
              </w:rPr>
            </w:pPr>
            <w:r w:rsidRPr="00967C7D">
              <w:rPr>
                <w:rFonts w:cs="Arial"/>
                <w:bCs/>
                <w:color w:val="auto"/>
                <w:sz w:val="20"/>
              </w:rPr>
              <w:t>Pye Hill Road</w:t>
            </w:r>
          </w:p>
        </w:tc>
        <w:tc>
          <w:tcPr>
            <w:tcW w:w="1847" w:type="dxa"/>
            <w:noWrap/>
          </w:tcPr>
          <w:p w14:paraId="73C9B04F" w14:textId="77777777" w:rsidR="00967C7D" w:rsidRPr="00967C7D" w:rsidRDefault="00967C7D" w:rsidP="00967C7D">
            <w:pPr>
              <w:keepNext w:val="0"/>
              <w:spacing w:before="0"/>
              <w:rPr>
                <w:rFonts w:cs="Arial"/>
                <w:bCs/>
                <w:color w:val="auto"/>
                <w:sz w:val="20"/>
              </w:rPr>
            </w:pPr>
            <w:r w:rsidRPr="00967C7D">
              <w:rPr>
                <w:rFonts w:cs="Arial"/>
                <w:bCs/>
                <w:color w:val="auto"/>
                <w:sz w:val="20"/>
              </w:rPr>
              <w:t>South Sheet</w:t>
            </w:r>
          </w:p>
        </w:tc>
      </w:tr>
      <w:tr w:rsidR="00967C7D" w:rsidRPr="00967C7D" w14:paraId="0BC0A4A8" w14:textId="77777777" w:rsidTr="00B5314A">
        <w:trPr>
          <w:trHeight w:val="284"/>
        </w:trPr>
        <w:tc>
          <w:tcPr>
            <w:tcW w:w="1280" w:type="dxa"/>
          </w:tcPr>
          <w:p w14:paraId="44836F62" w14:textId="77777777" w:rsidR="00967C7D" w:rsidRPr="00967C7D" w:rsidRDefault="00967C7D" w:rsidP="00967C7D">
            <w:pPr>
              <w:keepNext w:val="0"/>
              <w:spacing w:before="0"/>
              <w:rPr>
                <w:rFonts w:cs="Arial"/>
                <w:bCs/>
                <w:color w:val="auto"/>
                <w:sz w:val="20"/>
              </w:rPr>
            </w:pPr>
            <w:r w:rsidRPr="00967C7D">
              <w:rPr>
                <w:rFonts w:cs="Arial"/>
                <w:bCs/>
                <w:color w:val="auto"/>
                <w:sz w:val="20"/>
              </w:rPr>
              <w:t>EV5/74</w:t>
            </w:r>
          </w:p>
        </w:tc>
        <w:tc>
          <w:tcPr>
            <w:tcW w:w="6230" w:type="dxa"/>
            <w:noWrap/>
          </w:tcPr>
          <w:p w14:paraId="0154ECDB" w14:textId="77777777" w:rsidR="00967C7D" w:rsidRPr="00967C7D" w:rsidRDefault="00967C7D" w:rsidP="00967C7D">
            <w:pPr>
              <w:keepNext w:val="0"/>
              <w:spacing w:before="0"/>
              <w:rPr>
                <w:rFonts w:cs="Arial"/>
                <w:bCs/>
                <w:color w:val="auto"/>
                <w:sz w:val="20"/>
              </w:rPr>
            </w:pPr>
            <w:r w:rsidRPr="00967C7D">
              <w:rPr>
                <w:rFonts w:cs="Arial"/>
                <w:bCs/>
                <w:color w:val="auto"/>
                <w:sz w:val="20"/>
              </w:rPr>
              <w:t>Westwood Recreation Ground</w:t>
            </w:r>
          </w:p>
        </w:tc>
        <w:tc>
          <w:tcPr>
            <w:tcW w:w="1847" w:type="dxa"/>
            <w:noWrap/>
          </w:tcPr>
          <w:p w14:paraId="320F3067" w14:textId="77777777" w:rsidR="00967C7D" w:rsidRPr="00967C7D" w:rsidRDefault="00967C7D" w:rsidP="00967C7D">
            <w:pPr>
              <w:keepNext w:val="0"/>
              <w:spacing w:before="0"/>
              <w:rPr>
                <w:rFonts w:cs="Arial"/>
                <w:bCs/>
                <w:color w:val="auto"/>
                <w:sz w:val="20"/>
              </w:rPr>
            </w:pPr>
            <w:r w:rsidRPr="00967C7D">
              <w:rPr>
                <w:rFonts w:cs="Arial"/>
                <w:bCs/>
                <w:color w:val="auto"/>
                <w:sz w:val="20"/>
              </w:rPr>
              <w:t>South Sheet</w:t>
            </w:r>
          </w:p>
        </w:tc>
      </w:tr>
      <w:tr w:rsidR="00967C7D" w:rsidRPr="00967C7D" w14:paraId="57F1482A" w14:textId="77777777" w:rsidTr="00B5314A">
        <w:trPr>
          <w:trHeight w:val="284"/>
        </w:trPr>
        <w:tc>
          <w:tcPr>
            <w:tcW w:w="1280" w:type="dxa"/>
          </w:tcPr>
          <w:p w14:paraId="787979B6" w14:textId="77777777" w:rsidR="00967C7D" w:rsidRPr="00967C7D" w:rsidRDefault="00967C7D" w:rsidP="00967C7D">
            <w:pPr>
              <w:keepNext w:val="0"/>
              <w:spacing w:before="0"/>
              <w:rPr>
                <w:rFonts w:cs="Arial"/>
                <w:bCs/>
                <w:color w:val="auto"/>
                <w:sz w:val="20"/>
              </w:rPr>
            </w:pPr>
            <w:r w:rsidRPr="00967C7D">
              <w:rPr>
                <w:rFonts w:cs="Arial"/>
                <w:bCs/>
                <w:color w:val="auto"/>
                <w:sz w:val="20"/>
              </w:rPr>
              <w:t>EV5/75</w:t>
            </w:r>
          </w:p>
        </w:tc>
        <w:tc>
          <w:tcPr>
            <w:tcW w:w="6230" w:type="dxa"/>
            <w:noWrap/>
          </w:tcPr>
          <w:p w14:paraId="673F37E8" w14:textId="77777777" w:rsidR="00967C7D" w:rsidRPr="00967C7D" w:rsidRDefault="00967C7D" w:rsidP="00967C7D">
            <w:pPr>
              <w:keepNext w:val="0"/>
              <w:spacing w:before="0"/>
              <w:rPr>
                <w:rFonts w:cs="Arial"/>
                <w:bCs/>
                <w:color w:val="auto"/>
                <w:sz w:val="20"/>
              </w:rPr>
            </w:pPr>
            <w:r w:rsidRPr="00967C7D">
              <w:rPr>
                <w:rFonts w:cs="Arial"/>
                <w:bCs/>
                <w:color w:val="auto"/>
                <w:sz w:val="20"/>
              </w:rPr>
              <w:t>Fields at Pye Hill</w:t>
            </w:r>
          </w:p>
        </w:tc>
        <w:tc>
          <w:tcPr>
            <w:tcW w:w="1847" w:type="dxa"/>
            <w:noWrap/>
          </w:tcPr>
          <w:p w14:paraId="7F50C061" w14:textId="77777777" w:rsidR="00967C7D" w:rsidRPr="00967C7D" w:rsidRDefault="00967C7D" w:rsidP="00967C7D">
            <w:pPr>
              <w:keepNext w:val="0"/>
              <w:spacing w:before="0"/>
              <w:rPr>
                <w:rFonts w:cs="Arial"/>
                <w:bCs/>
                <w:color w:val="auto"/>
                <w:sz w:val="20"/>
              </w:rPr>
            </w:pPr>
            <w:r w:rsidRPr="00967C7D">
              <w:rPr>
                <w:rFonts w:cs="Arial"/>
                <w:bCs/>
                <w:color w:val="auto"/>
                <w:sz w:val="20"/>
              </w:rPr>
              <w:t>South Sheet</w:t>
            </w:r>
          </w:p>
        </w:tc>
      </w:tr>
      <w:tr w:rsidR="00967C7D" w:rsidRPr="00967C7D" w14:paraId="15680E16" w14:textId="77777777" w:rsidTr="00B5314A">
        <w:trPr>
          <w:trHeight w:val="284"/>
        </w:trPr>
        <w:tc>
          <w:tcPr>
            <w:tcW w:w="1280" w:type="dxa"/>
          </w:tcPr>
          <w:p w14:paraId="5E6A6812" w14:textId="77777777" w:rsidR="00967C7D" w:rsidRPr="00967C7D" w:rsidRDefault="00967C7D" w:rsidP="00967C7D">
            <w:pPr>
              <w:keepNext w:val="0"/>
              <w:spacing w:before="0"/>
              <w:rPr>
                <w:rFonts w:cs="Arial"/>
                <w:bCs/>
                <w:color w:val="auto"/>
                <w:sz w:val="20"/>
              </w:rPr>
            </w:pPr>
            <w:r w:rsidRPr="00967C7D">
              <w:rPr>
                <w:rFonts w:cs="Arial"/>
                <w:bCs/>
                <w:color w:val="auto"/>
                <w:sz w:val="20"/>
              </w:rPr>
              <w:t>EV5/76</w:t>
            </w:r>
          </w:p>
        </w:tc>
        <w:tc>
          <w:tcPr>
            <w:tcW w:w="6230" w:type="dxa"/>
            <w:noWrap/>
          </w:tcPr>
          <w:p w14:paraId="33275B33" w14:textId="77777777" w:rsidR="00967C7D" w:rsidRPr="00967C7D" w:rsidRDefault="00967C7D" w:rsidP="00967C7D">
            <w:pPr>
              <w:keepNext w:val="0"/>
              <w:spacing w:before="0"/>
              <w:rPr>
                <w:rFonts w:cs="Arial"/>
                <w:bCs/>
                <w:color w:val="auto"/>
                <w:sz w:val="20"/>
              </w:rPr>
            </w:pPr>
            <w:r w:rsidRPr="00967C7D">
              <w:rPr>
                <w:rFonts w:cs="Arial"/>
                <w:bCs/>
                <w:color w:val="auto"/>
                <w:sz w:val="20"/>
              </w:rPr>
              <w:t xml:space="preserve">Pye Hill </w:t>
            </w:r>
          </w:p>
        </w:tc>
        <w:tc>
          <w:tcPr>
            <w:tcW w:w="1847" w:type="dxa"/>
            <w:noWrap/>
          </w:tcPr>
          <w:p w14:paraId="07E27325" w14:textId="77777777" w:rsidR="00967C7D" w:rsidRPr="00967C7D" w:rsidRDefault="00967C7D" w:rsidP="00967C7D">
            <w:pPr>
              <w:keepNext w:val="0"/>
              <w:spacing w:before="0"/>
              <w:rPr>
                <w:rFonts w:cs="Arial"/>
                <w:bCs/>
                <w:color w:val="auto"/>
                <w:sz w:val="20"/>
              </w:rPr>
            </w:pPr>
            <w:r w:rsidRPr="00967C7D">
              <w:rPr>
                <w:rFonts w:cs="Arial"/>
                <w:bCs/>
                <w:color w:val="auto"/>
                <w:sz w:val="20"/>
              </w:rPr>
              <w:t>South Sheet</w:t>
            </w:r>
          </w:p>
        </w:tc>
      </w:tr>
      <w:tr w:rsidR="00967C7D" w:rsidRPr="00967C7D" w14:paraId="01FE63C7" w14:textId="77777777" w:rsidTr="00B5314A">
        <w:trPr>
          <w:trHeight w:val="284"/>
        </w:trPr>
        <w:tc>
          <w:tcPr>
            <w:tcW w:w="1280" w:type="dxa"/>
          </w:tcPr>
          <w:p w14:paraId="53F12BF2" w14:textId="77777777" w:rsidR="00967C7D" w:rsidRPr="00967C7D" w:rsidRDefault="00967C7D" w:rsidP="00967C7D">
            <w:pPr>
              <w:keepNext w:val="0"/>
              <w:spacing w:before="0"/>
              <w:rPr>
                <w:rFonts w:cs="Arial"/>
                <w:bCs/>
                <w:color w:val="auto"/>
                <w:sz w:val="20"/>
              </w:rPr>
            </w:pPr>
            <w:r w:rsidRPr="00967C7D">
              <w:rPr>
                <w:rFonts w:cs="Arial"/>
                <w:bCs/>
                <w:color w:val="auto"/>
                <w:sz w:val="20"/>
              </w:rPr>
              <w:t>EV5/77</w:t>
            </w:r>
          </w:p>
        </w:tc>
        <w:tc>
          <w:tcPr>
            <w:tcW w:w="6230" w:type="dxa"/>
            <w:noWrap/>
          </w:tcPr>
          <w:p w14:paraId="662FC777" w14:textId="77777777" w:rsidR="00967C7D" w:rsidRPr="00967C7D" w:rsidRDefault="00967C7D" w:rsidP="00967C7D">
            <w:pPr>
              <w:keepNext w:val="0"/>
              <w:spacing w:before="0"/>
              <w:rPr>
                <w:rFonts w:cs="Arial"/>
                <w:bCs/>
                <w:color w:val="auto"/>
                <w:sz w:val="20"/>
              </w:rPr>
            </w:pPr>
            <w:r w:rsidRPr="00967C7D">
              <w:rPr>
                <w:rFonts w:cs="Arial"/>
                <w:bCs/>
                <w:color w:val="auto"/>
                <w:sz w:val="20"/>
              </w:rPr>
              <w:t>Nottingham Road Recreation Ground</w:t>
            </w:r>
          </w:p>
        </w:tc>
        <w:tc>
          <w:tcPr>
            <w:tcW w:w="1847" w:type="dxa"/>
            <w:noWrap/>
          </w:tcPr>
          <w:p w14:paraId="5204174A" w14:textId="77777777" w:rsidR="00967C7D" w:rsidRPr="00967C7D" w:rsidRDefault="00967C7D" w:rsidP="00967C7D">
            <w:pPr>
              <w:keepNext w:val="0"/>
              <w:spacing w:before="0"/>
              <w:rPr>
                <w:rFonts w:cs="Arial"/>
                <w:bCs/>
                <w:color w:val="auto"/>
                <w:sz w:val="20"/>
              </w:rPr>
            </w:pPr>
            <w:r w:rsidRPr="00967C7D">
              <w:rPr>
                <w:rFonts w:cs="Arial"/>
                <w:bCs/>
                <w:color w:val="auto"/>
                <w:sz w:val="20"/>
              </w:rPr>
              <w:t>South Sheet</w:t>
            </w:r>
          </w:p>
        </w:tc>
      </w:tr>
      <w:tr w:rsidR="00967C7D" w:rsidRPr="00967C7D" w14:paraId="1028157B" w14:textId="77777777" w:rsidTr="00B5314A">
        <w:trPr>
          <w:trHeight w:val="284"/>
        </w:trPr>
        <w:tc>
          <w:tcPr>
            <w:tcW w:w="1280" w:type="dxa"/>
          </w:tcPr>
          <w:p w14:paraId="1746805E" w14:textId="77777777" w:rsidR="00967C7D" w:rsidRPr="00967C7D" w:rsidRDefault="00967C7D" w:rsidP="00967C7D">
            <w:pPr>
              <w:keepNext w:val="0"/>
              <w:spacing w:before="0"/>
              <w:rPr>
                <w:rFonts w:cs="Arial"/>
                <w:bCs/>
                <w:color w:val="auto"/>
                <w:sz w:val="20"/>
              </w:rPr>
            </w:pPr>
            <w:r w:rsidRPr="00967C7D">
              <w:rPr>
                <w:rFonts w:cs="Arial"/>
                <w:bCs/>
                <w:color w:val="auto"/>
                <w:sz w:val="20"/>
              </w:rPr>
              <w:t>EV5/78</w:t>
            </w:r>
          </w:p>
        </w:tc>
        <w:tc>
          <w:tcPr>
            <w:tcW w:w="6230" w:type="dxa"/>
            <w:noWrap/>
          </w:tcPr>
          <w:p w14:paraId="06B75D09" w14:textId="77777777" w:rsidR="00967C7D" w:rsidRPr="00967C7D" w:rsidRDefault="00967C7D" w:rsidP="00967C7D">
            <w:pPr>
              <w:keepNext w:val="0"/>
              <w:spacing w:before="0"/>
              <w:rPr>
                <w:rFonts w:cs="Arial"/>
                <w:bCs/>
                <w:color w:val="auto"/>
                <w:sz w:val="20"/>
              </w:rPr>
            </w:pPr>
            <w:r w:rsidRPr="00967C7D">
              <w:rPr>
                <w:rFonts w:cs="Arial"/>
                <w:bCs/>
                <w:color w:val="auto"/>
                <w:sz w:val="20"/>
              </w:rPr>
              <w:t>Selston Par 3 Golf Course</w:t>
            </w:r>
          </w:p>
        </w:tc>
        <w:tc>
          <w:tcPr>
            <w:tcW w:w="1847" w:type="dxa"/>
            <w:noWrap/>
          </w:tcPr>
          <w:p w14:paraId="4378E64E" w14:textId="77777777" w:rsidR="00967C7D" w:rsidRPr="00967C7D" w:rsidRDefault="00967C7D" w:rsidP="00967C7D">
            <w:pPr>
              <w:keepNext w:val="0"/>
              <w:spacing w:before="0"/>
              <w:rPr>
                <w:rFonts w:cs="Arial"/>
                <w:bCs/>
                <w:color w:val="auto"/>
                <w:sz w:val="20"/>
              </w:rPr>
            </w:pPr>
            <w:r w:rsidRPr="00967C7D">
              <w:rPr>
                <w:rFonts w:cs="Arial"/>
                <w:bCs/>
                <w:color w:val="auto"/>
                <w:sz w:val="20"/>
              </w:rPr>
              <w:t>South Sheet</w:t>
            </w:r>
          </w:p>
        </w:tc>
      </w:tr>
      <w:tr w:rsidR="00967C7D" w:rsidRPr="00967C7D" w14:paraId="584EBD06" w14:textId="77777777" w:rsidTr="00B5314A">
        <w:trPr>
          <w:trHeight w:val="284"/>
        </w:trPr>
        <w:tc>
          <w:tcPr>
            <w:tcW w:w="1280" w:type="dxa"/>
          </w:tcPr>
          <w:p w14:paraId="6CCCCCAC" w14:textId="77777777" w:rsidR="00967C7D" w:rsidRPr="00967C7D" w:rsidRDefault="00967C7D" w:rsidP="00967C7D">
            <w:pPr>
              <w:keepNext w:val="0"/>
              <w:spacing w:before="0"/>
              <w:rPr>
                <w:rFonts w:cs="Arial"/>
                <w:bCs/>
                <w:color w:val="auto"/>
                <w:sz w:val="20"/>
              </w:rPr>
            </w:pPr>
            <w:r w:rsidRPr="00967C7D">
              <w:rPr>
                <w:rFonts w:cs="Arial"/>
                <w:bCs/>
                <w:color w:val="auto"/>
                <w:sz w:val="20"/>
              </w:rPr>
              <w:t>EV5/79</w:t>
            </w:r>
          </w:p>
        </w:tc>
        <w:tc>
          <w:tcPr>
            <w:tcW w:w="6230" w:type="dxa"/>
            <w:noWrap/>
          </w:tcPr>
          <w:p w14:paraId="07D4DD25" w14:textId="77777777" w:rsidR="00967C7D" w:rsidRPr="00967C7D" w:rsidRDefault="00967C7D" w:rsidP="00967C7D">
            <w:pPr>
              <w:keepNext w:val="0"/>
              <w:spacing w:before="0"/>
              <w:rPr>
                <w:rFonts w:cs="Arial"/>
                <w:bCs/>
                <w:color w:val="auto"/>
                <w:sz w:val="20"/>
              </w:rPr>
            </w:pPr>
            <w:r w:rsidRPr="00967C7D">
              <w:rPr>
                <w:rFonts w:cs="Arial"/>
                <w:bCs/>
                <w:color w:val="auto"/>
                <w:sz w:val="20"/>
              </w:rPr>
              <w:t>Green Well Park</w:t>
            </w:r>
          </w:p>
        </w:tc>
        <w:tc>
          <w:tcPr>
            <w:tcW w:w="1847" w:type="dxa"/>
            <w:noWrap/>
          </w:tcPr>
          <w:p w14:paraId="0C349542" w14:textId="77777777" w:rsidR="00967C7D" w:rsidRPr="00967C7D" w:rsidRDefault="00967C7D" w:rsidP="00967C7D">
            <w:pPr>
              <w:keepNext w:val="0"/>
              <w:spacing w:before="0"/>
              <w:rPr>
                <w:rFonts w:cs="Arial"/>
                <w:bCs/>
                <w:color w:val="auto"/>
                <w:sz w:val="20"/>
              </w:rPr>
            </w:pPr>
            <w:r w:rsidRPr="00967C7D">
              <w:rPr>
                <w:rFonts w:cs="Arial"/>
                <w:bCs/>
                <w:color w:val="auto"/>
                <w:sz w:val="20"/>
              </w:rPr>
              <w:t>South Sheet</w:t>
            </w:r>
          </w:p>
        </w:tc>
      </w:tr>
      <w:tr w:rsidR="00967C7D" w:rsidRPr="00967C7D" w14:paraId="21A2E2FD" w14:textId="77777777" w:rsidTr="00B5314A">
        <w:trPr>
          <w:trHeight w:val="284"/>
        </w:trPr>
        <w:tc>
          <w:tcPr>
            <w:tcW w:w="1280" w:type="dxa"/>
          </w:tcPr>
          <w:p w14:paraId="5FB663EC" w14:textId="77777777" w:rsidR="00967C7D" w:rsidRPr="00967C7D" w:rsidRDefault="00967C7D" w:rsidP="00967C7D">
            <w:pPr>
              <w:keepNext w:val="0"/>
              <w:spacing w:before="0"/>
              <w:rPr>
                <w:rFonts w:cs="Arial"/>
                <w:bCs/>
                <w:color w:val="auto"/>
                <w:sz w:val="20"/>
              </w:rPr>
            </w:pPr>
            <w:r w:rsidRPr="00967C7D">
              <w:rPr>
                <w:rFonts w:cs="Arial"/>
                <w:bCs/>
                <w:color w:val="auto"/>
                <w:sz w:val="20"/>
              </w:rPr>
              <w:t>EV5/80</w:t>
            </w:r>
          </w:p>
        </w:tc>
        <w:tc>
          <w:tcPr>
            <w:tcW w:w="6230" w:type="dxa"/>
            <w:noWrap/>
          </w:tcPr>
          <w:p w14:paraId="73243F48" w14:textId="77777777" w:rsidR="00967C7D" w:rsidRPr="00967C7D" w:rsidRDefault="00967C7D" w:rsidP="00967C7D">
            <w:pPr>
              <w:keepNext w:val="0"/>
              <w:spacing w:before="0"/>
              <w:rPr>
                <w:rFonts w:cs="Arial"/>
                <w:bCs/>
                <w:color w:val="auto"/>
                <w:sz w:val="20"/>
              </w:rPr>
            </w:pPr>
            <w:r w:rsidRPr="00967C7D">
              <w:rPr>
                <w:rFonts w:cs="Arial"/>
                <w:bCs/>
                <w:color w:val="auto"/>
                <w:sz w:val="20"/>
              </w:rPr>
              <w:t>Selston High School Playing Field (south)</w:t>
            </w:r>
          </w:p>
        </w:tc>
        <w:tc>
          <w:tcPr>
            <w:tcW w:w="1847" w:type="dxa"/>
            <w:noWrap/>
          </w:tcPr>
          <w:p w14:paraId="509C923C" w14:textId="77777777" w:rsidR="00967C7D" w:rsidRPr="00967C7D" w:rsidRDefault="00967C7D" w:rsidP="00967C7D">
            <w:pPr>
              <w:keepNext w:val="0"/>
              <w:spacing w:before="0"/>
              <w:rPr>
                <w:rFonts w:cs="Arial"/>
                <w:bCs/>
                <w:color w:val="auto"/>
                <w:sz w:val="20"/>
              </w:rPr>
            </w:pPr>
            <w:r w:rsidRPr="00967C7D">
              <w:rPr>
                <w:rFonts w:cs="Arial"/>
                <w:bCs/>
                <w:color w:val="auto"/>
                <w:sz w:val="20"/>
              </w:rPr>
              <w:t>South Sheet</w:t>
            </w:r>
          </w:p>
        </w:tc>
      </w:tr>
      <w:tr w:rsidR="00967C7D" w:rsidRPr="00967C7D" w14:paraId="644649E0" w14:textId="77777777" w:rsidTr="00B5314A">
        <w:trPr>
          <w:trHeight w:val="284"/>
        </w:trPr>
        <w:tc>
          <w:tcPr>
            <w:tcW w:w="1280" w:type="dxa"/>
          </w:tcPr>
          <w:p w14:paraId="00EAB990" w14:textId="77777777" w:rsidR="00967C7D" w:rsidRPr="00967C7D" w:rsidRDefault="00967C7D" w:rsidP="00967C7D">
            <w:pPr>
              <w:keepNext w:val="0"/>
              <w:spacing w:before="0"/>
              <w:rPr>
                <w:rFonts w:cs="Arial"/>
                <w:bCs/>
                <w:color w:val="auto"/>
                <w:sz w:val="20"/>
              </w:rPr>
            </w:pPr>
            <w:r w:rsidRPr="00967C7D">
              <w:rPr>
                <w:rFonts w:cs="Arial"/>
                <w:bCs/>
                <w:color w:val="auto"/>
                <w:sz w:val="20"/>
              </w:rPr>
              <w:t>EV5/81</w:t>
            </w:r>
          </w:p>
        </w:tc>
        <w:tc>
          <w:tcPr>
            <w:tcW w:w="6230" w:type="dxa"/>
            <w:noWrap/>
          </w:tcPr>
          <w:p w14:paraId="47DD7EE3" w14:textId="77777777" w:rsidR="00967C7D" w:rsidRPr="00967C7D" w:rsidRDefault="00967C7D" w:rsidP="00967C7D">
            <w:pPr>
              <w:keepNext w:val="0"/>
              <w:spacing w:before="0"/>
              <w:rPr>
                <w:rFonts w:cs="Arial"/>
                <w:bCs/>
                <w:color w:val="auto"/>
                <w:sz w:val="20"/>
              </w:rPr>
            </w:pPr>
            <w:r w:rsidRPr="00967C7D">
              <w:rPr>
                <w:rFonts w:cs="Arial"/>
                <w:bCs/>
                <w:color w:val="auto"/>
                <w:sz w:val="20"/>
              </w:rPr>
              <w:t>The Hills</w:t>
            </w:r>
          </w:p>
        </w:tc>
        <w:tc>
          <w:tcPr>
            <w:tcW w:w="1847" w:type="dxa"/>
            <w:noWrap/>
          </w:tcPr>
          <w:p w14:paraId="17599F70" w14:textId="77777777" w:rsidR="00967C7D" w:rsidRPr="00967C7D" w:rsidRDefault="00967C7D" w:rsidP="00967C7D">
            <w:pPr>
              <w:keepNext w:val="0"/>
              <w:spacing w:before="0"/>
              <w:rPr>
                <w:rFonts w:cs="Arial"/>
                <w:bCs/>
                <w:color w:val="auto"/>
                <w:sz w:val="20"/>
              </w:rPr>
            </w:pPr>
            <w:r w:rsidRPr="00967C7D">
              <w:rPr>
                <w:rFonts w:cs="Arial"/>
                <w:bCs/>
                <w:color w:val="auto"/>
                <w:sz w:val="20"/>
              </w:rPr>
              <w:t>South Sheet</w:t>
            </w:r>
          </w:p>
        </w:tc>
      </w:tr>
      <w:tr w:rsidR="00967C7D" w:rsidRPr="00967C7D" w14:paraId="5F3013D4" w14:textId="77777777" w:rsidTr="00B5314A">
        <w:trPr>
          <w:trHeight w:val="284"/>
        </w:trPr>
        <w:tc>
          <w:tcPr>
            <w:tcW w:w="1280" w:type="dxa"/>
          </w:tcPr>
          <w:p w14:paraId="778D0D6F" w14:textId="77777777" w:rsidR="00967C7D" w:rsidRPr="00967C7D" w:rsidRDefault="00967C7D" w:rsidP="00967C7D">
            <w:pPr>
              <w:keepNext w:val="0"/>
              <w:spacing w:before="0"/>
              <w:rPr>
                <w:rFonts w:cs="Arial"/>
                <w:bCs/>
                <w:color w:val="auto"/>
                <w:sz w:val="20"/>
              </w:rPr>
            </w:pPr>
            <w:r w:rsidRPr="00967C7D">
              <w:rPr>
                <w:rFonts w:cs="Arial"/>
                <w:bCs/>
                <w:color w:val="auto"/>
                <w:sz w:val="20"/>
              </w:rPr>
              <w:t>EV5/82</w:t>
            </w:r>
          </w:p>
        </w:tc>
        <w:tc>
          <w:tcPr>
            <w:tcW w:w="6230" w:type="dxa"/>
            <w:noWrap/>
          </w:tcPr>
          <w:p w14:paraId="79494D36" w14:textId="77777777" w:rsidR="00967C7D" w:rsidRPr="00967C7D" w:rsidRDefault="00967C7D" w:rsidP="00967C7D">
            <w:pPr>
              <w:keepNext w:val="0"/>
              <w:spacing w:before="0"/>
              <w:rPr>
                <w:rFonts w:cs="Arial"/>
                <w:bCs/>
                <w:color w:val="auto"/>
                <w:sz w:val="20"/>
              </w:rPr>
            </w:pPr>
            <w:r w:rsidRPr="00967C7D">
              <w:rPr>
                <w:rFonts w:cs="Arial"/>
                <w:bCs/>
                <w:color w:val="auto"/>
                <w:sz w:val="20"/>
              </w:rPr>
              <w:t>Green Farm Road Recreation Ground</w:t>
            </w:r>
          </w:p>
        </w:tc>
        <w:tc>
          <w:tcPr>
            <w:tcW w:w="1847" w:type="dxa"/>
            <w:noWrap/>
          </w:tcPr>
          <w:p w14:paraId="0C24146B" w14:textId="77777777" w:rsidR="00967C7D" w:rsidRPr="00967C7D" w:rsidRDefault="00967C7D" w:rsidP="00967C7D">
            <w:pPr>
              <w:keepNext w:val="0"/>
              <w:spacing w:before="0"/>
              <w:rPr>
                <w:rFonts w:cs="Arial"/>
                <w:bCs/>
                <w:color w:val="auto"/>
                <w:sz w:val="20"/>
              </w:rPr>
            </w:pPr>
            <w:r w:rsidRPr="00967C7D">
              <w:rPr>
                <w:rFonts w:cs="Arial"/>
                <w:bCs/>
                <w:color w:val="auto"/>
                <w:sz w:val="20"/>
              </w:rPr>
              <w:t>South Sheet</w:t>
            </w:r>
          </w:p>
        </w:tc>
      </w:tr>
      <w:tr w:rsidR="00967C7D" w:rsidRPr="00967C7D" w14:paraId="71A3224C" w14:textId="77777777" w:rsidTr="00B5314A">
        <w:trPr>
          <w:trHeight w:val="284"/>
        </w:trPr>
        <w:tc>
          <w:tcPr>
            <w:tcW w:w="1280" w:type="dxa"/>
          </w:tcPr>
          <w:p w14:paraId="52758661" w14:textId="77777777" w:rsidR="00967C7D" w:rsidRPr="00967C7D" w:rsidRDefault="00967C7D" w:rsidP="00967C7D">
            <w:pPr>
              <w:keepNext w:val="0"/>
              <w:spacing w:before="0"/>
              <w:rPr>
                <w:rFonts w:cs="Arial"/>
                <w:bCs/>
                <w:color w:val="auto"/>
                <w:sz w:val="20"/>
              </w:rPr>
            </w:pPr>
            <w:r w:rsidRPr="00967C7D">
              <w:rPr>
                <w:rFonts w:cs="Arial"/>
                <w:bCs/>
                <w:color w:val="auto"/>
                <w:sz w:val="20"/>
              </w:rPr>
              <w:t>EV5/83</w:t>
            </w:r>
          </w:p>
        </w:tc>
        <w:tc>
          <w:tcPr>
            <w:tcW w:w="6230" w:type="dxa"/>
            <w:noWrap/>
          </w:tcPr>
          <w:p w14:paraId="01B11354" w14:textId="77777777" w:rsidR="00967C7D" w:rsidRPr="00967C7D" w:rsidRDefault="00967C7D" w:rsidP="00967C7D">
            <w:pPr>
              <w:keepNext w:val="0"/>
              <w:spacing w:before="0"/>
              <w:rPr>
                <w:rFonts w:cs="Arial"/>
                <w:bCs/>
                <w:color w:val="auto"/>
                <w:sz w:val="20"/>
              </w:rPr>
            </w:pPr>
            <w:r w:rsidRPr="00967C7D">
              <w:rPr>
                <w:rFonts w:cs="Arial"/>
                <w:bCs/>
                <w:color w:val="auto"/>
                <w:sz w:val="20"/>
              </w:rPr>
              <w:t>Alexander Avenue</w:t>
            </w:r>
          </w:p>
        </w:tc>
        <w:tc>
          <w:tcPr>
            <w:tcW w:w="1847" w:type="dxa"/>
            <w:noWrap/>
          </w:tcPr>
          <w:p w14:paraId="013F3A10" w14:textId="77777777" w:rsidR="00967C7D" w:rsidRPr="00967C7D" w:rsidRDefault="00967C7D" w:rsidP="00967C7D">
            <w:pPr>
              <w:keepNext w:val="0"/>
              <w:spacing w:before="0"/>
              <w:rPr>
                <w:rFonts w:cs="Arial"/>
                <w:bCs/>
                <w:color w:val="auto"/>
                <w:sz w:val="20"/>
              </w:rPr>
            </w:pPr>
            <w:r w:rsidRPr="00967C7D">
              <w:rPr>
                <w:rFonts w:cs="Arial"/>
                <w:bCs/>
                <w:color w:val="auto"/>
                <w:sz w:val="20"/>
              </w:rPr>
              <w:t>South Sheet</w:t>
            </w:r>
          </w:p>
        </w:tc>
      </w:tr>
      <w:tr w:rsidR="00967C7D" w:rsidRPr="00967C7D" w14:paraId="7F5D63F1" w14:textId="77777777" w:rsidTr="00B5314A">
        <w:trPr>
          <w:trHeight w:val="284"/>
        </w:trPr>
        <w:tc>
          <w:tcPr>
            <w:tcW w:w="1280" w:type="dxa"/>
          </w:tcPr>
          <w:p w14:paraId="1A67AE13" w14:textId="77777777" w:rsidR="00967C7D" w:rsidRPr="00967C7D" w:rsidRDefault="00967C7D" w:rsidP="00967C7D">
            <w:pPr>
              <w:keepNext w:val="0"/>
              <w:spacing w:before="0"/>
              <w:rPr>
                <w:rFonts w:cs="Arial"/>
                <w:bCs/>
                <w:color w:val="auto"/>
                <w:sz w:val="20"/>
              </w:rPr>
            </w:pPr>
            <w:r w:rsidRPr="00967C7D">
              <w:rPr>
                <w:rFonts w:cs="Arial"/>
                <w:bCs/>
                <w:color w:val="auto"/>
                <w:sz w:val="20"/>
              </w:rPr>
              <w:t>EV5/84</w:t>
            </w:r>
          </w:p>
        </w:tc>
        <w:tc>
          <w:tcPr>
            <w:tcW w:w="6230" w:type="dxa"/>
            <w:noWrap/>
          </w:tcPr>
          <w:p w14:paraId="168DC7ED" w14:textId="77777777" w:rsidR="00967C7D" w:rsidRPr="00967C7D" w:rsidRDefault="00967C7D" w:rsidP="00967C7D">
            <w:pPr>
              <w:keepNext w:val="0"/>
              <w:spacing w:before="0"/>
              <w:rPr>
                <w:rFonts w:cs="Arial"/>
                <w:bCs/>
                <w:color w:val="auto"/>
                <w:sz w:val="20"/>
              </w:rPr>
            </w:pPr>
            <w:r w:rsidRPr="00967C7D">
              <w:rPr>
                <w:rFonts w:cs="Arial"/>
                <w:bCs/>
                <w:color w:val="auto"/>
                <w:sz w:val="20"/>
              </w:rPr>
              <w:t>Selston Parish Hall</w:t>
            </w:r>
          </w:p>
        </w:tc>
        <w:tc>
          <w:tcPr>
            <w:tcW w:w="1847" w:type="dxa"/>
            <w:noWrap/>
          </w:tcPr>
          <w:p w14:paraId="583B8B57" w14:textId="77777777" w:rsidR="00967C7D" w:rsidRPr="00967C7D" w:rsidRDefault="00967C7D" w:rsidP="00967C7D">
            <w:pPr>
              <w:keepNext w:val="0"/>
              <w:spacing w:before="0"/>
              <w:rPr>
                <w:rFonts w:cs="Arial"/>
                <w:bCs/>
                <w:color w:val="auto"/>
                <w:sz w:val="20"/>
              </w:rPr>
            </w:pPr>
            <w:r w:rsidRPr="00967C7D">
              <w:rPr>
                <w:rFonts w:cs="Arial"/>
                <w:bCs/>
                <w:color w:val="auto"/>
                <w:sz w:val="20"/>
              </w:rPr>
              <w:t>South Sheet</w:t>
            </w:r>
          </w:p>
        </w:tc>
      </w:tr>
      <w:tr w:rsidR="00967C7D" w:rsidRPr="00967C7D" w14:paraId="468B32EE" w14:textId="77777777" w:rsidTr="00B5314A">
        <w:trPr>
          <w:trHeight w:val="284"/>
        </w:trPr>
        <w:tc>
          <w:tcPr>
            <w:tcW w:w="1280" w:type="dxa"/>
          </w:tcPr>
          <w:p w14:paraId="3CCFFE80" w14:textId="77777777" w:rsidR="00967C7D" w:rsidRPr="00967C7D" w:rsidRDefault="00967C7D" w:rsidP="00967C7D">
            <w:pPr>
              <w:keepNext w:val="0"/>
              <w:spacing w:before="0"/>
              <w:rPr>
                <w:rFonts w:cs="Arial"/>
                <w:bCs/>
                <w:color w:val="auto"/>
                <w:sz w:val="20"/>
              </w:rPr>
            </w:pPr>
            <w:r w:rsidRPr="00967C7D">
              <w:rPr>
                <w:rFonts w:cs="Arial"/>
                <w:bCs/>
                <w:color w:val="auto"/>
                <w:sz w:val="20"/>
              </w:rPr>
              <w:t>EV5/85</w:t>
            </w:r>
          </w:p>
        </w:tc>
        <w:tc>
          <w:tcPr>
            <w:tcW w:w="6230" w:type="dxa"/>
            <w:noWrap/>
          </w:tcPr>
          <w:p w14:paraId="12634859" w14:textId="77777777" w:rsidR="00967C7D" w:rsidRPr="00967C7D" w:rsidRDefault="00967C7D" w:rsidP="00967C7D">
            <w:pPr>
              <w:keepNext w:val="0"/>
              <w:spacing w:before="0"/>
              <w:rPr>
                <w:rFonts w:cs="Arial"/>
                <w:bCs/>
                <w:color w:val="auto"/>
                <w:sz w:val="20"/>
              </w:rPr>
            </w:pPr>
            <w:r w:rsidRPr="00967C7D">
              <w:rPr>
                <w:rFonts w:cs="Arial"/>
                <w:bCs/>
                <w:color w:val="auto"/>
                <w:sz w:val="20"/>
              </w:rPr>
              <w:t>Selston High School Playing Field (north)</w:t>
            </w:r>
          </w:p>
        </w:tc>
        <w:tc>
          <w:tcPr>
            <w:tcW w:w="1847" w:type="dxa"/>
            <w:noWrap/>
          </w:tcPr>
          <w:p w14:paraId="05DB3BA1" w14:textId="77777777" w:rsidR="00967C7D" w:rsidRPr="00967C7D" w:rsidRDefault="00967C7D" w:rsidP="00967C7D">
            <w:pPr>
              <w:keepNext w:val="0"/>
              <w:spacing w:before="0"/>
              <w:rPr>
                <w:rFonts w:cs="Arial"/>
                <w:bCs/>
                <w:color w:val="auto"/>
                <w:sz w:val="20"/>
              </w:rPr>
            </w:pPr>
            <w:r w:rsidRPr="00967C7D">
              <w:rPr>
                <w:rFonts w:cs="Arial"/>
                <w:bCs/>
                <w:color w:val="auto"/>
                <w:sz w:val="20"/>
              </w:rPr>
              <w:t>South Sheet</w:t>
            </w:r>
          </w:p>
        </w:tc>
      </w:tr>
      <w:tr w:rsidR="00967C7D" w:rsidRPr="00967C7D" w14:paraId="37E35263" w14:textId="77777777" w:rsidTr="00B5314A">
        <w:trPr>
          <w:trHeight w:val="284"/>
        </w:trPr>
        <w:tc>
          <w:tcPr>
            <w:tcW w:w="1280" w:type="dxa"/>
          </w:tcPr>
          <w:p w14:paraId="652DAB13" w14:textId="77777777" w:rsidR="00967C7D" w:rsidRPr="00967C7D" w:rsidRDefault="00967C7D" w:rsidP="00967C7D">
            <w:pPr>
              <w:keepNext w:val="0"/>
              <w:spacing w:before="0"/>
              <w:rPr>
                <w:rFonts w:cs="Arial"/>
                <w:bCs/>
                <w:color w:val="auto"/>
                <w:sz w:val="20"/>
              </w:rPr>
            </w:pPr>
            <w:r w:rsidRPr="00967C7D">
              <w:rPr>
                <w:rFonts w:cs="Arial"/>
                <w:bCs/>
                <w:color w:val="auto"/>
                <w:sz w:val="20"/>
              </w:rPr>
              <w:t>EV5/86</w:t>
            </w:r>
          </w:p>
        </w:tc>
        <w:tc>
          <w:tcPr>
            <w:tcW w:w="6230" w:type="dxa"/>
            <w:noWrap/>
          </w:tcPr>
          <w:p w14:paraId="2408F735" w14:textId="77777777" w:rsidR="00967C7D" w:rsidRPr="00967C7D" w:rsidRDefault="00967C7D" w:rsidP="00967C7D">
            <w:pPr>
              <w:keepNext w:val="0"/>
              <w:spacing w:before="0"/>
              <w:rPr>
                <w:rFonts w:cs="Arial"/>
                <w:bCs/>
                <w:color w:val="auto"/>
                <w:sz w:val="20"/>
              </w:rPr>
            </w:pPr>
            <w:r w:rsidRPr="00967C7D">
              <w:rPr>
                <w:rFonts w:cs="Arial"/>
                <w:bCs/>
                <w:color w:val="auto"/>
                <w:sz w:val="20"/>
              </w:rPr>
              <w:t>Valentine Avenue Play Area</w:t>
            </w:r>
          </w:p>
        </w:tc>
        <w:tc>
          <w:tcPr>
            <w:tcW w:w="1847" w:type="dxa"/>
            <w:noWrap/>
          </w:tcPr>
          <w:p w14:paraId="07007709" w14:textId="77777777" w:rsidR="00967C7D" w:rsidRPr="00967C7D" w:rsidRDefault="00967C7D" w:rsidP="00967C7D">
            <w:pPr>
              <w:keepNext w:val="0"/>
              <w:spacing w:before="0"/>
              <w:rPr>
                <w:rFonts w:cs="Arial"/>
                <w:bCs/>
                <w:color w:val="auto"/>
                <w:sz w:val="20"/>
              </w:rPr>
            </w:pPr>
            <w:r w:rsidRPr="00967C7D">
              <w:rPr>
                <w:rFonts w:cs="Arial"/>
                <w:bCs/>
                <w:color w:val="auto"/>
                <w:sz w:val="20"/>
              </w:rPr>
              <w:t>South Sheet</w:t>
            </w:r>
          </w:p>
        </w:tc>
      </w:tr>
      <w:tr w:rsidR="00967C7D" w:rsidRPr="00967C7D" w14:paraId="1F57312E" w14:textId="77777777" w:rsidTr="00B5314A">
        <w:trPr>
          <w:trHeight w:val="284"/>
        </w:trPr>
        <w:tc>
          <w:tcPr>
            <w:tcW w:w="1280" w:type="dxa"/>
          </w:tcPr>
          <w:p w14:paraId="26DC69B2" w14:textId="77777777" w:rsidR="00967C7D" w:rsidRPr="00967C7D" w:rsidRDefault="00967C7D" w:rsidP="00967C7D">
            <w:pPr>
              <w:keepNext w:val="0"/>
              <w:spacing w:before="0"/>
              <w:rPr>
                <w:rFonts w:cs="Arial"/>
                <w:bCs/>
                <w:color w:val="auto"/>
                <w:sz w:val="20"/>
              </w:rPr>
            </w:pPr>
            <w:r w:rsidRPr="00967C7D">
              <w:rPr>
                <w:rFonts w:cs="Arial"/>
                <w:bCs/>
                <w:color w:val="auto"/>
                <w:sz w:val="20"/>
              </w:rPr>
              <w:t>EV5/87</w:t>
            </w:r>
          </w:p>
        </w:tc>
        <w:tc>
          <w:tcPr>
            <w:tcW w:w="6230" w:type="dxa"/>
            <w:noWrap/>
          </w:tcPr>
          <w:p w14:paraId="70CFA14F" w14:textId="77777777" w:rsidR="00967C7D" w:rsidRPr="00967C7D" w:rsidRDefault="00967C7D" w:rsidP="00967C7D">
            <w:pPr>
              <w:keepNext w:val="0"/>
              <w:spacing w:before="0"/>
              <w:rPr>
                <w:rFonts w:cs="Arial"/>
                <w:bCs/>
                <w:color w:val="auto"/>
                <w:sz w:val="20"/>
              </w:rPr>
            </w:pPr>
            <w:r w:rsidRPr="00967C7D">
              <w:rPr>
                <w:rFonts w:cs="Arial"/>
                <w:bCs/>
                <w:color w:val="auto"/>
                <w:sz w:val="20"/>
              </w:rPr>
              <w:t>Holly Hill School Playing Field</w:t>
            </w:r>
          </w:p>
        </w:tc>
        <w:tc>
          <w:tcPr>
            <w:tcW w:w="1847" w:type="dxa"/>
            <w:noWrap/>
          </w:tcPr>
          <w:p w14:paraId="686C571F" w14:textId="77777777" w:rsidR="00967C7D" w:rsidRPr="00967C7D" w:rsidRDefault="00967C7D" w:rsidP="00967C7D">
            <w:pPr>
              <w:keepNext w:val="0"/>
              <w:spacing w:before="0"/>
              <w:rPr>
                <w:rFonts w:cs="Arial"/>
                <w:bCs/>
                <w:color w:val="auto"/>
                <w:sz w:val="20"/>
              </w:rPr>
            </w:pPr>
            <w:r w:rsidRPr="00967C7D">
              <w:rPr>
                <w:rFonts w:cs="Arial"/>
                <w:bCs/>
                <w:color w:val="auto"/>
                <w:sz w:val="20"/>
              </w:rPr>
              <w:t>South Sheet</w:t>
            </w:r>
          </w:p>
        </w:tc>
      </w:tr>
      <w:tr w:rsidR="00967C7D" w:rsidRPr="00967C7D" w14:paraId="7BB71171" w14:textId="77777777" w:rsidTr="00B5314A">
        <w:trPr>
          <w:trHeight w:val="284"/>
        </w:trPr>
        <w:tc>
          <w:tcPr>
            <w:tcW w:w="1280" w:type="dxa"/>
          </w:tcPr>
          <w:p w14:paraId="6F068148" w14:textId="77777777" w:rsidR="00967C7D" w:rsidRPr="00967C7D" w:rsidRDefault="00967C7D" w:rsidP="00967C7D">
            <w:pPr>
              <w:keepNext w:val="0"/>
              <w:spacing w:before="0"/>
              <w:rPr>
                <w:rFonts w:cs="Arial"/>
                <w:bCs/>
                <w:color w:val="auto"/>
                <w:sz w:val="20"/>
              </w:rPr>
            </w:pPr>
            <w:r w:rsidRPr="00967C7D">
              <w:rPr>
                <w:rFonts w:cs="Arial"/>
                <w:bCs/>
                <w:color w:val="auto"/>
                <w:sz w:val="20"/>
              </w:rPr>
              <w:t>EV5/88</w:t>
            </w:r>
          </w:p>
        </w:tc>
        <w:tc>
          <w:tcPr>
            <w:tcW w:w="6230" w:type="dxa"/>
            <w:noWrap/>
          </w:tcPr>
          <w:p w14:paraId="679AA39C" w14:textId="77777777" w:rsidR="00967C7D" w:rsidRPr="00967C7D" w:rsidRDefault="00967C7D" w:rsidP="00967C7D">
            <w:pPr>
              <w:keepNext w:val="0"/>
              <w:spacing w:before="0"/>
              <w:rPr>
                <w:rFonts w:cs="Arial"/>
                <w:bCs/>
                <w:color w:val="auto"/>
                <w:sz w:val="20"/>
              </w:rPr>
            </w:pPr>
            <w:r w:rsidRPr="00967C7D">
              <w:rPr>
                <w:rFonts w:cs="Arial"/>
                <w:bCs/>
                <w:color w:val="auto"/>
                <w:sz w:val="20"/>
              </w:rPr>
              <w:t>St Helen's Church</w:t>
            </w:r>
          </w:p>
        </w:tc>
        <w:tc>
          <w:tcPr>
            <w:tcW w:w="1847" w:type="dxa"/>
            <w:noWrap/>
          </w:tcPr>
          <w:p w14:paraId="32838CA3" w14:textId="77777777" w:rsidR="00967C7D" w:rsidRPr="00967C7D" w:rsidRDefault="00967C7D" w:rsidP="00967C7D">
            <w:pPr>
              <w:keepNext w:val="0"/>
              <w:spacing w:before="0"/>
              <w:rPr>
                <w:rFonts w:cs="Arial"/>
                <w:bCs/>
                <w:color w:val="auto"/>
                <w:sz w:val="20"/>
              </w:rPr>
            </w:pPr>
            <w:r w:rsidRPr="00967C7D">
              <w:rPr>
                <w:rFonts w:cs="Arial"/>
                <w:bCs/>
                <w:color w:val="auto"/>
                <w:sz w:val="20"/>
              </w:rPr>
              <w:t>South Sheet</w:t>
            </w:r>
          </w:p>
        </w:tc>
      </w:tr>
      <w:tr w:rsidR="00967C7D" w:rsidRPr="00967C7D" w14:paraId="6153454D" w14:textId="77777777" w:rsidTr="00B5314A">
        <w:trPr>
          <w:trHeight w:val="284"/>
        </w:trPr>
        <w:tc>
          <w:tcPr>
            <w:tcW w:w="1280" w:type="dxa"/>
          </w:tcPr>
          <w:p w14:paraId="39252026" w14:textId="77777777" w:rsidR="00967C7D" w:rsidRPr="00967C7D" w:rsidRDefault="00967C7D" w:rsidP="00967C7D">
            <w:pPr>
              <w:keepNext w:val="0"/>
              <w:spacing w:before="0"/>
              <w:rPr>
                <w:rFonts w:cs="Arial"/>
                <w:bCs/>
                <w:color w:val="auto"/>
                <w:sz w:val="20"/>
              </w:rPr>
            </w:pPr>
            <w:r w:rsidRPr="00967C7D">
              <w:rPr>
                <w:rFonts w:cs="Arial"/>
                <w:bCs/>
                <w:color w:val="auto"/>
                <w:sz w:val="20"/>
              </w:rPr>
              <w:t>EV5/89</w:t>
            </w:r>
          </w:p>
        </w:tc>
        <w:tc>
          <w:tcPr>
            <w:tcW w:w="6230" w:type="dxa"/>
            <w:noWrap/>
          </w:tcPr>
          <w:p w14:paraId="604F34A2" w14:textId="77777777" w:rsidR="00967C7D" w:rsidRPr="00967C7D" w:rsidRDefault="00967C7D" w:rsidP="00967C7D">
            <w:pPr>
              <w:keepNext w:val="0"/>
              <w:spacing w:before="0"/>
              <w:rPr>
                <w:rFonts w:cs="Arial"/>
                <w:bCs/>
                <w:color w:val="auto"/>
                <w:sz w:val="20"/>
              </w:rPr>
            </w:pPr>
            <w:r w:rsidRPr="00967C7D">
              <w:rPr>
                <w:rFonts w:cs="Arial"/>
                <w:bCs/>
                <w:color w:val="auto"/>
                <w:sz w:val="20"/>
              </w:rPr>
              <w:t>Portland Road</w:t>
            </w:r>
          </w:p>
        </w:tc>
        <w:tc>
          <w:tcPr>
            <w:tcW w:w="1847" w:type="dxa"/>
            <w:noWrap/>
          </w:tcPr>
          <w:p w14:paraId="59A31B18" w14:textId="77777777" w:rsidR="00967C7D" w:rsidRPr="00967C7D" w:rsidRDefault="00967C7D" w:rsidP="00967C7D">
            <w:pPr>
              <w:keepNext w:val="0"/>
              <w:spacing w:before="0"/>
              <w:rPr>
                <w:rFonts w:cs="Arial"/>
                <w:bCs/>
                <w:color w:val="auto"/>
                <w:sz w:val="20"/>
              </w:rPr>
            </w:pPr>
            <w:r w:rsidRPr="00967C7D">
              <w:rPr>
                <w:rFonts w:cs="Arial"/>
                <w:bCs/>
                <w:color w:val="auto"/>
                <w:sz w:val="20"/>
              </w:rPr>
              <w:t>South Sheet</w:t>
            </w:r>
          </w:p>
        </w:tc>
      </w:tr>
      <w:tr w:rsidR="00967C7D" w:rsidRPr="00967C7D" w14:paraId="41776E0B" w14:textId="77777777" w:rsidTr="00B5314A">
        <w:trPr>
          <w:trHeight w:val="284"/>
        </w:trPr>
        <w:tc>
          <w:tcPr>
            <w:tcW w:w="1280" w:type="dxa"/>
          </w:tcPr>
          <w:p w14:paraId="52969627" w14:textId="77777777" w:rsidR="00967C7D" w:rsidRPr="00967C7D" w:rsidRDefault="00967C7D" w:rsidP="00967C7D">
            <w:pPr>
              <w:keepNext w:val="0"/>
              <w:spacing w:before="0"/>
              <w:rPr>
                <w:rFonts w:cs="Arial"/>
                <w:bCs/>
                <w:color w:val="auto"/>
                <w:sz w:val="20"/>
              </w:rPr>
            </w:pPr>
            <w:r w:rsidRPr="00967C7D">
              <w:rPr>
                <w:rFonts w:cs="Arial"/>
                <w:bCs/>
                <w:color w:val="auto"/>
                <w:sz w:val="20"/>
              </w:rPr>
              <w:t>EV5/90</w:t>
            </w:r>
          </w:p>
        </w:tc>
        <w:tc>
          <w:tcPr>
            <w:tcW w:w="6230" w:type="dxa"/>
            <w:noWrap/>
          </w:tcPr>
          <w:p w14:paraId="760B47AE" w14:textId="77777777" w:rsidR="00967C7D" w:rsidRPr="00967C7D" w:rsidRDefault="00967C7D" w:rsidP="00967C7D">
            <w:pPr>
              <w:keepNext w:val="0"/>
              <w:spacing w:before="0"/>
              <w:rPr>
                <w:rFonts w:cs="Arial"/>
                <w:bCs/>
                <w:color w:val="auto"/>
                <w:sz w:val="20"/>
              </w:rPr>
            </w:pPr>
            <w:r w:rsidRPr="00967C7D">
              <w:rPr>
                <w:rFonts w:cs="Arial"/>
                <w:bCs/>
                <w:color w:val="auto"/>
                <w:sz w:val="20"/>
              </w:rPr>
              <w:t>Jubilee Recreation Ground</w:t>
            </w:r>
          </w:p>
        </w:tc>
        <w:tc>
          <w:tcPr>
            <w:tcW w:w="1847" w:type="dxa"/>
            <w:noWrap/>
          </w:tcPr>
          <w:p w14:paraId="29C9E588" w14:textId="77777777" w:rsidR="00967C7D" w:rsidRPr="00967C7D" w:rsidRDefault="00967C7D" w:rsidP="00967C7D">
            <w:pPr>
              <w:keepNext w:val="0"/>
              <w:spacing w:before="0"/>
              <w:rPr>
                <w:rFonts w:cs="Arial"/>
                <w:bCs/>
                <w:color w:val="auto"/>
                <w:sz w:val="20"/>
              </w:rPr>
            </w:pPr>
            <w:r w:rsidRPr="00967C7D">
              <w:rPr>
                <w:rFonts w:cs="Arial"/>
                <w:bCs/>
                <w:color w:val="auto"/>
                <w:sz w:val="20"/>
              </w:rPr>
              <w:t>South Sheet</w:t>
            </w:r>
          </w:p>
        </w:tc>
      </w:tr>
      <w:tr w:rsidR="00967C7D" w:rsidRPr="00967C7D" w14:paraId="4DD537FD" w14:textId="77777777" w:rsidTr="00B5314A">
        <w:trPr>
          <w:trHeight w:val="284"/>
        </w:trPr>
        <w:tc>
          <w:tcPr>
            <w:tcW w:w="1280" w:type="dxa"/>
          </w:tcPr>
          <w:p w14:paraId="1DC57B75" w14:textId="77777777" w:rsidR="00967C7D" w:rsidRPr="00967C7D" w:rsidRDefault="00967C7D" w:rsidP="00967C7D">
            <w:pPr>
              <w:keepNext w:val="0"/>
              <w:spacing w:before="0"/>
              <w:rPr>
                <w:rFonts w:cs="Arial"/>
                <w:bCs/>
                <w:color w:val="auto"/>
                <w:sz w:val="20"/>
              </w:rPr>
            </w:pPr>
            <w:r w:rsidRPr="00967C7D">
              <w:rPr>
                <w:rFonts w:cs="Arial"/>
                <w:bCs/>
                <w:color w:val="auto"/>
                <w:sz w:val="20"/>
              </w:rPr>
              <w:t>EV5/91</w:t>
            </w:r>
          </w:p>
        </w:tc>
        <w:tc>
          <w:tcPr>
            <w:tcW w:w="6230" w:type="dxa"/>
            <w:noWrap/>
          </w:tcPr>
          <w:p w14:paraId="3C1DFAB7" w14:textId="77777777" w:rsidR="00967C7D" w:rsidRPr="00967C7D" w:rsidRDefault="00967C7D" w:rsidP="00967C7D">
            <w:pPr>
              <w:keepNext w:val="0"/>
              <w:spacing w:before="0"/>
              <w:rPr>
                <w:rFonts w:cs="Arial"/>
                <w:bCs/>
                <w:color w:val="auto"/>
                <w:sz w:val="20"/>
              </w:rPr>
            </w:pPr>
            <w:r w:rsidRPr="00967C7D">
              <w:rPr>
                <w:rFonts w:cs="Arial"/>
                <w:bCs/>
                <w:color w:val="auto"/>
                <w:sz w:val="20"/>
              </w:rPr>
              <w:t>New Selston Recreation Ground</w:t>
            </w:r>
          </w:p>
        </w:tc>
        <w:tc>
          <w:tcPr>
            <w:tcW w:w="1847" w:type="dxa"/>
            <w:noWrap/>
          </w:tcPr>
          <w:p w14:paraId="652815B2" w14:textId="77777777" w:rsidR="00967C7D" w:rsidRPr="00967C7D" w:rsidRDefault="00967C7D" w:rsidP="00967C7D">
            <w:pPr>
              <w:keepNext w:val="0"/>
              <w:spacing w:before="0"/>
              <w:rPr>
                <w:rFonts w:cs="Arial"/>
                <w:bCs/>
                <w:color w:val="auto"/>
                <w:sz w:val="20"/>
              </w:rPr>
            </w:pPr>
            <w:r w:rsidRPr="00967C7D">
              <w:rPr>
                <w:rFonts w:cs="Arial"/>
                <w:bCs/>
                <w:color w:val="auto"/>
                <w:sz w:val="20"/>
              </w:rPr>
              <w:t>South Sheet</w:t>
            </w:r>
          </w:p>
        </w:tc>
      </w:tr>
      <w:tr w:rsidR="00967C7D" w:rsidRPr="00967C7D" w14:paraId="69178B31" w14:textId="77777777" w:rsidTr="00B5314A">
        <w:trPr>
          <w:trHeight w:val="284"/>
        </w:trPr>
        <w:tc>
          <w:tcPr>
            <w:tcW w:w="1280" w:type="dxa"/>
          </w:tcPr>
          <w:p w14:paraId="07D1B516" w14:textId="77777777" w:rsidR="00967C7D" w:rsidRPr="00967C7D" w:rsidRDefault="00967C7D" w:rsidP="00967C7D">
            <w:pPr>
              <w:keepNext w:val="0"/>
              <w:spacing w:before="0"/>
              <w:rPr>
                <w:rFonts w:cs="Arial"/>
                <w:bCs/>
                <w:color w:val="auto"/>
                <w:sz w:val="20"/>
              </w:rPr>
            </w:pPr>
            <w:r w:rsidRPr="00967C7D">
              <w:rPr>
                <w:rFonts w:cs="Arial"/>
                <w:bCs/>
                <w:color w:val="auto"/>
                <w:sz w:val="20"/>
              </w:rPr>
              <w:t>EV5/92</w:t>
            </w:r>
          </w:p>
        </w:tc>
        <w:tc>
          <w:tcPr>
            <w:tcW w:w="6230" w:type="dxa"/>
            <w:noWrap/>
          </w:tcPr>
          <w:p w14:paraId="131CCE1C" w14:textId="77777777" w:rsidR="00967C7D" w:rsidRPr="00967C7D" w:rsidRDefault="00967C7D" w:rsidP="00967C7D">
            <w:pPr>
              <w:keepNext w:val="0"/>
              <w:spacing w:before="0"/>
              <w:rPr>
                <w:rFonts w:cs="Arial"/>
                <w:bCs/>
                <w:color w:val="auto"/>
                <w:sz w:val="20"/>
              </w:rPr>
            </w:pPr>
            <w:r w:rsidRPr="00967C7D">
              <w:rPr>
                <w:rFonts w:cs="Arial"/>
                <w:bCs/>
                <w:color w:val="auto"/>
                <w:sz w:val="20"/>
              </w:rPr>
              <w:t>Annesley Wood</w:t>
            </w:r>
          </w:p>
        </w:tc>
        <w:tc>
          <w:tcPr>
            <w:tcW w:w="1847" w:type="dxa"/>
            <w:noWrap/>
          </w:tcPr>
          <w:p w14:paraId="531BB5BA" w14:textId="77777777" w:rsidR="00967C7D" w:rsidRPr="00967C7D" w:rsidRDefault="00967C7D" w:rsidP="00967C7D">
            <w:pPr>
              <w:keepNext w:val="0"/>
              <w:spacing w:before="0"/>
              <w:rPr>
                <w:rFonts w:cs="Arial"/>
                <w:bCs/>
                <w:color w:val="auto"/>
                <w:sz w:val="20"/>
              </w:rPr>
            </w:pPr>
            <w:r w:rsidRPr="00967C7D">
              <w:rPr>
                <w:rFonts w:cs="Arial"/>
                <w:bCs/>
                <w:color w:val="auto"/>
                <w:sz w:val="20"/>
              </w:rPr>
              <w:t>South Sheet</w:t>
            </w:r>
          </w:p>
        </w:tc>
      </w:tr>
      <w:tr w:rsidR="00967C7D" w:rsidRPr="00967C7D" w14:paraId="051BF014" w14:textId="77777777" w:rsidTr="00B5314A">
        <w:trPr>
          <w:trHeight w:val="284"/>
        </w:trPr>
        <w:tc>
          <w:tcPr>
            <w:tcW w:w="1280" w:type="dxa"/>
          </w:tcPr>
          <w:p w14:paraId="4743C2D9" w14:textId="77777777" w:rsidR="00967C7D" w:rsidRPr="00967C7D" w:rsidRDefault="00967C7D" w:rsidP="00967C7D">
            <w:pPr>
              <w:keepNext w:val="0"/>
              <w:spacing w:before="0"/>
              <w:rPr>
                <w:rFonts w:cs="Arial"/>
                <w:bCs/>
                <w:color w:val="auto"/>
                <w:sz w:val="20"/>
              </w:rPr>
            </w:pPr>
            <w:r w:rsidRPr="00967C7D">
              <w:rPr>
                <w:rFonts w:cs="Arial"/>
                <w:bCs/>
                <w:color w:val="auto"/>
                <w:sz w:val="20"/>
              </w:rPr>
              <w:t>EV5/93</w:t>
            </w:r>
          </w:p>
        </w:tc>
        <w:tc>
          <w:tcPr>
            <w:tcW w:w="6230" w:type="dxa"/>
            <w:noWrap/>
          </w:tcPr>
          <w:p w14:paraId="0D96D5D4" w14:textId="77777777" w:rsidR="00967C7D" w:rsidRPr="00967C7D" w:rsidRDefault="00967C7D" w:rsidP="00967C7D">
            <w:pPr>
              <w:keepNext w:val="0"/>
              <w:spacing w:before="0"/>
              <w:rPr>
                <w:rFonts w:cs="Arial"/>
                <w:bCs/>
                <w:color w:val="auto"/>
                <w:sz w:val="20"/>
              </w:rPr>
            </w:pPr>
            <w:r w:rsidRPr="00967C7D">
              <w:rPr>
                <w:rFonts w:cs="Arial"/>
                <w:bCs/>
                <w:color w:val="auto"/>
                <w:sz w:val="20"/>
              </w:rPr>
              <w:t>Annesley Church</w:t>
            </w:r>
          </w:p>
        </w:tc>
        <w:tc>
          <w:tcPr>
            <w:tcW w:w="1847" w:type="dxa"/>
            <w:noWrap/>
          </w:tcPr>
          <w:p w14:paraId="6E95D511" w14:textId="77777777" w:rsidR="00967C7D" w:rsidRPr="00967C7D" w:rsidRDefault="00967C7D" w:rsidP="00967C7D">
            <w:pPr>
              <w:keepNext w:val="0"/>
              <w:spacing w:before="0"/>
              <w:rPr>
                <w:rFonts w:cs="Arial"/>
                <w:bCs/>
                <w:color w:val="auto"/>
                <w:sz w:val="20"/>
              </w:rPr>
            </w:pPr>
            <w:r w:rsidRPr="00967C7D">
              <w:rPr>
                <w:rFonts w:cs="Arial"/>
                <w:bCs/>
                <w:color w:val="auto"/>
                <w:sz w:val="20"/>
              </w:rPr>
              <w:t>South Sheet</w:t>
            </w:r>
          </w:p>
        </w:tc>
      </w:tr>
      <w:tr w:rsidR="00967C7D" w:rsidRPr="00967C7D" w14:paraId="6F2DBB73" w14:textId="77777777" w:rsidTr="00B5314A">
        <w:trPr>
          <w:trHeight w:val="284"/>
        </w:trPr>
        <w:tc>
          <w:tcPr>
            <w:tcW w:w="1280" w:type="dxa"/>
          </w:tcPr>
          <w:p w14:paraId="1BD5EF55" w14:textId="77777777" w:rsidR="00967C7D" w:rsidRPr="00967C7D" w:rsidRDefault="00967C7D" w:rsidP="00967C7D">
            <w:pPr>
              <w:keepNext w:val="0"/>
              <w:spacing w:before="0"/>
              <w:rPr>
                <w:rFonts w:cs="Arial"/>
                <w:bCs/>
                <w:color w:val="auto"/>
                <w:sz w:val="20"/>
              </w:rPr>
            </w:pPr>
            <w:r w:rsidRPr="00967C7D">
              <w:rPr>
                <w:rFonts w:cs="Arial"/>
                <w:bCs/>
                <w:color w:val="auto"/>
                <w:sz w:val="20"/>
              </w:rPr>
              <w:t>EV5/94</w:t>
            </w:r>
          </w:p>
        </w:tc>
        <w:tc>
          <w:tcPr>
            <w:tcW w:w="6230" w:type="dxa"/>
            <w:noWrap/>
          </w:tcPr>
          <w:p w14:paraId="794B4EF7" w14:textId="77777777" w:rsidR="00967C7D" w:rsidRPr="00967C7D" w:rsidRDefault="00967C7D" w:rsidP="00967C7D">
            <w:pPr>
              <w:keepNext w:val="0"/>
              <w:spacing w:before="0"/>
              <w:rPr>
                <w:rFonts w:cs="Arial"/>
                <w:bCs/>
                <w:color w:val="auto"/>
                <w:sz w:val="20"/>
              </w:rPr>
            </w:pPr>
            <w:r w:rsidRPr="00967C7D">
              <w:rPr>
                <w:rFonts w:cs="Arial"/>
                <w:bCs/>
                <w:color w:val="auto"/>
                <w:sz w:val="20"/>
              </w:rPr>
              <w:t>Hucknall Road</w:t>
            </w:r>
          </w:p>
        </w:tc>
        <w:tc>
          <w:tcPr>
            <w:tcW w:w="1847" w:type="dxa"/>
            <w:noWrap/>
          </w:tcPr>
          <w:p w14:paraId="592157AF" w14:textId="77777777" w:rsidR="00967C7D" w:rsidRPr="00967C7D" w:rsidRDefault="00967C7D" w:rsidP="00967C7D">
            <w:pPr>
              <w:keepNext w:val="0"/>
              <w:spacing w:before="0"/>
              <w:rPr>
                <w:rFonts w:cs="Arial"/>
                <w:bCs/>
                <w:color w:val="auto"/>
                <w:sz w:val="20"/>
              </w:rPr>
            </w:pPr>
            <w:r w:rsidRPr="00967C7D">
              <w:rPr>
                <w:rFonts w:cs="Arial"/>
                <w:bCs/>
                <w:color w:val="auto"/>
                <w:sz w:val="20"/>
              </w:rPr>
              <w:t>South Sheet</w:t>
            </w:r>
          </w:p>
        </w:tc>
      </w:tr>
      <w:tr w:rsidR="00967C7D" w:rsidRPr="00967C7D" w14:paraId="395EBB72" w14:textId="77777777" w:rsidTr="00B5314A">
        <w:trPr>
          <w:trHeight w:val="284"/>
        </w:trPr>
        <w:tc>
          <w:tcPr>
            <w:tcW w:w="1280" w:type="dxa"/>
          </w:tcPr>
          <w:p w14:paraId="487D13AD" w14:textId="77777777" w:rsidR="00967C7D" w:rsidRPr="00967C7D" w:rsidRDefault="00967C7D" w:rsidP="00967C7D">
            <w:pPr>
              <w:keepNext w:val="0"/>
              <w:spacing w:before="0"/>
              <w:rPr>
                <w:rFonts w:cs="Arial"/>
                <w:bCs/>
                <w:color w:val="auto"/>
                <w:sz w:val="20"/>
              </w:rPr>
            </w:pPr>
            <w:r w:rsidRPr="00967C7D">
              <w:rPr>
                <w:rFonts w:cs="Arial"/>
                <w:bCs/>
                <w:color w:val="auto"/>
                <w:sz w:val="20"/>
              </w:rPr>
              <w:t>EV5/95</w:t>
            </w:r>
          </w:p>
        </w:tc>
        <w:tc>
          <w:tcPr>
            <w:tcW w:w="6230" w:type="dxa"/>
            <w:noWrap/>
          </w:tcPr>
          <w:p w14:paraId="0168B914" w14:textId="77777777" w:rsidR="00967C7D" w:rsidRPr="00967C7D" w:rsidRDefault="00967C7D" w:rsidP="00967C7D">
            <w:pPr>
              <w:keepNext w:val="0"/>
              <w:spacing w:before="0"/>
              <w:rPr>
                <w:rFonts w:cs="Arial"/>
                <w:bCs/>
                <w:color w:val="auto"/>
                <w:sz w:val="20"/>
              </w:rPr>
            </w:pPr>
            <w:r w:rsidRPr="00967C7D">
              <w:rPr>
                <w:rFonts w:cs="Arial"/>
                <w:bCs/>
                <w:color w:val="auto"/>
                <w:sz w:val="20"/>
              </w:rPr>
              <w:t>Sherwood Business Park Lakes</w:t>
            </w:r>
          </w:p>
        </w:tc>
        <w:tc>
          <w:tcPr>
            <w:tcW w:w="1847" w:type="dxa"/>
            <w:noWrap/>
          </w:tcPr>
          <w:p w14:paraId="2990F6F4" w14:textId="77777777" w:rsidR="00967C7D" w:rsidRPr="00967C7D" w:rsidRDefault="00967C7D" w:rsidP="00967C7D">
            <w:pPr>
              <w:keepNext w:val="0"/>
              <w:spacing w:before="0"/>
              <w:rPr>
                <w:rFonts w:cs="Arial"/>
                <w:bCs/>
                <w:color w:val="auto"/>
                <w:sz w:val="20"/>
              </w:rPr>
            </w:pPr>
            <w:r w:rsidRPr="00967C7D">
              <w:rPr>
                <w:rFonts w:cs="Arial"/>
                <w:bCs/>
                <w:color w:val="auto"/>
                <w:sz w:val="20"/>
              </w:rPr>
              <w:t>South Sheet</w:t>
            </w:r>
          </w:p>
        </w:tc>
      </w:tr>
      <w:tr w:rsidR="00967C7D" w:rsidRPr="00967C7D" w14:paraId="700C0F17" w14:textId="77777777" w:rsidTr="00B5314A">
        <w:trPr>
          <w:trHeight w:val="284"/>
        </w:trPr>
        <w:tc>
          <w:tcPr>
            <w:tcW w:w="1280" w:type="dxa"/>
          </w:tcPr>
          <w:p w14:paraId="0249CA5D" w14:textId="77777777" w:rsidR="00967C7D" w:rsidRPr="00967C7D" w:rsidRDefault="00967C7D" w:rsidP="00967C7D">
            <w:pPr>
              <w:keepNext w:val="0"/>
              <w:spacing w:before="0"/>
              <w:rPr>
                <w:rFonts w:cs="Arial"/>
                <w:bCs/>
                <w:color w:val="auto"/>
                <w:sz w:val="20"/>
              </w:rPr>
            </w:pPr>
            <w:r w:rsidRPr="00967C7D">
              <w:rPr>
                <w:rFonts w:cs="Arial"/>
                <w:bCs/>
                <w:color w:val="auto"/>
                <w:sz w:val="20"/>
              </w:rPr>
              <w:t>EV5/96</w:t>
            </w:r>
          </w:p>
        </w:tc>
        <w:tc>
          <w:tcPr>
            <w:tcW w:w="6230" w:type="dxa"/>
            <w:noWrap/>
          </w:tcPr>
          <w:p w14:paraId="63E50795" w14:textId="77777777" w:rsidR="00967C7D" w:rsidRPr="00967C7D" w:rsidRDefault="00967C7D" w:rsidP="00967C7D">
            <w:pPr>
              <w:keepNext w:val="0"/>
              <w:spacing w:before="0"/>
              <w:rPr>
                <w:rFonts w:cs="Arial"/>
                <w:bCs/>
                <w:color w:val="auto"/>
                <w:sz w:val="20"/>
              </w:rPr>
            </w:pPr>
            <w:r w:rsidRPr="00967C7D">
              <w:rPr>
                <w:rFonts w:cs="Arial"/>
                <w:bCs/>
                <w:color w:val="auto"/>
                <w:sz w:val="20"/>
              </w:rPr>
              <w:t>Playground opposite Newstead School</w:t>
            </w:r>
          </w:p>
        </w:tc>
        <w:tc>
          <w:tcPr>
            <w:tcW w:w="1847" w:type="dxa"/>
            <w:noWrap/>
          </w:tcPr>
          <w:p w14:paraId="6460C901" w14:textId="77777777" w:rsidR="00967C7D" w:rsidRPr="00967C7D" w:rsidRDefault="00967C7D" w:rsidP="00967C7D">
            <w:pPr>
              <w:keepNext w:val="0"/>
              <w:spacing w:before="0"/>
              <w:rPr>
                <w:rFonts w:cs="Arial"/>
                <w:bCs/>
                <w:color w:val="auto"/>
                <w:sz w:val="20"/>
              </w:rPr>
            </w:pPr>
            <w:r w:rsidRPr="00967C7D">
              <w:rPr>
                <w:rFonts w:cs="Arial"/>
                <w:bCs/>
                <w:color w:val="auto"/>
                <w:sz w:val="20"/>
              </w:rPr>
              <w:t>South Sheet</w:t>
            </w:r>
          </w:p>
        </w:tc>
      </w:tr>
      <w:tr w:rsidR="00967C7D" w:rsidRPr="00967C7D" w14:paraId="58385ACA" w14:textId="77777777" w:rsidTr="00B5314A">
        <w:trPr>
          <w:trHeight w:val="284"/>
        </w:trPr>
        <w:tc>
          <w:tcPr>
            <w:tcW w:w="1280" w:type="dxa"/>
          </w:tcPr>
          <w:p w14:paraId="19ABDC7E" w14:textId="77777777" w:rsidR="00967C7D" w:rsidRPr="00967C7D" w:rsidRDefault="00967C7D" w:rsidP="00967C7D">
            <w:pPr>
              <w:keepNext w:val="0"/>
              <w:spacing w:before="0"/>
              <w:rPr>
                <w:rFonts w:cs="Arial"/>
                <w:bCs/>
                <w:color w:val="auto"/>
                <w:sz w:val="20"/>
              </w:rPr>
            </w:pPr>
            <w:r w:rsidRPr="00967C7D">
              <w:rPr>
                <w:rFonts w:cs="Arial"/>
                <w:bCs/>
                <w:color w:val="auto"/>
                <w:sz w:val="20"/>
              </w:rPr>
              <w:t>EV5/97</w:t>
            </w:r>
          </w:p>
        </w:tc>
        <w:tc>
          <w:tcPr>
            <w:tcW w:w="6230" w:type="dxa"/>
            <w:noWrap/>
          </w:tcPr>
          <w:p w14:paraId="7136A06B" w14:textId="77777777" w:rsidR="00967C7D" w:rsidRPr="00967C7D" w:rsidRDefault="00967C7D" w:rsidP="00967C7D">
            <w:pPr>
              <w:keepNext w:val="0"/>
              <w:spacing w:before="0"/>
              <w:rPr>
                <w:rFonts w:cs="Arial"/>
                <w:bCs/>
                <w:color w:val="auto"/>
                <w:sz w:val="20"/>
              </w:rPr>
            </w:pPr>
            <w:r w:rsidRPr="00967C7D">
              <w:rPr>
                <w:rFonts w:cs="Arial"/>
                <w:bCs/>
                <w:color w:val="auto"/>
                <w:sz w:val="20"/>
              </w:rPr>
              <w:t>Oak Field Woods</w:t>
            </w:r>
          </w:p>
        </w:tc>
        <w:tc>
          <w:tcPr>
            <w:tcW w:w="1847" w:type="dxa"/>
            <w:noWrap/>
          </w:tcPr>
          <w:p w14:paraId="57B5101F" w14:textId="77777777" w:rsidR="00967C7D" w:rsidRPr="00967C7D" w:rsidRDefault="00967C7D" w:rsidP="00967C7D">
            <w:pPr>
              <w:keepNext w:val="0"/>
              <w:spacing w:before="0"/>
              <w:rPr>
                <w:rFonts w:cs="Arial"/>
                <w:bCs/>
                <w:color w:val="auto"/>
                <w:sz w:val="20"/>
              </w:rPr>
            </w:pPr>
            <w:r w:rsidRPr="00967C7D">
              <w:rPr>
                <w:rFonts w:cs="Arial"/>
                <w:bCs/>
                <w:color w:val="auto"/>
                <w:sz w:val="20"/>
              </w:rPr>
              <w:t>South Sheet</w:t>
            </w:r>
          </w:p>
        </w:tc>
      </w:tr>
      <w:tr w:rsidR="00967C7D" w:rsidRPr="00967C7D" w14:paraId="3863967D" w14:textId="77777777" w:rsidTr="00B5314A">
        <w:trPr>
          <w:trHeight w:val="284"/>
        </w:trPr>
        <w:tc>
          <w:tcPr>
            <w:tcW w:w="1280" w:type="dxa"/>
          </w:tcPr>
          <w:p w14:paraId="04FFD5F2" w14:textId="77777777" w:rsidR="00967C7D" w:rsidRPr="00967C7D" w:rsidRDefault="00967C7D" w:rsidP="00967C7D">
            <w:pPr>
              <w:keepNext w:val="0"/>
              <w:spacing w:before="0"/>
              <w:rPr>
                <w:rFonts w:cs="Arial"/>
                <w:bCs/>
                <w:color w:val="auto"/>
                <w:sz w:val="20"/>
              </w:rPr>
            </w:pPr>
            <w:r w:rsidRPr="00967C7D">
              <w:rPr>
                <w:rFonts w:cs="Arial"/>
                <w:bCs/>
                <w:color w:val="auto"/>
                <w:sz w:val="20"/>
              </w:rPr>
              <w:t>EV5/98</w:t>
            </w:r>
          </w:p>
        </w:tc>
        <w:tc>
          <w:tcPr>
            <w:tcW w:w="6230" w:type="dxa"/>
            <w:noWrap/>
          </w:tcPr>
          <w:p w14:paraId="65BF613B" w14:textId="77777777" w:rsidR="00967C7D" w:rsidRPr="00967C7D" w:rsidRDefault="00967C7D" w:rsidP="00967C7D">
            <w:pPr>
              <w:keepNext w:val="0"/>
              <w:spacing w:before="0"/>
              <w:rPr>
                <w:rFonts w:cs="Arial"/>
                <w:bCs/>
                <w:color w:val="auto"/>
                <w:sz w:val="20"/>
              </w:rPr>
            </w:pPr>
            <w:r w:rsidRPr="00967C7D">
              <w:rPr>
                <w:rFonts w:cs="Arial"/>
                <w:bCs/>
                <w:color w:val="auto"/>
                <w:sz w:val="20"/>
              </w:rPr>
              <w:t>Annesley Woods</w:t>
            </w:r>
          </w:p>
        </w:tc>
        <w:tc>
          <w:tcPr>
            <w:tcW w:w="1847" w:type="dxa"/>
            <w:noWrap/>
          </w:tcPr>
          <w:p w14:paraId="7A01F6BC" w14:textId="77777777" w:rsidR="00967C7D" w:rsidRPr="00967C7D" w:rsidRDefault="00967C7D" w:rsidP="00967C7D">
            <w:pPr>
              <w:keepNext w:val="0"/>
              <w:spacing w:before="0"/>
              <w:rPr>
                <w:rFonts w:cs="Arial"/>
                <w:bCs/>
                <w:color w:val="auto"/>
                <w:sz w:val="20"/>
              </w:rPr>
            </w:pPr>
            <w:r w:rsidRPr="00967C7D">
              <w:rPr>
                <w:rFonts w:cs="Arial"/>
                <w:bCs/>
                <w:color w:val="auto"/>
                <w:sz w:val="20"/>
              </w:rPr>
              <w:t>South Sheet</w:t>
            </w:r>
          </w:p>
        </w:tc>
      </w:tr>
      <w:tr w:rsidR="00F97A17" w:rsidRPr="00967C7D" w14:paraId="7D4020CD" w14:textId="77777777" w:rsidTr="00B5314A">
        <w:trPr>
          <w:trHeight w:val="284"/>
        </w:trPr>
        <w:tc>
          <w:tcPr>
            <w:tcW w:w="1280" w:type="dxa"/>
          </w:tcPr>
          <w:p w14:paraId="3576172D" w14:textId="6E184392" w:rsidR="00F97A17" w:rsidRPr="00967C7D" w:rsidRDefault="00F97A17" w:rsidP="00967C7D">
            <w:pPr>
              <w:keepNext w:val="0"/>
              <w:spacing w:before="0"/>
              <w:rPr>
                <w:rFonts w:cs="Arial"/>
                <w:bCs/>
                <w:color w:val="auto"/>
                <w:sz w:val="20"/>
              </w:rPr>
            </w:pPr>
            <w:r>
              <w:rPr>
                <w:rFonts w:cs="Arial"/>
                <w:bCs/>
                <w:color w:val="auto"/>
                <w:sz w:val="20"/>
              </w:rPr>
              <w:t>EV5/99</w:t>
            </w:r>
          </w:p>
        </w:tc>
        <w:tc>
          <w:tcPr>
            <w:tcW w:w="6230" w:type="dxa"/>
            <w:noWrap/>
          </w:tcPr>
          <w:p w14:paraId="0E63E601" w14:textId="20DF0401" w:rsidR="00F97A17" w:rsidRPr="00F97A17" w:rsidRDefault="00F97A17" w:rsidP="00967C7D">
            <w:pPr>
              <w:keepNext w:val="0"/>
              <w:spacing w:before="0"/>
              <w:rPr>
                <w:rFonts w:cs="Arial"/>
                <w:bCs/>
                <w:color w:val="auto"/>
                <w:sz w:val="20"/>
                <w:szCs w:val="20"/>
              </w:rPr>
            </w:pPr>
            <w:r w:rsidRPr="00F97A17">
              <w:rPr>
                <w:rFonts w:cs="Arial"/>
                <w:sz w:val="20"/>
                <w:szCs w:val="20"/>
              </w:rPr>
              <w:t>Patagonia Green</w:t>
            </w:r>
          </w:p>
        </w:tc>
        <w:tc>
          <w:tcPr>
            <w:tcW w:w="1847" w:type="dxa"/>
            <w:noWrap/>
          </w:tcPr>
          <w:p w14:paraId="297B60DF" w14:textId="60A79D3D" w:rsidR="00F97A17" w:rsidRPr="00967C7D" w:rsidRDefault="00F97A17" w:rsidP="00967C7D">
            <w:pPr>
              <w:keepNext w:val="0"/>
              <w:spacing w:before="0"/>
              <w:rPr>
                <w:rFonts w:cs="Arial"/>
                <w:bCs/>
                <w:color w:val="auto"/>
                <w:sz w:val="20"/>
              </w:rPr>
            </w:pPr>
            <w:r>
              <w:rPr>
                <w:rFonts w:cs="Arial"/>
                <w:bCs/>
                <w:color w:val="auto"/>
                <w:sz w:val="20"/>
              </w:rPr>
              <w:t>South Sheet</w:t>
            </w:r>
          </w:p>
        </w:tc>
      </w:tr>
      <w:tr w:rsidR="00967C7D" w:rsidRPr="00967C7D" w14:paraId="7B669563" w14:textId="77777777" w:rsidTr="00B5314A">
        <w:trPr>
          <w:trHeight w:val="284"/>
        </w:trPr>
        <w:tc>
          <w:tcPr>
            <w:tcW w:w="1280" w:type="dxa"/>
          </w:tcPr>
          <w:p w14:paraId="14C3D5E8" w14:textId="77777777" w:rsidR="00967C7D" w:rsidRPr="00967C7D" w:rsidRDefault="00967C7D" w:rsidP="00967C7D">
            <w:pPr>
              <w:keepNext w:val="0"/>
              <w:spacing w:before="0"/>
              <w:rPr>
                <w:rFonts w:cs="Arial"/>
                <w:bCs/>
                <w:color w:val="auto"/>
                <w:sz w:val="20"/>
              </w:rPr>
            </w:pPr>
            <w:r w:rsidRPr="00967C7D">
              <w:rPr>
                <w:rFonts w:cs="Arial"/>
                <w:bCs/>
                <w:color w:val="auto"/>
                <w:sz w:val="20"/>
              </w:rPr>
              <w:t>EV5/100</w:t>
            </w:r>
          </w:p>
        </w:tc>
        <w:tc>
          <w:tcPr>
            <w:tcW w:w="6230" w:type="dxa"/>
            <w:noWrap/>
          </w:tcPr>
          <w:p w14:paraId="37F1EA71" w14:textId="77777777" w:rsidR="00967C7D" w:rsidRPr="00967C7D" w:rsidRDefault="00967C7D" w:rsidP="00967C7D">
            <w:pPr>
              <w:keepNext w:val="0"/>
              <w:spacing w:before="0"/>
              <w:rPr>
                <w:rFonts w:cs="Arial"/>
                <w:bCs/>
                <w:color w:val="auto"/>
                <w:sz w:val="20"/>
              </w:rPr>
            </w:pPr>
            <w:r w:rsidRPr="00967C7D">
              <w:rPr>
                <w:rFonts w:cs="Arial"/>
                <w:bCs/>
                <w:color w:val="auto"/>
                <w:sz w:val="20"/>
              </w:rPr>
              <w:t>Acacia Avenue Recreation Ground</w:t>
            </w:r>
          </w:p>
        </w:tc>
        <w:tc>
          <w:tcPr>
            <w:tcW w:w="1847" w:type="dxa"/>
            <w:noWrap/>
          </w:tcPr>
          <w:p w14:paraId="56BBBDA0" w14:textId="77777777" w:rsidR="00967C7D" w:rsidRPr="00967C7D" w:rsidRDefault="00967C7D" w:rsidP="00967C7D">
            <w:pPr>
              <w:keepNext w:val="0"/>
              <w:spacing w:before="0"/>
              <w:rPr>
                <w:rFonts w:cs="Arial"/>
                <w:bCs/>
                <w:color w:val="auto"/>
                <w:sz w:val="20"/>
              </w:rPr>
            </w:pPr>
            <w:r w:rsidRPr="00967C7D">
              <w:rPr>
                <w:rFonts w:cs="Arial"/>
                <w:bCs/>
                <w:color w:val="auto"/>
                <w:sz w:val="20"/>
              </w:rPr>
              <w:t>South Sheet</w:t>
            </w:r>
          </w:p>
        </w:tc>
      </w:tr>
      <w:tr w:rsidR="00967C7D" w:rsidRPr="00967C7D" w14:paraId="4E79F7A4" w14:textId="77777777" w:rsidTr="00B5314A">
        <w:trPr>
          <w:trHeight w:val="284"/>
        </w:trPr>
        <w:tc>
          <w:tcPr>
            <w:tcW w:w="1280" w:type="dxa"/>
          </w:tcPr>
          <w:p w14:paraId="297DF73E" w14:textId="77777777" w:rsidR="00967C7D" w:rsidRPr="00967C7D" w:rsidRDefault="00967C7D" w:rsidP="00967C7D">
            <w:pPr>
              <w:keepNext w:val="0"/>
              <w:spacing w:before="0"/>
              <w:rPr>
                <w:rFonts w:cs="Arial"/>
                <w:bCs/>
                <w:color w:val="auto"/>
                <w:sz w:val="20"/>
              </w:rPr>
            </w:pPr>
            <w:r w:rsidRPr="00967C7D">
              <w:rPr>
                <w:rFonts w:cs="Arial"/>
                <w:bCs/>
                <w:color w:val="auto"/>
                <w:sz w:val="20"/>
              </w:rPr>
              <w:t>EV5/101</w:t>
            </w:r>
          </w:p>
        </w:tc>
        <w:tc>
          <w:tcPr>
            <w:tcW w:w="6230" w:type="dxa"/>
            <w:noWrap/>
          </w:tcPr>
          <w:p w14:paraId="6082DE29" w14:textId="77777777" w:rsidR="00967C7D" w:rsidRPr="00967C7D" w:rsidRDefault="00967C7D" w:rsidP="00967C7D">
            <w:pPr>
              <w:keepNext w:val="0"/>
              <w:spacing w:before="0"/>
              <w:rPr>
                <w:rFonts w:cs="Arial"/>
                <w:bCs/>
                <w:color w:val="auto"/>
                <w:sz w:val="20"/>
              </w:rPr>
            </w:pPr>
            <w:r w:rsidRPr="00967C7D">
              <w:rPr>
                <w:rFonts w:cs="Arial"/>
                <w:bCs/>
                <w:color w:val="auto"/>
                <w:sz w:val="20"/>
              </w:rPr>
              <w:t>Annesley Primary School Playing Field</w:t>
            </w:r>
          </w:p>
        </w:tc>
        <w:tc>
          <w:tcPr>
            <w:tcW w:w="1847" w:type="dxa"/>
            <w:noWrap/>
          </w:tcPr>
          <w:p w14:paraId="1791C687" w14:textId="77777777" w:rsidR="00967C7D" w:rsidRPr="00967C7D" w:rsidRDefault="00967C7D" w:rsidP="00967C7D">
            <w:pPr>
              <w:keepNext w:val="0"/>
              <w:spacing w:before="0"/>
              <w:rPr>
                <w:rFonts w:cs="Arial"/>
                <w:bCs/>
                <w:color w:val="auto"/>
                <w:sz w:val="20"/>
              </w:rPr>
            </w:pPr>
            <w:r w:rsidRPr="00967C7D">
              <w:rPr>
                <w:rFonts w:cs="Arial"/>
                <w:bCs/>
                <w:color w:val="auto"/>
                <w:sz w:val="20"/>
              </w:rPr>
              <w:t>South Sheet</w:t>
            </w:r>
          </w:p>
        </w:tc>
      </w:tr>
      <w:tr w:rsidR="00967C7D" w:rsidRPr="00967C7D" w14:paraId="641B6601" w14:textId="77777777" w:rsidTr="00B5314A">
        <w:trPr>
          <w:trHeight w:val="284"/>
        </w:trPr>
        <w:tc>
          <w:tcPr>
            <w:tcW w:w="1280" w:type="dxa"/>
          </w:tcPr>
          <w:p w14:paraId="381E3D2C" w14:textId="77777777" w:rsidR="00967C7D" w:rsidRPr="00967C7D" w:rsidRDefault="00967C7D" w:rsidP="00967C7D">
            <w:pPr>
              <w:keepNext w:val="0"/>
              <w:spacing w:before="0"/>
              <w:rPr>
                <w:rFonts w:cs="Arial"/>
                <w:bCs/>
                <w:color w:val="auto"/>
                <w:sz w:val="20"/>
              </w:rPr>
            </w:pPr>
            <w:r w:rsidRPr="00967C7D">
              <w:rPr>
                <w:rFonts w:cs="Arial"/>
                <w:bCs/>
                <w:color w:val="auto"/>
                <w:sz w:val="20"/>
              </w:rPr>
              <w:t>EV5/102</w:t>
            </w:r>
          </w:p>
        </w:tc>
        <w:tc>
          <w:tcPr>
            <w:tcW w:w="6230" w:type="dxa"/>
            <w:noWrap/>
          </w:tcPr>
          <w:p w14:paraId="7B1D9EB7" w14:textId="77777777" w:rsidR="00967C7D" w:rsidRPr="00967C7D" w:rsidRDefault="00967C7D" w:rsidP="00967C7D">
            <w:pPr>
              <w:keepNext w:val="0"/>
              <w:spacing w:before="0"/>
              <w:rPr>
                <w:rFonts w:cs="Arial"/>
                <w:bCs/>
                <w:color w:val="auto"/>
                <w:sz w:val="20"/>
              </w:rPr>
            </w:pPr>
            <w:r w:rsidRPr="00967C7D">
              <w:rPr>
                <w:rFonts w:cs="Arial"/>
                <w:bCs/>
                <w:color w:val="auto"/>
                <w:sz w:val="20"/>
              </w:rPr>
              <w:t>Nuncargate Recreation Ground</w:t>
            </w:r>
          </w:p>
        </w:tc>
        <w:tc>
          <w:tcPr>
            <w:tcW w:w="1847" w:type="dxa"/>
            <w:noWrap/>
          </w:tcPr>
          <w:p w14:paraId="3A5EDB9A" w14:textId="77777777" w:rsidR="00967C7D" w:rsidRPr="00967C7D" w:rsidRDefault="00967C7D" w:rsidP="00967C7D">
            <w:pPr>
              <w:keepNext w:val="0"/>
              <w:spacing w:before="0"/>
              <w:rPr>
                <w:rFonts w:cs="Arial"/>
                <w:bCs/>
                <w:color w:val="auto"/>
                <w:sz w:val="20"/>
              </w:rPr>
            </w:pPr>
            <w:r w:rsidRPr="00967C7D">
              <w:rPr>
                <w:rFonts w:cs="Arial"/>
                <w:bCs/>
                <w:color w:val="auto"/>
                <w:sz w:val="20"/>
              </w:rPr>
              <w:t>South Sheet</w:t>
            </w:r>
          </w:p>
        </w:tc>
      </w:tr>
      <w:tr w:rsidR="00967C7D" w:rsidRPr="00967C7D" w14:paraId="609A4D9E" w14:textId="77777777" w:rsidTr="00B5314A">
        <w:trPr>
          <w:trHeight w:val="284"/>
        </w:trPr>
        <w:tc>
          <w:tcPr>
            <w:tcW w:w="1280" w:type="dxa"/>
          </w:tcPr>
          <w:p w14:paraId="0A252403" w14:textId="77777777" w:rsidR="00967C7D" w:rsidRPr="00967C7D" w:rsidRDefault="00967C7D" w:rsidP="00967C7D">
            <w:pPr>
              <w:keepNext w:val="0"/>
              <w:spacing w:before="0"/>
              <w:rPr>
                <w:rFonts w:cs="Arial"/>
                <w:bCs/>
                <w:color w:val="auto"/>
                <w:sz w:val="20"/>
              </w:rPr>
            </w:pPr>
            <w:r w:rsidRPr="00967C7D">
              <w:rPr>
                <w:rFonts w:cs="Arial"/>
                <w:bCs/>
                <w:color w:val="auto"/>
                <w:sz w:val="20"/>
              </w:rPr>
              <w:t>EV5/103</w:t>
            </w:r>
          </w:p>
        </w:tc>
        <w:tc>
          <w:tcPr>
            <w:tcW w:w="6230" w:type="dxa"/>
            <w:noWrap/>
          </w:tcPr>
          <w:p w14:paraId="4DE32CEE" w14:textId="77777777" w:rsidR="00967C7D" w:rsidRPr="00967C7D" w:rsidRDefault="00967C7D" w:rsidP="00967C7D">
            <w:pPr>
              <w:keepNext w:val="0"/>
              <w:spacing w:before="0"/>
              <w:rPr>
                <w:rFonts w:cs="Arial"/>
                <w:bCs/>
                <w:color w:val="auto"/>
                <w:sz w:val="20"/>
              </w:rPr>
            </w:pPr>
            <w:r w:rsidRPr="00967C7D">
              <w:rPr>
                <w:rFonts w:cs="Arial"/>
                <w:bCs/>
                <w:color w:val="auto"/>
                <w:sz w:val="20"/>
              </w:rPr>
              <w:t>Nuncargate Road Cricket Field</w:t>
            </w:r>
          </w:p>
        </w:tc>
        <w:tc>
          <w:tcPr>
            <w:tcW w:w="1847" w:type="dxa"/>
            <w:noWrap/>
          </w:tcPr>
          <w:p w14:paraId="1F3F75E3" w14:textId="77777777" w:rsidR="00967C7D" w:rsidRPr="00967C7D" w:rsidRDefault="00967C7D" w:rsidP="00967C7D">
            <w:pPr>
              <w:keepNext w:val="0"/>
              <w:spacing w:before="0"/>
              <w:rPr>
                <w:rFonts w:cs="Arial"/>
                <w:bCs/>
                <w:color w:val="auto"/>
                <w:sz w:val="20"/>
              </w:rPr>
            </w:pPr>
            <w:r w:rsidRPr="00967C7D">
              <w:rPr>
                <w:rFonts w:cs="Arial"/>
                <w:bCs/>
                <w:color w:val="auto"/>
                <w:sz w:val="20"/>
              </w:rPr>
              <w:t>South Sheet</w:t>
            </w:r>
          </w:p>
        </w:tc>
      </w:tr>
      <w:tr w:rsidR="00967C7D" w:rsidRPr="00967C7D" w14:paraId="5F2DF44B" w14:textId="77777777" w:rsidTr="00B5314A">
        <w:trPr>
          <w:trHeight w:val="284"/>
        </w:trPr>
        <w:tc>
          <w:tcPr>
            <w:tcW w:w="1280" w:type="dxa"/>
          </w:tcPr>
          <w:p w14:paraId="1AA0A388" w14:textId="77777777" w:rsidR="00967C7D" w:rsidRPr="00967C7D" w:rsidRDefault="00967C7D" w:rsidP="00967C7D">
            <w:pPr>
              <w:keepNext w:val="0"/>
              <w:spacing w:before="0"/>
              <w:rPr>
                <w:rFonts w:cs="Arial"/>
                <w:bCs/>
                <w:color w:val="auto"/>
                <w:sz w:val="20"/>
              </w:rPr>
            </w:pPr>
            <w:r w:rsidRPr="00967C7D">
              <w:rPr>
                <w:rFonts w:cs="Arial"/>
                <w:bCs/>
                <w:color w:val="auto"/>
                <w:sz w:val="20"/>
              </w:rPr>
              <w:t>EV5/104</w:t>
            </w:r>
          </w:p>
        </w:tc>
        <w:tc>
          <w:tcPr>
            <w:tcW w:w="6230" w:type="dxa"/>
            <w:noWrap/>
          </w:tcPr>
          <w:p w14:paraId="1FAE58EC" w14:textId="77777777" w:rsidR="00967C7D" w:rsidRPr="00967C7D" w:rsidRDefault="00967C7D" w:rsidP="00967C7D">
            <w:pPr>
              <w:keepNext w:val="0"/>
              <w:spacing w:before="0"/>
              <w:rPr>
                <w:rFonts w:cs="Arial"/>
                <w:bCs/>
                <w:color w:val="auto"/>
                <w:sz w:val="20"/>
              </w:rPr>
            </w:pPr>
            <w:r w:rsidRPr="00967C7D">
              <w:rPr>
                <w:rFonts w:cs="Arial"/>
                <w:bCs/>
                <w:color w:val="auto"/>
                <w:sz w:val="20"/>
              </w:rPr>
              <w:t>Annesley Cutting</w:t>
            </w:r>
          </w:p>
        </w:tc>
        <w:tc>
          <w:tcPr>
            <w:tcW w:w="1847" w:type="dxa"/>
            <w:noWrap/>
          </w:tcPr>
          <w:p w14:paraId="7E961844" w14:textId="77777777" w:rsidR="00967C7D" w:rsidRPr="00967C7D" w:rsidRDefault="00967C7D" w:rsidP="00967C7D">
            <w:pPr>
              <w:keepNext w:val="0"/>
              <w:spacing w:before="0"/>
              <w:rPr>
                <w:rFonts w:cs="Arial"/>
                <w:bCs/>
                <w:color w:val="auto"/>
                <w:sz w:val="20"/>
              </w:rPr>
            </w:pPr>
            <w:r w:rsidRPr="00967C7D">
              <w:rPr>
                <w:rFonts w:cs="Arial"/>
                <w:bCs/>
                <w:color w:val="auto"/>
                <w:sz w:val="20"/>
              </w:rPr>
              <w:t>South Sheet</w:t>
            </w:r>
          </w:p>
        </w:tc>
      </w:tr>
      <w:tr w:rsidR="00967C7D" w:rsidRPr="00967C7D" w14:paraId="115107DD" w14:textId="77777777" w:rsidTr="00B5314A">
        <w:trPr>
          <w:trHeight w:val="284"/>
        </w:trPr>
        <w:tc>
          <w:tcPr>
            <w:tcW w:w="1280" w:type="dxa"/>
          </w:tcPr>
          <w:p w14:paraId="0101CA60" w14:textId="77777777" w:rsidR="00967C7D" w:rsidRPr="00967C7D" w:rsidRDefault="00967C7D" w:rsidP="00967C7D">
            <w:pPr>
              <w:keepNext w:val="0"/>
              <w:spacing w:before="0"/>
              <w:rPr>
                <w:rFonts w:cs="Arial"/>
                <w:bCs/>
                <w:color w:val="auto"/>
                <w:sz w:val="20"/>
              </w:rPr>
            </w:pPr>
            <w:r w:rsidRPr="00967C7D">
              <w:rPr>
                <w:rFonts w:cs="Arial"/>
                <w:bCs/>
                <w:color w:val="auto"/>
                <w:sz w:val="20"/>
              </w:rPr>
              <w:t>EV5/105</w:t>
            </w:r>
          </w:p>
        </w:tc>
        <w:tc>
          <w:tcPr>
            <w:tcW w:w="6230" w:type="dxa"/>
            <w:noWrap/>
          </w:tcPr>
          <w:p w14:paraId="3CBD7248" w14:textId="77777777" w:rsidR="00967C7D" w:rsidRPr="00967C7D" w:rsidRDefault="00967C7D" w:rsidP="00967C7D">
            <w:pPr>
              <w:keepNext w:val="0"/>
              <w:spacing w:before="0"/>
              <w:rPr>
                <w:rFonts w:cs="Arial"/>
                <w:bCs/>
                <w:color w:val="auto"/>
                <w:sz w:val="20"/>
              </w:rPr>
            </w:pPr>
            <w:r w:rsidRPr="00967C7D">
              <w:rPr>
                <w:rFonts w:cs="Arial"/>
                <w:bCs/>
                <w:color w:val="auto"/>
                <w:sz w:val="20"/>
              </w:rPr>
              <w:t>New Annesley Green, Byron Road</w:t>
            </w:r>
          </w:p>
        </w:tc>
        <w:tc>
          <w:tcPr>
            <w:tcW w:w="1847" w:type="dxa"/>
            <w:noWrap/>
          </w:tcPr>
          <w:p w14:paraId="4AD610D8" w14:textId="77777777" w:rsidR="00967C7D" w:rsidRPr="00967C7D" w:rsidRDefault="00967C7D" w:rsidP="00967C7D">
            <w:pPr>
              <w:keepNext w:val="0"/>
              <w:spacing w:before="0"/>
              <w:rPr>
                <w:rFonts w:cs="Arial"/>
                <w:bCs/>
                <w:color w:val="auto"/>
                <w:sz w:val="20"/>
              </w:rPr>
            </w:pPr>
            <w:r w:rsidRPr="00967C7D">
              <w:rPr>
                <w:rFonts w:cs="Arial"/>
                <w:bCs/>
                <w:color w:val="auto"/>
                <w:sz w:val="20"/>
              </w:rPr>
              <w:t>South Sheet</w:t>
            </w:r>
          </w:p>
        </w:tc>
      </w:tr>
      <w:tr w:rsidR="00967C7D" w:rsidRPr="00967C7D" w14:paraId="4F71B3DA" w14:textId="77777777" w:rsidTr="00B5314A">
        <w:trPr>
          <w:trHeight w:val="284"/>
        </w:trPr>
        <w:tc>
          <w:tcPr>
            <w:tcW w:w="1280" w:type="dxa"/>
          </w:tcPr>
          <w:p w14:paraId="6CA75125" w14:textId="77777777" w:rsidR="00967C7D" w:rsidRPr="00967C7D" w:rsidRDefault="00967C7D" w:rsidP="00967C7D">
            <w:pPr>
              <w:keepNext w:val="0"/>
              <w:spacing w:before="0"/>
              <w:rPr>
                <w:rFonts w:cs="Arial"/>
                <w:bCs/>
                <w:color w:val="auto"/>
                <w:sz w:val="20"/>
              </w:rPr>
            </w:pPr>
            <w:r w:rsidRPr="00967C7D">
              <w:rPr>
                <w:rFonts w:cs="Arial"/>
                <w:bCs/>
                <w:color w:val="auto"/>
                <w:sz w:val="20"/>
              </w:rPr>
              <w:t>EV5/106</w:t>
            </w:r>
          </w:p>
        </w:tc>
        <w:tc>
          <w:tcPr>
            <w:tcW w:w="6230" w:type="dxa"/>
            <w:noWrap/>
          </w:tcPr>
          <w:p w14:paraId="69E0EA8E" w14:textId="77777777" w:rsidR="00967C7D" w:rsidRPr="00967C7D" w:rsidRDefault="00967C7D" w:rsidP="00967C7D">
            <w:pPr>
              <w:keepNext w:val="0"/>
              <w:spacing w:before="0"/>
              <w:rPr>
                <w:rFonts w:cs="Arial"/>
                <w:bCs/>
                <w:color w:val="auto"/>
                <w:sz w:val="20"/>
              </w:rPr>
            </w:pPr>
            <w:r w:rsidRPr="00967C7D">
              <w:rPr>
                <w:rFonts w:cs="Arial"/>
                <w:bCs/>
                <w:color w:val="auto"/>
                <w:sz w:val="20"/>
              </w:rPr>
              <w:t>New Annesley Recreation Ground</w:t>
            </w:r>
          </w:p>
        </w:tc>
        <w:tc>
          <w:tcPr>
            <w:tcW w:w="1847" w:type="dxa"/>
            <w:noWrap/>
          </w:tcPr>
          <w:p w14:paraId="74933C00" w14:textId="77777777" w:rsidR="00967C7D" w:rsidRPr="00967C7D" w:rsidRDefault="00967C7D" w:rsidP="00967C7D">
            <w:pPr>
              <w:keepNext w:val="0"/>
              <w:spacing w:before="0"/>
              <w:rPr>
                <w:rFonts w:cs="Arial"/>
                <w:bCs/>
                <w:color w:val="auto"/>
                <w:sz w:val="20"/>
              </w:rPr>
            </w:pPr>
            <w:r w:rsidRPr="00967C7D">
              <w:rPr>
                <w:rFonts w:cs="Arial"/>
                <w:bCs/>
                <w:color w:val="auto"/>
                <w:sz w:val="20"/>
              </w:rPr>
              <w:t>South Sheet</w:t>
            </w:r>
          </w:p>
        </w:tc>
      </w:tr>
      <w:tr w:rsidR="00967C7D" w:rsidRPr="00967C7D" w14:paraId="624C26A2" w14:textId="77777777" w:rsidTr="00B5314A">
        <w:trPr>
          <w:trHeight w:val="284"/>
        </w:trPr>
        <w:tc>
          <w:tcPr>
            <w:tcW w:w="1280" w:type="dxa"/>
          </w:tcPr>
          <w:p w14:paraId="580D82BE" w14:textId="77777777" w:rsidR="00967C7D" w:rsidRPr="00967C7D" w:rsidRDefault="00967C7D" w:rsidP="00967C7D">
            <w:pPr>
              <w:keepNext w:val="0"/>
              <w:spacing w:before="0"/>
              <w:rPr>
                <w:rFonts w:cs="Arial"/>
                <w:bCs/>
                <w:color w:val="auto"/>
                <w:sz w:val="20"/>
              </w:rPr>
            </w:pPr>
            <w:r w:rsidRPr="00967C7D">
              <w:rPr>
                <w:rFonts w:cs="Arial"/>
                <w:bCs/>
                <w:color w:val="auto"/>
                <w:sz w:val="20"/>
              </w:rPr>
              <w:t>EV5/107</w:t>
            </w:r>
          </w:p>
        </w:tc>
        <w:tc>
          <w:tcPr>
            <w:tcW w:w="6230" w:type="dxa"/>
            <w:noWrap/>
          </w:tcPr>
          <w:p w14:paraId="195D96FB" w14:textId="77777777" w:rsidR="00967C7D" w:rsidRPr="00967C7D" w:rsidRDefault="00967C7D" w:rsidP="00967C7D">
            <w:pPr>
              <w:keepNext w:val="0"/>
              <w:spacing w:before="0"/>
              <w:rPr>
                <w:rFonts w:cs="Arial"/>
                <w:bCs/>
                <w:color w:val="auto"/>
                <w:sz w:val="20"/>
              </w:rPr>
            </w:pPr>
            <w:r w:rsidRPr="00967C7D">
              <w:rPr>
                <w:rFonts w:cs="Arial"/>
                <w:bCs/>
                <w:color w:val="auto"/>
                <w:sz w:val="20"/>
              </w:rPr>
              <w:t>Annesley Parish Millennium Garden</w:t>
            </w:r>
          </w:p>
        </w:tc>
        <w:tc>
          <w:tcPr>
            <w:tcW w:w="1847" w:type="dxa"/>
            <w:noWrap/>
          </w:tcPr>
          <w:p w14:paraId="3675DA80" w14:textId="77777777" w:rsidR="00967C7D" w:rsidRPr="00967C7D" w:rsidRDefault="00967C7D" w:rsidP="00967C7D">
            <w:pPr>
              <w:keepNext w:val="0"/>
              <w:spacing w:before="0"/>
              <w:rPr>
                <w:rFonts w:cs="Arial"/>
                <w:bCs/>
                <w:color w:val="auto"/>
                <w:sz w:val="20"/>
              </w:rPr>
            </w:pPr>
            <w:r w:rsidRPr="00967C7D">
              <w:rPr>
                <w:rFonts w:cs="Arial"/>
                <w:bCs/>
                <w:color w:val="auto"/>
                <w:sz w:val="20"/>
              </w:rPr>
              <w:t>South Sheet</w:t>
            </w:r>
          </w:p>
        </w:tc>
      </w:tr>
      <w:tr w:rsidR="00967C7D" w:rsidRPr="00967C7D" w14:paraId="5B2BAEAE" w14:textId="77777777" w:rsidTr="00B5314A">
        <w:trPr>
          <w:trHeight w:val="284"/>
        </w:trPr>
        <w:tc>
          <w:tcPr>
            <w:tcW w:w="1280" w:type="dxa"/>
          </w:tcPr>
          <w:p w14:paraId="1E72EF4B" w14:textId="77777777" w:rsidR="00967C7D" w:rsidRPr="00967C7D" w:rsidRDefault="00967C7D" w:rsidP="00967C7D">
            <w:pPr>
              <w:keepNext w:val="0"/>
              <w:spacing w:before="0"/>
              <w:rPr>
                <w:rFonts w:cs="Arial"/>
                <w:bCs/>
                <w:color w:val="auto"/>
                <w:sz w:val="20"/>
              </w:rPr>
            </w:pPr>
            <w:r w:rsidRPr="00967C7D">
              <w:rPr>
                <w:rFonts w:cs="Arial"/>
                <w:bCs/>
                <w:color w:val="auto"/>
                <w:sz w:val="20"/>
              </w:rPr>
              <w:t>EV5/108</w:t>
            </w:r>
          </w:p>
        </w:tc>
        <w:tc>
          <w:tcPr>
            <w:tcW w:w="6230" w:type="dxa"/>
            <w:noWrap/>
          </w:tcPr>
          <w:p w14:paraId="3A52CCF0" w14:textId="77777777" w:rsidR="00967C7D" w:rsidRPr="00967C7D" w:rsidRDefault="00967C7D" w:rsidP="00967C7D">
            <w:pPr>
              <w:keepNext w:val="0"/>
              <w:spacing w:before="0"/>
              <w:rPr>
                <w:rFonts w:cs="Arial"/>
                <w:bCs/>
                <w:color w:val="auto"/>
                <w:sz w:val="20"/>
              </w:rPr>
            </w:pPr>
            <w:r w:rsidRPr="00967C7D">
              <w:rPr>
                <w:rFonts w:cs="Arial"/>
                <w:bCs/>
                <w:color w:val="auto"/>
                <w:sz w:val="20"/>
              </w:rPr>
              <w:t>Kirkby Woodhouse Cemetery</w:t>
            </w:r>
          </w:p>
        </w:tc>
        <w:tc>
          <w:tcPr>
            <w:tcW w:w="1847" w:type="dxa"/>
            <w:noWrap/>
          </w:tcPr>
          <w:p w14:paraId="158CF1FA" w14:textId="77777777" w:rsidR="00967C7D" w:rsidRPr="00967C7D" w:rsidRDefault="00967C7D" w:rsidP="00967C7D">
            <w:pPr>
              <w:keepNext w:val="0"/>
              <w:spacing w:before="0"/>
              <w:rPr>
                <w:rFonts w:cs="Arial"/>
                <w:bCs/>
                <w:color w:val="auto"/>
                <w:sz w:val="20"/>
              </w:rPr>
            </w:pPr>
            <w:r w:rsidRPr="00967C7D">
              <w:rPr>
                <w:rFonts w:cs="Arial"/>
                <w:bCs/>
                <w:color w:val="auto"/>
                <w:sz w:val="20"/>
              </w:rPr>
              <w:t>South Sheet</w:t>
            </w:r>
          </w:p>
        </w:tc>
      </w:tr>
      <w:tr w:rsidR="00967C7D" w:rsidRPr="00967C7D" w14:paraId="5B03C84F" w14:textId="77777777" w:rsidTr="00B5314A">
        <w:trPr>
          <w:trHeight w:val="284"/>
        </w:trPr>
        <w:tc>
          <w:tcPr>
            <w:tcW w:w="1280" w:type="dxa"/>
          </w:tcPr>
          <w:p w14:paraId="35D91F28" w14:textId="77777777" w:rsidR="00967C7D" w:rsidRPr="00967C7D" w:rsidRDefault="00967C7D" w:rsidP="00967C7D">
            <w:pPr>
              <w:keepNext w:val="0"/>
              <w:spacing w:before="0"/>
              <w:rPr>
                <w:rFonts w:cs="Arial"/>
                <w:bCs/>
                <w:color w:val="auto"/>
                <w:sz w:val="20"/>
              </w:rPr>
            </w:pPr>
            <w:r w:rsidRPr="00967C7D">
              <w:rPr>
                <w:rFonts w:cs="Arial"/>
                <w:bCs/>
                <w:color w:val="auto"/>
                <w:sz w:val="20"/>
              </w:rPr>
              <w:t>EV5/109</w:t>
            </w:r>
          </w:p>
        </w:tc>
        <w:tc>
          <w:tcPr>
            <w:tcW w:w="6230" w:type="dxa"/>
            <w:noWrap/>
          </w:tcPr>
          <w:p w14:paraId="658D021E" w14:textId="77777777" w:rsidR="00967C7D" w:rsidRPr="00967C7D" w:rsidRDefault="00967C7D" w:rsidP="00967C7D">
            <w:pPr>
              <w:keepNext w:val="0"/>
              <w:spacing w:before="0"/>
              <w:rPr>
                <w:rFonts w:cs="Arial"/>
                <w:bCs/>
                <w:color w:val="auto"/>
                <w:sz w:val="20"/>
              </w:rPr>
            </w:pPr>
            <w:r w:rsidRPr="00967C7D">
              <w:rPr>
                <w:rFonts w:cs="Arial"/>
                <w:bCs/>
                <w:color w:val="auto"/>
                <w:sz w:val="20"/>
              </w:rPr>
              <w:t>Skegby Road Recreation Ground</w:t>
            </w:r>
          </w:p>
        </w:tc>
        <w:tc>
          <w:tcPr>
            <w:tcW w:w="1847" w:type="dxa"/>
            <w:noWrap/>
          </w:tcPr>
          <w:p w14:paraId="6D9728C4" w14:textId="77777777" w:rsidR="00967C7D" w:rsidRPr="00967C7D" w:rsidRDefault="00967C7D" w:rsidP="00967C7D">
            <w:pPr>
              <w:keepNext w:val="0"/>
              <w:spacing w:before="0"/>
              <w:rPr>
                <w:rFonts w:cs="Arial"/>
                <w:bCs/>
                <w:color w:val="auto"/>
                <w:sz w:val="20"/>
              </w:rPr>
            </w:pPr>
            <w:r w:rsidRPr="00967C7D">
              <w:rPr>
                <w:rFonts w:cs="Arial"/>
                <w:bCs/>
                <w:color w:val="auto"/>
                <w:sz w:val="20"/>
              </w:rPr>
              <w:t>South Sheet</w:t>
            </w:r>
          </w:p>
        </w:tc>
      </w:tr>
      <w:tr w:rsidR="00967C7D" w:rsidRPr="00967C7D" w14:paraId="22E1F079" w14:textId="77777777" w:rsidTr="00B5314A">
        <w:trPr>
          <w:trHeight w:val="284"/>
        </w:trPr>
        <w:tc>
          <w:tcPr>
            <w:tcW w:w="1280" w:type="dxa"/>
          </w:tcPr>
          <w:p w14:paraId="3B286820" w14:textId="77777777" w:rsidR="00967C7D" w:rsidRPr="00967C7D" w:rsidRDefault="00967C7D" w:rsidP="00967C7D">
            <w:pPr>
              <w:keepNext w:val="0"/>
              <w:spacing w:before="0"/>
              <w:rPr>
                <w:rFonts w:cs="Arial"/>
                <w:bCs/>
                <w:color w:val="auto"/>
                <w:sz w:val="20"/>
              </w:rPr>
            </w:pPr>
            <w:r w:rsidRPr="00967C7D">
              <w:rPr>
                <w:rFonts w:cs="Arial"/>
                <w:bCs/>
                <w:color w:val="auto"/>
                <w:sz w:val="20"/>
              </w:rPr>
              <w:t>EV5/110</w:t>
            </w:r>
          </w:p>
        </w:tc>
        <w:tc>
          <w:tcPr>
            <w:tcW w:w="6230" w:type="dxa"/>
            <w:noWrap/>
          </w:tcPr>
          <w:p w14:paraId="182F5CE8" w14:textId="77777777" w:rsidR="00967C7D" w:rsidRPr="00967C7D" w:rsidRDefault="00967C7D" w:rsidP="00967C7D">
            <w:pPr>
              <w:keepNext w:val="0"/>
              <w:spacing w:before="0"/>
              <w:rPr>
                <w:rFonts w:cs="Arial"/>
                <w:bCs/>
                <w:color w:val="auto"/>
                <w:sz w:val="20"/>
              </w:rPr>
            </w:pPr>
            <w:r w:rsidRPr="00967C7D">
              <w:rPr>
                <w:rFonts w:cs="Arial"/>
                <w:bCs/>
                <w:color w:val="auto"/>
                <w:sz w:val="20"/>
              </w:rPr>
              <w:t>Kirkby Woodhouse Playing Field</w:t>
            </w:r>
          </w:p>
        </w:tc>
        <w:tc>
          <w:tcPr>
            <w:tcW w:w="1847" w:type="dxa"/>
            <w:noWrap/>
          </w:tcPr>
          <w:p w14:paraId="6C0BFC7B" w14:textId="77777777" w:rsidR="00967C7D" w:rsidRPr="00967C7D" w:rsidRDefault="00967C7D" w:rsidP="00967C7D">
            <w:pPr>
              <w:keepNext w:val="0"/>
              <w:spacing w:before="0"/>
              <w:rPr>
                <w:rFonts w:cs="Arial"/>
                <w:bCs/>
                <w:color w:val="auto"/>
                <w:sz w:val="20"/>
              </w:rPr>
            </w:pPr>
            <w:r w:rsidRPr="00967C7D">
              <w:rPr>
                <w:rFonts w:cs="Arial"/>
                <w:bCs/>
                <w:color w:val="auto"/>
                <w:sz w:val="20"/>
              </w:rPr>
              <w:t>South Sheet</w:t>
            </w:r>
          </w:p>
        </w:tc>
      </w:tr>
      <w:tr w:rsidR="00967C7D" w:rsidRPr="00967C7D" w14:paraId="034E86BC" w14:textId="77777777" w:rsidTr="00B5314A">
        <w:trPr>
          <w:trHeight w:val="284"/>
        </w:trPr>
        <w:tc>
          <w:tcPr>
            <w:tcW w:w="1280" w:type="dxa"/>
          </w:tcPr>
          <w:p w14:paraId="50D31A1D" w14:textId="77777777" w:rsidR="00967C7D" w:rsidRPr="00967C7D" w:rsidRDefault="00967C7D" w:rsidP="00967C7D">
            <w:pPr>
              <w:keepNext w:val="0"/>
              <w:spacing w:before="0"/>
              <w:rPr>
                <w:rFonts w:cs="Arial"/>
                <w:bCs/>
                <w:color w:val="auto"/>
                <w:sz w:val="20"/>
              </w:rPr>
            </w:pPr>
            <w:r w:rsidRPr="00967C7D">
              <w:rPr>
                <w:rFonts w:cs="Arial"/>
                <w:bCs/>
                <w:color w:val="auto"/>
                <w:sz w:val="20"/>
              </w:rPr>
              <w:t>EV5/111</w:t>
            </w:r>
          </w:p>
        </w:tc>
        <w:tc>
          <w:tcPr>
            <w:tcW w:w="6230" w:type="dxa"/>
            <w:noWrap/>
          </w:tcPr>
          <w:p w14:paraId="4D9DA14D" w14:textId="77777777" w:rsidR="00967C7D" w:rsidRPr="00967C7D" w:rsidRDefault="00967C7D" w:rsidP="00967C7D">
            <w:pPr>
              <w:keepNext w:val="0"/>
              <w:spacing w:before="0"/>
              <w:rPr>
                <w:rFonts w:cs="Arial"/>
                <w:bCs/>
                <w:color w:val="auto"/>
                <w:sz w:val="20"/>
              </w:rPr>
            </w:pPr>
            <w:proofErr w:type="spellStart"/>
            <w:r w:rsidRPr="00967C7D">
              <w:rPr>
                <w:rFonts w:cs="Arial"/>
                <w:bCs/>
                <w:color w:val="auto"/>
                <w:sz w:val="20"/>
              </w:rPr>
              <w:t>Broadoak</w:t>
            </w:r>
            <w:proofErr w:type="spellEnd"/>
            <w:r w:rsidRPr="00967C7D">
              <w:rPr>
                <w:rFonts w:cs="Arial"/>
                <w:bCs/>
                <w:color w:val="auto"/>
                <w:sz w:val="20"/>
              </w:rPr>
              <w:t xml:space="preserve"> Park</w:t>
            </w:r>
          </w:p>
        </w:tc>
        <w:tc>
          <w:tcPr>
            <w:tcW w:w="1847" w:type="dxa"/>
            <w:noWrap/>
          </w:tcPr>
          <w:p w14:paraId="3341EDDA" w14:textId="77777777" w:rsidR="00967C7D" w:rsidRPr="00967C7D" w:rsidRDefault="00967C7D" w:rsidP="00967C7D">
            <w:pPr>
              <w:keepNext w:val="0"/>
              <w:spacing w:before="0"/>
              <w:rPr>
                <w:rFonts w:cs="Arial"/>
                <w:bCs/>
                <w:color w:val="auto"/>
                <w:sz w:val="20"/>
              </w:rPr>
            </w:pPr>
            <w:r w:rsidRPr="00967C7D">
              <w:rPr>
                <w:rFonts w:cs="Arial"/>
                <w:bCs/>
                <w:color w:val="auto"/>
                <w:sz w:val="20"/>
              </w:rPr>
              <w:t>South Sheet</w:t>
            </w:r>
          </w:p>
        </w:tc>
      </w:tr>
      <w:tr w:rsidR="00967C7D" w:rsidRPr="00967C7D" w14:paraId="08C8A776" w14:textId="77777777" w:rsidTr="00B5314A">
        <w:trPr>
          <w:trHeight w:val="284"/>
        </w:trPr>
        <w:tc>
          <w:tcPr>
            <w:tcW w:w="1280" w:type="dxa"/>
          </w:tcPr>
          <w:p w14:paraId="76939929" w14:textId="77777777" w:rsidR="00967C7D" w:rsidRPr="00967C7D" w:rsidRDefault="00967C7D" w:rsidP="00967C7D">
            <w:pPr>
              <w:keepNext w:val="0"/>
              <w:spacing w:before="0"/>
              <w:rPr>
                <w:rFonts w:cs="Arial"/>
                <w:bCs/>
                <w:color w:val="auto"/>
                <w:sz w:val="20"/>
              </w:rPr>
            </w:pPr>
            <w:r w:rsidRPr="00967C7D">
              <w:rPr>
                <w:rFonts w:cs="Arial"/>
                <w:bCs/>
                <w:color w:val="auto"/>
                <w:sz w:val="20"/>
              </w:rPr>
              <w:t>EV5/112</w:t>
            </w:r>
          </w:p>
        </w:tc>
        <w:tc>
          <w:tcPr>
            <w:tcW w:w="6230" w:type="dxa"/>
            <w:noWrap/>
          </w:tcPr>
          <w:p w14:paraId="1767A2F3" w14:textId="77777777" w:rsidR="00967C7D" w:rsidRPr="00967C7D" w:rsidRDefault="00967C7D" w:rsidP="00967C7D">
            <w:pPr>
              <w:keepNext w:val="0"/>
              <w:spacing w:before="0"/>
              <w:rPr>
                <w:rFonts w:cs="Arial"/>
                <w:bCs/>
                <w:color w:val="auto"/>
                <w:sz w:val="20"/>
              </w:rPr>
            </w:pPr>
            <w:r w:rsidRPr="00967C7D">
              <w:rPr>
                <w:rFonts w:cs="Arial"/>
                <w:bCs/>
                <w:color w:val="auto"/>
                <w:sz w:val="20"/>
              </w:rPr>
              <w:t>Park Forest</w:t>
            </w:r>
          </w:p>
        </w:tc>
        <w:tc>
          <w:tcPr>
            <w:tcW w:w="1847" w:type="dxa"/>
            <w:noWrap/>
          </w:tcPr>
          <w:p w14:paraId="7DE301CA" w14:textId="77777777" w:rsidR="00967C7D" w:rsidRPr="00967C7D" w:rsidRDefault="00967C7D" w:rsidP="00967C7D">
            <w:pPr>
              <w:keepNext w:val="0"/>
              <w:spacing w:before="0"/>
              <w:rPr>
                <w:rFonts w:cs="Arial"/>
                <w:bCs/>
                <w:color w:val="auto"/>
                <w:sz w:val="20"/>
              </w:rPr>
            </w:pPr>
            <w:r w:rsidRPr="00967C7D">
              <w:rPr>
                <w:rFonts w:cs="Arial"/>
                <w:bCs/>
                <w:color w:val="auto"/>
                <w:sz w:val="20"/>
              </w:rPr>
              <w:t>South Sheet</w:t>
            </w:r>
          </w:p>
        </w:tc>
      </w:tr>
      <w:tr w:rsidR="00967C7D" w:rsidRPr="00967C7D" w14:paraId="62221424" w14:textId="77777777" w:rsidTr="00B5314A">
        <w:trPr>
          <w:trHeight w:val="284"/>
        </w:trPr>
        <w:tc>
          <w:tcPr>
            <w:tcW w:w="1280" w:type="dxa"/>
          </w:tcPr>
          <w:p w14:paraId="14CCFDC3" w14:textId="77777777" w:rsidR="00967C7D" w:rsidRPr="00967C7D" w:rsidRDefault="00967C7D" w:rsidP="00967C7D">
            <w:pPr>
              <w:keepNext w:val="0"/>
              <w:spacing w:before="0"/>
              <w:rPr>
                <w:rFonts w:cs="Arial"/>
                <w:bCs/>
                <w:color w:val="auto"/>
                <w:sz w:val="20"/>
              </w:rPr>
            </w:pPr>
            <w:r w:rsidRPr="00967C7D">
              <w:rPr>
                <w:rFonts w:cs="Arial"/>
                <w:bCs/>
                <w:color w:val="auto"/>
                <w:sz w:val="20"/>
              </w:rPr>
              <w:t>EV5/113</w:t>
            </w:r>
          </w:p>
        </w:tc>
        <w:tc>
          <w:tcPr>
            <w:tcW w:w="6230" w:type="dxa"/>
            <w:noWrap/>
          </w:tcPr>
          <w:p w14:paraId="172FD58B" w14:textId="77777777" w:rsidR="00967C7D" w:rsidRPr="00967C7D" w:rsidRDefault="00967C7D" w:rsidP="00967C7D">
            <w:pPr>
              <w:keepNext w:val="0"/>
              <w:spacing w:before="0"/>
              <w:rPr>
                <w:rFonts w:cs="Arial"/>
                <w:bCs/>
                <w:color w:val="auto"/>
                <w:sz w:val="20"/>
              </w:rPr>
            </w:pPr>
            <w:r w:rsidRPr="00967C7D">
              <w:rPr>
                <w:rFonts w:cs="Arial"/>
                <w:bCs/>
                <w:color w:val="auto"/>
                <w:sz w:val="20"/>
              </w:rPr>
              <w:t>Notts Golf Club</w:t>
            </w:r>
          </w:p>
        </w:tc>
        <w:tc>
          <w:tcPr>
            <w:tcW w:w="1847" w:type="dxa"/>
            <w:noWrap/>
          </w:tcPr>
          <w:p w14:paraId="211FF5B6" w14:textId="77777777" w:rsidR="00967C7D" w:rsidRPr="00967C7D" w:rsidRDefault="00967C7D" w:rsidP="00967C7D">
            <w:pPr>
              <w:keepNext w:val="0"/>
              <w:spacing w:before="0"/>
              <w:rPr>
                <w:rFonts w:cs="Arial"/>
                <w:bCs/>
                <w:color w:val="auto"/>
                <w:sz w:val="20"/>
              </w:rPr>
            </w:pPr>
            <w:r w:rsidRPr="00967C7D">
              <w:rPr>
                <w:rFonts w:cs="Arial"/>
                <w:bCs/>
                <w:color w:val="auto"/>
                <w:sz w:val="20"/>
              </w:rPr>
              <w:t>North Sheet</w:t>
            </w:r>
          </w:p>
        </w:tc>
      </w:tr>
      <w:tr w:rsidR="00967C7D" w:rsidRPr="00967C7D" w14:paraId="1D23ED9F" w14:textId="77777777" w:rsidTr="00B5314A">
        <w:trPr>
          <w:trHeight w:val="284"/>
        </w:trPr>
        <w:tc>
          <w:tcPr>
            <w:tcW w:w="1280" w:type="dxa"/>
          </w:tcPr>
          <w:p w14:paraId="506B9ECA" w14:textId="77777777" w:rsidR="00967C7D" w:rsidRPr="00967C7D" w:rsidRDefault="00967C7D" w:rsidP="00967C7D">
            <w:pPr>
              <w:keepNext w:val="0"/>
              <w:spacing w:before="0"/>
              <w:rPr>
                <w:rFonts w:cs="Arial"/>
                <w:bCs/>
                <w:color w:val="auto"/>
                <w:sz w:val="20"/>
              </w:rPr>
            </w:pPr>
            <w:r w:rsidRPr="00967C7D">
              <w:rPr>
                <w:rFonts w:cs="Arial"/>
                <w:bCs/>
                <w:color w:val="auto"/>
                <w:sz w:val="20"/>
              </w:rPr>
              <w:t>EV5/114</w:t>
            </w:r>
          </w:p>
        </w:tc>
        <w:tc>
          <w:tcPr>
            <w:tcW w:w="6230" w:type="dxa"/>
            <w:noWrap/>
          </w:tcPr>
          <w:p w14:paraId="4BB792EF" w14:textId="77777777" w:rsidR="00967C7D" w:rsidRPr="00967C7D" w:rsidRDefault="00967C7D" w:rsidP="00967C7D">
            <w:pPr>
              <w:keepNext w:val="0"/>
              <w:spacing w:before="0"/>
              <w:rPr>
                <w:rFonts w:cs="Arial"/>
                <w:bCs/>
                <w:color w:val="auto"/>
                <w:sz w:val="20"/>
              </w:rPr>
            </w:pPr>
            <w:r w:rsidRPr="00967C7D">
              <w:rPr>
                <w:rFonts w:cs="Arial"/>
                <w:bCs/>
                <w:color w:val="auto"/>
                <w:sz w:val="20"/>
              </w:rPr>
              <w:t>Kirkby Forest</w:t>
            </w:r>
          </w:p>
        </w:tc>
        <w:tc>
          <w:tcPr>
            <w:tcW w:w="1847" w:type="dxa"/>
            <w:noWrap/>
          </w:tcPr>
          <w:p w14:paraId="5C8CB5B6" w14:textId="77777777" w:rsidR="00967C7D" w:rsidRPr="00967C7D" w:rsidRDefault="00967C7D" w:rsidP="00967C7D">
            <w:pPr>
              <w:keepNext w:val="0"/>
              <w:spacing w:before="0"/>
              <w:rPr>
                <w:rFonts w:cs="Arial"/>
                <w:bCs/>
                <w:color w:val="auto"/>
                <w:sz w:val="20"/>
              </w:rPr>
            </w:pPr>
            <w:r w:rsidRPr="00967C7D">
              <w:rPr>
                <w:rFonts w:cs="Arial"/>
                <w:bCs/>
                <w:color w:val="auto"/>
                <w:sz w:val="20"/>
              </w:rPr>
              <w:t>North Sheet</w:t>
            </w:r>
          </w:p>
        </w:tc>
      </w:tr>
      <w:tr w:rsidR="00967C7D" w:rsidRPr="00967C7D" w14:paraId="4B6FB714" w14:textId="77777777" w:rsidTr="00B5314A">
        <w:trPr>
          <w:trHeight w:val="284"/>
        </w:trPr>
        <w:tc>
          <w:tcPr>
            <w:tcW w:w="1280" w:type="dxa"/>
          </w:tcPr>
          <w:p w14:paraId="065FB2D3" w14:textId="77777777" w:rsidR="00967C7D" w:rsidRPr="00967C7D" w:rsidRDefault="00967C7D" w:rsidP="00967C7D">
            <w:pPr>
              <w:keepNext w:val="0"/>
              <w:spacing w:before="0"/>
              <w:rPr>
                <w:rFonts w:cs="Arial"/>
                <w:bCs/>
                <w:color w:val="auto"/>
                <w:sz w:val="20"/>
              </w:rPr>
            </w:pPr>
            <w:r w:rsidRPr="00967C7D">
              <w:rPr>
                <w:rFonts w:cs="Arial"/>
                <w:bCs/>
                <w:color w:val="auto"/>
                <w:sz w:val="20"/>
              </w:rPr>
              <w:t>EV5/115</w:t>
            </w:r>
          </w:p>
        </w:tc>
        <w:tc>
          <w:tcPr>
            <w:tcW w:w="6230" w:type="dxa"/>
            <w:noWrap/>
          </w:tcPr>
          <w:p w14:paraId="205BF5C3" w14:textId="77777777" w:rsidR="00967C7D" w:rsidRPr="00967C7D" w:rsidRDefault="00967C7D" w:rsidP="00967C7D">
            <w:pPr>
              <w:keepNext w:val="0"/>
              <w:spacing w:before="0"/>
              <w:rPr>
                <w:rFonts w:cs="Arial"/>
                <w:bCs/>
                <w:color w:val="auto"/>
                <w:sz w:val="20"/>
              </w:rPr>
            </w:pPr>
            <w:r w:rsidRPr="00967C7D">
              <w:rPr>
                <w:rFonts w:cs="Arial"/>
                <w:bCs/>
                <w:color w:val="auto"/>
                <w:sz w:val="20"/>
              </w:rPr>
              <w:t>Portland Park</w:t>
            </w:r>
          </w:p>
        </w:tc>
        <w:tc>
          <w:tcPr>
            <w:tcW w:w="1847" w:type="dxa"/>
            <w:noWrap/>
          </w:tcPr>
          <w:p w14:paraId="02EFFAA8" w14:textId="77777777" w:rsidR="00967C7D" w:rsidRPr="00967C7D" w:rsidRDefault="00967C7D" w:rsidP="00967C7D">
            <w:pPr>
              <w:keepNext w:val="0"/>
              <w:spacing w:before="0"/>
              <w:rPr>
                <w:rFonts w:cs="Arial"/>
                <w:bCs/>
                <w:color w:val="auto"/>
                <w:sz w:val="20"/>
              </w:rPr>
            </w:pPr>
            <w:r w:rsidRPr="00967C7D">
              <w:rPr>
                <w:rFonts w:cs="Arial"/>
                <w:bCs/>
                <w:color w:val="auto"/>
                <w:sz w:val="20"/>
              </w:rPr>
              <w:t>North Sheet</w:t>
            </w:r>
          </w:p>
        </w:tc>
      </w:tr>
      <w:tr w:rsidR="00967C7D" w:rsidRPr="00967C7D" w14:paraId="3B5BA6C6" w14:textId="77777777" w:rsidTr="00B5314A">
        <w:trPr>
          <w:trHeight w:val="284"/>
        </w:trPr>
        <w:tc>
          <w:tcPr>
            <w:tcW w:w="1280" w:type="dxa"/>
          </w:tcPr>
          <w:p w14:paraId="17CF4F04" w14:textId="77777777" w:rsidR="00967C7D" w:rsidRPr="00967C7D" w:rsidRDefault="00967C7D" w:rsidP="00967C7D">
            <w:pPr>
              <w:keepNext w:val="0"/>
              <w:spacing w:before="0"/>
              <w:rPr>
                <w:rFonts w:cs="Arial"/>
                <w:bCs/>
                <w:color w:val="auto"/>
                <w:sz w:val="20"/>
              </w:rPr>
            </w:pPr>
            <w:r w:rsidRPr="00967C7D">
              <w:rPr>
                <w:rFonts w:cs="Arial"/>
                <w:bCs/>
                <w:color w:val="auto"/>
                <w:sz w:val="20"/>
              </w:rPr>
              <w:t>EV5/116</w:t>
            </w:r>
          </w:p>
        </w:tc>
        <w:tc>
          <w:tcPr>
            <w:tcW w:w="6230" w:type="dxa"/>
            <w:noWrap/>
          </w:tcPr>
          <w:p w14:paraId="07170148" w14:textId="77777777" w:rsidR="00967C7D" w:rsidRPr="00967C7D" w:rsidRDefault="00967C7D" w:rsidP="00967C7D">
            <w:pPr>
              <w:keepNext w:val="0"/>
              <w:spacing w:before="0"/>
              <w:rPr>
                <w:rFonts w:cs="Arial"/>
                <w:bCs/>
                <w:color w:val="auto"/>
                <w:sz w:val="20"/>
              </w:rPr>
            </w:pPr>
            <w:r w:rsidRPr="00967C7D">
              <w:rPr>
                <w:rFonts w:cs="Arial"/>
                <w:bCs/>
                <w:color w:val="auto"/>
                <w:sz w:val="20"/>
              </w:rPr>
              <w:t>Kingsway Cemetery (Newest)</w:t>
            </w:r>
          </w:p>
        </w:tc>
        <w:tc>
          <w:tcPr>
            <w:tcW w:w="1847" w:type="dxa"/>
            <w:noWrap/>
          </w:tcPr>
          <w:p w14:paraId="1898DCCF" w14:textId="77777777" w:rsidR="00967C7D" w:rsidRPr="00967C7D" w:rsidRDefault="00967C7D" w:rsidP="00967C7D">
            <w:pPr>
              <w:keepNext w:val="0"/>
              <w:spacing w:before="0"/>
              <w:rPr>
                <w:rFonts w:cs="Arial"/>
                <w:bCs/>
                <w:color w:val="auto"/>
                <w:sz w:val="20"/>
              </w:rPr>
            </w:pPr>
            <w:r w:rsidRPr="00967C7D">
              <w:rPr>
                <w:rFonts w:cs="Arial"/>
                <w:bCs/>
                <w:color w:val="auto"/>
                <w:sz w:val="20"/>
              </w:rPr>
              <w:t>North Sheet</w:t>
            </w:r>
          </w:p>
        </w:tc>
      </w:tr>
      <w:tr w:rsidR="00967C7D" w:rsidRPr="00967C7D" w14:paraId="531EE944" w14:textId="77777777" w:rsidTr="00B5314A">
        <w:trPr>
          <w:trHeight w:val="284"/>
        </w:trPr>
        <w:tc>
          <w:tcPr>
            <w:tcW w:w="1280" w:type="dxa"/>
          </w:tcPr>
          <w:p w14:paraId="4619CEE6" w14:textId="77777777" w:rsidR="00967C7D" w:rsidRPr="00967C7D" w:rsidRDefault="00967C7D" w:rsidP="00967C7D">
            <w:pPr>
              <w:keepNext w:val="0"/>
              <w:spacing w:before="0"/>
              <w:rPr>
                <w:rFonts w:cs="Arial"/>
                <w:bCs/>
                <w:color w:val="auto"/>
                <w:sz w:val="20"/>
              </w:rPr>
            </w:pPr>
            <w:r w:rsidRPr="00967C7D">
              <w:rPr>
                <w:rFonts w:cs="Arial"/>
                <w:bCs/>
                <w:color w:val="auto"/>
                <w:sz w:val="20"/>
              </w:rPr>
              <w:t>EV5/117</w:t>
            </w:r>
          </w:p>
        </w:tc>
        <w:tc>
          <w:tcPr>
            <w:tcW w:w="6230" w:type="dxa"/>
            <w:noWrap/>
          </w:tcPr>
          <w:p w14:paraId="672326A4" w14:textId="77777777" w:rsidR="00967C7D" w:rsidRPr="00967C7D" w:rsidRDefault="00967C7D" w:rsidP="00967C7D">
            <w:pPr>
              <w:keepNext w:val="0"/>
              <w:spacing w:before="0"/>
              <w:rPr>
                <w:rFonts w:cs="Arial"/>
                <w:bCs/>
                <w:color w:val="auto"/>
                <w:sz w:val="20"/>
              </w:rPr>
            </w:pPr>
            <w:r w:rsidRPr="00967C7D">
              <w:rPr>
                <w:rFonts w:cs="Arial"/>
                <w:bCs/>
                <w:color w:val="auto"/>
                <w:sz w:val="20"/>
              </w:rPr>
              <w:t>Kingsway School Playing Field</w:t>
            </w:r>
          </w:p>
        </w:tc>
        <w:tc>
          <w:tcPr>
            <w:tcW w:w="1847" w:type="dxa"/>
            <w:noWrap/>
          </w:tcPr>
          <w:p w14:paraId="4A8E60A8" w14:textId="77777777" w:rsidR="00967C7D" w:rsidRPr="00967C7D" w:rsidRDefault="00967C7D" w:rsidP="00967C7D">
            <w:pPr>
              <w:keepNext w:val="0"/>
              <w:spacing w:before="0"/>
              <w:rPr>
                <w:rFonts w:cs="Arial"/>
                <w:bCs/>
                <w:color w:val="auto"/>
                <w:sz w:val="20"/>
              </w:rPr>
            </w:pPr>
            <w:r w:rsidRPr="00967C7D">
              <w:rPr>
                <w:rFonts w:cs="Arial"/>
                <w:bCs/>
                <w:color w:val="auto"/>
                <w:sz w:val="20"/>
              </w:rPr>
              <w:t>North Sheet</w:t>
            </w:r>
          </w:p>
        </w:tc>
      </w:tr>
      <w:tr w:rsidR="00967C7D" w:rsidRPr="00967C7D" w14:paraId="72ED6F90" w14:textId="77777777" w:rsidTr="00B5314A">
        <w:trPr>
          <w:trHeight w:val="284"/>
        </w:trPr>
        <w:tc>
          <w:tcPr>
            <w:tcW w:w="1280" w:type="dxa"/>
          </w:tcPr>
          <w:p w14:paraId="63E7C68B" w14:textId="77777777" w:rsidR="00967C7D" w:rsidRPr="00967C7D" w:rsidRDefault="00967C7D" w:rsidP="00967C7D">
            <w:pPr>
              <w:keepNext w:val="0"/>
              <w:spacing w:before="0"/>
              <w:rPr>
                <w:rFonts w:cs="Arial"/>
                <w:bCs/>
                <w:color w:val="auto"/>
                <w:sz w:val="20"/>
              </w:rPr>
            </w:pPr>
            <w:r w:rsidRPr="00967C7D">
              <w:rPr>
                <w:rFonts w:cs="Arial"/>
                <w:bCs/>
                <w:color w:val="auto"/>
                <w:sz w:val="20"/>
              </w:rPr>
              <w:t>EV5/118</w:t>
            </w:r>
          </w:p>
        </w:tc>
        <w:tc>
          <w:tcPr>
            <w:tcW w:w="6230" w:type="dxa"/>
            <w:noWrap/>
          </w:tcPr>
          <w:p w14:paraId="4DB8B177" w14:textId="77777777" w:rsidR="00967C7D" w:rsidRPr="00967C7D" w:rsidRDefault="00967C7D" w:rsidP="00967C7D">
            <w:pPr>
              <w:keepNext w:val="0"/>
              <w:spacing w:before="0"/>
              <w:rPr>
                <w:rFonts w:cs="Arial"/>
                <w:bCs/>
                <w:color w:val="auto"/>
                <w:sz w:val="20"/>
              </w:rPr>
            </w:pPr>
            <w:r w:rsidRPr="00967C7D">
              <w:rPr>
                <w:rFonts w:cs="Arial"/>
                <w:bCs/>
                <w:color w:val="auto"/>
                <w:sz w:val="20"/>
              </w:rPr>
              <w:t>Footpath adjacent Kingsway Park</w:t>
            </w:r>
          </w:p>
        </w:tc>
        <w:tc>
          <w:tcPr>
            <w:tcW w:w="1847" w:type="dxa"/>
            <w:noWrap/>
          </w:tcPr>
          <w:p w14:paraId="417CFC72" w14:textId="77777777" w:rsidR="00967C7D" w:rsidRPr="00967C7D" w:rsidRDefault="00967C7D" w:rsidP="00967C7D">
            <w:pPr>
              <w:keepNext w:val="0"/>
              <w:spacing w:before="0"/>
              <w:rPr>
                <w:rFonts w:cs="Arial"/>
                <w:bCs/>
                <w:color w:val="auto"/>
                <w:sz w:val="20"/>
              </w:rPr>
            </w:pPr>
            <w:r w:rsidRPr="00967C7D">
              <w:rPr>
                <w:rFonts w:cs="Arial"/>
                <w:bCs/>
                <w:color w:val="auto"/>
                <w:sz w:val="20"/>
              </w:rPr>
              <w:t>North Sheet</w:t>
            </w:r>
          </w:p>
        </w:tc>
      </w:tr>
      <w:tr w:rsidR="00967C7D" w:rsidRPr="00967C7D" w14:paraId="73F6AC21" w14:textId="77777777" w:rsidTr="00B5314A">
        <w:trPr>
          <w:trHeight w:val="284"/>
        </w:trPr>
        <w:tc>
          <w:tcPr>
            <w:tcW w:w="1280" w:type="dxa"/>
          </w:tcPr>
          <w:p w14:paraId="19DDD276" w14:textId="77777777" w:rsidR="00967C7D" w:rsidRPr="00967C7D" w:rsidRDefault="00967C7D" w:rsidP="00967C7D">
            <w:pPr>
              <w:keepNext w:val="0"/>
              <w:spacing w:before="0"/>
              <w:rPr>
                <w:rFonts w:cs="Arial"/>
                <w:bCs/>
                <w:color w:val="auto"/>
                <w:sz w:val="20"/>
              </w:rPr>
            </w:pPr>
            <w:r w:rsidRPr="00967C7D">
              <w:rPr>
                <w:rFonts w:cs="Arial"/>
                <w:bCs/>
                <w:color w:val="auto"/>
                <w:sz w:val="20"/>
              </w:rPr>
              <w:t>EV5/119</w:t>
            </w:r>
          </w:p>
        </w:tc>
        <w:tc>
          <w:tcPr>
            <w:tcW w:w="6230" w:type="dxa"/>
            <w:noWrap/>
          </w:tcPr>
          <w:p w14:paraId="6DDFC91D" w14:textId="77777777" w:rsidR="00967C7D" w:rsidRPr="00967C7D" w:rsidRDefault="00967C7D" w:rsidP="00967C7D">
            <w:pPr>
              <w:keepNext w:val="0"/>
              <w:spacing w:before="0"/>
              <w:rPr>
                <w:rFonts w:cs="Arial"/>
                <w:bCs/>
                <w:color w:val="auto"/>
                <w:sz w:val="20"/>
              </w:rPr>
            </w:pPr>
            <w:r w:rsidRPr="00967C7D">
              <w:rPr>
                <w:rFonts w:cs="Arial"/>
                <w:bCs/>
                <w:color w:val="auto"/>
                <w:sz w:val="20"/>
              </w:rPr>
              <w:t>Portland Park Extension</w:t>
            </w:r>
          </w:p>
        </w:tc>
        <w:tc>
          <w:tcPr>
            <w:tcW w:w="1847" w:type="dxa"/>
            <w:noWrap/>
          </w:tcPr>
          <w:p w14:paraId="3D334BFB" w14:textId="77777777" w:rsidR="00967C7D" w:rsidRPr="00967C7D" w:rsidRDefault="00967C7D" w:rsidP="00967C7D">
            <w:pPr>
              <w:keepNext w:val="0"/>
              <w:spacing w:before="0"/>
              <w:rPr>
                <w:rFonts w:cs="Arial"/>
                <w:bCs/>
                <w:color w:val="auto"/>
                <w:sz w:val="20"/>
              </w:rPr>
            </w:pPr>
            <w:r w:rsidRPr="00967C7D">
              <w:rPr>
                <w:rFonts w:cs="Arial"/>
                <w:bCs/>
                <w:color w:val="auto"/>
                <w:sz w:val="20"/>
              </w:rPr>
              <w:t>North Sheet</w:t>
            </w:r>
          </w:p>
        </w:tc>
      </w:tr>
      <w:tr w:rsidR="00967C7D" w:rsidRPr="00967C7D" w14:paraId="55591AAB" w14:textId="77777777" w:rsidTr="00B5314A">
        <w:trPr>
          <w:trHeight w:val="284"/>
        </w:trPr>
        <w:tc>
          <w:tcPr>
            <w:tcW w:w="1280" w:type="dxa"/>
          </w:tcPr>
          <w:p w14:paraId="593666EC" w14:textId="77777777" w:rsidR="00967C7D" w:rsidRPr="00967C7D" w:rsidRDefault="00967C7D" w:rsidP="00967C7D">
            <w:pPr>
              <w:keepNext w:val="0"/>
              <w:spacing w:before="0"/>
              <w:rPr>
                <w:rFonts w:cs="Arial"/>
                <w:bCs/>
                <w:color w:val="auto"/>
                <w:sz w:val="20"/>
              </w:rPr>
            </w:pPr>
            <w:r w:rsidRPr="00967C7D">
              <w:rPr>
                <w:rFonts w:cs="Arial"/>
                <w:bCs/>
                <w:color w:val="auto"/>
                <w:sz w:val="20"/>
              </w:rPr>
              <w:t>EV5/120</w:t>
            </w:r>
          </w:p>
        </w:tc>
        <w:tc>
          <w:tcPr>
            <w:tcW w:w="6230" w:type="dxa"/>
            <w:noWrap/>
          </w:tcPr>
          <w:p w14:paraId="17174C2B" w14:textId="77777777" w:rsidR="00967C7D" w:rsidRPr="00967C7D" w:rsidRDefault="00967C7D" w:rsidP="00967C7D">
            <w:pPr>
              <w:keepNext w:val="0"/>
              <w:spacing w:before="0"/>
              <w:rPr>
                <w:rFonts w:cs="Arial"/>
                <w:bCs/>
                <w:color w:val="auto"/>
                <w:sz w:val="20"/>
              </w:rPr>
            </w:pPr>
            <w:r w:rsidRPr="00967C7D">
              <w:rPr>
                <w:rFonts w:cs="Arial"/>
                <w:bCs/>
                <w:color w:val="auto"/>
                <w:sz w:val="20"/>
              </w:rPr>
              <w:t>Land at Studfold farm</w:t>
            </w:r>
          </w:p>
        </w:tc>
        <w:tc>
          <w:tcPr>
            <w:tcW w:w="1847" w:type="dxa"/>
            <w:noWrap/>
          </w:tcPr>
          <w:p w14:paraId="73D1DEB1" w14:textId="77777777" w:rsidR="00967C7D" w:rsidRPr="00967C7D" w:rsidRDefault="00967C7D" w:rsidP="00967C7D">
            <w:pPr>
              <w:keepNext w:val="0"/>
              <w:spacing w:before="0"/>
              <w:rPr>
                <w:rFonts w:cs="Arial"/>
                <w:bCs/>
                <w:color w:val="auto"/>
                <w:sz w:val="20"/>
              </w:rPr>
            </w:pPr>
            <w:r w:rsidRPr="00967C7D">
              <w:rPr>
                <w:rFonts w:cs="Arial"/>
                <w:bCs/>
                <w:color w:val="auto"/>
                <w:sz w:val="20"/>
              </w:rPr>
              <w:t>North Sheet</w:t>
            </w:r>
          </w:p>
        </w:tc>
      </w:tr>
      <w:tr w:rsidR="00967C7D" w:rsidRPr="00967C7D" w14:paraId="716DA165" w14:textId="77777777" w:rsidTr="00B5314A">
        <w:trPr>
          <w:trHeight w:val="284"/>
        </w:trPr>
        <w:tc>
          <w:tcPr>
            <w:tcW w:w="1280" w:type="dxa"/>
          </w:tcPr>
          <w:p w14:paraId="56610163" w14:textId="77777777" w:rsidR="00967C7D" w:rsidRPr="00967C7D" w:rsidRDefault="00967C7D" w:rsidP="00967C7D">
            <w:pPr>
              <w:keepNext w:val="0"/>
              <w:spacing w:before="0"/>
              <w:rPr>
                <w:rFonts w:cs="Arial"/>
                <w:bCs/>
                <w:color w:val="auto"/>
                <w:sz w:val="20"/>
              </w:rPr>
            </w:pPr>
            <w:r w:rsidRPr="00967C7D">
              <w:rPr>
                <w:rFonts w:cs="Arial"/>
                <w:bCs/>
                <w:color w:val="auto"/>
                <w:sz w:val="20"/>
              </w:rPr>
              <w:t>EV5/121</w:t>
            </w:r>
          </w:p>
        </w:tc>
        <w:tc>
          <w:tcPr>
            <w:tcW w:w="6230" w:type="dxa"/>
            <w:noWrap/>
          </w:tcPr>
          <w:p w14:paraId="627F290D" w14:textId="77777777" w:rsidR="00967C7D" w:rsidRPr="00967C7D" w:rsidRDefault="00967C7D" w:rsidP="00967C7D">
            <w:pPr>
              <w:keepNext w:val="0"/>
              <w:spacing w:before="0"/>
              <w:rPr>
                <w:rFonts w:cs="Arial"/>
                <w:bCs/>
                <w:color w:val="auto"/>
                <w:sz w:val="20"/>
              </w:rPr>
            </w:pPr>
            <w:r w:rsidRPr="00967C7D">
              <w:rPr>
                <w:rFonts w:cs="Arial"/>
                <w:bCs/>
                <w:color w:val="auto"/>
                <w:sz w:val="20"/>
              </w:rPr>
              <w:t>Old Kingsway Cemetery</w:t>
            </w:r>
          </w:p>
        </w:tc>
        <w:tc>
          <w:tcPr>
            <w:tcW w:w="1847" w:type="dxa"/>
            <w:noWrap/>
          </w:tcPr>
          <w:p w14:paraId="4356BBC1" w14:textId="77777777" w:rsidR="00967C7D" w:rsidRPr="00967C7D" w:rsidRDefault="00967C7D" w:rsidP="00967C7D">
            <w:pPr>
              <w:keepNext w:val="0"/>
              <w:spacing w:before="0"/>
              <w:rPr>
                <w:rFonts w:cs="Arial"/>
                <w:bCs/>
                <w:color w:val="auto"/>
                <w:sz w:val="20"/>
              </w:rPr>
            </w:pPr>
            <w:r w:rsidRPr="00967C7D">
              <w:rPr>
                <w:rFonts w:cs="Arial"/>
                <w:bCs/>
                <w:color w:val="auto"/>
                <w:sz w:val="20"/>
              </w:rPr>
              <w:t>North Sheet</w:t>
            </w:r>
          </w:p>
        </w:tc>
      </w:tr>
      <w:tr w:rsidR="00967C7D" w:rsidRPr="00967C7D" w14:paraId="037E0C7D" w14:textId="77777777" w:rsidTr="00B5314A">
        <w:trPr>
          <w:trHeight w:val="284"/>
        </w:trPr>
        <w:tc>
          <w:tcPr>
            <w:tcW w:w="1280" w:type="dxa"/>
          </w:tcPr>
          <w:p w14:paraId="15D58812" w14:textId="77777777" w:rsidR="00967C7D" w:rsidRPr="00967C7D" w:rsidRDefault="00967C7D" w:rsidP="00967C7D">
            <w:pPr>
              <w:keepNext w:val="0"/>
              <w:spacing w:before="0"/>
              <w:rPr>
                <w:rFonts w:cs="Arial"/>
                <w:bCs/>
                <w:color w:val="auto"/>
                <w:sz w:val="20"/>
              </w:rPr>
            </w:pPr>
            <w:r w:rsidRPr="00967C7D">
              <w:rPr>
                <w:rFonts w:cs="Arial"/>
                <w:bCs/>
                <w:color w:val="auto"/>
                <w:sz w:val="20"/>
              </w:rPr>
              <w:t>EV5/122</w:t>
            </w:r>
          </w:p>
        </w:tc>
        <w:tc>
          <w:tcPr>
            <w:tcW w:w="6230" w:type="dxa"/>
            <w:noWrap/>
          </w:tcPr>
          <w:p w14:paraId="3BD1CF10" w14:textId="77777777" w:rsidR="00967C7D" w:rsidRPr="00967C7D" w:rsidRDefault="00967C7D" w:rsidP="00967C7D">
            <w:pPr>
              <w:keepNext w:val="0"/>
              <w:spacing w:before="0"/>
              <w:rPr>
                <w:rFonts w:cs="Arial"/>
                <w:bCs/>
                <w:color w:val="auto"/>
                <w:sz w:val="20"/>
              </w:rPr>
            </w:pPr>
            <w:r w:rsidRPr="00967C7D">
              <w:rPr>
                <w:rFonts w:cs="Arial"/>
                <w:bCs/>
                <w:color w:val="auto"/>
                <w:sz w:val="20"/>
              </w:rPr>
              <w:t>Kingsway Park</w:t>
            </w:r>
          </w:p>
        </w:tc>
        <w:tc>
          <w:tcPr>
            <w:tcW w:w="1847" w:type="dxa"/>
            <w:noWrap/>
          </w:tcPr>
          <w:p w14:paraId="7B017F50" w14:textId="77777777" w:rsidR="00967C7D" w:rsidRPr="00967C7D" w:rsidRDefault="00967C7D" w:rsidP="00967C7D">
            <w:pPr>
              <w:keepNext w:val="0"/>
              <w:spacing w:before="0"/>
              <w:rPr>
                <w:rFonts w:cs="Arial"/>
                <w:bCs/>
                <w:color w:val="auto"/>
                <w:sz w:val="20"/>
              </w:rPr>
            </w:pPr>
            <w:r w:rsidRPr="00967C7D">
              <w:rPr>
                <w:rFonts w:cs="Arial"/>
                <w:bCs/>
                <w:color w:val="auto"/>
                <w:sz w:val="20"/>
              </w:rPr>
              <w:t>North Sheet</w:t>
            </w:r>
          </w:p>
        </w:tc>
      </w:tr>
      <w:tr w:rsidR="00967C7D" w:rsidRPr="00967C7D" w14:paraId="71363900" w14:textId="77777777" w:rsidTr="00B5314A">
        <w:trPr>
          <w:trHeight w:val="284"/>
        </w:trPr>
        <w:tc>
          <w:tcPr>
            <w:tcW w:w="1280" w:type="dxa"/>
          </w:tcPr>
          <w:p w14:paraId="15B1C498" w14:textId="77777777" w:rsidR="00967C7D" w:rsidRPr="00967C7D" w:rsidRDefault="00967C7D" w:rsidP="00967C7D">
            <w:pPr>
              <w:keepNext w:val="0"/>
              <w:spacing w:before="0"/>
              <w:rPr>
                <w:rFonts w:cs="Arial"/>
                <w:bCs/>
                <w:color w:val="auto"/>
                <w:sz w:val="20"/>
              </w:rPr>
            </w:pPr>
            <w:r w:rsidRPr="00967C7D">
              <w:rPr>
                <w:rFonts w:cs="Arial"/>
                <w:bCs/>
                <w:color w:val="auto"/>
                <w:sz w:val="20"/>
              </w:rPr>
              <w:t>EV5/123</w:t>
            </w:r>
          </w:p>
        </w:tc>
        <w:tc>
          <w:tcPr>
            <w:tcW w:w="6230" w:type="dxa"/>
            <w:noWrap/>
          </w:tcPr>
          <w:p w14:paraId="5FCFC300" w14:textId="77777777" w:rsidR="00967C7D" w:rsidRPr="00967C7D" w:rsidRDefault="00967C7D" w:rsidP="00967C7D">
            <w:pPr>
              <w:keepNext w:val="0"/>
              <w:spacing w:before="0"/>
              <w:rPr>
                <w:rFonts w:cs="Arial"/>
                <w:bCs/>
                <w:color w:val="auto"/>
                <w:sz w:val="20"/>
              </w:rPr>
            </w:pPr>
            <w:r w:rsidRPr="00967C7D">
              <w:rPr>
                <w:rFonts w:cs="Arial"/>
                <w:bCs/>
                <w:color w:val="auto"/>
                <w:sz w:val="20"/>
              </w:rPr>
              <w:t>Mayfield Recreation Ground</w:t>
            </w:r>
          </w:p>
        </w:tc>
        <w:tc>
          <w:tcPr>
            <w:tcW w:w="1847" w:type="dxa"/>
            <w:noWrap/>
          </w:tcPr>
          <w:p w14:paraId="4078B14A" w14:textId="77777777" w:rsidR="00967C7D" w:rsidRPr="00967C7D" w:rsidRDefault="00967C7D" w:rsidP="00967C7D">
            <w:pPr>
              <w:keepNext w:val="0"/>
              <w:spacing w:before="0"/>
              <w:rPr>
                <w:rFonts w:cs="Arial"/>
                <w:bCs/>
                <w:color w:val="auto"/>
                <w:sz w:val="20"/>
              </w:rPr>
            </w:pPr>
            <w:r w:rsidRPr="00967C7D">
              <w:rPr>
                <w:rFonts w:cs="Arial"/>
                <w:bCs/>
                <w:color w:val="auto"/>
                <w:sz w:val="20"/>
              </w:rPr>
              <w:t>North Sheet</w:t>
            </w:r>
          </w:p>
        </w:tc>
      </w:tr>
      <w:tr w:rsidR="00967C7D" w:rsidRPr="00967C7D" w14:paraId="18C38B61" w14:textId="77777777" w:rsidTr="00B5314A">
        <w:trPr>
          <w:trHeight w:val="284"/>
        </w:trPr>
        <w:tc>
          <w:tcPr>
            <w:tcW w:w="1280" w:type="dxa"/>
          </w:tcPr>
          <w:p w14:paraId="48359C07" w14:textId="77777777" w:rsidR="00967C7D" w:rsidRPr="00967C7D" w:rsidRDefault="00967C7D" w:rsidP="00967C7D">
            <w:pPr>
              <w:keepNext w:val="0"/>
              <w:spacing w:before="0"/>
              <w:rPr>
                <w:rFonts w:cs="Arial"/>
                <w:bCs/>
                <w:color w:val="auto"/>
                <w:sz w:val="20"/>
              </w:rPr>
            </w:pPr>
            <w:r w:rsidRPr="00967C7D">
              <w:rPr>
                <w:rFonts w:cs="Arial"/>
                <w:bCs/>
                <w:color w:val="auto"/>
                <w:sz w:val="20"/>
              </w:rPr>
              <w:t>EV5/124</w:t>
            </w:r>
          </w:p>
        </w:tc>
        <w:tc>
          <w:tcPr>
            <w:tcW w:w="6230" w:type="dxa"/>
            <w:noWrap/>
          </w:tcPr>
          <w:p w14:paraId="4BAF8917" w14:textId="77777777" w:rsidR="00967C7D" w:rsidRPr="00967C7D" w:rsidRDefault="00967C7D" w:rsidP="00967C7D">
            <w:pPr>
              <w:keepNext w:val="0"/>
              <w:spacing w:before="0"/>
              <w:rPr>
                <w:rFonts w:cs="Arial"/>
                <w:bCs/>
                <w:color w:val="auto"/>
                <w:sz w:val="20"/>
              </w:rPr>
            </w:pPr>
            <w:r w:rsidRPr="00967C7D">
              <w:rPr>
                <w:rFonts w:cs="Arial"/>
                <w:bCs/>
                <w:color w:val="auto"/>
                <w:sz w:val="20"/>
              </w:rPr>
              <w:t>Church Hill Cemetery</w:t>
            </w:r>
          </w:p>
        </w:tc>
        <w:tc>
          <w:tcPr>
            <w:tcW w:w="1847" w:type="dxa"/>
            <w:noWrap/>
          </w:tcPr>
          <w:p w14:paraId="282B1B50" w14:textId="77777777" w:rsidR="00967C7D" w:rsidRPr="00967C7D" w:rsidRDefault="00967C7D" w:rsidP="00967C7D">
            <w:pPr>
              <w:keepNext w:val="0"/>
              <w:spacing w:before="0"/>
              <w:rPr>
                <w:rFonts w:cs="Arial"/>
                <w:bCs/>
                <w:color w:val="auto"/>
                <w:sz w:val="20"/>
              </w:rPr>
            </w:pPr>
            <w:r w:rsidRPr="00967C7D">
              <w:rPr>
                <w:rFonts w:cs="Arial"/>
                <w:bCs/>
                <w:color w:val="auto"/>
                <w:sz w:val="20"/>
              </w:rPr>
              <w:t>North Sheet</w:t>
            </w:r>
          </w:p>
        </w:tc>
      </w:tr>
      <w:tr w:rsidR="00967C7D" w:rsidRPr="00967C7D" w14:paraId="3DC4E0AA" w14:textId="77777777" w:rsidTr="00B5314A">
        <w:trPr>
          <w:trHeight w:val="284"/>
        </w:trPr>
        <w:tc>
          <w:tcPr>
            <w:tcW w:w="1280" w:type="dxa"/>
          </w:tcPr>
          <w:p w14:paraId="20C6CE60" w14:textId="77777777" w:rsidR="00967C7D" w:rsidRPr="00967C7D" w:rsidRDefault="00967C7D" w:rsidP="00967C7D">
            <w:pPr>
              <w:keepNext w:val="0"/>
              <w:spacing w:before="0"/>
              <w:rPr>
                <w:rFonts w:cs="Arial"/>
                <w:bCs/>
                <w:color w:val="auto"/>
                <w:sz w:val="20"/>
              </w:rPr>
            </w:pPr>
            <w:r w:rsidRPr="00967C7D">
              <w:rPr>
                <w:rFonts w:cs="Arial"/>
                <w:bCs/>
                <w:color w:val="auto"/>
                <w:sz w:val="20"/>
              </w:rPr>
              <w:t>EV5/125</w:t>
            </w:r>
          </w:p>
        </w:tc>
        <w:tc>
          <w:tcPr>
            <w:tcW w:w="6230" w:type="dxa"/>
            <w:noWrap/>
          </w:tcPr>
          <w:p w14:paraId="05E7ECF4" w14:textId="77777777" w:rsidR="00967C7D" w:rsidRPr="00967C7D" w:rsidRDefault="00967C7D" w:rsidP="00967C7D">
            <w:pPr>
              <w:keepNext w:val="0"/>
              <w:spacing w:before="0"/>
              <w:rPr>
                <w:rFonts w:cs="Arial"/>
                <w:bCs/>
                <w:color w:val="auto"/>
                <w:sz w:val="20"/>
              </w:rPr>
            </w:pPr>
            <w:proofErr w:type="spellStart"/>
            <w:r w:rsidRPr="00967C7D">
              <w:rPr>
                <w:rFonts w:cs="Arial"/>
                <w:bCs/>
                <w:color w:val="auto"/>
                <w:sz w:val="20"/>
              </w:rPr>
              <w:t>Lindleys</w:t>
            </w:r>
            <w:proofErr w:type="spellEnd"/>
            <w:r w:rsidRPr="00967C7D">
              <w:rPr>
                <w:rFonts w:cs="Arial"/>
                <w:bCs/>
                <w:color w:val="auto"/>
                <w:sz w:val="20"/>
              </w:rPr>
              <w:t xml:space="preserve"> Lane Footpath</w:t>
            </w:r>
          </w:p>
        </w:tc>
        <w:tc>
          <w:tcPr>
            <w:tcW w:w="1847" w:type="dxa"/>
            <w:noWrap/>
          </w:tcPr>
          <w:p w14:paraId="2D7A0956" w14:textId="77777777" w:rsidR="00967C7D" w:rsidRPr="00967C7D" w:rsidRDefault="00967C7D" w:rsidP="00967C7D">
            <w:pPr>
              <w:keepNext w:val="0"/>
              <w:spacing w:before="0"/>
              <w:rPr>
                <w:rFonts w:cs="Arial"/>
                <w:bCs/>
                <w:color w:val="auto"/>
                <w:sz w:val="20"/>
              </w:rPr>
            </w:pPr>
            <w:r w:rsidRPr="00967C7D">
              <w:rPr>
                <w:rFonts w:cs="Arial"/>
                <w:bCs/>
                <w:color w:val="auto"/>
                <w:sz w:val="20"/>
              </w:rPr>
              <w:t>North Sheet</w:t>
            </w:r>
          </w:p>
        </w:tc>
      </w:tr>
      <w:tr w:rsidR="00967C7D" w:rsidRPr="00967C7D" w14:paraId="0AEA3E46" w14:textId="77777777" w:rsidTr="00B5314A">
        <w:trPr>
          <w:trHeight w:val="284"/>
        </w:trPr>
        <w:tc>
          <w:tcPr>
            <w:tcW w:w="1280" w:type="dxa"/>
          </w:tcPr>
          <w:p w14:paraId="44EBAAFB" w14:textId="77777777" w:rsidR="00967C7D" w:rsidRPr="00967C7D" w:rsidRDefault="00967C7D" w:rsidP="00967C7D">
            <w:pPr>
              <w:keepNext w:val="0"/>
              <w:spacing w:before="0"/>
              <w:rPr>
                <w:rFonts w:cs="Arial"/>
                <w:bCs/>
                <w:color w:val="auto"/>
                <w:sz w:val="20"/>
              </w:rPr>
            </w:pPr>
            <w:r w:rsidRPr="00967C7D">
              <w:rPr>
                <w:rFonts w:cs="Arial"/>
                <w:bCs/>
                <w:color w:val="auto"/>
                <w:sz w:val="20"/>
              </w:rPr>
              <w:t>EV5/126</w:t>
            </w:r>
          </w:p>
        </w:tc>
        <w:tc>
          <w:tcPr>
            <w:tcW w:w="6230" w:type="dxa"/>
            <w:noWrap/>
          </w:tcPr>
          <w:p w14:paraId="200B3521" w14:textId="77777777" w:rsidR="00967C7D" w:rsidRPr="00967C7D" w:rsidRDefault="00967C7D" w:rsidP="00967C7D">
            <w:pPr>
              <w:keepNext w:val="0"/>
              <w:spacing w:before="0"/>
              <w:rPr>
                <w:rFonts w:cs="Arial"/>
                <w:bCs/>
                <w:color w:val="auto"/>
                <w:sz w:val="20"/>
              </w:rPr>
            </w:pPr>
            <w:r w:rsidRPr="00967C7D">
              <w:rPr>
                <w:rFonts w:cs="Arial"/>
                <w:bCs/>
                <w:color w:val="auto"/>
                <w:sz w:val="20"/>
              </w:rPr>
              <w:t>Land at Lane End</w:t>
            </w:r>
          </w:p>
        </w:tc>
        <w:tc>
          <w:tcPr>
            <w:tcW w:w="1847" w:type="dxa"/>
            <w:noWrap/>
          </w:tcPr>
          <w:p w14:paraId="6901F393" w14:textId="77777777" w:rsidR="00967C7D" w:rsidRPr="00967C7D" w:rsidRDefault="00967C7D" w:rsidP="00967C7D">
            <w:pPr>
              <w:keepNext w:val="0"/>
              <w:spacing w:before="0"/>
              <w:rPr>
                <w:rFonts w:cs="Arial"/>
                <w:bCs/>
                <w:color w:val="auto"/>
                <w:sz w:val="20"/>
              </w:rPr>
            </w:pPr>
            <w:r w:rsidRPr="00967C7D">
              <w:rPr>
                <w:rFonts w:cs="Arial"/>
                <w:bCs/>
                <w:color w:val="auto"/>
                <w:sz w:val="20"/>
              </w:rPr>
              <w:t>North Sheet</w:t>
            </w:r>
          </w:p>
        </w:tc>
      </w:tr>
      <w:tr w:rsidR="00967C7D" w:rsidRPr="00967C7D" w14:paraId="532771CD" w14:textId="77777777" w:rsidTr="00B5314A">
        <w:trPr>
          <w:trHeight w:val="284"/>
        </w:trPr>
        <w:tc>
          <w:tcPr>
            <w:tcW w:w="1280" w:type="dxa"/>
          </w:tcPr>
          <w:p w14:paraId="5763BE2C" w14:textId="77777777" w:rsidR="00967C7D" w:rsidRPr="00967C7D" w:rsidRDefault="00967C7D" w:rsidP="00967C7D">
            <w:pPr>
              <w:keepNext w:val="0"/>
              <w:spacing w:before="0"/>
              <w:rPr>
                <w:rFonts w:cs="Arial"/>
                <w:bCs/>
                <w:color w:val="auto"/>
                <w:sz w:val="20"/>
              </w:rPr>
            </w:pPr>
            <w:r w:rsidRPr="00967C7D">
              <w:rPr>
                <w:rFonts w:cs="Arial"/>
                <w:bCs/>
                <w:color w:val="auto"/>
                <w:sz w:val="20"/>
              </w:rPr>
              <w:t>EV5/127</w:t>
            </w:r>
          </w:p>
        </w:tc>
        <w:tc>
          <w:tcPr>
            <w:tcW w:w="6230" w:type="dxa"/>
            <w:noWrap/>
          </w:tcPr>
          <w:p w14:paraId="28838769" w14:textId="77777777" w:rsidR="00967C7D" w:rsidRPr="00967C7D" w:rsidRDefault="00967C7D" w:rsidP="00967C7D">
            <w:pPr>
              <w:keepNext w:val="0"/>
              <w:spacing w:before="0"/>
              <w:rPr>
                <w:rFonts w:cs="Arial"/>
                <w:bCs/>
                <w:color w:val="auto"/>
                <w:sz w:val="20"/>
              </w:rPr>
            </w:pPr>
            <w:r w:rsidRPr="00967C7D">
              <w:rPr>
                <w:rFonts w:cs="Arial"/>
                <w:bCs/>
                <w:color w:val="auto"/>
                <w:sz w:val="20"/>
              </w:rPr>
              <w:t>Kirkby College Playing Field</w:t>
            </w:r>
          </w:p>
        </w:tc>
        <w:tc>
          <w:tcPr>
            <w:tcW w:w="1847" w:type="dxa"/>
            <w:noWrap/>
          </w:tcPr>
          <w:p w14:paraId="58EE906C" w14:textId="77777777" w:rsidR="00967C7D" w:rsidRPr="00967C7D" w:rsidRDefault="00967C7D" w:rsidP="00967C7D">
            <w:pPr>
              <w:keepNext w:val="0"/>
              <w:spacing w:before="0"/>
              <w:rPr>
                <w:rFonts w:cs="Arial"/>
                <w:bCs/>
                <w:color w:val="auto"/>
                <w:sz w:val="20"/>
              </w:rPr>
            </w:pPr>
            <w:r w:rsidRPr="00967C7D">
              <w:rPr>
                <w:rFonts w:cs="Arial"/>
                <w:bCs/>
                <w:color w:val="auto"/>
                <w:sz w:val="20"/>
              </w:rPr>
              <w:t>North Sheet</w:t>
            </w:r>
          </w:p>
        </w:tc>
      </w:tr>
      <w:tr w:rsidR="00967C7D" w:rsidRPr="00967C7D" w14:paraId="57804BFA" w14:textId="77777777" w:rsidTr="00B5314A">
        <w:trPr>
          <w:trHeight w:val="284"/>
        </w:trPr>
        <w:tc>
          <w:tcPr>
            <w:tcW w:w="1280" w:type="dxa"/>
          </w:tcPr>
          <w:p w14:paraId="2B4594E6" w14:textId="77777777" w:rsidR="00967C7D" w:rsidRPr="00967C7D" w:rsidRDefault="00967C7D" w:rsidP="00967C7D">
            <w:pPr>
              <w:keepNext w:val="0"/>
              <w:spacing w:before="0"/>
              <w:rPr>
                <w:rFonts w:cs="Arial"/>
                <w:bCs/>
                <w:color w:val="auto"/>
                <w:sz w:val="20"/>
              </w:rPr>
            </w:pPr>
            <w:r w:rsidRPr="00967C7D">
              <w:rPr>
                <w:rFonts w:cs="Arial"/>
                <w:bCs/>
                <w:color w:val="auto"/>
                <w:sz w:val="20"/>
              </w:rPr>
              <w:t>EV5/128</w:t>
            </w:r>
          </w:p>
        </w:tc>
        <w:tc>
          <w:tcPr>
            <w:tcW w:w="6230" w:type="dxa"/>
            <w:noWrap/>
          </w:tcPr>
          <w:p w14:paraId="276E03B6" w14:textId="77777777" w:rsidR="00967C7D" w:rsidRPr="00967C7D" w:rsidRDefault="00967C7D" w:rsidP="00967C7D">
            <w:pPr>
              <w:keepNext w:val="0"/>
              <w:spacing w:before="0"/>
              <w:rPr>
                <w:rFonts w:cs="Arial"/>
                <w:bCs/>
                <w:color w:val="auto"/>
                <w:sz w:val="20"/>
              </w:rPr>
            </w:pPr>
            <w:proofErr w:type="spellStart"/>
            <w:r w:rsidRPr="00967C7D">
              <w:rPr>
                <w:rFonts w:cs="Arial"/>
                <w:bCs/>
                <w:color w:val="auto"/>
                <w:sz w:val="20"/>
              </w:rPr>
              <w:t>Lindleys</w:t>
            </w:r>
            <w:proofErr w:type="spellEnd"/>
            <w:r w:rsidRPr="00967C7D">
              <w:rPr>
                <w:rFonts w:cs="Arial"/>
                <w:bCs/>
                <w:color w:val="auto"/>
                <w:sz w:val="20"/>
              </w:rPr>
              <w:t xml:space="preserve"> Lane to </w:t>
            </w:r>
            <w:proofErr w:type="spellStart"/>
            <w:r w:rsidRPr="00967C7D">
              <w:rPr>
                <w:rFonts w:cs="Arial"/>
                <w:bCs/>
                <w:color w:val="auto"/>
                <w:sz w:val="20"/>
              </w:rPr>
              <w:t>Studfold</w:t>
            </w:r>
            <w:proofErr w:type="spellEnd"/>
            <w:r w:rsidRPr="00967C7D">
              <w:rPr>
                <w:rFonts w:cs="Arial"/>
                <w:bCs/>
                <w:color w:val="auto"/>
                <w:sz w:val="20"/>
              </w:rPr>
              <w:t xml:space="preserve"> Farm Footpath</w:t>
            </w:r>
          </w:p>
        </w:tc>
        <w:tc>
          <w:tcPr>
            <w:tcW w:w="1847" w:type="dxa"/>
            <w:noWrap/>
          </w:tcPr>
          <w:p w14:paraId="429133E2" w14:textId="77777777" w:rsidR="00967C7D" w:rsidRPr="00967C7D" w:rsidRDefault="00967C7D" w:rsidP="00967C7D">
            <w:pPr>
              <w:keepNext w:val="0"/>
              <w:spacing w:before="0"/>
              <w:rPr>
                <w:rFonts w:cs="Arial"/>
                <w:bCs/>
                <w:color w:val="auto"/>
                <w:sz w:val="20"/>
              </w:rPr>
            </w:pPr>
            <w:r w:rsidRPr="00967C7D">
              <w:rPr>
                <w:rFonts w:cs="Arial"/>
                <w:bCs/>
                <w:color w:val="auto"/>
                <w:sz w:val="20"/>
              </w:rPr>
              <w:t>North Sheet</w:t>
            </w:r>
          </w:p>
        </w:tc>
      </w:tr>
      <w:tr w:rsidR="00967C7D" w:rsidRPr="00967C7D" w14:paraId="194FEA88" w14:textId="77777777" w:rsidTr="00B5314A">
        <w:trPr>
          <w:trHeight w:val="284"/>
        </w:trPr>
        <w:tc>
          <w:tcPr>
            <w:tcW w:w="1280" w:type="dxa"/>
          </w:tcPr>
          <w:p w14:paraId="6FEF9EB8" w14:textId="77777777" w:rsidR="00967C7D" w:rsidRPr="00967C7D" w:rsidRDefault="00967C7D" w:rsidP="00967C7D">
            <w:pPr>
              <w:keepNext w:val="0"/>
              <w:spacing w:before="0"/>
              <w:rPr>
                <w:rFonts w:cs="Arial"/>
                <w:bCs/>
                <w:color w:val="auto"/>
                <w:sz w:val="20"/>
              </w:rPr>
            </w:pPr>
            <w:r w:rsidRPr="00967C7D">
              <w:rPr>
                <w:rFonts w:cs="Arial"/>
                <w:bCs/>
                <w:color w:val="auto"/>
                <w:sz w:val="20"/>
              </w:rPr>
              <w:t>EV5/129</w:t>
            </w:r>
          </w:p>
        </w:tc>
        <w:tc>
          <w:tcPr>
            <w:tcW w:w="6230" w:type="dxa"/>
            <w:noWrap/>
          </w:tcPr>
          <w:p w14:paraId="56A8DE12" w14:textId="77777777" w:rsidR="00967C7D" w:rsidRPr="00967C7D" w:rsidRDefault="00967C7D" w:rsidP="00967C7D">
            <w:pPr>
              <w:keepNext w:val="0"/>
              <w:spacing w:before="0"/>
              <w:rPr>
                <w:rFonts w:cs="Arial"/>
                <w:bCs/>
                <w:color w:val="auto"/>
                <w:sz w:val="20"/>
              </w:rPr>
            </w:pPr>
            <w:r w:rsidRPr="00967C7D">
              <w:rPr>
                <w:rFonts w:cs="Arial"/>
                <w:bCs/>
                <w:color w:val="auto"/>
                <w:sz w:val="20"/>
              </w:rPr>
              <w:t xml:space="preserve">St </w:t>
            </w:r>
            <w:proofErr w:type="spellStart"/>
            <w:r w:rsidRPr="00967C7D">
              <w:rPr>
                <w:rFonts w:cs="Arial"/>
                <w:bCs/>
                <w:color w:val="auto"/>
                <w:sz w:val="20"/>
              </w:rPr>
              <w:t>Wilfreds</w:t>
            </w:r>
            <w:proofErr w:type="spellEnd"/>
            <w:r w:rsidRPr="00967C7D">
              <w:rPr>
                <w:rFonts w:cs="Arial"/>
                <w:bCs/>
                <w:color w:val="auto"/>
                <w:sz w:val="20"/>
              </w:rPr>
              <w:t xml:space="preserve"> Church Cemetery</w:t>
            </w:r>
          </w:p>
        </w:tc>
        <w:tc>
          <w:tcPr>
            <w:tcW w:w="1847" w:type="dxa"/>
            <w:noWrap/>
          </w:tcPr>
          <w:p w14:paraId="275C41AA" w14:textId="77777777" w:rsidR="00967C7D" w:rsidRPr="00967C7D" w:rsidRDefault="00967C7D" w:rsidP="00967C7D">
            <w:pPr>
              <w:keepNext w:val="0"/>
              <w:spacing w:before="0"/>
              <w:rPr>
                <w:rFonts w:cs="Arial"/>
                <w:bCs/>
                <w:color w:val="auto"/>
                <w:sz w:val="20"/>
              </w:rPr>
            </w:pPr>
            <w:r w:rsidRPr="00967C7D">
              <w:rPr>
                <w:rFonts w:cs="Arial"/>
                <w:bCs/>
                <w:color w:val="auto"/>
                <w:sz w:val="20"/>
              </w:rPr>
              <w:t>North Sheet</w:t>
            </w:r>
          </w:p>
        </w:tc>
      </w:tr>
      <w:tr w:rsidR="00967C7D" w:rsidRPr="00967C7D" w14:paraId="132125B9" w14:textId="77777777" w:rsidTr="00B5314A">
        <w:trPr>
          <w:trHeight w:val="284"/>
        </w:trPr>
        <w:tc>
          <w:tcPr>
            <w:tcW w:w="1280" w:type="dxa"/>
          </w:tcPr>
          <w:p w14:paraId="29E519BB" w14:textId="77777777" w:rsidR="00967C7D" w:rsidRPr="00967C7D" w:rsidRDefault="00967C7D" w:rsidP="00967C7D">
            <w:pPr>
              <w:keepNext w:val="0"/>
              <w:spacing w:before="0"/>
              <w:rPr>
                <w:rFonts w:cs="Arial"/>
                <w:bCs/>
                <w:color w:val="auto"/>
                <w:sz w:val="20"/>
              </w:rPr>
            </w:pPr>
            <w:r w:rsidRPr="00967C7D">
              <w:rPr>
                <w:rFonts w:cs="Arial"/>
                <w:bCs/>
                <w:color w:val="auto"/>
                <w:sz w:val="20"/>
              </w:rPr>
              <w:t>EV5/130</w:t>
            </w:r>
          </w:p>
        </w:tc>
        <w:tc>
          <w:tcPr>
            <w:tcW w:w="6230" w:type="dxa"/>
            <w:noWrap/>
          </w:tcPr>
          <w:p w14:paraId="5518E8DC" w14:textId="77777777" w:rsidR="00967C7D" w:rsidRPr="00967C7D" w:rsidRDefault="00967C7D" w:rsidP="00967C7D">
            <w:pPr>
              <w:keepNext w:val="0"/>
              <w:spacing w:before="0"/>
              <w:rPr>
                <w:rFonts w:cs="Arial"/>
                <w:bCs/>
                <w:color w:val="auto"/>
                <w:sz w:val="20"/>
              </w:rPr>
            </w:pPr>
            <w:r w:rsidRPr="00967C7D">
              <w:rPr>
                <w:rFonts w:cs="Arial"/>
                <w:bCs/>
                <w:color w:val="auto"/>
                <w:sz w:val="20"/>
              </w:rPr>
              <w:t>Lime Street</w:t>
            </w:r>
          </w:p>
        </w:tc>
        <w:tc>
          <w:tcPr>
            <w:tcW w:w="1847" w:type="dxa"/>
            <w:noWrap/>
          </w:tcPr>
          <w:p w14:paraId="37AA162A" w14:textId="77777777" w:rsidR="00967C7D" w:rsidRPr="00967C7D" w:rsidRDefault="00967C7D" w:rsidP="00967C7D">
            <w:pPr>
              <w:keepNext w:val="0"/>
              <w:spacing w:before="0"/>
              <w:rPr>
                <w:rFonts w:cs="Arial"/>
                <w:bCs/>
                <w:color w:val="auto"/>
                <w:sz w:val="20"/>
              </w:rPr>
            </w:pPr>
            <w:r w:rsidRPr="00967C7D">
              <w:rPr>
                <w:rFonts w:cs="Arial"/>
                <w:bCs/>
                <w:color w:val="auto"/>
                <w:sz w:val="20"/>
              </w:rPr>
              <w:t>North Sheet</w:t>
            </w:r>
          </w:p>
        </w:tc>
      </w:tr>
      <w:tr w:rsidR="00967C7D" w:rsidRPr="00967C7D" w14:paraId="431E7706" w14:textId="77777777" w:rsidTr="00B5314A">
        <w:trPr>
          <w:trHeight w:val="284"/>
        </w:trPr>
        <w:tc>
          <w:tcPr>
            <w:tcW w:w="1280" w:type="dxa"/>
          </w:tcPr>
          <w:p w14:paraId="79B0E339" w14:textId="77777777" w:rsidR="00967C7D" w:rsidRPr="00967C7D" w:rsidRDefault="00967C7D" w:rsidP="00967C7D">
            <w:pPr>
              <w:keepNext w:val="0"/>
              <w:spacing w:before="0"/>
              <w:rPr>
                <w:rFonts w:cs="Arial"/>
                <w:bCs/>
                <w:color w:val="auto"/>
                <w:sz w:val="20"/>
              </w:rPr>
            </w:pPr>
            <w:r w:rsidRPr="00967C7D">
              <w:rPr>
                <w:rFonts w:cs="Arial"/>
                <w:bCs/>
                <w:color w:val="auto"/>
                <w:sz w:val="20"/>
              </w:rPr>
              <w:t>EV5/131</w:t>
            </w:r>
          </w:p>
        </w:tc>
        <w:tc>
          <w:tcPr>
            <w:tcW w:w="6230" w:type="dxa"/>
            <w:noWrap/>
          </w:tcPr>
          <w:p w14:paraId="120A0AAE" w14:textId="77777777" w:rsidR="00967C7D" w:rsidRPr="00967C7D" w:rsidRDefault="00967C7D" w:rsidP="00967C7D">
            <w:pPr>
              <w:keepNext w:val="0"/>
              <w:spacing w:before="0"/>
              <w:rPr>
                <w:rFonts w:cs="Arial"/>
                <w:bCs/>
                <w:color w:val="auto"/>
                <w:sz w:val="20"/>
              </w:rPr>
            </w:pPr>
            <w:r w:rsidRPr="00967C7D">
              <w:rPr>
                <w:rFonts w:cs="Arial"/>
                <w:bCs/>
                <w:color w:val="auto"/>
                <w:sz w:val="20"/>
              </w:rPr>
              <w:t>Titchfield Park</w:t>
            </w:r>
          </w:p>
        </w:tc>
        <w:tc>
          <w:tcPr>
            <w:tcW w:w="1847" w:type="dxa"/>
            <w:noWrap/>
          </w:tcPr>
          <w:p w14:paraId="26486A30" w14:textId="77777777" w:rsidR="00967C7D" w:rsidRPr="00967C7D" w:rsidRDefault="00967C7D" w:rsidP="00967C7D">
            <w:pPr>
              <w:keepNext w:val="0"/>
              <w:spacing w:before="0"/>
              <w:rPr>
                <w:rFonts w:cs="Arial"/>
                <w:bCs/>
                <w:color w:val="auto"/>
                <w:sz w:val="20"/>
              </w:rPr>
            </w:pPr>
            <w:r w:rsidRPr="00967C7D">
              <w:rPr>
                <w:rFonts w:cs="Arial"/>
                <w:bCs/>
                <w:color w:val="auto"/>
                <w:sz w:val="20"/>
              </w:rPr>
              <w:t>North Sheet</w:t>
            </w:r>
          </w:p>
        </w:tc>
      </w:tr>
      <w:tr w:rsidR="00967C7D" w:rsidRPr="00967C7D" w14:paraId="7AE37112" w14:textId="77777777" w:rsidTr="00B5314A">
        <w:trPr>
          <w:trHeight w:val="284"/>
        </w:trPr>
        <w:tc>
          <w:tcPr>
            <w:tcW w:w="1280" w:type="dxa"/>
          </w:tcPr>
          <w:p w14:paraId="02C8F4E1" w14:textId="77777777" w:rsidR="00967C7D" w:rsidRPr="00967C7D" w:rsidRDefault="00967C7D" w:rsidP="00967C7D">
            <w:pPr>
              <w:keepNext w:val="0"/>
              <w:spacing w:before="0"/>
              <w:rPr>
                <w:rFonts w:cs="Arial"/>
                <w:bCs/>
                <w:color w:val="auto"/>
                <w:sz w:val="20"/>
              </w:rPr>
            </w:pPr>
            <w:r w:rsidRPr="00967C7D">
              <w:rPr>
                <w:rFonts w:cs="Arial"/>
                <w:bCs/>
                <w:color w:val="auto"/>
                <w:sz w:val="20"/>
              </w:rPr>
              <w:t>EV5/132</w:t>
            </w:r>
          </w:p>
        </w:tc>
        <w:tc>
          <w:tcPr>
            <w:tcW w:w="6230" w:type="dxa"/>
            <w:noWrap/>
          </w:tcPr>
          <w:p w14:paraId="72670B17" w14:textId="77777777" w:rsidR="00967C7D" w:rsidRPr="00967C7D" w:rsidRDefault="00967C7D" w:rsidP="00967C7D">
            <w:pPr>
              <w:keepNext w:val="0"/>
              <w:spacing w:before="0"/>
              <w:rPr>
                <w:rFonts w:cs="Arial"/>
                <w:bCs/>
                <w:color w:val="auto"/>
                <w:sz w:val="20"/>
              </w:rPr>
            </w:pPr>
            <w:r w:rsidRPr="00967C7D">
              <w:rPr>
                <w:rFonts w:cs="Arial"/>
                <w:bCs/>
                <w:color w:val="auto"/>
                <w:sz w:val="20"/>
              </w:rPr>
              <w:t>Orchard Primary and Nursery School Playing Field</w:t>
            </w:r>
          </w:p>
        </w:tc>
        <w:tc>
          <w:tcPr>
            <w:tcW w:w="1847" w:type="dxa"/>
            <w:noWrap/>
          </w:tcPr>
          <w:p w14:paraId="762169C4" w14:textId="77777777" w:rsidR="00967C7D" w:rsidRPr="00967C7D" w:rsidRDefault="00967C7D" w:rsidP="00967C7D">
            <w:pPr>
              <w:keepNext w:val="0"/>
              <w:spacing w:before="0"/>
              <w:rPr>
                <w:rFonts w:cs="Arial"/>
                <w:bCs/>
                <w:color w:val="auto"/>
                <w:sz w:val="20"/>
              </w:rPr>
            </w:pPr>
            <w:r w:rsidRPr="00967C7D">
              <w:rPr>
                <w:rFonts w:cs="Arial"/>
                <w:bCs/>
                <w:color w:val="auto"/>
                <w:sz w:val="20"/>
              </w:rPr>
              <w:t>North Sheet</w:t>
            </w:r>
          </w:p>
        </w:tc>
      </w:tr>
      <w:tr w:rsidR="00967C7D" w:rsidRPr="00967C7D" w14:paraId="42D30393" w14:textId="77777777" w:rsidTr="00B5314A">
        <w:trPr>
          <w:trHeight w:val="284"/>
        </w:trPr>
        <w:tc>
          <w:tcPr>
            <w:tcW w:w="1280" w:type="dxa"/>
          </w:tcPr>
          <w:p w14:paraId="0275BCE6" w14:textId="77777777" w:rsidR="00967C7D" w:rsidRPr="00967C7D" w:rsidRDefault="00967C7D" w:rsidP="00967C7D">
            <w:pPr>
              <w:keepNext w:val="0"/>
              <w:spacing w:before="0"/>
              <w:rPr>
                <w:rFonts w:cs="Arial"/>
                <w:bCs/>
                <w:color w:val="auto"/>
                <w:sz w:val="20"/>
              </w:rPr>
            </w:pPr>
            <w:r w:rsidRPr="00967C7D">
              <w:rPr>
                <w:rFonts w:cs="Arial"/>
                <w:bCs/>
                <w:color w:val="auto"/>
                <w:sz w:val="20"/>
              </w:rPr>
              <w:t>EV5/133</w:t>
            </w:r>
          </w:p>
        </w:tc>
        <w:tc>
          <w:tcPr>
            <w:tcW w:w="6230" w:type="dxa"/>
            <w:noWrap/>
          </w:tcPr>
          <w:p w14:paraId="79DC72AE" w14:textId="77777777" w:rsidR="00967C7D" w:rsidRPr="00967C7D" w:rsidRDefault="00967C7D" w:rsidP="00967C7D">
            <w:pPr>
              <w:keepNext w:val="0"/>
              <w:spacing w:before="0"/>
              <w:rPr>
                <w:rFonts w:cs="Arial"/>
                <w:bCs/>
                <w:color w:val="auto"/>
                <w:sz w:val="20"/>
              </w:rPr>
            </w:pPr>
            <w:r w:rsidRPr="00967C7D">
              <w:rPr>
                <w:rFonts w:cs="Arial"/>
                <w:bCs/>
                <w:color w:val="auto"/>
                <w:sz w:val="20"/>
              </w:rPr>
              <w:t>Morven Park</w:t>
            </w:r>
          </w:p>
        </w:tc>
        <w:tc>
          <w:tcPr>
            <w:tcW w:w="1847" w:type="dxa"/>
            <w:noWrap/>
          </w:tcPr>
          <w:p w14:paraId="19288716" w14:textId="77777777" w:rsidR="00967C7D" w:rsidRPr="00967C7D" w:rsidRDefault="00967C7D" w:rsidP="00967C7D">
            <w:pPr>
              <w:keepNext w:val="0"/>
              <w:spacing w:before="0"/>
              <w:rPr>
                <w:rFonts w:cs="Arial"/>
                <w:bCs/>
                <w:color w:val="auto"/>
                <w:sz w:val="20"/>
              </w:rPr>
            </w:pPr>
            <w:r w:rsidRPr="00967C7D">
              <w:rPr>
                <w:rFonts w:cs="Arial"/>
                <w:bCs/>
                <w:color w:val="auto"/>
                <w:sz w:val="20"/>
              </w:rPr>
              <w:t>North Sheet</w:t>
            </w:r>
          </w:p>
        </w:tc>
      </w:tr>
      <w:tr w:rsidR="00967C7D" w:rsidRPr="00967C7D" w14:paraId="0108BCB9" w14:textId="77777777" w:rsidTr="00B5314A">
        <w:trPr>
          <w:trHeight w:val="284"/>
        </w:trPr>
        <w:tc>
          <w:tcPr>
            <w:tcW w:w="1280" w:type="dxa"/>
          </w:tcPr>
          <w:p w14:paraId="343CFB2A" w14:textId="77777777" w:rsidR="00967C7D" w:rsidRPr="00967C7D" w:rsidRDefault="00967C7D" w:rsidP="00967C7D">
            <w:pPr>
              <w:keepNext w:val="0"/>
              <w:spacing w:before="0"/>
              <w:rPr>
                <w:rFonts w:cs="Arial"/>
                <w:bCs/>
                <w:color w:val="auto"/>
                <w:sz w:val="20"/>
              </w:rPr>
            </w:pPr>
            <w:r w:rsidRPr="00967C7D">
              <w:rPr>
                <w:rFonts w:cs="Arial"/>
                <w:bCs/>
                <w:color w:val="auto"/>
                <w:sz w:val="20"/>
              </w:rPr>
              <w:t>EV5/134</w:t>
            </w:r>
          </w:p>
        </w:tc>
        <w:tc>
          <w:tcPr>
            <w:tcW w:w="6230" w:type="dxa"/>
            <w:noWrap/>
          </w:tcPr>
          <w:p w14:paraId="227C4F27" w14:textId="77777777" w:rsidR="00967C7D" w:rsidRPr="00967C7D" w:rsidRDefault="00967C7D" w:rsidP="00967C7D">
            <w:pPr>
              <w:keepNext w:val="0"/>
              <w:spacing w:before="0"/>
              <w:rPr>
                <w:rFonts w:cs="Arial"/>
                <w:bCs/>
                <w:color w:val="auto"/>
                <w:sz w:val="20"/>
              </w:rPr>
            </w:pPr>
            <w:r w:rsidRPr="00967C7D">
              <w:rPr>
                <w:rFonts w:cs="Arial"/>
                <w:bCs/>
                <w:color w:val="auto"/>
                <w:sz w:val="20"/>
              </w:rPr>
              <w:t>Bracken Hill and Coxmoor Primary School Field</w:t>
            </w:r>
          </w:p>
        </w:tc>
        <w:tc>
          <w:tcPr>
            <w:tcW w:w="1847" w:type="dxa"/>
            <w:noWrap/>
          </w:tcPr>
          <w:p w14:paraId="15F55D4B" w14:textId="77777777" w:rsidR="00967C7D" w:rsidRPr="00967C7D" w:rsidRDefault="00967C7D" w:rsidP="00967C7D">
            <w:pPr>
              <w:keepNext w:val="0"/>
              <w:spacing w:before="0"/>
              <w:rPr>
                <w:rFonts w:cs="Arial"/>
                <w:bCs/>
                <w:color w:val="auto"/>
                <w:sz w:val="20"/>
              </w:rPr>
            </w:pPr>
            <w:r w:rsidRPr="00967C7D">
              <w:rPr>
                <w:rFonts w:cs="Arial"/>
                <w:bCs/>
                <w:color w:val="auto"/>
                <w:sz w:val="20"/>
              </w:rPr>
              <w:t>North Sheet</w:t>
            </w:r>
          </w:p>
        </w:tc>
      </w:tr>
      <w:tr w:rsidR="00967C7D" w:rsidRPr="00967C7D" w14:paraId="71A6D0C7" w14:textId="77777777" w:rsidTr="00B5314A">
        <w:trPr>
          <w:trHeight w:val="284"/>
        </w:trPr>
        <w:tc>
          <w:tcPr>
            <w:tcW w:w="1280" w:type="dxa"/>
          </w:tcPr>
          <w:p w14:paraId="473CBAB5" w14:textId="77777777" w:rsidR="00967C7D" w:rsidRPr="00967C7D" w:rsidRDefault="00967C7D" w:rsidP="00967C7D">
            <w:pPr>
              <w:keepNext w:val="0"/>
              <w:spacing w:before="0"/>
              <w:rPr>
                <w:rFonts w:cs="Arial"/>
                <w:bCs/>
                <w:color w:val="auto"/>
                <w:sz w:val="20"/>
              </w:rPr>
            </w:pPr>
            <w:r w:rsidRPr="00967C7D">
              <w:rPr>
                <w:rFonts w:cs="Arial"/>
                <w:bCs/>
                <w:color w:val="auto"/>
                <w:sz w:val="20"/>
              </w:rPr>
              <w:t>EV5/135</w:t>
            </w:r>
          </w:p>
        </w:tc>
        <w:tc>
          <w:tcPr>
            <w:tcW w:w="6230" w:type="dxa"/>
            <w:noWrap/>
          </w:tcPr>
          <w:p w14:paraId="7FD37FC0" w14:textId="77777777" w:rsidR="00967C7D" w:rsidRPr="00967C7D" w:rsidRDefault="00967C7D" w:rsidP="00967C7D">
            <w:pPr>
              <w:keepNext w:val="0"/>
              <w:spacing w:before="0"/>
              <w:rPr>
                <w:rFonts w:cs="Arial"/>
                <w:bCs/>
                <w:color w:val="auto"/>
                <w:sz w:val="20"/>
              </w:rPr>
            </w:pPr>
            <w:r w:rsidRPr="00967C7D">
              <w:rPr>
                <w:rFonts w:cs="Arial"/>
                <w:bCs/>
                <w:color w:val="auto"/>
                <w:sz w:val="20"/>
              </w:rPr>
              <w:t>Jeffries School Field</w:t>
            </w:r>
          </w:p>
        </w:tc>
        <w:tc>
          <w:tcPr>
            <w:tcW w:w="1847" w:type="dxa"/>
            <w:noWrap/>
          </w:tcPr>
          <w:p w14:paraId="6FD8F7C9" w14:textId="77777777" w:rsidR="00967C7D" w:rsidRPr="00967C7D" w:rsidRDefault="00967C7D" w:rsidP="00967C7D">
            <w:pPr>
              <w:keepNext w:val="0"/>
              <w:spacing w:before="0"/>
              <w:rPr>
                <w:rFonts w:cs="Arial"/>
                <w:bCs/>
                <w:color w:val="auto"/>
                <w:sz w:val="20"/>
              </w:rPr>
            </w:pPr>
            <w:r w:rsidRPr="00967C7D">
              <w:rPr>
                <w:rFonts w:cs="Arial"/>
                <w:bCs/>
                <w:color w:val="auto"/>
                <w:sz w:val="20"/>
              </w:rPr>
              <w:t>North Sheet</w:t>
            </w:r>
          </w:p>
        </w:tc>
      </w:tr>
      <w:tr w:rsidR="00967C7D" w:rsidRPr="00967C7D" w14:paraId="75621FD4" w14:textId="77777777" w:rsidTr="00B5314A">
        <w:trPr>
          <w:trHeight w:val="284"/>
        </w:trPr>
        <w:tc>
          <w:tcPr>
            <w:tcW w:w="1280" w:type="dxa"/>
          </w:tcPr>
          <w:p w14:paraId="27A45EC0" w14:textId="77777777" w:rsidR="00967C7D" w:rsidRPr="00967C7D" w:rsidRDefault="00967C7D" w:rsidP="00967C7D">
            <w:pPr>
              <w:keepNext w:val="0"/>
              <w:spacing w:before="0"/>
              <w:rPr>
                <w:rFonts w:cs="Arial"/>
                <w:bCs/>
                <w:color w:val="auto"/>
                <w:sz w:val="20"/>
              </w:rPr>
            </w:pPr>
            <w:r w:rsidRPr="00967C7D">
              <w:rPr>
                <w:rFonts w:cs="Arial"/>
                <w:bCs/>
                <w:color w:val="auto"/>
                <w:sz w:val="20"/>
              </w:rPr>
              <w:t>EV5/136</w:t>
            </w:r>
          </w:p>
        </w:tc>
        <w:tc>
          <w:tcPr>
            <w:tcW w:w="6230" w:type="dxa"/>
            <w:noWrap/>
          </w:tcPr>
          <w:p w14:paraId="67D3BA59" w14:textId="77777777" w:rsidR="00967C7D" w:rsidRPr="00967C7D" w:rsidRDefault="00967C7D" w:rsidP="00967C7D">
            <w:pPr>
              <w:keepNext w:val="0"/>
              <w:spacing w:before="0"/>
              <w:rPr>
                <w:rFonts w:cs="Arial"/>
                <w:bCs/>
                <w:color w:val="auto"/>
                <w:sz w:val="20"/>
              </w:rPr>
            </w:pPr>
            <w:r w:rsidRPr="00967C7D">
              <w:rPr>
                <w:rFonts w:cs="Arial"/>
                <w:bCs/>
                <w:color w:val="auto"/>
                <w:sz w:val="20"/>
              </w:rPr>
              <w:t>BRSA Football Ground</w:t>
            </w:r>
          </w:p>
        </w:tc>
        <w:tc>
          <w:tcPr>
            <w:tcW w:w="1847" w:type="dxa"/>
            <w:noWrap/>
          </w:tcPr>
          <w:p w14:paraId="40A0D6ED" w14:textId="77777777" w:rsidR="00967C7D" w:rsidRPr="00967C7D" w:rsidRDefault="00967C7D" w:rsidP="00967C7D">
            <w:pPr>
              <w:keepNext w:val="0"/>
              <w:spacing w:before="0"/>
              <w:rPr>
                <w:rFonts w:cs="Arial"/>
                <w:bCs/>
                <w:color w:val="auto"/>
                <w:sz w:val="20"/>
              </w:rPr>
            </w:pPr>
            <w:r w:rsidRPr="00967C7D">
              <w:rPr>
                <w:rFonts w:cs="Arial"/>
                <w:bCs/>
                <w:color w:val="auto"/>
                <w:sz w:val="20"/>
              </w:rPr>
              <w:t>North Sheet</w:t>
            </w:r>
          </w:p>
        </w:tc>
      </w:tr>
      <w:tr w:rsidR="00967C7D" w:rsidRPr="00967C7D" w14:paraId="19E3409B" w14:textId="77777777" w:rsidTr="00B5314A">
        <w:trPr>
          <w:trHeight w:val="284"/>
        </w:trPr>
        <w:tc>
          <w:tcPr>
            <w:tcW w:w="1280" w:type="dxa"/>
          </w:tcPr>
          <w:p w14:paraId="506C1122" w14:textId="77777777" w:rsidR="00967C7D" w:rsidRPr="00967C7D" w:rsidRDefault="00967C7D" w:rsidP="00967C7D">
            <w:pPr>
              <w:keepNext w:val="0"/>
              <w:spacing w:before="0"/>
              <w:rPr>
                <w:rFonts w:cs="Arial"/>
                <w:bCs/>
                <w:color w:val="auto"/>
                <w:sz w:val="20"/>
              </w:rPr>
            </w:pPr>
            <w:r w:rsidRPr="00967C7D">
              <w:rPr>
                <w:rFonts w:cs="Arial"/>
                <w:bCs/>
                <w:color w:val="auto"/>
                <w:sz w:val="20"/>
              </w:rPr>
              <w:t>EV5/137</w:t>
            </w:r>
          </w:p>
        </w:tc>
        <w:tc>
          <w:tcPr>
            <w:tcW w:w="6230" w:type="dxa"/>
            <w:noWrap/>
          </w:tcPr>
          <w:p w14:paraId="5CDA2EC6" w14:textId="77777777" w:rsidR="00967C7D" w:rsidRPr="00967C7D" w:rsidRDefault="00967C7D" w:rsidP="00967C7D">
            <w:pPr>
              <w:keepNext w:val="0"/>
              <w:spacing w:before="0"/>
              <w:rPr>
                <w:rFonts w:cs="Arial"/>
                <w:bCs/>
                <w:color w:val="auto"/>
                <w:sz w:val="20"/>
              </w:rPr>
            </w:pPr>
            <w:r w:rsidRPr="00967C7D">
              <w:rPr>
                <w:rFonts w:cs="Arial"/>
                <w:bCs/>
                <w:color w:val="auto"/>
                <w:sz w:val="20"/>
              </w:rPr>
              <w:t>Ashfield Drive</w:t>
            </w:r>
          </w:p>
        </w:tc>
        <w:tc>
          <w:tcPr>
            <w:tcW w:w="1847" w:type="dxa"/>
            <w:noWrap/>
          </w:tcPr>
          <w:p w14:paraId="39415193" w14:textId="77777777" w:rsidR="00967C7D" w:rsidRPr="00967C7D" w:rsidRDefault="00967C7D" w:rsidP="00967C7D">
            <w:pPr>
              <w:keepNext w:val="0"/>
              <w:spacing w:before="0"/>
              <w:rPr>
                <w:rFonts w:cs="Arial"/>
                <w:bCs/>
                <w:color w:val="auto"/>
                <w:sz w:val="20"/>
              </w:rPr>
            </w:pPr>
            <w:r w:rsidRPr="00967C7D">
              <w:rPr>
                <w:rFonts w:cs="Arial"/>
                <w:bCs/>
                <w:color w:val="auto"/>
                <w:sz w:val="20"/>
              </w:rPr>
              <w:t>North Sheet</w:t>
            </w:r>
          </w:p>
        </w:tc>
      </w:tr>
      <w:tr w:rsidR="00967C7D" w:rsidRPr="00967C7D" w14:paraId="37C90429" w14:textId="77777777" w:rsidTr="00B5314A">
        <w:trPr>
          <w:trHeight w:val="284"/>
        </w:trPr>
        <w:tc>
          <w:tcPr>
            <w:tcW w:w="1280" w:type="dxa"/>
          </w:tcPr>
          <w:p w14:paraId="3E3249BC" w14:textId="77777777" w:rsidR="00967C7D" w:rsidRPr="00967C7D" w:rsidRDefault="00967C7D" w:rsidP="00967C7D">
            <w:pPr>
              <w:keepNext w:val="0"/>
              <w:spacing w:before="0"/>
              <w:rPr>
                <w:rFonts w:cs="Arial"/>
                <w:bCs/>
                <w:color w:val="auto"/>
                <w:sz w:val="20"/>
              </w:rPr>
            </w:pPr>
            <w:r w:rsidRPr="00967C7D">
              <w:rPr>
                <w:rFonts w:cs="Arial"/>
                <w:bCs/>
                <w:color w:val="auto"/>
                <w:sz w:val="20"/>
              </w:rPr>
              <w:t>EV5/138</w:t>
            </w:r>
          </w:p>
        </w:tc>
        <w:tc>
          <w:tcPr>
            <w:tcW w:w="6230" w:type="dxa"/>
            <w:noWrap/>
          </w:tcPr>
          <w:p w14:paraId="2A437974" w14:textId="77777777" w:rsidR="00967C7D" w:rsidRPr="00967C7D" w:rsidRDefault="00967C7D" w:rsidP="00967C7D">
            <w:pPr>
              <w:keepNext w:val="0"/>
              <w:spacing w:before="0"/>
              <w:rPr>
                <w:rFonts w:cs="Arial"/>
                <w:bCs/>
                <w:color w:val="auto"/>
                <w:sz w:val="20"/>
              </w:rPr>
            </w:pPr>
            <w:r w:rsidRPr="00967C7D">
              <w:rPr>
                <w:rFonts w:cs="Arial"/>
                <w:bCs/>
                <w:color w:val="auto"/>
                <w:sz w:val="20"/>
              </w:rPr>
              <w:t>Sutton Road Miners Welfare</w:t>
            </w:r>
          </w:p>
        </w:tc>
        <w:tc>
          <w:tcPr>
            <w:tcW w:w="1847" w:type="dxa"/>
            <w:noWrap/>
          </w:tcPr>
          <w:p w14:paraId="79972DE8" w14:textId="77777777" w:rsidR="00967C7D" w:rsidRPr="00967C7D" w:rsidRDefault="00967C7D" w:rsidP="00967C7D">
            <w:pPr>
              <w:keepNext w:val="0"/>
              <w:spacing w:before="0"/>
              <w:rPr>
                <w:rFonts w:cs="Arial"/>
                <w:bCs/>
                <w:color w:val="auto"/>
                <w:sz w:val="20"/>
              </w:rPr>
            </w:pPr>
            <w:r w:rsidRPr="00967C7D">
              <w:rPr>
                <w:rFonts w:cs="Arial"/>
                <w:bCs/>
                <w:color w:val="auto"/>
                <w:sz w:val="20"/>
              </w:rPr>
              <w:t>North Sheet</w:t>
            </w:r>
          </w:p>
        </w:tc>
      </w:tr>
      <w:tr w:rsidR="00967C7D" w:rsidRPr="00967C7D" w14:paraId="66D23A7D" w14:textId="77777777" w:rsidTr="00B5314A">
        <w:trPr>
          <w:trHeight w:val="284"/>
        </w:trPr>
        <w:tc>
          <w:tcPr>
            <w:tcW w:w="1280" w:type="dxa"/>
          </w:tcPr>
          <w:p w14:paraId="35B15B82" w14:textId="77777777" w:rsidR="00967C7D" w:rsidRPr="00967C7D" w:rsidRDefault="00967C7D" w:rsidP="00967C7D">
            <w:pPr>
              <w:keepNext w:val="0"/>
              <w:spacing w:before="0"/>
              <w:rPr>
                <w:rFonts w:cs="Arial"/>
                <w:bCs/>
                <w:color w:val="auto"/>
                <w:sz w:val="20"/>
              </w:rPr>
            </w:pPr>
            <w:r w:rsidRPr="00967C7D">
              <w:rPr>
                <w:rFonts w:cs="Arial"/>
                <w:bCs/>
                <w:color w:val="auto"/>
                <w:sz w:val="20"/>
              </w:rPr>
              <w:t>EV5/139</w:t>
            </w:r>
          </w:p>
        </w:tc>
        <w:tc>
          <w:tcPr>
            <w:tcW w:w="6230" w:type="dxa"/>
            <w:noWrap/>
          </w:tcPr>
          <w:p w14:paraId="7010500F" w14:textId="77777777" w:rsidR="00967C7D" w:rsidRPr="00967C7D" w:rsidRDefault="00967C7D" w:rsidP="00967C7D">
            <w:pPr>
              <w:keepNext w:val="0"/>
              <w:spacing w:before="0"/>
              <w:rPr>
                <w:rFonts w:cs="Arial"/>
                <w:bCs/>
                <w:color w:val="auto"/>
                <w:sz w:val="20"/>
              </w:rPr>
            </w:pPr>
            <w:r w:rsidRPr="00967C7D">
              <w:rPr>
                <w:rFonts w:cs="Arial"/>
                <w:bCs/>
                <w:color w:val="auto"/>
                <w:sz w:val="20"/>
              </w:rPr>
              <w:t>Warwick Close</w:t>
            </w:r>
          </w:p>
        </w:tc>
        <w:tc>
          <w:tcPr>
            <w:tcW w:w="1847" w:type="dxa"/>
            <w:noWrap/>
          </w:tcPr>
          <w:p w14:paraId="3CDC3461" w14:textId="77777777" w:rsidR="00967C7D" w:rsidRPr="00967C7D" w:rsidRDefault="00967C7D" w:rsidP="00967C7D">
            <w:pPr>
              <w:keepNext w:val="0"/>
              <w:spacing w:before="0"/>
              <w:rPr>
                <w:rFonts w:cs="Arial"/>
                <w:bCs/>
                <w:color w:val="auto"/>
                <w:sz w:val="20"/>
              </w:rPr>
            </w:pPr>
            <w:r w:rsidRPr="00967C7D">
              <w:rPr>
                <w:rFonts w:cs="Arial"/>
                <w:bCs/>
                <w:color w:val="auto"/>
                <w:sz w:val="20"/>
              </w:rPr>
              <w:t>North Sheet</w:t>
            </w:r>
          </w:p>
        </w:tc>
      </w:tr>
      <w:tr w:rsidR="00967C7D" w:rsidRPr="00967C7D" w14:paraId="1F8C0C09" w14:textId="77777777" w:rsidTr="00B5314A">
        <w:trPr>
          <w:trHeight w:val="284"/>
        </w:trPr>
        <w:tc>
          <w:tcPr>
            <w:tcW w:w="1280" w:type="dxa"/>
          </w:tcPr>
          <w:p w14:paraId="2A1AB1AA" w14:textId="77777777" w:rsidR="00967C7D" w:rsidRPr="00967C7D" w:rsidRDefault="00967C7D" w:rsidP="00967C7D">
            <w:pPr>
              <w:keepNext w:val="0"/>
              <w:spacing w:before="0"/>
              <w:rPr>
                <w:rFonts w:cs="Arial"/>
                <w:bCs/>
                <w:color w:val="auto"/>
                <w:sz w:val="20"/>
              </w:rPr>
            </w:pPr>
            <w:r w:rsidRPr="00967C7D">
              <w:rPr>
                <w:rFonts w:cs="Arial"/>
                <w:bCs/>
                <w:color w:val="auto"/>
                <w:sz w:val="20"/>
              </w:rPr>
              <w:t>EV5/140</w:t>
            </w:r>
          </w:p>
        </w:tc>
        <w:tc>
          <w:tcPr>
            <w:tcW w:w="6230" w:type="dxa"/>
            <w:noWrap/>
          </w:tcPr>
          <w:p w14:paraId="5D1EA1F2" w14:textId="77777777" w:rsidR="00967C7D" w:rsidRPr="00967C7D" w:rsidRDefault="00967C7D" w:rsidP="00967C7D">
            <w:pPr>
              <w:keepNext w:val="0"/>
              <w:spacing w:before="0"/>
              <w:rPr>
                <w:rFonts w:cs="Arial"/>
                <w:bCs/>
                <w:color w:val="auto"/>
                <w:sz w:val="20"/>
              </w:rPr>
            </w:pPr>
            <w:r w:rsidRPr="00967C7D">
              <w:rPr>
                <w:rFonts w:cs="Arial"/>
                <w:bCs/>
                <w:color w:val="auto"/>
                <w:sz w:val="20"/>
              </w:rPr>
              <w:t>Southwell Lane to Rowan Drive Footpath</w:t>
            </w:r>
          </w:p>
        </w:tc>
        <w:tc>
          <w:tcPr>
            <w:tcW w:w="1847" w:type="dxa"/>
            <w:noWrap/>
          </w:tcPr>
          <w:p w14:paraId="7B379CEC" w14:textId="77777777" w:rsidR="00967C7D" w:rsidRPr="00967C7D" w:rsidRDefault="00967C7D" w:rsidP="00967C7D">
            <w:pPr>
              <w:keepNext w:val="0"/>
              <w:spacing w:before="0"/>
              <w:rPr>
                <w:rFonts w:cs="Arial"/>
                <w:bCs/>
                <w:color w:val="auto"/>
                <w:sz w:val="20"/>
              </w:rPr>
            </w:pPr>
            <w:r w:rsidRPr="00967C7D">
              <w:rPr>
                <w:rFonts w:cs="Arial"/>
                <w:bCs/>
                <w:color w:val="auto"/>
                <w:sz w:val="20"/>
              </w:rPr>
              <w:t>North Sheet</w:t>
            </w:r>
          </w:p>
        </w:tc>
      </w:tr>
      <w:tr w:rsidR="00967C7D" w:rsidRPr="00967C7D" w14:paraId="2C8BDA2C" w14:textId="77777777" w:rsidTr="00B5314A">
        <w:trPr>
          <w:trHeight w:val="284"/>
        </w:trPr>
        <w:tc>
          <w:tcPr>
            <w:tcW w:w="1280" w:type="dxa"/>
          </w:tcPr>
          <w:p w14:paraId="5AB68A50" w14:textId="77777777" w:rsidR="00967C7D" w:rsidRPr="00967C7D" w:rsidRDefault="00967C7D" w:rsidP="00967C7D">
            <w:pPr>
              <w:keepNext w:val="0"/>
              <w:spacing w:before="0"/>
              <w:rPr>
                <w:rFonts w:cs="Arial"/>
                <w:bCs/>
                <w:color w:val="auto"/>
                <w:sz w:val="20"/>
              </w:rPr>
            </w:pPr>
            <w:r w:rsidRPr="00967C7D">
              <w:rPr>
                <w:rFonts w:cs="Arial"/>
                <w:bCs/>
                <w:color w:val="auto"/>
                <w:sz w:val="20"/>
              </w:rPr>
              <w:t>EV5/141</w:t>
            </w:r>
          </w:p>
        </w:tc>
        <w:tc>
          <w:tcPr>
            <w:tcW w:w="6230" w:type="dxa"/>
            <w:noWrap/>
          </w:tcPr>
          <w:p w14:paraId="27E4FF1F" w14:textId="77777777" w:rsidR="00967C7D" w:rsidRPr="00967C7D" w:rsidRDefault="00967C7D" w:rsidP="00967C7D">
            <w:pPr>
              <w:keepNext w:val="0"/>
              <w:spacing w:before="0"/>
              <w:rPr>
                <w:rFonts w:cs="Arial"/>
                <w:bCs/>
                <w:color w:val="auto"/>
                <w:sz w:val="20"/>
              </w:rPr>
            </w:pPr>
            <w:r w:rsidRPr="00967C7D">
              <w:rPr>
                <w:rFonts w:cs="Arial"/>
                <w:bCs/>
                <w:color w:val="auto"/>
                <w:sz w:val="20"/>
              </w:rPr>
              <w:t>Land at rear of Ashfield Community Hospital</w:t>
            </w:r>
          </w:p>
        </w:tc>
        <w:tc>
          <w:tcPr>
            <w:tcW w:w="1847" w:type="dxa"/>
            <w:noWrap/>
          </w:tcPr>
          <w:p w14:paraId="171C1CDC" w14:textId="77777777" w:rsidR="00967C7D" w:rsidRPr="00967C7D" w:rsidRDefault="00967C7D" w:rsidP="00967C7D">
            <w:pPr>
              <w:keepNext w:val="0"/>
              <w:spacing w:before="0"/>
              <w:rPr>
                <w:rFonts w:cs="Arial"/>
                <w:bCs/>
                <w:color w:val="auto"/>
                <w:sz w:val="20"/>
              </w:rPr>
            </w:pPr>
            <w:r w:rsidRPr="00967C7D">
              <w:rPr>
                <w:rFonts w:cs="Arial"/>
                <w:bCs/>
                <w:color w:val="auto"/>
                <w:sz w:val="20"/>
              </w:rPr>
              <w:t>North Sheet</w:t>
            </w:r>
          </w:p>
        </w:tc>
      </w:tr>
      <w:tr w:rsidR="00967C7D" w:rsidRPr="00967C7D" w14:paraId="6728539F" w14:textId="77777777" w:rsidTr="00B5314A">
        <w:trPr>
          <w:trHeight w:val="284"/>
        </w:trPr>
        <w:tc>
          <w:tcPr>
            <w:tcW w:w="1280" w:type="dxa"/>
          </w:tcPr>
          <w:p w14:paraId="0C3D90F2" w14:textId="77777777" w:rsidR="00967C7D" w:rsidRPr="00967C7D" w:rsidRDefault="00967C7D" w:rsidP="00967C7D">
            <w:pPr>
              <w:keepNext w:val="0"/>
              <w:spacing w:before="0"/>
              <w:rPr>
                <w:rFonts w:cs="Arial"/>
                <w:bCs/>
                <w:color w:val="auto"/>
                <w:sz w:val="20"/>
              </w:rPr>
            </w:pPr>
            <w:r w:rsidRPr="00967C7D">
              <w:rPr>
                <w:rFonts w:cs="Arial"/>
                <w:bCs/>
                <w:color w:val="auto"/>
                <w:sz w:val="20"/>
              </w:rPr>
              <w:t>EV5/142</w:t>
            </w:r>
          </w:p>
        </w:tc>
        <w:tc>
          <w:tcPr>
            <w:tcW w:w="6230" w:type="dxa"/>
            <w:noWrap/>
          </w:tcPr>
          <w:p w14:paraId="30EE47EA" w14:textId="77777777" w:rsidR="00967C7D" w:rsidRPr="00967C7D" w:rsidRDefault="00967C7D" w:rsidP="00967C7D">
            <w:pPr>
              <w:keepNext w:val="0"/>
              <w:spacing w:before="0"/>
              <w:rPr>
                <w:rFonts w:cs="Arial"/>
                <w:bCs/>
                <w:color w:val="auto"/>
                <w:sz w:val="20"/>
              </w:rPr>
            </w:pPr>
            <w:r w:rsidRPr="00967C7D">
              <w:rPr>
                <w:rFonts w:cs="Arial"/>
                <w:bCs/>
                <w:color w:val="auto"/>
                <w:sz w:val="20"/>
              </w:rPr>
              <w:t>West Park</w:t>
            </w:r>
          </w:p>
        </w:tc>
        <w:tc>
          <w:tcPr>
            <w:tcW w:w="1847" w:type="dxa"/>
            <w:noWrap/>
          </w:tcPr>
          <w:p w14:paraId="4049B818" w14:textId="77777777" w:rsidR="00967C7D" w:rsidRPr="00967C7D" w:rsidRDefault="00967C7D" w:rsidP="00967C7D">
            <w:pPr>
              <w:keepNext w:val="0"/>
              <w:spacing w:before="0"/>
              <w:rPr>
                <w:rFonts w:cs="Arial"/>
                <w:bCs/>
                <w:color w:val="auto"/>
                <w:sz w:val="20"/>
              </w:rPr>
            </w:pPr>
            <w:r w:rsidRPr="00967C7D">
              <w:rPr>
                <w:rFonts w:cs="Arial"/>
                <w:bCs/>
                <w:color w:val="auto"/>
                <w:sz w:val="20"/>
              </w:rPr>
              <w:t>North Sheet</w:t>
            </w:r>
          </w:p>
        </w:tc>
      </w:tr>
      <w:tr w:rsidR="00967C7D" w:rsidRPr="00967C7D" w14:paraId="319E8218" w14:textId="77777777" w:rsidTr="00B5314A">
        <w:trPr>
          <w:trHeight w:val="284"/>
        </w:trPr>
        <w:tc>
          <w:tcPr>
            <w:tcW w:w="1280" w:type="dxa"/>
          </w:tcPr>
          <w:p w14:paraId="111CF1FA" w14:textId="77777777" w:rsidR="00967C7D" w:rsidRPr="00967C7D" w:rsidRDefault="00967C7D" w:rsidP="00967C7D">
            <w:pPr>
              <w:keepNext w:val="0"/>
              <w:spacing w:before="0"/>
              <w:rPr>
                <w:rFonts w:cs="Arial"/>
                <w:bCs/>
                <w:color w:val="auto"/>
                <w:sz w:val="20"/>
              </w:rPr>
            </w:pPr>
            <w:r w:rsidRPr="00967C7D">
              <w:rPr>
                <w:rFonts w:cs="Arial"/>
                <w:bCs/>
                <w:color w:val="auto"/>
                <w:sz w:val="20"/>
              </w:rPr>
              <w:t>EV5/143</w:t>
            </w:r>
          </w:p>
        </w:tc>
        <w:tc>
          <w:tcPr>
            <w:tcW w:w="6230" w:type="dxa"/>
            <w:noWrap/>
          </w:tcPr>
          <w:p w14:paraId="1E7BB6EC" w14:textId="77777777" w:rsidR="00967C7D" w:rsidRPr="00967C7D" w:rsidRDefault="00967C7D" w:rsidP="00967C7D">
            <w:pPr>
              <w:keepNext w:val="0"/>
              <w:spacing w:before="0"/>
              <w:rPr>
                <w:rFonts w:cs="Arial"/>
                <w:bCs/>
                <w:color w:val="auto"/>
                <w:sz w:val="20"/>
              </w:rPr>
            </w:pPr>
            <w:r w:rsidRPr="00967C7D">
              <w:rPr>
                <w:rFonts w:cs="Arial"/>
                <w:bCs/>
                <w:color w:val="auto"/>
                <w:sz w:val="20"/>
              </w:rPr>
              <w:t>Summit Centre Open Space</w:t>
            </w:r>
          </w:p>
        </w:tc>
        <w:tc>
          <w:tcPr>
            <w:tcW w:w="1847" w:type="dxa"/>
            <w:noWrap/>
          </w:tcPr>
          <w:p w14:paraId="0B2550EE" w14:textId="77777777" w:rsidR="00967C7D" w:rsidRPr="00967C7D" w:rsidRDefault="00967C7D" w:rsidP="00967C7D">
            <w:pPr>
              <w:keepNext w:val="0"/>
              <w:spacing w:before="0"/>
              <w:rPr>
                <w:rFonts w:cs="Arial"/>
                <w:bCs/>
                <w:color w:val="auto"/>
                <w:sz w:val="20"/>
              </w:rPr>
            </w:pPr>
            <w:r w:rsidRPr="00967C7D">
              <w:rPr>
                <w:rFonts w:cs="Arial"/>
                <w:bCs/>
                <w:color w:val="auto"/>
                <w:sz w:val="20"/>
              </w:rPr>
              <w:t>North Sheet</w:t>
            </w:r>
          </w:p>
        </w:tc>
      </w:tr>
      <w:tr w:rsidR="00967C7D" w:rsidRPr="00967C7D" w14:paraId="0DE9EDE6" w14:textId="77777777" w:rsidTr="00B5314A">
        <w:trPr>
          <w:trHeight w:val="284"/>
        </w:trPr>
        <w:tc>
          <w:tcPr>
            <w:tcW w:w="1280" w:type="dxa"/>
          </w:tcPr>
          <w:p w14:paraId="28F19F13" w14:textId="77777777" w:rsidR="00967C7D" w:rsidRPr="00967C7D" w:rsidRDefault="00967C7D" w:rsidP="00967C7D">
            <w:pPr>
              <w:keepNext w:val="0"/>
              <w:spacing w:before="0"/>
              <w:rPr>
                <w:rFonts w:cs="Arial"/>
                <w:bCs/>
                <w:color w:val="auto"/>
                <w:sz w:val="20"/>
              </w:rPr>
            </w:pPr>
            <w:r w:rsidRPr="00967C7D">
              <w:rPr>
                <w:rFonts w:cs="Arial"/>
                <w:bCs/>
                <w:color w:val="auto"/>
                <w:sz w:val="20"/>
              </w:rPr>
              <w:t>EV5/144</w:t>
            </w:r>
          </w:p>
        </w:tc>
        <w:tc>
          <w:tcPr>
            <w:tcW w:w="6230" w:type="dxa"/>
            <w:noWrap/>
          </w:tcPr>
          <w:p w14:paraId="587052E6" w14:textId="77777777" w:rsidR="00967C7D" w:rsidRPr="00967C7D" w:rsidRDefault="00967C7D" w:rsidP="00967C7D">
            <w:pPr>
              <w:keepNext w:val="0"/>
              <w:spacing w:before="0"/>
              <w:rPr>
                <w:rFonts w:cs="Arial"/>
                <w:bCs/>
                <w:color w:val="auto"/>
                <w:sz w:val="20"/>
              </w:rPr>
            </w:pPr>
            <w:r w:rsidRPr="00967C7D">
              <w:rPr>
                <w:rFonts w:cs="Arial"/>
                <w:bCs/>
                <w:color w:val="auto"/>
                <w:sz w:val="20"/>
              </w:rPr>
              <w:t>Coxmoor Plantation</w:t>
            </w:r>
          </w:p>
        </w:tc>
        <w:tc>
          <w:tcPr>
            <w:tcW w:w="1847" w:type="dxa"/>
            <w:noWrap/>
          </w:tcPr>
          <w:p w14:paraId="682927D4" w14:textId="77777777" w:rsidR="00967C7D" w:rsidRPr="00967C7D" w:rsidRDefault="00967C7D" w:rsidP="00967C7D">
            <w:pPr>
              <w:keepNext w:val="0"/>
              <w:spacing w:before="0"/>
              <w:rPr>
                <w:rFonts w:cs="Arial"/>
                <w:bCs/>
                <w:color w:val="auto"/>
                <w:sz w:val="20"/>
              </w:rPr>
            </w:pPr>
            <w:r w:rsidRPr="00967C7D">
              <w:rPr>
                <w:rFonts w:cs="Arial"/>
                <w:bCs/>
                <w:color w:val="auto"/>
                <w:sz w:val="20"/>
              </w:rPr>
              <w:t>North Sheet</w:t>
            </w:r>
          </w:p>
        </w:tc>
      </w:tr>
      <w:tr w:rsidR="00967C7D" w:rsidRPr="00967C7D" w14:paraId="317DE00E" w14:textId="77777777" w:rsidTr="00B5314A">
        <w:trPr>
          <w:trHeight w:val="284"/>
        </w:trPr>
        <w:tc>
          <w:tcPr>
            <w:tcW w:w="1280" w:type="dxa"/>
          </w:tcPr>
          <w:p w14:paraId="62584A06" w14:textId="77777777" w:rsidR="00967C7D" w:rsidRPr="00967C7D" w:rsidRDefault="00967C7D" w:rsidP="00967C7D">
            <w:pPr>
              <w:keepNext w:val="0"/>
              <w:spacing w:before="0"/>
              <w:rPr>
                <w:rFonts w:cs="Arial"/>
                <w:bCs/>
                <w:color w:val="auto"/>
                <w:sz w:val="20"/>
              </w:rPr>
            </w:pPr>
            <w:r w:rsidRPr="00967C7D">
              <w:rPr>
                <w:rFonts w:cs="Arial"/>
                <w:bCs/>
                <w:color w:val="auto"/>
                <w:sz w:val="20"/>
              </w:rPr>
              <w:t>EV5/145</w:t>
            </w:r>
          </w:p>
        </w:tc>
        <w:tc>
          <w:tcPr>
            <w:tcW w:w="6230" w:type="dxa"/>
            <w:noWrap/>
          </w:tcPr>
          <w:p w14:paraId="701CAE3B" w14:textId="77777777" w:rsidR="00967C7D" w:rsidRPr="00967C7D" w:rsidRDefault="00967C7D" w:rsidP="00967C7D">
            <w:pPr>
              <w:keepNext w:val="0"/>
              <w:spacing w:before="0"/>
              <w:rPr>
                <w:rFonts w:cs="Arial"/>
                <w:bCs/>
                <w:color w:val="auto"/>
                <w:sz w:val="20"/>
              </w:rPr>
            </w:pPr>
            <w:r w:rsidRPr="00967C7D">
              <w:rPr>
                <w:rFonts w:cs="Arial"/>
                <w:bCs/>
                <w:color w:val="auto"/>
                <w:sz w:val="20"/>
              </w:rPr>
              <w:t>Forster Street</w:t>
            </w:r>
          </w:p>
        </w:tc>
        <w:tc>
          <w:tcPr>
            <w:tcW w:w="1847" w:type="dxa"/>
            <w:noWrap/>
          </w:tcPr>
          <w:p w14:paraId="1754F669" w14:textId="77777777" w:rsidR="00967C7D" w:rsidRPr="00967C7D" w:rsidRDefault="00967C7D" w:rsidP="00967C7D">
            <w:pPr>
              <w:keepNext w:val="0"/>
              <w:spacing w:before="0"/>
              <w:rPr>
                <w:rFonts w:cs="Arial"/>
                <w:bCs/>
                <w:color w:val="auto"/>
                <w:sz w:val="20"/>
              </w:rPr>
            </w:pPr>
            <w:r w:rsidRPr="00967C7D">
              <w:rPr>
                <w:rFonts w:cs="Arial"/>
                <w:bCs/>
                <w:color w:val="auto"/>
                <w:sz w:val="20"/>
              </w:rPr>
              <w:t>North Sheet</w:t>
            </w:r>
          </w:p>
        </w:tc>
      </w:tr>
      <w:tr w:rsidR="00967C7D" w:rsidRPr="00967C7D" w14:paraId="6FB31B47" w14:textId="77777777" w:rsidTr="00B5314A">
        <w:trPr>
          <w:trHeight w:val="284"/>
        </w:trPr>
        <w:tc>
          <w:tcPr>
            <w:tcW w:w="1280" w:type="dxa"/>
          </w:tcPr>
          <w:p w14:paraId="45093E9F" w14:textId="77777777" w:rsidR="00967C7D" w:rsidRPr="00967C7D" w:rsidRDefault="00967C7D" w:rsidP="00967C7D">
            <w:pPr>
              <w:keepNext w:val="0"/>
              <w:spacing w:before="0"/>
              <w:rPr>
                <w:rFonts w:cs="Arial"/>
                <w:bCs/>
                <w:color w:val="auto"/>
                <w:sz w:val="20"/>
              </w:rPr>
            </w:pPr>
            <w:r w:rsidRPr="00967C7D">
              <w:rPr>
                <w:rFonts w:cs="Arial"/>
                <w:bCs/>
                <w:color w:val="auto"/>
                <w:sz w:val="20"/>
              </w:rPr>
              <w:t>EV5/146</w:t>
            </w:r>
          </w:p>
        </w:tc>
        <w:tc>
          <w:tcPr>
            <w:tcW w:w="6230" w:type="dxa"/>
            <w:noWrap/>
          </w:tcPr>
          <w:p w14:paraId="0EB422D2" w14:textId="77777777" w:rsidR="00967C7D" w:rsidRPr="00967C7D" w:rsidRDefault="00967C7D" w:rsidP="00967C7D">
            <w:pPr>
              <w:keepNext w:val="0"/>
              <w:spacing w:before="0"/>
              <w:rPr>
                <w:rFonts w:cs="Arial"/>
                <w:bCs/>
                <w:color w:val="auto"/>
                <w:sz w:val="20"/>
              </w:rPr>
            </w:pPr>
            <w:r w:rsidRPr="00967C7D">
              <w:rPr>
                <w:rFonts w:cs="Arial"/>
                <w:bCs/>
                <w:color w:val="auto"/>
                <w:sz w:val="20"/>
              </w:rPr>
              <w:t>Coniston Road</w:t>
            </w:r>
          </w:p>
        </w:tc>
        <w:tc>
          <w:tcPr>
            <w:tcW w:w="1847" w:type="dxa"/>
            <w:noWrap/>
          </w:tcPr>
          <w:p w14:paraId="2FA88996" w14:textId="77777777" w:rsidR="00967C7D" w:rsidRPr="00967C7D" w:rsidRDefault="00967C7D" w:rsidP="00967C7D">
            <w:pPr>
              <w:keepNext w:val="0"/>
              <w:spacing w:before="0"/>
              <w:rPr>
                <w:rFonts w:cs="Arial"/>
                <w:bCs/>
                <w:color w:val="auto"/>
                <w:sz w:val="20"/>
              </w:rPr>
            </w:pPr>
            <w:r w:rsidRPr="00967C7D">
              <w:rPr>
                <w:rFonts w:cs="Arial"/>
                <w:bCs/>
                <w:color w:val="auto"/>
                <w:sz w:val="20"/>
              </w:rPr>
              <w:t>North Sheet</w:t>
            </w:r>
          </w:p>
        </w:tc>
      </w:tr>
      <w:tr w:rsidR="00967C7D" w:rsidRPr="00967C7D" w14:paraId="5A330FAF" w14:textId="77777777" w:rsidTr="00B5314A">
        <w:trPr>
          <w:trHeight w:val="284"/>
        </w:trPr>
        <w:tc>
          <w:tcPr>
            <w:tcW w:w="1280" w:type="dxa"/>
          </w:tcPr>
          <w:p w14:paraId="452A6030" w14:textId="77777777" w:rsidR="00967C7D" w:rsidRPr="00967C7D" w:rsidRDefault="00967C7D" w:rsidP="00967C7D">
            <w:pPr>
              <w:keepNext w:val="0"/>
              <w:spacing w:before="0"/>
              <w:rPr>
                <w:rFonts w:cs="Arial"/>
                <w:bCs/>
                <w:color w:val="auto"/>
                <w:sz w:val="20"/>
              </w:rPr>
            </w:pPr>
            <w:r w:rsidRPr="00967C7D">
              <w:rPr>
                <w:rFonts w:cs="Arial"/>
                <w:bCs/>
                <w:color w:val="auto"/>
                <w:sz w:val="20"/>
              </w:rPr>
              <w:t>EV5/147</w:t>
            </w:r>
          </w:p>
        </w:tc>
        <w:tc>
          <w:tcPr>
            <w:tcW w:w="6230" w:type="dxa"/>
            <w:noWrap/>
          </w:tcPr>
          <w:p w14:paraId="05B8F2C6" w14:textId="77777777" w:rsidR="00967C7D" w:rsidRPr="00967C7D" w:rsidRDefault="00967C7D" w:rsidP="00967C7D">
            <w:pPr>
              <w:keepNext w:val="0"/>
              <w:spacing w:before="0"/>
              <w:rPr>
                <w:rFonts w:cs="Arial"/>
                <w:bCs/>
                <w:color w:val="auto"/>
                <w:sz w:val="20"/>
              </w:rPr>
            </w:pPr>
            <w:r w:rsidRPr="00967C7D">
              <w:rPr>
                <w:rFonts w:cs="Arial"/>
                <w:bCs/>
                <w:color w:val="auto"/>
                <w:sz w:val="20"/>
              </w:rPr>
              <w:t>Southwell Close</w:t>
            </w:r>
          </w:p>
        </w:tc>
        <w:tc>
          <w:tcPr>
            <w:tcW w:w="1847" w:type="dxa"/>
            <w:noWrap/>
          </w:tcPr>
          <w:p w14:paraId="23464789" w14:textId="77777777" w:rsidR="00967C7D" w:rsidRPr="00967C7D" w:rsidRDefault="00967C7D" w:rsidP="00967C7D">
            <w:pPr>
              <w:keepNext w:val="0"/>
              <w:spacing w:before="0"/>
              <w:rPr>
                <w:rFonts w:cs="Arial"/>
                <w:bCs/>
                <w:color w:val="auto"/>
                <w:sz w:val="20"/>
              </w:rPr>
            </w:pPr>
            <w:r w:rsidRPr="00967C7D">
              <w:rPr>
                <w:rFonts w:cs="Arial"/>
                <w:bCs/>
                <w:color w:val="auto"/>
                <w:sz w:val="20"/>
              </w:rPr>
              <w:t>North Sheet</w:t>
            </w:r>
          </w:p>
        </w:tc>
      </w:tr>
      <w:tr w:rsidR="00967C7D" w:rsidRPr="00967C7D" w14:paraId="5E0CA192" w14:textId="77777777" w:rsidTr="00B5314A">
        <w:trPr>
          <w:trHeight w:val="284"/>
        </w:trPr>
        <w:tc>
          <w:tcPr>
            <w:tcW w:w="1280" w:type="dxa"/>
          </w:tcPr>
          <w:p w14:paraId="73EDA043" w14:textId="77777777" w:rsidR="00967C7D" w:rsidRPr="00967C7D" w:rsidRDefault="00967C7D" w:rsidP="00967C7D">
            <w:pPr>
              <w:keepNext w:val="0"/>
              <w:spacing w:before="0"/>
              <w:rPr>
                <w:rFonts w:cs="Arial"/>
                <w:bCs/>
                <w:color w:val="auto"/>
                <w:sz w:val="20"/>
              </w:rPr>
            </w:pPr>
            <w:r w:rsidRPr="00967C7D">
              <w:rPr>
                <w:rFonts w:cs="Arial"/>
                <w:bCs/>
                <w:color w:val="auto"/>
                <w:sz w:val="20"/>
              </w:rPr>
              <w:t>EV5/148</w:t>
            </w:r>
          </w:p>
        </w:tc>
        <w:tc>
          <w:tcPr>
            <w:tcW w:w="6230" w:type="dxa"/>
            <w:noWrap/>
          </w:tcPr>
          <w:p w14:paraId="7E2A158F" w14:textId="77777777" w:rsidR="00967C7D" w:rsidRPr="00967C7D" w:rsidRDefault="00967C7D" w:rsidP="00967C7D">
            <w:pPr>
              <w:keepNext w:val="0"/>
              <w:spacing w:before="0"/>
              <w:rPr>
                <w:rFonts w:cs="Arial"/>
                <w:bCs/>
                <w:color w:val="auto"/>
                <w:sz w:val="20"/>
              </w:rPr>
            </w:pPr>
            <w:r w:rsidRPr="00967C7D">
              <w:rPr>
                <w:rFonts w:cs="Arial"/>
                <w:bCs/>
                <w:color w:val="auto"/>
                <w:sz w:val="20"/>
              </w:rPr>
              <w:t>Acorn View</w:t>
            </w:r>
          </w:p>
        </w:tc>
        <w:tc>
          <w:tcPr>
            <w:tcW w:w="1847" w:type="dxa"/>
            <w:noWrap/>
          </w:tcPr>
          <w:p w14:paraId="2F8A0C75" w14:textId="77777777" w:rsidR="00967C7D" w:rsidRPr="00967C7D" w:rsidRDefault="00967C7D" w:rsidP="00967C7D">
            <w:pPr>
              <w:keepNext w:val="0"/>
              <w:spacing w:before="0"/>
              <w:rPr>
                <w:rFonts w:cs="Arial"/>
                <w:bCs/>
                <w:color w:val="auto"/>
                <w:sz w:val="20"/>
              </w:rPr>
            </w:pPr>
            <w:r w:rsidRPr="00967C7D">
              <w:rPr>
                <w:rFonts w:cs="Arial"/>
                <w:bCs/>
                <w:color w:val="auto"/>
                <w:sz w:val="20"/>
              </w:rPr>
              <w:t>North Sheet</w:t>
            </w:r>
          </w:p>
        </w:tc>
      </w:tr>
      <w:tr w:rsidR="00967C7D" w:rsidRPr="00967C7D" w14:paraId="4F0E0ED9" w14:textId="77777777" w:rsidTr="00B5314A">
        <w:trPr>
          <w:trHeight w:val="284"/>
        </w:trPr>
        <w:tc>
          <w:tcPr>
            <w:tcW w:w="1280" w:type="dxa"/>
          </w:tcPr>
          <w:p w14:paraId="259F394E" w14:textId="77777777" w:rsidR="00967C7D" w:rsidRPr="00967C7D" w:rsidRDefault="00967C7D" w:rsidP="00967C7D">
            <w:pPr>
              <w:keepNext w:val="0"/>
              <w:spacing w:before="0"/>
              <w:rPr>
                <w:rFonts w:cs="Arial"/>
                <w:bCs/>
                <w:color w:val="auto"/>
                <w:sz w:val="20"/>
              </w:rPr>
            </w:pPr>
            <w:r w:rsidRPr="00967C7D">
              <w:rPr>
                <w:rFonts w:cs="Arial"/>
                <w:bCs/>
                <w:color w:val="auto"/>
                <w:sz w:val="20"/>
              </w:rPr>
              <w:t>EV5/149</w:t>
            </w:r>
          </w:p>
        </w:tc>
        <w:tc>
          <w:tcPr>
            <w:tcW w:w="6230" w:type="dxa"/>
            <w:noWrap/>
          </w:tcPr>
          <w:p w14:paraId="686621F3" w14:textId="77777777" w:rsidR="00967C7D" w:rsidRPr="00967C7D" w:rsidRDefault="00967C7D" w:rsidP="00967C7D">
            <w:pPr>
              <w:keepNext w:val="0"/>
              <w:spacing w:before="0"/>
              <w:rPr>
                <w:rFonts w:cs="Arial"/>
                <w:bCs/>
                <w:color w:val="auto"/>
                <w:sz w:val="20"/>
              </w:rPr>
            </w:pPr>
            <w:r w:rsidRPr="00967C7D">
              <w:rPr>
                <w:rFonts w:cs="Arial"/>
                <w:bCs/>
                <w:color w:val="auto"/>
                <w:sz w:val="20"/>
              </w:rPr>
              <w:t>Chapel Street/Lindrick Road (Footpath)</w:t>
            </w:r>
          </w:p>
        </w:tc>
        <w:tc>
          <w:tcPr>
            <w:tcW w:w="1847" w:type="dxa"/>
            <w:noWrap/>
          </w:tcPr>
          <w:p w14:paraId="31316575" w14:textId="77777777" w:rsidR="00967C7D" w:rsidRPr="00967C7D" w:rsidRDefault="00967C7D" w:rsidP="00967C7D">
            <w:pPr>
              <w:keepNext w:val="0"/>
              <w:spacing w:before="0"/>
              <w:rPr>
                <w:rFonts w:cs="Arial"/>
                <w:bCs/>
                <w:color w:val="auto"/>
                <w:sz w:val="20"/>
              </w:rPr>
            </w:pPr>
            <w:r w:rsidRPr="00967C7D">
              <w:rPr>
                <w:rFonts w:cs="Arial"/>
                <w:bCs/>
                <w:color w:val="auto"/>
                <w:sz w:val="20"/>
              </w:rPr>
              <w:t>North Sheet</w:t>
            </w:r>
          </w:p>
        </w:tc>
      </w:tr>
      <w:tr w:rsidR="00967C7D" w:rsidRPr="00967C7D" w14:paraId="1DE80767" w14:textId="77777777" w:rsidTr="00B5314A">
        <w:trPr>
          <w:trHeight w:val="284"/>
        </w:trPr>
        <w:tc>
          <w:tcPr>
            <w:tcW w:w="1280" w:type="dxa"/>
          </w:tcPr>
          <w:p w14:paraId="695C7066" w14:textId="77777777" w:rsidR="00967C7D" w:rsidRPr="00967C7D" w:rsidRDefault="00967C7D" w:rsidP="00967C7D">
            <w:pPr>
              <w:keepNext w:val="0"/>
              <w:spacing w:before="0"/>
              <w:rPr>
                <w:rFonts w:cs="Arial"/>
                <w:bCs/>
                <w:color w:val="auto"/>
                <w:sz w:val="20"/>
              </w:rPr>
            </w:pPr>
            <w:r w:rsidRPr="00967C7D">
              <w:rPr>
                <w:rFonts w:cs="Arial"/>
                <w:bCs/>
                <w:color w:val="auto"/>
                <w:sz w:val="20"/>
              </w:rPr>
              <w:t>EV5/150</w:t>
            </w:r>
          </w:p>
        </w:tc>
        <w:tc>
          <w:tcPr>
            <w:tcW w:w="6230" w:type="dxa"/>
            <w:noWrap/>
          </w:tcPr>
          <w:p w14:paraId="1A50E388" w14:textId="77777777" w:rsidR="00967C7D" w:rsidRPr="00967C7D" w:rsidRDefault="00967C7D" w:rsidP="00967C7D">
            <w:pPr>
              <w:keepNext w:val="0"/>
              <w:spacing w:before="0"/>
              <w:rPr>
                <w:rFonts w:cs="Arial"/>
                <w:bCs/>
                <w:color w:val="auto"/>
                <w:sz w:val="20"/>
              </w:rPr>
            </w:pPr>
            <w:r w:rsidRPr="00967C7D">
              <w:rPr>
                <w:rFonts w:cs="Arial"/>
                <w:bCs/>
                <w:color w:val="auto"/>
                <w:sz w:val="20"/>
              </w:rPr>
              <w:t>Beacon Drive</w:t>
            </w:r>
          </w:p>
        </w:tc>
        <w:tc>
          <w:tcPr>
            <w:tcW w:w="1847" w:type="dxa"/>
            <w:noWrap/>
          </w:tcPr>
          <w:p w14:paraId="2C359028" w14:textId="77777777" w:rsidR="00967C7D" w:rsidRPr="00967C7D" w:rsidRDefault="00967C7D" w:rsidP="00967C7D">
            <w:pPr>
              <w:keepNext w:val="0"/>
              <w:spacing w:before="0"/>
              <w:rPr>
                <w:rFonts w:cs="Arial"/>
                <w:bCs/>
                <w:color w:val="auto"/>
                <w:sz w:val="20"/>
              </w:rPr>
            </w:pPr>
            <w:r w:rsidRPr="00967C7D">
              <w:rPr>
                <w:rFonts w:cs="Arial"/>
                <w:bCs/>
                <w:color w:val="auto"/>
                <w:sz w:val="20"/>
              </w:rPr>
              <w:t>North Sheet</w:t>
            </w:r>
          </w:p>
        </w:tc>
      </w:tr>
      <w:tr w:rsidR="00967C7D" w:rsidRPr="00967C7D" w14:paraId="320952E6" w14:textId="77777777" w:rsidTr="00B5314A">
        <w:trPr>
          <w:trHeight w:val="284"/>
        </w:trPr>
        <w:tc>
          <w:tcPr>
            <w:tcW w:w="1280" w:type="dxa"/>
          </w:tcPr>
          <w:p w14:paraId="6970CF16" w14:textId="77777777" w:rsidR="00967C7D" w:rsidRPr="00967C7D" w:rsidRDefault="00967C7D" w:rsidP="00967C7D">
            <w:pPr>
              <w:keepNext w:val="0"/>
              <w:spacing w:before="0"/>
              <w:rPr>
                <w:rFonts w:cs="Arial"/>
                <w:bCs/>
                <w:color w:val="auto"/>
                <w:sz w:val="20"/>
              </w:rPr>
            </w:pPr>
            <w:r w:rsidRPr="00967C7D">
              <w:rPr>
                <w:rFonts w:cs="Arial"/>
                <w:bCs/>
                <w:color w:val="auto"/>
                <w:sz w:val="20"/>
              </w:rPr>
              <w:t>EV5/151</w:t>
            </w:r>
          </w:p>
        </w:tc>
        <w:tc>
          <w:tcPr>
            <w:tcW w:w="6230" w:type="dxa"/>
            <w:noWrap/>
          </w:tcPr>
          <w:p w14:paraId="27C56293" w14:textId="77777777" w:rsidR="00967C7D" w:rsidRPr="00967C7D" w:rsidRDefault="00967C7D" w:rsidP="00967C7D">
            <w:pPr>
              <w:keepNext w:val="0"/>
              <w:spacing w:before="0"/>
              <w:rPr>
                <w:rFonts w:cs="Arial"/>
                <w:bCs/>
                <w:color w:val="auto"/>
                <w:sz w:val="20"/>
              </w:rPr>
            </w:pPr>
            <w:r w:rsidRPr="00967C7D">
              <w:rPr>
                <w:rFonts w:cs="Arial"/>
                <w:bCs/>
                <w:color w:val="auto"/>
                <w:sz w:val="20"/>
              </w:rPr>
              <w:t>Greenwood Primary and Nursery School Field</w:t>
            </w:r>
          </w:p>
        </w:tc>
        <w:tc>
          <w:tcPr>
            <w:tcW w:w="1847" w:type="dxa"/>
            <w:noWrap/>
          </w:tcPr>
          <w:p w14:paraId="5A63643D" w14:textId="77777777" w:rsidR="00967C7D" w:rsidRPr="00967C7D" w:rsidRDefault="00967C7D" w:rsidP="00967C7D">
            <w:pPr>
              <w:keepNext w:val="0"/>
              <w:spacing w:before="0"/>
              <w:rPr>
                <w:rFonts w:cs="Arial"/>
                <w:bCs/>
                <w:color w:val="auto"/>
                <w:sz w:val="20"/>
              </w:rPr>
            </w:pPr>
            <w:r w:rsidRPr="00967C7D">
              <w:rPr>
                <w:rFonts w:cs="Arial"/>
                <w:bCs/>
                <w:color w:val="auto"/>
                <w:sz w:val="20"/>
              </w:rPr>
              <w:t>North Sheet</w:t>
            </w:r>
          </w:p>
        </w:tc>
      </w:tr>
      <w:tr w:rsidR="00967C7D" w:rsidRPr="00967C7D" w14:paraId="49785920" w14:textId="77777777" w:rsidTr="00B5314A">
        <w:trPr>
          <w:trHeight w:val="284"/>
        </w:trPr>
        <w:tc>
          <w:tcPr>
            <w:tcW w:w="1280" w:type="dxa"/>
          </w:tcPr>
          <w:p w14:paraId="2ABE1A1F" w14:textId="77777777" w:rsidR="00967C7D" w:rsidRPr="00967C7D" w:rsidRDefault="00967C7D" w:rsidP="00967C7D">
            <w:pPr>
              <w:keepNext w:val="0"/>
              <w:spacing w:before="0"/>
              <w:rPr>
                <w:rFonts w:cs="Arial"/>
                <w:bCs/>
                <w:color w:val="auto"/>
                <w:sz w:val="20"/>
              </w:rPr>
            </w:pPr>
            <w:r w:rsidRPr="00967C7D">
              <w:rPr>
                <w:rFonts w:cs="Arial"/>
                <w:bCs/>
                <w:color w:val="auto"/>
                <w:sz w:val="20"/>
              </w:rPr>
              <w:t>EV5/152</w:t>
            </w:r>
          </w:p>
        </w:tc>
        <w:tc>
          <w:tcPr>
            <w:tcW w:w="6230" w:type="dxa"/>
            <w:noWrap/>
          </w:tcPr>
          <w:p w14:paraId="59FCE58F" w14:textId="77777777" w:rsidR="00967C7D" w:rsidRPr="00967C7D" w:rsidRDefault="00967C7D" w:rsidP="00967C7D">
            <w:pPr>
              <w:keepNext w:val="0"/>
              <w:spacing w:before="0"/>
              <w:rPr>
                <w:rFonts w:cs="Arial"/>
                <w:bCs/>
                <w:color w:val="auto"/>
                <w:sz w:val="20"/>
              </w:rPr>
            </w:pPr>
            <w:r w:rsidRPr="00967C7D">
              <w:rPr>
                <w:rFonts w:cs="Arial"/>
                <w:bCs/>
                <w:color w:val="auto"/>
                <w:sz w:val="20"/>
              </w:rPr>
              <w:t>Rowan Drive</w:t>
            </w:r>
          </w:p>
        </w:tc>
        <w:tc>
          <w:tcPr>
            <w:tcW w:w="1847" w:type="dxa"/>
            <w:noWrap/>
          </w:tcPr>
          <w:p w14:paraId="55FF9808" w14:textId="77777777" w:rsidR="00967C7D" w:rsidRPr="00967C7D" w:rsidRDefault="00967C7D" w:rsidP="00967C7D">
            <w:pPr>
              <w:keepNext w:val="0"/>
              <w:spacing w:before="0"/>
              <w:rPr>
                <w:rFonts w:cs="Arial"/>
                <w:bCs/>
                <w:color w:val="auto"/>
                <w:sz w:val="20"/>
              </w:rPr>
            </w:pPr>
            <w:r w:rsidRPr="00967C7D">
              <w:rPr>
                <w:rFonts w:cs="Arial"/>
                <w:bCs/>
                <w:color w:val="auto"/>
                <w:sz w:val="20"/>
              </w:rPr>
              <w:t>North Sheet</w:t>
            </w:r>
          </w:p>
        </w:tc>
      </w:tr>
      <w:tr w:rsidR="00967C7D" w:rsidRPr="00967C7D" w14:paraId="69721BFF" w14:textId="77777777" w:rsidTr="00B5314A">
        <w:trPr>
          <w:trHeight w:val="284"/>
        </w:trPr>
        <w:tc>
          <w:tcPr>
            <w:tcW w:w="1280" w:type="dxa"/>
          </w:tcPr>
          <w:p w14:paraId="290001E2" w14:textId="77777777" w:rsidR="00967C7D" w:rsidRPr="00967C7D" w:rsidRDefault="00967C7D" w:rsidP="00967C7D">
            <w:pPr>
              <w:keepNext w:val="0"/>
              <w:spacing w:before="0"/>
              <w:rPr>
                <w:rFonts w:cs="Arial"/>
                <w:bCs/>
                <w:color w:val="auto"/>
                <w:sz w:val="20"/>
              </w:rPr>
            </w:pPr>
            <w:r w:rsidRPr="00967C7D">
              <w:rPr>
                <w:rFonts w:cs="Arial"/>
                <w:bCs/>
                <w:color w:val="auto"/>
                <w:sz w:val="20"/>
              </w:rPr>
              <w:t>EV5/153</w:t>
            </w:r>
          </w:p>
        </w:tc>
        <w:tc>
          <w:tcPr>
            <w:tcW w:w="6230" w:type="dxa"/>
            <w:noWrap/>
          </w:tcPr>
          <w:p w14:paraId="00550C1A" w14:textId="77777777" w:rsidR="00967C7D" w:rsidRPr="00967C7D" w:rsidRDefault="00967C7D" w:rsidP="00967C7D">
            <w:pPr>
              <w:keepNext w:val="0"/>
              <w:spacing w:before="0"/>
              <w:rPr>
                <w:rFonts w:cs="Arial"/>
                <w:bCs/>
                <w:color w:val="auto"/>
                <w:sz w:val="20"/>
              </w:rPr>
            </w:pPr>
            <w:r w:rsidRPr="00967C7D">
              <w:rPr>
                <w:rFonts w:cs="Arial"/>
                <w:bCs/>
                <w:color w:val="auto"/>
                <w:sz w:val="20"/>
              </w:rPr>
              <w:t>David Street</w:t>
            </w:r>
          </w:p>
        </w:tc>
        <w:tc>
          <w:tcPr>
            <w:tcW w:w="1847" w:type="dxa"/>
            <w:noWrap/>
          </w:tcPr>
          <w:p w14:paraId="59BE027B" w14:textId="77777777" w:rsidR="00967C7D" w:rsidRPr="00967C7D" w:rsidRDefault="00967C7D" w:rsidP="00967C7D">
            <w:pPr>
              <w:keepNext w:val="0"/>
              <w:spacing w:before="0"/>
              <w:rPr>
                <w:rFonts w:cs="Arial"/>
                <w:bCs/>
                <w:color w:val="auto"/>
                <w:sz w:val="20"/>
              </w:rPr>
            </w:pPr>
            <w:r w:rsidRPr="00967C7D">
              <w:rPr>
                <w:rFonts w:cs="Arial"/>
                <w:bCs/>
                <w:color w:val="auto"/>
                <w:sz w:val="20"/>
              </w:rPr>
              <w:t>North Sheet</w:t>
            </w:r>
          </w:p>
        </w:tc>
      </w:tr>
      <w:tr w:rsidR="00967C7D" w:rsidRPr="00967C7D" w14:paraId="0006787D" w14:textId="77777777" w:rsidTr="00B5314A">
        <w:trPr>
          <w:trHeight w:val="284"/>
        </w:trPr>
        <w:tc>
          <w:tcPr>
            <w:tcW w:w="1280" w:type="dxa"/>
          </w:tcPr>
          <w:p w14:paraId="59A902C4" w14:textId="77777777" w:rsidR="00967C7D" w:rsidRPr="00967C7D" w:rsidRDefault="00967C7D" w:rsidP="00967C7D">
            <w:pPr>
              <w:keepNext w:val="0"/>
              <w:spacing w:before="0"/>
              <w:rPr>
                <w:rFonts w:cs="Arial"/>
                <w:bCs/>
                <w:color w:val="auto"/>
                <w:sz w:val="20"/>
              </w:rPr>
            </w:pPr>
            <w:r w:rsidRPr="00967C7D">
              <w:rPr>
                <w:rFonts w:cs="Arial"/>
                <w:bCs/>
                <w:color w:val="auto"/>
                <w:sz w:val="20"/>
              </w:rPr>
              <w:t>EV5/154</w:t>
            </w:r>
          </w:p>
        </w:tc>
        <w:tc>
          <w:tcPr>
            <w:tcW w:w="6230" w:type="dxa"/>
            <w:noWrap/>
          </w:tcPr>
          <w:p w14:paraId="43DC0014" w14:textId="77777777" w:rsidR="00967C7D" w:rsidRPr="00967C7D" w:rsidRDefault="00967C7D" w:rsidP="00967C7D">
            <w:pPr>
              <w:keepNext w:val="0"/>
              <w:spacing w:before="0"/>
              <w:rPr>
                <w:rFonts w:cs="Arial"/>
                <w:bCs/>
                <w:color w:val="auto"/>
                <w:sz w:val="20"/>
              </w:rPr>
            </w:pPr>
            <w:r w:rsidRPr="00967C7D">
              <w:rPr>
                <w:rFonts w:cs="Arial"/>
                <w:bCs/>
                <w:color w:val="auto"/>
                <w:sz w:val="20"/>
              </w:rPr>
              <w:t>Sutton Middle Lane</w:t>
            </w:r>
          </w:p>
        </w:tc>
        <w:tc>
          <w:tcPr>
            <w:tcW w:w="1847" w:type="dxa"/>
            <w:noWrap/>
          </w:tcPr>
          <w:p w14:paraId="69FBE82A" w14:textId="77777777" w:rsidR="00967C7D" w:rsidRPr="00967C7D" w:rsidRDefault="00967C7D" w:rsidP="00967C7D">
            <w:pPr>
              <w:keepNext w:val="0"/>
              <w:spacing w:before="0"/>
              <w:rPr>
                <w:rFonts w:cs="Arial"/>
                <w:bCs/>
                <w:color w:val="auto"/>
                <w:sz w:val="20"/>
              </w:rPr>
            </w:pPr>
            <w:r w:rsidRPr="00967C7D">
              <w:rPr>
                <w:rFonts w:cs="Arial"/>
                <w:bCs/>
                <w:color w:val="auto"/>
                <w:sz w:val="20"/>
              </w:rPr>
              <w:t>North Sheet</w:t>
            </w:r>
          </w:p>
        </w:tc>
      </w:tr>
      <w:tr w:rsidR="00967C7D" w:rsidRPr="00967C7D" w14:paraId="34A42FAF" w14:textId="77777777" w:rsidTr="00B5314A">
        <w:trPr>
          <w:trHeight w:val="284"/>
        </w:trPr>
        <w:tc>
          <w:tcPr>
            <w:tcW w:w="1280" w:type="dxa"/>
          </w:tcPr>
          <w:p w14:paraId="13491619" w14:textId="77777777" w:rsidR="00967C7D" w:rsidRPr="00967C7D" w:rsidRDefault="00967C7D" w:rsidP="00967C7D">
            <w:pPr>
              <w:keepNext w:val="0"/>
              <w:spacing w:before="0"/>
              <w:rPr>
                <w:rFonts w:cs="Arial"/>
                <w:bCs/>
                <w:color w:val="auto"/>
                <w:sz w:val="20"/>
              </w:rPr>
            </w:pPr>
            <w:r w:rsidRPr="00967C7D">
              <w:rPr>
                <w:rFonts w:cs="Arial"/>
                <w:bCs/>
                <w:color w:val="auto"/>
                <w:sz w:val="20"/>
              </w:rPr>
              <w:t>EV5/155</w:t>
            </w:r>
          </w:p>
        </w:tc>
        <w:tc>
          <w:tcPr>
            <w:tcW w:w="6230" w:type="dxa"/>
            <w:noWrap/>
          </w:tcPr>
          <w:p w14:paraId="75E189E2" w14:textId="77777777" w:rsidR="00967C7D" w:rsidRPr="00967C7D" w:rsidRDefault="00967C7D" w:rsidP="00967C7D">
            <w:pPr>
              <w:keepNext w:val="0"/>
              <w:spacing w:before="0"/>
              <w:rPr>
                <w:rFonts w:cs="Arial"/>
                <w:bCs/>
                <w:color w:val="auto"/>
                <w:sz w:val="20"/>
              </w:rPr>
            </w:pPr>
            <w:r w:rsidRPr="00967C7D">
              <w:rPr>
                <w:rFonts w:cs="Arial"/>
                <w:bCs/>
                <w:color w:val="auto"/>
                <w:sz w:val="20"/>
              </w:rPr>
              <w:t>Summerfields Road</w:t>
            </w:r>
          </w:p>
        </w:tc>
        <w:tc>
          <w:tcPr>
            <w:tcW w:w="1847" w:type="dxa"/>
            <w:noWrap/>
          </w:tcPr>
          <w:p w14:paraId="68739190" w14:textId="77777777" w:rsidR="00967C7D" w:rsidRPr="00967C7D" w:rsidRDefault="00967C7D" w:rsidP="00967C7D">
            <w:pPr>
              <w:keepNext w:val="0"/>
              <w:spacing w:before="0"/>
              <w:rPr>
                <w:rFonts w:cs="Arial"/>
                <w:bCs/>
                <w:color w:val="auto"/>
                <w:sz w:val="20"/>
              </w:rPr>
            </w:pPr>
            <w:r w:rsidRPr="00967C7D">
              <w:rPr>
                <w:rFonts w:cs="Arial"/>
                <w:bCs/>
                <w:color w:val="auto"/>
                <w:sz w:val="20"/>
              </w:rPr>
              <w:t>North Sheet</w:t>
            </w:r>
          </w:p>
        </w:tc>
      </w:tr>
      <w:tr w:rsidR="00967C7D" w:rsidRPr="00967C7D" w14:paraId="59C1ADA4" w14:textId="77777777" w:rsidTr="00B5314A">
        <w:trPr>
          <w:trHeight w:val="284"/>
        </w:trPr>
        <w:tc>
          <w:tcPr>
            <w:tcW w:w="1280" w:type="dxa"/>
          </w:tcPr>
          <w:p w14:paraId="19C61568" w14:textId="77777777" w:rsidR="00967C7D" w:rsidRPr="00967C7D" w:rsidRDefault="00967C7D" w:rsidP="00967C7D">
            <w:pPr>
              <w:keepNext w:val="0"/>
              <w:spacing w:before="0"/>
              <w:rPr>
                <w:rFonts w:cs="Arial"/>
                <w:bCs/>
                <w:color w:val="auto"/>
                <w:sz w:val="20"/>
              </w:rPr>
            </w:pPr>
            <w:r w:rsidRPr="00967C7D">
              <w:rPr>
                <w:rFonts w:cs="Arial"/>
                <w:bCs/>
                <w:color w:val="auto"/>
                <w:sz w:val="20"/>
              </w:rPr>
              <w:t>EV5/156</w:t>
            </w:r>
          </w:p>
        </w:tc>
        <w:tc>
          <w:tcPr>
            <w:tcW w:w="6230" w:type="dxa"/>
            <w:noWrap/>
          </w:tcPr>
          <w:p w14:paraId="5F2FFF89" w14:textId="77777777" w:rsidR="00967C7D" w:rsidRPr="00967C7D" w:rsidRDefault="00967C7D" w:rsidP="00967C7D">
            <w:pPr>
              <w:keepNext w:val="0"/>
              <w:spacing w:before="0"/>
              <w:rPr>
                <w:rFonts w:cs="Arial"/>
                <w:bCs/>
                <w:color w:val="auto"/>
                <w:sz w:val="20"/>
              </w:rPr>
            </w:pPr>
            <w:r w:rsidRPr="00967C7D">
              <w:rPr>
                <w:rFonts w:cs="Arial"/>
                <w:bCs/>
                <w:color w:val="auto"/>
                <w:sz w:val="20"/>
              </w:rPr>
              <w:t>Ashfield Comprehensive School Field</w:t>
            </w:r>
          </w:p>
        </w:tc>
        <w:tc>
          <w:tcPr>
            <w:tcW w:w="1847" w:type="dxa"/>
            <w:noWrap/>
          </w:tcPr>
          <w:p w14:paraId="4F6B12EB" w14:textId="77777777" w:rsidR="00967C7D" w:rsidRPr="00967C7D" w:rsidRDefault="00967C7D" w:rsidP="00967C7D">
            <w:pPr>
              <w:keepNext w:val="0"/>
              <w:spacing w:before="0"/>
              <w:rPr>
                <w:rFonts w:cs="Arial"/>
                <w:bCs/>
                <w:color w:val="auto"/>
                <w:sz w:val="20"/>
              </w:rPr>
            </w:pPr>
            <w:r w:rsidRPr="00967C7D">
              <w:rPr>
                <w:rFonts w:cs="Arial"/>
                <w:bCs/>
                <w:color w:val="auto"/>
                <w:sz w:val="20"/>
              </w:rPr>
              <w:t>North Sheet</w:t>
            </w:r>
          </w:p>
        </w:tc>
      </w:tr>
      <w:tr w:rsidR="00967C7D" w:rsidRPr="00967C7D" w14:paraId="3D28946E" w14:textId="77777777" w:rsidTr="00B5314A">
        <w:trPr>
          <w:trHeight w:val="284"/>
        </w:trPr>
        <w:tc>
          <w:tcPr>
            <w:tcW w:w="1280" w:type="dxa"/>
          </w:tcPr>
          <w:p w14:paraId="762F5879" w14:textId="77777777" w:rsidR="00967C7D" w:rsidRPr="00967C7D" w:rsidRDefault="00967C7D" w:rsidP="00967C7D">
            <w:pPr>
              <w:keepNext w:val="0"/>
              <w:spacing w:before="0"/>
              <w:rPr>
                <w:rFonts w:cs="Arial"/>
                <w:bCs/>
                <w:color w:val="auto"/>
                <w:sz w:val="20"/>
              </w:rPr>
            </w:pPr>
            <w:r w:rsidRPr="00967C7D">
              <w:rPr>
                <w:rFonts w:cs="Arial"/>
                <w:bCs/>
                <w:color w:val="auto"/>
                <w:sz w:val="20"/>
              </w:rPr>
              <w:t>EV5/157</w:t>
            </w:r>
          </w:p>
        </w:tc>
        <w:tc>
          <w:tcPr>
            <w:tcW w:w="6230" w:type="dxa"/>
            <w:noWrap/>
          </w:tcPr>
          <w:p w14:paraId="11620961" w14:textId="77777777" w:rsidR="00967C7D" w:rsidRPr="00967C7D" w:rsidRDefault="00967C7D" w:rsidP="00967C7D">
            <w:pPr>
              <w:keepNext w:val="0"/>
              <w:spacing w:before="0"/>
              <w:rPr>
                <w:rFonts w:cs="Arial"/>
                <w:bCs/>
                <w:color w:val="auto"/>
                <w:sz w:val="20"/>
              </w:rPr>
            </w:pPr>
            <w:r w:rsidRPr="00967C7D">
              <w:rPr>
                <w:rFonts w:cs="Arial"/>
                <w:bCs/>
                <w:color w:val="auto"/>
                <w:sz w:val="20"/>
              </w:rPr>
              <w:t>Orchid Close</w:t>
            </w:r>
          </w:p>
        </w:tc>
        <w:tc>
          <w:tcPr>
            <w:tcW w:w="1847" w:type="dxa"/>
            <w:noWrap/>
          </w:tcPr>
          <w:p w14:paraId="790E859B" w14:textId="77777777" w:rsidR="00967C7D" w:rsidRPr="00967C7D" w:rsidRDefault="00967C7D" w:rsidP="00967C7D">
            <w:pPr>
              <w:keepNext w:val="0"/>
              <w:spacing w:before="0"/>
              <w:rPr>
                <w:rFonts w:cs="Arial"/>
                <w:bCs/>
                <w:color w:val="auto"/>
                <w:sz w:val="20"/>
              </w:rPr>
            </w:pPr>
            <w:r w:rsidRPr="00967C7D">
              <w:rPr>
                <w:rFonts w:cs="Arial"/>
                <w:bCs/>
                <w:color w:val="auto"/>
                <w:sz w:val="20"/>
              </w:rPr>
              <w:t>North Sheet</w:t>
            </w:r>
          </w:p>
        </w:tc>
      </w:tr>
      <w:tr w:rsidR="00967C7D" w:rsidRPr="00967C7D" w14:paraId="73CCA6F6" w14:textId="77777777" w:rsidTr="00B5314A">
        <w:trPr>
          <w:trHeight w:val="284"/>
        </w:trPr>
        <w:tc>
          <w:tcPr>
            <w:tcW w:w="1280" w:type="dxa"/>
          </w:tcPr>
          <w:p w14:paraId="58D30305" w14:textId="77777777" w:rsidR="00967C7D" w:rsidRPr="00967C7D" w:rsidRDefault="00967C7D" w:rsidP="00967C7D">
            <w:pPr>
              <w:keepNext w:val="0"/>
              <w:spacing w:before="0"/>
              <w:rPr>
                <w:rFonts w:cs="Arial"/>
                <w:bCs/>
                <w:color w:val="auto"/>
                <w:sz w:val="20"/>
              </w:rPr>
            </w:pPr>
            <w:r w:rsidRPr="00967C7D">
              <w:rPr>
                <w:rFonts w:cs="Arial"/>
                <w:bCs/>
                <w:color w:val="auto"/>
                <w:sz w:val="20"/>
              </w:rPr>
              <w:t>EV5/158</w:t>
            </w:r>
          </w:p>
        </w:tc>
        <w:tc>
          <w:tcPr>
            <w:tcW w:w="6230" w:type="dxa"/>
            <w:noWrap/>
          </w:tcPr>
          <w:p w14:paraId="3227C676" w14:textId="77777777" w:rsidR="00967C7D" w:rsidRPr="00967C7D" w:rsidRDefault="00967C7D" w:rsidP="00967C7D">
            <w:pPr>
              <w:keepNext w:val="0"/>
              <w:spacing w:before="0"/>
              <w:rPr>
                <w:rFonts w:cs="Arial"/>
                <w:bCs/>
                <w:color w:val="auto"/>
                <w:sz w:val="20"/>
              </w:rPr>
            </w:pPr>
            <w:r w:rsidRPr="00967C7D">
              <w:rPr>
                <w:rFonts w:cs="Arial"/>
                <w:bCs/>
                <w:color w:val="auto"/>
                <w:sz w:val="20"/>
              </w:rPr>
              <w:t>Penny Emma Way (South)</w:t>
            </w:r>
          </w:p>
        </w:tc>
        <w:tc>
          <w:tcPr>
            <w:tcW w:w="1847" w:type="dxa"/>
            <w:noWrap/>
          </w:tcPr>
          <w:p w14:paraId="3AF56912" w14:textId="77777777" w:rsidR="00967C7D" w:rsidRPr="00967C7D" w:rsidRDefault="00967C7D" w:rsidP="00967C7D">
            <w:pPr>
              <w:keepNext w:val="0"/>
              <w:spacing w:before="0"/>
              <w:rPr>
                <w:rFonts w:cs="Arial"/>
                <w:bCs/>
                <w:color w:val="auto"/>
                <w:sz w:val="20"/>
              </w:rPr>
            </w:pPr>
            <w:r w:rsidRPr="00967C7D">
              <w:rPr>
                <w:rFonts w:cs="Arial"/>
                <w:bCs/>
                <w:color w:val="auto"/>
                <w:sz w:val="20"/>
              </w:rPr>
              <w:t>North Sheet</w:t>
            </w:r>
          </w:p>
        </w:tc>
      </w:tr>
      <w:tr w:rsidR="00967C7D" w:rsidRPr="00967C7D" w14:paraId="4F609F7D" w14:textId="77777777" w:rsidTr="00B5314A">
        <w:trPr>
          <w:trHeight w:val="284"/>
        </w:trPr>
        <w:tc>
          <w:tcPr>
            <w:tcW w:w="1280" w:type="dxa"/>
          </w:tcPr>
          <w:p w14:paraId="0D2E19E4" w14:textId="77777777" w:rsidR="00967C7D" w:rsidRPr="00967C7D" w:rsidRDefault="00967C7D" w:rsidP="00967C7D">
            <w:pPr>
              <w:keepNext w:val="0"/>
              <w:spacing w:before="0"/>
              <w:rPr>
                <w:rFonts w:cs="Arial"/>
                <w:bCs/>
                <w:color w:val="auto"/>
                <w:sz w:val="20"/>
              </w:rPr>
            </w:pPr>
            <w:r w:rsidRPr="00967C7D">
              <w:rPr>
                <w:rFonts w:cs="Arial"/>
                <w:bCs/>
                <w:color w:val="auto"/>
                <w:sz w:val="20"/>
              </w:rPr>
              <w:t>EV5/159</w:t>
            </w:r>
          </w:p>
        </w:tc>
        <w:tc>
          <w:tcPr>
            <w:tcW w:w="6230" w:type="dxa"/>
            <w:noWrap/>
          </w:tcPr>
          <w:p w14:paraId="3CA3F04F" w14:textId="77777777" w:rsidR="00967C7D" w:rsidRPr="00967C7D" w:rsidRDefault="00967C7D" w:rsidP="00967C7D">
            <w:pPr>
              <w:keepNext w:val="0"/>
              <w:spacing w:before="0"/>
              <w:rPr>
                <w:rFonts w:cs="Arial"/>
                <w:bCs/>
                <w:color w:val="auto"/>
                <w:sz w:val="20"/>
              </w:rPr>
            </w:pPr>
            <w:r w:rsidRPr="00967C7D">
              <w:rPr>
                <w:rFonts w:cs="Arial"/>
                <w:bCs/>
                <w:color w:val="auto"/>
                <w:sz w:val="20"/>
              </w:rPr>
              <w:t>Kirkby Summit West</w:t>
            </w:r>
          </w:p>
        </w:tc>
        <w:tc>
          <w:tcPr>
            <w:tcW w:w="1847" w:type="dxa"/>
            <w:noWrap/>
          </w:tcPr>
          <w:p w14:paraId="7846CE2D" w14:textId="77777777" w:rsidR="00967C7D" w:rsidRPr="00967C7D" w:rsidRDefault="00967C7D" w:rsidP="00967C7D">
            <w:pPr>
              <w:keepNext w:val="0"/>
              <w:spacing w:before="0"/>
              <w:rPr>
                <w:rFonts w:cs="Arial"/>
                <w:bCs/>
                <w:color w:val="auto"/>
                <w:sz w:val="20"/>
              </w:rPr>
            </w:pPr>
            <w:r w:rsidRPr="00967C7D">
              <w:rPr>
                <w:rFonts w:cs="Arial"/>
                <w:bCs/>
                <w:color w:val="auto"/>
                <w:sz w:val="20"/>
              </w:rPr>
              <w:t>North Sheet</w:t>
            </w:r>
          </w:p>
        </w:tc>
      </w:tr>
      <w:tr w:rsidR="00967C7D" w:rsidRPr="00967C7D" w14:paraId="251974F7" w14:textId="77777777" w:rsidTr="00B5314A">
        <w:trPr>
          <w:trHeight w:val="284"/>
        </w:trPr>
        <w:tc>
          <w:tcPr>
            <w:tcW w:w="1280" w:type="dxa"/>
          </w:tcPr>
          <w:p w14:paraId="48D36416" w14:textId="77777777" w:rsidR="00967C7D" w:rsidRPr="00967C7D" w:rsidRDefault="00967C7D" w:rsidP="00967C7D">
            <w:pPr>
              <w:keepNext w:val="0"/>
              <w:spacing w:before="0"/>
              <w:rPr>
                <w:rFonts w:cs="Arial"/>
                <w:bCs/>
                <w:color w:val="auto"/>
                <w:sz w:val="20"/>
              </w:rPr>
            </w:pPr>
            <w:r w:rsidRPr="00967C7D">
              <w:rPr>
                <w:rFonts w:cs="Arial"/>
                <w:bCs/>
                <w:color w:val="auto"/>
                <w:sz w:val="20"/>
              </w:rPr>
              <w:t>EV5/160</w:t>
            </w:r>
          </w:p>
        </w:tc>
        <w:tc>
          <w:tcPr>
            <w:tcW w:w="6230" w:type="dxa"/>
            <w:noWrap/>
          </w:tcPr>
          <w:p w14:paraId="70B38C7C" w14:textId="77777777" w:rsidR="00967C7D" w:rsidRPr="00967C7D" w:rsidRDefault="00967C7D" w:rsidP="00967C7D">
            <w:pPr>
              <w:keepNext w:val="0"/>
              <w:spacing w:before="0"/>
              <w:rPr>
                <w:rFonts w:cs="Arial"/>
                <w:bCs/>
                <w:color w:val="auto"/>
                <w:sz w:val="20"/>
              </w:rPr>
            </w:pPr>
            <w:r w:rsidRPr="00967C7D">
              <w:rPr>
                <w:rFonts w:cs="Arial"/>
                <w:bCs/>
                <w:color w:val="auto"/>
                <w:sz w:val="20"/>
              </w:rPr>
              <w:t>Swans Ground</w:t>
            </w:r>
          </w:p>
        </w:tc>
        <w:tc>
          <w:tcPr>
            <w:tcW w:w="1847" w:type="dxa"/>
            <w:noWrap/>
          </w:tcPr>
          <w:p w14:paraId="332171DA" w14:textId="77777777" w:rsidR="00967C7D" w:rsidRPr="00967C7D" w:rsidRDefault="00967C7D" w:rsidP="00967C7D">
            <w:pPr>
              <w:keepNext w:val="0"/>
              <w:spacing w:before="0"/>
              <w:rPr>
                <w:rFonts w:cs="Arial"/>
                <w:bCs/>
                <w:color w:val="auto"/>
                <w:sz w:val="20"/>
              </w:rPr>
            </w:pPr>
            <w:r w:rsidRPr="00967C7D">
              <w:rPr>
                <w:rFonts w:cs="Arial"/>
                <w:bCs/>
                <w:color w:val="auto"/>
                <w:sz w:val="20"/>
              </w:rPr>
              <w:t>North Sheet</w:t>
            </w:r>
          </w:p>
        </w:tc>
      </w:tr>
      <w:tr w:rsidR="00967C7D" w:rsidRPr="00967C7D" w14:paraId="45CFBBE0" w14:textId="77777777" w:rsidTr="00B5314A">
        <w:trPr>
          <w:trHeight w:val="284"/>
        </w:trPr>
        <w:tc>
          <w:tcPr>
            <w:tcW w:w="1280" w:type="dxa"/>
          </w:tcPr>
          <w:p w14:paraId="5CA8E71E" w14:textId="77777777" w:rsidR="00967C7D" w:rsidRPr="00967C7D" w:rsidRDefault="00967C7D" w:rsidP="00967C7D">
            <w:pPr>
              <w:keepNext w:val="0"/>
              <w:spacing w:before="0"/>
              <w:rPr>
                <w:rFonts w:cs="Arial"/>
                <w:bCs/>
                <w:color w:val="auto"/>
                <w:sz w:val="20"/>
              </w:rPr>
            </w:pPr>
            <w:r w:rsidRPr="00967C7D">
              <w:rPr>
                <w:rFonts w:cs="Arial"/>
                <w:bCs/>
                <w:color w:val="auto"/>
                <w:sz w:val="20"/>
              </w:rPr>
              <w:t>EV5/161</w:t>
            </w:r>
          </w:p>
        </w:tc>
        <w:tc>
          <w:tcPr>
            <w:tcW w:w="6230" w:type="dxa"/>
            <w:noWrap/>
          </w:tcPr>
          <w:p w14:paraId="56B75D5D" w14:textId="77777777" w:rsidR="00967C7D" w:rsidRPr="00967C7D" w:rsidRDefault="00967C7D" w:rsidP="00967C7D">
            <w:pPr>
              <w:keepNext w:val="0"/>
              <w:spacing w:before="0"/>
              <w:rPr>
                <w:rFonts w:cs="Arial"/>
                <w:bCs/>
                <w:color w:val="auto"/>
                <w:sz w:val="20"/>
              </w:rPr>
            </w:pPr>
            <w:r w:rsidRPr="00967C7D">
              <w:rPr>
                <w:rFonts w:cs="Arial"/>
                <w:bCs/>
                <w:color w:val="auto"/>
                <w:sz w:val="20"/>
              </w:rPr>
              <w:t>Maun Valley</w:t>
            </w:r>
          </w:p>
        </w:tc>
        <w:tc>
          <w:tcPr>
            <w:tcW w:w="1847" w:type="dxa"/>
            <w:noWrap/>
          </w:tcPr>
          <w:p w14:paraId="53858F1A" w14:textId="77777777" w:rsidR="00967C7D" w:rsidRPr="00967C7D" w:rsidRDefault="00967C7D" w:rsidP="00967C7D">
            <w:pPr>
              <w:keepNext w:val="0"/>
              <w:spacing w:before="0"/>
              <w:rPr>
                <w:rFonts w:cs="Arial"/>
                <w:bCs/>
                <w:color w:val="auto"/>
                <w:sz w:val="20"/>
              </w:rPr>
            </w:pPr>
            <w:r w:rsidRPr="00967C7D">
              <w:rPr>
                <w:rFonts w:cs="Arial"/>
                <w:bCs/>
                <w:color w:val="auto"/>
                <w:sz w:val="20"/>
              </w:rPr>
              <w:t>North Sheet</w:t>
            </w:r>
          </w:p>
        </w:tc>
      </w:tr>
      <w:tr w:rsidR="00967C7D" w:rsidRPr="00967C7D" w14:paraId="45ABEA87" w14:textId="77777777" w:rsidTr="00B5314A">
        <w:trPr>
          <w:trHeight w:val="284"/>
        </w:trPr>
        <w:tc>
          <w:tcPr>
            <w:tcW w:w="1280" w:type="dxa"/>
          </w:tcPr>
          <w:p w14:paraId="4D675BA3" w14:textId="77777777" w:rsidR="00967C7D" w:rsidRPr="00967C7D" w:rsidRDefault="00967C7D" w:rsidP="00967C7D">
            <w:pPr>
              <w:keepNext w:val="0"/>
              <w:spacing w:before="0"/>
              <w:rPr>
                <w:rFonts w:cs="Arial"/>
                <w:bCs/>
                <w:color w:val="auto"/>
                <w:sz w:val="20"/>
              </w:rPr>
            </w:pPr>
            <w:r w:rsidRPr="00967C7D">
              <w:rPr>
                <w:rFonts w:cs="Arial"/>
                <w:bCs/>
                <w:color w:val="auto"/>
                <w:sz w:val="20"/>
              </w:rPr>
              <w:t>EV5/162</w:t>
            </w:r>
          </w:p>
        </w:tc>
        <w:tc>
          <w:tcPr>
            <w:tcW w:w="6230" w:type="dxa"/>
            <w:noWrap/>
          </w:tcPr>
          <w:p w14:paraId="11335F33" w14:textId="77777777" w:rsidR="00967C7D" w:rsidRPr="00967C7D" w:rsidRDefault="00967C7D" w:rsidP="00967C7D">
            <w:pPr>
              <w:keepNext w:val="0"/>
              <w:spacing w:before="0"/>
              <w:rPr>
                <w:rFonts w:cs="Arial"/>
                <w:bCs/>
                <w:color w:val="auto"/>
                <w:sz w:val="20"/>
              </w:rPr>
            </w:pPr>
            <w:r w:rsidRPr="00967C7D">
              <w:rPr>
                <w:rFonts w:cs="Arial"/>
                <w:bCs/>
                <w:color w:val="auto"/>
                <w:sz w:val="20"/>
              </w:rPr>
              <w:t>Orchid Drive</w:t>
            </w:r>
          </w:p>
        </w:tc>
        <w:tc>
          <w:tcPr>
            <w:tcW w:w="1847" w:type="dxa"/>
            <w:noWrap/>
          </w:tcPr>
          <w:p w14:paraId="7AD7D8FA" w14:textId="77777777" w:rsidR="00967C7D" w:rsidRPr="00967C7D" w:rsidRDefault="00967C7D" w:rsidP="00967C7D">
            <w:pPr>
              <w:keepNext w:val="0"/>
              <w:spacing w:before="0"/>
              <w:rPr>
                <w:rFonts w:cs="Arial"/>
                <w:bCs/>
                <w:color w:val="auto"/>
                <w:sz w:val="20"/>
              </w:rPr>
            </w:pPr>
            <w:r w:rsidRPr="00967C7D">
              <w:rPr>
                <w:rFonts w:cs="Arial"/>
                <w:bCs/>
                <w:color w:val="auto"/>
                <w:sz w:val="20"/>
              </w:rPr>
              <w:t>North Sheet</w:t>
            </w:r>
          </w:p>
        </w:tc>
      </w:tr>
      <w:tr w:rsidR="00967C7D" w:rsidRPr="00967C7D" w14:paraId="183D7267" w14:textId="77777777" w:rsidTr="00B5314A">
        <w:trPr>
          <w:trHeight w:val="284"/>
        </w:trPr>
        <w:tc>
          <w:tcPr>
            <w:tcW w:w="1280" w:type="dxa"/>
          </w:tcPr>
          <w:p w14:paraId="6F5112AF" w14:textId="77777777" w:rsidR="00967C7D" w:rsidRPr="00967C7D" w:rsidRDefault="00967C7D" w:rsidP="00967C7D">
            <w:pPr>
              <w:keepNext w:val="0"/>
              <w:spacing w:before="0"/>
              <w:rPr>
                <w:rFonts w:cs="Arial"/>
                <w:bCs/>
                <w:color w:val="auto"/>
                <w:sz w:val="20"/>
              </w:rPr>
            </w:pPr>
            <w:r w:rsidRPr="00967C7D">
              <w:rPr>
                <w:rFonts w:cs="Arial"/>
                <w:bCs/>
                <w:color w:val="auto"/>
                <w:sz w:val="20"/>
              </w:rPr>
              <w:t>EV5/163</w:t>
            </w:r>
          </w:p>
        </w:tc>
        <w:tc>
          <w:tcPr>
            <w:tcW w:w="6230" w:type="dxa"/>
            <w:noWrap/>
          </w:tcPr>
          <w:p w14:paraId="1446B505" w14:textId="77777777" w:rsidR="00967C7D" w:rsidRPr="00967C7D" w:rsidRDefault="00967C7D" w:rsidP="00967C7D">
            <w:pPr>
              <w:keepNext w:val="0"/>
              <w:spacing w:before="0"/>
              <w:rPr>
                <w:rFonts w:cs="Arial"/>
                <w:bCs/>
                <w:color w:val="auto"/>
                <w:sz w:val="20"/>
              </w:rPr>
            </w:pPr>
            <w:r w:rsidRPr="00967C7D">
              <w:rPr>
                <w:rFonts w:cs="Arial"/>
                <w:bCs/>
                <w:color w:val="auto"/>
                <w:sz w:val="20"/>
              </w:rPr>
              <w:t>Thieves Wood</w:t>
            </w:r>
          </w:p>
        </w:tc>
        <w:tc>
          <w:tcPr>
            <w:tcW w:w="1847" w:type="dxa"/>
            <w:noWrap/>
          </w:tcPr>
          <w:p w14:paraId="779B3497" w14:textId="77777777" w:rsidR="00967C7D" w:rsidRPr="00967C7D" w:rsidRDefault="00967C7D" w:rsidP="00967C7D">
            <w:pPr>
              <w:keepNext w:val="0"/>
              <w:spacing w:before="0"/>
              <w:rPr>
                <w:rFonts w:cs="Arial"/>
                <w:bCs/>
                <w:color w:val="auto"/>
                <w:sz w:val="20"/>
              </w:rPr>
            </w:pPr>
            <w:r w:rsidRPr="00967C7D">
              <w:rPr>
                <w:rFonts w:cs="Arial"/>
                <w:bCs/>
                <w:color w:val="auto"/>
                <w:sz w:val="20"/>
              </w:rPr>
              <w:t>North Sheet</w:t>
            </w:r>
          </w:p>
        </w:tc>
      </w:tr>
      <w:tr w:rsidR="00967C7D" w:rsidRPr="00967C7D" w14:paraId="509E1E78" w14:textId="77777777" w:rsidTr="00B5314A">
        <w:trPr>
          <w:trHeight w:val="284"/>
        </w:trPr>
        <w:tc>
          <w:tcPr>
            <w:tcW w:w="1280" w:type="dxa"/>
          </w:tcPr>
          <w:p w14:paraId="085AA27A" w14:textId="77777777" w:rsidR="00967C7D" w:rsidRPr="00967C7D" w:rsidRDefault="00967C7D" w:rsidP="00967C7D">
            <w:pPr>
              <w:keepNext w:val="0"/>
              <w:spacing w:before="0"/>
              <w:rPr>
                <w:rFonts w:cs="Arial"/>
                <w:bCs/>
                <w:color w:val="auto"/>
                <w:sz w:val="20"/>
              </w:rPr>
            </w:pPr>
            <w:r w:rsidRPr="00967C7D">
              <w:rPr>
                <w:rFonts w:cs="Arial"/>
                <w:bCs/>
                <w:color w:val="auto"/>
                <w:sz w:val="20"/>
              </w:rPr>
              <w:t>EV5/164</w:t>
            </w:r>
          </w:p>
        </w:tc>
        <w:tc>
          <w:tcPr>
            <w:tcW w:w="6230" w:type="dxa"/>
            <w:noWrap/>
          </w:tcPr>
          <w:p w14:paraId="1817D99F" w14:textId="77777777" w:rsidR="00967C7D" w:rsidRPr="00967C7D" w:rsidRDefault="00967C7D" w:rsidP="00967C7D">
            <w:pPr>
              <w:keepNext w:val="0"/>
              <w:spacing w:before="0"/>
              <w:rPr>
                <w:rFonts w:cs="Arial"/>
                <w:bCs/>
                <w:color w:val="auto"/>
                <w:sz w:val="20"/>
              </w:rPr>
            </w:pPr>
            <w:r w:rsidRPr="00967C7D">
              <w:rPr>
                <w:rFonts w:cs="Arial"/>
                <w:bCs/>
                <w:color w:val="auto"/>
                <w:sz w:val="20"/>
              </w:rPr>
              <w:t>Harlow Wood</w:t>
            </w:r>
          </w:p>
        </w:tc>
        <w:tc>
          <w:tcPr>
            <w:tcW w:w="1847" w:type="dxa"/>
            <w:noWrap/>
          </w:tcPr>
          <w:p w14:paraId="66045E2F" w14:textId="77777777" w:rsidR="00967C7D" w:rsidRPr="00967C7D" w:rsidRDefault="00967C7D" w:rsidP="00967C7D">
            <w:pPr>
              <w:keepNext w:val="0"/>
              <w:spacing w:before="0"/>
              <w:rPr>
                <w:rFonts w:cs="Arial"/>
                <w:bCs/>
                <w:color w:val="auto"/>
                <w:sz w:val="20"/>
              </w:rPr>
            </w:pPr>
            <w:r w:rsidRPr="00967C7D">
              <w:rPr>
                <w:rFonts w:cs="Arial"/>
                <w:bCs/>
                <w:color w:val="auto"/>
                <w:sz w:val="20"/>
              </w:rPr>
              <w:t>North Sheet</w:t>
            </w:r>
          </w:p>
        </w:tc>
      </w:tr>
      <w:tr w:rsidR="00967C7D" w:rsidRPr="00967C7D" w14:paraId="0BFAF120" w14:textId="77777777" w:rsidTr="00B5314A">
        <w:trPr>
          <w:trHeight w:val="284"/>
        </w:trPr>
        <w:tc>
          <w:tcPr>
            <w:tcW w:w="1280" w:type="dxa"/>
          </w:tcPr>
          <w:p w14:paraId="5D03C2ED" w14:textId="77777777" w:rsidR="00967C7D" w:rsidRPr="00967C7D" w:rsidRDefault="00967C7D" w:rsidP="00967C7D">
            <w:pPr>
              <w:keepNext w:val="0"/>
              <w:spacing w:before="0"/>
              <w:rPr>
                <w:rFonts w:cs="Arial"/>
                <w:bCs/>
                <w:color w:val="auto"/>
                <w:sz w:val="20"/>
              </w:rPr>
            </w:pPr>
            <w:r w:rsidRPr="00967C7D">
              <w:rPr>
                <w:rFonts w:cs="Arial"/>
                <w:bCs/>
                <w:color w:val="auto"/>
                <w:sz w:val="20"/>
              </w:rPr>
              <w:t>EV5/165</w:t>
            </w:r>
          </w:p>
        </w:tc>
        <w:tc>
          <w:tcPr>
            <w:tcW w:w="6230" w:type="dxa"/>
            <w:noWrap/>
          </w:tcPr>
          <w:p w14:paraId="7459D610" w14:textId="77777777" w:rsidR="00967C7D" w:rsidRPr="00967C7D" w:rsidRDefault="00967C7D" w:rsidP="00967C7D">
            <w:pPr>
              <w:keepNext w:val="0"/>
              <w:spacing w:before="0"/>
              <w:rPr>
                <w:rFonts w:cs="Arial"/>
                <w:bCs/>
                <w:color w:val="auto"/>
                <w:sz w:val="20"/>
              </w:rPr>
            </w:pPr>
            <w:r w:rsidRPr="00967C7D">
              <w:rPr>
                <w:rFonts w:cs="Arial"/>
                <w:bCs/>
                <w:color w:val="auto"/>
                <w:sz w:val="20"/>
              </w:rPr>
              <w:t>Fields opposite Orchard Way and A38</w:t>
            </w:r>
          </w:p>
        </w:tc>
        <w:tc>
          <w:tcPr>
            <w:tcW w:w="1847" w:type="dxa"/>
            <w:noWrap/>
          </w:tcPr>
          <w:p w14:paraId="35760718" w14:textId="77777777" w:rsidR="00967C7D" w:rsidRPr="00967C7D" w:rsidRDefault="00967C7D" w:rsidP="00967C7D">
            <w:pPr>
              <w:keepNext w:val="0"/>
              <w:spacing w:before="0"/>
              <w:rPr>
                <w:rFonts w:cs="Arial"/>
                <w:bCs/>
                <w:color w:val="auto"/>
                <w:sz w:val="20"/>
              </w:rPr>
            </w:pPr>
            <w:r w:rsidRPr="00967C7D">
              <w:rPr>
                <w:rFonts w:cs="Arial"/>
                <w:bCs/>
                <w:color w:val="auto"/>
                <w:sz w:val="20"/>
              </w:rPr>
              <w:t>North Sheet</w:t>
            </w:r>
          </w:p>
        </w:tc>
      </w:tr>
      <w:tr w:rsidR="00967C7D" w:rsidRPr="00967C7D" w14:paraId="79563231" w14:textId="77777777" w:rsidTr="00B5314A">
        <w:trPr>
          <w:trHeight w:val="284"/>
        </w:trPr>
        <w:tc>
          <w:tcPr>
            <w:tcW w:w="1280" w:type="dxa"/>
          </w:tcPr>
          <w:p w14:paraId="3500FE17" w14:textId="77777777" w:rsidR="00967C7D" w:rsidRPr="00967C7D" w:rsidRDefault="00967C7D" w:rsidP="00967C7D">
            <w:pPr>
              <w:keepNext w:val="0"/>
              <w:spacing w:before="0"/>
              <w:rPr>
                <w:rFonts w:cs="Arial"/>
                <w:bCs/>
                <w:color w:val="auto"/>
                <w:sz w:val="20"/>
              </w:rPr>
            </w:pPr>
            <w:r w:rsidRPr="00967C7D">
              <w:rPr>
                <w:rFonts w:cs="Arial"/>
                <w:bCs/>
                <w:color w:val="auto"/>
                <w:sz w:val="20"/>
              </w:rPr>
              <w:t>EV5/166</w:t>
            </w:r>
          </w:p>
        </w:tc>
        <w:tc>
          <w:tcPr>
            <w:tcW w:w="6230" w:type="dxa"/>
            <w:noWrap/>
          </w:tcPr>
          <w:p w14:paraId="02208B4E" w14:textId="77777777" w:rsidR="00967C7D" w:rsidRPr="00967C7D" w:rsidRDefault="00967C7D" w:rsidP="00967C7D">
            <w:pPr>
              <w:keepNext w:val="0"/>
              <w:spacing w:before="0"/>
              <w:rPr>
                <w:rFonts w:cs="Arial"/>
                <w:bCs/>
                <w:color w:val="auto"/>
                <w:sz w:val="20"/>
              </w:rPr>
            </w:pPr>
            <w:r w:rsidRPr="00967C7D">
              <w:rPr>
                <w:rFonts w:cs="Arial"/>
                <w:bCs/>
                <w:color w:val="auto"/>
                <w:sz w:val="20"/>
              </w:rPr>
              <w:t>Coxmoor Golf Course</w:t>
            </w:r>
          </w:p>
        </w:tc>
        <w:tc>
          <w:tcPr>
            <w:tcW w:w="1847" w:type="dxa"/>
            <w:noWrap/>
          </w:tcPr>
          <w:p w14:paraId="358CE5BC" w14:textId="77777777" w:rsidR="00967C7D" w:rsidRPr="00967C7D" w:rsidRDefault="00967C7D" w:rsidP="00967C7D">
            <w:pPr>
              <w:keepNext w:val="0"/>
              <w:spacing w:before="0"/>
              <w:rPr>
                <w:rFonts w:cs="Arial"/>
                <w:bCs/>
                <w:color w:val="auto"/>
                <w:sz w:val="20"/>
              </w:rPr>
            </w:pPr>
            <w:r w:rsidRPr="00967C7D">
              <w:rPr>
                <w:rFonts w:cs="Arial"/>
                <w:bCs/>
                <w:color w:val="auto"/>
                <w:sz w:val="20"/>
              </w:rPr>
              <w:t>North Sheet</w:t>
            </w:r>
          </w:p>
        </w:tc>
      </w:tr>
      <w:tr w:rsidR="00B52A41" w:rsidRPr="00967C7D" w14:paraId="0B7679BA" w14:textId="77777777" w:rsidTr="00B5314A">
        <w:trPr>
          <w:trHeight w:val="284"/>
        </w:trPr>
        <w:tc>
          <w:tcPr>
            <w:tcW w:w="1280" w:type="dxa"/>
          </w:tcPr>
          <w:p w14:paraId="199C4583" w14:textId="26F5D231" w:rsidR="00B52A41" w:rsidRPr="00967C7D" w:rsidRDefault="00B52A41" w:rsidP="00967C7D">
            <w:pPr>
              <w:keepNext w:val="0"/>
              <w:spacing w:before="0"/>
              <w:rPr>
                <w:rFonts w:cs="Arial"/>
                <w:bCs/>
                <w:color w:val="auto"/>
                <w:sz w:val="20"/>
              </w:rPr>
            </w:pPr>
            <w:r>
              <w:rPr>
                <w:rFonts w:cs="Arial"/>
                <w:bCs/>
                <w:color w:val="auto"/>
                <w:sz w:val="20"/>
              </w:rPr>
              <w:t>EV5/167</w:t>
            </w:r>
          </w:p>
        </w:tc>
        <w:tc>
          <w:tcPr>
            <w:tcW w:w="6230" w:type="dxa"/>
            <w:noWrap/>
          </w:tcPr>
          <w:p w14:paraId="1B236877" w14:textId="75C55B29" w:rsidR="00B52A41" w:rsidRPr="00967C7D" w:rsidRDefault="00B52A41" w:rsidP="00967C7D">
            <w:pPr>
              <w:keepNext w:val="0"/>
              <w:spacing w:before="0"/>
              <w:rPr>
                <w:rFonts w:cs="Arial"/>
                <w:bCs/>
                <w:color w:val="auto"/>
                <w:sz w:val="20"/>
              </w:rPr>
            </w:pPr>
            <w:r>
              <w:rPr>
                <w:rFonts w:cs="Arial"/>
                <w:bCs/>
                <w:color w:val="auto"/>
                <w:sz w:val="20"/>
              </w:rPr>
              <w:t>Clare Road</w:t>
            </w:r>
          </w:p>
        </w:tc>
        <w:tc>
          <w:tcPr>
            <w:tcW w:w="1847" w:type="dxa"/>
            <w:noWrap/>
          </w:tcPr>
          <w:p w14:paraId="386B67B6" w14:textId="76C41291" w:rsidR="00B52A41" w:rsidRPr="00967C7D" w:rsidRDefault="00B52A41" w:rsidP="00967C7D">
            <w:pPr>
              <w:keepNext w:val="0"/>
              <w:spacing w:before="0"/>
              <w:rPr>
                <w:rFonts w:cs="Arial"/>
                <w:bCs/>
                <w:color w:val="auto"/>
                <w:sz w:val="20"/>
              </w:rPr>
            </w:pPr>
            <w:r>
              <w:rPr>
                <w:rFonts w:cs="Arial"/>
                <w:bCs/>
                <w:color w:val="auto"/>
                <w:sz w:val="20"/>
              </w:rPr>
              <w:t>North Street</w:t>
            </w:r>
          </w:p>
        </w:tc>
      </w:tr>
      <w:tr w:rsidR="00967C7D" w:rsidRPr="00967C7D" w14:paraId="4B1C58EE" w14:textId="77777777" w:rsidTr="00B5314A">
        <w:trPr>
          <w:trHeight w:val="284"/>
        </w:trPr>
        <w:tc>
          <w:tcPr>
            <w:tcW w:w="1280" w:type="dxa"/>
          </w:tcPr>
          <w:p w14:paraId="7AD06AEC" w14:textId="77777777" w:rsidR="00967C7D" w:rsidRPr="00967C7D" w:rsidRDefault="00967C7D" w:rsidP="00967C7D">
            <w:pPr>
              <w:keepNext w:val="0"/>
              <w:spacing w:before="0"/>
              <w:rPr>
                <w:rFonts w:cs="Arial"/>
                <w:bCs/>
                <w:color w:val="auto"/>
                <w:sz w:val="20"/>
              </w:rPr>
            </w:pPr>
            <w:r w:rsidRPr="00967C7D">
              <w:rPr>
                <w:rFonts w:cs="Arial"/>
                <w:bCs/>
                <w:color w:val="auto"/>
                <w:sz w:val="20"/>
              </w:rPr>
              <w:t>EV5/168</w:t>
            </w:r>
          </w:p>
        </w:tc>
        <w:tc>
          <w:tcPr>
            <w:tcW w:w="6230" w:type="dxa"/>
            <w:noWrap/>
          </w:tcPr>
          <w:p w14:paraId="28A2D9F2" w14:textId="77777777" w:rsidR="00967C7D" w:rsidRPr="00967C7D" w:rsidRDefault="00967C7D" w:rsidP="00967C7D">
            <w:pPr>
              <w:keepNext w:val="0"/>
              <w:spacing w:before="0"/>
              <w:rPr>
                <w:rFonts w:cs="Arial"/>
                <w:bCs/>
                <w:color w:val="auto"/>
                <w:sz w:val="20"/>
              </w:rPr>
            </w:pPr>
            <w:r w:rsidRPr="00967C7D">
              <w:rPr>
                <w:rFonts w:cs="Arial"/>
                <w:bCs/>
                <w:color w:val="auto"/>
                <w:sz w:val="20"/>
              </w:rPr>
              <w:t>Leamington County Primary School Field</w:t>
            </w:r>
          </w:p>
        </w:tc>
        <w:tc>
          <w:tcPr>
            <w:tcW w:w="1847" w:type="dxa"/>
            <w:noWrap/>
          </w:tcPr>
          <w:p w14:paraId="0A8FD649" w14:textId="77777777" w:rsidR="00967C7D" w:rsidRPr="00967C7D" w:rsidRDefault="00967C7D" w:rsidP="00967C7D">
            <w:pPr>
              <w:keepNext w:val="0"/>
              <w:spacing w:before="0"/>
              <w:rPr>
                <w:rFonts w:cs="Arial"/>
                <w:bCs/>
                <w:color w:val="auto"/>
                <w:sz w:val="20"/>
              </w:rPr>
            </w:pPr>
            <w:r w:rsidRPr="00967C7D">
              <w:rPr>
                <w:rFonts w:cs="Arial"/>
                <w:bCs/>
                <w:color w:val="auto"/>
                <w:sz w:val="20"/>
              </w:rPr>
              <w:t>North Sheet</w:t>
            </w:r>
          </w:p>
        </w:tc>
      </w:tr>
      <w:tr w:rsidR="00967C7D" w:rsidRPr="00967C7D" w14:paraId="63481D3B" w14:textId="77777777" w:rsidTr="00B5314A">
        <w:trPr>
          <w:trHeight w:val="284"/>
        </w:trPr>
        <w:tc>
          <w:tcPr>
            <w:tcW w:w="1280" w:type="dxa"/>
          </w:tcPr>
          <w:p w14:paraId="198C74F6" w14:textId="77777777" w:rsidR="00967C7D" w:rsidRPr="00967C7D" w:rsidRDefault="00967C7D" w:rsidP="00967C7D">
            <w:pPr>
              <w:keepNext w:val="0"/>
              <w:spacing w:before="0"/>
              <w:rPr>
                <w:rFonts w:cs="Arial"/>
                <w:bCs/>
                <w:color w:val="auto"/>
                <w:sz w:val="20"/>
              </w:rPr>
            </w:pPr>
            <w:r w:rsidRPr="00967C7D">
              <w:rPr>
                <w:rFonts w:cs="Arial"/>
                <w:bCs/>
                <w:color w:val="auto"/>
                <w:sz w:val="20"/>
              </w:rPr>
              <w:t>EV5/169</w:t>
            </w:r>
          </w:p>
        </w:tc>
        <w:tc>
          <w:tcPr>
            <w:tcW w:w="6230" w:type="dxa"/>
            <w:noWrap/>
          </w:tcPr>
          <w:p w14:paraId="3C6FB452" w14:textId="77777777" w:rsidR="00967C7D" w:rsidRPr="00967C7D" w:rsidRDefault="00967C7D" w:rsidP="00967C7D">
            <w:pPr>
              <w:keepNext w:val="0"/>
              <w:spacing w:before="0"/>
              <w:rPr>
                <w:rFonts w:cs="Arial"/>
                <w:bCs/>
                <w:color w:val="auto"/>
                <w:sz w:val="20"/>
              </w:rPr>
            </w:pPr>
            <w:r w:rsidRPr="00967C7D">
              <w:rPr>
                <w:rFonts w:cs="Arial"/>
                <w:bCs/>
                <w:color w:val="auto"/>
                <w:sz w:val="20"/>
              </w:rPr>
              <w:t>Lynton Drive footpath</w:t>
            </w:r>
          </w:p>
        </w:tc>
        <w:tc>
          <w:tcPr>
            <w:tcW w:w="1847" w:type="dxa"/>
            <w:noWrap/>
          </w:tcPr>
          <w:p w14:paraId="2465750C" w14:textId="77777777" w:rsidR="00967C7D" w:rsidRPr="00967C7D" w:rsidRDefault="00967C7D" w:rsidP="00967C7D">
            <w:pPr>
              <w:keepNext w:val="0"/>
              <w:spacing w:before="0"/>
              <w:rPr>
                <w:rFonts w:cs="Arial"/>
                <w:bCs/>
                <w:color w:val="auto"/>
                <w:sz w:val="20"/>
              </w:rPr>
            </w:pPr>
            <w:r w:rsidRPr="00967C7D">
              <w:rPr>
                <w:rFonts w:cs="Arial"/>
                <w:bCs/>
                <w:color w:val="auto"/>
                <w:sz w:val="20"/>
              </w:rPr>
              <w:t>North Sheet</w:t>
            </w:r>
          </w:p>
        </w:tc>
      </w:tr>
      <w:tr w:rsidR="00967C7D" w:rsidRPr="00967C7D" w14:paraId="0C51F044" w14:textId="77777777" w:rsidTr="00B5314A">
        <w:trPr>
          <w:trHeight w:val="284"/>
        </w:trPr>
        <w:tc>
          <w:tcPr>
            <w:tcW w:w="1280" w:type="dxa"/>
          </w:tcPr>
          <w:p w14:paraId="60965266" w14:textId="77777777" w:rsidR="00967C7D" w:rsidRPr="00967C7D" w:rsidRDefault="00967C7D" w:rsidP="00967C7D">
            <w:pPr>
              <w:keepNext w:val="0"/>
              <w:spacing w:before="0"/>
              <w:rPr>
                <w:rFonts w:cs="Arial"/>
                <w:bCs/>
                <w:color w:val="auto"/>
                <w:sz w:val="20"/>
              </w:rPr>
            </w:pPr>
            <w:r w:rsidRPr="00967C7D">
              <w:rPr>
                <w:rFonts w:cs="Arial"/>
                <w:bCs/>
                <w:color w:val="auto"/>
                <w:sz w:val="20"/>
              </w:rPr>
              <w:t>EV5/170</w:t>
            </w:r>
          </w:p>
        </w:tc>
        <w:tc>
          <w:tcPr>
            <w:tcW w:w="6230" w:type="dxa"/>
            <w:noWrap/>
          </w:tcPr>
          <w:p w14:paraId="01E3F776" w14:textId="77777777" w:rsidR="00967C7D" w:rsidRPr="00967C7D" w:rsidRDefault="00967C7D" w:rsidP="00967C7D">
            <w:pPr>
              <w:keepNext w:val="0"/>
              <w:spacing w:before="0"/>
              <w:rPr>
                <w:rFonts w:cs="Arial"/>
                <w:bCs/>
                <w:color w:val="auto"/>
                <w:sz w:val="20"/>
              </w:rPr>
            </w:pPr>
            <w:r w:rsidRPr="00967C7D">
              <w:rPr>
                <w:rFonts w:cs="Arial"/>
                <w:bCs/>
                <w:color w:val="auto"/>
                <w:sz w:val="20"/>
              </w:rPr>
              <w:t>Ashfield Park</w:t>
            </w:r>
          </w:p>
        </w:tc>
        <w:tc>
          <w:tcPr>
            <w:tcW w:w="1847" w:type="dxa"/>
            <w:noWrap/>
          </w:tcPr>
          <w:p w14:paraId="21992CA1" w14:textId="77777777" w:rsidR="00967C7D" w:rsidRPr="00967C7D" w:rsidRDefault="00967C7D" w:rsidP="00967C7D">
            <w:pPr>
              <w:keepNext w:val="0"/>
              <w:spacing w:before="0"/>
              <w:rPr>
                <w:rFonts w:cs="Arial"/>
                <w:bCs/>
                <w:color w:val="auto"/>
                <w:sz w:val="20"/>
              </w:rPr>
            </w:pPr>
            <w:r w:rsidRPr="00967C7D">
              <w:rPr>
                <w:rFonts w:cs="Arial"/>
                <w:bCs/>
                <w:color w:val="auto"/>
                <w:sz w:val="20"/>
              </w:rPr>
              <w:t>North Sheet</w:t>
            </w:r>
          </w:p>
        </w:tc>
      </w:tr>
      <w:tr w:rsidR="00967C7D" w:rsidRPr="00967C7D" w14:paraId="597A3EA3" w14:textId="77777777" w:rsidTr="00B5314A">
        <w:trPr>
          <w:trHeight w:val="284"/>
        </w:trPr>
        <w:tc>
          <w:tcPr>
            <w:tcW w:w="1280" w:type="dxa"/>
          </w:tcPr>
          <w:p w14:paraId="3E7B07AB" w14:textId="77777777" w:rsidR="00967C7D" w:rsidRPr="00967C7D" w:rsidRDefault="00967C7D" w:rsidP="00967C7D">
            <w:pPr>
              <w:keepNext w:val="0"/>
              <w:spacing w:before="0"/>
              <w:rPr>
                <w:rFonts w:cs="Arial"/>
                <w:bCs/>
                <w:color w:val="auto"/>
                <w:sz w:val="20"/>
              </w:rPr>
            </w:pPr>
            <w:r w:rsidRPr="00967C7D">
              <w:rPr>
                <w:rFonts w:cs="Arial"/>
                <w:bCs/>
                <w:color w:val="auto"/>
                <w:sz w:val="20"/>
              </w:rPr>
              <w:t>EV5/171</w:t>
            </w:r>
          </w:p>
        </w:tc>
        <w:tc>
          <w:tcPr>
            <w:tcW w:w="6230" w:type="dxa"/>
            <w:noWrap/>
          </w:tcPr>
          <w:p w14:paraId="10E1EFFC" w14:textId="77777777" w:rsidR="00967C7D" w:rsidRPr="00967C7D" w:rsidRDefault="00967C7D" w:rsidP="00967C7D">
            <w:pPr>
              <w:keepNext w:val="0"/>
              <w:spacing w:before="0"/>
              <w:rPr>
                <w:rFonts w:cs="Arial"/>
                <w:bCs/>
                <w:color w:val="auto"/>
                <w:sz w:val="20"/>
              </w:rPr>
            </w:pPr>
            <w:r w:rsidRPr="00967C7D">
              <w:rPr>
                <w:rFonts w:cs="Arial"/>
                <w:bCs/>
                <w:color w:val="auto"/>
                <w:sz w:val="20"/>
              </w:rPr>
              <w:t>Hill Top View Open Space</w:t>
            </w:r>
          </w:p>
        </w:tc>
        <w:tc>
          <w:tcPr>
            <w:tcW w:w="1847" w:type="dxa"/>
            <w:noWrap/>
          </w:tcPr>
          <w:p w14:paraId="46C04740" w14:textId="77777777" w:rsidR="00967C7D" w:rsidRPr="00967C7D" w:rsidRDefault="00967C7D" w:rsidP="00967C7D">
            <w:pPr>
              <w:keepNext w:val="0"/>
              <w:spacing w:before="0"/>
              <w:rPr>
                <w:rFonts w:cs="Arial"/>
                <w:bCs/>
                <w:color w:val="auto"/>
                <w:sz w:val="20"/>
              </w:rPr>
            </w:pPr>
            <w:r w:rsidRPr="00967C7D">
              <w:rPr>
                <w:rFonts w:cs="Arial"/>
                <w:bCs/>
                <w:color w:val="auto"/>
                <w:sz w:val="20"/>
              </w:rPr>
              <w:t>North Sheet</w:t>
            </w:r>
          </w:p>
        </w:tc>
      </w:tr>
      <w:tr w:rsidR="00967C7D" w:rsidRPr="00967C7D" w14:paraId="73093905" w14:textId="77777777" w:rsidTr="00B5314A">
        <w:trPr>
          <w:trHeight w:val="284"/>
        </w:trPr>
        <w:tc>
          <w:tcPr>
            <w:tcW w:w="1280" w:type="dxa"/>
          </w:tcPr>
          <w:p w14:paraId="41C1CBA1" w14:textId="77777777" w:rsidR="00967C7D" w:rsidRPr="00967C7D" w:rsidRDefault="00967C7D" w:rsidP="00967C7D">
            <w:pPr>
              <w:keepNext w:val="0"/>
              <w:spacing w:before="0"/>
              <w:rPr>
                <w:rFonts w:cs="Arial"/>
                <w:bCs/>
                <w:color w:val="auto"/>
                <w:sz w:val="20"/>
              </w:rPr>
            </w:pPr>
            <w:r w:rsidRPr="00967C7D">
              <w:rPr>
                <w:rFonts w:cs="Arial"/>
                <w:bCs/>
                <w:color w:val="auto"/>
                <w:sz w:val="20"/>
              </w:rPr>
              <w:t>EV5/172</w:t>
            </w:r>
          </w:p>
        </w:tc>
        <w:tc>
          <w:tcPr>
            <w:tcW w:w="6230" w:type="dxa"/>
            <w:noWrap/>
          </w:tcPr>
          <w:p w14:paraId="42ADC637" w14:textId="77777777" w:rsidR="00967C7D" w:rsidRPr="00967C7D" w:rsidRDefault="00967C7D" w:rsidP="00967C7D">
            <w:pPr>
              <w:keepNext w:val="0"/>
              <w:spacing w:before="0"/>
              <w:rPr>
                <w:rFonts w:cs="Arial"/>
                <w:bCs/>
                <w:color w:val="auto"/>
                <w:sz w:val="20"/>
              </w:rPr>
            </w:pPr>
            <w:r w:rsidRPr="00967C7D">
              <w:rPr>
                <w:rFonts w:cs="Arial"/>
                <w:bCs/>
                <w:color w:val="auto"/>
                <w:sz w:val="20"/>
              </w:rPr>
              <w:t>Lynton Drive</w:t>
            </w:r>
          </w:p>
        </w:tc>
        <w:tc>
          <w:tcPr>
            <w:tcW w:w="1847" w:type="dxa"/>
            <w:noWrap/>
          </w:tcPr>
          <w:p w14:paraId="1F9A06F2" w14:textId="77777777" w:rsidR="00967C7D" w:rsidRPr="00967C7D" w:rsidRDefault="00967C7D" w:rsidP="00967C7D">
            <w:pPr>
              <w:keepNext w:val="0"/>
              <w:spacing w:before="0"/>
              <w:rPr>
                <w:rFonts w:cs="Arial"/>
                <w:bCs/>
                <w:color w:val="auto"/>
                <w:sz w:val="20"/>
              </w:rPr>
            </w:pPr>
            <w:r w:rsidRPr="00967C7D">
              <w:rPr>
                <w:rFonts w:cs="Arial"/>
                <w:bCs/>
                <w:color w:val="auto"/>
                <w:sz w:val="20"/>
              </w:rPr>
              <w:t>North Sheet</w:t>
            </w:r>
          </w:p>
        </w:tc>
      </w:tr>
      <w:tr w:rsidR="00967C7D" w:rsidRPr="00967C7D" w14:paraId="3FF37C04" w14:textId="77777777" w:rsidTr="00B5314A">
        <w:trPr>
          <w:trHeight w:val="284"/>
        </w:trPr>
        <w:tc>
          <w:tcPr>
            <w:tcW w:w="1280" w:type="dxa"/>
          </w:tcPr>
          <w:p w14:paraId="43DD5D1E" w14:textId="77777777" w:rsidR="00967C7D" w:rsidRPr="00967C7D" w:rsidRDefault="00967C7D" w:rsidP="00967C7D">
            <w:pPr>
              <w:keepNext w:val="0"/>
              <w:spacing w:before="0"/>
              <w:rPr>
                <w:rFonts w:cs="Arial"/>
                <w:bCs/>
                <w:color w:val="auto"/>
                <w:sz w:val="20"/>
              </w:rPr>
            </w:pPr>
            <w:r w:rsidRPr="00967C7D">
              <w:rPr>
                <w:rFonts w:cs="Arial"/>
                <w:bCs/>
                <w:color w:val="auto"/>
                <w:sz w:val="20"/>
              </w:rPr>
              <w:t>EV5/173</w:t>
            </w:r>
          </w:p>
        </w:tc>
        <w:tc>
          <w:tcPr>
            <w:tcW w:w="6230" w:type="dxa"/>
            <w:noWrap/>
          </w:tcPr>
          <w:p w14:paraId="1E4A1BBF" w14:textId="77777777" w:rsidR="00967C7D" w:rsidRPr="00967C7D" w:rsidRDefault="00967C7D" w:rsidP="00967C7D">
            <w:pPr>
              <w:keepNext w:val="0"/>
              <w:spacing w:before="0"/>
              <w:rPr>
                <w:rFonts w:cs="Arial"/>
                <w:bCs/>
                <w:color w:val="auto"/>
                <w:sz w:val="20"/>
              </w:rPr>
            </w:pPr>
            <w:proofErr w:type="spellStart"/>
            <w:r w:rsidRPr="00967C7D">
              <w:rPr>
                <w:rFonts w:cs="Arial"/>
                <w:bCs/>
                <w:color w:val="auto"/>
                <w:sz w:val="20"/>
              </w:rPr>
              <w:t>Twinyards</w:t>
            </w:r>
            <w:proofErr w:type="spellEnd"/>
            <w:r w:rsidRPr="00967C7D">
              <w:rPr>
                <w:rFonts w:cs="Arial"/>
                <w:bCs/>
                <w:color w:val="auto"/>
                <w:sz w:val="20"/>
              </w:rPr>
              <w:t xml:space="preserve"> Close Footpath</w:t>
            </w:r>
          </w:p>
        </w:tc>
        <w:tc>
          <w:tcPr>
            <w:tcW w:w="1847" w:type="dxa"/>
            <w:noWrap/>
          </w:tcPr>
          <w:p w14:paraId="1C172BAE" w14:textId="77777777" w:rsidR="00967C7D" w:rsidRPr="00967C7D" w:rsidRDefault="00967C7D" w:rsidP="00967C7D">
            <w:pPr>
              <w:keepNext w:val="0"/>
              <w:spacing w:before="0"/>
              <w:rPr>
                <w:rFonts w:cs="Arial"/>
                <w:bCs/>
                <w:color w:val="auto"/>
                <w:sz w:val="20"/>
              </w:rPr>
            </w:pPr>
            <w:r w:rsidRPr="00967C7D">
              <w:rPr>
                <w:rFonts w:cs="Arial"/>
                <w:bCs/>
                <w:color w:val="auto"/>
                <w:sz w:val="20"/>
              </w:rPr>
              <w:t>North Sheet</w:t>
            </w:r>
          </w:p>
        </w:tc>
      </w:tr>
      <w:tr w:rsidR="00967C7D" w:rsidRPr="00967C7D" w14:paraId="0931B738" w14:textId="77777777" w:rsidTr="00B5314A">
        <w:trPr>
          <w:trHeight w:val="284"/>
        </w:trPr>
        <w:tc>
          <w:tcPr>
            <w:tcW w:w="1280" w:type="dxa"/>
          </w:tcPr>
          <w:p w14:paraId="7AE97C11" w14:textId="77777777" w:rsidR="00967C7D" w:rsidRPr="00967C7D" w:rsidRDefault="00967C7D" w:rsidP="00967C7D">
            <w:pPr>
              <w:keepNext w:val="0"/>
              <w:spacing w:before="0"/>
              <w:rPr>
                <w:rFonts w:cs="Arial"/>
                <w:bCs/>
                <w:color w:val="auto"/>
                <w:sz w:val="20"/>
              </w:rPr>
            </w:pPr>
            <w:r w:rsidRPr="00967C7D">
              <w:rPr>
                <w:rFonts w:cs="Arial"/>
                <w:bCs/>
                <w:color w:val="auto"/>
                <w:sz w:val="20"/>
              </w:rPr>
              <w:t>EV5/174</w:t>
            </w:r>
          </w:p>
        </w:tc>
        <w:tc>
          <w:tcPr>
            <w:tcW w:w="6230" w:type="dxa"/>
            <w:noWrap/>
          </w:tcPr>
          <w:p w14:paraId="6A49977A" w14:textId="77777777" w:rsidR="00967C7D" w:rsidRPr="00967C7D" w:rsidRDefault="00967C7D" w:rsidP="00967C7D">
            <w:pPr>
              <w:keepNext w:val="0"/>
              <w:spacing w:before="0"/>
              <w:rPr>
                <w:rFonts w:cs="Arial"/>
                <w:bCs/>
                <w:color w:val="auto"/>
                <w:sz w:val="20"/>
              </w:rPr>
            </w:pPr>
            <w:r w:rsidRPr="00967C7D">
              <w:rPr>
                <w:rFonts w:cs="Arial"/>
                <w:bCs/>
                <w:color w:val="auto"/>
                <w:sz w:val="20"/>
              </w:rPr>
              <w:t>Calladine Open Space</w:t>
            </w:r>
          </w:p>
        </w:tc>
        <w:tc>
          <w:tcPr>
            <w:tcW w:w="1847" w:type="dxa"/>
            <w:noWrap/>
          </w:tcPr>
          <w:p w14:paraId="2445148A" w14:textId="77777777" w:rsidR="00967C7D" w:rsidRPr="00967C7D" w:rsidRDefault="00967C7D" w:rsidP="00967C7D">
            <w:pPr>
              <w:keepNext w:val="0"/>
              <w:spacing w:before="0"/>
              <w:rPr>
                <w:rFonts w:cs="Arial"/>
                <w:bCs/>
                <w:color w:val="auto"/>
                <w:sz w:val="20"/>
              </w:rPr>
            </w:pPr>
            <w:r w:rsidRPr="00967C7D">
              <w:rPr>
                <w:rFonts w:cs="Arial"/>
                <w:bCs/>
                <w:color w:val="auto"/>
                <w:sz w:val="20"/>
              </w:rPr>
              <w:t>North Sheet</w:t>
            </w:r>
          </w:p>
        </w:tc>
      </w:tr>
      <w:tr w:rsidR="00967C7D" w:rsidRPr="00967C7D" w14:paraId="52A3FAC5" w14:textId="77777777" w:rsidTr="00B5314A">
        <w:trPr>
          <w:trHeight w:val="284"/>
        </w:trPr>
        <w:tc>
          <w:tcPr>
            <w:tcW w:w="1280" w:type="dxa"/>
          </w:tcPr>
          <w:p w14:paraId="534EA4F4" w14:textId="77777777" w:rsidR="00967C7D" w:rsidRPr="00967C7D" w:rsidRDefault="00967C7D" w:rsidP="00967C7D">
            <w:pPr>
              <w:keepNext w:val="0"/>
              <w:spacing w:before="0"/>
              <w:rPr>
                <w:rFonts w:cs="Arial"/>
                <w:bCs/>
                <w:color w:val="auto"/>
                <w:sz w:val="20"/>
              </w:rPr>
            </w:pPr>
            <w:r w:rsidRPr="00967C7D">
              <w:rPr>
                <w:rFonts w:cs="Arial"/>
                <w:bCs/>
                <w:color w:val="auto"/>
                <w:sz w:val="20"/>
              </w:rPr>
              <w:t>EV5/175</w:t>
            </w:r>
          </w:p>
        </w:tc>
        <w:tc>
          <w:tcPr>
            <w:tcW w:w="6230" w:type="dxa"/>
            <w:noWrap/>
          </w:tcPr>
          <w:p w14:paraId="0B1AF4AB" w14:textId="77777777" w:rsidR="00967C7D" w:rsidRPr="00967C7D" w:rsidRDefault="00967C7D" w:rsidP="00967C7D">
            <w:pPr>
              <w:keepNext w:val="0"/>
              <w:spacing w:before="0"/>
              <w:rPr>
                <w:rFonts w:cs="Arial"/>
                <w:bCs/>
                <w:color w:val="auto"/>
                <w:sz w:val="20"/>
              </w:rPr>
            </w:pPr>
            <w:r w:rsidRPr="00967C7D">
              <w:rPr>
                <w:rFonts w:cs="Arial"/>
                <w:bCs/>
                <w:color w:val="auto"/>
                <w:sz w:val="20"/>
              </w:rPr>
              <w:t>Taylor Crescent Recreation Ground</w:t>
            </w:r>
          </w:p>
        </w:tc>
        <w:tc>
          <w:tcPr>
            <w:tcW w:w="1847" w:type="dxa"/>
            <w:noWrap/>
          </w:tcPr>
          <w:p w14:paraId="2428F74D" w14:textId="77777777" w:rsidR="00967C7D" w:rsidRPr="00967C7D" w:rsidRDefault="00967C7D" w:rsidP="00967C7D">
            <w:pPr>
              <w:keepNext w:val="0"/>
              <w:spacing w:before="0"/>
              <w:rPr>
                <w:rFonts w:cs="Arial"/>
                <w:bCs/>
                <w:color w:val="auto"/>
                <w:sz w:val="20"/>
              </w:rPr>
            </w:pPr>
            <w:r w:rsidRPr="00967C7D">
              <w:rPr>
                <w:rFonts w:cs="Arial"/>
                <w:bCs/>
                <w:color w:val="auto"/>
                <w:sz w:val="20"/>
              </w:rPr>
              <w:t>North Sheet</w:t>
            </w:r>
          </w:p>
        </w:tc>
      </w:tr>
      <w:tr w:rsidR="00967C7D" w:rsidRPr="00967C7D" w14:paraId="6E827E05" w14:textId="77777777" w:rsidTr="00B5314A">
        <w:trPr>
          <w:trHeight w:val="284"/>
        </w:trPr>
        <w:tc>
          <w:tcPr>
            <w:tcW w:w="1280" w:type="dxa"/>
          </w:tcPr>
          <w:p w14:paraId="77D84170" w14:textId="77777777" w:rsidR="00967C7D" w:rsidRPr="00967C7D" w:rsidRDefault="00967C7D" w:rsidP="00967C7D">
            <w:pPr>
              <w:keepNext w:val="0"/>
              <w:spacing w:before="0"/>
              <w:rPr>
                <w:rFonts w:cs="Arial"/>
                <w:bCs/>
                <w:color w:val="auto"/>
                <w:sz w:val="20"/>
              </w:rPr>
            </w:pPr>
            <w:r w:rsidRPr="00967C7D">
              <w:rPr>
                <w:rFonts w:cs="Arial"/>
                <w:bCs/>
                <w:color w:val="auto"/>
                <w:sz w:val="20"/>
              </w:rPr>
              <w:t>EV5/176</w:t>
            </w:r>
          </w:p>
        </w:tc>
        <w:tc>
          <w:tcPr>
            <w:tcW w:w="6230" w:type="dxa"/>
            <w:noWrap/>
          </w:tcPr>
          <w:p w14:paraId="3E5358C7" w14:textId="77777777" w:rsidR="00967C7D" w:rsidRPr="00967C7D" w:rsidRDefault="00967C7D" w:rsidP="00967C7D">
            <w:pPr>
              <w:keepNext w:val="0"/>
              <w:spacing w:before="0"/>
              <w:rPr>
                <w:rFonts w:cs="Arial"/>
                <w:bCs/>
                <w:color w:val="auto"/>
                <w:sz w:val="20"/>
              </w:rPr>
            </w:pPr>
            <w:r w:rsidRPr="00967C7D">
              <w:rPr>
                <w:rFonts w:cs="Arial"/>
                <w:bCs/>
                <w:color w:val="auto"/>
                <w:sz w:val="20"/>
              </w:rPr>
              <w:t>Roundhills Recreation Ground</w:t>
            </w:r>
          </w:p>
        </w:tc>
        <w:tc>
          <w:tcPr>
            <w:tcW w:w="1847" w:type="dxa"/>
            <w:noWrap/>
          </w:tcPr>
          <w:p w14:paraId="1E81A422" w14:textId="77777777" w:rsidR="00967C7D" w:rsidRPr="00967C7D" w:rsidRDefault="00967C7D" w:rsidP="00967C7D">
            <w:pPr>
              <w:keepNext w:val="0"/>
              <w:spacing w:before="0"/>
              <w:rPr>
                <w:rFonts w:cs="Arial"/>
                <w:bCs/>
                <w:color w:val="auto"/>
                <w:sz w:val="20"/>
              </w:rPr>
            </w:pPr>
            <w:r w:rsidRPr="00967C7D">
              <w:rPr>
                <w:rFonts w:cs="Arial"/>
                <w:bCs/>
                <w:color w:val="auto"/>
                <w:sz w:val="20"/>
              </w:rPr>
              <w:t>North Sheet</w:t>
            </w:r>
          </w:p>
        </w:tc>
      </w:tr>
      <w:tr w:rsidR="00967C7D" w:rsidRPr="00967C7D" w14:paraId="6F4C4A5F" w14:textId="77777777" w:rsidTr="00B5314A">
        <w:trPr>
          <w:trHeight w:val="284"/>
        </w:trPr>
        <w:tc>
          <w:tcPr>
            <w:tcW w:w="1280" w:type="dxa"/>
          </w:tcPr>
          <w:p w14:paraId="1F298592" w14:textId="77777777" w:rsidR="00967C7D" w:rsidRPr="00967C7D" w:rsidRDefault="00967C7D" w:rsidP="00967C7D">
            <w:pPr>
              <w:keepNext w:val="0"/>
              <w:spacing w:before="0"/>
              <w:rPr>
                <w:rFonts w:cs="Arial"/>
                <w:bCs/>
                <w:color w:val="auto"/>
                <w:sz w:val="20"/>
              </w:rPr>
            </w:pPr>
            <w:r w:rsidRPr="00967C7D">
              <w:rPr>
                <w:rFonts w:cs="Arial"/>
                <w:bCs/>
                <w:color w:val="auto"/>
                <w:sz w:val="20"/>
              </w:rPr>
              <w:t>EV5/177</w:t>
            </w:r>
          </w:p>
        </w:tc>
        <w:tc>
          <w:tcPr>
            <w:tcW w:w="6230" w:type="dxa"/>
            <w:noWrap/>
          </w:tcPr>
          <w:p w14:paraId="16F60058" w14:textId="77777777" w:rsidR="00967C7D" w:rsidRPr="00967C7D" w:rsidRDefault="00967C7D" w:rsidP="00967C7D">
            <w:pPr>
              <w:keepNext w:val="0"/>
              <w:spacing w:before="0"/>
              <w:rPr>
                <w:rFonts w:cs="Arial"/>
                <w:bCs/>
                <w:color w:val="auto"/>
                <w:sz w:val="20"/>
              </w:rPr>
            </w:pPr>
            <w:r w:rsidRPr="00967C7D">
              <w:rPr>
                <w:rFonts w:cs="Arial"/>
                <w:bCs/>
                <w:color w:val="auto"/>
                <w:sz w:val="20"/>
              </w:rPr>
              <w:t>Cow Pasture Lane Recreation Ground</w:t>
            </w:r>
          </w:p>
        </w:tc>
        <w:tc>
          <w:tcPr>
            <w:tcW w:w="1847" w:type="dxa"/>
            <w:noWrap/>
          </w:tcPr>
          <w:p w14:paraId="7677DC53" w14:textId="77777777" w:rsidR="00967C7D" w:rsidRPr="00967C7D" w:rsidRDefault="00967C7D" w:rsidP="00967C7D">
            <w:pPr>
              <w:keepNext w:val="0"/>
              <w:spacing w:before="0"/>
              <w:rPr>
                <w:rFonts w:cs="Arial"/>
                <w:bCs/>
                <w:color w:val="auto"/>
                <w:sz w:val="20"/>
              </w:rPr>
            </w:pPr>
            <w:r w:rsidRPr="00967C7D">
              <w:rPr>
                <w:rFonts w:cs="Arial"/>
                <w:bCs/>
                <w:color w:val="auto"/>
                <w:sz w:val="20"/>
              </w:rPr>
              <w:t>North Sheet</w:t>
            </w:r>
          </w:p>
        </w:tc>
      </w:tr>
      <w:tr w:rsidR="00967C7D" w:rsidRPr="00967C7D" w14:paraId="327D2387" w14:textId="77777777" w:rsidTr="00B5314A">
        <w:trPr>
          <w:trHeight w:val="284"/>
        </w:trPr>
        <w:tc>
          <w:tcPr>
            <w:tcW w:w="1280" w:type="dxa"/>
          </w:tcPr>
          <w:p w14:paraId="5CCDFFD8" w14:textId="77777777" w:rsidR="00967C7D" w:rsidRPr="00967C7D" w:rsidRDefault="00967C7D" w:rsidP="00967C7D">
            <w:pPr>
              <w:keepNext w:val="0"/>
              <w:spacing w:before="0"/>
              <w:rPr>
                <w:rFonts w:cs="Arial"/>
                <w:bCs/>
                <w:color w:val="auto"/>
                <w:sz w:val="20"/>
              </w:rPr>
            </w:pPr>
            <w:r w:rsidRPr="00967C7D">
              <w:rPr>
                <w:rFonts w:cs="Arial"/>
                <w:bCs/>
                <w:color w:val="auto"/>
                <w:sz w:val="20"/>
              </w:rPr>
              <w:t>EV5/178</w:t>
            </w:r>
          </w:p>
        </w:tc>
        <w:tc>
          <w:tcPr>
            <w:tcW w:w="6230" w:type="dxa"/>
            <w:noWrap/>
          </w:tcPr>
          <w:p w14:paraId="65DCD982" w14:textId="77777777" w:rsidR="00967C7D" w:rsidRPr="00967C7D" w:rsidRDefault="00967C7D" w:rsidP="00967C7D">
            <w:pPr>
              <w:keepNext w:val="0"/>
              <w:spacing w:before="0"/>
              <w:rPr>
                <w:rFonts w:cs="Arial"/>
                <w:bCs/>
                <w:color w:val="auto"/>
                <w:sz w:val="20"/>
              </w:rPr>
            </w:pPr>
            <w:r w:rsidRPr="00967C7D">
              <w:rPr>
                <w:rFonts w:cs="Arial"/>
                <w:bCs/>
                <w:color w:val="auto"/>
                <w:sz w:val="20"/>
              </w:rPr>
              <w:t>Calladine Pond and Open Space</w:t>
            </w:r>
          </w:p>
        </w:tc>
        <w:tc>
          <w:tcPr>
            <w:tcW w:w="1847" w:type="dxa"/>
            <w:noWrap/>
          </w:tcPr>
          <w:p w14:paraId="64913A79" w14:textId="77777777" w:rsidR="00967C7D" w:rsidRPr="00967C7D" w:rsidRDefault="00967C7D" w:rsidP="00967C7D">
            <w:pPr>
              <w:keepNext w:val="0"/>
              <w:spacing w:before="0"/>
              <w:rPr>
                <w:rFonts w:cs="Arial"/>
                <w:bCs/>
                <w:color w:val="auto"/>
                <w:sz w:val="20"/>
              </w:rPr>
            </w:pPr>
            <w:r w:rsidRPr="00967C7D">
              <w:rPr>
                <w:rFonts w:cs="Arial"/>
                <w:bCs/>
                <w:color w:val="auto"/>
                <w:sz w:val="20"/>
              </w:rPr>
              <w:t>North Sheet</w:t>
            </w:r>
          </w:p>
        </w:tc>
      </w:tr>
      <w:tr w:rsidR="00967C7D" w:rsidRPr="00967C7D" w14:paraId="6AAD9F41" w14:textId="77777777" w:rsidTr="00B5314A">
        <w:trPr>
          <w:trHeight w:val="284"/>
        </w:trPr>
        <w:tc>
          <w:tcPr>
            <w:tcW w:w="1280" w:type="dxa"/>
          </w:tcPr>
          <w:p w14:paraId="05C8B748" w14:textId="77777777" w:rsidR="00967C7D" w:rsidRPr="00967C7D" w:rsidRDefault="00967C7D" w:rsidP="00967C7D">
            <w:pPr>
              <w:keepNext w:val="0"/>
              <w:spacing w:before="0"/>
              <w:rPr>
                <w:rFonts w:cs="Arial"/>
                <w:bCs/>
                <w:color w:val="auto"/>
                <w:sz w:val="20"/>
              </w:rPr>
            </w:pPr>
            <w:r w:rsidRPr="00967C7D">
              <w:rPr>
                <w:rFonts w:cs="Arial"/>
                <w:bCs/>
                <w:color w:val="auto"/>
                <w:sz w:val="20"/>
              </w:rPr>
              <w:t>EV5/179</w:t>
            </w:r>
          </w:p>
        </w:tc>
        <w:tc>
          <w:tcPr>
            <w:tcW w:w="6230" w:type="dxa"/>
            <w:noWrap/>
          </w:tcPr>
          <w:p w14:paraId="002BF258" w14:textId="77777777" w:rsidR="00967C7D" w:rsidRPr="00967C7D" w:rsidRDefault="00967C7D" w:rsidP="00967C7D">
            <w:pPr>
              <w:keepNext w:val="0"/>
              <w:spacing w:before="0"/>
              <w:rPr>
                <w:rFonts w:cs="Arial"/>
                <w:bCs/>
                <w:color w:val="auto"/>
                <w:sz w:val="20"/>
              </w:rPr>
            </w:pPr>
            <w:proofErr w:type="spellStart"/>
            <w:r w:rsidRPr="00967C7D">
              <w:rPr>
                <w:rFonts w:cs="Arial"/>
                <w:bCs/>
                <w:color w:val="auto"/>
                <w:sz w:val="20"/>
              </w:rPr>
              <w:t>Mapplewells</w:t>
            </w:r>
            <w:proofErr w:type="spellEnd"/>
            <w:r w:rsidRPr="00967C7D">
              <w:rPr>
                <w:rFonts w:cs="Arial"/>
                <w:bCs/>
                <w:color w:val="auto"/>
                <w:sz w:val="20"/>
              </w:rPr>
              <w:t xml:space="preserve"> School Playing Field</w:t>
            </w:r>
          </w:p>
        </w:tc>
        <w:tc>
          <w:tcPr>
            <w:tcW w:w="1847" w:type="dxa"/>
            <w:noWrap/>
          </w:tcPr>
          <w:p w14:paraId="30FCBB63" w14:textId="77777777" w:rsidR="00967C7D" w:rsidRPr="00967C7D" w:rsidRDefault="00967C7D" w:rsidP="00967C7D">
            <w:pPr>
              <w:keepNext w:val="0"/>
              <w:spacing w:before="0"/>
              <w:rPr>
                <w:rFonts w:cs="Arial"/>
                <w:bCs/>
                <w:color w:val="auto"/>
                <w:sz w:val="20"/>
              </w:rPr>
            </w:pPr>
            <w:r w:rsidRPr="00967C7D">
              <w:rPr>
                <w:rFonts w:cs="Arial"/>
                <w:bCs/>
                <w:color w:val="auto"/>
                <w:sz w:val="20"/>
              </w:rPr>
              <w:t>North Sheet</w:t>
            </w:r>
          </w:p>
        </w:tc>
      </w:tr>
      <w:tr w:rsidR="00967C7D" w:rsidRPr="00967C7D" w14:paraId="44B90A06" w14:textId="77777777" w:rsidTr="00B5314A">
        <w:trPr>
          <w:trHeight w:val="284"/>
        </w:trPr>
        <w:tc>
          <w:tcPr>
            <w:tcW w:w="1280" w:type="dxa"/>
          </w:tcPr>
          <w:p w14:paraId="21C3641F" w14:textId="77777777" w:rsidR="00967C7D" w:rsidRPr="00967C7D" w:rsidRDefault="00967C7D" w:rsidP="00967C7D">
            <w:pPr>
              <w:keepNext w:val="0"/>
              <w:spacing w:before="0"/>
              <w:rPr>
                <w:rFonts w:cs="Arial"/>
                <w:bCs/>
                <w:color w:val="auto"/>
                <w:sz w:val="20"/>
              </w:rPr>
            </w:pPr>
            <w:r w:rsidRPr="00967C7D">
              <w:rPr>
                <w:rFonts w:cs="Arial"/>
                <w:bCs/>
                <w:color w:val="auto"/>
                <w:sz w:val="20"/>
              </w:rPr>
              <w:t>EV5/180</w:t>
            </w:r>
          </w:p>
        </w:tc>
        <w:tc>
          <w:tcPr>
            <w:tcW w:w="6230" w:type="dxa"/>
            <w:noWrap/>
          </w:tcPr>
          <w:p w14:paraId="5FE4B521" w14:textId="77777777" w:rsidR="00967C7D" w:rsidRPr="00967C7D" w:rsidRDefault="00967C7D" w:rsidP="00967C7D">
            <w:pPr>
              <w:keepNext w:val="0"/>
              <w:spacing w:before="0"/>
              <w:rPr>
                <w:rFonts w:cs="Arial"/>
                <w:bCs/>
                <w:color w:val="auto"/>
                <w:sz w:val="20"/>
              </w:rPr>
            </w:pPr>
            <w:r w:rsidRPr="00967C7D">
              <w:rPr>
                <w:rFonts w:cs="Arial"/>
                <w:bCs/>
                <w:color w:val="auto"/>
                <w:sz w:val="20"/>
              </w:rPr>
              <w:t xml:space="preserve">Land to rear of </w:t>
            </w:r>
            <w:proofErr w:type="spellStart"/>
            <w:r w:rsidRPr="00967C7D">
              <w:rPr>
                <w:rFonts w:cs="Arial"/>
                <w:bCs/>
                <w:color w:val="auto"/>
                <w:sz w:val="20"/>
              </w:rPr>
              <w:t>Crowtrees</w:t>
            </w:r>
            <w:proofErr w:type="spellEnd"/>
            <w:r w:rsidRPr="00967C7D">
              <w:rPr>
                <w:rFonts w:cs="Arial"/>
                <w:bCs/>
                <w:color w:val="auto"/>
                <w:sz w:val="20"/>
              </w:rPr>
              <w:t xml:space="preserve"> Drive</w:t>
            </w:r>
          </w:p>
        </w:tc>
        <w:tc>
          <w:tcPr>
            <w:tcW w:w="1847" w:type="dxa"/>
            <w:noWrap/>
          </w:tcPr>
          <w:p w14:paraId="640591D8" w14:textId="77777777" w:rsidR="00967C7D" w:rsidRPr="00967C7D" w:rsidRDefault="00967C7D" w:rsidP="00967C7D">
            <w:pPr>
              <w:keepNext w:val="0"/>
              <w:spacing w:before="0"/>
              <w:rPr>
                <w:rFonts w:cs="Arial"/>
                <w:bCs/>
                <w:color w:val="auto"/>
                <w:sz w:val="20"/>
              </w:rPr>
            </w:pPr>
            <w:r w:rsidRPr="00967C7D">
              <w:rPr>
                <w:rFonts w:cs="Arial"/>
                <w:bCs/>
                <w:color w:val="auto"/>
                <w:sz w:val="20"/>
              </w:rPr>
              <w:t>North Sheet</w:t>
            </w:r>
          </w:p>
        </w:tc>
      </w:tr>
      <w:tr w:rsidR="00967C7D" w:rsidRPr="00967C7D" w14:paraId="08C68802" w14:textId="77777777" w:rsidTr="00B5314A">
        <w:trPr>
          <w:trHeight w:val="284"/>
        </w:trPr>
        <w:tc>
          <w:tcPr>
            <w:tcW w:w="1280" w:type="dxa"/>
          </w:tcPr>
          <w:p w14:paraId="09C25A01" w14:textId="77777777" w:rsidR="00967C7D" w:rsidRPr="00967C7D" w:rsidRDefault="00967C7D" w:rsidP="00967C7D">
            <w:pPr>
              <w:keepNext w:val="0"/>
              <w:spacing w:before="0"/>
              <w:rPr>
                <w:rFonts w:cs="Arial"/>
                <w:bCs/>
                <w:color w:val="auto"/>
                <w:sz w:val="20"/>
              </w:rPr>
            </w:pPr>
            <w:r w:rsidRPr="00967C7D">
              <w:rPr>
                <w:rFonts w:cs="Arial"/>
                <w:bCs/>
                <w:color w:val="auto"/>
                <w:sz w:val="20"/>
              </w:rPr>
              <w:t>EV5/181</w:t>
            </w:r>
          </w:p>
        </w:tc>
        <w:tc>
          <w:tcPr>
            <w:tcW w:w="6230" w:type="dxa"/>
            <w:noWrap/>
          </w:tcPr>
          <w:p w14:paraId="00039955" w14:textId="77777777" w:rsidR="00967C7D" w:rsidRPr="00967C7D" w:rsidRDefault="00967C7D" w:rsidP="00967C7D">
            <w:pPr>
              <w:keepNext w:val="0"/>
              <w:spacing w:before="0"/>
              <w:rPr>
                <w:rFonts w:cs="Arial"/>
                <w:bCs/>
                <w:color w:val="auto"/>
                <w:sz w:val="20"/>
              </w:rPr>
            </w:pPr>
            <w:r w:rsidRPr="00967C7D">
              <w:rPr>
                <w:rFonts w:cs="Arial"/>
                <w:bCs/>
                <w:color w:val="auto"/>
                <w:sz w:val="20"/>
              </w:rPr>
              <w:t>Oakleaf Crescent</w:t>
            </w:r>
          </w:p>
        </w:tc>
        <w:tc>
          <w:tcPr>
            <w:tcW w:w="1847" w:type="dxa"/>
            <w:noWrap/>
          </w:tcPr>
          <w:p w14:paraId="251DF180" w14:textId="77777777" w:rsidR="00967C7D" w:rsidRPr="00967C7D" w:rsidRDefault="00967C7D" w:rsidP="00967C7D">
            <w:pPr>
              <w:keepNext w:val="0"/>
              <w:spacing w:before="0"/>
              <w:rPr>
                <w:rFonts w:cs="Arial"/>
                <w:bCs/>
                <w:color w:val="auto"/>
                <w:sz w:val="20"/>
              </w:rPr>
            </w:pPr>
            <w:r w:rsidRPr="00967C7D">
              <w:rPr>
                <w:rFonts w:cs="Arial"/>
                <w:bCs/>
                <w:color w:val="auto"/>
                <w:sz w:val="20"/>
              </w:rPr>
              <w:t>North Sheet</w:t>
            </w:r>
          </w:p>
        </w:tc>
      </w:tr>
      <w:tr w:rsidR="00967C7D" w:rsidRPr="00967C7D" w14:paraId="3392D985" w14:textId="77777777" w:rsidTr="00B5314A">
        <w:trPr>
          <w:trHeight w:val="284"/>
        </w:trPr>
        <w:tc>
          <w:tcPr>
            <w:tcW w:w="1280" w:type="dxa"/>
          </w:tcPr>
          <w:p w14:paraId="435C611F" w14:textId="77777777" w:rsidR="00967C7D" w:rsidRPr="00967C7D" w:rsidRDefault="00967C7D" w:rsidP="00967C7D">
            <w:pPr>
              <w:keepNext w:val="0"/>
              <w:spacing w:before="0"/>
              <w:rPr>
                <w:rFonts w:cs="Arial"/>
                <w:bCs/>
                <w:color w:val="auto"/>
                <w:sz w:val="20"/>
              </w:rPr>
            </w:pPr>
            <w:r w:rsidRPr="00967C7D">
              <w:rPr>
                <w:rFonts w:cs="Arial"/>
                <w:bCs/>
                <w:color w:val="auto"/>
                <w:sz w:val="20"/>
              </w:rPr>
              <w:t>EV5/182</w:t>
            </w:r>
          </w:p>
        </w:tc>
        <w:tc>
          <w:tcPr>
            <w:tcW w:w="6230" w:type="dxa"/>
            <w:noWrap/>
          </w:tcPr>
          <w:p w14:paraId="4A06C0C9" w14:textId="77777777" w:rsidR="00967C7D" w:rsidRPr="00967C7D" w:rsidRDefault="00967C7D" w:rsidP="00967C7D">
            <w:pPr>
              <w:keepNext w:val="0"/>
              <w:spacing w:before="0"/>
              <w:rPr>
                <w:rFonts w:cs="Arial"/>
                <w:bCs/>
                <w:color w:val="auto"/>
                <w:sz w:val="20"/>
              </w:rPr>
            </w:pPr>
            <w:r w:rsidRPr="00967C7D">
              <w:rPr>
                <w:rFonts w:cs="Arial"/>
                <w:bCs/>
                <w:color w:val="auto"/>
                <w:sz w:val="20"/>
              </w:rPr>
              <w:t>Kirkby Folly Road</w:t>
            </w:r>
          </w:p>
        </w:tc>
        <w:tc>
          <w:tcPr>
            <w:tcW w:w="1847" w:type="dxa"/>
            <w:noWrap/>
          </w:tcPr>
          <w:p w14:paraId="001EAB00" w14:textId="77777777" w:rsidR="00967C7D" w:rsidRPr="00967C7D" w:rsidRDefault="00967C7D" w:rsidP="00967C7D">
            <w:pPr>
              <w:keepNext w:val="0"/>
              <w:spacing w:before="0"/>
              <w:rPr>
                <w:rFonts w:cs="Arial"/>
                <w:bCs/>
                <w:color w:val="auto"/>
                <w:sz w:val="20"/>
              </w:rPr>
            </w:pPr>
            <w:r w:rsidRPr="00967C7D">
              <w:rPr>
                <w:rFonts w:cs="Arial"/>
                <w:bCs/>
                <w:color w:val="auto"/>
                <w:sz w:val="20"/>
              </w:rPr>
              <w:t>North Sheet</w:t>
            </w:r>
          </w:p>
        </w:tc>
      </w:tr>
      <w:tr w:rsidR="00967C7D" w:rsidRPr="00967C7D" w14:paraId="6DFFB9FD" w14:textId="77777777" w:rsidTr="00B5314A">
        <w:trPr>
          <w:trHeight w:val="284"/>
        </w:trPr>
        <w:tc>
          <w:tcPr>
            <w:tcW w:w="1280" w:type="dxa"/>
          </w:tcPr>
          <w:p w14:paraId="23AF97D7" w14:textId="77777777" w:rsidR="00967C7D" w:rsidRPr="00967C7D" w:rsidRDefault="00967C7D" w:rsidP="00967C7D">
            <w:pPr>
              <w:keepNext w:val="0"/>
              <w:spacing w:before="0"/>
              <w:rPr>
                <w:rFonts w:cs="Arial"/>
                <w:bCs/>
                <w:color w:val="auto"/>
                <w:sz w:val="20"/>
              </w:rPr>
            </w:pPr>
            <w:r w:rsidRPr="00967C7D">
              <w:rPr>
                <w:rFonts w:cs="Arial"/>
                <w:bCs/>
                <w:color w:val="auto"/>
                <w:sz w:val="20"/>
              </w:rPr>
              <w:t>EV5/183</w:t>
            </w:r>
          </w:p>
        </w:tc>
        <w:tc>
          <w:tcPr>
            <w:tcW w:w="6230" w:type="dxa"/>
            <w:noWrap/>
          </w:tcPr>
          <w:p w14:paraId="2260D0C6" w14:textId="77777777" w:rsidR="00967C7D" w:rsidRPr="00967C7D" w:rsidRDefault="00967C7D" w:rsidP="00967C7D">
            <w:pPr>
              <w:keepNext w:val="0"/>
              <w:spacing w:before="0"/>
              <w:rPr>
                <w:rFonts w:cs="Arial"/>
                <w:bCs/>
                <w:color w:val="auto"/>
                <w:sz w:val="20"/>
              </w:rPr>
            </w:pPr>
            <w:r w:rsidRPr="00967C7D">
              <w:rPr>
                <w:rFonts w:cs="Arial"/>
                <w:bCs/>
                <w:color w:val="auto"/>
                <w:sz w:val="20"/>
              </w:rPr>
              <w:t>Cauldwell Wood</w:t>
            </w:r>
          </w:p>
        </w:tc>
        <w:tc>
          <w:tcPr>
            <w:tcW w:w="1847" w:type="dxa"/>
            <w:noWrap/>
          </w:tcPr>
          <w:p w14:paraId="77360236" w14:textId="77777777" w:rsidR="00967C7D" w:rsidRPr="00967C7D" w:rsidRDefault="00967C7D" w:rsidP="00967C7D">
            <w:pPr>
              <w:keepNext w:val="0"/>
              <w:spacing w:before="0"/>
              <w:rPr>
                <w:rFonts w:cs="Arial"/>
                <w:bCs/>
                <w:color w:val="auto"/>
                <w:sz w:val="20"/>
              </w:rPr>
            </w:pPr>
            <w:r w:rsidRPr="00967C7D">
              <w:rPr>
                <w:rFonts w:cs="Arial"/>
                <w:bCs/>
                <w:color w:val="auto"/>
                <w:sz w:val="20"/>
              </w:rPr>
              <w:t>North Sheet</w:t>
            </w:r>
          </w:p>
        </w:tc>
      </w:tr>
      <w:tr w:rsidR="00967C7D" w:rsidRPr="00967C7D" w14:paraId="5B043310" w14:textId="77777777" w:rsidTr="00B5314A">
        <w:trPr>
          <w:trHeight w:val="284"/>
        </w:trPr>
        <w:tc>
          <w:tcPr>
            <w:tcW w:w="1280" w:type="dxa"/>
          </w:tcPr>
          <w:p w14:paraId="1AE977D2" w14:textId="77777777" w:rsidR="00967C7D" w:rsidRPr="00967C7D" w:rsidRDefault="00967C7D" w:rsidP="00967C7D">
            <w:pPr>
              <w:keepNext w:val="0"/>
              <w:spacing w:before="0"/>
              <w:rPr>
                <w:rFonts w:cs="Arial"/>
                <w:bCs/>
                <w:color w:val="auto"/>
                <w:sz w:val="20"/>
              </w:rPr>
            </w:pPr>
            <w:r w:rsidRPr="00967C7D">
              <w:rPr>
                <w:rFonts w:cs="Arial"/>
                <w:bCs/>
                <w:color w:val="auto"/>
                <w:sz w:val="20"/>
              </w:rPr>
              <w:t>EV5/185</w:t>
            </w:r>
          </w:p>
        </w:tc>
        <w:tc>
          <w:tcPr>
            <w:tcW w:w="6230" w:type="dxa"/>
            <w:noWrap/>
          </w:tcPr>
          <w:p w14:paraId="09A66EC9" w14:textId="77777777" w:rsidR="00967C7D" w:rsidRPr="00967C7D" w:rsidRDefault="00967C7D" w:rsidP="00967C7D">
            <w:pPr>
              <w:keepNext w:val="0"/>
              <w:spacing w:before="0"/>
              <w:rPr>
                <w:rFonts w:cs="Arial"/>
                <w:bCs/>
                <w:color w:val="auto"/>
                <w:sz w:val="20"/>
              </w:rPr>
            </w:pPr>
            <w:r w:rsidRPr="00967C7D">
              <w:rPr>
                <w:rFonts w:cs="Arial"/>
                <w:bCs/>
                <w:color w:val="auto"/>
                <w:sz w:val="20"/>
              </w:rPr>
              <w:t>Charnwood Street Recreation Ground</w:t>
            </w:r>
          </w:p>
        </w:tc>
        <w:tc>
          <w:tcPr>
            <w:tcW w:w="1847" w:type="dxa"/>
            <w:noWrap/>
          </w:tcPr>
          <w:p w14:paraId="50F4D109" w14:textId="77777777" w:rsidR="00967C7D" w:rsidRPr="00967C7D" w:rsidRDefault="00967C7D" w:rsidP="00967C7D">
            <w:pPr>
              <w:keepNext w:val="0"/>
              <w:spacing w:before="0"/>
              <w:rPr>
                <w:rFonts w:cs="Arial"/>
                <w:bCs/>
                <w:color w:val="auto"/>
                <w:sz w:val="20"/>
              </w:rPr>
            </w:pPr>
            <w:r w:rsidRPr="00967C7D">
              <w:rPr>
                <w:rFonts w:cs="Arial"/>
                <w:bCs/>
                <w:color w:val="auto"/>
                <w:sz w:val="20"/>
              </w:rPr>
              <w:t>North Sheet</w:t>
            </w:r>
          </w:p>
        </w:tc>
      </w:tr>
      <w:tr w:rsidR="00967C7D" w:rsidRPr="00967C7D" w14:paraId="5612A1E9" w14:textId="77777777" w:rsidTr="00B5314A">
        <w:trPr>
          <w:trHeight w:val="284"/>
        </w:trPr>
        <w:tc>
          <w:tcPr>
            <w:tcW w:w="1280" w:type="dxa"/>
          </w:tcPr>
          <w:p w14:paraId="4B27E320" w14:textId="77777777" w:rsidR="00967C7D" w:rsidRPr="00967C7D" w:rsidRDefault="00967C7D" w:rsidP="00967C7D">
            <w:pPr>
              <w:keepNext w:val="0"/>
              <w:spacing w:before="0"/>
              <w:rPr>
                <w:rFonts w:cs="Arial"/>
                <w:bCs/>
                <w:color w:val="auto"/>
                <w:sz w:val="20"/>
              </w:rPr>
            </w:pPr>
            <w:r w:rsidRPr="00967C7D">
              <w:rPr>
                <w:rFonts w:cs="Arial"/>
                <w:bCs/>
                <w:color w:val="auto"/>
                <w:sz w:val="20"/>
              </w:rPr>
              <w:t>EV5/186</w:t>
            </w:r>
          </w:p>
        </w:tc>
        <w:tc>
          <w:tcPr>
            <w:tcW w:w="6230" w:type="dxa"/>
            <w:noWrap/>
          </w:tcPr>
          <w:p w14:paraId="54411532" w14:textId="77777777" w:rsidR="00967C7D" w:rsidRPr="00967C7D" w:rsidRDefault="00967C7D" w:rsidP="00967C7D">
            <w:pPr>
              <w:keepNext w:val="0"/>
              <w:spacing w:before="0"/>
              <w:rPr>
                <w:rFonts w:cs="Arial"/>
                <w:bCs/>
                <w:color w:val="auto"/>
                <w:sz w:val="20"/>
              </w:rPr>
            </w:pPr>
            <w:r w:rsidRPr="00967C7D">
              <w:rPr>
                <w:rFonts w:cs="Arial"/>
                <w:bCs/>
                <w:color w:val="auto"/>
                <w:sz w:val="20"/>
              </w:rPr>
              <w:t>Peveril Drive</w:t>
            </w:r>
          </w:p>
        </w:tc>
        <w:tc>
          <w:tcPr>
            <w:tcW w:w="1847" w:type="dxa"/>
            <w:noWrap/>
          </w:tcPr>
          <w:p w14:paraId="5FD6FF72" w14:textId="77777777" w:rsidR="00967C7D" w:rsidRPr="00967C7D" w:rsidRDefault="00967C7D" w:rsidP="00967C7D">
            <w:pPr>
              <w:keepNext w:val="0"/>
              <w:spacing w:before="0"/>
              <w:rPr>
                <w:rFonts w:cs="Arial"/>
                <w:bCs/>
                <w:color w:val="auto"/>
                <w:sz w:val="20"/>
              </w:rPr>
            </w:pPr>
            <w:r w:rsidRPr="00967C7D">
              <w:rPr>
                <w:rFonts w:cs="Arial"/>
                <w:bCs/>
                <w:color w:val="auto"/>
                <w:sz w:val="20"/>
              </w:rPr>
              <w:t>North Sheet</w:t>
            </w:r>
          </w:p>
        </w:tc>
      </w:tr>
      <w:tr w:rsidR="00967C7D" w:rsidRPr="00967C7D" w14:paraId="4845B0E2" w14:textId="77777777" w:rsidTr="00B5314A">
        <w:trPr>
          <w:trHeight w:val="284"/>
        </w:trPr>
        <w:tc>
          <w:tcPr>
            <w:tcW w:w="1280" w:type="dxa"/>
          </w:tcPr>
          <w:p w14:paraId="23DA5E42" w14:textId="77777777" w:rsidR="00967C7D" w:rsidRPr="00967C7D" w:rsidRDefault="00967C7D" w:rsidP="00967C7D">
            <w:pPr>
              <w:keepNext w:val="0"/>
              <w:spacing w:before="0"/>
              <w:rPr>
                <w:rFonts w:cs="Arial"/>
                <w:bCs/>
                <w:color w:val="auto"/>
                <w:sz w:val="20"/>
              </w:rPr>
            </w:pPr>
            <w:r w:rsidRPr="00967C7D">
              <w:rPr>
                <w:rFonts w:cs="Arial"/>
                <w:bCs/>
                <w:color w:val="auto"/>
                <w:sz w:val="20"/>
              </w:rPr>
              <w:t>EV5/187</w:t>
            </w:r>
          </w:p>
        </w:tc>
        <w:tc>
          <w:tcPr>
            <w:tcW w:w="6230" w:type="dxa"/>
            <w:noWrap/>
          </w:tcPr>
          <w:p w14:paraId="0B5ED210" w14:textId="77777777" w:rsidR="00967C7D" w:rsidRPr="00967C7D" w:rsidRDefault="00967C7D" w:rsidP="00967C7D">
            <w:pPr>
              <w:keepNext w:val="0"/>
              <w:spacing w:before="0"/>
              <w:rPr>
                <w:rFonts w:cs="Arial"/>
                <w:bCs/>
                <w:color w:val="auto"/>
                <w:sz w:val="20"/>
              </w:rPr>
            </w:pPr>
            <w:r w:rsidRPr="00967C7D">
              <w:rPr>
                <w:rFonts w:cs="Arial"/>
                <w:bCs/>
                <w:color w:val="auto"/>
                <w:sz w:val="20"/>
              </w:rPr>
              <w:t>The Lawns</w:t>
            </w:r>
          </w:p>
        </w:tc>
        <w:tc>
          <w:tcPr>
            <w:tcW w:w="1847" w:type="dxa"/>
            <w:noWrap/>
          </w:tcPr>
          <w:p w14:paraId="4FAD593F" w14:textId="77777777" w:rsidR="00967C7D" w:rsidRPr="00967C7D" w:rsidRDefault="00967C7D" w:rsidP="00967C7D">
            <w:pPr>
              <w:keepNext w:val="0"/>
              <w:spacing w:before="0"/>
              <w:rPr>
                <w:rFonts w:cs="Arial"/>
                <w:bCs/>
                <w:color w:val="auto"/>
                <w:sz w:val="20"/>
              </w:rPr>
            </w:pPr>
            <w:r w:rsidRPr="00967C7D">
              <w:rPr>
                <w:rFonts w:cs="Arial"/>
                <w:bCs/>
                <w:color w:val="auto"/>
                <w:sz w:val="20"/>
              </w:rPr>
              <w:t>North Sheet</w:t>
            </w:r>
          </w:p>
        </w:tc>
      </w:tr>
      <w:tr w:rsidR="00967C7D" w:rsidRPr="00967C7D" w14:paraId="56903320" w14:textId="77777777" w:rsidTr="00B5314A">
        <w:trPr>
          <w:trHeight w:val="284"/>
        </w:trPr>
        <w:tc>
          <w:tcPr>
            <w:tcW w:w="1280" w:type="dxa"/>
          </w:tcPr>
          <w:p w14:paraId="349FB6A1" w14:textId="77777777" w:rsidR="00967C7D" w:rsidRPr="00967C7D" w:rsidRDefault="00967C7D" w:rsidP="00967C7D">
            <w:pPr>
              <w:keepNext w:val="0"/>
              <w:spacing w:before="0"/>
              <w:rPr>
                <w:rFonts w:cs="Arial"/>
                <w:bCs/>
                <w:color w:val="auto"/>
                <w:sz w:val="20"/>
              </w:rPr>
            </w:pPr>
            <w:r w:rsidRPr="00967C7D">
              <w:rPr>
                <w:rFonts w:cs="Arial"/>
                <w:bCs/>
                <w:color w:val="auto"/>
                <w:sz w:val="20"/>
              </w:rPr>
              <w:t>EV5/188</w:t>
            </w:r>
          </w:p>
        </w:tc>
        <w:tc>
          <w:tcPr>
            <w:tcW w:w="6230" w:type="dxa"/>
            <w:noWrap/>
          </w:tcPr>
          <w:p w14:paraId="6E2E00DF" w14:textId="77777777" w:rsidR="00967C7D" w:rsidRPr="00967C7D" w:rsidRDefault="00967C7D" w:rsidP="00967C7D">
            <w:pPr>
              <w:keepNext w:val="0"/>
              <w:spacing w:before="0"/>
              <w:rPr>
                <w:rFonts w:cs="Arial"/>
                <w:bCs/>
                <w:color w:val="auto"/>
                <w:sz w:val="20"/>
              </w:rPr>
            </w:pPr>
            <w:r w:rsidRPr="00967C7D">
              <w:rPr>
                <w:rFonts w:cs="Arial"/>
                <w:bCs/>
                <w:color w:val="auto"/>
                <w:sz w:val="20"/>
              </w:rPr>
              <w:t>Maun Way - Kingsmill Road East</w:t>
            </w:r>
          </w:p>
        </w:tc>
        <w:tc>
          <w:tcPr>
            <w:tcW w:w="1847" w:type="dxa"/>
            <w:noWrap/>
          </w:tcPr>
          <w:p w14:paraId="75E468AA" w14:textId="77777777" w:rsidR="00967C7D" w:rsidRPr="00967C7D" w:rsidRDefault="00967C7D" w:rsidP="00967C7D">
            <w:pPr>
              <w:keepNext w:val="0"/>
              <w:spacing w:before="0"/>
              <w:rPr>
                <w:rFonts w:cs="Arial"/>
                <w:bCs/>
                <w:color w:val="auto"/>
                <w:sz w:val="20"/>
              </w:rPr>
            </w:pPr>
            <w:r w:rsidRPr="00967C7D">
              <w:rPr>
                <w:rFonts w:cs="Arial"/>
                <w:bCs/>
                <w:color w:val="auto"/>
                <w:sz w:val="20"/>
              </w:rPr>
              <w:t>North Sheet</w:t>
            </w:r>
          </w:p>
        </w:tc>
      </w:tr>
      <w:tr w:rsidR="00967C7D" w:rsidRPr="00967C7D" w14:paraId="0349DFAE" w14:textId="77777777" w:rsidTr="00B5314A">
        <w:trPr>
          <w:trHeight w:val="284"/>
        </w:trPr>
        <w:tc>
          <w:tcPr>
            <w:tcW w:w="1280" w:type="dxa"/>
          </w:tcPr>
          <w:p w14:paraId="750625B8" w14:textId="77777777" w:rsidR="00967C7D" w:rsidRPr="00967C7D" w:rsidRDefault="00967C7D" w:rsidP="00967C7D">
            <w:pPr>
              <w:keepNext w:val="0"/>
              <w:spacing w:before="0"/>
              <w:rPr>
                <w:rFonts w:cs="Arial"/>
                <w:bCs/>
                <w:color w:val="auto"/>
                <w:sz w:val="20"/>
              </w:rPr>
            </w:pPr>
            <w:r w:rsidRPr="00967C7D">
              <w:rPr>
                <w:rFonts w:cs="Arial"/>
                <w:bCs/>
                <w:color w:val="auto"/>
                <w:sz w:val="20"/>
              </w:rPr>
              <w:t>EV5/189</w:t>
            </w:r>
          </w:p>
        </w:tc>
        <w:tc>
          <w:tcPr>
            <w:tcW w:w="6230" w:type="dxa"/>
            <w:noWrap/>
          </w:tcPr>
          <w:p w14:paraId="07E1EE8C" w14:textId="77777777" w:rsidR="00967C7D" w:rsidRPr="00967C7D" w:rsidRDefault="00967C7D" w:rsidP="00967C7D">
            <w:pPr>
              <w:keepNext w:val="0"/>
              <w:spacing w:before="0"/>
              <w:rPr>
                <w:rFonts w:cs="Arial"/>
                <w:bCs/>
                <w:color w:val="auto"/>
                <w:sz w:val="20"/>
              </w:rPr>
            </w:pPr>
            <w:r w:rsidRPr="00967C7D">
              <w:rPr>
                <w:rFonts w:cs="Arial"/>
                <w:bCs/>
                <w:color w:val="auto"/>
                <w:sz w:val="20"/>
              </w:rPr>
              <w:t>St Mary Magdalen's Church Cemetery</w:t>
            </w:r>
          </w:p>
        </w:tc>
        <w:tc>
          <w:tcPr>
            <w:tcW w:w="1847" w:type="dxa"/>
            <w:noWrap/>
          </w:tcPr>
          <w:p w14:paraId="01891727" w14:textId="77777777" w:rsidR="00967C7D" w:rsidRPr="00967C7D" w:rsidRDefault="00967C7D" w:rsidP="00967C7D">
            <w:pPr>
              <w:keepNext w:val="0"/>
              <w:spacing w:before="0"/>
              <w:rPr>
                <w:rFonts w:cs="Arial"/>
                <w:bCs/>
                <w:color w:val="auto"/>
                <w:sz w:val="20"/>
              </w:rPr>
            </w:pPr>
            <w:r w:rsidRPr="00967C7D">
              <w:rPr>
                <w:rFonts w:cs="Arial"/>
                <w:bCs/>
                <w:color w:val="auto"/>
                <w:sz w:val="20"/>
              </w:rPr>
              <w:t>North Sheet</w:t>
            </w:r>
          </w:p>
        </w:tc>
      </w:tr>
      <w:tr w:rsidR="00967C7D" w:rsidRPr="00967C7D" w14:paraId="5DEF36F1" w14:textId="77777777" w:rsidTr="00B5314A">
        <w:trPr>
          <w:trHeight w:val="284"/>
        </w:trPr>
        <w:tc>
          <w:tcPr>
            <w:tcW w:w="1280" w:type="dxa"/>
          </w:tcPr>
          <w:p w14:paraId="4416C5A4" w14:textId="77777777" w:rsidR="00967C7D" w:rsidRPr="00967C7D" w:rsidRDefault="00967C7D" w:rsidP="00967C7D">
            <w:pPr>
              <w:keepNext w:val="0"/>
              <w:spacing w:before="0"/>
              <w:rPr>
                <w:rFonts w:cs="Arial"/>
                <w:bCs/>
                <w:color w:val="auto"/>
                <w:sz w:val="20"/>
              </w:rPr>
            </w:pPr>
            <w:r w:rsidRPr="00967C7D">
              <w:rPr>
                <w:rFonts w:cs="Arial"/>
                <w:bCs/>
                <w:color w:val="auto"/>
                <w:sz w:val="20"/>
              </w:rPr>
              <w:t>EV5/190</w:t>
            </w:r>
          </w:p>
        </w:tc>
        <w:tc>
          <w:tcPr>
            <w:tcW w:w="6230" w:type="dxa"/>
            <w:noWrap/>
          </w:tcPr>
          <w:p w14:paraId="38A90918" w14:textId="77777777" w:rsidR="00967C7D" w:rsidRPr="00967C7D" w:rsidRDefault="00967C7D" w:rsidP="00967C7D">
            <w:pPr>
              <w:keepNext w:val="0"/>
              <w:spacing w:before="0"/>
              <w:rPr>
                <w:rFonts w:cs="Arial"/>
                <w:bCs/>
                <w:color w:val="auto"/>
                <w:sz w:val="20"/>
              </w:rPr>
            </w:pPr>
            <w:r w:rsidRPr="00967C7D">
              <w:rPr>
                <w:rFonts w:cs="Arial"/>
                <w:bCs/>
                <w:color w:val="auto"/>
                <w:sz w:val="20"/>
              </w:rPr>
              <w:t>Hosiery Mills Football Ground</w:t>
            </w:r>
          </w:p>
        </w:tc>
        <w:tc>
          <w:tcPr>
            <w:tcW w:w="1847" w:type="dxa"/>
            <w:noWrap/>
          </w:tcPr>
          <w:p w14:paraId="47CEA726" w14:textId="77777777" w:rsidR="00967C7D" w:rsidRPr="00967C7D" w:rsidRDefault="00967C7D" w:rsidP="00967C7D">
            <w:pPr>
              <w:keepNext w:val="0"/>
              <w:spacing w:before="0"/>
              <w:rPr>
                <w:rFonts w:cs="Arial"/>
                <w:bCs/>
                <w:color w:val="auto"/>
                <w:sz w:val="20"/>
              </w:rPr>
            </w:pPr>
            <w:r w:rsidRPr="00967C7D">
              <w:rPr>
                <w:rFonts w:cs="Arial"/>
                <w:bCs/>
                <w:color w:val="auto"/>
                <w:sz w:val="20"/>
              </w:rPr>
              <w:t>North Sheet</w:t>
            </w:r>
          </w:p>
        </w:tc>
      </w:tr>
      <w:tr w:rsidR="00967C7D" w:rsidRPr="00967C7D" w14:paraId="493FABE1" w14:textId="77777777" w:rsidTr="00B5314A">
        <w:trPr>
          <w:trHeight w:val="284"/>
        </w:trPr>
        <w:tc>
          <w:tcPr>
            <w:tcW w:w="1280" w:type="dxa"/>
          </w:tcPr>
          <w:p w14:paraId="3D1BA919" w14:textId="77777777" w:rsidR="00967C7D" w:rsidRPr="00967C7D" w:rsidRDefault="00967C7D" w:rsidP="00967C7D">
            <w:pPr>
              <w:keepNext w:val="0"/>
              <w:spacing w:before="0"/>
              <w:rPr>
                <w:rFonts w:cs="Arial"/>
                <w:bCs/>
                <w:color w:val="auto"/>
                <w:sz w:val="20"/>
              </w:rPr>
            </w:pPr>
            <w:r w:rsidRPr="00967C7D">
              <w:rPr>
                <w:rFonts w:cs="Arial"/>
                <w:bCs/>
                <w:color w:val="auto"/>
                <w:sz w:val="20"/>
              </w:rPr>
              <w:t>EV5/191</w:t>
            </w:r>
          </w:p>
        </w:tc>
        <w:tc>
          <w:tcPr>
            <w:tcW w:w="6230" w:type="dxa"/>
            <w:noWrap/>
          </w:tcPr>
          <w:p w14:paraId="6932ECFC" w14:textId="77777777" w:rsidR="00967C7D" w:rsidRPr="00967C7D" w:rsidRDefault="00967C7D" w:rsidP="00967C7D">
            <w:pPr>
              <w:keepNext w:val="0"/>
              <w:spacing w:before="0"/>
              <w:rPr>
                <w:rFonts w:cs="Arial"/>
                <w:bCs/>
                <w:color w:val="auto"/>
                <w:sz w:val="20"/>
              </w:rPr>
            </w:pPr>
            <w:r w:rsidRPr="00967C7D">
              <w:rPr>
                <w:rFonts w:cs="Arial"/>
                <w:bCs/>
                <w:color w:val="auto"/>
                <w:sz w:val="20"/>
              </w:rPr>
              <w:t>Sutton Cemetery</w:t>
            </w:r>
          </w:p>
        </w:tc>
        <w:tc>
          <w:tcPr>
            <w:tcW w:w="1847" w:type="dxa"/>
            <w:noWrap/>
          </w:tcPr>
          <w:p w14:paraId="61BA75A2" w14:textId="77777777" w:rsidR="00967C7D" w:rsidRPr="00967C7D" w:rsidRDefault="00967C7D" w:rsidP="00967C7D">
            <w:pPr>
              <w:keepNext w:val="0"/>
              <w:spacing w:before="0"/>
              <w:rPr>
                <w:rFonts w:cs="Arial"/>
                <w:bCs/>
                <w:color w:val="auto"/>
                <w:sz w:val="20"/>
              </w:rPr>
            </w:pPr>
            <w:r w:rsidRPr="00967C7D">
              <w:rPr>
                <w:rFonts w:cs="Arial"/>
                <w:bCs/>
                <w:color w:val="auto"/>
                <w:sz w:val="20"/>
              </w:rPr>
              <w:t>North Sheet</w:t>
            </w:r>
          </w:p>
        </w:tc>
      </w:tr>
      <w:tr w:rsidR="00967C7D" w:rsidRPr="00967C7D" w14:paraId="3367F163" w14:textId="77777777" w:rsidTr="00B5314A">
        <w:trPr>
          <w:trHeight w:val="284"/>
        </w:trPr>
        <w:tc>
          <w:tcPr>
            <w:tcW w:w="1280" w:type="dxa"/>
          </w:tcPr>
          <w:p w14:paraId="2AB1C363" w14:textId="77777777" w:rsidR="00967C7D" w:rsidRPr="00967C7D" w:rsidRDefault="00967C7D" w:rsidP="00967C7D">
            <w:pPr>
              <w:keepNext w:val="0"/>
              <w:spacing w:before="0"/>
              <w:rPr>
                <w:rFonts w:cs="Arial"/>
                <w:bCs/>
                <w:color w:val="auto"/>
                <w:sz w:val="20"/>
              </w:rPr>
            </w:pPr>
            <w:r w:rsidRPr="00967C7D">
              <w:rPr>
                <w:rFonts w:cs="Arial"/>
                <w:bCs/>
                <w:color w:val="auto"/>
                <w:sz w:val="20"/>
              </w:rPr>
              <w:t>EV5/192</w:t>
            </w:r>
          </w:p>
        </w:tc>
        <w:tc>
          <w:tcPr>
            <w:tcW w:w="6230" w:type="dxa"/>
            <w:noWrap/>
          </w:tcPr>
          <w:p w14:paraId="00A16EFB" w14:textId="77777777" w:rsidR="00967C7D" w:rsidRPr="00967C7D" w:rsidRDefault="00967C7D" w:rsidP="00967C7D">
            <w:pPr>
              <w:keepNext w:val="0"/>
              <w:spacing w:before="0"/>
              <w:rPr>
                <w:rFonts w:cs="Arial"/>
                <w:bCs/>
                <w:color w:val="auto"/>
                <w:sz w:val="20"/>
              </w:rPr>
            </w:pPr>
            <w:r w:rsidRPr="00967C7D">
              <w:rPr>
                <w:rFonts w:cs="Arial"/>
                <w:bCs/>
                <w:color w:val="auto"/>
                <w:sz w:val="20"/>
              </w:rPr>
              <w:t>Hosiery Mills Cricket Ground</w:t>
            </w:r>
          </w:p>
        </w:tc>
        <w:tc>
          <w:tcPr>
            <w:tcW w:w="1847" w:type="dxa"/>
            <w:noWrap/>
          </w:tcPr>
          <w:p w14:paraId="4C2B47A2" w14:textId="77777777" w:rsidR="00967C7D" w:rsidRPr="00967C7D" w:rsidRDefault="00967C7D" w:rsidP="00967C7D">
            <w:pPr>
              <w:keepNext w:val="0"/>
              <w:spacing w:before="0"/>
              <w:rPr>
                <w:rFonts w:cs="Arial"/>
                <w:bCs/>
                <w:color w:val="auto"/>
                <w:sz w:val="20"/>
              </w:rPr>
            </w:pPr>
            <w:r w:rsidRPr="00967C7D">
              <w:rPr>
                <w:rFonts w:cs="Arial"/>
                <w:bCs/>
                <w:color w:val="auto"/>
                <w:sz w:val="20"/>
              </w:rPr>
              <w:t>North Sheet</w:t>
            </w:r>
          </w:p>
        </w:tc>
      </w:tr>
      <w:tr w:rsidR="00967C7D" w:rsidRPr="00967C7D" w14:paraId="3EFBD058" w14:textId="77777777" w:rsidTr="00B5314A">
        <w:trPr>
          <w:trHeight w:val="284"/>
        </w:trPr>
        <w:tc>
          <w:tcPr>
            <w:tcW w:w="1280" w:type="dxa"/>
          </w:tcPr>
          <w:p w14:paraId="35A4389C" w14:textId="77777777" w:rsidR="00967C7D" w:rsidRPr="00967C7D" w:rsidRDefault="00967C7D" w:rsidP="00967C7D">
            <w:pPr>
              <w:keepNext w:val="0"/>
              <w:spacing w:before="0"/>
              <w:rPr>
                <w:rFonts w:cs="Arial"/>
                <w:bCs/>
                <w:color w:val="auto"/>
                <w:sz w:val="20"/>
              </w:rPr>
            </w:pPr>
            <w:r w:rsidRPr="00967C7D">
              <w:rPr>
                <w:rFonts w:cs="Arial"/>
                <w:bCs/>
                <w:color w:val="auto"/>
                <w:sz w:val="20"/>
              </w:rPr>
              <w:t>EV5/193</w:t>
            </w:r>
          </w:p>
        </w:tc>
        <w:tc>
          <w:tcPr>
            <w:tcW w:w="6230" w:type="dxa"/>
            <w:noWrap/>
          </w:tcPr>
          <w:p w14:paraId="781C83BF" w14:textId="77777777" w:rsidR="00967C7D" w:rsidRPr="00967C7D" w:rsidRDefault="00967C7D" w:rsidP="00967C7D">
            <w:pPr>
              <w:keepNext w:val="0"/>
              <w:spacing w:before="0"/>
              <w:rPr>
                <w:rFonts w:cs="Arial"/>
                <w:bCs/>
                <w:color w:val="auto"/>
                <w:sz w:val="20"/>
              </w:rPr>
            </w:pPr>
            <w:r w:rsidRPr="00967C7D">
              <w:rPr>
                <w:rFonts w:cs="Arial"/>
                <w:bCs/>
                <w:color w:val="auto"/>
                <w:sz w:val="20"/>
              </w:rPr>
              <w:t>Maun Way - Kingsmill Link</w:t>
            </w:r>
          </w:p>
        </w:tc>
        <w:tc>
          <w:tcPr>
            <w:tcW w:w="1847" w:type="dxa"/>
            <w:noWrap/>
          </w:tcPr>
          <w:p w14:paraId="78F736BC" w14:textId="77777777" w:rsidR="00967C7D" w:rsidRPr="00967C7D" w:rsidRDefault="00967C7D" w:rsidP="00967C7D">
            <w:pPr>
              <w:keepNext w:val="0"/>
              <w:spacing w:before="0"/>
              <w:rPr>
                <w:rFonts w:cs="Arial"/>
                <w:bCs/>
                <w:color w:val="auto"/>
                <w:sz w:val="20"/>
              </w:rPr>
            </w:pPr>
            <w:r w:rsidRPr="00967C7D">
              <w:rPr>
                <w:rFonts w:cs="Arial"/>
                <w:bCs/>
                <w:color w:val="auto"/>
                <w:sz w:val="20"/>
              </w:rPr>
              <w:t>North Sheet</w:t>
            </w:r>
          </w:p>
        </w:tc>
      </w:tr>
      <w:tr w:rsidR="00967C7D" w:rsidRPr="00967C7D" w14:paraId="72AC102E" w14:textId="77777777" w:rsidTr="00B5314A">
        <w:trPr>
          <w:trHeight w:val="284"/>
        </w:trPr>
        <w:tc>
          <w:tcPr>
            <w:tcW w:w="1280" w:type="dxa"/>
          </w:tcPr>
          <w:p w14:paraId="5D749828" w14:textId="77777777" w:rsidR="00967C7D" w:rsidRPr="00967C7D" w:rsidRDefault="00967C7D" w:rsidP="00967C7D">
            <w:pPr>
              <w:keepNext w:val="0"/>
              <w:spacing w:before="0"/>
              <w:rPr>
                <w:rFonts w:cs="Arial"/>
                <w:bCs/>
                <w:color w:val="auto"/>
                <w:sz w:val="20"/>
              </w:rPr>
            </w:pPr>
            <w:r w:rsidRPr="00967C7D">
              <w:rPr>
                <w:rFonts w:cs="Arial"/>
                <w:bCs/>
                <w:color w:val="auto"/>
                <w:sz w:val="20"/>
              </w:rPr>
              <w:t>EV5/194</w:t>
            </w:r>
          </w:p>
        </w:tc>
        <w:tc>
          <w:tcPr>
            <w:tcW w:w="6230" w:type="dxa"/>
            <w:noWrap/>
          </w:tcPr>
          <w:p w14:paraId="5CFE2EB7" w14:textId="77777777" w:rsidR="00967C7D" w:rsidRPr="00967C7D" w:rsidRDefault="00967C7D" w:rsidP="00967C7D">
            <w:pPr>
              <w:keepNext w:val="0"/>
              <w:spacing w:before="0"/>
              <w:rPr>
                <w:rFonts w:cs="Arial"/>
                <w:bCs/>
                <w:color w:val="auto"/>
                <w:sz w:val="20"/>
              </w:rPr>
            </w:pPr>
            <w:r w:rsidRPr="00967C7D">
              <w:rPr>
                <w:rFonts w:cs="Arial"/>
                <w:bCs/>
                <w:color w:val="auto"/>
                <w:sz w:val="20"/>
              </w:rPr>
              <w:t>Jubilee Road</w:t>
            </w:r>
          </w:p>
        </w:tc>
        <w:tc>
          <w:tcPr>
            <w:tcW w:w="1847" w:type="dxa"/>
            <w:noWrap/>
          </w:tcPr>
          <w:p w14:paraId="1E5309CF" w14:textId="77777777" w:rsidR="00967C7D" w:rsidRPr="00967C7D" w:rsidRDefault="00967C7D" w:rsidP="00967C7D">
            <w:pPr>
              <w:keepNext w:val="0"/>
              <w:spacing w:before="0"/>
              <w:rPr>
                <w:rFonts w:cs="Arial"/>
                <w:bCs/>
                <w:color w:val="auto"/>
                <w:sz w:val="20"/>
              </w:rPr>
            </w:pPr>
            <w:r w:rsidRPr="00967C7D">
              <w:rPr>
                <w:rFonts w:cs="Arial"/>
                <w:bCs/>
                <w:color w:val="auto"/>
                <w:sz w:val="20"/>
              </w:rPr>
              <w:t>North Sheet</w:t>
            </w:r>
          </w:p>
        </w:tc>
      </w:tr>
      <w:tr w:rsidR="00967C7D" w:rsidRPr="00967C7D" w14:paraId="096539F9" w14:textId="77777777" w:rsidTr="00B5314A">
        <w:trPr>
          <w:trHeight w:val="284"/>
        </w:trPr>
        <w:tc>
          <w:tcPr>
            <w:tcW w:w="1280" w:type="dxa"/>
          </w:tcPr>
          <w:p w14:paraId="4DF5A793" w14:textId="77777777" w:rsidR="00967C7D" w:rsidRPr="00967C7D" w:rsidRDefault="00967C7D" w:rsidP="00967C7D">
            <w:pPr>
              <w:keepNext w:val="0"/>
              <w:spacing w:before="0"/>
              <w:rPr>
                <w:rFonts w:cs="Arial"/>
                <w:bCs/>
                <w:color w:val="auto"/>
                <w:sz w:val="20"/>
              </w:rPr>
            </w:pPr>
            <w:r w:rsidRPr="00967C7D">
              <w:rPr>
                <w:rFonts w:cs="Arial"/>
                <w:bCs/>
                <w:color w:val="auto"/>
                <w:sz w:val="20"/>
              </w:rPr>
              <w:t>EV5/195</w:t>
            </w:r>
          </w:p>
        </w:tc>
        <w:tc>
          <w:tcPr>
            <w:tcW w:w="6230" w:type="dxa"/>
            <w:noWrap/>
          </w:tcPr>
          <w:p w14:paraId="642A9DC6" w14:textId="77777777" w:rsidR="00967C7D" w:rsidRPr="00967C7D" w:rsidRDefault="00967C7D" w:rsidP="00967C7D">
            <w:pPr>
              <w:keepNext w:val="0"/>
              <w:spacing w:before="0"/>
              <w:rPr>
                <w:rFonts w:cs="Arial"/>
                <w:bCs/>
                <w:color w:val="auto"/>
                <w:sz w:val="20"/>
              </w:rPr>
            </w:pPr>
            <w:r w:rsidRPr="00967C7D">
              <w:rPr>
                <w:rFonts w:cs="Arial"/>
                <w:bCs/>
                <w:color w:val="auto"/>
                <w:sz w:val="20"/>
              </w:rPr>
              <w:t>St Mary's Primary School Playing Field</w:t>
            </w:r>
          </w:p>
        </w:tc>
        <w:tc>
          <w:tcPr>
            <w:tcW w:w="1847" w:type="dxa"/>
            <w:noWrap/>
          </w:tcPr>
          <w:p w14:paraId="51F399EF" w14:textId="77777777" w:rsidR="00967C7D" w:rsidRPr="00967C7D" w:rsidRDefault="00967C7D" w:rsidP="00967C7D">
            <w:pPr>
              <w:keepNext w:val="0"/>
              <w:spacing w:before="0"/>
              <w:rPr>
                <w:rFonts w:cs="Arial"/>
                <w:bCs/>
                <w:color w:val="auto"/>
                <w:sz w:val="20"/>
              </w:rPr>
            </w:pPr>
            <w:r w:rsidRPr="00967C7D">
              <w:rPr>
                <w:rFonts w:cs="Arial"/>
                <w:bCs/>
                <w:color w:val="auto"/>
                <w:sz w:val="20"/>
              </w:rPr>
              <w:t>North Sheet</w:t>
            </w:r>
          </w:p>
        </w:tc>
      </w:tr>
      <w:tr w:rsidR="00967C7D" w:rsidRPr="00967C7D" w14:paraId="4B1ABE71" w14:textId="77777777" w:rsidTr="00B5314A">
        <w:trPr>
          <w:trHeight w:val="284"/>
        </w:trPr>
        <w:tc>
          <w:tcPr>
            <w:tcW w:w="1280" w:type="dxa"/>
          </w:tcPr>
          <w:p w14:paraId="0B6DB843" w14:textId="77777777" w:rsidR="00967C7D" w:rsidRPr="00967C7D" w:rsidRDefault="00967C7D" w:rsidP="00967C7D">
            <w:pPr>
              <w:keepNext w:val="0"/>
              <w:spacing w:before="0"/>
              <w:rPr>
                <w:rFonts w:cs="Arial"/>
                <w:bCs/>
                <w:color w:val="auto"/>
                <w:sz w:val="20"/>
              </w:rPr>
            </w:pPr>
            <w:r w:rsidRPr="00967C7D">
              <w:rPr>
                <w:rFonts w:cs="Arial"/>
                <w:bCs/>
                <w:color w:val="auto"/>
                <w:sz w:val="20"/>
              </w:rPr>
              <w:t>EV5/196</w:t>
            </w:r>
          </w:p>
        </w:tc>
        <w:tc>
          <w:tcPr>
            <w:tcW w:w="6230" w:type="dxa"/>
            <w:noWrap/>
          </w:tcPr>
          <w:p w14:paraId="0B429BAA" w14:textId="77777777" w:rsidR="00967C7D" w:rsidRPr="00967C7D" w:rsidRDefault="00967C7D" w:rsidP="00967C7D">
            <w:pPr>
              <w:keepNext w:val="0"/>
              <w:spacing w:before="0"/>
              <w:rPr>
                <w:rFonts w:cs="Arial"/>
                <w:bCs/>
                <w:color w:val="auto"/>
                <w:sz w:val="20"/>
              </w:rPr>
            </w:pPr>
            <w:r w:rsidRPr="00967C7D">
              <w:rPr>
                <w:rFonts w:cs="Arial"/>
                <w:bCs/>
                <w:color w:val="auto"/>
                <w:sz w:val="20"/>
              </w:rPr>
              <w:t>Hillocks School Playing Field</w:t>
            </w:r>
          </w:p>
        </w:tc>
        <w:tc>
          <w:tcPr>
            <w:tcW w:w="1847" w:type="dxa"/>
            <w:noWrap/>
          </w:tcPr>
          <w:p w14:paraId="155A7A83" w14:textId="77777777" w:rsidR="00967C7D" w:rsidRPr="00967C7D" w:rsidRDefault="00967C7D" w:rsidP="00967C7D">
            <w:pPr>
              <w:keepNext w:val="0"/>
              <w:spacing w:before="0"/>
              <w:rPr>
                <w:rFonts w:cs="Arial"/>
                <w:bCs/>
                <w:color w:val="auto"/>
                <w:sz w:val="20"/>
              </w:rPr>
            </w:pPr>
            <w:r w:rsidRPr="00967C7D">
              <w:rPr>
                <w:rFonts w:cs="Arial"/>
                <w:bCs/>
                <w:color w:val="auto"/>
                <w:sz w:val="20"/>
              </w:rPr>
              <w:t>North Sheet</w:t>
            </w:r>
          </w:p>
        </w:tc>
      </w:tr>
      <w:tr w:rsidR="00967C7D" w:rsidRPr="00967C7D" w14:paraId="40F505B4" w14:textId="77777777" w:rsidTr="00B5314A">
        <w:trPr>
          <w:trHeight w:val="284"/>
        </w:trPr>
        <w:tc>
          <w:tcPr>
            <w:tcW w:w="1280" w:type="dxa"/>
          </w:tcPr>
          <w:p w14:paraId="5C08E07F" w14:textId="77777777" w:rsidR="00967C7D" w:rsidRPr="00967C7D" w:rsidRDefault="00967C7D" w:rsidP="00967C7D">
            <w:pPr>
              <w:keepNext w:val="0"/>
              <w:spacing w:before="0"/>
              <w:rPr>
                <w:rFonts w:cs="Arial"/>
                <w:bCs/>
                <w:color w:val="auto"/>
                <w:sz w:val="20"/>
              </w:rPr>
            </w:pPr>
            <w:r w:rsidRPr="00967C7D">
              <w:rPr>
                <w:rFonts w:cs="Arial"/>
                <w:bCs/>
                <w:color w:val="auto"/>
                <w:sz w:val="20"/>
              </w:rPr>
              <w:t>EV5/197</w:t>
            </w:r>
          </w:p>
        </w:tc>
        <w:tc>
          <w:tcPr>
            <w:tcW w:w="6230" w:type="dxa"/>
            <w:noWrap/>
          </w:tcPr>
          <w:p w14:paraId="5B99541B" w14:textId="77777777" w:rsidR="00967C7D" w:rsidRPr="00967C7D" w:rsidRDefault="00967C7D" w:rsidP="00967C7D">
            <w:pPr>
              <w:keepNext w:val="0"/>
              <w:spacing w:before="0"/>
              <w:rPr>
                <w:rFonts w:cs="Arial"/>
                <w:bCs/>
                <w:color w:val="auto"/>
                <w:sz w:val="20"/>
              </w:rPr>
            </w:pPr>
            <w:r w:rsidRPr="00967C7D">
              <w:rPr>
                <w:rFonts w:cs="Arial"/>
                <w:bCs/>
                <w:color w:val="auto"/>
                <w:sz w:val="20"/>
              </w:rPr>
              <w:t>Springwood View Close</w:t>
            </w:r>
          </w:p>
        </w:tc>
        <w:tc>
          <w:tcPr>
            <w:tcW w:w="1847" w:type="dxa"/>
            <w:noWrap/>
          </w:tcPr>
          <w:p w14:paraId="243C8633" w14:textId="77777777" w:rsidR="00967C7D" w:rsidRPr="00967C7D" w:rsidRDefault="00967C7D" w:rsidP="00967C7D">
            <w:pPr>
              <w:keepNext w:val="0"/>
              <w:spacing w:before="0"/>
              <w:rPr>
                <w:rFonts w:cs="Arial"/>
                <w:bCs/>
                <w:color w:val="auto"/>
                <w:sz w:val="20"/>
              </w:rPr>
            </w:pPr>
            <w:r w:rsidRPr="00967C7D">
              <w:rPr>
                <w:rFonts w:cs="Arial"/>
                <w:bCs/>
                <w:color w:val="auto"/>
                <w:sz w:val="20"/>
              </w:rPr>
              <w:t>North Sheet</w:t>
            </w:r>
          </w:p>
        </w:tc>
      </w:tr>
      <w:tr w:rsidR="00967C7D" w:rsidRPr="00967C7D" w14:paraId="7BE53F0A" w14:textId="77777777" w:rsidTr="00B5314A">
        <w:trPr>
          <w:trHeight w:val="284"/>
        </w:trPr>
        <w:tc>
          <w:tcPr>
            <w:tcW w:w="1280" w:type="dxa"/>
          </w:tcPr>
          <w:p w14:paraId="12E8A68E" w14:textId="77777777" w:rsidR="00967C7D" w:rsidRPr="00967C7D" w:rsidRDefault="00967C7D" w:rsidP="00967C7D">
            <w:pPr>
              <w:keepNext w:val="0"/>
              <w:spacing w:before="0"/>
              <w:rPr>
                <w:rFonts w:cs="Arial"/>
                <w:bCs/>
                <w:color w:val="auto"/>
                <w:sz w:val="20"/>
              </w:rPr>
            </w:pPr>
            <w:r w:rsidRPr="00967C7D">
              <w:rPr>
                <w:rFonts w:cs="Arial"/>
                <w:bCs/>
                <w:color w:val="auto"/>
                <w:sz w:val="20"/>
              </w:rPr>
              <w:t>EV5/198</w:t>
            </w:r>
          </w:p>
        </w:tc>
        <w:tc>
          <w:tcPr>
            <w:tcW w:w="6230" w:type="dxa"/>
            <w:noWrap/>
          </w:tcPr>
          <w:p w14:paraId="024A591A" w14:textId="77777777" w:rsidR="00967C7D" w:rsidRPr="00967C7D" w:rsidRDefault="00967C7D" w:rsidP="00967C7D">
            <w:pPr>
              <w:keepNext w:val="0"/>
              <w:spacing w:before="0"/>
              <w:rPr>
                <w:rFonts w:cs="Arial"/>
                <w:bCs/>
                <w:color w:val="auto"/>
                <w:sz w:val="20"/>
              </w:rPr>
            </w:pPr>
            <w:r w:rsidRPr="00967C7D">
              <w:rPr>
                <w:rFonts w:cs="Arial"/>
                <w:bCs/>
                <w:color w:val="auto"/>
                <w:sz w:val="20"/>
              </w:rPr>
              <w:t>Priestsic Road Recreation Ground</w:t>
            </w:r>
          </w:p>
        </w:tc>
        <w:tc>
          <w:tcPr>
            <w:tcW w:w="1847" w:type="dxa"/>
            <w:noWrap/>
          </w:tcPr>
          <w:p w14:paraId="7948E0CE" w14:textId="77777777" w:rsidR="00967C7D" w:rsidRPr="00967C7D" w:rsidRDefault="00967C7D" w:rsidP="00967C7D">
            <w:pPr>
              <w:keepNext w:val="0"/>
              <w:spacing w:before="0"/>
              <w:rPr>
                <w:rFonts w:cs="Arial"/>
                <w:bCs/>
                <w:color w:val="auto"/>
                <w:sz w:val="20"/>
              </w:rPr>
            </w:pPr>
            <w:r w:rsidRPr="00967C7D">
              <w:rPr>
                <w:rFonts w:cs="Arial"/>
                <w:bCs/>
                <w:color w:val="auto"/>
                <w:sz w:val="20"/>
              </w:rPr>
              <w:t>North Sheet</w:t>
            </w:r>
          </w:p>
        </w:tc>
      </w:tr>
      <w:tr w:rsidR="00967C7D" w:rsidRPr="00967C7D" w14:paraId="3BE46401" w14:textId="77777777" w:rsidTr="00B5314A">
        <w:trPr>
          <w:trHeight w:val="284"/>
        </w:trPr>
        <w:tc>
          <w:tcPr>
            <w:tcW w:w="1280" w:type="dxa"/>
          </w:tcPr>
          <w:p w14:paraId="24B04B4F" w14:textId="77777777" w:rsidR="00967C7D" w:rsidRPr="00967C7D" w:rsidRDefault="00967C7D" w:rsidP="00967C7D">
            <w:pPr>
              <w:keepNext w:val="0"/>
              <w:spacing w:before="0"/>
              <w:rPr>
                <w:rFonts w:cs="Arial"/>
                <w:bCs/>
                <w:color w:val="auto"/>
                <w:sz w:val="20"/>
              </w:rPr>
            </w:pPr>
            <w:r w:rsidRPr="00967C7D">
              <w:rPr>
                <w:rFonts w:cs="Arial"/>
                <w:bCs/>
                <w:color w:val="auto"/>
                <w:sz w:val="20"/>
              </w:rPr>
              <w:t>EV5/199</w:t>
            </w:r>
          </w:p>
        </w:tc>
        <w:tc>
          <w:tcPr>
            <w:tcW w:w="6230" w:type="dxa"/>
            <w:noWrap/>
          </w:tcPr>
          <w:p w14:paraId="1A45E61A" w14:textId="77777777" w:rsidR="00967C7D" w:rsidRPr="00967C7D" w:rsidRDefault="00967C7D" w:rsidP="00967C7D">
            <w:pPr>
              <w:keepNext w:val="0"/>
              <w:spacing w:before="0"/>
              <w:rPr>
                <w:rFonts w:cs="Arial"/>
                <w:bCs/>
                <w:color w:val="auto"/>
                <w:sz w:val="20"/>
              </w:rPr>
            </w:pPr>
            <w:r w:rsidRPr="00967C7D">
              <w:rPr>
                <w:rFonts w:cs="Arial"/>
                <w:bCs/>
                <w:color w:val="auto"/>
                <w:sz w:val="20"/>
              </w:rPr>
              <w:t>Priestic Primary School Field</w:t>
            </w:r>
          </w:p>
        </w:tc>
        <w:tc>
          <w:tcPr>
            <w:tcW w:w="1847" w:type="dxa"/>
            <w:noWrap/>
          </w:tcPr>
          <w:p w14:paraId="0699231B" w14:textId="77777777" w:rsidR="00967C7D" w:rsidRPr="00967C7D" w:rsidRDefault="00967C7D" w:rsidP="00967C7D">
            <w:pPr>
              <w:keepNext w:val="0"/>
              <w:spacing w:before="0"/>
              <w:rPr>
                <w:rFonts w:cs="Arial"/>
                <w:bCs/>
                <w:color w:val="auto"/>
                <w:sz w:val="20"/>
              </w:rPr>
            </w:pPr>
            <w:r w:rsidRPr="00967C7D">
              <w:rPr>
                <w:rFonts w:cs="Arial"/>
                <w:bCs/>
                <w:color w:val="auto"/>
                <w:sz w:val="20"/>
              </w:rPr>
              <w:t>North Sheet</w:t>
            </w:r>
          </w:p>
        </w:tc>
      </w:tr>
      <w:tr w:rsidR="00967C7D" w:rsidRPr="00967C7D" w14:paraId="65C2F942" w14:textId="77777777" w:rsidTr="00B5314A">
        <w:trPr>
          <w:trHeight w:val="284"/>
        </w:trPr>
        <w:tc>
          <w:tcPr>
            <w:tcW w:w="1280" w:type="dxa"/>
          </w:tcPr>
          <w:p w14:paraId="43DD3FBF" w14:textId="77777777" w:rsidR="00967C7D" w:rsidRPr="00967C7D" w:rsidRDefault="00967C7D" w:rsidP="00967C7D">
            <w:pPr>
              <w:keepNext w:val="0"/>
              <w:spacing w:before="0"/>
              <w:rPr>
                <w:rFonts w:cs="Arial"/>
                <w:bCs/>
                <w:color w:val="auto"/>
                <w:sz w:val="20"/>
              </w:rPr>
            </w:pPr>
            <w:r w:rsidRPr="00967C7D">
              <w:rPr>
                <w:rFonts w:cs="Arial"/>
                <w:bCs/>
                <w:color w:val="auto"/>
                <w:sz w:val="20"/>
              </w:rPr>
              <w:t>EV5/200</w:t>
            </w:r>
          </w:p>
        </w:tc>
        <w:tc>
          <w:tcPr>
            <w:tcW w:w="6230" w:type="dxa"/>
            <w:noWrap/>
          </w:tcPr>
          <w:p w14:paraId="19E363DF" w14:textId="77777777" w:rsidR="00967C7D" w:rsidRPr="00967C7D" w:rsidRDefault="00967C7D" w:rsidP="00967C7D">
            <w:pPr>
              <w:keepNext w:val="0"/>
              <w:spacing w:before="0"/>
              <w:rPr>
                <w:rFonts w:cs="Arial"/>
                <w:bCs/>
                <w:color w:val="auto"/>
                <w:sz w:val="20"/>
              </w:rPr>
            </w:pPr>
            <w:r w:rsidRPr="00967C7D">
              <w:rPr>
                <w:rFonts w:cs="Arial"/>
                <w:bCs/>
                <w:color w:val="auto"/>
                <w:sz w:val="20"/>
              </w:rPr>
              <w:t>Pretty Polly Sports Ground</w:t>
            </w:r>
          </w:p>
        </w:tc>
        <w:tc>
          <w:tcPr>
            <w:tcW w:w="1847" w:type="dxa"/>
            <w:noWrap/>
          </w:tcPr>
          <w:p w14:paraId="437B218D" w14:textId="77777777" w:rsidR="00967C7D" w:rsidRPr="00967C7D" w:rsidRDefault="00967C7D" w:rsidP="00967C7D">
            <w:pPr>
              <w:keepNext w:val="0"/>
              <w:spacing w:before="0"/>
              <w:rPr>
                <w:rFonts w:cs="Arial"/>
                <w:bCs/>
                <w:color w:val="auto"/>
                <w:sz w:val="20"/>
              </w:rPr>
            </w:pPr>
            <w:r w:rsidRPr="00967C7D">
              <w:rPr>
                <w:rFonts w:cs="Arial"/>
                <w:bCs/>
                <w:color w:val="auto"/>
                <w:sz w:val="20"/>
              </w:rPr>
              <w:t>North Sheet</w:t>
            </w:r>
          </w:p>
        </w:tc>
      </w:tr>
      <w:tr w:rsidR="00967C7D" w:rsidRPr="00967C7D" w14:paraId="1A5CB9AB" w14:textId="77777777" w:rsidTr="00B5314A">
        <w:trPr>
          <w:trHeight w:val="284"/>
        </w:trPr>
        <w:tc>
          <w:tcPr>
            <w:tcW w:w="1280" w:type="dxa"/>
          </w:tcPr>
          <w:p w14:paraId="03E14D6B" w14:textId="77777777" w:rsidR="00967C7D" w:rsidRPr="00967C7D" w:rsidRDefault="00967C7D" w:rsidP="00967C7D">
            <w:pPr>
              <w:keepNext w:val="0"/>
              <w:spacing w:before="0"/>
              <w:rPr>
                <w:rFonts w:cs="Arial"/>
                <w:bCs/>
                <w:color w:val="auto"/>
                <w:sz w:val="20"/>
              </w:rPr>
            </w:pPr>
            <w:r w:rsidRPr="00967C7D">
              <w:rPr>
                <w:rFonts w:cs="Arial"/>
                <w:bCs/>
                <w:color w:val="auto"/>
                <w:sz w:val="20"/>
              </w:rPr>
              <w:t>EV5/201</w:t>
            </w:r>
          </w:p>
        </w:tc>
        <w:tc>
          <w:tcPr>
            <w:tcW w:w="6230" w:type="dxa"/>
            <w:noWrap/>
          </w:tcPr>
          <w:p w14:paraId="7563BFAF" w14:textId="77777777" w:rsidR="00967C7D" w:rsidRPr="00967C7D" w:rsidRDefault="00967C7D" w:rsidP="00967C7D">
            <w:pPr>
              <w:keepNext w:val="0"/>
              <w:spacing w:before="0"/>
              <w:rPr>
                <w:rFonts w:cs="Arial"/>
                <w:bCs/>
                <w:color w:val="auto"/>
                <w:sz w:val="20"/>
              </w:rPr>
            </w:pPr>
            <w:r w:rsidRPr="00967C7D">
              <w:rPr>
                <w:rFonts w:cs="Arial"/>
                <w:bCs/>
                <w:color w:val="auto"/>
                <w:sz w:val="20"/>
              </w:rPr>
              <w:t>Carsic School Playing Field</w:t>
            </w:r>
          </w:p>
        </w:tc>
        <w:tc>
          <w:tcPr>
            <w:tcW w:w="1847" w:type="dxa"/>
            <w:noWrap/>
          </w:tcPr>
          <w:p w14:paraId="0EBD9729" w14:textId="77777777" w:rsidR="00967C7D" w:rsidRPr="00967C7D" w:rsidRDefault="00967C7D" w:rsidP="00967C7D">
            <w:pPr>
              <w:keepNext w:val="0"/>
              <w:spacing w:before="0"/>
              <w:rPr>
                <w:rFonts w:cs="Arial"/>
                <w:bCs/>
                <w:color w:val="auto"/>
                <w:sz w:val="20"/>
              </w:rPr>
            </w:pPr>
            <w:r w:rsidRPr="00967C7D">
              <w:rPr>
                <w:rFonts w:cs="Arial"/>
                <w:bCs/>
                <w:color w:val="auto"/>
                <w:sz w:val="20"/>
              </w:rPr>
              <w:t>North Sheet</w:t>
            </w:r>
          </w:p>
        </w:tc>
      </w:tr>
      <w:tr w:rsidR="00967C7D" w:rsidRPr="00967C7D" w14:paraId="22578320" w14:textId="77777777" w:rsidTr="00B5314A">
        <w:trPr>
          <w:trHeight w:val="284"/>
        </w:trPr>
        <w:tc>
          <w:tcPr>
            <w:tcW w:w="1280" w:type="dxa"/>
          </w:tcPr>
          <w:p w14:paraId="724B8A51" w14:textId="77777777" w:rsidR="00967C7D" w:rsidRPr="00967C7D" w:rsidRDefault="00967C7D" w:rsidP="00967C7D">
            <w:pPr>
              <w:keepNext w:val="0"/>
              <w:spacing w:before="0"/>
              <w:rPr>
                <w:rFonts w:cs="Arial"/>
                <w:bCs/>
                <w:color w:val="auto"/>
                <w:sz w:val="20"/>
              </w:rPr>
            </w:pPr>
            <w:r w:rsidRPr="00967C7D">
              <w:rPr>
                <w:rFonts w:cs="Arial"/>
                <w:bCs/>
                <w:color w:val="auto"/>
                <w:sz w:val="20"/>
              </w:rPr>
              <w:t>EV5/202</w:t>
            </w:r>
          </w:p>
        </w:tc>
        <w:tc>
          <w:tcPr>
            <w:tcW w:w="6230" w:type="dxa"/>
            <w:noWrap/>
          </w:tcPr>
          <w:p w14:paraId="57064447" w14:textId="77777777" w:rsidR="00967C7D" w:rsidRPr="00967C7D" w:rsidRDefault="00967C7D" w:rsidP="00967C7D">
            <w:pPr>
              <w:keepNext w:val="0"/>
              <w:spacing w:before="0"/>
              <w:rPr>
                <w:rFonts w:cs="Arial"/>
                <w:bCs/>
                <w:color w:val="auto"/>
                <w:sz w:val="20"/>
              </w:rPr>
            </w:pPr>
            <w:r w:rsidRPr="00967C7D">
              <w:rPr>
                <w:rFonts w:cs="Arial"/>
                <w:bCs/>
                <w:color w:val="auto"/>
                <w:sz w:val="20"/>
              </w:rPr>
              <w:t>Westbourne Road</w:t>
            </w:r>
          </w:p>
        </w:tc>
        <w:tc>
          <w:tcPr>
            <w:tcW w:w="1847" w:type="dxa"/>
            <w:noWrap/>
          </w:tcPr>
          <w:p w14:paraId="26764591" w14:textId="77777777" w:rsidR="00967C7D" w:rsidRPr="00967C7D" w:rsidRDefault="00967C7D" w:rsidP="00967C7D">
            <w:pPr>
              <w:keepNext w:val="0"/>
              <w:spacing w:before="0"/>
              <w:rPr>
                <w:rFonts w:cs="Arial"/>
                <w:bCs/>
                <w:color w:val="auto"/>
                <w:sz w:val="20"/>
              </w:rPr>
            </w:pPr>
            <w:r w:rsidRPr="00967C7D">
              <w:rPr>
                <w:rFonts w:cs="Arial"/>
                <w:bCs/>
                <w:color w:val="auto"/>
                <w:sz w:val="20"/>
              </w:rPr>
              <w:t>North Sheet</w:t>
            </w:r>
          </w:p>
        </w:tc>
      </w:tr>
      <w:tr w:rsidR="00967C7D" w:rsidRPr="00967C7D" w14:paraId="5D986518" w14:textId="77777777" w:rsidTr="00B5314A">
        <w:trPr>
          <w:trHeight w:val="284"/>
        </w:trPr>
        <w:tc>
          <w:tcPr>
            <w:tcW w:w="1280" w:type="dxa"/>
          </w:tcPr>
          <w:p w14:paraId="124E25FD" w14:textId="77777777" w:rsidR="00967C7D" w:rsidRPr="00967C7D" w:rsidRDefault="00967C7D" w:rsidP="00967C7D">
            <w:pPr>
              <w:keepNext w:val="0"/>
              <w:spacing w:before="0"/>
              <w:rPr>
                <w:rFonts w:cs="Arial"/>
                <w:bCs/>
                <w:color w:val="auto"/>
                <w:sz w:val="20"/>
              </w:rPr>
            </w:pPr>
            <w:r w:rsidRPr="00967C7D">
              <w:rPr>
                <w:rFonts w:cs="Arial"/>
                <w:bCs/>
                <w:color w:val="auto"/>
                <w:sz w:val="20"/>
              </w:rPr>
              <w:t>EV5/203</w:t>
            </w:r>
          </w:p>
        </w:tc>
        <w:tc>
          <w:tcPr>
            <w:tcW w:w="6230" w:type="dxa"/>
            <w:noWrap/>
          </w:tcPr>
          <w:p w14:paraId="5B1419B3" w14:textId="77777777" w:rsidR="00967C7D" w:rsidRPr="00967C7D" w:rsidRDefault="00967C7D" w:rsidP="00967C7D">
            <w:pPr>
              <w:keepNext w:val="0"/>
              <w:spacing w:before="0"/>
              <w:rPr>
                <w:rFonts w:cs="Arial"/>
                <w:bCs/>
                <w:color w:val="auto"/>
                <w:sz w:val="20"/>
              </w:rPr>
            </w:pPr>
            <w:r w:rsidRPr="00967C7D">
              <w:rPr>
                <w:rFonts w:cs="Arial"/>
                <w:bCs/>
                <w:color w:val="auto"/>
                <w:sz w:val="20"/>
              </w:rPr>
              <w:t>Westbourne Road</w:t>
            </w:r>
          </w:p>
        </w:tc>
        <w:tc>
          <w:tcPr>
            <w:tcW w:w="1847" w:type="dxa"/>
            <w:noWrap/>
          </w:tcPr>
          <w:p w14:paraId="2D2ACA1C" w14:textId="77777777" w:rsidR="00967C7D" w:rsidRPr="00967C7D" w:rsidRDefault="00967C7D" w:rsidP="00967C7D">
            <w:pPr>
              <w:keepNext w:val="0"/>
              <w:spacing w:before="0"/>
              <w:rPr>
                <w:rFonts w:cs="Arial"/>
                <w:bCs/>
                <w:color w:val="auto"/>
                <w:sz w:val="20"/>
              </w:rPr>
            </w:pPr>
            <w:r w:rsidRPr="00967C7D">
              <w:rPr>
                <w:rFonts w:cs="Arial"/>
                <w:bCs/>
                <w:color w:val="auto"/>
                <w:sz w:val="20"/>
              </w:rPr>
              <w:t>North Sheet</w:t>
            </w:r>
          </w:p>
        </w:tc>
      </w:tr>
      <w:tr w:rsidR="00967C7D" w:rsidRPr="00967C7D" w14:paraId="5325373C" w14:textId="77777777" w:rsidTr="00B5314A">
        <w:trPr>
          <w:trHeight w:val="284"/>
        </w:trPr>
        <w:tc>
          <w:tcPr>
            <w:tcW w:w="1280" w:type="dxa"/>
          </w:tcPr>
          <w:p w14:paraId="3A6B2A27" w14:textId="77777777" w:rsidR="00967C7D" w:rsidRPr="00967C7D" w:rsidRDefault="00967C7D" w:rsidP="00967C7D">
            <w:pPr>
              <w:keepNext w:val="0"/>
              <w:spacing w:before="0"/>
              <w:rPr>
                <w:rFonts w:cs="Arial"/>
                <w:bCs/>
                <w:color w:val="auto"/>
                <w:sz w:val="20"/>
              </w:rPr>
            </w:pPr>
            <w:r w:rsidRPr="00967C7D">
              <w:rPr>
                <w:rFonts w:cs="Arial"/>
                <w:bCs/>
                <w:color w:val="auto"/>
                <w:sz w:val="20"/>
              </w:rPr>
              <w:t>EV5/204</w:t>
            </w:r>
          </w:p>
        </w:tc>
        <w:tc>
          <w:tcPr>
            <w:tcW w:w="6230" w:type="dxa"/>
            <w:noWrap/>
          </w:tcPr>
          <w:p w14:paraId="3C3CEB3E" w14:textId="77777777" w:rsidR="00967C7D" w:rsidRPr="00967C7D" w:rsidRDefault="00967C7D" w:rsidP="00967C7D">
            <w:pPr>
              <w:keepNext w:val="0"/>
              <w:spacing w:before="0"/>
              <w:rPr>
                <w:rFonts w:cs="Arial"/>
                <w:bCs/>
                <w:color w:val="auto"/>
                <w:sz w:val="20"/>
              </w:rPr>
            </w:pPr>
            <w:r w:rsidRPr="00967C7D">
              <w:rPr>
                <w:rFonts w:cs="Arial"/>
                <w:bCs/>
                <w:color w:val="auto"/>
                <w:sz w:val="20"/>
              </w:rPr>
              <w:t>John Davies School Playing Field</w:t>
            </w:r>
          </w:p>
        </w:tc>
        <w:tc>
          <w:tcPr>
            <w:tcW w:w="1847" w:type="dxa"/>
            <w:noWrap/>
          </w:tcPr>
          <w:p w14:paraId="08197189" w14:textId="77777777" w:rsidR="00967C7D" w:rsidRPr="00967C7D" w:rsidRDefault="00967C7D" w:rsidP="00967C7D">
            <w:pPr>
              <w:keepNext w:val="0"/>
              <w:spacing w:before="0"/>
              <w:rPr>
                <w:rFonts w:cs="Arial"/>
                <w:bCs/>
                <w:color w:val="auto"/>
                <w:sz w:val="20"/>
              </w:rPr>
            </w:pPr>
            <w:r w:rsidRPr="00967C7D">
              <w:rPr>
                <w:rFonts w:cs="Arial"/>
                <w:bCs/>
                <w:color w:val="auto"/>
                <w:sz w:val="20"/>
              </w:rPr>
              <w:t>North Sheet</w:t>
            </w:r>
          </w:p>
        </w:tc>
      </w:tr>
      <w:tr w:rsidR="00967C7D" w:rsidRPr="00967C7D" w14:paraId="3096AA72" w14:textId="77777777" w:rsidTr="00B5314A">
        <w:trPr>
          <w:trHeight w:val="284"/>
        </w:trPr>
        <w:tc>
          <w:tcPr>
            <w:tcW w:w="1280" w:type="dxa"/>
          </w:tcPr>
          <w:p w14:paraId="55C4E7EA" w14:textId="77777777" w:rsidR="00967C7D" w:rsidRPr="00967C7D" w:rsidRDefault="00967C7D" w:rsidP="00967C7D">
            <w:pPr>
              <w:keepNext w:val="0"/>
              <w:spacing w:before="0"/>
              <w:rPr>
                <w:rFonts w:cs="Arial"/>
                <w:bCs/>
                <w:color w:val="auto"/>
                <w:sz w:val="20"/>
              </w:rPr>
            </w:pPr>
            <w:r w:rsidRPr="00967C7D">
              <w:rPr>
                <w:rFonts w:cs="Arial"/>
                <w:bCs/>
                <w:color w:val="auto"/>
                <w:sz w:val="20"/>
              </w:rPr>
              <w:t>EV5/205</w:t>
            </w:r>
          </w:p>
        </w:tc>
        <w:tc>
          <w:tcPr>
            <w:tcW w:w="6230" w:type="dxa"/>
            <w:noWrap/>
          </w:tcPr>
          <w:p w14:paraId="7E01E428" w14:textId="77777777" w:rsidR="00967C7D" w:rsidRPr="00967C7D" w:rsidRDefault="00967C7D" w:rsidP="00967C7D">
            <w:pPr>
              <w:keepNext w:val="0"/>
              <w:spacing w:before="0"/>
              <w:rPr>
                <w:rFonts w:cs="Arial"/>
                <w:bCs/>
                <w:color w:val="auto"/>
                <w:sz w:val="20"/>
              </w:rPr>
            </w:pPr>
            <w:r w:rsidRPr="00967C7D">
              <w:rPr>
                <w:rFonts w:cs="Arial"/>
                <w:bCs/>
                <w:color w:val="auto"/>
                <w:sz w:val="20"/>
              </w:rPr>
              <w:t>Sowter Avenue</w:t>
            </w:r>
          </w:p>
        </w:tc>
        <w:tc>
          <w:tcPr>
            <w:tcW w:w="1847" w:type="dxa"/>
            <w:noWrap/>
          </w:tcPr>
          <w:p w14:paraId="299ABECE" w14:textId="77777777" w:rsidR="00967C7D" w:rsidRPr="00967C7D" w:rsidRDefault="00967C7D" w:rsidP="00967C7D">
            <w:pPr>
              <w:keepNext w:val="0"/>
              <w:spacing w:before="0"/>
              <w:rPr>
                <w:rFonts w:cs="Arial"/>
                <w:bCs/>
                <w:color w:val="auto"/>
                <w:sz w:val="20"/>
              </w:rPr>
            </w:pPr>
            <w:r w:rsidRPr="00967C7D">
              <w:rPr>
                <w:rFonts w:cs="Arial"/>
                <w:bCs/>
                <w:color w:val="auto"/>
                <w:sz w:val="20"/>
              </w:rPr>
              <w:t>North Sheet</w:t>
            </w:r>
          </w:p>
        </w:tc>
      </w:tr>
      <w:tr w:rsidR="00967C7D" w:rsidRPr="00967C7D" w14:paraId="589A6F4E" w14:textId="77777777" w:rsidTr="00B5314A">
        <w:trPr>
          <w:trHeight w:val="284"/>
        </w:trPr>
        <w:tc>
          <w:tcPr>
            <w:tcW w:w="1280" w:type="dxa"/>
          </w:tcPr>
          <w:p w14:paraId="1F15A771" w14:textId="77777777" w:rsidR="00967C7D" w:rsidRPr="00967C7D" w:rsidRDefault="00967C7D" w:rsidP="00967C7D">
            <w:pPr>
              <w:keepNext w:val="0"/>
              <w:spacing w:before="0"/>
              <w:rPr>
                <w:rFonts w:cs="Arial"/>
                <w:bCs/>
                <w:color w:val="auto"/>
                <w:sz w:val="20"/>
              </w:rPr>
            </w:pPr>
            <w:r w:rsidRPr="00967C7D">
              <w:rPr>
                <w:rFonts w:cs="Arial"/>
                <w:bCs/>
                <w:color w:val="auto"/>
                <w:sz w:val="20"/>
              </w:rPr>
              <w:t>EV5/206</w:t>
            </w:r>
          </w:p>
        </w:tc>
        <w:tc>
          <w:tcPr>
            <w:tcW w:w="6230" w:type="dxa"/>
            <w:noWrap/>
          </w:tcPr>
          <w:p w14:paraId="1CC54D3B" w14:textId="77777777" w:rsidR="00967C7D" w:rsidRPr="00967C7D" w:rsidRDefault="00967C7D" w:rsidP="00967C7D">
            <w:pPr>
              <w:keepNext w:val="0"/>
              <w:spacing w:before="0"/>
              <w:rPr>
                <w:rFonts w:cs="Arial"/>
                <w:bCs/>
                <w:color w:val="auto"/>
                <w:sz w:val="20"/>
              </w:rPr>
            </w:pPr>
            <w:r w:rsidRPr="00967C7D">
              <w:rPr>
                <w:rFonts w:cs="Arial"/>
                <w:bCs/>
                <w:color w:val="auto"/>
                <w:sz w:val="20"/>
              </w:rPr>
              <w:t xml:space="preserve">Rear of </w:t>
            </w:r>
            <w:proofErr w:type="spellStart"/>
            <w:r w:rsidRPr="00967C7D">
              <w:rPr>
                <w:rFonts w:cs="Arial"/>
                <w:bCs/>
                <w:color w:val="auto"/>
                <w:sz w:val="20"/>
              </w:rPr>
              <w:t>Shortwood</w:t>
            </w:r>
            <w:proofErr w:type="spellEnd"/>
            <w:r w:rsidRPr="00967C7D">
              <w:rPr>
                <w:rFonts w:cs="Arial"/>
                <w:bCs/>
                <w:color w:val="auto"/>
                <w:sz w:val="20"/>
              </w:rPr>
              <w:t xml:space="preserve"> Avenue</w:t>
            </w:r>
          </w:p>
        </w:tc>
        <w:tc>
          <w:tcPr>
            <w:tcW w:w="1847" w:type="dxa"/>
            <w:noWrap/>
          </w:tcPr>
          <w:p w14:paraId="5830863B" w14:textId="77777777" w:rsidR="00967C7D" w:rsidRPr="00967C7D" w:rsidRDefault="00967C7D" w:rsidP="00967C7D">
            <w:pPr>
              <w:keepNext w:val="0"/>
              <w:spacing w:before="0"/>
              <w:rPr>
                <w:rFonts w:cs="Arial"/>
                <w:bCs/>
                <w:color w:val="auto"/>
                <w:sz w:val="20"/>
              </w:rPr>
            </w:pPr>
            <w:r w:rsidRPr="00967C7D">
              <w:rPr>
                <w:rFonts w:cs="Arial"/>
                <w:bCs/>
                <w:color w:val="auto"/>
                <w:sz w:val="20"/>
              </w:rPr>
              <w:t>South Sheet</w:t>
            </w:r>
          </w:p>
        </w:tc>
      </w:tr>
      <w:tr w:rsidR="00967C7D" w:rsidRPr="00967C7D" w14:paraId="38E549D0" w14:textId="77777777" w:rsidTr="00B5314A">
        <w:trPr>
          <w:trHeight w:val="284"/>
        </w:trPr>
        <w:tc>
          <w:tcPr>
            <w:tcW w:w="1280" w:type="dxa"/>
          </w:tcPr>
          <w:p w14:paraId="37ACF66D" w14:textId="77777777" w:rsidR="00967C7D" w:rsidRPr="00967C7D" w:rsidRDefault="00967C7D" w:rsidP="00967C7D">
            <w:pPr>
              <w:keepNext w:val="0"/>
              <w:spacing w:before="0"/>
              <w:rPr>
                <w:rFonts w:cs="Arial"/>
                <w:bCs/>
                <w:color w:val="auto"/>
                <w:sz w:val="20"/>
              </w:rPr>
            </w:pPr>
            <w:r w:rsidRPr="00967C7D">
              <w:rPr>
                <w:rFonts w:cs="Arial"/>
                <w:bCs/>
                <w:color w:val="auto"/>
                <w:sz w:val="20"/>
              </w:rPr>
              <w:t>EV5/207</w:t>
            </w:r>
          </w:p>
        </w:tc>
        <w:tc>
          <w:tcPr>
            <w:tcW w:w="6230" w:type="dxa"/>
            <w:noWrap/>
          </w:tcPr>
          <w:p w14:paraId="01768D71" w14:textId="77777777" w:rsidR="00967C7D" w:rsidRPr="00967C7D" w:rsidRDefault="00967C7D" w:rsidP="00967C7D">
            <w:pPr>
              <w:keepNext w:val="0"/>
              <w:spacing w:before="0"/>
              <w:rPr>
                <w:rFonts w:cs="Arial"/>
                <w:bCs/>
                <w:color w:val="auto"/>
                <w:sz w:val="20"/>
              </w:rPr>
            </w:pPr>
            <w:r w:rsidRPr="00967C7D">
              <w:rPr>
                <w:rFonts w:cs="Arial"/>
                <w:bCs/>
                <w:color w:val="auto"/>
                <w:sz w:val="20"/>
              </w:rPr>
              <w:t>Kingsmill Reservoir</w:t>
            </w:r>
          </w:p>
        </w:tc>
        <w:tc>
          <w:tcPr>
            <w:tcW w:w="1847" w:type="dxa"/>
            <w:noWrap/>
          </w:tcPr>
          <w:p w14:paraId="3C1CD35C" w14:textId="77777777" w:rsidR="00967C7D" w:rsidRPr="00967C7D" w:rsidRDefault="00967C7D" w:rsidP="00967C7D">
            <w:pPr>
              <w:keepNext w:val="0"/>
              <w:spacing w:before="0"/>
              <w:rPr>
                <w:rFonts w:cs="Arial"/>
                <w:bCs/>
                <w:color w:val="auto"/>
                <w:sz w:val="20"/>
              </w:rPr>
            </w:pPr>
            <w:r w:rsidRPr="00967C7D">
              <w:rPr>
                <w:rFonts w:cs="Arial"/>
                <w:bCs/>
                <w:color w:val="auto"/>
                <w:sz w:val="20"/>
              </w:rPr>
              <w:t>North Sheet</w:t>
            </w:r>
          </w:p>
        </w:tc>
      </w:tr>
      <w:tr w:rsidR="00967C7D" w:rsidRPr="00967C7D" w14:paraId="571DC748" w14:textId="77777777" w:rsidTr="00B5314A">
        <w:trPr>
          <w:trHeight w:val="284"/>
        </w:trPr>
        <w:tc>
          <w:tcPr>
            <w:tcW w:w="1280" w:type="dxa"/>
          </w:tcPr>
          <w:p w14:paraId="4F4D8A40" w14:textId="77777777" w:rsidR="00967C7D" w:rsidRPr="00967C7D" w:rsidRDefault="00967C7D" w:rsidP="00967C7D">
            <w:pPr>
              <w:keepNext w:val="0"/>
              <w:spacing w:before="0"/>
              <w:rPr>
                <w:rFonts w:cs="Arial"/>
                <w:bCs/>
                <w:color w:val="auto"/>
                <w:sz w:val="20"/>
              </w:rPr>
            </w:pPr>
            <w:r w:rsidRPr="00967C7D">
              <w:rPr>
                <w:rFonts w:cs="Arial"/>
                <w:bCs/>
                <w:color w:val="auto"/>
                <w:sz w:val="20"/>
              </w:rPr>
              <w:t>EV5/208</w:t>
            </w:r>
          </w:p>
        </w:tc>
        <w:tc>
          <w:tcPr>
            <w:tcW w:w="6230" w:type="dxa"/>
            <w:noWrap/>
          </w:tcPr>
          <w:p w14:paraId="6CBDA359" w14:textId="77777777" w:rsidR="00967C7D" w:rsidRPr="00967C7D" w:rsidRDefault="00967C7D" w:rsidP="00967C7D">
            <w:pPr>
              <w:keepNext w:val="0"/>
              <w:spacing w:before="0"/>
              <w:rPr>
                <w:rFonts w:cs="Arial"/>
                <w:bCs/>
                <w:color w:val="auto"/>
                <w:sz w:val="20"/>
              </w:rPr>
            </w:pPr>
            <w:r w:rsidRPr="00967C7D">
              <w:rPr>
                <w:rFonts w:cs="Arial"/>
                <w:bCs/>
                <w:color w:val="auto"/>
                <w:sz w:val="20"/>
              </w:rPr>
              <w:t>The Oval</w:t>
            </w:r>
          </w:p>
        </w:tc>
        <w:tc>
          <w:tcPr>
            <w:tcW w:w="1847" w:type="dxa"/>
            <w:noWrap/>
          </w:tcPr>
          <w:p w14:paraId="42306EF7" w14:textId="77777777" w:rsidR="00967C7D" w:rsidRPr="00967C7D" w:rsidRDefault="00967C7D" w:rsidP="00967C7D">
            <w:pPr>
              <w:keepNext w:val="0"/>
              <w:spacing w:before="0"/>
              <w:rPr>
                <w:rFonts w:cs="Arial"/>
                <w:bCs/>
                <w:color w:val="auto"/>
                <w:sz w:val="20"/>
              </w:rPr>
            </w:pPr>
            <w:r w:rsidRPr="00967C7D">
              <w:rPr>
                <w:rFonts w:cs="Arial"/>
                <w:bCs/>
                <w:color w:val="auto"/>
                <w:sz w:val="20"/>
              </w:rPr>
              <w:t>North Sheet</w:t>
            </w:r>
          </w:p>
        </w:tc>
      </w:tr>
      <w:tr w:rsidR="00967C7D" w:rsidRPr="00967C7D" w14:paraId="6C03CE60" w14:textId="77777777" w:rsidTr="00B5314A">
        <w:trPr>
          <w:trHeight w:val="284"/>
        </w:trPr>
        <w:tc>
          <w:tcPr>
            <w:tcW w:w="1280" w:type="dxa"/>
          </w:tcPr>
          <w:p w14:paraId="2C72EEEC" w14:textId="77777777" w:rsidR="00967C7D" w:rsidRPr="00967C7D" w:rsidRDefault="00967C7D" w:rsidP="00967C7D">
            <w:pPr>
              <w:keepNext w:val="0"/>
              <w:spacing w:before="0"/>
              <w:rPr>
                <w:rFonts w:cs="Arial"/>
                <w:bCs/>
                <w:color w:val="auto"/>
                <w:sz w:val="20"/>
              </w:rPr>
            </w:pPr>
            <w:r w:rsidRPr="00967C7D">
              <w:rPr>
                <w:rFonts w:cs="Arial"/>
                <w:bCs/>
                <w:color w:val="auto"/>
                <w:sz w:val="20"/>
              </w:rPr>
              <w:t>EV5/209</w:t>
            </w:r>
          </w:p>
        </w:tc>
        <w:tc>
          <w:tcPr>
            <w:tcW w:w="6230" w:type="dxa"/>
            <w:noWrap/>
          </w:tcPr>
          <w:p w14:paraId="50449E70" w14:textId="77777777" w:rsidR="00967C7D" w:rsidRPr="00967C7D" w:rsidRDefault="00967C7D" w:rsidP="00967C7D">
            <w:pPr>
              <w:keepNext w:val="0"/>
              <w:spacing w:before="0"/>
              <w:rPr>
                <w:rFonts w:cs="Arial"/>
                <w:bCs/>
                <w:color w:val="auto"/>
                <w:sz w:val="20"/>
              </w:rPr>
            </w:pPr>
            <w:r w:rsidRPr="00967C7D">
              <w:rPr>
                <w:rFonts w:cs="Arial"/>
                <w:bCs/>
                <w:color w:val="auto"/>
                <w:sz w:val="20"/>
              </w:rPr>
              <w:t>Stoneyford Road Trail - South</w:t>
            </w:r>
          </w:p>
        </w:tc>
        <w:tc>
          <w:tcPr>
            <w:tcW w:w="1847" w:type="dxa"/>
            <w:noWrap/>
          </w:tcPr>
          <w:p w14:paraId="737F0C32" w14:textId="77777777" w:rsidR="00967C7D" w:rsidRPr="00967C7D" w:rsidRDefault="00967C7D" w:rsidP="00967C7D">
            <w:pPr>
              <w:keepNext w:val="0"/>
              <w:spacing w:before="0"/>
              <w:rPr>
                <w:rFonts w:cs="Arial"/>
                <w:bCs/>
                <w:color w:val="auto"/>
                <w:sz w:val="20"/>
              </w:rPr>
            </w:pPr>
            <w:r w:rsidRPr="00967C7D">
              <w:rPr>
                <w:rFonts w:cs="Arial"/>
                <w:bCs/>
                <w:color w:val="auto"/>
                <w:sz w:val="20"/>
              </w:rPr>
              <w:t>North Sheet</w:t>
            </w:r>
          </w:p>
        </w:tc>
      </w:tr>
      <w:tr w:rsidR="00967C7D" w:rsidRPr="00967C7D" w14:paraId="7421867E" w14:textId="77777777" w:rsidTr="00B5314A">
        <w:trPr>
          <w:trHeight w:val="284"/>
        </w:trPr>
        <w:tc>
          <w:tcPr>
            <w:tcW w:w="1280" w:type="dxa"/>
          </w:tcPr>
          <w:p w14:paraId="69112E96" w14:textId="77777777" w:rsidR="00967C7D" w:rsidRPr="00967C7D" w:rsidRDefault="00967C7D" w:rsidP="00967C7D">
            <w:pPr>
              <w:keepNext w:val="0"/>
              <w:spacing w:before="0"/>
              <w:rPr>
                <w:rFonts w:cs="Arial"/>
                <w:bCs/>
                <w:color w:val="auto"/>
                <w:sz w:val="20"/>
              </w:rPr>
            </w:pPr>
            <w:r w:rsidRPr="00967C7D">
              <w:rPr>
                <w:rFonts w:cs="Arial"/>
                <w:bCs/>
                <w:color w:val="auto"/>
                <w:sz w:val="20"/>
              </w:rPr>
              <w:t>EV5/210</w:t>
            </w:r>
          </w:p>
        </w:tc>
        <w:tc>
          <w:tcPr>
            <w:tcW w:w="6230" w:type="dxa"/>
            <w:noWrap/>
          </w:tcPr>
          <w:p w14:paraId="5335181E" w14:textId="77777777" w:rsidR="00967C7D" w:rsidRPr="00967C7D" w:rsidRDefault="00967C7D" w:rsidP="00967C7D">
            <w:pPr>
              <w:keepNext w:val="0"/>
              <w:spacing w:before="0"/>
              <w:rPr>
                <w:rFonts w:cs="Arial"/>
                <w:bCs/>
                <w:color w:val="auto"/>
                <w:sz w:val="20"/>
              </w:rPr>
            </w:pPr>
            <w:r w:rsidRPr="00967C7D">
              <w:rPr>
                <w:rFonts w:cs="Arial"/>
                <w:bCs/>
                <w:color w:val="auto"/>
                <w:sz w:val="20"/>
              </w:rPr>
              <w:t>Lawrence Crescent</w:t>
            </w:r>
          </w:p>
        </w:tc>
        <w:tc>
          <w:tcPr>
            <w:tcW w:w="1847" w:type="dxa"/>
            <w:noWrap/>
          </w:tcPr>
          <w:p w14:paraId="36EB18C1" w14:textId="77777777" w:rsidR="00967C7D" w:rsidRPr="00967C7D" w:rsidRDefault="00967C7D" w:rsidP="00967C7D">
            <w:pPr>
              <w:keepNext w:val="0"/>
              <w:spacing w:before="0"/>
              <w:rPr>
                <w:rFonts w:cs="Arial"/>
                <w:bCs/>
                <w:color w:val="auto"/>
                <w:sz w:val="20"/>
              </w:rPr>
            </w:pPr>
            <w:r w:rsidRPr="00967C7D">
              <w:rPr>
                <w:rFonts w:cs="Arial"/>
                <w:bCs/>
                <w:color w:val="auto"/>
                <w:sz w:val="20"/>
              </w:rPr>
              <w:t>North Sheet</w:t>
            </w:r>
          </w:p>
        </w:tc>
      </w:tr>
      <w:tr w:rsidR="00967C7D" w:rsidRPr="00967C7D" w14:paraId="757936F7" w14:textId="77777777" w:rsidTr="00B5314A">
        <w:trPr>
          <w:trHeight w:val="284"/>
        </w:trPr>
        <w:tc>
          <w:tcPr>
            <w:tcW w:w="1280" w:type="dxa"/>
          </w:tcPr>
          <w:p w14:paraId="45317C92" w14:textId="77777777" w:rsidR="00967C7D" w:rsidRPr="00967C7D" w:rsidRDefault="00967C7D" w:rsidP="00967C7D">
            <w:pPr>
              <w:keepNext w:val="0"/>
              <w:spacing w:before="0"/>
              <w:rPr>
                <w:rFonts w:cs="Arial"/>
                <w:bCs/>
                <w:color w:val="auto"/>
                <w:sz w:val="20"/>
              </w:rPr>
            </w:pPr>
            <w:r w:rsidRPr="00967C7D">
              <w:rPr>
                <w:rFonts w:cs="Arial"/>
                <w:bCs/>
                <w:color w:val="auto"/>
                <w:sz w:val="20"/>
              </w:rPr>
              <w:t>EV5/211</w:t>
            </w:r>
          </w:p>
        </w:tc>
        <w:tc>
          <w:tcPr>
            <w:tcW w:w="6230" w:type="dxa"/>
            <w:noWrap/>
          </w:tcPr>
          <w:p w14:paraId="1684BCFE" w14:textId="77777777" w:rsidR="00967C7D" w:rsidRPr="00967C7D" w:rsidRDefault="00967C7D" w:rsidP="00967C7D">
            <w:pPr>
              <w:keepNext w:val="0"/>
              <w:spacing w:before="0"/>
              <w:rPr>
                <w:rFonts w:cs="Arial"/>
                <w:bCs/>
                <w:color w:val="auto"/>
                <w:sz w:val="20"/>
              </w:rPr>
            </w:pPr>
            <w:r w:rsidRPr="00967C7D">
              <w:rPr>
                <w:rFonts w:cs="Arial"/>
                <w:bCs/>
                <w:color w:val="auto"/>
                <w:sz w:val="20"/>
              </w:rPr>
              <w:t>Stoneyford Road Recreation Ground</w:t>
            </w:r>
          </w:p>
        </w:tc>
        <w:tc>
          <w:tcPr>
            <w:tcW w:w="1847" w:type="dxa"/>
            <w:noWrap/>
          </w:tcPr>
          <w:p w14:paraId="7D53087A" w14:textId="77777777" w:rsidR="00967C7D" w:rsidRPr="00967C7D" w:rsidRDefault="00967C7D" w:rsidP="00967C7D">
            <w:pPr>
              <w:keepNext w:val="0"/>
              <w:spacing w:before="0"/>
              <w:rPr>
                <w:rFonts w:cs="Arial"/>
                <w:bCs/>
                <w:color w:val="auto"/>
                <w:sz w:val="20"/>
              </w:rPr>
            </w:pPr>
            <w:r w:rsidRPr="00967C7D">
              <w:rPr>
                <w:rFonts w:cs="Arial"/>
                <w:bCs/>
                <w:color w:val="auto"/>
                <w:sz w:val="20"/>
              </w:rPr>
              <w:t>North Sheet</w:t>
            </w:r>
          </w:p>
        </w:tc>
      </w:tr>
      <w:tr w:rsidR="00967C7D" w:rsidRPr="00967C7D" w14:paraId="5A25E9EC" w14:textId="77777777" w:rsidTr="00B5314A">
        <w:trPr>
          <w:trHeight w:val="284"/>
        </w:trPr>
        <w:tc>
          <w:tcPr>
            <w:tcW w:w="1280" w:type="dxa"/>
          </w:tcPr>
          <w:p w14:paraId="463E8B4E" w14:textId="77777777" w:rsidR="00967C7D" w:rsidRPr="00967C7D" w:rsidRDefault="00967C7D" w:rsidP="00967C7D">
            <w:pPr>
              <w:keepNext w:val="0"/>
              <w:spacing w:before="0"/>
              <w:rPr>
                <w:rFonts w:cs="Arial"/>
                <w:bCs/>
                <w:color w:val="auto"/>
                <w:sz w:val="20"/>
              </w:rPr>
            </w:pPr>
            <w:r w:rsidRPr="00967C7D">
              <w:rPr>
                <w:rFonts w:cs="Arial"/>
                <w:bCs/>
                <w:color w:val="auto"/>
                <w:sz w:val="20"/>
              </w:rPr>
              <w:t>EV5/212</w:t>
            </w:r>
          </w:p>
        </w:tc>
        <w:tc>
          <w:tcPr>
            <w:tcW w:w="6230" w:type="dxa"/>
            <w:noWrap/>
          </w:tcPr>
          <w:p w14:paraId="687306A0" w14:textId="77777777" w:rsidR="00967C7D" w:rsidRPr="00967C7D" w:rsidRDefault="00967C7D" w:rsidP="00967C7D">
            <w:pPr>
              <w:keepNext w:val="0"/>
              <w:spacing w:before="0"/>
              <w:rPr>
                <w:rFonts w:cs="Arial"/>
                <w:bCs/>
                <w:color w:val="auto"/>
                <w:sz w:val="20"/>
              </w:rPr>
            </w:pPr>
            <w:r w:rsidRPr="00967C7D">
              <w:rPr>
                <w:rFonts w:cs="Arial"/>
                <w:bCs/>
                <w:color w:val="auto"/>
                <w:sz w:val="20"/>
              </w:rPr>
              <w:t>Brierley Forest Park</w:t>
            </w:r>
          </w:p>
        </w:tc>
        <w:tc>
          <w:tcPr>
            <w:tcW w:w="1847" w:type="dxa"/>
            <w:noWrap/>
          </w:tcPr>
          <w:p w14:paraId="1FD2196B" w14:textId="77777777" w:rsidR="00967C7D" w:rsidRPr="00967C7D" w:rsidRDefault="00967C7D" w:rsidP="00967C7D">
            <w:pPr>
              <w:keepNext w:val="0"/>
              <w:spacing w:before="0"/>
              <w:rPr>
                <w:rFonts w:cs="Arial"/>
                <w:bCs/>
                <w:color w:val="auto"/>
                <w:sz w:val="20"/>
              </w:rPr>
            </w:pPr>
            <w:r w:rsidRPr="00967C7D">
              <w:rPr>
                <w:rFonts w:cs="Arial"/>
                <w:bCs/>
                <w:color w:val="auto"/>
                <w:sz w:val="20"/>
              </w:rPr>
              <w:t>North Sheet</w:t>
            </w:r>
          </w:p>
        </w:tc>
      </w:tr>
      <w:tr w:rsidR="00967C7D" w:rsidRPr="00967C7D" w14:paraId="1E25D843" w14:textId="77777777" w:rsidTr="00B5314A">
        <w:trPr>
          <w:trHeight w:val="284"/>
        </w:trPr>
        <w:tc>
          <w:tcPr>
            <w:tcW w:w="1280" w:type="dxa"/>
          </w:tcPr>
          <w:p w14:paraId="7B8BEA95" w14:textId="77777777" w:rsidR="00967C7D" w:rsidRPr="00967C7D" w:rsidRDefault="00967C7D" w:rsidP="00967C7D">
            <w:pPr>
              <w:keepNext w:val="0"/>
              <w:spacing w:before="0"/>
              <w:rPr>
                <w:rFonts w:cs="Arial"/>
                <w:bCs/>
                <w:color w:val="auto"/>
                <w:sz w:val="20"/>
              </w:rPr>
            </w:pPr>
            <w:r w:rsidRPr="00967C7D">
              <w:rPr>
                <w:rFonts w:cs="Arial"/>
                <w:bCs/>
                <w:color w:val="auto"/>
                <w:sz w:val="20"/>
              </w:rPr>
              <w:t>EV5/213</w:t>
            </w:r>
          </w:p>
        </w:tc>
        <w:tc>
          <w:tcPr>
            <w:tcW w:w="6230" w:type="dxa"/>
            <w:noWrap/>
          </w:tcPr>
          <w:p w14:paraId="41B34CE4" w14:textId="77777777" w:rsidR="00967C7D" w:rsidRPr="00967C7D" w:rsidRDefault="00967C7D" w:rsidP="00967C7D">
            <w:pPr>
              <w:keepNext w:val="0"/>
              <w:spacing w:before="0"/>
              <w:rPr>
                <w:rFonts w:cs="Arial"/>
                <w:bCs/>
                <w:color w:val="auto"/>
                <w:sz w:val="20"/>
              </w:rPr>
            </w:pPr>
            <w:r w:rsidRPr="00967C7D">
              <w:rPr>
                <w:rFonts w:cs="Arial"/>
                <w:bCs/>
                <w:color w:val="auto"/>
                <w:sz w:val="20"/>
              </w:rPr>
              <w:t>Hill Crescent</w:t>
            </w:r>
          </w:p>
        </w:tc>
        <w:tc>
          <w:tcPr>
            <w:tcW w:w="1847" w:type="dxa"/>
            <w:noWrap/>
          </w:tcPr>
          <w:p w14:paraId="16999CEC" w14:textId="77777777" w:rsidR="00967C7D" w:rsidRPr="00967C7D" w:rsidRDefault="00967C7D" w:rsidP="00967C7D">
            <w:pPr>
              <w:keepNext w:val="0"/>
              <w:spacing w:before="0"/>
              <w:rPr>
                <w:rFonts w:cs="Arial"/>
                <w:bCs/>
                <w:color w:val="auto"/>
                <w:sz w:val="20"/>
              </w:rPr>
            </w:pPr>
            <w:r w:rsidRPr="00967C7D">
              <w:rPr>
                <w:rFonts w:cs="Arial"/>
                <w:bCs/>
                <w:color w:val="auto"/>
                <w:sz w:val="20"/>
              </w:rPr>
              <w:t>North Sheet</w:t>
            </w:r>
          </w:p>
        </w:tc>
      </w:tr>
      <w:tr w:rsidR="00967C7D" w:rsidRPr="00967C7D" w14:paraId="16D435FE" w14:textId="77777777" w:rsidTr="00B5314A">
        <w:trPr>
          <w:trHeight w:val="284"/>
        </w:trPr>
        <w:tc>
          <w:tcPr>
            <w:tcW w:w="1280" w:type="dxa"/>
          </w:tcPr>
          <w:p w14:paraId="2CE6439B" w14:textId="77777777" w:rsidR="00967C7D" w:rsidRPr="00967C7D" w:rsidRDefault="00967C7D" w:rsidP="00967C7D">
            <w:pPr>
              <w:keepNext w:val="0"/>
              <w:spacing w:before="0"/>
              <w:rPr>
                <w:rFonts w:cs="Arial"/>
                <w:bCs/>
                <w:color w:val="auto"/>
                <w:sz w:val="20"/>
              </w:rPr>
            </w:pPr>
            <w:r w:rsidRPr="00967C7D">
              <w:rPr>
                <w:rFonts w:cs="Arial"/>
                <w:bCs/>
                <w:color w:val="auto"/>
                <w:sz w:val="20"/>
              </w:rPr>
              <w:t>EV5/214</w:t>
            </w:r>
          </w:p>
        </w:tc>
        <w:tc>
          <w:tcPr>
            <w:tcW w:w="6230" w:type="dxa"/>
            <w:noWrap/>
          </w:tcPr>
          <w:p w14:paraId="18BC4CCE" w14:textId="77777777" w:rsidR="00967C7D" w:rsidRPr="00967C7D" w:rsidRDefault="00967C7D" w:rsidP="00967C7D">
            <w:pPr>
              <w:keepNext w:val="0"/>
              <w:spacing w:before="0"/>
              <w:rPr>
                <w:rFonts w:cs="Arial"/>
                <w:bCs/>
                <w:color w:val="auto"/>
                <w:sz w:val="20"/>
              </w:rPr>
            </w:pPr>
            <w:r w:rsidRPr="00967C7D">
              <w:rPr>
                <w:rFonts w:cs="Arial"/>
                <w:bCs/>
                <w:color w:val="auto"/>
                <w:sz w:val="20"/>
              </w:rPr>
              <w:t>Dalestorth School Playing Field</w:t>
            </w:r>
          </w:p>
        </w:tc>
        <w:tc>
          <w:tcPr>
            <w:tcW w:w="1847" w:type="dxa"/>
            <w:noWrap/>
          </w:tcPr>
          <w:p w14:paraId="0ADB36DB" w14:textId="77777777" w:rsidR="00967C7D" w:rsidRPr="00967C7D" w:rsidRDefault="00967C7D" w:rsidP="00967C7D">
            <w:pPr>
              <w:keepNext w:val="0"/>
              <w:spacing w:before="0"/>
              <w:rPr>
                <w:rFonts w:cs="Arial"/>
                <w:bCs/>
                <w:color w:val="auto"/>
                <w:sz w:val="20"/>
              </w:rPr>
            </w:pPr>
            <w:r w:rsidRPr="00967C7D">
              <w:rPr>
                <w:rFonts w:cs="Arial"/>
                <w:bCs/>
                <w:color w:val="auto"/>
                <w:sz w:val="20"/>
              </w:rPr>
              <w:t>North Sheet</w:t>
            </w:r>
          </w:p>
        </w:tc>
      </w:tr>
      <w:tr w:rsidR="00967C7D" w:rsidRPr="00967C7D" w14:paraId="68326066" w14:textId="77777777" w:rsidTr="00B5314A">
        <w:trPr>
          <w:trHeight w:val="284"/>
        </w:trPr>
        <w:tc>
          <w:tcPr>
            <w:tcW w:w="1280" w:type="dxa"/>
          </w:tcPr>
          <w:p w14:paraId="66282138" w14:textId="77777777" w:rsidR="00967C7D" w:rsidRPr="00967C7D" w:rsidRDefault="00967C7D" w:rsidP="00967C7D">
            <w:pPr>
              <w:keepNext w:val="0"/>
              <w:spacing w:before="0"/>
              <w:rPr>
                <w:rFonts w:cs="Arial"/>
                <w:bCs/>
                <w:color w:val="auto"/>
                <w:sz w:val="20"/>
              </w:rPr>
            </w:pPr>
            <w:r w:rsidRPr="00967C7D">
              <w:rPr>
                <w:rFonts w:cs="Arial"/>
                <w:bCs/>
                <w:color w:val="auto"/>
                <w:sz w:val="20"/>
              </w:rPr>
              <w:t>EV5/215</w:t>
            </w:r>
          </w:p>
        </w:tc>
        <w:tc>
          <w:tcPr>
            <w:tcW w:w="6230" w:type="dxa"/>
            <w:noWrap/>
          </w:tcPr>
          <w:p w14:paraId="2C8F5A48" w14:textId="77777777" w:rsidR="00967C7D" w:rsidRPr="00967C7D" w:rsidRDefault="00967C7D" w:rsidP="00967C7D">
            <w:pPr>
              <w:keepNext w:val="0"/>
              <w:spacing w:before="0"/>
              <w:rPr>
                <w:rFonts w:cs="Arial"/>
                <w:bCs/>
                <w:color w:val="auto"/>
                <w:sz w:val="20"/>
              </w:rPr>
            </w:pPr>
            <w:r w:rsidRPr="00967C7D">
              <w:rPr>
                <w:rFonts w:cs="Arial"/>
                <w:bCs/>
                <w:color w:val="auto"/>
                <w:sz w:val="20"/>
              </w:rPr>
              <w:t>Cosgrove Avenue footpath</w:t>
            </w:r>
          </w:p>
        </w:tc>
        <w:tc>
          <w:tcPr>
            <w:tcW w:w="1847" w:type="dxa"/>
            <w:noWrap/>
          </w:tcPr>
          <w:p w14:paraId="12873614" w14:textId="77777777" w:rsidR="00967C7D" w:rsidRPr="00967C7D" w:rsidRDefault="00967C7D" w:rsidP="00967C7D">
            <w:pPr>
              <w:keepNext w:val="0"/>
              <w:spacing w:before="0"/>
              <w:rPr>
                <w:rFonts w:cs="Arial"/>
                <w:bCs/>
                <w:color w:val="auto"/>
                <w:sz w:val="20"/>
              </w:rPr>
            </w:pPr>
            <w:r w:rsidRPr="00967C7D">
              <w:rPr>
                <w:rFonts w:cs="Arial"/>
                <w:bCs/>
                <w:color w:val="auto"/>
                <w:sz w:val="20"/>
              </w:rPr>
              <w:t>North Sheet</w:t>
            </w:r>
          </w:p>
        </w:tc>
      </w:tr>
      <w:tr w:rsidR="00967C7D" w:rsidRPr="00967C7D" w14:paraId="1FFA3FAE" w14:textId="77777777" w:rsidTr="00B5314A">
        <w:trPr>
          <w:trHeight w:val="284"/>
        </w:trPr>
        <w:tc>
          <w:tcPr>
            <w:tcW w:w="1280" w:type="dxa"/>
          </w:tcPr>
          <w:p w14:paraId="6FA91FAA" w14:textId="77777777" w:rsidR="00967C7D" w:rsidRPr="00967C7D" w:rsidRDefault="00967C7D" w:rsidP="00967C7D">
            <w:pPr>
              <w:keepNext w:val="0"/>
              <w:spacing w:before="0"/>
              <w:rPr>
                <w:rFonts w:cs="Arial"/>
                <w:bCs/>
                <w:color w:val="auto"/>
                <w:sz w:val="20"/>
              </w:rPr>
            </w:pPr>
            <w:r w:rsidRPr="00967C7D">
              <w:rPr>
                <w:rFonts w:cs="Arial"/>
                <w:bCs/>
                <w:color w:val="auto"/>
                <w:sz w:val="20"/>
              </w:rPr>
              <w:t>EV5/216</w:t>
            </w:r>
          </w:p>
        </w:tc>
        <w:tc>
          <w:tcPr>
            <w:tcW w:w="6230" w:type="dxa"/>
            <w:noWrap/>
          </w:tcPr>
          <w:p w14:paraId="4630AB34" w14:textId="77777777" w:rsidR="00967C7D" w:rsidRPr="00967C7D" w:rsidRDefault="00967C7D" w:rsidP="00967C7D">
            <w:pPr>
              <w:keepNext w:val="0"/>
              <w:spacing w:before="0"/>
              <w:rPr>
                <w:rFonts w:cs="Arial"/>
                <w:bCs/>
                <w:color w:val="auto"/>
                <w:sz w:val="20"/>
              </w:rPr>
            </w:pPr>
            <w:r w:rsidRPr="00967C7D">
              <w:rPr>
                <w:rFonts w:cs="Arial"/>
                <w:bCs/>
                <w:color w:val="auto"/>
                <w:sz w:val="20"/>
              </w:rPr>
              <w:t>Cosgrove Avenue Open Space</w:t>
            </w:r>
          </w:p>
        </w:tc>
        <w:tc>
          <w:tcPr>
            <w:tcW w:w="1847" w:type="dxa"/>
            <w:noWrap/>
          </w:tcPr>
          <w:p w14:paraId="5424B9D7" w14:textId="77777777" w:rsidR="00967C7D" w:rsidRPr="00967C7D" w:rsidRDefault="00967C7D" w:rsidP="00967C7D">
            <w:pPr>
              <w:keepNext w:val="0"/>
              <w:spacing w:before="0"/>
              <w:rPr>
                <w:rFonts w:cs="Arial"/>
                <w:bCs/>
                <w:color w:val="auto"/>
                <w:sz w:val="20"/>
              </w:rPr>
            </w:pPr>
            <w:r w:rsidRPr="00967C7D">
              <w:rPr>
                <w:rFonts w:cs="Arial"/>
                <w:bCs/>
                <w:color w:val="auto"/>
                <w:sz w:val="20"/>
              </w:rPr>
              <w:t>North Sheet</w:t>
            </w:r>
          </w:p>
        </w:tc>
      </w:tr>
      <w:tr w:rsidR="00967C7D" w:rsidRPr="00967C7D" w14:paraId="7281FD79" w14:textId="77777777" w:rsidTr="00B5314A">
        <w:trPr>
          <w:trHeight w:val="284"/>
        </w:trPr>
        <w:tc>
          <w:tcPr>
            <w:tcW w:w="1280" w:type="dxa"/>
          </w:tcPr>
          <w:p w14:paraId="5E69B021" w14:textId="77777777" w:rsidR="00967C7D" w:rsidRPr="00967C7D" w:rsidRDefault="00967C7D" w:rsidP="00967C7D">
            <w:pPr>
              <w:keepNext w:val="0"/>
              <w:spacing w:before="0"/>
              <w:rPr>
                <w:rFonts w:cs="Arial"/>
                <w:bCs/>
                <w:color w:val="auto"/>
                <w:sz w:val="20"/>
              </w:rPr>
            </w:pPr>
            <w:r w:rsidRPr="00967C7D">
              <w:rPr>
                <w:rFonts w:cs="Arial"/>
                <w:bCs/>
                <w:color w:val="auto"/>
                <w:sz w:val="20"/>
              </w:rPr>
              <w:t>EV5/217</w:t>
            </w:r>
          </w:p>
        </w:tc>
        <w:tc>
          <w:tcPr>
            <w:tcW w:w="6230" w:type="dxa"/>
            <w:noWrap/>
          </w:tcPr>
          <w:p w14:paraId="1796CB7D" w14:textId="77777777" w:rsidR="00967C7D" w:rsidRPr="00967C7D" w:rsidRDefault="00967C7D" w:rsidP="00967C7D">
            <w:pPr>
              <w:keepNext w:val="0"/>
              <w:spacing w:before="0"/>
              <w:rPr>
                <w:rFonts w:cs="Arial"/>
                <w:bCs/>
                <w:color w:val="auto"/>
                <w:sz w:val="20"/>
              </w:rPr>
            </w:pPr>
            <w:r w:rsidRPr="00967C7D">
              <w:rPr>
                <w:rFonts w:cs="Arial"/>
                <w:bCs/>
                <w:color w:val="auto"/>
                <w:sz w:val="20"/>
              </w:rPr>
              <w:t>Quarrydale Road Recreation Ground</w:t>
            </w:r>
          </w:p>
        </w:tc>
        <w:tc>
          <w:tcPr>
            <w:tcW w:w="1847" w:type="dxa"/>
            <w:noWrap/>
          </w:tcPr>
          <w:p w14:paraId="0F094AA9" w14:textId="77777777" w:rsidR="00967C7D" w:rsidRPr="00967C7D" w:rsidRDefault="00967C7D" w:rsidP="00967C7D">
            <w:pPr>
              <w:keepNext w:val="0"/>
              <w:spacing w:before="0"/>
              <w:rPr>
                <w:rFonts w:cs="Arial"/>
                <w:bCs/>
                <w:color w:val="auto"/>
                <w:sz w:val="20"/>
              </w:rPr>
            </w:pPr>
            <w:r w:rsidRPr="00967C7D">
              <w:rPr>
                <w:rFonts w:cs="Arial"/>
                <w:bCs/>
                <w:color w:val="auto"/>
                <w:sz w:val="20"/>
              </w:rPr>
              <w:t>North Sheet</w:t>
            </w:r>
          </w:p>
        </w:tc>
      </w:tr>
      <w:tr w:rsidR="00967C7D" w:rsidRPr="00967C7D" w14:paraId="6185C9FD" w14:textId="77777777" w:rsidTr="00B5314A">
        <w:trPr>
          <w:trHeight w:val="284"/>
        </w:trPr>
        <w:tc>
          <w:tcPr>
            <w:tcW w:w="1280" w:type="dxa"/>
          </w:tcPr>
          <w:p w14:paraId="7FE6011E" w14:textId="77777777" w:rsidR="00967C7D" w:rsidRPr="00967C7D" w:rsidRDefault="00967C7D" w:rsidP="00967C7D">
            <w:pPr>
              <w:keepNext w:val="0"/>
              <w:spacing w:before="0"/>
              <w:rPr>
                <w:rFonts w:cs="Arial"/>
                <w:bCs/>
                <w:color w:val="auto"/>
                <w:sz w:val="20"/>
              </w:rPr>
            </w:pPr>
            <w:r w:rsidRPr="00967C7D">
              <w:rPr>
                <w:rFonts w:cs="Arial"/>
                <w:bCs/>
                <w:color w:val="auto"/>
                <w:sz w:val="20"/>
              </w:rPr>
              <w:t>EV5/218</w:t>
            </w:r>
          </w:p>
        </w:tc>
        <w:tc>
          <w:tcPr>
            <w:tcW w:w="6230" w:type="dxa"/>
            <w:noWrap/>
          </w:tcPr>
          <w:p w14:paraId="35C5C6F9" w14:textId="77777777" w:rsidR="00967C7D" w:rsidRPr="00967C7D" w:rsidRDefault="00967C7D" w:rsidP="00967C7D">
            <w:pPr>
              <w:keepNext w:val="0"/>
              <w:spacing w:before="0"/>
              <w:rPr>
                <w:rFonts w:cs="Arial"/>
                <w:bCs/>
                <w:color w:val="auto"/>
                <w:sz w:val="20"/>
              </w:rPr>
            </w:pPr>
            <w:r w:rsidRPr="00967C7D">
              <w:rPr>
                <w:rFonts w:cs="Arial"/>
                <w:bCs/>
                <w:color w:val="auto"/>
                <w:sz w:val="20"/>
              </w:rPr>
              <w:t>Quarrydale Comprehensive School Playing Field</w:t>
            </w:r>
          </w:p>
        </w:tc>
        <w:tc>
          <w:tcPr>
            <w:tcW w:w="1847" w:type="dxa"/>
            <w:noWrap/>
          </w:tcPr>
          <w:p w14:paraId="7F6F07A9" w14:textId="77777777" w:rsidR="00967C7D" w:rsidRPr="00967C7D" w:rsidRDefault="00967C7D" w:rsidP="00967C7D">
            <w:pPr>
              <w:keepNext w:val="0"/>
              <w:spacing w:before="0"/>
              <w:rPr>
                <w:rFonts w:cs="Arial"/>
                <w:bCs/>
                <w:color w:val="auto"/>
                <w:sz w:val="20"/>
              </w:rPr>
            </w:pPr>
            <w:r w:rsidRPr="00967C7D">
              <w:rPr>
                <w:rFonts w:cs="Arial"/>
                <w:bCs/>
                <w:color w:val="auto"/>
                <w:sz w:val="20"/>
              </w:rPr>
              <w:t>North Sheet</w:t>
            </w:r>
          </w:p>
        </w:tc>
      </w:tr>
      <w:tr w:rsidR="00967C7D" w:rsidRPr="00967C7D" w14:paraId="74073E22" w14:textId="77777777" w:rsidTr="00B5314A">
        <w:trPr>
          <w:trHeight w:val="284"/>
        </w:trPr>
        <w:tc>
          <w:tcPr>
            <w:tcW w:w="1280" w:type="dxa"/>
          </w:tcPr>
          <w:p w14:paraId="64A2E8D1" w14:textId="77777777" w:rsidR="00967C7D" w:rsidRPr="00967C7D" w:rsidRDefault="00967C7D" w:rsidP="00967C7D">
            <w:pPr>
              <w:keepNext w:val="0"/>
              <w:spacing w:before="0"/>
              <w:rPr>
                <w:rFonts w:cs="Arial"/>
                <w:bCs/>
                <w:color w:val="auto"/>
                <w:sz w:val="20"/>
              </w:rPr>
            </w:pPr>
            <w:r w:rsidRPr="00967C7D">
              <w:rPr>
                <w:rFonts w:cs="Arial"/>
                <w:bCs/>
                <w:color w:val="auto"/>
                <w:sz w:val="20"/>
              </w:rPr>
              <w:t>EV5/219</w:t>
            </w:r>
          </w:p>
        </w:tc>
        <w:tc>
          <w:tcPr>
            <w:tcW w:w="6230" w:type="dxa"/>
            <w:noWrap/>
          </w:tcPr>
          <w:p w14:paraId="58CA8812" w14:textId="77777777" w:rsidR="00967C7D" w:rsidRPr="00967C7D" w:rsidRDefault="00967C7D" w:rsidP="00967C7D">
            <w:pPr>
              <w:keepNext w:val="0"/>
              <w:spacing w:before="0"/>
              <w:rPr>
                <w:rFonts w:cs="Arial"/>
                <w:bCs/>
                <w:color w:val="auto"/>
                <w:sz w:val="20"/>
              </w:rPr>
            </w:pPr>
            <w:r w:rsidRPr="00967C7D">
              <w:rPr>
                <w:rFonts w:cs="Arial"/>
                <w:bCs/>
                <w:color w:val="auto"/>
                <w:sz w:val="20"/>
              </w:rPr>
              <w:t>Stamper Crescent Recreation Ground</w:t>
            </w:r>
          </w:p>
        </w:tc>
        <w:tc>
          <w:tcPr>
            <w:tcW w:w="1847" w:type="dxa"/>
            <w:noWrap/>
          </w:tcPr>
          <w:p w14:paraId="6CD2F4D3" w14:textId="77777777" w:rsidR="00967C7D" w:rsidRPr="00967C7D" w:rsidRDefault="00967C7D" w:rsidP="00967C7D">
            <w:pPr>
              <w:keepNext w:val="0"/>
              <w:spacing w:before="0"/>
              <w:rPr>
                <w:rFonts w:cs="Arial"/>
                <w:bCs/>
                <w:color w:val="auto"/>
                <w:sz w:val="20"/>
              </w:rPr>
            </w:pPr>
            <w:r w:rsidRPr="00967C7D">
              <w:rPr>
                <w:rFonts w:cs="Arial"/>
                <w:bCs/>
                <w:color w:val="auto"/>
                <w:sz w:val="20"/>
              </w:rPr>
              <w:t>North Sheet</w:t>
            </w:r>
          </w:p>
        </w:tc>
      </w:tr>
      <w:tr w:rsidR="00967C7D" w:rsidRPr="00967C7D" w14:paraId="63B96A22" w14:textId="77777777" w:rsidTr="00B5314A">
        <w:trPr>
          <w:trHeight w:val="284"/>
        </w:trPr>
        <w:tc>
          <w:tcPr>
            <w:tcW w:w="1280" w:type="dxa"/>
          </w:tcPr>
          <w:p w14:paraId="54E78561" w14:textId="77777777" w:rsidR="00967C7D" w:rsidRPr="00967C7D" w:rsidRDefault="00967C7D" w:rsidP="00967C7D">
            <w:pPr>
              <w:keepNext w:val="0"/>
              <w:spacing w:before="0"/>
              <w:rPr>
                <w:rFonts w:cs="Arial"/>
                <w:bCs/>
                <w:color w:val="auto"/>
                <w:sz w:val="20"/>
              </w:rPr>
            </w:pPr>
            <w:r w:rsidRPr="00967C7D">
              <w:rPr>
                <w:rFonts w:cs="Arial"/>
                <w:bCs/>
                <w:color w:val="auto"/>
                <w:sz w:val="20"/>
              </w:rPr>
              <w:t>EV5/220</w:t>
            </w:r>
          </w:p>
        </w:tc>
        <w:tc>
          <w:tcPr>
            <w:tcW w:w="6230" w:type="dxa"/>
            <w:noWrap/>
          </w:tcPr>
          <w:p w14:paraId="50F4AAC9" w14:textId="77777777" w:rsidR="00967C7D" w:rsidRPr="00967C7D" w:rsidRDefault="00967C7D" w:rsidP="00967C7D">
            <w:pPr>
              <w:keepNext w:val="0"/>
              <w:spacing w:before="0"/>
              <w:rPr>
                <w:rFonts w:cs="Arial"/>
                <w:bCs/>
                <w:color w:val="auto"/>
                <w:sz w:val="20"/>
              </w:rPr>
            </w:pPr>
            <w:r w:rsidRPr="00967C7D">
              <w:rPr>
                <w:rFonts w:cs="Arial"/>
                <w:bCs/>
                <w:color w:val="auto"/>
                <w:sz w:val="20"/>
              </w:rPr>
              <w:t>St Andrew's Church of England School Playing Field</w:t>
            </w:r>
          </w:p>
        </w:tc>
        <w:tc>
          <w:tcPr>
            <w:tcW w:w="1847" w:type="dxa"/>
            <w:noWrap/>
          </w:tcPr>
          <w:p w14:paraId="5548C4F9" w14:textId="77777777" w:rsidR="00967C7D" w:rsidRPr="00967C7D" w:rsidRDefault="00967C7D" w:rsidP="00967C7D">
            <w:pPr>
              <w:keepNext w:val="0"/>
              <w:spacing w:before="0"/>
              <w:rPr>
                <w:rFonts w:cs="Arial"/>
                <w:bCs/>
                <w:color w:val="auto"/>
                <w:sz w:val="20"/>
              </w:rPr>
            </w:pPr>
            <w:r w:rsidRPr="00967C7D">
              <w:rPr>
                <w:rFonts w:cs="Arial"/>
                <w:bCs/>
                <w:color w:val="auto"/>
                <w:sz w:val="20"/>
              </w:rPr>
              <w:t>North Sheet</w:t>
            </w:r>
          </w:p>
        </w:tc>
      </w:tr>
      <w:tr w:rsidR="00967C7D" w:rsidRPr="00967C7D" w14:paraId="465FCB0C" w14:textId="77777777" w:rsidTr="00B5314A">
        <w:trPr>
          <w:trHeight w:val="284"/>
        </w:trPr>
        <w:tc>
          <w:tcPr>
            <w:tcW w:w="1280" w:type="dxa"/>
          </w:tcPr>
          <w:p w14:paraId="5B2986D9" w14:textId="77777777" w:rsidR="00967C7D" w:rsidRPr="00967C7D" w:rsidRDefault="00967C7D" w:rsidP="00967C7D">
            <w:pPr>
              <w:keepNext w:val="0"/>
              <w:spacing w:before="0"/>
              <w:rPr>
                <w:rFonts w:cs="Arial"/>
                <w:bCs/>
                <w:color w:val="auto"/>
                <w:sz w:val="20"/>
              </w:rPr>
            </w:pPr>
            <w:r w:rsidRPr="00967C7D">
              <w:rPr>
                <w:rFonts w:cs="Arial"/>
                <w:bCs/>
                <w:color w:val="auto"/>
                <w:sz w:val="20"/>
              </w:rPr>
              <w:t>EV5/221</w:t>
            </w:r>
          </w:p>
        </w:tc>
        <w:tc>
          <w:tcPr>
            <w:tcW w:w="6230" w:type="dxa"/>
            <w:noWrap/>
          </w:tcPr>
          <w:p w14:paraId="63270D45" w14:textId="77777777" w:rsidR="00967C7D" w:rsidRPr="00967C7D" w:rsidRDefault="00967C7D" w:rsidP="00967C7D">
            <w:pPr>
              <w:keepNext w:val="0"/>
              <w:spacing w:before="0"/>
              <w:rPr>
                <w:rFonts w:cs="Arial"/>
                <w:bCs/>
                <w:color w:val="auto"/>
                <w:sz w:val="20"/>
              </w:rPr>
            </w:pPr>
            <w:r w:rsidRPr="00967C7D">
              <w:rPr>
                <w:rFonts w:cs="Arial"/>
                <w:bCs/>
                <w:color w:val="auto"/>
                <w:sz w:val="20"/>
              </w:rPr>
              <w:t>Saville Road</w:t>
            </w:r>
          </w:p>
        </w:tc>
        <w:tc>
          <w:tcPr>
            <w:tcW w:w="1847" w:type="dxa"/>
            <w:noWrap/>
          </w:tcPr>
          <w:p w14:paraId="6C34F31F" w14:textId="77777777" w:rsidR="00967C7D" w:rsidRPr="00967C7D" w:rsidRDefault="00967C7D" w:rsidP="00967C7D">
            <w:pPr>
              <w:keepNext w:val="0"/>
              <w:spacing w:before="0"/>
              <w:rPr>
                <w:rFonts w:cs="Arial"/>
                <w:bCs/>
                <w:color w:val="auto"/>
                <w:sz w:val="20"/>
              </w:rPr>
            </w:pPr>
            <w:r w:rsidRPr="00967C7D">
              <w:rPr>
                <w:rFonts w:cs="Arial"/>
                <w:bCs/>
                <w:color w:val="auto"/>
                <w:sz w:val="20"/>
              </w:rPr>
              <w:t>North Sheet</w:t>
            </w:r>
          </w:p>
        </w:tc>
      </w:tr>
      <w:tr w:rsidR="00967C7D" w:rsidRPr="00967C7D" w14:paraId="163D567C" w14:textId="77777777" w:rsidTr="00B5314A">
        <w:trPr>
          <w:trHeight w:val="284"/>
        </w:trPr>
        <w:tc>
          <w:tcPr>
            <w:tcW w:w="1280" w:type="dxa"/>
          </w:tcPr>
          <w:p w14:paraId="63FD5CA8" w14:textId="77777777" w:rsidR="00967C7D" w:rsidRPr="00967C7D" w:rsidRDefault="00967C7D" w:rsidP="00967C7D">
            <w:pPr>
              <w:keepNext w:val="0"/>
              <w:spacing w:before="0"/>
              <w:rPr>
                <w:rFonts w:cs="Arial"/>
                <w:bCs/>
                <w:color w:val="auto"/>
                <w:sz w:val="20"/>
              </w:rPr>
            </w:pPr>
            <w:r w:rsidRPr="00967C7D">
              <w:rPr>
                <w:rFonts w:cs="Arial"/>
                <w:bCs/>
                <w:color w:val="auto"/>
                <w:sz w:val="20"/>
              </w:rPr>
              <w:t>EV5/222</w:t>
            </w:r>
          </w:p>
        </w:tc>
        <w:tc>
          <w:tcPr>
            <w:tcW w:w="6230" w:type="dxa"/>
            <w:noWrap/>
          </w:tcPr>
          <w:p w14:paraId="09D875F2" w14:textId="77777777" w:rsidR="00967C7D" w:rsidRPr="00967C7D" w:rsidRDefault="00967C7D" w:rsidP="00967C7D">
            <w:pPr>
              <w:keepNext w:val="0"/>
              <w:spacing w:before="0"/>
              <w:rPr>
                <w:rFonts w:cs="Arial"/>
                <w:bCs/>
                <w:color w:val="auto"/>
                <w:sz w:val="20"/>
              </w:rPr>
            </w:pPr>
            <w:r w:rsidRPr="00967C7D">
              <w:rPr>
                <w:rFonts w:cs="Arial"/>
                <w:bCs/>
                <w:color w:val="auto"/>
                <w:sz w:val="20"/>
              </w:rPr>
              <w:t>Nunn Brook</w:t>
            </w:r>
          </w:p>
        </w:tc>
        <w:tc>
          <w:tcPr>
            <w:tcW w:w="1847" w:type="dxa"/>
            <w:noWrap/>
          </w:tcPr>
          <w:p w14:paraId="50318161" w14:textId="77777777" w:rsidR="00967C7D" w:rsidRPr="00967C7D" w:rsidRDefault="00967C7D" w:rsidP="00967C7D">
            <w:pPr>
              <w:keepNext w:val="0"/>
              <w:spacing w:before="0"/>
              <w:rPr>
                <w:rFonts w:cs="Arial"/>
                <w:bCs/>
                <w:color w:val="auto"/>
                <w:sz w:val="20"/>
              </w:rPr>
            </w:pPr>
            <w:r w:rsidRPr="00967C7D">
              <w:rPr>
                <w:rFonts w:cs="Arial"/>
                <w:bCs/>
                <w:color w:val="auto"/>
                <w:sz w:val="20"/>
              </w:rPr>
              <w:t>North Sheet</w:t>
            </w:r>
          </w:p>
        </w:tc>
      </w:tr>
      <w:tr w:rsidR="00967C7D" w:rsidRPr="00967C7D" w14:paraId="1779365C" w14:textId="77777777" w:rsidTr="00B5314A">
        <w:trPr>
          <w:trHeight w:val="284"/>
        </w:trPr>
        <w:tc>
          <w:tcPr>
            <w:tcW w:w="1280" w:type="dxa"/>
          </w:tcPr>
          <w:p w14:paraId="4A2B8A45" w14:textId="77777777" w:rsidR="00967C7D" w:rsidRPr="00967C7D" w:rsidRDefault="00967C7D" w:rsidP="00967C7D">
            <w:pPr>
              <w:keepNext w:val="0"/>
              <w:spacing w:before="0"/>
              <w:rPr>
                <w:rFonts w:cs="Arial"/>
                <w:bCs/>
                <w:color w:val="auto"/>
                <w:sz w:val="20"/>
              </w:rPr>
            </w:pPr>
            <w:r w:rsidRPr="00967C7D">
              <w:rPr>
                <w:rFonts w:cs="Arial"/>
                <w:bCs/>
                <w:color w:val="auto"/>
                <w:sz w:val="20"/>
              </w:rPr>
              <w:t>EV5/223</w:t>
            </w:r>
          </w:p>
        </w:tc>
        <w:tc>
          <w:tcPr>
            <w:tcW w:w="6230" w:type="dxa"/>
            <w:noWrap/>
          </w:tcPr>
          <w:p w14:paraId="03644DE4" w14:textId="77777777" w:rsidR="00967C7D" w:rsidRPr="00967C7D" w:rsidRDefault="00967C7D" w:rsidP="00967C7D">
            <w:pPr>
              <w:keepNext w:val="0"/>
              <w:spacing w:before="0"/>
              <w:rPr>
                <w:rFonts w:cs="Arial"/>
                <w:bCs/>
                <w:color w:val="auto"/>
                <w:sz w:val="20"/>
              </w:rPr>
            </w:pPr>
            <w:r w:rsidRPr="00967C7D">
              <w:rPr>
                <w:rFonts w:cs="Arial"/>
                <w:bCs/>
                <w:color w:val="auto"/>
                <w:sz w:val="20"/>
              </w:rPr>
              <w:t>Rookery Park</w:t>
            </w:r>
          </w:p>
        </w:tc>
        <w:tc>
          <w:tcPr>
            <w:tcW w:w="1847" w:type="dxa"/>
            <w:noWrap/>
          </w:tcPr>
          <w:p w14:paraId="3A0CC89E" w14:textId="77777777" w:rsidR="00967C7D" w:rsidRPr="00967C7D" w:rsidRDefault="00967C7D" w:rsidP="00967C7D">
            <w:pPr>
              <w:keepNext w:val="0"/>
              <w:spacing w:before="0"/>
              <w:rPr>
                <w:rFonts w:cs="Arial"/>
                <w:bCs/>
                <w:color w:val="auto"/>
                <w:sz w:val="20"/>
              </w:rPr>
            </w:pPr>
            <w:r w:rsidRPr="00967C7D">
              <w:rPr>
                <w:rFonts w:cs="Arial"/>
                <w:bCs/>
                <w:color w:val="auto"/>
                <w:sz w:val="20"/>
              </w:rPr>
              <w:t>North Sheet</w:t>
            </w:r>
          </w:p>
        </w:tc>
      </w:tr>
      <w:tr w:rsidR="00967C7D" w:rsidRPr="00967C7D" w14:paraId="4015568E" w14:textId="77777777" w:rsidTr="00B5314A">
        <w:trPr>
          <w:trHeight w:val="284"/>
        </w:trPr>
        <w:tc>
          <w:tcPr>
            <w:tcW w:w="1280" w:type="dxa"/>
          </w:tcPr>
          <w:p w14:paraId="20271C8C" w14:textId="77777777" w:rsidR="00967C7D" w:rsidRPr="00967C7D" w:rsidRDefault="00967C7D" w:rsidP="00967C7D">
            <w:pPr>
              <w:keepNext w:val="0"/>
              <w:spacing w:before="0"/>
              <w:rPr>
                <w:rFonts w:cs="Arial"/>
                <w:bCs/>
                <w:color w:val="auto"/>
                <w:sz w:val="20"/>
              </w:rPr>
            </w:pPr>
            <w:r w:rsidRPr="00967C7D">
              <w:rPr>
                <w:rFonts w:cs="Arial"/>
                <w:bCs/>
                <w:color w:val="auto"/>
                <w:sz w:val="20"/>
              </w:rPr>
              <w:t>EV5/224</w:t>
            </w:r>
          </w:p>
        </w:tc>
        <w:tc>
          <w:tcPr>
            <w:tcW w:w="6230" w:type="dxa"/>
            <w:noWrap/>
          </w:tcPr>
          <w:p w14:paraId="177EF862" w14:textId="77777777" w:rsidR="00967C7D" w:rsidRPr="00967C7D" w:rsidRDefault="00967C7D" w:rsidP="00967C7D">
            <w:pPr>
              <w:keepNext w:val="0"/>
              <w:spacing w:before="0"/>
              <w:rPr>
                <w:rFonts w:cs="Arial"/>
                <w:bCs/>
                <w:color w:val="auto"/>
                <w:sz w:val="20"/>
              </w:rPr>
            </w:pPr>
            <w:r w:rsidRPr="00967C7D">
              <w:rPr>
                <w:rFonts w:cs="Arial"/>
                <w:bCs/>
                <w:color w:val="auto"/>
                <w:sz w:val="20"/>
              </w:rPr>
              <w:t>Field off Sudbury Drive</w:t>
            </w:r>
          </w:p>
        </w:tc>
        <w:tc>
          <w:tcPr>
            <w:tcW w:w="1847" w:type="dxa"/>
            <w:noWrap/>
          </w:tcPr>
          <w:p w14:paraId="7D0B930D" w14:textId="77777777" w:rsidR="00967C7D" w:rsidRPr="00967C7D" w:rsidRDefault="00967C7D" w:rsidP="00967C7D">
            <w:pPr>
              <w:keepNext w:val="0"/>
              <w:spacing w:before="0"/>
              <w:rPr>
                <w:rFonts w:cs="Arial"/>
                <w:bCs/>
                <w:color w:val="auto"/>
                <w:sz w:val="20"/>
              </w:rPr>
            </w:pPr>
            <w:r w:rsidRPr="00967C7D">
              <w:rPr>
                <w:rFonts w:cs="Arial"/>
                <w:bCs/>
                <w:color w:val="auto"/>
                <w:sz w:val="20"/>
              </w:rPr>
              <w:t>North Sheet</w:t>
            </w:r>
          </w:p>
        </w:tc>
      </w:tr>
      <w:tr w:rsidR="00967C7D" w:rsidRPr="00967C7D" w14:paraId="5163D8FC" w14:textId="77777777" w:rsidTr="00B5314A">
        <w:trPr>
          <w:trHeight w:val="284"/>
        </w:trPr>
        <w:tc>
          <w:tcPr>
            <w:tcW w:w="1280" w:type="dxa"/>
          </w:tcPr>
          <w:p w14:paraId="0DA650BE" w14:textId="77777777" w:rsidR="00967C7D" w:rsidRPr="00967C7D" w:rsidRDefault="00967C7D" w:rsidP="00967C7D">
            <w:pPr>
              <w:keepNext w:val="0"/>
              <w:spacing w:before="0"/>
              <w:rPr>
                <w:rFonts w:cs="Arial"/>
                <w:bCs/>
                <w:color w:val="auto"/>
                <w:sz w:val="20"/>
              </w:rPr>
            </w:pPr>
            <w:r w:rsidRPr="00967C7D">
              <w:rPr>
                <w:rFonts w:cs="Arial"/>
                <w:bCs/>
                <w:color w:val="auto"/>
                <w:sz w:val="20"/>
              </w:rPr>
              <w:t>EV5/225</w:t>
            </w:r>
          </w:p>
        </w:tc>
        <w:tc>
          <w:tcPr>
            <w:tcW w:w="6230" w:type="dxa"/>
            <w:noWrap/>
          </w:tcPr>
          <w:p w14:paraId="4074439E" w14:textId="77777777" w:rsidR="00967C7D" w:rsidRPr="00967C7D" w:rsidRDefault="00967C7D" w:rsidP="00967C7D">
            <w:pPr>
              <w:keepNext w:val="0"/>
              <w:spacing w:before="0"/>
              <w:rPr>
                <w:rFonts w:cs="Arial"/>
                <w:bCs/>
                <w:color w:val="auto"/>
                <w:sz w:val="20"/>
              </w:rPr>
            </w:pPr>
            <w:r w:rsidRPr="00967C7D">
              <w:rPr>
                <w:rFonts w:cs="Arial"/>
                <w:bCs/>
                <w:color w:val="auto"/>
                <w:sz w:val="20"/>
              </w:rPr>
              <w:t>Huthwaite Cemetery</w:t>
            </w:r>
          </w:p>
        </w:tc>
        <w:tc>
          <w:tcPr>
            <w:tcW w:w="1847" w:type="dxa"/>
            <w:noWrap/>
          </w:tcPr>
          <w:p w14:paraId="4752DFE3" w14:textId="77777777" w:rsidR="00967C7D" w:rsidRPr="00967C7D" w:rsidRDefault="00967C7D" w:rsidP="00967C7D">
            <w:pPr>
              <w:keepNext w:val="0"/>
              <w:spacing w:before="0"/>
              <w:rPr>
                <w:rFonts w:cs="Arial"/>
                <w:bCs/>
                <w:color w:val="auto"/>
                <w:sz w:val="20"/>
              </w:rPr>
            </w:pPr>
            <w:r w:rsidRPr="00967C7D">
              <w:rPr>
                <w:rFonts w:cs="Arial"/>
                <w:bCs/>
                <w:color w:val="auto"/>
                <w:sz w:val="20"/>
              </w:rPr>
              <w:t>North Sheet</w:t>
            </w:r>
          </w:p>
        </w:tc>
      </w:tr>
      <w:tr w:rsidR="00967C7D" w:rsidRPr="00967C7D" w14:paraId="038DFF2A" w14:textId="77777777" w:rsidTr="00B5314A">
        <w:trPr>
          <w:trHeight w:val="284"/>
        </w:trPr>
        <w:tc>
          <w:tcPr>
            <w:tcW w:w="1280" w:type="dxa"/>
          </w:tcPr>
          <w:p w14:paraId="7E882D5C" w14:textId="77777777" w:rsidR="00967C7D" w:rsidRPr="00967C7D" w:rsidRDefault="00967C7D" w:rsidP="00967C7D">
            <w:pPr>
              <w:keepNext w:val="0"/>
              <w:spacing w:before="0"/>
              <w:rPr>
                <w:rFonts w:cs="Arial"/>
                <w:bCs/>
                <w:color w:val="auto"/>
                <w:sz w:val="20"/>
              </w:rPr>
            </w:pPr>
            <w:r w:rsidRPr="00967C7D">
              <w:rPr>
                <w:rFonts w:cs="Arial"/>
                <w:bCs/>
                <w:color w:val="auto"/>
                <w:sz w:val="20"/>
              </w:rPr>
              <w:t>EV5/226</w:t>
            </w:r>
          </w:p>
        </w:tc>
        <w:tc>
          <w:tcPr>
            <w:tcW w:w="6230" w:type="dxa"/>
            <w:noWrap/>
          </w:tcPr>
          <w:p w14:paraId="49411F41" w14:textId="77777777" w:rsidR="00967C7D" w:rsidRPr="00967C7D" w:rsidRDefault="00967C7D" w:rsidP="00967C7D">
            <w:pPr>
              <w:keepNext w:val="0"/>
              <w:spacing w:before="0"/>
              <w:rPr>
                <w:rFonts w:cs="Arial"/>
                <w:bCs/>
                <w:color w:val="auto"/>
                <w:sz w:val="20"/>
              </w:rPr>
            </w:pPr>
            <w:r w:rsidRPr="00967C7D">
              <w:rPr>
                <w:rFonts w:cs="Arial"/>
                <w:bCs/>
                <w:color w:val="auto"/>
                <w:sz w:val="20"/>
              </w:rPr>
              <w:t>Huthwaite Welfare Park</w:t>
            </w:r>
          </w:p>
        </w:tc>
        <w:tc>
          <w:tcPr>
            <w:tcW w:w="1847" w:type="dxa"/>
            <w:noWrap/>
          </w:tcPr>
          <w:p w14:paraId="6258CBC4" w14:textId="77777777" w:rsidR="00967C7D" w:rsidRPr="00967C7D" w:rsidRDefault="00967C7D" w:rsidP="00967C7D">
            <w:pPr>
              <w:keepNext w:val="0"/>
              <w:spacing w:before="0"/>
              <w:rPr>
                <w:rFonts w:cs="Arial"/>
                <w:bCs/>
                <w:color w:val="auto"/>
                <w:sz w:val="20"/>
              </w:rPr>
            </w:pPr>
            <w:r w:rsidRPr="00967C7D">
              <w:rPr>
                <w:rFonts w:cs="Arial"/>
                <w:bCs/>
                <w:color w:val="auto"/>
                <w:sz w:val="20"/>
              </w:rPr>
              <w:t>North Sheet</w:t>
            </w:r>
          </w:p>
        </w:tc>
      </w:tr>
      <w:tr w:rsidR="00967C7D" w:rsidRPr="00967C7D" w14:paraId="2A9828BC" w14:textId="77777777" w:rsidTr="00B5314A">
        <w:trPr>
          <w:trHeight w:val="284"/>
        </w:trPr>
        <w:tc>
          <w:tcPr>
            <w:tcW w:w="1280" w:type="dxa"/>
          </w:tcPr>
          <w:p w14:paraId="7982A361" w14:textId="77777777" w:rsidR="00967C7D" w:rsidRPr="00967C7D" w:rsidRDefault="00967C7D" w:rsidP="00967C7D">
            <w:pPr>
              <w:keepNext w:val="0"/>
              <w:spacing w:before="0"/>
              <w:rPr>
                <w:rFonts w:cs="Arial"/>
                <w:bCs/>
                <w:color w:val="auto"/>
                <w:sz w:val="20"/>
              </w:rPr>
            </w:pPr>
            <w:r w:rsidRPr="00967C7D">
              <w:rPr>
                <w:rFonts w:cs="Arial"/>
                <w:bCs/>
                <w:color w:val="auto"/>
                <w:sz w:val="20"/>
              </w:rPr>
              <w:t>EV5/227</w:t>
            </w:r>
          </w:p>
        </w:tc>
        <w:tc>
          <w:tcPr>
            <w:tcW w:w="6230" w:type="dxa"/>
            <w:noWrap/>
          </w:tcPr>
          <w:p w14:paraId="23C2B820" w14:textId="77777777" w:rsidR="00967C7D" w:rsidRPr="00967C7D" w:rsidRDefault="00967C7D" w:rsidP="00967C7D">
            <w:pPr>
              <w:keepNext w:val="0"/>
              <w:spacing w:before="0"/>
              <w:rPr>
                <w:rFonts w:cs="Arial"/>
                <w:bCs/>
                <w:color w:val="auto"/>
                <w:sz w:val="20"/>
              </w:rPr>
            </w:pPr>
            <w:r w:rsidRPr="00967C7D">
              <w:rPr>
                <w:rFonts w:cs="Arial"/>
                <w:bCs/>
                <w:color w:val="auto"/>
                <w:sz w:val="20"/>
              </w:rPr>
              <w:t>Strawberry Bank (2)</w:t>
            </w:r>
          </w:p>
        </w:tc>
        <w:tc>
          <w:tcPr>
            <w:tcW w:w="1847" w:type="dxa"/>
            <w:noWrap/>
          </w:tcPr>
          <w:p w14:paraId="001E6F15" w14:textId="77777777" w:rsidR="00967C7D" w:rsidRPr="00967C7D" w:rsidRDefault="00967C7D" w:rsidP="00967C7D">
            <w:pPr>
              <w:keepNext w:val="0"/>
              <w:spacing w:before="0"/>
              <w:rPr>
                <w:rFonts w:cs="Arial"/>
                <w:bCs/>
                <w:color w:val="auto"/>
                <w:sz w:val="20"/>
              </w:rPr>
            </w:pPr>
            <w:r w:rsidRPr="00967C7D">
              <w:rPr>
                <w:rFonts w:cs="Arial"/>
                <w:bCs/>
                <w:color w:val="auto"/>
                <w:sz w:val="20"/>
              </w:rPr>
              <w:t>North Sheet</w:t>
            </w:r>
          </w:p>
        </w:tc>
      </w:tr>
      <w:tr w:rsidR="00967C7D" w:rsidRPr="00967C7D" w14:paraId="43B8BD25" w14:textId="77777777" w:rsidTr="00B5314A">
        <w:trPr>
          <w:trHeight w:val="284"/>
        </w:trPr>
        <w:tc>
          <w:tcPr>
            <w:tcW w:w="1280" w:type="dxa"/>
          </w:tcPr>
          <w:p w14:paraId="2A5F7F4E" w14:textId="77777777" w:rsidR="00967C7D" w:rsidRPr="00967C7D" w:rsidRDefault="00967C7D" w:rsidP="00967C7D">
            <w:pPr>
              <w:keepNext w:val="0"/>
              <w:spacing w:before="0"/>
              <w:rPr>
                <w:rFonts w:cs="Arial"/>
                <w:bCs/>
                <w:color w:val="auto"/>
                <w:sz w:val="20"/>
              </w:rPr>
            </w:pPr>
            <w:r w:rsidRPr="00967C7D">
              <w:rPr>
                <w:rFonts w:cs="Arial"/>
                <w:bCs/>
                <w:color w:val="auto"/>
                <w:sz w:val="20"/>
              </w:rPr>
              <w:t>EV5/229</w:t>
            </w:r>
          </w:p>
        </w:tc>
        <w:tc>
          <w:tcPr>
            <w:tcW w:w="6230" w:type="dxa"/>
            <w:noWrap/>
          </w:tcPr>
          <w:p w14:paraId="2CA38E62" w14:textId="77777777" w:rsidR="00967C7D" w:rsidRPr="00967C7D" w:rsidRDefault="00967C7D" w:rsidP="00967C7D">
            <w:pPr>
              <w:keepNext w:val="0"/>
              <w:spacing w:before="0"/>
              <w:rPr>
                <w:rFonts w:cs="Arial"/>
                <w:bCs/>
                <w:color w:val="auto"/>
                <w:sz w:val="20"/>
              </w:rPr>
            </w:pPr>
            <w:r w:rsidRPr="00967C7D">
              <w:rPr>
                <w:rFonts w:cs="Arial"/>
                <w:bCs/>
                <w:color w:val="auto"/>
                <w:sz w:val="20"/>
              </w:rPr>
              <w:t>Woodland Avenue</w:t>
            </w:r>
          </w:p>
        </w:tc>
        <w:tc>
          <w:tcPr>
            <w:tcW w:w="1847" w:type="dxa"/>
            <w:noWrap/>
          </w:tcPr>
          <w:p w14:paraId="1999FE2D" w14:textId="77777777" w:rsidR="00967C7D" w:rsidRPr="00967C7D" w:rsidRDefault="00967C7D" w:rsidP="00967C7D">
            <w:pPr>
              <w:keepNext w:val="0"/>
              <w:spacing w:before="0"/>
              <w:rPr>
                <w:rFonts w:cs="Arial"/>
                <w:bCs/>
                <w:color w:val="auto"/>
                <w:sz w:val="20"/>
              </w:rPr>
            </w:pPr>
            <w:r w:rsidRPr="00967C7D">
              <w:rPr>
                <w:rFonts w:cs="Arial"/>
                <w:bCs/>
                <w:color w:val="auto"/>
                <w:sz w:val="20"/>
              </w:rPr>
              <w:t>North Sheet</w:t>
            </w:r>
          </w:p>
        </w:tc>
      </w:tr>
      <w:tr w:rsidR="00967C7D" w:rsidRPr="00967C7D" w14:paraId="3E940229" w14:textId="77777777" w:rsidTr="00B5314A">
        <w:trPr>
          <w:trHeight w:val="284"/>
        </w:trPr>
        <w:tc>
          <w:tcPr>
            <w:tcW w:w="1280" w:type="dxa"/>
          </w:tcPr>
          <w:p w14:paraId="213D0225" w14:textId="77777777" w:rsidR="00967C7D" w:rsidRPr="00967C7D" w:rsidRDefault="00967C7D" w:rsidP="00967C7D">
            <w:pPr>
              <w:keepNext w:val="0"/>
              <w:spacing w:before="0"/>
              <w:rPr>
                <w:rFonts w:cs="Arial"/>
                <w:bCs/>
                <w:color w:val="auto"/>
                <w:sz w:val="20"/>
              </w:rPr>
            </w:pPr>
            <w:r w:rsidRPr="00967C7D">
              <w:rPr>
                <w:rFonts w:cs="Arial"/>
                <w:bCs/>
                <w:color w:val="auto"/>
                <w:sz w:val="20"/>
              </w:rPr>
              <w:t>EV5/230</w:t>
            </w:r>
          </w:p>
        </w:tc>
        <w:tc>
          <w:tcPr>
            <w:tcW w:w="6230" w:type="dxa"/>
            <w:noWrap/>
          </w:tcPr>
          <w:p w14:paraId="3C8806C8" w14:textId="77777777" w:rsidR="00967C7D" w:rsidRPr="00967C7D" w:rsidRDefault="00967C7D" w:rsidP="00967C7D">
            <w:pPr>
              <w:keepNext w:val="0"/>
              <w:spacing w:before="0"/>
              <w:rPr>
                <w:rFonts w:cs="Arial"/>
                <w:bCs/>
                <w:color w:val="auto"/>
                <w:sz w:val="20"/>
              </w:rPr>
            </w:pPr>
            <w:r w:rsidRPr="00967C7D">
              <w:rPr>
                <w:rFonts w:cs="Arial"/>
                <w:bCs/>
                <w:color w:val="auto"/>
                <w:sz w:val="20"/>
              </w:rPr>
              <w:t>Fackley Way Open Space</w:t>
            </w:r>
          </w:p>
        </w:tc>
        <w:tc>
          <w:tcPr>
            <w:tcW w:w="1847" w:type="dxa"/>
            <w:noWrap/>
          </w:tcPr>
          <w:p w14:paraId="4978E91E" w14:textId="77777777" w:rsidR="00967C7D" w:rsidRPr="00967C7D" w:rsidRDefault="00967C7D" w:rsidP="00967C7D">
            <w:pPr>
              <w:keepNext w:val="0"/>
              <w:spacing w:before="0"/>
              <w:rPr>
                <w:rFonts w:cs="Arial"/>
                <w:bCs/>
                <w:color w:val="auto"/>
                <w:sz w:val="20"/>
              </w:rPr>
            </w:pPr>
            <w:r w:rsidRPr="00967C7D">
              <w:rPr>
                <w:rFonts w:cs="Arial"/>
                <w:bCs/>
                <w:color w:val="auto"/>
                <w:sz w:val="20"/>
              </w:rPr>
              <w:t>North Sheet</w:t>
            </w:r>
          </w:p>
        </w:tc>
      </w:tr>
      <w:tr w:rsidR="00967C7D" w:rsidRPr="00967C7D" w14:paraId="176F23C6" w14:textId="77777777" w:rsidTr="00B5314A">
        <w:trPr>
          <w:trHeight w:val="284"/>
        </w:trPr>
        <w:tc>
          <w:tcPr>
            <w:tcW w:w="1280" w:type="dxa"/>
          </w:tcPr>
          <w:p w14:paraId="4F23A5B3" w14:textId="77777777" w:rsidR="00967C7D" w:rsidRPr="00967C7D" w:rsidRDefault="00967C7D" w:rsidP="00967C7D">
            <w:pPr>
              <w:keepNext w:val="0"/>
              <w:spacing w:before="0"/>
              <w:rPr>
                <w:rFonts w:cs="Arial"/>
                <w:bCs/>
                <w:color w:val="auto"/>
                <w:sz w:val="20"/>
              </w:rPr>
            </w:pPr>
            <w:r w:rsidRPr="00967C7D">
              <w:rPr>
                <w:rFonts w:cs="Arial"/>
                <w:bCs/>
                <w:color w:val="auto"/>
                <w:sz w:val="20"/>
              </w:rPr>
              <w:t>EV5/231</w:t>
            </w:r>
          </w:p>
        </w:tc>
        <w:tc>
          <w:tcPr>
            <w:tcW w:w="6230" w:type="dxa"/>
            <w:noWrap/>
          </w:tcPr>
          <w:p w14:paraId="2598B6D2" w14:textId="77777777" w:rsidR="00967C7D" w:rsidRPr="00967C7D" w:rsidRDefault="00967C7D" w:rsidP="00967C7D">
            <w:pPr>
              <w:keepNext w:val="0"/>
              <w:spacing w:before="0"/>
              <w:rPr>
                <w:rFonts w:cs="Arial"/>
                <w:bCs/>
                <w:color w:val="auto"/>
                <w:sz w:val="20"/>
              </w:rPr>
            </w:pPr>
            <w:r w:rsidRPr="00967C7D">
              <w:rPr>
                <w:rFonts w:cs="Arial"/>
                <w:bCs/>
                <w:color w:val="auto"/>
                <w:sz w:val="20"/>
              </w:rPr>
              <w:t>Brand Lane</w:t>
            </w:r>
          </w:p>
        </w:tc>
        <w:tc>
          <w:tcPr>
            <w:tcW w:w="1847" w:type="dxa"/>
            <w:noWrap/>
          </w:tcPr>
          <w:p w14:paraId="6EAA5441" w14:textId="77777777" w:rsidR="00967C7D" w:rsidRPr="00967C7D" w:rsidRDefault="00967C7D" w:rsidP="00967C7D">
            <w:pPr>
              <w:keepNext w:val="0"/>
              <w:spacing w:before="0"/>
              <w:rPr>
                <w:rFonts w:cs="Arial"/>
                <w:bCs/>
                <w:color w:val="auto"/>
                <w:sz w:val="20"/>
              </w:rPr>
            </w:pPr>
            <w:r w:rsidRPr="00967C7D">
              <w:rPr>
                <w:rFonts w:cs="Arial"/>
                <w:bCs/>
                <w:color w:val="auto"/>
                <w:sz w:val="20"/>
              </w:rPr>
              <w:t>North Sheet</w:t>
            </w:r>
          </w:p>
        </w:tc>
      </w:tr>
      <w:tr w:rsidR="00967C7D" w:rsidRPr="00967C7D" w14:paraId="64EB66C3" w14:textId="77777777" w:rsidTr="00B5314A">
        <w:trPr>
          <w:trHeight w:val="284"/>
        </w:trPr>
        <w:tc>
          <w:tcPr>
            <w:tcW w:w="1280" w:type="dxa"/>
          </w:tcPr>
          <w:p w14:paraId="1DBC149C" w14:textId="77777777" w:rsidR="00967C7D" w:rsidRPr="00967C7D" w:rsidRDefault="00967C7D" w:rsidP="00967C7D">
            <w:pPr>
              <w:keepNext w:val="0"/>
              <w:spacing w:before="0"/>
              <w:rPr>
                <w:rFonts w:cs="Arial"/>
                <w:bCs/>
                <w:color w:val="auto"/>
                <w:sz w:val="20"/>
              </w:rPr>
            </w:pPr>
            <w:r w:rsidRPr="00967C7D">
              <w:rPr>
                <w:rFonts w:cs="Arial"/>
                <w:bCs/>
                <w:color w:val="auto"/>
                <w:sz w:val="20"/>
              </w:rPr>
              <w:t>EV5/232</w:t>
            </w:r>
          </w:p>
        </w:tc>
        <w:tc>
          <w:tcPr>
            <w:tcW w:w="6230" w:type="dxa"/>
            <w:noWrap/>
          </w:tcPr>
          <w:p w14:paraId="536F688E" w14:textId="77777777" w:rsidR="00967C7D" w:rsidRPr="00967C7D" w:rsidRDefault="00967C7D" w:rsidP="00967C7D">
            <w:pPr>
              <w:keepNext w:val="0"/>
              <w:spacing w:before="0"/>
              <w:rPr>
                <w:rFonts w:cs="Arial"/>
                <w:bCs/>
                <w:color w:val="auto"/>
                <w:sz w:val="20"/>
              </w:rPr>
            </w:pPr>
            <w:r w:rsidRPr="00967C7D">
              <w:rPr>
                <w:rFonts w:cs="Arial"/>
                <w:bCs/>
                <w:color w:val="auto"/>
                <w:sz w:val="20"/>
              </w:rPr>
              <w:t>Wharf Road Hill</w:t>
            </w:r>
          </w:p>
        </w:tc>
        <w:tc>
          <w:tcPr>
            <w:tcW w:w="1847" w:type="dxa"/>
            <w:noWrap/>
          </w:tcPr>
          <w:p w14:paraId="740AFF27" w14:textId="77777777" w:rsidR="00967C7D" w:rsidRPr="00967C7D" w:rsidRDefault="00967C7D" w:rsidP="00967C7D">
            <w:pPr>
              <w:keepNext w:val="0"/>
              <w:spacing w:before="0"/>
              <w:rPr>
                <w:rFonts w:cs="Arial"/>
                <w:bCs/>
                <w:color w:val="auto"/>
                <w:sz w:val="20"/>
              </w:rPr>
            </w:pPr>
            <w:r w:rsidRPr="00967C7D">
              <w:rPr>
                <w:rFonts w:cs="Arial"/>
                <w:bCs/>
                <w:color w:val="auto"/>
                <w:sz w:val="20"/>
              </w:rPr>
              <w:t>North Sheet</w:t>
            </w:r>
          </w:p>
        </w:tc>
      </w:tr>
      <w:tr w:rsidR="00967C7D" w:rsidRPr="00967C7D" w14:paraId="27CFE5C9" w14:textId="77777777" w:rsidTr="00B5314A">
        <w:trPr>
          <w:trHeight w:val="284"/>
        </w:trPr>
        <w:tc>
          <w:tcPr>
            <w:tcW w:w="1280" w:type="dxa"/>
          </w:tcPr>
          <w:p w14:paraId="35D240C0" w14:textId="77777777" w:rsidR="00967C7D" w:rsidRPr="00967C7D" w:rsidRDefault="00967C7D" w:rsidP="00967C7D">
            <w:pPr>
              <w:keepNext w:val="0"/>
              <w:spacing w:before="0"/>
              <w:rPr>
                <w:rFonts w:cs="Arial"/>
                <w:bCs/>
                <w:color w:val="auto"/>
                <w:sz w:val="20"/>
              </w:rPr>
            </w:pPr>
            <w:r w:rsidRPr="00967C7D">
              <w:rPr>
                <w:rFonts w:cs="Arial"/>
                <w:bCs/>
                <w:color w:val="auto"/>
                <w:sz w:val="20"/>
              </w:rPr>
              <w:t>EV5/233</w:t>
            </w:r>
          </w:p>
        </w:tc>
        <w:tc>
          <w:tcPr>
            <w:tcW w:w="6230" w:type="dxa"/>
            <w:noWrap/>
          </w:tcPr>
          <w:p w14:paraId="5E0ACD88" w14:textId="77777777" w:rsidR="00967C7D" w:rsidRPr="00967C7D" w:rsidRDefault="00967C7D" w:rsidP="00967C7D">
            <w:pPr>
              <w:keepNext w:val="0"/>
              <w:spacing w:before="0"/>
              <w:rPr>
                <w:rFonts w:cs="Arial"/>
                <w:bCs/>
                <w:color w:val="auto"/>
                <w:sz w:val="20"/>
              </w:rPr>
            </w:pPr>
            <w:r w:rsidRPr="00967C7D">
              <w:rPr>
                <w:rFonts w:cs="Arial"/>
                <w:bCs/>
                <w:color w:val="auto"/>
                <w:sz w:val="20"/>
              </w:rPr>
              <w:t>Healdswood Recreation Ground</w:t>
            </w:r>
          </w:p>
        </w:tc>
        <w:tc>
          <w:tcPr>
            <w:tcW w:w="1847" w:type="dxa"/>
            <w:noWrap/>
          </w:tcPr>
          <w:p w14:paraId="5F7BB4B1" w14:textId="77777777" w:rsidR="00967C7D" w:rsidRPr="00967C7D" w:rsidRDefault="00967C7D" w:rsidP="00967C7D">
            <w:pPr>
              <w:keepNext w:val="0"/>
              <w:spacing w:before="0"/>
              <w:rPr>
                <w:rFonts w:cs="Arial"/>
                <w:bCs/>
                <w:color w:val="auto"/>
                <w:sz w:val="20"/>
              </w:rPr>
            </w:pPr>
            <w:r w:rsidRPr="00967C7D">
              <w:rPr>
                <w:rFonts w:cs="Arial"/>
                <w:bCs/>
                <w:color w:val="auto"/>
                <w:sz w:val="20"/>
              </w:rPr>
              <w:t>North Sheet</w:t>
            </w:r>
          </w:p>
        </w:tc>
      </w:tr>
      <w:tr w:rsidR="00967C7D" w:rsidRPr="00967C7D" w14:paraId="4F7D6895" w14:textId="77777777" w:rsidTr="00B5314A">
        <w:trPr>
          <w:trHeight w:val="284"/>
        </w:trPr>
        <w:tc>
          <w:tcPr>
            <w:tcW w:w="1280" w:type="dxa"/>
          </w:tcPr>
          <w:p w14:paraId="6DAF10AE" w14:textId="77777777" w:rsidR="00967C7D" w:rsidRPr="00967C7D" w:rsidRDefault="00967C7D" w:rsidP="00967C7D">
            <w:pPr>
              <w:keepNext w:val="0"/>
              <w:spacing w:before="0"/>
              <w:rPr>
                <w:rFonts w:cs="Arial"/>
                <w:bCs/>
                <w:color w:val="auto"/>
                <w:sz w:val="20"/>
              </w:rPr>
            </w:pPr>
            <w:r w:rsidRPr="00967C7D">
              <w:rPr>
                <w:rFonts w:cs="Arial"/>
                <w:bCs/>
                <w:color w:val="auto"/>
                <w:sz w:val="20"/>
              </w:rPr>
              <w:t>EV5/234</w:t>
            </w:r>
          </w:p>
        </w:tc>
        <w:tc>
          <w:tcPr>
            <w:tcW w:w="6230" w:type="dxa"/>
            <w:noWrap/>
          </w:tcPr>
          <w:p w14:paraId="701FDA0B" w14:textId="77777777" w:rsidR="00967C7D" w:rsidRPr="00967C7D" w:rsidRDefault="00967C7D" w:rsidP="00967C7D">
            <w:pPr>
              <w:keepNext w:val="0"/>
              <w:spacing w:before="0"/>
              <w:rPr>
                <w:rFonts w:cs="Arial"/>
                <w:bCs/>
                <w:color w:val="auto"/>
                <w:sz w:val="20"/>
              </w:rPr>
            </w:pPr>
            <w:r w:rsidRPr="00967C7D">
              <w:rPr>
                <w:rFonts w:cs="Arial"/>
                <w:bCs/>
                <w:color w:val="auto"/>
                <w:sz w:val="20"/>
              </w:rPr>
              <w:t>Meden Bank</w:t>
            </w:r>
          </w:p>
        </w:tc>
        <w:tc>
          <w:tcPr>
            <w:tcW w:w="1847" w:type="dxa"/>
            <w:noWrap/>
          </w:tcPr>
          <w:p w14:paraId="10FCDB80" w14:textId="77777777" w:rsidR="00967C7D" w:rsidRPr="00967C7D" w:rsidRDefault="00967C7D" w:rsidP="00967C7D">
            <w:pPr>
              <w:keepNext w:val="0"/>
              <w:spacing w:before="0"/>
              <w:rPr>
                <w:rFonts w:cs="Arial"/>
                <w:bCs/>
                <w:color w:val="auto"/>
                <w:sz w:val="20"/>
              </w:rPr>
            </w:pPr>
            <w:r w:rsidRPr="00967C7D">
              <w:rPr>
                <w:rFonts w:cs="Arial"/>
                <w:bCs/>
                <w:color w:val="auto"/>
                <w:sz w:val="20"/>
              </w:rPr>
              <w:t>North Sheet</w:t>
            </w:r>
          </w:p>
        </w:tc>
      </w:tr>
      <w:tr w:rsidR="00967C7D" w:rsidRPr="00967C7D" w14:paraId="2413E779" w14:textId="77777777" w:rsidTr="00B5314A">
        <w:trPr>
          <w:trHeight w:val="284"/>
        </w:trPr>
        <w:tc>
          <w:tcPr>
            <w:tcW w:w="1280" w:type="dxa"/>
          </w:tcPr>
          <w:p w14:paraId="192206FB" w14:textId="77777777" w:rsidR="00967C7D" w:rsidRPr="00967C7D" w:rsidRDefault="00967C7D" w:rsidP="00967C7D">
            <w:pPr>
              <w:keepNext w:val="0"/>
              <w:spacing w:before="0"/>
              <w:rPr>
                <w:rFonts w:cs="Arial"/>
                <w:bCs/>
                <w:color w:val="auto"/>
                <w:sz w:val="20"/>
              </w:rPr>
            </w:pPr>
            <w:r w:rsidRPr="00967C7D">
              <w:rPr>
                <w:rFonts w:cs="Arial"/>
                <w:bCs/>
                <w:color w:val="auto"/>
                <w:sz w:val="20"/>
              </w:rPr>
              <w:t>EV5/235</w:t>
            </w:r>
          </w:p>
        </w:tc>
        <w:tc>
          <w:tcPr>
            <w:tcW w:w="6230" w:type="dxa"/>
            <w:noWrap/>
          </w:tcPr>
          <w:p w14:paraId="49727F69" w14:textId="77777777" w:rsidR="00967C7D" w:rsidRPr="00967C7D" w:rsidRDefault="00967C7D" w:rsidP="00967C7D">
            <w:pPr>
              <w:keepNext w:val="0"/>
              <w:spacing w:before="0"/>
              <w:rPr>
                <w:rFonts w:cs="Arial"/>
                <w:bCs/>
                <w:color w:val="auto"/>
                <w:sz w:val="20"/>
              </w:rPr>
            </w:pPr>
            <w:r w:rsidRPr="00967C7D">
              <w:rPr>
                <w:rFonts w:cs="Arial"/>
                <w:bCs/>
                <w:color w:val="auto"/>
                <w:sz w:val="20"/>
              </w:rPr>
              <w:t>Skegby Hall</w:t>
            </w:r>
          </w:p>
        </w:tc>
        <w:tc>
          <w:tcPr>
            <w:tcW w:w="1847" w:type="dxa"/>
            <w:noWrap/>
          </w:tcPr>
          <w:p w14:paraId="488EA9C6" w14:textId="77777777" w:rsidR="00967C7D" w:rsidRPr="00967C7D" w:rsidRDefault="00967C7D" w:rsidP="00967C7D">
            <w:pPr>
              <w:keepNext w:val="0"/>
              <w:spacing w:before="0"/>
              <w:rPr>
                <w:rFonts w:cs="Arial"/>
                <w:bCs/>
                <w:color w:val="auto"/>
                <w:sz w:val="20"/>
              </w:rPr>
            </w:pPr>
            <w:r w:rsidRPr="00967C7D">
              <w:rPr>
                <w:rFonts w:cs="Arial"/>
                <w:bCs/>
                <w:color w:val="auto"/>
                <w:sz w:val="20"/>
              </w:rPr>
              <w:t>North Sheet</w:t>
            </w:r>
          </w:p>
        </w:tc>
      </w:tr>
      <w:tr w:rsidR="00967C7D" w:rsidRPr="00967C7D" w14:paraId="2787384C" w14:textId="77777777" w:rsidTr="00B5314A">
        <w:trPr>
          <w:trHeight w:val="284"/>
        </w:trPr>
        <w:tc>
          <w:tcPr>
            <w:tcW w:w="1280" w:type="dxa"/>
          </w:tcPr>
          <w:p w14:paraId="2AA3DEEE" w14:textId="77777777" w:rsidR="00967C7D" w:rsidRPr="00967C7D" w:rsidRDefault="00967C7D" w:rsidP="00967C7D">
            <w:pPr>
              <w:keepNext w:val="0"/>
              <w:spacing w:before="0"/>
              <w:rPr>
                <w:rFonts w:cs="Arial"/>
                <w:bCs/>
                <w:color w:val="auto"/>
                <w:sz w:val="20"/>
              </w:rPr>
            </w:pPr>
            <w:r w:rsidRPr="00967C7D">
              <w:rPr>
                <w:rFonts w:cs="Arial"/>
                <w:bCs/>
                <w:color w:val="auto"/>
                <w:sz w:val="20"/>
              </w:rPr>
              <w:t>EV5/236</w:t>
            </w:r>
          </w:p>
        </w:tc>
        <w:tc>
          <w:tcPr>
            <w:tcW w:w="6230" w:type="dxa"/>
            <w:noWrap/>
          </w:tcPr>
          <w:p w14:paraId="6BAC1F5C" w14:textId="77777777" w:rsidR="00967C7D" w:rsidRPr="00967C7D" w:rsidRDefault="00967C7D" w:rsidP="00967C7D">
            <w:pPr>
              <w:keepNext w:val="0"/>
              <w:spacing w:before="0"/>
              <w:rPr>
                <w:rFonts w:cs="Arial"/>
                <w:bCs/>
                <w:color w:val="auto"/>
                <w:sz w:val="20"/>
              </w:rPr>
            </w:pPr>
            <w:r w:rsidRPr="00967C7D">
              <w:rPr>
                <w:rFonts w:cs="Arial"/>
                <w:bCs/>
                <w:color w:val="auto"/>
                <w:sz w:val="20"/>
              </w:rPr>
              <w:t>Stoneyford Trail</w:t>
            </w:r>
          </w:p>
        </w:tc>
        <w:tc>
          <w:tcPr>
            <w:tcW w:w="1847" w:type="dxa"/>
            <w:noWrap/>
          </w:tcPr>
          <w:p w14:paraId="453BF087" w14:textId="77777777" w:rsidR="00967C7D" w:rsidRPr="00967C7D" w:rsidRDefault="00967C7D" w:rsidP="00967C7D">
            <w:pPr>
              <w:keepNext w:val="0"/>
              <w:spacing w:before="0"/>
              <w:rPr>
                <w:rFonts w:cs="Arial"/>
                <w:bCs/>
                <w:color w:val="auto"/>
                <w:sz w:val="20"/>
              </w:rPr>
            </w:pPr>
            <w:r w:rsidRPr="00967C7D">
              <w:rPr>
                <w:rFonts w:cs="Arial"/>
                <w:bCs/>
                <w:color w:val="auto"/>
                <w:sz w:val="20"/>
              </w:rPr>
              <w:t>North Sheet</w:t>
            </w:r>
          </w:p>
        </w:tc>
      </w:tr>
      <w:tr w:rsidR="00967C7D" w:rsidRPr="00967C7D" w14:paraId="362D2337" w14:textId="77777777" w:rsidTr="00B5314A">
        <w:trPr>
          <w:trHeight w:val="284"/>
        </w:trPr>
        <w:tc>
          <w:tcPr>
            <w:tcW w:w="1280" w:type="dxa"/>
          </w:tcPr>
          <w:p w14:paraId="09877981" w14:textId="77777777" w:rsidR="00967C7D" w:rsidRPr="00967C7D" w:rsidRDefault="00967C7D" w:rsidP="00967C7D">
            <w:pPr>
              <w:keepNext w:val="0"/>
              <w:spacing w:before="0"/>
              <w:rPr>
                <w:rFonts w:cs="Arial"/>
                <w:bCs/>
                <w:color w:val="auto"/>
                <w:sz w:val="20"/>
              </w:rPr>
            </w:pPr>
            <w:r w:rsidRPr="00967C7D">
              <w:rPr>
                <w:rFonts w:cs="Arial"/>
                <w:bCs/>
                <w:color w:val="auto"/>
                <w:sz w:val="20"/>
              </w:rPr>
              <w:t>EV5/237</w:t>
            </w:r>
          </w:p>
        </w:tc>
        <w:tc>
          <w:tcPr>
            <w:tcW w:w="6230" w:type="dxa"/>
            <w:noWrap/>
          </w:tcPr>
          <w:p w14:paraId="2D4CFEB0" w14:textId="77777777" w:rsidR="00967C7D" w:rsidRPr="00967C7D" w:rsidRDefault="00967C7D" w:rsidP="00967C7D">
            <w:pPr>
              <w:keepNext w:val="0"/>
              <w:spacing w:before="0"/>
              <w:rPr>
                <w:rFonts w:cs="Arial"/>
                <w:bCs/>
                <w:color w:val="auto"/>
                <w:sz w:val="20"/>
              </w:rPr>
            </w:pPr>
            <w:r w:rsidRPr="00967C7D">
              <w:rPr>
                <w:rFonts w:cs="Arial"/>
                <w:bCs/>
                <w:color w:val="auto"/>
                <w:sz w:val="20"/>
              </w:rPr>
              <w:t>St Andrews Church</w:t>
            </w:r>
          </w:p>
        </w:tc>
        <w:tc>
          <w:tcPr>
            <w:tcW w:w="1847" w:type="dxa"/>
            <w:noWrap/>
          </w:tcPr>
          <w:p w14:paraId="7DD381F2" w14:textId="77777777" w:rsidR="00967C7D" w:rsidRPr="00967C7D" w:rsidRDefault="00967C7D" w:rsidP="00967C7D">
            <w:pPr>
              <w:keepNext w:val="0"/>
              <w:spacing w:before="0"/>
              <w:rPr>
                <w:rFonts w:cs="Arial"/>
                <w:bCs/>
                <w:color w:val="auto"/>
                <w:sz w:val="20"/>
              </w:rPr>
            </w:pPr>
            <w:r w:rsidRPr="00967C7D">
              <w:rPr>
                <w:rFonts w:cs="Arial"/>
                <w:bCs/>
                <w:color w:val="auto"/>
                <w:sz w:val="20"/>
              </w:rPr>
              <w:t>North Sheet</w:t>
            </w:r>
          </w:p>
        </w:tc>
      </w:tr>
      <w:tr w:rsidR="00967C7D" w:rsidRPr="00967C7D" w14:paraId="43290877" w14:textId="77777777" w:rsidTr="00B5314A">
        <w:trPr>
          <w:trHeight w:val="284"/>
        </w:trPr>
        <w:tc>
          <w:tcPr>
            <w:tcW w:w="1280" w:type="dxa"/>
          </w:tcPr>
          <w:p w14:paraId="7CACCA05" w14:textId="77777777" w:rsidR="00967C7D" w:rsidRPr="00967C7D" w:rsidRDefault="00967C7D" w:rsidP="00967C7D">
            <w:pPr>
              <w:keepNext w:val="0"/>
              <w:spacing w:before="0"/>
              <w:rPr>
                <w:rFonts w:cs="Arial"/>
                <w:bCs/>
                <w:color w:val="auto"/>
                <w:sz w:val="20"/>
              </w:rPr>
            </w:pPr>
            <w:r w:rsidRPr="00967C7D">
              <w:rPr>
                <w:rFonts w:cs="Arial"/>
                <w:bCs/>
                <w:color w:val="auto"/>
                <w:sz w:val="20"/>
              </w:rPr>
              <w:t>EV5/238</w:t>
            </w:r>
          </w:p>
        </w:tc>
        <w:tc>
          <w:tcPr>
            <w:tcW w:w="6230" w:type="dxa"/>
            <w:noWrap/>
          </w:tcPr>
          <w:p w14:paraId="0BCF283E" w14:textId="77777777" w:rsidR="00967C7D" w:rsidRPr="00967C7D" w:rsidRDefault="00967C7D" w:rsidP="00967C7D">
            <w:pPr>
              <w:keepNext w:val="0"/>
              <w:spacing w:before="0"/>
              <w:rPr>
                <w:rFonts w:cs="Arial"/>
                <w:bCs/>
                <w:color w:val="auto"/>
                <w:sz w:val="20"/>
              </w:rPr>
            </w:pPr>
            <w:r w:rsidRPr="00967C7D">
              <w:rPr>
                <w:rFonts w:cs="Arial"/>
                <w:bCs/>
                <w:color w:val="auto"/>
                <w:sz w:val="20"/>
              </w:rPr>
              <w:t>Skegby Quarries</w:t>
            </w:r>
          </w:p>
        </w:tc>
        <w:tc>
          <w:tcPr>
            <w:tcW w:w="1847" w:type="dxa"/>
            <w:noWrap/>
          </w:tcPr>
          <w:p w14:paraId="254780E8" w14:textId="77777777" w:rsidR="00967C7D" w:rsidRPr="00967C7D" w:rsidRDefault="00967C7D" w:rsidP="00967C7D">
            <w:pPr>
              <w:keepNext w:val="0"/>
              <w:spacing w:before="0"/>
              <w:rPr>
                <w:rFonts w:cs="Arial"/>
                <w:bCs/>
                <w:color w:val="auto"/>
                <w:sz w:val="20"/>
              </w:rPr>
            </w:pPr>
            <w:r w:rsidRPr="00967C7D">
              <w:rPr>
                <w:rFonts w:cs="Arial"/>
                <w:bCs/>
                <w:color w:val="auto"/>
                <w:sz w:val="20"/>
              </w:rPr>
              <w:t>North Sheet</w:t>
            </w:r>
          </w:p>
        </w:tc>
      </w:tr>
      <w:tr w:rsidR="00967C7D" w:rsidRPr="00967C7D" w14:paraId="3FD13D5F" w14:textId="77777777" w:rsidTr="00B5314A">
        <w:trPr>
          <w:trHeight w:val="284"/>
        </w:trPr>
        <w:tc>
          <w:tcPr>
            <w:tcW w:w="1280" w:type="dxa"/>
          </w:tcPr>
          <w:p w14:paraId="1836A250" w14:textId="77777777" w:rsidR="00967C7D" w:rsidRPr="00967C7D" w:rsidRDefault="00967C7D" w:rsidP="00967C7D">
            <w:pPr>
              <w:keepNext w:val="0"/>
              <w:spacing w:before="0"/>
              <w:rPr>
                <w:rFonts w:cs="Arial"/>
                <w:bCs/>
                <w:color w:val="auto"/>
                <w:sz w:val="20"/>
              </w:rPr>
            </w:pPr>
            <w:r w:rsidRPr="00967C7D">
              <w:rPr>
                <w:rFonts w:cs="Arial"/>
                <w:bCs/>
                <w:color w:val="auto"/>
                <w:sz w:val="20"/>
              </w:rPr>
              <w:t>EV5/239</w:t>
            </w:r>
          </w:p>
        </w:tc>
        <w:tc>
          <w:tcPr>
            <w:tcW w:w="6230" w:type="dxa"/>
            <w:noWrap/>
          </w:tcPr>
          <w:p w14:paraId="02FD8BD1" w14:textId="77777777" w:rsidR="00967C7D" w:rsidRPr="00967C7D" w:rsidRDefault="00967C7D" w:rsidP="00967C7D">
            <w:pPr>
              <w:keepNext w:val="0"/>
              <w:spacing w:before="0"/>
              <w:rPr>
                <w:rFonts w:cs="Arial"/>
                <w:bCs/>
                <w:color w:val="auto"/>
                <w:sz w:val="20"/>
              </w:rPr>
            </w:pPr>
            <w:r w:rsidRPr="00967C7D">
              <w:rPr>
                <w:rFonts w:cs="Arial"/>
                <w:bCs/>
                <w:color w:val="auto"/>
                <w:sz w:val="20"/>
              </w:rPr>
              <w:t>Skegby Junior Academy Playing Field</w:t>
            </w:r>
          </w:p>
        </w:tc>
        <w:tc>
          <w:tcPr>
            <w:tcW w:w="1847" w:type="dxa"/>
            <w:noWrap/>
          </w:tcPr>
          <w:p w14:paraId="53E97F9B" w14:textId="77777777" w:rsidR="00967C7D" w:rsidRPr="00967C7D" w:rsidRDefault="00967C7D" w:rsidP="00967C7D">
            <w:pPr>
              <w:keepNext w:val="0"/>
              <w:spacing w:before="0"/>
              <w:rPr>
                <w:rFonts w:cs="Arial"/>
                <w:bCs/>
                <w:color w:val="auto"/>
                <w:sz w:val="20"/>
              </w:rPr>
            </w:pPr>
            <w:r w:rsidRPr="00967C7D">
              <w:rPr>
                <w:rFonts w:cs="Arial"/>
                <w:bCs/>
                <w:color w:val="auto"/>
                <w:sz w:val="20"/>
              </w:rPr>
              <w:t>North Sheet</w:t>
            </w:r>
          </w:p>
        </w:tc>
      </w:tr>
      <w:tr w:rsidR="00967C7D" w:rsidRPr="00967C7D" w14:paraId="09BCA09A" w14:textId="77777777" w:rsidTr="00B5314A">
        <w:trPr>
          <w:trHeight w:val="284"/>
        </w:trPr>
        <w:tc>
          <w:tcPr>
            <w:tcW w:w="1280" w:type="dxa"/>
          </w:tcPr>
          <w:p w14:paraId="592C2ABF" w14:textId="77777777" w:rsidR="00967C7D" w:rsidRPr="00967C7D" w:rsidRDefault="00967C7D" w:rsidP="00967C7D">
            <w:pPr>
              <w:keepNext w:val="0"/>
              <w:spacing w:before="0"/>
              <w:rPr>
                <w:rFonts w:cs="Arial"/>
                <w:bCs/>
                <w:color w:val="auto"/>
                <w:sz w:val="20"/>
              </w:rPr>
            </w:pPr>
            <w:r w:rsidRPr="00967C7D">
              <w:rPr>
                <w:rFonts w:cs="Arial"/>
                <w:bCs/>
                <w:color w:val="auto"/>
                <w:sz w:val="20"/>
              </w:rPr>
              <w:t>EV5/240</w:t>
            </w:r>
          </w:p>
        </w:tc>
        <w:tc>
          <w:tcPr>
            <w:tcW w:w="6230" w:type="dxa"/>
            <w:noWrap/>
          </w:tcPr>
          <w:p w14:paraId="0E70B4EF" w14:textId="77777777" w:rsidR="00967C7D" w:rsidRPr="00967C7D" w:rsidRDefault="00967C7D" w:rsidP="00967C7D">
            <w:pPr>
              <w:keepNext w:val="0"/>
              <w:spacing w:before="0"/>
              <w:rPr>
                <w:rFonts w:cs="Arial"/>
                <w:bCs/>
                <w:color w:val="auto"/>
                <w:sz w:val="20"/>
              </w:rPr>
            </w:pPr>
            <w:r w:rsidRPr="00967C7D">
              <w:rPr>
                <w:rFonts w:cs="Arial"/>
                <w:bCs/>
                <w:color w:val="auto"/>
                <w:sz w:val="20"/>
              </w:rPr>
              <w:t>Teversal Grange Sports Ground</w:t>
            </w:r>
          </w:p>
        </w:tc>
        <w:tc>
          <w:tcPr>
            <w:tcW w:w="1847" w:type="dxa"/>
            <w:noWrap/>
          </w:tcPr>
          <w:p w14:paraId="14D9FC9C" w14:textId="77777777" w:rsidR="00967C7D" w:rsidRPr="00967C7D" w:rsidRDefault="00967C7D" w:rsidP="00967C7D">
            <w:pPr>
              <w:keepNext w:val="0"/>
              <w:spacing w:before="0"/>
              <w:rPr>
                <w:rFonts w:cs="Arial"/>
                <w:bCs/>
                <w:color w:val="auto"/>
                <w:sz w:val="20"/>
              </w:rPr>
            </w:pPr>
            <w:r w:rsidRPr="00967C7D">
              <w:rPr>
                <w:rFonts w:cs="Arial"/>
                <w:bCs/>
                <w:color w:val="auto"/>
                <w:sz w:val="20"/>
              </w:rPr>
              <w:t>North Sheet</w:t>
            </w:r>
          </w:p>
        </w:tc>
      </w:tr>
      <w:tr w:rsidR="00967C7D" w:rsidRPr="00967C7D" w14:paraId="474763EF" w14:textId="77777777" w:rsidTr="00B5314A">
        <w:trPr>
          <w:trHeight w:val="284"/>
        </w:trPr>
        <w:tc>
          <w:tcPr>
            <w:tcW w:w="1280" w:type="dxa"/>
          </w:tcPr>
          <w:p w14:paraId="2469E2B4" w14:textId="77777777" w:rsidR="00967C7D" w:rsidRPr="00967C7D" w:rsidRDefault="00967C7D" w:rsidP="00967C7D">
            <w:pPr>
              <w:keepNext w:val="0"/>
              <w:spacing w:before="0"/>
              <w:rPr>
                <w:rFonts w:cs="Arial"/>
                <w:bCs/>
                <w:color w:val="auto"/>
                <w:sz w:val="20"/>
              </w:rPr>
            </w:pPr>
            <w:r w:rsidRPr="00967C7D">
              <w:rPr>
                <w:rFonts w:cs="Arial"/>
                <w:bCs/>
                <w:color w:val="auto"/>
                <w:sz w:val="20"/>
              </w:rPr>
              <w:t>EV5/241</w:t>
            </w:r>
          </w:p>
        </w:tc>
        <w:tc>
          <w:tcPr>
            <w:tcW w:w="6230" w:type="dxa"/>
            <w:noWrap/>
          </w:tcPr>
          <w:p w14:paraId="0D2AD40F" w14:textId="77777777" w:rsidR="00967C7D" w:rsidRPr="00967C7D" w:rsidRDefault="00967C7D" w:rsidP="00967C7D">
            <w:pPr>
              <w:keepNext w:val="0"/>
              <w:spacing w:before="0"/>
              <w:rPr>
                <w:rFonts w:cs="Arial"/>
                <w:bCs/>
                <w:color w:val="auto"/>
                <w:sz w:val="20"/>
              </w:rPr>
            </w:pPr>
            <w:r w:rsidRPr="00967C7D">
              <w:rPr>
                <w:rFonts w:cs="Arial"/>
                <w:bCs/>
                <w:color w:val="auto"/>
                <w:sz w:val="20"/>
              </w:rPr>
              <w:t>Teversal Football Ground</w:t>
            </w:r>
          </w:p>
        </w:tc>
        <w:tc>
          <w:tcPr>
            <w:tcW w:w="1847" w:type="dxa"/>
            <w:noWrap/>
          </w:tcPr>
          <w:p w14:paraId="3F15ED8F" w14:textId="77777777" w:rsidR="00967C7D" w:rsidRPr="00967C7D" w:rsidRDefault="00967C7D" w:rsidP="00967C7D">
            <w:pPr>
              <w:keepNext w:val="0"/>
              <w:spacing w:before="0"/>
              <w:rPr>
                <w:rFonts w:cs="Arial"/>
                <w:bCs/>
                <w:color w:val="auto"/>
                <w:sz w:val="20"/>
              </w:rPr>
            </w:pPr>
            <w:r w:rsidRPr="00967C7D">
              <w:rPr>
                <w:rFonts w:cs="Arial"/>
                <w:bCs/>
                <w:color w:val="auto"/>
                <w:sz w:val="20"/>
              </w:rPr>
              <w:t>North Sheet</w:t>
            </w:r>
          </w:p>
        </w:tc>
      </w:tr>
      <w:tr w:rsidR="00967C7D" w:rsidRPr="00967C7D" w14:paraId="0E2EEF1D" w14:textId="77777777" w:rsidTr="00B5314A">
        <w:trPr>
          <w:trHeight w:val="284"/>
        </w:trPr>
        <w:tc>
          <w:tcPr>
            <w:tcW w:w="1280" w:type="dxa"/>
          </w:tcPr>
          <w:p w14:paraId="18D1B1A0" w14:textId="77777777" w:rsidR="00967C7D" w:rsidRPr="00967C7D" w:rsidRDefault="00967C7D" w:rsidP="00967C7D">
            <w:pPr>
              <w:keepNext w:val="0"/>
              <w:spacing w:before="0"/>
              <w:rPr>
                <w:rFonts w:cs="Arial"/>
                <w:bCs/>
                <w:color w:val="auto"/>
                <w:sz w:val="20"/>
              </w:rPr>
            </w:pPr>
            <w:r w:rsidRPr="00967C7D">
              <w:rPr>
                <w:rFonts w:cs="Arial"/>
                <w:bCs/>
                <w:color w:val="auto"/>
                <w:sz w:val="20"/>
              </w:rPr>
              <w:t>EV5/242</w:t>
            </w:r>
          </w:p>
        </w:tc>
        <w:tc>
          <w:tcPr>
            <w:tcW w:w="6230" w:type="dxa"/>
            <w:noWrap/>
          </w:tcPr>
          <w:p w14:paraId="3F980CE2" w14:textId="77777777" w:rsidR="00967C7D" w:rsidRPr="00967C7D" w:rsidRDefault="00967C7D" w:rsidP="00967C7D">
            <w:pPr>
              <w:keepNext w:val="0"/>
              <w:spacing w:before="0"/>
              <w:rPr>
                <w:rFonts w:cs="Arial"/>
                <w:bCs/>
                <w:color w:val="auto"/>
                <w:sz w:val="20"/>
              </w:rPr>
            </w:pPr>
            <w:r w:rsidRPr="00967C7D">
              <w:rPr>
                <w:rFonts w:cs="Arial"/>
                <w:bCs/>
                <w:color w:val="auto"/>
                <w:sz w:val="20"/>
              </w:rPr>
              <w:t>Teversal Trail - Skegby to Teversal</w:t>
            </w:r>
          </w:p>
        </w:tc>
        <w:tc>
          <w:tcPr>
            <w:tcW w:w="1847" w:type="dxa"/>
            <w:noWrap/>
          </w:tcPr>
          <w:p w14:paraId="47331810" w14:textId="77777777" w:rsidR="00967C7D" w:rsidRPr="00967C7D" w:rsidRDefault="00967C7D" w:rsidP="00967C7D">
            <w:pPr>
              <w:keepNext w:val="0"/>
              <w:spacing w:before="0"/>
              <w:rPr>
                <w:rFonts w:cs="Arial"/>
                <w:bCs/>
                <w:color w:val="auto"/>
                <w:sz w:val="20"/>
              </w:rPr>
            </w:pPr>
            <w:r w:rsidRPr="00967C7D">
              <w:rPr>
                <w:rFonts w:cs="Arial"/>
                <w:bCs/>
                <w:color w:val="auto"/>
                <w:sz w:val="20"/>
              </w:rPr>
              <w:t>North Sheet</w:t>
            </w:r>
          </w:p>
        </w:tc>
      </w:tr>
      <w:tr w:rsidR="00967C7D" w:rsidRPr="00967C7D" w14:paraId="1710C6FA" w14:textId="77777777" w:rsidTr="00B5314A">
        <w:trPr>
          <w:trHeight w:val="284"/>
        </w:trPr>
        <w:tc>
          <w:tcPr>
            <w:tcW w:w="1280" w:type="dxa"/>
          </w:tcPr>
          <w:p w14:paraId="3997E215" w14:textId="77777777" w:rsidR="00967C7D" w:rsidRPr="00967C7D" w:rsidRDefault="00967C7D" w:rsidP="00967C7D">
            <w:pPr>
              <w:keepNext w:val="0"/>
              <w:spacing w:before="0"/>
              <w:rPr>
                <w:rFonts w:cs="Arial"/>
                <w:bCs/>
                <w:color w:val="auto"/>
                <w:sz w:val="20"/>
              </w:rPr>
            </w:pPr>
            <w:r w:rsidRPr="00967C7D">
              <w:rPr>
                <w:rFonts w:cs="Arial"/>
                <w:bCs/>
                <w:color w:val="auto"/>
                <w:sz w:val="20"/>
              </w:rPr>
              <w:t>EV5/243</w:t>
            </w:r>
          </w:p>
        </w:tc>
        <w:tc>
          <w:tcPr>
            <w:tcW w:w="6230" w:type="dxa"/>
            <w:noWrap/>
          </w:tcPr>
          <w:p w14:paraId="12C92276" w14:textId="77777777" w:rsidR="00967C7D" w:rsidRPr="00967C7D" w:rsidRDefault="00967C7D" w:rsidP="00967C7D">
            <w:pPr>
              <w:keepNext w:val="0"/>
              <w:spacing w:before="0"/>
              <w:rPr>
                <w:rFonts w:cs="Arial"/>
                <w:bCs/>
                <w:color w:val="auto"/>
                <w:sz w:val="20"/>
              </w:rPr>
            </w:pPr>
            <w:r w:rsidRPr="00967C7D">
              <w:rPr>
                <w:rFonts w:cs="Arial"/>
                <w:bCs/>
                <w:color w:val="auto"/>
                <w:sz w:val="20"/>
              </w:rPr>
              <w:t>Pleasley to Teversal Footpath</w:t>
            </w:r>
          </w:p>
        </w:tc>
        <w:tc>
          <w:tcPr>
            <w:tcW w:w="1847" w:type="dxa"/>
            <w:noWrap/>
          </w:tcPr>
          <w:p w14:paraId="493BD2BF" w14:textId="77777777" w:rsidR="00967C7D" w:rsidRPr="00967C7D" w:rsidRDefault="00967C7D" w:rsidP="00967C7D">
            <w:pPr>
              <w:keepNext w:val="0"/>
              <w:spacing w:before="0"/>
              <w:rPr>
                <w:rFonts w:cs="Arial"/>
                <w:bCs/>
                <w:color w:val="auto"/>
                <w:sz w:val="20"/>
              </w:rPr>
            </w:pPr>
            <w:r w:rsidRPr="00967C7D">
              <w:rPr>
                <w:rFonts w:cs="Arial"/>
                <w:bCs/>
                <w:color w:val="auto"/>
                <w:sz w:val="20"/>
              </w:rPr>
              <w:t>North Sheet</w:t>
            </w:r>
          </w:p>
        </w:tc>
      </w:tr>
      <w:tr w:rsidR="00967C7D" w:rsidRPr="00967C7D" w14:paraId="733CF75E" w14:textId="77777777" w:rsidTr="00B5314A">
        <w:trPr>
          <w:trHeight w:val="284"/>
        </w:trPr>
        <w:tc>
          <w:tcPr>
            <w:tcW w:w="1280" w:type="dxa"/>
          </w:tcPr>
          <w:p w14:paraId="79AE1346" w14:textId="77777777" w:rsidR="00967C7D" w:rsidRPr="00967C7D" w:rsidRDefault="00967C7D" w:rsidP="00967C7D">
            <w:pPr>
              <w:keepNext w:val="0"/>
              <w:spacing w:before="0"/>
              <w:rPr>
                <w:rFonts w:cs="Arial"/>
                <w:bCs/>
                <w:color w:val="auto"/>
                <w:sz w:val="20"/>
              </w:rPr>
            </w:pPr>
            <w:r w:rsidRPr="00967C7D">
              <w:rPr>
                <w:rFonts w:cs="Arial"/>
                <w:bCs/>
                <w:color w:val="auto"/>
                <w:sz w:val="20"/>
              </w:rPr>
              <w:t>EV5/244</w:t>
            </w:r>
          </w:p>
        </w:tc>
        <w:tc>
          <w:tcPr>
            <w:tcW w:w="6230" w:type="dxa"/>
            <w:noWrap/>
          </w:tcPr>
          <w:p w14:paraId="262655F3" w14:textId="77777777" w:rsidR="00967C7D" w:rsidRPr="00967C7D" w:rsidRDefault="00967C7D" w:rsidP="00967C7D">
            <w:pPr>
              <w:keepNext w:val="0"/>
              <w:spacing w:before="0"/>
              <w:rPr>
                <w:rFonts w:cs="Arial"/>
                <w:bCs/>
                <w:color w:val="auto"/>
                <w:sz w:val="20"/>
              </w:rPr>
            </w:pPr>
            <w:r w:rsidRPr="00967C7D">
              <w:rPr>
                <w:rFonts w:cs="Arial"/>
                <w:bCs/>
                <w:color w:val="auto"/>
                <w:sz w:val="20"/>
              </w:rPr>
              <w:t>Teversal Recreation Ground</w:t>
            </w:r>
          </w:p>
        </w:tc>
        <w:tc>
          <w:tcPr>
            <w:tcW w:w="1847" w:type="dxa"/>
            <w:noWrap/>
          </w:tcPr>
          <w:p w14:paraId="27BC05F3" w14:textId="77777777" w:rsidR="00967C7D" w:rsidRPr="00967C7D" w:rsidRDefault="00967C7D" w:rsidP="00967C7D">
            <w:pPr>
              <w:keepNext w:val="0"/>
              <w:spacing w:before="0"/>
              <w:rPr>
                <w:rFonts w:cs="Arial"/>
                <w:bCs/>
                <w:color w:val="auto"/>
                <w:sz w:val="20"/>
              </w:rPr>
            </w:pPr>
            <w:r w:rsidRPr="00967C7D">
              <w:rPr>
                <w:rFonts w:cs="Arial"/>
                <w:bCs/>
                <w:color w:val="auto"/>
                <w:sz w:val="20"/>
              </w:rPr>
              <w:t>North Sheet</w:t>
            </w:r>
          </w:p>
        </w:tc>
      </w:tr>
      <w:tr w:rsidR="00967C7D" w:rsidRPr="00967C7D" w14:paraId="724A0A96" w14:textId="77777777" w:rsidTr="00B5314A">
        <w:trPr>
          <w:trHeight w:val="284"/>
        </w:trPr>
        <w:tc>
          <w:tcPr>
            <w:tcW w:w="1280" w:type="dxa"/>
          </w:tcPr>
          <w:p w14:paraId="04EAC4EB" w14:textId="77777777" w:rsidR="00967C7D" w:rsidRPr="00967C7D" w:rsidRDefault="00967C7D" w:rsidP="00967C7D">
            <w:pPr>
              <w:keepNext w:val="0"/>
              <w:spacing w:before="0"/>
              <w:rPr>
                <w:rFonts w:cs="Arial"/>
                <w:bCs/>
                <w:color w:val="auto"/>
                <w:sz w:val="20"/>
              </w:rPr>
            </w:pPr>
            <w:r w:rsidRPr="00967C7D">
              <w:rPr>
                <w:rFonts w:cs="Arial"/>
                <w:bCs/>
                <w:color w:val="auto"/>
                <w:sz w:val="20"/>
              </w:rPr>
              <w:t>EV5/245</w:t>
            </w:r>
          </w:p>
        </w:tc>
        <w:tc>
          <w:tcPr>
            <w:tcW w:w="6230" w:type="dxa"/>
            <w:noWrap/>
          </w:tcPr>
          <w:p w14:paraId="3D9110E9" w14:textId="77777777" w:rsidR="00967C7D" w:rsidRPr="00967C7D" w:rsidRDefault="00967C7D" w:rsidP="00967C7D">
            <w:pPr>
              <w:keepNext w:val="0"/>
              <w:spacing w:before="0"/>
              <w:rPr>
                <w:rFonts w:cs="Arial"/>
                <w:bCs/>
                <w:color w:val="auto"/>
                <w:sz w:val="20"/>
              </w:rPr>
            </w:pPr>
            <w:r w:rsidRPr="00967C7D">
              <w:rPr>
                <w:rFonts w:cs="Arial"/>
                <w:bCs/>
                <w:color w:val="auto"/>
                <w:sz w:val="20"/>
              </w:rPr>
              <w:t>Silverhill Country Park</w:t>
            </w:r>
          </w:p>
        </w:tc>
        <w:tc>
          <w:tcPr>
            <w:tcW w:w="1847" w:type="dxa"/>
            <w:noWrap/>
          </w:tcPr>
          <w:p w14:paraId="01429490" w14:textId="77777777" w:rsidR="00967C7D" w:rsidRPr="00967C7D" w:rsidRDefault="00967C7D" w:rsidP="00967C7D">
            <w:pPr>
              <w:keepNext w:val="0"/>
              <w:spacing w:before="0"/>
              <w:rPr>
                <w:rFonts w:cs="Arial"/>
                <w:bCs/>
                <w:color w:val="auto"/>
                <w:sz w:val="20"/>
              </w:rPr>
            </w:pPr>
            <w:r w:rsidRPr="00967C7D">
              <w:rPr>
                <w:rFonts w:cs="Arial"/>
                <w:bCs/>
                <w:color w:val="auto"/>
                <w:sz w:val="20"/>
              </w:rPr>
              <w:t>North Sheet</w:t>
            </w:r>
          </w:p>
        </w:tc>
      </w:tr>
      <w:tr w:rsidR="00967C7D" w:rsidRPr="00967C7D" w14:paraId="741471DE" w14:textId="77777777" w:rsidTr="00B5314A">
        <w:trPr>
          <w:trHeight w:val="284"/>
        </w:trPr>
        <w:tc>
          <w:tcPr>
            <w:tcW w:w="1280" w:type="dxa"/>
          </w:tcPr>
          <w:p w14:paraId="1D851821" w14:textId="77777777" w:rsidR="00967C7D" w:rsidRPr="00967C7D" w:rsidRDefault="00967C7D" w:rsidP="00967C7D">
            <w:pPr>
              <w:keepNext w:val="0"/>
              <w:spacing w:before="0"/>
              <w:rPr>
                <w:rFonts w:cs="Arial"/>
                <w:bCs/>
                <w:color w:val="auto"/>
                <w:sz w:val="20"/>
              </w:rPr>
            </w:pPr>
            <w:r w:rsidRPr="00967C7D">
              <w:rPr>
                <w:rFonts w:cs="Arial"/>
                <w:bCs/>
                <w:color w:val="auto"/>
                <w:sz w:val="20"/>
              </w:rPr>
              <w:t>EV5/246</w:t>
            </w:r>
          </w:p>
        </w:tc>
        <w:tc>
          <w:tcPr>
            <w:tcW w:w="6230" w:type="dxa"/>
            <w:noWrap/>
          </w:tcPr>
          <w:p w14:paraId="15FB5DC4" w14:textId="77777777" w:rsidR="00967C7D" w:rsidRPr="00967C7D" w:rsidRDefault="00967C7D" w:rsidP="00967C7D">
            <w:pPr>
              <w:keepNext w:val="0"/>
              <w:spacing w:before="0"/>
              <w:rPr>
                <w:rFonts w:cs="Arial"/>
                <w:bCs/>
                <w:color w:val="auto"/>
                <w:sz w:val="20"/>
              </w:rPr>
            </w:pPr>
            <w:r w:rsidRPr="00967C7D">
              <w:rPr>
                <w:rFonts w:cs="Arial"/>
                <w:bCs/>
                <w:color w:val="auto"/>
                <w:sz w:val="20"/>
              </w:rPr>
              <w:t>Teversal Trail - Skegby to Pleasley</w:t>
            </w:r>
          </w:p>
        </w:tc>
        <w:tc>
          <w:tcPr>
            <w:tcW w:w="1847" w:type="dxa"/>
            <w:noWrap/>
          </w:tcPr>
          <w:p w14:paraId="6748EF62" w14:textId="77777777" w:rsidR="00967C7D" w:rsidRPr="00967C7D" w:rsidRDefault="00967C7D" w:rsidP="00967C7D">
            <w:pPr>
              <w:keepNext w:val="0"/>
              <w:spacing w:before="0"/>
              <w:rPr>
                <w:rFonts w:cs="Arial"/>
                <w:bCs/>
                <w:color w:val="auto"/>
                <w:sz w:val="20"/>
              </w:rPr>
            </w:pPr>
            <w:r w:rsidRPr="00967C7D">
              <w:rPr>
                <w:rFonts w:cs="Arial"/>
                <w:bCs/>
                <w:color w:val="auto"/>
                <w:sz w:val="20"/>
              </w:rPr>
              <w:t>North Sheet</w:t>
            </w:r>
          </w:p>
        </w:tc>
      </w:tr>
      <w:tr w:rsidR="00967C7D" w:rsidRPr="00967C7D" w14:paraId="5C75D97C" w14:textId="77777777" w:rsidTr="00B5314A">
        <w:trPr>
          <w:trHeight w:val="284"/>
        </w:trPr>
        <w:tc>
          <w:tcPr>
            <w:tcW w:w="1280" w:type="dxa"/>
          </w:tcPr>
          <w:p w14:paraId="4F6147BC" w14:textId="77777777" w:rsidR="00967C7D" w:rsidRPr="00967C7D" w:rsidRDefault="00967C7D" w:rsidP="00967C7D">
            <w:pPr>
              <w:keepNext w:val="0"/>
              <w:spacing w:before="0"/>
              <w:rPr>
                <w:rFonts w:cs="Arial"/>
                <w:bCs/>
                <w:color w:val="auto"/>
                <w:sz w:val="20"/>
              </w:rPr>
            </w:pPr>
            <w:r w:rsidRPr="00967C7D">
              <w:rPr>
                <w:rFonts w:cs="Arial"/>
                <w:bCs/>
                <w:color w:val="auto"/>
                <w:sz w:val="20"/>
              </w:rPr>
              <w:t>EV5/247</w:t>
            </w:r>
          </w:p>
        </w:tc>
        <w:tc>
          <w:tcPr>
            <w:tcW w:w="6230" w:type="dxa"/>
            <w:noWrap/>
          </w:tcPr>
          <w:p w14:paraId="6209DB53" w14:textId="77777777" w:rsidR="00967C7D" w:rsidRPr="00967C7D" w:rsidRDefault="00967C7D" w:rsidP="00967C7D">
            <w:pPr>
              <w:keepNext w:val="0"/>
              <w:spacing w:before="0"/>
              <w:rPr>
                <w:rFonts w:cs="Arial"/>
                <w:bCs/>
                <w:color w:val="auto"/>
                <w:sz w:val="20"/>
              </w:rPr>
            </w:pPr>
            <w:r w:rsidRPr="00967C7D">
              <w:rPr>
                <w:rFonts w:cs="Arial"/>
                <w:bCs/>
                <w:color w:val="auto"/>
                <w:sz w:val="20"/>
              </w:rPr>
              <w:t xml:space="preserve">Teversal to </w:t>
            </w:r>
            <w:proofErr w:type="spellStart"/>
            <w:r w:rsidRPr="00967C7D">
              <w:rPr>
                <w:rFonts w:cs="Arial"/>
                <w:bCs/>
                <w:color w:val="auto"/>
                <w:sz w:val="20"/>
              </w:rPr>
              <w:t>Blackholme</w:t>
            </w:r>
            <w:proofErr w:type="spellEnd"/>
          </w:p>
        </w:tc>
        <w:tc>
          <w:tcPr>
            <w:tcW w:w="1847" w:type="dxa"/>
            <w:noWrap/>
          </w:tcPr>
          <w:p w14:paraId="2F2FEBCD" w14:textId="77777777" w:rsidR="00967C7D" w:rsidRPr="00967C7D" w:rsidRDefault="00967C7D" w:rsidP="00967C7D">
            <w:pPr>
              <w:keepNext w:val="0"/>
              <w:spacing w:before="0"/>
              <w:rPr>
                <w:rFonts w:cs="Arial"/>
                <w:bCs/>
                <w:color w:val="auto"/>
                <w:sz w:val="20"/>
              </w:rPr>
            </w:pPr>
            <w:r w:rsidRPr="00967C7D">
              <w:rPr>
                <w:rFonts w:cs="Arial"/>
                <w:bCs/>
                <w:color w:val="auto"/>
                <w:sz w:val="20"/>
              </w:rPr>
              <w:t>North Sheet</w:t>
            </w:r>
          </w:p>
        </w:tc>
      </w:tr>
      <w:tr w:rsidR="00967C7D" w:rsidRPr="00967C7D" w14:paraId="26E9F9AC" w14:textId="77777777" w:rsidTr="00B5314A">
        <w:trPr>
          <w:trHeight w:val="284"/>
        </w:trPr>
        <w:tc>
          <w:tcPr>
            <w:tcW w:w="1280" w:type="dxa"/>
          </w:tcPr>
          <w:p w14:paraId="302544DC" w14:textId="77777777" w:rsidR="00967C7D" w:rsidRPr="00967C7D" w:rsidRDefault="00967C7D" w:rsidP="00967C7D">
            <w:pPr>
              <w:keepNext w:val="0"/>
              <w:spacing w:before="0"/>
              <w:rPr>
                <w:rFonts w:cs="Arial"/>
                <w:bCs/>
                <w:color w:val="auto"/>
                <w:sz w:val="20"/>
              </w:rPr>
            </w:pPr>
            <w:r w:rsidRPr="00967C7D">
              <w:rPr>
                <w:rFonts w:cs="Arial"/>
                <w:bCs/>
                <w:color w:val="auto"/>
                <w:sz w:val="20"/>
              </w:rPr>
              <w:t>EV5/248</w:t>
            </w:r>
          </w:p>
        </w:tc>
        <w:tc>
          <w:tcPr>
            <w:tcW w:w="6230" w:type="dxa"/>
            <w:noWrap/>
          </w:tcPr>
          <w:p w14:paraId="20CF8B75" w14:textId="2D4047D1" w:rsidR="00967C7D" w:rsidRPr="00967C7D" w:rsidRDefault="00967C7D" w:rsidP="00737B22">
            <w:pPr>
              <w:keepNext w:val="0"/>
              <w:tabs>
                <w:tab w:val="left" w:pos="2235"/>
              </w:tabs>
              <w:spacing w:before="0"/>
              <w:rPr>
                <w:rFonts w:cs="Arial"/>
                <w:bCs/>
                <w:color w:val="auto"/>
                <w:sz w:val="20"/>
              </w:rPr>
            </w:pPr>
            <w:r w:rsidRPr="00967C7D">
              <w:rPr>
                <w:rFonts w:cs="Arial"/>
                <w:bCs/>
                <w:color w:val="auto"/>
                <w:sz w:val="20"/>
              </w:rPr>
              <w:t>Hardwick Fields</w:t>
            </w:r>
            <w:r w:rsidR="00737B22">
              <w:rPr>
                <w:rFonts w:cs="Arial"/>
                <w:bCs/>
                <w:color w:val="auto"/>
                <w:sz w:val="20"/>
              </w:rPr>
              <w:tab/>
            </w:r>
          </w:p>
        </w:tc>
        <w:tc>
          <w:tcPr>
            <w:tcW w:w="1847" w:type="dxa"/>
            <w:noWrap/>
          </w:tcPr>
          <w:p w14:paraId="5525D1AF" w14:textId="77777777" w:rsidR="00967C7D" w:rsidRPr="00967C7D" w:rsidRDefault="00967C7D" w:rsidP="00967C7D">
            <w:pPr>
              <w:keepNext w:val="0"/>
              <w:spacing w:before="0"/>
              <w:rPr>
                <w:rFonts w:cs="Arial"/>
                <w:bCs/>
                <w:color w:val="auto"/>
                <w:sz w:val="20"/>
              </w:rPr>
            </w:pPr>
            <w:r w:rsidRPr="00967C7D">
              <w:rPr>
                <w:rFonts w:cs="Arial"/>
                <w:bCs/>
                <w:color w:val="auto"/>
                <w:sz w:val="20"/>
              </w:rPr>
              <w:t>North Sheet</w:t>
            </w:r>
          </w:p>
        </w:tc>
      </w:tr>
      <w:tr w:rsidR="00967C7D" w:rsidRPr="00967C7D" w14:paraId="694073E5" w14:textId="77777777" w:rsidTr="00B5314A">
        <w:trPr>
          <w:trHeight w:val="284"/>
        </w:trPr>
        <w:tc>
          <w:tcPr>
            <w:tcW w:w="1280" w:type="dxa"/>
          </w:tcPr>
          <w:p w14:paraId="791BFFD1" w14:textId="77777777" w:rsidR="00967C7D" w:rsidRPr="00967C7D" w:rsidRDefault="00967C7D" w:rsidP="00967C7D">
            <w:pPr>
              <w:keepNext w:val="0"/>
              <w:spacing w:before="0"/>
              <w:rPr>
                <w:rFonts w:cs="Arial"/>
                <w:bCs/>
                <w:color w:val="auto"/>
                <w:sz w:val="20"/>
              </w:rPr>
            </w:pPr>
            <w:r w:rsidRPr="00967C7D">
              <w:rPr>
                <w:rFonts w:cs="Arial"/>
                <w:bCs/>
                <w:color w:val="auto"/>
                <w:sz w:val="20"/>
              </w:rPr>
              <w:t>EV5/249</w:t>
            </w:r>
          </w:p>
        </w:tc>
        <w:tc>
          <w:tcPr>
            <w:tcW w:w="6230" w:type="dxa"/>
            <w:noWrap/>
          </w:tcPr>
          <w:p w14:paraId="4231E7F1" w14:textId="77777777" w:rsidR="00967C7D" w:rsidRPr="00967C7D" w:rsidRDefault="00967C7D" w:rsidP="00967C7D">
            <w:pPr>
              <w:keepNext w:val="0"/>
              <w:spacing w:before="0"/>
              <w:rPr>
                <w:rFonts w:cs="Arial"/>
                <w:bCs/>
                <w:color w:val="auto"/>
                <w:sz w:val="20"/>
              </w:rPr>
            </w:pPr>
            <w:r w:rsidRPr="00967C7D">
              <w:rPr>
                <w:rFonts w:cs="Arial"/>
                <w:bCs/>
                <w:color w:val="auto"/>
                <w:sz w:val="20"/>
              </w:rPr>
              <w:t>Lady Spencer's Wood</w:t>
            </w:r>
          </w:p>
        </w:tc>
        <w:tc>
          <w:tcPr>
            <w:tcW w:w="1847" w:type="dxa"/>
            <w:noWrap/>
          </w:tcPr>
          <w:p w14:paraId="0F9BDB80" w14:textId="77777777" w:rsidR="00967C7D" w:rsidRPr="00967C7D" w:rsidRDefault="00967C7D" w:rsidP="00967C7D">
            <w:pPr>
              <w:keepNext w:val="0"/>
              <w:spacing w:before="0"/>
              <w:rPr>
                <w:rFonts w:cs="Arial"/>
                <w:bCs/>
                <w:color w:val="auto"/>
                <w:sz w:val="20"/>
              </w:rPr>
            </w:pPr>
            <w:r w:rsidRPr="00967C7D">
              <w:rPr>
                <w:rFonts w:cs="Arial"/>
                <w:bCs/>
                <w:color w:val="auto"/>
                <w:sz w:val="20"/>
              </w:rPr>
              <w:t>North Sheet</w:t>
            </w:r>
          </w:p>
        </w:tc>
      </w:tr>
      <w:tr w:rsidR="000B6AA8" w:rsidRPr="00967C7D" w14:paraId="202B472F" w14:textId="77777777" w:rsidTr="00B5314A">
        <w:trPr>
          <w:trHeight w:val="284"/>
        </w:trPr>
        <w:tc>
          <w:tcPr>
            <w:tcW w:w="1280" w:type="dxa"/>
          </w:tcPr>
          <w:p w14:paraId="777A6F47" w14:textId="00910528" w:rsidR="000B6AA8" w:rsidRPr="00967C7D" w:rsidRDefault="000B6AA8" w:rsidP="00967C7D">
            <w:pPr>
              <w:keepNext w:val="0"/>
              <w:spacing w:before="0"/>
              <w:rPr>
                <w:rFonts w:cs="Arial"/>
                <w:bCs/>
                <w:color w:val="auto"/>
                <w:sz w:val="20"/>
              </w:rPr>
            </w:pPr>
            <w:r>
              <w:rPr>
                <w:rFonts w:cs="Arial"/>
                <w:bCs/>
                <w:color w:val="auto"/>
                <w:sz w:val="20"/>
              </w:rPr>
              <w:t>EV5/250</w:t>
            </w:r>
          </w:p>
        </w:tc>
        <w:tc>
          <w:tcPr>
            <w:tcW w:w="6230" w:type="dxa"/>
            <w:noWrap/>
          </w:tcPr>
          <w:p w14:paraId="2F0BE9BC" w14:textId="61CBCE19" w:rsidR="000B6AA8" w:rsidRPr="00967C7D" w:rsidRDefault="000B6AA8" w:rsidP="00967C7D">
            <w:pPr>
              <w:keepNext w:val="0"/>
              <w:spacing w:before="0"/>
              <w:rPr>
                <w:rFonts w:cs="Arial"/>
                <w:bCs/>
                <w:color w:val="auto"/>
                <w:sz w:val="20"/>
              </w:rPr>
            </w:pPr>
            <w:r>
              <w:rPr>
                <w:rFonts w:cs="Arial"/>
                <w:bCs/>
                <w:color w:val="auto"/>
                <w:sz w:val="20"/>
              </w:rPr>
              <w:t>Shepherd Street</w:t>
            </w:r>
          </w:p>
        </w:tc>
        <w:tc>
          <w:tcPr>
            <w:tcW w:w="1847" w:type="dxa"/>
            <w:noWrap/>
          </w:tcPr>
          <w:p w14:paraId="77129D59" w14:textId="314058C6" w:rsidR="000B6AA8" w:rsidRPr="00967C7D" w:rsidRDefault="000B6AA8" w:rsidP="00967C7D">
            <w:pPr>
              <w:keepNext w:val="0"/>
              <w:spacing w:before="0"/>
              <w:rPr>
                <w:rFonts w:cs="Arial"/>
                <w:bCs/>
                <w:color w:val="auto"/>
                <w:sz w:val="20"/>
              </w:rPr>
            </w:pPr>
            <w:r>
              <w:rPr>
                <w:rFonts w:cs="Arial"/>
                <w:bCs/>
                <w:color w:val="auto"/>
                <w:sz w:val="20"/>
              </w:rPr>
              <w:t>South Sheet</w:t>
            </w:r>
          </w:p>
        </w:tc>
      </w:tr>
      <w:tr w:rsidR="000B6AA8" w:rsidRPr="00967C7D" w14:paraId="6DBF33B4" w14:textId="77777777" w:rsidTr="00B5314A">
        <w:trPr>
          <w:trHeight w:val="284"/>
        </w:trPr>
        <w:tc>
          <w:tcPr>
            <w:tcW w:w="1280" w:type="dxa"/>
          </w:tcPr>
          <w:p w14:paraId="6B29C6C1" w14:textId="67A4D71D" w:rsidR="000B6AA8" w:rsidRPr="00967C7D" w:rsidRDefault="000B6AA8" w:rsidP="00967C7D">
            <w:pPr>
              <w:keepNext w:val="0"/>
              <w:spacing w:before="0"/>
              <w:rPr>
                <w:rFonts w:cs="Arial"/>
                <w:bCs/>
                <w:color w:val="auto"/>
                <w:sz w:val="20"/>
              </w:rPr>
            </w:pPr>
            <w:r>
              <w:rPr>
                <w:rFonts w:cs="Arial"/>
                <w:bCs/>
                <w:color w:val="auto"/>
                <w:sz w:val="20"/>
              </w:rPr>
              <w:t>EV5/251</w:t>
            </w:r>
          </w:p>
        </w:tc>
        <w:tc>
          <w:tcPr>
            <w:tcW w:w="6230" w:type="dxa"/>
            <w:noWrap/>
          </w:tcPr>
          <w:p w14:paraId="3CBAC423" w14:textId="765FA75A" w:rsidR="000B6AA8" w:rsidRPr="00967C7D" w:rsidRDefault="000B6AA8" w:rsidP="00967C7D">
            <w:pPr>
              <w:keepNext w:val="0"/>
              <w:spacing w:before="0"/>
              <w:rPr>
                <w:rFonts w:cs="Arial"/>
                <w:bCs/>
                <w:color w:val="auto"/>
                <w:sz w:val="20"/>
              </w:rPr>
            </w:pPr>
            <w:r>
              <w:rPr>
                <w:rFonts w:cs="Arial"/>
                <w:bCs/>
                <w:color w:val="auto"/>
                <w:sz w:val="20"/>
              </w:rPr>
              <w:t>Airfield Way</w:t>
            </w:r>
          </w:p>
        </w:tc>
        <w:tc>
          <w:tcPr>
            <w:tcW w:w="1847" w:type="dxa"/>
            <w:noWrap/>
          </w:tcPr>
          <w:p w14:paraId="64034D73" w14:textId="573AB06F" w:rsidR="000B6AA8" w:rsidRPr="00967C7D" w:rsidRDefault="000B6AA8" w:rsidP="00967C7D">
            <w:pPr>
              <w:keepNext w:val="0"/>
              <w:spacing w:before="0"/>
              <w:rPr>
                <w:rFonts w:cs="Arial"/>
                <w:bCs/>
                <w:color w:val="auto"/>
                <w:sz w:val="20"/>
              </w:rPr>
            </w:pPr>
            <w:r>
              <w:rPr>
                <w:rFonts w:cs="Arial"/>
                <w:bCs/>
                <w:color w:val="auto"/>
                <w:sz w:val="20"/>
              </w:rPr>
              <w:t>South Sheet</w:t>
            </w:r>
          </w:p>
        </w:tc>
      </w:tr>
      <w:tr w:rsidR="000B6AA8" w:rsidRPr="00967C7D" w14:paraId="58D4C235" w14:textId="77777777" w:rsidTr="00B5314A">
        <w:trPr>
          <w:trHeight w:val="284"/>
        </w:trPr>
        <w:tc>
          <w:tcPr>
            <w:tcW w:w="1280" w:type="dxa"/>
          </w:tcPr>
          <w:p w14:paraId="4A37A93C" w14:textId="76B5A626" w:rsidR="000B6AA8" w:rsidRPr="00967C7D" w:rsidRDefault="000B6AA8" w:rsidP="00967C7D">
            <w:pPr>
              <w:keepNext w:val="0"/>
              <w:spacing w:before="0"/>
              <w:rPr>
                <w:rFonts w:cs="Arial"/>
                <w:bCs/>
                <w:color w:val="auto"/>
                <w:sz w:val="20"/>
              </w:rPr>
            </w:pPr>
            <w:r>
              <w:rPr>
                <w:rFonts w:cs="Arial"/>
                <w:bCs/>
                <w:color w:val="auto"/>
                <w:sz w:val="20"/>
              </w:rPr>
              <w:t>EV5/252</w:t>
            </w:r>
          </w:p>
        </w:tc>
        <w:tc>
          <w:tcPr>
            <w:tcW w:w="6230" w:type="dxa"/>
            <w:noWrap/>
          </w:tcPr>
          <w:p w14:paraId="5464342B" w14:textId="0B5E1F35" w:rsidR="000B6AA8" w:rsidRPr="00967C7D" w:rsidRDefault="000B6AA8" w:rsidP="00967C7D">
            <w:pPr>
              <w:keepNext w:val="0"/>
              <w:spacing w:before="0"/>
              <w:rPr>
                <w:rFonts w:cs="Arial"/>
                <w:bCs/>
                <w:color w:val="auto"/>
                <w:sz w:val="20"/>
              </w:rPr>
            </w:pPr>
            <w:proofErr w:type="spellStart"/>
            <w:r>
              <w:rPr>
                <w:rFonts w:cs="Arial"/>
                <w:bCs/>
                <w:color w:val="auto"/>
                <w:sz w:val="20"/>
              </w:rPr>
              <w:t>Kenbrook</w:t>
            </w:r>
            <w:proofErr w:type="spellEnd"/>
            <w:r>
              <w:rPr>
                <w:rFonts w:cs="Arial"/>
                <w:bCs/>
                <w:color w:val="auto"/>
                <w:sz w:val="20"/>
              </w:rPr>
              <w:t xml:space="preserve"> Road</w:t>
            </w:r>
          </w:p>
        </w:tc>
        <w:tc>
          <w:tcPr>
            <w:tcW w:w="1847" w:type="dxa"/>
            <w:noWrap/>
          </w:tcPr>
          <w:p w14:paraId="23323981" w14:textId="527515A5" w:rsidR="000B6AA8" w:rsidRPr="00967C7D" w:rsidRDefault="000B6AA8" w:rsidP="00967C7D">
            <w:pPr>
              <w:keepNext w:val="0"/>
              <w:spacing w:before="0"/>
              <w:rPr>
                <w:rFonts w:cs="Arial"/>
                <w:bCs/>
                <w:color w:val="auto"/>
                <w:sz w:val="20"/>
              </w:rPr>
            </w:pPr>
            <w:r>
              <w:rPr>
                <w:rFonts w:cs="Arial"/>
                <w:bCs/>
                <w:color w:val="auto"/>
                <w:sz w:val="20"/>
              </w:rPr>
              <w:t>South Sheet</w:t>
            </w:r>
          </w:p>
        </w:tc>
      </w:tr>
      <w:tr w:rsidR="000B6AA8" w:rsidRPr="00967C7D" w14:paraId="494D81C5" w14:textId="77777777" w:rsidTr="00B5314A">
        <w:trPr>
          <w:trHeight w:val="284"/>
        </w:trPr>
        <w:tc>
          <w:tcPr>
            <w:tcW w:w="1280" w:type="dxa"/>
          </w:tcPr>
          <w:p w14:paraId="0A5E2A96" w14:textId="28F0347F" w:rsidR="000B6AA8" w:rsidRPr="00967C7D" w:rsidRDefault="000B6AA8" w:rsidP="00967C7D">
            <w:pPr>
              <w:keepNext w:val="0"/>
              <w:spacing w:before="0"/>
              <w:rPr>
                <w:rFonts w:cs="Arial"/>
                <w:bCs/>
                <w:color w:val="auto"/>
                <w:sz w:val="20"/>
              </w:rPr>
            </w:pPr>
            <w:r>
              <w:rPr>
                <w:rFonts w:cs="Arial"/>
                <w:bCs/>
                <w:color w:val="auto"/>
                <w:sz w:val="20"/>
              </w:rPr>
              <w:t>EV5/253</w:t>
            </w:r>
          </w:p>
        </w:tc>
        <w:tc>
          <w:tcPr>
            <w:tcW w:w="6230" w:type="dxa"/>
            <w:noWrap/>
          </w:tcPr>
          <w:p w14:paraId="59947762" w14:textId="49D199D7" w:rsidR="000B6AA8" w:rsidRPr="00967C7D" w:rsidRDefault="000B6AA8" w:rsidP="00967C7D">
            <w:pPr>
              <w:keepNext w:val="0"/>
              <w:spacing w:before="0"/>
              <w:rPr>
                <w:rFonts w:cs="Arial"/>
                <w:bCs/>
                <w:color w:val="auto"/>
                <w:sz w:val="20"/>
              </w:rPr>
            </w:pPr>
            <w:r>
              <w:rPr>
                <w:rFonts w:cs="Arial"/>
                <w:bCs/>
                <w:color w:val="auto"/>
                <w:sz w:val="20"/>
              </w:rPr>
              <w:t>Red Kite Close</w:t>
            </w:r>
          </w:p>
        </w:tc>
        <w:tc>
          <w:tcPr>
            <w:tcW w:w="1847" w:type="dxa"/>
            <w:noWrap/>
          </w:tcPr>
          <w:p w14:paraId="2FB4E1F7" w14:textId="30A220DF" w:rsidR="000B6AA8" w:rsidRPr="00967C7D" w:rsidRDefault="000B6AA8" w:rsidP="00967C7D">
            <w:pPr>
              <w:keepNext w:val="0"/>
              <w:spacing w:before="0"/>
              <w:rPr>
                <w:rFonts w:cs="Arial"/>
                <w:bCs/>
                <w:color w:val="auto"/>
                <w:sz w:val="20"/>
              </w:rPr>
            </w:pPr>
            <w:r>
              <w:rPr>
                <w:rFonts w:cs="Arial"/>
                <w:bCs/>
                <w:color w:val="auto"/>
                <w:sz w:val="20"/>
              </w:rPr>
              <w:t>South Sheet</w:t>
            </w:r>
          </w:p>
        </w:tc>
      </w:tr>
      <w:tr w:rsidR="000B6AA8" w:rsidRPr="00967C7D" w14:paraId="40BD4E69" w14:textId="77777777" w:rsidTr="00B5314A">
        <w:trPr>
          <w:trHeight w:val="284"/>
        </w:trPr>
        <w:tc>
          <w:tcPr>
            <w:tcW w:w="1280" w:type="dxa"/>
          </w:tcPr>
          <w:p w14:paraId="0134A208" w14:textId="6345EA3B" w:rsidR="000B6AA8" w:rsidRPr="00967C7D" w:rsidRDefault="000B6AA8" w:rsidP="00967C7D">
            <w:pPr>
              <w:keepNext w:val="0"/>
              <w:spacing w:before="0"/>
              <w:rPr>
                <w:rFonts w:cs="Arial"/>
                <w:bCs/>
                <w:color w:val="auto"/>
                <w:sz w:val="20"/>
              </w:rPr>
            </w:pPr>
            <w:r>
              <w:rPr>
                <w:rFonts w:cs="Arial"/>
                <w:bCs/>
                <w:color w:val="auto"/>
                <w:sz w:val="20"/>
              </w:rPr>
              <w:t>EV5/254</w:t>
            </w:r>
          </w:p>
        </w:tc>
        <w:tc>
          <w:tcPr>
            <w:tcW w:w="6230" w:type="dxa"/>
            <w:noWrap/>
          </w:tcPr>
          <w:p w14:paraId="5B38C0FB" w14:textId="4C05CBB8" w:rsidR="000B6AA8" w:rsidRPr="00967C7D" w:rsidRDefault="000B6AA8" w:rsidP="00967C7D">
            <w:pPr>
              <w:keepNext w:val="0"/>
              <w:spacing w:before="0"/>
              <w:rPr>
                <w:rFonts w:cs="Arial"/>
                <w:bCs/>
                <w:color w:val="auto"/>
                <w:sz w:val="20"/>
              </w:rPr>
            </w:pPr>
            <w:proofErr w:type="spellStart"/>
            <w:r>
              <w:rPr>
                <w:rFonts w:cs="Arial"/>
                <w:bCs/>
                <w:color w:val="auto"/>
                <w:sz w:val="20"/>
              </w:rPr>
              <w:t>Emporer’s</w:t>
            </w:r>
            <w:proofErr w:type="spellEnd"/>
            <w:r>
              <w:rPr>
                <w:rFonts w:cs="Arial"/>
                <w:bCs/>
                <w:color w:val="auto"/>
                <w:sz w:val="20"/>
              </w:rPr>
              <w:t xml:space="preserve"> Way</w:t>
            </w:r>
          </w:p>
        </w:tc>
        <w:tc>
          <w:tcPr>
            <w:tcW w:w="1847" w:type="dxa"/>
            <w:noWrap/>
          </w:tcPr>
          <w:p w14:paraId="2B50403E" w14:textId="1320CE27" w:rsidR="000B6AA8" w:rsidRPr="00967C7D" w:rsidRDefault="000B6AA8" w:rsidP="00967C7D">
            <w:pPr>
              <w:keepNext w:val="0"/>
              <w:spacing w:before="0"/>
              <w:rPr>
                <w:rFonts w:cs="Arial"/>
                <w:bCs/>
                <w:color w:val="auto"/>
                <w:sz w:val="20"/>
              </w:rPr>
            </w:pPr>
            <w:r>
              <w:rPr>
                <w:rFonts w:cs="Arial"/>
                <w:bCs/>
                <w:color w:val="auto"/>
                <w:sz w:val="20"/>
              </w:rPr>
              <w:t>South Sheet</w:t>
            </w:r>
          </w:p>
        </w:tc>
      </w:tr>
      <w:tr w:rsidR="000B6AA8" w:rsidRPr="00967C7D" w14:paraId="2CF03109" w14:textId="77777777" w:rsidTr="00B5314A">
        <w:trPr>
          <w:trHeight w:val="284"/>
        </w:trPr>
        <w:tc>
          <w:tcPr>
            <w:tcW w:w="1280" w:type="dxa"/>
          </w:tcPr>
          <w:p w14:paraId="366E8518" w14:textId="495C8C94" w:rsidR="000B6AA8" w:rsidRDefault="000B6AA8" w:rsidP="00967C7D">
            <w:pPr>
              <w:keepNext w:val="0"/>
              <w:spacing w:before="0"/>
              <w:rPr>
                <w:rFonts w:cs="Arial"/>
                <w:bCs/>
                <w:color w:val="auto"/>
                <w:sz w:val="20"/>
              </w:rPr>
            </w:pPr>
            <w:r>
              <w:rPr>
                <w:rFonts w:cs="Arial"/>
                <w:bCs/>
                <w:color w:val="auto"/>
                <w:sz w:val="20"/>
              </w:rPr>
              <w:t>EV5/255</w:t>
            </w:r>
          </w:p>
        </w:tc>
        <w:tc>
          <w:tcPr>
            <w:tcW w:w="6230" w:type="dxa"/>
            <w:noWrap/>
          </w:tcPr>
          <w:p w14:paraId="48F4B073" w14:textId="7E021B48" w:rsidR="000B6AA8" w:rsidRPr="00967C7D" w:rsidRDefault="000B6AA8" w:rsidP="00967C7D">
            <w:pPr>
              <w:keepNext w:val="0"/>
              <w:spacing w:before="0"/>
              <w:rPr>
                <w:rFonts w:cs="Arial"/>
                <w:bCs/>
                <w:color w:val="auto"/>
                <w:sz w:val="20"/>
              </w:rPr>
            </w:pPr>
            <w:r>
              <w:rPr>
                <w:rFonts w:cs="Arial"/>
                <w:bCs/>
                <w:color w:val="auto"/>
                <w:sz w:val="20"/>
              </w:rPr>
              <w:t>Snowdrop Close</w:t>
            </w:r>
          </w:p>
        </w:tc>
        <w:tc>
          <w:tcPr>
            <w:tcW w:w="1847" w:type="dxa"/>
            <w:noWrap/>
          </w:tcPr>
          <w:p w14:paraId="6E221799" w14:textId="48ED5C52" w:rsidR="000B6AA8" w:rsidRPr="00967C7D" w:rsidRDefault="000B6AA8" w:rsidP="00967C7D">
            <w:pPr>
              <w:keepNext w:val="0"/>
              <w:spacing w:before="0"/>
              <w:rPr>
                <w:rFonts w:cs="Arial"/>
                <w:bCs/>
                <w:color w:val="auto"/>
                <w:sz w:val="20"/>
              </w:rPr>
            </w:pPr>
            <w:r>
              <w:rPr>
                <w:rFonts w:cs="Arial"/>
                <w:bCs/>
                <w:color w:val="auto"/>
                <w:sz w:val="20"/>
              </w:rPr>
              <w:t>South Sheet</w:t>
            </w:r>
          </w:p>
        </w:tc>
      </w:tr>
    </w:tbl>
    <w:p w14:paraId="3DE9E0C9" w14:textId="77777777" w:rsidR="00C602FD" w:rsidRDefault="00C602FD" w:rsidP="00C602FD">
      <w:pPr>
        <w:keepNext w:val="0"/>
        <w:autoSpaceDE w:val="0"/>
        <w:autoSpaceDN w:val="0"/>
        <w:adjustRightInd w:val="0"/>
        <w:spacing w:before="0"/>
        <w:rPr>
          <w:rFonts w:cs="Arial"/>
          <w:b/>
          <w:bCs/>
          <w:sz w:val="28"/>
          <w:szCs w:val="28"/>
        </w:rPr>
      </w:pPr>
    </w:p>
    <w:p w14:paraId="41AC00D1" w14:textId="169DB91E" w:rsidR="00C602FD" w:rsidRDefault="00C602FD" w:rsidP="00C602FD">
      <w:pPr>
        <w:keepNext w:val="0"/>
        <w:autoSpaceDE w:val="0"/>
        <w:autoSpaceDN w:val="0"/>
        <w:adjustRightInd w:val="0"/>
        <w:spacing w:before="0"/>
        <w:rPr>
          <w:rFonts w:cs="Arial"/>
          <w:b/>
          <w:bCs/>
          <w:sz w:val="28"/>
          <w:szCs w:val="28"/>
        </w:rPr>
      </w:pPr>
      <w:r>
        <w:rPr>
          <w:rFonts w:cs="Arial"/>
          <w:b/>
          <w:bCs/>
          <w:sz w:val="28"/>
          <w:szCs w:val="28"/>
        </w:rPr>
        <w:br w:type="page"/>
      </w:r>
    </w:p>
    <w:p w14:paraId="72DFDE36" w14:textId="5061594F" w:rsidR="00C602FD" w:rsidRPr="00967C7D" w:rsidRDefault="00C602FD" w:rsidP="00364726">
      <w:pPr>
        <w:pStyle w:val="Heading1"/>
      </w:pPr>
      <w:bookmarkStart w:id="334" w:name="_Toc145511630"/>
      <w:r w:rsidRPr="00967C7D">
        <w:t>Appendix 8 - Policy EV6: Trees, Woodlands and Hedgerows</w:t>
      </w:r>
      <w:bookmarkEnd w:id="334"/>
    </w:p>
    <w:p w14:paraId="23C48B82" w14:textId="77777777" w:rsidR="00967C7D" w:rsidRPr="00967C7D" w:rsidRDefault="00967C7D" w:rsidP="00C602FD">
      <w:pPr>
        <w:keepNext w:val="0"/>
        <w:autoSpaceDE w:val="0"/>
        <w:autoSpaceDN w:val="0"/>
        <w:adjustRightInd w:val="0"/>
        <w:spacing w:before="0"/>
        <w:rPr>
          <w:rFonts w:cs="Arial"/>
          <w:sz w:val="28"/>
          <w:szCs w:val="28"/>
        </w:rPr>
      </w:pPr>
    </w:p>
    <w:p w14:paraId="186E2149" w14:textId="77777777" w:rsidR="00967C7D" w:rsidRPr="00967C7D" w:rsidRDefault="00967C7D" w:rsidP="00967C7D">
      <w:pPr>
        <w:keepNext w:val="0"/>
        <w:shd w:val="clear" w:color="auto" w:fill="FFFFFF"/>
        <w:tabs>
          <w:tab w:val="left" w:pos="0"/>
        </w:tabs>
        <w:spacing w:before="0"/>
        <w:ind w:left="1451" w:hanging="1451"/>
        <w:jc w:val="both"/>
        <w:rPr>
          <w:rFonts w:cs="Arial"/>
          <w:color w:val="auto"/>
        </w:rPr>
      </w:pPr>
      <w:r w:rsidRPr="00967C7D">
        <w:rPr>
          <w:rFonts w:cs="Arial"/>
          <w:b/>
          <w:color w:val="auto"/>
        </w:rPr>
        <w:t>Ancient Woodland Sites</w:t>
      </w:r>
    </w:p>
    <w:p w14:paraId="53FFA2DE" w14:textId="77777777" w:rsidR="00967C7D" w:rsidRPr="00967C7D" w:rsidRDefault="00967C7D" w:rsidP="00967C7D">
      <w:pPr>
        <w:keepNext w:val="0"/>
        <w:shd w:val="clear" w:color="auto" w:fill="FFFFFF"/>
        <w:tabs>
          <w:tab w:val="left" w:pos="0"/>
        </w:tabs>
        <w:spacing w:before="0"/>
        <w:ind w:left="1451" w:hanging="1451"/>
        <w:jc w:val="both"/>
        <w:rPr>
          <w:rFonts w:cs="Arial"/>
          <w:color w:val="auto"/>
        </w:rPr>
      </w:pPr>
    </w:p>
    <w:tbl>
      <w:tblPr>
        <w:tblStyle w:val="TableGrid3"/>
        <w:tblW w:w="9067" w:type="dxa"/>
        <w:tblLook w:val="04A0" w:firstRow="1" w:lastRow="0" w:firstColumn="1" w:lastColumn="0" w:noHBand="0" w:noVBand="1"/>
      </w:tblPr>
      <w:tblGrid>
        <w:gridCol w:w="1271"/>
        <w:gridCol w:w="5528"/>
        <w:gridCol w:w="2268"/>
      </w:tblGrid>
      <w:tr w:rsidR="00967C7D" w:rsidRPr="00967C7D" w14:paraId="198DCDBE" w14:textId="77777777" w:rsidTr="0047268B">
        <w:trPr>
          <w:trHeight w:val="420"/>
        </w:trPr>
        <w:tc>
          <w:tcPr>
            <w:tcW w:w="1271" w:type="dxa"/>
            <w:shd w:val="clear" w:color="auto" w:fill="D9D9D9" w:themeFill="background1" w:themeFillShade="D9"/>
            <w:noWrap/>
            <w:hideMark/>
          </w:tcPr>
          <w:p w14:paraId="61878F5B" w14:textId="474D1CB4" w:rsidR="00967C7D" w:rsidRPr="00967C7D" w:rsidRDefault="00F02029" w:rsidP="00967C7D">
            <w:pPr>
              <w:keepNext w:val="0"/>
              <w:spacing w:before="0"/>
              <w:rPr>
                <w:rFonts w:ascii="Calibri" w:hAnsi="Calibri" w:cs="Arial"/>
                <w:b/>
                <w:bCs/>
                <w:color w:val="000000"/>
                <w:szCs w:val="24"/>
              </w:rPr>
            </w:pPr>
            <w:r>
              <w:rPr>
                <w:rFonts w:ascii="Calibri" w:hAnsi="Calibri" w:cs="Arial"/>
                <w:b/>
                <w:bCs/>
                <w:color w:val="000000"/>
                <w:szCs w:val="24"/>
              </w:rPr>
              <w:t xml:space="preserve">Local </w:t>
            </w:r>
            <w:r w:rsidR="00967C7D" w:rsidRPr="00967C7D">
              <w:rPr>
                <w:rFonts w:ascii="Calibri" w:hAnsi="Calibri" w:cs="Arial"/>
                <w:b/>
                <w:bCs/>
                <w:color w:val="000000"/>
                <w:szCs w:val="24"/>
              </w:rPr>
              <w:t>Plan Ref</w:t>
            </w:r>
            <w:r>
              <w:rPr>
                <w:rFonts w:ascii="Calibri" w:hAnsi="Calibri" w:cs="Arial"/>
                <w:b/>
                <w:bCs/>
                <w:color w:val="000000"/>
                <w:szCs w:val="24"/>
              </w:rPr>
              <w:t>erence</w:t>
            </w:r>
          </w:p>
        </w:tc>
        <w:tc>
          <w:tcPr>
            <w:tcW w:w="5528" w:type="dxa"/>
            <w:shd w:val="clear" w:color="auto" w:fill="D9D9D9" w:themeFill="background1" w:themeFillShade="D9"/>
            <w:noWrap/>
            <w:hideMark/>
          </w:tcPr>
          <w:p w14:paraId="28936DA7" w14:textId="77777777" w:rsidR="00967C7D" w:rsidRPr="00967C7D" w:rsidRDefault="00967C7D" w:rsidP="00967C7D">
            <w:pPr>
              <w:keepNext w:val="0"/>
              <w:spacing w:before="0"/>
              <w:rPr>
                <w:rFonts w:ascii="Calibri" w:hAnsi="Calibri" w:cs="Arial"/>
                <w:b/>
                <w:bCs/>
                <w:color w:val="000000"/>
                <w:szCs w:val="24"/>
              </w:rPr>
            </w:pPr>
            <w:r w:rsidRPr="00967C7D">
              <w:rPr>
                <w:rFonts w:ascii="Calibri" w:hAnsi="Calibri" w:cs="Arial"/>
                <w:b/>
                <w:bCs/>
                <w:color w:val="000000"/>
                <w:szCs w:val="24"/>
              </w:rPr>
              <w:t>Site Name</w:t>
            </w:r>
          </w:p>
        </w:tc>
        <w:tc>
          <w:tcPr>
            <w:tcW w:w="2268" w:type="dxa"/>
            <w:shd w:val="clear" w:color="auto" w:fill="D9D9D9" w:themeFill="background1" w:themeFillShade="D9"/>
            <w:noWrap/>
            <w:hideMark/>
          </w:tcPr>
          <w:p w14:paraId="3AE2601B" w14:textId="4AFC0821" w:rsidR="00967C7D" w:rsidRPr="00967C7D" w:rsidRDefault="0047268B" w:rsidP="00967C7D">
            <w:pPr>
              <w:keepNext w:val="0"/>
              <w:spacing w:before="0"/>
              <w:rPr>
                <w:rFonts w:ascii="Calibri" w:hAnsi="Calibri" w:cs="Arial"/>
                <w:b/>
                <w:bCs/>
                <w:color w:val="000000"/>
                <w:szCs w:val="24"/>
              </w:rPr>
            </w:pPr>
            <w:r>
              <w:rPr>
                <w:rFonts w:ascii="Calibri" w:hAnsi="Calibri" w:cs="Arial"/>
                <w:b/>
                <w:bCs/>
                <w:color w:val="000000"/>
                <w:szCs w:val="24"/>
              </w:rPr>
              <w:t>Policies Map</w:t>
            </w:r>
          </w:p>
        </w:tc>
      </w:tr>
      <w:tr w:rsidR="00967C7D" w:rsidRPr="00967C7D" w14:paraId="6B3630F1" w14:textId="77777777" w:rsidTr="0047268B">
        <w:trPr>
          <w:trHeight w:val="420"/>
        </w:trPr>
        <w:tc>
          <w:tcPr>
            <w:tcW w:w="1271" w:type="dxa"/>
            <w:noWrap/>
            <w:hideMark/>
          </w:tcPr>
          <w:p w14:paraId="701AB502" w14:textId="77777777" w:rsidR="00967C7D" w:rsidRPr="00967C7D" w:rsidRDefault="00967C7D" w:rsidP="00967C7D">
            <w:pPr>
              <w:keepNext w:val="0"/>
              <w:spacing w:before="0"/>
              <w:rPr>
                <w:rFonts w:ascii="Calibri" w:hAnsi="Calibri" w:cs="Arial"/>
                <w:color w:val="000000"/>
                <w:szCs w:val="24"/>
              </w:rPr>
            </w:pPr>
            <w:r w:rsidRPr="00967C7D">
              <w:rPr>
                <w:rFonts w:ascii="Calibri" w:hAnsi="Calibri" w:cs="Arial"/>
                <w:color w:val="000000"/>
                <w:szCs w:val="24"/>
              </w:rPr>
              <w:t>EV6a</w:t>
            </w:r>
          </w:p>
        </w:tc>
        <w:tc>
          <w:tcPr>
            <w:tcW w:w="5528" w:type="dxa"/>
            <w:noWrap/>
            <w:hideMark/>
          </w:tcPr>
          <w:p w14:paraId="4B9EF667" w14:textId="77777777" w:rsidR="00967C7D" w:rsidRPr="00967C7D" w:rsidRDefault="00967C7D" w:rsidP="00967C7D">
            <w:pPr>
              <w:keepNext w:val="0"/>
              <w:spacing w:before="0"/>
              <w:rPr>
                <w:rFonts w:ascii="Calibri" w:hAnsi="Calibri" w:cs="Arial"/>
                <w:color w:val="000000"/>
                <w:szCs w:val="24"/>
              </w:rPr>
            </w:pPr>
            <w:r w:rsidRPr="00967C7D">
              <w:rPr>
                <w:rFonts w:ascii="Calibri" w:hAnsi="Calibri" w:cs="Arial"/>
                <w:color w:val="000000"/>
                <w:szCs w:val="24"/>
              </w:rPr>
              <w:t>Healds Wood</w:t>
            </w:r>
          </w:p>
        </w:tc>
        <w:tc>
          <w:tcPr>
            <w:tcW w:w="2268" w:type="dxa"/>
            <w:noWrap/>
            <w:hideMark/>
          </w:tcPr>
          <w:p w14:paraId="2C5F9DD1" w14:textId="77777777" w:rsidR="00967C7D" w:rsidRPr="00967C7D" w:rsidRDefault="00967C7D" w:rsidP="00967C7D">
            <w:pPr>
              <w:keepNext w:val="0"/>
              <w:spacing w:before="0"/>
              <w:rPr>
                <w:rFonts w:ascii="Calibri" w:hAnsi="Calibri" w:cs="Arial"/>
                <w:color w:val="000000"/>
                <w:szCs w:val="24"/>
              </w:rPr>
            </w:pPr>
            <w:r w:rsidRPr="00967C7D">
              <w:rPr>
                <w:rFonts w:ascii="Calibri" w:hAnsi="Calibri" w:cs="Arial"/>
                <w:color w:val="000000"/>
                <w:szCs w:val="24"/>
              </w:rPr>
              <w:t>North Sheet</w:t>
            </w:r>
          </w:p>
        </w:tc>
      </w:tr>
      <w:tr w:rsidR="00967C7D" w:rsidRPr="00967C7D" w14:paraId="6D8BC0C8" w14:textId="77777777" w:rsidTr="0047268B">
        <w:trPr>
          <w:trHeight w:val="420"/>
        </w:trPr>
        <w:tc>
          <w:tcPr>
            <w:tcW w:w="1271" w:type="dxa"/>
            <w:noWrap/>
            <w:hideMark/>
          </w:tcPr>
          <w:p w14:paraId="19007B79" w14:textId="77777777" w:rsidR="00967C7D" w:rsidRPr="00967C7D" w:rsidRDefault="00967C7D" w:rsidP="00967C7D">
            <w:pPr>
              <w:keepNext w:val="0"/>
              <w:spacing w:before="0"/>
              <w:rPr>
                <w:rFonts w:ascii="Calibri" w:hAnsi="Calibri" w:cs="Arial"/>
                <w:color w:val="000000"/>
                <w:szCs w:val="24"/>
              </w:rPr>
            </w:pPr>
            <w:r w:rsidRPr="00967C7D">
              <w:rPr>
                <w:rFonts w:ascii="Calibri" w:hAnsi="Calibri" w:cs="Arial"/>
                <w:color w:val="000000"/>
                <w:szCs w:val="24"/>
              </w:rPr>
              <w:t>EV6b</w:t>
            </w:r>
          </w:p>
        </w:tc>
        <w:tc>
          <w:tcPr>
            <w:tcW w:w="5528" w:type="dxa"/>
            <w:noWrap/>
            <w:hideMark/>
          </w:tcPr>
          <w:p w14:paraId="428D966A" w14:textId="77777777" w:rsidR="00967C7D" w:rsidRPr="00967C7D" w:rsidRDefault="00967C7D" w:rsidP="00967C7D">
            <w:pPr>
              <w:keepNext w:val="0"/>
              <w:spacing w:before="0"/>
              <w:rPr>
                <w:rFonts w:ascii="Calibri" w:hAnsi="Calibri" w:cs="Arial"/>
                <w:color w:val="000000"/>
                <w:szCs w:val="24"/>
              </w:rPr>
            </w:pPr>
            <w:r w:rsidRPr="00967C7D">
              <w:rPr>
                <w:rFonts w:ascii="Calibri" w:hAnsi="Calibri" w:cs="Arial"/>
                <w:color w:val="000000"/>
                <w:szCs w:val="24"/>
              </w:rPr>
              <w:t>Bloomer Wood</w:t>
            </w:r>
          </w:p>
        </w:tc>
        <w:tc>
          <w:tcPr>
            <w:tcW w:w="2268" w:type="dxa"/>
            <w:noWrap/>
            <w:hideMark/>
          </w:tcPr>
          <w:p w14:paraId="4CD048F5" w14:textId="77777777" w:rsidR="00967C7D" w:rsidRPr="00967C7D" w:rsidRDefault="00967C7D" w:rsidP="00967C7D">
            <w:pPr>
              <w:keepNext w:val="0"/>
              <w:spacing w:before="0"/>
              <w:rPr>
                <w:rFonts w:ascii="Calibri" w:hAnsi="Calibri" w:cs="Arial"/>
                <w:color w:val="000000"/>
                <w:szCs w:val="24"/>
              </w:rPr>
            </w:pPr>
            <w:r w:rsidRPr="00967C7D">
              <w:rPr>
                <w:rFonts w:ascii="Calibri" w:hAnsi="Calibri" w:cs="Arial"/>
                <w:color w:val="000000"/>
                <w:szCs w:val="24"/>
              </w:rPr>
              <w:t>North Sheet</w:t>
            </w:r>
          </w:p>
        </w:tc>
      </w:tr>
      <w:tr w:rsidR="00967C7D" w:rsidRPr="00967C7D" w14:paraId="4C5E4C28" w14:textId="77777777" w:rsidTr="0047268B">
        <w:trPr>
          <w:trHeight w:val="420"/>
        </w:trPr>
        <w:tc>
          <w:tcPr>
            <w:tcW w:w="1271" w:type="dxa"/>
            <w:noWrap/>
            <w:hideMark/>
          </w:tcPr>
          <w:p w14:paraId="256FBA6F" w14:textId="77777777" w:rsidR="00967C7D" w:rsidRPr="00967C7D" w:rsidRDefault="00967C7D" w:rsidP="00967C7D">
            <w:pPr>
              <w:keepNext w:val="0"/>
              <w:spacing w:before="0"/>
              <w:rPr>
                <w:rFonts w:ascii="Calibri" w:hAnsi="Calibri" w:cs="Arial"/>
                <w:color w:val="000000"/>
                <w:szCs w:val="24"/>
              </w:rPr>
            </w:pPr>
            <w:r w:rsidRPr="00967C7D">
              <w:rPr>
                <w:rFonts w:ascii="Calibri" w:hAnsi="Calibri" w:cs="Arial"/>
                <w:color w:val="000000"/>
                <w:szCs w:val="24"/>
              </w:rPr>
              <w:t>EV6c</w:t>
            </w:r>
          </w:p>
        </w:tc>
        <w:tc>
          <w:tcPr>
            <w:tcW w:w="5528" w:type="dxa"/>
            <w:noWrap/>
            <w:hideMark/>
          </w:tcPr>
          <w:p w14:paraId="4A4FFEE1" w14:textId="77777777" w:rsidR="00967C7D" w:rsidRPr="00967C7D" w:rsidRDefault="00967C7D" w:rsidP="00967C7D">
            <w:pPr>
              <w:keepNext w:val="0"/>
              <w:spacing w:before="0"/>
              <w:rPr>
                <w:rFonts w:ascii="Calibri" w:hAnsi="Calibri" w:cs="Arial"/>
                <w:color w:val="000000"/>
                <w:szCs w:val="24"/>
              </w:rPr>
            </w:pPr>
            <w:r w:rsidRPr="00967C7D">
              <w:rPr>
                <w:rFonts w:ascii="Calibri" w:hAnsi="Calibri" w:cs="Arial"/>
                <w:color w:val="000000"/>
                <w:szCs w:val="24"/>
              </w:rPr>
              <w:t>Bulwell Wood</w:t>
            </w:r>
          </w:p>
        </w:tc>
        <w:tc>
          <w:tcPr>
            <w:tcW w:w="2268" w:type="dxa"/>
            <w:noWrap/>
            <w:hideMark/>
          </w:tcPr>
          <w:p w14:paraId="79F1CD4F" w14:textId="77777777" w:rsidR="00967C7D" w:rsidRPr="00967C7D" w:rsidRDefault="00967C7D" w:rsidP="00967C7D">
            <w:pPr>
              <w:keepNext w:val="0"/>
              <w:spacing w:before="0"/>
              <w:rPr>
                <w:rFonts w:ascii="Calibri" w:hAnsi="Calibri" w:cs="Arial"/>
                <w:color w:val="000000"/>
                <w:szCs w:val="24"/>
              </w:rPr>
            </w:pPr>
            <w:r w:rsidRPr="00967C7D">
              <w:rPr>
                <w:rFonts w:ascii="Calibri" w:hAnsi="Calibri" w:cs="Arial"/>
                <w:color w:val="000000"/>
                <w:szCs w:val="24"/>
              </w:rPr>
              <w:t>South Sheet</w:t>
            </w:r>
          </w:p>
        </w:tc>
      </w:tr>
      <w:tr w:rsidR="00967C7D" w:rsidRPr="00967C7D" w14:paraId="3BBBBB0B" w14:textId="77777777" w:rsidTr="0047268B">
        <w:trPr>
          <w:trHeight w:val="420"/>
        </w:trPr>
        <w:tc>
          <w:tcPr>
            <w:tcW w:w="1271" w:type="dxa"/>
            <w:noWrap/>
            <w:hideMark/>
          </w:tcPr>
          <w:p w14:paraId="589C6921" w14:textId="77777777" w:rsidR="00967C7D" w:rsidRPr="00967C7D" w:rsidRDefault="00967C7D" w:rsidP="00967C7D">
            <w:pPr>
              <w:keepNext w:val="0"/>
              <w:spacing w:before="0"/>
              <w:rPr>
                <w:rFonts w:ascii="Calibri" w:hAnsi="Calibri" w:cs="Arial"/>
                <w:color w:val="000000"/>
                <w:szCs w:val="24"/>
              </w:rPr>
            </w:pPr>
            <w:r w:rsidRPr="00967C7D">
              <w:rPr>
                <w:rFonts w:ascii="Calibri" w:hAnsi="Calibri" w:cs="Arial"/>
                <w:color w:val="000000"/>
                <w:szCs w:val="24"/>
              </w:rPr>
              <w:t>EV6d</w:t>
            </w:r>
          </w:p>
        </w:tc>
        <w:tc>
          <w:tcPr>
            <w:tcW w:w="5528" w:type="dxa"/>
            <w:noWrap/>
            <w:hideMark/>
          </w:tcPr>
          <w:p w14:paraId="037A0596" w14:textId="77777777" w:rsidR="00967C7D" w:rsidRPr="00967C7D" w:rsidRDefault="00967C7D" w:rsidP="00967C7D">
            <w:pPr>
              <w:keepNext w:val="0"/>
              <w:spacing w:before="0"/>
              <w:rPr>
                <w:rFonts w:ascii="Calibri" w:hAnsi="Calibri" w:cs="Arial"/>
                <w:color w:val="000000"/>
                <w:szCs w:val="24"/>
              </w:rPr>
            </w:pPr>
            <w:r w:rsidRPr="00967C7D">
              <w:rPr>
                <w:rFonts w:ascii="Calibri" w:hAnsi="Calibri" w:cs="Arial"/>
                <w:color w:val="000000"/>
                <w:szCs w:val="24"/>
              </w:rPr>
              <w:t>Dawgates Wood 1</w:t>
            </w:r>
          </w:p>
        </w:tc>
        <w:tc>
          <w:tcPr>
            <w:tcW w:w="2268" w:type="dxa"/>
            <w:noWrap/>
            <w:hideMark/>
          </w:tcPr>
          <w:p w14:paraId="7B3502DC" w14:textId="77777777" w:rsidR="00967C7D" w:rsidRPr="00967C7D" w:rsidRDefault="00967C7D" w:rsidP="00967C7D">
            <w:pPr>
              <w:keepNext w:val="0"/>
              <w:spacing w:before="0"/>
              <w:rPr>
                <w:rFonts w:ascii="Calibri" w:hAnsi="Calibri" w:cs="Arial"/>
                <w:color w:val="000000"/>
                <w:szCs w:val="24"/>
              </w:rPr>
            </w:pPr>
            <w:r w:rsidRPr="00967C7D">
              <w:rPr>
                <w:rFonts w:ascii="Calibri" w:hAnsi="Calibri" w:cs="Arial"/>
                <w:color w:val="000000"/>
                <w:szCs w:val="24"/>
              </w:rPr>
              <w:t>North Sheet</w:t>
            </w:r>
          </w:p>
        </w:tc>
      </w:tr>
      <w:tr w:rsidR="00967C7D" w:rsidRPr="00967C7D" w14:paraId="58985823" w14:textId="77777777" w:rsidTr="0047268B">
        <w:trPr>
          <w:trHeight w:val="420"/>
        </w:trPr>
        <w:tc>
          <w:tcPr>
            <w:tcW w:w="1271" w:type="dxa"/>
            <w:noWrap/>
            <w:hideMark/>
          </w:tcPr>
          <w:p w14:paraId="2C03580F" w14:textId="77777777" w:rsidR="00967C7D" w:rsidRPr="00967C7D" w:rsidRDefault="00967C7D" w:rsidP="00967C7D">
            <w:pPr>
              <w:keepNext w:val="0"/>
              <w:spacing w:before="0"/>
              <w:rPr>
                <w:rFonts w:ascii="Calibri" w:hAnsi="Calibri" w:cs="Arial"/>
                <w:color w:val="000000"/>
                <w:szCs w:val="24"/>
              </w:rPr>
            </w:pPr>
            <w:r w:rsidRPr="00967C7D">
              <w:rPr>
                <w:rFonts w:ascii="Calibri" w:hAnsi="Calibri" w:cs="Arial"/>
                <w:color w:val="000000"/>
                <w:szCs w:val="24"/>
              </w:rPr>
              <w:t>EV6e</w:t>
            </w:r>
          </w:p>
        </w:tc>
        <w:tc>
          <w:tcPr>
            <w:tcW w:w="5528" w:type="dxa"/>
            <w:noWrap/>
            <w:hideMark/>
          </w:tcPr>
          <w:p w14:paraId="175600BB" w14:textId="77777777" w:rsidR="00967C7D" w:rsidRPr="00967C7D" w:rsidRDefault="00967C7D" w:rsidP="00967C7D">
            <w:pPr>
              <w:keepNext w:val="0"/>
              <w:spacing w:before="0"/>
              <w:rPr>
                <w:rFonts w:ascii="Calibri" w:hAnsi="Calibri" w:cs="Arial"/>
                <w:color w:val="000000"/>
                <w:szCs w:val="24"/>
              </w:rPr>
            </w:pPr>
            <w:r w:rsidRPr="00967C7D">
              <w:rPr>
                <w:rFonts w:ascii="Calibri" w:hAnsi="Calibri" w:cs="Arial"/>
                <w:color w:val="000000"/>
                <w:szCs w:val="24"/>
              </w:rPr>
              <w:t>Dovedale Wood</w:t>
            </w:r>
          </w:p>
        </w:tc>
        <w:tc>
          <w:tcPr>
            <w:tcW w:w="2268" w:type="dxa"/>
            <w:noWrap/>
            <w:hideMark/>
          </w:tcPr>
          <w:p w14:paraId="5966D222" w14:textId="77777777" w:rsidR="00967C7D" w:rsidRPr="00967C7D" w:rsidRDefault="00967C7D" w:rsidP="00967C7D">
            <w:pPr>
              <w:keepNext w:val="0"/>
              <w:spacing w:before="0"/>
              <w:rPr>
                <w:rFonts w:ascii="Calibri" w:hAnsi="Calibri" w:cs="Arial"/>
                <w:color w:val="000000"/>
                <w:szCs w:val="24"/>
              </w:rPr>
            </w:pPr>
            <w:r w:rsidRPr="00967C7D">
              <w:rPr>
                <w:rFonts w:ascii="Calibri" w:hAnsi="Calibri" w:cs="Arial"/>
                <w:color w:val="000000"/>
                <w:szCs w:val="24"/>
              </w:rPr>
              <w:t>North Sheet</w:t>
            </w:r>
          </w:p>
        </w:tc>
      </w:tr>
      <w:tr w:rsidR="00967C7D" w:rsidRPr="00967C7D" w14:paraId="13CEF657" w14:textId="77777777" w:rsidTr="0047268B">
        <w:trPr>
          <w:trHeight w:val="420"/>
        </w:trPr>
        <w:tc>
          <w:tcPr>
            <w:tcW w:w="1271" w:type="dxa"/>
            <w:noWrap/>
            <w:hideMark/>
          </w:tcPr>
          <w:p w14:paraId="677A253B" w14:textId="77777777" w:rsidR="00967C7D" w:rsidRPr="00967C7D" w:rsidRDefault="00967C7D" w:rsidP="00967C7D">
            <w:pPr>
              <w:keepNext w:val="0"/>
              <w:spacing w:before="0"/>
              <w:rPr>
                <w:rFonts w:ascii="Calibri" w:hAnsi="Calibri" w:cs="Arial"/>
                <w:color w:val="000000"/>
                <w:szCs w:val="24"/>
              </w:rPr>
            </w:pPr>
            <w:r w:rsidRPr="00967C7D">
              <w:rPr>
                <w:rFonts w:ascii="Calibri" w:hAnsi="Calibri" w:cs="Arial"/>
                <w:color w:val="000000"/>
                <w:szCs w:val="24"/>
              </w:rPr>
              <w:t>EV6f</w:t>
            </w:r>
          </w:p>
        </w:tc>
        <w:tc>
          <w:tcPr>
            <w:tcW w:w="5528" w:type="dxa"/>
            <w:noWrap/>
            <w:hideMark/>
          </w:tcPr>
          <w:p w14:paraId="53F34590" w14:textId="77777777" w:rsidR="00967C7D" w:rsidRPr="00967C7D" w:rsidRDefault="00967C7D" w:rsidP="00967C7D">
            <w:pPr>
              <w:keepNext w:val="0"/>
              <w:spacing w:before="0"/>
              <w:rPr>
                <w:rFonts w:ascii="Calibri" w:hAnsi="Calibri" w:cs="Arial"/>
                <w:color w:val="000000"/>
                <w:szCs w:val="24"/>
              </w:rPr>
            </w:pPr>
            <w:r w:rsidRPr="00967C7D">
              <w:rPr>
                <w:rFonts w:ascii="Calibri" w:hAnsi="Calibri" w:cs="Arial"/>
                <w:color w:val="000000"/>
                <w:szCs w:val="24"/>
              </w:rPr>
              <w:t>High Park Wood</w:t>
            </w:r>
          </w:p>
        </w:tc>
        <w:tc>
          <w:tcPr>
            <w:tcW w:w="2268" w:type="dxa"/>
            <w:noWrap/>
            <w:hideMark/>
          </w:tcPr>
          <w:p w14:paraId="36C08C31" w14:textId="77777777" w:rsidR="00967C7D" w:rsidRPr="00967C7D" w:rsidRDefault="00967C7D" w:rsidP="00967C7D">
            <w:pPr>
              <w:keepNext w:val="0"/>
              <w:spacing w:before="0"/>
              <w:rPr>
                <w:rFonts w:ascii="Calibri" w:hAnsi="Calibri" w:cs="Arial"/>
                <w:color w:val="000000"/>
                <w:szCs w:val="24"/>
              </w:rPr>
            </w:pPr>
            <w:r w:rsidRPr="00967C7D">
              <w:rPr>
                <w:rFonts w:ascii="Calibri" w:hAnsi="Calibri" w:cs="Arial"/>
                <w:color w:val="000000"/>
                <w:szCs w:val="24"/>
              </w:rPr>
              <w:t>South Sheet</w:t>
            </w:r>
          </w:p>
        </w:tc>
      </w:tr>
      <w:tr w:rsidR="00967C7D" w:rsidRPr="00967C7D" w14:paraId="73F5C9D4" w14:textId="77777777" w:rsidTr="0047268B">
        <w:trPr>
          <w:trHeight w:val="420"/>
        </w:trPr>
        <w:tc>
          <w:tcPr>
            <w:tcW w:w="1271" w:type="dxa"/>
            <w:noWrap/>
            <w:hideMark/>
          </w:tcPr>
          <w:p w14:paraId="05CD2679" w14:textId="77777777" w:rsidR="00967C7D" w:rsidRPr="00967C7D" w:rsidRDefault="00967C7D" w:rsidP="00967C7D">
            <w:pPr>
              <w:keepNext w:val="0"/>
              <w:spacing w:before="0"/>
              <w:rPr>
                <w:rFonts w:ascii="Calibri" w:hAnsi="Calibri" w:cs="Arial"/>
                <w:color w:val="000000"/>
                <w:szCs w:val="24"/>
              </w:rPr>
            </w:pPr>
            <w:r w:rsidRPr="00967C7D">
              <w:rPr>
                <w:rFonts w:ascii="Calibri" w:hAnsi="Calibri" w:cs="Arial"/>
                <w:color w:val="000000"/>
                <w:szCs w:val="24"/>
              </w:rPr>
              <w:t>EV6g</w:t>
            </w:r>
          </w:p>
        </w:tc>
        <w:tc>
          <w:tcPr>
            <w:tcW w:w="5528" w:type="dxa"/>
            <w:noWrap/>
            <w:hideMark/>
          </w:tcPr>
          <w:p w14:paraId="2A49B2A5" w14:textId="77777777" w:rsidR="00967C7D" w:rsidRPr="00967C7D" w:rsidRDefault="00967C7D" w:rsidP="00967C7D">
            <w:pPr>
              <w:keepNext w:val="0"/>
              <w:spacing w:before="0"/>
              <w:rPr>
                <w:rFonts w:ascii="Calibri" w:hAnsi="Calibri" w:cs="Arial"/>
                <w:color w:val="000000"/>
                <w:szCs w:val="24"/>
              </w:rPr>
            </w:pPr>
            <w:r w:rsidRPr="00967C7D">
              <w:rPr>
                <w:rFonts w:ascii="Calibri" w:hAnsi="Calibri" w:cs="Arial"/>
                <w:color w:val="000000"/>
                <w:szCs w:val="24"/>
              </w:rPr>
              <w:t>Little Oak Plantation</w:t>
            </w:r>
          </w:p>
        </w:tc>
        <w:tc>
          <w:tcPr>
            <w:tcW w:w="2268" w:type="dxa"/>
            <w:noWrap/>
            <w:hideMark/>
          </w:tcPr>
          <w:p w14:paraId="685730BE" w14:textId="77777777" w:rsidR="00967C7D" w:rsidRPr="00967C7D" w:rsidRDefault="00967C7D" w:rsidP="00967C7D">
            <w:pPr>
              <w:keepNext w:val="0"/>
              <w:spacing w:before="0"/>
              <w:rPr>
                <w:rFonts w:ascii="Calibri" w:hAnsi="Calibri" w:cs="Arial"/>
                <w:color w:val="000000"/>
                <w:szCs w:val="24"/>
              </w:rPr>
            </w:pPr>
            <w:r w:rsidRPr="00967C7D">
              <w:rPr>
                <w:rFonts w:ascii="Calibri" w:hAnsi="Calibri" w:cs="Arial"/>
                <w:color w:val="000000"/>
                <w:szCs w:val="24"/>
              </w:rPr>
              <w:t>South Sheet</w:t>
            </w:r>
          </w:p>
        </w:tc>
      </w:tr>
      <w:tr w:rsidR="00967C7D" w:rsidRPr="00967C7D" w14:paraId="0633F756" w14:textId="77777777" w:rsidTr="0047268B">
        <w:trPr>
          <w:trHeight w:val="420"/>
        </w:trPr>
        <w:tc>
          <w:tcPr>
            <w:tcW w:w="1271" w:type="dxa"/>
            <w:noWrap/>
            <w:hideMark/>
          </w:tcPr>
          <w:p w14:paraId="374CBDEE" w14:textId="77777777" w:rsidR="00967C7D" w:rsidRPr="00967C7D" w:rsidRDefault="00967C7D" w:rsidP="00967C7D">
            <w:pPr>
              <w:keepNext w:val="0"/>
              <w:spacing w:before="0"/>
              <w:rPr>
                <w:rFonts w:ascii="Calibri" w:hAnsi="Calibri" w:cs="Arial"/>
                <w:color w:val="000000"/>
                <w:szCs w:val="24"/>
              </w:rPr>
            </w:pPr>
            <w:r w:rsidRPr="00967C7D">
              <w:rPr>
                <w:rFonts w:ascii="Calibri" w:hAnsi="Calibri" w:cs="Arial"/>
                <w:color w:val="000000"/>
                <w:szCs w:val="24"/>
              </w:rPr>
              <w:t>EV6h</w:t>
            </w:r>
          </w:p>
        </w:tc>
        <w:tc>
          <w:tcPr>
            <w:tcW w:w="5528" w:type="dxa"/>
            <w:noWrap/>
            <w:hideMark/>
          </w:tcPr>
          <w:p w14:paraId="161F2D4E" w14:textId="77777777" w:rsidR="00967C7D" w:rsidRPr="00967C7D" w:rsidRDefault="00967C7D" w:rsidP="00967C7D">
            <w:pPr>
              <w:keepNext w:val="0"/>
              <w:spacing w:before="0"/>
              <w:rPr>
                <w:rFonts w:ascii="Calibri" w:hAnsi="Calibri" w:cs="Arial"/>
                <w:color w:val="000000"/>
                <w:szCs w:val="24"/>
              </w:rPr>
            </w:pPr>
            <w:r w:rsidRPr="00967C7D">
              <w:rPr>
                <w:rFonts w:ascii="Calibri" w:hAnsi="Calibri" w:cs="Arial"/>
                <w:color w:val="000000"/>
                <w:szCs w:val="24"/>
              </w:rPr>
              <w:t>Millington Springs</w:t>
            </w:r>
          </w:p>
        </w:tc>
        <w:tc>
          <w:tcPr>
            <w:tcW w:w="2268" w:type="dxa"/>
            <w:noWrap/>
            <w:hideMark/>
          </w:tcPr>
          <w:p w14:paraId="4519B4A5" w14:textId="77777777" w:rsidR="00967C7D" w:rsidRPr="00967C7D" w:rsidRDefault="00967C7D" w:rsidP="00967C7D">
            <w:pPr>
              <w:keepNext w:val="0"/>
              <w:spacing w:before="0"/>
              <w:rPr>
                <w:rFonts w:ascii="Calibri" w:hAnsi="Calibri" w:cs="Arial"/>
                <w:color w:val="000000"/>
                <w:szCs w:val="24"/>
              </w:rPr>
            </w:pPr>
            <w:r w:rsidRPr="00967C7D">
              <w:rPr>
                <w:rFonts w:ascii="Calibri" w:hAnsi="Calibri" w:cs="Arial"/>
                <w:color w:val="000000"/>
                <w:szCs w:val="24"/>
              </w:rPr>
              <w:t>South Sheet</w:t>
            </w:r>
          </w:p>
        </w:tc>
      </w:tr>
      <w:tr w:rsidR="00967C7D" w:rsidRPr="00967C7D" w14:paraId="0EAE04C5" w14:textId="77777777" w:rsidTr="0047268B">
        <w:trPr>
          <w:trHeight w:val="420"/>
        </w:trPr>
        <w:tc>
          <w:tcPr>
            <w:tcW w:w="1271" w:type="dxa"/>
            <w:noWrap/>
            <w:hideMark/>
          </w:tcPr>
          <w:p w14:paraId="12A4461B" w14:textId="77777777" w:rsidR="00967C7D" w:rsidRPr="00967C7D" w:rsidRDefault="00967C7D" w:rsidP="00967C7D">
            <w:pPr>
              <w:keepNext w:val="0"/>
              <w:spacing w:before="0"/>
              <w:rPr>
                <w:rFonts w:ascii="Calibri" w:hAnsi="Calibri" w:cs="Arial"/>
                <w:color w:val="000000"/>
                <w:szCs w:val="24"/>
              </w:rPr>
            </w:pPr>
            <w:r w:rsidRPr="00967C7D">
              <w:rPr>
                <w:rFonts w:ascii="Calibri" w:hAnsi="Calibri" w:cs="Arial"/>
                <w:color w:val="000000"/>
                <w:szCs w:val="24"/>
              </w:rPr>
              <w:t>EV6i</w:t>
            </w:r>
          </w:p>
        </w:tc>
        <w:tc>
          <w:tcPr>
            <w:tcW w:w="5528" w:type="dxa"/>
            <w:noWrap/>
            <w:hideMark/>
          </w:tcPr>
          <w:p w14:paraId="43224590" w14:textId="77777777" w:rsidR="00967C7D" w:rsidRPr="00967C7D" w:rsidRDefault="00967C7D" w:rsidP="00967C7D">
            <w:pPr>
              <w:keepNext w:val="0"/>
              <w:spacing w:before="0"/>
              <w:rPr>
                <w:rFonts w:ascii="Calibri" w:hAnsi="Calibri" w:cs="Arial"/>
                <w:color w:val="000000"/>
                <w:szCs w:val="24"/>
              </w:rPr>
            </w:pPr>
            <w:r w:rsidRPr="00967C7D">
              <w:rPr>
                <w:rFonts w:ascii="Calibri" w:hAnsi="Calibri" w:cs="Arial"/>
                <w:color w:val="000000"/>
                <w:szCs w:val="24"/>
              </w:rPr>
              <w:t>Normanshill/ Thieves Wood</w:t>
            </w:r>
          </w:p>
        </w:tc>
        <w:tc>
          <w:tcPr>
            <w:tcW w:w="2268" w:type="dxa"/>
            <w:noWrap/>
            <w:hideMark/>
          </w:tcPr>
          <w:p w14:paraId="14D3714B" w14:textId="77777777" w:rsidR="00967C7D" w:rsidRPr="00967C7D" w:rsidRDefault="00967C7D" w:rsidP="00967C7D">
            <w:pPr>
              <w:keepNext w:val="0"/>
              <w:spacing w:before="0"/>
              <w:rPr>
                <w:rFonts w:ascii="Calibri" w:hAnsi="Calibri" w:cs="Arial"/>
                <w:color w:val="000000"/>
                <w:szCs w:val="24"/>
              </w:rPr>
            </w:pPr>
            <w:r w:rsidRPr="00967C7D">
              <w:rPr>
                <w:rFonts w:ascii="Calibri" w:hAnsi="Calibri" w:cs="Arial"/>
                <w:color w:val="000000"/>
                <w:szCs w:val="24"/>
              </w:rPr>
              <w:t>North Sheet</w:t>
            </w:r>
          </w:p>
        </w:tc>
      </w:tr>
      <w:tr w:rsidR="00967C7D" w:rsidRPr="00967C7D" w14:paraId="7824F66A" w14:textId="77777777" w:rsidTr="0047268B">
        <w:trPr>
          <w:trHeight w:val="420"/>
        </w:trPr>
        <w:tc>
          <w:tcPr>
            <w:tcW w:w="1271" w:type="dxa"/>
            <w:noWrap/>
            <w:hideMark/>
          </w:tcPr>
          <w:p w14:paraId="44F9A7B9" w14:textId="77777777" w:rsidR="00967C7D" w:rsidRPr="00967C7D" w:rsidRDefault="00967C7D" w:rsidP="00967C7D">
            <w:pPr>
              <w:keepNext w:val="0"/>
              <w:spacing w:before="0"/>
              <w:rPr>
                <w:rFonts w:ascii="Calibri" w:hAnsi="Calibri" w:cs="Arial"/>
                <w:color w:val="000000"/>
                <w:szCs w:val="24"/>
              </w:rPr>
            </w:pPr>
            <w:r w:rsidRPr="00967C7D">
              <w:rPr>
                <w:rFonts w:ascii="Calibri" w:hAnsi="Calibri" w:cs="Arial"/>
                <w:color w:val="000000"/>
                <w:szCs w:val="24"/>
              </w:rPr>
              <w:t>EV6j</w:t>
            </w:r>
          </w:p>
        </w:tc>
        <w:tc>
          <w:tcPr>
            <w:tcW w:w="5528" w:type="dxa"/>
            <w:noWrap/>
            <w:hideMark/>
          </w:tcPr>
          <w:p w14:paraId="38A439DA" w14:textId="77777777" w:rsidR="00967C7D" w:rsidRPr="00967C7D" w:rsidRDefault="00967C7D" w:rsidP="00967C7D">
            <w:pPr>
              <w:keepNext w:val="0"/>
              <w:spacing w:before="0"/>
              <w:rPr>
                <w:rFonts w:ascii="Calibri" w:hAnsi="Calibri" w:cs="Arial"/>
                <w:color w:val="000000"/>
                <w:szCs w:val="24"/>
              </w:rPr>
            </w:pPr>
            <w:r w:rsidRPr="00967C7D">
              <w:rPr>
                <w:rFonts w:ascii="Calibri" w:hAnsi="Calibri" w:cs="Arial"/>
                <w:color w:val="000000"/>
                <w:szCs w:val="24"/>
              </w:rPr>
              <w:t>Norwood</w:t>
            </w:r>
          </w:p>
        </w:tc>
        <w:tc>
          <w:tcPr>
            <w:tcW w:w="2268" w:type="dxa"/>
            <w:noWrap/>
            <w:hideMark/>
          </w:tcPr>
          <w:p w14:paraId="0F4C2B47" w14:textId="77777777" w:rsidR="00967C7D" w:rsidRPr="00967C7D" w:rsidRDefault="00967C7D" w:rsidP="00967C7D">
            <w:pPr>
              <w:keepNext w:val="0"/>
              <w:spacing w:before="0"/>
              <w:rPr>
                <w:rFonts w:ascii="Calibri" w:hAnsi="Calibri" w:cs="Arial"/>
                <w:color w:val="000000"/>
                <w:szCs w:val="24"/>
              </w:rPr>
            </w:pPr>
            <w:r w:rsidRPr="00967C7D">
              <w:rPr>
                <w:rFonts w:ascii="Calibri" w:hAnsi="Calibri" w:cs="Arial"/>
                <w:color w:val="000000"/>
                <w:szCs w:val="24"/>
              </w:rPr>
              <w:t>North Sheet</w:t>
            </w:r>
          </w:p>
        </w:tc>
      </w:tr>
      <w:tr w:rsidR="00967C7D" w:rsidRPr="00967C7D" w14:paraId="05F8CEC6" w14:textId="77777777" w:rsidTr="0047268B">
        <w:trPr>
          <w:trHeight w:val="420"/>
        </w:trPr>
        <w:tc>
          <w:tcPr>
            <w:tcW w:w="1271" w:type="dxa"/>
            <w:noWrap/>
            <w:hideMark/>
          </w:tcPr>
          <w:p w14:paraId="3D0E467B" w14:textId="77777777" w:rsidR="00967C7D" w:rsidRPr="00967C7D" w:rsidRDefault="00967C7D" w:rsidP="00967C7D">
            <w:pPr>
              <w:keepNext w:val="0"/>
              <w:spacing w:before="0"/>
              <w:rPr>
                <w:rFonts w:ascii="Calibri" w:hAnsi="Calibri" w:cs="Arial"/>
                <w:color w:val="000000"/>
                <w:szCs w:val="24"/>
              </w:rPr>
            </w:pPr>
            <w:r w:rsidRPr="00967C7D">
              <w:rPr>
                <w:rFonts w:ascii="Calibri" w:hAnsi="Calibri" w:cs="Arial"/>
                <w:color w:val="000000"/>
                <w:szCs w:val="24"/>
              </w:rPr>
              <w:t>EV6k</w:t>
            </w:r>
          </w:p>
        </w:tc>
        <w:tc>
          <w:tcPr>
            <w:tcW w:w="5528" w:type="dxa"/>
            <w:noWrap/>
            <w:hideMark/>
          </w:tcPr>
          <w:p w14:paraId="67B2ADD4" w14:textId="77777777" w:rsidR="00967C7D" w:rsidRPr="00967C7D" w:rsidRDefault="00967C7D" w:rsidP="00967C7D">
            <w:pPr>
              <w:keepNext w:val="0"/>
              <w:spacing w:before="0"/>
              <w:rPr>
                <w:rFonts w:ascii="Calibri" w:hAnsi="Calibri" w:cs="Arial"/>
                <w:color w:val="000000"/>
                <w:szCs w:val="24"/>
              </w:rPr>
            </w:pPr>
            <w:r w:rsidRPr="00967C7D">
              <w:rPr>
                <w:rFonts w:ascii="Calibri" w:hAnsi="Calibri" w:cs="Arial"/>
                <w:color w:val="000000"/>
                <w:szCs w:val="24"/>
              </w:rPr>
              <w:t>The Dumbles</w:t>
            </w:r>
          </w:p>
        </w:tc>
        <w:tc>
          <w:tcPr>
            <w:tcW w:w="2268" w:type="dxa"/>
            <w:noWrap/>
            <w:hideMark/>
          </w:tcPr>
          <w:p w14:paraId="4CC3935A" w14:textId="77777777" w:rsidR="00967C7D" w:rsidRPr="00967C7D" w:rsidRDefault="00967C7D" w:rsidP="00967C7D">
            <w:pPr>
              <w:keepNext w:val="0"/>
              <w:spacing w:before="0"/>
              <w:rPr>
                <w:rFonts w:ascii="Calibri" w:hAnsi="Calibri" w:cs="Arial"/>
                <w:color w:val="000000"/>
                <w:szCs w:val="24"/>
              </w:rPr>
            </w:pPr>
            <w:r w:rsidRPr="00967C7D">
              <w:rPr>
                <w:rFonts w:ascii="Calibri" w:hAnsi="Calibri" w:cs="Arial"/>
                <w:color w:val="000000"/>
                <w:szCs w:val="24"/>
              </w:rPr>
              <w:t>North Sheet</w:t>
            </w:r>
          </w:p>
        </w:tc>
      </w:tr>
    </w:tbl>
    <w:p w14:paraId="6CD2BC27" w14:textId="77777777" w:rsidR="00967C7D" w:rsidRPr="00967C7D" w:rsidRDefault="00967C7D" w:rsidP="00C602FD">
      <w:pPr>
        <w:keepNext w:val="0"/>
        <w:autoSpaceDE w:val="0"/>
        <w:autoSpaceDN w:val="0"/>
        <w:adjustRightInd w:val="0"/>
        <w:spacing w:before="0"/>
        <w:rPr>
          <w:rFonts w:cs="Arial"/>
          <w:sz w:val="28"/>
          <w:szCs w:val="28"/>
        </w:rPr>
      </w:pPr>
    </w:p>
    <w:p w14:paraId="56DCCA70" w14:textId="1A73F034" w:rsidR="00C602FD" w:rsidRDefault="00C602FD" w:rsidP="00C602FD">
      <w:pPr>
        <w:keepNext w:val="0"/>
        <w:autoSpaceDE w:val="0"/>
        <w:autoSpaceDN w:val="0"/>
        <w:adjustRightInd w:val="0"/>
        <w:spacing w:before="0"/>
        <w:rPr>
          <w:rFonts w:cs="Arial"/>
          <w:b/>
          <w:bCs/>
          <w:sz w:val="28"/>
          <w:szCs w:val="28"/>
        </w:rPr>
      </w:pPr>
      <w:r>
        <w:rPr>
          <w:rFonts w:cs="Arial"/>
          <w:b/>
          <w:bCs/>
          <w:sz w:val="28"/>
          <w:szCs w:val="28"/>
        </w:rPr>
        <w:br w:type="page"/>
      </w:r>
    </w:p>
    <w:p w14:paraId="115CB55B" w14:textId="64266AC9" w:rsidR="00C602FD" w:rsidRPr="00C602FD" w:rsidRDefault="00C602FD" w:rsidP="00364726">
      <w:pPr>
        <w:pStyle w:val="Heading1"/>
      </w:pPr>
      <w:bookmarkStart w:id="335" w:name="_Toc145511631"/>
      <w:bookmarkStart w:id="336" w:name="_Hlk82187894"/>
      <w:r w:rsidRPr="00C602FD">
        <w:t>Appendix 9 - Policy EV7: Provision and Protection of Allotments</w:t>
      </w:r>
      <w:bookmarkEnd w:id="335"/>
    </w:p>
    <w:bookmarkEnd w:id="336"/>
    <w:p w14:paraId="1F739E30" w14:textId="77777777" w:rsidR="00C602FD" w:rsidRDefault="00C602FD" w:rsidP="00C602FD">
      <w:pPr>
        <w:keepNext w:val="0"/>
        <w:autoSpaceDE w:val="0"/>
        <w:autoSpaceDN w:val="0"/>
        <w:adjustRightInd w:val="0"/>
        <w:spacing w:before="0"/>
        <w:rPr>
          <w:rFonts w:cs="Arial"/>
          <w:b/>
          <w:bCs/>
          <w:sz w:val="28"/>
          <w:szCs w:val="28"/>
        </w:rPr>
      </w:pPr>
    </w:p>
    <w:p w14:paraId="52EA27C0" w14:textId="77777777" w:rsidR="00967C7D" w:rsidRPr="00967C7D" w:rsidRDefault="00967C7D" w:rsidP="00967C7D">
      <w:pPr>
        <w:keepNext w:val="0"/>
        <w:spacing w:before="0"/>
        <w:jc w:val="both"/>
        <w:rPr>
          <w:rFonts w:cs="Arial"/>
          <w:b/>
          <w:color w:val="auto"/>
        </w:rPr>
      </w:pPr>
      <w:r w:rsidRPr="00967C7D">
        <w:rPr>
          <w:rFonts w:cs="Arial"/>
          <w:b/>
          <w:color w:val="auto"/>
        </w:rPr>
        <w:t xml:space="preserve">Allotments </w:t>
      </w:r>
    </w:p>
    <w:p w14:paraId="7C03CACF" w14:textId="77777777" w:rsidR="00967C7D" w:rsidRPr="00967C7D" w:rsidRDefault="00967C7D" w:rsidP="00967C7D">
      <w:pPr>
        <w:keepNext w:val="0"/>
        <w:spacing w:before="0"/>
        <w:jc w:val="both"/>
        <w:rPr>
          <w:rFonts w:cs="Arial"/>
          <w:b/>
          <w:color w:val="auto"/>
        </w:rPr>
      </w:pPr>
    </w:p>
    <w:tbl>
      <w:tblPr>
        <w:tblStyle w:val="TableGrid3"/>
        <w:tblW w:w="0" w:type="auto"/>
        <w:tblLook w:val="01E0" w:firstRow="1" w:lastRow="1" w:firstColumn="1" w:lastColumn="1" w:noHBand="0" w:noVBand="0"/>
      </w:tblPr>
      <w:tblGrid>
        <w:gridCol w:w="2280"/>
        <w:gridCol w:w="3720"/>
        <w:gridCol w:w="3079"/>
      </w:tblGrid>
      <w:tr w:rsidR="00967C7D" w:rsidRPr="00967C7D" w14:paraId="2E7864F9" w14:textId="77777777" w:rsidTr="0047268B">
        <w:tc>
          <w:tcPr>
            <w:tcW w:w="2280" w:type="dxa"/>
            <w:shd w:val="clear" w:color="auto" w:fill="D9D9D9" w:themeFill="background1" w:themeFillShade="D9"/>
          </w:tcPr>
          <w:p w14:paraId="38887424" w14:textId="55ACA3C0" w:rsidR="00967C7D" w:rsidRPr="00967C7D" w:rsidRDefault="00967C7D" w:rsidP="0047268B">
            <w:pPr>
              <w:keepNext w:val="0"/>
              <w:spacing w:before="0"/>
              <w:jc w:val="left"/>
              <w:rPr>
                <w:rFonts w:cs="Arial"/>
                <w:b/>
                <w:color w:val="auto"/>
              </w:rPr>
            </w:pPr>
            <w:r w:rsidRPr="00967C7D">
              <w:rPr>
                <w:rFonts w:cs="Arial"/>
                <w:b/>
                <w:color w:val="auto"/>
              </w:rPr>
              <w:t>Local Plan Ref</w:t>
            </w:r>
            <w:r w:rsidR="00F02029">
              <w:rPr>
                <w:rFonts w:cs="Arial"/>
                <w:b/>
                <w:color w:val="auto"/>
              </w:rPr>
              <w:t>erence</w:t>
            </w:r>
          </w:p>
        </w:tc>
        <w:tc>
          <w:tcPr>
            <w:tcW w:w="3720" w:type="dxa"/>
            <w:shd w:val="clear" w:color="auto" w:fill="D9D9D9" w:themeFill="background1" w:themeFillShade="D9"/>
          </w:tcPr>
          <w:p w14:paraId="053741C6" w14:textId="77777777" w:rsidR="00967C7D" w:rsidRDefault="00967C7D" w:rsidP="0047268B">
            <w:pPr>
              <w:keepNext w:val="0"/>
              <w:spacing w:before="0"/>
              <w:jc w:val="left"/>
              <w:rPr>
                <w:rFonts w:cs="Arial"/>
                <w:b/>
                <w:color w:val="auto"/>
              </w:rPr>
            </w:pPr>
            <w:r w:rsidRPr="00967C7D">
              <w:rPr>
                <w:rFonts w:cs="Arial"/>
                <w:b/>
                <w:color w:val="auto"/>
              </w:rPr>
              <w:t>Allotment Name</w:t>
            </w:r>
          </w:p>
          <w:p w14:paraId="65DC562D" w14:textId="77DA1A7E" w:rsidR="0047268B" w:rsidRPr="00967C7D" w:rsidRDefault="0047268B" w:rsidP="0047268B">
            <w:pPr>
              <w:keepNext w:val="0"/>
              <w:spacing w:before="0"/>
              <w:jc w:val="left"/>
              <w:rPr>
                <w:rFonts w:cs="Arial"/>
                <w:b/>
                <w:color w:val="auto"/>
              </w:rPr>
            </w:pPr>
          </w:p>
        </w:tc>
        <w:tc>
          <w:tcPr>
            <w:tcW w:w="3079" w:type="dxa"/>
            <w:shd w:val="clear" w:color="auto" w:fill="D9D9D9" w:themeFill="background1" w:themeFillShade="D9"/>
          </w:tcPr>
          <w:p w14:paraId="50E2F907" w14:textId="77777777" w:rsidR="00967C7D" w:rsidRPr="00967C7D" w:rsidRDefault="00967C7D" w:rsidP="0047268B">
            <w:pPr>
              <w:keepNext w:val="0"/>
              <w:spacing w:before="0"/>
              <w:jc w:val="left"/>
              <w:rPr>
                <w:rFonts w:cs="Arial"/>
                <w:b/>
                <w:color w:val="auto"/>
              </w:rPr>
            </w:pPr>
            <w:r w:rsidRPr="00967C7D">
              <w:rPr>
                <w:rFonts w:cs="Arial"/>
                <w:b/>
                <w:color w:val="auto"/>
              </w:rPr>
              <w:t>Location</w:t>
            </w:r>
          </w:p>
        </w:tc>
      </w:tr>
      <w:tr w:rsidR="00967C7D" w:rsidRPr="00967C7D" w14:paraId="065EB30E" w14:textId="77777777" w:rsidTr="00B5314A">
        <w:tc>
          <w:tcPr>
            <w:tcW w:w="2280" w:type="dxa"/>
          </w:tcPr>
          <w:p w14:paraId="77A1FAC1" w14:textId="4A0EC0A5" w:rsidR="00967C7D" w:rsidRPr="00967C7D" w:rsidRDefault="00967C7D" w:rsidP="00967C7D">
            <w:pPr>
              <w:keepNext w:val="0"/>
              <w:spacing w:before="0"/>
              <w:rPr>
                <w:rFonts w:cs="Arial"/>
                <w:color w:val="auto"/>
              </w:rPr>
            </w:pPr>
            <w:bookmarkStart w:id="337" w:name="_Hlk121835378"/>
            <w:r w:rsidRPr="00967C7D">
              <w:rPr>
                <w:rFonts w:cs="Arial"/>
                <w:color w:val="auto"/>
              </w:rPr>
              <w:t>EV7 H</w:t>
            </w:r>
            <w:r w:rsidR="00AD154B">
              <w:rPr>
                <w:rFonts w:cs="Arial"/>
                <w:color w:val="auto"/>
              </w:rPr>
              <w:t>a</w:t>
            </w:r>
          </w:p>
        </w:tc>
        <w:tc>
          <w:tcPr>
            <w:tcW w:w="3720" w:type="dxa"/>
          </w:tcPr>
          <w:p w14:paraId="1C1DA897" w14:textId="77777777" w:rsidR="00967C7D" w:rsidRPr="00967C7D" w:rsidRDefault="00967C7D" w:rsidP="00967C7D">
            <w:pPr>
              <w:keepNext w:val="0"/>
              <w:spacing w:before="0"/>
              <w:rPr>
                <w:rFonts w:cs="Arial"/>
                <w:color w:val="auto"/>
              </w:rPr>
            </w:pPr>
            <w:r w:rsidRPr="00967C7D">
              <w:rPr>
                <w:rFonts w:cs="Arial"/>
                <w:color w:val="auto"/>
              </w:rPr>
              <w:t>Butlers Hill</w:t>
            </w:r>
          </w:p>
        </w:tc>
        <w:tc>
          <w:tcPr>
            <w:tcW w:w="3079" w:type="dxa"/>
          </w:tcPr>
          <w:p w14:paraId="38D960AE" w14:textId="77777777" w:rsidR="00967C7D" w:rsidRPr="00967C7D" w:rsidRDefault="00967C7D" w:rsidP="00967C7D">
            <w:pPr>
              <w:keepNext w:val="0"/>
              <w:spacing w:before="0"/>
              <w:rPr>
                <w:rFonts w:cs="Arial"/>
                <w:color w:val="auto"/>
              </w:rPr>
            </w:pPr>
            <w:r w:rsidRPr="00967C7D">
              <w:rPr>
                <w:rFonts w:cs="Arial"/>
                <w:color w:val="auto"/>
              </w:rPr>
              <w:t>Hucknall</w:t>
            </w:r>
          </w:p>
        </w:tc>
      </w:tr>
      <w:tr w:rsidR="00967C7D" w:rsidRPr="00967C7D" w14:paraId="5C5BC402" w14:textId="77777777" w:rsidTr="00B5314A">
        <w:trPr>
          <w:trHeight w:val="30"/>
        </w:trPr>
        <w:tc>
          <w:tcPr>
            <w:tcW w:w="2280" w:type="dxa"/>
          </w:tcPr>
          <w:p w14:paraId="7A07CA44" w14:textId="542EBA61" w:rsidR="00967C7D" w:rsidRPr="00967C7D" w:rsidRDefault="00967C7D" w:rsidP="00967C7D">
            <w:pPr>
              <w:keepNext w:val="0"/>
              <w:spacing w:before="0"/>
              <w:rPr>
                <w:rFonts w:cs="Arial"/>
                <w:color w:val="auto"/>
              </w:rPr>
            </w:pPr>
            <w:r w:rsidRPr="00967C7D">
              <w:rPr>
                <w:rFonts w:cs="Arial"/>
                <w:color w:val="auto"/>
              </w:rPr>
              <w:t>EV7 H</w:t>
            </w:r>
            <w:r w:rsidR="00AD154B">
              <w:rPr>
                <w:rFonts w:cs="Arial"/>
                <w:color w:val="auto"/>
              </w:rPr>
              <w:t>b</w:t>
            </w:r>
          </w:p>
        </w:tc>
        <w:tc>
          <w:tcPr>
            <w:tcW w:w="3720" w:type="dxa"/>
          </w:tcPr>
          <w:p w14:paraId="17E79D06" w14:textId="77777777" w:rsidR="00967C7D" w:rsidRPr="00967C7D" w:rsidRDefault="00967C7D" w:rsidP="00967C7D">
            <w:pPr>
              <w:keepNext w:val="0"/>
              <w:spacing w:before="0"/>
              <w:rPr>
                <w:rFonts w:cs="Arial"/>
                <w:strike/>
                <w:color w:val="auto"/>
              </w:rPr>
            </w:pPr>
            <w:r w:rsidRPr="00967C7D">
              <w:rPr>
                <w:rFonts w:cs="Arial"/>
                <w:color w:val="auto"/>
              </w:rPr>
              <w:t>High Leys</w:t>
            </w:r>
          </w:p>
        </w:tc>
        <w:tc>
          <w:tcPr>
            <w:tcW w:w="3079" w:type="dxa"/>
          </w:tcPr>
          <w:p w14:paraId="2B7FAEA5" w14:textId="77777777" w:rsidR="00967C7D" w:rsidRPr="00967C7D" w:rsidRDefault="00967C7D" w:rsidP="00967C7D">
            <w:pPr>
              <w:keepNext w:val="0"/>
              <w:spacing w:before="0"/>
              <w:rPr>
                <w:rFonts w:cs="Arial"/>
                <w:color w:val="auto"/>
              </w:rPr>
            </w:pPr>
            <w:r w:rsidRPr="00967C7D">
              <w:rPr>
                <w:rFonts w:cs="Arial"/>
                <w:color w:val="auto"/>
              </w:rPr>
              <w:t>Hucknall</w:t>
            </w:r>
          </w:p>
        </w:tc>
      </w:tr>
      <w:tr w:rsidR="00967C7D" w:rsidRPr="00967C7D" w14:paraId="5412BB91" w14:textId="77777777" w:rsidTr="00B5314A">
        <w:trPr>
          <w:trHeight w:val="30"/>
        </w:trPr>
        <w:tc>
          <w:tcPr>
            <w:tcW w:w="2280" w:type="dxa"/>
          </w:tcPr>
          <w:p w14:paraId="477B7949" w14:textId="65A23050" w:rsidR="00967C7D" w:rsidRPr="00967C7D" w:rsidRDefault="00967C7D" w:rsidP="00967C7D">
            <w:pPr>
              <w:keepNext w:val="0"/>
              <w:spacing w:before="0"/>
              <w:rPr>
                <w:rFonts w:cs="Arial"/>
                <w:color w:val="auto"/>
              </w:rPr>
            </w:pPr>
            <w:r w:rsidRPr="00967C7D">
              <w:rPr>
                <w:rFonts w:cs="Arial"/>
                <w:color w:val="auto"/>
              </w:rPr>
              <w:t xml:space="preserve">EV7 </w:t>
            </w:r>
            <w:proofErr w:type="spellStart"/>
            <w:r w:rsidRPr="00967C7D">
              <w:rPr>
                <w:rFonts w:cs="Arial"/>
                <w:color w:val="auto"/>
              </w:rPr>
              <w:t>H</w:t>
            </w:r>
            <w:r w:rsidR="00AD154B">
              <w:rPr>
                <w:rFonts w:cs="Arial"/>
                <w:color w:val="auto"/>
              </w:rPr>
              <w:t>c</w:t>
            </w:r>
            <w:proofErr w:type="spellEnd"/>
          </w:p>
        </w:tc>
        <w:tc>
          <w:tcPr>
            <w:tcW w:w="3720" w:type="dxa"/>
          </w:tcPr>
          <w:p w14:paraId="66E8C952" w14:textId="77777777" w:rsidR="00967C7D" w:rsidRPr="00967C7D" w:rsidRDefault="00967C7D" w:rsidP="00967C7D">
            <w:pPr>
              <w:keepNext w:val="0"/>
              <w:spacing w:before="0"/>
              <w:rPr>
                <w:rFonts w:cs="Arial"/>
                <w:color w:val="auto"/>
              </w:rPr>
            </w:pPr>
            <w:smartTag w:uri="urn:schemas-microsoft-com:office:smarttags" w:element="address">
              <w:smartTag w:uri="urn:schemas-microsoft-com:office:smarttags" w:element="Street">
                <w:r w:rsidRPr="00967C7D">
                  <w:rPr>
                    <w:rFonts w:cs="Arial"/>
                    <w:color w:val="auto"/>
                  </w:rPr>
                  <w:t>Wood Lane</w:t>
                </w:r>
              </w:smartTag>
            </w:smartTag>
            <w:r w:rsidRPr="00967C7D">
              <w:rPr>
                <w:rFonts w:cs="Arial"/>
                <w:color w:val="auto"/>
              </w:rPr>
              <w:t>/A611</w:t>
            </w:r>
          </w:p>
        </w:tc>
        <w:tc>
          <w:tcPr>
            <w:tcW w:w="3079" w:type="dxa"/>
          </w:tcPr>
          <w:p w14:paraId="0B804CE6" w14:textId="77777777" w:rsidR="00967C7D" w:rsidRPr="00967C7D" w:rsidRDefault="00967C7D" w:rsidP="00967C7D">
            <w:pPr>
              <w:keepNext w:val="0"/>
              <w:spacing w:before="0"/>
              <w:rPr>
                <w:rFonts w:cs="Arial"/>
                <w:color w:val="auto"/>
              </w:rPr>
            </w:pPr>
            <w:r w:rsidRPr="00967C7D">
              <w:rPr>
                <w:rFonts w:cs="Arial"/>
                <w:color w:val="auto"/>
              </w:rPr>
              <w:t>Hucknall</w:t>
            </w:r>
          </w:p>
        </w:tc>
      </w:tr>
      <w:tr w:rsidR="00967C7D" w:rsidRPr="00967C7D" w14:paraId="009C4CDA" w14:textId="77777777" w:rsidTr="00B5314A">
        <w:trPr>
          <w:trHeight w:val="20"/>
        </w:trPr>
        <w:tc>
          <w:tcPr>
            <w:tcW w:w="2280" w:type="dxa"/>
          </w:tcPr>
          <w:p w14:paraId="6DB2835D" w14:textId="7D1719B5" w:rsidR="00967C7D" w:rsidRPr="00967C7D" w:rsidRDefault="00967C7D" w:rsidP="00967C7D">
            <w:pPr>
              <w:keepNext w:val="0"/>
              <w:spacing w:before="0"/>
              <w:rPr>
                <w:rFonts w:cs="Arial"/>
                <w:color w:val="auto"/>
              </w:rPr>
            </w:pPr>
            <w:r w:rsidRPr="00967C7D">
              <w:rPr>
                <w:rFonts w:cs="Arial"/>
                <w:color w:val="auto"/>
              </w:rPr>
              <w:t xml:space="preserve">EV7 </w:t>
            </w:r>
            <w:proofErr w:type="spellStart"/>
            <w:r w:rsidRPr="00967C7D">
              <w:rPr>
                <w:rFonts w:cs="Arial"/>
                <w:color w:val="auto"/>
              </w:rPr>
              <w:t>H</w:t>
            </w:r>
            <w:r w:rsidR="00AD154B">
              <w:rPr>
                <w:rFonts w:cs="Arial"/>
                <w:color w:val="auto"/>
              </w:rPr>
              <w:t>d</w:t>
            </w:r>
            <w:proofErr w:type="spellEnd"/>
          </w:p>
        </w:tc>
        <w:tc>
          <w:tcPr>
            <w:tcW w:w="3720" w:type="dxa"/>
          </w:tcPr>
          <w:p w14:paraId="746670E1" w14:textId="77777777" w:rsidR="00967C7D" w:rsidRPr="00967C7D" w:rsidRDefault="00967C7D" w:rsidP="00967C7D">
            <w:pPr>
              <w:keepNext w:val="0"/>
              <w:spacing w:before="0"/>
              <w:rPr>
                <w:rFonts w:cs="Arial"/>
                <w:color w:val="auto"/>
              </w:rPr>
            </w:pPr>
            <w:r w:rsidRPr="00967C7D">
              <w:rPr>
                <w:rFonts w:cs="Arial"/>
                <w:color w:val="auto"/>
              </w:rPr>
              <w:t>Wigwam Lane</w:t>
            </w:r>
          </w:p>
        </w:tc>
        <w:tc>
          <w:tcPr>
            <w:tcW w:w="3079" w:type="dxa"/>
          </w:tcPr>
          <w:p w14:paraId="19056FBC" w14:textId="77777777" w:rsidR="00967C7D" w:rsidRPr="00967C7D" w:rsidRDefault="00967C7D" w:rsidP="00967C7D">
            <w:pPr>
              <w:keepNext w:val="0"/>
              <w:spacing w:before="0"/>
              <w:rPr>
                <w:rFonts w:cs="Arial"/>
                <w:color w:val="auto"/>
              </w:rPr>
            </w:pPr>
            <w:r w:rsidRPr="00967C7D">
              <w:rPr>
                <w:rFonts w:cs="Arial"/>
                <w:color w:val="auto"/>
              </w:rPr>
              <w:t>Hucknall</w:t>
            </w:r>
          </w:p>
        </w:tc>
      </w:tr>
      <w:tr w:rsidR="00967C7D" w:rsidRPr="00967C7D" w14:paraId="48656CDE" w14:textId="77777777" w:rsidTr="00B5314A">
        <w:trPr>
          <w:trHeight w:val="20"/>
        </w:trPr>
        <w:tc>
          <w:tcPr>
            <w:tcW w:w="2280" w:type="dxa"/>
          </w:tcPr>
          <w:p w14:paraId="073CFA9A" w14:textId="579D7C45" w:rsidR="00967C7D" w:rsidRPr="00967C7D" w:rsidRDefault="00967C7D" w:rsidP="00967C7D">
            <w:pPr>
              <w:keepNext w:val="0"/>
              <w:spacing w:before="0"/>
              <w:rPr>
                <w:rFonts w:cs="Arial"/>
                <w:color w:val="auto"/>
              </w:rPr>
            </w:pPr>
            <w:r w:rsidRPr="00967C7D">
              <w:rPr>
                <w:rFonts w:cs="Arial"/>
                <w:color w:val="auto"/>
              </w:rPr>
              <w:t>EV7 H</w:t>
            </w:r>
            <w:r w:rsidR="00AD154B">
              <w:rPr>
                <w:rFonts w:cs="Arial"/>
                <w:color w:val="auto"/>
              </w:rPr>
              <w:t>e</w:t>
            </w:r>
          </w:p>
        </w:tc>
        <w:tc>
          <w:tcPr>
            <w:tcW w:w="3720" w:type="dxa"/>
          </w:tcPr>
          <w:p w14:paraId="49668A49" w14:textId="77777777" w:rsidR="00967C7D" w:rsidRPr="00967C7D" w:rsidRDefault="00967C7D" w:rsidP="00967C7D">
            <w:pPr>
              <w:keepNext w:val="0"/>
              <w:spacing w:before="0"/>
              <w:rPr>
                <w:rFonts w:cs="Arial"/>
                <w:color w:val="auto"/>
              </w:rPr>
            </w:pPr>
            <w:smartTag w:uri="urn:schemas-microsoft-com:office:smarttags" w:element="address">
              <w:smartTag w:uri="urn:schemas-microsoft-com:office:smarttags" w:element="Street">
                <w:r w:rsidRPr="00967C7D">
                  <w:rPr>
                    <w:rFonts w:cs="Arial"/>
                    <w:color w:val="auto"/>
                  </w:rPr>
                  <w:t>Linby Road East</w:t>
                </w:r>
              </w:smartTag>
            </w:smartTag>
          </w:p>
        </w:tc>
        <w:tc>
          <w:tcPr>
            <w:tcW w:w="3079" w:type="dxa"/>
          </w:tcPr>
          <w:p w14:paraId="7DD3FB87" w14:textId="77777777" w:rsidR="00967C7D" w:rsidRPr="00967C7D" w:rsidRDefault="00967C7D" w:rsidP="00967C7D">
            <w:pPr>
              <w:keepNext w:val="0"/>
              <w:spacing w:before="0"/>
              <w:rPr>
                <w:rFonts w:cs="Arial"/>
                <w:color w:val="auto"/>
              </w:rPr>
            </w:pPr>
            <w:r w:rsidRPr="00967C7D">
              <w:rPr>
                <w:rFonts w:cs="Arial"/>
                <w:color w:val="auto"/>
              </w:rPr>
              <w:t>Hucknall</w:t>
            </w:r>
          </w:p>
        </w:tc>
      </w:tr>
      <w:tr w:rsidR="00967C7D" w:rsidRPr="00967C7D" w14:paraId="46DB3731" w14:textId="77777777" w:rsidTr="00B5314A">
        <w:trPr>
          <w:trHeight w:val="20"/>
        </w:trPr>
        <w:tc>
          <w:tcPr>
            <w:tcW w:w="2280" w:type="dxa"/>
          </w:tcPr>
          <w:p w14:paraId="760E602E" w14:textId="774A5DD0" w:rsidR="00967C7D" w:rsidRPr="00967C7D" w:rsidRDefault="00967C7D" w:rsidP="00967C7D">
            <w:pPr>
              <w:keepNext w:val="0"/>
              <w:spacing w:before="0"/>
              <w:rPr>
                <w:rFonts w:cs="Arial"/>
                <w:color w:val="auto"/>
              </w:rPr>
            </w:pPr>
            <w:r w:rsidRPr="00967C7D">
              <w:rPr>
                <w:rFonts w:cs="Arial"/>
                <w:color w:val="auto"/>
              </w:rPr>
              <w:t>EV7 H</w:t>
            </w:r>
            <w:r w:rsidR="00AD154B">
              <w:rPr>
                <w:rFonts w:cs="Arial"/>
                <w:color w:val="auto"/>
              </w:rPr>
              <w:t>f</w:t>
            </w:r>
          </w:p>
        </w:tc>
        <w:tc>
          <w:tcPr>
            <w:tcW w:w="3720" w:type="dxa"/>
          </w:tcPr>
          <w:p w14:paraId="208CB541" w14:textId="77777777" w:rsidR="00967C7D" w:rsidRPr="00967C7D" w:rsidRDefault="00967C7D" w:rsidP="00967C7D">
            <w:pPr>
              <w:keepNext w:val="0"/>
              <w:spacing w:before="0"/>
              <w:rPr>
                <w:rFonts w:cs="Arial"/>
                <w:color w:val="auto"/>
              </w:rPr>
            </w:pPr>
            <w:r w:rsidRPr="00967C7D">
              <w:rPr>
                <w:rFonts w:cs="Arial"/>
                <w:color w:val="auto"/>
              </w:rPr>
              <w:t>St Mary’s Way</w:t>
            </w:r>
          </w:p>
        </w:tc>
        <w:tc>
          <w:tcPr>
            <w:tcW w:w="3079" w:type="dxa"/>
          </w:tcPr>
          <w:p w14:paraId="511251DC" w14:textId="77777777" w:rsidR="00967C7D" w:rsidRPr="00967C7D" w:rsidRDefault="00967C7D" w:rsidP="00967C7D">
            <w:pPr>
              <w:keepNext w:val="0"/>
              <w:spacing w:before="0"/>
              <w:rPr>
                <w:rFonts w:cs="Arial"/>
                <w:color w:val="auto"/>
              </w:rPr>
            </w:pPr>
            <w:r w:rsidRPr="00967C7D">
              <w:rPr>
                <w:rFonts w:cs="Arial"/>
                <w:color w:val="auto"/>
              </w:rPr>
              <w:t>Hucknall</w:t>
            </w:r>
          </w:p>
        </w:tc>
      </w:tr>
      <w:tr w:rsidR="00967C7D" w:rsidRPr="00967C7D" w14:paraId="13FE08B5" w14:textId="77777777" w:rsidTr="00B5314A">
        <w:trPr>
          <w:trHeight w:val="20"/>
        </w:trPr>
        <w:tc>
          <w:tcPr>
            <w:tcW w:w="2280" w:type="dxa"/>
          </w:tcPr>
          <w:p w14:paraId="62E13D92" w14:textId="790EB2B1" w:rsidR="00967C7D" w:rsidRPr="00967C7D" w:rsidRDefault="00967C7D" w:rsidP="00967C7D">
            <w:pPr>
              <w:keepNext w:val="0"/>
              <w:spacing w:before="0"/>
              <w:rPr>
                <w:rFonts w:cs="Arial"/>
                <w:color w:val="auto"/>
              </w:rPr>
            </w:pPr>
            <w:r w:rsidRPr="00967C7D">
              <w:rPr>
                <w:rFonts w:cs="Arial"/>
                <w:color w:val="auto"/>
              </w:rPr>
              <w:t>EV7 H</w:t>
            </w:r>
            <w:r w:rsidR="00AD154B">
              <w:rPr>
                <w:rFonts w:cs="Arial"/>
                <w:color w:val="auto"/>
              </w:rPr>
              <w:t>g</w:t>
            </w:r>
          </w:p>
        </w:tc>
        <w:tc>
          <w:tcPr>
            <w:tcW w:w="3720" w:type="dxa"/>
          </w:tcPr>
          <w:p w14:paraId="76040405" w14:textId="77777777" w:rsidR="00967C7D" w:rsidRPr="00967C7D" w:rsidRDefault="00967C7D" w:rsidP="00967C7D">
            <w:pPr>
              <w:keepNext w:val="0"/>
              <w:spacing w:before="0"/>
              <w:rPr>
                <w:rFonts w:cs="Arial"/>
                <w:color w:val="auto"/>
              </w:rPr>
            </w:pPr>
            <w:r w:rsidRPr="00967C7D">
              <w:rPr>
                <w:rFonts w:cs="Arial"/>
                <w:color w:val="auto"/>
              </w:rPr>
              <w:t>Wighay</w:t>
            </w:r>
          </w:p>
        </w:tc>
        <w:tc>
          <w:tcPr>
            <w:tcW w:w="3079" w:type="dxa"/>
          </w:tcPr>
          <w:p w14:paraId="131B28EF" w14:textId="77777777" w:rsidR="00967C7D" w:rsidRPr="00967C7D" w:rsidRDefault="00967C7D" w:rsidP="00967C7D">
            <w:pPr>
              <w:keepNext w:val="0"/>
              <w:spacing w:before="0"/>
              <w:rPr>
                <w:rFonts w:cs="Arial"/>
                <w:color w:val="auto"/>
              </w:rPr>
            </w:pPr>
            <w:r w:rsidRPr="00967C7D">
              <w:rPr>
                <w:rFonts w:cs="Arial"/>
                <w:color w:val="auto"/>
              </w:rPr>
              <w:t>Hucknall</w:t>
            </w:r>
          </w:p>
        </w:tc>
      </w:tr>
      <w:tr w:rsidR="00967C7D" w:rsidRPr="00967C7D" w14:paraId="53A6F2D9" w14:textId="77777777" w:rsidTr="00B5314A">
        <w:trPr>
          <w:trHeight w:val="20"/>
        </w:trPr>
        <w:tc>
          <w:tcPr>
            <w:tcW w:w="2280" w:type="dxa"/>
          </w:tcPr>
          <w:p w14:paraId="13A0BDDB" w14:textId="09A15EA2" w:rsidR="00967C7D" w:rsidRPr="00967C7D" w:rsidRDefault="00967C7D" w:rsidP="00967C7D">
            <w:pPr>
              <w:keepNext w:val="0"/>
              <w:spacing w:before="0"/>
              <w:rPr>
                <w:rFonts w:cs="Arial"/>
                <w:color w:val="auto"/>
              </w:rPr>
            </w:pPr>
            <w:r w:rsidRPr="00967C7D">
              <w:rPr>
                <w:rFonts w:cs="Arial"/>
                <w:color w:val="auto"/>
              </w:rPr>
              <w:t xml:space="preserve">EV7 </w:t>
            </w:r>
            <w:proofErr w:type="spellStart"/>
            <w:r w:rsidRPr="00967C7D">
              <w:rPr>
                <w:rFonts w:cs="Arial"/>
                <w:color w:val="auto"/>
              </w:rPr>
              <w:t>H</w:t>
            </w:r>
            <w:r w:rsidR="00AD154B">
              <w:rPr>
                <w:rFonts w:cs="Arial"/>
                <w:color w:val="auto"/>
              </w:rPr>
              <w:t>h</w:t>
            </w:r>
            <w:proofErr w:type="spellEnd"/>
          </w:p>
        </w:tc>
        <w:tc>
          <w:tcPr>
            <w:tcW w:w="3720" w:type="dxa"/>
          </w:tcPr>
          <w:p w14:paraId="18A03395" w14:textId="77777777" w:rsidR="00967C7D" w:rsidRPr="00967C7D" w:rsidRDefault="00967C7D" w:rsidP="00967C7D">
            <w:pPr>
              <w:keepNext w:val="0"/>
              <w:spacing w:before="0"/>
              <w:rPr>
                <w:rFonts w:cs="Arial"/>
                <w:color w:val="auto"/>
              </w:rPr>
            </w:pPr>
            <w:r w:rsidRPr="00967C7D">
              <w:rPr>
                <w:rFonts w:cs="Arial"/>
                <w:color w:val="auto"/>
              </w:rPr>
              <w:t xml:space="preserve">Washdyke Lane </w:t>
            </w:r>
          </w:p>
        </w:tc>
        <w:tc>
          <w:tcPr>
            <w:tcW w:w="3079" w:type="dxa"/>
          </w:tcPr>
          <w:p w14:paraId="54E7975F" w14:textId="77777777" w:rsidR="00967C7D" w:rsidRPr="00967C7D" w:rsidRDefault="00967C7D" w:rsidP="00967C7D">
            <w:pPr>
              <w:keepNext w:val="0"/>
              <w:spacing w:before="0"/>
              <w:rPr>
                <w:rFonts w:cs="Arial"/>
                <w:color w:val="auto"/>
              </w:rPr>
            </w:pPr>
            <w:r w:rsidRPr="00967C7D">
              <w:rPr>
                <w:rFonts w:cs="Arial"/>
                <w:color w:val="auto"/>
              </w:rPr>
              <w:t>Hucknall</w:t>
            </w:r>
          </w:p>
        </w:tc>
      </w:tr>
      <w:bookmarkEnd w:id="337"/>
      <w:tr w:rsidR="00967C7D" w:rsidRPr="00967C7D" w14:paraId="638B628D" w14:textId="77777777" w:rsidTr="00B5314A">
        <w:trPr>
          <w:trHeight w:val="20"/>
        </w:trPr>
        <w:tc>
          <w:tcPr>
            <w:tcW w:w="2280" w:type="dxa"/>
          </w:tcPr>
          <w:p w14:paraId="46BF58C8" w14:textId="77777777" w:rsidR="00967C7D" w:rsidRPr="00967C7D" w:rsidRDefault="00967C7D" w:rsidP="00967C7D">
            <w:pPr>
              <w:keepNext w:val="0"/>
              <w:spacing w:before="0"/>
              <w:rPr>
                <w:rFonts w:cs="Arial"/>
                <w:color w:val="auto"/>
              </w:rPr>
            </w:pPr>
          </w:p>
        </w:tc>
        <w:tc>
          <w:tcPr>
            <w:tcW w:w="3720" w:type="dxa"/>
          </w:tcPr>
          <w:p w14:paraId="35BDC45A" w14:textId="77777777" w:rsidR="00967C7D" w:rsidRPr="00967C7D" w:rsidRDefault="00967C7D" w:rsidP="00967C7D">
            <w:pPr>
              <w:keepNext w:val="0"/>
              <w:spacing w:before="0"/>
              <w:rPr>
                <w:rFonts w:cs="Arial"/>
                <w:color w:val="auto"/>
              </w:rPr>
            </w:pPr>
          </w:p>
        </w:tc>
        <w:tc>
          <w:tcPr>
            <w:tcW w:w="3079" w:type="dxa"/>
          </w:tcPr>
          <w:p w14:paraId="4C22866A" w14:textId="77777777" w:rsidR="00967C7D" w:rsidRPr="00967C7D" w:rsidRDefault="00967C7D" w:rsidP="00967C7D">
            <w:pPr>
              <w:keepNext w:val="0"/>
              <w:spacing w:before="0"/>
              <w:rPr>
                <w:rFonts w:cs="Arial"/>
                <w:color w:val="auto"/>
              </w:rPr>
            </w:pPr>
          </w:p>
        </w:tc>
      </w:tr>
      <w:tr w:rsidR="00967C7D" w:rsidRPr="00967C7D" w14:paraId="1B3B51DB" w14:textId="77777777" w:rsidTr="00B5314A">
        <w:trPr>
          <w:trHeight w:val="20"/>
        </w:trPr>
        <w:tc>
          <w:tcPr>
            <w:tcW w:w="2280" w:type="dxa"/>
          </w:tcPr>
          <w:p w14:paraId="7550B773" w14:textId="77777777" w:rsidR="00967C7D" w:rsidRPr="00967C7D" w:rsidRDefault="00967C7D" w:rsidP="00967C7D">
            <w:pPr>
              <w:keepNext w:val="0"/>
              <w:spacing w:before="0"/>
              <w:rPr>
                <w:rFonts w:cs="Arial"/>
                <w:color w:val="auto"/>
              </w:rPr>
            </w:pPr>
            <w:r w:rsidRPr="00967C7D">
              <w:rPr>
                <w:rFonts w:cs="Arial"/>
                <w:color w:val="auto"/>
              </w:rPr>
              <w:t>EV7 Va</w:t>
            </w:r>
          </w:p>
        </w:tc>
        <w:tc>
          <w:tcPr>
            <w:tcW w:w="3720" w:type="dxa"/>
          </w:tcPr>
          <w:p w14:paraId="349ABD20" w14:textId="77777777" w:rsidR="00967C7D" w:rsidRPr="00967C7D" w:rsidRDefault="00967C7D" w:rsidP="00967C7D">
            <w:pPr>
              <w:keepNext w:val="0"/>
              <w:spacing w:before="0"/>
              <w:rPr>
                <w:rFonts w:cs="Arial"/>
                <w:color w:val="auto"/>
              </w:rPr>
            </w:pPr>
            <w:smartTag w:uri="urn:schemas-microsoft-com:office:smarttags" w:element="address">
              <w:smartTag w:uri="urn:schemas-microsoft-com:office:smarttags" w:element="Street">
                <w:r w:rsidRPr="00967C7D">
                  <w:rPr>
                    <w:rFonts w:cs="Arial"/>
                    <w:color w:val="auto"/>
                  </w:rPr>
                  <w:t>Plainspot Road</w:t>
                </w:r>
              </w:smartTag>
            </w:smartTag>
          </w:p>
        </w:tc>
        <w:tc>
          <w:tcPr>
            <w:tcW w:w="3079" w:type="dxa"/>
          </w:tcPr>
          <w:p w14:paraId="2F564254" w14:textId="77777777" w:rsidR="00967C7D" w:rsidRPr="00967C7D" w:rsidRDefault="00967C7D" w:rsidP="00967C7D">
            <w:pPr>
              <w:keepNext w:val="0"/>
              <w:spacing w:before="0"/>
              <w:rPr>
                <w:rFonts w:cs="Arial"/>
                <w:color w:val="auto"/>
              </w:rPr>
            </w:pPr>
            <w:r w:rsidRPr="00967C7D">
              <w:rPr>
                <w:rFonts w:cs="Arial"/>
                <w:color w:val="auto"/>
              </w:rPr>
              <w:t>Brinsley</w:t>
            </w:r>
          </w:p>
        </w:tc>
      </w:tr>
      <w:tr w:rsidR="00967C7D" w:rsidRPr="00967C7D" w14:paraId="4D0DA654" w14:textId="77777777" w:rsidTr="00B5314A">
        <w:trPr>
          <w:trHeight w:val="20"/>
        </w:trPr>
        <w:tc>
          <w:tcPr>
            <w:tcW w:w="2280" w:type="dxa"/>
          </w:tcPr>
          <w:p w14:paraId="4DC00105" w14:textId="77777777" w:rsidR="00967C7D" w:rsidRPr="00967C7D" w:rsidRDefault="00967C7D" w:rsidP="00967C7D">
            <w:pPr>
              <w:keepNext w:val="0"/>
              <w:spacing w:before="0"/>
              <w:rPr>
                <w:rFonts w:cs="Arial"/>
                <w:color w:val="auto"/>
              </w:rPr>
            </w:pPr>
            <w:r w:rsidRPr="00967C7D">
              <w:rPr>
                <w:rFonts w:cs="Arial"/>
                <w:color w:val="auto"/>
              </w:rPr>
              <w:t xml:space="preserve">EV7 </w:t>
            </w:r>
            <w:proofErr w:type="spellStart"/>
            <w:r w:rsidRPr="00967C7D">
              <w:rPr>
                <w:rFonts w:cs="Arial"/>
                <w:color w:val="auto"/>
              </w:rPr>
              <w:t>Vb</w:t>
            </w:r>
            <w:proofErr w:type="spellEnd"/>
          </w:p>
        </w:tc>
        <w:tc>
          <w:tcPr>
            <w:tcW w:w="3720" w:type="dxa"/>
          </w:tcPr>
          <w:p w14:paraId="59F3FB13" w14:textId="77777777" w:rsidR="00967C7D" w:rsidRPr="00967C7D" w:rsidRDefault="00967C7D" w:rsidP="00967C7D">
            <w:pPr>
              <w:keepNext w:val="0"/>
              <w:spacing w:before="0"/>
              <w:rPr>
                <w:rFonts w:cs="Arial"/>
                <w:color w:val="auto"/>
              </w:rPr>
            </w:pPr>
            <w:r w:rsidRPr="00967C7D">
              <w:rPr>
                <w:rFonts w:cs="Arial"/>
                <w:color w:val="auto"/>
              </w:rPr>
              <w:t xml:space="preserve">Cordy Lane </w:t>
            </w:r>
          </w:p>
        </w:tc>
        <w:tc>
          <w:tcPr>
            <w:tcW w:w="3079" w:type="dxa"/>
          </w:tcPr>
          <w:p w14:paraId="7FF3F512" w14:textId="77777777" w:rsidR="00967C7D" w:rsidRPr="00967C7D" w:rsidRDefault="00967C7D" w:rsidP="00967C7D">
            <w:pPr>
              <w:keepNext w:val="0"/>
              <w:spacing w:before="0"/>
              <w:rPr>
                <w:rFonts w:cs="Arial"/>
                <w:color w:val="auto"/>
              </w:rPr>
            </w:pPr>
            <w:r w:rsidRPr="00967C7D">
              <w:rPr>
                <w:rFonts w:cs="Arial"/>
                <w:color w:val="auto"/>
              </w:rPr>
              <w:t>Underwood</w:t>
            </w:r>
          </w:p>
        </w:tc>
      </w:tr>
      <w:tr w:rsidR="00967C7D" w:rsidRPr="00967C7D" w14:paraId="101EE7C5" w14:textId="77777777" w:rsidTr="00B5314A">
        <w:trPr>
          <w:trHeight w:val="20"/>
        </w:trPr>
        <w:tc>
          <w:tcPr>
            <w:tcW w:w="2280" w:type="dxa"/>
          </w:tcPr>
          <w:p w14:paraId="1FB2C8D9" w14:textId="77777777" w:rsidR="00967C7D" w:rsidRPr="00967C7D" w:rsidRDefault="00967C7D" w:rsidP="00967C7D">
            <w:pPr>
              <w:keepNext w:val="0"/>
              <w:spacing w:before="0"/>
              <w:rPr>
                <w:rFonts w:cs="Arial"/>
                <w:color w:val="auto"/>
              </w:rPr>
            </w:pPr>
            <w:r w:rsidRPr="00967C7D">
              <w:rPr>
                <w:rFonts w:cs="Arial"/>
                <w:color w:val="auto"/>
              </w:rPr>
              <w:t xml:space="preserve">EV7 </w:t>
            </w:r>
            <w:proofErr w:type="spellStart"/>
            <w:r w:rsidRPr="00967C7D">
              <w:rPr>
                <w:rFonts w:cs="Arial"/>
                <w:color w:val="auto"/>
              </w:rPr>
              <w:t>Vc</w:t>
            </w:r>
            <w:proofErr w:type="spellEnd"/>
          </w:p>
        </w:tc>
        <w:tc>
          <w:tcPr>
            <w:tcW w:w="3720" w:type="dxa"/>
          </w:tcPr>
          <w:p w14:paraId="28CFE8A0" w14:textId="77777777" w:rsidR="00967C7D" w:rsidRPr="00967C7D" w:rsidRDefault="00967C7D" w:rsidP="00967C7D">
            <w:pPr>
              <w:keepNext w:val="0"/>
              <w:spacing w:before="0"/>
              <w:rPr>
                <w:rFonts w:cs="Arial"/>
                <w:color w:val="auto"/>
              </w:rPr>
            </w:pPr>
            <w:r w:rsidRPr="00967C7D">
              <w:rPr>
                <w:rFonts w:cs="Arial"/>
                <w:color w:val="auto"/>
              </w:rPr>
              <w:t>School Road</w:t>
            </w:r>
          </w:p>
        </w:tc>
        <w:tc>
          <w:tcPr>
            <w:tcW w:w="3079" w:type="dxa"/>
          </w:tcPr>
          <w:p w14:paraId="4B1C1A04" w14:textId="77777777" w:rsidR="00967C7D" w:rsidRPr="00967C7D" w:rsidRDefault="00967C7D" w:rsidP="00967C7D">
            <w:pPr>
              <w:keepNext w:val="0"/>
              <w:spacing w:before="0"/>
              <w:rPr>
                <w:rFonts w:cs="Arial"/>
                <w:color w:val="auto"/>
              </w:rPr>
            </w:pPr>
            <w:r w:rsidRPr="00967C7D">
              <w:rPr>
                <w:rFonts w:cs="Arial"/>
                <w:color w:val="auto"/>
              </w:rPr>
              <w:t>Bagthorpe</w:t>
            </w:r>
          </w:p>
        </w:tc>
      </w:tr>
      <w:tr w:rsidR="00967C7D" w:rsidRPr="00967C7D" w14:paraId="696A711A" w14:textId="77777777" w:rsidTr="00B5314A">
        <w:trPr>
          <w:trHeight w:val="20"/>
        </w:trPr>
        <w:tc>
          <w:tcPr>
            <w:tcW w:w="2280" w:type="dxa"/>
          </w:tcPr>
          <w:p w14:paraId="0CAE1BA7" w14:textId="77777777" w:rsidR="00967C7D" w:rsidRPr="00967C7D" w:rsidRDefault="00967C7D" w:rsidP="00967C7D">
            <w:pPr>
              <w:keepNext w:val="0"/>
              <w:spacing w:before="0"/>
              <w:rPr>
                <w:rFonts w:cs="Arial"/>
                <w:color w:val="auto"/>
              </w:rPr>
            </w:pPr>
            <w:r w:rsidRPr="00967C7D">
              <w:rPr>
                <w:rFonts w:cs="Arial"/>
                <w:color w:val="auto"/>
              </w:rPr>
              <w:t xml:space="preserve">EV7 </w:t>
            </w:r>
            <w:proofErr w:type="spellStart"/>
            <w:r w:rsidRPr="00967C7D">
              <w:rPr>
                <w:rFonts w:cs="Arial"/>
                <w:color w:val="auto"/>
              </w:rPr>
              <w:t>Vd</w:t>
            </w:r>
            <w:proofErr w:type="spellEnd"/>
          </w:p>
        </w:tc>
        <w:tc>
          <w:tcPr>
            <w:tcW w:w="3720" w:type="dxa"/>
          </w:tcPr>
          <w:p w14:paraId="0E679A28" w14:textId="77777777" w:rsidR="00967C7D" w:rsidRPr="00967C7D" w:rsidRDefault="00967C7D" w:rsidP="00967C7D">
            <w:pPr>
              <w:keepNext w:val="0"/>
              <w:spacing w:before="0"/>
              <w:rPr>
                <w:rFonts w:cs="Arial"/>
                <w:color w:val="auto"/>
              </w:rPr>
            </w:pPr>
            <w:smartTag w:uri="urn:schemas-microsoft-com:office:smarttags" w:element="place">
              <w:smartTag w:uri="urn:schemas-microsoft-com:office:smarttags" w:element="PlaceName">
                <w:r w:rsidRPr="00967C7D">
                  <w:rPr>
                    <w:rFonts w:cs="Arial"/>
                    <w:color w:val="auto"/>
                  </w:rPr>
                  <w:t>Westwood</w:t>
                </w:r>
              </w:smartTag>
              <w:r w:rsidRPr="00967C7D">
                <w:rPr>
                  <w:rFonts w:cs="Arial"/>
                  <w:color w:val="auto"/>
                </w:rPr>
                <w:t xml:space="preserve"> </w:t>
              </w:r>
              <w:smartTag w:uri="urn:schemas-microsoft-com:office:smarttags" w:element="PlaceType">
                <w:r w:rsidRPr="00967C7D">
                  <w:rPr>
                    <w:rFonts w:cs="Arial"/>
                    <w:color w:val="auto"/>
                  </w:rPr>
                  <w:t>Gardens</w:t>
                </w:r>
              </w:smartTag>
            </w:smartTag>
          </w:p>
        </w:tc>
        <w:tc>
          <w:tcPr>
            <w:tcW w:w="3079" w:type="dxa"/>
          </w:tcPr>
          <w:p w14:paraId="3791A4C2" w14:textId="77777777" w:rsidR="00967C7D" w:rsidRPr="00967C7D" w:rsidRDefault="00967C7D" w:rsidP="00967C7D">
            <w:pPr>
              <w:keepNext w:val="0"/>
              <w:spacing w:before="0"/>
              <w:rPr>
                <w:rFonts w:cs="Arial"/>
                <w:color w:val="auto"/>
              </w:rPr>
            </w:pPr>
            <w:r w:rsidRPr="00967C7D">
              <w:rPr>
                <w:rFonts w:cs="Arial"/>
                <w:color w:val="auto"/>
              </w:rPr>
              <w:t>Westwood</w:t>
            </w:r>
          </w:p>
        </w:tc>
      </w:tr>
      <w:tr w:rsidR="00967C7D" w:rsidRPr="00967C7D" w14:paraId="12FCDFEC" w14:textId="77777777" w:rsidTr="00B5314A">
        <w:trPr>
          <w:trHeight w:val="20"/>
        </w:trPr>
        <w:tc>
          <w:tcPr>
            <w:tcW w:w="2280" w:type="dxa"/>
          </w:tcPr>
          <w:p w14:paraId="3381EF5A" w14:textId="77777777" w:rsidR="00967C7D" w:rsidRPr="00967C7D" w:rsidRDefault="00967C7D" w:rsidP="00967C7D">
            <w:pPr>
              <w:keepNext w:val="0"/>
              <w:spacing w:before="0"/>
              <w:rPr>
                <w:rFonts w:cs="Arial"/>
                <w:color w:val="auto"/>
              </w:rPr>
            </w:pPr>
            <w:r w:rsidRPr="00967C7D">
              <w:rPr>
                <w:rFonts w:cs="Arial"/>
                <w:color w:val="auto"/>
              </w:rPr>
              <w:t>EV7 Ve</w:t>
            </w:r>
          </w:p>
        </w:tc>
        <w:tc>
          <w:tcPr>
            <w:tcW w:w="3720" w:type="dxa"/>
          </w:tcPr>
          <w:p w14:paraId="1AC821AB" w14:textId="77777777" w:rsidR="00967C7D" w:rsidRPr="00967C7D" w:rsidRDefault="00967C7D" w:rsidP="00967C7D">
            <w:pPr>
              <w:keepNext w:val="0"/>
              <w:spacing w:before="0"/>
              <w:rPr>
                <w:rFonts w:cs="Arial"/>
                <w:color w:val="auto"/>
              </w:rPr>
            </w:pPr>
            <w:smartTag w:uri="urn:schemas-microsoft-com:office:smarttags" w:element="address">
              <w:smartTag w:uri="urn:schemas-microsoft-com:office:smarttags" w:element="Street">
                <w:r w:rsidRPr="00967C7D">
                  <w:rPr>
                    <w:rFonts w:cs="Arial"/>
                    <w:color w:val="auto"/>
                  </w:rPr>
                  <w:t>Nottingham Road</w:t>
                </w:r>
              </w:smartTag>
            </w:smartTag>
          </w:p>
        </w:tc>
        <w:tc>
          <w:tcPr>
            <w:tcW w:w="3079" w:type="dxa"/>
          </w:tcPr>
          <w:p w14:paraId="0AC06C06" w14:textId="77777777" w:rsidR="00967C7D" w:rsidRPr="00967C7D" w:rsidRDefault="00967C7D" w:rsidP="00967C7D">
            <w:pPr>
              <w:keepNext w:val="0"/>
              <w:spacing w:before="0"/>
              <w:rPr>
                <w:rFonts w:cs="Arial"/>
                <w:color w:val="auto"/>
              </w:rPr>
            </w:pPr>
            <w:r w:rsidRPr="00967C7D">
              <w:rPr>
                <w:rFonts w:cs="Arial"/>
                <w:color w:val="auto"/>
              </w:rPr>
              <w:t>Selston</w:t>
            </w:r>
          </w:p>
        </w:tc>
      </w:tr>
      <w:tr w:rsidR="00967C7D" w:rsidRPr="00967C7D" w14:paraId="2FC89668" w14:textId="77777777" w:rsidTr="00B5314A">
        <w:trPr>
          <w:trHeight w:val="20"/>
        </w:trPr>
        <w:tc>
          <w:tcPr>
            <w:tcW w:w="2280" w:type="dxa"/>
          </w:tcPr>
          <w:p w14:paraId="0A272DFD" w14:textId="77777777" w:rsidR="00967C7D" w:rsidRPr="00967C7D" w:rsidRDefault="00967C7D" w:rsidP="00967C7D">
            <w:pPr>
              <w:keepNext w:val="0"/>
              <w:spacing w:before="0"/>
              <w:rPr>
                <w:rFonts w:cs="Arial"/>
                <w:color w:val="auto"/>
              </w:rPr>
            </w:pPr>
            <w:r w:rsidRPr="00967C7D">
              <w:rPr>
                <w:rFonts w:cs="Arial"/>
                <w:color w:val="auto"/>
              </w:rPr>
              <w:t xml:space="preserve">EV7 </w:t>
            </w:r>
            <w:proofErr w:type="spellStart"/>
            <w:r w:rsidRPr="00967C7D">
              <w:rPr>
                <w:rFonts w:cs="Arial"/>
                <w:color w:val="auto"/>
              </w:rPr>
              <w:t>Vf</w:t>
            </w:r>
            <w:proofErr w:type="spellEnd"/>
          </w:p>
        </w:tc>
        <w:tc>
          <w:tcPr>
            <w:tcW w:w="3720" w:type="dxa"/>
          </w:tcPr>
          <w:p w14:paraId="1C1C00CE" w14:textId="77777777" w:rsidR="00967C7D" w:rsidRPr="00967C7D" w:rsidRDefault="00967C7D" w:rsidP="00967C7D">
            <w:pPr>
              <w:keepNext w:val="0"/>
              <w:spacing w:before="0"/>
              <w:rPr>
                <w:rFonts w:cs="Arial"/>
                <w:color w:val="auto"/>
              </w:rPr>
            </w:pPr>
            <w:smartTag w:uri="urn:schemas-microsoft-com:office:smarttags" w:element="address">
              <w:smartTag w:uri="urn:schemas-microsoft-com:office:smarttags" w:element="Street">
                <w:r w:rsidRPr="00967C7D">
                  <w:rPr>
                    <w:rFonts w:cs="Arial"/>
                    <w:color w:val="auto"/>
                  </w:rPr>
                  <w:t>Mansfield Road</w:t>
                </w:r>
              </w:smartTag>
            </w:smartTag>
          </w:p>
        </w:tc>
        <w:tc>
          <w:tcPr>
            <w:tcW w:w="3079" w:type="dxa"/>
          </w:tcPr>
          <w:p w14:paraId="795793A8" w14:textId="77777777" w:rsidR="00967C7D" w:rsidRPr="00967C7D" w:rsidRDefault="00967C7D" w:rsidP="00967C7D">
            <w:pPr>
              <w:keepNext w:val="0"/>
              <w:spacing w:before="0"/>
              <w:rPr>
                <w:rFonts w:cs="Arial"/>
                <w:color w:val="auto"/>
              </w:rPr>
            </w:pPr>
            <w:r w:rsidRPr="00967C7D">
              <w:rPr>
                <w:rFonts w:cs="Arial"/>
                <w:color w:val="auto"/>
              </w:rPr>
              <w:t>Selston</w:t>
            </w:r>
          </w:p>
        </w:tc>
      </w:tr>
      <w:tr w:rsidR="00967C7D" w:rsidRPr="00967C7D" w14:paraId="5C71DD62" w14:textId="77777777" w:rsidTr="00B5314A">
        <w:trPr>
          <w:trHeight w:val="20"/>
        </w:trPr>
        <w:tc>
          <w:tcPr>
            <w:tcW w:w="2280" w:type="dxa"/>
          </w:tcPr>
          <w:p w14:paraId="3D3EEFB8" w14:textId="77777777" w:rsidR="00967C7D" w:rsidRPr="00967C7D" w:rsidRDefault="00967C7D" w:rsidP="00967C7D">
            <w:pPr>
              <w:keepNext w:val="0"/>
              <w:spacing w:before="0"/>
              <w:rPr>
                <w:rFonts w:cs="Arial"/>
                <w:color w:val="auto"/>
              </w:rPr>
            </w:pPr>
          </w:p>
        </w:tc>
        <w:tc>
          <w:tcPr>
            <w:tcW w:w="3720" w:type="dxa"/>
          </w:tcPr>
          <w:p w14:paraId="327F3AD0" w14:textId="77777777" w:rsidR="00967C7D" w:rsidRPr="00967C7D" w:rsidRDefault="00967C7D" w:rsidP="00967C7D">
            <w:pPr>
              <w:keepNext w:val="0"/>
              <w:spacing w:before="0"/>
              <w:rPr>
                <w:rFonts w:cs="Arial"/>
                <w:color w:val="auto"/>
              </w:rPr>
            </w:pPr>
          </w:p>
        </w:tc>
        <w:tc>
          <w:tcPr>
            <w:tcW w:w="3079" w:type="dxa"/>
          </w:tcPr>
          <w:p w14:paraId="560016A7" w14:textId="77777777" w:rsidR="00967C7D" w:rsidRPr="00967C7D" w:rsidRDefault="00967C7D" w:rsidP="00967C7D">
            <w:pPr>
              <w:keepNext w:val="0"/>
              <w:spacing w:before="0"/>
              <w:rPr>
                <w:rFonts w:cs="Arial"/>
                <w:color w:val="auto"/>
              </w:rPr>
            </w:pPr>
          </w:p>
        </w:tc>
      </w:tr>
      <w:tr w:rsidR="00967C7D" w:rsidRPr="00967C7D" w14:paraId="47A4A64C" w14:textId="77777777" w:rsidTr="00B5314A">
        <w:trPr>
          <w:trHeight w:val="20"/>
        </w:trPr>
        <w:tc>
          <w:tcPr>
            <w:tcW w:w="2280" w:type="dxa"/>
          </w:tcPr>
          <w:p w14:paraId="1746D4D7" w14:textId="77777777" w:rsidR="00967C7D" w:rsidRPr="00967C7D" w:rsidRDefault="00967C7D" w:rsidP="00967C7D">
            <w:pPr>
              <w:keepNext w:val="0"/>
              <w:spacing w:before="0"/>
              <w:rPr>
                <w:rFonts w:cs="Arial"/>
                <w:color w:val="auto"/>
              </w:rPr>
            </w:pPr>
            <w:r w:rsidRPr="00967C7D">
              <w:rPr>
                <w:rFonts w:cs="Arial"/>
                <w:color w:val="auto"/>
              </w:rPr>
              <w:t>EV7 Ka</w:t>
            </w:r>
          </w:p>
        </w:tc>
        <w:tc>
          <w:tcPr>
            <w:tcW w:w="3720" w:type="dxa"/>
          </w:tcPr>
          <w:p w14:paraId="13600696" w14:textId="77777777" w:rsidR="00967C7D" w:rsidRPr="00967C7D" w:rsidRDefault="00967C7D" w:rsidP="00967C7D">
            <w:pPr>
              <w:keepNext w:val="0"/>
              <w:spacing w:before="0"/>
              <w:rPr>
                <w:rFonts w:cs="Arial"/>
                <w:color w:val="auto"/>
              </w:rPr>
            </w:pPr>
            <w:smartTag w:uri="urn:schemas-microsoft-com:office:smarttags" w:element="address">
              <w:smartTag w:uri="urn:schemas-microsoft-com:office:smarttags" w:element="Street">
                <w:r w:rsidRPr="00967C7D">
                  <w:rPr>
                    <w:rFonts w:cs="Arial"/>
                    <w:color w:val="auto"/>
                  </w:rPr>
                  <w:t>Wesley Street</w:t>
                </w:r>
              </w:smartTag>
            </w:smartTag>
          </w:p>
        </w:tc>
        <w:tc>
          <w:tcPr>
            <w:tcW w:w="3079" w:type="dxa"/>
          </w:tcPr>
          <w:p w14:paraId="65E97119" w14:textId="77777777" w:rsidR="00967C7D" w:rsidRPr="00967C7D" w:rsidRDefault="00967C7D" w:rsidP="00967C7D">
            <w:pPr>
              <w:keepNext w:val="0"/>
              <w:spacing w:before="0"/>
              <w:rPr>
                <w:rFonts w:cs="Arial"/>
                <w:color w:val="auto"/>
              </w:rPr>
            </w:pPr>
            <w:r w:rsidRPr="00967C7D">
              <w:rPr>
                <w:rFonts w:cs="Arial"/>
                <w:color w:val="auto"/>
              </w:rPr>
              <w:t>Annesley Woodhouse</w:t>
            </w:r>
          </w:p>
        </w:tc>
      </w:tr>
      <w:tr w:rsidR="00967C7D" w:rsidRPr="00967C7D" w14:paraId="5125ED37" w14:textId="77777777" w:rsidTr="00B5314A">
        <w:trPr>
          <w:trHeight w:val="20"/>
        </w:trPr>
        <w:tc>
          <w:tcPr>
            <w:tcW w:w="2280" w:type="dxa"/>
          </w:tcPr>
          <w:p w14:paraId="128C7FC3" w14:textId="77777777" w:rsidR="00967C7D" w:rsidRPr="00967C7D" w:rsidRDefault="00967C7D" w:rsidP="00967C7D">
            <w:pPr>
              <w:keepNext w:val="0"/>
              <w:spacing w:before="0"/>
              <w:rPr>
                <w:rFonts w:cs="Arial"/>
                <w:color w:val="auto"/>
              </w:rPr>
            </w:pPr>
            <w:r w:rsidRPr="00967C7D">
              <w:rPr>
                <w:rFonts w:cs="Arial"/>
                <w:color w:val="auto"/>
              </w:rPr>
              <w:t xml:space="preserve">EV7 </w:t>
            </w:r>
            <w:proofErr w:type="spellStart"/>
            <w:r w:rsidRPr="00967C7D">
              <w:rPr>
                <w:rFonts w:cs="Arial"/>
                <w:color w:val="auto"/>
              </w:rPr>
              <w:t>Kb</w:t>
            </w:r>
            <w:proofErr w:type="spellEnd"/>
          </w:p>
        </w:tc>
        <w:tc>
          <w:tcPr>
            <w:tcW w:w="3720" w:type="dxa"/>
          </w:tcPr>
          <w:p w14:paraId="330E20A0" w14:textId="77777777" w:rsidR="00967C7D" w:rsidRPr="00967C7D" w:rsidRDefault="00967C7D" w:rsidP="00967C7D">
            <w:pPr>
              <w:keepNext w:val="0"/>
              <w:spacing w:before="0"/>
              <w:rPr>
                <w:rFonts w:cs="Arial"/>
                <w:color w:val="auto"/>
              </w:rPr>
            </w:pPr>
            <w:r w:rsidRPr="00967C7D">
              <w:rPr>
                <w:rFonts w:cs="Arial"/>
                <w:color w:val="auto"/>
              </w:rPr>
              <w:t>Sherwood Rise</w:t>
            </w:r>
          </w:p>
        </w:tc>
        <w:tc>
          <w:tcPr>
            <w:tcW w:w="3079" w:type="dxa"/>
          </w:tcPr>
          <w:p w14:paraId="40066A39" w14:textId="77777777" w:rsidR="00967C7D" w:rsidRPr="00967C7D" w:rsidRDefault="00967C7D" w:rsidP="00967C7D">
            <w:pPr>
              <w:keepNext w:val="0"/>
              <w:spacing w:before="0"/>
              <w:rPr>
                <w:rFonts w:cs="Arial"/>
                <w:color w:val="auto"/>
              </w:rPr>
            </w:pPr>
            <w:r w:rsidRPr="00967C7D">
              <w:rPr>
                <w:rFonts w:cs="Arial"/>
                <w:color w:val="auto"/>
              </w:rPr>
              <w:t>Annesley Woodhouse</w:t>
            </w:r>
          </w:p>
        </w:tc>
      </w:tr>
      <w:tr w:rsidR="00967C7D" w:rsidRPr="00967C7D" w14:paraId="2572BAD6" w14:textId="77777777" w:rsidTr="00B5314A">
        <w:trPr>
          <w:trHeight w:val="20"/>
        </w:trPr>
        <w:tc>
          <w:tcPr>
            <w:tcW w:w="2280" w:type="dxa"/>
          </w:tcPr>
          <w:p w14:paraId="370A2F06" w14:textId="77777777" w:rsidR="00967C7D" w:rsidRPr="00967C7D" w:rsidRDefault="00967C7D" w:rsidP="00967C7D">
            <w:pPr>
              <w:keepNext w:val="0"/>
              <w:spacing w:before="0"/>
              <w:rPr>
                <w:rFonts w:cs="Arial"/>
                <w:color w:val="auto"/>
              </w:rPr>
            </w:pPr>
            <w:r w:rsidRPr="00967C7D">
              <w:rPr>
                <w:rFonts w:cs="Arial"/>
                <w:color w:val="auto"/>
              </w:rPr>
              <w:t>EV7 Kc</w:t>
            </w:r>
          </w:p>
        </w:tc>
        <w:tc>
          <w:tcPr>
            <w:tcW w:w="3720" w:type="dxa"/>
          </w:tcPr>
          <w:p w14:paraId="1CBABD11" w14:textId="77777777" w:rsidR="00967C7D" w:rsidRPr="00967C7D" w:rsidRDefault="00967C7D" w:rsidP="00967C7D">
            <w:pPr>
              <w:keepNext w:val="0"/>
              <w:spacing w:before="0"/>
              <w:rPr>
                <w:rFonts w:cs="Arial"/>
                <w:color w:val="auto"/>
              </w:rPr>
            </w:pPr>
            <w:r w:rsidRPr="00967C7D">
              <w:rPr>
                <w:rFonts w:cs="Arial"/>
                <w:color w:val="auto"/>
              </w:rPr>
              <w:t>Recreation Road</w:t>
            </w:r>
          </w:p>
        </w:tc>
        <w:tc>
          <w:tcPr>
            <w:tcW w:w="3079" w:type="dxa"/>
          </w:tcPr>
          <w:p w14:paraId="42F3FE62" w14:textId="77777777" w:rsidR="00967C7D" w:rsidRPr="00967C7D" w:rsidRDefault="00967C7D" w:rsidP="00967C7D">
            <w:pPr>
              <w:keepNext w:val="0"/>
              <w:spacing w:before="0"/>
              <w:rPr>
                <w:rFonts w:cs="Arial"/>
                <w:color w:val="auto"/>
              </w:rPr>
            </w:pPr>
            <w:r w:rsidRPr="00967C7D">
              <w:rPr>
                <w:rFonts w:cs="Arial"/>
                <w:color w:val="auto"/>
              </w:rPr>
              <w:t>Annesley</w:t>
            </w:r>
          </w:p>
        </w:tc>
      </w:tr>
      <w:tr w:rsidR="00967C7D" w:rsidRPr="00967C7D" w14:paraId="045EC67B" w14:textId="77777777" w:rsidTr="00B5314A">
        <w:trPr>
          <w:trHeight w:val="20"/>
        </w:trPr>
        <w:tc>
          <w:tcPr>
            <w:tcW w:w="2280" w:type="dxa"/>
          </w:tcPr>
          <w:p w14:paraId="3D76774A" w14:textId="77777777" w:rsidR="00967C7D" w:rsidRPr="00967C7D" w:rsidRDefault="00967C7D" w:rsidP="00967C7D">
            <w:pPr>
              <w:keepNext w:val="0"/>
              <w:spacing w:before="0"/>
              <w:rPr>
                <w:rFonts w:cs="Arial"/>
                <w:color w:val="auto"/>
              </w:rPr>
            </w:pPr>
            <w:r w:rsidRPr="00967C7D">
              <w:rPr>
                <w:rFonts w:cs="Arial"/>
                <w:color w:val="auto"/>
              </w:rPr>
              <w:t xml:space="preserve">EV7 </w:t>
            </w:r>
            <w:proofErr w:type="spellStart"/>
            <w:r w:rsidRPr="00967C7D">
              <w:rPr>
                <w:rFonts w:cs="Arial"/>
                <w:color w:val="auto"/>
              </w:rPr>
              <w:t>Kd</w:t>
            </w:r>
            <w:proofErr w:type="spellEnd"/>
          </w:p>
        </w:tc>
        <w:tc>
          <w:tcPr>
            <w:tcW w:w="3720" w:type="dxa"/>
          </w:tcPr>
          <w:p w14:paraId="04CB19AB" w14:textId="77777777" w:rsidR="00967C7D" w:rsidRPr="00967C7D" w:rsidRDefault="00967C7D" w:rsidP="00967C7D">
            <w:pPr>
              <w:keepNext w:val="0"/>
              <w:spacing w:before="0"/>
              <w:rPr>
                <w:rFonts w:cs="Arial"/>
                <w:color w:val="auto"/>
              </w:rPr>
            </w:pPr>
            <w:r w:rsidRPr="00967C7D">
              <w:rPr>
                <w:rFonts w:cs="Arial"/>
                <w:color w:val="auto"/>
              </w:rPr>
              <w:t>Kingsway</w:t>
            </w:r>
          </w:p>
        </w:tc>
        <w:tc>
          <w:tcPr>
            <w:tcW w:w="3079" w:type="dxa"/>
          </w:tcPr>
          <w:p w14:paraId="7EA4690B" w14:textId="77777777" w:rsidR="00967C7D" w:rsidRPr="00967C7D" w:rsidRDefault="00967C7D" w:rsidP="00967C7D">
            <w:pPr>
              <w:keepNext w:val="0"/>
              <w:spacing w:before="0"/>
              <w:rPr>
                <w:rFonts w:cs="Arial"/>
                <w:color w:val="auto"/>
              </w:rPr>
            </w:pPr>
            <w:r w:rsidRPr="00967C7D">
              <w:rPr>
                <w:rFonts w:cs="Arial"/>
                <w:color w:val="auto"/>
              </w:rPr>
              <w:t>Kirkby</w:t>
            </w:r>
          </w:p>
        </w:tc>
      </w:tr>
      <w:tr w:rsidR="00967C7D" w:rsidRPr="00967C7D" w14:paraId="7BC4B816" w14:textId="77777777" w:rsidTr="00B5314A">
        <w:trPr>
          <w:trHeight w:val="20"/>
        </w:trPr>
        <w:tc>
          <w:tcPr>
            <w:tcW w:w="2280" w:type="dxa"/>
          </w:tcPr>
          <w:p w14:paraId="42F11D59" w14:textId="77777777" w:rsidR="00967C7D" w:rsidRPr="00967C7D" w:rsidRDefault="00967C7D" w:rsidP="00967C7D">
            <w:pPr>
              <w:keepNext w:val="0"/>
              <w:spacing w:before="0"/>
              <w:rPr>
                <w:rFonts w:cs="Arial"/>
                <w:color w:val="auto"/>
              </w:rPr>
            </w:pPr>
            <w:r w:rsidRPr="00967C7D">
              <w:rPr>
                <w:rFonts w:cs="Arial"/>
                <w:color w:val="auto"/>
              </w:rPr>
              <w:t>EV7 Ke</w:t>
            </w:r>
          </w:p>
        </w:tc>
        <w:tc>
          <w:tcPr>
            <w:tcW w:w="3720" w:type="dxa"/>
          </w:tcPr>
          <w:p w14:paraId="36FFAFCE" w14:textId="77777777" w:rsidR="00967C7D" w:rsidRPr="00967C7D" w:rsidRDefault="00967C7D" w:rsidP="00967C7D">
            <w:pPr>
              <w:keepNext w:val="0"/>
              <w:spacing w:before="0"/>
              <w:rPr>
                <w:rFonts w:cs="Arial"/>
                <w:color w:val="auto"/>
              </w:rPr>
            </w:pPr>
            <w:r w:rsidRPr="00967C7D">
              <w:rPr>
                <w:rFonts w:cs="Arial"/>
                <w:color w:val="auto"/>
              </w:rPr>
              <w:t>Church Gardens</w:t>
            </w:r>
          </w:p>
        </w:tc>
        <w:tc>
          <w:tcPr>
            <w:tcW w:w="3079" w:type="dxa"/>
          </w:tcPr>
          <w:p w14:paraId="0A084ED3" w14:textId="77777777" w:rsidR="00967C7D" w:rsidRPr="00967C7D" w:rsidRDefault="00967C7D" w:rsidP="00967C7D">
            <w:pPr>
              <w:keepNext w:val="0"/>
              <w:spacing w:before="0"/>
              <w:rPr>
                <w:rFonts w:cs="Arial"/>
                <w:color w:val="auto"/>
              </w:rPr>
            </w:pPr>
            <w:r w:rsidRPr="00967C7D">
              <w:rPr>
                <w:rFonts w:cs="Arial"/>
                <w:color w:val="auto"/>
              </w:rPr>
              <w:t>Kirkby</w:t>
            </w:r>
          </w:p>
        </w:tc>
      </w:tr>
      <w:tr w:rsidR="00967C7D" w:rsidRPr="00967C7D" w14:paraId="6A407420" w14:textId="77777777" w:rsidTr="00B5314A">
        <w:trPr>
          <w:trHeight w:val="20"/>
        </w:trPr>
        <w:tc>
          <w:tcPr>
            <w:tcW w:w="2280" w:type="dxa"/>
          </w:tcPr>
          <w:p w14:paraId="44D7101D" w14:textId="77777777" w:rsidR="00967C7D" w:rsidRPr="00967C7D" w:rsidRDefault="00967C7D" w:rsidP="00967C7D">
            <w:pPr>
              <w:keepNext w:val="0"/>
              <w:spacing w:before="0"/>
              <w:rPr>
                <w:rFonts w:cs="Arial"/>
                <w:color w:val="auto"/>
              </w:rPr>
            </w:pPr>
            <w:r w:rsidRPr="00967C7D">
              <w:rPr>
                <w:rFonts w:cs="Arial"/>
                <w:color w:val="auto"/>
              </w:rPr>
              <w:t xml:space="preserve">EV7 </w:t>
            </w:r>
            <w:proofErr w:type="spellStart"/>
            <w:r w:rsidRPr="00967C7D">
              <w:rPr>
                <w:rFonts w:cs="Arial"/>
                <w:color w:val="auto"/>
              </w:rPr>
              <w:t>Kf</w:t>
            </w:r>
            <w:proofErr w:type="spellEnd"/>
          </w:p>
        </w:tc>
        <w:tc>
          <w:tcPr>
            <w:tcW w:w="3720" w:type="dxa"/>
          </w:tcPr>
          <w:p w14:paraId="09920693" w14:textId="77777777" w:rsidR="00967C7D" w:rsidRPr="00967C7D" w:rsidRDefault="00967C7D" w:rsidP="00967C7D">
            <w:pPr>
              <w:keepNext w:val="0"/>
              <w:spacing w:before="0"/>
              <w:rPr>
                <w:rFonts w:cs="Arial"/>
                <w:color w:val="auto"/>
              </w:rPr>
            </w:pPr>
            <w:r w:rsidRPr="00967C7D">
              <w:rPr>
                <w:rFonts w:cs="Arial"/>
                <w:color w:val="auto"/>
              </w:rPr>
              <w:t>Diamond Avenue</w:t>
            </w:r>
          </w:p>
        </w:tc>
        <w:tc>
          <w:tcPr>
            <w:tcW w:w="3079" w:type="dxa"/>
          </w:tcPr>
          <w:p w14:paraId="4212E74E" w14:textId="77777777" w:rsidR="00967C7D" w:rsidRPr="00967C7D" w:rsidRDefault="00967C7D" w:rsidP="00967C7D">
            <w:pPr>
              <w:keepNext w:val="0"/>
              <w:spacing w:before="0"/>
              <w:rPr>
                <w:rFonts w:cs="Arial"/>
                <w:color w:val="auto"/>
              </w:rPr>
            </w:pPr>
            <w:r w:rsidRPr="00967C7D">
              <w:rPr>
                <w:rFonts w:cs="Arial"/>
                <w:color w:val="auto"/>
              </w:rPr>
              <w:t>Kirkby</w:t>
            </w:r>
          </w:p>
        </w:tc>
      </w:tr>
      <w:tr w:rsidR="00967C7D" w:rsidRPr="00967C7D" w14:paraId="656D4C45" w14:textId="77777777" w:rsidTr="00B5314A">
        <w:trPr>
          <w:trHeight w:val="20"/>
        </w:trPr>
        <w:tc>
          <w:tcPr>
            <w:tcW w:w="2280" w:type="dxa"/>
          </w:tcPr>
          <w:p w14:paraId="45B3D2D4" w14:textId="77777777" w:rsidR="00967C7D" w:rsidRPr="00967C7D" w:rsidRDefault="00967C7D" w:rsidP="00967C7D">
            <w:pPr>
              <w:keepNext w:val="0"/>
              <w:spacing w:before="0"/>
              <w:rPr>
                <w:rFonts w:cs="Arial"/>
                <w:color w:val="auto"/>
              </w:rPr>
            </w:pPr>
            <w:r w:rsidRPr="00967C7D">
              <w:rPr>
                <w:rFonts w:cs="Arial"/>
                <w:color w:val="auto"/>
              </w:rPr>
              <w:t>EV7 Kg</w:t>
            </w:r>
          </w:p>
        </w:tc>
        <w:tc>
          <w:tcPr>
            <w:tcW w:w="3720" w:type="dxa"/>
          </w:tcPr>
          <w:p w14:paraId="1EABFBBD" w14:textId="77777777" w:rsidR="00967C7D" w:rsidRPr="00967C7D" w:rsidRDefault="00967C7D" w:rsidP="00967C7D">
            <w:pPr>
              <w:keepNext w:val="0"/>
              <w:spacing w:before="0"/>
              <w:rPr>
                <w:rFonts w:cs="Arial"/>
                <w:color w:val="auto"/>
              </w:rPr>
            </w:pPr>
            <w:r w:rsidRPr="00967C7D">
              <w:rPr>
                <w:rFonts w:cs="Arial"/>
                <w:color w:val="auto"/>
              </w:rPr>
              <w:t>Harcourt Street</w:t>
            </w:r>
          </w:p>
        </w:tc>
        <w:tc>
          <w:tcPr>
            <w:tcW w:w="3079" w:type="dxa"/>
          </w:tcPr>
          <w:p w14:paraId="46E54AA4" w14:textId="77777777" w:rsidR="00967C7D" w:rsidRPr="00967C7D" w:rsidRDefault="00967C7D" w:rsidP="00967C7D">
            <w:pPr>
              <w:keepNext w:val="0"/>
              <w:spacing w:before="0"/>
              <w:rPr>
                <w:rFonts w:cs="Arial"/>
                <w:color w:val="auto"/>
              </w:rPr>
            </w:pPr>
            <w:r w:rsidRPr="00967C7D">
              <w:rPr>
                <w:rFonts w:cs="Arial"/>
                <w:color w:val="auto"/>
              </w:rPr>
              <w:t>Kirkby</w:t>
            </w:r>
          </w:p>
        </w:tc>
      </w:tr>
      <w:tr w:rsidR="00967C7D" w:rsidRPr="00967C7D" w14:paraId="7E02DCB4" w14:textId="77777777" w:rsidTr="00B5314A">
        <w:trPr>
          <w:trHeight w:val="20"/>
        </w:trPr>
        <w:tc>
          <w:tcPr>
            <w:tcW w:w="2280" w:type="dxa"/>
          </w:tcPr>
          <w:p w14:paraId="2D13D2FA" w14:textId="77777777" w:rsidR="00967C7D" w:rsidRPr="00967C7D" w:rsidRDefault="00967C7D" w:rsidP="00967C7D">
            <w:pPr>
              <w:keepNext w:val="0"/>
              <w:spacing w:before="0"/>
              <w:rPr>
                <w:rFonts w:cs="Arial"/>
                <w:color w:val="auto"/>
              </w:rPr>
            </w:pPr>
            <w:r w:rsidRPr="00967C7D">
              <w:rPr>
                <w:rFonts w:cs="Arial"/>
                <w:color w:val="auto"/>
              </w:rPr>
              <w:t>EV7 Kh</w:t>
            </w:r>
          </w:p>
        </w:tc>
        <w:tc>
          <w:tcPr>
            <w:tcW w:w="3720" w:type="dxa"/>
          </w:tcPr>
          <w:p w14:paraId="6C91877A" w14:textId="77777777" w:rsidR="00967C7D" w:rsidRPr="00967C7D" w:rsidRDefault="00967C7D" w:rsidP="00967C7D">
            <w:pPr>
              <w:keepNext w:val="0"/>
              <w:spacing w:before="0"/>
              <w:rPr>
                <w:rFonts w:cs="Arial"/>
                <w:color w:val="auto"/>
              </w:rPr>
            </w:pPr>
            <w:r w:rsidRPr="00967C7D">
              <w:rPr>
                <w:rFonts w:cs="Arial"/>
                <w:color w:val="auto"/>
              </w:rPr>
              <w:t>California, Cowpasture Lane</w:t>
            </w:r>
          </w:p>
        </w:tc>
        <w:tc>
          <w:tcPr>
            <w:tcW w:w="3079" w:type="dxa"/>
          </w:tcPr>
          <w:p w14:paraId="2607382D" w14:textId="77777777" w:rsidR="00967C7D" w:rsidRPr="00967C7D" w:rsidRDefault="00967C7D" w:rsidP="00967C7D">
            <w:pPr>
              <w:keepNext w:val="0"/>
              <w:spacing w:before="0"/>
              <w:rPr>
                <w:rFonts w:cs="Arial"/>
                <w:color w:val="auto"/>
              </w:rPr>
            </w:pPr>
            <w:r w:rsidRPr="00967C7D">
              <w:rPr>
                <w:rFonts w:cs="Arial"/>
                <w:color w:val="auto"/>
              </w:rPr>
              <w:t>Kirkby</w:t>
            </w:r>
          </w:p>
        </w:tc>
      </w:tr>
      <w:tr w:rsidR="00967C7D" w:rsidRPr="00967C7D" w14:paraId="6E8FCDBA" w14:textId="77777777" w:rsidTr="00B5314A">
        <w:trPr>
          <w:trHeight w:val="20"/>
        </w:trPr>
        <w:tc>
          <w:tcPr>
            <w:tcW w:w="2280" w:type="dxa"/>
          </w:tcPr>
          <w:p w14:paraId="4ED9D4BC" w14:textId="77777777" w:rsidR="00967C7D" w:rsidRPr="00967C7D" w:rsidRDefault="00967C7D" w:rsidP="00967C7D">
            <w:pPr>
              <w:keepNext w:val="0"/>
              <w:spacing w:before="0"/>
              <w:rPr>
                <w:rFonts w:cs="Arial"/>
                <w:color w:val="auto"/>
              </w:rPr>
            </w:pPr>
            <w:r w:rsidRPr="00967C7D">
              <w:rPr>
                <w:rFonts w:cs="Arial"/>
                <w:color w:val="auto"/>
              </w:rPr>
              <w:t>EV7 Ki</w:t>
            </w:r>
          </w:p>
        </w:tc>
        <w:tc>
          <w:tcPr>
            <w:tcW w:w="3720" w:type="dxa"/>
          </w:tcPr>
          <w:p w14:paraId="15C30724" w14:textId="77777777" w:rsidR="00967C7D" w:rsidRPr="00967C7D" w:rsidRDefault="00967C7D" w:rsidP="00967C7D">
            <w:pPr>
              <w:keepNext w:val="0"/>
              <w:spacing w:before="0"/>
              <w:rPr>
                <w:rFonts w:cs="Arial"/>
                <w:color w:val="auto"/>
              </w:rPr>
            </w:pPr>
            <w:r w:rsidRPr="00967C7D">
              <w:rPr>
                <w:rFonts w:cs="Arial"/>
                <w:color w:val="auto"/>
              </w:rPr>
              <w:t>Sutton Road</w:t>
            </w:r>
          </w:p>
        </w:tc>
        <w:tc>
          <w:tcPr>
            <w:tcW w:w="3079" w:type="dxa"/>
          </w:tcPr>
          <w:p w14:paraId="75F5B78F" w14:textId="77777777" w:rsidR="00967C7D" w:rsidRPr="00967C7D" w:rsidRDefault="00967C7D" w:rsidP="00967C7D">
            <w:pPr>
              <w:keepNext w:val="0"/>
              <w:spacing w:before="0"/>
              <w:rPr>
                <w:rFonts w:cs="Arial"/>
                <w:color w:val="auto"/>
              </w:rPr>
            </w:pPr>
            <w:r w:rsidRPr="00967C7D">
              <w:rPr>
                <w:rFonts w:cs="Arial"/>
                <w:color w:val="auto"/>
              </w:rPr>
              <w:t>Kirkby</w:t>
            </w:r>
          </w:p>
        </w:tc>
      </w:tr>
      <w:tr w:rsidR="00967C7D" w:rsidRPr="00967C7D" w14:paraId="229F2995" w14:textId="77777777" w:rsidTr="00B5314A">
        <w:trPr>
          <w:trHeight w:val="27"/>
        </w:trPr>
        <w:tc>
          <w:tcPr>
            <w:tcW w:w="2280" w:type="dxa"/>
          </w:tcPr>
          <w:p w14:paraId="1DD43E40" w14:textId="77777777" w:rsidR="00967C7D" w:rsidRPr="00967C7D" w:rsidRDefault="00967C7D" w:rsidP="00967C7D">
            <w:pPr>
              <w:keepNext w:val="0"/>
              <w:spacing w:before="0"/>
              <w:rPr>
                <w:rFonts w:cs="Arial"/>
                <w:color w:val="auto"/>
              </w:rPr>
            </w:pPr>
          </w:p>
        </w:tc>
        <w:tc>
          <w:tcPr>
            <w:tcW w:w="3720" w:type="dxa"/>
          </w:tcPr>
          <w:p w14:paraId="7264E374" w14:textId="77777777" w:rsidR="00967C7D" w:rsidRPr="00967C7D" w:rsidRDefault="00967C7D" w:rsidP="00967C7D">
            <w:pPr>
              <w:keepNext w:val="0"/>
              <w:spacing w:before="0"/>
              <w:rPr>
                <w:rFonts w:cs="Arial"/>
                <w:color w:val="auto"/>
              </w:rPr>
            </w:pPr>
          </w:p>
        </w:tc>
        <w:tc>
          <w:tcPr>
            <w:tcW w:w="3079" w:type="dxa"/>
          </w:tcPr>
          <w:p w14:paraId="2376E0EA" w14:textId="77777777" w:rsidR="00967C7D" w:rsidRPr="00967C7D" w:rsidRDefault="00967C7D" w:rsidP="00967C7D">
            <w:pPr>
              <w:keepNext w:val="0"/>
              <w:spacing w:before="0"/>
              <w:rPr>
                <w:rFonts w:cs="Arial"/>
                <w:color w:val="auto"/>
              </w:rPr>
            </w:pPr>
          </w:p>
        </w:tc>
      </w:tr>
      <w:tr w:rsidR="00967C7D" w:rsidRPr="00967C7D" w14:paraId="1C283107" w14:textId="77777777" w:rsidTr="00B5314A">
        <w:trPr>
          <w:trHeight w:val="27"/>
        </w:trPr>
        <w:tc>
          <w:tcPr>
            <w:tcW w:w="2280" w:type="dxa"/>
          </w:tcPr>
          <w:p w14:paraId="4F0AF1ED" w14:textId="77777777" w:rsidR="00967C7D" w:rsidRPr="00967C7D" w:rsidRDefault="00967C7D" w:rsidP="00967C7D">
            <w:pPr>
              <w:keepNext w:val="0"/>
              <w:spacing w:before="0"/>
              <w:rPr>
                <w:rFonts w:cs="Arial"/>
                <w:color w:val="auto"/>
              </w:rPr>
            </w:pPr>
            <w:r w:rsidRPr="00967C7D">
              <w:rPr>
                <w:rFonts w:cs="Arial"/>
                <w:color w:val="auto"/>
              </w:rPr>
              <w:t>EV7 Sa</w:t>
            </w:r>
          </w:p>
        </w:tc>
        <w:tc>
          <w:tcPr>
            <w:tcW w:w="3720" w:type="dxa"/>
          </w:tcPr>
          <w:p w14:paraId="71EFDECC" w14:textId="77777777" w:rsidR="00967C7D" w:rsidRPr="00967C7D" w:rsidRDefault="00967C7D" w:rsidP="00967C7D">
            <w:pPr>
              <w:keepNext w:val="0"/>
              <w:spacing w:before="0"/>
              <w:rPr>
                <w:rFonts w:cs="Arial"/>
                <w:color w:val="auto"/>
              </w:rPr>
            </w:pPr>
            <w:r w:rsidRPr="00967C7D">
              <w:rPr>
                <w:rFonts w:cs="Arial"/>
                <w:color w:val="auto"/>
              </w:rPr>
              <w:t>Willowbridge</w:t>
            </w:r>
          </w:p>
        </w:tc>
        <w:tc>
          <w:tcPr>
            <w:tcW w:w="3079" w:type="dxa"/>
          </w:tcPr>
          <w:p w14:paraId="1A431FD0" w14:textId="77777777" w:rsidR="00967C7D" w:rsidRPr="00967C7D" w:rsidRDefault="00967C7D" w:rsidP="00967C7D">
            <w:pPr>
              <w:keepNext w:val="0"/>
              <w:spacing w:before="0"/>
              <w:rPr>
                <w:rFonts w:cs="Arial"/>
                <w:color w:val="auto"/>
              </w:rPr>
            </w:pPr>
            <w:r w:rsidRPr="00967C7D">
              <w:rPr>
                <w:rFonts w:cs="Arial"/>
                <w:color w:val="auto"/>
              </w:rPr>
              <w:t>Sutton</w:t>
            </w:r>
          </w:p>
        </w:tc>
      </w:tr>
      <w:tr w:rsidR="00967C7D" w:rsidRPr="00967C7D" w14:paraId="26B260AA" w14:textId="77777777" w:rsidTr="00B5314A">
        <w:trPr>
          <w:trHeight w:val="27"/>
        </w:trPr>
        <w:tc>
          <w:tcPr>
            <w:tcW w:w="2280" w:type="dxa"/>
          </w:tcPr>
          <w:p w14:paraId="4CED9170" w14:textId="77777777" w:rsidR="00967C7D" w:rsidRPr="00967C7D" w:rsidRDefault="00967C7D" w:rsidP="00967C7D">
            <w:pPr>
              <w:keepNext w:val="0"/>
              <w:spacing w:before="0"/>
              <w:rPr>
                <w:rFonts w:cs="Arial"/>
                <w:color w:val="auto"/>
              </w:rPr>
            </w:pPr>
            <w:r w:rsidRPr="00967C7D">
              <w:rPr>
                <w:rFonts w:cs="Arial"/>
                <w:color w:val="auto"/>
              </w:rPr>
              <w:t>EV7 Sb</w:t>
            </w:r>
          </w:p>
        </w:tc>
        <w:tc>
          <w:tcPr>
            <w:tcW w:w="3720" w:type="dxa"/>
          </w:tcPr>
          <w:p w14:paraId="50F162DB" w14:textId="77777777" w:rsidR="00967C7D" w:rsidRPr="00967C7D" w:rsidRDefault="00967C7D" w:rsidP="00967C7D">
            <w:pPr>
              <w:keepNext w:val="0"/>
              <w:spacing w:before="0"/>
              <w:rPr>
                <w:rFonts w:cs="Arial"/>
                <w:color w:val="auto"/>
              </w:rPr>
            </w:pPr>
            <w:smartTag w:uri="urn:schemas-microsoft-com:office:smarttags" w:element="place">
              <w:smartTag w:uri="urn:schemas-microsoft-com:office:smarttags" w:element="PlaceName">
                <w:r w:rsidRPr="00967C7D">
                  <w:rPr>
                    <w:rFonts w:cs="Arial"/>
                    <w:color w:val="auto"/>
                  </w:rPr>
                  <w:t>Jubilee</w:t>
                </w:r>
              </w:smartTag>
              <w:r w:rsidRPr="00967C7D">
                <w:rPr>
                  <w:rFonts w:cs="Arial"/>
                  <w:color w:val="auto"/>
                </w:rPr>
                <w:t xml:space="preserve"> </w:t>
              </w:r>
              <w:smartTag w:uri="urn:schemas-microsoft-com:office:smarttags" w:element="PlaceType">
                <w:r w:rsidRPr="00967C7D">
                  <w:rPr>
                    <w:rFonts w:cs="Arial"/>
                    <w:color w:val="auto"/>
                  </w:rPr>
                  <w:t>Gardens</w:t>
                </w:r>
              </w:smartTag>
            </w:smartTag>
          </w:p>
        </w:tc>
        <w:tc>
          <w:tcPr>
            <w:tcW w:w="3079" w:type="dxa"/>
          </w:tcPr>
          <w:p w14:paraId="576A5E59" w14:textId="77777777" w:rsidR="00967C7D" w:rsidRPr="00967C7D" w:rsidRDefault="00967C7D" w:rsidP="00967C7D">
            <w:pPr>
              <w:keepNext w:val="0"/>
              <w:spacing w:before="0"/>
              <w:rPr>
                <w:rFonts w:cs="Arial"/>
                <w:color w:val="auto"/>
              </w:rPr>
            </w:pPr>
            <w:r w:rsidRPr="00967C7D">
              <w:rPr>
                <w:rFonts w:cs="Arial"/>
                <w:color w:val="auto"/>
              </w:rPr>
              <w:t>Sutton</w:t>
            </w:r>
          </w:p>
        </w:tc>
      </w:tr>
      <w:tr w:rsidR="00967C7D" w:rsidRPr="00967C7D" w14:paraId="140E2448" w14:textId="77777777" w:rsidTr="00B5314A">
        <w:trPr>
          <w:trHeight w:val="27"/>
        </w:trPr>
        <w:tc>
          <w:tcPr>
            <w:tcW w:w="2280" w:type="dxa"/>
          </w:tcPr>
          <w:p w14:paraId="2433158D" w14:textId="77777777" w:rsidR="00967C7D" w:rsidRPr="00967C7D" w:rsidRDefault="00967C7D" w:rsidP="00967C7D">
            <w:pPr>
              <w:keepNext w:val="0"/>
              <w:spacing w:before="0"/>
              <w:rPr>
                <w:rFonts w:cs="Arial"/>
                <w:color w:val="auto"/>
              </w:rPr>
            </w:pPr>
            <w:r w:rsidRPr="00967C7D">
              <w:rPr>
                <w:rFonts w:cs="Arial"/>
                <w:color w:val="auto"/>
              </w:rPr>
              <w:t>EV7 Sc</w:t>
            </w:r>
          </w:p>
        </w:tc>
        <w:tc>
          <w:tcPr>
            <w:tcW w:w="3720" w:type="dxa"/>
          </w:tcPr>
          <w:p w14:paraId="56CE9A1D" w14:textId="77777777" w:rsidR="00967C7D" w:rsidRPr="00967C7D" w:rsidRDefault="00967C7D" w:rsidP="00967C7D">
            <w:pPr>
              <w:keepNext w:val="0"/>
              <w:spacing w:before="0"/>
              <w:rPr>
                <w:rFonts w:cs="Arial"/>
                <w:color w:val="auto"/>
              </w:rPr>
            </w:pPr>
            <w:smartTag w:uri="urn:schemas-microsoft-com:office:smarttags" w:element="address">
              <w:smartTag w:uri="urn:schemas-microsoft-com:office:smarttags" w:element="Street">
                <w:r w:rsidRPr="00967C7D">
                  <w:rPr>
                    <w:rFonts w:cs="Arial"/>
                    <w:color w:val="auto"/>
                  </w:rPr>
                  <w:t>Mill Lane</w:t>
                </w:r>
              </w:smartTag>
            </w:smartTag>
          </w:p>
        </w:tc>
        <w:tc>
          <w:tcPr>
            <w:tcW w:w="3079" w:type="dxa"/>
          </w:tcPr>
          <w:p w14:paraId="4EFB26D9" w14:textId="77777777" w:rsidR="00967C7D" w:rsidRPr="00967C7D" w:rsidRDefault="00967C7D" w:rsidP="00967C7D">
            <w:pPr>
              <w:keepNext w:val="0"/>
              <w:spacing w:before="0"/>
              <w:rPr>
                <w:rFonts w:cs="Arial"/>
                <w:color w:val="auto"/>
              </w:rPr>
            </w:pPr>
            <w:r w:rsidRPr="00967C7D">
              <w:rPr>
                <w:rFonts w:cs="Arial"/>
                <w:color w:val="auto"/>
              </w:rPr>
              <w:t>Huthwaite</w:t>
            </w:r>
          </w:p>
        </w:tc>
      </w:tr>
      <w:tr w:rsidR="00967C7D" w:rsidRPr="00967C7D" w14:paraId="5904A1BD" w14:textId="77777777" w:rsidTr="00B5314A">
        <w:trPr>
          <w:trHeight w:val="90"/>
        </w:trPr>
        <w:tc>
          <w:tcPr>
            <w:tcW w:w="2280" w:type="dxa"/>
          </w:tcPr>
          <w:p w14:paraId="7D92A2A3" w14:textId="77777777" w:rsidR="00967C7D" w:rsidRPr="00967C7D" w:rsidRDefault="00967C7D" w:rsidP="00967C7D">
            <w:pPr>
              <w:keepNext w:val="0"/>
              <w:spacing w:before="0"/>
              <w:rPr>
                <w:rFonts w:cs="Arial"/>
                <w:color w:val="auto"/>
              </w:rPr>
            </w:pPr>
            <w:r w:rsidRPr="00967C7D">
              <w:rPr>
                <w:rFonts w:cs="Arial"/>
                <w:color w:val="auto"/>
              </w:rPr>
              <w:t>EV7 Sd</w:t>
            </w:r>
          </w:p>
        </w:tc>
        <w:tc>
          <w:tcPr>
            <w:tcW w:w="3720" w:type="dxa"/>
          </w:tcPr>
          <w:p w14:paraId="7D76482A" w14:textId="77777777" w:rsidR="00967C7D" w:rsidRPr="00967C7D" w:rsidRDefault="00967C7D" w:rsidP="00967C7D">
            <w:pPr>
              <w:keepNext w:val="0"/>
              <w:spacing w:before="0"/>
              <w:rPr>
                <w:rFonts w:cs="Arial"/>
                <w:color w:val="auto"/>
              </w:rPr>
            </w:pPr>
            <w:r w:rsidRPr="00967C7D">
              <w:rPr>
                <w:rFonts w:cs="Arial"/>
                <w:color w:val="auto"/>
              </w:rPr>
              <w:t>Garden Gap</w:t>
            </w:r>
          </w:p>
        </w:tc>
        <w:tc>
          <w:tcPr>
            <w:tcW w:w="3079" w:type="dxa"/>
          </w:tcPr>
          <w:p w14:paraId="3DBB6453" w14:textId="77777777" w:rsidR="00967C7D" w:rsidRPr="00967C7D" w:rsidRDefault="00967C7D" w:rsidP="00967C7D">
            <w:pPr>
              <w:keepNext w:val="0"/>
              <w:spacing w:before="0"/>
              <w:rPr>
                <w:rFonts w:cs="Arial"/>
                <w:color w:val="auto"/>
              </w:rPr>
            </w:pPr>
            <w:r w:rsidRPr="00967C7D">
              <w:rPr>
                <w:rFonts w:cs="Arial"/>
                <w:color w:val="auto"/>
              </w:rPr>
              <w:t>Huthwaite</w:t>
            </w:r>
          </w:p>
        </w:tc>
      </w:tr>
      <w:tr w:rsidR="00967C7D" w:rsidRPr="00967C7D" w14:paraId="02D48D85" w14:textId="77777777" w:rsidTr="00B5314A">
        <w:trPr>
          <w:trHeight w:val="90"/>
        </w:trPr>
        <w:tc>
          <w:tcPr>
            <w:tcW w:w="2280" w:type="dxa"/>
          </w:tcPr>
          <w:p w14:paraId="21BDA47B" w14:textId="77777777" w:rsidR="00967C7D" w:rsidRPr="00967C7D" w:rsidRDefault="00967C7D" w:rsidP="00967C7D">
            <w:pPr>
              <w:keepNext w:val="0"/>
              <w:spacing w:before="0"/>
              <w:rPr>
                <w:rFonts w:cs="Arial"/>
                <w:color w:val="auto"/>
              </w:rPr>
            </w:pPr>
            <w:r w:rsidRPr="00967C7D">
              <w:rPr>
                <w:rFonts w:cs="Arial"/>
                <w:color w:val="auto"/>
              </w:rPr>
              <w:t>EV7 Se</w:t>
            </w:r>
          </w:p>
        </w:tc>
        <w:tc>
          <w:tcPr>
            <w:tcW w:w="3720" w:type="dxa"/>
          </w:tcPr>
          <w:p w14:paraId="035BCDD7" w14:textId="77777777" w:rsidR="00967C7D" w:rsidRPr="00967C7D" w:rsidRDefault="00967C7D" w:rsidP="00967C7D">
            <w:pPr>
              <w:keepNext w:val="0"/>
              <w:spacing w:before="0"/>
              <w:rPr>
                <w:rFonts w:cs="Arial"/>
                <w:color w:val="auto"/>
              </w:rPr>
            </w:pPr>
            <w:r w:rsidRPr="00967C7D">
              <w:rPr>
                <w:rFonts w:cs="Arial"/>
                <w:color w:val="auto"/>
              </w:rPr>
              <w:t>Carsic</w:t>
            </w:r>
          </w:p>
        </w:tc>
        <w:tc>
          <w:tcPr>
            <w:tcW w:w="3079" w:type="dxa"/>
          </w:tcPr>
          <w:p w14:paraId="73F46BB2" w14:textId="77777777" w:rsidR="00967C7D" w:rsidRPr="00967C7D" w:rsidRDefault="00967C7D" w:rsidP="00967C7D">
            <w:pPr>
              <w:keepNext w:val="0"/>
              <w:spacing w:before="0"/>
              <w:rPr>
                <w:rFonts w:cs="Arial"/>
                <w:color w:val="auto"/>
              </w:rPr>
            </w:pPr>
            <w:r w:rsidRPr="00967C7D">
              <w:rPr>
                <w:rFonts w:cs="Arial"/>
                <w:color w:val="auto"/>
              </w:rPr>
              <w:t>Sutton</w:t>
            </w:r>
          </w:p>
        </w:tc>
      </w:tr>
      <w:tr w:rsidR="00967C7D" w:rsidRPr="00967C7D" w14:paraId="47721B8F" w14:textId="77777777" w:rsidTr="00B5314A">
        <w:trPr>
          <w:trHeight w:val="27"/>
        </w:trPr>
        <w:tc>
          <w:tcPr>
            <w:tcW w:w="2280" w:type="dxa"/>
          </w:tcPr>
          <w:p w14:paraId="2F45D28D" w14:textId="77777777" w:rsidR="00967C7D" w:rsidRPr="00967C7D" w:rsidRDefault="00967C7D" w:rsidP="00967C7D">
            <w:pPr>
              <w:keepNext w:val="0"/>
              <w:spacing w:before="0"/>
              <w:rPr>
                <w:rFonts w:cs="Arial"/>
                <w:color w:val="auto"/>
              </w:rPr>
            </w:pPr>
            <w:r w:rsidRPr="00967C7D">
              <w:rPr>
                <w:rFonts w:cs="Arial"/>
                <w:color w:val="auto"/>
              </w:rPr>
              <w:t>EV7 Sf</w:t>
            </w:r>
          </w:p>
        </w:tc>
        <w:tc>
          <w:tcPr>
            <w:tcW w:w="3720" w:type="dxa"/>
          </w:tcPr>
          <w:p w14:paraId="24AB3DA6" w14:textId="77777777" w:rsidR="00967C7D" w:rsidRPr="00967C7D" w:rsidRDefault="00967C7D" w:rsidP="00967C7D">
            <w:pPr>
              <w:keepNext w:val="0"/>
              <w:spacing w:before="0"/>
              <w:rPr>
                <w:rFonts w:cs="Arial"/>
                <w:color w:val="auto"/>
              </w:rPr>
            </w:pPr>
            <w:r w:rsidRPr="00967C7D">
              <w:rPr>
                <w:rFonts w:cs="Arial"/>
                <w:color w:val="auto"/>
              </w:rPr>
              <w:t>Lane End</w:t>
            </w:r>
          </w:p>
        </w:tc>
        <w:tc>
          <w:tcPr>
            <w:tcW w:w="3079" w:type="dxa"/>
          </w:tcPr>
          <w:p w14:paraId="5868CC4A" w14:textId="77777777" w:rsidR="00967C7D" w:rsidRPr="00967C7D" w:rsidRDefault="00967C7D" w:rsidP="00967C7D">
            <w:pPr>
              <w:keepNext w:val="0"/>
              <w:spacing w:before="0"/>
              <w:rPr>
                <w:rFonts w:cs="Arial"/>
                <w:color w:val="auto"/>
              </w:rPr>
            </w:pPr>
            <w:r w:rsidRPr="00967C7D">
              <w:rPr>
                <w:rFonts w:cs="Arial"/>
                <w:color w:val="auto"/>
              </w:rPr>
              <w:t>Sutton</w:t>
            </w:r>
          </w:p>
        </w:tc>
      </w:tr>
      <w:tr w:rsidR="00967C7D" w:rsidRPr="00967C7D" w14:paraId="439893AA" w14:textId="77777777" w:rsidTr="00B5314A">
        <w:trPr>
          <w:trHeight w:val="27"/>
        </w:trPr>
        <w:tc>
          <w:tcPr>
            <w:tcW w:w="2280" w:type="dxa"/>
          </w:tcPr>
          <w:p w14:paraId="7F980D45" w14:textId="77777777" w:rsidR="00967C7D" w:rsidRPr="00967C7D" w:rsidRDefault="00967C7D" w:rsidP="00967C7D">
            <w:pPr>
              <w:keepNext w:val="0"/>
              <w:spacing w:before="0"/>
              <w:rPr>
                <w:rFonts w:cs="Arial"/>
                <w:color w:val="auto"/>
              </w:rPr>
            </w:pPr>
            <w:r w:rsidRPr="00967C7D">
              <w:rPr>
                <w:rFonts w:cs="Arial"/>
                <w:color w:val="auto"/>
              </w:rPr>
              <w:t>EV7 Sg</w:t>
            </w:r>
          </w:p>
        </w:tc>
        <w:tc>
          <w:tcPr>
            <w:tcW w:w="3720" w:type="dxa"/>
          </w:tcPr>
          <w:p w14:paraId="0742057C" w14:textId="77777777" w:rsidR="00967C7D" w:rsidRPr="00967C7D" w:rsidRDefault="00967C7D" w:rsidP="00967C7D">
            <w:pPr>
              <w:keepNext w:val="0"/>
              <w:spacing w:before="0"/>
              <w:rPr>
                <w:rFonts w:cs="Arial"/>
                <w:color w:val="auto"/>
              </w:rPr>
            </w:pPr>
            <w:r w:rsidRPr="00967C7D">
              <w:rPr>
                <w:rFonts w:cs="Arial"/>
                <w:color w:val="auto"/>
              </w:rPr>
              <w:t>Wharf Road</w:t>
            </w:r>
          </w:p>
        </w:tc>
        <w:tc>
          <w:tcPr>
            <w:tcW w:w="3079" w:type="dxa"/>
          </w:tcPr>
          <w:p w14:paraId="0AD90B71" w14:textId="77777777" w:rsidR="00967C7D" w:rsidRPr="00967C7D" w:rsidRDefault="00967C7D" w:rsidP="00967C7D">
            <w:pPr>
              <w:keepNext w:val="0"/>
              <w:spacing w:before="0"/>
              <w:rPr>
                <w:rFonts w:cs="Arial"/>
                <w:color w:val="auto"/>
              </w:rPr>
            </w:pPr>
            <w:r w:rsidRPr="00967C7D">
              <w:rPr>
                <w:rFonts w:cs="Arial"/>
                <w:color w:val="auto"/>
              </w:rPr>
              <w:t>Stanton Hill</w:t>
            </w:r>
          </w:p>
        </w:tc>
      </w:tr>
      <w:tr w:rsidR="00967C7D" w:rsidRPr="00967C7D" w14:paraId="0B11DBA7" w14:textId="77777777" w:rsidTr="00B5314A">
        <w:trPr>
          <w:trHeight w:val="27"/>
        </w:trPr>
        <w:tc>
          <w:tcPr>
            <w:tcW w:w="2280" w:type="dxa"/>
          </w:tcPr>
          <w:p w14:paraId="4F65C1A4" w14:textId="77777777" w:rsidR="00967C7D" w:rsidRPr="00967C7D" w:rsidRDefault="00967C7D" w:rsidP="00967C7D">
            <w:pPr>
              <w:keepNext w:val="0"/>
              <w:spacing w:before="0"/>
              <w:rPr>
                <w:rFonts w:cs="Arial"/>
                <w:color w:val="auto"/>
              </w:rPr>
            </w:pPr>
            <w:r w:rsidRPr="00967C7D">
              <w:rPr>
                <w:rFonts w:cs="Arial"/>
                <w:color w:val="auto"/>
              </w:rPr>
              <w:t xml:space="preserve">EV7 </w:t>
            </w:r>
            <w:proofErr w:type="spellStart"/>
            <w:r w:rsidRPr="00967C7D">
              <w:rPr>
                <w:rFonts w:cs="Arial"/>
                <w:color w:val="auto"/>
              </w:rPr>
              <w:t>Sh</w:t>
            </w:r>
            <w:proofErr w:type="spellEnd"/>
          </w:p>
        </w:tc>
        <w:tc>
          <w:tcPr>
            <w:tcW w:w="3720" w:type="dxa"/>
          </w:tcPr>
          <w:p w14:paraId="0DC2851A" w14:textId="77777777" w:rsidR="00967C7D" w:rsidRPr="00967C7D" w:rsidRDefault="00967C7D" w:rsidP="00967C7D">
            <w:pPr>
              <w:keepNext w:val="0"/>
              <w:spacing w:before="0"/>
              <w:rPr>
                <w:rFonts w:cs="Arial"/>
                <w:color w:val="auto"/>
              </w:rPr>
            </w:pPr>
            <w:r w:rsidRPr="00967C7D">
              <w:rPr>
                <w:rFonts w:cs="Arial"/>
                <w:color w:val="auto"/>
              </w:rPr>
              <w:t>New Lane</w:t>
            </w:r>
          </w:p>
        </w:tc>
        <w:tc>
          <w:tcPr>
            <w:tcW w:w="3079" w:type="dxa"/>
          </w:tcPr>
          <w:p w14:paraId="7A78E5B9" w14:textId="77777777" w:rsidR="00967C7D" w:rsidRPr="00967C7D" w:rsidRDefault="00967C7D" w:rsidP="00967C7D">
            <w:pPr>
              <w:keepNext w:val="0"/>
              <w:spacing w:before="0"/>
              <w:rPr>
                <w:rFonts w:cs="Arial"/>
                <w:color w:val="auto"/>
              </w:rPr>
            </w:pPr>
            <w:r w:rsidRPr="00967C7D">
              <w:rPr>
                <w:rFonts w:cs="Arial"/>
                <w:color w:val="auto"/>
              </w:rPr>
              <w:t>Stanton Hill</w:t>
            </w:r>
          </w:p>
        </w:tc>
      </w:tr>
    </w:tbl>
    <w:p w14:paraId="58355C12" w14:textId="77777777" w:rsidR="00C602FD" w:rsidRDefault="00C602FD" w:rsidP="00C602FD">
      <w:pPr>
        <w:keepNext w:val="0"/>
        <w:autoSpaceDE w:val="0"/>
        <w:autoSpaceDN w:val="0"/>
        <w:adjustRightInd w:val="0"/>
        <w:spacing w:before="0"/>
        <w:rPr>
          <w:rFonts w:cs="Arial"/>
          <w:b/>
          <w:bCs/>
          <w:sz w:val="28"/>
          <w:szCs w:val="28"/>
        </w:rPr>
      </w:pPr>
    </w:p>
    <w:p w14:paraId="0AD5E1D8" w14:textId="72073842" w:rsidR="00C602FD" w:rsidRDefault="00C602FD" w:rsidP="00C602FD">
      <w:pPr>
        <w:keepNext w:val="0"/>
        <w:autoSpaceDE w:val="0"/>
        <w:autoSpaceDN w:val="0"/>
        <w:adjustRightInd w:val="0"/>
        <w:spacing w:before="0"/>
        <w:rPr>
          <w:rFonts w:cs="Arial"/>
          <w:b/>
          <w:bCs/>
          <w:sz w:val="28"/>
          <w:szCs w:val="28"/>
        </w:rPr>
      </w:pPr>
      <w:r>
        <w:rPr>
          <w:rFonts w:cs="Arial"/>
          <w:b/>
          <w:bCs/>
          <w:sz w:val="28"/>
          <w:szCs w:val="28"/>
        </w:rPr>
        <w:br w:type="page"/>
      </w:r>
    </w:p>
    <w:p w14:paraId="2CA621BA" w14:textId="121A0246" w:rsidR="00C602FD" w:rsidRPr="00C602FD" w:rsidRDefault="00C602FD" w:rsidP="00364726">
      <w:pPr>
        <w:pStyle w:val="Heading1"/>
      </w:pPr>
      <w:bookmarkStart w:id="338" w:name="_Toc145511632"/>
      <w:r w:rsidRPr="00C602FD">
        <w:t>Appendix 10 - Policy EV9 – The Historic Environment</w:t>
      </w:r>
      <w:bookmarkEnd w:id="338"/>
    </w:p>
    <w:p w14:paraId="2A3E7DDB" w14:textId="65B2A329" w:rsidR="00C602FD" w:rsidRDefault="00C602FD" w:rsidP="005B39D2">
      <w:pPr>
        <w:keepNext w:val="0"/>
        <w:autoSpaceDE w:val="0"/>
        <w:autoSpaceDN w:val="0"/>
        <w:adjustRightInd w:val="0"/>
        <w:spacing w:before="0"/>
        <w:rPr>
          <w:rFonts w:cs="Arial"/>
          <w:b/>
          <w:bCs/>
          <w:szCs w:val="24"/>
        </w:rPr>
      </w:pPr>
    </w:p>
    <w:p w14:paraId="211EDCA0" w14:textId="77777777" w:rsidR="00B5314A" w:rsidRPr="00967C7D" w:rsidRDefault="00B5314A" w:rsidP="00B5314A">
      <w:pPr>
        <w:keepNext w:val="0"/>
        <w:spacing w:before="0"/>
        <w:ind w:left="426"/>
        <w:jc w:val="both"/>
        <w:rPr>
          <w:rFonts w:cs="Arial"/>
          <w:b/>
          <w:color w:val="auto"/>
          <w:szCs w:val="24"/>
          <w:lang w:eastAsia="en-US"/>
        </w:rPr>
      </w:pPr>
      <w:r w:rsidRPr="00967C7D">
        <w:rPr>
          <w:rFonts w:cs="Arial"/>
          <w:b/>
          <w:color w:val="auto"/>
          <w:szCs w:val="24"/>
          <w:lang w:eastAsia="en-US"/>
        </w:rPr>
        <w:t>Scheduled Monuments</w:t>
      </w:r>
    </w:p>
    <w:p w14:paraId="112A5C2D" w14:textId="77777777" w:rsidR="00B5314A" w:rsidRDefault="00B5314A" w:rsidP="005B39D2">
      <w:pPr>
        <w:keepNext w:val="0"/>
        <w:autoSpaceDE w:val="0"/>
        <w:autoSpaceDN w:val="0"/>
        <w:adjustRightInd w:val="0"/>
        <w:spacing w:before="0"/>
        <w:rPr>
          <w:rFonts w:cs="Arial"/>
          <w:b/>
          <w:bCs/>
          <w:szCs w:val="24"/>
        </w:rPr>
      </w:pPr>
    </w:p>
    <w:tbl>
      <w:tblPr>
        <w:tblStyle w:val="TableGrid3"/>
        <w:tblW w:w="8880" w:type="dxa"/>
        <w:tblInd w:w="421" w:type="dxa"/>
        <w:tblLayout w:type="fixed"/>
        <w:tblLook w:val="0020" w:firstRow="1" w:lastRow="0" w:firstColumn="0" w:lastColumn="0" w:noHBand="0" w:noVBand="0"/>
      </w:tblPr>
      <w:tblGrid>
        <w:gridCol w:w="1418"/>
        <w:gridCol w:w="7462"/>
      </w:tblGrid>
      <w:tr w:rsidR="00967C7D" w:rsidRPr="00967C7D" w14:paraId="0A8B94B6" w14:textId="77777777" w:rsidTr="00F02029">
        <w:trPr>
          <w:trHeight w:val="610"/>
        </w:trPr>
        <w:tc>
          <w:tcPr>
            <w:tcW w:w="1418" w:type="dxa"/>
            <w:shd w:val="clear" w:color="auto" w:fill="D9D9D9" w:themeFill="background1" w:themeFillShade="D9"/>
          </w:tcPr>
          <w:p w14:paraId="00D4C264" w14:textId="193EBC27" w:rsidR="00967C7D" w:rsidRPr="00967C7D" w:rsidRDefault="00F02029" w:rsidP="00967C7D">
            <w:pPr>
              <w:keepNext w:val="0"/>
              <w:spacing w:before="0"/>
              <w:rPr>
                <w:rFonts w:cs="Arial"/>
                <w:b/>
                <w:color w:val="auto"/>
              </w:rPr>
            </w:pPr>
            <w:r>
              <w:rPr>
                <w:rFonts w:cs="Arial"/>
                <w:b/>
                <w:color w:val="auto"/>
              </w:rPr>
              <w:t xml:space="preserve">Local </w:t>
            </w:r>
            <w:r w:rsidR="00967C7D" w:rsidRPr="00967C7D">
              <w:rPr>
                <w:rFonts w:cs="Arial"/>
                <w:b/>
                <w:color w:val="auto"/>
              </w:rPr>
              <w:t>Plan Ref</w:t>
            </w:r>
            <w:r>
              <w:rPr>
                <w:rFonts w:cs="Arial"/>
                <w:b/>
                <w:color w:val="auto"/>
              </w:rPr>
              <w:t>erence</w:t>
            </w:r>
            <w:r w:rsidR="00967C7D" w:rsidRPr="00967C7D">
              <w:rPr>
                <w:rFonts w:cs="Arial"/>
                <w:b/>
                <w:color w:val="auto"/>
              </w:rPr>
              <w:t xml:space="preserve"> </w:t>
            </w:r>
          </w:p>
        </w:tc>
        <w:tc>
          <w:tcPr>
            <w:tcW w:w="7462" w:type="dxa"/>
            <w:shd w:val="clear" w:color="auto" w:fill="D9D9D9" w:themeFill="background1" w:themeFillShade="D9"/>
          </w:tcPr>
          <w:p w14:paraId="7D323797" w14:textId="77777777" w:rsidR="00967C7D" w:rsidRPr="00967C7D" w:rsidRDefault="00967C7D" w:rsidP="00967C7D">
            <w:pPr>
              <w:keepNext w:val="0"/>
              <w:spacing w:before="0"/>
              <w:rPr>
                <w:rFonts w:cs="Arial"/>
                <w:b/>
                <w:color w:val="auto"/>
              </w:rPr>
            </w:pPr>
            <w:r w:rsidRPr="00967C7D">
              <w:rPr>
                <w:rFonts w:cs="Arial"/>
                <w:b/>
                <w:color w:val="auto"/>
              </w:rPr>
              <w:t>Site Name</w:t>
            </w:r>
          </w:p>
        </w:tc>
      </w:tr>
      <w:tr w:rsidR="00967C7D" w:rsidRPr="00967C7D" w14:paraId="755D920A" w14:textId="77777777" w:rsidTr="002D38F3">
        <w:trPr>
          <w:trHeight w:val="851"/>
        </w:trPr>
        <w:tc>
          <w:tcPr>
            <w:tcW w:w="1418" w:type="dxa"/>
            <w:vAlign w:val="center"/>
          </w:tcPr>
          <w:p w14:paraId="27D4D054" w14:textId="77777777" w:rsidR="00967C7D" w:rsidRPr="00967C7D" w:rsidRDefault="00967C7D" w:rsidP="00967C7D">
            <w:pPr>
              <w:keepNext w:val="0"/>
              <w:spacing w:before="0"/>
              <w:rPr>
                <w:rFonts w:cs="Arial"/>
                <w:color w:val="auto"/>
              </w:rPr>
            </w:pPr>
            <w:r w:rsidRPr="00967C7D">
              <w:rPr>
                <w:rFonts w:cs="Arial"/>
                <w:color w:val="auto"/>
              </w:rPr>
              <w:t xml:space="preserve">EV10 Aa </w:t>
            </w:r>
          </w:p>
        </w:tc>
        <w:tc>
          <w:tcPr>
            <w:tcW w:w="7462" w:type="dxa"/>
            <w:vAlign w:val="center"/>
          </w:tcPr>
          <w:p w14:paraId="2A48E190" w14:textId="77777777" w:rsidR="00967C7D" w:rsidRPr="00967C7D" w:rsidRDefault="00967C7D" w:rsidP="00967C7D">
            <w:pPr>
              <w:keepNext w:val="0"/>
              <w:spacing w:before="0"/>
              <w:rPr>
                <w:rFonts w:cs="Arial"/>
                <w:color w:val="auto"/>
              </w:rPr>
            </w:pPr>
          </w:p>
          <w:p w14:paraId="490209E2" w14:textId="77777777" w:rsidR="00967C7D" w:rsidRPr="00967C7D" w:rsidRDefault="00967C7D" w:rsidP="00967C7D">
            <w:pPr>
              <w:keepNext w:val="0"/>
              <w:spacing w:before="0"/>
              <w:rPr>
                <w:rFonts w:cs="Arial"/>
                <w:color w:val="auto"/>
              </w:rPr>
            </w:pPr>
            <w:r w:rsidRPr="00967C7D">
              <w:rPr>
                <w:rFonts w:cs="Arial"/>
                <w:color w:val="auto"/>
              </w:rPr>
              <w:t xml:space="preserve">Remains of Old Manor House, Skegby, Sutton-in-Ashfield. </w:t>
            </w:r>
          </w:p>
          <w:p w14:paraId="6E420242" w14:textId="77777777" w:rsidR="00967C7D" w:rsidRPr="00967C7D" w:rsidRDefault="00967C7D" w:rsidP="00967C7D">
            <w:pPr>
              <w:keepNext w:val="0"/>
              <w:spacing w:before="0"/>
              <w:rPr>
                <w:rFonts w:cs="Arial"/>
                <w:color w:val="auto"/>
              </w:rPr>
            </w:pPr>
          </w:p>
        </w:tc>
      </w:tr>
      <w:tr w:rsidR="00967C7D" w:rsidRPr="00967C7D" w14:paraId="247DCB6A" w14:textId="77777777" w:rsidTr="002D38F3">
        <w:trPr>
          <w:trHeight w:val="851"/>
        </w:trPr>
        <w:tc>
          <w:tcPr>
            <w:tcW w:w="1418" w:type="dxa"/>
            <w:vAlign w:val="center"/>
          </w:tcPr>
          <w:p w14:paraId="21B87169" w14:textId="77777777" w:rsidR="00967C7D" w:rsidRPr="00967C7D" w:rsidRDefault="00967C7D" w:rsidP="00967C7D">
            <w:pPr>
              <w:keepNext w:val="0"/>
              <w:spacing w:before="60" w:after="60"/>
              <w:rPr>
                <w:rFonts w:cs="Arial"/>
                <w:color w:val="auto"/>
              </w:rPr>
            </w:pPr>
            <w:r w:rsidRPr="00967C7D">
              <w:rPr>
                <w:rFonts w:cs="Arial"/>
                <w:color w:val="auto"/>
              </w:rPr>
              <w:t xml:space="preserve">EV10 Ab </w:t>
            </w:r>
          </w:p>
        </w:tc>
        <w:tc>
          <w:tcPr>
            <w:tcW w:w="7462" w:type="dxa"/>
            <w:vAlign w:val="center"/>
          </w:tcPr>
          <w:p w14:paraId="3BE392A6" w14:textId="77777777" w:rsidR="00967C7D" w:rsidRPr="00967C7D" w:rsidRDefault="00967C7D" w:rsidP="00967C7D">
            <w:pPr>
              <w:keepNext w:val="0"/>
              <w:spacing w:before="60" w:after="60"/>
              <w:rPr>
                <w:rFonts w:cs="Arial"/>
                <w:color w:val="auto"/>
              </w:rPr>
            </w:pPr>
            <w:r w:rsidRPr="00967C7D">
              <w:rPr>
                <w:rFonts w:cs="Arial"/>
                <w:color w:val="auto"/>
              </w:rPr>
              <w:t>Market Cross, Kirkby Cross, Kirkby-in-Ashfield.</w:t>
            </w:r>
          </w:p>
        </w:tc>
      </w:tr>
      <w:tr w:rsidR="00967C7D" w:rsidRPr="00967C7D" w14:paraId="74485BFD" w14:textId="77777777" w:rsidTr="002D38F3">
        <w:trPr>
          <w:trHeight w:val="851"/>
        </w:trPr>
        <w:tc>
          <w:tcPr>
            <w:tcW w:w="1418" w:type="dxa"/>
            <w:vAlign w:val="center"/>
          </w:tcPr>
          <w:p w14:paraId="08F16493" w14:textId="77777777" w:rsidR="00967C7D" w:rsidRPr="00967C7D" w:rsidRDefault="00967C7D" w:rsidP="00967C7D">
            <w:pPr>
              <w:keepNext w:val="0"/>
              <w:spacing w:before="60" w:after="60"/>
              <w:rPr>
                <w:rFonts w:cs="Arial"/>
                <w:color w:val="auto"/>
              </w:rPr>
            </w:pPr>
            <w:r w:rsidRPr="00967C7D">
              <w:rPr>
                <w:rFonts w:cs="Arial"/>
                <w:color w:val="auto"/>
              </w:rPr>
              <w:t>EV10 Ac</w:t>
            </w:r>
          </w:p>
        </w:tc>
        <w:tc>
          <w:tcPr>
            <w:tcW w:w="7462" w:type="dxa"/>
            <w:vAlign w:val="center"/>
          </w:tcPr>
          <w:p w14:paraId="2FABFE52" w14:textId="77777777" w:rsidR="00967C7D" w:rsidRPr="00967C7D" w:rsidRDefault="00967C7D" w:rsidP="00967C7D">
            <w:pPr>
              <w:keepNext w:val="0"/>
              <w:spacing w:before="60" w:after="60"/>
              <w:rPr>
                <w:rFonts w:cs="Arial"/>
                <w:color w:val="auto"/>
              </w:rPr>
            </w:pPr>
            <w:r w:rsidRPr="00967C7D">
              <w:rPr>
                <w:rFonts w:cs="Arial"/>
                <w:color w:val="auto"/>
              </w:rPr>
              <w:t>Fish Ponds 220m East of St. Wilfred’s Church, Kirkby Cross, Kirkby-in- Ashfield.</w:t>
            </w:r>
          </w:p>
        </w:tc>
      </w:tr>
      <w:tr w:rsidR="00967C7D" w:rsidRPr="00967C7D" w14:paraId="718F0ED7" w14:textId="77777777" w:rsidTr="002D38F3">
        <w:trPr>
          <w:trHeight w:val="851"/>
        </w:trPr>
        <w:tc>
          <w:tcPr>
            <w:tcW w:w="1418" w:type="dxa"/>
            <w:vAlign w:val="center"/>
          </w:tcPr>
          <w:p w14:paraId="16FDEEB3" w14:textId="77777777" w:rsidR="00967C7D" w:rsidRPr="00967C7D" w:rsidRDefault="00967C7D" w:rsidP="00967C7D">
            <w:pPr>
              <w:keepNext w:val="0"/>
              <w:spacing w:before="60" w:after="60"/>
              <w:rPr>
                <w:rFonts w:cs="Arial"/>
                <w:color w:val="auto"/>
              </w:rPr>
            </w:pPr>
            <w:r w:rsidRPr="00967C7D">
              <w:rPr>
                <w:rFonts w:cs="Arial"/>
                <w:color w:val="auto"/>
              </w:rPr>
              <w:t xml:space="preserve">EV10 Ad </w:t>
            </w:r>
          </w:p>
        </w:tc>
        <w:tc>
          <w:tcPr>
            <w:tcW w:w="7462" w:type="dxa"/>
            <w:vAlign w:val="center"/>
          </w:tcPr>
          <w:p w14:paraId="26BB112F" w14:textId="77777777" w:rsidR="00967C7D" w:rsidRPr="00967C7D" w:rsidRDefault="00967C7D" w:rsidP="00967C7D">
            <w:pPr>
              <w:keepNext w:val="0"/>
              <w:spacing w:before="60" w:after="60"/>
              <w:rPr>
                <w:rFonts w:cs="Arial"/>
                <w:color w:val="auto"/>
              </w:rPr>
            </w:pPr>
            <w:r w:rsidRPr="00967C7D">
              <w:rPr>
                <w:rFonts w:cs="Arial"/>
                <w:color w:val="auto"/>
              </w:rPr>
              <w:t>Castle Hill, Annesley.</w:t>
            </w:r>
          </w:p>
        </w:tc>
      </w:tr>
      <w:tr w:rsidR="00967C7D" w:rsidRPr="00967C7D" w14:paraId="089F6CBB" w14:textId="77777777" w:rsidTr="002D38F3">
        <w:trPr>
          <w:trHeight w:val="851"/>
        </w:trPr>
        <w:tc>
          <w:tcPr>
            <w:tcW w:w="1418" w:type="dxa"/>
            <w:vAlign w:val="center"/>
          </w:tcPr>
          <w:p w14:paraId="183934FC" w14:textId="77777777" w:rsidR="00967C7D" w:rsidRPr="00967C7D" w:rsidRDefault="00967C7D" w:rsidP="00967C7D">
            <w:pPr>
              <w:keepNext w:val="0"/>
              <w:spacing w:before="60" w:after="60"/>
              <w:rPr>
                <w:rFonts w:cs="Arial"/>
                <w:color w:val="auto"/>
              </w:rPr>
            </w:pPr>
            <w:r w:rsidRPr="00967C7D">
              <w:rPr>
                <w:rFonts w:cs="Arial"/>
                <w:color w:val="auto"/>
              </w:rPr>
              <w:t>EV10 Ae</w:t>
            </w:r>
          </w:p>
        </w:tc>
        <w:tc>
          <w:tcPr>
            <w:tcW w:w="7462" w:type="dxa"/>
            <w:vAlign w:val="center"/>
          </w:tcPr>
          <w:p w14:paraId="65B26A28" w14:textId="77777777" w:rsidR="00967C7D" w:rsidRPr="00967C7D" w:rsidRDefault="00967C7D" w:rsidP="00967C7D">
            <w:pPr>
              <w:keepNext w:val="0"/>
              <w:spacing w:before="60" w:after="60"/>
              <w:rPr>
                <w:rFonts w:cs="Arial"/>
                <w:color w:val="auto"/>
              </w:rPr>
            </w:pPr>
            <w:r w:rsidRPr="00967C7D">
              <w:rPr>
                <w:rFonts w:cs="Arial"/>
                <w:color w:val="auto"/>
              </w:rPr>
              <w:t xml:space="preserve">All Saints Church, Annesley. </w:t>
            </w:r>
          </w:p>
        </w:tc>
      </w:tr>
      <w:tr w:rsidR="00967C7D" w:rsidRPr="00967C7D" w14:paraId="1839F923" w14:textId="77777777" w:rsidTr="002D38F3">
        <w:trPr>
          <w:trHeight w:val="851"/>
        </w:trPr>
        <w:tc>
          <w:tcPr>
            <w:tcW w:w="1418" w:type="dxa"/>
            <w:vAlign w:val="center"/>
          </w:tcPr>
          <w:p w14:paraId="671B007F" w14:textId="77777777" w:rsidR="00967C7D" w:rsidRPr="00967C7D" w:rsidRDefault="00967C7D" w:rsidP="00967C7D">
            <w:pPr>
              <w:keepNext w:val="0"/>
              <w:spacing w:before="60" w:after="60"/>
              <w:rPr>
                <w:rFonts w:cs="Arial"/>
                <w:color w:val="auto"/>
              </w:rPr>
            </w:pPr>
            <w:r w:rsidRPr="00967C7D">
              <w:rPr>
                <w:rFonts w:cs="Arial"/>
                <w:color w:val="auto"/>
              </w:rPr>
              <w:t xml:space="preserve">EV10 </w:t>
            </w:r>
            <w:proofErr w:type="spellStart"/>
            <w:r w:rsidRPr="00967C7D">
              <w:rPr>
                <w:rFonts w:cs="Arial"/>
                <w:color w:val="auto"/>
              </w:rPr>
              <w:t>Af</w:t>
            </w:r>
            <w:proofErr w:type="spellEnd"/>
            <w:r w:rsidRPr="00967C7D">
              <w:rPr>
                <w:rFonts w:cs="Arial"/>
                <w:color w:val="auto"/>
              </w:rPr>
              <w:t xml:space="preserve"> </w:t>
            </w:r>
          </w:p>
        </w:tc>
        <w:tc>
          <w:tcPr>
            <w:tcW w:w="7462" w:type="dxa"/>
            <w:vAlign w:val="center"/>
          </w:tcPr>
          <w:p w14:paraId="11EEFBAE" w14:textId="77777777" w:rsidR="00967C7D" w:rsidRPr="00967C7D" w:rsidRDefault="00967C7D" w:rsidP="00967C7D">
            <w:pPr>
              <w:keepNext w:val="0"/>
              <w:spacing w:before="60" w:after="60"/>
              <w:rPr>
                <w:rFonts w:cs="Arial"/>
                <w:color w:val="auto"/>
              </w:rPr>
            </w:pPr>
            <w:r w:rsidRPr="00967C7D">
              <w:rPr>
                <w:rFonts w:cs="Arial"/>
                <w:color w:val="auto"/>
              </w:rPr>
              <w:t xml:space="preserve">Fish Ponds, South of </w:t>
            </w:r>
            <w:proofErr w:type="spellStart"/>
            <w:r w:rsidRPr="00967C7D">
              <w:rPr>
                <w:rFonts w:cs="Arial"/>
                <w:color w:val="auto"/>
              </w:rPr>
              <w:t>Damstead</w:t>
            </w:r>
            <w:proofErr w:type="spellEnd"/>
            <w:r w:rsidRPr="00967C7D">
              <w:rPr>
                <w:rFonts w:cs="Arial"/>
                <w:color w:val="auto"/>
              </w:rPr>
              <w:t xml:space="preserve"> Farm, Annesley. </w:t>
            </w:r>
          </w:p>
        </w:tc>
      </w:tr>
      <w:tr w:rsidR="00967C7D" w:rsidRPr="00967C7D" w14:paraId="6F06F15D" w14:textId="77777777" w:rsidTr="002D38F3">
        <w:trPr>
          <w:trHeight w:val="851"/>
        </w:trPr>
        <w:tc>
          <w:tcPr>
            <w:tcW w:w="1418" w:type="dxa"/>
            <w:vAlign w:val="center"/>
          </w:tcPr>
          <w:p w14:paraId="03176CAA" w14:textId="77777777" w:rsidR="00967C7D" w:rsidRPr="00967C7D" w:rsidRDefault="00967C7D" w:rsidP="00967C7D">
            <w:pPr>
              <w:keepNext w:val="0"/>
              <w:spacing w:before="60" w:after="60"/>
              <w:rPr>
                <w:rFonts w:cs="Arial"/>
                <w:color w:val="auto"/>
              </w:rPr>
            </w:pPr>
            <w:r w:rsidRPr="00967C7D">
              <w:rPr>
                <w:rFonts w:cs="Arial"/>
                <w:color w:val="auto"/>
              </w:rPr>
              <w:t xml:space="preserve">EV10 Ag </w:t>
            </w:r>
          </w:p>
        </w:tc>
        <w:tc>
          <w:tcPr>
            <w:tcW w:w="7462" w:type="dxa"/>
            <w:vAlign w:val="center"/>
          </w:tcPr>
          <w:p w14:paraId="34B06B08" w14:textId="77777777" w:rsidR="00967C7D" w:rsidRPr="00967C7D" w:rsidRDefault="00967C7D" w:rsidP="00967C7D">
            <w:pPr>
              <w:keepNext w:val="0"/>
              <w:spacing w:before="60" w:after="60"/>
              <w:rPr>
                <w:rFonts w:cs="Arial"/>
                <w:color w:val="auto"/>
              </w:rPr>
            </w:pPr>
            <w:r w:rsidRPr="00967C7D">
              <w:rPr>
                <w:rFonts w:cs="Arial"/>
                <w:color w:val="auto"/>
              </w:rPr>
              <w:t>Castle Hill Fortified Manor, South of St Wilfred’s Church, Kirkby-in-Ashfield.</w:t>
            </w:r>
          </w:p>
        </w:tc>
      </w:tr>
      <w:tr w:rsidR="00967C7D" w:rsidRPr="00967C7D" w14:paraId="61B68A0B" w14:textId="77777777" w:rsidTr="002D38F3">
        <w:trPr>
          <w:trHeight w:val="851"/>
        </w:trPr>
        <w:tc>
          <w:tcPr>
            <w:tcW w:w="1418" w:type="dxa"/>
            <w:vAlign w:val="center"/>
          </w:tcPr>
          <w:p w14:paraId="78667D5C" w14:textId="77777777" w:rsidR="00967C7D" w:rsidRPr="00967C7D" w:rsidRDefault="00967C7D" w:rsidP="00967C7D">
            <w:pPr>
              <w:keepNext w:val="0"/>
              <w:spacing w:before="60" w:after="60"/>
              <w:rPr>
                <w:rFonts w:cs="Arial"/>
                <w:color w:val="auto"/>
              </w:rPr>
            </w:pPr>
            <w:r w:rsidRPr="00967C7D">
              <w:rPr>
                <w:rFonts w:cs="Arial"/>
                <w:color w:val="auto"/>
              </w:rPr>
              <w:t xml:space="preserve">EV10 Ah </w:t>
            </w:r>
          </w:p>
        </w:tc>
        <w:tc>
          <w:tcPr>
            <w:tcW w:w="7462" w:type="dxa"/>
            <w:vAlign w:val="center"/>
          </w:tcPr>
          <w:p w14:paraId="0EE426F0" w14:textId="77777777" w:rsidR="00967C7D" w:rsidRPr="00967C7D" w:rsidRDefault="00967C7D" w:rsidP="00967C7D">
            <w:pPr>
              <w:keepNext w:val="0"/>
              <w:spacing w:before="60" w:after="60"/>
              <w:rPr>
                <w:rFonts w:cs="Arial"/>
                <w:color w:val="auto"/>
              </w:rPr>
            </w:pPr>
            <w:r w:rsidRPr="00967C7D">
              <w:rPr>
                <w:rFonts w:cs="Arial"/>
                <w:color w:val="auto"/>
              </w:rPr>
              <w:t>Mound on Hamilton Hill, Sutton-in-Ashfield.</w:t>
            </w:r>
          </w:p>
        </w:tc>
      </w:tr>
      <w:tr w:rsidR="00967C7D" w:rsidRPr="00967C7D" w14:paraId="364915F7" w14:textId="77777777" w:rsidTr="002D38F3">
        <w:trPr>
          <w:trHeight w:val="851"/>
        </w:trPr>
        <w:tc>
          <w:tcPr>
            <w:tcW w:w="1418" w:type="dxa"/>
            <w:vAlign w:val="center"/>
          </w:tcPr>
          <w:p w14:paraId="32DAC56D" w14:textId="77777777" w:rsidR="00967C7D" w:rsidRPr="00967C7D" w:rsidRDefault="00967C7D" w:rsidP="00967C7D">
            <w:pPr>
              <w:keepNext w:val="0"/>
              <w:spacing w:before="60" w:after="60"/>
              <w:rPr>
                <w:rFonts w:cs="Arial"/>
                <w:color w:val="auto"/>
              </w:rPr>
            </w:pPr>
            <w:r w:rsidRPr="00967C7D">
              <w:rPr>
                <w:rFonts w:cs="Arial"/>
                <w:color w:val="auto"/>
              </w:rPr>
              <w:t>EV10 Ai</w:t>
            </w:r>
          </w:p>
        </w:tc>
        <w:tc>
          <w:tcPr>
            <w:tcW w:w="7462" w:type="dxa"/>
            <w:vAlign w:val="center"/>
          </w:tcPr>
          <w:p w14:paraId="0DD4C2FD" w14:textId="77777777" w:rsidR="00967C7D" w:rsidRPr="00967C7D" w:rsidRDefault="00967C7D" w:rsidP="00967C7D">
            <w:pPr>
              <w:keepNext w:val="0"/>
              <w:spacing w:before="60" w:after="60"/>
              <w:rPr>
                <w:rFonts w:cs="Arial"/>
                <w:color w:val="auto"/>
              </w:rPr>
            </w:pPr>
            <w:r w:rsidRPr="00967C7D">
              <w:rPr>
                <w:rFonts w:cs="Arial"/>
                <w:color w:val="auto"/>
              </w:rPr>
              <w:t>Wansley Hall Manorial Site, Bagthorpe.</w:t>
            </w:r>
          </w:p>
        </w:tc>
      </w:tr>
    </w:tbl>
    <w:p w14:paraId="7D1278D7" w14:textId="77777777" w:rsidR="00967C7D" w:rsidRPr="00967C7D" w:rsidRDefault="00967C7D" w:rsidP="005B39D2">
      <w:pPr>
        <w:keepNext w:val="0"/>
        <w:autoSpaceDE w:val="0"/>
        <w:autoSpaceDN w:val="0"/>
        <w:adjustRightInd w:val="0"/>
        <w:spacing w:before="0"/>
        <w:rPr>
          <w:rFonts w:cs="Arial"/>
          <w:szCs w:val="24"/>
        </w:rPr>
      </w:pPr>
    </w:p>
    <w:p w14:paraId="7B21D240" w14:textId="77777777" w:rsidR="009B2215" w:rsidRDefault="009B2215" w:rsidP="005B39D2">
      <w:pPr>
        <w:keepNext w:val="0"/>
        <w:autoSpaceDE w:val="0"/>
        <w:autoSpaceDN w:val="0"/>
        <w:adjustRightInd w:val="0"/>
        <w:spacing w:before="0"/>
        <w:rPr>
          <w:rFonts w:cs="Arial"/>
          <w:b/>
          <w:bCs/>
          <w:szCs w:val="24"/>
        </w:rPr>
        <w:sectPr w:rsidR="009B2215" w:rsidSect="000A31CA">
          <w:headerReference w:type="default" r:id="rId53"/>
          <w:footerReference w:type="default" r:id="rId54"/>
          <w:pgSz w:w="11906" w:h="16838" w:code="9"/>
          <w:pgMar w:top="1258" w:right="1133" w:bottom="1079" w:left="1134" w:header="709" w:footer="709" w:gutter="0"/>
          <w:cols w:space="708"/>
          <w:docGrid w:linePitch="360"/>
        </w:sectPr>
      </w:pPr>
    </w:p>
    <w:p w14:paraId="4DBCD4C9" w14:textId="57460DFA" w:rsidR="00C602FD" w:rsidRDefault="00C602FD" w:rsidP="005B39D2">
      <w:pPr>
        <w:keepNext w:val="0"/>
        <w:autoSpaceDE w:val="0"/>
        <w:autoSpaceDN w:val="0"/>
        <w:adjustRightInd w:val="0"/>
        <w:spacing w:before="0"/>
        <w:rPr>
          <w:rFonts w:cs="Arial"/>
          <w:b/>
          <w:bCs/>
          <w:szCs w:val="24"/>
        </w:rPr>
      </w:pPr>
      <w:r>
        <w:rPr>
          <w:rFonts w:cs="Arial"/>
          <w:b/>
          <w:bCs/>
          <w:szCs w:val="24"/>
        </w:rPr>
        <w:br w:type="page"/>
      </w:r>
    </w:p>
    <w:p w14:paraId="0690C6A8" w14:textId="77777777" w:rsidR="009B2215" w:rsidRDefault="009B2215" w:rsidP="005B39D2">
      <w:pPr>
        <w:keepNext w:val="0"/>
        <w:autoSpaceDE w:val="0"/>
        <w:autoSpaceDN w:val="0"/>
        <w:adjustRightInd w:val="0"/>
        <w:spacing w:before="0"/>
        <w:rPr>
          <w:rFonts w:cs="Arial"/>
          <w:b/>
          <w:bCs/>
          <w:szCs w:val="24"/>
        </w:rPr>
      </w:pPr>
    </w:p>
    <w:sectPr w:rsidR="009B2215" w:rsidSect="003157BC">
      <w:headerReference w:type="default" r:id="rId55"/>
      <w:footerReference w:type="default" r:id="rId56"/>
      <w:type w:val="continuous"/>
      <w:pgSz w:w="11906" w:h="16838" w:code="9"/>
      <w:pgMar w:top="1258" w:right="1133" w:bottom="1079" w:left="1134"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9E77BE" w14:textId="77777777" w:rsidR="0013168D" w:rsidRDefault="0013168D">
      <w:r>
        <w:separator/>
      </w:r>
    </w:p>
  </w:endnote>
  <w:endnote w:type="continuationSeparator" w:id="0">
    <w:p w14:paraId="451FF3F7" w14:textId="77777777" w:rsidR="0013168D" w:rsidRDefault="001316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Bliss">
    <w:altName w:val="Calibri"/>
    <w:panose1 w:val="00000000000000000000"/>
    <w:charset w:val="00"/>
    <w:family w:val="swiss"/>
    <w:notTrueType/>
    <w:pitch w:val="default"/>
    <w:sig w:usb0="00000003" w:usb1="00000000" w:usb2="00000000" w:usb3="00000000" w:csb0="00000001" w:csb1="00000000"/>
  </w:font>
  <w:font w:name="Minion">
    <w:altName w:val="Cambria"/>
    <w:panose1 w:val="00000000000000000000"/>
    <w:charset w:val="00"/>
    <w:family w:val="roman"/>
    <w:notTrueType/>
    <w:pitch w:val="default"/>
    <w:sig w:usb0="00000003" w:usb1="00000000" w:usb2="00000000" w:usb3="00000000" w:csb0="00000001" w:csb1="00000000"/>
  </w:font>
  <w:font w:name="Frutiger 45 Light">
    <w:altName w:val="Calibri"/>
    <w:panose1 w:val="00000000000000000000"/>
    <w:charset w:val="00"/>
    <w:family w:val="swiss"/>
    <w:notTrueType/>
    <w:pitch w:val="default"/>
    <w:sig w:usb0="00000003" w:usb1="00000000" w:usb2="00000000" w:usb3="00000000" w:csb0="00000001" w:csb1="00000000"/>
  </w:font>
  <w:font w:name="Minion DisplaySC">
    <w:altName w:val="Cambria"/>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GillSans">
    <w:altName w:val="Calibri"/>
    <w:panose1 w:val="00000000000000000000"/>
    <w:charset w:val="00"/>
    <w:family w:val="swiss"/>
    <w:notTrueType/>
    <w:pitch w:val="default"/>
    <w:sig w:usb0="00000003" w:usb1="00000000" w:usb2="00000000" w:usb3="00000000" w:csb0="00000001" w:csb1="00000000"/>
  </w:font>
  <w:font w:name="Poppins">
    <w:panose1 w:val="00000500000000000000"/>
    <w:charset w:val="00"/>
    <w:family w:val="modern"/>
    <w:notTrueType/>
    <w:pitch w:val="variable"/>
    <w:sig w:usb0="00008007" w:usb1="00000000" w:usb2="00000000" w:usb3="00000000" w:csb0="00000093" w:csb1="00000000"/>
  </w:font>
  <w:font w:name="Frutiger LT Std 45 Light">
    <w:altName w:val="Calibri"/>
    <w:panose1 w:val="00000000000000000000"/>
    <w:charset w:val="00"/>
    <w:family w:val="swiss"/>
    <w:notTrueType/>
    <w:pitch w:val="default"/>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HAKJEK+ArialMT">
    <w:altName w:val="Arial"/>
    <w:panose1 w:val="00000000000000000000"/>
    <w:charset w:val="00"/>
    <w:family w:val="swiss"/>
    <w:notTrueType/>
    <w:pitch w:val="default"/>
    <w:sig w:usb0="00000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MT">
    <w:altName w:val="MS Mincho"/>
    <w:panose1 w:val="00000000000000000000"/>
    <w:charset w:val="00"/>
    <w:family w:val="auto"/>
    <w:notTrueType/>
    <w:pitch w:val="default"/>
    <w:sig w:usb0="00000003" w:usb1="00000000" w:usb2="00000000" w:usb3="00000000" w:csb0="00000001" w:csb1="00000000"/>
  </w:font>
  <w:font w:name="OMDIGN+Arial,Bold">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CC206D" w14:textId="7D789975" w:rsidR="00054236" w:rsidRPr="001A3BFC" w:rsidRDefault="00054236" w:rsidP="002518C2">
    <w:pPr>
      <w:tabs>
        <w:tab w:val="center" w:pos="4550"/>
        <w:tab w:val="left" w:pos="5818"/>
      </w:tabs>
      <w:ind w:right="260"/>
      <w:jc w:val="right"/>
      <w:rPr>
        <w:szCs w:val="24"/>
      </w:rPr>
    </w:pPr>
  </w:p>
  <w:p w14:paraId="1AC85694" w14:textId="5F415B09" w:rsidR="00054236" w:rsidRDefault="00054236" w:rsidP="00BA7BE9">
    <w:pPr>
      <w:pStyle w:val="Footer"/>
      <w:tabs>
        <w:tab w:val="clear" w:pos="8306"/>
        <w:tab w:val="left" w:pos="8760"/>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071910" w14:textId="5625A6B0" w:rsidR="004024F3" w:rsidRPr="001A3BFC" w:rsidRDefault="004024F3" w:rsidP="002518C2">
    <w:pPr>
      <w:tabs>
        <w:tab w:val="center" w:pos="4550"/>
        <w:tab w:val="left" w:pos="5818"/>
      </w:tabs>
      <w:ind w:right="260"/>
      <w:jc w:val="right"/>
      <w:rPr>
        <w:szCs w:val="24"/>
      </w:rPr>
    </w:pPr>
  </w:p>
  <w:p w14:paraId="7E59626F" w14:textId="77777777" w:rsidR="004024F3" w:rsidRDefault="004024F3" w:rsidP="00BA7BE9">
    <w:pPr>
      <w:pStyle w:val="Footer"/>
      <w:tabs>
        <w:tab w:val="clear" w:pos="8306"/>
        <w:tab w:val="left" w:pos="8760"/>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341B5F" w14:textId="77777777" w:rsidR="004024F3" w:rsidRPr="001A3BFC" w:rsidRDefault="004024F3" w:rsidP="002518C2">
    <w:pPr>
      <w:tabs>
        <w:tab w:val="center" w:pos="4550"/>
        <w:tab w:val="left" w:pos="5818"/>
      </w:tabs>
      <w:ind w:right="260"/>
      <w:jc w:val="right"/>
      <w:rPr>
        <w:szCs w:val="24"/>
      </w:rPr>
    </w:pPr>
    <w:r w:rsidRPr="001A3BFC">
      <w:rPr>
        <w:noProof/>
        <w:spacing w:val="60"/>
        <w:szCs w:val="24"/>
      </w:rPr>
      <mc:AlternateContent>
        <mc:Choice Requires="wps">
          <w:drawing>
            <wp:anchor distT="0" distB="0" distL="114300" distR="114300" simplePos="0" relativeHeight="251715072" behindDoc="0" locked="0" layoutInCell="1" allowOverlap="1" wp14:anchorId="4886E7FA" wp14:editId="7A7E30DE">
              <wp:simplePos x="0" y="0"/>
              <wp:positionH relativeFrom="column">
                <wp:posOffset>3810</wp:posOffset>
              </wp:positionH>
              <wp:positionV relativeFrom="paragraph">
                <wp:posOffset>38735</wp:posOffset>
              </wp:positionV>
              <wp:extent cx="6046470" cy="5080"/>
              <wp:effectExtent l="9525" t="10160" r="11430" b="13335"/>
              <wp:wrapNone/>
              <wp:docPr id="270622267" name="AutoShape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046470" cy="5080"/>
                      </a:xfrm>
                      <a:prstGeom prst="straightConnector1">
                        <a:avLst/>
                      </a:prstGeom>
                      <a:noFill/>
                      <a:ln w="9525" cap="flat" cmpd="sng">
                        <a:solidFill>
                          <a:srgbClr val="000000"/>
                        </a:solidFill>
                        <a:prstDash val="solid"/>
                        <a:round/>
                        <a:headEnd type="non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0F83C9BD" id="_x0000_t32" coordsize="21600,21600" o:spt="32" o:oned="t" path="m,l21600,21600e" filled="f">
              <v:path arrowok="t" fillok="f" o:connecttype="none"/>
              <o:lock v:ext="edit" shapetype="t"/>
            </v:shapetype>
            <v:shape id="AutoShape 32" o:spid="_x0000_s1026" type="#_x0000_t32" alt="&quot;&quot;" style="position:absolute;margin-left:.3pt;margin-top:3.05pt;width:476.1pt;height:.4pt;flip:y;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"/>
          </w:pict>
        </mc:Fallback>
      </mc:AlternateContent>
    </w:r>
  </w:p>
  <w:p w14:paraId="5B0ACDD2" w14:textId="77777777" w:rsidR="004024F3" w:rsidRDefault="004024F3" w:rsidP="00BA7BE9">
    <w:pPr>
      <w:pStyle w:val="Footer"/>
      <w:tabs>
        <w:tab w:val="clear" w:pos="8306"/>
        <w:tab w:val="left" w:pos="8760"/>
      </w:tabs>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3328C0" w14:textId="0F4D99CB" w:rsidR="00054236" w:rsidRPr="001A3BFC" w:rsidRDefault="006474B6" w:rsidP="002518C2">
    <w:pPr>
      <w:tabs>
        <w:tab w:val="center" w:pos="4550"/>
        <w:tab w:val="left" w:pos="5818"/>
      </w:tabs>
      <w:ind w:right="260"/>
      <w:jc w:val="right"/>
      <w:rPr>
        <w:szCs w:val="24"/>
      </w:rPr>
    </w:pPr>
    <w:r>
      <w:rPr>
        <w:noProof/>
        <w:spacing w:val="60"/>
        <w:szCs w:val="24"/>
      </w:rPr>
      <mc:AlternateContent>
        <mc:Choice Requires="wps">
          <w:drawing>
            <wp:anchor distT="0" distB="0" distL="114300" distR="114300" simplePos="0" relativeHeight="251704832" behindDoc="0" locked="0" layoutInCell="1" allowOverlap="1" wp14:anchorId="2F11BFFD" wp14:editId="788C23FA">
              <wp:simplePos x="0" y="0"/>
              <wp:positionH relativeFrom="margin">
                <wp:posOffset>-50165</wp:posOffset>
              </wp:positionH>
              <wp:positionV relativeFrom="paragraph">
                <wp:posOffset>9687</wp:posOffset>
              </wp:positionV>
              <wp:extent cx="6027258" cy="0"/>
              <wp:effectExtent l="0" t="0" r="0" b="0"/>
              <wp:wrapNone/>
              <wp:docPr id="902863670" name="Straight Connector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02725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FFE5CF5" id="Straight Connector 2" o:spid="_x0000_s1026" alt="&quot;&quot;" style="position:absolute;z-index:251704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95pt,.75pt" to="470.6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" strokecolor="black [3200]" strokeweight=".5pt">
              <v:stroke joinstyle="miter"/>
              <w10:wrap anchorx="margin"/>
            </v:line>
          </w:pict>
        </mc:Fallback>
      </mc:AlternateContent>
    </w:r>
    <w:r w:rsidR="00054236" w:rsidRPr="001A3BFC">
      <w:rPr>
        <w:spacing w:val="60"/>
        <w:szCs w:val="24"/>
      </w:rPr>
      <w:t>Page</w:t>
    </w:r>
    <w:r w:rsidR="00054236" w:rsidRPr="001A3BFC">
      <w:rPr>
        <w:szCs w:val="24"/>
      </w:rPr>
      <w:t xml:space="preserve"> </w:t>
    </w:r>
    <w:r w:rsidR="00054236" w:rsidRPr="00D76B97">
      <w:rPr>
        <w:szCs w:val="24"/>
      </w:rPr>
      <w:fldChar w:fldCharType="begin"/>
    </w:r>
    <w:r w:rsidR="00054236" w:rsidRPr="00D76B97">
      <w:rPr>
        <w:szCs w:val="24"/>
      </w:rPr>
      <w:instrText xml:space="preserve"> PAGE   \* MERGEFORMAT </w:instrText>
    </w:r>
    <w:r w:rsidR="00054236" w:rsidRPr="00D76B97">
      <w:rPr>
        <w:szCs w:val="24"/>
      </w:rPr>
      <w:fldChar w:fldCharType="separate"/>
    </w:r>
    <w:r w:rsidR="00054236" w:rsidRPr="00D76B97">
      <w:rPr>
        <w:noProof/>
        <w:szCs w:val="24"/>
      </w:rPr>
      <w:t>1</w:t>
    </w:r>
    <w:r w:rsidR="00054236" w:rsidRPr="00D76B97">
      <w:rPr>
        <w:noProof/>
        <w:szCs w:val="24"/>
      </w:rPr>
      <w:fldChar w:fldCharType="end"/>
    </w:r>
  </w:p>
  <w:p w14:paraId="2DAF0486" w14:textId="41E1D412" w:rsidR="00054236" w:rsidRDefault="00054236" w:rsidP="00BA7BE9">
    <w:pPr>
      <w:pStyle w:val="Footer"/>
      <w:tabs>
        <w:tab w:val="clear" w:pos="8306"/>
        <w:tab w:val="left" w:pos="8760"/>
      </w:tabs>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953BD8" w14:textId="77777777" w:rsidR="00D1540D" w:rsidRPr="001A3BFC" w:rsidRDefault="00D1540D" w:rsidP="002518C2">
    <w:pPr>
      <w:tabs>
        <w:tab w:val="center" w:pos="4550"/>
        <w:tab w:val="left" w:pos="5818"/>
      </w:tabs>
      <w:ind w:right="260"/>
      <w:jc w:val="right"/>
      <w:rPr>
        <w:szCs w:val="24"/>
      </w:rPr>
    </w:pPr>
    <w:r>
      <w:rPr>
        <w:noProof/>
        <w:spacing w:val="60"/>
        <w:szCs w:val="24"/>
      </w:rPr>
      <mc:AlternateContent>
        <mc:Choice Requires="wps">
          <w:drawing>
            <wp:anchor distT="0" distB="0" distL="114300" distR="114300" simplePos="0" relativeHeight="251708928" behindDoc="0" locked="0" layoutInCell="1" allowOverlap="1" wp14:anchorId="18481F96" wp14:editId="334D276E">
              <wp:simplePos x="0" y="0"/>
              <wp:positionH relativeFrom="column">
                <wp:posOffset>-167641</wp:posOffset>
              </wp:positionH>
              <wp:positionV relativeFrom="paragraph">
                <wp:posOffset>33655</wp:posOffset>
              </wp:positionV>
              <wp:extent cx="13611225" cy="9525"/>
              <wp:effectExtent l="0" t="0" r="28575" b="28575"/>
              <wp:wrapNone/>
              <wp:docPr id="910717786" name="Straight Connector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3611225"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28098DB" id="Straight Connector 2" o:spid="_x0000_s1026" alt="&quot;&quot;" style="position:absolute;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2pt,2.65pt" to="1058.55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" strokecolor="black [3200]" strokeweight=".5pt">
              <v:stroke joinstyle="miter"/>
            </v:line>
          </w:pict>
        </mc:Fallback>
      </mc:AlternateContent>
    </w:r>
    <w:r w:rsidRPr="001A3BFC">
      <w:rPr>
        <w:spacing w:val="60"/>
        <w:szCs w:val="24"/>
      </w:rPr>
      <w:t>Page</w:t>
    </w:r>
    <w:r w:rsidRPr="001A3BFC">
      <w:rPr>
        <w:szCs w:val="24"/>
      </w:rPr>
      <w:t xml:space="preserve"> </w:t>
    </w:r>
    <w:r w:rsidRPr="00D76B97">
      <w:rPr>
        <w:szCs w:val="24"/>
      </w:rPr>
      <w:fldChar w:fldCharType="begin"/>
    </w:r>
    <w:r w:rsidRPr="00D76B97">
      <w:rPr>
        <w:szCs w:val="24"/>
      </w:rPr>
      <w:instrText xml:space="preserve"> PAGE   \* MERGEFORMAT </w:instrText>
    </w:r>
    <w:r w:rsidRPr="00D76B97">
      <w:rPr>
        <w:szCs w:val="24"/>
      </w:rPr>
      <w:fldChar w:fldCharType="separate"/>
    </w:r>
    <w:r w:rsidRPr="00D76B97">
      <w:rPr>
        <w:noProof/>
        <w:szCs w:val="24"/>
      </w:rPr>
      <w:t>1</w:t>
    </w:r>
    <w:r w:rsidRPr="00D76B97">
      <w:rPr>
        <w:noProof/>
        <w:szCs w:val="24"/>
      </w:rPr>
      <w:fldChar w:fldCharType="end"/>
    </w:r>
  </w:p>
  <w:p w14:paraId="4325B2C6" w14:textId="77777777" w:rsidR="00D1540D" w:rsidRDefault="00D1540D" w:rsidP="00BA7BE9">
    <w:pPr>
      <w:pStyle w:val="Footer"/>
      <w:tabs>
        <w:tab w:val="clear" w:pos="8306"/>
        <w:tab w:val="left" w:pos="8760"/>
      </w:tabs>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A7D282" w14:textId="77777777" w:rsidR="006474B6" w:rsidRPr="001A3BFC" w:rsidRDefault="006474B6" w:rsidP="002518C2">
    <w:pPr>
      <w:tabs>
        <w:tab w:val="center" w:pos="4550"/>
        <w:tab w:val="left" w:pos="5818"/>
      </w:tabs>
      <w:ind w:right="260"/>
      <w:jc w:val="right"/>
      <w:rPr>
        <w:szCs w:val="24"/>
      </w:rPr>
    </w:pPr>
    <w:r>
      <w:rPr>
        <w:noProof/>
        <w:spacing w:val="60"/>
        <w:szCs w:val="24"/>
      </w:rPr>
      <mc:AlternateContent>
        <mc:Choice Requires="wps">
          <w:drawing>
            <wp:anchor distT="0" distB="0" distL="114300" distR="114300" simplePos="0" relativeHeight="251706880" behindDoc="0" locked="0" layoutInCell="1" allowOverlap="1" wp14:anchorId="04706760" wp14:editId="587C11C4">
              <wp:simplePos x="0" y="0"/>
              <wp:positionH relativeFrom="margin">
                <wp:posOffset>6350</wp:posOffset>
              </wp:positionH>
              <wp:positionV relativeFrom="paragraph">
                <wp:posOffset>23164</wp:posOffset>
              </wp:positionV>
              <wp:extent cx="6114553" cy="0"/>
              <wp:effectExtent l="0" t="0" r="0" b="0"/>
              <wp:wrapNone/>
              <wp:docPr id="70231881" name="Straight Connector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11455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82DCBB4" id="Straight Connector 2" o:spid="_x0000_s1026" alt="&quot;&quot;" style="position:absolute;z-index:251706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5pt,1.8pt" to="481.9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" strokecolor="black [3200]" strokeweight=".5pt">
              <v:stroke joinstyle="miter"/>
              <w10:wrap anchorx="margin"/>
            </v:line>
          </w:pict>
        </mc:Fallback>
      </mc:AlternateContent>
    </w:r>
    <w:r w:rsidRPr="001A3BFC">
      <w:rPr>
        <w:spacing w:val="60"/>
        <w:szCs w:val="24"/>
      </w:rPr>
      <w:t>Page</w:t>
    </w:r>
    <w:r w:rsidRPr="001A3BFC">
      <w:rPr>
        <w:szCs w:val="24"/>
      </w:rPr>
      <w:t xml:space="preserve"> </w:t>
    </w:r>
    <w:r w:rsidRPr="00D76B97">
      <w:rPr>
        <w:szCs w:val="24"/>
      </w:rPr>
      <w:fldChar w:fldCharType="begin"/>
    </w:r>
    <w:r w:rsidRPr="00D76B97">
      <w:rPr>
        <w:szCs w:val="24"/>
      </w:rPr>
      <w:instrText xml:space="preserve"> PAGE   \* MERGEFORMAT </w:instrText>
    </w:r>
    <w:r w:rsidRPr="00D76B97">
      <w:rPr>
        <w:szCs w:val="24"/>
      </w:rPr>
      <w:fldChar w:fldCharType="separate"/>
    </w:r>
    <w:r w:rsidRPr="00D76B97">
      <w:rPr>
        <w:noProof/>
        <w:szCs w:val="24"/>
      </w:rPr>
      <w:t>1</w:t>
    </w:r>
    <w:r w:rsidRPr="00D76B97">
      <w:rPr>
        <w:noProof/>
        <w:szCs w:val="24"/>
      </w:rPr>
      <w:fldChar w:fldCharType="end"/>
    </w:r>
  </w:p>
  <w:p w14:paraId="0943ADD5" w14:textId="77777777" w:rsidR="006474B6" w:rsidRDefault="006474B6" w:rsidP="00BA7BE9">
    <w:pPr>
      <w:pStyle w:val="Footer"/>
      <w:tabs>
        <w:tab w:val="clear" w:pos="8306"/>
        <w:tab w:val="left" w:pos="8760"/>
      </w:tabs>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3D3797" w14:textId="251AAF53" w:rsidR="00054236" w:rsidRDefault="00054236" w:rsidP="007576F1">
    <w:pPr>
      <w:pStyle w:val="Footer"/>
      <w:tabs>
        <w:tab w:val="clear" w:pos="8306"/>
        <w:tab w:val="right" w:pos="9214"/>
      </w:tabs>
      <w:ind w:left="-567"/>
      <w:rPr>
        <w:i/>
        <w:sz w:val="14"/>
      </w:rPr>
    </w:pPr>
    <w:r>
      <w:rPr>
        <w:i/>
        <w:noProof/>
        <w:sz w:val="18"/>
      </w:rPr>
      <w:drawing>
        <wp:inline distT="0" distB="0" distL="0" distR="0" wp14:anchorId="24F068F2" wp14:editId="446F06EC">
          <wp:extent cx="6637655" cy="1061085"/>
          <wp:effectExtent l="0" t="0" r="0" b="5715"/>
          <wp:docPr id="1806015559" name="Picture 1806015559" descr="Ashfield District Council contact information -&#10;Address: Urban Road, Kirkby in Ashfielod, Nottingham, NG17 8DA&#10;Telephone 01623 450000 www.ashfield.gov.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shfield District Council contact information -&#10;Address: Urban Road, Kirkby in Ashfielod, Nottingham, NG17 8DA&#10;Telephone 01623 450000 www.ashfield.gov.u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37655" cy="1061085"/>
                  </a:xfrm>
                  <a:prstGeom prst="rect">
                    <a:avLst/>
                  </a:prstGeom>
                  <a:noFill/>
                </pic:spPr>
              </pic:pic>
            </a:graphicData>
          </a:graphic>
        </wp:inline>
      </w:drawing>
    </w:r>
    <w:r>
      <w:rPr>
        <w:rStyle w:val="PageNumber"/>
        <w:i/>
        <w:sz w:val="18"/>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DA3B981" w14:textId="77777777" w:rsidR="0013168D" w:rsidRDefault="0013168D">
      <w:r>
        <w:separator/>
      </w:r>
    </w:p>
  </w:footnote>
  <w:footnote w:type="continuationSeparator" w:id="0">
    <w:p w14:paraId="2A3AD1A4" w14:textId="77777777" w:rsidR="0013168D" w:rsidRDefault="0013168D">
      <w:r>
        <w:continuationSeparator/>
      </w:r>
    </w:p>
  </w:footnote>
  <w:footnote w:id="1">
    <w:p w14:paraId="16FBF537" w14:textId="77777777" w:rsidR="00054236" w:rsidRPr="003943F3" w:rsidRDefault="00054236" w:rsidP="00284AAC">
      <w:pPr>
        <w:pStyle w:val="FootnoteText"/>
      </w:pPr>
      <w:r w:rsidRPr="003943F3">
        <w:rPr>
          <w:rStyle w:val="FootnoteReference"/>
        </w:rPr>
        <w:footnoteRef/>
      </w:r>
      <w:r w:rsidRPr="003943F3">
        <w:t xml:space="preserve"> </w:t>
      </w:r>
      <w:hyperlink r:id="rId1" w:history="1">
        <w:r w:rsidRPr="003943F3">
          <w:rPr>
            <w:rStyle w:val="Hyperlink"/>
            <w:color w:val="000000" w:themeColor="text1"/>
          </w:rPr>
          <w:t>https://www.nottinghamshire.gov.uk/planning-and-environment/waste-development-plan/waste-core-strategy</w:t>
        </w:r>
      </w:hyperlink>
    </w:p>
  </w:footnote>
  <w:footnote w:id="2">
    <w:p w14:paraId="5AFAEFFB" w14:textId="77777777" w:rsidR="00054236" w:rsidRPr="003943F3" w:rsidRDefault="00054236" w:rsidP="00284AAC">
      <w:pPr>
        <w:pStyle w:val="FootnoteText"/>
        <w:rPr>
          <w:highlight w:val="yellow"/>
        </w:rPr>
      </w:pPr>
      <w:r w:rsidRPr="003943F3">
        <w:rPr>
          <w:rStyle w:val="FootnoteReference"/>
        </w:rPr>
        <w:footnoteRef/>
      </w:r>
      <w:r w:rsidRPr="003943F3">
        <w:t xml:space="preserve"> </w:t>
      </w:r>
      <w:hyperlink r:id="rId2" w:history="1">
        <w:r w:rsidRPr="003943F3">
          <w:rPr>
            <w:rStyle w:val="Hyperlink"/>
            <w:color w:val="000000" w:themeColor="text1"/>
          </w:rPr>
          <w:t>https://www.nottinghamshire.gov.uk/planning-and-environment/waste-development-plan/adopted-waste-local-plan</w:t>
        </w:r>
      </w:hyperlink>
    </w:p>
  </w:footnote>
  <w:footnote w:id="3">
    <w:p w14:paraId="67D56871" w14:textId="473CE929" w:rsidR="00054236" w:rsidRPr="003943F3" w:rsidRDefault="00054236" w:rsidP="00284AAC">
      <w:pPr>
        <w:pStyle w:val="FootnoteText"/>
      </w:pPr>
      <w:r w:rsidRPr="003943F3">
        <w:rPr>
          <w:rStyle w:val="FootnoteReference"/>
        </w:rPr>
        <w:footnoteRef/>
      </w:r>
      <w:r w:rsidRPr="003943F3">
        <w:t xml:space="preserve"> </w:t>
      </w:r>
      <w:hyperlink r:id="rId3" w:history="1">
        <w:r w:rsidRPr="003943F3">
          <w:rPr>
            <w:rStyle w:val="Hyperlink"/>
            <w:color w:val="000000" w:themeColor="text1"/>
          </w:rPr>
          <w:t>https://www.nottinghamshire.gov.uk/planning-and-environment/minerals-local-plan/adopted-minerals-local-plan</w:t>
        </w:r>
      </w:hyperlink>
      <w:hyperlink r:id="rId4" w:history="1">
        <w:r w:rsidR="009F03A5" w:rsidRPr="003943F3">
          <w:rPr>
            <w:rStyle w:val="Hyperlink"/>
            <w:color w:val="000000" w:themeColor="text1"/>
            <w:lang w:eastAsia="en-GB"/>
          </w:rPr>
          <w:t>https://www.nottinghamshire.gov.uk/planning-and-environment/minerals-local-plan/adopted-minerals-local-plan</w:t>
        </w:r>
      </w:hyperlink>
    </w:p>
  </w:footnote>
  <w:footnote w:id="4">
    <w:p w14:paraId="0114A559" w14:textId="77777777" w:rsidR="00054236" w:rsidRPr="003943F3" w:rsidRDefault="00054236" w:rsidP="00284AAC">
      <w:pPr>
        <w:pStyle w:val="FootnoteText"/>
      </w:pPr>
      <w:r w:rsidRPr="003943F3">
        <w:rPr>
          <w:rStyle w:val="FootnoteReference"/>
        </w:rPr>
        <w:footnoteRef/>
      </w:r>
      <w:r w:rsidRPr="003943F3">
        <w:t xml:space="preserve"> In accordance with section 39 of the </w:t>
      </w:r>
      <w:r w:rsidRPr="003943F3">
        <w:rPr>
          <w:rFonts w:eastAsia="Arial"/>
        </w:rPr>
        <w:t>Planning and Compulsory Purchase Act (2004).</w:t>
      </w:r>
    </w:p>
  </w:footnote>
  <w:footnote w:id="5">
    <w:p w14:paraId="10180932" w14:textId="77777777" w:rsidR="00054236" w:rsidRPr="003943F3" w:rsidRDefault="00054236" w:rsidP="00284AAC">
      <w:pPr>
        <w:pStyle w:val="FootnoteText"/>
      </w:pPr>
      <w:r>
        <w:rPr>
          <w:rStyle w:val="FootnoteReference"/>
        </w:rPr>
        <w:footnoteRef/>
      </w:r>
      <w:r>
        <w:t xml:space="preserve"> </w:t>
      </w:r>
      <w:r w:rsidRPr="003943F3">
        <w:t>The Planning and Compulsory Purchase Act 2004 and the Town and Country Planning (Local Plan)(England) Regulations 2012, as amended.</w:t>
      </w:r>
    </w:p>
  </w:footnote>
  <w:footnote w:id="6">
    <w:p w14:paraId="70CDC2DE" w14:textId="191DA3B9" w:rsidR="004173E0" w:rsidRPr="003943F3" w:rsidRDefault="00054236">
      <w:pPr>
        <w:pStyle w:val="FootnoteText"/>
      </w:pPr>
      <w:r w:rsidRPr="003943F3">
        <w:rPr>
          <w:rStyle w:val="FootnoteReference"/>
        </w:rPr>
        <w:footnoteRef/>
      </w:r>
      <w:hyperlink r:id="rId5" w:history="1">
        <w:r w:rsidR="004173E0" w:rsidRPr="003943F3">
          <w:rPr>
            <w:rStyle w:val="Hyperlink"/>
            <w:color w:val="000000" w:themeColor="text1"/>
          </w:rPr>
          <w:t>https://assets.publishing.service.gov.uk/government/uploads/system/uploads/attachment_data/file/1182995/NPPF_Sept_23.pdf</w:t>
        </w:r>
      </w:hyperlink>
    </w:p>
  </w:footnote>
  <w:footnote w:id="7">
    <w:p w14:paraId="06B8C037" w14:textId="73538AAC" w:rsidR="00054236" w:rsidRPr="003943F3" w:rsidRDefault="00054236">
      <w:pPr>
        <w:pStyle w:val="FootnoteText"/>
      </w:pPr>
      <w:r w:rsidRPr="003943F3">
        <w:rPr>
          <w:rStyle w:val="FootnoteReference"/>
        </w:rPr>
        <w:footnoteRef/>
      </w:r>
      <w:r w:rsidRPr="003943F3">
        <w:t xml:space="preserve"> </w:t>
      </w:r>
      <w:hyperlink r:id="rId6" w:history="1">
        <w:r w:rsidRPr="003943F3">
          <w:rPr>
            <w:rStyle w:val="Hyperlink"/>
            <w:color w:val="000000" w:themeColor="text1"/>
          </w:rPr>
          <w:t>https://www.gov.uk/government/collections/planning-practice-guidance</w:t>
        </w:r>
      </w:hyperlink>
      <w:r w:rsidRPr="003943F3">
        <w:t xml:space="preserve"> </w:t>
      </w:r>
    </w:p>
  </w:footnote>
  <w:footnote w:id="8">
    <w:p w14:paraId="0525900C" w14:textId="44788185" w:rsidR="00054236" w:rsidRPr="003943F3" w:rsidRDefault="00054236" w:rsidP="00284AAC">
      <w:pPr>
        <w:pStyle w:val="FootnoteText"/>
      </w:pPr>
      <w:r w:rsidRPr="003943F3">
        <w:rPr>
          <w:rStyle w:val="FootnoteReference"/>
        </w:rPr>
        <w:footnoteRef/>
      </w:r>
      <w:r w:rsidRPr="003943F3">
        <w:t xml:space="preserve"> </w:t>
      </w:r>
      <w:hyperlink r:id="rId7" w:history="1">
        <w:r w:rsidR="00890704" w:rsidRPr="001D6255">
          <w:rPr>
            <w:rStyle w:val="Hyperlink"/>
          </w:rPr>
          <w:t>https://www.ashfield.gov.uk/planning-building-control/local-plan/emerging-local-plan/local-plan-evidence-base/</w:t>
        </w:r>
      </w:hyperlink>
      <w:r w:rsidR="00890704">
        <w:t xml:space="preserve">  </w:t>
      </w:r>
      <w:r w:rsidRPr="003943F3">
        <w:t xml:space="preserve"> </w:t>
      </w:r>
    </w:p>
  </w:footnote>
  <w:footnote w:id="9">
    <w:p w14:paraId="4A293CB9" w14:textId="507A46FE" w:rsidR="00054236" w:rsidRPr="003943F3" w:rsidRDefault="00054236" w:rsidP="00284AAC">
      <w:pPr>
        <w:pStyle w:val="FootnoteText"/>
      </w:pPr>
      <w:r w:rsidRPr="003943F3">
        <w:rPr>
          <w:rStyle w:val="FootnoteReference"/>
        </w:rPr>
        <w:footnoteRef/>
      </w:r>
      <w:r w:rsidRPr="003943F3">
        <w:t xml:space="preserve"> The Town </w:t>
      </w:r>
      <w:r w:rsidR="00890704">
        <w:t>&amp;</w:t>
      </w:r>
      <w:r w:rsidRPr="003943F3">
        <w:t xml:space="preserve"> Country Planning (Local Planning) (England) Regulations 2012, as amended Regulation 8(5).</w:t>
      </w:r>
    </w:p>
  </w:footnote>
  <w:footnote w:id="10">
    <w:p w14:paraId="6E656FD6" w14:textId="77777777" w:rsidR="00054236" w:rsidRPr="003943F3" w:rsidRDefault="00054236" w:rsidP="00284AAC">
      <w:pPr>
        <w:pStyle w:val="FootnoteText"/>
      </w:pPr>
      <w:r>
        <w:rPr>
          <w:rStyle w:val="FootnoteReference"/>
        </w:rPr>
        <w:footnoteRef/>
      </w:r>
      <w:r>
        <w:t xml:space="preserve"> </w:t>
      </w:r>
      <w:hyperlink r:id="rId8" w:history="1">
        <w:r w:rsidRPr="003943F3">
          <w:rPr>
            <w:rStyle w:val="Hyperlink"/>
            <w:color w:val="000000" w:themeColor="text1"/>
          </w:rPr>
          <w:t>https://www.ashfield.gov.uk/planning-building-control/local-plan/statement-of-community-involvement/</w:t>
        </w:r>
      </w:hyperlink>
    </w:p>
  </w:footnote>
  <w:footnote w:id="11">
    <w:p w14:paraId="44806731" w14:textId="77777777" w:rsidR="00054236" w:rsidRPr="003943F3" w:rsidRDefault="00054236" w:rsidP="00284AAC">
      <w:pPr>
        <w:pStyle w:val="FootnoteText"/>
      </w:pPr>
      <w:r w:rsidRPr="003943F3">
        <w:rPr>
          <w:rStyle w:val="FootnoteReference"/>
        </w:rPr>
        <w:footnoteRef/>
      </w:r>
      <w:r w:rsidRPr="003943F3">
        <w:t xml:space="preserve"> </w:t>
      </w:r>
      <w:hyperlink r:id="rId9" w:history="1">
        <w:r w:rsidRPr="003943F3">
          <w:rPr>
            <w:rStyle w:val="Hyperlink"/>
            <w:color w:val="000000" w:themeColor="text1"/>
          </w:rPr>
          <w:t>https://www.ashfield.gov.uk/planning-building-control/local-plan/emerging-local-plan/</w:t>
        </w:r>
      </w:hyperlink>
    </w:p>
  </w:footnote>
  <w:footnote w:id="12">
    <w:p w14:paraId="04D33D20" w14:textId="575AFB20" w:rsidR="006922A2" w:rsidRDefault="006922A2">
      <w:pPr>
        <w:pStyle w:val="FootnoteText"/>
      </w:pPr>
      <w:r>
        <w:rPr>
          <w:rStyle w:val="FootnoteReference"/>
        </w:rPr>
        <w:footnoteRef/>
      </w:r>
      <w:r>
        <w:t xml:space="preserve"> </w:t>
      </w:r>
      <w:hyperlink r:id="rId10" w:history="1">
        <w:r w:rsidRPr="002E649E">
          <w:rPr>
            <w:rStyle w:val="Hyperlink"/>
          </w:rPr>
          <w:t>https://www.ashfield.gov.uk/planning-building-control/local-plan/emerging-local-plan/</w:t>
        </w:r>
      </w:hyperlink>
    </w:p>
  </w:footnote>
  <w:footnote w:id="13">
    <w:p w14:paraId="0D03A5C9" w14:textId="77777777" w:rsidR="00054236" w:rsidRPr="003943F3" w:rsidRDefault="00054236" w:rsidP="00284AAC">
      <w:pPr>
        <w:pStyle w:val="FootnoteText"/>
      </w:pPr>
      <w:r>
        <w:rPr>
          <w:rStyle w:val="FootnoteReference"/>
        </w:rPr>
        <w:footnoteRef/>
      </w:r>
      <w:r>
        <w:t xml:space="preserve"> </w:t>
      </w:r>
      <w:hyperlink r:id="rId11" w:history="1">
        <w:r w:rsidRPr="003943F3">
          <w:rPr>
            <w:rStyle w:val="Hyperlink"/>
            <w:color w:val="000000" w:themeColor="text1"/>
          </w:rPr>
          <w:t>https://www.legislation.gov.uk/uksi/2017/1244/regulation/4/made</w:t>
        </w:r>
      </w:hyperlink>
      <w:r w:rsidRPr="003943F3">
        <w:t xml:space="preserve"> </w:t>
      </w:r>
    </w:p>
  </w:footnote>
  <w:footnote w:id="14">
    <w:p w14:paraId="060B4193" w14:textId="01D14B11" w:rsidR="00054236" w:rsidRPr="003943F3" w:rsidRDefault="00054236" w:rsidP="00284AAC">
      <w:pPr>
        <w:pStyle w:val="FootnoteText"/>
      </w:pPr>
      <w:r w:rsidRPr="003943F3">
        <w:rPr>
          <w:rStyle w:val="FootnoteReference"/>
        </w:rPr>
        <w:footnoteRef/>
      </w:r>
      <w:r w:rsidRPr="003943F3">
        <w:t xml:space="preserve"> </w:t>
      </w:r>
      <w:hyperlink r:id="rId12" w:history="1">
        <w:r w:rsidRPr="003943F3">
          <w:rPr>
            <w:rStyle w:val="Hyperlink"/>
            <w:color w:val="000000" w:themeColor="text1"/>
          </w:rPr>
          <w:t>https://www.ashfield.gov.uk/planning-building-control/development-management-documents/</w:t>
        </w:r>
      </w:hyperlink>
    </w:p>
  </w:footnote>
  <w:footnote w:id="15">
    <w:p w14:paraId="45EBAC6D" w14:textId="7766ED54" w:rsidR="00054236" w:rsidRDefault="00054236">
      <w:pPr>
        <w:pStyle w:val="FootnoteText"/>
      </w:pPr>
      <w:r>
        <w:rPr>
          <w:rStyle w:val="FootnoteReference"/>
        </w:rPr>
        <w:footnoteRef/>
      </w:r>
      <w:r>
        <w:t xml:space="preserve"> For FEMA see </w:t>
      </w:r>
      <w:r w:rsidR="00C24627">
        <w:t xml:space="preserve">Ashfield DC </w:t>
      </w:r>
      <w:r>
        <w:t>Background Paper No 3: Economy &amp; Employment Land 2021.</w:t>
      </w:r>
    </w:p>
  </w:footnote>
  <w:footnote w:id="16">
    <w:p w14:paraId="717FC13B" w14:textId="77777777" w:rsidR="00054236" w:rsidRPr="003943F3" w:rsidRDefault="00054236" w:rsidP="00100330">
      <w:pPr>
        <w:pStyle w:val="FootnoteText"/>
      </w:pPr>
      <w:r>
        <w:rPr>
          <w:rStyle w:val="FootnoteReference"/>
        </w:rPr>
        <w:footnoteRef/>
      </w:r>
      <w:r>
        <w:t xml:space="preserve">ONS data, mid 2019 </w:t>
      </w:r>
      <w:hyperlink r:id="rId13" w:history="1">
        <w:r w:rsidRPr="003943F3">
          <w:rPr>
            <w:rStyle w:val="Hyperlink"/>
            <w:color w:val="000000" w:themeColor="text1"/>
          </w:rPr>
          <w:t>https://www.ons.gov.uk/peoplepopulationandcommunity/populationandmigration/populationestimates/datasets/populationestimatesforukenglandandwalesscotlandandnorthernireland</w:t>
        </w:r>
      </w:hyperlink>
      <w:r w:rsidRPr="003943F3">
        <w:t xml:space="preserve"> </w:t>
      </w:r>
    </w:p>
  </w:footnote>
  <w:footnote w:id="17">
    <w:p w14:paraId="2DEB4E96" w14:textId="4579DE4D" w:rsidR="00D4225A" w:rsidRDefault="00D4225A">
      <w:pPr>
        <w:pStyle w:val="FootnoteText"/>
      </w:pPr>
      <w:r>
        <w:rPr>
          <w:rStyle w:val="FootnoteReference"/>
        </w:rPr>
        <w:footnoteRef/>
      </w:r>
      <w:r>
        <w:t xml:space="preserve"> </w:t>
      </w:r>
      <w:r w:rsidRPr="00D4225A">
        <w:t>https://www.sustrans.org.uk/national-cycle-network</w:t>
      </w:r>
    </w:p>
  </w:footnote>
  <w:footnote w:id="18">
    <w:p w14:paraId="309FE42B" w14:textId="77777777" w:rsidR="00054236" w:rsidRPr="002F2F34" w:rsidRDefault="00054236" w:rsidP="00100330">
      <w:pPr>
        <w:pStyle w:val="PlainText"/>
        <w:ind w:right="-46"/>
        <w:rPr>
          <w:rFonts w:ascii="Arial" w:hAnsi="Arial" w:cs="Arial"/>
        </w:rPr>
      </w:pPr>
      <w:r w:rsidRPr="00EA508A">
        <w:rPr>
          <w:rStyle w:val="FootnoteReference"/>
        </w:rPr>
        <w:footnoteRef/>
      </w:r>
      <w:r w:rsidRPr="00EA508A">
        <w:rPr>
          <w:rFonts w:ascii="Arial" w:hAnsi="Arial" w:cs="Arial"/>
        </w:rPr>
        <w:t xml:space="preserve"> </w:t>
      </w:r>
      <w:r w:rsidRPr="002F2F34">
        <w:rPr>
          <w:rFonts w:ascii="Arial" w:hAnsi="Arial" w:cs="Arial"/>
        </w:rPr>
        <w:t>2011 Rural-Urban Classification of Local Authority Districts and Similar Geographic Units in England:  DEFRA &amp; ONS.</w:t>
      </w:r>
    </w:p>
    <w:p w14:paraId="01011C51" w14:textId="77777777" w:rsidR="00054236" w:rsidRPr="00EA508A" w:rsidRDefault="00054236" w:rsidP="00100330">
      <w:pPr>
        <w:pStyle w:val="FootnoteText"/>
      </w:pPr>
    </w:p>
  </w:footnote>
  <w:footnote w:id="19">
    <w:p w14:paraId="22A808F9" w14:textId="77777777" w:rsidR="00054236" w:rsidRPr="003943F3" w:rsidRDefault="00054236" w:rsidP="00100330">
      <w:pPr>
        <w:pStyle w:val="FootnoteText"/>
      </w:pPr>
      <w:r>
        <w:rPr>
          <w:rStyle w:val="FootnoteReference"/>
        </w:rPr>
        <w:footnoteRef/>
      </w:r>
      <w:r>
        <w:t xml:space="preserve"> </w:t>
      </w:r>
      <w:hyperlink r:id="rId14" w:history="1">
        <w:r w:rsidRPr="003943F3">
          <w:rPr>
            <w:rStyle w:val="Hyperlink"/>
            <w:color w:val="000000" w:themeColor="text1"/>
          </w:rPr>
          <w:t>https://www.mansfield.gov.uk/downloads/file/482/natural-england-s-advice-notes-on-the-sherwood-ppspa-2014</w:t>
        </w:r>
      </w:hyperlink>
    </w:p>
  </w:footnote>
  <w:footnote w:id="20">
    <w:p w14:paraId="49A61096" w14:textId="77777777" w:rsidR="00054236" w:rsidRPr="003943F3" w:rsidRDefault="00054236" w:rsidP="00EC70AF">
      <w:pPr>
        <w:pStyle w:val="FootnoteText"/>
      </w:pPr>
      <w:r>
        <w:rPr>
          <w:rStyle w:val="FootnoteReference"/>
        </w:rPr>
        <w:footnoteRef/>
      </w:r>
      <w:r>
        <w:t xml:space="preserve"> </w:t>
      </w:r>
      <w:hyperlink r:id="rId15" w:history="1">
        <w:r w:rsidRPr="003943F3">
          <w:rPr>
            <w:rStyle w:val="Hyperlink"/>
            <w:color w:val="000000" w:themeColor="text1"/>
          </w:rPr>
          <w:t>https://www.ashfield.gov.uk/planning-building-control/neighbourhood-plans/jacksdale-underwood-selston-neighbourhood-plan/</w:t>
        </w:r>
      </w:hyperlink>
    </w:p>
  </w:footnote>
  <w:footnote w:id="21">
    <w:p w14:paraId="02D73100" w14:textId="77777777" w:rsidR="00054236" w:rsidRPr="003943F3" w:rsidRDefault="00054236" w:rsidP="00EC70AF">
      <w:pPr>
        <w:pStyle w:val="FootnoteText"/>
      </w:pPr>
      <w:r>
        <w:rPr>
          <w:rStyle w:val="FootnoteReference"/>
        </w:rPr>
        <w:footnoteRef/>
      </w:r>
      <w:r>
        <w:t xml:space="preserve"> </w:t>
      </w:r>
      <w:hyperlink r:id="rId16" w:history="1">
        <w:r w:rsidRPr="003943F3">
          <w:rPr>
            <w:rStyle w:val="Hyperlink"/>
            <w:color w:val="000000" w:themeColor="text1"/>
          </w:rPr>
          <w:t>https://www.ashfield.gov.uk/planning-building-control/neighbourhood-plans/teversal-stanton-hill-skegby-neighbourhood-plan/</w:t>
        </w:r>
      </w:hyperlink>
    </w:p>
  </w:footnote>
  <w:footnote w:id="22">
    <w:p w14:paraId="06243FA0" w14:textId="6A4489FF" w:rsidR="00054236" w:rsidRDefault="00054236" w:rsidP="00CC7A92">
      <w:pPr>
        <w:pStyle w:val="FootnoteText"/>
      </w:pPr>
      <w:r>
        <w:rPr>
          <w:rStyle w:val="FootnoteReference"/>
        </w:rPr>
        <w:footnoteRef/>
      </w:r>
      <w:r>
        <w:t xml:space="preserve"> </w:t>
      </w:r>
      <w:r w:rsidRPr="00FE6ABD">
        <w:t>Impacts of Neighbourhood Planning in England, Final Report to the Ministry of Housing, Communities and Local Government, May 2020.  University of Reading.</w:t>
      </w:r>
    </w:p>
  </w:footnote>
  <w:footnote w:id="23">
    <w:p w14:paraId="0AFD5EB0" w14:textId="77777777" w:rsidR="00054236" w:rsidRPr="003943F3" w:rsidRDefault="00054236" w:rsidP="00100330">
      <w:pPr>
        <w:pStyle w:val="FootnoteText"/>
      </w:pPr>
      <w:r>
        <w:rPr>
          <w:rStyle w:val="FootnoteReference"/>
        </w:rPr>
        <w:footnoteRef/>
      </w:r>
      <w:r>
        <w:t xml:space="preserve"> </w:t>
      </w:r>
      <w:hyperlink r:id="rId17" w:history="1">
        <w:r w:rsidRPr="003943F3">
          <w:rPr>
            <w:rStyle w:val="Hyperlink"/>
            <w:color w:val="000000" w:themeColor="text1"/>
          </w:rPr>
          <w:t>https://www.un.org/sustainabledevelopment/sustainable-development-goals/</w:t>
        </w:r>
      </w:hyperlink>
    </w:p>
  </w:footnote>
  <w:footnote w:id="24">
    <w:p w14:paraId="35264165" w14:textId="233E92E9" w:rsidR="00054236" w:rsidRPr="003943F3" w:rsidRDefault="00054236" w:rsidP="00100330">
      <w:pPr>
        <w:pStyle w:val="FootnoteText"/>
      </w:pPr>
      <w:r w:rsidRPr="003943F3">
        <w:rPr>
          <w:rStyle w:val="FootnoteReference"/>
        </w:rPr>
        <w:footnoteRef/>
      </w:r>
      <w:r w:rsidRPr="003943F3">
        <w:t xml:space="preserve"> National Planning Policy Framework 2021, Part  2. Achieving sustainable development.</w:t>
      </w:r>
    </w:p>
  </w:footnote>
  <w:footnote w:id="25">
    <w:p w14:paraId="17A78B69" w14:textId="75E31236" w:rsidR="00054236" w:rsidRDefault="00054236" w:rsidP="00100330">
      <w:pPr>
        <w:pStyle w:val="FootnoteText"/>
      </w:pPr>
      <w:r>
        <w:rPr>
          <w:rStyle w:val="FootnoteReference"/>
        </w:rPr>
        <w:footnoteRef/>
      </w:r>
      <w:r>
        <w:t xml:space="preserve"> </w:t>
      </w:r>
      <w:r w:rsidRPr="00812925">
        <w:t>Town and Country Planning and Section 38(6) of the Planning and Compulsory Purchase Act 2004.</w:t>
      </w:r>
      <w:r w:rsidRPr="00606546">
        <w:t xml:space="preserve"> Section 70(2) of the</w:t>
      </w:r>
    </w:p>
  </w:footnote>
  <w:footnote w:id="26">
    <w:p w14:paraId="119BF076" w14:textId="4A07A439" w:rsidR="00054236" w:rsidRDefault="00054236" w:rsidP="00100330">
      <w:pPr>
        <w:pStyle w:val="FootnoteText"/>
      </w:pPr>
      <w:r>
        <w:rPr>
          <w:rStyle w:val="FootnoteReference"/>
        </w:rPr>
        <w:footnoteRef/>
      </w:r>
      <w:r>
        <w:t xml:space="preserve"> National Planning Policy Framework 202</w:t>
      </w:r>
      <w:r w:rsidR="008731D6">
        <w:t>3</w:t>
      </w:r>
      <w:r>
        <w:t xml:space="preserve">, </w:t>
      </w:r>
      <w:r w:rsidRPr="005B5D62">
        <w:t>Paragraph 15</w:t>
      </w:r>
      <w:r>
        <w:t>.</w:t>
      </w:r>
    </w:p>
  </w:footnote>
  <w:footnote w:id="27">
    <w:p w14:paraId="26648844" w14:textId="77777777" w:rsidR="00054236" w:rsidRDefault="00054236" w:rsidP="00100330">
      <w:pPr>
        <w:pStyle w:val="FootnoteText"/>
      </w:pPr>
      <w:r>
        <w:rPr>
          <w:rStyle w:val="FootnoteReference"/>
        </w:rPr>
        <w:footnoteRef/>
      </w:r>
      <w:r>
        <w:t xml:space="preserve"> This is a legal requirement under </w:t>
      </w:r>
      <w:r w:rsidRPr="002B30A7">
        <w:t xml:space="preserve">Section 19(1B-1E) of the Planning and Compulsory Purchase Act 2004.  </w:t>
      </w:r>
    </w:p>
  </w:footnote>
  <w:footnote w:id="28">
    <w:p w14:paraId="79CC6D08" w14:textId="77777777" w:rsidR="00054236" w:rsidRDefault="00054236" w:rsidP="00100330">
      <w:pPr>
        <w:pStyle w:val="FootnoteText"/>
      </w:pPr>
      <w:r>
        <w:rPr>
          <w:rStyle w:val="FootnoteReference"/>
        </w:rPr>
        <w:footnoteRef/>
      </w:r>
      <w:r>
        <w:t xml:space="preserve"> </w:t>
      </w:r>
      <w:r w:rsidRPr="00B91450">
        <w:rPr>
          <w:rFonts w:eastAsia="Calibri"/>
        </w:rPr>
        <w:t>These can include allocating sites, the provision of infrastructure and community facilities at a local level, establishing design principles, conserving and enhancing the natural and historic environment and setting out other development management policies.</w:t>
      </w:r>
    </w:p>
  </w:footnote>
  <w:footnote w:id="29">
    <w:p w14:paraId="327FC9AD" w14:textId="4C5C6EE7" w:rsidR="00054236" w:rsidRDefault="00054236" w:rsidP="00100330">
      <w:pPr>
        <w:pStyle w:val="FootnoteText"/>
      </w:pPr>
      <w:r>
        <w:rPr>
          <w:rStyle w:val="FootnoteReference"/>
        </w:rPr>
        <w:footnoteRef/>
      </w:r>
      <w:r>
        <w:t xml:space="preserve"> </w:t>
      </w:r>
      <w:r w:rsidRPr="00B91450">
        <w:rPr>
          <w:rFonts w:eastAsia="Calibri"/>
        </w:rPr>
        <w:t xml:space="preserve">Except in relation to town centre development, NPPF </w:t>
      </w:r>
      <w:r>
        <w:rPr>
          <w:rFonts w:eastAsia="Calibri"/>
        </w:rPr>
        <w:t>20</w:t>
      </w:r>
      <w:r w:rsidR="004173E0">
        <w:rPr>
          <w:rFonts w:eastAsia="Calibri"/>
        </w:rPr>
        <w:t>23</w:t>
      </w:r>
      <w:r>
        <w:rPr>
          <w:rFonts w:eastAsia="Calibri"/>
        </w:rPr>
        <w:t xml:space="preserve">, </w:t>
      </w:r>
      <w:r w:rsidRPr="00B91450">
        <w:rPr>
          <w:rFonts w:eastAsia="Calibri"/>
        </w:rPr>
        <w:t>Part 7.</w:t>
      </w:r>
    </w:p>
  </w:footnote>
  <w:footnote w:id="30">
    <w:p w14:paraId="6B68B428" w14:textId="77777777" w:rsidR="00054236" w:rsidRPr="003943F3" w:rsidRDefault="00054236" w:rsidP="00100330">
      <w:pPr>
        <w:pStyle w:val="FootnoteText"/>
      </w:pPr>
      <w:r>
        <w:rPr>
          <w:rStyle w:val="FootnoteReference"/>
        </w:rPr>
        <w:footnoteRef/>
      </w:r>
      <w:r>
        <w:t xml:space="preserve"> </w:t>
      </w:r>
      <w:hyperlink r:id="rId18" w:anchor="implementation" w:history="1">
        <w:r w:rsidRPr="003943F3">
          <w:rPr>
            <w:rStyle w:val="Hyperlink"/>
            <w:color w:val="000000" w:themeColor="text1"/>
          </w:rPr>
          <w:t>https://www.nottinghamshire.gov.uk/transport/public-transport/plans-strategies-policies/local-transport-plan#implementation</w:t>
        </w:r>
      </w:hyperlink>
    </w:p>
  </w:footnote>
  <w:footnote w:id="31">
    <w:p w14:paraId="2AD45938" w14:textId="77777777" w:rsidR="00054236" w:rsidRPr="003943F3" w:rsidRDefault="00054236" w:rsidP="00100330">
      <w:pPr>
        <w:pStyle w:val="FootnoteText"/>
      </w:pPr>
      <w:r>
        <w:rPr>
          <w:rStyle w:val="FootnoteReference"/>
        </w:rPr>
        <w:footnoteRef/>
      </w:r>
      <w:r>
        <w:t xml:space="preserve"> </w:t>
      </w:r>
      <w:hyperlink r:id="rId19" w:history="1">
        <w:r w:rsidRPr="003943F3">
          <w:rPr>
            <w:rStyle w:val="Hyperlink"/>
            <w:color w:val="000000" w:themeColor="text1"/>
          </w:rPr>
          <w:t>https://www.lepnetwork.net/lep-activities/local-industrial-strategies/</w:t>
        </w:r>
      </w:hyperlink>
    </w:p>
  </w:footnote>
  <w:footnote w:id="32">
    <w:p w14:paraId="2F6F8865" w14:textId="0F55900B" w:rsidR="00054236" w:rsidRPr="003943F3" w:rsidRDefault="00054236" w:rsidP="00100330">
      <w:pPr>
        <w:pStyle w:val="FootnoteText"/>
      </w:pPr>
      <w:r w:rsidRPr="003943F3">
        <w:rPr>
          <w:rStyle w:val="FootnoteReference"/>
        </w:rPr>
        <w:footnoteRef/>
      </w:r>
      <w:r w:rsidRPr="003943F3">
        <w:t xml:space="preserve"> NPPF 20</w:t>
      </w:r>
      <w:r w:rsidR="004173E0" w:rsidRPr="003943F3">
        <w:t>23</w:t>
      </w:r>
      <w:r w:rsidRPr="003943F3">
        <w:t>, paragraph 82.</w:t>
      </w:r>
    </w:p>
  </w:footnote>
  <w:footnote w:id="33">
    <w:p w14:paraId="64D0565E" w14:textId="77777777" w:rsidR="00054236" w:rsidRPr="003943F3" w:rsidRDefault="00054236" w:rsidP="00100330">
      <w:pPr>
        <w:pStyle w:val="FootnoteText"/>
      </w:pPr>
      <w:r w:rsidRPr="003943F3">
        <w:rPr>
          <w:rStyle w:val="FootnoteReference"/>
        </w:rPr>
        <w:footnoteRef/>
      </w:r>
      <w:r w:rsidRPr="003943F3">
        <w:t xml:space="preserve"> D2N2 Draft Local Industrial Strategy Proposition #2  page 14</w:t>
      </w:r>
    </w:p>
  </w:footnote>
  <w:footnote w:id="34">
    <w:p w14:paraId="278E3F86" w14:textId="77777777" w:rsidR="00054236" w:rsidRDefault="00054236" w:rsidP="00100330">
      <w:pPr>
        <w:pStyle w:val="FootnoteText"/>
      </w:pPr>
      <w:r>
        <w:rPr>
          <w:rStyle w:val="FootnoteReference"/>
        </w:rPr>
        <w:footnoteRef/>
      </w:r>
      <w:r>
        <w:t xml:space="preserve"> </w:t>
      </w:r>
      <w:r w:rsidRPr="00CA6542">
        <w:t>D2N2 Draft Local Industrial Strategy Proposition #</w:t>
      </w:r>
      <w:r>
        <w:t>3</w:t>
      </w:r>
      <w:r w:rsidRPr="00CA6542">
        <w:t xml:space="preserve">  page 1</w:t>
      </w:r>
      <w:r>
        <w:t>7</w:t>
      </w:r>
    </w:p>
  </w:footnote>
  <w:footnote w:id="35">
    <w:p w14:paraId="617F92D0" w14:textId="77777777" w:rsidR="00BA7A0D" w:rsidRDefault="00BA7A0D" w:rsidP="00BA7A0D">
      <w:pPr>
        <w:pStyle w:val="FootnoteText"/>
      </w:pPr>
      <w:r>
        <w:rPr>
          <w:rStyle w:val="FootnoteReference"/>
        </w:rPr>
        <w:footnoteRef/>
      </w:r>
      <w:r>
        <w:t xml:space="preserve"> </w:t>
      </w:r>
      <w:hyperlink r:id="rId20" w:history="1">
        <w:r w:rsidRPr="00703218">
          <w:rPr>
            <w:rStyle w:val="Hyperlink"/>
          </w:rPr>
          <w:t>https://www.gov.uk/government/publications/integrated-rail-plan-for-the-north-and-the-midlands</w:t>
        </w:r>
      </w:hyperlink>
    </w:p>
  </w:footnote>
  <w:footnote w:id="36">
    <w:p w14:paraId="7630141E" w14:textId="77777777" w:rsidR="00BA7A0D" w:rsidRPr="003943F3" w:rsidRDefault="00BA7A0D" w:rsidP="00BA7A0D">
      <w:pPr>
        <w:pStyle w:val="FootnoteText"/>
      </w:pPr>
      <w:r>
        <w:rPr>
          <w:rStyle w:val="FootnoteReference"/>
        </w:rPr>
        <w:footnoteRef/>
      </w:r>
      <w:r>
        <w:t xml:space="preserve"> </w:t>
      </w:r>
      <w:r w:rsidRPr="003943F3">
        <w:t>Safeguarding directions aim to ensure that land which has been earmarked for major infrastructure projects is protected from conflicting developments before construction starts.</w:t>
      </w:r>
    </w:p>
    <w:p w14:paraId="2D80CBF2" w14:textId="77777777" w:rsidR="00BA7A0D" w:rsidRDefault="00BA7A0D" w:rsidP="00BA7A0D">
      <w:pPr>
        <w:pStyle w:val="FootnoteText"/>
      </w:pPr>
      <w:hyperlink r:id="rId21" w:history="1">
        <w:r w:rsidRPr="003943F3">
          <w:rPr>
            <w:rStyle w:val="Hyperlink"/>
            <w:color w:val="000000" w:themeColor="text1"/>
          </w:rPr>
          <w:t>https://www.gov.uk/government/publications/hs2-safeguarding-for-developers-and-local-authorities</w:t>
        </w:r>
      </w:hyperlink>
    </w:p>
  </w:footnote>
  <w:footnote w:id="37">
    <w:p w14:paraId="1342A149" w14:textId="7742FE47" w:rsidR="00033FE0" w:rsidRPr="00033FE0" w:rsidRDefault="00033FE0" w:rsidP="00033FE0">
      <w:pPr>
        <w:pStyle w:val="pf0"/>
        <w:rPr>
          <w:sz w:val="20"/>
          <w:szCs w:val="20"/>
        </w:rPr>
      </w:pPr>
      <w:r>
        <w:rPr>
          <w:rStyle w:val="FootnoteReference"/>
        </w:rPr>
        <w:footnoteRef/>
      </w:r>
      <w:r>
        <w:t xml:space="preserve"> </w:t>
      </w:r>
      <w:hyperlink r:id="rId22" w:history="1">
        <w:r>
          <w:rPr>
            <w:rStyle w:val="cf01"/>
            <w:color w:val="0000FF"/>
            <w:u w:val="single"/>
          </w:rPr>
          <w:t>https://www.nottinghamshire.gov.uk/policy-library/38815/the-joint-health-and-wellbeing-strategy-for-2022-2026</w:t>
        </w:r>
      </w:hyperlink>
    </w:p>
  </w:footnote>
  <w:footnote w:id="38">
    <w:p w14:paraId="250D8198" w14:textId="77777777" w:rsidR="00054236" w:rsidRPr="00E96CEF" w:rsidRDefault="00054236" w:rsidP="00100330">
      <w:pPr>
        <w:pStyle w:val="FootnoteText"/>
        <w:rPr>
          <w:color w:val="auto"/>
        </w:rPr>
      </w:pPr>
      <w:r w:rsidRPr="00E96CEF">
        <w:rPr>
          <w:rStyle w:val="FootnoteReference"/>
          <w:color w:val="auto"/>
        </w:rPr>
        <w:footnoteRef/>
      </w:r>
      <w:r w:rsidRPr="00E96CEF">
        <w:rPr>
          <w:color w:val="auto"/>
        </w:rPr>
        <w:t xml:space="preserve"> </w:t>
      </w:r>
      <w:hyperlink r:id="rId23" w:history="1">
        <w:r w:rsidRPr="00E96CEF">
          <w:rPr>
            <w:rStyle w:val="Hyperlink"/>
            <w:color w:val="auto"/>
          </w:rPr>
          <w:t>https://www.ashfield.gov.uk/your-council/strategies-plans-policies/</w:t>
        </w:r>
      </w:hyperlink>
      <w:r w:rsidRPr="00E96CEF">
        <w:rPr>
          <w:color w:val="auto"/>
        </w:rPr>
        <w:t xml:space="preserve"> </w:t>
      </w:r>
    </w:p>
  </w:footnote>
  <w:footnote w:id="39">
    <w:p w14:paraId="536B0E61" w14:textId="3A69F949" w:rsidR="00054236" w:rsidRPr="00A5463B" w:rsidRDefault="00054236">
      <w:pPr>
        <w:pStyle w:val="FootnoteText"/>
        <w:rPr>
          <w:color w:val="auto"/>
        </w:rPr>
      </w:pPr>
      <w:r>
        <w:rPr>
          <w:rStyle w:val="FootnoteReference"/>
        </w:rPr>
        <w:footnoteRef/>
      </w:r>
      <w:r>
        <w:t xml:space="preserve"> </w:t>
      </w:r>
      <w:hyperlink r:id="rId24" w:history="1">
        <w:r w:rsidRPr="00A5463B">
          <w:rPr>
            <w:rStyle w:val="Hyperlink"/>
            <w:color w:val="auto"/>
          </w:rPr>
          <w:t>https://www.ashfield.gov.uk/media/8d88f9438231a5e/social-value-policy.pdf</w:t>
        </w:r>
      </w:hyperlink>
    </w:p>
  </w:footnote>
  <w:footnote w:id="40">
    <w:p w14:paraId="12317C6A" w14:textId="77777777" w:rsidR="00054236" w:rsidRDefault="00054236" w:rsidP="00100330">
      <w:pPr>
        <w:pStyle w:val="FootnoteText"/>
      </w:pPr>
      <w:r w:rsidRPr="00A5463B">
        <w:rPr>
          <w:rStyle w:val="FootnoteReference"/>
          <w:color w:val="auto"/>
        </w:rPr>
        <w:footnoteRef/>
      </w:r>
      <w:r w:rsidRPr="00A5463B">
        <w:rPr>
          <w:color w:val="auto"/>
        </w:rPr>
        <w:t xml:space="preserve"> </w:t>
      </w:r>
      <w:hyperlink r:id="rId25" w:history="1">
        <w:r w:rsidRPr="00A5463B">
          <w:rPr>
            <w:rStyle w:val="Hyperlink"/>
            <w:color w:val="auto"/>
          </w:rPr>
          <w:t>https://www.ashfield.gov.uk/media/8d850ae2a324a84/ashfield-and-mansfield-a-plan-for-growth-2017.pdf</w:t>
        </w:r>
      </w:hyperlink>
    </w:p>
  </w:footnote>
  <w:footnote w:id="41">
    <w:p w14:paraId="1F27B5B4" w14:textId="3875A1E9" w:rsidR="00904ED5" w:rsidRPr="00A5463B" w:rsidRDefault="00054236" w:rsidP="00100330">
      <w:pPr>
        <w:pStyle w:val="FootnoteText"/>
        <w:rPr>
          <w:color w:val="auto"/>
        </w:rPr>
      </w:pPr>
      <w:r w:rsidRPr="00A5463B">
        <w:rPr>
          <w:rStyle w:val="FootnoteReference"/>
          <w:color w:val="auto"/>
        </w:rPr>
        <w:footnoteRef/>
      </w:r>
      <w:r w:rsidRPr="00A5463B">
        <w:rPr>
          <w:color w:val="auto"/>
        </w:rPr>
        <w:t xml:space="preserve"> </w:t>
      </w:r>
      <w:hyperlink r:id="rId26" w:history="1">
        <w:r w:rsidR="00904ED5" w:rsidRPr="00A5463B">
          <w:rPr>
            <w:rStyle w:val="Hyperlink"/>
            <w:color w:val="auto"/>
          </w:rPr>
          <w:t>https://www.ashfield.gov.uk/your-council/strategies-plans-policies/housing-strategy-research/affordable-housing-delivery-strategy-2021-to-2023/</w:t>
        </w:r>
      </w:hyperlink>
    </w:p>
  </w:footnote>
  <w:footnote w:id="42">
    <w:p w14:paraId="1931374E" w14:textId="69F4A8E3" w:rsidR="00054236" w:rsidRDefault="00054236">
      <w:pPr>
        <w:pStyle w:val="FootnoteText"/>
      </w:pPr>
      <w:r w:rsidRPr="00A5463B">
        <w:rPr>
          <w:rStyle w:val="FootnoteReference"/>
          <w:color w:val="auto"/>
        </w:rPr>
        <w:footnoteRef/>
      </w:r>
      <w:r w:rsidRPr="00A5463B">
        <w:rPr>
          <w:color w:val="auto"/>
        </w:rPr>
        <w:t xml:space="preserve"> </w:t>
      </w:r>
      <w:hyperlink r:id="rId27" w:history="1">
        <w:r w:rsidRPr="00A5463B">
          <w:rPr>
            <w:rStyle w:val="Hyperlink"/>
            <w:color w:val="auto"/>
          </w:rPr>
          <w:t>https://www.ashfield.gov.uk/community-leisure/anti-social-behaviour-community-safety/</w:t>
        </w:r>
      </w:hyperlink>
    </w:p>
  </w:footnote>
  <w:footnote w:id="43">
    <w:p w14:paraId="357E69E8" w14:textId="1A8A7269" w:rsidR="00054236" w:rsidRPr="00A5463B" w:rsidRDefault="00054236">
      <w:pPr>
        <w:pStyle w:val="FootnoteText"/>
        <w:rPr>
          <w:color w:val="auto"/>
        </w:rPr>
      </w:pPr>
      <w:r w:rsidRPr="00A5463B">
        <w:rPr>
          <w:rStyle w:val="FootnoteReference"/>
          <w:color w:val="auto"/>
        </w:rPr>
        <w:footnoteRef/>
      </w:r>
      <w:r w:rsidRPr="00A5463B">
        <w:rPr>
          <w:color w:val="auto"/>
        </w:rPr>
        <w:t xml:space="preserve"> </w:t>
      </w:r>
      <w:hyperlink r:id="rId28" w:history="1">
        <w:r w:rsidRPr="00A5463B">
          <w:rPr>
            <w:rStyle w:val="Hyperlink"/>
            <w:color w:val="auto"/>
          </w:rPr>
          <w:t>https://www.ashfield.gov.uk/business-licensing/support-into-work/towns-fund/</w:t>
        </w:r>
      </w:hyperlink>
      <w:r w:rsidRPr="00A5463B">
        <w:rPr>
          <w:color w:val="auto"/>
        </w:rPr>
        <w:t xml:space="preserve"> </w:t>
      </w:r>
    </w:p>
  </w:footnote>
  <w:footnote w:id="44">
    <w:p w14:paraId="05CCB5E4" w14:textId="77777777" w:rsidR="00054236" w:rsidRPr="00A5463B" w:rsidRDefault="00054236" w:rsidP="00162A7B">
      <w:pPr>
        <w:pStyle w:val="FootnoteText"/>
        <w:rPr>
          <w:color w:val="auto"/>
          <w:highlight w:val="yellow"/>
        </w:rPr>
      </w:pPr>
      <w:r w:rsidRPr="00A5463B">
        <w:rPr>
          <w:rStyle w:val="FootnoteReference"/>
          <w:color w:val="auto"/>
        </w:rPr>
        <w:footnoteRef/>
      </w:r>
      <w:r w:rsidRPr="00A5463B">
        <w:rPr>
          <w:color w:val="auto"/>
        </w:rPr>
        <w:t xml:space="preserve"> </w:t>
      </w:r>
      <w:hyperlink r:id="rId29" w:history="1">
        <w:r w:rsidRPr="00A5463B">
          <w:rPr>
            <w:rStyle w:val="Hyperlink"/>
            <w:color w:val="auto"/>
          </w:rPr>
          <w:t>https://www.ashfield.gov.uk/planning-building-control/development-management-documents/</w:t>
        </w:r>
      </w:hyperlink>
      <w:r w:rsidRPr="00A5463B">
        <w:rPr>
          <w:color w:val="auto"/>
          <w:highlight w:val="yellow"/>
        </w:rPr>
        <w:t xml:space="preserve"> </w:t>
      </w:r>
    </w:p>
  </w:footnote>
  <w:footnote w:id="45">
    <w:p w14:paraId="196A9079" w14:textId="77777777" w:rsidR="00054236" w:rsidRPr="00A5463B" w:rsidRDefault="00054236" w:rsidP="00162A7B">
      <w:pPr>
        <w:pStyle w:val="FootnoteText"/>
        <w:rPr>
          <w:color w:val="auto"/>
        </w:rPr>
      </w:pPr>
      <w:r w:rsidRPr="00A5463B">
        <w:rPr>
          <w:rStyle w:val="FootnoteReference"/>
          <w:color w:val="auto"/>
        </w:rPr>
        <w:footnoteRef/>
      </w:r>
      <w:r w:rsidRPr="00A5463B">
        <w:rPr>
          <w:color w:val="auto"/>
        </w:rPr>
        <w:t xml:space="preserve"> </w:t>
      </w:r>
      <w:hyperlink r:id="rId30" w:history="1">
        <w:r w:rsidRPr="00A5463B">
          <w:rPr>
            <w:rStyle w:val="Hyperlink"/>
            <w:color w:val="auto"/>
          </w:rPr>
          <w:t>https://www.ashfield.gov.uk/planning-building-control/local-plan/monitoring/</w:t>
        </w:r>
      </w:hyperlink>
    </w:p>
  </w:footnote>
  <w:footnote w:id="46">
    <w:p w14:paraId="28351E9E" w14:textId="77777777" w:rsidR="00054236" w:rsidRDefault="00054236" w:rsidP="00162A7B">
      <w:pPr>
        <w:pStyle w:val="FootnoteText"/>
      </w:pPr>
      <w:r w:rsidRPr="00A5463B">
        <w:rPr>
          <w:rStyle w:val="FootnoteReference"/>
          <w:color w:val="auto"/>
        </w:rPr>
        <w:footnoteRef/>
      </w:r>
      <w:r w:rsidRPr="00A5463B">
        <w:rPr>
          <w:color w:val="auto"/>
        </w:rPr>
        <w:t xml:space="preserve"> </w:t>
      </w:r>
      <w:hyperlink r:id="rId31" w:history="1">
        <w:r w:rsidRPr="00A5463B">
          <w:rPr>
            <w:rStyle w:val="Hyperlink"/>
            <w:color w:val="auto"/>
          </w:rPr>
          <w:t>https://www.ashfield.gov.uk/planning-building-control/local-plan/sustainability-appraisal/</w:t>
        </w:r>
      </w:hyperlink>
    </w:p>
  </w:footnote>
  <w:footnote w:id="47">
    <w:p w14:paraId="2194C7A7" w14:textId="40E2C81E" w:rsidR="001213D8" w:rsidRDefault="001213D8" w:rsidP="001213D8">
      <w:pPr>
        <w:pStyle w:val="FootnoteText"/>
      </w:pPr>
      <w:r>
        <w:rPr>
          <w:rStyle w:val="FootnoteReference"/>
          <w:rFonts w:eastAsiaTheme="majorEastAsia"/>
        </w:rPr>
        <w:footnoteRef/>
      </w:r>
      <w:r>
        <w:t xml:space="preserve"> Background Paper No 2: Housing 202</w:t>
      </w:r>
      <w:r w:rsidR="00B65753">
        <w:t>3</w:t>
      </w:r>
    </w:p>
  </w:footnote>
  <w:footnote w:id="48">
    <w:p w14:paraId="63BC14A7" w14:textId="77777777" w:rsidR="001213D8" w:rsidRDefault="001213D8" w:rsidP="001213D8">
      <w:pPr>
        <w:pStyle w:val="FootnoteText"/>
      </w:pPr>
      <w:r>
        <w:rPr>
          <w:rStyle w:val="FootnoteReference"/>
          <w:rFonts w:eastAsiaTheme="majorEastAsia"/>
        </w:rPr>
        <w:footnoteRef/>
      </w:r>
      <w:r>
        <w:t xml:space="preserve"> </w:t>
      </w:r>
      <w:r w:rsidRPr="00BD197D">
        <w:rPr>
          <w:rFonts w:eastAsia="Arial" w:cs="Arial"/>
          <w:bCs/>
          <w:color w:val="auto"/>
          <w:szCs w:val="22"/>
        </w:rPr>
        <w:t xml:space="preserve">The Nottingham Core HMA and Nottingham Outer HMA Employment Land Needs Study, </w:t>
      </w:r>
      <w:r>
        <w:rPr>
          <w:rFonts w:eastAsia="Arial" w:cs="Arial"/>
          <w:bCs/>
          <w:color w:val="auto"/>
          <w:szCs w:val="22"/>
        </w:rPr>
        <w:t xml:space="preserve">Litchfield, </w:t>
      </w:r>
      <w:r w:rsidRPr="00BD197D">
        <w:rPr>
          <w:rFonts w:eastAsia="Arial" w:cs="Arial"/>
          <w:bCs/>
          <w:color w:val="auto"/>
          <w:szCs w:val="22"/>
        </w:rPr>
        <w:t xml:space="preserve">2021.  </w:t>
      </w:r>
    </w:p>
  </w:footnote>
  <w:footnote w:id="49">
    <w:p w14:paraId="41713358" w14:textId="53923C52" w:rsidR="001213D8" w:rsidRDefault="001213D8" w:rsidP="001213D8">
      <w:pPr>
        <w:pStyle w:val="FootnoteText"/>
      </w:pPr>
      <w:r>
        <w:rPr>
          <w:rStyle w:val="FootnoteReference"/>
          <w:rFonts w:eastAsiaTheme="majorEastAsia"/>
        </w:rPr>
        <w:footnoteRef/>
      </w:r>
      <w:r>
        <w:t xml:space="preserve"> Background Paper No3: </w:t>
      </w:r>
      <w:r w:rsidRPr="00FF3EAD">
        <w:t xml:space="preserve">Economy and Employment Land </w:t>
      </w:r>
      <w:r>
        <w:t>July 202</w:t>
      </w:r>
      <w:r w:rsidR="00B65753">
        <w:t>1 &amp; 2023</w:t>
      </w:r>
      <w:r>
        <w:t>.</w:t>
      </w:r>
    </w:p>
  </w:footnote>
  <w:footnote w:id="50">
    <w:p w14:paraId="7442C63C" w14:textId="77777777" w:rsidR="006A5605" w:rsidRDefault="006A5605" w:rsidP="006A5605">
      <w:pPr>
        <w:pStyle w:val="FootnoteText"/>
      </w:pPr>
      <w:r>
        <w:rPr>
          <w:rStyle w:val="FootnoteReference"/>
          <w:rFonts w:eastAsiaTheme="majorEastAsia"/>
        </w:rPr>
        <w:footnoteRef/>
      </w:r>
      <w:r>
        <w:t xml:space="preserve"> </w:t>
      </w:r>
      <w:r w:rsidRPr="00D96366">
        <w:t>Hardwick Hall Setting Study National Trust, 2016. Atkins</w:t>
      </w:r>
    </w:p>
  </w:footnote>
  <w:footnote w:id="51">
    <w:p w14:paraId="40BBF49E" w14:textId="4A84D04B" w:rsidR="006A5605" w:rsidRDefault="006A5605" w:rsidP="006A5605">
      <w:pPr>
        <w:pStyle w:val="FootnoteText"/>
      </w:pPr>
      <w:r>
        <w:rPr>
          <w:rStyle w:val="FootnoteReference"/>
          <w:rFonts w:eastAsiaTheme="majorEastAsia"/>
        </w:rPr>
        <w:footnoteRef/>
      </w:r>
      <w:r>
        <w:t xml:space="preserve"> </w:t>
      </w:r>
      <w:r w:rsidRPr="00D96366">
        <w:t xml:space="preserve">NPPF </w:t>
      </w:r>
      <w:r w:rsidR="00B33498">
        <w:t xml:space="preserve">Sept </w:t>
      </w:r>
      <w:r w:rsidRPr="00D96366">
        <w:t>20</w:t>
      </w:r>
      <w:r w:rsidR="004173E0">
        <w:t>23</w:t>
      </w:r>
      <w:r>
        <w:t>,</w:t>
      </w:r>
      <w:r w:rsidRPr="00D96366">
        <w:t xml:space="preserve"> paragraph 189</w:t>
      </w:r>
    </w:p>
  </w:footnote>
  <w:footnote w:id="52">
    <w:p w14:paraId="6A05897E" w14:textId="6584C89C" w:rsidR="00054236" w:rsidRDefault="00054236">
      <w:pPr>
        <w:pStyle w:val="FootnoteText"/>
      </w:pPr>
      <w:r>
        <w:rPr>
          <w:rStyle w:val="FootnoteReference"/>
        </w:rPr>
        <w:footnoteRef/>
      </w:r>
      <w:r>
        <w:t xml:space="preserve"> </w:t>
      </w:r>
      <w:r w:rsidRPr="00D9460E">
        <w:t>Under the agent of change principle, if new development or uses are to be introduced near a pre-existing business, such as a live music venue, it is the responsibility of the developer to ensure solutions to address and mitigate noise are put forward as part of proposals.  (NPPF</w:t>
      </w:r>
      <w:r>
        <w:t xml:space="preserve"> 20</w:t>
      </w:r>
      <w:r w:rsidR="004173E0">
        <w:t>23</w:t>
      </w:r>
      <w:r>
        <w:t>,</w:t>
      </w:r>
      <w:r w:rsidRPr="00D9460E">
        <w:t xml:space="preserve"> paragraph 18</w:t>
      </w:r>
      <w:r>
        <w:t>7</w:t>
      </w:r>
      <w:r w:rsidRPr="00D9460E">
        <w:t>)</w:t>
      </w:r>
    </w:p>
  </w:footnote>
  <w:footnote w:id="53">
    <w:p w14:paraId="5AC640E5" w14:textId="221F4C33" w:rsidR="0042513D" w:rsidRDefault="0042513D">
      <w:pPr>
        <w:pStyle w:val="FootnoteText"/>
      </w:pPr>
      <w:r>
        <w:rPr>
          <w:rStyle w:val="FootnoteReference"/>
        </w:rPr>
        <w:footnoteRef/>
      </w:r>
      <w:r>
        <w:t xml:space="preserve"> </w:t>
      </w:r>
      <w:hyperlink r:id="rId32" w:history="1">
        <w:r>
          <w:rPr>
            <w:rStyle w:val="cf11"/>
            <w:color w:val="0000FF"/>
            <w:u w:val="single"/>
          </w:rPr>
          <w:t>https://www.gov.uk/government/publications/national-model-design-code</w:t>
        </w:r>
      </w:hyperlink>
    </w:p>
  </w:footnote>
  <w:footnote w:id="54">
    <w:p w14:paraId="7D4E7546" w14:textId="2FC7A540" w:rsidR="00F753D6" w:rsidRDefault="00F753D6" w:rsidP="00B65753">
      <w:pPr>
        <w:pStyle w:val="pf0"/>
        <w:spacing w:before="0" w:beforeAutospacing="0" w:after="0" w:afterAutospacing="0"/>
      </w:pPr>
      <w:r>
        <w:rPr>
          <w:rStyle w:val="FootnoteReference"/>
        </w:rPr>
        <w:footnoteRef/>
      </w:r>
      <w:r>
        <w:t xml:space="preserve"> </w:t>
      </w:r>
      <w:hyperlink r:id="rId33" w:history="1">
        <w:r>
          <w:rPr>
            <w:rStyle w:val="cf01"/>
            <w:color w:val="0000FF"/>
            <w:u w:val="single"/>
          </w:rPr>
          <w:t>https://www.udg.org.uk/sites/default/files/publications/files/14JULY20%20BFL%202020%20Brochure_3.pdf</w:t>
        </w:r>
      </w:hyperlink>
    </w:p>
  </w:footnote>
  <w:footnote w:id="55">
    <w:p w14:paraId="17465106" w14:textId="63B4CDE7" w:rsidR="00054236" w:rsidRDefault="00054236" w:rsidP="00B65753">
      <w:pPr>
        <w:pStyle w:val="FootnoteText"/>
      </w:pPr>
      <w:r>
        <w:rPr>
          <w:rStyle w:val="FootnoteReference"/>
        </w:rPr>
        <w:footnoteRef/>
      </w:r>
      <w:r>
        <w:t xml:space="preserve"> </w:t>
      </w:r>
      <w:r w:rsidRPr="00FE6ABD">
        <w:t>Impacts of Neighbourhood Planning in England, Final Report to the Ministry of Housing, Communities and Local Government, May 2020.  University of Reading.</w:t>
      </w:r>
    </w:p>
  </w:footnote>
  <w:footnote w:id="56">
    <w:p w14:paraId="2496E748" w14:textId="77777777" w:rsidR="00054236" w:rsidRDefault="00054236" w:rsidP="00BD197D">
      <w:pPr>
        <w:pStyle w:val="FootnoteText"/>
      </w:pPr>
      <w:r>
        <w:rPr>
          <w:rStyle w:val="FootnoteReference"/>
        </w:rPr>
        <w:footnoteRef/>
      </w:r>
      <w:r>
        <w:t xml:space="preserve"> Nottingham Core HMA and Nottingham Outer HMA Employment Land Needs Study, 2021.  Lichfield</w:t>
      </w:r>
    </w:p>
  </w:footnote>
  <w:footnote w:id="57">
    <w:p w14:paraId="411AC155" w14:textId="29573DF2" w:rsidR="006456CA" w:rsidRDefault="006456CA">
      <w:pPr>
        <w:pStyle w:val="FootnoteText"/>
      </w:pPr>
      <w:r>
        <w:rPr>
          <w:rStyle w:val="FootnoteReference"/>
        </w:rPr>
        <w:footnoteRef/>
      </w:r>
      <w:r>
        <w:t xml:space="preserve"> </w:t>
      </w:r>
      <w:r w:rsidRPr="006456CA">
        <w:t>Nottinghamshire Core &amp; Outer HMA Logistics Study Final Report 2022</w:t>
      </w:r>
      <w:r>
        <w:t>. Iceni.</w:t>
      </w:r>
    </w:p>
  </w:footnote>
  <w:footnote w:id="58">
    <w:p w14:paraId="6FF92A34" w14:textId="77777777" w:rsidR="00054236" w:rsidRDefault="00054236" w:rsidP="00BD197D">
      <w:pPr>
        <w:pStyle w:val="FootnoteText"/>
      </w:pPr>
      <w:r>
        <w:rPr>
          <w:rStyle w:val="FootnoteReference"/>
        </w:rPr>
        <w:footnoteRef/>
      </w:r>
      <w:r>
        <w:t xml:space="preserve"> Planning Practice Guidance: </w:t>
      </w:r>
      <w:r w:rsidRPr="00013CD0">
        <w:t>Housing and economic needs assessment.</w:t>
      </w:r>
      <w:r>
        <w:t xml:space="preserve"> </w:t>
      </w:r>
      <w:r w:rsidRPr="00013CD0">
        <w:t>Paragraph:031 Reference ID: 2a-031-20190722 and Paragraph:032 Reference ID: 2a-032-20190722</w:t>
      </w:r>
    </w:p>
  </w:footnote>
  <w:footnote w:id="59">
    <w:p w14:paraId="44D50826" w14:textId="43A1B8D9" w:rsidR="00054236" w:rsidRDefault="00054236" w:rsidP="00BD197D">
      <w:pPr>
        <w:pStyle w:val="FootnoteText"/>
      </w:pPr>
      <w:r>
        <w:rPr>
          <w:rStyle w:val="FootnoteReference"/>
        </w:rPr>
        <w:footnoteRef/>
      </w:r>
      <w:r>
        <w:t xml:space="preserve"> </w:t>
      </w:r>
      <w:r w:rsidRPr="001363ED">
        <w:t xml:space="preserve">Background Paper </w:t>
      </w:r>
      <w:r>
        <w:t>No 3:</w:t>
      </w:r>
      <w:r w:rsidRPr="001363ED">
        <w:t xml:space="preserve"> </w:t>
      </w:r>
      <w:r>
        <w:t xml:space="preserve">Economy &amp; </w:t>
      </w:r>
      <w:r w:rsidRPr="001363ED">
        <w:t>Employment Land 202</w:t>
      </w:r>
      <w:r w:rsidR="000A5EE8">
        <w:t>3</w:t>
      </w:r>
      <w:r w:rsidRPr="001363ED">
        <w:t>.  Ashfield District Council.</w:t>
      </w:r>
    </w:p>
  </w:footnote>
  <w:footnote w:id="60">
    <w:p w14:paraId="4ABFA826" w14:textId="4C6461CE" w:rsidR="00054236" w:rsidRDefault="00054236">
      <w:pPr>
        <w:pStyle w:val="FootnoteText"/>
      </w:pPr>
      <w:r>
        <w:rPr>
          <w:rStyle w:val="FootnoteReference"/>
        </w:rPr>
        <w:footnoteRef/>
      </w:r>
      <w:r>
        <w:t xml:space="preserve"> The Local Housing Need is assessed using a standard approach based on published data. These include household projections and affordability ratios which vary on an annual basis. See </w:t>
      </w:r>
      <w:hyperlink r:id="rId34" w:history="1">
        <w:r w:rsidRPr="00323269">
          <w:rPr>
            <w:rStyle w:val="Hyperlink"/>
          </w:rPr>
          <w:t>https://www.gov.uk/guidance/housing-and-economic-development-needs-assessments</w:t>
        </w:r>
      </w:hyperlink>
      <w:r>
        <w:t xml:space="preserve"> </w:t>
      </w:r>
      <w:r w:rsidRPr="00910910">
        <w:t>for more information.</w:t>
      </w:r>
    </w:p>
  </w:footnote>
  <w:footnote w:id="61">
    <w:p w14:paraId="563EB58F" w14:textId="3E547CB1" w:rsidR="00054236" w:rsidRDefault="00054236">
      <w:pPr>
        <w:pStyle w:val="FootnoteText"/>
      </w:pPr>
      <w:r>
        <w:rPr>
          <w:rStyle w:val="FootnoteReference"/>
        </w:rPr>
        <w:footnoteRef/>
      </w:r>
      <w:r>
        <w:t xml:space="preserve"> </w:t>
      </w:r>
      <w:hyperlink r:id="rId35" w:history="1">
        <w:r w:rsidRPr="0093232D">
          <w:rPr>
            <w:rStyle w:val="Hyperlink"/>
          </w:rPr>
          <w:t>https://www.ashfield.gov.uk/planning-building-control/local-plan/monitoring/</w:t>
        </w:r>
      </w:hyperlink>
    </w:p>
    <w:p w14:paraId="65523E1A" w14:textId="77777777" w:rsidR="00054236" w:rsidRDefault="00054236">
      <w:pPr>
        <w:pStyle w:val="FootnoteText"/>
      </w:pPr>
    </w:p>
  </w:footnote>
  <w:footnote w:id="62">
    <w:p w14:paraId="6999651A" w14:textId="22E96927" w:rsidR="00054236" w:rsidRDefault="00054236">
      <w:pPr>
        <w:pStyle w:val="FootnoteText"/>
      </w:pPr>
      <w:r>
        <w:rPr>
          <w:rStyle w:val="FootnoteReference"/>
        </w:rPr>
        <w:footnoteRef/>
      </w:r>
      <w:r>
        <w:t xml:space="preserve"> </w:t>
      </w:r>
      <w:hyperlink r:id="rId36" w:history="1">
        <w:r w:rsidRPr="0093232D">
          <w:rPr>
            <w:rStyle w:val="Hyperlink"/>
          </w:rPr>
          <w:t>https://www.ashfield.gov.uk/media/8d890976f713e6c/2020-11-10-greater-nottingham-and-ashfield_housing-needs-assessment_final.pdf</w:t>
        </w:r>
      </w:hyperlink>
    </w:p>
    <w:p w14:paraId="2485C399" w14:textId="77777777" w:rsidR="00054236" w:rsidRDefault="00054236">
      <w:pPr>
        <w:pStyle w:val="FootnoteText"/>
      </w:pPr>
    </w:p>
  </w:footnote>
  <w:footnote w:id="63">
    <w:p w14:paraId="26A3F0D4" w14:textId="7765BC39" w:rsidR="00054236" w:rsidRDefault="00054236" w:rsidP="00743A52">
      <w:pPr>
        <w:pStyle w:val="FootnoteText"/>
      </w:pPr>
      <w:r>
        <w:rPr>
          <w:rStyle w:val="FootnoteReference"/>
        </w:rPr>
        <w:footnoteRef/>
      </w:r>
      <w:r>
        <w:t xml:space="preserve"> </w:t>
      </w:r>
      <w:hyperlink r:id="rId37" w:history="1">
        <w:r w:rsidRPr="00ED69D1">
          <w:rPr>
            <w:rStyle w:val="Hyperlink"/>
          </w:rPr>
          <w:t>https://www.ashfield.gov.uk/planning-building-control/building-control-regulations/self-build-custom-builds/self-build-custom-monitoring/</w:t>
        </w:r>
      </w:hyperlink>
    </w:p>
  </w:footnote>
  <w:footnote w:id="64">
    <w:p w14:paraId="21BC065C" w14:textId="1A202683" w:rsidR="00054236" w:rsidRPr="000032B0" w:rsidRDefault="00054236" w:rsidP="009F33D5">
      <w:pPr>
        <w:pStyle w:val="FootnoteText"/>
        <w:rPr>
          <w:color w:val="auto"/>
        </w:rPr>
      </w:pPr>
      <w:r>
        <w:rPr>
          <w:rStyle w:val="FootnoteReference"/>
        </w:rPr>
        <w:footnoteRef/>
      </w:r>
      <w:r>
        <w:t xml:space="preserve"> </w:t>
      </w:r>
      <w:r w:rsidRPr="000032B0">
        <w:rPr>
          <w:color w:val="auto"/>
        </w:rPr>
        <w:t>DCLG Planning Policy for Traveller Sites</w:t>
      </w:r>
      <w:r w:rsidR="002430A6">
        <w:rPr>
          <w:color w:val="auto"/>
        </w:rPr>
        <w:t xml:space="preserve">, </w:t>
      </w:r>
      <w:r w:rsidRPr="000032B0">
        <w:rPr>
          <w:color w:val="auto"/>
        </w:rPr>
        <w:t>August 2015</w:t>
      </w:r>
      <w:r w:rsidR="002430A6">
        <w:rPr>
          <w:color w:val="auto"/>
        </w:rPr>
        <w:t>.</w:t>
      </w:r>
      <w:r w:rsidRPr="000032B0">
        <w:rPr>
          <w:color w:val="auto"/>
        </w:rPr>
        <w:t xml:space="preserve"> </w:t>
      </w:r>
      <w:hyperlink r:id="rId38" w:history="1">
        <w:r w:rsidRPr="000032B0">
          <w:rPr>
            <w:rStyle w:val="Hyperlink"/>
            <w:color w:val="auto"/>
          </w:rPr>
          <w:t>https://www.gov.uk/government/uploads/system/uploads/attachment_data/file/457420/Final_planning_and_travellers_policy.pdf</w:t>
        </w:r>
      </w:hyperlink>
      <w:r w:rsidRPr="000032B0">
        <w:rPr>
          <w:color w:val="auto"/>
        </w:rPr>
        <w:t xml:space="preserve"> </w:t>
      </w:r>
    </w:p>
  </w:footnote>
  <w:footnote w:id="65">
    <w:p w14:paraId="17E50A14" w14:textId="14DF4D90" w:rsidR="00054236" w:rsidRDefault="00054236" w:rsidP="00E927BB">
      <w:pPr>
        <w:pStyle w:val="FootnoteText"/>
      </w:pPr>
      <w:r w:rsidRPr="000032B0">
        <w:rPr>
          <w:rStyle w:val="FootnoteReference"/>
          <w:color w:val="auto"/>
        </w:rPr>
        <w:footnoteRef/>
      </w:r>
      <w:r w:rsidRPr="000032B0">
        <w:rPr>
          <w:color w:val="auto"/>
        </w:rPr>
        <w:t xml:space="preserve"> </w:t>
      </w:r>
      <w:hyperlink r:id="rId39" w:history="1">
        <w:r w:rsidR="00207686" w:rsidRPr="000032B0">
          <w:rPr>
            <w:rStyle w:val="Hyperlink"/>
            <w:color w:val="auto"/>
          </w:rPr>
          <w:t>https://www.ashfield.gov.uk/planning-building-control/local-plan/emerging-local-plan/local-plan-evidence-base/</w:t>
        </w:r>
      </w:hyperlink>
    </w:p>
  </w:footnote>
  <w:footnote w:id="66">
    <w:p w14:paraId="1B608B44" w14:textId="5F541CDF" w:rsidR="00054236" w:rsidRDefault="00054236" w:rsidP="00B37017">
      <w:pPr>
        <w:pStyle w:val="FootnoteText"/>
      </w:pPr>
      <w:r>
        <w:rPr>
          <w:rStyle w:val="FootnoteReference"/>
        </w:rPr>
        <w:footnoteRef/>
      </w:r>
      <w:r>
        <w:t xml:space="preserve"> D2N2 – the Spark in the UK’s Growth Engine Strategic Economic Plan - 2019-2030’</w:t>
      </w:r>
    </w:p>
  </w:footnote>
  <w:footnote w:id="67">
    <w:p w14:paraId="1F12B3D7" w14:textId="5FE1C806" w:rsidR="00054236" w:rsidRDefault="00054236">
      <w:pPr>
        <w:pStyle w:val="FootnoteText"/>
      </w:pPr>
      <w:r>
        <w:rPr>
          <w:rStyle w:val="FootnoteReference"/>
        </w:rPr>
        <w:footnoteRef/>
      </w:r>
      <w:r>
        <w:t xml:space="preserve"> </w:t>
      </w:r>
      <w:r w:rsidRPr="00007D90">
        <w:t>Nottingham Core &amp; Nottingham Outer Employment Land Needs Study, May 2021. Lichfield.</w:t>
      </w:r>
      <w:r>
        <w:t xml:space="preserve">  Section 4.</w:t>
      </w:r>
    </w:p>
  </w:footnote>
  <w:footnote w:id="68">
    <w:p w14:paraId="16C7332E" w14:textId="25035DB7" w:rsidR="00054236" w:rsidRPr="00175900" w:rsidRDefault="00054236" w:rsidP="00175900">
      <w:pPr>
        <w:pStyle w:val="Default"/>
        <w:rPr>
          <w:rFonts w:ascii="Arial" w:hAnsi="Arial" w:cs="Arial"/>
          <w:sz w:val="20"/>
          <w:szCs w:val="20"/>
        </w:rPr>
      </w:pPr>
      <w:r w:rsidRPr="00175900">
        <w:rPr>
          <w:rStyle w:val="FootnoteReference"/>
          <w:rFonts w:ascii="Arial" w:hAnsi="Arial" w:cs="Arial"/>
          <w:sz w:val="20"/>
          <w:szCs w:val="20"/>
        </w:rPr>
        <w:footnoteRef/>
      </w:r>
      <w:r w:rsidRPr="00175900">
        <w:rPr>
          <w:rFonts w:ascii="Arial" w:hAnsi="Arial" w:cs="Arial"/>
          <w:sz w:val="20"/>
          <w:szCs w:val="20"/>
        </w:rPr>
        <w:t xml:space="preserve"> </w:t>
      </w:r>
      <w:bookmarkStart w:id="84" w:name="_Hlk77658762"/>
      <w:r w:rsidRPr="00175900">
        <w:rPr>
          <w:rFonts w:ascii="Arial" w:hAnsi="Arial" w:cs="Arial"/>
          <w:sz w:val="20"/>
          <w:szCs w:val="20"/>
        </w:rPr>
        <w:t xml:space="preserve">Nottingham Core &amp; Nottingham Outer Employment Land Needs Study, May 2021. Lichfield. </w:t>
      </w:r>
      <w:bookmarkEnd w:id="84"/>
      <w:r w:rsidRPr="00175900">
        <w:rPr>
          <w:rFonts w:ascii="Arial" w:hAnsi="Arial" w:cs="Arial"/>
          <w:sz w:val="20"/>
          <w:szCs w:val="20"/>
        </w:rPr>
        <w:t xml:space="preserve">Paragraph 3.82 &amp; Figure </w:t>
      </w:r>
      <w:r w:rsidRPr="00175900">
        <w:rPr>
          <w:rFonts w:ascii="Arial" w:hAnsi="Arial" w:cs="Arial"/>
          <w:color w:val="auto"/>
          <w:sz w:val="20"/>
          <w:szCs w:val="20"/>
        </w:rPr>
        <w:t>3.27 Rank of Indices of Multiple Deprivation in the Nottingham Core - Outer HMA</w:t>
      </w:r>
      <w:r w:rsidRPr="00175900">
        <w:rPr>
          <w:rFonts w:ascii="Arial" w:hAnsi="Arial" w:cs="Arial"/>
          <w:sz w:val="20"/>
          <w:szCs w:val="20"/>
        </w:rPr>
        <w:t>.</w:t>
      </w:r>
    </w:p>
  </w:footnote>
  <w:footnote w:id="69">
    <w:p w14:paraId="04AABABB" w14:textId="28B05CB4" w:rsidR="0069385A" w:rsidRDefault="0069385A">
      <w:pPr>
        <w:pStyle w:val="FootnoteText"/>
      </w:pPr>
      <w:r>
        <w:rPr>
          <w:rStyle w:val="FootnoteReference"/>
        </w:rPr>
        <w:footnoteRef/>
      </w:r>
      <w:r>
        <w:t xml:space="preserve"> </w:t>
      </w:r>
      <w:hyperlink r:id="rId40" w:history="1">
        <w:r w:rsidRPr="00E26734">
          <w:rPr>
            <w:rStyle w:val="Hyperlink"/>
          </w:rPr>
          <w:t>http://discoverashfield.co.uk/</w:t>
        </w:r>
      </w:hyperlink>
    </w:p>
  </w:footnote>
  <w:footnote w:id="70">
    <w:p w14:paraId="19F89BBB" w14:textId="61EED844" w:rsidR="00054236" w:rsidRDefault="00054236">
      <w:pPr>
        <w:pStyle w:val="FootnoteText"/>
      </w:pPr>
      <w:r>
        <w:rPr>
          <w:rStyle w:val="FootnoteReference"/>
        </w:rPr>
        <w:footnoteRef/>
      </w:r>
      <w:r>
        <w:t xml:space="preserve"> </w:t>
      </w:r>
      <w:hyperlink r:id="rId41" w:history="1">
        <w:r w:rsidRPr="00E25BEF">
          <w:rPr>
            <w:rStyle w:val="Hyperlink"/>
          </w:rPr>
          <w:t>https://www.gedling.gov.uk/acs/</w:t>
        </w:r>
      </w:hyperlink>
    </w:p>
  </w:footnote>
  <w:footnote w:id="71">
    <w:p w14:paraId="1E39173C" w14:textId="70FD1B60" w:rsidR="00054236" w:rsidRDefault="00054236" w:rsidP="00F26A22">
      <w:pPr>
        <w:pStyle w:val="CommentText"/>
      </w:pPr>
      <w:r>
        <w:rPr>
          <w:rStyle w:val="FootnoteReference"/>
        </w:rPr>
        <w:footnoteRef/>
      </w:r>
      <w:r>
        <w:t xml:space="preserve"> </w:t>
      </w:r>
      <w:hyperlink r:id="rId42" w:history="1">
        <w:r w:rsidRPr="00E25BEF">
          <w:rPr>
            <w:rStyle w:val="Hyperlink"/>
          </w:rPr>
          <w:t>https://www.ashfield.gov.uk/business-licensing/support-into-work/towns-fund/</w:t>
        </w:r>
      </w:hyperlink>
    </w:p>
  </w:footnote>
  <w:footnote w:id="72">
    <w:p w14:paraId="437FBBAE" w14:textId="131E7EDE" w:rsidR="00054236" w:rsidRPr="00C474FF" w:rsidRDefault="00054236" w:rsidP="008E6B40">
      <w:pPr>
        <w:spacing w:before="0"/>
        <w:outlineLvl w:val="0"/>
        <w:rPr>
          <w:rFonts w:cs="Arial"/>
          <w:strike/>
          <w:sz w:val="20"/>
        </w:rPr>
      </w:pPr>
      <w:r>
        <w:rPr>
          <w:rStyle w:val="FootnoteReference"/>
        </w:rPr>
        <w:footnoteRef/>
      </w:r>
      <w:r>
        <w:t xml:space="preserve"> </w:t>
      </w:r>
      <w:r w:rsidRPr="006E2655">
        <w:rPr>
          <w:rFonts w:cs="Arial"/>
          <w:kern w:val="36"/>
          <w:sz w:val="20"/>
        </w:rPr>
        <w:t xml:space="preserve">Planning Practice </w:t>
      </w:r>
      <w:r w:rsidRPr="00C474FF">
        <w:rPr>
          <w:rFonts w:cs="Arial"/>
          <w:kern w:val="36"/>
          <w:sz w:val="20"/>
        </w:rPr>
        <w:t>Guidance “Health</w:t>
      </w:r>
      <w:r w:rsidR="00DD4256" w:rsidRPr="00C474FF">
        <w:rPr>
          <w:rFonts w:cs="Arial"/>
          <w:kern w:val="36"/>
          <w:sz w:val="20"/>
        </w:rPr>
        <w:t>y and Safe Communities</w:t>
      </w:r>
      <w:r w:rsidRPr="00C474FF">
        <w:rPr>
          <w:rFonts w:cs="Arial"/>
          <w:kern w:val="36"/>
          <w:sz w:val="20"/>
        </w:rPr>
        <w:t xml:space="preserve">” </w:t>
      </w:r>
      <w:r w:rsidR="00DD4256" w:rsidRPr="00C474FF">
        <w:rPr>
          <w:rFonts w:cs="Arial"/>
          <w:kern w:val="36"/>
          <w:sz w:val="20"/>
        </w:rPr>
        <w:t xml:space="preserve">Paragraph: 001 Reference ID:53-001-20190722, Paragraph: 002 Reference ID:53-002-20190722 and </w:t>
      </w:r>
      <w:r w:rsidRPr="00C474FF">
        <w:rPr>
          <w:rFonts w:cs="Arial"/>
          <w:sz w:val="20"/>
        </w:rPr>
        <w:t>Paragraph:</w:t>
      </w:r>
      <w:r w:rsidR="00DD4256" w:rsidRPr="00C474FF">
        <w:t xml:space="preserve"> </w:t>
      </w:r>
      <w:r w:rsidR="00DD4256" w:rsidRPr="00C474FF">
        <w:rPr>
          <w:rFonts w:cs="Arial"/>
          <w:sz w:val="20"/>
        </w:rPr>
        <w:t>Paragraph: 005 Reference ID:53-005</w:t>
      </w:r>
    </w:p>
  </w:footnote>
  <w:footnote w:id="73">
    <w:p w14:paraId="164FD78F" w14:textId="01FC5185" w:rsidR="00054236" w:rsidRPr="00C474FF" w:rsidRDefault="00054236" w:rsidP="008E6B40">
      <w:pPr>
        <w:autoSpaceDE w:val="0"/>
        <w:autoSpaceDN w:val="0"/>
        <w:adjustRightInd w:val="0"/>
        <w:spacing w:before="0"/>
        <w:rPr>
          <w:rFonts w:cs="Arial"/>
          <w:sz w:val="20"/>
        </w:rPr>
      </w:pPr>
      <w:r w:rsidRPr="00C474FF">
        <w:rPr>
          <w:rStyle w:val="FootnoteReference"/>
          <w:rFonts w:cs="Arial"/>
          <w:sz w:val="20"/>
        </w:rPr>
        <w:footnoteRef/>
      </w:r>
      <w:r w:rsidRPr="00C474FF">
        <w:rPr>
          <w:rFonts w:cs="Arial"/>
          <w:sz w:val="20"/>
        </w:rPr>
        <w:t xml:space="preserve"> </w:t>
      </w:r>
      <w:r w:rsidR="00DD4256" w:rsidRPr="00C474FF">
        <w:rPr>
          <w:rFonts w:cs="Arial"/>
          <w:sz w:val="20"/>
        </w:rPr>
        <w:t xml:space="preserve">NHS Nottingham and Nottinghamshire Integrated Care Board. </w:t>
      </w:r>
    </w:p>
  </w:footnote>
  <w:footnote w:id="74">
    <w:p w14:paraId="66301AA4" w14:textId="4F1F5C43" w:rsidR="00054236" w:rsidRPr="00C474FF" w:rsidRDefault="00054236" w:rsidP="003178B5">
      <w:pPr>
        <w:autoSpaceDE w:val="0"/>
        <w:autoSpaceDN w:val="0"/>
        <w:adjustRightInd w:val="0"/>
        <w:spacing w:before="0"/>
        <w:rPr>
          <w:rFonts w:cs="Arial"/>
          <w:sz w:val="20"/>
        </w:rPr>
      </w:pPr>
      <w:r w:rsidRPr="00C474FF">
        <w:rPr>
          <w:rStyle w:val="FootnoteReference"/>
          <w:rFonts w:cs="Arial"/>
          <w:sz w:val="20"/>
        </w:rPr>
        <w:footnoteRef/>
      </w:r>
      <w:r w:rsidRPr="00C474FF">
        <w:rPr>
          <w:rFonts w:cs="Arial"/>
          <w:sz w:val="20"/>
        </w:rPr>
        <w:t xml:space="preserve"> Nottinghamshire Health and Wellbeing Board Joint Health and Wellbeing Strategy </w:t>
      </w:r>
      <w:r w:rsidR="00DD4256" w:rsidRPr="00C474FF">
        <w:rPr>
          <w:rFonts w:cs="Arial"/>
          <w:sz w:val="20"/>
        </w:rPr>
        <w:t xml:space="preserve">2022 -2026, </w:t>
      </w:r>
      <w:r w:rsidRPr="00C474FF">
        <w:rPr>
          <w:rFonts w:cs="Arial"/>
          <w:sz w:val="20"/>
        </w:rPr>
        <w:t>- Nottinghamshire County Council/ Nottinghamshire Health &amp; Wellbeing Board.</w:t>
      </w:r>
    </w:p>
  </w:footnote>
  <w:footnote w:id="75">
    <w:p w14:paraId="7F1E027E" w14:textId="05F5B715" w:rsidR="00054236" w:rsidRDefault="00054236" w:rsidP="001B3418">
      <w:pPr>
        <w:keepNext w:val="0"/>
        <w:spacing w:before="0"/>
        <w:contextualSpacing/>
        <w:jc w:val="both"/>
      </w:pPr>
      <w:r>
        <w:rPr>
          <w:rStyle w:val="FootnoteReference"/>
        </w:rPr>
        <w:footnoteRef/>
      </w:r>
      <w:r>
        <w:t xml:space="preserve"> </w:t>
      </w:r>
      <w:r w:rsidRPr="00302DDD">
        <w:rPr>
          <w:sz w:val="20"/>
        </w:rPr>
        <w:t>Ashfield Biodiversity Opportunity Mapping Project</w:t>
      </w:r>
      <w:r>
        <w:rPr>
          <w:sz w:val="20"/>
        </w:rPr>
        <w:t xml:space="preserve"> 2016.</w:t>
      </w:r>
      <w:r>
        <w:t xml:space="preserve"> </w:t>
      </w:r>
      <w:r w:rsidRPr="00171477">
        <w:rPr>
          <w:sz w:val="20"/>
        </w:rPr>
        <w:t>Nott</w:t>
      </w:r>
      <w:r>
        <w:rPr>
          <w:sz w:val="20"/>
        </w:rPr>
        <w:t>inghamshire Biodiversity Action Group</w:t>
      </w:r>
    </w:p>
  </w:footnote>
  <w:footnote w:id="76">
    <w:p w14:paraId="6AAB772F" w14:textId="3E8D5B97" w:rsidR="00054236" w:rsidRPr="009C7922" w:rsidRDefault="00054236" w:rsidP="00386A0E">
      <w:pPr>
        <w:pStyle w:val="FootnoteText"/>
      </w:pPr>
      <w:r w:rsidRPr="009C7922">
        <w:rPr>
          <w:rStyle w:val="FootnoteReference"/>
        </w:rPr>
        <w:footnoteRef/>
      </w:r>
      <w:r w:rsidRPr="009C7922">
        <w:t xml:space="preserve"> Local Biodiversity Action Plan for Nottinghamshire &amp; Updates.</w:t>
      </w:r>
      <w:r>
        <w:t xml:space="preserve"> </w:t>
      </w:r>
      <w:r w:rsidRPr="009C7922">
        <w:t>Nottinghamshire Biodiversity Action Group</w:t>
      </w:r>
    </w:p>
  </w:footnote>
  <w:footnote w:id="77">
    <w:p w14:paraId="1985EAB5" w14:textId="77777777" w:rsidR="00054236" w:rsidRPr="00EB4ACE" w:rsidRDefault="00054236" w:rsidP="00386A0E">
      <w:pPr>
        <w:pStyle w:val="FootnoteText"/>
        <w:ind w:left="426" w:hanging="426"/>
      </w:pPr>
      <w:r w:rsidRPr="00EB4ACE">
        <w:rPr>
          <w:rStyle w:val="FootnoteReference"/>
        </w:rPr>
        <w:footnoteRef/>
      </w:r>
      <w:r w:rsidRPr="00EB4ACE">
        <w:t xml:space="preserve">  •</w:t>
      </w:r>
      <w:r w:rsidRPr="00EB4ACE">
        <w:tab/>
        <w:t>Conservation Principles Policies and Guidance for the Sustainable Management of the</w:t>
      </w:r>
      <w:r>
        <w:t xml:space="preserve"> Historic Environment, Historic England</w:t>
      </w:r>
      <w:r w:rsidRPr="00EB4ACE">
        <w:t>, 2008</w:t>
      </w:r>
    </w:p>
    <w:p w14:paraId="4189D036" w14:textId="77777777" w:rsidR="00054236" w:rsidRPr="00653D1A" w:rsidRDefault="00054236" w:rsidP="00386A0E">
      <w:pPr>
        <w:pStyle w:val="FootnoteText"/>
        <w:ind w:left="426" w:hanging="426"/>
        <w:rPr>
          <w:color w:val="C00000"/>
        </w:rPr>
      </w:pPr>
      <w:r w:rsidRPr="00EB4ACE">
        <w:t xml:space="preserve">     •</w:t>
      </w:r>
      <w:r w:rsidRPr="00EB4ACE">
        <w:tab/>
        <w:t>Understanding Place Historic Area Assessments: Principles and Practice, H</w:t>
      </w:r>
      <w:r>
        <w:t>istoric England</w:t>
      </w:r>
      <w:r w:rsidRPr="00EB4ACE">
        <w:t>, 2010</w:t>
      </w:r>
    </w:p>
  </w:footnote>
  <w:footnote w:id="78">
    <w:p w14:paraId="3D90399A" w14:textId="77777777" w:rsidR="00054236" w:rsidRDefault="00054236" w:rsidP="00557459">
      <w:pPr>
        <w:pStyle w:val="FootnoteText"/>
      </w:pPr>
      <w:r>
        <w:rPr>
          <w:rStyle w:val="FootnoteReference"/>
        </w:rPr>
        <w:footnoteRef/>
      </w:r>
      <w:r>
        <w:t xml:space="preserve">    Criteria for Local Heritage Asset Designation, Ashfield District Council, Adopted 2013, Revised 2018.</w:t>
      </w:r>
    </w:p>
  </w:footnote>
  <w:footnote w:id="79">
    <w:p w14:paraId="062EFCB9" w14:textId="77777777" w:rsidR="00054236" w:rsidRPr="00CA6951" w:rsidRDefault="00054236" w:rsidP="00DE2722">
      <w:pPr>
        <w:rPr>
          <w:sz w:val="20"/>
        </w:rPr>
      </w:pPr>
      <w:r w:rsidRPr="00CA6951">
        <w:rPr>
          <w:rStyle w:val="FootnoteReference"/>
          <w:sz w:val="20"/>
        </w:rPr>
        <w:footnoteRef/>
      </w:r>
      <w:r w:rsidRPr="00CA6951">
        <w:rPr>
          <w:sz w:val="20"/>
        </w:rPr>
        <w:t xml:space="preserve"> </w:t>
      </w:r>
      <w:r w:rsidRPr="00CA6951">
        <w:rPr>
          <w:rFonts w:eastAsia="Arial"/>
          <w:sz w:val="20"/>
        </w:rPr>
        <w:t>Land Use Consultants, Centre for Sustainable Energy and SQW (2011) Low Carbon Energy Opportunities and Heat Mapping for Local Planning Areas Across the East Midlands: Final Report. Prepared for East Midlands Councils.</w:t>
      </w:r>
    </w:p>
  </w:footnote>
  <w:footnote w:id="80">
    <w:p w14:paraId="53A20498" w14:textId="77777777" w:rsidR="00054236" w:rsidRPr="006647EE" w:rsidRDefault="00054236" w:rsidP="00DE2722">
      <w:pPr>
        <w:pStyle w:val="FootnoteText"/>
        <w:rPr>
          <w:rFonts w:cs="Arial"/>
        </w:rPr>
      </w:pPr>
      <w:r w:rsidRPr="006647EE">
        <w:rPr>
          <w:rStyle w:val="FootnoteReference"/>
          <w:rFonts w:cs="Arial"/>
        </w:rPr>
        <w:footnoteRef/>
      </w:r>
      <w:r w:rsidRPr="006647EE">
        <w:rPr>
          <w:rFonts w:cs="Arial"/>
        </w:rPr>
        <w:t xml:space="preserve"> A Green Future: Our 25 Year Plan to Improve the Environment, 2018.   HM Government</w:t>
      </w:r>
      <w:r>
        <w:rPr>
          <w:rFonts w:cs="Arial"/>
        </w:rPr>
        <w:t>.</w:t>
      </w:r>
    </w:p>
  </w:footnote>
  <w:footnote w:id="81">
    <w:p w14:paraId="60AAD629" w14:textId="1A1C55A1" w:rsidR="002B4FE0" w:rsidRDefault="002B4FE0">
      <w:pPr>
        <w:pStyle w:val="FootnoteText"/>
      </w:pPr>
      <w:r>
        <w:rPr>
          <w:rStyle w:val="FootnoteReference"/>
        </w:rPr>
        <w:footnoteRef/>
      </w:r>
      <w:r>
        <w:t xml:space="preserve"> </w:t>
      </w:r>
      <w:hyperlink r:id="rId43" w:history="1">
        <w:r w:rsidRPr="0051756D">
          <w:rPr>
            <w:rStyle w:val="Hyperlink"/>
          </w:rPr>
          <w:t>https://www.gov.uk/government/publications/water-stressed-areas-2021-classification</w:t>
        </w:r>
      </w:hyperlink>
    </w:p>
  </w:footnote>
  <w:footnote w:id="82">
    <w:p w14:paraId="09972EB0" w14:textId="4C0DB0FE" w:rsidR="00054236" w:rsidRPr="00CA6951" w:rsidRDefault="00054236" w:rsidP="00DE2722">
      <w:pPr>
        <w:rPr>
          <w:sz w:val="20"/>
        </w:rPr>
      </w:pPr>
      <w:r w:rsidRPr="00CA6951">
        <w:rPr>
          <w:rStyle w:val="FootnoteReference"/>
          <w:sz w:val="20"/>
        </w:rPr>
        <w:footnoteRef/>
      </w:r>
      <w:r w:rsidRPr="00CA6951">
        <w:rPr>
          <w:sz w:val="20"/>
        </w:rPr>
        <w:t xml:space="preserve"> </w:t>
      </w:r>
      <w:r w:rsidRPr="00CA6951">
        <w:rPr>
          <w:rFonts w:eastAsia="Arial"/>
          <w:sz w:val="20"/>
        </w:rPr>
        <w:t>Entec (2010) Greater Nottingham and Ashfield Outline Water Cycle Study</w:t>
      </w:r>
      <w:r w:rsidR="002B4FE0">
        <w:rPr>
          <w:rFonts w:eastAsia="Arial"/>
          <w:sz w:val="20"/>
        </w:rPr>
        <w:t>.</w:t>
      </w:r>
    </w:p>
  </w:footnote>
  <w:footnote w:id="83">
    <w:p w14:paraId="5FF2225E" w14:textId="04E4192D" w:rsidR="00054236" w:rsidRPr="00386E5B" w:rsidRDefault="00054236" w:rsidP="00877B1A">
      <w:pPr>
        <w:shd w:val="clear" w:color="auto" w:fill="FFFFFF"/>
        <w:autoSpaceDE w:val="0"/>
        <w:autoSpaceDN w:val="0"/>
        <w:adjustRightInd w:val="0"/>
        <w:rPr>
          <w:sz w:val="20"/>
        </w:rPr>
      </w:pPr>
      <w:r>
        <w:rPr>
          <w:rStyle w:val="FootnoteReference"/>
          <w:rFonts w:eastAsia="Arial"/>
        </w:rPr>
        <w:footnoteRef/>
      </w:r>
      <w:r>
        <w:rPr>
          <w:color w:val="0000FF"/>
          <w:sz w:val="20"/>
        </w:rPr>
        <w:t xml:space="preserve"> </w:t>
      </w:r>
      <w:r w:rsidRPr="00386E5B">
        <w:rPr>
          <w:sz w:val="20"/>
        </w:rPr>
        <w:t>In a</w:t>
      </w:r>
      <w:r>
        <w:rPr>
          <w:sz w:val="20"/>
        </w:rPr>
        <w:t xml:space="preserve">ccordance with national policy. </w:t>
      </w:r>
      <w:r w:rsidRPr="00386E5B">
        <w:rPr>
          <w:sz w:val="20"/>
        </w:rPr>
        <w:t xml:space="preserve">Currently, under the National Planning Policy Framework </w:t>
      </w:r>
      <w:r>
        <w:rPr>
          <w:sz w:val="20"/>
        </w:rPr>
        <w:t xml:space="preserve">2021 </w:t>
      </w:r>
      <w:r w:rsidRPr="00386E5B">
        <w:rPr>
          <w:sz w:val="20"/>
        </w:rPr>
        <w:t>in Flood Zone 1, a FRA will only be required for sites over 1ha.</w:t>
      </w:r>
    </w:p>
    <w:p w14:paraId="671D5CCB" w14:textId="77777777" w:rsidR="00054236" w:rsidRPr="00C10F29" w:rsidRDefault="00054236" w:rsidP="00877B1A">
      <w:pPr>
        <w:pStyle w:val="Heading"/>
        <w:rPr>
          <w:rStyle w:val="Heading10"/>
          <w:color w:val="0000FF"/>
        </w:rPr>
      </w:pPr>
    </w:p>
    <w:p w14:paraId="6C7DC01E" w14:textId="77777777" w:rsidR="00054236" w:rsidRDefault="00054236" w:rsidP="00877B1A">
      <w:pPr>
        <w:pStyle w:val="FootnoteText"/>
      </w:pPr>
    </w:p>
  </w:footnote>
  <w:footnote w:id="84">
    <w:p w14:paraId="20C5BAAB" w14:textId="086D7879" w:rsidR="00054236" w:rsidRDefault="00054236">
      <w:pPr>
        <w:pStyle w:val="FootnoteText"/>
        <w:rPr>
          <w:color w:val="auto"/>
        </w:rPr>
      </w:pPr>
      <w:r>
        <w:rPr>
          <w:rStyle w:val="FootnoteReference"/>
        </w:rPr>
        <w:footnoteRef/>
      </w:r>
      <w:r>
        <w:t xml:space="preserve"> </w:t>
      </w:r>
      <w:r w:rsidRPr="003B0537">
        <w:rPr>
          <w:color w:val="auto"/>
        </w:rPr>
        <w:t>Residential Extensions Design Guide Supplement Planning Guidance, 2014. Ashfield District Council</w:t>
      </w:r>
    </w:p>
    <w:p w14:paraId="49C1ED9C" w14:textId="50FBB57D" w:rsidR="00054236" w:rsidRPr="003B0537" w:rsidRDefault="00054236">
      <w:pPr>
        <w:pStyle w:val="FootnoteText"/>
        <w:rPr>
          <w:color w:val="auto"/>
        </w:rPr>
      </w:pPr>
      <w:hyperlink r:id="rId44" w:history="1">
        <w:r w:rsidRPr="009F708F">
          <w:rPr>
            <w:rStyle w:val="Hyperlink"/>
          </w:rPr>
          <w:t>https://www.ashfield.gov.uk/planning-building-control/development-management-documents/</w:t>
        </w:r>
      </w:hyperlink>
    </w:p>
  </w:footnote>
  <w:footnote w:id="85">
    <w:p w14:paraId="7A885901" w14:textId="58DC60BD" w:rsidR="00F25E41" w:rsidRDefault="00F25E41">
      <w:pPr>
        <w:pStyle w:val="FootnoteText"/>
      </w:pPr>
      <w:r>
        <w:rPr>
          <w:rStyle w:val="FootnoteReference"/>
        </w:rPr>
        <w:footnoteRef/>
      </w:r>
      <w:r>
        <w:t xml:space="preserve"> </w:t>
      </w:r>
      <w:r w:rsidRPr="00F25E41">
        <w:t>https://www.ashfield.gov.uk/media/sxef2zw3/ashfield-district-council-developer-guide-to-biodiversity-and-nature-conservation-november-2022.docx</w:t>
      </w:r>
    </w:p>
  </w:footnote>
  <w:footnote w:id="86">
    <w:p w14:paraId="094DB506" w14:textId="76EB0F4B" w:rsidR="00C96B5E" w:rsidRDefault="00C96B5E">
      <w:pPr>
        <w:pStyle w:val="FootnoteText"/>
      </w:pPr>
      <w:r>
        <w:rPr>
          <w:rStyle w:val="FootnoteReference"/>
        </w:rPr>
        <w:footnoteRef/>
      </w:r>
      <w:r>
        <w:t xml:space="preserve"> As defined in BREEM</w:t>
      </w:r>
    </w:p>
  </w:footnote>
  <w:footnote w:id="87">
    <w:p w14:paraId="1208E2CE" w14:textId="63D9E0E0" w:rsidR="007556D5" w:rsidRDefault="007556D5">
      <w:pPr>
        <w:pStyle w:val="FootnoteText"/>
      </w:pPr>
      <w:r>
        <w:rPr>
          <w:rStyle w:val="FootnoteReference"/>
        </w:rPr>
        <w:footnoteRef/>
      </w:r>
      <w:r>
        <w:t xml:space="preserve"> </w:t>
      </w:r>
      <w:hyperlink r:id="rId45" w:history="1">
        <w:r w:rsidRPr="00796DE9">
          <w:rPr>
            <w:rStyle w:val="Hyperlink"/>
          </w:rPr>
          <w:t>https://www.ashfield.gov.uk/media/xmhna3qg/natural_england_s_advice_notes_on_the_sherwood_ppspa__2014.pdf</w:t>
        </w:r>
      </w:hyperlink>
    </w:p>
    <w:p w14:paraId="202CD4D0" w14:textId="77777777" w:rsidR="007556D5" w:rsidRDefault="007556D5">
      <w:pPr>
        <w:pStyle w:val="FootnoteText"/>
      </w:pPr>
    </w:p>
  </w:footnote>
  <w:footnote w:id="88">
    <w:p w14:paraId="572E10B5" w14:textId="1B3EE237" w:rsidR="000540B6" w:rsidRDefault="000540B6">
      <w:pPr>
        <w:pStyle w:val="FootnoteText"/>
      </w:pPr>
      <w:r>
        <w:rPr>
          <w:rStyle w:val="FootnoteReference"/>
        </w:rPr>
        <w:footnoteRef/>
      </w:r>
      <w:r w:rsidRPr="000540B6">
        <w:t>https://www.ashfield.gov.uk/media/xmhna3qg/natural_england_s_advice_notes_on_the_sherwood_ppspa__2014.pdf</w:t>
      </w:r>
    </w:p>
  </w:footnote>
  <w:footnote w:id="89">
    <w:p w14:paraId="06C7816E" w14:textId="5D6461E3" w:rsidR="0052141C" w:rsidRPr="004B4158" w:rsidRDefault="0052141C">
      <w:pPr>
        <w:pStyle w:val="FootnoteText"/>
        <w:rPr>
          <w:color w:val="auto"/>
        </w:rPr>
      </w:pPr>
      <w:r w:rsidRPr="004B4158">
        <w:rPr>
          <w:rStyle w:val="FootnoteReference"/>
          <w:color w:val="auto"/>
        </w:rPr>
        <w:footnoteRef/>
      </w:r>
      <w:r w:rsidRPr="004B4158">
        <w:rPr>
          <w:color w:val="auto"/>
        </w:rPr>
        <w:t xml:space="preserve"> https://www.gov.uk/guidance/housing-supply-and-delivery#counting-other-forms-of-accommodation</w:t>
      </w:r>
    </w:p>
  </w:footnote>
  <w:footnote w:id="90">
    <w:p w14:paraId="6E9D34BC" w14:textId="77777777" w:rsidR="00054236" w:rsidRDefault="00054236" w:rsidP="00036685">
      <w:pPr>
        <w:pStyle w:val="FootnoteText"/>
      </w:pPr>
      <w:r>
        <w:rPr>
          <w:rStyle w:val="FootnoteReference"/>
          <w:rFonts w:eastAsia="Arial"/>
        </w:rPr>
        <w:footnoteRef/>
      </w:r>
      <w:r>
        <w:t xml:space="preserve"> Add link to website when published</w:t>
      </w:r>
    </w:p>
  </w:footnote>
  <w:footnote w:id="91">
    <w:p w14:paraId="1FFD14FF" w14:textId="77777777" w:rsidR="00054236" w:rsidRDefault="00054236" w:rsidP="00036685">
      <w:pPr>
        <w:pStyle w:val="FootnoteText"/>
      </w:pPr>
      <w:r>
        <w:rPr>
          <w:rStyle w:val="FootnoteReference"/>
        </w:rPr>
        <w:footnoteRef/>
      </w:r>
      <w:hyperlink r:id="rId46" w:history="1">
        <w:r>
          <w:rPr>
            <w:rStyle w:val="Hyperlink"/>
          </w:rPr>
          <w:t>Planning Policy for Traveller Sites, 2015 - DCLG</w:t>
        </w:r>
      </w:hyperlink>
    </w:p>
    <w:p w14:paraId="4B1B487D" w14:textId="77777777" w:rsidR="00054236" w:rsidRDefault="00054236" w:rsidP="00036685">
      <w:pPr>
        <w:pStyle w:val="FootnoteText"/>
      </w:pPr>
    </w:p>
  </w:footnote>
  <w:footnote w:id="92">
    <w:p w14:paraId="62CA1DC8" w14:textId="77777777" w:rsidR="007966F9" w:rsidRPr="00C101EC" w:rsidRDefault="007966F9" w:rsidP="007966F9">
      <w:pPr>
        <w:pStyle w:val="FootnoteText"/>
        <w:rPr>
          <w:color w:val="auto"/>
        </w:rPr>
      </w:pPr>
      <w:r>
        <w:rPr>
          <w:rStyle w:val="FootnoteReference"/>
        </w:rPr>
        <w:footnoteRef/>
      </w:r>
      <w:r>
        <w:t xml:space="preserve"> </w:t>
      </w:r>
      <w:bookmarkStart w:id="228" w:name="_Hlk139528087"/>
      <w:r>
        <w:t xml:space="preserve">Affordable Housing Delivery Strategy 2019-21 </w:t>
      </w:r>
      <w:bookmarkEnd w:id="228"/>
      <w:r w:rsidRPr="00C101EC">
        <w:rPr>
          <w:color w:val="auto"/>
        </w:rPr>
        <w:t xml:space="preserve">Review </w:t>
      </w:r>
      <w:hyperlink r:id="rId47" w:history="1">
        <w:r w:rsidRPr="00C101EC">
          <w:rPr>
            <w:rStyle w:val="Hyperlink"/>
            <w:color w:val="auto"/>
          </w:rPr>
          <w:t>https://www.ashfield.gov.uk/your-council/strategies-plans-policies/housing-strategy-research/</w:t>
        </w:r>
      </w:hyperlink>
    </w:p>
  </w:footnote>
  <w:footnote w:id="93">
    <w:p w14:paraId="26E273E8" w14:textId="219F89DA" w:rsidR="00C101EC" w:rsidRPr="00C101EC" w:rsidRDefault="00054236" w:rsidP="00C101EC">
      <w:pPr>
        <w:pStyle w:val="FootnoteText"/>
        <w:rPr>
          <w:color w:val="auto"/>
        </w:rPr>
      </w:pPr>
      <w:r w:rsidRPr="00823DBE">
        <w:rPr>
          <w:rStyle w:val="FootnoteReference"/>
        </w:rPr>
        <w:footnoteRef/>
      </w:r>
      <w:r w:rsidRPr="00823DBE">
        <w:t xml:space="preserve"> </w:t>
      </w:r>
      <w:r w:rsidR="00C101EC" w:rsidRPr="00C101EC">
        <w:rPr>
          <w:rStyle w:val="Hyperlink"/>
          <w:color w:val="auto"/>
          <w:u w:val="none"/>
        </w:rPr>
        <w:t xml:space="preserve">Ashfield </w:t>
      </w:r>
      <w:r w:rsidR="00C101EC">
        <w:rPr>
          <w:rStyle w:val="Hyperlink"/>
          <w:color w:val="auto"/>
          <w:u w:val="none"/>
        </w:rPr>
        <w:t xml:space="preserve">District </w:t>
      </w:r>
      <w:r w:rsidR="00C101EC" w:rsidRPr="00C101EC">
        <w:rPr>
          <w:rStyle w:val="Hyperlink"/>
          <w:color w:val="auto"/>
          <w:u w:val="none"/>
        </w:rPr>
        <w:t>Whole Plan Viability Assessment, 2023</w:t>
      </w:r>
      <w:r w:rsidR="00C101EC">
        <w:rPr>
          <w:rStyle w:val="Hyperlink"/>
          <w:color w:val="auto"/>
          <w:u w:val="none"/>
        </w:rPr>
        <w:t xml:space="preserve">, </w:t>
      </w:r>
      <w:r w:rsidR="00C101EC" w:rsidRPr="009E34A6">
        <w:rPr>
          <w:rFonts w:eastAsia="Calibri"/>
          <w:color w:val="auto"/>
        </w:rPr>
        <w:t>Nationwide CIL Services</w:t>
      </w:r>
    </w:p>
    <w:p w14:paraId="23333DF3" w14:textId="58853FF4" w:rsidR="00054236" w:rsidRPr="00C101EC" w:rsidRDefault="00054236" w:rsidP="00550BB9">
      <w:pPr>
        <w:pStyle w:val="FootnoteText"/>
        <w:rPr>
          <w:color w:val="auto"/>
        </w:rPr>
      </w:pPr>
    </w:p>
  </w:footnote>
  <w:footnote w:id="94">
    <w:p w14:paraId="5D0583A7" w14:textId="77777777" w:rsidR="00054236" w:rsidRDefault="00054236" w:rsidP="009D57B3">
      <w:pPr>
        <w:pStyle w:val="FootnoteText"/>
      </w:pPr>
      <w:r w:rsidRPr="00FC4F55">
        <w:rPr>
          <w:rStyle w:val="FootnoteReference"/>
        </w:rPr>
        <w:footnoteRef/>
      </w:r>
      <w:r w:rsidRPr="00FC4F55">
        <w:t xml:space="preserve"> </w:t>
      </w:r>
      <w:hyperlink r:id="rId48" w:history="1">
        <w:r w:rsidRPr="00FC4F55">
          <w:rPr>
            <w:rStyle w:val="Hyperlink"/>
          </w:rPr>
          <w:t>https://www.ashfield.gov.uk/planning-building-control/local-plan/</w:t>
        </w:r>
      </w:hyperlink>
    </w:p>
  </w:footnote>
  <w:footnote w:id="95">
    <w:p w14:paraId="03904FB7" w14:textId="77777777" w:rsidR="00054236" w:rsidRPr="00F17538" w:rsidRDefault="00054236" w:rsidP="00AE58B3">
      <w:pPr>
        <w:pStyle w:val="FootnoteText"/>
      </w:pPr>
      <w:r w:rsidRPr="00F17538">
        <w:rPr>
          <w:rStyle w:val="FootnoteReference"/>
          <w:rFonts w:eastAsia="Arial"/>
        </w:rPr>
        <w:footnoteRef/>
      </w:r>
      <w:r w:rsidRPr="00F17538">
        <w:t xml:space="preserve"> Housing which enables older people with longer term health conditions to live independently in self-contained accommodation as an alternative to residential care</w:t>
      </w:r>
      <w:r>
        <w:t>.</w:t>
      </w:r>
    </w:p>
  </w:footnote>
  <w:footnote w:id="96">
    <w:p w14:paraId="524EDDF8" w14:textId="77777777" w:rsidR="00054236" w:rsidRPr="00976BAF" w:rsidRDefault="00054236" w:rsidP="00AE58B3">
      <w:pPr>
        <w:pStyle w:val="FootnoteText"/>
        <w:rPr>
          <w:color w:val="auto"/>
        </w:rPr>
      </w:pPr>
      <w:r w:rsidRPr="00976BAF">
        <w:rPr>
          <w:rStyle w:val="FootnoteReference"/>
          <w:color w:val="auto"/>
        </w:rPr>
        <w:footnoteRef/>
      </w:r>
      <w:r w:rsidRPr="00976BAF">
        <w:rPr>
          <w:color w:val="auto"/>
        </w:rPr>
        <w:t xml:space="preserve"> </w:t>
      </w:r>
      <w:hyperlink r:id="rId49" w:history="1">
        <w:r w:rsidRPr="00976BAF">
          <w:rPr>
            <w:rStyle w:val="Hyperlink"/>
            <w:color w:val="auto"/>
          </w:rPr>
          <w:t>https://www.ashfield.gov.uk/planning-building-control/building-control-regulations/self-build-custom-builds/self-build-custom-monitoring/</w:t>
        </w:r>
      </w:hyperlink>
    </w:p>
    <w:p w14:paraId="36A65FAA" w14:textId="77777777" w:rsidR="00054236" w:rsidRPr="00976BAF" w:rsidRDefault="00054236" w:rsidP="00AE58B3">
      <w:pPr>
        <w:pStyle w:val="FootnoteText"/>
        <w:rPr>
          <w:color w:val="auto"/>
        </w:rPr>
      </w:pPr>
    </w:p>
    <w:p w14:paraId="27B0DE2B" w14:textId="77777777" w:rsidR="00054236" w:rsidRDefault="00054236" w:rsidP="00AE58B3">
      <w:pPr>
        <w:pStyle w:val="FootnoteText"/>
      </w:pPr>
    </w:p>
  </w:footnote>
  <w:footnote w:id="97">
    <w:p w14:paraId="52455588" w14:textId="77777777" w:rsidR="00054236" w:rsidRDefault="00054236" w:rsidP="00A81706">
      <w:pPr>
        <w:pStyle w:val="FootnoteText"/>
      </w:pPr>
      <w:r>
        <w:rPr>
          <w:rStyle w:val="FootnoteReference"/>
        </w:rPr>
        <w:footnoteRef/>
      </w:r>
      <w:r>
        <w:t xml:space="preserve"> See Policy EV1 Green Belt, EV2 Countryside and Appendix 5 </w:t>
      </w:r>
      <w:r w:rsidRPr="00CE5593">
        <w:t>Agricultural, Forestry and Other Occupational Dwellings</w:t>
      </w:r>
      <w:r>
        <w:t>.</w:t>
      </w:r>
    </w:p>
  </w:footnote>
  <w:footnote w:id="98">
    <w:p w14:paraId="48E7232B" w14:textId="3847B0A0" w:rsidR="00054236" w:rsidRDefault="00054236" w:rsidP="00A56503">
      <w:pPr>
        <w:pStyle w:val="FootnoteText"/>
      </w:pPr>
      <w:r>
        <w:rPr>
          <w:rStyle w:val="FootnoteReference"/>
        </w:rPr>
        <w:footnoteRef/>
      </w:r>
      <w:r>
        <w:t xml:space="preserve"> Hucknall Town Centre </w:t>
      </w:r>
      <w:r w:rsidR="00345E2F">
        <w:t xml:space="preserve">Spatial </w:t>
      </w:r>
      <w:r>
        <w:t>Masterplan</w:t>
      </w:r>
      <w:r w:rsidR="00345E2F">
        <w:t>, 2022. Ashfield District Council.</w:t>
      </w:r>
    </w:p>
  </w:footnote>
  <w:footnote w:id="99">
    <w:p w14:paraId="663D1471" w14:textId="77777777" w:rsidR="00054236" w:rsidRDefault="00054236" w:rsidP="00A56503">
      <w:pPr>
        <w:pStyle w:val="FootnoteText"/>
      </w:pPr>
      <w:r>
        <w:rPr>
          <w:rStyle w:val="FootnoteReference"/>
        </w:rPr>
        <w:footnoteRef/>
      </w:r>
      <w:r>
        <w:t xml:space="preserve"> Sutton Town Centre Spatial Masterplan, March 2019. Ashfield District Council.</w:t>
      </w:r>
    </w:p>
  </w:footnote>
  <w:footnote w:id="100">
    <w:p w14:paraId="50461B80" w14:textId="77777777" w:rsidR="00054236" w:rsidRDefault="00054236" w:rsidP="00A56503">
      <w:pPr>
        <w:pStyle w:val="FootnoteText"/>
      </w:pPr>
      <w:r>
        <w:rPr>
          <w:rStyle w:val="FootnoteReference"/>
        </w:rPr>
        <w:footnoteRef/>
      </w:r>
      <w:r>
        <w:t xml:space="preserve"> Kirkby-in-Ashfield Spatial Masterplan, 2021.  Ashfield District Council.</w:t>
      </w:r>
    </w:p>
  </w:footnote>
  <w:footnote w:id="101">
    <w:p w14:paraId="46A71E10" w14:textId="16FF88ED" w:rsidR="00054236" w:rsidRPr="00E81814" w:rsidRDefault="00054236" w:rsidP="00E81814">
      <w:pPr>
        <w:pStyle w:val="FootnoteText"/>
      </w:pPr>
      <w:r>
        <w:rPr>
          <w:rStyle w:val="FootnoteReference"/>
        </w:rPr>
        <w:footnoteRef/>
      </w:r>
      <w:r>
        <w:t xml:space="preserve"> </w:t>
      </w:r>
      <w:r w:rsidRPr="00E81814">
        <w:t>The Town and Country Planning (General Permitted Development etc.) (England) (Amendment) Order 2021.</w:t>
      </w:r>
    </w:p>
  </w:footnote>
  <w:footnote w:id="102">
    <w:p w14:paraId="6C8A4AFC" w14:textId="324F47C5" w:rsidR="00054236" w:rsidRDefault="00054236" w:rsidP="00A56503">
      <w:pPr>
        <w:pStyle w:val="FootnoteText"/>
      </w:pPr>
      <w:r>
        <w:rPr>
          <w:rStyle w:val="FootnoteReference"/>
        </w:rPr>
        <w:footnoteRef/>
      </w:r>
      <w:r>
        <w:t xml:space="preserve"> Guide for Converting Shops to Residential Supplementary Planning Document 2019. Ashfield District Council</w:t>
      </w:r>
    </w:p>
  </w:footnote>
  <w:footnote w:id="103">
    <w:p w14:paraId="52028DFE" w14:textId="6F4D6BF1" w:rsidR="00054236" w:rsidRDefault="00054236" w:rsidP="00E56122">
      <w:pPr>
        <w:pStyle w:val="FootnoteText"/>
      </w:pPr>
      <w:r>
        <w:rPr>
          <w:rStyle w:val="FootnoteReference"/>
        </w:rPr>
        <w:footnoteRef/>
      </w:r>
      <w:r>
        <w:t xml:space="preserve">  </w:t>
      </w:r>
      <w:r w:rsidRPr="00AA6E59">
        <w:t>Nexus Planning (20</w:t>
      </w:r>
      <w:r w:rsidR="00F62485">
        <w:t>23</w:t>
      </w:r>
      <w:r w:rsidRPr="00AA6E59">
        <w:t xml:space="preserve">) Ashfield </w:t>
      </w:r>
      <w:r w:rsidR="00F62485">
        <w:t>Town Centre / Local Centre</w:t>
      </w:r>
      <w:r w:rsidRPr="00AA6E59">
        <w:t xml:space="preserve"> Study</w:t>
      </w:r>
    </w:p>
  </w:footnote>
  <w:footnote w:id="104">
    <w:p w14:paraId="470E1C4B" w14:textId="77777777" w:rsidR="00054236" w:rsidRDefault="00054236" w:rsidP="00E56122">
      <w:pPr>
        <w:pStyle w:val="FootnoteText"/>
      </w:pPr>
      <w:r>
        <w:rPr>
          <w:rStyle w:val="FootnoteReference"/>
        </w:rPr>
        <w:footnoteRef/>
      </w:r>
      <w:r>
        <w:t xml:space="preserve"> </w:t>
      </w:r>
      <w:r w:rsidRPr="001D32FF">
        <w:t>Guide for Converting Shops to Residential Supplementary Planning Document 2019</w:t>
      </w:r>
      <w:r>
        <w:t>.</w:t>
      </w:r>
      <w:r w:rsidRPr="001D32FF">
        <w:t xml:space="preserve"> Ashfield District Council</w:t>
      </w:r>
    </w:p>
  </w:footnote>
  <w:footnote w:id="105">
    <w:p w14:paraId="05E7D924" w14:textId="307025A3" w:rsidR="00054236" w:rsidRDefault="00054236" w:rsidP="006E10D4">
      <w:pPr>
        <w:pStyle w:val="FootnoteText"/>
      </w:pPr>
      <w:r>
        <w:rPr>
          <w:rStyle w:val="FootnoteReference"/>
        </w:rPr>
        <w:footnoteRef/>
      </w:r>
      <w:r>
        <w:t xml:space="preserve"> </w:t>
      </w:r>
      <w:r w:rsidRPr="00A30BEB">
        <w:t>Community Infrastructure Regulations 2010 (as amended).  Paragraph 122</w:t>
      </w:r>
      <w:r>
        <w:t xml:space="preserve"> &amp; National Planning Policy Framework 2021, para. 57</w:t>
      </w:r>
    </w:p>
  </w:footnote>
  <w:footnote w:id="106">
    <w:p w14:paraId="124D0600" w14:textId="1DF7C79B" w:rsidR="00054236" w:rsidRDefault="00054236">
      <w:pPr>
        <w:pStyle w:val="FootnoteText"/>
      </w:pPr>
      <w:r>
        <w:rPr>
          <w:rStyle w:val="FootnoteReference"/>
        </w:rPr>
        <w:footnoteRef/>
      </w:r>
      <w:r>
        <w:t xml:space="preserve"> </w:t>
      </w:r>
      <w:r w:rsidRPr="007F5D56">
        <w:t>The Town and Country Planning (General Permitted Development) (England) Order 2015</w:t>
      </w:r>
      <w:r>
        <w:t>, as amended.</w:t>
      </w:r>
    </w:p>
  </w:footnote>
  <w:footnote w:id="107">
    <w:p w14:paraId="17165F04" w14:textId="77777777" w:rsidR="00054236" w:rsidRDefault="00054236" w:rsidP="00B22DC9">
      <w:r>
        <w:rPr>
          <w:rStyle w:val="FootnoteReference"/>
        </w:rPr>
        <w:footnoteRef/>
      </w:r>
      <w:r>
        <w:t xml:space="preserve"> </w:t>
      </w:r>
      <w:r w:rsidRPr="00C23319">
        <w:rPr>
          <w:sz w:val="20"/>
        </w:rPr>
        <w:t>Nottinghamshire County Council (2011) Nottinghamshire Local Transport Plan Strategy 2011/12 – 2025/26</w:t>
      </w:r>
      <w:r>
        <w:rPr>
          <w:sz w:val="20"/>
        </w:rPr>
        <w:t>.</w:t>
      </w:r>
    </w:p>
  </w:footnote>
  <w:footnote w:id="108">
    <w:p w14:paraId="5047DBEB" w14:textId="77777777" w:rsidR="00054236" w:rsidRDefault="00054236" w:rsidP="00B22DC9">
      <w:r>
        <w:rPr>
          <w:rStyle w:val="FootnoteReference"/>
        </w:rPr>
        <w:footnoteRef/>
      </w:r>
      <w:r>
        <w:t xml:space="preserve"> </w:t>
      </w:r>
      <w:r w:rsidRPr="00C23319">
        <w:rPr>
          <w:sz w:val="20"/>
        </w:rPr>
        <w:t>Nottinghamshire County Council (2006) Cycling Design Guide</w:t>
      </w:r>
      <w:r>
        <w:rPr>
          <w:sz w:val="20"/>
        </w:rPr>
        <w:t>.</w:t>
      </w:r>
    </w:p>
  </w:footnote>
  <w:footnote w:id="109">
    <w:p w14:paraId="6FCC9A70" w14:textId="77777777" w:rsidR="00054236" w:rsidRDefault="00054236" w:rsidP="00B22DC9">
      <w:pPr>
        <w:pStyle w:val="FootnoteText"/>
      </w:pPr>
      <w:r>
        <w:rPr>
          <w:rStyle w:val="FootnoteReference"/>
        </w:rPr>
        <w:footnoteRef/>
      </w:r>
      <w:r>
        <w:t xml:space="preserve"> </w:t>
      </w:r>
      <w:r w:rsidRPr="004E2887">
        <w:t>At the time of publication, the Nottinghamshire Highway Design Guide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409D71" w14:textId="793FE4AA" w:rsidR="00054236" w:rsidRDefault="00054236" w:rsidP="00067202">
    <w:pPr>
      <w:pStyle w:val="Header"/>
      <w:tabs>
        <w:tab w:val="clear" w:pos="8306"/>
        <w:tab w:val="left" w:pos="4320"/>
        <w:tab w:val="left" w:pos="5040"/>
        <w:tab w:val="left" w:pos="5760"/>
        <w:tab w:val="right" w:pos="9639"/>
      </w:tabs>
    </w:pPr>
  </w:p>
  <w:p w14:paraId="4FE4C154" w14:textId="4F555D5B" w:rsidR="00054236" w:rsidRPr="00FD285F" w:rsidRDefault="00054236" w:rsidP="002518C2">
    <w:pPr>
      <w:pStyle w:val="Header"/>
      <w:tabs>
        <w:tab w:val="clear" w:pos="4153"/>
        <w:tab w:val="clear" w:pos="8306"/>
        <w:tab w:val="left" w:pos="5459"/>
      </w:tabs>
    </w:pPr>
  </w:p>
  <w:p w14:paraId="674CF4A8" w14:textId="77777777" w:rsidR="00054236" w:rsidRPr="00FD285F" w:rsidRDefault="00054236" w:rsidP="002518C2">
    <w:pPr>
      <w:pStyle w:val="Header"/>
      <w:jc w:val="right"/>
    </w:pPr>
    <w:r>
      <w:tab/>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349A70" w14:textId="77777777" w:rsidR="00023DC3" w:rsidRDefault="00023DC3" w:rsidP="007A4FE5">
    <w:pPr>
      <w:pStyle w:val="Header"/>
      <w:tabs>
        <w:tab w:val="clear" w:pos="8306"/>
        <w:tab w:val="right" w:pos="9639"/>
      </w:tabs>
    </w:pPr>
    <w:r>
      <w:t>Ashfield Draft Local Plan 2023 - 2040</w:t>
    </w:r>
    <w:r>
      <w:tab/>
    </w:r>
    <w:r>
      <w:tab/>
      <w:t>Chapter 6: Local Housing</w:t>
    </w:r>
  </w:p>
  <w:p w14:paraId="49157DF9" w14:textId="77777777" w:rsidR="00023DC3" w:rsidRPr="00FD285F" w:rsidRDefault="00023DC3" w:rsidP="002518C2">
    <w:pPr>
      <w:pStyle w:val="Header"/>
      <w:tabs>
        <w:tab w:val="clear" w:pos="4153"/>
        <w:tab w:val="clear" w:pos="8306"/>
        <w:tab w:val="left" w:pos="5459"/>
      </w:tabs>
    </w:pPr>
    <w:r>
      <w:rPr>
        <w:noProof/>
      </w:rPr>
      <mc:AlternateContent>
        <mc:Choice Requires="wps">
          <w:drawing>
            <wp:anchor distT="0" distB="0" distL="114300" distR="114300" simplePos="0" relativeHeight="251697664" behindDoc="0" locked="0" layoutInCell="1" allowOverlap="1" wp14:anchorId="715C54C7" wp14:editId="7E2D4D33">
              <wp:simplePos x="0" y="0"/>
              <wp:positionH relativeFrom="column">
                <wp:posOffset>22860</wp:posOffset>
              </wp:positionH>
              <wp:positionV relativeFrom="paragraph">
                <wp:posOffset>68580</wp:posOffset>
              </wp:positionV>
              <wp:extent cx="6179185" cy="635"/>
              <wp:effectExtent l="9525" t="12700" r="12065" b="5715"/>
              <wp:wrapNone/>
              <wp:docPr id="1432360786" name="AutoShape 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9185" cy="635"/>
                      </a:xfrm>
                      <a:prstGeom prst="straightConnector1">
                        <a:avLst/>
                      </a:prstGeom>
                      <a:noFill/>
                      <a:ln w="9525" cap="flat" cmpd="sng">
                        <a:solidFill>
                          <a:srgbClr val="000000"/>
                        </a:solidFill>
                        <a:prstDash val="solid"/>
                        <a:round/>
                        <a:headEnd type="non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16285C3E" id="_x0000_t32" coordsize="21600,21600" o:spt="32" o:oned="t" path="m,l21600,21600e" filled="f">
              <v:path arrowok="t" fillok="f" o:connecttype="none"/>
              <o:lock v:ext="edit" shapetype="t"/>
            </v:shapetype>
            <v:shape id="AutoShape 36" o:spid="_x0000_s1026" type="#_x0000_t32" alt="&quot;&quot;" style="position:absolute;margin-left:1.8pt;margin-top:5.4pt;width:486.55pt;height:.05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"/>
          </w:pict>
        </mc:Fallback>
      </mc:AlternateContent>
    </w:r>
  </w:p>
  <w:p w14:paraId="588E97A4" w14:textId="77777777" w:rsidR="00023DC3" w:rsidRPr="00FD285F" w:rsidRDefault="00023DC3" w:rsidP="002518C2">
    <w:pPr>
      <w:pStyle w:val="Header"/>
      <w:jc w:val="right"/>
    </w:pPr>
    <w:r>
      <w:tab/>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31B678" w14:textId="4363C46F" w:rsidR="00054236" w:rsidRDefault="00054236" w:rsidP="007A4FE5">
    <w:pPr>
      <w:pStyle w:val="Header"/>
      <w:tabs>
        <w:tab w:val="clear" w:pos="8306"/>
        <w:tab w:val="right" w:pos="9639"/>
      </w:tabs>
    </w:pPr>
    <w:r>
      <w:t>Ashfield Draft Local Plan 202</w:t>
    </w:r>
    <w:r w:rsidR="009360B2">
      <w:t>3</w:t>
    </w:r>
    <w:r>
      <w:t xml:space="preserve"> - 20</w:t>
    </w:r>
    <w:r w:rsidR="009360B2">
      <w:t>40</w:t>
    </w:r>
    <w:r>
      <w:tab/>
    </w:r>
    <w:r w:rsidR="008852FB">
      <w:t xml:space="preserve"> </w:t>
    </w:r>
    <w:r w:rsidR="008852FB">
      <w:tab/>
    </w:r>
    <w:r>
      <w:t xml:space="preserve">Chapter </w:t>
    </w:r>
    <w:r w:rsidR="008852FB">
      <w:t>8: Town Centres</w:t>
    </w:r>
  </w:p>
  <w:p w14:paraId="4A320FD5" w14:textId="77777777" w:rsidR="00054236" w:rsidRPr="00FD285F" w:rsidRDefault="00054236" w:rsidP="002518C2">
    <w:pPr>
      <w:pStyle w:val="Header"/>
      <w:tabs>
        <w:tab w:val="clear" w:pos="4153"/>
        <w:tab w:val="clear" w:pos="8306"/>
        <w:tab w:val="left" w:pos="5459"/>
      </w:tabs>
    </w:pPr>
    <w:r>
      <w:rPr>
        <w:noProof/>
      </w:rPr>
      <mc:AlternateContent>
        <mc:Choice Requires="wps">
          <w:drawing>
            <wp:anchor distT="0" distB="0" distL="114300" distR="114300" simplePos="0" relativeHeight="251681280" behindDoc="0" locked="0" layoutInCell="1" allowOverlap="1" wp14:anchorId="04DB2655" wp14:editId="665A458C">
              <wp:simplePos x="0" y="0"/>
              <wp:positionH relativeFrom="column">
                <wp:posOffset>22860</wp:posOffset>
              </wp:positionH>
              <wp:positionV relativeFrom="paragraph">
                <wp:posOffset>68580</wp:posOffset>
              </wp:positionV>
              <wp:extent cx="6179185" cy="635"/>
              <wp:effectExtent l="9525" t="12700" r="12065" b="5715"/>
              <wp:wrapNone/>
              <wp:docPr id="33" name="AutoShape 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9185" cy="635"/>
                      </a:xfrm>
                      <a:prstGeom prst="straightConnector1">
                        <a:avLst/>
                      </a:prstGeom>
                      <a:noFill/>
                      <a:ln w="9525" cap="flat" cmpd="sng">
                        <a:solidFill>
                          <a:srgbClr val="000000"/>
                        </a:solidFill>
                        <a:prstDash val="solid"/>
                        <a:round/>
                        <a:headEnd type="non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17C1AF72" id="_x0000_t32" coordsize="21600,21600" o:spt="32" o:oned="t" path="m,l21600,21600e" filled="f">
              <v:path arrowok="t" fillok="f" o:connecttype="none"/>
              <o:lock v:ext="edit" shapetype="t"/>
            </v:shapetype>
            <v:shape id="AutoShape 36" o:spid="_x0000_s1026" type="#_x0000_t32" alt="&quot;&quot;" style="position:absolute;margin-left:1.8pt;margin-top:5.4pt;width:486.55pt;height:.0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"/>
          </w:pict>
        </mc:Fallback>
      </mc:AlternateContent>
    </w:r>
  </w:p>
  <w:p w14:paraId="7D962A21" w14:textId="77777777" w:rsidR="00054236" w:rsidRPr="00FD285F" w:rsidRDefault="00054236" w:rsidP="002518C2">
    <w:pPr>
      <w:pStyle w:val="Header"/>
      <w:jc w:val="right"/>
    </w:pPr>
    <w:r>
      <w:tab/>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AECE54" w14:textId="26C53A59" w:rsidR="000C34A3" w:rsidRDefault="000C34A3" w:rsidP="007A4FE5">
    <w:pPr>
      <w:pStyle w:val="Header"/>
      <w:tabs>
        <w:tab w:val="clear" w:pos="8306"/>
        <w:tab w:val="right" w:pos="9639"/>
      </w:tabs>
    </w:pPr>
    <w:r>
      <w:t>Ashfield Draft Local Plan 2023 - 2040</w:t>
    </w:r>
    <w:r>
      <w:tab/>
      <w:t xml:space="preserve"> </w:t>
    </w:r>
    <w:r>
      <w:tab/>
      <w:t>Chapter 7:Economy</w:t>
    </w:r>
  </w:p>
  <w:p w14:paraId="752E3EEF" w14:textId="77777777" w:rsidR="000C34A3" w:rsidRPr="00FD285F" w:rsidRDefault="000C34A3" w:rsidP="002518C2">
    <w:pPr>
      <w:pStyle w:val="Header"/>
      <w:tabs>
        <w:tab w:val="clear" w:pos="4153"/>
        <w:tab w:val="clear" w:pos="8306"/>
        <w:tab w:val="left" w:pos="5459"/>
      </w:tabs>
    </w:pPr>
    <w:r>
      <w:rPr>
        <w:noProof/>
      </w:rPr>
      <mc:AlternateContent>
        <mc:Choice Requires="wps">
          <w:drawing>
            <wp:anchor distT="0" distB="0" distL="114300" distR="114300" simplePos="0" relativeHeight="251693568" behindDoc="0" locked="0" layoutInCell="1" allowOverlap="1" wp14:anchorId="20C50639" wp14:editId="22310EE5">
              <wp:simplePos x="0" y="0"/>
              <wp:positionH relativeFrom="column">
                <wp:posOffset>-29683</wp:posOffset>
              </wp:positionH>
              <wp:positionV relativeFrom="paragraph">
                <wp:posOffset>68580</wp:posOffset>
              </wp:positionV>
              <wp:extent cx="6179185" cy="635"/>
              <wp:effectExtent l="0" t="0" r="31115" b="37465"/>
              <wp:wrapNone/>
              <wp:docPr id="1141902328" name="AutoShape 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9185" cy="635"/>
                      </a:xfrm>
                      <a:prstGeom prst="straightConnector1">
                        <a:avLst/>
                      </a:prstGeom>
                      <a:noFill/>
                      <a:ln w="9525" cap="flat" cmpd="sng">
                        <a:solidFill>
                          <a:srgbClr val="000000"/>
                        </a:solidFill>
                        <a:prstDash val="solid"/>
                        <a:round/>
                        <a:headEnd type="non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3FC780C8" id="_x0000_t32" coordsize="21600,21600" o:spt="32" o:oned="t" path="m,l21600,21600e" filled="f">
              <v:path arrowok="t" fillok="f" o:connecttype="none"/>
              <o:lock v:ext="edit" shapetype="t"/>
            </v:shapetype>
            <v:shape id="AutoShape 36" o:spid="_x0000_s1026" type="#_x0000_t32" alt="&quot;&quot;" style="position:absolute;margin-left:-2.35pt;margin-top:5.4pt;width:486.55pt;height:.0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"/>
          </w:pict>
        </mc:Fallback>
      </mc:AlternateContent>
    </w:r>
  </w:p>
  <w:p w14:paraId="0A314F8A" w14:textId="77777777" w:rsidR="000C34A3" w:rsidRPr="00FD285F" w:rsidRDefault="000C34A3" w:rsidP="002518C2">
    <w:pPr>
      <w:pStyle w:val="Header"/>
      <w:jc w:val="right"/>
    </w:pPr>
    <w:r>
      <w:tab/>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091A49" w14:textId="02FBB47F" w:rsidR="000C34A3" w:rsidRDefault="000C34A3" w:rsidP="007A4FE5">
    <w:pPr>
      <w:pStyle w:val="Header"/>
      <w:tabs>
        <w:tab w:val="clear" w:pos="8306"/>
        <w:tab w:val="right" w:pos="9639"/>
      </w:tabs>
    </w:pPr>
    <w:r>
      <w:t>Ashfield Draft Local Plan 2023 - 2040</w:t>
    </w:r>
    <w:r>
      <w:tab/>
      <w:t xml:space="preserve"> </w:t>
    </w:r>
    <w:r>
      <w:tab/>
      <w:t>Chapter 8: Town Centres</w:t>
    </w:r>
  </w:p>
  <w:p w14:paraId="1C425CA8" w14:textId="77777777" w:rsidR="000C34A3" w:rsidRPr="00FD285F" w:rsidRDefault="000C34A3" w:rsidP="002518C2">
    <w:pPr>
      <w:pStyle w:val="Header"/>
      <w:tabs>
        <w:tab w:val="clear" w:pos="4153"/>
        <w:tab w:val="clear" w:pos="8306"/>
        <w:tab w:val="left" w:pos="5459"/>
      </w:tabs>
    </w:pPr>
    <w:r>
      <w:rPr>
        <w:noProof/>
      </w:rPr>
      <mc:AlternateContent>
        <mc:Choice Requires="wps">
          <w:drawing>
            <wp:anchor distT="0" distB="0" distL="114300" distR="114300" simplePos="0" relativeHeight="251695616" behindDoc="0" locked="0" layoutInCell="1" allowOverlap="1" wp14:anchorId="699BE3B9" wp14:editId="1C7C2493">
              <wp:simplePos x="0" y="0"/>
              <wp:positionH relativeFrom="column">
                <wp:posOffset>22860</wp:posOffset>
              </wp:positionH>
              <wp:positionV relativeFrom="paragraph">
                <wp:posOffset>68580</wp:posOffset>
              </wp:positionV>
              <wp:extent cx="6179185" cy="635"/>
              <wp:effectExtent l="9525" t="12700" r="12065" b="5715"/>
              <wp:wrapNone/>
              <wp:docPr id="189292997" name="AutoShape 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9185" cy="635"/>
                      </a:xfrm>
                      <a:prstGeom prst="straightConnector1">
                        <a:avLst/>
                      </a:prstGeom>
                      <a:noFill/>
                      <a:ln w="9525" cap="flat" cmpd="sng">
                        <a:solidFill>
                          <a:srgbClr val="000000"/>
                        </a:solidFill>
                        <a:prstDash val="solid"/>
                        <a:round/>
                        <a:headEnd type="non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41063F61" id="_x0000_t32" coordsize="21600,21600" o:spt="32" o:oned="t" path="m,l21600,21600e" filled="f">
              <v:path arrowok="t" fillok="f" o:connecttype="none"/>
              <o:lock v:ext="edit" shapetype="t"/>
            </v:shapetype>
            <v:shape id="AutoShape 36" o:spid="_x0000_s1026" type="#_x0000_t32" alt="&quot;&quot;" style="position:absolute;margin-left:1.8pt;margin-top:5.4pt;width:486.55pt;height:.05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"/>
          </w:pict>
        </mc:Fallback>
      </mc:AlternateContent>
    </w:r>
  </w:p>
  <w:p w14:paraId="38E94F81" w14:textId="77777777" w:rsidR="000C34A3" w:rsidRPr="00FD285F" w:rsidRDefault="000C34A3" w:rsidP="002518C2">
    <w:pPr>
      <w:pStyle w:val="Header"/>
      <w:jc w:val="right"/>
    </w:pPr>
    <w:r>
      <w:tab/>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566EFF" w14:textId="77777777" w:rsidR="008852FB" w:rsidRDefault="008852FB" w:rsidP="007A4FE5">
    <w:pPr>
      <w:pStyle w:val="Header"/>
      <w:tabs>
        <w:tab w:val="clear" w:pos="8306"/>
        <w:tab w:val="right" w:pos="9639"/>
      </w:tabs>
    </w:pPr>
    <w:r>
      <w:t>Ashfield Draft Local Plan 2023 - 2040</w:t>
    </w:r>
    <w:r>
      <w:tab/>
    </w:r>
    <w:r>
      <w:tab/>
      <w:t>Chapter 9: Design</w:t>
    </w:r>
  </w:p>
  <w:p w14:paraId="08ECFFF6" w14:textId="77777777" w:rsidR="008852FB" w:rsidRPr="00FD285F" w:rsidRDefault="008852FB" w:rsidP="002518C2">
    <w:pPr>
      <w:pStyle w:val="Header"/>
      <w:tabs>
        <w:tab w:val="clear" w:pos="4153"/>
        <w:tab w:val="clear" w:pos="8306"/>
        <w:tab w:val="left" w:pos="5459"/>
      </w:tabs>
    </w:pPr>
    <w:r>
      <w:rPr>
        <w:noProof/>
      </w:rPr>
      <mc:AlternateContent>
        <mc:Choice Requires="wps">
          <w:drawing>
            <wp:anchor distT="0" distB="0" distL="114300" distR="114300" simplePos="0" relativeHeight="251691520" behindDoc="0" locked="0" layoutInCell="1" allowOverlap="1" wp14:anchorId="12CEB82E" wp14:editId="1F7C6A58">
              <wp:simplePos x="0" y="0"/>
              <wp:positionH relativeFrom="column">
                <wp:posOffset>22860</wp:posOffset>
              </wp:positionH>
              <wp:positionV relativeFrom="paragraph">
                <wp:posOffset>68580</wp:posOffset>
              </wp:positionV>
              <wp:extent cx="6179185" cy="635"/>
              <wp:effectExtent l="9525" t="12700" r="12065" b="5715"/>
              <wp:wrapNone/>
              <wp:docPr id="728864080" name="AutoShape 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9185" cy="635"/>
                      </a:xfrm>
                      <a:prstGeom prst="straightConnector1">
                        <a:avLst/>
                      </a:prstGeom>
                      <a:noFill/>
                      <a:ln w="9525" cap="flat" cmpd="sng">
                        <a:solidFill>
                          <a:srgbClr val="000000"/>
                        </a:solidFill>
                        <a:prstDash val="solid"/>
                        <a:round/>
                        <a:headEnd type="non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773E50E2" id="_x0000_t32" coordsize="21600,21600" o:spt="32" o:oned="t" path="m,l21600,21600e" filled="f">
              <v:path arrowok="t" fillok="f" o:connecttype="none"/>
              <o:lock v:ext="edit" shapetype="t"/>
            </v:shapetype>
            <v:shape id="AutoShape 36" o:spid="_x0000_s1026" type="#_x0000_t32" alt="&quot;&quot;" style="position:absolute;margin-left:1.8pt;margin-top:5.4pt;width:486.55pt;height:.0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"/>
          </w:pict>
        </mc:Fallback>
      </mc:AlternateContent>
    </w:r>
  </w:p>
  <w:p w14:paraId="0724333F" w14:textId="77777777" w:rsidR="008852FB" w:rsidRPr="00FD285F" w:rsidRDefault="008852FB" w:rsidP="002518C2">
    <w:pPr>
      <w:pStyle w:val="Header"/>
      <w:jc w:val="right"/>
    </w:pPr>
    <w:r>
      <w:tab/>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BA257A" w14:textId="7EDBEBE9" w:rsidR="00054236" w:rsidRDefault="00054236" w:rsidP="007A4FE5">
    <w:pPr>
      <w:pStyle w:val="Header"/>
      <w:tabs>
        <w:tab w:val="clear" w:pos="8306"/>
        <w:tab w:val="right" w:pos="9639"/>
      </w:tabs>
    </w:pPr>
    <w:r>
      <w:t>Ashfield Draft Local Plan 202</w:t>
    </w:r>
    <w:r w:rsidR="00D333EC">
      <w:t>3</w:t>
    </w:r>
    <w:r>
      <w:t xml:space="preserve"> - 20</w:t>
    </w:r>
    <w:r w:rsidR="00D333EC">
      <w:t>40</w:t>
    </w:r>
    <w:r>
      <w:tab/>
    </w:r>
    <w:r>
      <w:tab/>
      <w:t>Appendices</w:t>
    </w:r>
  </w:p>
  <w:p w14:paraId="35D5755D" w14:textId="10740861" w:rsidR="00054236" w:rsidRPr="00FD285F" w:rsidRDefault="00054236" w:rsidP="003768E4">
    <w:pPr>
      <w:pStyle w:val="Header"/>
      <w:tabs>
        <w:tab w:val="clear" w:pos="4153"/>
        <w:tab w:val="clear" w:pos="8306"/>
        <w:tab w:val="left" w:pos="5459"/>
      </w:tabs>
    </w:pPr>
    <w:r>
      <w:rPr>
        <w:noProof/>
      </w:rPr>
      <mc:AlternateContent>
        <mc:Choice Requires="wps">
          <w:drawing>
            <wp:anchor distT="0" distB="0" distL="114300" distR="114300" simplePos="0" relativeHeight="251683328" behindDoc="0" locked="0" layoutInCell="1" allowOverlap="1" wp14:anchorId="5904412F" wp14:editId="13457E18">
              <wp:simplePos x="0" y="0"/>
              <wp:positionH relativeFrom="column">
                <wp:posOffset>22860</wp:posOffset>
              </wp:positionH>
              <wp:positionV relativeFrom="paragraph">
                <wp:posOffset>68580</wp:posOffset>
              </wp:positionV>
              <wp:extent cx="6179185" cy="635"/>
              <wp:effectExtent l="9525" t="12700" r="12065" b="5715"/>
              <wp:wrapNone/>
              <wp:docPr id="34" name="AutoShape 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9185" cy="635"/>
                      </a:xfrm>
                      <a:prstGeom prst="straightConnector1">
                        <a:avLst/>
                      </a:prstGeom>
                      <a:noFill/>
                      <a:ln w="9525" cap="flat" cmpd="sng">
                        <a:solidFill>
                          <a:srgbClr val="000000"/>
                        </a:solidFill>
                        <a:prstDash val="solid"/>
                        <a:round/>
                        <a:headEnd type="non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245A7342" id="_x0000_t32" coordsize="21600,21600" o:spt="32" o:oned="t" path="m,l21600,21600e" filled="f">
              <v:path arrowok="t" fillok="f" o:connecttype="none"/>
              <o:lock v:ext="edit" shapetype="t"/>
            </v:shapetype>
            <v:shape id="AutoShape 36" o:spid="_x0000_s1026" type="#_x0000_t32" alt="&quot;&quot;" style="position:absolute;margin-left:1.8pt;margin-top:5.4pt;width:486.55pt;height:.0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"/>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6E8C0F" w14:textId="60839C07" w:rsidR="006474B6" w:rsidRDefault="006474B6" w:rsidP="007A4FE5">
    <w:pPr>
      <w:pStyle w:val="Header"/>
      <w:tabs>
        <w:tab w:val="clear" w:pos="8306"/>
        <w:tab w:val="right" w:pos="9639"/>
      </w:tabs>
    </w:pPr>
    <w:r>
      <w:t>Ashfield Draft Local Plan 2023 - 2040</w:t>
    </w:r>
    <w:r>
      <w:tab/>
    </w:r>
    <w:r>
      <w:tab/>
    </w:r>
    <w:r>
      <w:tab/>
    </w:r>
    <w:r>
      <w:tab/>
    </w:r>
    <w:r>
      <w:tab/>
    </w:r>
    <w:r>
      <w:tab/>
    </w:r>
    <w:r>
      <w:tab/>
    </w:r>
    <w:r>
      <w:tab/>
    </w:r>
    <w:r>
      <w:tab/>
    </w:r>
    <w:r>
      <w:tab/>
    </w:r>
    <w:r>
      <w:tab/>
    </w:r>
    <w:r>
      <w:tab/>
    </w:r>
    <w:r>
      <w:tab/>
    </w:r>
    <w:r>
      <w:tab/>
    </w:r>
    <w:r>
      <w:tab/>
    </w:r>
    <w:r>
      <w:tab/>
    </w:r>
    <w:r>
      <w:tab/>
      <w:t>Appendices</w:t>
    </w:r>
  </w:p>
  <w:p w14:paraId="6BFFE69A" w14:textId="77777777" w:rsidR="006474B6" w:rsidRPr="00FD285F" w:rsidRDefault="006474B6" w:rsidP="003768E4">
    <w:pPr>
      <w:pStyle w:val="Header"/>
      <w:tabs>
        <w:tab w:val="clear" w:pos="4153"/>
        <w:tab w:val="clear" w:pos="8306"/>
        <w:tab w:val="left" w:pos="5459"/>
      </w:tabs>
    </w:pPr>
    <w:r>
      <w:rPr>
        <w:noProof/>
      </w:rPr>
      <mc:AlternateContent>
        <mc:Choice Requires="wps">
          <w:drawing>
            <wp:anchor distT="0" distB="0" distL="114300" distR="114300" simplePos="0" relativeHeight="251703808" behindDoc="0" locked="0" layoutInCell="1" allowOverlap="1" wp14:anchorId="533E82E7" wp14:editId="3D110B04">
              <wp:simplePos x="0" y="0"/>
              <wp:positionH relativeFrom="column">
                <wp:posOffset>25004</wp:posOffset>
              </wp:positionH>
              <wp:positionV relativeFrom="paragraph">
                <wp:posOffset>71046</wp:posOffset>
              </wp:positionV>
              <wp:extent cx="13563971" cy="45719"/>
              <wp:effectExtent l="0" t="0" r="19050" b="31115"/>
              <wp:wrapNone/>
              <wp:docPr id="1912579988" name="AutoShape 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563971" cy="45719"/>
                      </a:xfrm>
                      <a:prstGeom prst="straightConnector1">
                        <a:avLst/>
                      </a:prstGeom>
                      <a:noFill/>
                      <a:ln w="9525" cap="flat" cmpd="sng">
                        <a:solidFill>
                          <a:srgbClr val="000000"/>
                        </a:solidFill>
                        <a:prstDash val="solid"/>
                        <a:round/>
                        <a:headEnd type="non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189AFD75" id="_x0000_t32" coordsize="21600,21600" o:spt="32" o:oned="t" path="m,l21600,21600e" filled="f">
              <v:path arrowok="t" fillok="f" o:connecttype="none"/>
              <o:lock v:ext="edit" shapetype="t"/>
            </v:shapetype>
            <v:shape id="AutoShape 36" o:spid="_x0000_s1026" type="#_x0000_t32" alt="&quot;&quot;" style="position:absolute;margin-left:1.95pt;margin-top:5.6pt;width:1068.05pt;height:3.6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"/>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9900B4" w14:textId="3F6FA1C8" w:rsidR="009B2215" w:rsidRDefault="009B2215" w:rsidP="007A4FE5">
    <w:pPr>
      <w:pStyle w:val="Header"/>
      <w:tabs>
        <w:tab w:val="clear" w:pos="8306"/>
        <w:tab w:val="right" w:pos="9639"/>
      </w:tabs>
    </w:pPr>
    <w:r>
      <w:t>Ashfield Draft Local Plan 2023 - 2040</w:t>
    </w:r>
    <w:r>
      <w:tab/>
    </w:r>
    <w:r>
      <w:tab/>
      <w:t>Appendices</w:t>
    </w:r>
  </w:p>
  <w:p w14:paraId="41BCA333" w14:textId="3F6FA1C8" w:rsidR="009B2215" w:rsidRPr="00FD285F" w:rsidRDefault="009B2215" w:rsidP="003768E4">
    <w:pPr>
      <w:pStyle w:val="Header"/>
      <w:tabs>
        <w:tab w:val="clear" w:pos="4153"/>
        <w:tab w:val="clear" w:pos="8306"/>
        <w:tab w:val="left" w:pos="5459"/>
      </w:tabs>
    </w:pPr>
    <w:r>
      <w:rPr>
        <w:noProof/>
      </w:rPr>
      <mc:AlternateContent>
        <mc:Choice Requires="wps">
          <w:drawing>
            <wp:anchor distT="0" distB="0" distL="114300" distR="114300" simplePos="0" relativeHeight="251689472" behindDoc="0" locked="0" layoutInCell="1" allowOverlap="1" wp14:anchorId="7CCDC300" wp14:editId="7CBED148">
              <wp:simplePos x="0" y="0"/>
              <wp:positionH relativeFrom="column">
                <wp:posOffset>22860</wp:posOffset>
              </wp:positionH>
              <wp:positionV relativeFrom="paragraph">
                <wp:posOffset>68580</wp:posOffset>
              </wp:positionV>
              <wp:extent cx="6179185" cy="635"/>
              <wp:effectExtent l="9525" t="12700" r="12065" b="5715"/>
              <wp:wrapNone/>
              <wp:docPr id="1571914512" name="AutoShape 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9185" cy="635"/>
                      </a:xfrm>
                      <a:prstGeom prst="straightConnector1">
                        <a:avLst/>
                      </a:prstGeom>
                      <a:noFill/>
                      <a:ln w="9525" cap="flat" cmpd="sng">
                        <a:solidFill>
                          <a:srgbClr val="000000"/>
                        </a:solidFill>
                        <a:prstDash val="solid"/>
                        <a:round/>
                        <a:headEnd type="non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402B470F" id="_x0000_t32" coordsize="21600,21600" o:spt="32" o:oned="t" path="m,l21600,21600e" filled="f">
              <v:path arrowok="t" fillok="f" o:connecttype="none"/>
              <o:lock v:ext="edit" shapetype="t"/>
            </v:shapetype>
            <v:shape id="AutoShape 36" o:spid="_x0000_s1026" type="#_x0000_t32" alt="&quot;&quot;" style="position:absolute;margin-left:1.8pt;margin-top:5.4pt;width:486.55pt;height:.0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"/>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0B698B" w14:textId="77777777" w:rsidR="00054236" w:rsidRPr="001356B6" w:rsidRDefault="00054236" w:rsidP="001356B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653C26" w14:textId="5E8E6919" w:rsidR="00054236" w:rsidRPr="00FD285F" w:rsidRDefault="00054236" w:rsidP="002518C2">
    <w:pPr>
      <w:pStyle w:val="Header"/>
      <w:tabs>
        <w:tab w:val="clear" w:pos="4153"/>
        <w:tab w:val="clear" w:pos="8306"/>
        <w:tab w:val="left" w:pos="5459"/>
      </w:tabs>
    </w:pPr>
  </w:p>
  <w:p w14:paraId="60C1710B" w14:textId="77777777" w:rsidR="00054236" w:rsidRPr="00FD285F" w:rsidRDefault="00054236" w:rsidP="002518C2">
    <w:pPr>
      <w:pStyle w:val="Header"/>
      <w:jc w:val="right"/>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48B33E" w14:textId="77777777" w:rsidR="004024F3" w:rsidRDefault="004024F3" w:rsidP="00067202">
    <w:pPr>
      <w:pStyle w:val="Header"/>
      <w:tabs>
        <w:tab w:val="clear" w:pos="8306"/>
        <w:tab w:val="left" w:pos="4320"/>
        <w:tab w:val="left" w:pos="5040"/>
        <w:tab w:val="left" w:pos="5760"/>
        <w:tab w:val="right" w:pos="9639"/>
      </w:tabs>
    </w:pPr>
    <w:r>
      <w:t xml:space="preserve">Ashfield Draft Local Plan 2023 - 2040 </w:t>
    </w:r>
  </w:p>
  <w:p w14:paraId="5E1145F6" w14:textId="77777777" w:rsidR="004024F3" w:rsidRPr="00FD285F" w:rsidRDefault="004024F3" w:rsidP="002518C2">
    <w:pPr>
      <w:pStyle w:val="Header"/>
      <w:tabs>
        <w:tab w:val="clear" w:pos="4153"/>
        <w:tab w:val="clear" w:pos="8306"/>
        <w:tab w:val="left" w:pos="5459"/>
      </w:tabs>
    </w:pPr>
    <w:r>
      <w:rPr>
        <w:noProof/>
      </w:rPr>
      <mc:AlternateContent>
        <mc:Choice Requires="wps">
          <w:drawing>
            <wp:anchor distT="0" distB="0" distL="114300" distR="114300" simplePos="0" relativeHeight="251710976" behindDoc="0" locked="0" layoutInCell="1" allowOverlap="1" wp14:anchorId="7560D8D1" wp14:editId="1F6AC82F">
              <wp:simplePos x="0" y="0"/>
              <wp:positionH relativeFrom="column">
                <wp:posOffset>22860</wp:posOffset>
              </wp:positionH>
              <wp:positionV relativeFrom="paragraph">
                <wp:posOffset>68580</wp:posOffset>
              </wp:positionV>
              <wp:extent cx="6179185" cy="635"/>
              <wp:effectExtent l="9525" t="12700" r="12065" b="5715"/>
              <wp:wrapNone/>
              <wp:docPr id="1036727699" name="AutoShape 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9185" cy="635"/>
                      </a:xfrm>
                      <a:prstGeom prst="straightConnector1">
                        <a:avLst/>
                      </a:prstGeom>
                      <a:noFill/>
                      <a:ln w="9525" cap="flat" cmpd="sng">
                        <a:solidFill>
                          <a:srgbClr val="000000"/>
                        </a:solidFill>
                        <a:prstDash val="solid"/>
                        <a:round/>
                        <a:headEnd type="non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1A46BB01" id="_x0000_t32" coordsize="21600,21600" o:spt="32" o:oned="t" path="m,l21600,21600e" filled="f">
              <v:path arrowok="t" fillok="f" o:connecttype="none"/>
              <o:lock v:ext="edit" shapetype="t"/>
            </v:shapetype>
            <v:shape id="AutoShape 36" o:spid="_x0000_s1026" type="#_x0000_t32" alt="&quot;&quot;" style="position:absolute;margin-left:1.8pt;margin-top:5.4pt;width:486.55pt;height:.05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"/>
          </w:pict>
        </mc:Fallback>
      </mc:AlternateContent>
    </w:r>
  </w:p>
  <w:p w14:paraId="57B5D2B2" w14:textId="77777777" w:rsidR="004024F3" w:rsidRPr="00FD285F" w:rsidRDefault="004024F3" w:rsidP="002518C2">
    <w:pPr>
      <w:pStyle w:val="Header"/>
      <w:jc w:val="right"/>
    </w:pPr>
    <w: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B7BBA3" w14:textId="2A0F87BD" w:rsidR="00054236" w:rsidRPr="00FD285F" w:rsidRDefault="00054236" w:rsidP="003943F3">
    <w:pPr>
      <w:pStyle w:val="Header"/>
      <w:tabs>
        <w:tab w:val="clear" w:pos="8306"/>
        <w:tab w:val="left" w:pos="4320"/>
        <w:tab w:val="left" w:pos="5040"/>
        <w:tab w:val="left" w:pos="5760"/>
        <w:tab w:val="right" w:pos="9639"/>
      </w:tabs>
    </w:pPr>
    <w:r>
      <w:t>Ashfield Draft Local Plan 202</w:t>
    </w:r>
    <w:r w:rsidR="00891456">
      <w:t>3</w:t>
    </w:r>
    <w:r>
      <w:t xml:space="preserve"> - 20</w:t>
    </w:r>
    <w:r w:rsidR="00891456">
      <w:t>40</w:t>
    </w:r>
    <w:r>
      <w:t xml:space="preserve"> </w:t>
    </w:r>
    <w:r>
      <w:tab/>
    </w:r>
    <w:r>
      <w:tab/>
    </w:r>
    <w:r>
      <w:tab/>
    </w:r>
    <w:r>
      <w:tab/>
    </w:r>
    <w:r>
      <w:tab/>
    </w:r>
  </w:p>
  <w:p w14:paraId="4EA6232C" w14:textId="30D7212C" w:rsidR="00054236" w:rsidRPr="00FD285F" w:rsidRDefault="004961DA" w:rsidP="002518C2">
    <w:pPr>
      <w:pStyle w:val="Header"/>
      <w:jc w:val="right"/>
    </w:pPr>
    <w:r>
      <w:rPr>
        <w:noProof/>
      </w:rPr>
      <mc:AlternateContent>
        <mc:Choice Requires="wps">
          <w:drawing>
            <wp:anchor distT="0" distB="0" distL="114300" distR="114300" simplePos="0" relativeHeight="251664896" behindDoc="0" locked="0" layoutInCell="1" allowOverlap="1" wp14:anchorId="56A02959" wp14:editId="1151304F">
              <wp:simplePos x="0" y="0"/>
              <wp:positionH relativeFrom="column">
                <wp:posOffset>22860</wp:posOffset>
              </wp:positionH>
              <wp:positionV relativeFrom="paragraph">
                <wp:posOffset>41113</wp:posOffset>
              </wp:positionV>
              <wp:extent cx="6179185" cy="635"/>
              <wp:effectExtent l="0" t="0" r="31115" b="37465"/>
              <wp:wrapNone/>
              <wp:docPr id="14" name="AutoShape 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9185" cy="635"/>
                      </a:xfrm>
                      <a:prstGeom prst="straightConnector1">
                        <a:avLst/>
                      </a:prstGeom>
                      <a:noFill/>
                      <a:ln w="9525" cap="flat" cmpd="sng">
                        <a:solidFill>
                          <a:srgbClr val="000000"/>
                        </a:solidFill>
                        <a:prstDash val="solid"/>
                        <a:round/>
                        <a:headEnd type="non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32E68D6E" id="_x0000_t32" coordsize="21600,21600" o:spt="32" o:oned="t" path="m,l21600,21600e" filled="f">
              <v:path arrowok="t" fillok="f" o:connecttype="none"/>
              <o:lock v:ext="edit" shapetype="t"/>
            </v:shapetype>
            <v:shape id="AutoShape 36" o:spid="_x0000_s1026" type="#_x0000_t32" alt="&quot;&quot;" style="position:absolute;margin-left:1.8pt;margin-top:3.25pt;width:486.55pt;height:.0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"/>
          </w:pict>
        </mc:Fallback>
      </mc:AlternateContent>
    </w:r>
    <w:r w:rsidR="00054236">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D73560" w14:textId="66802DE9" w:rsidR="00054236" w:rsidRDefault="00054236" w:rsidP="007A4FE5">
    <w:pPr>
      <w:pStyle w:val="Header"/>
      <w:tabs>
        <w:tab w:val="clear" w:pos="8306"/>
      </w:tabs>
    </w:pPr>
    <w:r>
      <w:t>Ashfield Draft Local Plan 202</w:t>
    </w:r>
    <w:r w:rsidR="00EB0A16">
      <w:t>3</w:t>
    </w:r>
    <w:r>
      <w:t xml:space="preserve"> </w:t>
    </w:r>
    <w:r w:rsidR="00EB0A16">
      <w:t>–</w:t>
    </w:r>
    <w:r>
      <w:t xml:space="preserve"> 20</w:t>
    </w:r>
    <w:r w:rsidR="00EB0A16">
      <w:t>40</w:t>
    </w:r>
    <w:r>
      <w:t xml:space="preserve"> </w:t>
    </w:r>
    <w:r>
      <w:tab/>
    </w:r>
    <w:r>
      <w:tab/>
    </w:r>
    <w:r>
      <w:tab/>
    </w:r>
    <w:r>
      <w:tab/>
    </w:r>
    <w:r w:rsidR="005A0449">
      <w:t xml:space="preserve">        </w:t>
    </w:r>
    <w:r>
      <w:t>Chapter 1</w:t>
    </w:r>
    <w:r w:rsidR="00891456">
      <w:t>:</w:t>
    </w:r>
    <w:r>
      <w:t xml:space="preserve"> Where are we now?</w:t>
    </w:r>
  </w:p>
  <w:p w14:paraId="5A274BF6" w14:textId="77777777" w:rsidR="00054236" w:rsidRPr="00FD285F" w:rsidRDefault="00054236" w:rsidP="002518C2">
    <w:pPr>
      <w:pStyle w:val="Header"/>
      <w:tabs>
        <w:tab w:val="clear" w:pos="4153"/>
        <w:tab w:val="clear" w:pos="8306"/>
        <w:tab w:val="left" w:pos="5459"/>
      </w:tabs>
    </w:pPr>
    <w:r>
      <w:rPr>
        <w:noProof/>
      </w:rPr>
      <mc:AlternateContent>
        <mc:Choice Requires="wps">
          <w:drawing>
            <wp:anchor distT="0" distB="0" distL="114300" distR="114300" simplePos="0" relativeHeight="251662848" behindDoc="0" locked="0" layoutInCell="1" allowOverlap="1" wp14:anchorId="1E8CB529" wp14:editId="170EA18A">
              <wp:simplePos x="0" y="0"/>
              <wp:positionH relativeFrom="column">
                <wp:posOffset>22860</wp:posOffset>
              </wp:positionH>
              <wp:positionV relativeFrom="paragraph">
                <wp:posOffset>68580</wp:posOffset>
              </wp:positionV>
              <wp:extent cx="6179185" cy="635"/>
              <wp:effectExtent l="9525" t="12700" r="12065" b="5715"/>
              <wp:wrapNone/>
              <wp:docPr id="13" name="AutoShape 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9185" cy="635"/>
                      </a:xfrm>
                      <a:prstGeom prst="straightConnector1">
                        <a:avLst/>
                      </a:prstGeom>
                      <a:noFill/>
                      <a:ln w="9525" cap="flat" cmpd="sng">
                        <a:solidFill>
                          <a:srgbClr val="000000"/>
                        </a:solidFill>
                        <a:prstDash val="solid"/>
                        <a:round/>
                        <a:headEnd type="non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4AEB6B85" id="_x0000_t32" coordsize="21600,21600" o:spt="32" o:oned="t" path="m,l21600,21600e" filled="f">
              <v:path arrowok="t" fillok="f" o:connecttype="none"/>
              <o:lock v:ext="edit" shapetype="t"/>
            </v:shapetype>
            <v:shape id="AutoShape 36" o:spid="_x0000_s1026" type="#_x0000_t32" alt="&quot;&quot;" style="position:absolute;margin-left:1.8pt;margin-top:5.4pt;width:486.55pt;height:.0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"/>
          </w:pict>
        </mc:Fallback>
      </mc:AlternateContent>
    </w:r>
  </w:p>
  <w:p w14:paraId="3099FD07" w14:textId="77777777" w:rsidR="00054236" w:rsidRPr="00FD285F" w:rsidRDefault="00054236" w:rsidP="002518C2">
    <w:pPr>
      <w:pStyle w:val="Header"/>
      <w:jc w:val="right"/>
    </w:pPr>
    <w:r>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AAEF31" w14:textId="79FB9C7C" w:rsidR="00054236" w:rsidRDefault="00054236" w:rsidP="007A4FE5">
    <w:pPr>
      <w:pStyle w:val="Header"/>
      <w:tabs>
        <w:tab w:val="clear" w:pos="8306"/>
        <w:tab w:val="right" w:pos="9639"/>
      </w:tabs>
    </w:pPr>
    <w:r>
      <w:t>Ashfield Draft Local Plan 202</w:t>
    </w:r>
    <w:r w:rsidR="000B65F0">
      <w:t>3</w:t>
    </w:r>
    <w:r>
      <w:t xml:space="preserve"> - 20</w:t>
    </w:r>
    <w:r w:rsidR="000B65F0">
      <w:t>40</w:t>
    </w:r>
    <w:r>
      <w:tab/>
    </w:r>
    <w:r>
      <w:tab/>
      <w:t>Chapter 2</w:t>
    </w:r>
    <w:r w:rsidR="00891456">
      <w:t>:</w:t>
    </w:r>
    <w:r>
      <w:t xml:space="preserve"> Shaping the Future</w:t>
    </w:r>
  </w:p>
  <w:p w14:paraId="5CA73006" w14:textId="77777777" w:rsidR="00054236" w:rsidRPr="00FD285F" w:rsidRDefault="00054236" w:rsidP="002518C2">
    <w:pPr>
      <w:pStyle w:val="Header"/>
      <w:tabs>
        <w:tab w:val="clear" w:pos="4153"/>
        <w:tab w:val="clear" w:pos="8306"/>
        <w:tab w:val="left" w:pos="5459"/>
      </w:tabs>
    </w:pPr>
    <w:r>
      <w:rPr>
        <w:noProof/>
      </w:rPr>
      <mc:AlternateContent>
        <mc:Choice Requires="wps">
          <w:drawing>
            <wp:anchor distT="0" distB="0" distL="114300" distR="114300" simplePos="0" relativeHeight="251660800" behindDoc="0" locked="0" layoutInCell="1" allowOverlap="1" wp14:anchorId="77078412" wp14:editId="7662ABFC">
              <wp:simplePos x="0" y="0"/>
              <wp:positionH relativeFrom="column">
                <wp:posOffset>22860</wp:posOffset>
              </wp:positionH>
              <wp:positionV relativeFrom="paragraph">
                <wp:posOffset>68580</wp:posOffset>
              </wp:positionV>
              <wp:extent cx="6179185" cy="635"/>
              <wp:effectExtent l="9525" t="12700" r="12065" b="5715"/>
              <wp:wrapNone/>
              <wp:docPr id="11" name="AutoShape 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9185" cy="635"/>
                      </a:xfrm>
                      <a:prstGeom prst="straightConnector1">
                        <a:avLst/>
                      </a:prstGeom>
                      <a:noFill/>
                      <a:ln w="9525" cap="flat" cmpd="sng">
                        <a:solidFill>
                          <a:srgbClr val="000000"/>
                        </a:solidFill>
                        <a:prstDash val="solid"/>
                        <a:round/>
                        <a:headEnd type="non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7EB3A629" id="_x0000_t32" coordsize="21600,21600" o:spt="32" o:oned="t" path="m,l21600,21600e" filled="f">
              <v:path arrowok="t" fillok="f" o:connecttype="none"/>
              <o:lock v:ext="edit" shapetype="t"/>
            </v:shapetype>
            <v:shape id="AutoShape 36" o:spid="_x0000_s1026" type="#_x0000_t32" alt="&quot;&quot;" style="position:absolute;margin-left:1.8pt;margin-top:5.4pt;width:486.55pt;height:.0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"/>
          </w:pict>
        </mc:Fallback>
      </mc:AlternateContent>
    </w:r>
  </w:p>
  <w:p w14:paraId="14EA2E86" w14:textId="77777777" w:rsidR="00054236" w:rsidRPr="00FD285F" w:rsidRDefault="00054236" w:rsidP="002518C2">
    <w:pPr>
      <w:pStyle w:val="Header"/>
      <w:jc w:val="right"/>
    </w:pPr>
    <w:r>
      <w:tab/>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26144A" w14:textId="0A0F5EE4" w:rsidR="00054236" w:rsidRDefault="00054236" w:rsidP="007A4FE5">
    <w:pPr>
      <w:pStyle w:val="Header"/>
      <w:tabs>
        <w:tab w:val="clear" w:pos="8306"/>
        <w:tab w:val="right" w:pos="9639"/>
      </w:tabs>
    </w:pPr>
    <w:r>
      <w:t>Ashfield Draft Local Plan 202</w:t>
    </w:r>
    <w:r w:rsidR="00851435">
      <w:t>3</w:t>
    </w:r>
    <w:r>
      <w:t xml:space="preserve"> - 20</w:t>
    </w:r>
    <w:r w:rsidR="00851435">
      <w:t>40</w:t>
    </w:r>
    <w:r>
      <w:tab/>
    </w:r>
    <w:r>
      <w:tab/>
      <w:t xml:space="preserve">Chapter </w:t>
    </w:r>
    <w:r w:rsidR="00145805">
      <w:t>3: Spatial Strategy &amp; Strategic Policies</w:t>
    </w:r>
  </w:p>
  <w:p w14:paraId="29E5133B" w14:textId="77777777" w:rsidR="00054236" w:rsidRPr="00FD285F" w:rsidRDefault="00054236" w:rsidP="002518C2">
    <w:pPr>
      <w:pStyle w:val="Header"/>
      <w:tabs>
        <w:tab w:val="clear" w:pos="4153"/>
        <w:tab w:val="clear" w:pos="8306"/>
        <w:tab w:val="left" w:pos="5459"/>
      </w:tabs>
    </w:pPr>
    <w:r>
      <w:rPr>
        <w:noProof/>
      </w:rPr>
      <mc:AlternateContent>
        <mc:Choice Requires="wps">
          <w:drawing>
            <wp:anchor distT="0" distB="0" distL="114300" distR="114300" simplePos="0" relativeHeight="251675136" behindDoc="0" locked="0" layoutInCell="1" allowOverlap="1" wp14:anchorId="58CBA200" wp14:editId="1712C094">
              <wp:simplePos x="0" y="0"/>
              <wp:positionH relativeFrom="column">
                <wp:posOffset>22860</wp:posOffset>
              </wp:positionH>
              <wp:positionV relativeFrom="paragraph">
                <wp:posOffset>68580</wp:posOffset>
              </wp:positionV>
              <wp:extent cx="6179185" cy="635"/>
              <wp:effectExtent l="9525" t="12700" r="12065" b="5715"/>
              <wp:wrapNone/>
              <wp:docPr id="30" name="AutoShape 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9185" cy="635"/>
                      </a:xfrm>
                      <a:prstGeom prst="straightConnector1">
                        <a:avLst/>
                      </a:prstGeom>
                      <a:noFill/>
                      <a:ln w="9525" cap="flat" cmpd="sng">
                        <a:solidFill>
                          <a:srgbClr val="000000"/>
                        </a:solidFill>
                        <a:prstDash val="solid"/>
                        <a:round/>
                        <a:headEnd type="non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4221D267" id="_x0000_t32" coordsize="21600,21600" o:spt="32" o:oned="t" path="m,l21600,21600e" filled="f">
              <v:path arrowok="t" fillok="f" o:connecttype="none"/>
              <o:lock v:ext="edit" shapetype="t"/>
            </v:shapetype>
            <v:shape id="AutoShape 36" o:spid="_x0000_s1026" type="#_x0000_t32" alt="&quot;&quot;" style="position:absolute;margin-left:1.8pt;margin-top:5.4pt;width:486.55pt;height:.0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"/>
          </w:pict>
        </mc:Fallback>
      </mc:AlternateContent>
    </w:r>
  </w:p>
  <w:p w14:paraId="541F88B0" w14:textId="77777777" w:rsidR="00054236" w:rsidRPr="00FD285F" w:rsidRDefault="00054236" w:rsidP="002518C2">
    <w:pPr>
      <w:pStyle w:val="Header"/>
      <w:jc w:val="right"/>
    </w:pPr>
    <w:r>
      <w:tab/>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2BC0A2" w14:textId="4EFB70FE" w:rsidR="00145805" w:rsidRDefault="00145805" w:rsidP="007A4FE5">
    <w:pPr>
      <w:pStyle w:val="Header"/>
      <w:tabs>
        <w:tab w:val="clear" w:pos="8306"/>
        <w:tab w:val="right" w:pos="9639"/>
      </w:tabs>
    </w:pPr>
    <w:r>
      <w:t>Ashfield Draft Local Plan 2023 - 2040</w:t>
    </w:r>
    <w:r>
      <w:tab/>
    </w:r>
    <w:r>
      <w:tab/>
      <w:t>Chapter 4: Climate Change</w:t>
    </w:r>
  </w:p>
  <w:p w14:paraId="5189DBF8" w14:textId="77777777" w:rsidR="00145805" w:rsidRPr="00FD285F" w:rsidRDefault="00145805" w:rsidP="002518C2">
    <w:pPr>
      <w:pStyle w:val="Header"/>
      <w:tabs>
        <w:tab w:val="clear" w:pos="4153"/>
        <w:tab w:val="clear" w:pos="8306"/>
        <w:tab w:val="left" w:pos="5459"/>
      </w:tabs>
    </w:pPr>
    <w:r>
      <w:rPr>
        <w:noProof/>
      </w:rPr>
      <mc:AlternateContent>
        <mc:Choice Requires="wps">
          <w:drawing>
            <wp:anchor distT="0" distB="0" distL="114300" distR="114300" simplePos="0" relativeHeight="251701760" behindDoc="0" locked="0" layoutInCell="1" allowOverlap="1" wp14:anchorId="1BB395BD" wp14:editId="53842A48">
              <wp:simplePos x="0" y="0"/>
              <wp:positionH relativeFrom="column">
                <wp:posOffset>22860</wp:posOffset>
              </wp:positionH>
              <wp:positionV relativeFrom="paragraph">
                <wp:posOffset>68580</wp:posOffset>
              </wp:positionV>
              <wp:extent cx="6179185" cy="635"/>
              <wp:effectExtent l="9525" t="12700" r="12065" b="5715"/>
              <wp:wrapNone/>
              <wp:docPr id="604477429" name="AutoShape 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9185" cy="635"/>
                      </a:xfrm>
                      <a:prstGeom prst="straightConnector1">
                        <a:avLst/>
                      </a:prstGeom>
                      <a:noFill/>
                      <a:ln w="9525" cap="flat" cmpd="sng">
                        <a:solidFill>
                          <a:srgbClr val="000000"/>
                        </a:solidFill>
                        <a:prstDash val="solid"/>
                        <a:round/>
                        <a:headEnd type="non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35D3B5F9" id="_x0000_t32" coordsize="21600,21600" o:spt="32" o:oned="t" path="m,l21600,21600e" filled="f">
              <v:path arrowok="t" fillok="f" o:connecttype="none"/>
              <o:lock v:ext="edit" shapetype="t"/>
            </v:shapetype>
            <v:shape id="AutoShape 36" o:spid="_x0000_s1026" type="#_x0000_t32" alt="&quot;&quot;" style="position:absolute;margin-left:1.8pt;margin-top:5.4pt;width:486.55pt;height:.05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"/>
          </w:pict>
        </mc:Fallback>
      </mc:AlternateContent>
    </w:r>
  </w:p>
  <w:p w14:paraId="30C8A01F" w14:textId="77777777" w:rsidR="00145805" w:rsidRPr="00FD285F" w:rsidRDefault="00145805" w:rsidP="002518C2">
    <w:pPr>
      <w:pStyle w:val="Header"/>
      <w:jc w:val="right"/>
    </w:pPr>
    <w:r>
      <w:tab/>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7EE66B" w14:textId="5B9EAD6C" w:rsidR="00023DC3" w:rsidRDefault="00023DC3" w:rsidP="007A4FE5">
    <w:pPr>
      <w:pStyle w:val="Header"/>
      <w:tabs>
        <w:tab w:val="clear" w:pos="8306"/>
        <w:tab w:val="right" w:pos="9639"/>
      </w:tabs>
    </w:pPr>
    <w:r>
      <w:t>Ashfield Draft Local Plan 2023 - 2040</w:t>
    </w:r>
    <w:r>
      <w:tab/>
    </w:r>
    <w:r>
      <w:tab/>
      <w:t>Chapter 5: Natural Environment &amp; Heritage</w:t>
    </w:r>
  </w:p>
  <w:p w14:paraId="445A992C" w14:textId="77777777" w:rsidR="00023DC3" w:rsidRPr="00FD285F" w:rsidRDefault="00023DC3" w:rsidP="002518C2">
    <w:pPr>
      <w:pStyle w:val="Header"/>
      <w:tabs>
        <w:tab w:val="clear" w:pos="4153"/>
        <w:tab w:val="clear" w:pos="8306"/>
        <w:tab w:val="left" w:pos="5459"/>
      </w:tabs>
    </w:pPr>
    <w:r>
      <w:rPr>
        <w:noProof/>
      </w:rPr>
      <mc:AlternateContent>
        <mc:Choice Requires="wps">
          <w:drawing>
            <wp:anchor distT="0" distB="0" distL="114300" distR="114300" simplePos="0" relativeHeight="251699712" behindDoc="0" locked="0" layoutInCell="1" allowOverlap="1" wp14:anchorId="085EC6BC" wp14:editId="36FACCA6">
              <wp:simplePos x="0" y="0"/>
              <wp:positionH relativeFrom="column">
                <wp:posOffset>22860</wp:posOffset>
              </wp:positionH>
              <wp:positionV relativeFrom="paragraph">
                <wp:posOffset>68580</wp:posOffset>
              </wp:positionV>
              <wp:extent cx="6179185" cy="635"/>
              <wp:effectExtent l="9525" t="12700" r="12065" b="5715"/>
              <wp:wrapNone/>
              <wp:docPr id="327592218" name="AutoShape 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9185" cy="635"/>
                      </a:xfrm>
                      <a:prstGeom prst="straightConnector1">
                        <a:avLst/>
                      </a:prstGeom>
                      <a:noFill/>
                      <a:ln w="9525" cap="flat" cmpd="sng">
                        <a:solidFill>
                          <a:srgbClr val="000000"/>
                        </a:solidFill>
                        <a:prstDash val="solid"/>
                        <a:round/>
                        <a:headEnd type="non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67B1C53D" id="_x0000_t32" coordsize="21600,21600" o:spt="32" o:oned="t" path="m,l21600,21600e" filled="f">
              <v:path arrowok="t" fillok="f" o:connecttype="none"/>
              <o:lock v:ext="edit" shapetype="t"/>
            </v:shapetype>
            <v:shape id="AutoShape 36" o:spid="_x0000_s1026" type="#_x0000_t32" alt="&quot;&quot;" style="position:absolute;margin-left:1.8pt;margin-top:5.4pt;width:486.55pt;height:.05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"/>
          </w:pict>
        </mc:Fallback>
      </mc:AlternateContent>
    </w:r>
  </w:p>
  <w:p w14:paraId="62B301F4" w14:textId="77777777" w:rsidR="00023DC3" w:rsidRPr="00FD285F" w:rsidRDefault="00023DC3" w:rsidP="002518C2">
    <w:pPr>
      <w:pStyle w:val="Header"/>
      <w:jc w:val="right"/>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A224A"/>
    <w:multiLevelType w:val="multilevel"/>
    <w:tmpl w:val="BA40A92E"/>
    <w:lvl w:ilvl="0">
      <w:start w:val="1"/>
      <w:numFmt w:val="decimal"/>
      <w:lvlText w:val="%1."/>
      <w:lvlJc w:val="left"/>
      <w:pPr>
        <w:tabs>
          <w:tab w:val="num" w:pos="0"/>
        </w:tabs>
        <w:ind w:left="0" w:hanging="360"/>
      </w:pPr>
      <w:rPr>
        <w:rFonts w:hint="default"/>
        <w:b w:val="0"/>
        <w:bCs/>
        <w:strike w:val="0"/>
        <w:color w:val="auto"/>
        <w:sz w:val="24"/>
        <w:szCs w:val="24"/>
      </w:rPr>
    </w:lvl>
    <w:lvl w:ilvl="1">
      <w:start w:val="1"/>
      <w:numFmt w:val="decimal"/>
      <w:lvlText w:val="6.%2."/>
      <w:lvlJc w:val="left"/>
      <w:pPr>
        <w:ind w:left="0" w:hanging="360"/>
      </w:pPr>
      <w:rPr>
        <w:rFonts w:ascii="Arial" w:hAnsi="Arial" w:cs="Arial" w:hint="default"/>
        <w:b w:val="0"/>
        <w:bCs w:val="0"/>
        <w:strike w:val="0"/>
        <w:color w:val="auto"/>
      </w:rPr>
    </w:lvl>
    <w:lvl w:ilvl="2">
      <w:start w:val="1"/>
      <w:numFmt w:val="decimal"/>
      <w:isLgl/>
      <w:lvlText w:val="%1.%2.%3"/>
      <w:lvlJc w:val="left"/>
      <w:pPr>
        <w:ind w:left="360" w:hanging="720"/>
      </w:pPr>
      <w:rPr>
        <w:rFonts w:hint="default"/>
      </w:rPr>
    </w:lvl>
    <w:lvl w:ilvl="3">
      <w:start w:val="1"/>
      <w:numFmt w:val="decimal"/>
      <w:isLgl/>
      <w:lvlText w:val="%1.%2.%3.%4"/>
      <w:lvlJc w:val="left"/>
      <w:pPr>
        <w:ind w:left="720" w:hanging="1080"/>
      </w:pPr>
      <w:rPr>
        <w:rFonts w:hint="default"/>
      </w:rPr>
    </w:lvl>
    <w:lvl w:ilvl="4">
      <w:start w:val="1"/>
      <w:numFmt w:val="decimal"/>
      <w:isLgl/>
      <w:lvlText w:val="%1.%2.%3.%4.%5"/>
      <w:lvlJc w:val="left"/>
      <w:pPr>
        <w:ind w:left="720" w:hanging="1080"/>
      </w:pPr>
      <w:rPr>
        <w:rFonts w:hint="default"/>
      </w:rPr>
    </w:lvl>
    <w:lvl w:ilvl="5">
      <w:start w:val="1"/>
      <w:numFmt w:val="decimal"/>
      <w:isLgl/>
      <w:lvlText w:val="%1.%2.%3.%4.%5.%6"/>
      <w:lvlJc w:val="left"/>
      <w:pPr>
        <w:ind w:left="1080" w:hanging="1440"/>
      </w:pPr>
      <w:rPr>
        <w:rFonts w:hint="default"/>
      </w:rPr>
    </w:lvl>
    <w:lvl w:ilvl="6">
      <w:start w:val="1"/>
      <w:numFmt w:val="decimal"/>
      <w:isLgl/>
      <w:lvlText w:val="%1.%2.%3.%4.%5.%6.%7"/>
      <w:lvlJc w:val="left"/>
      <w:pPr>
        <w:ind w:left="1080" w:hanging="1440"/>
      </w:pPr>
      <w:rPr>
        <w:rFonts w:hint="default"/>
      </w:rPr>
    </w:lvl>
    <w:lvl w:ilvl="7">
      <w:start w:val="1"/>
      <w:numFmt w:val="decimal"/>
      <w:isLgl/>
      <w:lvlText w:val="%1.%2.%3.%4.%5.%6.%7.%8"/>
      <w:lvlJc w:val="left"/>
      <w:pPr>
        <w:ind w:left="1440" w:hanging="1800"/>
      </w:pPr>
      <w:rPr>
        <w:rFonts w:hint="default"/>
      </w:rPr>
    </w:lvl>
    <w:lvl w:ilvl="8">
      <w:start w:val="1"/>
      <w:numFmt w:val="decimal"/>
      <w:isLgl/>
      <w:lvlText w:val="%1.%2.%3.%4.%5.%6.%7.%8.%9"/>
      <w:lvlJc w:val="left"/>
      <w:pPr>
        <w:ind w:left="1440" w:hanging="1800"/>
      </w:pPr>
      <w:rPr>
        <w:rFonts w:hint="default"/>
      </w:rPr>
    </w:lvl>
  </w:abstractNum>
  <w:abstractNum w:abstractNumId="1" w15:restartNumberingAfterBreak="0">
    <w:nsid w:val="008B78A0"/>
    <w:multiLevelType w:val="hybridMultilevel"/>
    <w:tmpl w:val="682E2DA2"/>
    <w:lvl w:ilvl="0" w:tplc="0809001B">
      <w:start w:val="1"/>
      <w:numFmt w:val="lowerRoman"/>
      <w:lvlText w:val="%1."/>
      <w:lvlJc w:val="right"/>
      <w:pPr>
        <w:ind w:left="1604" w:hanging="360"/>
      </w:pPr>
      <w:rPr>
        <w:rFonts w:hint="default"/>
      </w:rPr>
    </w:lvl>
    <w:lvl w:ilvl="1" w:tplc="08090003" w:tentative="1">
      <w:start w:val="1"/>
      <w:numFmt w:val="bullet"/>
      <w:lvlText w:val="o"/>
      <w:lvlJc w:val="left"/>
      <w:pPr>
        <w:ind w:left="2324" w:hanging="360"/>
      </w:pPr>
      <w:rPr>
        <w:rFonts w:ascii="Courier New" w:hAnsi="Courier New" w:cs="Courier New" w:hint="default"/>
      </w:rPr>
    </w:lvl>
    <w:lvl w:ilvl="2" w:tplc="08090005" w:tentative="1">
      <w:start w:val="1"/>
      <w:numFmt w:val="bullet"/>
      <w:lvlText w:val=""/>
      <w:lvlJc w:val="left"/>
      <w:pPr>
        <w:ind w:left="3044" w:hanging="360"/>
      </w:pPr>
      <w:rPr>
        <w:rFonts w:ascii="Wingdings" w:hAnsi="Wingdings" w:hint="default"/>
      </w:rPr>
    </w:lvl>
    <w:lvl w:ilvl="3" w:tplc="08090001" w:tentative="1">
      <w:start w:val="1"/>
      <w:numFmt w:val="bullet"/>
      <w:lvlText w:val=""/>
      <w:lvlJc w:val="left"/>
      <w:pPr>
        <w:ind w:left="3764" w:hanging="360"/>
      </w:pPr>
      <w:rPr>
        <w:rFonts w:ascii="Symbol" w:hAnsi="Symbol" w:hint="default"/>
      </w:rPr>
    </w:lvl>
    <w:lvl w:ilvl="4" w:tplc="08090003" w:tentative="1">
      <w:start w:val="1"/>
      <w:numFmt w:val="bullet"/>
      <w:lvlText w:val="o"/>
      <w:lvlJc w:val="left"/>
      <w:pPr>
        <w:ind w:left="4484" w:hanging="360"/>
      </w:pPr>
      <w:rPr>
        <w:rFonts w:ascii="Courier New" w:hAnsi="Courier New" w:cs="Courier New" w:hint="default"/>
      </w:rPr>
    </w:lvl>
    <w:lvl w:ilvl="5" w:tplc="08090005" w:tentative="1">
      <w:start w:val="1"/>
      <w:numFmt w:val="bullet"/>
      <w:lvlText w:val=""/>
      <w:lvlJc w:val="left"/>
      <w:pPr>
        <w:ind w:left="5204" w:hanging="360"/>
      </w:pPr>
      <w:rPr>
        <w:rFonts w:ascii="Wingdings" w:hAnsi="Wingdings" w:hint="default"/>
      </w:rPr>
    </w:lvl>
    <w:lvl w:ilvl="6" w:tplc="08090001" w:tentative="1">
      <w:start w:val="1"/>
      <w:numFmt w:val="bullet"/>
      <w:lvlText w:val=""/>
      <w:lvlJc w:val="left"/>
      <w:pPr>
        <w:ind w:left="5924" w:hanging="360"/>
      </w:pPr>
      <w:rPr>
        <w:rFonts w:ascii="Symbol" w:hAnsi="Symbol" w:hint="default"/>
      </w:rPr>
    </w:lvl>
    <w:lvl w:ilvl="7" w:tplc="08090003" w:tentative="1">
      <w:start w:val="1"/>
      <w:numFmt w:val="bullet"/>
      <w:lvlText w:val="o"/>
      <w:lvlJc w:val="left"/>
      <w:pPr>
        <w:ind w:left="6644" w:hanging="360"/>
      </w:pPr>
      <w:rPr>
        <w:rFonts w:ascii="Courier New" w:hAnsi="Courier New" w:cs="Courier New" w:hint="default"/>
      </w:rPr>
    </w:lvl>
    <w:lvl w:ilvl="8" w:tplc="08090005" w:tentative="1">
      <w:start w:val="1"/>
      <w:numFmt w:val="bullet"/>
      <w:lvlText w:val=""/>
      <w:lvlJc w:val="left"/>
      <w:pPr>
        <w:ind w:left="7364" w:hanging="360"/>
      </w:pPr>
      <w:rPr>
        <w:rFonts w:ascii="Wingdings" w:hAnsi="Wingdings" w:hint="default"/>
      </w:rPr>
    </w:lvl>
  </w:abstractNum>
  <w:abstractNum w:abstractNumId="2" w15:restartNumberingAfterBreak="0">
    <w:nsid w:val="00C11036"/>
    <w:multiLevelType w:val="hybridMultilevel"/>
    <w:tmpl w:val="715A1880"/>
    <w:lvl w:ilvl="0" w:tplc="4044D592">
      <w:start w:val="1"/>
      <w:numFmt w:val="bullet"/>
      <w:lvlText w:val=""/>
      <w:lvlJc w:val="left"/>
      <w:pPr>
        <w:ind w:left="2160" w:hanging="360"/>
      </w:pPr>
      <w:rPr>
        <w:rFonts w:ascii="Symbol" w:hAnsi="Symbol" w:hint="default"/>
        <w:color w:val="auto"/>
      </w:rPr>
    </w:lvl>
    <w:lvl w:ilvl="1" w:tplc="08090003">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3" w15:restartNumberingAfterBreak="0">
    <w:nsid w:val="014868BC"/>
    <w:multiLevelType w:val="hybridMultilevel"/>
    <w:tmpl w:val="680AE4FE"/>
    <w:lvl w:ilvl="0" w:tplc="97FAF9C6">
      <w:start w:val="1"/>
      <w:numFmt w:val="bullet"/>
      <w:lvlText w:val=""/>
      <w:lvlJc w:val="left"/>
      <w:pPr>
        <w:ind w:left="360" w:hanging="360"/>
      </w:pPr>
      <w:rPr>
        <w:rFonts w:ascii="Symbol" w:hAnsi="Symbol" w:hint="default"/>
        <w:color w:val="auto"/>
        <w:sz w:val="20"/>
        <w:szCs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20E729D"/>
    <w:multiLevelType w:val="hybridMultilevel"/>
    <w:tmpl w:val="180CE4A6"/>
    <w:lvl w:ilvl="0" w:tplc="2F0C4AB4">
      <w:start w:val="1"/>
      <w:numFmt w:val="bullet"/>
      <w:lvlText w:val=""/>
      <w:lvlJc w:val="left"/>
      <w:pPr>
        <w:ind w:left="1211" w:hanging="360"/>
      </w:pPr>
      <w:rPr>
        <w:rFonts w:ascii="Symbol" w:hAnsi="Symbol" w:hint="default"/>
        <w:strike w:val="0"/>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5" w15:restartNumberingAfterBreak="0">
    <w:nsid w:val="02407606"/>
    <w:multiLevelType w:val="hybridMultilevel"/>
    <w:tmpl w:val="4DDEB00C"/>
    <w:lvl w:ilvl="0" w:tplc="0809000F">
      <w:start w:val="1"/>
      <w:numFmt w:val="decimal"/>
      <w:lvlText w:val="%1."/>
      <w:lvlJc w:val="left"/>
      <w:pPr>
        <w:ind w:left="430" w:hanging="360"/>
      </w:pPr>
      <w:rPr>
        <w:rFonts w:hint="default"/>
      </w:rPr>
    </w:lvl>
    <w:lvl w:ilvl="1" w:tplc="08090019" w:tentative="1">
      <w:start w:val="1"/>
      <w:numFmt w:val="lowerLetter"/>
      <w:lvlText w:val="%2."/>
      <w:lvlJc w:val="left"/>
      <w:pPr>
        <w:ind w:left="1150" w:hanging="360"/>
      </w:pPr>
    </w:lvl>
    <w:lvl w:ilvl="2" w:tplc="0809001B" w:tentative="1">
      <w:start w:val="1"/>
      <w:numFmt w:val="lowerRoman"/>
      <w:lvlText w:val="%3."/>
      <w:lvlJc w:val="right"/>
      <w:pPr>
        <w:ind w:left="1870" w:hanging="180"/>
      </w:pPr>
    </w:lvl>
    <w:lvl w:ilvl="3" w:tplc="0809000F" w:tentative="1">
      <w:start w:val="1"/>
      <w:numFmt w:val="decimal"/>
      <w:lvlText w:val="%4."/>
      <w:lvlJc w:val="left"/>
      <w:pPr>
        <w:ind w:left="2590" w:hanging="360"/>
      </w:pPr>
    </w:lvl>
    <w:lvl w:ilvl="4" w:tplc="08090019" w:tentative="1">
      <w:start w:val="1"/>
      <w:numFmt w:val="lowerLetter"/>
      <w:lvlText w:val="%5."/>
      <w:lvlJc w:val="left"/>
      <w:pPr>
        <w:ind w:left="3310" w:hanging="360"/>
      </w:pPr>
    </w:lvl>
    <w:lvl w:ilvl="5" w:tplc="0809001B" w:tentative="1">
      <w:start w:val="1"/>
      <w:numFmt w:val="lowerRoman"/>
      <w:lvlText w:val="%6."/>
      <w:lvlJc w:val="right"/>
      <w:pPr>
        <w:ind w:left="4030" w:hanging="180"/>
      </w:pPr>
    </w:lvl>
    <w:lvl w:ilvl="6" w:tplc="0809000F" w:tentative="1">
      <w:start w:val="1"/>
      <w:numFmt w:val="decimal"/>
      <w:lvlText w:val="%7."/>
      <w:lvlJc w:val="left"/>
      <w:pPr>
        <w:ind w:left="4750" w:hanging="360"/>
      </w:pPr>
    </w:lvl>
    <w:lvl w:ilvl="7" w:tplc="08090019" w:tentative="1">
      <w:start w:val="1"/>
      <w:numFmt w:val="lowerLetter"/>
      <w:lvlText w:val="%8."/>
      <w:lvlJc w:val="left"/>
      <w:pPr>
        <w:ind w:left="5470" w:hanging="360"/>
      </w:pPr>
    </w:lvl>
    <w:lvl w:ilvl="8" w:tplc="0809001B" w:tentative="1">
      <w:start w:val="1"/>
      <w:numFmt w:val="lowerRoman"/>
      <w:lvlText w:val="%9."/>
      <w:lvlJc w:val="right"/>
      <w:pPr>
        <w:ind w:left="6190" w:hanging="180"/>
      </w:pPr>
    </w:lvl>
  </w:abstractNum>
  <w:abstractNum w:abstractNumId="6" w15:restartNumberingAfterBreak="0">
    <w:nsid w:val="025B1959"/>
    <w:multiLevelType w:val="hybridMultilevel"/>
    <w:tmpl w:val="0C5CA73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025F312B"/>
    <w:multiLevelType w:val="hybridMultilevel"/>
    <w:tmpl w:val="41B8B842"/>
    <w:lvl w:ilvl="0" w:tplc="46CA2B3A">
      <w:start w:val="1"/>
      <w:numFmt w:val="lowerLetter"/>
      <w:lvlText w:val="%1."/>
      <w:lvlJc w:val="left"/>
      <w:pPr>
        <w:ind w:left="1040" w:hanging="360"/>
      </w:pPr>
      <w:rPr>
        <w:rFonts w:hint="default"/>
      </w:rPr>
    </w:lvl>
    <w:lvl w:ilvl="1" w:tplc="08090019" w:tentative="1">
      <w:start w:val="1"/>
      <w:numFmt w:val="lowerLetter"/>
      <w:lvlText w:val="%2."/>
      <w:lvlJc w:val="left"/>
      <w:pPr>
        <w:ind w:left="1760" w:hanging="360"/>
      </w:pPr>
    </w:lvl>
    <w:lvl w:ilvl="2" w:tplc="0809001B" w:tentative="1">
      <w:start w:val="1"/>
      <w:numFmt w:val="lowerRoman"/>
      <w:lvlText w:val="%3."/>
      <w:lvlJc w:val="right"/>
      <w:pPr>
        <w:ind w:left="2480" w:hanging="180"/>
      </w:pPr>
    </w:lvl>
    <w:lvl w:ilvl="3" w:tplc="0809000F" w:tentative="1">
      <w:start w:val="1"/>
      <w:numFmt w:val="decimal"/>
      <w:lvlText w:val="%4."/>
      <w:lvlJc w:val="left"/>
      <w:pPr>
        <w:ind w:left="3200" w:hanging="360"/>
      </w:pPr>
    </w:lvl>
    <w:lvl w:ilvl="4" w:tplc="08090019" w:tentative="1">
      <w:start w:val="1"/>
      <w:numFmt w:val="lowerLetter"/>
      <w:lvlText w:val="%5."/>
      <w:lvlJc w:val="left"/>
      <w:pPr>
        <w:ind w:left="3920" w:hanging="360"/>
      </w:pPr>
    </w:lvl>
    <w:lvl w:ilvl="5" w:tplc="0809001B" w:tentative="1">
      <w:start w:val="1"/>
      <w:numFmt w:val="lowerRoman"/>
      <w:lvlText w:val="%6."/>
      <w:lvlJc w:val="right"/>
      <w:pPr>
        <w:ind w:left="4640" w:hanging="180"/>
      </w:pPr>
    </w:lvl>
    <w:lvl w:ilvl="6" w:tplc="0809000F" w:tentative="1">
      <w:start w:val="1"/>
      <w:numFmt w:val="decimal"/>
      <w:lvlText w:val="%7."/>
      <w:lvlJc w:val="left"/>
      <w:pPr>
        <w:ind w:left="5360" w:hanging="360"/>
      </w:pPr>
    </w:lvl>
    <w:lvl w:ilvl="7" w:tplc="08090019" w:tentative="1">
      <w:start w:val="1"/>
      <w:numFmt w:val="lowerLetter"/>
      <w:lvlText w:val="%8."/>
      <w:lvlJc w:val="left"/>
      <w:pPr>
        <w:ind w:left="6080" w:hanging="360"/>
      </w:pPr>
    </w:lvl>
    <w:lvl w:ilvl="8" w:tplc="0809001B" w:tentative="1">
      <w:start w:val="1"/>
      <w:numFmt w:val="lowerRoman"/>
      <w:lvlText w:val="%9."/>
      <w:lvlJc w:val="right"/>
      <w:pPr>
        <w:ind w:left="6800" w:hanging="180"/>
      </w:pPr>
    </w:lvl>
  </w:abstractNum>
  <w:abstractNum w:abstractNumId="8" w15:restartNumberingAfterBreak="0">
    <w:nsid w:val="033E1131"/>
    <w:multiLevelType w:val="hybridMultilevel"/>
    <w:tmpl w:val="93584436"/>
    <w:lvl w:ilvl="0" w:tplc="08090001">
      <w:start w:val="1"/>
      <w:numFmt w:val="bullet"/>
      <w:lvlText w:val=""/>
      <w:lvlJc w:val="left"/>
      <w:pPr>
        <w:ind w:left="1069" w:hanging="360"/>
      </w:pPr>
      <w:rPr>
        <w:rFonts w:ascii="Symbol" w:hAnsi="Symbol"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9" w15:restartNumberingAfterBreak="0">
    <w:nsid w:val="03CF48D5"/>
    <w:multiLevelType w:val="multilevel"/>
    <w:tmpl w:val="846E0B58"/>
    <w:lvl w:ilvl="0">
      <w:start w:val="1"/>
      <w:numFmt w:val="decimal"/>
      <w:lvlText w:val="%1."/>
      <w:lvlJc w:val="left"/>
      <w:pPr>
        <w:ind w:left="360" w:hanging="360"/>
      </w:pPr>
      <w:rPr>
        <w:rFonts w:hint="default"/>
      </w:rPr>
    </w:lvl>
    <w:lvl w:ilvl="1">
      <w:start w:val="42"/>
      <w:numFmt w:val="decimal"/>
      <w:isLgl/>
      <w:lvlText w:val="%1.%2"/>
      <w:lvlJc w:val="left"/>
      <w:pPr>
        <w:ind w:left="460" w:hanging="4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0" w15:restartNumberingAfterBreak="0">
    <w:nsid w:val="04002E3C"/>
    <w:multiLevelType w:val="hybridMultilevel"/>
    <w:tmpl w:val="E520803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04B122A6"/>
    <w:multiLevelType w:val="multilevel"/>
    <w:tmpl w:val="9A507CAA"/>
    <w:lvl w:ilvl="0">
      <w:start w:val="1"/>
      <w:numFmt w:val="decimal"/>
      <w:lvlText w:val="%1"/>
      <w:lvlJc w:val="left"/>
      <w:pPr>
        <w:tabs>
          <w:tab w:val="num" w:pos="525"/>
        </w:tabs>
        <w:ind w:left="525" w:hanging="525"/>
      </w:pPr>
      <w:rPr>
        <w:rFonts w:hint="default"/>
      </w:rPr>
    </w:lvl>
    <w:lvl w:ilvl="1">
      <w:start w:val="1"/>
      <w:numFmt w:val="decimal"/>
      <w:lvlText w:val="3.%2"/>
      <w:lvlJc w:val="left"/>
      <w:pPr>
        <w:tabs>
          <w:tab w:val="num" w:pos="525"/>
        </w:tabs>
        <w:ind w:left="525" w:hanging="525"/>
      </w:pPr>
      <w:rPr>
        <w:rFonts w:hint="default"/>
        <w:b w:val="0"/>
        <w:bCs w:val="0"/>
        <w:strike w:val="0"/>
        <w:color w:val="auto"/>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2" w15:restartNumberingAfterBreak="0">
    <w:nsid w:val="04C6557B"/>
    <w:multiLevelType w:val="hybridMultilevel"/>
    <w:tmpl w:val="31947508"/>
    <w:lvl w:ilvl="0" w:tplc="B34CEA1C">
      <w:start w:val="1"/>
      <w:numFmt w:val="bullet"/>
      <w:lvlText w:val=""/>
      <w:lvlJc w:val="left"/>
      <w:pPr>
        <w:ind w:left="1069" w:hanging="360"/>
      </w:pPr>
      <w:rPr>
        <w:rFonts w:ascii="Symbol" w:hAnsi="Symbol" w:hint="default"/>
        <w:sz w:val="24"/>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13" w15:restartNumberingAfterBreak="0">
    <w:nsid w:val="05357D4A"/>
    <w:multiLevelType w:val="hybridMultilevel"/>
    <w:tmpl w:val="9E26A95E"/>
    <w:lvl w:ilvl="0" w:tplc="08090001">
      <w:start w:val="1"/>
      <w:numFmt w:val="bullet"/>
      <w:lvlText w:val=""/>
      <w:lvlJc w:val="left"/>
      <w:pPr>
        <w:ind w:left="764" w:hanging="360"/>
      </w:pPr>
      <w:rPr>
        <w:rFonts w:ascii="Symbol" w:hAnsi="Symbol" w:hint="default"/>
      </w:rPr>
    </w:lvl>
    <w:lvl w:ilvl="1" w:tplc="08090003" w:tentative="1">
      <w:start w:val="1"/>
      <w:numFmt w:val="bullet"/>
      <w:lvlText w:val="o"/>
      <w:lvlJc w:val="left"/>
      <w:pPr>
        <w:ind w:left="1484" w:hanging="360"/>
      </w:pPr>
      <w:rPr>
        <w:rFonts w:ascii="Courier New" w:hAnsi="Courier New" w:cs="Courier New" w:hint="default"/>
      </w:rPr>
    </w:lvl>
    <w:lvl w:ilvl="2" w:tplc="08090005" w:tentative="1">
      <w:start w:val="1"/>
      <w:numFmt w:val="bullet"/>
      <w:lvlText w:val=""/>
      <w:lvlJc w:val="left"/>
      <w:pPr>
        <w:ind w:left="2204" w:hanging="360"/>
      </w:pPr>
      <w:rPr>
        <w:rFonts w:ascii="Wingdings" w:hAnsi="Wingdings" w:hint="default"/>
      </w:rPr>
    </w:lvl>
    <w:lvl w:ilvl="3" w:tplc="08090001" w:tentative="1">
      <w:start w:val="1"/>
      <w:numFmt w:val="bullet"/>
      <w:lvlText w:val=""/>
      <w:lvlJc w:val="left"/>
      <w:pPr>
        <w:ind w:left="2924" w:hanging="360"/>
      </w:pPr>
      <w:rPr>
        <w:rFonts w:ascii="Symbol" w:hAnsi="Symbol" w:hint="default"/>
      </w:rPr>
    </w:lvl>
    <w:lvl w:ilvl="4" w:tplc="08090003" w:tentative="1">
      <w:start w:val="1"/>
      <w:numFmt w:val="bullet"/>
      <w:lvlText w:val="o"/>
      <w:lvlJc w:val="left"/>
      <w:pPr>
        <w:ind w:left="3644" w:hanging="360"/>
      </w:pPr>
      <w:rPr>
        <w:rFonts w:ascii="Courier New" w:hAnsi="Courier New" w:cs="Courier New" w:hint="default"/>
      </w:rPr>
    </w:lvl>
    <w:lvl w:ilvl="5" w:tplc="08090005" w:tentative="1">
      <w:start w:val="1"/>
      <w:numFmt w:val="bullet"/>
      <w:lvlText w:val=""/>
      <w:lvlJc w:val="left"/>
      <w:pPr>
        <w:ind w:left="4364" w:hanging="360"/>
      </w:pPr>
      <w:rPr>
        <w:rFonts w:ascii="Wingdings" w:hAnsi="Wingdings" w:hint="default"/>
      </w:rPr>
    </w:lvl>
    <w:lvl w:ilvl="6" w:tplc="08090001" w:tentative="1">
      <w:start w:val="1"/>
      <w:numFmt w:val="bullet"/>
      <w:lvlText w:val=""/>
      <w:lvlJc w:val="left"/>
      <w:pPr>
        <w:ind w:left="5084" w:hanging="360"/>
      </w:pPr>
      <w:rPr>
        <w:rFonts w:ascii="Symbol" w:hAnsi="Symbol" w:hint="default"/>
      </w:rPr>
    </w:lvl>
    <w:lvl w:ilvl="7" w:tplc="08090003" w:tentative="1">
      <w:start w:val="1"/>
      <w:numFmt w:val="bullet"/>
      <w:lvlText w:val="o"/>
      <w:lvlJc w:val="left"/>
      <w:pPr>
        <w:ind w:left="5804" w:hanging="360"/>
      </w:pPr>
      <w:rPr>
        <w:rFonts w:ascii="Courier New" w:hAnsi="Courier New" w:cs="Courier New" w:hint="default"/>
      </w:rPr>
    </w:lvl>
    <w:lvl w:ilvl="8" w:tplc="08090005" w:tentative="1">
      <w:start w:val="1"/>
      <w:numFmt w:val="bullet"/>
      <w:lvlText w:val=""/>
      <w:lvlJc w:val="left"/>
      <w:pPr>
        <w:ind w:left="6524" w:hanging="360"/>
      </w:pPr>
      <w:rPr>
        <w:rFonts w:ascii="Wingdings" w:hAnsi="Wingdings" w:hint="default"/>
      </w:rPr>
    </w:lvl>
  </w:abstractNum>
  <w:abstractNum w:abstractNumId="14" w15:restartNumberingAfterBreak="0">
    <w:nsid w:val="05D8580C"/>
    <w:multiLevelType w:val="hybridMultilevel"/>
    <w:tmpl w:val="17BC096A"/>
    <w:lvl w:ilvl="0" w:tplc="F23EFEAE">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05F36C4B"/>
    <w:multiLevelType w:val="hybridMultilevel"/>
    <w:tmpl w:val="836093A0"/>
    <w:lvl w:ilvl="0" w:tplc="8E9A1B5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060642CF"/>
    <w:multiLevelType w:val="hybridMultilevel"/>
    <w:tmpl w:val="91E6B242"/>
    <w:lvl w:ilvl="0" w:tplc="0809001B">
      <w:start w:val="1"/>
      <w:numFmt w:val="lowerRoman"/>
      <w:lvlText w:val="%1."/>
      <w:lvlJc w:val="right"/>
      <w:pPr>
        <w:ind w:left="1440" w:hanging="360"/>
      </w:pPr>
      <w:rPr>
        <w:rFont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7" w15:restartNumberingAfterBreak="0">
    <w:nsid w:val="06093A94"/>
    <w:multiLevelType w:val="hybridMultilevel"/>
    <w:tmpl w:val="AE94197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06564B5B"/>
    <w:multiLevelType w:val="hybridMultilevel"/>
    <w:tmpl w:val="1D1295BA"/>
    <w:lvl w:ilvl="0" w:tplc="6AD87B96">
      <w:start w:val="1"/>
      <w:numFmt w:val="decimal"/>
      <w:lvlText w:val="%1."/>
      <w:lvlJc w:val="left"/>
      <w:pPr>
        <w:tabs>
          <w:tab w:val="num" w:pos="360"/>
        </w:tabs>
        <w:ind w:left="360" w:hanging="360"/>
      </w:pPr>
      <w:rPr>
        <w:rFonts w:hint="default"/>
        <w:b w:val="0"/>
        <w:bCs/>
        <w:strike w:val="0"/>
        <w:color w:val="auto"/>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070F02A9"/>
    <w:multiLevelType w:val="hybridMultilevel"/>
    <w:tmpl w:val="8D00CB96"/>
    <w:lvl w:ilvl="0" w:tplc="B34CEA1C">
      <w:start w:val="1"/>
      <w:numFmt w:val="bullet"/>
      <w:lvlText w:val=""/>
      <w:lvlJc w:val="left"/>
      <w:pPr>
        <w:ind w:left="1069" w:hanging="360"/>
      </w:pPr>
      <w:rPr>
        <w:rFonts w:ascii="Symbol" w:hAnsi="Symbol" w:hint="default"/>
        <w:sz w:val="24"/>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20" w15:restartNumberingAfterBreak="0">
    <w:nsid w:val="07E80167"/>
    <w:multiLevelType w:val="hybridMultilevel"/>
    <w:tmpl w:val="029C61D0"/>
    <w:lvl w:ilvl="0" w:tplc="29F4FEEA">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080C6808"/>
    <w:multiLevelType w:val="hybridMultilevel"/>
    <w:tmpl w:val="B642759E"/>
    <w:lvl w:ilvl="0" w:tplc="C994B3B6">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089C7101"/>
    <w:multiLevelType w:val="hybridMultilevel"/>
    <w:tmpl w:val="CF8EF150"/>
    <w:lvl w:ilvl="0" w:tplc="47E0DBC8">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09302477"/>
    <w:multiLevelType w:val="hybridMultilevel"/>
    <w:tmpl w:val="464C2B4C"/>
    <w:lvl w:ilvl="0" w:tplc="8B941D06">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09510925"/>
    <w:multiLevelType w:val="hybridMultilevel"/>
    <w:tmpl w:val="62E679D4"/>
    <w:lvl w:ilvl="0" w:tplc="51D49410">
      <w:start w:val="1"/>
      <w:numFmt w:val="decimal"/>
      <w:lvlText w:val="%1."/>
      <w:lvlJc w:val="left"/>
      <w:pPr>
        <w:ind w:left="720" w:hanging="360"/>
      </w:pPr>
      <w:rPr>
        <w:rFonts w:cs="Arial"/>
        <w:b w:val="0"/>
        <w:bCs w:val="0"/>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09595ED5"/>
    <w:multiLevelType w:val="hybridMultilevel"/>
    <w:tmpl w:val="ACE2066E"/>
    <w:lvl w:ilvl="0" w:tplc="7FB01DF2">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6" w15:restartNumberingAfterBreak="0">
    <w:nsid w:val="09FA7E41"/>
    <w:multiLevelType w:val="hybridMultilevel"/>
    <w:tmpl w:val="A43E4966"/>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27" w15:restartNumberingAfterBreak="0">
    <w:nsid w:val="0A3C4C42"/>
    <w:multiLevelType w:val="hybridMultilevel"/>
    <w:tmpl w:val="68608502"/>
    <w:lvl w:ilvl="0" w:tplc="D7E878D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0A4A5818"/>
    <w:multiLevelType w:val="hybridMultilevel"/>
    <w:tmpl w:val="CEC29156"/>
    <w:lvl w:ilvl="0" w:tplc="97FAF9C6">
      <w:start w:val="1"/>
      <w:numFmt w:val="bullet"/>
      <w:lvlText w:val=""/>
      <w:lvlJc w:val="left"/>
      <w:pPr>
        <w:ind w:left="360" w:hanging="360"/>
      </w:pPr>
      <w:rPr>
        <w:rFonts w:ascii="Symbol" w:hAnsi="Symbol" w:hint="default"/>
        <w:color w:val="auto"/>
        <w:sz w:val="20"/>
        <w:szCs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0A9515BF"/>
    <w:multiLevelType w:val="hybridMultilevel"/>
    <w:tmpl w:val="8F0C2E64"/>
    <w:lvl w:ilvl="0" w:tplc="195C2C40">
      <w:start w:val="1"/>
      <w:numFmt w:val="lowerLetter"/>
      <w:lvlText w:val="%1)"/>
      <w:lvlJc w:val="left"/>
      <w:pPr>
        <w:ind w:left="360" w:hanging="360"/>
      </w:pPr>
      <w:rPr>
        <w:rFonts w:ascii="Arial" w:eastAsia="Arial" w:hAnsi="Arial" w:cs="Arial"/>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0B142E24"/>
    <w:multiLevelType w:val="hybridMultilevel"/>
    <w:tmpl w:val="C02C0676"/>
    <w:lvl w:ilvl="0" w:tplc="695206F4">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0B2411BD"/>
    <w:multiLevelType w:val="hybridMultilevel"/>
    <w:tmpl w:val="87BCA68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2" w15:restartNumberingAfterBreak="0">
    <w:nsid w:val="0B311932"/>
    <w:multiLevelType w:val="hybridMultilevel"/>
    <w:tmpl w:val="921EFCC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0B52006F"/>
    <w:multiLevelType w:val="hybridMultilevel"/>
    <w:tmpl w:val="A4109B24"/>
    <w:lvl w:ilvl="0" w:tplc="08090001">
      <w:start w:val="1"/>
      <w:numFmt w:val="bullet"/>
      <w:lvlText w:val=""/>
      <w:lvlJc w:val="left"/>
      <w:pPr>
        <w:ind w:left="1211" w:hanging="360"/>
      </w:pPr>
      <w:rPr>
        <w:rFonts w:ascii="Symbol" w:hAnsi="Symbol"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34" w15:restartNumberingAfterBreak="0">
    <w:nsid w:val="0B560857"/>
    <w:multiLevelType w:val="hybridMultilevel"/>
    <w:tmpl w:val="46F6A59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5" w15:restartNumberingAfterBreak="0">
    <w:nsid w:val="0BA9797F"/>
    <w:multiLevelType w:val="hybridMultilevel"/>
    <w:tmpl w:val="A852EEF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0D5110CB"/>
    <w:multiLevelType w:val="hybridMultilevel"/>
    <w:tmpl w:val="E2BA8C28"/>
    <w:lvl w:ilvl="0" w:tplc="21AE8200">
      <w:start w:val="1"/>
      <w:numFmt w:val="decimal"/>
      <w:lvlText w:val="%1."/>
      <w:lvlJc w:val="left"/>
      <w:pPr>
        <w:ind w:left="360" w:hanging="360"/>
      </w:pPr>
      <w:rPr>
        <w:strike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7" w15:restartNumberingAfterBreak="0">
    <w:nsid w:val="0D797A16"/>
    <w:multiLevelType w:val="hybridMultilevel"/>
    <w:tmpl w:val="D0E22D9C"/>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38" w15:restartNumberingAfterBreak="0">
    <w:nsid w:val="0D883CAC"/>
    <w:multiLevelType w:val="hybridMultilevel"/>
    <w:tmpl w:val="622C8DA4"/>
    <w:lvl w:ilvl="0" w:tplc="CD863C0A">
      <w:start w:val="1"/>
      <w:numFmt w:val="decimal"/>
      <w:lvlText w:val="%1."/>
      <w:lvlJc w:val="left"/>
      <w:pPr>
        <w:tabs>
          <w:tab w:val="num" w:pos="360"/>
        </w:tabs>
        <w:ind w:left="360" w:hanging="360"/>
      </w:pPr>
      <w:rPr>
        <w:rFonts w:hint="default"/>
        <w:b w:val="0"/>
        <w:bCs w:val="0"/>
        <w:strike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0D8D0262"/>
    <w:multiLevelType w:val="hybridMultilevel"/>
    <w:tmpl w:val="EF7AA0E4"/>
    <w:lvl w:ilvl="0" w:tplc="49EE9FDA">
      <w:start w:val="1"/>
      <w:numFmt w:val="decimal"/>
      <w:lvlText w:val="%1."/>
      <w:lvlJc w:val="left"/>
      <w:pPr>
        <w:tabs>
          <w:tab w:val="num" w:pos="360"/>
        </w:tabs>
        <w:ind w:left="360" w:hanging="360"/>
      </w:pPr>
      <w:rPr>
        <w:rFonts w:hint="default"/>
        <w:color w:val="auto"/>
      </w:rPr>
    </w:lvl>
    <w:lvl w:ilvl="1" w:tplc="70CCB80E">
      <w:start w:val="1"/>
      <w:numFmt w:val="lowerLetter"/>
      <w:lvlText w:val="%2)"/>
      <w:lvlJc w:val="left"/>
      <w:pPr>
        <w:tabs>
          <w:tab w:val="num" w:pos="1590"/>
        </w:tabs>
        <w:ind w:left="1590" w:hanging="510"/>
      </w:pPr>
      <w:rPr>
        <w:rFonts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0" w15:restartNumberingAfterBreak="0">
    <w:nsid w:val="0E42255B"/>
    <w:multiLevelType w:val="hybridMultilevel"/>
    <w:tmpl w:val="7CF659D6"/>
    <w:lvl w:ilvl="0" w:tplc="D7E878D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0E4936A3"/>
    <w:multiLevelType w:val="hybridMultilevel"/>
    <w:tmpl w:val="A8A427D6"/>
    <w:lvl w:ilvl="0" w:tplc="344810FE">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0EB558C3"/>
    <w:multiLevelType w:val="hybridMultilevel"/>
    <w:tmpl w:val="0C4C4386"/>
    <w:lvl w:ilvl="0" w:tplc="B34CEA1C">
      <w:start w:val="1"/>
      <w:numFmt w:val="bullet"/>
      <w:lvlText w:val=""/>
      <w:lvlJc w:val="left"/>
      <w:pPr>
        <w:ind w:left="720" w:hanging="360"/>
      </w:pPr>
      <w:rPr>
        <w:rFonts w:ascii="Symbol" w:hAnsi="Symbol"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0EF61B75"/>
    <w:multiLevelType w:val="hybridMultilevel"/>
    <w:tmpl w:val="750E05C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4" w15:restartNumberingAfterBreak="0">
    <w:nsid w:val="0F696CEC"/>
    <w:multiLevelType w:val="hybridMultilevel"/>
    <w:tmpl w:val="C9369FC8"/>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45" w15:restartNumberingAfterBreak="0">
    <w:nsid w:val="0F974EBA"/>
    <w:multiLevelType w:val="multilevel"/>
    <w:tmpl w:val="692ACEB8"/>
    <w:lvl w:ilvl="0">
      <w:start w:val="1"/>
      <w:numFmt w:val="bullet"/>
      <w:lvlText w:val=""/>
      <w:lvlJc w:val="left"/>
      <w:pPr>
        <w:ind w:left="35" w:hanging="460"/>
      </w:pPr>
      <w:rPr>
        <w:rFonts w:ascii="Symbol" w:hAnsi="Symbol" w:hint="default"/>
      </w:rPr>
    </w:lvl>
    <w:lvl w:ilvl="1">
      <w:start w:val="16"/>
      <w:numFmt w:val="decimal"/>
      <w:lvlText w:val="%1.%2"/>
      <w:lvlJc w:val="left"/>
      <w:pPr>
        <w:ind w:left="35" w:hanging="460"/>
      </w:pPr>
      <w:rPr>
        <w:rFonts w:ascii="Arial" w:hAnsi="Arial" w:cs="Arial" w:hint="default"/>
        <w:b w:val="0"/>
        <w:bCs w:val="0"/>
        <w:strike w:val="0"/>
        <w:color w:val="auto"/>
      </w:rPr>
    </w:lvl>
    <w:lvl w:ilvl="2">
      <w:start w:val="1"/>
      <w:numFmt w:val="decimal"/>
      <w:lvlText w:val="%1.%2.%3"/>
      <w:lvlJc w:val="left"/>
      <w:pPr>
        <w:ind w:left="295" w:hanging="720"/>
      </w:pPr>
      <w:rPr>
        <w:rFonts w:hint="default"/>
      </w:rPr>
    </w:lvl>
    <w:lvl w:ilvl="3">
      <w:start w:val="1"/>
      <w:numFmt w:val="decimal"/>
      <w:lvlText w:val="%1.%2.%3.%4"/>
      <w:lvlJc w:val="left"/>
      <w:pPr>
        <w:ind w:left="655" w:hanging="1080"/>
      </w:pPr>
      <w:rPr>
        <w:rFonts w:hint="default"/>
      </w:rPr>
    </w:lvl>
    <w:lvl w:ilvl="4">
      <w:start w:val="1"/>
      <w:numFmt w:val="decimal"/>
      <w:lvlText w:val="%1.%2.%3.%4.%5"/>
      <w:lvlJc w:val="left"/>
      <w:pPr>
        <w:ind w:left="655" w:hanging="1080"/>
      </w:pPr>
      <w:rPr>
        <w:rFonts w:hint="default"/>
      </w:rPr>
    </w:lvl>
    <w:lvl w:ilvl="5">
      <w:start w:val="1"/>
      <w:numFmt w:val="decimal"/>
      <w:lvlText w:val="%1.%2.%3.%4.%5.%6"/>
      <w:lvlJc w:val="left"/>
      <w:pPr>
        <w:ind w:left="1015" w:hanging="1440"/>
      </w:pPr>
      <w:rPr>
        <w:rFonts w:hint="default"/>
      </w:rPr>
    </w:lvl>
    <w:lvl w:ilvl="6">
      <w:start w:val="1"/>
      <w:numFmt w:val="decimal"/>
      <w:lvlText w:val="%1.%2.%3.%4.%5.%6.%7"/>
      <w:lvlJc w:val="left"/>
      <w:pPr>
        <w:ind w:left="1015" w:hanging="1440"/>
      </w:pPr>
      <w:rPr>
        <w:rFonts w:hint="default"/>
      </w:rPr>
    </w:lvl>
    <w:lvl w:ilvl="7">
      <w:start w:val="1"/>
      <w:numFmt w:val="decimal"/>
      <w:lvlText w:val="%1.%2.%3.%4.%5.%6.%7.%8"/>
      <w:lvlJc w:val="left"/>
      <w:pPr>
        <w:ind w:left="1375" w:hanging="1800"/>
      </w:pPr>
      <w:rPr>
        <w:rFonts w:hint="default"/>
      </w:rPr>
    </w:lvl>
    <w:lvl w:ilvl="8">
      <w:start w:val="1"/>
      <w:numFmt w:val="decimal"/>
      <w:lvlText w:val="%1.%2.%3.%4.%5.%6.%7.%8.%9"/>
      <w:lvlJc w:val="left"/>
      <w:pPr>
        <w:ind w:left="1375" w:hanging="1800"/>
      </w:pPr>
      <w:rPr>
        <w:rFonts w:hint="default"/>
      </w:rPr>
    </w:lvl>
  </w:abstractNum>
  <w:abstractNum w:abstractNumId="46" w15:restartNumberingAfterBreak="0">
    <w:nsid w:val="100F34EF"/>
    <w:multiLevelType w:val="hybridMultilevel"/>
    <w:tmpl w:val="E6D2931E"/>
    <w:lvl w:ilvl="0" w:tplc="114AA40C">
      <w:start w:val="1"/>
      <w:numFmt w:val="lowerRoman"/>
      <w:lvlText w:val="%1."/>
      <w:lvlJc w:val="left"/>
      <w:pPr>
        <w:ind w:left="1177" w:hanging="360"/>
      </w:pPr>
      <w:rPr>
        <w:rFonts w:hint="default"/>
      </w:rPr>
    </w:lvl>
    <w:lvl w:ilvl="1" w:tplc="08090019" w:tentative="1">
      <w:start w:val="1"/>
      <w:numFmt w:val="lowerLetter"/>
      <w:lvlText w:val="%2."/>
      <w:lvlJc w:val="left"/>
      <w:pPr>
        <w:ind w:left="1897" w:hanging="360"/>
      </w:pPr>
    </w:lvl>
    <w:lvl w:ilvl="2" w:tplc="0809001B" w:tentative="1">
      <w:start w:val="1"/>
      <w:numFmt w:val="lowerRoman"/>
      <w:lvlText w:val="%3."/>
      <w:lvlJc w:val="right"/>
      <w:pPr>
        <w:ind w:left="2617" w:hanging="180"/>
      </w:pPr>
    </w:lvl>
    <w:lvl w:ilvl="3" w:tplc="0809000F" w:tentative="1">
      <w:start w:val="1"/>
      <w:numFmt w:val="decimal"/>
      <w:lvlText w:val="%4."/>
      <w:lvlJc w:val="left"/>
      <w:pPr>
        <w:ind w:left="3337" w:hanging="360"/>
      </w:pPr>
    </w:lvl>
    <w:lvl w:ilvl="4" w:tplc="08090019" w:tentative="1">
      <w:start w:val="1"/>
      <w:numFmt w:val="lowerLetter"/>
      <w:lvlText w:val="%5."/>
      <w:lvlJc w:val="left"/>
      <w:pPr>
        <w:ind w:left="4057" w:hanging="360"/>
      </w:pPr>
    </w:lvl>
    <w:lvl w:ilvl="5" w:tplc="0809001B" w:tentative="1">
      <w:start w:val="1"/>
      <w:numFmt w:val="lowerRoman"/>
      <w:lvlText w:val="%6."/>
      <w:lvlJc w:val="right"/>
      <w:pPr>
        <w:ind w:left="4777" w:hanging="180"/>
      </w:pPr>
    </w:lvl>
    <w:lvl w:ilvl="6" w:tplc="0809000F" w:tentative="1">
      <w:start w:val="1"/>
      <w:numFmt w:val="decimal"/>
      <w:lvlText w:val="%7."/>
      <w:lvlJc w:val="left"/>
      <w:pPr>
        <w:ind w:left="5497" w:hanging="360"/>
      </w:pPr>
    </w:lvl>
    <w:lvl w:ilvl="7" w:tplc="08090019" w:tentative="1">
      <w:start w:val="1"/>
      <w:numFmt w:val="lowerLetter"/>
      <w:lvlText w:val="%8."/>
      <w:lvlJc w:val="left"/>
      <w:pPr>
        <w:ind w:left="6217" w:hanging="360"/>
      </w:pPr>
    </w:lvl>
    <w:lvl w:ilvl="8" w:tplc="0809001B" w:tentative="1">
      <w:start w:val="1"/>
      <w:numFmt w:val="lowerRoman"/>
      <w:lvlText w:val="%9."/>
      <w:lvlJc w:val="right"/>
      <w:pPr>
        <w:ind w:left="6937" w:hanging="180"/>
      </w:pPr>
    </w:lvl>
  </w:abstractNum>
  <w:abstractNum w:abstractNumId="47" w15:restartNumberingAfterBreak="0">
    <w:nsid w:val="10E6047F"/>
    <w:multiLevelType w:val="hybridMultilevel"/>
    <w:tmpl w:val="7214D752"/>
    <w:lvl w:ilvl="0" w:tplc="9C2CE666">
      <w:start w:val="1"/>
      <w:numFmt w:val="lowerLetter"/>
      <w:lvlText w:val="%1)"/>
      <w:lvlJc w:val="left"/>
      <w:pPr>
        <w:ind w:left="720" w:hanging="360"/>
      </w:pPr>
      <w:rPr>
        <w:rFonts w:hint="default"/>
        <w:b w:val="0"/>
        <w:bCs w:val="0"/>
        <w:color w:val="auto"/>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15:restartNumberingAfterBreak="0">
    <w:nsid w:val="11077543"/>
    <w:multiLevelType w:val="hybridMultilevel"/>
    <w:tmpl w:val="CF663C4C"/>
    <w:lvl w:ilvl="0" w:tplc="B34CEA1C">
      <w:start w:val="1"/>
      <w:numFmt w:val="bullet"/>
      <w:lvlText w:val=""/>
      <w:lvlJc w:val="left"/>
      <w:pPr>
        <w:ind w:left="1080" w:hanging="360"/>
      </w:pPr>
      <w:rPr>
        <w:rFonts w:ascii="Symbol" w:hAnsi="Symbol" w:hint="default"/>
        <w:sz w:val="24"/>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9" w15:restartNumberingAfterBreak="0">
    <w:nsid w:val="11633577"/>
    <w:multiLevelType w:val="hybridMultilevel"/>
    <w:tmpl w:val="B1D25F80"/>
    <w:lvl w:ilvl="0" w:tplc="97FAF9C6">
      <w:start w:val="1"/>
      <w:numFmt w:val="bullet"/>
      <w:lvlText w:val=""/>
      <w:lvlJc w:val="left"/>
      <w:pPr>
        <w:ind w:left="360" w:hanging="360"/>
      </w:pPr>
      <w:rPr>
        <w:rFonts w:ascii="Symbol" w:hAnsi="Symbol" w:hint="default"/>
        <w:color w:val="auto"/>
        <w:sz w:val="20"/>
        <w:szCs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0" w15:restartNumberingAfterBreak="0">
    <w:nsid w:val="11EC42F1"/>
    <w:multiLevelType w:val="hybridMultilevel"/>
    <w:tmpl w:val="942AB6B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1" w15:restartNumberingAfterBreak="0">
    <w:nsid w:val="127419B6"/>
    <w:multiLevelType w:val="hybridMultilevel"/>
    <w:tmpl w:val="826CF6C0"/>
    <w:lvl w:ilvl="0" w:tplc="08090001">
      <w:start w:val="1"/>
      <w:numFmt w:val="bullet"/>
      <w:lvlText w:val=""/>
      <w:lvlJc w:val="left"/>
      <w:pPr>
        <w:ind w:left="2288" w:hanging="360"/>
      </w:pPr>
      <w:rPr>
        <w:rFonts w:ascii="Symbol" w:hAnsi="Symbol" w:hint="default"/>
      </w:rPr>
    </w:lvl>
    <w:lvl w:ilvl="1" w:tplc="08090003" w:tentative="1">
      <w:start w:val="1"/>
      <w:numFmt w:val="bullet"/>
      <w:lvlText w:val="o"/>
      <w:lvlJc w:val="left"/>
      <w:pPr>
        <w:ind w:left="3008" w:hanging="360"/>
      </w:pPr>
      <w:rPr>
        <w:rFonts w:ascii="Courier New" w:hAnsi="Courier New" w:cs="Courier New" w:hint="default"/>
      </w:rPr>
    </w:lvl>
    <w:lvl w:ilvl="2" w:tplc="08090005" w:tentative="1">
      <w:start w:val="1"/>
      <w:numFmt w:val="bullet"/>
      <w:lvlText w:val=""/>
      <w:lvlJc w:val="left"/>
      <w:pPr>
        <w:ind w:left="3728" w:hanging="360"/>
      </w:pPr>
      <w:rPr>
        <w:rFonts w:ascii="Wingdings" w:hAnsi="Wingdings" w:hint="default"/>
      </w:rPr>
    </w:lvl>
    <w:lvl w:ilvl="3" w:tplc="08090001" w:tentative="1">
      <w:start w:val="1"/>
      <w:numFmt w:val="bullet"/>
      <w:lvlText w:val=""/>
      <w:lvlJc w:val="left"/>
      <w:pPr>
        <w:ind w:left="4448" w:hanging="360"/>
      </w:pPr>
      <w:rPr>
        <w:rFonts w:ascii="Symbol" w:hAnsi="Symbol" w:hint="default"/>
      </w:rPr>
    </w:lvl>
    <w:lvl w:ilvl="4" w:tplc="08090003" w:tentative="1">
      <w:start w:val="1"/>
      <w:numFmt w:val="bullet"/>
      <w:lvlText w:val="o"/>
      <w:lvlJc w:val="left"/>
      <w:pPr>
        <w:ind w:left="5168" w:hanging="360"/>
      </w:pPr>
      <w:rPr>
        <w:rFonts w:ascii="Courier New" w:hAnsi="Courier New" w:cs="Courier New" w:hint="default"/>
      </w:rPr>
    </w:lvl>
    <w:lvl w:ilvl="5" w:tplc="08090005" w:tentative="1">
      <w:start w:val="1"/>
      <w:numFmt w:val="bullet"/>
      <w:lvlText w:val=""/>
      <w:lvlJc w:val="left"/>
      <w:pPr>
        <w:ind w:left="5888" w:hanging="360"/>
      </w:pPr>
      <w:rPr>
        <w:rFonts w:ascii="Wingdings" w:hAnsi="Wingdings" w:hint="default"/>
      </w:rPr>
    </w:lvl>
    <w:lvl w:ilvl="6" w:tplc="08090001" w:tentative="1">
      <w:start w:val="1"/>
      <w:numFmt w:val="bullet"/>
      <w:lvlText w:val=""/>
      <w:lvlJc w:val="left"/>
      <w:pPr>
        <w:ind w:left="6608" w:hanging="360"/>
      </w:pPr>
      <w:rPr>
        <w:rFonts w:ascii="Symbol" w:hAnsi="Symbol" w:hint="default"/>
      </w:rPr>
    </w:lvl>
    <w:lvl w:ilvl="7" w:tplc="08090003" w:tentative="1">
      <w:start w:val="1"/>
      <w:numFmt w:val="bullet"/>
      <w:lvlText w:val="o"/>
      <w:lvlJc w:val="left"/>
      <w:pPr>
        <w:ind w:left="7328" w:hanging="360"/>
      </w:pPr>
      <w:rPr>
        <w:rFonts w:ascii="Courier New" w:hAnsi="Courier New" w:cs="Courier New" w:hint="default"/>
      </w:rPr>
    </w:lvl>
    <w:lvl w:ilvl="8" w:tplc="08090005" w:tentative="1">
      <w:start w:val="1"/>
      <w:numFmt w:val="bullet"/>
      <w:lvlText w:val=""/>
      <w:lvlJc w:val="left"/>
      <w:pPr>
        <w:ind w:left="8048" w:hanging="360"/>
      </w:pPr>
      <w:rPr>
        <w:rFonts w:ascii="Wingdings" w:hAnsi="Wingdings" w:hint="default"/>
      </w:rPr>
    </w:lvl>
  </w:abstractNum>
  <w:abstractNum w:abstractNumId="52" w15:restartNumberingAfterBreak="0">
    <w:nsid w:val="131D6664"/>
    <w:multiLevelType w:val="hybridMultilevel"/>
    <w:tmpl w:val="CF6E653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3" w15:restartNumberingAfterBreak="0">
    <w:nsid w:val="13C409BB"/>
    <w:multiLevelType w:val="hybridMultilevel"/>
    <w:tmpl w:val="E6CA85D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4" w15:restartNumberingAfterBreak="0">
    <w:nsid w:val="14664DFC"/>
    <w:multiLevelType w:val="hybridMultilevel"/>
    <w:tmpl w:val="EB085156"/>
    <w:lvl w:ilvl="0" w:tplc="45CE3E3E">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5" w15:restartNumberingAfterBreak="0">
    <w:nsid w:val="148019D7"/>
    <w:multiLevelType w:val="hybridMultilevel"/>
    <w:tmpl w:val="06A2C7AC"/>
    <w:lvl w:ilvl="0" w:tplc="08090001">
      <w:start w:val="1"/>
      <w:numFmt w:val="bullet"/>
      <w:lvlText w:val=""/>
      <w:lvlJc w:val="left"/>
      <w:pPr>
        <w:ind w:left="961" w:hanging="360"/>
      </w:pPr>
      <w:rPr>
        <w:rFonts w:ascii="Symbol" w:hAnsi="Symbol" w:hint="default"/>
      </w:rPr>
    </w:lvl>
    <w:lvl w:ilvl="1" w:tplc="08090003" w:tentative="1">
      <w:start w:val="1"/>
      <w:numFmt w:val="bullet"/>
      <w:lvlText w:val="o"/>
      <w:lvlJc w:val="left"/>
      <w:pPr>
        <w:ind w:left="1681" w:hanging="360"/>
      </w:pPr>
      <w:rPr>
        <w:rFonts w:ascii="Courier New" w:hAnsi="Courier New" w:cs="Courier New" w:hint="default"/>
      </w:rPr>
    </w:lvl>
    <w:lvl w:ilvl="2" w:tplc="08090005" w:tentative="1">
      <w:start w:val="1"/>
      <w:numFmt w:val="bullet"/>
      <w:lvlText w:val=""/>
      <w:lvlJc w:val="left"/>
      <w:pPr>
        <w:ind w:left="2401" w:hanging="360"/>
      </w:pPr>
      <w:rPr>
        <w:rFonts w:ascii="Wingdings" w:hAnsi="Wingdings" w:hint="default"/>
      </w:rPr>
    </w:lvl>
    <w:lvl w:ilvl="3" w:tplc="08090001" w:tentative="1">
      <w:start w:val="1"/>
      <w:numFmt w:val="bullet"/>
      <w:lvlText w:val=""/>
      <w:lvlJc w:val="left"/>
      <w:pPr>
        <w:ind w:left="3121" w:hanging="360"/>
      </w:pPr>
      <w:rPr>
        <w:rFonts w:ascii="Symbol" w:hAnsi="Symbol" w:hint="default"/>
      </w:rPr>
    </w:lvl>
    <w:lvl w:ilvl="4" w:tplc="08090003" w:tentative="1">
      <w:start w:val="1"/>
      <w:numFmt w:val="bullet"/>
      <w:lvlText w:val="o"/>
      <w:lvlJc w:val="left"/>
      <w:pPr>
        <w:ind w:left="3841" w:hanging="360"/>
      </w:pPr>
      <w:rPr>
        <w:rFonts w:ascii="Courier New" w:hAnsi="Courier New" w:cs="Courier New" w:hint="default"/>
      </w:rPr>
    </w:lvl>
    <w:lvl w:ilvl="5" w:tplc="08090005" w:tentative="1">
      <w:start w:val="1"/>
      <w:numFmt w:val="bullet"/>
      <w:lvlText w:val=""/>
      <w:lvlJc w:val="left"/>
      <w:pPr>
        <w:ind w:left="4561" w:hanging="360"/>
      </w:pPr>
      <w:rPr>
        <w:rFonts w:ascii="Wingdings" w:hAnsi="Wingdings" w:hint="default"/>
      </w:rPr>
    </w:lvl>
    <w:lvl w:ilvl="6" w:tplc="08090001" w:tentative="1">
      <w:start w:val="1"/>
      <w:numFmt w:val="bullet"/>
      <w:lvlText w:val=""/>
      <w:lvlJc w:val="left"/>
      <w:pPr>
        <w:ind w:left="5281" w:hanging="360"/>
      </w:pPr>
      <w:rPr>
        <w:rFonts w:ascii="Symbol" w:hAnsi="Symbol" w:hint="default"/>
      </w:rPr>
    </w:lvl>
    <w:lvl w:ilvl="7" w:tplc="08090003" w:tentative="1">
      <w:start w:val="1"/>
      <w:numFmt w:val="bullet"/>
      <w:lvlText w:val="o"/>
      <w:lvlJc w:val="left"/>
      <w:pPr>
        <w:ind w:left="6001" w:hanging="360"/>
      </w:pPr>
      <w:rPr>
        <w:rFonts w:ascii="Courier New" w:hAnsi="Courier New" w:cs="Courier New" w:hint="default"/>
      </w:rPr>
    </w:lvl>
    <w:lvl w:ilvl="8" w:tplc="08090005" w:tentative="1">
      <w:start w:val="1"/>
      <w:numFmt w:val="bullet"/>
      <w:lvlText w:val=""/>
      <w:lvlJc w:val="left"/>
      <w:pPr>
        <w:ind w:left="6721" w:hanging="360"/>
      </w:pPr>
      <w:rPr>
        <w:rFonts w:ascii="Wingdings" w:hAnsi="Wingdings" w:hint="default"/>
      </w:rPr>
    </w:lvl>
  </w:abstractNum>
  <w:abstractNum w:abstractNumId="56" w15:restartNumberingAfterBreak="0">
    <w:nsid w:val="14CB6FF1"/>
    <w:multiLevelType w:val="hybridMultilevel"/>
    <w:tmpl w:val="5CF81A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7" w15:restartNumberingAfterBreak="0">
    <w:nsid w:val="15952AFE"/>
    <w:multiLevelType w:val="hybridMultilevel"/>
    <w:tmpl w:val="021ADEA2"/>
    <w:lvl w:ilvl="0" w:tplc="E3582E1A">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8" w15:restartNumberingAfterBreak="0">
    <w:nsid w:val="15981E3A"/>
    <w:multiLevelType w:val="hybridMultilevel"/>
    <w:tmpl w:val="BEC6336A"/>
    <w:lvl w:ilvl="0" w:tplc="08090001">
      <w:start w:val="1"/>
      <w:numFmt w:val="bullet"/>
      <w:lvlText w:val=""/>
      <w:lvlJc w:val="left"/>
      <w:pPr>
        <w:ind w:left="1324" w:hanging="360"/>
      </w:pPr>
      <w:rPr>
        <w:rFonts w:ascii="Symbol" w:hAnsi="Symbol" w:hint="default"/>
      </w:rPr>
    </w:lvl>
    <w:lvl w:ilvl="1" w:tplc="08090003" w:tentative="1">
      <w:start w:val="1"/>
      <w:numFmt w:val="bullet"/>
      <w:lvlText w:val="o"/>
      <w:lvlJc w:val="left"/>
      <w:pPr>
        <w:ind w:left="2044" w:hanging="360"/>
      </w:pPr>
      <w:rPr>
        <w:rFonts w:ascii="Courier New" w:hAnsi="Courier New" w:cs="Courier New" w:hint="default"/>
      </w:rPr>
    </w:lvl>
    <w:lvl w:ilvl="2" w:tplc="08090005" w:tentative="1">
      <w:start w:val="1"/>
      <w:numFmt w:val="bullet"/>
      <w:lvlText w:val=""/>
      <w:lvlJc w:val="left"/>
      <w:pPr>
        <w:ind w:left="2764" w:hanging="360"/>
      </w:pPr>
      <w:rPr>
        <w:rFonts w:ascii="Wingdings" w:hAnsi="Wingdings" w:hint="default"/>
      </w:rPr>
    </w:lvl>
    <w:lvl w:ilvl="3" w:tplc="08090001" w:tentative="1">
      <w:start w:val="1"/>
      <w:numFmt w:val="bullet"/>
      <w:lvlText w:val=""/>
      <w:lvlJc w:val="left"/>
      <w:pPr>
        <w:ind w:left="3484" w:hanging="360"/>
      </w:pPr>
      <w:rPr>
        <w:rFonts w:ascii="Symbol" w:hAnsi="Symbol" w:hint="default"/>
      </w:rPr>
    </w:lvl>
    <w:lvl w:ilvl="4" w:tplc="08090003" w:tentative="1">
      <w:start w:val="1"/>
      <w:numFmt w:val="bullet"/>
      <w:lvlText w:val="o"/>
      <w:lvlJc w:val="left"/>
      <w:pPr>
        <w:ind w:left="4204" w:hanging="360"/>
      </w:pPr>
      <w:rPr>
        <w:rFonts w:ascii="Courier New" w:hAnsi="Courier New" w:cs="Courier New" w:hint="default"/>
      </w:rPr>
    </w:lvl>
    <w:lvl w:ilvl="5" w:tplc="08090005" w:tentative="1">
      <w:start w:val="1"/>
      <w:numFmt w:val="bullet"/>
      <w:lvlText w:val=""/>
      <w:lvlJc w:val="left"/>
      <w:pPr>
        <w:ind w:left="4924" w:hanging="360"/>
      </w:pPr>
      <w:rPr>
        <w:rFonts w:ascii="Wingdings" w:hAnsi="Wingdings" w:hint="default"/>
      </w:rPr>
    </w:lvl>
    <w:lvl w:ilvl="6" w:tplc="08090001" w:tentative="1">
      <w:start w:val="1"/>
      <w:numFmt w:val="bullet"/>
      <w:lvlText w:val=""/>
      <w:lvlJc w:val="left"/>
      <w:pPr>
        <w:ind w:left="5644" w:hanging="360"/>
      </w:pPr>
      <w:rPr>
        <w:rFonts w:ascii="Symbol" w:hAnsi="Symbol" w:hint="default"/>
      </w:rPr>
    </w:lvl>
    <w:lvl w:ilvl="7" w:tplc="08090003" w:tentative="1">
      <w:start w:val="1"/>
      <w:numFmt w:val="bullet"/>
      <w:lvlText w:val="o"/>
      <w:lvlJc w:val="left"/>
      <w:pPr>
        <w:ind w:left="6364" w:hanging="360"/>
      </w:pPr>
      <w:rPr>
        <w:rFonts w:ascii="Courier New" w:hAnsi="Courier New" w:cs="Courier New" w:hint="default"/>
      </w:rPr>
    </w:lvl>
    <w:lvl w:ilvl="8" w:tplc="08090005" w:tentative="1">
      <w:start w:val="1"/>
      <w:numFmt w:val="bullet"/>
      <w:lvlText w:val=""/>
      <w:lvlJc w:val="left"/>
      <w:pPr>
        <w:ind w:left="7084" w:hanging="360"/>
      </w:pPr>
      <w:rPr>
        <w:rFonts w:ascii="Wingdings" w:hAnsi="Wingdings" w:hint="default"/>
      </w:rPr>
    </w:lvl>
  </w:abstractNum>
  <w:abstractNum w:abstractNumId="59" w15:restartNumberingAfterBreak="0">
    <w:nsid w:val="160B4EF5"/>
    <w:multiLevelType w:val="hybridMultilevel"/>
    <w:tmpl w:val="96E0823C"/>
    <w:lvl w:ilvl="0" w:tplc="87C63464">
      <w:start w:val="1"/>
      <w:numFmt w:val="lowerLetter"/>
      <w:lvlText w:val="%1)"/>
      <w:lvlJc w:val="left"/>
      <w:pPr>
        <w:ind w:left="360" w:hanging="360"/>
      </w:pPr>
      <w:rPr>
        <w:rFonts w:hint="default"/>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0" w15:restartNumberingAfterBreak="0">
    <w:nsid w:val="16F3288C"/>
    <w:multiLevelType w:val="hybridMultilevel"/>
    <w:tmpl w:val="80E8A2AE"/>
    <w:lvl w:ilvl="0" w:tplc="8E9A1B5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1" w15:restartNumberingAfterBreak="0">
    <w:nsid w:val="17D753D5"/>
    <w:multiLevelType w:val="hybridMultilevel"/>
    <w:tmpl w:val="9CD06FC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183B4D35"/>
    <w:multiLevelType w:val="hybridMultilevel"/>
    <w:tmpl w:val="6D48E790"/>
    <w:lvl w:ilvl="0" w:tplc="B34CEA1C">
      <w:start w:val="1"/>
      <w:numFmt w:val="bullet"/>
      <w:lvlText w:val=""/>
      <w:lvlJc w:val="left"/>
      <w:pPr>
        <w:ind w:left="1069" w:hanging="360"/>
      </w:pPr>
      <w:rPr>
        <w:rFonts w:ascii="Symbol" w:hAnsi="Symbol" w:hint="default"/>
        <w:sz w:val="24"/>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63" w15:restartNumberingAfterBreak="0">
    <w:nsid w:val="185B1BF7"/>
    <w:multiLevelType w:val="multilevel"/>
    <w:tmpl w:val="40127972"/>
    <w:lvl w:ilvl="0">
      <w:start w:val="3"/>
      <w:numFmt w:val="decimal"/>
      <w:lvlText w:val="%1"/>
      <w:lvlJc w:val="left"/>
      <w:pPr>
        <w:ind w:left="460" w:hanging="460"/>
      </w:pPr>
      <w:rPr>
        <w:rFonts w:hint="default"/>
      </w:rPr>
    </w:lvl>
    <w:lvl w:ilvl="1">
      <w:start w:val="86"/>
      <w:numFmt w:val="decimal"/>
      <w:lvlText w:val="%1.%2"/>
      <w:lvlJc w:val="left"/>
      <w:pPr>
        <w:ind w:left="460" w:hanging="460"/>
      </w:pPr>
      <w:rPr>
        <w:rFonts w:ascii="Arial" w:hAnsi="Arial" w:cs="Arial" w:hint="default"/>
        <w:b w:val="0"/>
        <w:bCs w:val="0"/>
        <w:strike w:val="0"/>
        <w:color w:val="auto"/>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4" w15:restartNumberingAfterBreak="0">
    <w:nsid w:val="193A76BC"/>
    <w:multiLevelType w:val="hybridMultilevel"/>
    <w:tmpl w:val="D53296EA"/>
    <w:lvl w:ilvl="0" w:tplc="4D38C286">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5" w15:restartNumberingAfterBreak="0">
    <w:nsid w:val="19602395"/>
    <w:multiLevelType w:val="hybridMultilevel"/>
    <w:tmpl w:val="870C6F2A"/>
    <w:lvl w:ilvl="0" w:tplc="97FAF9C6">
      <w:start w:val="1"/>
      <w:numFmt w:val="bullet"/>
      <w:lvlText w:val=""/>
      <w:lvlJc w:val="left"/>
      <w:pPr>
        <w:ind w:left="360" w:hanging="360"/>
      </w:pPr>
      <w:rPr>
        <w:rFonts w:ascii="Symbol" w:hAnsi="Symbol" w:hint="default"/>
        <w:color w:val="auto"/>
        <w:sz w:val="20"/>
        <w:szCs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6" w15:restartNumberingAfterBreak="0">
    <w:nsid w:val="1A0743F5"/>
    <w:multiLevelType w:val="hybridMultilevel"/>
    <w:tmpl w:val="B49E9C16"/>
    <w:lvl w:ilvl="0" w:tplc="799AA80E">
      <w:start w:val="1"/>
      <w:numFmt w:val="bullet"/>
      <w:lvlText w:val=""/>
      <w:lvlJc w:val="left"/>
      <w:pPr>
        <w:tabs>
          <w:tab w:val="num" w:pos="1040"/>
        </w:tabs>
        <w:ind w:left="1040" w:hanging="360"/>
      </w:pPr>
      <w:rPr>
        <w:rFonts w:ascii="Symbol" w:hAnsi="Symbol" w:hint="default"/>
        <w:color w:val="auto"/>
        <w:sz w:val="20"/>
        <w:szCs w:val="20"/>
      </w:rPr>
    </w:lvl>
    <w:lvl w:ilvl="1" w:tplc="08090003" w:tentative="1">
      <w:start w:val="1"/>
      <w:numFmt w:val="bullet"/>
      <w:lvlText w:val="o"/>
      <w:lvlJc w:val="left"/>
      <w:pPr>
        <w:tabs>
          <w:tab w:val="num" w:pos="1040"/>
        </w:tabs>
        <w:ind w:left="1040" w:hanging="360"/>
      </w:pPr>
      <w:rPr>
        <w:rFonts w:ascii="Courier New" w:hAnsi="Courier New" w:cs="Courier New" w:hint="default"/>
      </w:rPr>
    </w:lvl>
    <w:lvl w:ilvl="2" w:tplc="08090005" w:tentative="1">
      <w:start w:val="1"/>
      <w:numFmt w:val="bullet"/>
      <w:lvlText w:val=""/>
      <w:lvlJc w:val="left"/>
      <w:pPr>
        <w:tabs>
          <w:tab w:val="num" w:pos="1760"/>
        </w:tabs>
        <w:ind w:left="1760" w:hanging="360"/>
      </w:pPr>
      <w:rPr>
        <w:rFonts w:ascii="Wingdings" w:hAnsi="Wingdings" w:hint="default"/>
      </w:rPr>
    </w:lvl>
    <w:lvl w:ilvl="3" w:tplc="08090001" w:tentative="1">
      <w:start w:val="1"/>
      <w:numFmt w:val="bullet"/>
      <w:lvlText w:val=""/>
      <w:lvlJc w:val="left"/>
      <w:pPr>
        <w:tabs>
          <w:tab w:val="num" w:pos="2480"/>
        </w:tabs>
        <w:ind w:left="2480" w:hanging="360"/>
      </w:pPr>
      <w:rPr>
        <w:rFonts w:ascii="Symbol" w:hAnsi="Symbol" w:hint="default"/>
      </w:rPr>
    </w:lvl>
    <w:lvl w:ilvl="4" w:tplc="08090003" w:tentative="1">
      <w:start w:val="1"/>
      <w:numFmt w:val="bullet"/>
      <w:lvlText w:val="o"/>
      <w:lvlJc w:val="left"/>
      <w:pPr>
        <w:tabs>
          <w:tab w:val="num" w:pos="3200"/>
        </w:tabs>
        <w:ind w:left="3200" w:hanging="360"/>
      </w:pPr>
      <w:rPr>
        <w:rFonts w:ascii="Courier New" w:hAnsi="Courier New" w:cs="Courier New" w:hint="default"/>
      </w:rPr>
    </w:lvl>
    <w:lvl w:ilvl="5" w:tplc="08090005" w:tentative="1">
      <w:start w:val="1"/>
      <w:numFmt w:val="bullet"/>
      <w:lvlText w:val=""/>
      <w:lvlJc w:val="left"/>
      <w:pPr>
        <w:tabs>
          <w:tab w:val="num" w:pos="3920"/>
        </w:tabs>
        <w:ind w:left="3920" w:hanging="360"/>
      </w:pPr>
      <w:rPr>
        <w:rFonts w:ascii="Wingdings" w:hAnsi="Wingdings" w:hint="default"/>
      </w:rPr>
    </w:lvl>
    <w:lvl w:ilvl="6" w:tplc="08090001" w:tentative="1">
      <w:start w:val="1"/>
      <w:numFmt w:val="bullet"/>
      <w:lvlText w:val=""/>
      <w:lvlJc w:val="left"/>
      <w:pPr>
        <w:tabs>
          <w:tab w:val="num" w:pos="4640"/>
        </w:tabs>
        <w:ind w:left="4640" w:hanging="360"/>
      </w:pPr>
      <w:rPr>
        <w:rFonts w:ascii="Symbol" w:hAnsi="Symbol" w:hint="default"/>
      </w:rPr>
    </w:lvl>
    <w:lvl w:ilvl="7" w:tplc="08090003" w:tentative="1">
      <w:start w:val="1"/>
      <w:numFmt w:val="bullet"/>
      <w:lvlText w:val="o"/>
      <w:lvlJc w:val="left"/>
      <w:pPr>
        <w:tabs>
          <w:tab w:val="num" w:pos="5360"/>
        </w:tabs>
        <w:ind w:left="5360" w:hanging="360"/>
      </w:pPr>
      <w:rPr>
        <w:rFonts w:ascii="Courier New" w:hAnsi="Courier New" w:cs="Courier New" w:hint="default"/>
      </w:rPr>
    </w:lvl>
    <w:lvl w:ilvl="8" w:tplc="08090005" w:tentative="1">
      <w:start w:val="1"/>
      <w:numFmt w:val="bullet"/>
      <w:lvlText w:val=""/>
      <w:lvlJc w:val="left"/>
      <w:pPr>
        <w:tabs>
          <w:tab w:val="num" w:pos="6080"/>
        </w:tabs>
        <w:ind w:left="6080" w:hanging="360"/>
      </w:pPr>
      <w:rPr>
        <w:rFonts w:ascii="Wingdings" w:hAnsi="Wingdings" w:hint="default"/>
      </w:rPr>
    </w:lvl>
  </w:abstractNum>
  <w:abstractNum w:abstractNumId="67" w15:restartNumberingAfterBreak="0">
    <w:nsid w:val="1A317A03"/>
    <w:multiLevelType w:val="multilevel"/>
    <w:tmpl w:val="11A8B71E"/>
    <w:lvl w:ilvl="0">
      <w:start w:val="13"/>
      <w:numFmt w:val="decimal"/>
      <w:lvlText w:val="%1"/>
      <w:lvlJc w:val="left"/>
      <w:pPr>
        <w:tabs>
          <w:tab w:val="num" w:pos="600"/>
        </w:tabs>
        <w:ind w:left="600" w:hanging="600"/>
      </w:pPr>
      <w:rPr>
        <w:rFonts w:hint="default"/>
      </w:rPr>
    </w:lvl>
    <w:lvl w:ilvl="1">
      <w:start w:val="1"/>
      <w:numFmt w:val="decimal"/>
      <w:lvlText w:val="1.%2"/>
      <w:lvlJc w:val="left"/>
      <w:pPr>
        <w:tabs>
          <w:tab w:val="num" w:pos="600"/>
        </w:tabs>
        <w:ind w:left="600" w:hanging="600"/>
      </w:pPr>
      <w:rPr>
        <w:rFonts w:hint="default"/>
        <w:strike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68" w15:restartNumberingAfterBreak="0">
    <w:nsid w:val="1A3D57E0"/>
    <w:multiLevelType w:val="hybridMultilevel"/>
    <w:tmpl w:val="DB0041A0"/>
    <w:lvl w:ilvl="0" w:tplc="E278B578">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9" w15:restartNumberingAfterBreak="0">
    <w:nsid w:val="1AFC5B93"/>
    <w:multiLevelType w:val="hybridMultilevel"/>
    <w:tmpl w:val="A18616F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0" w15:restartNumberingAfterBreak="0">
    <w:nsid w:val="1B1522EC"/>
    <w:multiLevelType w:val="hybridMultilevel"/>
    <w:tmpl w:val="AE30113C"/>
    <w:lvl w:ilvl="0" w:tplc="97FAF9C6">
      <w:start w:val="1"/>
      <w:numFmt w:val="bullet"/>
      <w:lvlText w:val=""/>
      <w:lvlJc w:val="left"/>
      <w:pPr>
        <w:tabs>
          <w:tab w:val="num" w:pos="960"/>
        </w:tabs>
        <w:ind w:left="960" w:hanging="360"/>
      </w:pPr>
      <w:rPr>
        <w:rFonts w:ascii="Symbol" w:hAnsi="Symbol" w:hint="default"/>
        <w:color w:val="auto"/>
        <w:sz w:val="20"/>
        <w:szCs w:val="20"/>
      </w:rPr>
    </w:lvl>
    <w:lvl w:ilvl="1" w:tplc="FFFFFFFF" w:tentative="1">
      <w:start w:val="1"/>
      <w:numFmt w:val="bullet"/>
      <w:lvlText w:val="o"/>
      <w:lvlJc w:val="left"/>
      <w:pPr>
        <w:tabs>
          <w:tab w:val="num" w:pos="960"/>
        </w:tabs>
        <w:ind w:left="960" w:hanging="360"/>
      </w:pPr>
      <w:rPr>
        <w:rFonts w:ascii="Courier New" w:hAnsi="Courier New" w:cs="Courier New" w:hint="default"/>
      </w:rPr>
    </w:lvl>
    <w:lvl w:ilvl="2" w:tplc="FFFFFFFF" w:tentative="1">
      <w:start w:val="1"/>
      <w:numFmt w:val="bullet"/>
      <w:lvlText w:val=""/>
      <w:lvlJc w:val="left"/>
      <w:pPr>
        <w:tabs>
          <w:tab w:val="num" w:pos="1680"/>
        </w:tabs>
        <w:ind w:left="1680" w:hanging="360"/>
      </w:pPr>
      <w:rPr>
        <w:rFonts w:ascii="Wingdings" w:hAnsi="Wingdings" w:hint="default"/>
      </w:rPr>
    </w:lvl>
    <w:lvl w:ilvl="3" w:tplc="FFFFFFFF" w:tentative="1">
      <w:start w:val="1"/>
      <w:numFmt w:val="bullet"/>
      <w:lvlText w:val=""/>
      <w:lvlJc w:val="left"/>
      <w:pPr>
        <w:tabs>
          <w:tab w:val="num" w:pos="2400"/>
        </w:tabs>
        <w:ind w:left="2400" w:hanging="360"/>
      </w:pPr>
      <w:rPr>
        <w:rFonts w:ascii="Symbol" w:hAnsi="Symbol" w:hint="default"/>
      </w:rPr>
    </w:lvl>
    <w:lvl w:ilvl="4" w:tplc="FFFFFFFF" w:tentative="1">
      <w:start w:val="1"/>
      <w:numFmt w:val="bullet"/>
      <w:lvlText w:val="o"/>
      <w:lvlJc w:val="left"/>
      <w:pPr>
        <w:tabs>
          <w:tab w:val="num" w:pos="3120"/>
        </w:tabs>
        <w:ind w:left="3120" w:hanging="360"/>
      </w:pPr>
      <w:rPr>
        <w:rFonts w:ascii="Courier New" w:hAnsi="Courier New" w:cs="Courier New" w:hint="default"/>
      </w:rPr>
    </w:lvl>
    <w:lvl w:ilvl="5" w:tplc="FFFFFFFF" w:tentative="1">
      <w:start w:val="1"/>
      <w:numFmt w:val="bullet"/>
      <w:lvlText w:val=""/>
      <w:lvlJc w:val="left"/>
      <w:pPr>
        <w:tabs>
          <w:tab w:val="num" w:pos="3840"/>
        </w:tabs>
        <w:ind w:left="3840" w:hanging="360"/>
      </w:pPr>
      <w:rPr>
        <w:rFonts w:ascii="Wingdings" w:hAnsi="Wingdings" w:hint="default"/>
      </w:rPr>
    </w:lvl>
    <w:lvl w:ilvl="6" w:tplc="FFFFFFFF" w:tentative="1">
      <w:start w:val="1"/>
      <w:numFmt w:val="bullet"/>
      <w:lvlText w:val=""/>
      <w:lvlJc w:val="left"/>
      <w:pPr>
        <w:tabs>
          <w:tab w:val="num" w:pos="4560"/>
        </w:tabs>
        <w:ind w:left="4560" w:hanging="360"/>
      </w:pPr>
      <w:rPr>
        <w:rFonts w:ascii="Symbol" w:hAnsi="Symbol" w:hint="default"/>
      </w:rPr>
    </w:lvl>
    <w:lvl w:ilvl="7" w:tplc="FFFFFFFF" w:tentative="1">
      <w:start w:val="1"/>
      <w:numFmt w:val="bullet"/>
      <w:lvlText w:val="o"/>
      <w:lvlJc w:val="left"/>
      <w:pPr>
        <w:tabs>
          <w:tab w:val="num" w:pos="5280"/>
        </w:tabs>
        <w:ind w:left="5280" w:hanging="360"/>
      </w:pPr>
      <w:rPr>
        <w:rFonts w:ascii="Courier New" w:hAnsi="Courier New" w:cs="Courier New" w:hint="default"/>
      </w:rPr>
    </w:lvl>
    <w:lvl w:ilvl="8" w:tplc="FFFFFFFF" w:tentative="1">
      <w:start w:val="1"/>
      <w:numFmt w:val="bullet"/>
      <w:lvlText w:val=""/>
      <w:lvlJc w:val="left"/>
      <w:pPr>
        <w:tabs>
          <w:tab w:val="num" w:pos="6000"/>
        </w:tabs>
        <w:ind w:left="6000" w:hanging="360"/>
      </w:pPr>
      <w:rPr>
        <w:rFonts w:ascii="Wingdings" w:hAnsi="Wingdings" w:hint="default"/>
      </w:rPr>
    </w:lvl>
  </w:abstractNum>
  <w:abstractNum w:abstractNumId="71" w15:restartNumberingAfterBreak="0">
    <w:nsid w:val="1B374311"/>
    <w:multiLevelType w:val="hybridMultilevel"/>
    <w:tmpl w:val="39F48E36"/>
    <w:lvl w:ilvl="0" w:tplc="177E8F70">
      <w:start w:val="1"/>
      <w:numFmt w:val="lowerRoman"/>
      <w:lvlText w:val="%1)"/>
      <w:lvlJc w:val="left"/>
      <w:pPr>
        <w:ind w:left="720" w:hanging="360"/>
      </w:pPr>
      <w:rPr>
        <w:rFonts w:ascii="Arial" w:hAnsi="Arial" w:hint="default"/>
        <w:b w:val="0"/>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2" w15:restartNumberingAfterBreak="0">
    <w:nsid w:val="1B513531"/>
    <w:multiLevelType w:val="multilevel"/>
    <w:tmpl w:val="E51016F4"/>
    <w:lvl w:ilvl="0">
      <w:start w:val="1"/>
      <w:numFmt w:val="decimal"/>
      <w:lvlText w:val="%1"/>
      <w:lvlJc w:val="left"/>
      <w:pPr>
        <w:ind w:left="360" w:hanging="360"/>
      </w:pPr>
      <w:rPr>
        <w:rFonts w:eastAsia="Times New Roman" w:hint="default"/>
      </w:rPr>
    </w:lvl>
    <w:lvl w:ilvl="1">
      <w:start w:val="9"/>
      <w:numFmt w:val="decimal"/>
      <w:lvlText w:val="%1.%2"/>
      <w:lvlJc w:val="left"/>
      <w:pPr>
        <w:ind w:left="2061" w:hanging="360"/>
      </w:pPr>
      <w:rPr>
        <w:rFonts w:eastAsia="Times New Roman" w:hint="default"/>
        <w:color w:val="auto"/>
      </w:rPr>
    </w:lvl>
    <w:lvl w:ilvl="2">
      <w:start w:val="1"/>
      <w:numFmt w:val="decimal"/>
      <w:lvlText w:val="%1.%2.%3"/>
      <w:lvlJc w:val="left"/>
      <w:pPr>
        <w:ind w:left="720" w:hanging="720"/>
      </w:pPr>
      <w:rPr>
        <w:rFonts w:eastAsia="Times New Roman" w:hint="default"/>
      </w:rPr>
    </w:lvl>
    <w:lvl w:ilvl="3">
      <w:start w:val="1"/>
      <w:numFmt w:val="decimal"/>
      <w:lvlText w:val="%1.%2.%3.%4"/>
      <w:lvlJc w:val="left"/>
      <w:pPr>
        <w:ind w:left="1080" w:hanging="1080"/>
      </w:pPr>
      <w:rPr>
        <w:rFonts w:eastAsia="Times New Roman" w:hint="default"/>
      </w:rPr>
    </w:lvl>
    <w:lvl w:ilvl="4">
      <w:start w:val="1"/>
      <w:numFmt w:val="decimal"/>
      <w:lvlText w:val="%1.%2.%3.%4.%5"/>
      <w:lvlJc w:val="left"/>
      <w:pPr>
        <w:ind w:left="1080" w:hanging="1080"/>
      </w:pPr>
      <w:rPr>
        <w:rFonts w:eastAsia="Times New Roman" w:hint="default"/>
      </w:rPr>
    </w:lvl>
    <w:lvl w:ilvl="5">
      <w:start w:val="1"/>
      <w:numFmt w:val="decimal"/>
      <w:lvlText w:val="%1.%2.%3.%4.%5.%6"/>
      <w:lvlJc w:val="left"/>
      <w:pPr>
        <w:ind w:left="1440" w:hanging="1440"/>
      </w:pPr>
      <w:rPr>
        <w:rFonts w:eastAsia="Times New Roman" w:hint="default"/>
      </w:rPr>
    </w:lvl>
    <w:lvl w:ilvl="6">
      <w:start w:val="1"/>
      <w:numFmt w:val="decimal"/>
      <w:lvlText w:val="%1.%2.%3.%4.%5.%6.%7"/>
      <w:lvlJc w:val="left"/>
      <w:pPr>
        <w:ind w:left="1440" w:hanging="1440"/>
      </w:pPr>
      <w:rPr>
        <w:rFonts w:eastAsia="Times New Roman" w:hint="default"/>
      </w:rPr>
    </w:lvl>
    <w:lvl w:ilvl="7">
      <w:start w:val="1"/>
      <w:numFmt w:val="decimal"/>
      <w:lvlText w:val="%1.%2.%3.%4.%5.%6.%7.%8"/>
      <w:lvlJc w:val="left"/>
      <w:pPr>
        <w:ind w:left="1800" w:hanging="1800"/>
      </w:pPr>
      <w:rPr>
        <w:rFonts w:eastAsia="Times New Roman" w:hint="default"/>
      </w:rPr>
    </w:lvl>
    <w:lvl w:ilvl="8">
      <w:start w:val="1"/>
      <w:numFmt w:val="decimal"/>
      <w:lvlText w:val="%1.%2.%3.%4.%5.%6.%7.%8.%9"/>
      <w:lvlJc w:val="left"/>
      <w:pPr>
        <w:ind w:left="1800" w:hanging="1800"/>
      </w:pPr>
      <w:rPr>
        <w:rFonts w:eastAsia="Times New Roman" w:hint="default"/>
      </w:rPr>
    </w:lvl>
  </w:abstractNum>
  <w:abstractNum w:abstractNumId="73" w15:restartNumberingAfterBreak="0">
    <w:nsid w:val="1C0177BD"/>
    <w:multiLevelType w:val="hybridMultilevel"/>
    <w:tmpl w:val="6EF0521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4" w15:restartNumberingAfterBreak="0">
    <w:nsid w:val="1D4C2EEA"/>
    <w:multiLevelType w:val="hybridMultilevel"/>
    <w:tmpl w:val="037611E8"/>
    <w:lvl w:ilvl="0" w:tplc="98FEB0A8">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5" w15:restartNumberingAfterBreak="0">
    <w:nsid w:val="1D69787C"/>
    <w:multiLevelType w:val="hybridMultilevel"/>
    <w:tmpl w:val="EC121316"/>
    <w:lvl w:ilvl="0" w:tplc="A56A7B94">
      <w:start w:val="1"/>
      <w:numFmt w:val="lowerLetter"/>
      <w:lvlText w:val="%1)"/>
      <w:lvlJc w:val="left"/>
      <w:pPr>
        <w:tabs>
          <w:tab w:val="num" w:pos="964"/>
        </w:tabs>
        <w:ind w:left="964" w:hanging="510"/>
      </w:pPr>
      <w:rPr>
        <w:rFonts w:hint="default"/>
        <w:i w:val="0"/>
        <w:iCs/>
        <w:strike w:val="0"/>
        <w:color w:val="auto"/>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6" w15:restartNumberingAfterBreak="0">
    <w:nsid w:val="1E525A34"/>
    <w:multiLevelType w:val="multilevel"/>
    <w:tmpl w:val="7C0653B4"/>
    <w:lvl w:ilvl="0">
      <w:start w:val="1"/>
      <w:numFmt w:val="decimal"/>
      <w:lvlText w:val="%1"/>
      <w:lvlJc w:val="left"/>
      <w:pPr>
        <w:tabs>
          <w:tab w:val="num" w:pos="525"/>
        </w:tabs>
        <w:ind w:left="525" w:hanging="525"/>
      </w:pPr>
      <w:rPr>
        <w:rFonts w:hint="default"/>
      </w:rPr>
    </w:lvl>
    <w:lvl w:ilvl="1">
      <w:start w:val="1"/>
      <w:numFmt w:val="decimal"/>
      <w:lvlText w:val="4.%2"/>
      <w:lvlJc w:val="left"/>
      <w:pPr>
        <w:tabs>
          <w:tab w:val="num" w:pos="525"/>
        </w:tabs>
        <w:ind w:left="525" w:hanging="525"/>
      </w:pPr>
      <w:rPr>
        <w:rFonts w:hint="default"/>
        <w:b w:val="0"/>
        <w:bCs w:val="0"/>
        <w:color w:val="000000" w:themeColor="text1"/>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77" w15:restartNumberingAfterBreak="0">
    <w:nsid w:val="1E682D4C"/>
    <w:multiLevelType w:val="hybridMultilevel"/>
    <w:tmpl w:val="ED7A0DF0"/>
    <w:lvl w:ilvl="0" w:tplc="2C9CA0C0">
      <w:start w:val="1"/>
      <w:numFmt w:val="bullet"/>
      <w:lvlText w:val=""/>
      <w:lvlJc w:val="left"/>
      <w:pPr>
        <w:tabs>
          <w:tab w:val="num" w:pos="1154"/>
        </w:tabs>
        <w:ind w:left="1154" w:hanging="360"/>
      </w:pPr>
      <w:rPr>
        <w:rFonts w:ascii="Symbol" w:hAnsi="Symbol" w:hint="default"/>
        <w:color w:val="auto"/>
        <w:sz w:val="20"/>
        <w:szCs w:val="20"/>
      </w:rPr>
    </w:lvl>
    <w:lvl w:ilvl="1" w:tplc="FFFFFFFF" w:tentative="1">
      <w:start w:val="1"/>
      <w:numFmt w:val="bullet"/>
      <w:lvlText w:val="o"/>
      <w:lvlJc w:val="left"/>
      <w:pPr>
        <w:tabs>
          <w:tab w:val="num" w:pos="1154"/>
        </w:tabs>
        <w:ind w:left="1154" w:hanging="360"/>
      </w:pPr>
      <w:rPr>
        <w:rFonts w:ascii="Courier New" w:hAnsi="Courier New" w:cs="Courier New" w:hint="default"/>
      </w:rPr>
    </w:lvl>
    <w:lvl w:ilvl="2" w:tplc="FFFFFFFF" w:tentative="1">
      <w:start w:val="1"/>
      <w:numFmt w:val="bullet"/>
      <w:lvlText w:val=""/>
      <w:lvlJc w:val="left"/>
      <w:pPr>
        <w:tabs>
          <w:tab w:val="num" w:pos="1874"/>
        </w:tabs>
        <w:ind w:left="1874" w:hanging="360"/>
      </w:pPr>
      <w:rPr>
        <w:rFonts w:ascii="Wingdings" w:hAnsi="Wingdings" w:hint="default"/>
      </w:rPr>
    </w:lvl>
    <w:lvl w:ilvl="3" w:tplc="FFFFFFFF" w:tentative="1">
      <w:start w:val="1"/>
      <w:numFmt w:val="bullet"/>
      <w:lvlText w:val=""/>
      <w:lvlJc w:val="left"/>
      <w:pPr>
        <w:tabs>
          <w:tab w:val="num" w:pos="2594"/>
        </w:tabs>
        <w:ind w:left="2594" w:hanging="360"/>
      </w:pPr>
      <w:rPr>
        <w:rFonts w:ascii="Symbol" w:hAnsi="Symbol" w:hint="default"/>
      </w:rPr>
    </w:lvl>
    <w:lvl w:ilvl="4" w:tplc="FFFFFFFF" w:tentative="1">
      <w:start w:val="1"/>
      <w:numFmt w:val="bullet"/>
      <w:lvlText w:val="o"/>
      <w:lvlJc w:val="left"/>
      <w:pPr>
        <w:tabs>
          <w:tab w:val="num" w:pos="3314"/>
        </w:tabs>
        <w:ind w:left="3314" w:hanging="360"/>
      </w:pPr>
      <w:rPr>
        <w:rFonts w:ascii="Courier New" w:hAnsi="Courier New" w:cs="Courier New" w:hint="default"/>
      </w:rPr>
    </w:lvl>
    <w:lvl w:ilvl="5" w:tplc="FFFFFFFF" w:tentative="1">
      <w:start w:val="1"/>
      <w:numFmt w:val="bullet"/>
      <w:lvlText w:val=""/>
      <w:lvlJc w:val="left"/>
      <w:pPr>
        <w:tabs>
          <w:tab w:val="num" w:pos="4034"/>
        </w:tabs>
        <w:ind w:left="4034" w:hanging="360"/>
      </w:pPr>
      <w:rPr>
        <w:rFonts w:ascii="Wingdings" w:hAnsi="Wingdings" w:hint="default"/>
      </w:rPr>
    </w:lvl>
    <w:lvl w:ilvl="6" w:tplc="FFFFFFFF" w:tentative="1">
      <w:start w:val="1"/>
      <w:numFmt w:val="bullet"/>
      <w:lvlText w:val=""/>
      <w:lvlJc w:val="left"/>
      <w:pPr>
        <w:tabs>
          <w:tab w:val="num" w:pos="4754"/>
        </w:tabs>
        <w:ind w:left="4754" w:hanging="360"/>
      </w:pPr>
      <w:rPr>
        <w:rFonts w:ascii="Symbol" w:hAnsi="Symbol" w:hint="default"/>
      </w:rPr>
    </w:lvl>
    <w:lvl w:ilvl="7" w:tplc="FFFFFFFF" w:tentative="1">
      <w:start w:val="1"/>
      <w:numFmt w:val="bullet"/>
      <w:lvlText w:val="o"/>
      <w:lvlJc w:val="left"/>
      <w:pPr>
        <w:tabs>
          <w:tab w:val="num" w:pos="5474"/>
        </w:tabs>
        <w:ind w:left="5474" w:hanging="360"/>
      </w:pPr>
      <w:rPr>
        <w:rFonts w:ascii="Courier New" w:hAnsi="Courier New" w:cs="Courier New" w:hint="default"/>
      </w:rPr>
    </w:lvl>
    <w:lvl w:ilvl="8" w:tplc="FFFFFFFF" w:tentative="1">
      <w:start w:val="1"/>
      <w:numFmt w:val="bullet"/>
      <w:lvlText w:val=""/>
      <w:lvlJc w:val="left"/>
      <w:pPr>
        <w:tabs>
          <w:tab w:val="num" w:pos="6194"/>
        </w:tabs>
        <w:ind w:left="6194" w:hanging="360"/>
      </w:pPr>
      <w:rPr>
        <w:rFonts w:ascii="Wingdings" w:hAnsi="Wingdings" w:hint="default"/>
      </w:rPr>
    </w:lvl>
  </w:abstractNum>
  <w:abstractNum w:abstractNumId="78" w15:restartNumberingAfterBreak="0">
    <w:nsid w:val="1ECE73D7"/>
    <w:multiLevelType w:val="hybridMultilevel"/>
    <w:tmpl w:val="C37AB4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15:restartNumberingAfterBreak="0">
    <w:nsid w:val="1FD264D9"/>
    <w:multiLevelType w:val="hybridMultilevel"/>
    <w:tmpl w:val="51A48DB6"/>
    <w:lvl w:ilvl="0" w:tplc="C03082C2">
      <w:start w:val="1"/>
      <w:numFmt w:val="lowerRoman"/>
      <w:lvlText w:val="%1"/>
      <w:lvlJc w:val="left"/>
      <w:pPr>
        <w:tabs>
          <w:tab w:val="num" w:pos="1117"/>
        </w:tabs>
        <w:ind w:left="1117" w:hanging="397"/>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0" w15:restartNumberingAfterBreak="0">
    <w:nsid w:val="206E5316"/>
    <w:multiLevelType w:val="hybridMultilevel"/>
    <w:tmpl w:val="8F8C99E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1" w15:restartNumberingAfterBreak="0">
    <w:nsid w:val="211E2759"/>
    <w:multiLevelType w:val="hybridMultilevel"/>
    <w:tmpl w:val="5C68815A"/>
    <w:lvl w:ilvl="0" w:tplc="B34CEA1C">
      <w:start w:val="1"/>
      <w:numFmt w:val="bullet"/>
      <w:lvlText w:val=""/>
      <w:lvlJc w:val="left"/>
      <w:pPr>
        <w:ind w:left="1069" w:hanging="360"/>
      </w:pPr>
      <w:rPr>
        <w:rFonts w:ascii="Symbol" w:hAnsi="Symbol" w:hint="default"/>
        <w:sz w:val="24"/>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82" w15:restartNumberingAfterBreak="0">
    <w:nsid w:val="216C53DA"/>
    <w:multiLevelType w:val="hybridMultilevel"/>
    <w:tmpl w:val="17602AEE"/>
    <w:lvl w:ilvl="0" w:tplc="08090017">
      <w:start w:val="1"/>
      <w:numFmt w:val="lowerLetter"/>
      <w:lvlText w:val="%1)"/>
      <w:lvlJc w:val="left"/>
      <w:pPr>
        <w:ind w:left="817" w:hanging="360"/>
      </w:pPr>
    </w:lvl>
    <w:lvl w:ilvl="1" w:tplc="08090019" w:tentative="1">
      <w:start w:val="1"/>
      <w:numFmt w:val="lowerLetter"/>
      <w:lvlText w:val="%2."/>
      <w:lvlJc w:val="left"/>
      <w:pPr>
        <w:ind w:left="1537" w:hanging="360"/>
      </w:pPr>
    </w:lvl>
    <w:lvl w:ilvl="2" w:tplc="0809001B" w:tentative="1">
      <w:start w:val="1"/>
      <w:numFmt w:val="lowerRoman"/>
      <w:lvlText w:val="%3."/>
      <w:lvlJc w:val="right"/>
      <w:pPr>
        <w:ind w:left="2257" w:hanging="180"/>
      </w:pPr>
    </w:lvl>
    <w:lvl w:ilvl="3" w:tplc="0809000F" w:tentative="1">
      <w:start w:val="1"/>
      <w:numFmt w:val="decimal"/>
      <w:lvlText w:val="%4."/>
      <w:lvlJc w:val="left"/>
      <w:pPr>
        <w:ind w:left="2977" w:hanging="360"/>
      </w:pPr>
    </w:lvl>
    <w:lvl w:ilvl="4" w:tplc="08090019" w:tentative="1">
      <w:start w:val="1"/>
      <w:numFmt w:val="lowerLetter"/>
      <w:lvlText w:val="%5."/>
      <w:lvlJc w:val="left"/>
      <w:pPr>
        <w:ind w:left="3697" w:hanging="360"/>
      </w:pPr>
    </w:lvl>
    <w:lvl w:ilvl="5" w:tplc="0809001B" w:tentative="1">
      <w:start w:val="1"/>
      <w:numFmt w:val="lowerRoman"/>
      <w:lvlText w:val="%6."/>
      <w:lvlJc w:val="right"/>
      <w:pPr>
        <w:ind w:left="4417" w:hanging="180"/>
      </w:pPr>
    </w:lvl>
    <w:lvl w:ilvl="6" w:tplc="0809000F" w:tentative="1">
      <w:start w:val="1"/>
      <w:numFmt w:val="decimal"/>
      <w:lvlText w:val="%7."/>
      <w:lvlJc w:val="left"/>
      <w:pPr>
        <w:ind w:left="5137" w:hanging="360"/>
      </w:pPr>
    </w:lvl>
    <w:lvl w:ilvl="7" w:tplc="08090019" w:tentative="1">
      <w:start w:val="1"/>
      <w:numFmt w:val="lowerLetter"/>
      <w:lvlText w:val="%8."/>
      <w:lvlJc w:val="left"/>
      <w:pPr>
        <w:ind w:left="5857" w:hanging="360"/>
      </w:pPr>
    </w:lvl>
    <w:lvl w:ilvl="8" w:tplc="0809001B" w:tentative="1">
      <w:start w:val="1"/>
      <w:numFmt w:val="lowerRoman"/>
      <w:lvlText w:val="%9."/>
      <w:lvlJc w:val="right"/>
      <w:pPr>
        <w:ind w:left="6577" w:hanging="180"/>
      </w:pPr>
    </w:lvl>
  </w:abstractNum>
  <w:abstractNum w:abstractNumId="83" w15:restartNumberingAfterBreak="0">
    <w:nsid w:val="21D34260"/>
    <w:multiLevelType w:val="hybridMultilevel"/>
    <w:tmpl w:val="2190F518"/>
    <w:lvl w:ilvl="0" w:tplc="8B941D06">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4" w15:restartNumberingAfterBreak="0">
    <w:nsid w:val="2242061A"/>
    <w:multiLevelType w:val="multilevel"/>
    <w:tmpl w:val="40E64CE6"/>
    <w:lvl w:ilvl="0">
      <w:start w:val="3"/>
      <w:numFmt w:val="decimal"/>
      <w:lvlText w:val="%1"/>
      <w:lvlJc w:val="left"/>
      <w:pPr>
        <w:ind w:left="360" w:hanging="360"/>
      </w:pPr>
      <w:rPr>
        <w:rFonts w:hint="default"/>
      </w:rPr>
    </w:lvl>
    <w:lvl w:ilvl="1">
      <w:start w:val="4"/>
      <w:numFmt w:val="decimal"/>
      <w:lvlText w:val="%1.%2"/>
      <w:lvlJc w:val="left"/>
      <w:pPr>
        <w:ind w:left="360" w:hanging="360"/>
      </w:pPr>
      <w:rPr>
        <w:rFonts w:hint="default"/>
        <w:strike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5" w15:restartNumberingAfterBreak="0">
    <w:nsid w:val="22BA7BDE"/>
    <w:multiLevelType w:val="hybridMultilevel"/>
    <w:tmpl w:val="AB5C8F3E"/>
    <w:lvl w:ilvl="0" w:tplc="8E9A1B5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6" w15:restartNumberingAfterBreak="0">
    <w:nsid w:val="22E853B6"/>
    <w:multiLevelType w:val="multilevel"/>
    <w:tmpl w:val="40127972"/>
    <w:lvl w:ilvl="0">
      <w:start w:val="3"/>
      <w:numFmt w:val="decimal"/>
      <w:lvlText w:val="%1"/>
      <w:lvlJc w:val="left"/>
      <w:pPr>
        <w:ind w:left="460" w:hanging="460"/>
      </w:pPr>
      <w:rPr>
        <w:rFonts w:hint="default"/>
      </w:rPr>
    </w:lvl>
    <w:lvl w:ilvl="1">
      <w:start w:val="86"/>
      <w:numFmt w:val="decimal"/>
      <w:lvlText w:val="%1.%2"/>
      <w:lvlJc w:val="left"/>
      <w:pPr>
        <w:ind w:left="460" w:hanging="460"/>
      </w:pPr>
      <w:rPr>
        <w:rFonts w:ascii="Arial" w:hAnsi="Arial" w:cs="Arial" w:hint="default"/>
        <w:b w:val="0"/>
        <w:bCs w:val="0"/>
        <w:strike w:val="0"/>
        <w:color w:val="auto"/>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7" w15:restartNumberingAfterBreak="0">
    <w:nsid w:val="2337395C"/>
    <w:multiLevelType w:val="hybridMultilevel"/>
    <w:tmpl w:val="CBD2D848"/>
    <w:lvl w:ilvl="0" w:tplc="F50212CA">
      <w:start w:val="1"/>
      <w:numFmt w:val="bullet"/>
      <w:lvlText w:val=""/>
      <w:lvlJc w:val="left"/>
      <w:pPr>
        <w:ind w:left="1440" w:hanging="360"/>
      </w:pPr>
      <w:rPr>
        <w:rFonts w:ascii="Symbol" w:hAnsi="Symbol" w:hint="default"/>
        <w:color w:val="auto"/>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8" w15:restartNumberingAfterBreak="0">
    <w:nsid w:val="23744DD3"/>
    <w:multiLevelType w:val="hybridMultilevel"/>
    <w:tmpl w:val="378C4DBA"/>
    <w:lvl w:ilvl="0" w:tplc="40C41738">
      <w:start w:val="1"/>
      <w:numFmt w:val="lowerLetter"/>
      <w:lvlText w:val="%1)"/>
      <w:lvlJc w:val="left"/>
      <w:pPr>
        <w:ind w:left="720" w:hanging="360"/>
      </w:pPr>
      <w:rPr>
        <w:rFonts w:hint="default"/>
        <w:strike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9" w15:restartNumberingAfterBreak="0">
    <w:nsid w:val="23F93AA0"/>
    <w:multiLevelType w:val="hybridMultilevel"/>
    <w:tmpl w:val="A69AEB16"/>
    <w:lvl w:ilvl="0" w:tplc="08090001">
      <w:start w:val="1"/>
      <w:numFmt w:val="bullet"/>
      <w:lvlText w:val=""/>
      <w:lvlJc w:val="left"/>
      <w:pPr>
        <w:ind w:left="887" w:hanging="360"/>
      </w:pPr>
      <w:rPr>
        <w:rFonts w:ascii="Symbol" w:hAnsi="Symbol" w:hint="default"/>
      </w:rPr>
    </w:lvl>
    <w:lvl w:ilvl="1" w:tplc="08090003" w:tentative="1">
      <w:start w:val="1"/>
      <w:numFmt w:val="bullet"/>
      <w:lvlText w:val="o"/>
      <w:lvlJc w:val="left"/>
      <w:pPr>
        <w:ind w:left="1607" w:hanging="360"/>
      </w:pPr>
      <w:rPr>
        <w:rFonts w:ascii="Courier New" w:hAnsi="Courier New" w:cs="Courier New" w:hint="default"/>
      </w:rPr>
    </w:lvl>
    <w:lvl w:ilvl="2" w:tplc="08090005" w:tentative="1">
      <w:start w:val="1"/>
      <w:numFmt w:val="bullet"/>
      <w:lvlText w:val=""/>
      <w:lvlJc w:val="left"/>
      <w:pPr>
        <w:ind w:left="2327" w:hanging="360"/>
      </w:pPr>
      <w:rPr>
        <w:rFonts w:ascii="Wingdings" w:hAnsi="Wingdings" w:hint="default"/>
      </w:rPr>
    </w:lvl>
    <w:lvl w:ilvl="3" w:tplc="08090001" w:tentative="1">
      <w:start w:val="1"/>
      <w:numFmt w:val="bullet"/>
      <w:lvlText w:val=""/>
      <w:lvlJc w:val="left"/>
      <w:pPr>
        <w:ind w:left="3047" w:hanging="360"/>
      </w:pPr>
      <w:rPr>
        <w:rFonts w:ascii="Symbol" w:hAnsi="Symbol" w:hint="default"/>
      </w:rPr>
    </w:lvl>
    <w:lvl w:ilvl="4" w:tplc="08090003" w:tentative="1">
      <w:start w:val="1"/>
      <w:numFmt w:val="bullet"/>
      <w:lvlText w:val="o"/>
      <w:lvlJc w:val="left"/>
      <w:pPr>
        <w:ind w:left="3767" w:hanging="360"/>
      </w:pPr>
      <w:rPr>
        <w:rFonts w:ascii="Courier New" w:hAnsi="Courier New" w:cs="Courier New" w:hint="default"/>
      </w:rPr>
    </w:lvl>
    <w:lvl w:ilvl="5" w:tplc="08090005" w:tentative="1">
      <w:start w:val="1"/>
      <w:numFmt w:val="bullet"/>
      <w:lvlText w:val=""/>
      <w:lvlJc w:val="left"/>
      <w:pPr>
        <w:ind w:left="4487" w:hanging="360"/>
      </w:pPr>
      <w:rPr>
        <w:rFonts w:ascii="Wingdings" w:hAnsi="Wingdings" w:hint="default"/>
      </w:rPr>
    </w:lvl>
    <w:lvl w:ilvl="6" w:tplc="08090001" w:tentative="1">
      <w:start w:val="1"/>
      <w:numFmt w:val="bullet"/>
      <w:lvlText w:val=""/>
      <w:lvlJc w:val="left"/>
      <w:pPr>
        <w:ind w:left="5207" w:hanging="360"/>
      </w:pPr>
      <w:rPr>
        <w:rFonts w:ascii="Symbol" w:hAnsi="Symbol" w:hint="default"/>
      </w:rPr>
    </w:lvl>
    <w:lvl w:ilvl="7" w:tplc="08090003" w:tentative="1">
      <w:start w:val="1"/>
      <w:numFmt w:val="bullet"/>
      <w:lvlText w:val="o"/>
      <w:lvlJc w:val="left"/>
      <w:pPr>
        <w:ind w:left="5927" w:hanging="360"/>
      </w:pPr>
      <w:rPr>
        <w:rFonts w:ascii="Courier New" w:hAnsi="Courier New" w:cs="Courier New" w:hint="default"/>
      </w:rPr>
    </w:lvl>
    <w:lvl w:ilvl="8" w:tplc="08090005" w:tentative="1">
      <w:start w:val="1"/>
      <w:numFmt w:val="bullet"/>
      <w:lvlText w:val=""/>
      <w:lvlJc w:val="left"/>
      <w:pPr>
        <w:ind w:left="6647" w:hanging="360"/>
      </w:pPr>
      <w:rPr>
        <w:rFonts w:ascii="Wingdings" w:hAnsi="Wingdings" w:hint="default"/>
      </w:rPr>
    </w:lvl>
  </w:abstractNum>
  <w:abstractNum w:abstractNumId="90" w15:restartNumberingAfterBreak="0">
    <w:nsid w:val="24E36149"/>
    <w:multiLevelType w:val="hybridMultilevel"/>
    <w:tmpl w:val="21F63708"/>
    <w:lvl w:ilvl="0" w:tplc="86085708">
      <w:start w:val="1"/>
      <w:numFmt w:val="decimal"/>
      <w:lvlText w:val="%1."/>
      <w:lvlJc w:val="left"/>
      <w:pPr>
        <w:tabs>
          <w:tab w:val="num" w:pos="360"/>
        </w:tabs>
        <w:ind w:left="360" w:hanging="360"/>
      </w:pPr>
      <w:rPr>
        <w:rFonts w:hint="default"/>
        <w:b w:val="0"/>
        <w:bCs w:val="0"/>
        <w:strike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1" w15:restartNumberingAfterBreak="0">
    <w:nsid w:val="25015E0C"/>
    <w:multiLevelType w:val="hybridMultilevel"/>
    <w:tmpl w:val="534AAB96"/>
    <w:lvl w:ilvl="0" w:tplc="7A5CB8BA">
      <w:start w:val="1"/>
      <w:numFmt w:val="lowerLetter"/>
      <w:lvlText w:val="%1."/>
      <w:lvlJc w:val="left"/>
      <w:pPr>
        <w:ind w:left="720" w:hanging="360"/>
      </w:pPr>
      <w:rPr>
        <w:rFonts w:hint="default"/>
      </w:rPr>
    </w:lvl>
    <w:lvl w:ilvl="1" w:tplc="08090019">
      <w:start w:val="1"/>
      <w:numFmt w:val="lowerLetter"/>
      <w:lvlText w:val="%2."/>
      <w:lvlJc w:val="left"/>
      <w:pPr>
        <w:ind w:left="720" w:hanging="360"/>
      </w:pPr>
    </w:lvl>
    <w:lvl w:ilvl="2" w:tplc="0809001B" w:tentative="1">
      <w:start w:val="1"/>
      <w:numFmt w:val="lowerRoman"/>
      <w:lvlText w:val="%3."/>
      <w:lvlJc w:val="right"/>
      <w:pPr>
        <w:ind w:left="1440" w:hanging="180"/>
      </w:pPr>
    </w:lvl>
    <w:lvl w:ilvl="3" w:tplc="0809000F" w:tentative="1">
      <w:start w:val="1"/>
      <w:numFmt w:val="decimal"/>
      <w:lvlText w:val="%4."/>
      <w:lvlJc w:val="left"/>
      <w:pPr>
        <w:ind w:left="2160" w:hanging="360"/>
      </w:pPr>
    </w:lvl>
    <w:lvl w:ilvl="4" w:tplc="08090019" w:tentative="1">
      <w:start w:val="1"/>
      <w:numFmt w:val="lowerLetter"/>
      <w:lvlText w:val="%5."/>
      <w:lvlJc w:val="left"/>
      <w:pPr>
        <w:ind w:left="2880" w:hanging="360"/>
      </w:pPr>
    </w:lvl>
    <w:lvl w:ilvl="5" w:tplc="0809001B" w:tentative="1">
      <w:start w:val="1"/>
      <w:numFmt w:val="lowerRoman"/>
      <w:lvlText w:val="%6."/>
      <w:lvlJc w:val="right"/>
      <w:pPr>
        <w:ind w:left="3600" w:hanging="180"/>
      </w:pPr>
    </w:lvl>
    <w:lvl w:ilvl="6" w:tplc="0809000F" w:tentative="1">
      <w:start w:val="1"/>
      <w:numFmt w:val="decimal"/>
      <w:lvlText w:val="%7."/>
      <w:lvlJc w:val="left"/>
      <w:pPr>
        <w:ind w:left="4320" w:hanging="360"/>
      </w:pPr>
    </w:lvl>
    <w:lvl w:ilvl="7" w:tplc="08090019" w:tentative="1">
      <w:start w:val="1"/>
      <w:numFmt w:val="lowerLetter"/>
      <w:lvlText w:val="%8."/>
      <w:lvlJc w:val="left"/>
      <w:pPr>
        <w:ind w:left="5040" w:hanging="360"/>
      </w:pPr>
    </w:lvl>
    <w:lvl w:ilvl="8" w:tplc="0809001B" w:tentative="1">
      <w:start w:val="1"/>
      <w:numFmt w:val="lowerRoman"/>
      <w:lvlText w:val="%9."/>
      <w:lvlJc w:val="right"/>
      <w:pPr>
        <w:ind w:left="5760" w:hanging="180"/>
      </w:pPr>
    </w:lvl>
  </w:abstractNum>
  <w:abstractNum w:abstractNumId="92" w15:restartNumberingAfterBreak="0">
    <w:nsid w:val="256E2850"/>
    <w:multiLevelType w:val="hybridMultilevel"/>
    <w:tmpl w:val="8DC0771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3" w15:restartNumberingAfterBreak="0">
    <w:nsid w:val="2634486E"/>
    <w:multiLevelType w:val="hybridMultilevel"/>
    <w:tmpl w:val="5AF4BF9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4" w15:restartNumberingAfterBreak="0">
    <w:nsid w:val="267B6769"/>
    <w:multiLevelType w:val="hybridMultilevel"/>
    <w:tmpl w:val="DA72E796"/>
    <w:lvl w:ilvl="0" w:tplc="08090001">
      <w:start w:val="1"/>
      <w:numFmt w:val="bullet"/>
      <w:lvlText w:val=""/>
      <w:lvlJc w:val="left"/>
      <w:pPr>
        <w:ind w:left="1140" w:hanging="360"/>
      </w:pPr>
      <w:rPr>
        <w:rFonts w:ascii="Symbol" w:hAnsi="Symbol" w:hint="default"/>
      </w:rPr>
    </w:lvl>
    <w:lvl w:ilvl="1" w:tplc="08090003" w:tentative="1">
      <w:start w:val="1"/>
      <w:numFmt w:val="bullet"/>
      <w:lvlText w:val="o"/>
      <w:lvlJc w:val="left"/>
      <w:pPr>
        <w:ind w:left="1860" w:hanging="360"/>
      </w:pPr>
      <w:rPr>
        <w:rFonts w:ascii="Courier New" w:hAnsi="Courier New" w:cs="Courier New" w:hint="default"/>
      </w:rPr>
    </w:lvl>
    <w:lvl w:ilvl="2" w:tplc="08090005" w:tentative="1">
      <w:start w:val="1"/>
      <w:numFmt w:val="bullet"/>
      <w:lvlText w:val=""/>
      <w:lvlJc w:val="left"/>
      <w:pPr>
        <w:ind w:left="2580" w:hanging="360"/>
      </w:pPr>
      <w:rPr>
        <w:rFonts w:ascii="Wingdings" w:hAnsi="Wingdings" w:hint="default"/>
      </w:rPr>
    </w:lvl>
    <w:lvl w:ilvl="3" w:tplc="08090001" w:tentative="1">
      <w:start w:val="1"/>
      <w:numFmt w:val="bullet"/>
      <w:lvlText w:val=""/>
      <w:lvlJc w:val="left"/>
      <w:pPr>
        <w:ind w:left="3300" w:hanging="360"/>
      </w:pPr>
      <w:rPr>
        <w:rFonts w:ascii="Symbol" w:hAnsi="Symbol" w:hint="default"/>
      </w:rPr>
    </w:lvl>
    <w:lvl w:ilvl="4" w:tplc="08090003" w:tentative="1">
      <w:start w:val="1"/>
      <w:numFmt w:val="bullet"/>
      <w:lvlText w:val="o"/>
      <w:lvlJc w:val="left"/>
      <w:pPr>
        <w:ind w:left="4020" w:hanging="360"/>
      </w:pPr>
      <w:rPr>
        <w:rFonts w:ascii="Courier New" w:hAnsi="Courier New" w:cs="Courier New" w:hint="default"/>
      </w:rPr>
    </w:lvl>
    <w:lvl w:ilvl="5" w:tplc="08090005" w:tentative="1">
      <w:start w:val="1"/>
      <w:numFmt w:val="bullet"/>
      <w:lvlText w:val=""/>
      <w:lvlJc w:val="left"/>
      <w:pPr>
        <w:ind w:left="4740" w:hanging="360"/>
      </w:pPr>
      <w:rPr>
        <w:rFonts w:ascii="Wingdings" w:hAnsi="Wingdings" w:hint="default"/>
      </w:rPr>
    </w:lvl>
    <w:lvl w:ilvl="6" w:tplc="08090001" w:tentative="1">
      <w:start w:val="1"/>
      <w:numFmt w:val="bullet"/>
      <w:lvlText w:val=""/>
      <w:lvlJc w:val="left"/>
      <w:pPr>
        <w:ind w:left="5460" w:hanging="360"/>
      </w:pPr>
      <w:rPr>
        <w:rFonts w:ascii="Symbol" w:hAnsi="Symbol" w:hint="default"/>
      </w:rPr>
    </w:lvl>
    <w:lvl w:ilvl="7" w:tplc="08090003" w:tentative="1">
      <w:start w:val="1"/>
      <w:numFmt w:val="bullet"/>
      <w:lvlText w:val="o"/>
      <w:lvlJc w:val="left"/>
      <w:pPr>
        <w:ind w:left="6180" w:hanging="360"/>
      </w:pPr>
      <w:rPr>
        <w:rFonts w:ascii="Courier New" w:hAnsi="Courier New" w:cs="Courier New" w:hint="default"/>
      </w:rPr>
    </w:lvl>
    <w:lvl w:ilvl="8" w:tplc="08090005" w:tentative="1">
      <w:start w:val="1"/>
      <w:numFmt w:val="bullet"/>
      <w:lvlText w:val=""/>
      <w:lvlJc w:val="left"/>
      <w:pPr>
        <w:ind w:left="6900" w:hanging="360"/>
      </w:pPr>
      <w:rPr>
        <w:rFonts w:ascii="Wingdings" w:hAnsi="Wingdings" w:hint="default"/>
      </w:rPr>
    </w:lvl>
  </w:abstractNum>
  <w:abstractNum w:abstractNumId="95" w15:restartNumberingAfterBreak="0">
    <w:nsid w:val="267B726F"/>
    <w:multiLevelType w:val="hybridMultilevel"/>
    <w:tmpl w:val="A768DB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6" w15:restartNumberingAfterBreak="0">
    <w:nsid w:val="26860BA1"/>
    <w:multiLevelType w:val="hybridMultilevel"/>
    <w:tmpl w:val="87D0C10C"/>
    <w:lvl w:ilvl="0" w:tplc="0809000B">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7" w15:restartNumberingAfterBreak="0">
    <w:nsid w:val="26B35A13"/>
    <w:multiLevelType w:val="hybridMultilevel"/>
    <w:tmpl w:val="A208AD0C"/>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8" w15:restartNumberingAfterBreak="0">
    <w:nsid w:val="27691CCB"/>
    <w:multiLevelType w:val="hybridMultilevel"/>
    <w:tmpl w:val="61A206DE"/>
    <w:lvl w:ilvl="0" w:tplc="AB66E19C">
      <w:start w:val="1"/>
      <w:numFmt w:val="bullet"/>
      <w:pStyle w:val="ListBullet"/>
      <w:lvlText w:val=""/>
      <w:lvlJc w:val="left"/>
      <w:pPr>
        <w:ind w:left="742" w:hanging="360"/>
      </w:pPr>
      <w:rPr>
        <w:rFonts w:ascii="Symbol" w:hAnsi="Symbol" w:hint="default"/>
      </w:rPr>
    </w:lvl>
    <w:lvl w:ilvl="1" w:tplc="08090003">
      <w:start w:val="1"/>
      <w:numFmt w:val="bullet"/>
      <w:lvlText w:val="o"/>
      <w:lvlJc w:val="left"/>
      <w:pPr>
        <w:ind w:left="1462" w:hanging="360"/>
      </w:pPr>
      <w:rPr>
        <w:rFonts w:ascii="Courier New" w:hAnsi="Courier New" w:cs="Courier New" w:hint="default"/>
      </w:rPr>
    </w:lvl>
    <w:lvl w:ilvl="2" w:tplc="08090005" w:tentative="1">
      <w:start w:val="1"/>
      <w:numFmt w:val="bullet"/>
      <w:lvlText w:val=""/>
      <w:lvlJc w:val="left"/>
      <w:pPr>
        <w:ind w:left="2182" w:hanging="360"/>
      </w:pPr>
      <w:rPr>
        <w:rFonts w:ascii="Wingdings" w:hAnsi="Wingdings" w:hint="default"/>
      </w:rPr>
    </w:lvl>
    <w:lvl w:ilvl="3" w:tplc="08090001" w:tentative="1">
      <w:start w:val="1"/>
      <w:numFmt w:val="bullet"/>
      <w:lvlText w:val=""/>
      <w:lvlJc w:val="left"/>
      <w:pPr>
        <w:ind w:left="2902" w:hanging="360"/>
      </w:pPr>
      <w:rPr>
        <w:rFonts w:ascii="Symbol" w:hAnsi="Symbol" w:hint="default"/>
      </w:rPr>
    </w:lvl>
    <w:lvl w:ilvl="4" w:tplc="08090003" w:tentative="1">
      <w:start w:val="1"/>
      <w:numFmt w:val="bullet"/>
      <w:lvlText w:val="o"/>
      <w:lvlJc w:val="left"/>
      <w:pPr>
        <w:ind w:left="3622" w:hanging="360"/>
      </w:pPr>
      <w:rPr>
        <w:rFonts w:ascii="Courier New" w:hAnsi="Courier New" w:cs="Courier New" w:hint="default"/>
      </w:rPr>
    </w:lvl>
    <w:lvl w:ilvl="5" w:tplc="08090005" w:tentative="1">
      <w:start w:val="1"/>
      <w:numFmt w:val="bullet"/>
      <w:lvlText w:val=""/>
      <w:lvlJc w:val="left"/>
      <w:pPr>
        <w:ind w:left="4342" w:hanging="360"/>
      </w:pPr>
      <w:rPr>
        <w:rFonts w:ascii="Wingdings" w:hAnsi="Wingdings" w:hint="default"/>
      </w:rPr>
    </w:lvl>
    <w:lvl w:ilvl="6" w:tplc="08090001" w:tentative="1">
      <w:start w:val="1"/>
      <w:numFmt w:val="bullet"/>
      <w:lvlText w:val=""/>
      <w:lvlJc w:val="left"/>
      <w:pPr>
        <w:ind w:left="5062" w:hanging="360"/>
      </w:pPr>
      <w:rPr>
        <w:rFonts w:ascii="Symbol" w:hAnsi="Symbol" w:hint="default"/>
      </w:rPr>
    </w:lvl>
    <w:lvl w:ilvl="7" w:tplc="08090003" w:tentative="1">
      <w:start w:val="1"/>
      <w:numFmt w:val="bullet"/>
      <w:lvlText w:val="o"/>
      <w:lvlJc w:val="left"/>
      <w:pPr>
        <w:ind w:left="5782" w:hanging="360"/>
      </w:pPr>
      <w:rPr>
        <w:rFonts w:ascii="Courier New" w:hAnsi="Courier New" w:cs="Courier New" w:hint="default"/>
      </w:rPr>
    </w:lvl>
    <w:lvl w:ilvl="8" w:tplc="08090005" w:tentative="1">
      <w:start w:val="1"/>
      <w:numFmt w:val="bullet"/>
      <w:lvlText w:val=""/>
      <w:lvlJc w:val="left"/>
      <w:pPr>
        <w:ind w:left="6502" w:hanging="360"/>
      </w:pPr>
      <w:rPr>
        <w:rFonts w:ascii="Wingdings" w:hAnsi="Wingdings" w:hint="default"/>
      </w:rPr>
    </w:lvl>
  </w:abstractNum>
  <w:abstractNum w:abstractNumId="99" w15:restartNumberingAfterBreak="0">
    <w:nsid w:val="27A4761E"/>
    <w:multiLevelType w:val="hybridMultilevel"/>
    <w:tmpl w:val="80FCA0FC"/>
    <w:lvl w:ilvl="0" w:tplc="98FEB0A8">
      <w:start w:val="1"/>
      <w:numFmt w:val="bullet"/>
      <w:lvlText w:val=""/>
      <w:lvlJc w:val="left"/>
      <w:pPr>
        <w:ind w:left="1080" w:hanging="360"/>
      </w:pPr>
      <w:rPr>
        <w:rFonts w:ascii="Symbol" w:hAnsi="Symbol" w:hint="default"/>
        <w:color w:val="auto"/>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0" w15:restartNumberingAfterBreak="0">
    <w:nsid w:val="27F63C83"/>
    <w:multiLevelType w:val="hybridMultilevel"/>
    <w:tmpl w:val="4CB2CA20"/>
    <w:lvl w:ilvl="0" w:tplc="70CCB80E">
      <w:start w:val="1"/>
      <w:numFmt w:val="lowerLetter"/>
      <w:lvlText w:val="%1)"/>
      <w:lvlJc w:val="left"/>
      <w:pPr>
        <w:tabs>
          <w:tab w:val="num" w:pos="964"/>
        </w:tabs>
        <w:ind w:left="964" w:hanging="51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01" w15:restartNumberingAfterBreak="0">
    <w:nsid w:val="284054C7"/>
    <w:multiLevelType w:val="hybridMultilevel"/>
    <w:tmpl w:val="23C6D0D4"/>
    <w:lvl w:ilvl="0" w:tplc="87C63464">
      <w:start w:val="1"/>
      <w:numFmt w:val="lowerLetter"/>
      <w:lvlText w:val="%1)"/>
      <w:lvlJc w:val="left"/>
      <w:pPr>
        <w:ind w:left="36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2" w15:restartNumberingAfterBreak="0">
    <w:nsid w:val="284A5A35"/>
    <w:multiLevelType w:val="hybridMultilevel"/>
    <w:tmpl w:val="A6020D76"/>
    <w:lvl w:ilvl="0" w:tplc="08090001">
      <w:start w:val="1"/>
      <w:numFmt w:val="bullet"/>
      <w:lvlText w:val=""/>
      <w:lvlJc w:val="left"/>
      <w:pPr>
        <w:ind w:left="1245" w:hanging="360"/>
      </w:pPr>
      <w:rPr>
        <w:rFonts w:ascii="Symbol" w:hAnsi="Symbol" w:hint="default"/>
      </w:rPr>
    </w:lvl>
    <w:lvl w:ilvl="1" w:tplc="08090003" w:tentative="1">
      <w:start w:val="1"/>
      <w:numFmt w:val="bullet"/>
      <w:lvlText w:val="o"/>
      <w:lvlJc w:val="left"/>
      <w:pPr>
        <w:ind w:left="1965" w:hanging="360"/>
      </w:pPr>
      <w:rPr>
        <w:rFonts w:ascii="Courier New" w:hAnsi="Courier New" w:cs="Courier New" w:hint="default"/>
      </w:rPr>
    </w:lvl>
    <w:lvl w:ilvl="2" w:tplc="08090005" w:tentative="1">
      <w:start w:val="1"/>
      <w:numFmt w:val="bullet"/>
      <w:lvlText w:val=""/>
      <w:lvlJc w:val="left"/>
      <w:pPr>
        <w:ind w:left="2685" w:hanging="360"/>
      </w:pPr>
      <w:rPr>
        <w:rFonts w:ascii="Wingdings" w:hAnsi="Wingdings" w:hint="default"/>
      </w:rPr>
    </w:lvl>
    <w:lvl w:ilvl="3" w:tplc="08090001" w:tentative="1">
      <w:start w:val="1"/>
      <w:numFmt w:val="bullet"/>
      <w:lvlText w:val=""/>
      <w:lvlJc w:val="left"/>
      <w:pPr>
        <w:ind w:left="3405" w:hanging="360"/>
      </w:pPr>
      <w:rPr>
        <w:rFonts w:ascii="Symbol" w:hAnsi="Symbol" w:hint="default"/>
      </w:rPr>
    </w:lvl>
    <w:lvl w:ilvl="4" w:tplc="08090003" w:tentative="1">
      <w:start w:val="1"/>
      <w:numFmt w:val="bullet"/>
      <w:lvlText w:val="o"/>
      <w:lvlJc w:val="left"/>
      <w:pPr>
        <w:ind w:left="4125" w:hanging="360"/>
      </w:pPr>
      <w:rPr>
        <w:rFonts w:ascii="Courier New" w:hAnsi="Courier New" w:cs="Courier New" w:hint="default"/>
      </w:rPr>
    </w:lvl>
    <w:lvl w:ilvl="5" w:tplc="08090005" w:tentative="1">
      <w:start w:val="1"/>
      <w:numFmt w:val="bullet"/>
      <w:lvlText w:val=""/>
      <w:lvlJc w:val="left"/>
      <w:pPr>
        <w:ind w:left="4845" w:hanging="360"/>
      </w:pPr>
      <w:rPr>
        <w:rFonts w:ascii="Wingdings" w:hAnsi="Wingdings" w:hint="default"/>
      </w:rPr>
    </w:lvl>
    <w:lvl w:ilvl="6" w:tplc="08090001" w:tentative="1">
      <w:start w:val="1"/>
      <w:numFmt w:val="bullet"/>
      <w:lvlText w:val=""/>
      <w:lvlJc w:val="left"/>
      <w:pPr>
        <w:ind w:left="5565" w:hanging="360"/>
      </w:pPr>
      <w:rPr>
        <w:rFonts w:ascii="Symbol" w:hAnsi="Symbol" w:hint="default"/>
      </w:rPr>
    </w:lvl>
    <w:lvl w:ilvl="7" w:tplc="08090003" w:tentative="1">
      <w:start w:val="1"/>
      <w:numFmt w:val="bullet"/>
      <w:lvlText w:val="o"/>
      <w:lvlJc w:val="left"/>
      <w:pPr>
        <w:ind w:left="6285" w:hanging="360"/>
      </w:pPr>
      <w:rPr>
        <w:rFonts w:ascii="Courier New" w:hAnsi="Courier New" w:cs="Courier New" w:hint="default"/>
      </w:rPr>
    </w:lvl>
    <w:lvl w:ilvl="8" w:tplc="08090005" w:tentative="1">
      <w:start w:val="1"/>
      <w:numFmt w:val="bullet"/>
      <w:lvlText w:val=""/>
      <w:lvlJc w:val="left"/>
      <w:pPr>
        <w:ind w:left="7005" w:hanging="360"/>
      </w:pPr>
      <w:rPr>
        <w:rFonts w:ascii="Wingdings" w:hAnsi="Wingdings" w:hint="default"/>
      </w:rPr>
    </w:lvl>
  </w:abstractNum>
  <w:abstractNum w:abstractNumId="103" w15:restartNumberingAfterBreak="0">
    <w:nsid w:val="285B59D9"/>
    <w:multiLevelType w:val="hybridMultilevel"/>
    <w:tmpl w:val="2C146484"/>
    <w:lvl w:ilvl="0" w:tplc="5AEA2AC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4" w15:restartNumberingAfterBreak="0">
    <w:nsid w:val="287544F2"/>
    <w:multiLevelType w:val="hybridMultilevel"/>
    <w:tmpl w:val="EE6C2642"/>
    <w:lvl w:ilvl="0" w:tplc="70E8CD10">
      <w:start w:val="1"/>
      <w:numFmt w:val="lowerRoman"/>
      <w:lvlText w:val="%1."/>
      <w:lvlJc w:val="right"/>
      <w:pPr>
        <w:tabs>
          <w:tab w:val="num" w:pos="1429"/>
        </w:tabs>
        <w:ind w:left="1429" w:hanging="180"/>
      </w:pPr>
      <w:rPr>
        <w:rFonts w:hint="default"/>
      </w:rPr>
    </w:lvl>
    <w:lvl w:ilvl="1" w:tplc="C26A0782">
      <w:start w:val="1"/>
      <w:numFmt w:val="bullet"/>
      <w:lvlText w:val=""/>
      <w:lvlJc w:val="left"/>
      <w:pPr>
        <w:tabs>
          <w:tab w:val="num" w:pos="1789"/>
        </w:tabs>
        <w:ind w:left="1959" w:hanging="170"/>
      </w:pPr>
      <w:rPr>
        <w:rFonts w:ascii="Symbol" w:hAnsi="Symbol" w:hint="default"/>
        <w:color w:val="auto"/>
        <w:sz w:val="24"/>
      </w:rPr>
    </w:lvl>
    <w:lvl w:ilvl="2" w:tplc="0809001B" w:tentative="1">
      <w:start w:val="1"/>
      <w:numFmt w:val="lowerRoman"/>
      <w:lvlText w:val="%3."/>
      <w:lvlJc w:val="right"/>
      <w:pPr>
        <w:tabs>
          <w:tab w:val="num" w:pos="2869"/>
        </w:tabs>
        <w:ind w:left="2869" w:hanging="180"/>
      </w:pPr>
    </w:lvl>
    <w:lvl w:ilvl="3" w:tplc="0809000F" w:tentative="1">
      <w:start w:val="1"/>
      <w:numFmt w:val="decimal"/>
      <w:lvlText w:val="%4."/>
      <w:lvlJc w:val="left"/>
      <w:pPr>
        <w:tabs>
          <w:tab w:val="num" w:pos="3589"/>
        </w:tabs>
        <w:ind w:left="3589" w:hanging="360"/>
      </w:pPr>
    </w:lvl>
    <w:lvl w:ilvl="4" w:tplc="08090019" w:tentative="1">
      <w:start w:val="1"/>
      <w:numFmt w:val="lowerLetter"/>
      <w:lvlText w:val="%5."/>
      <w:lvlJc w:val="left"/>
      <w:pPr>
        <w:tabs>
          <w:tab w:val="num" w:pos="4309"/>
        </w:tabs>
        <w:ind w:left="4309" w:hanging="360"/>
      </w:pPr>
    </w:lvl>
    <w:lvl w:ilvl="5" w:tplc="0809001B" w:tentative="1">
      <w:start w:val="1"/>
      <w:numFmt w:val="lowerRoman"/>
      <w:lvlText w:val="%6."/>
      <w:lvlJc w:val="right"/>
      <w:pPr>
        <w:tabs>
          <w:tab w:val="num" w:pos="5029"/>
        </w:tabs>
        <w:ind w:left="5029" w:hanging="180"/>
      </w:pPr>
    </w:lvl>
    <w:lvl w:ilvl="6" w:tplc="0809000F" w:tentative="1">
      <w:start w:val="1"/>
      <w:numFmt w:val="decimal"/>
      <w:lvlText w:val="%7."/>
      <w:lvlJc w:val="left"/>
      <w:pPr>
        <w:tabs>
          <w:tab w:val="num" w:pos="5749"/>
        </w:tabs>
        <w:ind w:left="5749" w:hanging="360"/>
      </w:pPr>
    </w:lvl>
    <w:lvl w:ilvl="7" w:tplc="08090019" w:tentative="1">
      <w:start w:val="1"/>
      <w:numFmt w:val="lowerLetter"/>
      <w:lvlText w:val="%8."/>
      <w:lvlJc w:val="left"/>
      <w:pPr>
        <w:tabs>
          <w:tab w:val="num" w:pos="6469"/>
        </w:tabs>
        <w:ind w:left="6469" w:hanging="360"/>
      </w:pPr>
    </w:lvl>
    <w:lvl w:ilvl="8" w:tplc="0809001B" w:tentative="1">
      <w:start w:val="1"/>
      <w:numFmt w:val="lowerRoman"/>
      <w:lvlText w:val="%9."/>
      <w:lvlJc w:val="right"/>
      <w:pPr>
        <w:tabs>
          <w:tab w:val="num" w:pos="7189"/>
        </w:tabs>
        <w:ind w:left="7189" w:hanging="180"/>
      </w:pPr>
    </w:lvl>
  </w:abstractNum>
  <w:abstractNum w:abstractNumId="105" w15:restartNumberingAfterBreak="0">
    <w:nsid w:val="28AF7CD2"/>
    <w:multiLevelType w:val="hybridMultilevel"/>
    <w:tmpl w:val="B48A9968"/>
    <w:lvl w:ilvl="0" w:tplc="114AA40C">
      <w:start w:val="1"/>
      <w:numFmt w:val="lowerRoman"/>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6" w15:restartNumberingAfterBreak="0">
    <w:nsid w:val="2AC45C63"/>
    <w:multiLevelType w:val="hybridMultilevel"/>
    <w:tmpl w:val="778A5400"/>
    <w:lvl w:ilvl="0" w:tplc="0770B034">
      <w:start w:val="1"/>
      <w:numFmt w:val="decimal"/>
      <w:lvlText w:val="%1."/>
      <w:lvlJc w:val="left"/>
      <w:pPr>
        <w:ind w:left="502" w:hanging="360"/>
      </w:pPr>
      <w:rPr>
        <w:rFonts w:hint="default"/>
        <w:strike w:val="0"/>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107" w15:restartNumberingAfterBreak="0">
    <w:nsid w:val="2C114AD8"/>
    <w:multiLevelType w:val="hybridMultilevel"/>
    <w:tmpl w:val="4E8A954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8" w15:restartNumberingAfterBreak="0">
    <w:nsid w:val="2CBE32DF"/>
    <w:multiLevelType w:val="hybridMultilevel"/>
    <w:tmpl w:val="B39AD2F8"/>
    <w:lvl w:ilvl="0" w:tplc="08090001">
      <w:start w:val="1"/>
      <w:numFmt w:val="bullet"/>
      <w:lvlText w:val=""/>
      <w:lvlJc w:val="left"/>
      <w:pPr>
        <w:ind w:left="-338" w:hanging="360"/>
      </w:pPr>
      <w:rPr>
        <w:rFonts w:ascii="Symbol" w:hAnsi="Symbol" w:hint="default"/>
      </w:rPr>
    </w:lvl>
    <w:lvl w:ilvl="1" w:tplc="08090003" w:tentative="1">
      <w:start w:val="1"/>
      <w:numFmt w:val="bullet"/>
      <w:lvlText w:val="o"/>
      <w:lvlJc w:val="left"/>
      <w:pPr>
        <w:ind w:left="382" w:hanging="360"/>
      </w:pPr>
      <w:rPr>
        <w:rFonts w:ascii="Courier New" w:hAnsi="Courier New" w:cs="Courier New" w:hint="default"/>
      </w:rPr>
    </w:lvl>
    <w:lvl w:ilvl="2" w:tplc="08090005" w:tentative="1">
      <w:start w:val="1"/>
      <w:numFmt w:val="bullet"/>
      <w:lvlText w:val=""/>
      <w:lvlJc w:val="left"/>
      <w:pPr>
        <w:ind w:left="1102" w:hanging="360"/>
      </w:pPr>
      <w:rPr>
        <w:rFonts w:ascii="Wingdings" w:hAnsi="Wingdings" w:hint="default"/>
      </w:rPr>
    </w:lvl>
    <w:lvl w:ilvl="3" w:tplc="08090001" w:tentative="1">
      <w:start w:val="1"/>
      <w:numFmt w:val="bullet"/>
      <w:lvlText w:val=""/>
      <w:lvlJc w:val="left"/>
      <w:pPr>
        <w:ind w:left="1822" w:hanging="360"/>
      </w:pPr>
      <w:rPr>
        <w:rFonts w:ascii="Symbol" w:hAnsi="Symbol" w:hint="default"/>
      </w:rPr>
    </w:lvl>
    <w:lvl w:ilvl="4" w:tplc="08090003" w:tentative="1">
      <w:start w:val="1"/>
      <w:numFmt w:val="bullet"/>
      <w:lvlText w:val="o"/>
      <w:lvlJc w:val="left"/>
      <w:pPr>
        <w:ind w:left="2542" w:hanging="360"/>
      </w:pPr>
      <w:rPr>
        <w:rFonts w:ascii="Courier New" w:hAnsi="Courier New" w:cs="Courier New" w:hint="default"/>
      </w:rPr>
    </w:lvl>
    <w:lvl w:ilvl="5" w:tplc="08090005" w:tentative="1">
      <w:start w:val="1"/>
      <w:numFmt w:val="bullet"/>
      <w:lvlText w:val=""/>
      <w:lvlJc w:val="left"/>
      <w:pPr>
        <w:ind w:left="3262" w:hanging="360"/>
      </w:pPr>
      <w:rPr>
        <w:rFonts w:ascii="Wingdings" w:hAnsi="Wingdings" w:hint="default"/>
      </w:rPr>
    </w:lvl>
    <w:lvl w:ilvl="6" w:tplc="08090001" w:tentative="1">
      <w:start w:val="1"/>
      <w:numFmt w:val="bullet"/>
      <w:lvlText w:val=""/>
      <w:lvlJc w:val="left"/>
      <w:pPr>
        <w:ind w:left="3982" w:hanging="360"/>
      </w:pPr>
      <w:rPr>
        <w:rFonts w:ascii="Symbol" w:hAnsi="Symbol" w:hint="default"/>
      </w:rPr>
    </w:lvl>
    <w:lvl w:ilvl="7" w:tplc="08090003" w:tentative="1">
      <w:start w:val="1"/>
      <w:numFmt w:val="bullet"/>
      <w:lvlText w:val="o"/>
      <w:lvlJc w:val="left"/>
      <w:pPr>
        <w:ind w:left="4702" w:hanging="360"/>
      </w:pPr>
      <w:rPr>
        <w:rFonts w:ascii="Courier New" w:hAnsi="Courier New" w:cs="Courier New" w:hint="default"/>
      </w:rPr>
    </w:lvl>
    <w:lvl w:ilvl="8" w:tplc="08090005" w:tentative="1">
      <w:start w:val="1"/>
      <w:numFmt w:val="bullet"/>
      <w:lvlText w:val=""/>
      <w:lvlJc w:val="left"/>
      <w:pPr>
        <w:ind w:left="5422" w:hanging="360"/>
      </w:pPr>
      <w:rPr>
        <w:rFonts w:ascii="Wingdings" w:hAnsi="Wingdings" w:hint="default"/>
      </w:rPr>
    </w:lvl>
  </w:abstractNum>
  <w:abstractNum w:abstractNumId="109" w15:restartNumberingAfterBreak="0">
    <w:nsid w:val="2CBF5BE5"/>
    <w:multiLevelType w:val="hybridMultilevel"/>
    <w:tmpl w:val="58C612BE"/>
    <w:lvl w:ilvl="0" w:tplc="7562D430">
      <w:start w:val="1"/>
      <w:numFmt w:val="lowerRoman"/>
      <w:lvlText w:val="%1."/>
      <w:lvlJc w:val="left"/>
      <w:pPr>
        <w:ind w:left="1080" w:hanging="360"/>
      </w:pPr>
      <w:rPr>
        <w:rFonts w:hint="default"/>
        <w:strike w:val="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0" w15:restartNumberingAfterBreak="0">
    <w:nsid w:val="2CE76564"/>
    <w:multiLevelType w:val="hybridMultilevel"/>
    <w:tmpl w:val="CF44DE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1" w15:restartNumberingAfterBreak="0">
    <w:nsid w:val="2D1120DF"/>
    <w:multiLevelType w:val="hybridMultilevel"/>
    <w:tmpl w:val="77CEB37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2" w15:restartNumberingAfterBreak="0">
    <w:nsid w:val="2D1F40CC"/>
    <w:multiLevelType w:val="hybridMultilevel"/>
    <w:tmpl w:val="4AF2898E"/>
    <w:lvl w:ilvl="0" w:tplc="10AAB27E">
      <w:start w:val="1"/>
      <w:numFmt w:val="bullet"/>
      <w:lvlText w:val=""/>
      <w:lvlJc w:val="left"/>
      <w:pPr>
        <w:tabs>
          <w:tab w:val="num" w:pos="397"/>
        </w:tabs>
        <w:ind w:left="397" w:hanging="397"/>
      </w:pPr>
      <w:rPr>
        <w:rFonts w:ascii="Symbol" w:hAnsi="Symbol" w:hint="default"/>
      </w:rPr>
    </w:lvl>
    <w:lvl w:ilvl="1" w:tplc="08090003" w:tentative="1">
      <w:start w:val="1"/>
      <w:numFmt w:val="bullet"/>
      <w:lvlText w:val="o"/>
      <w:lvlJc w:val="left"/>
      <w:pPr>
        <w:tabs>
          <w:tab w:val="num" w:pos="476"/>
        </w:tabs>
        <w:ind w:left="476" w:hanging="360"/>
      </w:pPr>
      <w:rPr>
        <w:rFonts w:ascii="Courier New" w:hAnsi="Courier New" w:cs="Courier New" w:hint="default"/>
      </w:rPr>
    </w:lvl>
    <w:lvl w:ilvl="2" w:tplc="08090005" w:tentative="1">
      <w:start w:val="1"/>
      <w:numFmt w:val="bullet"/>
      <w:lvlText w:val=""/>
      <w:lvlJc w:val="left"/>
      <w:pPr>
        <w:tabs>
          <w:tab w:val="num" w:pos="1196"/>
        </w:tabs>
        <w:ind w:left="1196" w:hanging="360"/>
      </w:pPr>
      <w:rPr>
        <w:rFonts w:ascii="Wingdings" w:hAnsi="Wingdings" w:hint="default"/>
      </w:rPr>
    </w:lvl>
    <w:lvl w:ilvl="3" w:tplc="08090001" w:tentative="1">
      <w:start w:val="1"/>
      <w:numFmt w:val="bullet"/>
      <w:lvlText w:val=""/>
      <w:lvlJc w:val="left"/>
      <w:pPr>
        <w:tabs>
          <w:tab w:val="num" w:pos="1916"/>
        </w:tabs>
        <w:ind w:left="1916" w:hanging="360"/>
      </w:pPr>
      <w:rPr>
        <w:rFonts w:ascii="Symbol" w:hAnsi="Symbol" w:hint="default"/>
      </w:rPr>
    </w:lvl>
    <w:lvl w:ilvl="4" w:tplc="08090003" w:tentative="1">
      <w:start w:val="1"/>
      <w:numFmt w:val="bullet"/>
      <w:lvlText w:val="o"/>
      <w:lvlJc w:val="left"/>
      <w:pPr>
        <w:tabs>
          <w:tab w:val="num" w:pos="2636"/>
        </w:tabs>
        <w:ind w:left="2636" w:hanging="360"/>
      </w:pPr>
      <w:rPr>
        <w:rFonts w:ascii="Courier New" w:hAnsi="Courier New" w:cs="Courier New" w:hint="default"/>
      </w:rPr>
    </w:lvl>
    <w:lvl w:ilvl="5" w:tplc="08090005" w:tentative="1">
      <w:start w:val="1"/>
      <w:numFmt w:val="bullet"/>
      <w:lvlText w:val=""/>
      <w:lvlJc w:val="left"/>
      <w:pPr>
        <w:tabs>
          <w:tab w:val="num" w:pos="3356"/>
        </w:tabs>
        <w:ind w:left="3356" w:hanging="360"/>
      </w:pPr>
      <w:rPr>
        <w:rFonts w:ascii="Wingdings" w:hAnsi="Wingdings" w:hint="default"/>
      </w:rPr>
    </w:lvl>
    <w:lvl w:ilvl="6" w:tplc="08090001" w:tentative="1">
      <w:start w:val="1"/>
      <w:numFmt w:val="bullet"/>
      <w:lvlText w:val=""/>
      <w:lvlJc w:val="left"/>
      <w:pPr>
        <w:tabs>
          <w:tab w:val="num" w:pos="4076"/>
        </w:tabs>
        <w:ind w:left="4076" w:hanging="360"/>
      </w:pPr>
      <w:rPr>
        <w:rFonts w:ascii="Symbol" w:hAnsi="Symbol" w:hint="default"/>
      </w:rPr>
    </w:lvl>
    <w:lvl w:ilvl="7" w:tplc="08090003" w:tentative="1">
      <w:start w:val="1"/>
      <w:numFmt w:val="bullet"/>
      <w:lvlText w:val="o"/>
      <w:lvlJc w:val="left"/>
      <w:pPr>
        <w:tabs>
          <w:tab w:val="num" w:pos="4796"/>
        </w:tabs>
        <w:ind w:left="4796" w:hanging="360"/>
      </w:pPr>
      <w:rPr>
        <w:rFonts w:ascii="Courier New" w:hAnsi="Courier New" w:cs="Courier New" w:hint="default"/>
      </w:rPr>
    </w:lvl>
    <w:lvl w:ilvl="8" w:tplc="08090005" w:tentative="1">
      <w:start w:val="1"/>
      <w:numFmt w:val="bullet"/>
      <w:lvlText w:val=""/>
      <w:lvlJc w:val="left"/>
      <w:pPr>
        <w:tabs>
          <w:tab w:val="num" w:pos="5516"/>
        </w:tabs>
        <w:ind w:left="5516" w:hanging="360"/>
      </w:pPr>
      <w:rPr>
        <w:rFonts w:ascii="Wingdings" w:hAnsi="Wingdings" w:hint="default"/>
      </w:rPr>
    </w:lvl>
  </w:abstractNum>
  <w:abstractNum w:abstractNumId="113" w15:restartNumberingAfterBreak="0">
    <w:nsid w:val="2DCF10BF"/>
    <w:multiLevelType w:val="hybridMultilevel"/>
    <w:tmpl w:val="196469A8"/>
    <w:lvl w:ilvl="0" w:tplc="C1EE646C">
      <w:start w:val="1"/>
      <w:numFmt w:val="decimal"/>
      <w:lvlText w:val="%1."/>
      <w:lvlJc w:val="left"/>
      <w:pPr>
        <w:tabs>
          <w:tab w:val="num" w:pos="360"/>
        </w:tabs>
        <w:ind w:left="360" w:hanging="360"/>
      </w:pPr>
      <w:rPr>
        <w:rFonts w:hint="default"/>
        <w:strike w:val="0"/>
      </w:rPr>
    </w:lvl>
    <w:lvl w:ilvl="1" w:tplc="70CCB80E">
      <w:start w:val="1"/>
      <w:numFmt w:val="lowerLetter"/>
      <w:lvlText w:val="%2)"/>
      <w:lvlJc w:val="left"/>
      <w:pPr>
        <w:tabs>
          <w:tab w:val="num" w:pos="1590"/>
        </w:tabs>
        <w:ind w:left="1590" w:hanging="510"/>
      </w:pPr>
      <w:rPr>
        <w:rFonts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4" w15:restartNumberingAfterBreak="0">
    <w:nsid w:val="2E0E7BE1"/>
    <w:multiLevelType w:val="hybridMultilevel"/>
    <w:tmpl w:val="9020A686"/>
    <w:lvl w:ilvl="0" w:tplc="8E9A1B5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5" w15:restartNumberingAfterBreak="0">
    <w:nsid w:val="2E2175EF"/>
    <w:multiLevelType w:val="hybridMultilevel"/>
    <w:tmpl w:val="2326E936"/>
    <w:lvl w:ilvl="0" w:tplc="888CDED6">
      <w:start w:val="5"/>
      <w:numFmt w:val="lowerLetter"/>
      <w:lvlText w:val="%1)"/>
      <w:lvlJc w:val="left"/>
      <w:pPr>
        <w:ind w:left="-208" w:hanging="360"/>
      </w:pPr>
      <w:rPr>
        <w:rFonts w:hint="default"/>
        <w:b w:val="0"/>
        <w:strike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6" w15:restartNumberingAfterBreak="0">
    <w:nsid w:val="2E2B5150"/>
    <w:multiLevelType w:val="hybridMultilevel"/>
    <w:tmpl w:val="754EC176"/>
    <w:lvl w:ilvl="0" w:tplc="87C63464">
      <w:start w:val="1"/>
      <w:numFmt w:val="lowerLetter"/>
      <w:lvlText w:val="%1)"/>
      <w:lvlJc w:val="left"/>
      <w:pPr>
        <w:ind w:left="360" w:hanging="360"/>
      </w:pPr>
      <w:rPr>
        <w:rFonts w:hint="default"/>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7" w15:restartNumberingAfterBreak="0">
    <w:nsid w:val="2E570E5B"/>
    <w:multiLevelType w:val="hybridMultilevel"/>
    <w:tmpl w:val="F6FCEA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8" w15:restartNumberingAfterBreak="0">
    <w:nsid w:val="2F5F0935"/>
    <w:multiLevelType w:val="hybridMultilevel"/>
    <w:tmpl w:val="DAE8A51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9" w15:restartNumberingAfterBreak="0">
    <w:nsid w:val="2FF50CF7"/>
    <w:multiLevelType w:val="hybridMultilevel"/>
    <w:tmpl w:val="4866E11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0" w15:restartNumberingAfterBreak="0">
    <w:nsid w:val="306961BB"/>
    <w:multiLevelType w:val="hybridMultilevel"/>
    <w:tmpl w:val="20C4418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1" w15:restartNumberingAfterBreak="0">
    <w:nsid w:val="313757FF"/>
    <w:multiLevelType w:val="hybridMultilevel"/>
    <w:tmpl w:val="256638C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2" w15:restartNumberingAfterBreak="0">
    <w:nsid w:val="3228717A"/>
    <w:multiLevelType w:val="hybridMultilevel"/>
    <w:tmpl w:val="51F2280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3" w15:restartNumberingAfterBreak="0">
    <w:nsid w:val="329830D3"/>
    <w:multiLevelType w:val="hybridMultilevel"/>
    <w:tmpl w:val="8D94D1CC"/>
    <w:lvl w:ilvl="0" w:tplc="97FAF9C6">
      <w:start w:val="1"/>
      <w:numFmt w:val="bullet"/>
      <w:lvlText w:val=""/>
      <w:lvlJc w:val="left"/>
      <w:pPr>
        <w:ind w:left="360" w:hanging="360"/>
      </w:pPr>
      <w:rPr>
        <w:rFonts w:ascii="Symbol" w:hAnsi="Symbol" w:hint="default"/>
        <w:color w:val="auto"/>
        <w:sz w:val="20"/>
        <w:szCs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4" w15:restartNumberingAfterBreak="0">
    <w:nsid w:val="32F649BE"/>
    <w:multiLevelType w:val="hybridMultilevel"/>
    <w:tmpl w:val="9668BDEA"/>
    <w:lvl w:ilvl="0" w:tplc="98FEB0A8">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5" w15:restartNumberingAfterBreak="0">
    <w:nsid w:val="32F94403"/>
    <w:multiLevelType w:val="hybridMultilevel"/>
    <w:tmpl w:val="DAD4B87A"/>
    <w:lvl w:ilvl="0" w:tplc="98FEB0A8">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6" w15:restartNumberingAfterBreak="0">
    <w:nsid w:val="33EA563C"/>
    <w:multiLevelType w:val="hybridMultilevel"/>
    <w:tmpl w:val="EC54FAFE"/>
    <w:lvl w:ilvl="0" w:tplc="8E9A1B5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7" w15:restartNumberingAfterBreak="0">
    <w:nsid w:val="348170B0"/>
    <w:multiLevelType w:val="hybridMultilevel"/>
    <w:tmpl w:val="E084B95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8" w15:restartNumberingAfterBreak="0">
    <w:nsid w:val="3493380E"/>
    <w:multiLevelType w:val="hybridMultilevel"/>
    <w:tmpl w:val="7DCEC23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9" w15:restartNumberingAfterBreak="0">
    <w:nsid w:val="363B2655"/>
    <w:multiLevelType w:val="hybridMultilevel"/>
    <w:tmpl w:val="98DA83DA"/>
    <w:lvl w:ilvl="0" w:tplc="98FEB0A8">
      <w:start w:val="1"/>
      <w:numFmt w:val="bullet"/>
      <w:lvlText w:val=""/>
      <w:lvlJc w:val="left"/>
      <w:pPr>
        <w:ind w:left="1080" w:hanging="360"/>
      </w:pPr>
      <w:rPr>
        <w:rFonts w:ascii="Symbol" w:hAnsi="Symbol" w:hint="default"/>
        <w:color w:val="auto"/>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0" w15:restartNumberingAfterBreak="0">
    <w:nsid w:val="368B3DBB"/>
    <w:multiLevelType w:val="hybridMultilevel"/>
    <w:tmpl w:val="D340E0AC"/>
    <w:lvl w:ilvl="0" w:tplc="87C63464">
      <w:start w:val="1"/>
      <w:numFmt w:val="lowerLetter"/>
      <w:lvlText w:val="%1)"/>
      <w:lvlJc w:val="left"/>
      <w:pPr>
        <w:ind w:left="76" w:hanging="360"/>
      </w:pPr>
      <w:rPr>
        <w:rFonts w:hint="default"/>
        <w:b w:val="0"/>
      </w:rPr>
    </w:lvl>
    <w:lvl w:ilvl="1" w:tplc="08090019" w:tentative="1">
      <w:start w:val="1"/>
      <w:numFmt w:val="lowerLetter"/>
      <w:lvlText w:val="%2."/>
      <w:lvlJc w:val="left"/>
      <w:pPr>
        <w:ind w:left="796" w:hanging="360"/>
      </w:pPr>
    </w:lvl>
    <w:lvl w:ilvl="2" w:tplc="0809001B" w:tentative="1">
      <w:start w:val="1"/>
      <w:numFmt w:val="lowerRoman"/>
      <w:lvlText w:val="%3."/>
      <w:lvlJc w:val="right"/>
      <w:pPr>
        <w:ind w:left="1516" w:hanging="180"/>
      </w:pPr>
    </w:lvl>
    <w:lvl w:ilvl="3" w:tplc="0809000F" w:tentative="1">
      <w:start w:val="1"/>
      <w:numFmt w:val="decimal"/>
      <w:lvlText w:val="%4."/>
      <w:lvlJc w:val="left"/>
      <w:pPr>
        <w:ind w:left="2236" w:hanging="360"/>
      </w:pPr>
    </w:lvl>
    <w:lvl w:ilvl="4" w:tplc="08090019" w:tentative="1">
      <w:start w:val="1"/>
      <w:numFmt w:val="lowerLetter"/>
      <w:lvlText w:val="%5."/>
      <w:lvlJc w:val="left"/>
      <w:pPr>
        <w:ind w:left="2956" w:hanging="360"/>
      </w:pPr>
    </w:lvl>
    <w:lvl w:ilvl="5" w:tplc="0809001B" w:tentative="1">
      <w:start w:val="1"/>
      <w:numFmt w:val="lowerRoman"/>
      <w:lvlText w:val="%6."/>
      <w:lvlJc w:val="right"/>
      <w:pPr>
        <w:ind w:left="3676" w:hanging="180"/>
      </w:pPr>
    </w:lvl>
    <w:lvl w:ilvl="6" w:tplc="0809000F" w:tentative="1">
      <w:start w:val="1"/>
      <w:numFmt w:val="decimal"/>
      <w:lvlText w:val="%7."/>
      <w:lvlJc w:val="left"/>
      <w:pPr>
        <w:ind w:left="4396" w:hanging="360"/>
      </w:pPr>
    </w:lvl>
    <w:lvl w:ilvl="7" w:tplc="08090019" w:tentative="1">
      <w:start w:val="1"/>
      <w:numFmt w:val="lowerLetter"/>
      <w:lvlText w:val="%8."/>
      <w:lvlJc w:val="left"/>
      <w:pPr>
        <w:ind w:left="5116" w:hanging="360"/>
      </w:pPr>
    </w:lvl>
    <w:lvl w:ilvl="8" w:tplc="0809001B" w:tentative="1">
      <w:start w:val="1"/>
      <w:numFmt w:val="lowerRoman"/>
      <w:lvlText w:val="%9."/>
      <w:lvlJc w:val="right"/>
      <w:pPr>
        <w:ind w:left="5836" w:hanging="180"/>
      </w:pPr>
    </w:lvl>
  </w:abstractNum>
  <w:abstractNum w:abstractNumId="131" w15:restartNumberingAfterBreak="0">
    <w:nsid w:val="36DE11AD"/>
    <w:multiLevelType w:val="hybridMultilevel"/>
    <w:tmpl w:val="5ED80EC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2" w15:restartNumberingAfterBreak="0">
    <w:nsid w:val="371721EB"/>
    <w:multiLevelType w:val="hybridMultilevel"/>
    <w:tmpl w:val="F79A6626"/>
    <w:lvl w:ilvl="0" w:tplc="08090001">
      <w:start w:val="1"/>
      <w:numFmt w:val="bullet"/>
      <w:lvlText w:val=""/>
      <w:lvlJc w:val="left"/>
      <w:pPr>
        <w:ind w:left="1211" w:hanging="360"/>
      </w:pPr>
      <w:rPr>
        <w:rFonts w:ascii="Symbol" w:hAnsi="Symbol"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133" w15:restartNumberingAfterBreak="0">
    <w:nsid w:val="37196AFD"/>
    <w:multiLevelType w:val="hybridMultilevel"/>
    <w:tmpl w:val="92121E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4" w15:restartNumberingAfterBreak="0">
    <w:nsid w:val="37410199"/>
    <w:multiLevelType w:val="hybridMultilevel"/>
    <w:tmpl w:val="061A7E1E"/>
    <w:lvl w:ilvl="0" w:tplc="97FAF9C6">
      <w:start w:val="1"/>
      <w:numFmt w:val="bullet"/>
      <w:lvlText w:val=""/>
      <w:lvlJc w:val="left"/>
      <w:pPr>
        <w:ind w:left="360" w:hanging="360"/>
      </w:pPr>
      <w:rPr>
        <w:rFonts w:ascii="Symbol" w:hAnsi="Symbol" w:hint="default"/>
        <w:color w:val="auto"/>
        <w:sz w:val="20"/>
        <w:szCs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5" w15:restartNumberingAfterBreak="0">
    <w:nsid w:val="377B2A1B"/>
    <w:multiLevelType w:val="hybridMultilevel"/>
    <w:tmpl w:val="F6CA3424"/>
    <w:lvl w:ilvl="0" w:tplc="08090001">
      <w:start w:val="1"/>
      <w:numFmt w:val="bullet"/>
      <w:lvlText w:val=""/>
      <w:lvlJc w:val="left"/>
      <w:pPr>
        <w:ind w:left="1069" w:hanging="360"/>
      </w:pPr>
      <w:rPr>
        <w:rFonts w:ascii="Symbol" w:hAnsi="Symbol"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136" w15:restartNumberingAfterBreak="0">
    <w:nsid w:val="377F3C8B"/>
    <w:multiLevelType w:val="hybridMultilevel"/>
    <w:tmpl w:val="B93A88C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7" w15:restartNumberingAfterBreak="0">
    <w:nsid w:val="3789390D"/>
    <w:multiLevelType w:val="hybridMultilevel"/>
    <w:tmpl w:val="BEFAF88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8" w15:restartNumberingAfterBreak="0">
    <w:nsid w:val="379F0AD4"/>
    <w:multiLevelType w:val="multilevel"/>
    <w:tmpl w:val="187CD222"/>
    <w:lvl w:ilvl="0">
      <w:start w:val="1"/>
      <w:numFmt w:val="decimal"/>
      <w:lvlText w:val="%1"/>
      <w:lvlJc w:val="left"/>
      <w:pPr>
        <w:tabs>
          <w:tab w:val="num" w:pos="525"/>
        </w:tabs>
        <w:ind w:left="525" w:hanging="525"/>
      </w:pPr>
      <w:rPr>
        <w:rFonts w:hint="default"/>
      </w:rPr>
    </w:lvl>
    <w:lvl w:ilvl="1">
      <w:start w:val="1"/>
      <w:numFmt w:val="decimal"/>
      <w:lvlText w:val="5.%2"/>
      <w:lvlJc w:val="left"/>
      <w:pPr>
        <w:tabs>
          <w:tab w:val="num" w:pos="525"/>
        </w:tabs>
        <w:ind w:left="525" w:hanging="525"/>
      </w:pPr>
      <w:rPr>
        <w:rFonts w:hint="default"/>
        <w:b w:val="0"/>
        <w:bCs w:val="0"/>
        <w:strike w:val="0"/>
        <w:color w:val="auto"/>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39" w15:restartNumberingAfterBreak="0">
    <w:nsid w:val="388C251E"/>
    <w:multiLevelType w:val="hybridMultilevel"/>
    <w:tmpl w:val="60CE4FEA"/>
    <w:lvl w:ilvl="0" w:tplc="DF9878A0">
      <w:start w:val="1"/>
      <w:numFmt w:val="lowerRoman"/>
      <w:lvlText w:val="%1"/>
      <w:lvlJc w:val="left"/>
      <w:pPr>
        <w:tabs>
          <w:tab w:val="num" w:pos="1117"/>
        </w:tabs>
        <w:ind w:left="1117" w:hanging="397"/>
      </w:pPr>
      <w:rPr>
        <w:rFonts w:hint="default"/>
      </w:rPr>
    </w:lvl>
    <w:lvl w:ilvl="1" w:tplc="08090019" w:tentative="1">
      <w:start w:val="1"/>
      <w:numFmt w:val="lowerLetter"/>
      <w:lvlText w:val="%2."/>
      <w:lvlJc w:val="left"/>
      <w:pPr>
        <w:tabs>
          <w:tab w:val="num" w:pos="1763"/>
        </w:tabs>
        <w:ind w:left="1763" w:hanging="360"/>
      </w:pPr>
    </w:lvl>
    <w:lvl w:ilvl="2" w:tplc="0809001B" w:tentative="1">
      <w:start w:val="1"/>
      <w:numFmt w:val="lowerRoman"/>
      <w:lvlText w:val="%3."/>
      <w:lvlJc w:val="right"/>
      <w:pPr>
        <w:tabs>
          <w:tab w:val="num" w:pos="2483"/>
        </w:tabs>
        <w:ind w:left="2483" w:hanging="180"/>
      </w:pPr>
    </w:lvl>
    <w:lvl w:ilvl="3" w:tplc="0809000F" w:tentative="1">
      <w:start w:val="1"/>
      <w:numFmt w:val="decimal"/>
      <w:lvlText w:val="%4."/>
      <w:lvlJc w:val="left"/>
      <w:pPr>
        <w:tabs>
          <w:tab w:val="num" w:pos="3203"/>
        </w:tabs>
        <w:ind w:left="3203" w:hanging="360"/>
      </w:pPr>
    </w:lvl>
    <w:lvl w:ilvl="4" w:tplc="08090019" w:tentative="1">
      <w:start w:val="1"/>
      <w:numFmt w:val="lowerLetter"/>
      <w:lvlText w:val="%5."/>
      <w:lvlJc w:val="left"/>
      <w:pPr>
        <w:tabs>
          <w:tab w:val="num" w:pos="3923"/>
        </w:tabs>
        <w:ind w:left="3923" w:hanging="360"/>
      </w:pPr>
    </w:lvl>
    <w:lvl w:ilvl="5" w:tplc="0809001B" w:tentative="1">
      <w:start w:val="1"/>
      <w:numFmt w:val="lowerRoman"/>
      <w:lvlText w:val="%6."/>
      <w:lvlJc w:val="right"/>
      <w:pPr>
        <w:tabs>
          <w:tab w:val="num" w:pos="4643"/>
        </w:tabs>
        <w:ind w:left="4643" w:hanging="180"/>
      </w:pPr>
    </w:lvl>
    <w:lvl w:ilvl="6" w:tplc="0809000F" w:tentative="1">
      <w:start w:val="1"/>
      <w:numFmt w:val="decimal"/>
      <w:lvlText w:val="%7."/>
      <w:lvlJc w:val="left"/>
      <w:pPr>
        <w:tabs>
          <w:tab w:val="num" w:pos="5363"/>
        </w:tabs>
        <w:ind w:left="5363" w:hanging="360"/>
      </w:pPr>
    </w:lvl>
    <w:lvl w:ilvl="7" w:tplc="08090019" w:tentative="1">
      <w:start w:val="1"/>
      <w:numFmt w:val="lowerLetter"/>
      <w:lvlText w:val="%8."/>
      <w:lvlJc w:val="left"/>
      <w:pPr>
        <w:tabs>
          <w:tab w:val="num" w:pos="6083"/>
        </w:tabs>
        <w:ind w:left="6083" w:hanging="360"/>
      </w:pPr>
    </w:lvl>
    <w:lvl w:ilvl="8" w:tplc="0809001B" w:tentative="1">
      <w:start w:val="1"/>
      <w:numFmt w:val="lowerRoman"/>
      <w:lvlText w:val="%9."/>
      <w:lvlJc w:val="right"/>
      <w:pPr>
        <w:tabs>
          <w:tab w:val="num" w:pos="6803"/>
        </w:tabs>
        <w:ind w:left="6803" w:hanging="180"/>
      </w:pPr>
    </w:lvl>
  </w:abstractNum>
  <w:abstractNum w:abstractNumId="140" w15:restartNumberingAfterBreak="0">
    <w:nsid w:val="38FF410D"/>
    <w:multiLevelType w:val="hybridMultilevel"/>
    <w:tmpl w:val="9D6010C2"/>
    <w:lvl w:ilvl="0" w:tplc="FFFFFFFF">
      <w:start w:val="1"/>
      <w:numFmt w:val="bullet"/>
      <w:lvlText w:val=""/>
      <w:lvlJc w:val="left"/>
      <w:pPr>
        <w:tabs>
          <w:tab w:val="num" w:pos="1133"/>
        </w:tabs>
        <w:ind w:left="1133" w:hanging="360"/>
      </w:pPr>
      <w:rPr>
        <w:rFonts w:ascii="Symbol" w:hAnsi="Symbol" w:hint="default"/>
        <w:color w:val="auto"/>
        <w:sz w:val="20"/>
        <w:szCs w:val="20"/>
      </w:rPr>
    </w:lvl>
    <w:lvl w:ilvl="1" w:tplc="FFFFFFFF" w:tentative="1">
      <w:start w:val="1"/>
      <w:numFmt w:val="bullet"/>
      <w:lvlText w:val="o"/>
      <w:lvlJc w:val="left"/>
      <w:pPr>
        <w:tabs>
          <w:tab w:val="num" w:pos="1133"/>
        </w:tabs>
        <w:ind w:left="1133" w:hanging="360"/>
      </w:pPr>
      <w:rPr>
        <w:rFonts w:ascii="Courier New" w:hAnsi="Courier New" w:cs="Courier New" w:hint="default"/>
      </w:rPr>
    </w:lvl>
    <w:lvl w:ilvl="2" w:tplc="FFFFFFFF" w:tentative="1">
      <w:start w:val="1"/>
      <w:numFmt w:val="bullet"/>
      <w:lvlText w:val=""/>
      <w:lvlJc w:val="left"/>
      <w:pPr>
        <w:tabs>
          <w:tab w:val="num" w:pos="1853"/>
        </w:tabs>
        <w:ind w:left="1853" w:hanging="360"/>
      </w:pPr>
      <w:rPr>
        <w:rFonts w:ascii="Wingdings" w:hAnsi="Wingdings" w:hint="default"/>
      </w:rPr>
    </w:lvl>
    <w:lvl w:ilvl="3" w:tplc="FFFFFFFF" w:tentative="1">
      <w:start w:val="1"/>
      <w:numFmt w:val="bullet"/>
      <w:lvlText w:val=""/>
      <w:lvlJc w:val="left"/>
      <w:pPr>
        <w:tabs>
          <w:tab w:val="num" w:pos="2573"/>
        </w:tabs>
        <w:ind w:left="2573" w:hanging="360"/>
      </w:pPr>
      <w:rPr>
        <w:rFonts w:ascii="Symbol" w:hAnsi="Symbol" w:hint="default"/>
      </w:rPr>
    </w:lvl>
    <w:lvl w:ilvl="4" w:tplc="FFFFFFFF" w:tentative="1">
      <w:start w:val="1"/>
      <w:numFmt w:val="bullet"/>
      <w:lvlText w:val="o"/>
      <w:lvlJc w:val="left"/>
      <w:pPr>
        <w:tabs>
          <w:tab w:val="num" w:pos="3293"/>
        </w:tabs>
        <w:ind w:left="3293" w:hanging="360"/>
      </w:pPr>
      <w:rPr>
        <w:rFonts w:ascii="Courier New" w:hAnsi="Courier New" w:cs="Courier New" w:hint="default"/>
      </w:rPr>
    </w:lvl>
    <w:lvl w:ilvl="5" w:tplc="FFFFFFFF" w:tentative="1">
      <w:start w:val="1"/>
      <w:numFmt w:val="bullet"/>
      <w:lvlText w:val=""/>
      <w:lvlJc w:val="left"/>
      <w:pPr>
        <w:tabs>
          <w:tab w:val="num" w:pos="4013"/>
        </w:tabs>
        <w:ind w:left="4013" w:hanging="360"/>
      </w:pPr>
      <w:rPr>
        <w:rFonts w:ascii="Wingdings" w:hAnsi="Wingdings" w:hint="default"/>
      </w:rPr>
    </w:lvl>
    <w:lvl w:ilvl="6" w:tplc="FFFFFFFF" w:tentative="1">
      <w:start w:val="1"/>
      <w:numFmt w:val="bullet"/>
      <w:lvlText w:val=""/>
      <w:lvlJc w:val="left"/>
      <w:pPr>
        <w:tabs>
          <w:tab w:val="num" w:pos="4733"/>
        </w:tabs>
        <w:ind w:left="4733" w:hanging="360"/>
      </w:pPr>
      <w:rPr>
        <w:rFonts w:ascii="Symbol" w:hAnsi="Symbol" w:hint="default"/>
      </w:rPr>
    </w:lvl>
    <w:lvl w:ilvl="7" w:tplc="FFFFFFFF" w:tentative="1">
      <w:start w:val="1"/>
      <w:numFmt w:val="bullet"/>
      <w:lvlText w:val="o"/>
      <w:lvlJc w:val="left"/>
      <w:pPr>
        <w:tabs>
          <w:tab w:val="num" w:pos="5453"/>
        </w:tabs>
        <w:ind w:left="5453" w:hanging="360"/>
      </w:pPr>
      <w:rPr>
        <w:rFonts w:ascii="Courier New" w:hAnsi="Courier New" w:cs="Courier New" w:hint="default"/>
      </w:rPr>
    </w:lvl>
    <w:lvl w:ilvl="8" w:tplc="FFFFFFFF" w:tentative="1">
      <w:start w:val="1"/>
      <w:numFmt w:val="bullet"/>
      <w:lvlText w:val=""/>
      <w:lvlJc w:val="left"/>
      <w:pPr>
        <w:tabs>
          <w:tab w:val="num" w:pos="6173"/>
        </w:tabs>
        <w:ind w:left="6173" w:hanging="360"/>
      </w:pPr>
      <w:rPr>
        <w:rFonts w:ascii="Wingdings" w:hAnsi="Wingdings" w:hint="default"/>
      </w:rPr>
    </w:lvl>
  </w:abstractNum>
  <w:abstractNum w:abstractNumId="141" w15:restartNumberingAfterBreak="0">
    <w:nsid w:val="39327D67"/>
    <w:multiLevelType w:val="hybridMultilevel"/>
    <w:tmpl w:val="708ACEEE"/>
    <w:lvl w:ilvl="0" w:tplc="F7C6FC62">
      <w:start w:val="1"/>
      <w:numFmt w:val="lowerLetter"/>
      <w:lvlText w:val="%1)"/>
      <w:lvlJc w:val="left"/>
      <w:pPr>
        <w:ind w:left="720" w:hanging="360"/>
      </w:pPr>
      <w:rPr>
        <w:rFonts w:hint="default"/>
        <w:color w:val="000000" w:themeColor="text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2" w15:restartNumberingAfterBreak="0">
    <w:nsid w:val="395C2C74"/>
    <w:multiLevelType w:val="hybridMultilevel"/>
    <w:tmpl w:val="DDD02130"/>
    <w:lvl w:ilvl="0" w:tplc="9C2CE666">
      <w:start w:val="1"/>
      <w:numFmt w:val="lowerLetter"/>
      <w:lvlText w:val="%1)"/>
      <w:lvlJc w:val="left"/>
      <w:pPr>
        <w:tabs>
          <w:tab w:val="num" w:pos="720"/>
        </w:tabs>
        <w:ind w:left="720" w:hanging="360"/>
      </w:pPr>
      <w:rPr>
        <w:rFonts w:hint="default"/>
        <w:b w:val="0"/>
        <w:bCs w:val="0"/>
        <w:color w:val="auto"/>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43" w15:restartNumberingAfterBreak="0">
    <w:nsid w:val="395C4285"/>
    <w:multiLevelType w:val="hybridMultilevel"/>
    <w:tmpl w:val="5194343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4" w15:restartNumberingAfterBreak="0">
    <w:nsid w:val="396879D8"/>
    <w:multiLevelType w:val="multilevel"/>
    <w:tmpl w:val="69B254A8"/>
    <w:lvl w:ilvl="0">
      <w:start w:val="1"/>
      <w:numFmt w:val="decimal"/>
      <w:lvlText w:val="%1"/>
      <w:lvlJc w:val="left"/>
      <w:pPr>
        <w:tabs>
          <w:tab w:val="num" w:pos="525"/>
        </w:tabs>
        <w:ind w:left="525" w:hanging="525"/>
      </w:pPr>
      <w:rPr>
        <w:rFonts w:hint="default"/>
      </w:rPr>
    </w:lvl>
    <w:lvl w:ilvl="1">
      <w:start w:val="1"/>
      <w:numFmt w:val="decimal"/>
      <w:lvlText w:val="3.%2"/>
      <w:lvlJc w:val="left"/>
      <w:pPr>
        <w:tabs>
          <w:tab w:val="num" w:pos="525"/>
        </w:tabs>
        <w:ind w:left="525" w:hanging="525"/>
      </w:pPr>
      <w:rPr>
        <w:rFonts w:hint="default"/>
        <w:strike w:val="0"/>
        <w:color w:val="auto"/>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45" w15:restartNumberingAfterBreak="0">
    <w:nsid w:val="3983080E"/>
    <w:multiLevelType w:val="hybridMultilevel"/>
    <w:tmpl w:val="858478C6"/>
    <w:lvl w:ilvl="0" w:tplc="AE186E6E">
      <w:start w:val="1"/>
      <w:numFmt w:val="decimal"/>
      <w:lvlText w:val="%1."/>
      <w:lvlJc w:val="left"/>
      <w:pPr>
        <w:tabs>
          <w:tab w:val="num" w:pos="360"/>
        </w:tabs>
        <w:ind w:left="360" w:hanging="360"/>
      </w:pPr>
      <w:rPr>
        <w:rFonts w:hint="default"/>
        <w:color w:val="auto"/>
      </w:rPr>
    </w:lvl>
    <w:lvl w:ilvl="1" w:tplc="70CCB80E">
      <w:start w:val="1"/>
      <w:numFmt w:val="lowerLetter"/>
      <w:lvlText w:val="%2)"/>
      <w:lvlJc w:val="left"/>
      <w:pPr>
        <w:tabs>
          <w:tab w:val="num" w:pos="1590"/>
        </w:tabs>
        <w:ind w:left="1590" w:hanging="510"/>
      </w:pPr>
      <w:rPr>
        <w:rFonts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46" w15:restartNumberingAfterBreak="0">
    <w:nsid w:val="39CC1120"/>
    <w:multiLevelType w:val="hybridMultilevel"/>
    <w:tmpl w:val="3A1CD458"/>
    <w:lvl w:ilvl="0" w:tplc="97FAF9C6">
      <w:start w:val="1"/>
      <w:numFmt w:val="bullet"/>
      <w:lvlText w:val=""/>
      <w:lvlJc w:val="left"/>
      <w:pPr>
        <w:ind w:left="360" w:hanging="360"/>
      </w:pPr>
      <w:rPr>
        <w:rFonts w:ascii="Symbol" w:hAnsi="Symbol" w:hint="default"/>
        <w:color w:val="auto"/>
        <w:sz w:val="20"/>
        <w:szCs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7" w15:restartNumberingAfterBreak="0">
    <w:nsid w:val="39CF092F"/>
    <w:multiLevelType w:val="hybridMultilevel"/>
    <w:tmpl w:val="E5A0BA26"/>
    <w:lvl w:ilvl="0" w:tplc="08090001">
      <w:start w:val="1"/>
      <w:numFmt w:val="bullet"/>
      <w:lvlText w:val=""/>
      <w:lvlJc w:val="left"/>
      <w:pPr>
        <w:ind w:left="1040" w:hanging="360"/>
      </w:pPr>
      <w:rPr>
        <w:rFonts w:ascii="Symbol" w:hAnsi="Symbol" w:hint="default"/>
      </w:rPr>
    </w:lvl>
    <w:lvl w:ilvl="1" w:tplc="08090003" w:tentative="1">
      <w:start w:val="1"/>
      <w:numFmt w:val="bullet"/>
      <w:lvlText w:val="o"/>
      <w:lvlJc w:val="left"/>
      <w:pPr>
        <w:ind w:left="1760" w:hanging="360"/>
      </w:pPr>
      <w:rPr>
        <w:rFonts w:ascii="Courier New" w:hAnsi="Courier New" w:cs="Courier New" w:hint="default"/>
      </w:rPr>
    </w:lvl>
    <w:lvl w:ilvl="2" w:tplc="08090005" w:tentative="1">
      <w:start w:val="1"/>
      <w:numFmt w:val="bullet"/>
      <w:lvlText w:val=""/>
      <w:lvlJc w:val="left"/>
      <w:pPr>
        <w:ind w:left="2480" w:hanging="360"/>
      </w:pPr>
      <w:rPr>
        <w:rFonts w:ascii="Wingdings" w:hAnsi="Wingdings" w:hint="default"/>
      </w:rPr>
    </w:lvl>
    <w:lvl w:ilvl="3" w:tplc="08090001" w:tentative="1">
      <w:start w:val="1"/>
      <w:numFmt w:val="bullet"/>
      <w:lvlText w:val=""/>
      <w:lvlJc w:val="left"/>
      <w:pPr>
        <w:ind w:left="3200" w:hanging="360"/>
      </w:pPr>
      <w:rPr>
        <w:rFonts w:ascii="Symbol" w:hAnsi="Symbol" w:hint="default"/>
      </w:rPr>
    </w:lvl>
    <w:lvl w:ilvl="4" w:tplc="08090003" w:tentative="1">
      <w:start w:val="1"/>
      <w:numFmt w:val="bullet"/>
      <w:lvlText w:val="o"/>
      <w:lvlJc w:val="left"/>
      <w:pPr>
        <w:ind w:left="3920" w:hanging="360"/>
      </w:pPr>
      <w:rPr>
        <w:rFonts w:ascii="Courier New" w:hAnsi="Courier New" w:cs="Courier New" w:hint="default"/>
      </w:rPr>
    </w:lvl>
    <w:lvl w:ilvl="5" w:tplc="08090005" w:tentative="1">
      <w:start w:val="1"/>
      <w:numFmt w:val="bullet"/>
      <w:lvlText w:val=""/>
      <w:lvlJc w:val="left"/>
      <w:pPr>
        <w:ind w:left="4640" w:hanging="360"/>
      </w:pPr>
      <w:rPr>
        <w:rFonts w:ascii="Wingdings" w:hAnsi="Wingdings" w:hint="default"/>
      </w:rPr>
    </w:lvl>
    <w:lvl w:ilvl="6" w:tplc="08090001" w:tentative="1">
      <w:start w:val="1"/>
      <w:numFmt w:val="bullet"/>
      <w:lvlText w:val=""/>
      <w:lvlJc w:val="left"/>
      <w:pPr>
        <w:ind w:left="5360" w:hanging="360"/>
      </w:pPr>
      <w:rPr>
        <w:rFonts w:ascii="Symbol" w:hAnsi="Symbol" w:hint="default"/>
      </w:rPr>
    </w:lvl>
    <w:lvl w:ilvl="7" w:tplc="08090003" w:tentative="1">
      <w:start w:val="1"/>
      <w:numFmt w:val="bullet"/>
      <w:lvlText w:val="o"/>
      <w:lvlJc w:val="left"/>
      <w:pPr>
        <w:ind w:left="6080" w:hanging="360"/>
      </w:pPr>
      <w:rPr>
        <w:rFonts w:ascii="Courier New" w:hAnsi="Courier New" w:cs="Courier New" w:hint="default"/>
      </w:rPr>
    </w:lvl>
    <w:lvl w:ilvl="8" w:tplc="08090005" w:tentative="1">
      <w:start w:val="1"/>
      <w:numFmt w:val="bullet"/>
      <w:lvlText w:val=""/>
      <w:lvlJc w:val="left"/>
      <w:pPr>
        <w:ind w:left="6800" w:hanging="360"/>
      </w:pPr>
      <w:rPr>
        <w:rFonts w:ascii="Wingdings" w:hAnsi="Wingdings" w:hint="default"/>
      </w:rPr>
    </w:lvl>
  </w:abstractNum>
  <w:abstractNum w:abstractNumId="148" w15:restartNumberingAfterBreak="0">
    <w:nsid w:val="3A383976"/>
    <w:multiLevelType w:val="hybridMultilevel"/>
    <w:tmpl w:val="254EA936"/>
    <w:lvl w:ilvl="0" w:tplc="8632D386">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9" w15:restartNumberingAfterBreak="0">
    <w:nsid w:val="3A6D1CC1"/>
    <w:multiLevelType w:val="hybridMultilevel"/>
    <w:tmpl w:val="7E40D652"/>
    <w:lvl w:ilvl="0" w:tplc="23722B52">
      <w:start w:val="1"/>
      <w:numFmt w:val="lowerLetter"/>
      <w:lvlText w:val="%1."/>
      <w:lvlJc w:val="left"/>
      <w:pPr>
        <w:ind w:left="1154"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0" w15:restartNumberingAfterBreak="0">
    <w:nsid w:val="3AD96774"/>
    <w:multiLevelType w:val="hybridMultilevel"/>
    <w:tmpl w:val="46406682"/>
    <w:lvl w:ilvl="0" w:tplc="F94EEDFE">
      <w:start w:val="1"/>
      <w:numFmt w:val="bullet"/>
      <w:lvlText w:val=""/>
      <w:lvlJc w:val="left"/>
      <w:pPr>
        <w:ind w:left="1440" w:hanging="360"/>
      </w:pPr>
      <w:rPr>
        <w:rFonts w:ascii="Symbol" w:hAnsi="Symbol" w:hint="default"/>
        <w:color w:val="auto"/>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51" w15:restartNumberingAfterBreak="0">
    <w:nsid w:val="3AE64B49"/>
    <w:multiLevelType w:val="hybridMultilevel"/>
    <w:tmpl w:val="D5165F46"/>
    <w:lvl w:ilvl="0" w:tplc="B34CEA1C">
      <w:start w:val="1"/>
      <w:numFmt w:val="bullet"/>
      <w:lvlText w:val=""/>
      <w:lvlJc w:val="left"/>
      <w:pPr>
        <w:ind w:left="885" w:hanging="360"/>
      </w:pPr>
      <w:rPr>
        <w:rFonts w:ascii="Symbol" w:hAnsi="Symbol" w:hint="default"/>
        <w:sz w:val="24"/>
      </w:rPr>
    </w:lvl>
    <w:lvl w:ilvl="1" w:tplc="08090003" w:tentative="1">
      <w:start w:val="1"/>
      <w:numFmt w:val="bullet"/>
      <w:lvlText w:val="o"/>
      <w:lvlJc w:val="left"/>
      <w:pPr>
        <w:ind w:left="1605" w:hanging="360"/>
      </w:pPr>
      <w:rPr>
        <w:rFonts w:ascii="Courier New" w:hAnsi="Courier New" w:cs="Courier New" w:hint="default"/>
      </w:rPr>
    </w:lvl>
    <w:lvl w:ilvl="2" w:tplc="08090005" w:tentative="1">
      <w:start w:val="1"/>
      <w:numFmt w:val="bullet"/>
      <w:lvlText w:val=""/>
      <w:lvlJc w:val="left"/>
      <w:pPr>
        <w:ind w:left="2325" w:hanging="360"/>
      </w:pPr>
      <w:rPr>
        <w:rFonts w:ascii="Wingdings" w:hAnsi="Wingdings" w:hint="default"/>
      </w:rPr>
    </w:lvl>
    <w:lvl w:ilvl="3" w:tplc="08090001" w:tentative="1">
      <w:start w:val="1"/>
      <w:numFmt w:val="bullet"/>
      <w:lvlText w:val=""/>
      <w:lvlJc w:val="left"/>
      <w:pPr>
        <w:ind w:left="3045" w:hanging="360"/>
      </w:pPr>
      <w:rPr>
        <w:rFonts w:ascii="Symbol" w:hAnsi="Symbol" w:hint="default"/>
      </w:rPr>
    </w:lvl>
    <w:lvl w:ilvl="4" w:tplc="08090003" w:tentative="1">
      <w:start w:val="1"/>
      <w:numFmt w:val="bullet"/>
      <w:lvlText w:val="o"/>
      <w:lvlJc w:val="left"/>
      <w:pPr>
        <w:ind w:left="3765" w:hanging="360"/>
      </w:pPr>
      <w:rPr>
        <w:rFonts w:ascii="Courier New" w:hAnsi="Courier New" w:cs="Courier New" w:hint="default"/>
      </w:rPr>
    </w:lvl>
    <w:lvl w:ilvl="5" w:tplc="08090005" w:tentative="1">
      <w:start w:val="1"/>
      <w:numFmt w:val="bullet"/>
      <w:lvlText w:val=""/>
      <w:lvlJc w:val="left"/>
      <w:pPr>
        <w:ind w:left="4485" w:hanging="360"/>
      </w:pPr>
      <w:rPr>
        <w:rFonts w:ascii="Wingdings" w:hAnsi="Wingdings" w:hint="default"/>
      </w:rPr>
    </w:lvl>
    <w:lvl w:ilvl="6" w:tplc="08090001" w:tentative="1">
      <w:start w:val="1"/>
      <w:numFmt w:val="bullet"/>
      <w:lvlText w:val=""/>
      <w:lvlJc w:val="left"/>
      <w:pPr>
        <w:ind w:left="5205" w:hanging="360"/>
      </w:pPr>
      <w:rPr>
        <w:rFonts w:ascii="Symbol" w:hAnsi="Symbol" w:hint="default"/>
      </w:rPr>
    </w:lvl>
    <w:lvl w:ilvl="7" w:tplc="08090003" w:tentative="1">
      <w:start w:val="1"/>
      <w:numFmt w:val="bullet"/>
      <w:lvlText w:val="o"/>
      <w:lvlJc w:val="left"/>
      <w:pPr>
        <w:ind w:left="5925" w:hanging="360"/>
      </w:pPr>
      <w:rPr>
        <w:rFonts w:ascii="Courier New" w:hAnsi="Courier New" w:cs="Courier New" w:hint="default"/>
      </w:rPr>
    </w:lvl>
    <w:lvl w:ilvl="8" w:tplc="08090005" w:tentative="1">
      <w:start w:val="1"/>
      <w:numFmt w:val="bullet"/>
      <w:lvlText w:val=""/>
      <w:lvlJc w:val="left"/>
      <w:pPr>
        <w:ind w:left="6645" w:hanging="360"/>
      </w:pPr>
      <w:rPr>
        <w:rFonts w:ascii="Wingdings" w:hAnsi="Wingdings" w:hint="default"/>
      </w:rPr>
    </w:lvl>
  </w:abstractNum>
  <w:abstractNum w:abstractNumId="152" w15:restartNumberingAfterBreak="0">
    <w:nsid w:val="3AEC32BD"/>
    <w:multiLevelType w:val="hybridMultilevel"/>
    <w:tmpl w:val="65ECA72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3" w15:restartNumberingAfterBreak="0">
    <w:nsid w:val="3B2E1A8B"/>
    <w:multiLevelType w:val="multilevel"/>
    <w:tmpl w:val="E0246E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4" w15:restartNumberingAfterBreak="0">
    <w:nsid w:val="3B8F0B28"/>
    <w:multiLevelType w:val="hybridMultilevel"/>
    <w:tmpl w:val="61FEBBA2"/>
    <w:lvl w:ilvl="0" w:tplc="8E9A1B5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5" w15:restartNumberingAfterBreak="0">
    <w:nsid w:val="3BB603E9"/>
    <w:multiLevelType w:val="hybridMultilevel"/>
    <w:tmpl w:val="7D8C06F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6" w15:restartNumberingAfterBreak="0">
    <w:nsid w:val="3C0E2F4B"/>
    <w:multiLevelType w:val="hybridMultilevel"/>
    <w:tmpl w:val="1472A074"/>
    <w:lvl w:ilvl="0" w:tplc="08090001">
      <w:start w:val="1"/>
      <w:numFmt w:val="bullet"/>
      <w:lvlText w:val=""/>
      <w:lvlJc w:val="left"/>
      <w:pPr>
        <w:ind w:left="899" w:hanging="360"/>
      </w:pPr>
      <w:rPr>
        <w:rFonts w:ascii="Symbol" w:hAnsi="Symbol" w:hint="default"/>
      </w:rPr>
    </w:lvl>
    <w:lvl w:ilvl="1" w:tplc="08090003" w:tentative="1">
      <w:start w:val="1"/>
      <w:numFmt w:val="bullet"/>
      <w:lvlText w:val="o"/>
      <w:lvlJc w:val="left"/>
      <w:pPr>
        <w:ind w:left="1619" w:hanging="360"/>
      </w:pPr>
      <w:rPr>
        <w:rFonts w:ascii="Courier New" w:hAnsi="Courier New" w:cs="Courier New" w:hint="default"/>
      </w:rPr>
    </w:lvl>
    <w:lvl w:ilvl="2" w:tplc="08090005" w:tentative="1">
      <w:start w:val="1"/>
      <w:numFmt w:val="bullet"/>
      <w:lvlText w:val=""/>
      <w:lvlJc w:val="left"/>
      <w:pPr>
        <w:ind w:left="2339" w:hanging="360"/>
      </w:pPr>
      <w:rPr>
        <w:rFonts w:ascii="Wingdings" w:hAnsi="Wingdings" w:hint="default"/>
      </w:rPr>
    </w:lvl>
    <w:lvl w:ilvl="3" w:tplc="08090001" w:tentative="1">
      <w:start w:val="1"/>
      <w:numFmt w:val="bullet"/>
      <w:lvlText w:val=""/>
      <w:lvlJc w:val="left"/>
      <w:pPr>
        <w:ind w:left="3059" w:hanging="360"/>
      </w:pPr>
      <w:rPr>
        <w:rFonts w:ascii="Symbol" w:hAnsi="Symbol" w:hint="default"/>
      </w:rPr>
    </w:lvl>
    <w:lvl w:ilvl="4" w:tplc="08090003" w:tentative="1">
      <w:start w:val="1"/>
      <w:numFmt w:val="bullet"/>
      <w:lvlText w:val="o"/>
      <w:lvlJc w:val="left"/>
      <w:pPr>
        <w:ind w:left="3779" w:hanging="360"/>
      </w:pPr>
      <w:rPr>
        <w:rFonts w:ascii="Courier New" w:hAnsi="Courier New" w:cs="Courier New" w:hint="default"/>
      </w:rPr>
    </w:lvl>
    <w:lvl w:ilvl="5" w:tplc="08090005" w:tentative="1">
      <w:start w:val="1"/>
      <w:numFmt w:val="bullet"/>
      <w:lvlText w:val=""/>
      <w:lvlJc w:val="left"/>
      <w:pPr>
        <w:ind w:left="4499" w:hanging="360"/>
      </w:pPr>
      <w:rPr>
        <w:rFonts w:ascii="Wingdings" w:hAnsi="Wingdings" w:hint="default"/>
      </w:rPr>
    </w:lvl>
    <w:lvl w:ilvl="6" w:tplc="08090001" w:tentative="1">
      <w:start w:val="1"/>
      <w:numFmt w:val="bullet"/>
      <w:lvlText w:val=""/>
      <w:lvlJc w:val="left"/>
      <w:pPr>
        <w:ind w:left="5219" w:hanging="360"/>
      </w:pPr>
      <w:rPr>
        <w:rFonts w:ascii="Symbol" w:hAnsi="Symbol" w:hint="default"/>
      </w:rPr>
    </w:lvl>
    <w:lvl w:ilvl="7" w:tplc="08090003" w:tentative="1">
      <w:start w:val="1"/>
      <w:numFmt w:val="bullet"/>
      <w:lvlText w:val="o"/>
      <w:lvlJc w:val="left"/>
      <w:pPr>
        <w:ind w:left="5939" w:hanging="360"/>
      </w:pPr>
      <w:rPr>
        <w:rFonts w:ascii="Courier New" w:hAnsi="Courier New" w:cs="Courier New" w:hint="default"/>
      </w:rPr>
    </w:lvl>
    <w:lvl w:ilvl="8" w:tplc="08090005" w:tentative="1">
      <w:start w:val="1"/>
      <w:numFmt w:val="bullet"/>
      <w:lvlText w:val=""/>
      <w:lvlJc w:val="left"/>
      <w:pPr>
        <w:ind w:left="6659" w:hanging="360"/>
      </w:pPr>
      <w:rPr>
        <w:rFonts w:ascii="Wingdings" w:hAnsi="Wingdings" w:hint="default"/>
      </w:rPr>
    </w:lvl>
  </w:abstractNum>
  <w:abstractNum w:abstractNumId="157" w15:restartNumberingAfterBreak="0">
    <w:nsid w:val="3C280E6A"/>
    <w:multiLevelType w:val="hybridMultilevel"/>
    <w:tmpl w:val="4FE0BCF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8" w15:restartNumberingAfterBreak="0">
    <w:nsid w:val="3C8F06D3"/>
    <w:multiLevelType w:val="hybridMultilevel"/>
    <w:tmpl w:val="D7600962"/>
    <w:lvl w:ilvl="0" w:tplc="08090017">
      <w:start w:val="1"/>
      <w:numFmt w:val="lowerLetter"/>
      <w:lvlText w:val="%1)"/>
      <w:lvlJc w:val="left"/>
      <w:pPr>
        <w:ind w:left="817" w:hanging="360"/>
      </w:pPr>
    </w:lvl>
    <w:lvl w:ilvl="1" w:tplc="08090019" w:tentative="1">
      <w:start w:val="1"/>
      <w:numFmt w:val="lowerLetter"/>
      <w:lvlText w:val="%2."/>
      <w:lvlJc w:val="left"/>
      <w:pPr>
        <w:ind w:left="1537" w:hanging="360"/>
      </w:pPr>
    </w:lvl>
    <w:lvl w:ilvl="2" w:tplc="0809001B" w:tentative="1">
      <w:start w:val="1"/>
      <w:numFmt w:val="lowerRoman"/>
      <w:lvlText w:val="%3."/>
      <w:lvlJc w:val="right"/>
      <w:pPr>
        <w:ind w:left="2257" w:hanging="180"/>
      </w:pPr>
    </w:lvl>
    <w:lvl w:ilvl="3" w:tplc="0809000F" w:tentative="1">
      <w:start w:val="1"/>
      <w:numFmt w:val="decimal"/>
      <w:lvlText w:val="%4."/>
      <w:lvlJc w:val="left"/>
      <w:pPr>
        <w:ind w:left="2977" w:hanging="360"/>
      </w:pPr>
    </w:lvl>
    <w:lvl w:ilvl="4" w:tplc="08090019" w:tentative="1">
      <w:start w:val="1"/>
      <w:numFmt w:val="lowerLetter"/>
      <w:lvlText w:val="%5."/>
      <w:lvlJc w:val="left"/>
      <w:pPr>
        <w:ind w:left="3697" w:hanging="360"/>
      </w:pPr>
    </w:lvl>
    <w:lvl w:ilvl="5" w:tplc="0809001B" w:tentative="1">
      <w:start w:val="1"/>
      <w:numFmt w:val="lowerRoman"/>
      <w:lvlText w:val="%6."/>
      <w:lvlJc w:val="right"/>
      <w:pPr>
        <w:ind w:left="4417" w:hanging="180"/>
      </w:pPr>
    </w:lvl>
    <w:lvl w:ilvl="6" w:tplc="0809000F" w:tentative="1">
      <w:start w:val="1"/>
      <w:numFmt w:val="decimal"/>
      <w:lvlText w:val="%7."/>
      <w:lvlJc w:val="left"/>
      <w:pPr>
        <w:ind w:left="5137" w:hanging="360"/>
      </w:pPr>
    </w:lvl>
    <w:lvl w:ilvl="7" w:tplc="08090019" w:tentative="1">
      <w:start w:val="1"/>
      <w:numFmt w:val="lowerLetter"/>
      <w:lvlText w:val="%8."/>
      <w:lvlJc w:val="left"/>
      <w:pPr>
        <w:ind w:left="5857" w:hanging="360"/>
      </w:pPr>
    </w:lvl>
    <w:lvl w:ilvl="8" w:tplc="0809001B" w:tentative="1">
      <w:start w:val="1"/>
      <w:numFmt w:val="lowerRoman"/>
      <w:lvlText w:val="%9."/>
      <w:lvlJc w:val="right"/>
      <w:pPr>
        <w:ind w:left="6577" w:hanging="180"/>
      </w:pPr>
    </w:lvl>
  </w:abstractNum>
  <w:abstractNum w:abstractNumId="159" w15:restartNumberingAfterBreak="0">
    <w:nsid w:val="3CAF4CF6"/>
    <w:multiLevelType w:val="multilevel"/>
    <w:tmpl w:val="FD0AF366"/>
    <w:lvl w:ilvl="0">
      <w:start w:val="1"/>
      <w:numFmt w:val="decimal"/>
      <w:lvlText w:val="%1"/>
      <w:lvlJc w:val="left"/>
      <w:pPr>
        <w:tabs>
          <w:tab w:val="num" w:pos="525"/>
        </w:tabs>
        <w:ind w:left="525" w:hanging="525"/>
      </w:pPr>
      <w:rPr>
        <w:rFonts w:hint="default"/>
      </w:rPr>
    </w:lvl>
    <w:lvl w:ilvl="1">
      <w:start w:val="1"/>
      <w:numFmt w:val="decimal"/>
      <w:lvlText w:val="2.%2"/>
      <w:lvlJc w:val="left"/>
      <w:pPr>
        <w:tabs>
          <w:tab w:val="num" w:pos="525"/>
        </w:tabs>
        <w:ind w:left="525" w:hanging="52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60" w15:restartNumberingAfterBreak="0">
    <w:nsid w:val="3CC1662E"/>
    <w:multiLevelType w:val="hybridMultilevel"/>
    <w:tmpl w:val="9B4096A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1" w15:restartNumberingAfterBreak="0">
    <w:nsid w:val="3CC21513"/>
    <w:multiLevelType w:val="hybridMultilevel"/>
    <w:tmpl w:val="05CEE9E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2" w15:restartNumberingAfterBreak="0">
    <w:nsid w:val="3CC33749"/>
    <w:multiLevelType w:val="hybridMultilevel"/>
    <w:tmpl w:val="50D8F93E"/>
    <w:lvl w:ilvl="0" w:tplc="8F288706">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3" w15:restartNumberingAfterBreak="0">
    <w:nsid w:val="3CDE6262"/>
    <w:multiLevelType w:val="hybridMultilevel"/>
    <w:tmpl w:val="1412474C"/>
    <w:lvl w:ilvl="0" w:tplc="97FAF9C6">
      <w:start w:val="1"/>
      <w:numFmt w:val="bullet"/>
      <w:lvlText w:val=""/>
      <w:lvlJc w:val="left"/>
      <w:pPr>
        <w:ind w:left="360" w:hanging="360"/>
      </w:pPr>
      <w:rPr>
        <w:rFonts w:ascii="Symbol" w:hAnsi="Symbol" w:hint="default"/>
        <w:color w:val="auto"/>
        <w:sz w:val="20"/>
        <w:szCs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4" w15:restartNumberingAfterBreak="0">
    <w:nsid w:val="3D040046"/>
    <w:multiLevelType w:val="hybridMultilevel"/>
    <w:tmpl w:val="73B2EEFA"/>
    <w:lvl w:ilvl="0" w:tplc="8E9A1B5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5" w15:restartNumberingAfterBreak="0">
    <w:nsid w:val="3DEC53B6"/>
    <w:multiLevelType w:val="hybridMultilevel"/>
    <w:tmpl w:val="53FC5BB6"/>
    <w:lvl w:ilvl="0" w:tplc="2C3A0DDE">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6" w15:restartNumberingAfterBreak="0">
    <w:nsid w:val="3E0D447F"/>
    <w:multiLevelType w:val="multilevel"/>
    <w:tmpl w:val="E5A479A4"/>
    <w:lvl w:ilvl="0">
      <w:start w:val="2"/>
      <w:numFmt w:val="decimal"/>
      <w:lvlText w:val="%1"/>
      <w:lvlJc w:val="left"/>
      <w:pPr>
        <w:ind w:left="360" w:hanging="360"/>
      </w:pPr>
      <w:rPr>
        <w:rFonts w:eastAsia="Arial" w:hint="default"/>
      </w:rPr>
    </w:lvl>
    <w:lvl w:ilvl="1">
      <w:start w:val="2"/>
      <w:numFmt w:val="decimal"/>
      <w:lvlText w:val="%1.%2"/>
      <w:lvlJc w:val="left"/>
      <w:pPr>
        <w:ind w:left="360" w:hanging="360"/>
      </w:pPr>
      <w:rPr>
        <w:rFonts w:eastAsia="Arial" w:hint="default"/>
      </w:rPr>
    </w:lvl>
    <w:lvl w:ilvl="2">
      <w:start w:val="1"/>
      <w:numFmt w:val="decimal"/>
      <w:lvlText w:val="%1.%2.%3"/>
      <w:lvlJc w:val="left"/>
      <w:pPr>
        <w:ind w:left="720" w:hanging="720"/>
      </w:pPr>
      <w:rPr>
        <w:rFonts w:eastAsia="Arial" w:hint="default"/>
      </w:rPr>
    </w:lvl>
    <w:lvl w:ilvl="3">
      <w:start w:val="1"/>
      <w:numFmt w:val="decimal"/>
      <w:lvlText w:val="%1.%2.%3.%4"/>
      <w:lvlJc w:val="left"/>
      <w:pPr>
        <w:ind w:left="1080" w:hanging="1080"/>
      </w:pPr>
      <w:rPr>
        <w:rFonts w:eastAsia="Arial" w:hint="default"/>
      </w:rPr>
    </w:lvl>
    <w:lvl w:ilvl="4">
      <w:start w:val="1"/>
      <w:numFmt w:val="decimal"/>
      <w:lvlText w:val="%1.%2.%3.%4.%5"/>
      <w:lvlJc w:val="left"/>
      <w:pPr>
        <w:ind w:left="1080" w:hanging="1080"/>
      </w:pPr>
      <w:rPr>
        <w:rFonts w:eastAsia="Arial" w:hint="default"/>
      </w:rPr>
    </w:lvl>
    <w:lvl w:ilvl="5">
      <w:start w:val="1"/>
      <w:numFmt w:val="decimal"/>
      <w:lvlText w:val="%1.%2.%3.%4.%5.%6"/>
      <w:lvlJc w:val="left"/>
      <w:pPr>
        <w:ind w:left="1440" w:hanging="1440"/>
      </w:pPr>
      <w:rPr>
        <w:rFonts w:eastAsia="Arial" w:hint="default"/>
      </w:rPr>
    </w:lvl>
    <w:lvl w:ilvl="6">
      <w:start w:val="1"/>
      <w:numFmt w:val="decimal"/>
      <w:lvlText w:val="%1.%2.%3.%4.%5.%6.%7"/>
      <w:lvlJc w:val="left"/>
      <w:pPr>
        <w:ind w:left="1440" w:hanging="1440"/>
      </w:pPr>
      <w:rPr>
        <w:rFonts w:eastAsia="Arial" w:hint="default"/>
      </w:rPr>
    </w:lvl>
    <w:lvl w:ilvl="7">
      <w:start w:val="1"/>
      <w:numFmt w:val="decimal"/>
      <w:lvlText w:val="%1.%2.%3.%4.%5.%6.%7.%8"/>
      <w:lvlJc w:val="left"/>
      <w:pPr>
        <w:ind w:left="1800" w:hanging="1800"/>
      </w:pPr>
      <w:rPr>
        <w:rFonts w:eastAsia="Arial" w:hint="default"/>
      </w:rPr>
    </w:lvl>
    <w:lvl w:ilvl="8">
      <w:start w:val="1"/>
      <w:numFmt w:val="decimal"/>
      <w:lvlText w:val="%1.%2.%3.%4.%5.%6.%7.%8.%9"/>
      <w:lvlJc w:val="left"/>
      <w:pPr>
        <w:ind w:left="1800" w:hanging="1800"/>
      </w:pPr>
      <w:rPr>
        <w:rFonts w:eastAsia="Arial" w:hint="default"/>
      </w:rPr>
    </w:lvl>
  </w:abstractNum>
  <w:abstractNum w:abstractNumId="167" w15:restartNumberingAfterBreak="0">
    <w:nsid w:val="3E8B100A"/>
    <w:multiLevelType w:val="hybridMultilevel"/>
    <w:tmpl w:val="0226A438"/>
    <w:lvl w:ilvl="0" w:tplc="08090001">
      <w:start w:val="1"/>
      <w:numFmt w:val="bullet"/>
      <w:lvlText w:val=""/>
      <w:lvlJc w:val="left"/>
      <w:pPr>
        <w:ind w:left="1324" w:hanging="360"/>
      </w:pPr>
      <w:rPr>
        <w:rFonts w:ascii="Symbol" w:hAnsi="Symbol" w:hint="default"/>
      </w:rPr>
    </w:lvl>
    <w:lvl w:ilvl="1" w:tplc="08090003" w:tentative="1">
      <w:start w:val="1"/>
      <w:numFmt w:val="bullet"/>
      <w:lvlText w:val="o"/>
      <w:lvlJc w:val="left"/>
      <w:pPr>
        <w:ind w:left="2044" w:hanging="360"/>
      </w:pPr>
      <w:rPr>
        <w:rFonts w:ascii="Courier New" w:hAnsi="Courier New" w:cs="Courier New" w:hint="default"/>
      </w:rPr>
    </w:lvl>
    <w:lvl w:ilvl="2" w:tplc="08090005" w:tentative="1">
      <w:start w:val="1"/>
      <w:numFmt w:val="bullet"/>
      <w:lvlText w:val=""/>
      <w:lvlJc w:val="left"/>
      <w:pPr>
        <w:ind w:left="2764" w:hanging="360"/>
      </w:pPr>
      <w:rPr>
        <w:rFonts w:ascii="Wingdings" w:hAnsi="Wingdings" w:hint="default"/>
      </w:rPr>
    </w:lvl>
    <w:lvl w:ilvl="3" w:tplc="08090001" w:tentative="1">
      <w:start w:val="1"/>
      <w:numFmt w:val="bullet"/>
      <w:lvlText w:val=""/>
      <w:lvlJc w:val="left"/>
      <w:pPr>
        <w:ind w:left="3484" w:hanging="360"/>
      </w:pPr>
      <w:rPr>
        <w:rFonts w:ascii="Symbol" w:hAnsi="Symbol" w:hint="default"/>
      </w:rPr>
    </w:lvl>
    <w:lvl w:ilvl="4" w:tplc="08090003" w:tentative="1">
      <w:start w:val="1"/>
      <w:numFmt w:val="bullet"/>
      <w:lvlText w:val="o"/>
      <w:lvlJc w:val="left"/>
      <w:pPr>
        <w:ind w:left="4204" w:hanging="360"/>
      </w:pPr>
      <w:rPr>
        <w:rFonts w:ascii="Courier New" w:hAnsi="Courier New" w:cs="Courier New" w:hint="default"/>
      </w:rPr>
    </w:lvl>
    <w:lvl w:ilvl="5" w:tplc="08090005" w:tentative="1">
      <w:start w:val="1"/>
      <w:numFmt w:val="bullet"/>
      <w:lvlText w:val=""/>
      <w:lvlJc w:val="left"/>
      <w:pPr>
        <w:ind w:left="4924" w:hanging="360"/>
      </w:pPr>
      <w:rPr>
        <w:rFonts w:ascii="Wingdings" w:hAnsi="Wingdings" w:hint="default"/>
      </w:rPr>
    </w:lvl>
    <w:lvl w:ilvl="6" w:tplc="08090001" w:tentative="1">
      <w:start w:val="1"/>
      <w:numFmt w:val="bullet"/>
      <w:lvlText w:val=""/>
      <w:lvlJc w:val="left"/>
      <w:pPr>
        <w:ind w:left="5644" w:hanging="360"/>
      </w:pPr>
      <w:rPr>
        <w:rFonts w:ascii="Symbol" w:hAnsi="Symbol" w:hint="default"/>
      </w:rPr>
    </w:lvl>
    <w:lvl w:ilvl="7" w:tplc="08090003" w:tentative="1">
      <w:start w:val="1"/>
      <w:numFmt w:val="bullet"/>
      <w:lvlText w:val="o"/>
      <w:lvlJc w:val="left"/>
      <w:pPr>
        <w:ind w:left="6364" w:hanging="360"/>
      </w:pPr>
      <w:rPr>
        <w:rFonts w:ascii="Courier New" w:hAnsi="Courier New" w:cs="Courier New" w:hint="default"/>
      </w:rPr>
    </w:lvl>
    <w:lvl w:ilvl="8" w:tplc="08090005" w:tentative="1">
      <w:start w:val="1"/>
      <w:numFmt w:val="bullet"/>
      <w:lvlText w:val=""/>
      <w:lvlJc w:val="left"/>
      <w:pPr>
        <w:ind w:left="7084" w:hanging="360"/>
      </w:pPr>
      <w:rPr>
        <w:rFonts w:ascii="Wingdings" w:hAnsi="Wingdings" w:hint="default"/>
      </w:rPr>
    </w:lvl>
  </w:abstractNum>
  <w:abstractNum w:abstractNumId="168" w15:restartNumberingAfterBreak="0">
    <w:nsid w:val="3E905C9B"/>
    <w:multiLevelType w:val="hybridMultilevel"/>
    <w:tmpl w:val="654C8CF6"/>
    <w:lvl w:ilvl="0" w:tplc="47E0DBC8">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9" w15:restartNumberingAfterBreak="0">
    <w:nsid w:val="3EC671F1"/>
    <w:multiLevelType w:val="hybridMultilevel"/>
    <w:tmpl w:val="FECEC5E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0" w15:restartNumberingAfterBreak="0">
    <w:nsid w:val="3EF929D7"/>
    <w:multiLevelType w:val="hybridMultilevel"/>
    <w:tmpl w:val="359041D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1" w15:restartNumberingAfterBreak="0">
    <w:nsid w:val="3F294200"/>
    <w:multiLevelType w:val="hybridMultilevel"/>
    <w:tmpl w:val="83501C1C"/>
    <w:lvl w:ilvl="0" w:tplc="B34CEA1C">
      <w:start w:val="1"/>
      <w:numFmt w:val="bullet"/>
      <w:lvlText w:val=""/>
      <w:lvlJc w:val="left"/>
      <w:pPr>
        <w:ind w:left="720" w:hanging="360"/>
      </w:pPr>
      <w:rPr>
        <w:rFonts w:ascii="Symbol" w:hAnsi="Symbol"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2" w15:restartNumberingAfterBreak="0">
    <w:nsid w:val="3F2D5EDB"/>
    <w:multiLevelType w:val="hybridMultilevel"/>
    <w:tmpl w:val="4A0ADE98"/>
    <w:lvl w:ilvl="0" w:tplc="01B62304">
      <w:start w:val="1"/>
      <w:numFmt w:val="bullet"/>
      <w:lvlText w:val=""/>
      <w:lvlJc w:val="left"/>
      <w:pPr>
        <w:ind w:left="1440" w:hanging="360"/>
      </w:pPr>
      <w:rPr>
        <w:rFonts w:ascii="Symbol" w:hAnsi="Symbol" w:hint="default"/>
        <w:color w:val="auto"/>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73" w15:restartNumberingAfterBreak="0">
    <w:nsid w:val="3FD470E0"/>
    <w:multiLevelType w:val="hybridMultilevel"/>
    <w:tmpl w:val="272ADD02"/>
    <w:lvl w:ilvl="0" w:tplc="B34CEA1C">
      <w:start w:val="1"/>
      <w:numFmt w:val="bullet"/>
      <w:lvlText w:val=""/>
      <w:lvlJc w:val="left"/>
      <w:pPr>
        <w:ind w:left="1069" w:hanging="360"/>
      </w:pPr>
      <w:rPr>
        <w:rFonts w:ascii="Symbol" w:hAnsi="Symbol" w:hint="default"/>
        <w:sz w:val="24"/>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174" w15:restartNumberingAfterBreak="0">
    <w:nsid w:val="3FD6263A"/>
    <w:multiLevelType w:val="hybridMultilevel"/>
    <w:tmpl w:val="58182036"/>
    <w:lvl w:ilvl="0" w:tplc="8E9A1B5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5" w15:restartNumberingAfterBreak="0">
    <w:nsid w:val="40320B6F"/>
    <w:multiLevelType w:val="hybridMultilevel"/>
    <w:tmpl w:val="B8EA773A"/>
    <w:lvl w:ilvl="0" w:tplc="08090001">
      <w:start w:val="1"/>
      <w:numFmt w:val="bullet"/>
      <w:lvlText w:val=""/>
      <w:lvlJc w:val="left"/>
      <w:pPr>
        <w:ind w:left="1211" w:hanging="360"/>
      </w:pPr>
      <w:rPr>
        <w:rFonts w:ascii="Symbol" w:hAnsi="Symbol"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176" w15:restartNumberingAfterBreak="0">
    <w:nsid w:val="405E1A5D"/>
    <w:multiLevelType w:val="hybridMultilevel"/>
    <w:tmpl w:val="21F053FA"/>
    <w:lvl w:ilvl="0" w:tplc="084A6BA2">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7" w15:restartNumberingAfterBreak="0">
    <w:nsid w:val="40776380"/>
    <w:multiLevelType w:val="hybridMultilevel"/>
    <w:tmpl w:val="E7A09C2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8" w15:restartNumberingAfterBreak="0">
    <w:nsid w:val="41191CC4"/>
    <w:multiLevelType w:val="hybridMultilevel"/>
    <w:tmpl w:val="765E89C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9" w15:restartNumberingAfterBreak="0">
    <w:nsid w:val="411A336D"/>
    <w:multiLevelType w:val="hybridMultilevel"/>
    <w:tmpl w:val="2B920454"/>
    <w:lvl w:ilvl="0" w:tplc="AB72C352">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0" w15:restartNumberingAfterBreak="0">
    <w:nsid w:val="41465CBC"/>
    <w:multiLevelType w:val="hybridMultilevel"/>
    <w:tmpl w:val="E5FCB85E"/>
    <w:lvl w:ilvl="0" w:tplc="8E9A1B5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1" w15:restartNumberingAfterBreak="0">
    <w:nsid w:val="41E523BD"/>
    <w:multiLevelType w:val="hybridMultilevel"/>
    <w:tmpl w:val="C9647AFE"/>
    <w:lvl w:ilvl="0" w:tplc="F04E6B00">
      <w:start w:val="1"/>
      <w:numFmt w:val="bullet"/>
      <w:lvlText w:val=""/>
      <w:lvlJc w:val="left"/>
      <w:pPr>
        <w:ind w:left="1080" w:hanging="360"/>
      </w:pPr>
      <w:rPr>
        <w:rFonts w:ascii="Symbol" w:hAnsi="Symbol" w:hint="default"/>
        <w:color w:val="auto"/>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2" w15:restartNumberingAfterBreak="0">
    <w:nsid w:val="42C1334D"/>
    <w:multiLevelType w:val="hybridMultilevel"/>
    <w:tmpl w:val="BB8C9116"/>
    <w:lvl w:ilvl="0" w:tplc="E2B6E11C">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3" w15:restartNumberingAfterBreak="0">
    <w:nsid w:val="42E163CD"/>
    <w:multiLevelType w:val="hybridMultilevel"/>
    <w:tmpl w:val="F96C2850"/>
    <w:lvl w:ilvl="0" w:tplc="95ECEE0A">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4" w15:restartNumberingAfterBreak="0">
    <w:nsid w:val="431E1884"/>
    <w:multiLevelType w:val="hybridMultilevel"/>
    <w:tmpl w:val="83CE15E4"/>
    <w:lvl w:ilvl="0" w:tplc="8E9A1B5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5" w15:restartNumberingAfterBreak="0">
    <w:nsid w:val="43803CF9"/>
    <w:multiLevelType w:val="hybridMultilevel"/>
    <w:tmpl w:val="A352146E"/>
    <w:lvl w:ilvl="0" w:tplc="08090001">
      <w:start w:val="1"/>
      <w:numFmt w:val="bullet"/>
      <w:lvlText w:val=""/>
      <w:lvlJc w:val="left"/>
      <w:pPr>
        <w:ind w:left="1069" w:hanging="360"/>
      </w:pPr>
      <w:rPr>
        <w:rFonts w:ascii="Symbol" w:hAnsi="Symbol"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186" w15:restartNumberingAfterBreak="0">
    <w:nsid w:val="44007D5E"/>
    <w:multiLevelType w:val="hybridMultilevel"/>
    <w:tmpl w:val="C2EEC6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7" w15:restartNumberingAfterBreak="0">
    <w:nsid w:val="44FE13EC"/>
    <w:multiLevelType w:val="hybridMultilevel"/>
    <w:tmpl w:val="D2C8EE06"/>
    <w:lvl w:ilvl="0" w:tplc="08090001">
      <w:start w:val="1"/>
      <w:numFmt w:val="bullet"/>
      <w:lvlText w:val=""/>
      <w:lvlJc w:val="left"/>
      <w:pPr>
        <w:ind w:left="1211" w:hanging="360"/>
      </w:pPr>
      <w:rPr>
        <w:rFonts w:ascii="Symbol" w:hAnsi="Symbol"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188" w15:restartNumberingAfterBreak="0">
    <w:nsid w:val="45035748"/>
    <w:multiLevelType w:val="hybridMultilevel"/>
    <w:tmpl w:val="609E138C"/>
    <w:lvl w:ilvl="0" w:tplc="1E6A1ECE">
      <w:start w:val="1"/>
      <w:numFmt w:val="bullet"/>
      <w:lvlText w:val=""/>
      <w:lvlJc w:val="left"/>
      <w:pPr>
        <w:ind w:left="360" w:hanging="360"/>
      </w:pPr>
      <w:rPr>
        <w:rFonts w:ascii="Symbol" w:hAnsi="Symbol" w:hint="default"/>
        <w:color w:val="000000" w:themeColor="text1"/>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9" w15:restartNumberingAfterBreak="0">
    <w:nsid w:val="45E232D2"/>
    <w:multiLevelType w:val="multilevel"/>
    <w:tmpl w:val="CD40CFE8"/>
    <w:lvl w:ilvl="0">
      <w:start w:val="1"/>
      <w:numFmt w:val="decimal"/>
      <w:lvlText w:val="%1"/>
      <w:lvlJc w:val="left"/>
      <w:pPr>
        <w:ind w:left="360" w:hanging="360"/>
      </w:pPr>
      <w:rPr>
        <w:rFonts w:hint="default"/>
      </w:rPr>
    </w:lvl>
    <w:lvl w:ilvl="1">
      <w:start w:val="2"/>
      <w:numFmt w:val="decimal"/>
      <w:lvlText w:val="%1.%2"/>
      <w:lvlJc w:val="left"/>
      <w:pPr>
        <w:ind w:left="1211"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90" w15:restartNumberingAfterBreak="0">
    <w:nsid w:val="46090287"/>
    <w:multiLevelType w:val="multilevel"/>
    <w:tmpl w:val="2696CB82"/>
    <w:lvl w:ilvl="0">
      <w:start w:val="1"/>
      <w:numFmt w:val="decimal"/>
      <w:lvlText w:val="%1"/>
      <w:lvlJc w:val="left"/>
      <w:pPr>
        <w:tabs>
          <w:tab w:val="num" w:pos="525"/>
        </w:tabs>
        <w:ind w:left="525" w:hanging="525"/>
      </w:pPr>
      <w:rPr>
        <w:rFonts w:hint="default"/>
      </w:rPr>
    </w:lvl>
    <w:lvl w:ilvl="1">
      <w:start w:val="1"/>
      <w:numFmt w:val="decimal"/>
      <w:lvlText w:val="8.%2"/>
      <w:lvlJc w:val="left"/>
      <w:pPr>
        <w:tabs>
          <w:tab w:val="num" w:pos="525"/>
        </w:tabs>
        <w:ind w:left="525" w:hanging="525"/>
      </w:pPr>
      <w:rPr>
        <w:rFonts w:hint="default"/>
        <w:b w:val="0"/>
        <w:bCs/>
        <w:color w:val="auto"/>
        <w:sz w:val="24"/>
        <w:szCs w:val="24"/>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91" w15:restartNumberingAfterBreak="0">
    <w:nsid w:val="465A3630"/>
    <w:multiLevelType w:val="hybridMultilevel"/>
    <w:tmpl w:val="359A9DF0"/>
    <w:lvl w:ilvl="0" w:tplc="97FAF9C6">
      <w:start w:val="1"/>
      <w:numFmt w:val="bullet"/>
      <w:lvlText w:val=""/>
      <w:lvlJc w:val="left"/>
      <w:pPr>
        <w:ind w:left="360" w:hanging="360"/>
      </w:pPr>
      <w:rPr>
        <w:rFonts w:ascii="Symbol" w:hAnsi="Symbol" w:hint="default"/>
        <w:color w:val="auto"/>
        <w:sz w:val="20"/>
        <w:szCs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2" w15:restartNumberingAfterBreak="0">
    <w:nsid w:val="46BE3529"/>
    <w:multiLevelType w:val="hybridMultilevel"/>
    <w:tmpl w:val="CA189750"/>
    <w:lvl w:ilvl="0" w:tplc="5614CC8C">
      <w:start w:val="1"/>
      <w:numFmt w:val="lowerLetter"/>
      <w:lvlText w:val="%1."/>
      <w:lvlJc w:val="left"/>
      <w:pPr>
        <w:ind w:left="1069" w:hanging="360"/>
      </w:pPr>
      <w:rPr>
        <w:color w:val="000000" w:themeColor="text1"/>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193" w15:restartNumberingAfterBreak="0">
    <w:nsid w:val="473D2406"/>
    <w:multiLevelType w:val="hybridMultilevel"/>
    <w:tmpl w:val="04BCDD76"/>
    <w:lvl w:ilvl="0" w:tplc="98FEB0A8">
      <w:start w:val="1"/>
      <w:numFmt w:val="bullet"/>
      <w:lvlText w:val=""/>
      <w:lvlJc w:val="left"/>
      <w:pPr>
        <w:ind w:left="960" w:hanging="360"/>
      </w:pPr>
      <w:rPr>
        <w:rFonts w:ascii="Symbol" w:hAnsi="Symbol" w:hint="default"/>
        <w:color w:val="auto"/>
      </w:rPr>
    </w:lvl>
    <w:lvl w:ilvl="1" w:tplc="08090003" w:tentative="1">
      <w:start w:val="1"/>
      <w:numFmt w:val="bullet"/>
      <w:lvlText w:val="o"/>
      <w:lvlJc w:val="left"/>
      <w:pPr>
        <w:ind w:left="1680" w:hanging="360"/>
      </w:pPr>
      <w:rPr>
        <w:rFonts w:ascii="Courier New" w:hAnsi="Courier New" w:cs="Courier New" w:hint="default"/>
      </w:rPr>
    </w:lvl>
    <w:lvl w:ilvl="2" w:tplc="08090005" w:tentative="1">
      <w:start w:val="1"/>
      <w:numFmt w:val="bullet"/>
      <w:lvlText w:val=""/>
      <w:lvlJc w:val="left"/>
      <w:pPr>
        <w:ind w:left="2400" w:hanging="360"/>
      </w:pPr>
      <w:rPr>
        <w:rFonts w:ascii="Wingdings" w:hAnsi="Wingdings" w:hint="default"/>
      </w:rPr>
    </w:lvl>
    <w:lvl w:ilvl="3" w:tplc="08090001" w:tentative="1">
      <w:start w:val="1"/>
      <w:numFmt w:val="bullet"/>
      <w:lvlText w:val=""/>
      <w:lvlJc w:val="left"/>
      <w:pPr>
        <w:ind w:left="3120" w:hanging="360"/>
      </w:pPr>
      <w:rPr>
        <w:rFonts w:ascii="Symbol" w:hAnsi="Symbol" w:hint="default"/>
      </w:rPr>
    </w:lvl>
    <w:lvl w:ilvl="4" w:tplc="08090003" w:tentative="1">
      <w:start w:val="1"/>
      <w:numFmt w:val="bullet"/>
      <w:lvlText w:val="o"/>
      <w:lvlJc w:val="left"/>
      <w:pPr>
        <w:ind w:left="3840" w:hanging="360"/>
      </w:pPr>
      <w:rPr>
        <w:rFonts w:ascii="Courier New" w:hAnsi="Courier New" w:cs="Courier New" w:hint="default"/>
      </w:rPr>
    </w:lvl>
    <w:lvl w:ilvl="5" w:tplc="08090005" w:tentative="1">
      <w:start w:val="1"/>
      <w:numFmt w:val="bullet"/>
      <w:lvlText w:val=""/>
      <w:lvlJc w:val="left"/>
      <w:pPr>
        <w:ind w:left="4560" w:hanging="360"/>
      </w:pPr>
      <w:rPr>
        <w:rFonts w:ascii="Wingdings" w:hAnsi="Wingdings" w:hint="default"/>
      </w:rPr>
    </w:lvl>
    <w:lvl w:ilvl="6" w:tplc="08090001" w:tentative="1">
      <w:start w:val="1"/>
      <w:numFmt w:val="bullet"/>
      <w:lvlText w:val=""/>
      <w:lvlJc w:val="left"/>
      <w:pPr>
        <w:ind w:left="5280" w:hanging="360"/>
      </w:pPr>
      <w:rPr>
        <w:rFonts w:ascii="Symbol" w:hAnsi="Symbol" w:hint="default"/>
      </w:rPr>
    </w:lvl>
    <w:lvl w:ilvl="7" w:tplc="08090003" w:tentative="1">
      <w:start w:val="1"/>
      <w:numFmt w:val="bullet"/>
      <w:lvlText w:val="o"/>
      <w:lvlJc w:val="left"/>
      <w:pPr>
        <w:ind w:left="6000" w:hanging="360"/>
      </w:pPr>
      <w:rPr>
        <w:rFonts w:ascii="Courier New" w:hAnsi="Courier New" w:cs="Courier New" w:hint="default"/>
      </w:rPr>
    </w:lvl>
    <w:lvl w:ilvl="8" w:tplc="08090005" w:tentative="1">
      <w:start w:val="1"/>
      <w:numFmt w:val="bullet"/>
      <w:lvlText w:val=""/>
      <w:lvlJc w:val="left"/>
      <w:pPr>
        <w:ind w:left="6720" w:hanging="360"/>
      </w:pPr>
      <w:rPr>
        <w:rFonts w:ascii="Wingdings" w:hAnsi="Wingdings" w:hint="default"/>
      </w:rPr>
    </w:lvl>
  </w:abstractNum>
  <w:abstractNum w:abstractNumId="194" w15:restartNumberingAfterBreak="0">
    <w:nsid w:val="476E0F56"/>
    <w:multiLevelType w:val="hybridMultilevel"/>
    <w:tmpl w:val="26CEF48A"/>
    <w:lvl w:ilvl="0" w:tplc="6CF42CB6">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5" w15:restartNumberingAfterBreak="0">
    <w:nsid w:val="47D61FCC"/>
    <w:multiLevelType w:val="hybridMultilevel"/>
    <w:tmpl w:val="1A00B366"/>
    <w:lvl w:ilvl="0" w:tplc="97FAF9C6">
      <w:start w:val="1"/>
      <w:numFmt w:val="bullet"/>
      <w:lvlText w:val=""/>
      <w:lvlJc w:val="left"/>
      <w:pPr>
        <w:ind w:left="360" w:hanging="360"/>
      </w:pPr>
      <w:rPr>
        <w:rFonts w:ascii="Symbol" w:hAnsi="Symbol" w:hint="default"/>
        <w:color w:val="auto"/>
        <w:sz w:val="20"/>
        <w:szCs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6" w15:restartNumberingAfterBreak="0">
    <w:nsid w:val="484A120A"/>
    <w:multiLevelType w:val="hybridMultilevel"/>
    <w:tmpl w:val="4FFE2084"/>
    <w:lvl w:ilvl="0" w:tplc="08090001">
      <w:start w:val="1"/>
      <w:numFmt w:val="bullet"/>
      <w:lvlText w:val=""/>
      <w:lvlJc w:val="left"/>
      <w:pPr>
        <w:ind w:left="1245" w:hanging="360"/>
      </w:pPr>
      <w:rPr>
        <w:rFonts w:ascii="Symbol" w:hAnsi="Symbol" w:hint="default"/>
      </w:rPr>
    </w:lvl>
    <w:lvl w:ilvl="1" w:tplc="08090003" w:tentative="1">
      <w:start w:val="1"/>
      <w:numFmt w:val="bullet"/>
      <w:lvlText w:val="o"/>
      <w:lvlJc w:val="left"/>
      <w:pPr>
        <w:ind w:left="1965" w:hanging="360"/>
      </w:pPr>
      <w:rPr>
        <w:rFonts w:ascii="Courier New" w:hAnsi="Courier New" w:cs="Courier New" w:hint="default"/>
      </w:rPr>
    </w:lvl>
    <w:lvl w:ilvl="2" w:tplc="08090005" w:tentative="1">
      <w:start w:val="1"/>
      <w:numFmt w:val="bullet"/>
      <w:lvlText w:val=""/>
      <w:lvlJc w:val="left"/>
      <w:pPr>
        <w:ind w:left="2685" w:hanging="360"/>
      </w:pPr>
      <w:rPr>
        <w:rFonts w:ascii="Wingdings" w:hAnsi="Wingdings" w:hint="default"/>
      </w:rPr>
    </w:lvl>
    <w:lvl w:ilvl="3" w:tplc="08090001" w:tentative="1">
      <w:start w:val="1"/>
      <w:numFmt w:val="bullet"/>
      <w:lvlText w:val=""/>
      <w:lvlJc w:val="left"/>
      <w:pPr>
        <w:ind w:left="3405" w:hanging="360"/>
      </w:pPr>
      <w:rPr>
        <w:rFonts w:ascii="Symbol" w:hAnsi="Symbol" w:hint="default"/>
      </w:rPr>
    </w:lvl>
    <w:lvl w:ilvl="4" w:tplc="08090003" w:tentative="1">
      <w:start w:val="1"/>
      <w:numFmt w:val="bullet"/>
      <w:lvlText w:val="o"/>
      <w:lvlJc w:val="left"/>
      <w:pPr>
        <w:ind w:left="4125" w:hanging="360"/>
      </w:pPr>
      <w:rPr>
        <w:rFonts w:ascii="Courier New" w:hAnsi="Courier New" w:cs="Courier New" w:hint="default"/>
      </w:rPr>
    </w:lvl>
    <w:lvl w:ilvl="5" w:tplc="08090005" w:tentative="1">
      <w:start w:val="1"/>
      <w:numFmt w:val="bullet"/>
      <w:lvlText w:val=""/>
      <w:lvlJc w:val="left"/>
      <w:pPr>
        <w:ind w:left="4845" w:hanging="360"/>
      </w:pPr>
      <w:rPr>
        <w:rFonts w:ascii="Wingdings" w:hAnsi="Wingdings" w:hint="default"/>
      </w:rPr>
    </w:lvl>
    <w:lvl w:ilvl="6" w:tplc="08090001" w:tentative="1">
      <w:start w:val="1"/>
      <w:numFmt w:val="bullet"/>
      <w:lvlText w:val=""/>
      <w:lvlJc w:val="left"/>
      <w:pPr>
        <w:ind w:left="5565" w:hanging="360"/>
      </w:pPr>
      <w:rPr>
        <w:rFonts w:ascii="Symbol" w:hAnsi="Symbol" w:hint="default"/>
      </w:rPr>
    </w:lvl>
    <w:lvl w:ilvl="7" w:tplc="08090003" w:tentative="1">
      <w:start w:val="1"/>
      <w:numFmt w:val="bullet"/>
      <w:lvlText w:val="o"/>
      <w:lvlJc w:val="left"/>
      <w:pPr>
        <w:ind w:left="6285" w:hanging="360"/>
      </w:pPr>
      <w:rPr>
        <w:rFonts w:ascii="Courier New" w:hAnsi="Courier New" w:cs="Courier New" w:hint="default"/>
      </w:rPr>
    </w:lvl>
    <w:lvl w:ilvl="8" w:tplc="08090005" w:tentative="1">
      <w:start w:val="1"/>
      <w:numFmt w:val="bullet"/>
      <w:lvlText w:val=""/>
      <w:lvlJc w:val="left"/>
      <w:pPr>
        <w:ind w:left="7005" w:hanging="360"/>
      </w:pPr>
      <w:rPr>
        <w:rFonts w:ascii="Wingdings" w:hAnsi="Wingdings" w:hint="default"/>
      </w:rPr>
    </w:lvl>
  </w:abstractNum>
  <w:abstractNum w:abstractNumId="197" w15:restartNumberingAfterBreak="0">
    <w:nsid w:val="498C493E"/>
    <w:multiLevelType w:val="hybridMultilevel"/>
    <w:tmpl w:val="0EECD5C4"/>
    <w:lvl w:ilvl="0" w:tplc="08090001">
      <w:start w:val="1"/>
      <w:numFmt w:val="bullet"/>
      <w:lvlText w:val=""/>
      <w:lvlJc w:val="left"/>
      <w:pPr>
        <w:ind w:left="1070" w:hanging="360"/>
      </w:pPr>
      <w:rPr>
        <w:rFonts w:ascii="Symbol" w:hAnsi="Symbol" w:hint="default"/>
      </w:rPr>
    </w:lvl>
    <w:lvl w:ilvl="1" w:tplc="08090003" w:tentative="1">
      <w:start w:val="1"/>
      <w:numFmt w:val="bullet"/>
      <w:lvlText w:val="o"/>
      <w:lvlJc w:val="left"/>
      <w:pPr>
        <w:ind w:left="1790" w:hanging="360"/>
      </w:pPr>
      <w:rPr>
        <w:rFonts w:ascii="Courier New" w:hAnsi="Courier New" w:cs="Courier New" w:hint="default"/>
      </w:rPr>
    </w:lvl>
    <w:lvl w:ilvl="2" w:tplc="08090005" w:tentative="1">
      <w:start w:val="1"/>
      <w:numFmt w:val="bullet"/>
      <w:lvlText w:val=""/>
      <w:lvlJc w:val="left"/>
      <w:pPr>
        <w:ind w:left="2510" w:hanging="360"/>
      </w:pPr>
      <w:rPr>
        <w:rFonts w:ascii="Wingdings" w:hAnsi="Wingdings" w:hint="default"/>
      </w:rPr>
    </w:lvl>
    <w:lvl w:ilvl="3" w:tplc="08090001" w:tentative="1">
      <w:start w:val="1"/>
      <w:numFmt w:val="bullet"/>
      <w:lvlText w:val=""/>
      <w:lvlJc w:val="left"/>
      <w:pPr>
        <w:ind w:left="3230" w:hanging="360"/>
      </w:pPr>
      <w:rPr>
        <w:rFonts w:ascii="Symbol" w:hAnsi="Symbol" w:hint="default"/>
      </w:rPr>
    </w:lvl>
    <w:lvl w:ilvl="4" w:tplc="08090003" w:tentative="1">
      <w:start w:val="1"/>
      <w:numFmt w:val="bullet"/>
      <w:lvlText w:val="o"/>
      <w:lvlJc w:val="left"/>
      <w:pPr>
        <w:ind w:left="3950" w:hanging="360"/>
      </w:pPr>
      <w:rPr>
        <w:rFonts w:ascii="Courier New" w:hAnsi="Courier New" w:cs="Courier New" w:hint="default"/>
      </w:rPr>
    </w:lvl>
    <w:lvl w:ilvl="5" w:tplc="08090005" w:tentative="1">
      <w:start w:val="1"/>
      <w:numFmt w:val="bullet"/>
      <w:lvlText w:val=""/>
      <w:lvlJc w:val="left"/>
      <w:pPr>
        <w:ind w:left="4670" w:hanging="360"/>
      </w:pPr>
      <w:rPr>
        <w:rFonts w:ascii="Wingdings" w:hAnsi="Wingdings" w:hint="default"/>
      </w:rPr>
    </w:lvl>
    <w:lvl w:ilvl="6" w:tplc="08090001" w:tentative="1">
      <w:start w:val="1"/>
      <w:numFmt w:val="bullet"/>
      <w:lvlText w:val=""/>
      <w:lvlJc w:val="left"/>
      <w:pPr>
        <w:ind w:left="5390" w:hanging="360"/>
      </w:pPr>
      <w:rPr>
        <w:rFonts w:ascii="Symbol" w:hAnsi="Symbol" w:hint="default"/>
      </w:rPr>
    </w:lvl>
    <w:lvl w:ilvl="7" w:tplc="08090003" w:tentative="1">
      <w:start w:val="1"/>
      <w:numFmt w:val="bullet"/>
      <w:lvlText w:val="o"/>
      <w:lvlJc w:val="left"/>
      <w:pPr>
        <w:ind w:left="6110" w:hanging="360"/>
      </w:pPr>
      <w:rPr>
        <w:rFonts w:ascii="Courier New" w:hAnsi="Courier New" w:cs="Courier New" w:hint="default"/>
      </w:rPr>
    </w:lvl>
    <w:lvl w:ilvl="8" w:tplc="08090005" w:tentative="1">
      <w:start w:val="1"/>
      <w:numFmt w:val="bullet"/>
      <w:lvlText w:val=""/>
      <w:lvlJc w:val="left"/>
      <w:pPr>
        <w:ind w:left="6830" w:hanging="360"/>
      </w:pPr>
      <w:rPr>
        <w:rFonts w:ascii="Wingdings" w:hAnsi="Wingdings" w:hint="default"/>
      </w:rPr>
    </w:lvl>
  </w:abstractNum>
  <w:abstractNum w:abstractNumId="198" w15:restartNumberingAfterBreak="0">
    <w:nsid w:val="49C375EF"/>
    <w:multiLevelType w:val="hybridMultilevel"/>
    <w:tmpl w:val="3418CA3E"/>
    <w:lvl w:ilvl="0" w:tplc="2BF00C2E">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9" w15:restartNumberingAfterBreak="0">
    <w:nsid w:val="4A137C81"/>
    <w:multiLevelType w:val="hybridMultilevel"/>
    <w:tmpl w:val="8D4ADE6C"/>
    <w:lvl w:ilvl="0" w:tplc="8E9A1B5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0" w15:restartNumberingAfterBreak="0">
    <w:nsid w:val="4AFD21AD"/>
    <w:multiLevelType w:val="hybridMultilevel"/>
    <w:tmpl w:val="B9488088"/>
    <w:lvl w:ilvl="0" w:tplc="46CA2B3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1" w15:restartNumberingAfterBreak="0">
    <w:nsid w:val="4B0A765F"/>
    <w:multiLevelType w:val="hybridMultilevel"/>
    <w:tmpl w:val="DE94946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2" w15:restartNumberingAfterBreak="0">
    <w:nsid w:val="4B4F6A8E"/>
    <w:multiLevelType w:val="hybridMultilevel"/>
    <w:tmpl w:val="35F66536"/>
    <w:lvl w:ilvl="0" w:tplc="08090001">
      <w:start w:val="1"/>
      <w:numFmt w:val="bullet"/>
      <w:lvlText w:val=""/>
      <w:lvlJc w:val="left"/>
      <w:pPr>
        <w:ind w:left="1245" w:hanging="360"/>
      </w:pPr>
      <w:rPr>
        <w:rFonts w:ascii="Symbol" w:hAnsi="Symbol" w:hint="default"/>
      </w:rPr>
    </w:lvl>
    <w:lvl w:ilvl="1" w:tplc="08090003" w:tentative="1">
      <w:start w:val="1"/>
      <w:numFmt w:val="bullet"/>
      <w:lvlText w:val="o"/>
      <w:lvlJc w:val="left"/>
      <w:pPr>
        <w:ind w:left="1965" w:hanging="360"/>
      </w:pPr>
      <w:rPr>
        <w:rFonts w:ascii="Courier New" w:hAnsi="Courier New" w:cs="Courier New" w:hint="default"/>
      </w:rPr>
    </w:lvl>
    <w:lvl w:ilvl="2" w:tplc="08090005" w:tentative="1">
      <w:start w:val="1"/>
      <w:numFmt w:val="bullet"/>
      <w:lvlText w:val=""/>
      <w:lvlJc w:val="left"/>
      <w:pPr>
        <w:ind w:left="2685" w:hanging="360"/>
      </w:pPr>
      <w:rPr>
        <w:rFonts w:ascii="Wingdings" w:hAnsi="Wingdings" w:hint="default"/>
      </w:rPr>
    </w:lvl>
    <w:lvl w:ilvl="3" w:tplc="08090001" w:tentative="1">
      <w:start w:val="1"/>
      <w:numFmt w:val="bullet"/>
      <w:lvlText w:val=""/>
      <w:lvlJc w:val="left"/>
      <w:pPr>
        <w:ind w:left="3405" w:hanging="360"/>
      </w:pPr>
      <w:rPr>
        <w:rFonts w:ascii="Symbol" w:hAnsi="Symbol" w:hint="default"/>
      </w:rPr>
    </w:lvl>
    <w:lvl w:ilvl="4" w:tplc="08090003" w:tentative="1">
      <w:start w:val="1"/>
      <w:numFmt w:val="bullet"/>
      <w:lvlText w:val="o"/>
      <w:lvlJc w:val="left"/>
      <w:pPr>
        <w:ind w:left="4125" w:hanging="360"/>
      </w:pPr>
      <w:rPr>
        <w:rFonts w:ascii="Courier New" w:hAnsi="Courier New" w:cs="Courier New" w:hint="default"/>
      </w:rPr>
    </w:lvl>
    <w:lvl w:ilvl="5" w:tplc="08090005" w:tentative="1">
      <w:start w:val="1"/>
      <w:numFmt w:val="bullet"/>
      <w:lvlText w:val=""/>
      <w:lvlJc w:val="left"/>
      <w:pPr>
        <w:ind w:left="4845" w:hanging="360"/>
      </w:pPr>
      <w:rPr>
        <w:rFonts w:ascii="Wingdings" w:hAnsi="Wingdings" w:hint="default"/>
      </w:rPr>
    </w:lvl>
    <w:lvl w:ilvl="6" w:tplc="08090001" w:tentative="1">
      <w:start w:val="1"/>
      <w:numFmt w:val="bullet"/>
      <w:lvlText w:val=""/>
      <w:lvlJc w:val="left"/>
      <w:pPr>
        <w:ind w:left="5565" w:hanging="360"/>
      </w:pPr>
      <w:rPr>
        <w:rFonts w:ascii="Symbol" w:hAnsi="Symbol" w:hint="default"/>
      </w:rPr>
    </w:lvl>
    <w:lvl w:ilvl="7" w:tplc="08090003" w:tentative="1">
      <w:start w:val="1"/>
      <w:numFmt w:val="bullet"/>
      <w:lvlText w:val="o"/>
      <w:lvlJc w:val="left"/>
      <w:pPr>
        <w:ind w:left="6285" w:hanging="360"/>
      </w:pPr>
      <w:rPr>
        <w:rFonts w:ascii="Courier New" w:hAnsi="Courier New" w:cs="Courier New" w:hint="default"/>
      </w:rPr>
    </w:lvl>
    <w:lvl w:ilvl="8" w:tplc="08090005" w:tentative="1">
      <w:start w:val="1"/>
      <w:numFmt w:val="bullet"/>
      <w:lvlText w:val=""/>
      <w:lvlJc w:val="left"/>
      <w:pPr>
        <w:ind w:left="7005" w:hanging="360"/>
      </w:pPr>
      <w:rPr>
        <w:rFonts w:ascii="Wingdings" w:hAnsi="Wingdings" w:hint="default"/>
      </w:rPr>
    </w:lvl>
  </w:abstractNum>
  <w:abstractNum w:abstractNumId="203" w15:restartNumberingAfterBreak="0">
    <w:nsid w:val="4BA82A54"/>
    <w:multiLevelType w:val="hybridMultilevel"/>
    <w:tmpl w:val="0BFABF58"/>
    <w:lvl w:ilvl="0" w:tplc="7A5CB8B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4" w15:restartNumberingAfterBreak="0">
    <w:nsid w:val="4BBA54F3"/>
    <w:multiLevelType w:val="hybridMultilevel"/>
    <w:tmpl w:val="811C709C"/>
    <w:lvl w:ilvl="0" w:tplc="0809000B">
      <w:start w:val="1"/>
      <w:numFmt w:val="bullet"/>
      <w:lvlText w:val=""/>
      <w:lvlJc w:val="left"/>
      <w:pPr>
        <w:ind w:left="1607" w:hanging="360"/>
      </w:pPr>
      <w:rPr>
        <w:rFonts w:ascii="Wingdings" w:hAnsi="Wingdings" w:hint="default"/>
      </w:rPr>
    </w:lvl>
    <w:lvl w:ilvl="1" w:tplc="08090003" w:tentative="1">
      <w:start w:val="1"/>
      <w:numFmt w:val="bullet"/>
      <w:lvlText w:val="o"/>
      <w:lvlJc w:val="left"/>
      <w:pPr>
        <w:ind w:left="2327" w:hanging="360"/>
      </w:pPr>
      <w:rPr>
        <w:rFonts w:ascii="Courier New" w:hAnsi="Courier New" w:cs="Courier New" w:hint="default"/>
      </w:rPr>
    </w:lvl>
    <w:lvl w:ilvl="2" w:tplc="08090005" w:tentative="1">
      <w:start w:val="1"/>
      <w:numFmt w:val="bullet"/>
      <w:lvlText w:val=""/>
      <w:lvlJc w:val="left"/>
      <w:pPr>
        <w:ind w:left="3047" w:hanging="360"/>
      </w:pPr>
      <w:rPr>
        <w:rFonts w:ascii="Wingdings" w:hAnsi="Wingdings" w:hint="default"/>
      </w:rPr>
    </w:lvl>
    <w:lvl w:ilvl="3" w:tplc="08090001" w:tentative="1">
      <w:start w:val="1"/>
      <w:numFmt w:val="bullet"/>
      <w:lvlText w:val=""/>
      <w:lvlJc w:val="left"/>
      <w:pPr>
        <w:ind w:left="3767" w:hanging="360"/>
      </w:pPr>
      <w:rPr>
        <w:rFonts w:ascii="Symbol" w:hAnsi="Symbol" w:hint="default"/>
      </w:rPr>
    </w:lvl>
    <w:lvl w:ilvl="4" w:tplc="08090003" w:tentative="1">
      <w:start w:val="1"/>
      <w:numFmt w:val="bullet"/>
      <w:lvlText w:val="o"/>
      <w:lvlJc w:val="left"/>
      <w:pPr>
        <w:ind w:left="4487" w:hanging="360"/>
      </w:pPr>
      <w:rPr>
        <w:rFonts w:ascii="Courier New" w:hAnsi="Courier New" w:cs="Courier New" w:hint="default"/>
      </w:rPr>
    </w:lvl>
    <w:lvl w:ilvl="5" w:tplc="08090005" w:tentative="1">
      <w:start w:val="1"/>
      <w:numFmt w:val="bullet"/>
      <w:lvlText w:val=""/>
      <w:lvlJc w:val="left"/>
      <w:pPr>
        <w:ind w:left="5207" w:hanging="360"/>
      </w:pPr>
      <w:rPr>
        <w:rFonts w:ascii="Wingdings" w:hAnsi="Wingdings" w:hint="default"/>
      </w:rPr>
    </w:lvl>
    <w:lvl w:ilvl="6" w:tplc="08090001" w:tentative="1">
      <w:start w:val="1"/>
      <w:numFmt w:val="bullet"/>
      <w:lvlText w:val=""/>
      <w:lvlJc w:val="left"/>
      <w:pPr>
        <w:ind w:left="5927" w:hanging="360"/>
      </w:pPr>
      <w:rPr>
        <w:rFonts w:ascii="Symbol" w:hAnsi="Symbol" w:hint="default"/>
      </w:rPr>
    </w:lvl>
    <w:lvl w:ilvl="7" w:tplc="08090003" w:tentative="1">
      <w:start w:val="1"/>
      <w:numFmt w:val="bullet"/>
      <w:lvlText w:val="o"/>
      <w:lvlJc w:val="left"/>
      <w:pPr>
        <w:ind w:left="6647" w:hanging="360"/>
      </w:pPr>
      <w:rPr>
        <w:rFonts w:ascii="Courier New" w:hAnsi="Courier New" w:cs="Courier New" w:hint="default"/>
      </w:rPr>
    </w:lvl>
    <w:lvl w:ilvl="8" w:tplc="08090005" w:tentative="1">
      <w:start w:val="1"/>
      <w:numFmt w:val="bullet"/>
      <w:lvlText w:val=""/>
      <w:lvlJc w:val="left"/>
      <w:pPr>
        <w:ind w:left="7367" w:hanging="360"/>
      </w:pPr>
      <w:rPr>
        <w:rFonts w:ascii="Wingdings" w:hAnsi="Wingdings" w:hint="default"/>
      </w:rPr>
    </w:lvl>
  </w:abstractNum>
  <w:abstractNum w:abstractNumId="205" w15:restartNumberingAfterBreak="0">
    <w:nsid w:val="4C9533CA"/>
    <w:multiLevelType w:val="hybridMultilevel"/>
    <w:tmpl w:val="58FC139C"/>
    <w:lvl w:ilvl="0" w:tplc="CFA45C26">
      <w:start w:val="1"/>
      <w:numFmt w:val="lowerLetter"/>
      <w:lvlText w:val="%1)"/>
      <w:lvlJc w:val="left"/>
      <w:pPr>
        <w:ind w:left="-206" w:hanging="360"/>
      </w:pPr>
      <w:rPr>
        <w:b w:val="0"/>
      </w:rPr>
    </w:lvl>
    <w:lvl w:ilvl="1" w:tplc="08090019">
      <w:start w:val="1"/>
      <w:numFmt w:val="lowerLetter"/>
      <w:lvlText w:val="%2."/>
      <w:lvlJc w:val="left"/>
      <w:pPr>
        <w:ind w:left="514" w:hanging="360"/>
      </w:pPr>
    </w:lvl>
    <w:lvl w:ilvl="2" w:tplc="0809001B" w:tentative="1">
      <w:start w:val="1"/>
      <w:numFmt w:val="lowerRoman"/>
      <w:lvlText w:val="%3."/>
      <w:lvlJc w:val="right"/>
      <w:pPr>
        <w:ind w:left="1234" w:hanging="180"/>
      </w:pPr>
    </w:lvl>
    <w:lvl w:ilvl="3" w:tplc="0809000F" w:tentative="1">
      <w:start w:val="1"/>
      <w:numFmt w:val="decimal"/>
      <w:lvlText w:val="%4."/>
      <w:lvlJc w:val="left"/>
      <w:pPr>
        <w:ind w:left="1954" w:hanging="360"/>
      </w:pPr>
    </w:lvl>
    <w:lvl w:ilvl="4" w:tplc="08090019" w:tentative="1">
      <w:start w:val="1"/>
      <w:numFmt w:val="lowerLetter"/>
      <w:lvlText w:val="%5."/>
      <w:lvlJc w:val="left"/>
      <w:pPr>
        <w:ind w:left="2674" w:hanging="360"/>
      </w:pPr>
    </w:lvl>
    <w:lvl w:ilvl="5" w:tplc="0809001B" w:tentative="1">
      <w:start w:val="1"/>
      <w:numFmt w:val="lowerRoman"/>
      <w:lvlText w:val="%6."/>
      <w:lvlJc w:val="right"/>
      <w:pPr>
        <w:ind w:left="3394" w:hanging="180"/>
      </w:pPr>
    </w:lvl>
    <w:lvl w:ilvl="6" w:tplc="0809000F" w:tentative="1">
      <w:start w:val="1"/>
      <w:numFmt w:val="decimal"/>
      <w:lvlText w:val="%7."/>
      <w:lvlJc w:val="left"/>
      <w:pPr>
        <w:ind w:left="4114" w:hanging="360"/>
      </w:pPr>
    </w:lvl>
    <w:lvl w:ilvl="7" w:tplc="08090019" w:tentative="1">
      <w:start w:val="1"/>
      <w:numFmt w:val="lowerLetter"/>
      <w:lvlText w:val="%8."/>
      <w:lvlJc w:val="left"/>
      <w:pPr>
        <w:ind w:left="4834" w:hanging="360"/>
      </w:pPr>
    </w:lvl>
    <w:lvl w:ilvl="8" w:tplc="0809001B" w:tentative="1">
      <w:start w:val="1"/>
      <w:numFmt w:val="lowerRoman"/>
      <w:lvlText w:val="%9."/>
      <w:lvlJc w:val="right"/>
      <w:pPr>
        <w:ind w:left="5554" w:hanging="180"/>
      </w:pPr>
    </w:lvl>
  </w:abstractNum>
  <w:abstractNum w:abstractNumId="206" w15:restartNumberingAfterBreak="0">
    <w:nsid w:val="4E8E67A3"/>
    <w:multiLevelType w:val="hybridMultilevel"/>
    <w:tmpl w:val="BF4AFF30"/>
    <w:lvl w:ilvl="0" w:tplc="9370AA4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7" w15:restartNumberingAfterBreak="0">
    <w:nsid w:val="4EFD04EC"/>
    <w:multiLevelType w:val="hybridMultilevel"/>
    <w:tmpl w:val="CAE676C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8" w15:restartNumberingAfterBreak="0">
    <w:nsid w:val="4F146C49"/>
    <w:multiLevelType w:val="hybridMultilevel"/>
    <w:tmpl w:val="4182AE0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9" w15:restartNumberingAfterBreak="0">
    <w:nsid w:val="4F89096A"/>
    <w:multiLevelType w:val="hybridMultilevel"/>
    <w:tmpl w:val="5E4E3BBC"/>
    <w:lvl w:ilvl="0" w:tplc="0BB21616">
      <w:start w:val="1"/>
      <w:numFmt w:val="decimal"/>
      <w:lvlText w:val="%1."/>
      <w:lvlJc w:val="left"/>
      <w:pPr>
        <w:tabs>
          <w:tab w:val="num" w:pos="360"/>
        </w:tabs>
        <w:ind w:left="360" w:hanging="360"/>
      </w:pPr>
      <w:rPr>
        <w:rFonts w:hint="default"/>
        <w:b w:val="0"/>
        <w:bCs/>
        <w:strike w:val="0"/>
        <w:color w:val="auto"/>
        <w:sz w:val="24"/>
        <w:szCs w:val="24"/>
      </w:rPr>
    </w:lvl>
    <w:lvl w:ilvl="1" w:tplc="08090019">
      <w:start w:val="1"/>
      <w:numFmt w:val="lowerLetter"/>
      <w:lvlText w:val="%2."/>
      <w:lvlJc w:val="left"/>
      <w:pPr>
        <w:tabs>
          <w:tab w:val="num" w:pos="1440"/>
        </w:tabs>
        <w:ind w:left="1440" w:hanging="360"/>
      </w:pPr>
    </w:lvl>
    <w:lvl w:ilvl="2" w:tplc="BD561B44">
      <w:numFmt w:val="bullet"/>
      <w:lvlText w:val="•"/>
      <w:lvlJc w:val="left"/>
      <w:pPr>
        <w:ind w:left="2340" w:hanging="360"/>
      </w:pPr>
      <w:rPr>
        <w:rFonts w:ascii="Arial" w:eastAsia="Times New Roman" w:hAnsi="Arial" w:cs="Arial" w:hint="default"/>
      </w:r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10" w15:restartNumberingAfterBreak="0">
    <w:nsid w:val="4F967404"/>
    <w:multiLevelType w:val="multilevel"/>
    <w:tmpl w:val="880EEA62"/>
    <w:lvl w:ilvl="0">
      <w:start w:val="1"/>
      <w:numFmt w:val="decimal"/>
      <w:lvlText w:val="%1"/>
      <w:lvlJc w:val="left"/>
      <w:pPr>
        <w:tabs>
          <w:tab w:val="num" w:pos="525"/>
        </w:tabs>
        <w:ind w:left="525" w:hanging="525"/>
      </w:pPr>
      <w:rPr>
        <w:rFonts w:hint="default"/>
      </w:rPr>
    </w:lvl>
    <w:lvl w:ilvl="1">
      <w:start w:val="1"/>
      <w:numFmt w:val="decimal"/>
      <w:lvlText w:val="9.%2"/>
      <w:lvlJc w:val="left"/>
      <w:pPr>
        <w:tabs>
          <w:tab w:val="num" w:pos="525"/>
        </w:tabs>
        <w:ind w:left="525" w:hanging="525"/>
      </w:pPr>
      <w:rPr>
        <w:rFonts w:hint="default"/>
        <w:color w:val="auto"/>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11" w15:restartNumberingAfterBreak="0">
    <w:nsid w:val="503266C1"/>
    <w:multiLevelType w:val="hybridMultilevel"/>
    <w:tmpl w:val="B150003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2" w15:restartNumberingAfterBreak="0">
    <w:nsid w:val="507907A5"/>
    <w:multiLevelType w:val="hybridMultilevel"/>
    <w:tmpl w:val="0F00EFA4"/>
    <w:lvl w:ilvl="0" w:tplc="2460E054">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3" w15:restartNumberingAfterBreak="0">
    <w:nsid w:val="50813BCF"/>
    <w:multiLevelType w:val="hybridMultilevel"/>
    <w:tmpl w:val="78A6E9C2"/>
    <w:lvl w:ilvl="0" w:tplc="5A109410">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4" w15:restartNumberingAfterBreak="0">
    <w:nsid w:val="511D149A"/>
    <w:multiLevelType w:val="hybridMultilevel"/>
    <w:tmpl w:val="30AA6912"/>
    <w:lvl w:ilvl="0" w:tplc="46CA2B3A">
      <w:start w:val="1"/>
      <w:numFmt w:val="lowerLetter"/>
      <w:lvlText w:val="%1."/>
      <w:lvlJc w:val="left"/>
      <w:pPr>
        <w:ind w:left="862"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5" w15:restartNumberingAfterBreak="0">
    <w:nsid w:val="51434D84"/>
    <w:multiLevelType w:val="hybridMultilevel"/>
    <w:tmpl w:val="0E6478B8"/>
    <w:lvl w:ilvl="0" w:tplc="7A5CB8B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6" w15:restartNumberingAfterBreak="0">
    <w:nsid w:val="519E6B72"/>
    <w:multiLevelType w:val="hybridMultilevel"/>
    <w:tmpl w:val="A3FA5BB8"/>
    <w:lvl w:ilvl="0" w:tplc="98FEB0A8">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7" w15:restartNumberingAfterBreak="0">
    <w:nsid w:val="530945FF"/>
    <w:multiLevelType w:val="hybridMultilevel"/>
    <w:tmpl w:val="FF98FAC8"/>
    <w:lvl w:ilvl="0" w:tplc="AB72C352">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8" w15:restartNumberingAfterBreak="0">
    <w:nsid w:val="530E7E11"/>
    <w:multiLevelType w:val="hybridMultilevel"/>
    <w:tmpl w:val="2C4A7C84"/>
    <w:lvl w:ilvl="0" w:tplc="FFFFFFFF">
      <w:start w:val="1"/>
      <w:numFmt w:val="bullet"/>
      <w:lvlText w:val=""/>
      <w:lvlJc w:val="left"/>
      <w:pPr>
        <w:tabs>
          <w:tab w:val="num" w:pos="1080"/>
        </w:tabs>
        <w:ind w:left="1080" w:hanging="360"/>
      </w:pPr>
      <w:rPr>
        <w:rFonts w:ascii="Symbol" w:hAnsi="Symbol" w:hint="default"/>
        <w:color w:val="auto"/>
        <w:sz w:val="20"/>
        <w:szCs w:val="20"/>
      </w:rPr>
    </w:lvl>
    <w:lvl w:ilvl="1" w:tplc="FFFFFFFF" w:tentative="1">
      <w:start w:val="1"/>
      <w:numFmt w:val="bullet"/>
      <w:lvlText w:val="o"/>
      <w:lvlJc w:val="left"/>
      <w:pPr>
        <w:tabs>
          <w:tab w:val="num" w:pos="1080"/>
        </w:tabs>
        <w:ind w:left="1080" w:hanging="360"/>
      </w:pPr>
      <w:rPr>
        <w:rFonts w:ascii="Courier New" w:hAnsi="Courier New" w:cs="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cs="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cs="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219" w15:restartNumberingAfterBreak="0">
    <w:nsid w:val="533601E2"/>
    <w:multiLevelType w:val="hybridMultilevel"/>
    <w:tmpl w:val="08AE4C66"/>
    <w:lvl w:ilvl="0" w:tplc="08090001">
      <w:start w:val="1"/>
      <w:numFmt w:val="bullet"/>
      <w:lvlText w:val=""/>
      <w:lvlJc w:val="left"/>
      <w:pPr>
        <w:ind w:left="1245" w:hanging="360"/>
      </w:pPr>
      <w:rPr>
        <w:rFonts w:ascii="Symbol" w:hAnsi="Symbol" w:hint="default"/>
      </w:rPr>
    </w:lvl>
    <w:lvl w:ilvl="1" w:tplc="08090003" w:tentative="1">
      <w:start w:val="1"/>
      <w:numFmt w:val="bullet"/>
      <w:lvlText w:val="o"/>
      <w:lvlJc w:val="left"/>
      <w:pPr>
        <w:ind w:left="1965" w:hanging="360"/>
      </w:pPr>
      <w:rPr>
        <w:rFonts w:ascii="Courier New" w:hAnsi="Courier New" w:cs="Courier New" w:hint="default"/>
      </w:rPr>
    </w:lvl>
    <w:lvl w:ilvl="2" w:tplc="08090005" w:tentative="1">
      <w:start w:val="1"/>
      <w:numFmt w:val="bullet"/>
      <w:lvlText w:val=""/>
      <w:lvlJc w:val="left"/>
      <w:pPr>
        <w:ind w:left="2685" w:hanging="360"/>
      </w:pPr>
      <w:rPr>
        <w:rFonts w:ascii="Wingdings" w:hAnsi="Wingdings" w:hint="default"/>
      </w:rPr>
    </w:lvl>
    <w:lvl w:ilvl="3" w:tplc="08090001" w:tentative="1">
      <w:start w:val="1"/>
      <w:numFmt w:val="bullet"/>
      <w:lvlText w:val=""/>
      <w:lvlJc w:val="left"/>
      <w:pPr>
        <w:ind w:left="3405" w:hanging="360"/>
      </w:pPr>
      <w:rPr>
        <w:rFonts w:ascii="Symbol" w:hAnsi="Symbol" w:hint="default"/>
      </w:rPr>
    </w:lvl>
    <w:lvl w:ilvl="4" w:tplc="08090003" w:tentative="1">
      <w:start w:val="1"/>
      <w:numFmt w:val="bullet"/>
      <w:lvlText w:val="o"/>
      <w:lvlJc w:val="left"/>
      <w:pPr>
        <w:ind w:left="4125" w:hanging="360"/>
      </w:pPr>
      <w:rPr>
        <w:rFonts w:ascii="Courier New" w:hAnsi="Courier New" w:cs="Courier New" w:hint="default"/>
      </w:rPr>
    </w:lvl>
    <w:lvl w:ilvl="5" w:tplc="08090005" w:tentative="1">
      <w:start w:val="1"/>
      <w:numFmt w:val="bullet"/>
      <w:lvlText w:val=""/>
      <w:lvlJc w:val="left"/>
      <w:pPr>
        <w:ind w:left="4845" w:hanging="360"/>
      </w:pPr>
      <w:rPr>
        <w:rFonts w:ascii="Wingdings" w:hAnsi="Wingdings" w:hint="default"/>
      </w:rPr>
    </w:lvl>
    <w:lvl w:ilvl="6" w:tplc="08090001" w:tentative="1">
      <w:start w:val="1"/>
      <w:numFmt w:val="bullet"/>
      <w:lvlText w:val=""/>
      <w:lvlJc w:val="left"/>
      <w:pPr>
        <w:ind w:left="5565" w:hanging="360"/>
      </w:pPr>
      <w:rPr>
        <w:rFonts w:ascii="Symbol" w:hAnsi="Symbol" w:hint="default"/>
      </w:rPr>
    </w:lvl>
    <w:lvl w:ilvl="7" w:tplc="08090003" w:tentative="1">
      <w:start w:val="1"/>
      <w:numFmt w:val="bullet"/>
      <w:lvlText w:val="o"/>
      <w:lvlJc w:val="left"/>
      <w:pPr>
        <w:ind w:left="6285" w:hanging="360"/>
      </w:pPr>
      <w:rPr>
        <w:rFonts w:ascii="Courier New" w:hAnsi="Courier New" w:cs="Courier New" w:hint="default"/>
      </w:rPr>
    </w:lvl>
    <w:lvl w:ilvl="8" w:tplc="08090005" w:tentative="1">
      <w:start w:val="1"/>
      <w:numFmt w:val="bullet"/>
      <w:lvlText w:val=""/>
      <w:lvlJc w:val="left"/>
      <w:pPr>
        <w:ind w:left="7005" w:hanging="360"/>
      </w:pPr>
      <w:rPr>
        <w:rFonts w:ascii="Wingdings" w:hAnsi="Wingdings" w:hint="default"/>
      </w:rPr>
    </w:lvl>
  </w:abstractNum>
  <w:abstractNum w:abstractNumId="220" w15:restartNumberingAfterBreak="0">
    <w:nsid w:val="545B7D6A"/>
    <w:multiLevelType w:val="hybridMultilevel"/>
    <w:tmpl w:val="528E851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1" w15:restartNumberingAfterBreak="0">
    <w:nsid w:val="54AA4A4E"/>
    <w:multiLevelType w:val="hybridMultilevel"/>
    <w:tmpl w:val="957072C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2" w15:restartNumberingAfterBreak="0">
    <w:nsid w:val="55E17257"/>
    <w:multiLevelType w:val="hybridMultilevel"/>
    <w:tmpl w:val="D19E4834"/>
    <w:lvl w:ilvl="0" w:tplc="58DEB2DA">
      <w:start w:val="1"/>
      <w:numFmt w:val="decimal"/>
      <w:lvlText w:val="%1."/>
      <w:lvlJc w:val="left"/>
      <w:pPr>
        <w:tabs>
          <w:tab w:val="num" w:pos="360"/>
        </w:tabs>
        <w:ind w:left="360" w:hanging="360"/>
      </w:pPr>
      <w:rPr>
        <w:rFonts w:hint="default"/>
        <w:b w:val="0"/>
        <w:bCs w:val="0"/>
        <w:strike w:val="0"/>
        <w:color w:val="auto"/>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3" w15:restartNumberingAfterBreak="0">
    <w:nsid w:val="56437E76"/>
    <w:multiLevelType w:val="hybridMultilevel"/>
    <w:tmpl w:val="794834C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4" w15:restartNumberingAfterBreak="0">
    <w:nsid w:val="564E293E"/>
    <w:multiLevelType w:val="hybridMultilevel"/>
    <w:tmpl w:val="F238E66E"/>
    <w:lvl w:ilvl="0" w:tplc="B34CEA1C">
      <w:start w:val="1"/>
      <w:numFmt w:val="bullet"/>
      <w:lvlText w:val=""/>
      <w:lvlJc w:val="left"/>
      <w:pPr>
        <w:ind w:left="360" w:hanging="360"/>
      </w:pPr>
      <w:rPr>
        <w:rFonts w:ascii="Symbol" w:hAnsi="Symbol" w:hint="default"/>
        <w:sz w:val="24"/>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5" w15:restartNumberingAfterBreak="0">
    <w:nsid w:val="567052E4"/>
    <w:multiLevelType w:val="hybridMultilevel"/>
    <w:tmpl w:val="9074187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6" w15:restartNumberingAfterBreak="0">
    <w:nsid w:val="56EE41BA"/>
    <w:multiLevelType w:val="hybridMultilevel"/>
    <w:tmpl w:val="59208108"/>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7" w15:restartNumberingAfterBreak="0">
    <w:nsid w:val="57604132"/>
    <w:multiLevelType w:val="hybridMultilevel"/>
    <w:tmpl w:val="CB96CA9C"/>
    <w:lvl w:ilvl="0" w:tplc="C046D85A">
      <w:start w:val="1"/>
      <w:numFmt w:val="lowerLetter"/>
      <w:lvlText w:val="%1)"/>
      <w:lvlJc w:val="left"/>
      <w:pPr>
        <w:ind w:left="36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8" w15:restartNumberingAfterBreak="0">
    <w:nsid w:val="57CD0C20"/>
    <w:multiLevelType w:val="hybridMultilevel"/>
    <w:tmpl w:val="C3B6A8F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9" w15:restartNumberingAfterBreak="0">
    <w:nsid w:val="58087F6C"/>
    <w:multiLevelType w:val="hybridMultilevel"/>
    <w:tmpl w:val="34D892A6"/>
    <w:lvl w:ilvl="0" w:tplc="06AC37AC">
      <w:start w:val="1"/>
      <w:numFmt w:val="lowerLetter"/>
      <w:lvlText w:val="%1)"/>
      <w:lvlJc w:val="left"/>
      <w:pPr>
        <w:ind w:left="720" w:hanging="360"/>
      </w:pPr>
      <w:rPr>
        <w:rFonts w:ascii="Arial" w:eastAsia="Times New Roman" w:hAnsi="Arial" w:cs="Arial"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0" w15:restartNumberingAfterBreak="0">
    <w:nsid w:val="58AA3342"/>
    <w:multiLevelType w:val="hybridMultilevel"/>
    <w:tmpl w:val="6758247C"/>
    <w:lvl w:ilvl="0" w:tplc="402E9264">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1" w15:restartNumberingAfterBreak="0">
    <w:nsid w:val="59E01F26"/>
    <w:multiLevelType w:val="hybridMultilevel"/>
    <w:tmpl w:val="635C2F80"/>
    <w:lvl w:ilvl="0" w:tplc="B34CEA1C">
      <w:start w:val="1"/>
      <w:numFmt w:val="bullet"/>
      <w:lvlText w:val=""/>
      <w:lvlJc w:val="left"/>
      <w:pPr>
        <w:ind w:left="1080" w:hanging="360"/>
      </w:pPr>
      <w:rPr>
        <w:rFonts w:ascii="Symbol" w:hAnsi="Symbol" w:hint="default"/>
        <w:sz w:val="24"/>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32" w15:restartNumberingAfterBreak="0">
    <w:nsid w:val="5A900D91"/>
    <w:multiLevelType w:val="hybridMultilevel"/>
    <w:tmpl w:val="70667F40"/>
    <w:lvl w:ilvl="0" w:tplc="FFFFFFFF">
      <w:start w:val="1"/>
      <w:numFmt w:val="bullet"/>
      <w:lvlText w:val=""/>
      <w:lvlJc w:val="left"/>
      <w:pPr>
        <w:tabs>
          <w:tab w:val="num" w:pos="1040"/>
        </w:tabs>
        <w:ind w:left="1040" w:hanging="360"/>
      </w:pPr>
      <w:rPr>
        <w:rFonts w:ascii="Symbol" w:hAnsi="Symbol" w:hint="default"/>
        <w:color w:val="auto"/>
        <w:sz w:val="20"/>
        <w:szCs w:val="20"/>
      </w:rPr>
    </w:lvl>
    <w:lvl w:ilvl="1" w:tplc="FFFFFFFF">
      <w:start w:val="1"/>
      <w:numFmt w:val="decimal"/>
      <w:lvlText w:val="%2."/>
      <w:lvlJc w:val="left"/>
      <w:pPr>
        <w:tabs>
          <w:tab w:val="num" w:pos="1040"/>
        </w:tabs>
        <w:ind w:left="1040" w:hanging="360"/>
      </w:pPr>
      <w:rPr>
        <w:rFonts w:hint="default"/>
        <w:color w:val="auto"/>
        <w:sz w:val="24"/>
        <w:szCs w:val="24"/>
      </w:rPr>
    </w:lvl>
    <w:lvl w:ilvl="2" w:tplc="FFFFFFFF" w:tentative="1">
      <w:start w:val="1"/>
      <w:numFmt w:val="bullet"/>
      <w:lvlText w:val=""/>
      <w:lvlJc w:val="left"/>
      <w:pPr>
        <w:tabs>
          <w:tab w:val="num" w:pos="1760"/>
        </w:tabs>
        <w:ind w:left="1760" w:hanging="360"/>
      </w:pPr>
      <w:rPr>
        <w:rFonts w:ascii="Wingdings" w:hAnsi="Wingdings" w:hint="default"/>
      </w:rPr>
    </w:lvl>
    <w:lvl w:ilvl="3" w:tplc="FFFFFFFF" w:tentative="1">
      <w:start w:val="1"/>
      <w:numFmt w:val="bullet"/>
      <w:lvlText w:val=""/>
      <w:lvlJc w:val="left"/>
      <w:pPr>
        <w:tabs>
          <w:tab w:val="num" w:pos="2480"/>
        </w:tabs>
        <w:ind w:left="2480" w:hanging="360"/>
      </w:pPr>
      <w:rPr>
        <w:rFonts w:ascii="Symbol" w:hAnsi="Symbol" w:hint="default"/>
      </w:rPr>
    </w:lvl>
    <w:lvl w:ilvl="4" w:tplc="FFFFFFFF" w:tentative="1">
      <w:start w:val="1"/>
      <w:numFmt w:val="bullet"/>
      <w:lvlText w:val="o"/>
      <w:lvlJc w:val="left"/>
      <w:pPr>
        <w:tabs>
          <w:tab w:val="num" w:pos="3200"/>
        </w:tabs>
        <w:ind w:left="3200" w:hanging="360"/>
      </w:pPr>
      <w:rPr>
        <w:rFonts w:ascii="Courier New" w:hAnsi="Courier New" w:cs="Courier New" w:hint="default"/>
      </w:rPr>
    </w:lvl>
    <w:lvl w:ilvl="5" w:tplc="FFFFFFFF" w:tentative="1">
      <w:start w:val="1"/>
      <w:numFmt w:val="bullet"/>
      <w:lvlText w:val=""/>
      <w:lvlJc w:val="left"/>
      <w:pPr>
        <w:tabs>
          <w:tab w:val="num" w:pos="3920"/>
        </w:tabs>
        <w:ind w:left="3920" w:hanging="360"/>
      </w:pPr>
      <w:rPr>
        <w:rFonts w:ascii="Wingdings" w:hAnsi="Wingdings" w:hint="default"/>
      </w:rPr>
    </w:lvl>
    <w:lvl w:ilvl="6" w:tplc="FFFFFFFF" w:tentative="1">
      <w:start w:val="1"/>
      <w:numFmt w:val="bullet"/>
      <w:lvlText w:val=""/>
      <w:lvlJc w:val="left"/>
      <w:pPr>
        <w:tabs>
          <w:tab w:val="num" w:pos="4640"/>
        </w:tabs>
        <w:ind w:left="4640" w:hanging="360"/>
      </w:pPr>
      <w:rPr>
        <w:rFonts w:ascii="Symbol" w:hAnsi="Symbol" w:hint="default"/>
      </w:rPr>
    </w:lvl>
    <w:lvl w:ilvl="7" w:tplc="FFFFFFFF" w:tentative="1">
      <w:start w:val="1"/>
      <w:numFmt w:val="bullet"/>
      <w:lvlText w:val="o"/>
      <w:lvlJc w:val="left"/>
      <w:pPr>
        <w:tabs>
          <w:tab w:val="num" w:pos="5360"/>
        </w:tabs>
        <w:ind w:left="5360" w:hanging="360"/>
      </w:pPr>
      <w:rPr>
        <w:rFonts w:ascii="Courier New" w:hAnsi="Courier New" w:cs="Courier New" w:hint="default"/>
      </w:rPr>
    </w:lvl>
    <w:lvl w:ilvl="8" w:tplc="FFFFFFFF" w:tentative="1">
      <w:start w:val="1"/>
      <w:numFmt w:val="bullet"/>
      <w:lvlText w:val=""/>
      <w:lvlJc w:val="left"/>
      <w:pPr>
        <w:tabs>
          <w:tab w:val="num" w:pos="6080"/>
        </w:tabs>
        <w:ind w:left="6080" w:hanging="360"/>
      </w:pPr>
      <w:rPr>
        <w:rFonts w:ascii="Wingdings" w:hAnsi="Wingdings" w:hint="default"/>
      </w:rPr>
    </w:lvl>
  </w:abstractNum>
  <w:abstractNum w:abstractNumId="233" w15:restartNumberingAfterBreak="0">
    <w:nsid w:val="5B4B088A"/>
    <w:multiLevelType w:val="hybridMultilevel"/>
    <w:tmpl w:val="961897EC"/>
    <w:lvl w:ilvl="0" w:tplc="8B941D06">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4" w15:restartNumberingAfterBreak="0">
    <w:nsid w:val="5B602E7B"/>
    <w:multiLevelType w:val="hybridMultilevel"/>
    <w:tmpl w:val="A9B29392"/>
    <w:lvl w:ilvl="0" w:tplc="114AA40C">
      <w:start w:val="1"/>
      <w:numFmt w:val="lowerRoman"/>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35" w15:restartNumberingAfterBreak="0">
    <w:nsid w:val="5B6B68A9"/>
    <w:multiLevelType w:val="hybridMultilevel"/>
    <w:tmpl w:val="4B4E4B14"/>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236" w15:restartNumberingAfterBreak="0">
    <w:nsid w:val="5B7154D4"/>
    <w:multiLevelType w:val="hybridMultilevel"/>
    <w:tmpl w:val="1E0E755C"/>
    <w:lvl w:ilvl="0" w:tplc="06AC37AC">
      <w:start w:val="1"/>
      <w:numFmt w:val="lowerLetter"/>
      <w:lvlText w:val="%1)"/>
      <w:lvlJc w:val="left"/>
      <w:pPr>
        <w:ind w:left="360" w:hanging="360"/>
      </w:pPr>
      <w:rPr>
        <w:rFonts w:ascii="Arial" w:eastAsia="Times New Roman" w:hAnsi="Arial" w:cs="Arial" w:hint="default"/>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7" w15:restartNumberingAfterBreak="0">
    <w:nsid w:val="5BBE51AF"/>
    <w:multiLevelType w:val="hybridMultilevel"/>
    <w:tmpl w:val="FF0E3F08"/>
    <w:lvl w:ilvl="0" w:tplc="08090001">
      <w:start w:val="1"/>
      <w:numFmt w:val="bullet"/>
      <w:lvlText w:val=""/>
      <w:lvlJc w:val="left"/>
      <w:pPr>
        <w:ind w:left="1069" w:hanging="360"/>
      </w:pPr>
      <w:rPr>
        <w:rFonts w:ascii="Symbol" w:hAnsi="Symbol"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238" w15:restartNumberingAfterBreak="0">
    <w:nsid w:val="5BC8536C"/>
    <w:multiLevelType w:val="hybridMultilevel"/>
    <w:tmpl w:val="4C42EE14"/>
    <w:lvl w:ilvl="0" w:tplc="0BD2FAC2">
      <w:start w:val="1"/>
      <w:numFmt w:val="lowerLetter"/>
      <w:lvlText w:val="%1)"/>
      <w:lvlJc w:val="left"/>
      <w:pPr>
        <w:ind w:left="-208" w:hanging="360"/>
      </w:pPr>
      <w:rPr>
        <w:rFonts w:hint="default"/>
        <w:b w:val="0"/>
        <w:strike w:val="0"/>
      </w:rPr>
    </w:lvl>
    <w:lvl w:ilvl="1" w:tplc="08090019" w:tentative="1">
      <w:start w:val="1"/>
      <w:numFmt w:val="lowerLetter"/>
      <w:lvlText w:val="%2."/>
      <w:lvlJc w:val="left"/>
      <w:pPr>
        <w:ind w:left="512" w:hanging="360"/>
      </w:pPr>
    </w:lvl>
    <w:lvl w:ilvl="2" w:tplc="0809001B" w:tentative="1">
      <w:start w:val="1"/>
      <w:numFmt w:val="lowerRoman"/>
      <w:lvlText w:val="%3."/>
      <w:lvlJc w:val="right"/>
      <w:pPr>
        <w:ind w:left="1232" w:hanging="180"/>
      </w:pPr>
    </w:lvl>
    <w:lvl w:ilvl="3" w:tplc="0809000F" w:tentative="1">
      <w:start w:val="1"/>
      <w:numFmt w:val="decimal"/>
      <w:lvlText w:val="%4."/>
      <w:lvlJc w:val="left"/>
      <w:pPr>
        <w:ind w:left="1952" w:hanging="360"/>
      </w:pPr>
    </w:lvl>
    <w:lvl w:ilvl="4" w:tplc="08090019" w:tentative="1">
      <w:start w:val="1"/>
      <w:numFmt w:val="lowerLetter"/>
      <w:lvlText w:val="%5."/>
      <w:lvlJc w:val="left"/>
      <w:pPr>
        <w:ind w:left="2672" w:hanging="360"/>
      </w:pPr>
    </w:lvl>
    <w:lvl w:ilvl="5" w:tplc="0809001B" w:tentative="1">
      <w:start w:val="1"/>
      <w:numFmt w:val="lowerRoman"/>
      <w:lvlText w:val="%6."/>
      <w:lvlJc w:val="right"/>
      <w:pPr>
        <w:ind w:left="3392" w:hanging="180"/>
      </w:pPr>
    </w:lvl>
    <w:lvl w:ilvl="6" w:tplc="0809000F" w:tentative="1">
      <w:start w:val="1"/>
      <w:numFmt w:val="decimal"/>
      <w:lvlText w:val="%7."/>
      <w:lvlJc w:val="left"/>
      <w:pPr>
        <w:ind w:left="4112" w:hanging="360"/>
      </w:pPr>
    </w:lvl>
    <w:lvl w:ilvl="7" w:tplc="08090019" w:tentative="1">
      <w:start w:val="1"/>
      <w:numFmt w:val="lowerLetter"/>
      <w:lvlText w:val="%8."/>
      <w:lvlJc w:val="left"/>
      <w:pPr>
        <w:ind w:left="4832" w:hanging="360"/>
      </w:pPr>
    </w:lvl>
    <w:lvl w:ilvl="8" w:tplc="0809001B" w:tentative="1">
      <w:start w:val="1"/>
      <w:numFmt w:val="lowerRoman"/>
      <w:lvlText w:val="%9."/>
      <w:lvlJc w:val="right"/>
      <w:pPr>
        <w:ind w:left="5552" w:hanging="180"/>
      </w:pPr>
    </w:lvl>
  </w:abstractNum>
  <w:abstractNum w:abstractNumId="239" w15:restartNumberingAfterBreak="0">
    <w:nsid w:val="5C23717D"/>
    <w:multiLevelType w:val="hybridMultilevel"/>
    <w:tmpl w:val="F5820270"/>
    <w:lvl w:ilvl="0" w:tplc="08090001">
      <w:start w:val="1"/>
      <w:numFmt w:val="bullet"/>
      <w:lvlText w:val=""/>
      <w:lvlJc w:val="left"/>
      <w:pPr>
        <w:ind w:left="1245" w:hanging="360"/>
      </w:pPr>
      <w:rPr>
        <w:rFonts w:ascii="Symbol" w:hAnsi="Symbol" w:hint="default"/>
      </w:rPr>
    </w:lvl>
    <w:lvl w:ilvl="1" w:tplc="08090003" w:tentative="1">
      <w:start w:val="1"/>
      <w:numFmt w:val="bullet"/>
      <w:lvlText w:val="o"/>
      <w:lvlJc w:val="left"/>
      <w:pPr>
        <w:ind w:left="1965" w:hanging="360"/>
      </w:pPr>
      <w:rPr>
        <w:rFonts w:ascii="Courier New" w:hAnsi="Courier New" w:cs="Courier New" w:hint="default"/>
      </w:rPr>
    </w:lvl>
    <w:lvl w:ilvl="2" w:tplc="08090005" w:tentative="1">
      <w:start w:val="1"/>
      <w:numFmt w:val="bullet"/>
      <w:lvlText w:val=""/>
      <w:lvlJc w:val="left"/>
      <w:pPr>
        <w:ind w:left="2685" w:hanging="360"/>
      </w:pPr>
      <w:rPr>
        <w:rFonts w:ascii="Wingdings" w:hAnsi="Wingdings" w:hint="default"/>
      </w:rPr>
    </w:lvl>
    <w:lvl w:ilvl="3" w:tplc="08090001" w:tentative="1">
      <w:start w:val="1"/>
      <w:numFmt w:val="bullet"/>
      <w:lvlText w:val=""/>
      <w:lvlJc w:val="left"/>
      <w:pPr>
        <w:ind w:left="3405" w:hanging="360"/>
      </w:pPr>
      <w:rPr>
        <w:rFonts w:ascii="Symbol" w:hAnsi="Symbol" w:hint="default"/>
      </w:rPr>
    </w:lvl>
    <w:lvl w:ilvl="4" w:tplc="08090003" w:tentative="1">
      <w:start w:val="1"/>
      <w:numFmt w:val="bullet"/>
      <w:lvlText w:val="o"/>
      <w:lvlJc w:val="left"/>
      <w:pPr>
        <w:ind w:left="4125" w:hanging="360"/>
      </w:pPr>
      <w:rPr>
        <w:rFonts w:ascii="Courier New" w:hAnsi="Courier New" w:cs="Courier New" w:hint="default"/>
      </w:rPr>
    </w:lvl>
    <w:lvl w:ilvl="5" w:tplc="08090005" w:tentative="1">
      <w:start w:val="1"/>
      <w:numFmt w:val="bullet"/>
      <w:lvlText w:val=""/>
      <w:lvlJc w:val="left"/>
      <w:pPr>
        <w:ind w:left="4845" w:hanging="360"/>
      </w:pPr>
      <w:rPr>
        <w:rFonts w:ascii="Wingdings" w:hAnsi="Wingdings" w:hint="default"/>
      </w:rPr>
    </w:lvl>
    <w:lvl w:ilvl="6" w:tplc="08090001" w:tentative="1">
      <w:start w:val="1"/>
      <w:numFmt w:val="bullet"/>
      <w:lvlText w:val=""/>
      <w:lvlJc w:val="left"/>
      <w:pPr>
        <w:ind w:left="5565" w:hanging="360"/>
      </w:pPr>
      <w:rPr>
        <w:rFonts w:ascii="Symbol" w:hAnsi="Symbol" w:hint="default"/>
      </w:rPr>
    </w:lvl>
    <w:lvl w:ilvl="7" w:tplc="08090003" w:tentative="1">
      <w:start w:val="1"/>
      <w:numFmt w:val="bullet"/>
      <w:lvlText w:val="o"/>
      <w:lvlJc w:val="left"/>
      <w:pPr>
        <w:ind w:left="6285" w:hanging="360"/>
      </w:pPr>
      <w:rPr>
        <w:rFonts w:ascii="Courier New" w:hAnsi="Courier New" w:cs="Courier New" w:hint="default"/>
      </w:rPr>
    </w:lvl>
    <w:lvl w:ilvl="8" w:tplc="08090005" w:tentative="1">
      <w:start w:val="1"/>
      <w:numFmt w:val="bullet"/>
      <w:lvlText w:val=""/>
      <w:lvlJc w:val="left"/>
      <w:pPr>
        <w:ind w:left="7005" w:hanging="360"/>
      </w:pPr>
      <w:rPr>
        <w:rFonts w:ascii="Wingdings" w:hAnsi="Wingdings" w:hint="default"/>
      </w:rPr>
    </w:lvl>
  </w:abstractNum>
  <w:abstractNum w:abstractNumId="240" w15:restartNumberingAfterBreak="0">
    <w:nsid w:val="5CAF0134"/>
    <w:multiLevelType w:val="hybridMultilevel"/>
    <w:tmpl w:val="97DC3D1A"/>
    <w:lvl w:ilvl="0" w:tplc="D7E878D4">
      <w:start w:val="1"/>
      <w:numFmt w:val="lowerLetter"/>
      <w:lvlText w:val="%1."/>
      <w:lvlJc w:val="left"/>
      <w:pPr>
        <w:ind w:left="72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41" w15:restartNumberingAfterBreak="0">
    <w:nsid w:val="5D775EB8"/>
    <w:multiLevelType w:val="hybridMultilevel"/>
    <w:tmpl w:val="BE267216"/>
    <w:lvl w:ilvl="0" w:tplc="5002CC64">
      <w:start w:val="2"/>
      <w:numFmt w:val="decimal"/>
      <w:lvlText w:val="%1."/>
      <w:lvlJc w:val="left"/>
      <w:pPr>
        <w:tabs>
          <w:tab w:val="num" w:pos="360"/>
        </w:tabs>
        <w:ind w:left="360" w:hanging="360"/>
      </w:pPr>
      <w:rPr>
        <w:rFonts w:hint="default"/>
        <w:b w:val="0"/>
        <w:bCs/>
        <w:color w:val="auto"/>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2" w15:restartNumberingAfterBreak="0">
    <w:nsid w:val="5E645BEC"/>
    <w:multiLevelType w:val="hybridMultilevel"/>
    <w:tmpl w:val="DA2EC68A"/>
    <w:lvl w:ilvl="0" w:tplc="B34CEA1C">
      <w:start w:val="1"/>
      <w:numFmt w:val="bullet"/>
      <w:lvlText w:val=""/>
      <w:lvlJc w:val="left"/>
      <w:pPr>
        <w:ind w:left="1154" w:hanging="360"/>
      </w:pPr>
      <w:rPr>
        <w:rFonts w:ascii="Symbol" w:hAnsi="Symbol" w:hint="default"/>
        <w:sz w:val="24"/>
      </w:rPr>
    </w:lvl>
    <w:lvl w:ilvl="1" w:tplc="08090003" w:tentative="1">
      <w:start w:val="1"/>
      <w:numFmt w:val="bullet"/>
      <w:lvlText w:val="o"/>
      <w:lvlJc w:val="left"/>
      <w:pPr>
        <w:ind w:left="1874" w:hanging="360"/>
      </w:pPr>
      <w:rPr>
        <w:rFonts w:ascii="Courier New" w:hAnsi="Courier New" w:cs="Courier New" w:hint="default"/>
      </w:rPr>
    </w:lvl>
    <w:lvl w:ilvl="2" w:tplc="08090005" w:tentative="1">
      <w:start w:val="1"/>
      <w:numFmt w:val="bullet"/>
      <w:lvlText w:val=""/>
      <w:lvlJc w:val="left"/>
      <w:pPr>
        <w:ind w:left="2594" w:hanging="360"/>
      </w:pPr>
      <w:rPr>
        <w:rFonts w:ascii="Wingdings" w:hAnsi="Wingdings" w:hint="default"/>
      </w:rPr>
    </w:lvl>
    <w:lvl w:ilvl="3" w:tplc="08090001" w:tentative="1">
      <w:start w:val="1"/>
      <w:numFmt w:val="bullet"/>
      <w:lvlText w:val=""/>
      <w:lvlJc w:val="left"/>
      <w:pPr>
        <w:ind w:left="3314" w:hanging="360"/>
      </w:pPr>
      <w:rPr>
        <w:rFonts w:ascii="Symbol" w:hAnsi="Symbol" w:hint="default"/>
      </w:rPr>
    </w:lvl>
    <w:lvl w:ilvl="4" w:tplc="08090003" w:tentative="1">
      <w:start w:val="1"/>
      <w:numFmt w:val="bullet"/>
      <w:lvlText w:val="o"/>
      <w:lvlJc w:val="left"/>
      <w:pPr>
        <w:ind w:left="4034" w:hanging="360"/>
      </w:pPr>
      <w:rPr>
        <w:rFonts w:ascii="Courier New" w:hAnsi="Courier New" w:cs="Courier New" w:hint="default"/>
      </w:rPr>
    </w:lvl>
    <w:lvl w:ilvl="5" w:tplc="08090005" w:tentative="1">
      <w:start w:val="1"/>
      <w:numFmt w:val="bullet"/>
      <w:lvlText w:val=""/>
      <w:lvlJc w:val="left"/>
      <w:pPr>
        <w:ind w:left="4754" w:hanging="360"/>
      </w:pPr>
      <w:rPr>
        <w:rFonts w:ascii="Wingdings" w:hAnsi="Wingdings" w:hint="default"/>
      </w:rPr>
    </w:lvl>
    <w:lvl w:ilvl="6" w:tplc="08090001" w:tentative="1">
      <w:start w:val="1"/>
      <w:numFmt w:val="bullet"/>
      <w:lvlText w:val=""/>
      <w:lvlJc w:val="left"/>
      <w:pPr>
        <w:ind w:left="5474" w:hanging="360"/>
      </w:pPr>
      <w:rPr>
        <w:rFonts w:ascii="Symbol" w:hAnsi="Symbol" w:hint="default"/>
      </w:rPr>
    </w:lvl>
    <w:lvl w:ilvl="7" w:tplc="08090003" w:tentative="1">
      <w:start w:val="1"/>
      <w:numFmt w:val="bullet"/>
      <w:lvlText w:val="o"/>
      <w:lvlJc w:val="left"/>
      <w:pPr>
        <w:ind w:left="6194" w:hanging="360"/>
      </w:pPr>
      <w:rPr>
        <w:rFonts w:ascii="Courier New" w:hAnsi="Courier New" w:cs="Courier New" w:hint="default"/>
      </w:rPr>
    </w:lvl>
    <w:lvl w:ilvl="8" w:tplc="08090005" w:tentative="1">
      <w:start w:val="1"/>
      <w:numFmt w:val="bullet"/>
      <w:lvlText w:val=""/>
      <w:lvlJc w:val="left"/>
      <w:pPr>
        <w:ind w:left="6914" w:hanging="360"/>
      </w:pPr>
      <w:rPr>
        <w:rFonts w:ascii="Wingdings" w:hAnsi="Wingdings" w:hint="default"/>
      </w:rPr>
    </w:lvl>
  </w:abstractNum>
  <w:abstractNum w:abstractNumId="243" w15:restartNumberingAfterBreak="0">
    <w:nsid w:val="5EA106D6"/>
    <w:multiLevelType w:val="hybridMultilevel"/>
    <w:tmpl w:val="DD3ABEE0"/>
    <w:lvl w:ilvl="0" w:tplc="2E22288A">
      <w:start w:val="1"/>
      <w:numFmt w:val="decimal"/>
      <w:pStyle w:val="Section01Text"/>
      <w:lvlText w:val="1.%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4" w15:restartNumberingAfterBreak="0">
    <w:nsid w:val="5FAF072D"/>
    <w:multiLevelType w:val="hybridMultilevel"/>
    <w:tmpl w:val="CFDE1380"/>
    <w:lvl w:ilvl="0" w:tplc="8DCA1536">
      <w:start w:val="1"/>
      <w:numFmt w:val="bullet"/>
      <w:lvlText w:val=""/>
      <w:lvlJc w:val="left"/>
      <w:pPr>
        <w:ind w:left="1440" w:hanging="360"/>
      </w:pPr>
      <w:rPr>
        <w:rFonts w:ascii="Symbol" w:hAnsi="Symbol" w:hint="default"/>
        <w:color w:val="auto"/>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45" w15:restartNumberingAfterBreak="0">
    <w:nsid w:val="5FEF154B"/>
    <w:multiLevelType w:val="hybridMultilevel"/>
    <w:tmpl w:val="47420ED6"/>
    <w:lvl w:ilvl="0" w:tplc="114AA40C">
      <w:start w:val="1"/>
      <w:numFmt w:val="lowerRoman"/>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46" w15:restartNumberingAfterBreak="0">
    <w:nsid w:val="60B0089B"/>
    <w:multiLevelType w:val="hybridMultilevel"/>
    <w:tmpl w:val="837816FE"/>
    <w:lvl w:ilvl="0" w:tplc="DF9878A0">
      <w:start w:val="1"/>
      <w:numFmt w:val="lowerRoman"/>
      <w:lvlText w:val="%1"/>
      <w:lvlJc w:val="left"/>
      <w:pPr>
        <w:tabs>
          <w:tab w:val="num" w:pos="1117"/>
        </w:tabs>
        <w:ind w:left="1117" w:hanging="397"/>
      </w:pPr>
      <w:rPr>
        <w:rFonts w:hint="default"/>
      </w:rPr>
    </w:lvl>
    <w:lvl w:ilvl="1" w:tplc="0809000F">
      <w:start w:val="1"/>
      <w:numFmt w:val="decimal"/>
      <w:lvlText w:val="%2."/>
      <w:lvlJc w:val="left"/>
      <w:pPr>
        <w:tabs>
          <w:tab w:val="num" w:pos="1763"/>
        </w:tabs>
        <w:ind w:left="1763" w:hanging="360"/>
      </w:pPr>
      <w:rPr>
        <w:rFonts w:hint="default"/>
      </w:rPr>
    </w:lvl>
    <w:lvl w:ilvl="2" w:tplc="0809001B" w:tentative="1">
      <w:start w:val="1"/>
      <w:numFmt w:val="lowerRoman"/>
      <w:lvlText w:val="%3."/>
      <w:lvlJc w:val="right"/>
      <w:pPr>
        <w:tabs>
          <w:tab w:val="num" w:pos="2483"/>
        </w:tabs>
        <w:ind w:left="2483" w:hanging="180"/>
      </w:pPr>
    </w:lvl>
    <w:lvl w:ilvl="3" w:tplc="0809000F" w:tentative="1">
      <w:start w:val="1"/>
      <w:numFmt w:val="decimal"/>
      <w:lvlText w:val="%4."/>
      <w:lvlJc w:val="left"/>
      <w:pPr>
        <w:tabs>
          <w:tab w:val="num" w:pos="3203"/>
        </w:tabs>
        <w:ind w:left="3203" w:hanging="360"/>
      </w:pPr>
    </w:lvl>
    <w:lvl w:ilvl="4" w:tplc="08090019" w:tentative="1">
      <w:start w:val="1"/>
      <w:numFmt w:val="lowerLetter"/>
      <w:lvlText w:val="%5."/>
      <w:lvlJc w:val="left"/>
      <w:pPr>
        <w:tabs>
          <w:tab w:val="num" w:pos="3923"/>
        </w:tabs>
        <w:ind w:left="3923" w:hanging="360"/>
      </w:pPr>
    </w:lvl>
    <w:lvl w:ilvl="5" w:tplc="0809001B" w:tentative="1">
      <w:start w:val="1"/>
      <w:numFmt w:val="lowerRoman"/>
      <w:lvlText w:val="%6."/>
      <w:lvlJc w:val="right"/>
      <w:pPr>
        <w:tabs>
          <w:tab w:val="num" w:pos="4643"/>
        </w:tabs>
        <w:ind w:left="4643" w:hanging="180"/>
      </w:pPr>
    </w:lvl>
    <w:lvl w:ilvl="6" w:tplc="0809000F" w:tentative="1">
      <w:start w:val="1"/>
      <w:numFmt w:val="decimal"/>
      <w:lvlText w:val="%7."/>
      <w:lvlJc w:val="left"/>
      <w:pPr>
        <w:tabs>
          <w:tab w:val="num" w:pos="5363"/>
        </w:tabs>
        <w:ind w:left="5363" w:hanging="360"/>
      </w:pPr>
    </w:lvl>
    <w:lvl w:ilvl="7" w:tplc="08090019" w:tentative="1">
      <w:start w:val="1"/>
      <w:numFmt w:val="lowerLetter"/>
      <w:lvlText w:val="%8."/>
      <w:lvlJc w:val="left"/>
      <w:pPr>
        <w:tabs>
          <w:tab w:val="num" w:pos="6083"/>
        </w:tabs>
        <w:ind w:left="6083" w:hanging="360"/>
      </w:pPr>
    </w:lvl>
    <w:lvl w:ilvl="8" w:tplc="0809001B" w:tentative="1">
      <w:start w:val="1"/>
      <w:numFmt w:val="lowerRoman"/>
      <w:lvlText w:val="%9."/>
      <w:lvlJc w:val="right"/>
      <w:pPr>
        <w:tabs>
          <w:tab w:val="num" w:pos="6803"/>
        </w:tabs>
        <w:ind w:left="6803" w:hanging="180"/>
      </w:pPr>
    </w:lvl>
  </w:abstractNum>
  <w:abstractNum w:abstractNumId="247" w15:restartNumberingAfterBreak="0">
    <w:nsid w:val="60DC2A9F"/>
    <w:multiLevelType w:val="hybridMultilevel"/>
    <w:tmpl w:val="A25C4CC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48" w15:restartNumberingAfterBreak="0">
    <w:nsid w:val="61816A29"/>
    <w:multiLevelType w:val="multilevel"/>
    <w:tmpl w:val="7EF4E61E"/>
    <w:lvl w:ilvl="0">
      <w:start w:val="1"/>
      <w:numFmt w:val="decimal"/>
      <w:lvlText w:val="%1"/>
      <w:lvlJc w:val="left"/>
      <w:pPr>
        <w:tabs>
          <w:tab w:val="num" w:pos="525"/>
        </w:tabs>
        <w:ind w:left="525" w:hanging="525"/>
      </w:pPr>
      <w:rPr>
        <w:rFonts w:hint="default"/>
      </w:rPr>
    </w:lvl>
    <w:lvl w:ilvl="1">
      <w:start w:val="1"/>
      <w:numFmt w:val="decimal"/>
      <w:lvlText w:val="7.%2"/>
      <w:lvlJc w:val="left"/>
      <w:pPr>
        <w:tabs>
          <w:tab w:val="num" w:pos="525"/>
        </w:tabs>
        <w:ind w:left="525" w:hanging="52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49" w15:restartNumberingAfterBreak="0">
    <w:nsid w:val="62BF7F6A"/>
    <w:multiLevelType w:val="hybridMultilevel"/>
    <w:tmpl w:val="C09004C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50" w15:restartNumberingAfterBreak="0">
    <w:nsid w:val="62E66D5A"/>
    <w:multiLevelType w:val="hybridMultilevel"/>
    <w:tmpl w:val="AABC8B68"/>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1" w15:restartNumberingAfterBreak="0">
    <w:nsid w:val="62FC1ECC"/>
    <w:multiLevelType w:val="hybridMultilevel"/>
    <w:tmpl w:val="E1C6145C"/>
    <w:lvl w:ilvl="0" w:tplc="6840C848">
      <w:start w:val="1"/>
      <w:numFmt w:val="bullet"/>
      <w:lvlText w:val=""/>
      <w:lvlJc w:val="left"/>
      <w:pPr>
        <w:ind w:left="360" w:hanging="360"/>
      </w:pPr>
      <w:rPr>
        <w:rFonts w:ascii="Symbol" w:hAnsi="Symbol" w:hint="default"/>
        <w:strike w:val="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2" w15:restartNumberingAfterBreak="0">
    <w:nsid w:val="630207DE"/>
    <w:multiLevelType w:val="hybridMultilevel"/>
    <w:tmpl w:val="F476E2AA"/>
    <w:lvl w:ilvl="0" w:tplc="97FAF9C6">
      <w:start w:val="1"/>
      <w:numFmt w:val="bullet"/>
      <w:lvlText w:val=""/>
      <w:lvlJc w:val="left"/>
      <w:pPr>
        <w:ind w:left="360" w:hanging="360"/>
      </w:pPr>
      <w:rPr>
        <w:rFonts w:ascii="Symbol" w:hAnsi="Symbol" w:hint="default"/>
        <w:color w:val="auto"/>
        <w:sz w:val="20"/>
        <w:szCs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3" w15:restartNumberingAfterBreak="0">
    <w:nsid w:val="634F0A60"/>
    <w:multiLevelType w:val="hybridMultilevel"/>
    <w:tmpl w:val="89E22D22"/>
    <w:lvl w:ilvl="0" w:tplc="C298F4B6">
      <w:start w:val="1"/>
      <w:numFmt w:val="lowerLetter"/>
      <w:lvlText w:val="%1)"/>
      <w:lvlJc w:val="left"/>
      <w:pPr>
        <w:ind w:left="720" w:hanging="360"/>
      </w:pPr>
      <w:rPr>
        <w:rFonts w:hint="default"/>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4" w15:restartNumberingAfterBreak="0">
    <w:nsid w:val="63574FBE"/>
    <w:multiLevelType w:val="hybridMultilevel"/>
    <w:tmpl w:val="9594E9B4"/>
    <w:lvl w:ilvl="0" w:tplc="54720DE0">
      <w:start w:val="1"/>
      <w:numFmt w:val="decimal"/>
      <w:lvlText w:val="%1."/>
      <w:lvlJc w:val="left"/>
      <w:pPr>
        <w:ind w:left="720" w:hanging="360"/>
      </w:pPr>
      <w:rPr>
        <w:rFonts w:cs="Arial" w:hint="default"/>
        <w:b w:val="0"/>
        <w:bCs/>
        <w:color w:val="auto"/>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5" w15:restartNumberingAfterBreak="0">
    <w:nsid w:val="63726AAA"/>
    <w:multiLevelType w:val="hybridMultilevel"/>
    <w:tmpl w:val="AB6E42FE"/>
    <w:lvl w:ilvl="0" w:tplc="06AC37AC">
      <w:start w:val="1"/>
      <w:numFmt w:val="lowerLetter"/>
      <w:lvlText w:val="%1)"/>
      <w:lvlJc w:val="left"/>
      <w:pPr>
        <w:ind w:left="720" w:hanging="360"/>
      </w:pPr>
      <w:rPr>
        <w:rFonts w:ascii="Arial" w:eastAsia="Times New Roman" w:hAnsi="Arial" w:cs="Arial"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6" w15:restartNumberingAfterBreak="0">
    <w:nsid w:val="642A73AA"/>
    <w:multiLevelType w:val="multilevel"/>
    <w:tmpl w:val="47F8455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57" w15:restartNumberingAfterBreak="0">
    <w:nsid w:val="643C0DF0"/>
    <w:multiLevelType w:val="hybridMultilevel"/>
    <w:tmpl w:val="D422D47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58" w15:restartNumberingAfterBreak="0">
    <w:nsid w:val="64445557"/>
    <w:multiLevelType w:val="hybridMultilevel"/>
    <w:tmpl w:val="536AA258"/>
    <w:lvl w:ilvl="0" w:tplc="81E6D5D4">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59" w15:restartNumberingAfterBreak="0">
    <w:nsid w:val="645F5BE1"/>
    <w:multiLevelType w:val="hybridMultilevel"/>
    <w:tmpl w:val="17F2F21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0" w15:restartNumberingAfterBreak="0">
    <w:nsid w:val="6499108C"/>
    <w:multiLevelType w:val="hybridMultilevel"/>
    <w:tmpl w:val="405A4748"/>
    <w:lvl w:ilvl="0" w:tplc="F0F6C7E6">
      <w:start w:val="1"/>
      <w:numFmt w:val="decimal"/>
      <w:lvlText w:val="%1."/>
      <w:lvlJc w:val="left"/>
      <w:pPr>
        <w:tabs>
          <w:tab w:val="num" w:pos="360"/>
        </w:tabs>
        <w:ind w:left="36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1" w15:restartNumberingAfterBreak="0">
    <w:nsid w:val="64D46497"/>
    <w:multiLevelType w:val="hybridMultilevel"/>
    <w:tmpl w:val="80DE46C0"/>
    <w:lvl w:ilvl="0" w:tplc="FFFFFFFF">
      <w:start w:val="1"/>
      <w:numFmt w:val="bullet"/>
      <w:lvlText w:val=""/>
      <w:lvlJc w:val="left"/>
      <w:pPr>
        <w:tabs>
          <w:tab w:val="num" w:pos="1211"/>
        </w:tabs>
        <w:ind w:left="1211" w:hanging="360"/>
      </w:pPr>
      <w:rPr>
        <w:rFonts w:ascii="Symbol" w:hAnsi="Symbol" w:hint="default"/>
        <w:color w:val="auto"/>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2" w15:restartNumberingAfterBreak="0">
    <w:nsid w:val="64E72FC6"/>
    <w:multiLevelType w:val="hybridMultilevel"/>
    <w:tmpl w:val="66BA7F36"/>
    <w:lvl w:ilvl="0" w:tplc="D71E5BCA">
      <w:start w:val="1"/>
      <w:numFmt w:val="lowerLetter"/>
      <w:lvlText w:val="%1."/>
      <w:lvlJc w:val="left"/>
      <w:pPr>
        <w:ind w:left="720" w:hanging="360"/>
      </w:pPr>
      <w:rPr>
        <w:rFonts w:hint="default"/>
        <w:strike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3" w15:restartNumberingAfterBreak="0">
    <w:nsid w:val="65466A18"/>
    <w:multiLevelType w:val="hybridMultilevel"/>
    <w:tmpl w:val="DD0E12E2"/>
    <w:lvl w:ilvl="0" w:tplc="B34CEA1C">
      <w:start w:val="1"/>
      <w:numFmt w:val="bullet"/>
      <w:lvlText w:val=""/>
      <w:lvlJc w:val="left"/>
      <w:pPr>
        <w:ind w:left="1080" w:hanging="360"/>
      </w:pPr>
      <w:rPr>
        <w:rFonts w:ascii="Symbol" w:hAnsi="Symbol" w:hint="default"/>
        <w:sz w:val="24"/>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64" w15:restartNumberingAfterBreak="0">
    <w:nsid w:val="65511817"/>
    <w:multiLevelType w:val="hybridMultilevel"/>
    <w:tmpl w:val="DB388030"/>
    <w:lvl w:ilvl="0" w:tplc="98FEB0A8">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5" w15:restartNumberingAfterBreak="0">
    <w:nsid w:val="659968D4"/>
    <w:multiLevelType w:val="hybridMultilevel"/>
    <w:tmpl w:val="98F0A862"/>
    <w:lvl w:ilvl="0" w:tplc="114AA40C">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6" w15:restartNumberingAfterBreak="0">
    <w:nsid w:val="659D783D"/>
    <w:multiLevelType w:val="hybridMultilevel"/>
    <w:tmpl w:val="0EBA78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7" w15:restartNumberingAfterBreak="0">
    <w:nsid w:val="672E2419"/>
    <w:multiLevelType w:val="hybridMultilevel"/>
    <w:tmpl w:val="349A5B6A"/>
    <w:lvl w:ilvl="0" w:tplc="9650F508">
      <w:start w:val="1"/>
      <w:numFmt w:val="bullet"/>
      <w:lvlText w:val=""/>
      <w:lvlJc w:val="left"/>
      <w:pPr>
        <w:tabs>
          <w:tab w:val="num" w:pos="582"/>
        </w:tabs>
        <w:ind w:left="582" w:hanging="397"/>
      </w:pPr>
      <w:rPr>
        <w:rFonts w:ascii="Symbol" w:hAnsi="Symbol" w:hint="default"/>
      </w:rPr>
    </w:lvl>
    <w:lvl w:ilvl="1" w:tplc="08090003" w:tentative="1">
      <w:start w:val="1"/>
      <w:numFmt w:val="bullet"/>
      <w:lvlText w:val="o"/>
      <w:lvlJc w:val="left"/>
      <w:pPr>
        <w:tabs>
          <w:tab w:val="num" w:pos="1625"/>
        </w:tabs>
        <w:ind w:left="1625" w:hanging="360"/>
      </w:pPr>
      <w:rPr>
        <w:rFonts w:ascii="Courier New" w:hAnsi="Courier New" w:cs="Courier New" w:hint="default"/>
      </w:rPr>
    </w:lvl>
    <w:lvl w:ilvl="2" w:tplc="08090005" w:tentative="1">
      <w:start w:val="1"/>
      <w:numFmt w:val="bullet"/>
      <w:lvlText w:val=""/>
      <w:lvlJc w:val="left"/>
      <w:pPr>
        <w:tabs>
          <w:tab w:val="num" w:pos="2345"/>
        </w:tabs>
        <w:ind w:left="2345" w:hanging="360"/>
      </w:pPr>
      <w:rPr>
        <w:rFonts w:ascii="Wingdings" w:hAnsi="Wingdings" w:hint="default"/>
      </w:rPr>
    </w:lvl>
    <w:lvl w:ilvl="3" w:tplc="08090001" w:tentative="1">
      <w:start w:val="1"/>
      <w:numFmt w:val="bullet"/>
      <w:lvlText w:val=""/>
      <w:lvlJc w:val="left"/>
      <w:pPr>
        <w:tabs>
          <w:tab w:val="num" w:pos="3065"/>
        </w:tabs>
        <w:ind w:left="3065" w:hanging="360"/>
      </w:pPr>
      <w:rPr>
        <w:rFonts w:ascii="Symbol" w:hAnsi="Symbol" w:hint="default"/>
      </w:rPr>
    </w:lvl>
    <w:lvl w:ilvl="4" w:tplc="08090003" w:tentative="1">
      <w:start w:val="1"/>
      <w:numFmt w:val="bullet"/>
      <w:lvlText w:val="o"/>
      <w:lvlJc w:val="left"/>
      <w:pPr>
        <w:tabs>
          <w:tab w:val="num" w:pos="3785"/>
        </w:tabs>
        <w:ind w:left="3785" w:hanging="360"/>
      </w:pPr>
      <w:rPr>
        <w:rFonts w:ascii="Courier New" w:hAnsi="Courier New" w:cs="Courier New" w:hint="default"/>
      </w:rPr>
    </w:lvl>
    <w:lvl w:ilvl="5" w:tplc="08090005" w:tentative="1">
      <w:start w:val="1"/>
      <w:numFmt w:val="bullet"/>
      <w:lvlText w:val=""/>
      <w:lvlJc w:val="left"/>
      <w:pPr>
        <w:tabs>
          <w:tab w:val="num" w:pos="4505"/>
        </w:tabs>
        <w:ind w:left="4505" w:hanging="360"/>
      </w:pPr>
      <w:rPr>
        <w:rFonts w:ascii="Wingdings" w:hAnsi="Wingdings" w:hint="default"/>
      </w:rPr>
    </w:lvl>
    <w:lvl w:ilvl="6" w:tplc="08090001" w:tentative="1">
      <w:start w:val="1"/>
      <w:numFmt w:val="bullet"/>
      <w:lvlText w:val=""/>
      <w:lvlJc w:val="left"/>
      <w:pPr>
        <w:tabs>
          <w:tab w:val="num" w:pos="5225"/>
        </w:tabs>
        <w:ind w:left="5225" w:hanging="360"/>
      </w:pPr>
      <w:rPr>
        <w:rFonts w:ascii="Symbol" w:hAnsi="Symbol" w:hint="default"/>
      </w:rPr>
    </w:lvl>
    <w:lvl w:ilvl="7" w:tplc="08090003" w:tentative="1">
      <w:start w:val="1"/>
      <w:numFmt w:val="bullet"/>
      <w:lvlText w:val="o"/>
      <w:lvlJc w:val="left"/>
      <w:pPr>
        <w:tabs>
          <w:tab w:val="num" w:pos="5945"/>
        </w:tabs>
        <w:ind w:left="5945" w:hanging="360"/>
      </w:pPr>
      <w:rPr>
        <w:rFonts w:ascii="Courier New" w:hAnsi="Courier New" w:cs="Courier New" w:hint="default"/>
      </w:rPr>
    </w:lvl>
    <w:lvl w:ilvl="8" w:tplc="08090005" w:tentative="1">
      <w:start w:val="1"/>
      <w:numFmt w:val="bullet"/>
      <w:lvlText w:val=""/>
      <w:lvlJc w:val="left"/>
      <w:pPr>
        <w:tabs>
          <w:tab w:val="num" w:pos="6665"/>
        </w:tabs>
        <w:ind w:left="6665" w:hanging="360"/>
      </w:pPr>
      <w:rPr>
        <w:rFonts w:ascii="Wingdings" w:hAnsi="Wingdings" w:hint="default"/>
      </w:rPr>
    </w:lvl>
  </w:abstractNum>
  <w:abstractNum w:abstractNumId="268" w15:restartNumberingAfterBreak="0">
    <w:nsid w:val="67347563"/>
    <w:multiLevelType w:val="hybridMultilevel"/>
    <w:tmpl w:val="4E5230D6"/>
    <w:lvl w:ilvl="0" w:tplc="97FAF9C6">
      <w:start w:val="1"/>
      <w:numFmt w:val="bullet"/>
      <w:lvlText w:val=""/>
      <w:lvlJc w:val="left"/>
      <w:pPr>
        <w:ind w:left="360" w:hanging="360"/>
      </w:pPr>
      <w:rPr>
        <w:rFonts w:ascii="Symbol" w:hAnsi="Symbol" w:hint="default"/>
        <w:color w:val="auto"/>
        <w:sz w:val="20"/>
        <w:szCs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9" w15:restartNumberingAfterBreak="0">
    <w:nsid w:val="676B49B8"/>
    <w:multiLevelType w:val="hybridMultilevel"/>
    <w:tmpl w:val="4B3477CC"/>
    <w:lvl w:ilvl="0" w:tplc="799AA80E">
      <w:start w:val="1"/>
      <w:numFmt w:val="bullet"/>
      <w:lvlText w:val=""/>
      <w:lvlJc w:val="left"/>
      <w:pPr>
        <w:tabs>
          <w:tab w:val="num" w:pos="1040"/>
        </w:tabs>
        <w:ind w:left="1040" w:hanging="360"/>
      </w:pPr>
      <w:rPr>
        <w:rFonts w:ascii="Symbol" w:hAnsi="Symbol" w:hint="default"/>
        <w:color w:val="auto"/>
        <w:sz w:val="20"/>
        <w:szCs w:val="20"/>
      </w:rPr>
    </w:lvl>
    <w:lvl w:ilvl="1" w:tplc="08090003" w:tentative="1">
      <w:start w:val="1"/>
      <w:numFmt w:val="bullet"/>
      <w:lvlText w:val="o"/>
      <w:lvlJc w:val="left"/>
      <w:pPr>
        <w:tabs>
          <w:tab w:val="num" w:pos="1040"/>
        </w:tabs>
        <w:ind w:left="1040" w:hanging="360"/>
      </w:pPr>
      <w:rPr>
        <w:rFonts w:ascii="Courier New" w:hAnsi="Courier New" w:cs="Courier New" w:hint="default"/>
      </w:rPr>
    </w:lvl>
    <w:lvl w:ilvl="2" w:tplc="08090005" w:tentative="1">
      <w:start w:val="1"/>
      <w:numFmt w:val="bullet"/>
      <w:lvlText w:val=""/>
      <w:lvlJc w:val="left"/>
      <w:pPr>
        <w:tabs>
          <w:tab w:val="num" w:pos="1760"/>
        </w:tabs>
        <w:ind w:left="1760" w:hanging="360"/>
      </w:pPr>
      <w:rPr>
        <w:rFonts w:ascii="Wingdings" w:hAnsi="Wingdings" w:hint="default"/>
      </w:rPr>
    </w:lvl>
    <w:lvl w:ilvl="3" w:tplc="08090001" w:tentative="1">
      <w:start w:val="1"/>
      <w:numFmt w:val="bullet"/>
      <w:lvlText w:val=""/>
      <w:lvlJc w:val="left"/>
      <w:pPr>
        <w:tabs>
          <w:tab w:val="num" w:pos="2480"/>
        </w:tabs>
        <w:ind w:left="2480" w:hanging="360"/>
      </w:pPr>
      <w:rPr>
        <w:rFonts w:ascii="Symbol" w:hAnsi="Symbol" w:hint="default"/>
      </w:rPr>
    </w:lvl>
    <w:lvl w:ilvl="4" w:tplc="08090003" w:tentative="1">
      <w:start w:val="1"/>
      <w:numFmt w:val="bullet"/>
      <w:lvlText w:val="o"/>
      <w:lvlJc w:val="left"/>
      <w:pPr>
        <w:tabs>
          <w:tab w:val="num" w:pos="3200"/>
        </w:tabs>
        <w:ind w:left="3200" w:hanging="360"/>
      </w:pPr>
      <w:rPr>
        <w:rFonts w:ascii="Courier New" w:hAnsi="Courier New" w:cs="Courier New" w:hint="default"/>
      </w:rPr>
    </w:lvl>
    <w:lvl w:ilvl="5" w:tplc="08090005" w:tentative="1">
      <w:start w:val="1"/>
      <w:numFmt w:val="bullet"/>
      <w:lvlText w:val=""/>
      <w:lvlJc w:val="left"/>
      <w:pPr>
        <w:tabs>
          <w:tab w:val="num" w:pos="3920"/>
        </w:tabs>
        <w:ind w:left="3920" w:hanging="360"/>
      </w:pPr>
      <w:rPr>
        <w:rFonts w:ascii="Wingdings" w:hAnsi="Wingdings" w:hint="default"/>
      </w:rPr>
    </w:lvl>
    <w:lvl w:ilvl="6" w:tplc="08090001" w:tentative="1">
      <w:start w:val="1"/>
      <w:numFmt w:val="bullet"/>
      <w:lvlText w:val=""/>
      <w:lvlJc w:val="left"/>
      <w:pPr>
        <w:tabs>
          <w:tab w:val="num" w:pos="4640"/>
        </w:tabs>
        <w:ind w:left="4640" w:hanging="360"/>
      </w:pPr>
      <w:rPr>
        <w:rFonts w:ascii="Symbol" w:hAnsi="Symbol" w:hint="default"/>
      </w:rPr>
    </w:lvl>
    <w:lvl w:ilvl="7" w:tplc="08090003" w:tentative="1">
      <w:start w:val="1"/>
      <w:numFmt w:val="bullet"/>
      <w:lvlText w:val="o"/>
      <w:lvlJc w:val="left"/>
      <w:pPr>
        <w:tabs>
          <w:tab w:val="num" w:pos="5360"/>
        </w:tabs>
        <w:ind w:left="5360" w:hanging="360"/>
      </w:pPr>
      <w:rPr>
        <w:rFonts w:ascii="Courier New" w:hAnsi="Courier New" w:cs="Courier New" w:hint="default"/>
      </w:rPr>
    </w:lvl>
    <w:lvl w:ilvl="8" w:tplc="08090005" w:tentative="1">
      <w:start w:val="1"/>
      <w:numFmt w:val="bullet"/>
      <w:lvlText w:val=""/>
      <w:lvlJc w:val="left"/>
      <w:pPr>
        <w:tabs>
          <w:tab w:val="num" w:pos="6080"/>
        </w:tabs>
        <w:ind w:left="6080" w:hanging="360"/>
      </w:pPr>
      <w:rPr>
        <w:rFonts w:ascii="Wingdings" w:hAnsi="Wingdings" w:hint="default"/>
      </w:rPr>
    </w:lvl>
  </w:abstractNum>
  <w:abstractNum w:abstractNumId="270" w15:restartNumberingAfterBreak="0">
    <w:nsid w:val="67777A4D"/>
    <w:multiLevelType w:val="hybridMultilevel"/>
    <w:tmpl w:val="DB44729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1" w15:restartNumberingAfterBreak="0">
    <w:nsid w:val="67D93072"/>
    <w:multiLevelType w:val="hybridMultilevel"/>
    <w:tmpl w:val="78D043EE"/>
    <w:lvl w:ilvl="0" w:tplc="53B00D1A">
      <w:start w:val="1"/>
      <w:numFmt w:val="decimal"/>
      <w:lvlText w:val="%1."/>
      <w:lvlJc w:val="left"/>
      <w:pPr>
        <w:ind w:left="927"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2" w15:restartNumberingAfterBreak="0">
    <w:nsid w:val="67DA5C67"/>
    <w:multiLevelType w:val="hybridMultilevel"/>
    <w:tmpl w:val="5276E16C"/>
    <w:lvl w:ilvl="0" w:tplc="F01E5254">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3" w15:restartNumberingAfterBreak="0">
    <w:nsid w:val="6858357A"/>
    <w:multiLevelType w:val="hybridMultilevel"/>
    <w:tmpl w:val="C9CE64D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4" w15:restartNumberingAfterBreak="0">
    <w:nsid w:val="687E7F75"/>
    <w:multiLevelType w:val="hybridMultilevel"/>
    <w:tmpl w:val="1618E238"/>
    <w:lvl w:ilvl="0" w:tplc="08090001">
      <w:start w:val="1"/>
      <w:numFmt w:val="bullet"/>
      <w:lvlText w:val=""/>
      <w:lvlJc w:val="left"/>
      <w:pPr>
        <w:ind w:left="1040" w:hanging="360"/>
      </w:pPr>
      <w:rPr>
        <w:rFonts w:ascii="Symbol" w:hAnsi="Symbol" w:hint="default"/>
      </w:rPr>
    </w:lvl>
    <w:lvl w:ilvl="1" w:tplc="08090003" w:tentative="1">
      <w:start w:val="1"/>
      <w:numFmt w:val="bullet"/>
      <w:lvlText w:val="o"/>
      <w:lvlJc w:val="left"/>
      <w:pPr>
        <w:ind w:left="1760" w:hanging="360"/>
      </w:pPr>
      <w:rPr>
        <w:rFonts w:ascii="Courier New" w:hAnsi="Courier New" w:cs="Courier New" w:hint="default"/>
      </w:rPr>
    </w:lvl>
    <w:lvl w:ilvl="2" w:tplc="08090005" w:tentative="1">
      <w:start w:val="1"/>
      <w:numFmt w:val="bullet"/>
      <w:lvlText w:val=""/>
      <w:lvlJc w:val="left"/>
      <w:pPr>
        <w:ind w:left="2480" w:hanging="360"/>
      </w:pPr>
      <w:rPr>
        <w:rFonts w:ascii="Wingdings" w:hAnsi="Wingdings" w:hint="default"/>
      </w:rPr>
    </w:lvl>
    <w:lvl w:ilvl="3" w:tplc="08090001" w:tentative="1">
      <w:start w:val="1"/>
      <w:numFmt w:val="bullet"/>
      <w:lvlText w:val=""/>
      <w:lvlJc w:val="left"/>
      <w:pPr>
        <w:ind w:left="3200" w:hanging="360"/>
      </w:pPr>
      <w:rPr>
        <w:rFonts w:ascii="Symbol" w:hAnsi="Symbol" w:hint="default"/>
      </w:rPr>
    </w:lvl>
    <w:lvl w:ilvl="4" w:tplc="08090003" w:tentative="1">
      <w:start w:val="1"/>
      <w:numFmt w:val="bullet"/>
      <w:lvlText w:val="o"/>
      <w:lvlJc w:val="left"/>
      <w:pPr>
        <w:ind w:left="3920" w:hanging="360"/>
      </w:pPr>
      <w:rPr>
        <w:rFonts w:ascii="Courier New" w:hAnsi="Courier New" w:cs="Courier New" w:hint="default"/>
      </w:rPr>
    </w:lvl>
    <w:lvl w:ilvl="5" w:tplc="08090005" w:tentative="1">
      <w:start w:val="1"/>
      <w:numFmt w:val="bullet"/>
      <w:lvlText w:val=""/>
      <w:lvlJc w:val="left"/>
      <w:pPr>
        <w:ind w:left="4640" w:hanging="360"/>
      </w:pPr>
      <w:rPr>
        <w:rFonts w:ascii="Wingdings" w:hAnsi="Wingdings" w:hint="default"/>
      </w:rPr>
    </w:lvl>
    <w:lvl w:ilvl="6" w:tplc="08090001" w:tentative="1">
      <w:start w:val="1"/>
      <w:numFmt w:val="bullet"/>
      <w:lvlText w:val=""/>
      <w:lvlJc w:val="left"/>
      <w:pPr>
        <w:ind w:left="5360" w:hanging="360"/>
      </w:pPr>
      <w:rPr>
        <w:rFonts w:ascii="Symbol" w:hAnsi="Symbol" w:hint="default"/>
      </w:rPr>
    </w:lvl>
    <w:lvl w:ilvl="7" w:tplc="08090003" w:tentative="1">
      <w:start w:val="1"/>
      <w:numFmt w:val="bullet"/>
      <w:lvlText w:val="o"/>
      <w:lvlJc w:val="left"/>
      <w:pPr>
        <w:ind w:left="6080" w:hanging="360"/>
      </w:pPr>
      <w:rPr>
        <w:rFonts w:ascii="Courier New" w:hAnsi="Courier New" w:cs="Courier New" w:hint="default"/>
      </w:rPr>
    </w:lvl>
    <w:lvl w:ilvl="8" w:tplc="08090005" w:tentative="1">
      <w:start w:val="1"/>
      <w:numFmt w:val="bullet"/>
      <w:lvlText w:val=""/>
      <w:lvlJc w:val="left"/>
      <w:pPr>
        <w:ind w:left="6800" w:hanging="360"/>
      </w:pPr>
      <w:rPr>
        <w:rFonts w:ascii="Wingdings" w:hAnsi="Wingdings" w:hint="default"/>
      </w:rPr>
    </w:lvl>
  </w:abstractNum>
  <w:abstractNum w:abstractNumId="275" w15:restartNumberingAfterBreak="0">
    <w:nsid w:val="69675B30"/>
    <w:multiLevelType w:val="hybridMultilevel"/>
    <w:tmpl w:val="39085F08"/>
    <w:lvl w:ilvl="0" w:tplc="636822AE">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6" w15:restartNumberingAfterBreak="0">
    <w:nsid w:val="698E47A3"/>
    <w:multiLevelType w:val="hybridMultilevel"/>
    <w:tmpl w:val="F45892A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7" w15:restartNumberingAfterBreak="0">
    <w:nsid w:val="69BD3F96"/>
    <w:multiLevelType w:val="hybridMultilevel"/>
    <w:tmpl w:val="40822854"/>
    <w:lvl w:ilvl="0" w:tplc="C994B3B6">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8" w15:restartNumberingAfterBreak="0">
    <w:nsid w:val="69CF7E3D"/>
    <w:multiLevelType w:val="hybridMultilevel"/>
    <w:tmpl w:val="5642908E"/>
    <w:lvl w:ilvl="0" w:tplc="97FAF9C6">
      <w:start w:val="1"/>
      <w:numFmt w:val="bullet"/>
      <w:lvlText w:val=""/>
      <w:lvlJc w:val="left"/>
      <w:pPr>
        <w:ind w:left="360" w:hanging="360"/>
      </w:pPr>
      <w:rPr>
        <w:rFonts w:ascii="Symbol" w:hAnsi="Symbol" w:hint="default"/>
        <w:color w:val="auto"/>
        <w:sz w:val="20"/>
        <w:szCs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9" w15:restartNumberingAfterBreak="0">
    <w:nsid w:val="6AC97A8D"/>
    <w:multiLevelType w:val="hybridMultilevel"/>
    <w:tmpl w:val="79F665CC"/>
    <w:lvl w:ilvl="0" w:tplc="46CA2B3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0" w15:restartNumberingAfterBreak="0">
    <w:nsid w:val="6B22580F"/>
    <w:multiLevelType w:val="hybridMultilevel"/>
    <w:tmpl w:val="EC807B3C"/>
    <w:lvl w:ilvl="0" w:tplc="8E9A1B54">
      <w:start w:val="1"/>
      <w:numFmt w:val="lowerLetter"/>
      <w:lvlText w:val="%1."/>
      <w:lvlJc w:val="left"/>
      <w:pPr>
        <w:ind w:left="72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81" w15:restartNumberingAfterBreak="0">
    <w:nsid w:val="6B242495"/>
    <w:multiLevelType w:val="hybridMultilevel"/>
    <w:tmpl w:val="0E820242"/>
    <w:lvl w:ilvl="0" w:tplc="1C7AFB14">
      <w:start w:val="1"/>
      <w:numFmt w:val="bullet"/>
      <w:lvlText w:val=""/>
      <w:lvlJc w:val="left"/>
      <w:pPr>
        <w:ind w:left="1440" w:hanging="360"/>
      </w:pPr>
      <w:rPr>
        <w:rFonts w:ascii="Symbol" w:hAnsi="Symbol" w:hint="default"/>
        <w:color w:val="auto"/>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82" w15:restartNumberingAfterBreak="0">
    <w:nsid w:val="6B3467BC"/>
    <w:multiLevelType w:val="hybridMultilevel"/>
    <w:tmpl w:val="BCAEFA7C"/>
    <w:lvl w:ilvl="0" w:tplc="E092FD74">
      <w:start w:val="1"/>
      <w:numFmt w:val="decimal"/>
      <w:lvlText w:val="%1."/>
      <w:lvlJc w:val="left"/>
      <w:pPr>
        <w:tabs>
          <w:tab w:val="num" w:pos="982"/>
        </w:tabs>
        <w:ind w:left="982" w:hanging="360"/>
      </w:pPr>
      <w:rPr>
        <w:rFonts w:hint="default"/>
      </w:rPr>
    </w:lvl>
    <w:lvl w:ilvl="1" w:tplc="08090019" w:tentative="1">
      <w:start w:val="1"/>
      <w:numFmt w:val="lowerLetter"/>
      <w:lvlText w:val="%2."/>
      <w:lvlJc w:val="left"/>
      <w:pPr>
        <w:ind w:left="2062" w:hanging="360"/>
      </w:pPr>
    </w:lvl>
    <w:lvl w:ilvl="2" w:tplc="0809001B" w:tentative="1">
      <w:start w:val="1"/>
      <w:numFmt w:val="lowerRoman"/>
      <w:lvlText w:val="%3."/>
      <w:lvlJc w:val="right"/>
      <w:pPr>
        <w:ind w:left="2782" w:hanging="180"/>
      </w:pPr>
    </w:lvl>
    <w:lvl w:ilvl="3" w:tplc="0809000F" w:tentative="1">
      <w:start w:val="1"/>
      <w:numFmt w:val="decimal"/>
      <w:lvlText w:val="%4."/>
      <w:lvlJc w:val="left"/>
      <w:pPr>
        <w:ind w:left="3502" w:hanging="360"/>
      </w:pPr>
    </w:lvl>
    <w:lvl w:ilvl="4" w:tplc="08090019" w:tentative="1">
      <w:start w:val="1"/>
      <w:numFmt w:val="lowerLetter"/>
      <w:lvlText w:val="%5."/>
      <w:lvlJc w:val="left"/>
      <w:pPr>
        <w:ind w:left="4222" w:hanging="360"/>
      </w:pPr>
    </w:lvl>
    <w:lvl w:ilvl="5" w:tplc="0809001B" w:tentative="1">
      <w:start w:val="1"/>
      <w:numFmt w:val="lowerRoman"/>
      <w:lvlText w:val="%6."/>
      <w:lvlJc w:val="right"/>
      <w:pPr>
        <w:ind w:left="4942" w:hanging="180"/>
      </w:pPr>
    </w:lvl>
    <w:lvl w:ilvl="6" w:tplc="0809000F" w:tentative="1">
      <w:start w:val="1"/>
      <w:numFmt w:val="decimal"/>
      <w:lvlText w:val="%7."/>
      <w:lvlJc w:val="left"/>
      <w:pPr>
        <w:ind w:left="5662" w:hanging="360"/>
      </w:pPr>
    </w:lvl>
    <w:lvl w:ilvl="7" w:tplc="08090019" w:tentative="1">
      <w:start w:val="1"/>
      <w:numFmt w:val="lowerLetter"/>
      <w:lvlText w:val="%8."/>
      <w:lvlJc w:val="left"/>
      <w:pPr>
        <w:ind w:left="6382" w:hanging="360"/>
      </w:pPr>
    </w:lvl>
    <w:lvl w:ilvl="8" w:tplc="0809001B" w:tentative="1">
      <w:start w:val="1"/>
      <w:numFmt w:val="lowerRoman"/>
      <w:lvlText w:val="%9."/>
      <w:lvlJc w:val="right"/>
      <w:pPr>
        <w:ind w:left="7102" w:hanging="180"/>
      </w:pPr>
    </w:lvl>
  </w:abstractNum>
  <w:abstractNum w:abstractNumId="283" w15:restartNumberingAfterBreak="0">
    <w:nsid w:val="6BE051C6"/>
    <w:multiLevelType w:val="hybridMultilevel"/>
    <w:tmpl w:val="D410E788"/>
    <w:lvl w:ilvl="0" w:tplc="FFFFFFFF">
      <w:start w:val="1"/>
      <w:numFmt w:val="bullet"/>
      <w:lvlText w:val=""/>
      <w:lvlJc w:val="left"/>
      <w:pPr>
        <w:tabs>
          <w:tab w:val="num" w:pos="1211"/>
        </w:tabs>
        <w:ind w:left="1211" w:hanging="360"/>
      </w:pPr>
      <w:rPr>
        <w:rFonts w:ascii="Symbol" w:hAnsi="Symbol" w:hint="default"/>
        <w:color w:val="auto"/>
        <w:sz w:val="20"/>
        <w:szCs w:val="20"/>
      </w:rPr>
    </w:lvl>
    <w:lvl w:ilvl="1" w:tplc="FFFFFFFF">
      <w:start w:val="1"/>
      <w:numFmt w:val="bullet"/>
      <w:lvlText w:val="o"/>
      <w:lvlJc w:val="left"/>
      <w:pPr>
        <w:tabs>
          <w:tab w:val="num" w:pos="1211"/>
        </w:tabs>
        <w:ind w:left="1211" w:hanging="360"/>
      </w:pPr>
      <w:rPr>
        <w:rFonts w:ascii="Courier New" w:hAnsi="Courier New" w:cs="Courier New" w:hint="default"/>
      </w:rPr>
    </w:lvl>
    <w:lvl w:ilvl="2" w:tplc="FFFFFFFF" w:tentative="1">
      <w:start w:val="1"/>
      <w:numFmt w:val="bullet"/>
      <w:lvlText w:val=""/>
      <w:lvlJc w:val="left"/>
      <w:pPr>
        <w:tabs>
          <w:tab w:val="num" w:pos="1931"/>
        </w:tabs>
        <w:ind w:left="1931" w:hanging="360"/>
      </w:pPr>
      <w:rPr>
        <w:rFonts w:ascii="Wingdings" w:hAnsi="Wingdings" w:hint="default"/>
      </w:rPr>
    </w:lvl>
    <w:lvl w:ilvl="3" w:tplc="FFFFFFFF" w:tentative="1">
      <w:start w:val="1"/>
      <w:numFmt w:val="bullet"/>
      <w:lvlText w:val=""/>
      <w:lvlJc w:val="left"/>
      <w:pPr>
        <w:tabs>
          <w:tab w:val="num" w:pos="2651"/>
        </w:tabs>
        <w:ind w:left="2651" w:hanging="360"/>
      </w:pPr>
      <w:rPr>
        <w:rFonts w:ascii="Symbol" w:hAnsi="Symbol" w:hint="default"/>
      </w:rPr>
    </w:lvl>
    <w:lvl w:ilvl="4" w:tplc="FFFFFFFF" w:tentative="1">
      <w:start w:val="1"/>
      <w:numFmt w:val="bullet"/>
      <w:lvlText w:val="o"/>
      <w:lvlJc w:val="left"/>
      <w:pPr>
        <w:tabs>
          <w:tab w:val="num" w:pos="3371"/>
        </w:tabs>
        <w:ind w:left="3371" w:hanging="360"/>
      </w:pPr>
      <w:rPr>
        <w:rFonts w:ascii="Courier New" w:hAnsi="Courier New" w:cs="Courier New" w:hint="default"/>
      </w:rPr>
    </w:lvl>
    <w:lvl w:ilvl="5" w:tplc="FFFFFFFF" w:tentative="1">
      <w:start w:val="1"/>
      <w:numFmt w:val="bullet"/>
      <w:lvlText w:val=""/>
      <w:lvlJc w:val="left"/>
      <w:pPr>
        <w:tabs>
          <w:tab w:val="num" w:pos="4091"/>
        </w:tabs>
        <w:ind w:left="4091" w:hanging="360"/>
      </w:pPr>
      <w:rPr>
        <w:rFonts w:ascii="Wingdings" w:hAnsi="Wingdings" w:hint="default"/>
      </w:rPr>
    </w:lvl>
    <w:lvl w:ilvl="6" w:tplc="FFFFFFFF" w:tentative="1">
      <w:start w:val="1"/>
      <w:numFmt w:val="bullet"/>
      <w:lvlText w:val=""/>
      <w:lvlJc w:val="left"/>
      <w:pPr>
        <w:tabs>
          <w:tab w:val="num" w:pos="4811"/>
        </w:tabs>
        <w:ind w:left="4811" w:hanging="360"/>
      </w:pPr>
      <w:rPr>
        <w:rFonts w:ascii="Symbol" w:hAnsi="Symbol" w:hint="default"/>
      </w:rPr>
    </w:lvl>
    <w:lvl w:ilvl="7" w:tplc="FFFFFFFF" w:tentative="1">
      <w:start w:val="1"/>
      <w:numFmt w:val="bullet"/>
      <w:lvlText w:val="o"/>
      <w:lvlJc w:val="left"/>
      <w:pPr>
        <w:tabs>
          <w:tab w:val="num" w:pos="5531"/>
        </w:tabs>
        <w:ind w:left="5531" w:hanging="360"/>
      </w:pPr>
      <w:rPr>
        <w:rFonts w:ascii="Courier New" w:hAnsi="Courier New" w:cs="Courier New" w:hint="default"/>
      </w:rPr>
    </w:lvl>
    <w:lvl w:ilvl="8" w:tplc="FFFFFFFF" w:tentative="1">
      <w:start w:val="1"/>
      <w:numFmt w:val="bullet"/>
      <w:lvlText w:val=""/>
      <w:lvlJc w:val="left"/>
      <w:pPr>
        <w:tabs>
          <w:tab w:val="num" w:pos="6251"/>
        </w:tabs>
        <w:ind w:left="6251" w:hanging="360"/>
      </w:pPr>
      <w:rPr>
        <w:rFonts w:ascii="Wingdings" w:hAnsi="Wingdings" w:hint="default"/>
      </w:rPr>
    </w:lvl>
  </w:abstractNum>
  <w:abstractNum w:abstractNumId="284" w15:restartNumberingAfterBreak="0">
    <w:nsid w:val="6BEE5DB1"/>
    <w:multiLevelType w:val="hybridMultilevel"/>
    <w:tmpl w:val="3520653E"/>
    <w:lvl w:ilvl="0" w:tplc="8E9A1B5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5" w15:restartNumberingAfterBreak="0">
    <w:nsid w:val="6C136CE5"/>
    <w:multiLevelType w:val="hybridMultilevel"/>
    <w:tmpl w:val="B114DAC0"/>
    <w:lvl w:ilvl="0" w:tplc="87C63464">
      <w:start w:val="1"/>
      <w:numFmt w:val="lowerLetter"/>
      <w:lvlText w:val="%1)"/>
      <w:lvlJc w:val="left"/>
      <w:pPr>
        <w:ind w:left="360" w:hanging="360"/>
      </w:pPr>
      <w:rPr>
        <w:rFonts w:hint="default"/>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86" w15:restartNumberingAfterBreak="0">
    <w:nsid w:val="6C195793"/>
    <w:multiLevelType w:val="hybridMultilevel"/>
    <w:tmpl w:val="98BE3038"/>
    <w:lvl w:ilvl="0" w:tplc="3FC00554">
      <w:start w:val="1"/>
      <w:numFmt w:val="lowerLetter"/>
      <w:lvlText w:val="%1)"/>
      <w:lvlJc w:val="left"/>
      <w:pPr>
        <w:ind w:left="430" w:hanging="360"/>
      </w:pPr>
      <w:rPr>
        <w:rFonts w:hint="default"/>
        <w:b/>
        <w:bCs/>
        <w:strike w:val="0"/>
      </w:rPr>
    </w:lvl>
    <w:lvl w:ilvl="1" w:tplc="FFFFFFFF" w:tentative="1">
      <w:start w:val="1"/>
      <w:numFmt w:val="lowerLetter"/>
      <w:lvlText w:val="%2."/>
      <w:lvlJc w:val="left"/>
      <w:pPr>
        <w:ind w:left="1150" w:hanging="360"/>
      </w:pPr>
    </w:lvl>
    <w:lvl w:ilvl="2" w:tplc="FFFFFFFF" w:tentative="1">
      <w:start w:val="1"/>
      <w:numFmt w:val="lowerRoman"/>
      <w:lvlText w:val="%3."/>
      <w:lvlJc w:val="right"/>
      <w:pPr>
        <w:ind w:left="1870" w:hanging="180"/>
      </w:pPr>
    </w:lvl>
    <w:lvl w:ilvl="3" w:tplc="FFFFFFFF" w:tentative="1">
      <w:start w:val="1"/>
      <w:numFmt w:val="decimal"/>
      <w:lvlText w:val="%4."/>
      <w:lvlJc w:val="left"/>
      <w:pPr>
        <w:ind w:left="2590" w:hanging="360"/>
      </w:pPr>
    </w:lvl>
    <w:lvl w:ilvl="4" w:tplc="FFFFFFFF" w:tentative="1">
      <w:start w:val="1"/>
      <w:numFmt w:val="lowerLetter"/>
      <w:lvlText w:val="%5."/>
      <w:lvlJc w:val="left"/>
      <w:pPr>
        <w:ind w:left="3310" w:hanging="360"/>
      </w:pPr>
    </w:lvl>
    <w:lvl w:ilvl="5" w:tplc="FFFFFFFF" w:tentative="1">
      <w:start w:val="1"/>
      <w:numFmt w:val="lowerRoman"/>
      <w:lvlText w:val="%6."/>
      <w:lvlJc w:val="right"/>
      <w:pPr>
        <w:ind w:left="4030" w:hanging="180"/>
      </w:pPr>
    </w:lvl>
    <w:lvl w:ilvl="6" w:tplc="FFFFFFFF" w:tentative="1">
      <w:start w:val="1"/>
      <w:numFmt w:val="decimal"/>
      <w:lvlText w:val="%7."/>
      <w:lvlJc w:val="left"/>
      <w:pPr>
        <w:ind w:left="4750" w:hanging="360"/>
      </w:pPr>
    </w:lvl>
    <w:lvl w:ilvl="7" w:tplc="FFFFFFFF" w:tentative="1">
      <w:start w:val="1"/>
      <w:numFmt w:val="lowerLetter"/>
      <w:lvlText w:val="%8."/>
      <w:lvlJc w:val="left"/>
      <w:pPr>
        <w:ind w:left="5470" w:hanging="360"/>
      </w:pPr>
    </w:lvl>
    <w:lvl w:ilvl="8" w:tplc="FFFFFFFF" w:tentative="1">
      <w:start w:val="1"/>
      <w:numFmt w:val="lowerRoman"/>
      <w:lvlText w:val="%9."/>
      <w:lvlJc w:val="right"/>
      <w:pPr>
        <w:ind w:left="6190" w:hanging="180"/>
      </w:pPr>
    </w:lvl>
  </w:abstractNum>
  <w:abstractNum w:abstractNumId="287" w15:restartNumberingAfterBreak="0">
    <w:nsid w:val="6C292E2C"/>
    <w:multiLevelType w:val="hybridMultilevel"/>
    <w:tmpl w:val="C8CA651A"/>
    <w:lvl w:ilvl="0" w:tplc="06AC37AC">
      <w:start w:val="1"/>
      <w:numFmt w:val="lowerLetter"/>
      <w:lvlText w:val="%1)"/>
      <w:lvlJc w:val="left"/>
      <w:pPr>
        <w:ind w:left="1080" w:hanging="360"/>
      </w:pPr>
      <w:rPr>
        <w:rFonts w:ascii="Arial" w:eastAsia="Times New Roman" w:hAnsi="Arial" w:cs="Arial" w:hint="default"/>
        <w:color w:val="auto"/>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88" w15:restartNumberingAfterBreak="0">
    <w:nsid w:val="6CA2632E"/>
    <w:multiLevelType w:val="hybridMultilevel"/>
    <w:tmpl w:val="A47CB960"/>
    <w:lvl w:ilvl="0" w:tplc="0C906E24">
      <w:start w:val="1"/>
      <w:numFmt w:val="decimal"/>
      <w:lvlText w:val="%1."/>
      <w:lvlJc w:val="left"/>
      <w:pPr>
        <w:tabs>
          <w:tab w:val="num" w:pos="360"/>
        </w:tabs>
        <w:ind w:left="360" w:hanging="360"/>
      </w:pPr>
      <w:rPr>
        <w:rFonts w:hint="default"/>
        <w:b/>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9" w15:restartNumberingAfterBreak="0">
    <w:nsid w:val="6CA95E33"/>
    <w:multiLevelType w:val="hybridMultilevel"/>
    <w:tmpl w:val="11A8D848"/>
    <w:lvl w:ilvl="0" w:tplc="98FEB0A8">
      <w:start w:val="1"/>
      <w:numFmt w:val="bullet"/>
      <w:lvlText w:val=""/>
      <w:lvlJc w:val="left"/>
      <w:pPr>
        <w:ind w:left="1211" w:hanging="360"/>
      </w:pPr>
      <w:rPr>
        <w:rFonts w:ascii="Symbol" w:hAnsi="Symbol" w:hint="default"/>
        <w:color w:val="auto"/>
      </w:rPr>
    </w:lvl>
    <w:lvl w:ilvl="1" w:tplc="08090003">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290" w15:restartNumberingAfterBreak="0">
    <w:nsid w:val="6E2D121C"/>
    <w:multiLevelType w:val="hybridMultilevel"/>
    <w:tmpl w:val="F0847C0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1" w15:restartNumberingAfterBreak="0">
    <w:nsid w:val="6E5C033A"/>
    <w:multiLevelType w:val="hybridMultilevel"/>
    <w:tmpl w:val="E93C6486"/>
    <w:lvl w:ilvl="0" w:tplc="EE2A4AE8">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2" w15:restartNumberingAfterBreak="0">
    <w:nsid w:val="6E6E39F7"/>
    <w:multiLevelType w:val="hybridMultilevel"/>
    <w:tmpl w:val="E14A51B8"/>
    <w:lvl w:ilvl="0" w:tplc="87C63464">
      <w:start w:val="1"/>
      <w:numFmt w:val="lowerLetter"/>
      <w:lvlText w:val="%1)"/>
      <w:lvlJc w:val="left"/>
      <w:pPr>
        <w:ind w:left="360" w:hanging="360"/>
      </w:pPr>
      <w:rPr>
        <w:rFonts w:hint="default"/>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93" w15:restartNumberingAfterBreak="0">
    <w:nsid w:val="6EA61409"/>
    <w:multiLevelType w:val="hybridMultilevel"/>
    <w:tmpl w:val="14FC8330"/>
    <w:lvl w:ilvl="0" w:tplc="36E68F98">
      <w:start w:val="1"/>
      <w:numFmt w:val="lowerLetter"/>
      <w:lvlText w:val="%1)"/>
      <w:lvlJc w:val="left"/>
      <w:pPr>
        <w:ind w:left="720" w:hanging="360"/>
      </w:pPr>
      <w:rPr>
        <w:strike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4" w15:restartNumberingAfterBreak="0">
    <w:nsid w:val="6EA874CB"/>
    <w:multiLevelType w:val="hybridMultilevel"/>
    <w:tmpl w:val="DC3EBCB0"/>
    <w:lvl w:ilvl="0" w:tplc="8E9A1B54">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95" w15:restartNumberingAfterBreak="0">
    <w:nsid w:val="6EC955F5"/>
    <w:multiLevelType w:val="hybridMultilevel"/>
    <w:tmpl w:val="BFE2BD66"/>
    <w:lvl w:ilvl="0" w:tplc="85208572">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6" w15:restartNumberingAfterBreak="0">
    <w:nsid w:val="6F5F5235"/>
    <w:multiLevelType w:val="hybridMultilevel"/>
    <w:tmpl w:val="239EEBC6"/>
    <w:lvl w:ilvl="0" w:tplc="08090001">
      <w:start w:val="1"/>
      <w:numFmt w:val="bullet"/>
      <w:lvlText w:val=""/>
      <w:lvlJc w:val="left"/>
      <w:pPr>
        <w:ind w:left="1324" w:hanging="360"/>
      </w:pPr>
      <w:rPr>
        <w:rFonts w:ascii="Symbol" w:hAnsi="Symbol" w:hint="default"/>
      </w:rPr>
    </w:lvl>
    <w:lvl w:ilvl="1" w:tplc="08090003" w:tentative="1">
      <w:start w:val="1"/>
      <w:numFmt w:val="bullet"/>
      <w:lvlText w:val="o"/>
      <w:lvlJc w:val="left"/>
      <w:pPr>
        <w:ind w:left="2044" w:hanging="360"/>
      </w:pPr>
      <w:rPr>
        <w:rFonts w:ascii="Courier New" w:hAnsi="Courier New" w:cs="Courier New" w:hint="default"/>
      </w:rPr>
    </w:lvl>
    <w:lvl w:ilvl="2" w:tplc="08090005" w:tentative="1">
      <w:start w:val="1"/>
      <w:numFmt w:val="bullet"/>
      <w:lvlText w:val=""/>
      <w:lvlJc w:val="left"/>
      <w:pPr>
        <w:ind w:left="2764" w:hanging="360"/>
      </w:pPr>
      <w:rPr>
        <w:rFonts w:ascii="Wingdings" w:hAnsi="Wingdings" w:hint="default"/>
      </w:rPr>
    </w:lvl>
    <w:lvl w:ilvl="3" w:tplc="08090001" w:tentative="1">
      <w:start w:val="1"/>
      <w:numFmt w:val="bullet"/>
      <w:lvlText w:val=""/>
      <w:lvlJc w:val="left"/>
      <w:pPr>
        <w:ind w:left="3484" w:hanging="360"/>
      </w:pPr>
      <w:rPr>
        <w:rFonts w:ascii="Symbol" w:hAnsi="Symbol" w:hint="default"/>
      </w:rPr>
    </w:lvl>
    <w:lvl w:ilvl="4" w:tplc="08090003" w:tentative="1">
      <w:start w:val="1"/>
      <w:numFmt w:val="bullet"/>
      <w:lvlText w:val="o"/>
      <w:lvlJc w:val="left"/>
      <w:pPr>
        <w:ind w:left="4204" w:hanging="360"/>
      </w:pPr>
      <w:rPr>
        <w:rFonts w:ascii="Courier New" w:hAnsi="Courier New" w:cs="Courier New" w:hint="default"/>
      </w:rPr>
    </w:lvl>
    <w:lvl w:ilvl="5" w:tplc="08090005" w:tentative="1">
      <w:start w:val="1"/>
      <w:numFmt w:val="bullet"/>
      <w:lvlText w:val=""/>
      <w:lvlJc w:val="left"/>
      <w:pPr>
        <w:ind w:left="4924" w:hanging="360"/>
      </w:pPr>
      <w:rPr>
        <w:rFonts w:ascii="Wingdings" w:hAnsi="Wingdings" w:hint="default"/>
      </w:rPr>
    </w:lvl>
    <w:lvl w:ilvl="6" w:tplc="08090001" w:tentative="1">
      <w:start w:val="1"/>
      <w:numFmt w:val="bullet"/>
      <w:lvlText w:val=""/>
      <w:lvlJc w:val="left"/>
      <w:pPr>
        <w:ind w:left="5644" w:hanging="360"/>
      </w:pPr>
      <w:rPr>
        <w:rFonts w:ascii="Symbol" w:hAnsi="Symbol" w:hint="default"/>
      </w:rPr>
    </w:lvl>
    <w:lvl w:ilvl="7" w:tplc="08090003" w:tentative="1">
      <w:start w:val="1"/>
      <w:numFmt w:val="bullet"/>
      <w:lvlText w:val="o"/>
      <w:lvlJc w:val="left"/>
      <w:pPr>
        <w:ind w:left="6364" w:hanging="360"/>
      </w:pPr>
      <w:rPr>
        <w:rFonts w:ascii="Courier New" w:hAnsi="Courier New" w:cs="Courier New" w:hint="default"/>
      </w:rPr>
    </w:lvl>
    <w:lvl w:ilvl="8" w:tplc="08090005" w:tentative="1">
      <w:start w:val="1"/>
      <w:numFmt w:val="bullet"/>
      <w:lvlText w:val=""/>
      <w:lvlJc w:val="left"/>
      <w:pPr>
        <w:ind w:left="7084" w:hanging="360"/>
      </w:pPr>
      <w:rPr>
        <w:rFonts w:ascii="Wingdings" w:hAnsi="Wingdings" w:hint="default"/>
      </w:rPr>
    </w:lvl>
  </w:abstractNum>
  <w:abstractNum w:abstractNumId="297" w15:restartNumberingAfterBreak="0">
    <w:nsid w:val="6F875E14"/>
    <w:multiLevelType w:val="hybridMultilevel"/>
    <w:tmpl w:val="D7BE509C"/>
    <w:lvl w:ilvl="0" w:tplc="D7E878D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8" w15:restartNumberingAfterBreak="0">
    <w:nsid w:val="6FCC440B"/>
    <w:multiLevelType w:val="hybridMultilevel"/>
    <w:tmpl w:val="29309EB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9" w15:restartNumberingAfterBreak="0">
    <w:nsid w:val="6FE200A6"/>
    <w:multiLevelType w:val="hybridMultilevel"/>
    <w:tmpl w:val="07C44310"/>
    <w:lvl w:ilvl="0" w:tplc="B34CEA1C">
      <w:start w:val="1"/>
      <w:numFmt w:val="bullet"/>
      <w:lvlText w:val=""/>
      <w:lvlJc w:val="left"/>
      <w:pPr>
        <w:ind w:left="1080" w:hanging="360"/>
      </w:pPr>
      <w:rPr>
        <w:rFonts w:ascii="Symbol" w:hAnsi="Symbol" w:hint="default"/>
        <w:sz w:val="24"/>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00" w15:restartNumberingAfterBreak="0">
    <w:nsid w:val="70E55D8B"/>
    <w:multiLevelType w:val="hybridMultilevel"/>
    <w:tmpl w:val="A8125110"/>
    <w:lvl w:ilvl="0" w:tplc="F1561B0C">
      <w:start w:val="1"/>
      <w:numFmt w:val="decimal"/>
      <w:lvlText w:val="%1."/>
      <w:lvlJc w:val="left"/>
      <w:pPr>
        <w:tabs>
          <w:tab w:val="num" w:pos="360"/>
        </w:tabs>
        <w:ind w:left="36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1" w15:restartNumberingAfterBreak="0">
    <w:nsid w:val="70E677E3"/>
    <w:multiLevelType w:val="hybridMultilevel"/>
    <w:tmpl w:val="3DF2CFB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2" w15:restartNumberingAfterBreak="0">
    <w:nsid w:val="72685ED6"/>
    <w:multiLevelType w:val="hybridMultilevel"/>
    <w:tmpl w:val="F8F0CC54"/>
    <w:lvl w:ilvl="0" w:tplc="3D683F5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3" w15:restartNumberingAfterBreak="0">
    <w:nsid w:val="72D65F29"/>
    <w:multiLevelType w:val="hybridMultilevel"/>
    <w:tmpl w:val="96FA60A4"/>
    <w:lvl w:ilvl="0" w:tplc="FEAA4322">
      <w:start w:val="1"/>
      <w:numFmt w:val="lowerLetter"/>
      <w:lvlText w:val="%1."/>
      <w:lvlJc w:val="left"/>
      <w:pPr>
        <w:ind w:left="1211" w:hanging="360"/>
      </w:pPr>
      <w:rPr>
        <w:rFonts w:hint="default"/>
        <w:color w:val="auto"/>
      </w:rPr>
    </w:lvl>
    <w:lvl w:ilvl="1" w:tplc="08090019">
      <w:start w:val="1"/>
      <w:numFmt w:val="lowerLetter"/>
      <w:lvlText w:val="%2."/>
      <w:lvlJc w:val="left"/>
      <w:pPr>
        <w:ind w:left="851" w:hanging="360"/>
      </w:pPr>
    </w:lvl>
    <w:lvl w:ilvl="2" w:tplc="0809001B" w:tentative="1">
      <w:start w:val="1"/>
      <w:numFmt w:val="lowerRoman"/>
      <w:lvlText w:val="%3."/>
      <w:lvlJc w:val="right"/>
      <w:pPr>
        <w:ind w:left="1571" w:hanging="180"/>
      </w:pPr>
    </w:lvl>
    <w:lvl w:ilvl="3" w:tplc="0809000F" w:tentative="1">
      <w:start w:val="1"/>
      <w:numFmt w:val="decimal"/>
      <w:lvlText w:val="%4."/>
      <w:lvlJc w:val="left"/>
      <w:pPr>
        <w:ind w:left="2291" w:hanging="360"/>
      </w:pPr>
    </w:lvl>
    <w:lvl w:ilvl="4" w:tplc="08090019" w:tentative="1">
      <w:start w:val="1"/>
      <w:numFmt w:val="lowerLetter"/>
      <w:lvlText w:val="%5."/>
      <w:lvlJc w:val="left"/>
      <w:pPr>
        <w:ind w:left="3011" w:hanging="360"/>
      </w:pPr>
    </w:lvl>
    <w:lvl w:ilvl="5" w:tplc="0809001B" w:tentative="1">
      <w:start w:val="1"/>
      <w:numFmt w:val="lowerRoman"/>
      <w:lvlText w:val="%6."/>
      <w:lvlJc w:val="right"/>
      <w:pPr>
        <w:ind w:left="3731" w:hanging="180"/>
      </w:pPr>
    </w:lvl>
    <w:lvl w:ilvl="6" w:tplc="0809000F" w:tentative="1">
      <w:start w:val="1"/>
      <w:numFmt w:val="decimal"/>
      <w:lvlText w:val="%7."/>
      <w:lvlJc w:val="left"/>
      <w:pPr>
        <w:ind w:left="4451" w:hanging="360"/>
      </w:pPr>
    </w:lvl>
    <w:lvl w:ilvl="7" w:tplc="08090019" w:tentative="1">
      <w:start w:val="1"/>
      <w:numFmt w:val="lowerLetter"/>
      <w:lvlText w:val="%8."/>
      <w:lvlJc w:val="left"/>
      <w:pPr>
        <w:ind w:left="5171" w:hanging="360"/>
      </w:pPr>
    </w:lvl>
    <w:lvl w:ilvl="8" w:tplc="0809001B" w:tentative="1">
      <w:start w:val="1"/>
      <w:numFmt w:val="lowerRoman"/>
      <w:lvlText w:val="%9."/>
      <w:lvlJc w:val="right"/>
      <w:pPr>
        <w:ind w:left="5891" w:hanging="180"/>
      </w:pPr>
    </w:lvl>
  </w:abstractNum>
  <w:abstractNum w:abstractNumId="304" w15:restartNumberingAfterBreak="0">
    <w:nsid w:val="72E63222"/>
    <w:multiLevelType w:val="hybridMultilevel"/>
    <w:tmpl w:val="E8500CFC"/>
    <w:lvl w:ilvl="0" w:tplc="8B084970">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305" w15:restartNumberingAfterBreak="0">
    <w:nsid w:val="732222CC"/>
    <w:multiLevelType w:val="hybridMultilevel"/>
    <w:tmpl w:val="4A9A519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6" w15:restartNumberingAfterBreak="0">
    <w:nsid w:val="73AB4849"/>
    <w:multiLevelType w:val="hybridMultilevel"/>
    <w:tmpl w:val="BB80CC76"/>
    <w:lvl w:ilvl="0" w:tplc="46CA2B3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7" w15:restartNumberingAfterBreak="0">
    <w:nsid w:val="740243D8"/>
    <w:multiLevelType w:val="hybridMultilevel"/>
    <w:tmpl w:val="89888866"/>
    <w:lvl w:ilvl="0" w:tplc="2E5E3058">
      <w:start w:val="1"/>
      <w:numFmt w:val="decimal"/>
      <w:lvlText w:val="%1."/>
      <w:lvlJc w:val="left"/>
      <w:pPr>
        <w:tabs>
          <w:tab w:val="num" w:pos="-1341"/>
        </w:tabs>
        <w:ind w:left="-1341" w:hanging="360"/>
      </w:pPr>
      <w:rPr>
        <w:rFonts w:hint="default"/>
      </w:rPr>
    </w:lvl>
    <w:lvl w:ilvl="1" w:tplc="08090019" w:tentative="1">
      <w:start w:val="1"/>
      <w:numFmt w:val="lowerLetter"/>
      <w:lvlText w:val="%2."/>
      <w:lvlJc w:val="left"/>
      <w:pPr>
        <w:ind w:left="-261" w:hanging="360"/>
      </w:pPr>
    </w:lvl>
    <w:lvl w:ilvl="2" w:tplc="0809001B" w:tentative="1">
      <w:start w:val="1"/>
      <w:numFmt w:val="lowerRoman"/>
      <w:lvlText w:val="%3."/>
      <w:lvlJc w:val="right"/>
      <w:pPr>
        <w:ind w:left="459" w:hanging="180"/>
      </w:pPr>
    </w:lvl>
    <w:lvl w:ilvl="3" w:tplc="0809000F" w:tentative="1">
      <w:start w:val="1"/>
      <w:numFmt w:val="decimal"/>
      <w:lvlText w:val="%4."/>
      <w:lvlJc w:val="left"/>
      <w:pPr>
        <w:ind w:left="1179" w:hanging="360"/>
      </w:pPr>
    </w:lvl>
    <w:lvl w:ilvl="4" w:tplc="08090019" w:tentative="1">
      <w:start w:val="1"/>
      <w:numFmt w:val="lowerLetter"/>
      <w:lvlText w:val="%5."/>
      <w:lvlJc w:val="left"/>
      <w:pPr>
        <w:ind w:left="1899" w:hanging="360"/>
      </w:pPr>
    </w:lvl>
    <w:lvl w:ilvl="5" w:tplc="0809001B" w:tentative="1">
      <w:start w:val="1"/>
      <w:numFmt w:val="lowerRoman"/>
      <w:lvlText w:val="%6."/>
      <w:lvlJc w:val="right"/>
      <w:pPr>
        <w:ind w:left="2619" w:hanging="180"/>
      </w:pPr>
    </w:lvl>
    <w:lvl w:ilvl="6" w:tplc="0809000F" w:tentative="1">
      <w:start w:val="1"/>
      <w:numFmt w:val="decimal"/>
      <w:lvlText w:val="%7."/>
      <w:lvlJc w:val="left"/>
      <w:pPr>
        <w:ind w:left="3339" w:hanging="360"/>
      </w:pPr>
    </w:lvl>
    <w:lvl w:ilvl="7" w:tplc="08090019" w:tentative="1">
      <w:start w:val="1"/>
      <w:numFmt w:val="lowerLetter"/>
      <w:lvlText w:val="%8."/>
      <w:lvlJc w:val="left"/>
      <w:pPr>
        <w:ind w:left="4059" w:hanging="360"/>
      </w:pPr>
    </w:lvl>
    <w:lvl w:ilvl="8" w:tplc="0809001B" w:tentative="1">
      <w:start w:val="1"/>
      <w:numFmt w:val="lowerRoman"/>
      <w:lvlText w:val="%9."/>
      <w:lvlJc w:val="right"/>
      <w:pPr>
        <w:ind w:left="4779" w:hanging="180"/>
      </w:pPr>
    </w:lvl>
  </w:abstractNum>
  <w:abstractNum w:abstractNumId="308" w15:restartNumberingAfterBreak="0">
    <w:nsid w:val="756F026F"/>
    <w:multiLevelType w:val="hybridMultilevel"/>
    <w:tmpl w:val="8D2AF6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9" w15:restartNumberingAfterBreak="0">
    <w:nsid w:val="76016149"/>
    <w:multiLevelType w:val="hybridMultilevel"/>
    <w:tmpl w:val="D1E0105E"/>
    <w:lvl w:ilvl="0" w:tplc="8E9A1B5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0" w15:restartNumberingAfterBreak="0">
    <w:nsid w:val="769F01B2"/>
    <w:multiLevelType w:val="hybridMultilevel"/>
    <w:tmpl w:val="750E3E2C"/>
    <w:lvl w:ilvl="0" w:tplc="B0263FD6">
      <w:start w:val="1"/>
      <w:numFmt w:val="decimal"/>
      <w:lvlText w:val="%1."/>
      <w:lvlJc w:val="left"/>
      <w:pPr>
        <w:tabs>
          <w:tab w:val="num" w:pos="360"/>
        </w:tabs>
        <w:ind w:left="360" w:hanging="360"/>
      </w:pPr>
      <w:rPr>
        <w:rFonts w:hint="default"/>
        <w:b w:val="0"/>
        <w:bCs/>
        <w:strike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1" w15:restartNumberingAfterBreak="0">
    <w:nsid w:val="76B14597"/>
    <w:multiLevelType w:val="hybridMultilevel"/>
    <w:tmpl w:val="10109880"/>
    <w:lvl w:ilvl="0" w:tplc="B34CEA1C">
      <w:start w:val="1"/>
      <w:numFmt w:val="bullet"/>
      <w:lvlText w:val=""/>
      <w:lvlJc w:val="left"/>
      <w:pPr>
        <w:ind w:left="1069" w:hanging="360"/>
      </w:pPr>
      <w:rPr>
        <w:rFonts w:ascii="Symbol" w:hAnsi="Symbol" w:hint="default"/>
        <w:sz w:val="24"/>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312" w15:restartNumberingAfterBreak="0">
    <w:nsid w:val="76B605A5"/>
    <w:multiLevelType w:val="hybridMultilevel"/>
    <w:tmpl w:val="1C4C0C28"/>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313" w15:restartNumberingAfterBreak="0">
    <w:nsid w:val="772049CF"/>
    <w:multiLevelType w:val="multilevel"/>
    <w:tmpl w:val="BDB0B150"/>
    <w:lvl w:ilvl="0">
      <w:start w:val="1"/>
      <w:numFmt w:val="bullet"/>
      <w:lvlText w:val=""/>
      <w:lvlJc w:val="left"/>
      <w:pPr>
        <w:tabs>
          <w:tab w:val="num" w:pos="1080"/>
        </w:tabs>
        <w:ind w:left="1080" w:hanging="360"/>
      </w:pPr>
      <w:rPr>
        <w:rFonts w:ascii="Symbol" w:hAnsi="Symbol" w:hint="default"/>
        <w:sz w:val="20"/>
      </w:rPr>
    </w:lvl>
    <w:lvl w:ilvl="1">
      <w:numFmt w:val="bullet"/>
      <w:lvlText w:val="•"/>
      <w:lvlJc w:val="left"/>
      <w:pPr>
        <w:ind w:left="1875" w:hanging="435"/>
      </w:pPr>
      <w:rPr>
        <w:rFonts w:ascii="Calibri" w:eastAsia="Times New Roman" w:hAnsi="Calibri" w:cs="Calibri" w:hint="default"/>
      </w:rPr>
    </w:lvl>
    <w:lvl w:ilvl="2" w:tentative="1">
      <w:start w:val="1"/>
      <w:numFmt w:val="bullet"/>
      <w:lvlText w:val=""/>
      <w:lvlJc w:val="left"/>
      <w:pPr>
        <w:tabs>
          <w:tab w:val="num" w:pos="2520"/>
        </w:tabs>
        <w:ind w:left="2520" w:hanging="360"/>
      </w:pPr>
      <w:rPr>
        <w:rFonts w:ascii="Symbol" w:hAnsi="Symbol" w:hint="default"/>
        <w:sz w:val="20"/>
      </w:rPr>
    </w:lvl>
    <w:lvl w:ilvl="3" w:tentative="1">
      <w:start w:val="1"/>
      <w:numFmt w:val="bullet"/>
      <w:lvlText w:val=""/>
      <w:lvlJc w:val="left"/>
      <w:pPr>
        <w:tabs>
          <w:tab w:val="num" w:pos="3240"/>
        </w:tabs>
        <w:ind w:left="3240" w:hanging="360"/>
      </w:pPr>
      <w:rPr>
        <w:rFonts w:ascii="Symbol" w:hAnsi="Symbol" w:hint="default"/>
        <w:sz w:val="20"/>
      </w:rPr>
    </w:lvl>
    <w:lvl w:ilvl="4" w:tentative="1">
      <w:start w:val="1"/>
      <w:numFmt w:val="bullet"/>
      <w:lvlText w:val=""/>
      <w:lvlJc w:val="left"/>
      <w:pPr>
        <w:tabs>
          <w:tab w:val="num" w:pos="3960"/>
        </w:tabs>
        <w:ind w:left="3960" w:hanging="360"/>
      </w:pPr>
      <w:rPr>
        <w:rFonts w:ascii="Symbol" w:hAnsi="Symbol" w:hint="default"/>
        <w:sz w:val="20"/>
      </w:rPr>
    </w:lvl>
    <w:lvl w:ilvl="5" w:tentative="1">
      <w:start w:val="1"/>
      <w:numFmt w:val="bullet"/>
      <w:lvlText w:val=""/>
      <w:lvlJc w:val="left"/>
      <w:pPr>
        <w:tabs>
          <w:tab w:val="num" w:pos="4680"/>
        </w:tabs>
        <w:ind w:left="4680" w:hanging="360"/>
      </w:pPr>
      <w:rPr>
        <w:rFonts w:ascii="Symbol" w:hAnsi="Symbol" w:hint="default"/>
        <w:sz w:val="20"/>
      </w:rPr>
    </w:lvl>
    <w:lvl w:ilvl="6" w:tentative="1">
      <w:start w:val="1"/>
      <w:numFmt w:val="bullet"/>
      <w:lvlText w:val=""/>
      <w:lvlJc w:val="left"/>
      <w:pPr>
        <w:tabs>
          <w:tab w:val="num" w:pos="5400"/>
        </w:tabs>
        <w:ind w:left="5400" w:hanging="360"/>
      </w:pPr>
      <w:rPr>
        <w:rFonts w:ascii="Symbol" w:hAnsi="Symbol" w:hint="default"/>
        <w:sz w:val="20"/>
      </w:rPr>
    </w:lvl>
    <w:lvl w:ilvl="7" w:tentative="1">
      <w:start w:val="1"/>
      <w:numFmt w:val="bullet"/>
      <w:lvlText w:val=""/>
      <w:lvlJc w:val="left"/>
      <w:pPr>
        <w:tabs>
          <w:tab w:val="num" w:pos="6120"/>
        </w:tabs>
        <w:ind w:left="6120" w:hanging="360"/>
      </w:pPr>
      <w:rPr>
        <w:rFonts w:ascii="Symbol" w:hAnsi="Symbol" w:hint="default"/>
        <w:sz w:val="20"/>
      </w:rPr>
    </w:lvl>
    <w:lvl w:ilvl="8" w:tentative="1">
      <w:start w:val="1"/>
      <w:numFmt w:val="bullet"/>
      <w:lvlText w:val=""/>
      <w:lvlJc w:val="left"/>
      <w:pPr>
        <w:tabs>
          <w:tab w:val="num" w:pos="6840"/>
        </w:tabs>
        <w:ind w:left="6840" w:hanging="360"/>
      </w:pPr>
      <w:rPr>
        <w:rFonts w:ascii="Symbol" w:hAnsi="Symbol" w:hint="default"/>
        <w:sz w:val="20"/>
      </w:rPr>
    </w:lvl>
  </w:abstractNum>
  <w:abstractNum w:abstractNumId="314" w15:restartNumberingAfterBreak="0">
    <w:nsid w:val="77AF36C3"/>
    <w:multiLevelType w:val="hybridMultilevel"/>
    <w:tmpl w:val="17CE9BB2"/>
    <w:lvl w:ilvl="0" w:tplc="08090001">
      <w:start w:val="1"/>
      <w:numFmt w:val="bullet"/>
      <w:lvlText w:val=""/>
      <w:lvlJc w:val="left"/>
      <w:pPr>
        <w:ind w:left="1069" w:hanging="360"/>
      </w:pPr>
      <w:rPr>
        <w:rFonts w:ascii="Symbol" w:hAnsi="Symbol"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315" w15:restartNumberingAfterBreak="0">
    <w:nsid w:val="77EE45FC"/>
    <w:multiLevelType w:val="hybridMultilevel"/>
    <w:tmpl w:val="4636F2E0"/>
    <w:lvl w:ilvl="0" w:tplc="8E9A1B5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6" w15:restartNumberingAfterBreak="0">
    <w:nsid w:val="77FE1818"/>
    <w:multiLevelType w:val="hybridMultilevel"/>
    <w:tmpl w:val="BFC8FEA8"/>
    <w:lvl w:ilvl="0" w:tplc="07FA47B0">
      <w:start w:val="1"/>
      <w:numFmt w:val="bullet"/>
      <w:lvlText w:val=""/>
      <w:lvlJc w:val="left"/>
      <w:pPr>
        <w:ind w:left="1440" w:hanging="360"/>
      </w:pPr>
      <w:rPr>
        <w:rFonts w:ascii="Symbol" w:hAnsi="Symbol" w:hint="default"/>
        <w:color w:val="auto"/>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17" w15:restartNumberingAfterBreak="0">
    <w:nsid w:val="787C790B"/>
    <w:multiLevelType w:val="hybridMultilevel"/>
    <w:tmpl w:val="5360EDE8"/>
    <w:lvl w:ilvl="0" w:tplc="793EDAE2">
      <w:start w:val="1"/>
      <w:numFmt w:val="low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8" w15:restartNumberingAfterBreak="0">
    <w:nsid w:val="78897A9B"/>
    <w:multiLevelType w:val="hybridMultilevel"/>
    <w:tmpl w:val="9092C2FA"/>
    <w:lvl w:ilvl="0" w:tplc="E33E4E88">
      <w:start w:val="1"/>
      <w:numFmt w:val="decimal"/>
      <w:lvlText w:val="%1."/>
      <w:lvlJc w:val="left"/>
      <w:pPr>
        <w:tabs>
          <w:tab w:val="num" w:pos="360"/>
        </w:tabs>
        <w:ind w:left="360" w:hanging="360"/>
      </w:pPr>
      <w:rPr>
        <w:rFonts w:hint="default"/>
      </w:rPr>
    </w:lvl>
    <w:lvl w:ilvl="1" w:tplc="6728D6B4">
      <w:start w:val="1"/>
      <w:numFmt w:val="lowerLetter"/>
      <w:lvlText w:val="%2)"/>
      <w:lvlJc w:val="left"/>
      <w:pPr>
        <w:tabs>
          <w:tab w:val="num" w:pos="964"/>
        </w:tabs>
        <w:ind w:left="964" w:hanging="510"/>
      </w:pPr>
      <w:rPr>
        <w:rFonts w:ascii="Arial" w:hAnsi="Arial" w:cs="Arial" w:hint="default"/>
        <w:color w:val="000000" w:themeColor="text1"/>
      </w:rPr>
    </w:lvl>
    <w:lvl w:ilvl="2" w:tplc="0809001B">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19" w15:restartNumberingAfterBreak="0">
    <w:nsid w:val="78DD1982"/>
    <w:multiLevelType w:val="hybridMultilevel"/>
    <w:tmpl w:val="7DCC606E"/>
    <w:lvl w:ilvl="0" w:tplc="98FEB0A8">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0" w15:restartNumberingAfterBreak="0">
    <w:nsid w:val="799D4813"/>
    <w:multiLevelType w:val="hybridMultilevel"/>
    <w:tmpl w:val="0FA819AC"/>
    <w:lvl w:ilvl="0" w:tplc="25F2F876">
      <w:start w:val="1"/>
      <w:numFmt w:val="bullet"/>
      <w:lvlText w:val=""/>
      <w:lvlJc w:val="left"/>
      <w:pPr>
        <w:ind w:left="1440" w:hanging="360"/>
      </w:pPr>
      <w:rPr>
        <w:rFonts w:ascii="Symbol" w:hAnsi="Symbol" w:hint="default"/>
        <w:color w:val="auto"/>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21" w15:restartNumberingAfterBreak="0">
    <w:nsid w:val="79EC2783"/>
    <w:multiLevelType w:val="hybridMultilevel"/>
    <w:tmpl w:val="1A244A36"/>
    <w:lvl w:ilvl="0" w:tplc="BE2063CC">
      <w:start w:val="1"/>
      <w:numFmt w:val="bullet"/>
      <w:lvlText w:val=""/>
      <w:lvlJc w:val="left"/>
      <w:pPr>
        <w:tabs>
          <w:tab w:val="num" w:pos="397"/>
        </w:tabs>
        <w:ind w:left="397" w:hanging="39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22" w15:restartNumberingAfterBreak="0">
    <w:nsid w:val="7A752411"/>
    <w:multiLevelType w:val="hybridMultilevel"/>
    <w:tmpl w:val="B98240BC"/>
    <w:lvl w:ilvl="0" w:tplc="AB72C352">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23" w15:restartNumberingAfterBreak="0">
    <w:nsid w:val="7A8A6486"/>
    <w:multiLevelType w:val="hybridMultilevel"/>
    <w:tmpl w:val="0B76F13A"/>
    <w:lvl w:ilvl="0" w:tplc="007AA05E">
      <w:start w:val="1"/>
      <w:numFmt w:val="lowerLetter"/>
      <w:lvlText w:val="%1."/>
      <w:lvlJc w:val="left"/>
      <w:pPr>
        <w:ind w:left="862" w:hanging="360"/>
      </w:pPr>
      <w:rPr>
        <w:rFonts w:hint="default"/>
        <w:strike w:val="0"/>
      </w:rPr>
    </w:lvl>
    <w:lvl w:ilvl="1" w:tplc="08090019" w:tentative="1">
      <w:start w:val="1"/>
      <w:numFmt w:val="lowerLetter"/>
      <w:lvlText w:val="%2."/>
      <w:lvlJc w:val="left"/>
      <w:pPr>
        <w:ind w:left="1582" w:hanging="360"/>
      </w:pPr>
    </w:lvl>
    <w:lvl w:ilvl="2" w:tplc="0809001B" w:tentative="1">
      <w:start w:val="1"/>
      <w:numFmt w:val="lowerRoman"/>
      <w:lvlText w:val="%3."/>
      <w:lvlJc w:val="right"/>
      <w:pPr>
        <w:ind w:left="2302" w:hanging="180"/>
      </w:pPr>
    </w:lvl>
    <w:lvl w:ilvl="3" w:tplc="0809000F" w:tentative="1">
      <w:start w:val="1"/>
      <w:numFmt w:val="decimal"/>
      <w:lvlText w:val="%4."/>
      <w:lvlJc w:val="left"/>
      <w:pPr>
        <w:ind w:left="3022" w:hanging="360"/>
      </w:pPr>
    </w:lvl>
    <w:lvl w:ilvl="4" w:tplc="08090019" w:tentative="1">
      <w:start w:val="1"/>
      <w:numFmt w:val="lowerLetter"/>
      <w:lvlText w:val="%5."/>
      <w:lvlJc w:val="left"/>
      <w:pPr>
        <w:ind w:left="3742" w:hanging="360"/>
      </w:pPr>
    </w:lvl>
    <w:lvl w:ilvl="5" w:tplc="0809001B" w:tentative="1">
      <w:start w:val="1"/>
      <w:numFmt w:val="lowerRoman"/>
      <w:lvlText w:val="%6."/>
      <w:lvlJc w:val="right"/>
      <w:pPr>
        <w:ind w:left="4462" w:hanging="180"/>
      </w:pPr>
    </w:lvl>
    <w:lvl w:ilvl="6" w:tplc="0809000F" w:tentative="1">
      <w:start w:val="1"/>
      <w:numFmt w:val="decimal"/>
      <w:lvlText w:val="%7."/>
      <w:lvlJc w:val="left"/>
      <w:pPr>
        <w:ind w:left="5182" w:hanging="360"/>
      </w:pPr>
    </w:lvl>
    <w:lvl w:ilvl="7" w:tplc="08090019" w:tentative="1">
      <w:start w:val="1"/>
      <w:numFmt w:val="lowerLetter"/>
      <w:lvlText w:val="%8."/>
      <w:lvlJc w:val="left"/>
      <w:pPr>
        <w:ind w:left="5902" w:hanging="360"/>
      </w:pPr>
    </w:lvl>
    <w:lvl w:ilvl="8" w:tplc="0809001B" w:tentative="1">
      <w:start w:val="1"/>
      <w:numFmt w:val="lowerRoman"/>
      <w:lvlText w:val="%9."/>
      <w:lvlJc w:val="right"/>
      <w:pPr>
        <w:ind w:left="6622" w:hanging="180"/>
      </w:pPr>
    </w:lvl>
  </w:abstractNum>
  <w:abstractNum w:abstractNumId="324" w15:restartNumberingAfterBreak="0">
    <w:nsid w:val="7AC654EE"/>
    <w:multiLevelType w:val="hybridMultilevel"/>
    <w:tmpl w:val="504CE974"/>
    <w:lvl w:ilvl="0" w:tplc="A02A0A36">
      <w:start w:val="1"/>
      <w:numFmt w:val="bullet"/>
      <w:lvlText w:val=""/>
      <w:lvlJc w:val="left"/>
      <w:pPr>
        <w:ind w:left="1440" w:hanging="360"/>
      </w:pPr>
      <w:rPr>
        <w:rFonts w:ascii="Symbol" w:hAnsi="Symbol" w:hint="default"/>
        <w:color w:val="auto"/>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25" w15:restartNumberingAfterBreak="0">
    <w:nsid w:val="7B0658F0"/>
    <w:multiLevelType w:val="hybridMultilevel"/>
    <w:tmpl w:val="66DA3554"/>
    <w:lvl w:ilvl="0" w:tplc="6838C004">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6" w15:restartNumberingAfterBreak="0">
    <w:nsid w:val="7B607620"/>
    <w:multiLevelType w:val="hybridMultilevel"/>
    <w:tmpl w:val="3C12C91E"/>
    <w:lvl w:ilvl="0" w:tplc="FFDA1A7C">
      <w:start w:val="1"/>
      <w:numFmt w:val="bullet"/>
      <w:lvlText w:val=""/>
      <w:lvlJc w:val="left"/>
      <w:pPr>
        <w:tabs>
          <w:tab w:val="num" w:pos="1154"/>
        </w:tabs>
        <w:ind w:left="1154" w:hanging="360"/>
      </w:pPr>
      <w:rPr>
        <w:rFonts w:ascii="Symbol" w:hAnsi="Symbol" w:hint="default"/>
        <w:color w:val="auto"/>
        <w:sz w:val="20"/>
        <w:szCs w:val="20"/>
      </w:rPr>
    </w:lvl>
    <w:lvl w:ilvl="1" w:tplc="08090003" w:tentative="1">
      <w:start w:val="1"/>
      <w:numFmt w:val="bullet"/>
      <w:lvlText w:val="o"/>
      <w:lvlJc w:val="left"/>
      <w:pPr>
        <w:tabs>
          <w:tab w:val="num" w:pos="1154"/>
        </w:tabs>
        <w:ind w:left="1154" w:hanging="360"/>
      </w:pPr>
      <w:rPr>
        <w:rFonts w:ascii="Courier New" w:hAnsi="Courier New" w:cs="Courier New" w:hint="default"/>
      </w:rPr>
    </w:lvl>
    <w:lvl w:ilvl="2" w:tplc="08090005" w:tentative="1">
      <w:start w:val="1"/>
      <w:numFmt w:val="bullet"/>
      <w:lvlText w:val=""/>
      <w:lvlJc w:val="left"/>
      <w:pPr>
        <w:tabs>
          <w:tab w:val="num" w:pos="1874"/>
        </w:tabs>
        <w:ind w:left="1874" w:hanging="360"/>
      </w:pPr>
      <w:rPr>
        <w:rFonts w:ascii="Wingdings" w:hAnsi="Wingdings" w:hint="default"/>
      </w:rPr>
    </w:lvl>
    <w:lvl w:ilvl="3" w:tplc="08090001" w:tentative="1">
      <w:start w:val="1"/>
      <w:numFmt w:val="bullet"/>
      <w:lvlText w:val=""/>
      <w:lvlJc w:val="left"/>
      <w:pPr>
        <w:tabs>
          <w:tab w:val="num" w:pos="2594"/>
        </w:tabs>
        <w:ind w:left="2594" w:hanging="360"/>
      </w:pPr>
      <w:rPr>
        <w:rFonts w:ascii="Symbol" w:hAnsi="Symbol" w:hint="default"/>
      </w:rPr>
    </w:lvl>
    <w:lvl w:ilvl="4" w:tplc="08090003" w:tentative="1">
      <w:start w:val="1"/>
      <w:numFmt w:val="bullet"/>
      <w:lvlText w:val="o"/>
      <w:lvlJc w:val="left"/>
      <w:pPr>
        <w:tabs>
          <w:tab w:val="num" w:pos="3314"/>
        </w:tabs>
        <w:ind w:left="3314" w:hanging="360"/>
      </w:pPr>
      <w:rPr>
        <w:rFonts w:ascii="Courier New" w:hAnsi="Courier New" w:cs="Courier New" w:hint="default"/>
      </w:rPr>
    </w:lvl>
    <w:lvl w:ilvl="5" w:tplc="08090005" w:tentative="1">
      <w:start w:val="1"/>
      <w:numFmt w:val="bullet"/>
      <w:lvlText w:val=""/>
      <w:lvlJc w:val="left"/>
      <w:pPr>
        <w:tabs>
          <w:tab w:val="num" w:pos="4034"/>
        </w:tabs>
        <w:ind w:left="4034" w:hanging="360"/>
      </w:pPr>
      <w:rPr>
        <w:rFonts w:ascii="Wingdings" w:hAnsi="Wingdings" w:hint="default"/>
      </w:rPr>
    </w:lvl>
    <w:lvl w:ilvl="6" w:tplc="08090001" w:tentative="1">
      <w:start w:val="1"/>
      <w:numFmt w:val="bullet"/>
      <w:lvlText w:val=""/>
      <w:lvlJc w:val="left"/>
      <w:pPr>
        <w:tabs>
          <w:tab w:val="num" w:pos="4754"/>
        </w:tabs>
        <w:ind w:left="4754" w:hanging="360"/>
      </w:pPr>
      <w:rPr>
        <w:rFonts w:ascii="Symbol" w:hAnsi="Symbol" w:hint="default"/>
      </w:rPr>
    </w:lvl>
    <w:lvl w:ilvl="7" w:tplc="08090003" w:tentative="1">
      <w:start w:val="1"/>
      <w:numFmt w:val="bullet"/>
      <w:lvlText w:val="o"/>
      <w:lvlJc w:val="left"/>
      <w:pPr>
        <w:tabs>
          <w:tab w:val="num" w:pos="5474"/>
        </w:tabs>
        <w:ind w:left="5474" w:hanging="360"/>
      </w:pPr>
      <w:rPr>
        <w:rFonts w:ascii="Courier New" w:hAnsi="Courier New" w:cs="Courier New" w:hint="default"/>
      </w:rPr>
    </w:lvl>
    <w:lvl w:ilvl="8" w:tplc="08090005" w:tentative="1">
      <w:start w:val="1"/>
      <w:numFmt w:val="bullet"/>
      <w:lvlText w:val=""/>
      <w:lvlJc w:val="left"/>
      <w:pPr>
        <w:tabs>
          <w:tab w:val="num" w:pos="6194"/>
        </w:tabs>
        <w:ind w:left="6194" w:hanging="360"/>
      </w:pPr>
      <w:rPr>
        <w:rFonts w:ascii="Wingdings" w:hAnsi="Wingdings" w:hint="default"/>
      </w:rPr>
    </w:lvl>
  </w:abstractNum>
  <w:abstractNum w:abstractNumId="327" w15:restartNumberingAfterBreak="0">
    <w:nsid w:val="7B8273A3"/>
    <w:multiLevelType w:val="hybridMultilevel"/>
    <w:tmpl w:val="0194F284"/>
    <w:lvl w:ilvl="0" w:tplc="DF9878A0">
      <w:start w:val="1"/>
      <w:numFmt w:val="lowerRoman"/>
      <w:lvlText w:val="%1"/>
      <w:lvlJc w:val="left"/>
      <w:pPr>
        <w:tabs>
          <w:tab w:val="num" w:pos="794"/>
        </w:tabs>
        <w:ind w:left="794" w:hanging="397"/>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28" w15:restartNumberingAfterBreak="0">
    <w:nsid w:val="7BB9349F"/>
    <w:multiLevelType w:val="hybridMultilevel"/>
    <w:tmpl w:val="0E4CCAF2"/>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29" w15:restartNumberingAfterBreak="0">
    <w:nsid w:val="7BDC0D3E"/>
    <w:multiLevelType w:val="hybridMultilevel"/>
    <w:tmpl w:val="6EAC3936"/>
    <w:lvl w:ilvl="0" w:tplc="08090001">
      <w:start w:val="1"/>
      <w:numFmt w:val="bullet"/>
      <w:lvlText w:val=""/>
      <w:lvlJc w:val="left"/>
      <w:pPr>
        <w:ind w:left="1211" w:hanging="360"/>
      </w:pPr>
      <w:rPr>
        <w:rFonts w:ascii="Symbol" w:hAnsi="Symbol"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330" w15:restartNumberingAfterBreak="0">
    <w:nsid w:val="7C3F4096"/>
    <w:multiLevelType w:val="hybridMultilevel"/>
    <w:tmpl w:val="047EBD5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1" w15:restartNumberingAfterBreak="0">
    <w:nsid w:val="7C56399D"/>
    <w:multiLevelType w:val="hybridMultilevel"/>
    <w:tmpl w:val="BC06AC5A"/>
    <w:lvl w:ilvl="0" w:tplc="E56E50DE">
      <w:start w:val="1"/>
      <w:numFmt w:val="decimal"/>
      <w:lvlText w:val="%1."/>
      <w:lvlJc w:val="left"/>
      <w:pPr>
        <w:tabs>
          <w:tab w:val="num" w:pos="360"/>
        </w:tabs>
        <w:ind w:left="36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2" w15:restartNumberingAfterBreak="0">
    <w:nsid w:val="7CA9216F"/>
    <w:multiLevelType w:val="hybridMultilevel"/>
    <w:tmpl w:val="9934E35A"/>
    <w:lvl w:ilvl="0" w:tplc="243EAF8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3" w15:restartNumberingAfterBreak="0">
    <w:nsid w:val="7CAF2A67"/>
    <w:multiLevelType w:val="hybridMultilevel"/>
    <w:tmpl w:val="CC5A350E"/>
    <w:lvl w:ilvl="0" w:tplc="B34CEA1C">
      <w:start w:val="1"/>
      <w:numFmt w:val="bullet"/>
      <w:lvlText w:val=""/>
      <w:lvlJc w:val="left"/>
      <w:pPr>
        <w:ind w:left="1080" w:hanging="360"/>
      </w:pPr>
      <w:rPr>
        <w:rFonts w:ascii="Symbol" w:hAnsi="Symbol" w:hint="default"/>
        <w:sz w:val="24"/>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34" w15:restartNumberingAfterBreak="0">
    <w:nsid w:val="7DAD217B"/>
    <w:multiLevelType w:val="hybridMultilevel"/>
    <w:tmpl w:val="6B16BB78"/>
    <w:lvl w:ilvl="0" w:tplc="EEB2B9DE">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35" w15:restartNumberingAfterBreak="0">
    <w:nsid w:val="7E490D8F"/>
    <w:multiLevelType w:val="hybridMultilevel"/>
    <w:tmpl w:val="B66E42AA"/>
    <w:lvl w:ilvl="0" w:tplc="8B941D06">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6" w15:restartNumberingAfterBreak="0">
    <w:nsid w:val="7E5B4953"/>
    <w:multiLevelType w:val="hybridMultilevel"/>
    <w:tmpl w:val="07D265EE"/>
    <w:lvl w:ilvl="0" w:tplc="A6D4809E">
      <w:start w:val="1"/>
      <w:numFmt w:val="bullet"/>
      <w:lvlText w:val=""/>
      <w:lvlJc w:val="left"/>
      <w:pPr>
        <w:tabs>
          <w:tab w:val="num" w:pos="567"/>
        </w:tabs>
        <w:ind w:left="567" w:hanging="340"/>
      </w:pPr>
      <w:rPr>
        <w:rFonts w:ascii="Symbol" w:hAnsi="Symbol" w:hint="default"/>
        <w:color w:val="auto"/>
      </w:rPr>
    </w:lvl>
    <w:lvl w:ilvl="1" w:tplc="9BB61D10">
      <w:start w:val="1"/>
      <w:numFmt w:val="decimal"/>
      <w:lvlText w:val="%2."/>
      <w:lvlJc w:val="left"/>
      <w:pPr>
        <w:tabs>
          <w:tab w:val="num" w:pos="1440"/>
        </w:tabs>
        <w:ind w:left="1440" w:hanging="360"/>
      </w:pPr>
      <w:rPr>
        <w:rFonts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7" w15:restartNumberingAfterBreak="0">
    <w:nsid w:val="7E6F3EB7"/>
    <w:multiLevelType w:val="hybridMultilevel"/>
    <w:tmpl w:val="871CE37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38" w15:restartNumberingAfterBreak="0">
    <w:nsid w:val="7F0242B9"/>
    <w:multiLevelType w:val="hybridMultilevel"/>
    <w:tmpl w:val="FECA1D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9" w15:restartNumberingAfterBreak="0">
    <w:nsid w:val="7F0F45DD"/>
    <w:multiLevelType w:val="hybridMultilevel"/>
    <w:tmpl w:val="8F6E1250"/>
    <w:lvl w:ilvl="0" w:tplc="08090017">
      <w:start w:val="1"/>
      <w:numFmt w:val="lowerLetter"/>
      <w:lvlText w:val="%1)"/>
      <w:lvlJc w:val="left"/>
      <w:pPr>
        <w:ind w:left="1440" w:hanging="360"/>
      </w:pPr>
      <w:rPr>
        <w:rFont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40" w15:restartNumberingAfterBreak="0">
    <w:nsid w:val="7F8E40BB"/>
    <w:multiLevelType w:val="hybridMultilevel"/>
    <w:tmpl w:val="34B0ADD8"/>
    <w:lvl w:ilvl="0" w:tplc="C994B3B6">
      <w:start w:val="1"/>
      <w:numFmt w:val="lowerLetter"/>
      <w:lvlText w:val="%1."/>
      <w:lvlJc w:val="left"/>
      <w:pPr>
        <w:ind w:left="10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1" w15:restartNumberingAfterBreak="0">
    <w:nsid w:val="7F9B3C9B"/>
    <w:multiLevelType w:val="hybridMultilevel"/>
    <w:tmpl w:val="7042EE7A"/>
    <w:lvl w:ilvl="0" w:tplc="08090001">
      <w:start w:val="1"/>
      <w:numFmt w:val="bullet"/>
      <w:lvlText w:val=""/>
      <w:lvlJc w:val="left"/>
      <w:pPr>
        <w:ind w:left="1069" w:hanging="360"/>
      </w:pPr>
      <w:rPr>
        <w:rFonts w:ascii="Symbol" w:hAnsi="Symbol"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342" w15:restartNumberingAfterBreak="0">
    <w:nsid w:val="7FE300ED"/>
    <w:multiLevelType w:val="hybridMultilevel"/>
    <w:tmpl w:val="4E2449C6"/>
    <w:lvl w:ilvl="0" w:tplc="08090001">
      <w:start w:val="1"/>
      <w:numFmt w:val="bullet"/>
      <w:lvlText w:val=""/>
      <w:lvlJc w:val="left"/>
      <w:pPr>
        <w:ind w:left="887" w:hanging="360"/>
      </w:pPr>
      <w:rPr>
        <w:rFonts w:ascii="Symbol" w:hAnsi="Symbol" w:hint="default"/>
      </w:rPr>
    </w:lvl>
    <w:lvl w:ilvl="1" w:tplc="08090003" w:tentative="1">
      <w:start w:val="1"/>
      <w:numFmt w:val="bullet"/>
      <w:lvlText w:val="o"/>
      <w:lvlJc w:val="left"/>
      <w:pPr>
        <w:ind w:left="1607" w:hanging="360"/>
      </w:pPr>
      <w:rPr>
        <w:rFonts w:ascii="Courier New" w:hAnsi="Courier New" w:cs="Courier New" w:hint="default"/>
      </w:rPr>
    </w:lvl>
    <w:lvl w:ilvl="2" w:tplc="08090005" w:tentative="1">
      <w:start w:val="1"/>
      <w:numFmt w:val="bullet"/>
      <w:lvlText w:val=""/>
      <w:lvlJc w:val="left"/>
      <w:pPr>
        <w:ind w:left="2327" w:hanging="360"/>
      </w:pPr>
      <w:rPr>
        <w:rFonts w:ascii="Wingdings" w:hAnsi="Wingdings" w:hint="default"/>
      </w:rPr>
    </w:lvl>
    <w:lvl w:ilvl="3" w:tplc="08090001" w:tentative="1">
      <w:start w:val="1"/>
      <w:numFmt w:val="bullet"/>
      <w:lvlText w:val=""/>
      <w:lvlJc w:val="left"/>
      <w:pPr>
        <w:ind w:left="3047" w:hanging="360"/>
      </w:pPr>
      <w:rPr>
        <w:rFonts w:ascii="Symbol" w:hAnsi="Symbol" w:hint="default"/>
      </w:rPr>
    </w:lvl>
    <w:lvl w:ilvl="4" w:tplc="08090003" w:tentative="1">
      <w:start w:val="1"/>
      <w:numFmt w:val="bullet"/>
      <w:lvlText w:val="o"/>
      <w:lvlJc w:val="left"/>
      <w:pPr>
        <w:ind w:left="3767" w:hanging="360"/>
      </w:pPr>
      <w:rPr>
        <w:rFonts w:ascii="Courier New" w:hAnsi="Courier New" w:cs="Courier New" w:hint="default"/>
      </w:rPr>
    </w:lvl>
    <w:lvl w:ilvl="5" w:tplc="08090005" w:tentative="1">
      <w:start w:val="1"/>
      <w:numFmt w:val="bullet"/>
      <w:lvlText w:val=""/>
      <w:lvlJc w:val="left"/>
      <w:pPr>
        <w:ind w:left="4487" w:hanging="360"/>
      </w:pPr>
      <w:rPr>
        <w:rFonts w:ascii="Wingdings" w:hAnsi="Wingdings" w:hint="default"/>
      </w:rPr>
    </w:lvl>
    <w:lvl w:ilvl="6" w:tplc="08090001" w:tentative="1">
      <w:start w:val="1"/>
      <w:numFmt w:val="bullet"/>
      <w:lvlText w:val=""/>
      <w:lvlJc w:val="left"/>
      <w:pPr>
        <w:ind w:left="5207" w:hanging="360"/>
      </w:pPr>
      <w:rPr>
        <w:rFonts w:ascii="Symbol" w:hAnsi="Symbol" w:hint="default"/>
      </w:rPr>
    </w:lvl>
    <w:lvl w:ilvl="7" w:tplc="08090003" w:tentative="1">
      <w:start w:val="1"/>
      <w:numFmt w:val="bullet"/>
      <w:lvlText w:val="o"/>
      <w:lvlJc w:val="left"/>
      <w:pPr>
        <w:ind w:left="5927" w:hanging="360"/>
      </w:pPr>
      <w:rPr>
        <w:rFonts w:ascii="Courier New" w:hAnsi="Courier New" w:cs="Courier New" w:hint="default"/>
      </w:rPr>
    </w:lvl>
    <w:lvl w:ilvl="8" w:tplc="08090005" w:tentative="1">
      <w:start w:val="1"/>
      <w:numFmt w:val="bullet"/>
      <w:lvlText w:val=""/>
      <w:lvlJc w:val="left"/>
      <w:pPr>
        <w:ind w:left="6647" w:hanging="360"/>
      </w:pPr>
      <w:rPr>
        <w:rFonts w:ascii="Wingdings" w:hAnsi="Wingdings" w:hint="default"/>
      </w:rPr>
    </w:lvl>
  </w:abstractNum>
  <w:abstractNum w:abstractNumId="343" w15:restartNumberingAfterBreak="0">
    <w:nsid w:val="7FE42DCF"/>
    <w:multiLevelType w:val="hybridMultilevel"/>
    <w:tmpl w:val="1A94131A"/>
    <w:lvl w:ilvl="0" w:tplc="B34CEA1C">
      <w:start w:val="1"/>
      <w:numFmt w:val="bullet"/>
      <w:lvlText w:val=""/>
      <w:lvlJc w:val="left"/>
      <w:pPr>
        <w:ind w:left="1247" w:hanging="360"/>
      </w:pPr>
      <w:rPr>
        <w:rFonts w:ascii="Symbol" w:hAnsi="Symbol" w:hint="default"/>
        <w:sz w:val="24"/>
      </w:rPr>
    </w:lvl>
    <w:lvl w:ilvl="1" w:tplc="08090003" w:tentative="1">
      <w:start w:val="1"/>
      <w:numFmt w:val="bullet"/>
      <w:lvlText w:val="o"/>
      <w:lvlJc w:val="left"/>
      <w:pPr>
        <w:ind w:left="1967" w:hanging="360"/>
      </w:pPr>
      <w:rPr>
        <w:rFonts w:ascii="Courier New" w:hAnsi="Courier New" w:cs="Courier New" w:hint="default"/>
      </w:rPr>
    </w:lvl>
    <w:lvl w:ilvl="2" w:tplc="08090005" w:tentative="1">
      <w:start w:val="1"/>
      <w:numFmt w:val="bullet"/>
      <w:lvlText w:val=""/>
      <w:lvlJc w:val="left"/>
      <w:pPr>
        <w:ind w:left="2687" w:hanging="360"/>
      </w:pPr>
      <w:rPr>
        <w:rFonts w:ascii="Wingdings" w:hAnsi="Wingdings" w:hint="default"/>
      </w:rPr>
    </w:lvl>
    <w:lvl w:ilvl="3" w:tplc="08090001" w:tentative="1">
      <w:start w:val="1"/>
      <w:numFmt w:val="bullet"/>
      <w:lvlText w:val=""/>
      <w:lvlJc w:val="left"/>
      <w:pPr>
        <w:ind w:left="3407" w:hanging="360"/>
      </w:pPr>
      <w:rPr>
        <w:rFonts w:ascii="Symbol" w:hAnsi="Symbol" w:hint="default"/>
      </w:rPr>
    </w:lvl>
    <w:lvl w:ilvl="4" w:tplc="08090003" w:tentative="1">
      <w:start w:val="1"/>
      <w:numFmt w:val="bullet"/>
      <w:lvlText w:val="o"/>
      <w:lvlJc w:val="left"/>
      <w:pPr>
        <w:ind w:left="4127" w:hanging="360"/>
      </w:pPr>
      <w:rPr>
        <w:rFonts w:ascii="Courier New" w:hAnsi="Courier New" w:cs="Courier New" w:hint="default"/>
      </w:rPr>
    </w:lvl>
    <w:lvl w:ilvl="5" w:tplc="08090005" w:tentative="1">
      <w:start w:val="1"/>
      <w:numFmt w:val="bullet"/>
      <w:lvlText w:val=""/>
      <w:lvlJc w:val="left"/>
      <w:pPr>
        <w:ind w:left="4847" w:hanging="360"/>
      </w:pPr>
      <w:rPr>
        <w:rFonts w:ascii="Wingdings" w:hAnsi="Wingdings" w:hint="default"/>
      </w:rPr>
    </w:lvl>
    <w:lvl w:ilvl="6" w:tplc="08090001" w:tentative="1">
      <w:start w:val="1"/>
      <w:numFmt w:val="bullet"/>
      <w:lvlText w:val=""/>
      <w:lvlJc w:val="left"/>
      <w:pPr>
        <w:ind w:left="5567" w:hanging="360"/>
      </w:pPr>
      <w:rPr>
        <w:rFonts w:ascii="Symbol" w:hAnsi="Symbol" w:hint="default"/>
      </w:rPr>
    </w:lvl>
    <w:lvl w:ilvl="7" w:tplc="08090003" w:tentative="1">
      <w:start w:val="1"/>
      <w:numFmt w:val="bullet"/>
      <w:lvlText w:val="o"/>
      <w:lvlJc w:val="left"/>
      <w:pPr>
        <w:ind w:left="6287" w:hanging="360"/>
      </w:pPr>
      <w:rPr>
        <w:rFonts w:ascii="Courier New" w:hAnsi="Courier New" w:cs="Courier New" w:hint="default"/>
      </w:rPr>
    </w:lvl>
    <w:lvl w:ilvl="8" w:tplc="08090005" w:tentative="1">
      <w:start w:val="1"/>
      <w:numFmt w:val="bullet"/>
      <w:lvlText w:val=""/>
      <w:lvlJc w:val="left"/>
      <w:pPr>
        <w:ind w:left="7007" w:hanging="360"/>
      </w:pPr>
      <w:rPr>
        <w:rFonts w:ascii="Wingdings" w:hAnsi="Wingdings" w:hint="default"/>
      </w:rPr>
    </w:lvl>
  </w:abstractNum>
  <w:num w:numId="1" w16cid:durableId="1809088035">
    <w:abstractNumId w:val="159"/>
  </w:num>
  <w:num w:numId="2" w16cid:durableId="2103604579">
    <w:abstractNumId w:val="144"/>
  </w:num>
  <w:num w:numId="3" w16cid:durableId="792216499">
    <w:abstractNumId w:val="76"/>
  </w:num>
  <w:num w:numId="4" w16cid:durableId="1496607383">
    <w:abstractNumId w:val="67"/>
  </w:num>
  <w:num w:numId="5" w16cid:durableId="2081244626">
    <w:abstractNumId w:val="138"/>
  </w:num>
  <w:num w:numId="6" w16cid:durableId="1866677998">
    <w:abstractNumId w:val="190"/>
  </w:num>
  <w:num w:numId="7" w16cid:durableId="937325615">
    <w:abstractNumId w:val="210"/>
  </w:num>
  <w:num w:numId="8" w16cid:durableId="1965690618">
    <w:abstractNumId w:val="112"/>
  </w:num>
  <w:num w:numId="9" w16cid:durableId="555823414">
    <w:abstractNumId w:val="327"/>
  </w:num>
  <w:num w:numId="10" w16cid:durableId="1101070469">
    <w:abstractNumId w:val="321"/>
  </w:num>
  <w:num w:numId="11" w16cid:durableId="1174611939">
    <w:abstractNumId w:val="318"/>
  </w:num>
  <w:num w:numId="12" w16cid:durableId="451554241">
    <w:abstractNumId w:val="100"/>
  </w:num>
  <w:num w:numId="13" w16cid:durableId="1962879584">
    <w:abstractNumId w:val="188"/>
  </w:num>
  <w:num w:numId="14" w16cid:durableId="2059745740">
    <w:abstractNumId w:val="209"/>
  </w:num>
  <w:num w:numId="15" w16cid:durableId="1822380768">
    <w:abstractNumId w:val="103"/>
  </w:num>
  <w:num w:numId="16" w16cid:durableId="1498232196">
    <w:abstractNumId w:val="178"/>
  </w:num>
  <w:num w:numId="17" w16cid:durableId="1060637989">
    <w:abstractNumId w:val="137"/>
  </w:num>
  <w:num w:numId="18" w16cid:durableId="1861778607">
    <w:abstractNumId w:val="80"/>
  </w:num>
  <w:num w:numId="19" w16cid:durableId="1563560221">
    <w:abstractNumId w:val="157"/>
  </w:num>
  <w:num w:numId="20" w16cid:durableId="1965653674">
    <w:abstractNumId w:val="323"/>
  </w:num>
  <w:num w:numId="21" w16cid:durableId="550461909">
    <w:abstractNumId w:val="241"/>
  </w:num>
  <w:num w:numId="22" w16cid:durableId="154107722">
    <w:abstractNumId w:val="31"/>
  </w:num>
  <w:num w:numId="23" w16cid:durableId="181214097">
    <w:abstractNumId w:val="18"/>
  </w:num>
  <w:num w:numId="24" w16cid:durableId="48921523">
    <w:abstractNumId w:val="10"/>
  </w:num>
  <w:num w:numId="25" w16cid:durableId="854458812">
    <w:abstractNumId w:val="43"/>
  </w:num>
  <w:num w:numId="26" w16cid:durableId="1256404047">
    <w:abstractNumId w:val="51"/>
  </w:num>
  <w:num w:numId="27" w16cid:durableId="1249464544">
    <w:abstractNumId w:val="4"/>
  </w:num>
  <w:num w:numId="28" w16cid:durableId="1702514527">
    <w:abstractNumId w:val="248"/>
  </w:num>
  <w:num w:numId="29" w16cid:durableId="579600777">
    <w:abstractNumId w:val="142"/>
  </w:num>
  <w:num w:numId="30" w16cid:durableId="294454961">
    <w:abstractNumId w:val="222"/>
  </w:num>
  <w:num w:numId="31" w16cid:durableId="764770150">
    <w:abstractNumId w:val="259"/>
  </w:num>
  <w:num w:numId="32" w16cid:durableId="477962988">
    <w:abstractNumId w:val="207"/>
  </w:num>
  <w:num w:numId="33" w16cid:durableId="844058147">
    <w:abstractNumId w:val="41"/>
  </w:num>
  <w:num w:numId="34" w16cid:durableId="247622935">
    <w:abstractNumId w:val="310"/>
  </w:num>
  <w:num w:numId="35" w16cid:durableId="153765168">
    <w:abstractNumId w:val="208"/>
  </w:num>
  <w:num w:numId="36" w16cid:durableId="1242057962">
    <w:abstractNumId w:val="92"/>
  </w:num>
  <w:num w:numId="37" w16cid:durableId="1055160159">
    <w:abstractNumId w:val="257"/>
  </w:num>
  <w:num w:numId="38" w16cid:durableId="1400401542">
    <w:abstractNumId w:val="22"/>
  </w:num>
  <w:num w:numId="39" w16cid:durableId="645165457">
    <w:abstractNumId w:val="211"/>
  </w:num>
  <w:num w:numId="40" w16cid:durableId="720593865">
    <w:abstractNumId w:val="290"/>
  </w:num>
  <w:num w:numId="41" w16cid:durableId="1724013347">
    <w:abstractNumId w:val="97"/>
  </w:num>
  <w:num w:numId="42" w16cid:durableId="837112934">
    <w:abstractNumId w:val="71"/>
  </w:num>
  <w:num w:numId="43" w16cid:durableId="1132599821">
    <w:abstractNumId w:val="304"/>
  </w:num>
  <w:num w:numId="44" w16cid:durableId="677462628">
    <w:abstractNumId w:val="167"/>
  </w:num>
  <w:num w:numId="45" w16cid:durableId="404760666">
    <w:abstractNumId w:val="70"/>
  </w:num>
  <w:num w:numId="46" w16cid:durableId="79375369">
    <w:abstractNumId w:val="218"/>
  </w:num>
  <w:num w:numId="47" w16cid:durableId="508105496">
    <w:abstractNumId w:val="193"/>
  </w:num>
  <w:num w:numId="48" w16cid:durableId="304314607">
    <w:abstractNumId w:val="189"/>
  </w:num>
  <w:num w:numId="49" w16cid:durableId="441345956">
    <w:abstractNumId w:val="8"/>
  </w:num>
  <w:num w:numId="50" w16cid:durableId="175966565">
    <w:abstractNumId w:val="237"/>
  </w:num>
  <w:num w:numId="51" w16cid:durableId="1132291666">
    <w:abstractNumId w:val="220"/>
  </w:num>
  <w:num w:numId="52" w16cid:durableId="762074222">
    <w:abstractNumId w:val="72"/>
  </w:num>
  <w:num w:numId="53" w16cid:durableId="841043707">
    <w:abstractNumId w:val="108"/>
  </w:num>
  <w:num w:numId="54" w16cid:durableId="1090275825">
    <w:abstractNumId w:val="119"/>
  </w:num>
  <w:num w:numId="55" w16cid:durableId="2062750923">
    <w:abstractNumId w:val="247"/>
  </w:num>
  <w:num w:numId="56" w16cid:durableId="1638561539">
    <w:abstractNumId w:val="131"/>
  </w:num>
  <w:num w:numId="57" w16cid:durableId="368264779">
    <w:abstractNumId w:val="341"/>
  </w:num>
  <w:num w:numId="58" w16cid:durableId="394819498">
    <w:abstractNumId w:val="128"/>
  </w:num>
  <w:num w:numId="59" w16cid:durableId="1597127347">
    <w:abstractNumId w:val="249"/>
  </w:num>
  <w:num w:numId="60" w16cid:durableId="1302536947">
    <w:abstractNumId w:val="225"/>
  </w:num>
  <w:num w:numId="61" w16cid:durableId="2108844412">
    <w:abstractNumId w:val="136"/>
  </w:num>
  <w:num w:numId="62" w16cid:durableId="379011300">
    <w:abstractNumId w:val="13"/>
  </w:num>
  <w:num w:numId="63" w16cid:durableId="2089692192">
    <w:abstractNumId w:val="6"/>
  </w:num>
  <w:num w:numId="64" w16cid:durableId="1172530109">
    <w:abstractNumId w:val="339"/>
  </w:num>
  <w:num w:numId="65" w16cid:durableId="829752431">
    <w:abstractNumId w:val="328"/>
  </w:num>
  <w:num w:numId="66" w16cid:durableId="294414782">
    <w:abstractNumId w:val="205"/>
  </w:num>
  <w:num w:numId="67" w16cid:durableId="593052840">
    <w:abstractNumId w:val="101"/>
  </w:num>
  <w:num w:numId="68" w16cid:durableId="2058817851">
    <w:abstractNumId w:val="130"/>
  </w:num>
  <w:num w:numId="69" w16cid:durableId="1224482607">
    <w:abstractNumId w:val="59"/>
  </w:num>
  <w:num w:numId="70" w16cid:durableId="398410265">
    <w:abstractNumId w:val="29"/>
  </w:num>
  <w:num w:numId="71" w16cid:durableId="850337654">
    <w:abstractNumId w:val="238"/>
  </w:num>
  <w:num w:numId="72" w16cid:durableId="747581623">
    <w:abstractNumId w:val="17"/>
  </w:num>
  <w:num w:numId="73" w16cid:durableId="1877505041">
    <w:abstractNumId w:val="57"/>
  </w:num>
  <w:num w:numId="74" w16cid:durableId="180432589">
    <w:abstractNumId w:val="176"/>
  </w:num>
  <w:num w:numId="75" w16cid:durableId="1365255824">
    <w:abstractNumId w:val="25"/>
  </w:num>
  <w:num w:numId="76" w16cid:durableId="1931547397">
    <w:abstractNumId w:val="227"/>
  </w:num>
  <w:num w:numId="77" w16cid:durableId="1343125872">
    <w:abstractNumId w:val="116"/>
  </w:num>
  <w:num w:numId="78" w16cid:durableId="893010436">
    <w:abstractNumId w:val="285"/>
  </w:num>
  <w:num w:numId="79" w16cid:durableId="1200358136">
    <w:abstractNumId w:val="292"/>
  </w:num>
  <w:num w:numId="80" w16cid:durableId="469325471">
    <w:abstractNumId w:val="313"/>
  </w:num>
  <w:num w:numId="81" w16cid:durableId="1652174887">
    <w:abstractNumId w:val="320"/>
  </w:num>
  <w:num w:numId="82" w16cid:durableId="1465924622">
    <w:abstractNumId w:val="324"/>
  </w:num>
  <w:num w:numId="83" w16cid:durableId="1259605648">
    <w:abstractNumId w:val="244"/>
  </w:num>
  <w:num w:numId="84" w16cid:durableId="248123125">
    <w:abstractNumId w:val="281"/>
  </w:num>
  <w:num w:numId="85" w16cid:durableId="1243031556">
    <w:abstractNumId w:val="2"/>
  </w:num>
  <w:num w:numId="86" w16cid:durableId="1110277392">
    <w:abstractNumId w:val="87"/>
  </w:num>
  <w:num w:numId="87" w16cid:durableId="558826156">
    <w:abstractNumId w:val="172"/>
  </w:num>
  <w:num w:numId="88" w16cid:durableId="775632735">
    <w:abstractNumId w:val="150"/>
  </w:num>
  <w:num w:numId="89" w16cid:durableId="1762608114">
    <w:abstractNumId w:val="316"/>
  </w:num>
  <w:num w:numId="90" w16cid:durableId="996688942">
    <w:abstractNumId w:val="166"/>
  </w:num>
  <w:num w:numId="91" w16cid:durableId="1997103286">
    <w:abstractNumId w:val="35"/>
  </w:num>
  <w:num w:numId="92" w16cid:durableId="414471198">
    <w:abstractNumId w:val="0"/>
  </w:num>
  <w:num w:numId="93" w16cid:durableId="1286694328">
    <w:abstractNumId w:val="338"/>
  </w:num>
  <w:num w:numId="94" w16cid:durableId="1930389670">
    <w:abstractNumId w:val="73"/>
  </w:num>
  <w:num w:numId="95" w16cid:durableId="297342322">
    <w:abstractNumId w:val="33"/>
  </w:num>
  <w:num w:numId="96" w16cid:durableId="1770655607">
    <w:abstractNumId w:val="45"/>
  </w:num>
  <w:num w:numId="97" w16cid:durableId="304092567">
    <w:abstractNumId w:val="93"/>
  </w:num>
  <w:num w:numId="98" w16cid:durableId="316308291">
    <w:abstractNumId w:val="301"/>
  </w:num>
  <w:num w:numId="99" w16cid:durableId="1859613092">
    <w:abstractNumId w:val="44"/>
  </w:num>
  <w:num w:numId="100" w16cid:durableId="1733774824">
    <w:abstractNumId w:val="132"/>
  </w:num>
  <w:num w:numId="101" w16cid:durableId="615064792">
    <w:abstractNumId w:val="106"/>
  </w:num>
  <w:num w:numId="102" w16cid:durableId="293371137">
    <w:abstractNumId w:val="1"/>
  </w:num>
  <w:num w:numId="103" w16cid:durableId="1876651830">
    <w:abstractNumId w:val="63"/>
  </w:num>
  <w:num w:numId="104" w16cid:durableId="617682045">
    <w:abstractNumId w:val="115"/>
  </w:num>
  <w:num w:numId="105" w16cid:durableId="931543944">
    <w:abstractNumId w:val="52"/>
  </w:num>
  <w:num w:numId="106" w16cid:durableId="1379816675">
    <w:abstractNumId w:val="39"/>
  </w:num>
  <w:num w:numId="107" w16cid:durableId="1626084645">
    <w:abstractNumId w:val="145"/>
  </w:num>
  <w:num w:numId="108" w16cid:durableId="591012607">
    <w:abstractNumId w:val="113"/>
  </w:num>
  <w:num w:numId="109" w16cid:durableId="1857116614">
    <w:abstractNumId w:val="256"/>
  </w:num>
  <w:num w:numId="110" w16cid:durableId="84303654">
    <w:abstractNumId w:val="226"/>
  </w:num>
  <w:num w:numId="111" w16cid:durableId="79105809">
    <w:abstractNumId w:val="55"/>
  </w:num>
  <w:num w:numId="112" w16cid:durableId="1540901464">
    <w:abstractNumId w:val="270"/>
  </w:num>
  <w:num w:numId="113" w16cid:durableId="923686628">
    <w:abstractNumId w:val="122"/>
  </w:num>
  <w:num w:numId="114" w16cid:durableId="678124159">
    <w:abstractNumId w:val="34"/>
  </w:num>
  <w:num w:numId="115" w16cid:durableId="1664816622">
    <w:abstractNumId w:val="170"/>
  </w:num>
  <w:num w:numId="116" w16cid:durableId="1311445065">
    <w:abstractNumId w:val="96"/>
  </w:num>
  <w:num w:numId="117" w16cid:durableId="1687635146">
    <w:abstractNumId w:val="161"/>
  </w:num>
  <w:num w:numId="118" w16cid:durableId="1703356292">
    <w:abstractNumId w:val="118"/>
  </w:num>
  <w:num w:numId="119" w16cid:durableId="1661154877">
    <w:abstractNumId w:val="107"/>
  </w:num>
  <w:num w:numId="120" w16cid:durableId="352338616">
    <w:abstractNumId w:val="266"/>
  </w:num>
  <w:num w:numId="121" w16cid:durableId="1196389921">
    <w:abstractNumId w:val="298"/>
  </w:num>
  <w:num w:numId="122" w16cid:durableId="2015574251">
    <w:abstractNumId w:val="56"/>
  </w:num>
  <w:num w:numId="123" w16cid:durableId="1344282141">
    <w:abstractNumId w:val="177"/>
  </w:num>
  <w:num w:numId="124" w16cid:durableId="863249039">
    <w:abstractNumId w:val="175"/>
  </w:num>
  <w:num w:numId="125" w16cid:durableId="1995595951">
    <w:abstractNumId w:val="181"/>
  </w:num>
  <w:num w:numId="126" w16cid:durableId="749892870">
    <w:abstractNumId w:val="206"/>
  </w:num>
  <w:num w:numId="127" w16cid:durableId="1872377300">
    <w:abstractNumId w:val="77"/>
  </w:num>
  <w:num w:numId="128" w16cid:durableId="2120877958">
    <w:abstractNumId w:val="326"/>
  </w:num>
  <w:num w:numId="129" w16cid:durableId="46758682">
    <w:abstractNumId w:val="95"/>
  </w:num>
  <w:num w:numId="130" w16cid:durableId="460460087">
    <w:abstractNumId w:val="287"/>
  </w:num>
  <w:num w:numId="131" w16cid:durableId="2016960902">
    <w:abstractNumId w:val="24"/>
  </w:num>
  <w:num w:numId="132" w16cid:durableId="2007442529">
    <w:abstractNumId w:val="183"/>
  </w:num>
  <w:num w:numId="133" w16cid:durableId="2043360297">
    <w:abstractNumId w:val="253"/>
  </w:num>
  <w:num w:numId="134" w16cid:durableId="1052728421">
    <w:abstractNumId w:val="274"/>
  </w:num>
  <w:num w:numId="135" w16cid:durableId="400565603">
    <w:abstractNumId w:val="250"/>
  </w:num>
  <w:num w:numId="136" w16cid:durableId="1046953551">
    <w:abstractNumId w:val="269"/>
  </w:num>
  <w:num w:numId="137" w16cid:durableId="1677267549">
    <w:abstractNumId w:val="120"/>
  </w:num>
  <w:num w:numId="138" w16cid:durableId="1483160932">
    <w:abstractNumId w:val="61"/>
  </w:num>
  <w:num w:numId="139" w16cid:durableId="1579903377">
    <w:abstractNumId w:val="331"/>
  </w:num>
  <w:num w:numId="140" w16cid:durableId="134027567">
    <w:abstractNumId w:val="201"/>
  </w:num>
  <w:num w:numId="141" w16cid:durableId="592007906">
    <w:abstractNumId w:val="314"/>
  </w:num>
  <w:num w:numId="142" w16cid:durableId="1409234661">
    <w:abstractNumId w:val="307"/>
  </w:num>
  <w:num w:numId="143" w16cid:durableId="2139949415">
    <w:abstractNumId w:val="293"/>
  </w:num>
  <w:num w:numId="144" w16cid:durableId="1612593264">
    <w:abstractNumId w:val="69"/>
  </w:num>
  <w:num w:numId="145" w16cid:durableId="889077486">
    <w:abstractNumId w:val="158"/>
  </w:num>
  <w:num w:numId="146" w16cid:durableId="1212962599">
    <w:abstractNumId w:val="82"/>
  </w:num>
  <w:num w:numId="147" w16cid:durableId="1075586335">
    <w:abstractNumId w:val="46"/>
  </w:num>
  <w:num w:numId="148" w16cid:durableId="1851482409">
    <w:abstractNumId w:val="66"/>
  </w:num>
  <w:num w:numId="149" w16cid:durableId="47265152">
    <w:abstractNumId w:val="140"/>
  </w:num>
  <w:num w:numId="150" w16cid:durableId="1861624221">
    <w:abstractNumId w:val="68"/>
  </w:num>
  <w:num w:numId="151" w16cid:durableId="1111708151">
    <w:abstractNumId w:val="147"/>
  </w:num>
  <w:num w:numId="152" w16cid:durableId="551041301">
    <w:abstractNumId w:val="273"/>
  </w:num>
  <w:num w:numId="153" w16cid:durableId="1596790818">
    <w:abstractNumId w:val="302"/>
  </w:num>
  <w:num w:numId="154" w16cid:durableId="1003166430">
    <w:abstractNumId w:val="232"/>
  </w:num>
  <w:num w:numId="155" w16cid:durableId="1976443435">
    <w:abstractNumId w:val="168"/>
  </w:num>
  <w:num w:numId="156" w16cid:durableId="1861627544">
    <w:abstractNumId w:val="32"/>
  </w:num>
  <w:num w:numId="157" w16cid:durableId="472797688">
    <w:abstractNumId w:val="117"/>
  </w:num>
  <w:num w:numId="158" w16cid:durableId="713235546">
    <w:abstractNumId w:val="53"/>
  </w:num>
  <w:num w:numId="159" w16cid:durableId="1801415019">
    <w:abstractNumId w:val="283"/>
  </w:num>
  <w:num w:numId="160" w16cid:durableId="1367219121">
    <w:abstractNumId w:val="329"/>
  </w:num>
  <w:num w:numId="161" w16cid:durableId="419331754">
    <w:abstractNumId w:val="9"/>
  </w:num>
  <w:num w:numId="162" w16cid:durableId="1795904520">
    <w:abstractNumId w:val="21"/>
  </w:num>
  <w:num w:numId="163" w16cid:durableId="965742567">
    <w:abstractNumId w:val="277"/>
  </w:num>
  <w:num w:numId="164" w16cid:durableId="1203247779">
    <w:abstractNumId w:val="288"/>
  </w:num>
  <w:num w:numId="165" w16cid:durableId="220989684">
    <w:abstractNumId w:val="7"/>
  </w:num>
  <w:num w:numId="166" w16cid:durableId="1754935267">
    <w:abstractNumId w:val="214"/>
  </w:num>
  <w:num w:numId="167" w16cid:durableId="1565991426">
    <w:abstractNumId w:val="185"/>
  </w:num>
  <w:num w:numId="168" w16cid:durableId="437605026">
    <w:abstractNumId w:val="135"/>
  </w:num>
  <w:num w:numId="169" w16cid:durableId="473840341">
    <w:abstractNumId w:val="340"/>
  </w:num>
  <w:num w:numId="170" w16cid:durableId="1717194435">
    <w:abstractNumId w:val="38"/>
  </w:num>
  <w:num w:numId="171" w16cid:durableId="1826123488">
    <w:abstractNumId w:val="200"/>
  </w:num>
  <w:num w:numId="172" w16cid:durableId="599802872">
    <w:abstractNumId w:val="279"/>
  </w:num>
  <w:num w:numId="173" w16cid:durableId="1466968882">
    <w:abstractNumId w:val="306"/>
  </w:num>
  <w:num w:numId="174" w16cid:durableId="768427706">
    <w:abstractNumId w:val="271"/>
  </w:num>
  <w:num w:numId="175" w16cid:durableId="60561829">
    <w:abstractNumId w:val="90"/>
  </w:num>
  <w:num w:numId="176" w16cid:durableId="93595579">
    <w:abstractNumId w:val="149"/>
  </w:num>
  <w:num w:numId="177" w16cid:durableId="2102870592">
    <w:abstractNumId w:val="267"/>
  </w:num>
  <w:num w:numId="178" w16cid:durableId="335574832">
    <w:abstractNumId w:val="242"/>
  </w:num>
  <w:num w:numId="179" w16cid:durableId="262343181">
    <w:abstractNumId w:val="133"/>
  </w:num>
  <w:num w:numId="180" w16cid:durableId="1432625784">
    <w:abstractNumId w:val="198"/>
  </w:num>
  <w:num w:numId="181" w16cid:durableId="1804881121">
    <w:abstractNumId w:val="179"/>
  </w:num>
  <w:num w:numId="182" w16cid:durableId="650213802">
    <w:abstractNumId w:val="213"/>
  </w:num>
  <w:num w:numId="183" w16cid:durableId="2073770203">
    <w:abstractNumId w:val="317"/>
  </w:num>
  <w:num w:numId="184" w16cid:durableId="1633052657">
    <w:abstractNumId w:val="12"/>
  </w:num>
  <w:num w:numId="185" w16cid:durableId="2118483342">
    <w:abstractNumId w:val="295"/>
  </w:num>
  <w:num w:numId="186" w16cid:durableId="2087267370">
    <w:abstractNumId w:val="88"/>
  </w:num>
  <w:num w:numId="187" w16cid:durableId="1878275584">
    <w:abstractNumId w:val="233"/>
  </w:num>
  <w:num w:numId="188" w16cid:durableId="715811125">
    <w:abstractNumId w:val="333"/>
  </w:num>
  <w:num w:numId="189" w16cid:durableId="1847863216">
    <w:abstractNumId w:val="260"/>
  </w:num>
  <w:num w:numId="190" w16cid:durableId="1939870312">
    <w:abstractNumId w:val="322"/>
  </w:num>
  <w:num w:numId="191" w16cid:durableId="1003438198">
    <w:abstractNumId w:val="19"/>
  </w:num>
  <w:num w:numId="192" w16cid:durableId="1459958478">
    <w:abstractNumId w:val="48"/>
  </w:num>
  <w:num w:numId="193" w16cid:durableId="525682777">
    <w:abstractNumId w:val="231"/>
  </w:num>
  <w:num w:numId="194" w16cid:durableId="1215854844">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5" w16cid:durableId="1114517549">
    <w:abstractNumId w:val="212"/>
  </w:num>
  <w:num w:numId="196" w16cid:durableId="99224056">
    <w:abstractNumId w:val="121"/>
  </w:num>
  <w:num w:numId="197" w16cid:durableId="143007706">
    <w:abstractNumId w:val="50"/>
  </w:num>
  <w:num w:numId="198" w16cid:durableId="358165339">
    <w:abstractNumId w:val="42"/>
  </w:num>
  <w:num w:numId="199" w16cid:durableId="310791003">
    <w:abstractNumId w:val="335"/>
  </w:num>
  <w:num w:numId="200" w16cid:durableId="13966756">
    <w:abstractNumId w:val="127"/>
  </w:num>
  <w:num w:numId="201" w16cid:durableId="1905870476">
    <w:abstractNumId w:val="343"/>
  </w:num>
  <w:num w:numId="202" w16cid:durableId="1824932830">
    <w:abstractNumId w:val="151"/>
  </w:num>
  <w:num w:numId="203" w16cid:durableId="1556621777">
    <w:abstractNumId w:val="162"/>
  </w:num>
  <w:num w:numId="204" w16cid:durableId="1617057026">
    <w:abstractNumId w:val="23"/>
  </w:num>
  <w:num w:numId="205" w16cid:durableId="1244876175">
    <w:abstractNumId w:val="186"/>
  </w:num>
  <w:num w:numId="206" w16cid:durableId="1418289706">
    <w:abstractNumId w:val="217"/>
  </w:num>
  <w:num w:numId="207" w16cid:durableId="733816908">
    <w:abstractNumId w:val="299"/>
  </w:num>
  <w:num w:numId="208" w16cid:durableId="887885930">
    <w:abstractNumId w:val="173"/>
  </w:num>
  <w:num w:numId="209" w16cid:durableId="831332855">
    <w:abstractNumId w:val="155"/>
  </w:num>
  <w:num w:numId="210" w16cid:durableId="722366398">
    <w:abstractNumId w:val="89"/>
  </w:num>
  <w:num w:numId="211" w16cid:durableId="1861625438">
    <w:abstractNumId w:val="342"/>
  </w:num>
  <w:num w:numId="212" w16cid:durableId="248471525">
    <w:abstractNumId w:val="169"/>
  </w:num>
  <w:num w:numId="213" w16cid:durableId="1332172395">
    <w:abstractNumId w:val="251"/>
  </w:num>
  <w:num w:numId="214" w16cid:durableId="2070109053">
    <w:abstractNumId w:val="197"/>
  </w:num>
  <w:num w:numId="215" w16cid:durableId="2010059505">
    <w:abstractNumId w:val="196"/>
  </w:num>
  <w:num w:numId="216" w16cid:durableId="1964343029">
    <w:abstractNumId w:val="1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7" w16cid:durableId="543294200">
    <w:abstractNumId w:val="29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8" w16cid:durableId="1508445374">
    <w:abstractNumId w:val="75"/>
  </w:num>
  <w:num w:numId="219" w16cid:durableId="151599291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0" w16cid:durableId="1660574459">
    <w:abstractNumId w:val="141"/>
  </w:num>
  <w:num w:numId="221" w16cid:durableId="805437673">
    <w:abstractNumId w:val="16"/>
  </w:num>
  <w:num w:numId="222" w16cid:durableId="22823558">
    <w:abstractNumId w:val="91"/>
  </w:num>
  <w:num w:numId="223" w16cid:durableId="1403328684">
    <w:abstractNumId w:val="337"/>
  </w:num>
  <w:num w:numId="224" w16cid:durableId="1952518489">
    <w:abstractNumId w:val="215"/>
  </w:num>
  <w:num w:numId="225" w16cid:durableId="1303315441">
    <w:abstractNumId w:val="105"/>
  </w:num>
  <w:num w:numId="226" w16cid:durableId="696546898">
    <w:abstractNumId w:val="203"/>
  </w:num>
  <w:num w:numId="227" w16cid:durableId="896479037">
    <w:abstractNumId w:val="202"/>
  </w:num>
  <w:num w:numId="228" w16cid:durableId="1648515445">
    <w:abstractNumId w:val="239"/>
  </w:num>
  <w:num w:numId="229" w16cid:durableId="176819874">
    <w:abstractNumId w:val="102"/>
  </w:num>
  <w:num w:numId="230" w16cid:durableId="1519002142">
    <w:abstractNumId w:val="219"/>
  </w:num>
  <w:num w:numId="231" w16cid:durableId="29842772">
    <w:abstractNumId w:val="254"/>
  </w:num>
  <w:num w:numId="232" w16cid:durableId="132524889">
    <w:abstractNumId w:val="303"/>
  </w:num>
  <w:num w:numId="233" w16cid:durableId="1505634247">
    <w:abstractNumId w:val="300"/>
  </w:num>
  <w:num w:numId="234" w16cid:durableId="99297056">
    <w:abstractNumId w:val="156"/>
  </w:num>
  <w:num w:numId="235" w16cid:durableId="1918242328">
    <w:abstractNumId w:val="143"/>
  </w:num>
  <w:num w:numId="236" w16cid:durableId="1591432156">
    <w:abstractNumId w:val="276"/>
  </w:num>
  <w:num w:numId="237" w16cid:durableId="683938414">
    <w:abstractNumId w:val="332"/>
  </w:num>
  <w:num w:numId="238" w16cid:durableId="1386370655">
    <w:abstractNumId w:val="74"/>
  </w:num>
  <w:num w:numId="239" w16cid:durableId="1454442251">
    <w:abstractNumId w:val="125"/>
  </w:num>
  <w:num w:numId="240" w16cid:durableId="1602760304">
    <w:abstractNumId w:val="36"/>
  </w:num>
  <w:num w:numId="241" w16cid:durableId="127404961">
    <w:abstractNumId w:val="280"/>
  </w:num>
  <w:num w:numId="242" w16cid:durableId="1047535671">
    <w:abstractNumId w:val="174"/>
  </w:num>
  <w:num w:numId="243" w16cid:durableId="1644501507">
    <w:abstractNumId w:val="195"/>
  </w:num>
  <w:num w:numId="244" w16cid:durableId="36703711">
    <w:abstractNumId w:val="146"/>
  </w:num>
  <w:num w:numId="245" w16cid:durableId="710155418">
    <w:abstractNumId w:val="64"/>
  </w:num>
  <w:num w:numId="246" w16cid:durableId="1077090533">
    <w:abstractNumId w:val="85"/>
  </w:num>
  <w:num w:numId="247" w16cid:durableId="1311011718">
    <w:abstractNumId w:val="309"/>
  </w:num>
  <w:num w:numId="248" w16cid:durableId="1579709773">
    <w:abstractNumId w:val="123"/>
  </w:num>
  <w:num w:numId="249" w16cid:durableId="1238858777">
    <w:abstractNumId w:val="49"/>
  </w:num>
  <w:num w:numId="250" w16cid:durableId="1668442754">
    <w:abstractNumId w:val="223"/>
  </w:num>
  <w:num w:numId="251" w16cid:durableId="1939485284">
    <w:abstractNumId w:val="262"/>
  </w:num>
  <w:num w:numId="252" w16cid:durableId="952057312">
    <w:abstractNumId w:val="129"/>
  </w:num>
  <w:num w:numId="253" w16cid:durableId="430200467">
    <w:abstractNumId w:val="3"/>
  </w:num>
  <w:num w:numId="254" w16cid:durableId="1762066723">
    <w:abstractNumId w:val="252"/>
  </w:num>
  <w:num w:numId="255" w16cid:durableId="1152060051">
    <w:abstractNumId w:val="111"/>
  </w:num>
  <w:num w:numId="256" w16cid:durableId="962468726">
    <w:abstractNumId w:val="15"/>
  </w:num>
  <w:num w:numId="257" w16cid:durableId="1360156151">
    <w:abstractNumId w:val="184"/>
  </w:num>
  <w:num w:numId="258" w16cid:durableId="1032993771">
    <w:abstractNumId w:val="114"/>
  </w:num>
  <w:num w:numId="259" w16cid:durableId="396365606">
    <w:abstractNumId w:val="294"/>
  </w:num>
  <w:num w:numId="260" w16cid:durableId="796534382">
    <w:abstractNumId w:val="194"/>
  </w:num>
  <w:num w:numId="261" w16cid:durableId="1993681703">
    <w:abstractNumId w:val="199"/>
  </w:num>
  <w:num w:numId="262" w16cid:durableId="498470240">
    <w:abstractNumId w:val="154"/>
  </w:num>
  <w:num w:numId="263" w16cid:durableId="1164122697">
    <w:abstractNumId w:val="268"/>
  </w:num>
  <w:num w:numId="264" w16cid:durableId="2082628937">
    <w:abstractNumId w:val="65"/>
  </w:num>
  <w:num w:numId="265" w16cid:durableId="907420781">
    <w:abstractNumId w:val="275"/>
  </w:num>
  <w:num w:numId="266" w16cid:durableId="204873240">
    <w:abstractNumId w:val="315"/>
  </w:num>
  <w:num w:numId="267" w16cid:durableId="1099594683">
    <w:abstractNumId w:val="60"/>
  </w:num>
  <w:num w:numId="268" w16cid:durableId="1288269925">
    <w:abstractNumId w:val="28"/>
  </w:num>
  <w:num w:numId="269" w16cid:durableId="700667892">
    <w:abstractNumId w:val="191"/>
  </w:num>
  <w:num w:numId="270" w16cid:durableId="1486311793">
    <w:abstractNumId w:val="14"/>
  </w:num>
  <w:num w:numId="271" w16cid:durableId="863056131">
    <w:abstractNumId w:val="284"/>
  </w:num>
  <w:num w:numId="272" w16cid:durableId="12801549">
    <w:abstractNumId w:val="99"/>
  </w:num>
  <w:num w:numId="273" w16cid:durableId="1756778894">
    <w:abstractNumId w:val="134"/>
  </w:num>
  <w:num w:numId="274" w16cid:durableId="806169381">
    <w:abstractNumId w:val="163"/>
  </w:num>
  <w:num w:numId="275" w16cid:durableId="150367509">
    <w:abstractNumId w:val="54"/>
  </w:num>
  <w:num w:numId="276" w16cid:durableId="1237788097">
    <w:abstractNumId w:val="278"/>
  </w:num>
  <w:num w:numId="277" w16cid:durableId="382101806">
    <w:abstractNumId w:val="230"/>
  </w:num>
  <w:num w:numId="278" w16cid:durableId="128057394">
    <w:abstractNumId w:val="164"/>
  </w:num>
  <w:num w:numId="279" w16cid:durableId="48768886">
    <w:abstractNumId w:val="180"/>
  </w:num>
  <w:num w:numId="280" w16cid:durableId="1944216818">
    <w:abstractNumId w:val="30"/>
  </w:num>
  <w:num w:numId="281" w16cid:durableId="1275361291">
    <w:abstractNumId w:val="289"/>
  </w:num>
  <w:num w:numId="282" w16cid:durableId="1834369006">
    <w:abstractNumId w:val="264"/>
  </w:num>
  <w:num w:numId="283" w16cid:durableId="172766010">
    <w:abstractNumId w:val="216"/>
  </w:num>
  <w:num w:numId="284" w16cid:durableId="143011924">
    <w:abstractNumId w:val="325"/>
  </w:num>
  <w:num w:numId="285" w16cid:durableId="1268928596">
    <w:abstractNumId w:val="126"/>
  </w:num>
  <w:num w:numId="286" w16cid:durableId="1800107912">
    <w:abstractNumId w:val="319"/>
  </w:num>
  <w:num w:numId="287" w16cid:durableId="228613010">
    <w:abstractNumId w:val="124"/>
  </w:num>
  <w:num w:numId="288" w16cid:durableId="978653948">
    <w:abstractNumId w:val="272"/>
  </w:num>
  <w:num w:numId="289" w16cid:durableId="682515266">
    <w:abstractNumId w:val="240"/>
  </w:num>
  <w:num w:numId="290" w16cid:durableId="1234580790">
    <w:abstractNumId w:val="171"/>
  </w:num>
  <w:num w:numId="291" w16cid:durableId="1541937211">
    <w:abstractNumId w:val="40"/>
  </w:num>
  <w:num w:numId="292" w16cid:durableId="1589928552">
    <w:abstractNumId w:val="330"/>
  </w:num>
  <w:num w:numId="293" w16cid:durableId="1086267147">
    <w:abstractNumId w:val="228"/>
  </w:num>
  <w:num w:numId="294" w16cid:durableId="833689502">
    <w:abstractNumId w:val="81"/>
  </w:num>
  <w:num w:numId="295" w16cid:durableId="1516268613">
    <w:abstractNumId w:val="62"/>
  </w:num>
  <w:num w:numId="296" w16cid:durableId="539783139">
    <w:abstractNumId w:val="165"/>
  </w:num>
  <w:num w:numId="297" w16cid:durableId="1146438068">
    <w:abstractNumId w:val="297"/>
  </w:num>
  <w:num w:numId="298" w16cid:durableId="588344682">
    <w:abstractNumId w:val="27"/>
  </w:num>
  <w:num w:numId="299" w16cid:durableId="331031763">
    <w:abstractNumId w:val="78"/>
  </w:num>
  <w:num w:numId="300" w16cid:durableId="1665664228">
    <w:abstractNumId w:val="311"/>
  </w:num>
  <w:num w:numId="301" w16cid:durableId="787704714">
    <w:abstractNumId w:val="263"/>
  </w:num>
  <w:num w:numId="302" w16cid:durableId="1858234758">
    <w:abstractNumId w:val="160"/>
  </w:num>
  <w:num w:numId="303" w16cid:durableId="587424144">
    <w:abstractNumId w:val="187"/>
  </w:num>
  <w:num w:numId="304" w16cid:durableId="436752886">
    <w:abstractNumId w:val="148"/>
  </w:num>
  <w:num w:numId="305" w16cid:durableId="5447081">
    <w:abstractNumId w:val="334"/>
  </w:num>
  <w:num w:numId="306" w16cid:durableId="1059666120">
    <w:abstractNumId w:val="84"/>
  </w:num>
  <w:num w:numId="307" w16cid:durableId="1128741302">
    <w:abstractNumId w:val="152"/>
  </w:num>
  <w:num w:numId="308" w16cid:durableId="1746759411">
    <w:abstractNumId w:val="258"/>
  </w:num>
  <w:num w:numId="309" w16cid:durableId="650063455">
    <w:abstractNumId w:val="305"/>
  </w:num>
  <w:num w:numId="310" w16cid:durableId="1795321756">
    <w:abstractNumId w:val="204"/>
  </w:num>
  <w:num w:numId="311" w16cid:durableId="43023503">
    <w:abstractNumId w:val="224"/>
  </w:num>
  <w:num w:numId="312" w16cid:durableId="1643657724">
    <w:abstractNumId w:val="336"/>
  </w:num>
  <w:num w:numId="313" w16cid:durableId="1866751812">
    <w:abstractNumId w:val="104"/>
  </w:num>
  <w:num w:numId="314" w16cid:durableId="1058284095">
    <w:abstractNumId w:val="246"/>
  </w:num>
  <w:num w:numId="315" w16cid:durableId="1764915122">
    <w:abstractNumId w:val="139"/>
  </w:num>
  <w:num w:numId="316" w16cid:durableId="786000904">
    <w:abstractNumId w:val="79"/>
  </w:num>
  <w:num w:numId="317" w16cid:durableId="1439257749">
    <w:abstractNumId w:val="98"/>
  </w:num>
  <w:num w:numId="318" w16cid:durableId="225917167">
    <w:abstractNumId w:val="243"/>
  </w:num>
  <w:num w:numId="319" w16cid:durableId="2065255278">
    <w:abstractNumId w:val="58"/>
  </w:num>
  <w:num w:numId="320" w16cid:durableId="1904757677">
    <w:abstractNumId w:val="282"/>
  </w:num>
  <w:num w:numId="321" w16cid:durableId="1277912239">
    <w:abstractNumId w:val="221"/>
  </w:num>
  <w:num w:numId="322" w16cid:durableId="1824663489">
    <w:abstractNumId w:val="192"/>
  </w:num>
  <w:num w:numId="323" w16cid:durableId="873611683">
    <w:abstractNumId w:val="236"/>
  </w:num>
  <w:num w:numId="324" w16cid:durableId="1467356008">
    <w:abstractNumId w:val="109"/>
  </w:num>
  <w:num w:numId="325" w16cid:durableId="332225757">
    <w:abstractNumId w:val="245"/>
  </w:num>
  <w:num w:numId="326" w16cid:durableId="1260138665">
    <w:abstractNumId w:val="47"/>
  </w:num>
  <w:num w:numId="327" w16cid:durableId="674192996">
    <w:abstractNumId w:val="255"/>
  </w:num>
  <w:num w:numId="328" w16cid:durableId="82920778">
    <w:abstractNumId w:val="229"/>
  </w:num>
  <w:num w:numId="329" w16cid:durableId="861935015">
    <w:abstractNumId w:val="291"/>
  </w:num>
  <w:num w:numId="330" w16cid:durableId="1962608757">
    <w:abstractNumId w:val="94"/>
  </w:num>
  <w:num w:numId="331" w16cid:durableId="1886138119">
    <w:abstractNumId w:val="234"/>
  </w:num>
  <w:num w:numId="332" w16cid:durableId="379328773">
    <w:abstractNumId w:val="37"/>
  </w:num>
  <w:num w:numId="333" w16cid:durableId="1815248452">
    <w:abstractNumId w:val="5"/>
  </w:num>
  <w:num w:numId="334" w16cid:durableId="1050181555">
    <w:abstractNumId w:val="286"/>
  </w:num>
  <w:num w:numId="335" w16cid:durableId="678123174">
    <w:abstractNumId w:val="261"/>
  </w:num>
  <w:num w:numId="336" w16cid:durableId="246429068">
    <w:abstractNumId w:val="308"/>
  </w:num>
  <w:num w:numId="337" w16cid:durableId="1309166208">
    <w:abstractNumId w:val="265"/>
  </w:num>
  <w:num w:numId="338" w16cid:durableId="725222307">
    <w:abstractNumId w:val="86"/>
  </w:num>
  <w:num w:numId="339" w16cid:durableId="1826163379">
    <w:abstractNumId w:val="110"/>
  </w:num>
  <w:num w:numId="340" w16cid:durableId="1291282302">
    <w:abstractNumId w:val="153"/>
  </w:num>
  <w:num w:numId="341" w16cid:durableId="135879681">
    <w:abstractNumId w:val="235"/>
  </w:num>
  <w:num w:numId="342" w16cid:durableId="463471355">
    <w:abstractNumId w:val="312"/>
  </w:num>
  <w:num w:numId="343" w16cid:durableId="414403308">
    <w:abstractNumId w:val="26"/>
  </w:num>
  <w:num w:numId="344" w16cid:durableId="1848447210">
    <w:abstractNumId w:val="11"/>
  </w:num>
  <w:numIdMacAtCleanup w:val="3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0837"/>
    <w:rsid w:val="000005E9"/>
    <w:rsid w:val="00001313"/>
    <w:rsid w:val="000026DA"/>
    <w:rsid w:val="000032A9"/>
    <w:rsid w:val="000032B0"/>
    <w:rsid w:val="0000339F"/>
    <w:rsid w:val="00003B89"/>
    <w:rsid w:val="00004C49"/>
    <w:rsid w:val="00005C63"/>
    <w:rsid w:val="000071FC"/>
    <w:rsid w:val="00007328"/>
    <w:rsid w:val="00007935"/>
    <w:rsid w:val="00007D90"/>
    <w:rsid w:val="00007FDF"/>
    <w:rsid w:val="000109CC"/>
    <w:rsid w:val="00010C3D"/>
    <w:rsid w:val="00011A21"/>
    <w:rsid w:val="00012319"/>
    <w:rsid w:val="000123C3"/>
    <w:rsid w:val="000123E5"/>
    <w:rsid w:val="00012862"/>
    <w:rsid w:val="000128EA"/>
    <w:rsid w:val="00012C05"/>
    <w:rsid w:val="00014427"/>
    <w:rsid w:val="00014EF9"/>
    <w:rsid w:val="00015419"/>
    <w:rsid w:val="00015E51"/>
    <w:rsid w:val="00016592"/>
    <w:rsid w:val="00016D24"/>
    <w:rsid w:val="00017F77"/>
    <w:rsid w:val="00020F6E"/>
    <w:rsid w:val="00021F6A"/>
    <w:rsid w:val="00022AAD"/>
    <w:rsid w:val="00022BF0"/>
    <w:rsid w:val="00023DC3"/>
    <w:rsid w:val="00023ED8"/>
    <w:rsid w:val="0002416B"/>
    <w:rsid w:val="0002420A"/>
    <w:rsid w:val="00024856"/>
    <w:rsid w:val="00024CB3"/>
    <w:rsid w:val="000255E1"/>
    <w:rsid w:val="0002609D"/>
    <w:rsid w:val="00026F5A"/>
    <w:rsid w:val="000275CC"/>
    <w:rsid w:val="00027BA6"/>
    <w:rsid w:val="00030BC8"/>
    <w:rsid w:val="00030D3A"/>
    <w:rsid w:val="00031087"/>
    <w:rsid w:val="0003129D"/>
    <w:rsid w:val="00033102"/>
    <w:rsid w:val="00033930"/>
    <w:rsid w:val="000339D2"/>
    <w:rsid w:val="00033FDC"/>
    <w:rsid w:val="00033FE0"/>
    <w:rsid w:val="00034E6A"/>
    <w:rsid w:val="000350D9"/>
    <w:rsid w:val="000361B7"/>
    <w:rsid w:val="00036685"/>
    <w:rsid w:val="0003677A"/>
    <w:rsid w:val="000367CE"/>
    <w:rsid w:val="0003711C"/>
    <w:rsid w:val="000375BB"/>
    <w:rsid w:val="00037754"/>
    <w:rsid w:val="00037B2E"/>
    <w:rsid w:val="00037B3E"/>
    <w:rsid w:val="00037BA4"/>
    <w:rsid w:val="0004003D"/>
    <w:rsid w:val="00040103"/>
    <w:rsid w:val="0004042E"/>
    <w:rsid w:val="00040A23"/>
    <w:rsid w:val="000411E8"/>
    <w:rsid w:val="00041502"/>
    <w:rsid w:val="000420A1"/>
    <w:rsid w:val="00042AAB"/>
    <w:rsid w:val="00042D67"/>
    <w:rsid w:val="00045A5E"/>
    <w:rsid w:val="0004606E"/>
    <w:rsid w:val="000465DE"/>
    <w:rsid w:val="0004665C"/>
    <w:rsid w:val="00046A27"/>
    <w:rsid w:val="000471A5"/>
    <w:rsid w:val="00051133"/>
    <w:rsid w:val="0005284D"/>
    <w:rsid w:val="00052A69"/>
    <w:rsid w:val="000540B6"/>
    <w:rsid w:val="00054236"/>
    <w:rsid w:val="000543F3"/>
    <w:rsid w:val="00056872"/>
    <w:rsid w:val="00056A42"/>
    <w:rsid w:val="00057C58"/>
    <w:rsid w:val="00060090"/>
    <w:rsid w:val="00060199"/>
    <w:rsid w:val="000606B4"/>
    <w:rsid w:val="000607E8"/>
    <w:rsid w:val="00061D05"/>
    <w:rsid w:val="00061E53"/>
    <w:rsid w:val="000620E0"/>
    <w:rsid w:val="00062AA2"/>
    <w:rsid w:val="00063B08"/>
    <w:rsid w:val="00063F53"/>
    <w:rsid w:val="00064C03"/>
    <w:rsid w:val="00064C82"/>
    <w:rsid w:val="00065083"/>
    <w:rsid w:val="000662E0"/>
    <w:rsid w:val="000663FF"/>
    <w:rsid w:val="00067202"/>
    <w:rsid w:val="00067782"/>
    <w:rsid w:val="00067832"/>
    <w:rsid w:val="00070A9C"/>
    <w:rsid w:val="000714E7"/>
    <w:rsid w:val="000716EF"/>
    <w:rsid w:val="00071C70"/>
    <w:rsid w:val="0007216F"/>
    <w:rsid w:val="000735F1"/>
    <w:rsid w:val="0007484B"/>
    <w:rsid w:val="000749A5"/>
    <w:rsid w:val="00074C15"/>
    <w:rsid w:val="00075861"/>
    <w:rsid w:val="000758D1"/>
    <w:rsid w:val="000759B0"/>
    <w:rsid w:val="00076A3B"/>
    <w:rsid w:val="00077560"/>
    <w:rsid w:val="000800D4"/>
    <w:rsid w:val="000808D9"/>
    <w:rsid w:val="000811B0"/>
    <w:rsid w:val="00081237"/>
    <w:rsid w:val="000812E9"/>
    <w:rsid w:val="00081DDC"/>
    <w:rsid w:val="00081EAE"/>
    <w:rsid w:val="00082366"/>
    <w:rsid w:val="00082ECE"/>
    <w:rsid w:val="00083228"/>
    <w:rsid w:val="00083320"/>
    <w:rsid w:val="0008340A"/>
    <w:rsid w:val="0008379F"/>
    <w:rsid w:val="00083EF7"/>
    <w:rsid w:val="00084362"/>
    <w:rsid w:val="00084ABA"/>
    <w:rsid w:val="00084E15"/>
    <w:rsid w:val="000852BF"/>
    <w:rsid w:val="00085A0E"/>
    <w:rsid w:val="0008607A"/>
    <w:rsid w:val="00086C68"/>
    <w:rsid w:val="00087361"/>
    <w:rsid w:val="00087474"/>
    <w:rsid w:val="00090543"/>
    <w:rsid w:val="000905C1"/>
    <w:rsid w:val="00090A96"/>
    <w:rsid w:val="00091F56"/>
    <w:rsid w:val="0009371E"/>
    <w:rsid w:val="00093B4D"/>
    <w:rsid w:val="00094886"/>
    <w:rsid w:val="000948F6"/>
    <w:rsid w:val="00094CAD"/>
    <w:rsid w:val="00095701"/>
    <w:rsid w:val="00095F11"/>
    <w:rsid w:val="0009644F"/>
    <w:rsid w:val="00096475"/>
    <w:rsid w:val="0009753C"/>
    <w:rsid w:val="00097E77"/>
    <w:rsid w:val="000A01C2"/>
    <w:rsid w:val="000A069B"/>
    <w:rsid w:val="000A0BB9"/>
    <w:rsid w:val="000A144B"/>
    <w:rsid w:val="000A1A0B"/>
    <w:rsid w:val="000A2179"/>
    <w:rsid w:val="000A31CA"/>
    <w:rsid w:val="000A515A"/>
    <w:rsid w:val="000A56D0"/>
    <w:rsid w:val="000A56D7"/>
    <w:rsid w:val="000A58C8"/>
    <w:rsid w:val="000A5EE8"/>
    <w:rsid w:val="000A617B"/>
    <w:rsid w:val="000B01B9"/>
    <w:rsid w:val="000B0235"/>
    <w:rsid w:val="000B025E"/>
    <w:rsid w:val="000B0D2F"/>
    <w:rsid w:val="000B2137"/>
    <w:rsid w:val="000B2E05"/>
    <w:rsid w:val="000B31B8"/>
    <w:rsid w:val="000B31F9"/>
    <w:rsid w:val="000B3D9D"/>
    <w:rsid w:val="000B4F46"/>
    <w:rsid w:val="000B507F"/>
    <w:rsid w:val="000B5BF8"/>
    <w:rsid w:val="000B65F0"/>
    <w:rsid w:val="000B6AA8"/>
    <w:rsid w:val="000B701C"/>
    <w:rsid w:val="000B75CD"/>
    <w:rsid w:val="000B7E26"/>
    <w:rsid w:val="000C1B98"/>
    <w:rsid w:val="000C237A"/>
    <w:rsid w:val="000C24DB"/>
    <w:rsid w:val="000C34A3"/>
    <w:rsid w:val="000C50C7"/>
    <w:rsid w:val="000C73E3"/>
    <w:rsid w:val="000C78A5"/>
    <w:rsid w:val="000D0A37"/>
    <w:rsid w:val="000D1359"/>
    <w:rsid w:val="000D1F7E"/>
    <w:rsid w:val="000D2A18"/>
    <w:rsid w:val="000D2CBD"/>
    <w:rsid w:val="000D32B5"/>
    <w:rsid w:val="000D375C"/>
    <w:rsid w:val="000D3F26"/>
    <w:rsid w:val="000D4BF1"/>
    <w:rsid w:val="000D50DA"/>
    <w:rsid w:val="000D534C"/>
    <w:rsid w:val="000D5B58"/>
    <w:rsid w:val="000D7D2D"/>
    <w:rsid w:val="000E07F5"/>
    <w:rsid w:val="000E096B"/>
    <w:rsid w:val="000E1591"/>
    <w:rsid w:val="000E1B91"/>
    <w:rsid w:val="000E20D6"/>
    <w:rsid w:val="000E37F7"/>
    <w:rsid w:val="000E3B3D"/>
    <w:rsid w:val="000E3EB6"/>
    <w:rsid w:val="000E42A5"/>
    <w:rsid w:val="000E4D46"/>
    <w:rsid w:val="000E507A"/>
    <w:rsid w:val="000E5311"/>
    <w:rsid w:val="000E66DA"/>
    <w:rsid w:val="000E688D"/>
    <w:rsid w:val="000E6D5F"/>
    <w:rsid w:val="000E7542"/>
    <w:rsid w:val="000E778B"/>
    <w:rsid w:val="000E7F65"/>
    <w:rsid w:val="000F1672"/>
    <w:rsid w:val="000F1B9B"/>
    <w:rsid w:val="000F1DDF"/>
    <w:rsid w:val="000F235A"/>
    <w:rsid w:val="000F2744"/>
    <w:rsid w:val="000F32C5"/>
    <w:rsid w:val="000F359B"/>
    <w:rsid w:val="000F38FD"/>
    <w:rsid w:val="000F3C65"/>
    <w:rsid w:val="000F3D91"/>
    <w:rsid w:val="000F44BC"/>
    <w:rsid w:val="000F54F1"/>
    <w:rsid w:val="000F69D8"/>
    <w:rsid w:val="000F6F8D"/>
    <w:rsid w:val="000F7520"/>
    <w:rsid w:val="000F7BB4"/>
    <w:rsid w:val="001000DC"/>
    <w:rsid w:val="00100330"/>
    <w:rsid w:val="00100CF9"/>
    <w:rsid w:val="001012CC"/>
    <w:rsid w:val="001015D1"/>
    <w:rsid w:val="0010170C"/>
    <w:rsid w:val="001019CE"/>
    <w:rsid w:val="00101EC0"/>
    <w:rsid w:val="00102700"/>
    <w:rsid w:val="001037B6"/>
    <w:rsid w:val="00104919"/>
    <w:rsid w:val="001057AD"/>
    <w:rsid w:val="00106B8C"/>
    <w:rsid w:val="00106E0C"/>
    <w:rsid w:val="0010754D"/>
    <w:rsid w:val="00107882"/>
    <w:rsid w:val="0010799C"/>
    <w:rsid w:val="00110609"/>
    <w:rsid w:val="001106D6"/>
    <w:rsid w:val="001109C7"/>
    <w:rsid w:val="0011216B"/>
    <w:rsid w:val="001165CC"/>
    <w:rsid w:val="00116687"/>
    <w:rsid w:val="00116854"/>
    <w:rsid w:val="00120400"/>
    <w:rsid w:val="001213D8"/>
    <w:rsid w:val="001220C2"/>
    <w:rsid w:val="00122B8E"/>
    <w:rsid w:val="00122BED"/>
    <w:rsid w:val="00122CC2"/>
    <w:rsid w:val="00122DD6"/>
    <w:rsid w:val="001236E9"/>
    <w:rsid w:val="0012406E"/>
    <w:rsid w:val="00124632"/>
    <w:rsid w:val="001257D7"/>
    <w:rsid w:val="00126838"/>
    <w:rsid w:val="00126BAD"/>
    <w:rsid w:val="00126C86"/>
    <w:rsid w:val="001275A6"/>
    <w:rsid w:val="00127654"/>
    <w:rsid w:val="001277CD"/>
    <w:rsid w:val="00127DE4"/>
    <w:rsid w:val="001302E3"/>
    <w:rsid w:val="00130CD7"/>
    <w:rsid w:val="0013168D"/>
    <w:rsid w:val="00131EFC"/>
    <w:rsid w:val="00132BE8"/>
    <w:rsid w:val="00132D2B"/>
    <w:rsid w:val="001336FB"/>
    <w:rsid w:val="001338DE"/>
    <w:rsid w:val="001345A2"/>
    <w:rsid w:val="001347BB"/>
    <w:rsid w:val="00134852"/>
    <w:rsid w:val="001356B6"/>
    <w:rsid w:val="00136064"/>
    <w:rsid w:val="00136594"/>
    <w:rsid w:val="00136628"/>
    <w:rsid w:val="001373A7"/>
    <w:rsid w:val="00137673"/>
    <w:rsid w:val="001377BC"/>
    <w:rsid w:val="00137873"/>
    <w:rsid w:val="00137890"/>
    <w:rsid w:val="001409E8"/>
    <w:rsid w:val="00141603"/>
    <w:rsid w:val="00142C51"/>
    <w:rsid w:val="001437D1"/>
    <w:rsid w:val="001438A8"/>
    <w:rsid w:val="00143AB1"/>
    <w:rsid w:val="00143CCF"/>
    <w:rsid w:val="00145037"/>
    <w:rsid w:val="00145805"/>
    <w:rsid w:val="00145A4C"/>
    <w:rsid w:val="001461E0"/>
    <w:rsid w:val="00146AEF"/>
    <w:rsid w:val="00147089"/>
    <w:rsid w:val="00150C39"/>
    <w:rsid w:val="0015118D"/>
    <w:rsid w:val="001512E7"/>
    <w:rsid w:val="001517E7"/>
    <w:rsid w:val="00151A37"/>
    <w:rsid w:val="0015227A"/>
    <w:rsid w:val="00152609"/>
    <w:rsid w:val="001533DB"/>
    <w:rsid w:val="001543D2"/>
    <w:rsid w:val="001558D9"/>
    <w:rsid w:val="001568F9"/>
    <w:rsid w:val="001573A4"/>
    <w:rsid w:val="00160DC8"/>
    <w:rsid w:val="0016126C"/>
    <w:rsid w:val="00161EF5"/>
    <w:rsid w:val="00162658"/>
    <w:rsid w:val="00162A7B"/>
    <w:rsid w:val="001630D1"/>
    <w:rsid w:val="001639D0"/>
    <w:rsid w:val="00163F59"/>
    <w:rsid w:val="00164823"/>
    <w:rsid w:val="00165056"/>
    <w:rsid w:val="00165C32"/>
    <w:rsid w:val="001674F3"/>
    <w:rsid w:val="00167764"/>
    <w:rsid w:val="001704B9"/>
    <w:rsid w:val="00170789"/>
    <w:rsid w:val="00170A9D"/>
    <w:rsid w:val="00171477"/>
    <w:rsid w:val="00171539"/>
    <w:rsid w:val="001716FF"/>
    <w:rsid w:val="00172E03"/>
    <w:rsid w:val="001739F1"/>
    <w:rsid w:val="001743FA"/>
    <w:rsid w:val="00174872"/>
    <w:rsid w:val="00174DE4"/>
    <w:rsid w:val="00175900"/>
    <w:rsid w:val="00175C2F"/>
    <w:rsid w:val="00175D40"/>
    <w:rsid w:val="001760A7"/>
    <w:rsid w:val="00176BFC"/>
    <w:rsid w:val="001770A9"/>
    <w:rsid w:val="00177166"/>
    <w:rsid w:val="001774D8"/>
    <w:rsid w:val="001779D6"/>
    <w:rsid w:val="001804D4"/>
    <w:rsid w:val="0018075D"/>
    <w:rsid w:val="00181466"/>
    <w:rsid w:val="0018227C"/>
    <w:rsid w:val="00182A46"/>
    <w:rsid w:val="00183086"/>
    <w:rsid w:val="0018331B"/>
    <w:rsid w:val="00183721"/>
    <w:rsid w:val="001839AE"/>
    <w:rsid w:val="00183BB2"/>
    <w:rsid w:val="00185783"/>
    <w:rsid w:val="00185F93"/>
    <w:rsid w:val="0018654F"/>
    <w:rsid w:val="00186AAF"/>
    <w:rsid w:val="001878A4"/>
    <w:rsid w:val="00190028"/>
    <w:rsid w:val="00190389"/>
    <w:rsid w:val="00190F62"/>
    <w:rsid w:val="00191765"/>
    <w:rsid w:val="0019227B"/>
    <w:rsid w:val="00193119"/>
    <w:rsid w:val="00193284"/>
    <w:rsid w:val="00193C63"/>
    <w:rsid w:val="00194712"/>
    <w:rsid w:val="00196772"/>
    <w:rsid w:val="001969B6"/>
    <w:rsid w:val="00197D3E"/>
    <w:rsid w:val="001A0C1E"/>
    <w:rsid w:val="001A11CA"/>
    <w:rsid w:val="001A1269"/>
    <w:rsid w:val="001A14B0"/>
    <w:rsid w:val="001A15ED"/>
    <w:rsid w:val="001A2C49"/>
    <w:rsid w:val="001A32F6"/>
    <w:rsid w:val="001A3BFC"/>
    <w:rsid w:val="001A47C5"/>
    <w:rsid w:val="001A5A1F"/>
    <w:rsid w:val="001A5EDD"/>
    <w:rsid w:val="001A7A47"/>
    <w:rsid w:val="001B0A51"/>
    <w:rsid w:val="001B0F28"/>
    <w:rsid w:val="001B14F5"/>
    <w:rsid w:val="001B196B"/>
    <w:rsid w:val="001B203E"/>
    <w:rsid w:val="001B223C"/>
    <w:rsid w:val="001B2727"/>
    <w:rsid w:val="001B2940"/>
    <w:rsid w:val="001B3418"/>
    <w:rsid w:val="001B36C6"/>
    <w:rsid w:val="001B3786"/>
    <w:rsid w:val="001B3A11"/>
    <w:rsid w:val="001B4DEF"/>
    <w:rsid w:val="001B4E15"/>
    <w:rsid w:val="001B5662"/>
    <w:rsid w:val="001B58B3"/>
    <w:rsid w:val="001B6A1E"/>
    <w:rsid w:val="001B720A"/>
    <w:rsid w:val="001C0370"/>
    <w:rsid w:val="001C0D3B"/>
    <w:rsid w:val="001C256D"/>
    <w:rsid w:val="001C2A13"/>
    <w:rsid w:val="001C2E57"/>
    <w:rsid w:val="001C3010"/>
    <w:rsid w:val="001C4CFD"/>
    <w:rsid w:val="001C4F6D"/>
    <w:rsid w:val="001C52F4"/>
    <w:rsid w:val="001C5363"/>
    <w:rsid w:val="001C7579"/>
    <w:rsid w:val="001C7722"/>
    <w:rsid w:val="001D2C19"/>
    <w:rsid w:val="001D42A5"/>
    <w:rsid w:val="001D4FB2"/>
    <w:rsid w:val="001D58CA"/>
    <w:rsid w:val="001D64D8"/>
    <w:rsid w:val="001D6782"/>
    <w:rsid w:val="001D681F"/>
    <w:rsid w:val="001D6E4A"/>
    <w:rsid w:val="001E0B6B"/>
    <w:rsid w:val="001E13A6"/>
    <w:rsid w:val="001E14C4"/>
    <w:rsid w:val="001E2E8B"/>
    <w:rsid w:val="001E3C71"/>
    <w:rsid w:val="001E3DD8"/>
    <w:rsid w:val="001E49C4"/>
    <w:rsid w:val="001E5C86"/>
    <w:rsid w:val="001E6C9A"/>
    <w:rsid w:val="001E72FC"/>
    <w:rsid w:val="001F0542"/>
    <w:rsid w:val="001F1206"/>
    <w:rsid w:val="001F122D"/>
    <w:rsid w:val="001F1619"/>
    <w:rsid w:val="001F1D01"/>
    <w:rsid w:val="001F29FB"/>
    <w:rsid w:val="001F39D3"/>
    <w:rsid w:val="001F4B3D"/>
    <w:rsid w:val="001F4ECB"/>
    <w:rsid w:val="001F5295"/>
    <w:rsid w:val="001F5766"/>
    <w:rsid w:val="001F5B4D"/>
    <w:rsid w:val="001F5D6B"/>
    <w:rsid w:val="001F5E88"/>
    <w:rsid w:val="001F728F"/>
    <w:rsid w:val="001F7FA8"/>
    <w:rsid w:val="00200367"/>
    <w:rsid w:val="002003A0"/>
    <w:rsid w:val="0020285D"/>
    <w:rsid w:val="00203265"/>
    <w:rsid w:val="00203E92"/>
    <w:rsid w:val="0020406D"/>
    <w:rsid w:val="00204445"/>
    <w:rsid w:val="00204573"/>
    <w:rsid w:val="00205D98"/>
    <w:rsid w:val="0020638E"/>
    <w:rsid w:val="00207686"/>
    <w:rsid w:val="00207A50"/>
    <w:rsid w:val="00210FEA"/>
    <w:rsid w:val="00211171"/>
    <w:rsid w:val="002113FF"/>
    <w:rsid w:val="00212F25"/>
    <w:rsid w:val="00214C9D"/>
    <w:rsid w:val="00215439"/>
    <w:rsid w:val="0021547A"/>
    <w:rsid w:val="00215F98"/>
    <w:rsid w:val="00216BD3"/>
    <w:rsid w:val="00216E2F"/>
    <w:rsid w:val="002171F8"/>
    <w:rsid w:val="0021731E"/>
    <w:rsid w:val="0021743C"/>
    <w:rsid w:val="00217DCF"/>
    <w:rsid w:val="002201FB"/>
    <w:rsid w:val="002208BE"/>
    <w:rsid w:val="00220B40"/>
    <w:rsid w:val="00220DC6"/>
    <w:rsid w:val="00221AE3"/>
    <w:rsid w:val="00221F22"/>
    <w:rsid w:val="0022205B"/>
    <w:rsid w:val="00222651"/>
    <w:rsid w:val="00222E0D"/>
    <w:rsid w:val="002250D8"/>
    <w:rsid w:val="002253B9"/>
    <w:rsid w:val="00225BB2"/>
    <w:rsid w:val="00226A99"/>
    <w:rsid w:val="00226B94"/>
    <w:rsid w:val="00226EEC"/>
    <w:rsid w:val="002308D8"/>
    <w:rsid w:val="002314C0"/>
    <w:rsid w:val="00231A34"/>
    <w:rsid w:val="002323C2"/>
    <w:rsid w:val="00232EC9"/>
    <w:rsid w:val="00232FC6"/>
    <w:rsid w:val="00233729"/>
    <w:rsid w:val="00233EA4"/>
    <w:rsid w:val="0023416B"/>
    <w:rsid w:val="00235111"/>
    <w:rsid w:val="0023556C"/>
    <w:rsid w:val="002355BC"/>
    <w:rsid w:val="00236C3D"/>
    <w:rsid w:val="00236F84"/>
    <w:rsid w:val="00237D76"/>
    <w:rsid w:val="002415F6"/>
    <w:rsid w:val="002419B2"/>
    <w:rsid w:val="00242096"/>
    <w:rsid w:val="0024215D"/>
    <w:rsid w:val="002429E0"/>
    <w:rsid w:val="00242E0B"/>
    <w:rsid w:val="002430A6"/>
    <w:rsid w:val="00243FEA"/>
    <w:rsid w:val="00244DBD"/>
    <w:rsid w:val="00244E0D"/>
    <w:rsid w:val="00245E02"/>
    <w:rsid w:val="00246975"/>
    <w:rsid w:val="00247030"/>
    <w:rsid w:val="00247318"/>
    <w:rsid w:val="00247CC2"/>
    <w:rsid w:val="00247F5A"/>
    <w:rsid w:val="00250155"/>
    <w:rsid w:val="002518C2"/>
    <w:rsid w:val="00252824"/>
    <w:rsid w:val="00253929"/>
    <w:rsid w:val="00253BF8"/>
    <w:rsid w:val="00254208"/>
    <w:rsid w:val="00254AD7"/>
    <w:rsid w:val="0025538D"/>
    <w:rsid w:val="002558FC"/>
    <w:rsid w:val="002575D9"/>
    <w:rsid w:val="002579BF"/>
    <w:rsid w:val="002605A4"/>
    <w:rsid w:val="00260771"/>
    <w:rsid w:val="00262A0A"/>
    <w:rsid w:val="00262B69"/>
    <w:rsid w:val="00263588"/>
    <w:rsid w:val="00263E28"/>
    <w:rsid w:val="00263EF4"/>
    <w:rsid w:val="00263F59"/>
    <w:rsid w:val="00264261"/>
    <w:rsid w:val="002648B6"/>
    <w:rsid w:val="00264D69"/>
    <w:rsid w:val="00265BB0"/>
    <w:rsid w:val="00266968"/>
    <w:rsid w:val="0026700F"/>
    <w:rsid w:val="002672F8"/>
    <w:rsid w:val="00267BA0"/>
    <w:rsid w:val="00270F75"/>
    <w:rsid w:val="002711EB"/>
    <w:rsid w:val="00271AD9"/>
    <w:rsid w:val="002724E7"/>
    <w:rsid w:val="00272847"/>
    <w:rsid w:val="00272D79"/>
    <w:rsid w:val="0027321B"/>
    <w:rsid w:val="00273B1F"/>
    <w:rsid w:val="002747A3"/>
    <w:rsid w:val="00274F30"/>
    <w:rsid w:val="00275006"/>
    <w:rsid w:val="002752F1"/>
    <w:rsid w:val="0027552A"/>
    <w:rsid w:val="002760F9"/>
    <w:rsid w:val="00276170"/>
    <w:rsid w:val="00276532"/>
    <w:rsid w:val="0027662E"/>
    <w:rsid w:val="00276F87"/>
    <w:rsid w:val="00277C2E"/>
    <w:rsid w:val="002809E0"/>
    <w:rsid w:val="00280BEB"/>
    <w:rsid w:val="00280CC4"/>
    <w:rsid w:val="00280E44"/>
    <w:rsid w:val="00281FEA"/>
    <w:rsid w:val="00282C6F"/>
    <w:rsid w:val="002831AE"/>
    <w:rsid w:val="00283434"/>
    <w:rsid w:val="00283DFD"/>
    <w:rsid w:val="002846D7"/>
    <w:rsid w:val="00284AAC"/>
    <w:rsid w:val="002850DF"/>
    <w:rsid w:val="00285BC7"/>
    <w:rsid w:val="002866EF"/>
    <w:rsid w:val="00287238"/>
    <w:rsid w:val="0028763B"/>
    <w:rsid w:val="0028773A"/>
    <w:rsid w:val="00291935"/>
    <w:rsid w:val="00291A31"/>
    <w:rsid w:val="002928C3"/>
    <w:rsid w:val="002929F1"/>
    <w:rsid w:val="00293A33"/>
    <w:rsid w:val="00294349"/>
    <w:rsid w:val="00295930"/>
    <w:rsid w:val="00295D3F"/>
    <w:rsid w:val="00295F3C"/>
    <w:rsid w:val="002A001B"/>
    <w:rsid w:val="002A0FC7"/>
    <w:rsid w:val="002A20BE"/>
    <w:rsid w:val="002A2692"/>
    <w:rsid w:val="002A39B7"/>
    <w:rsid w:val="002A39C8"/>
    <w:rsid w:val="002A43CA"/>
    <w:rsid w:val="002A52E4"/>
    <w:rsid w:val="002A646F"/>
    <w:rsid w:val="002A6911"/>
    <w:rsid w:val="002A7830"/>
    <w:rsid w:val="002A7E73"/>
    <w:rsid w:val="002B15A2"/>
    <w:rsid w:val="002B1A0E"/>
    <w:rsid w:val="002B1D29"/>
    <w:rsid w:val="002B2DB1"/>
    <w:rsid w:val="002B2EB1"/>
    <w:rsid w:val="002B3F94"/>
    <w:rsid w:val="002B4292"/>
    <w:rsid w:val="002B4933"/>
    <w:rsid w:val="002B4FE0"/>
    <w:rsid w:val="002B549C"/>
    <w:rsid w:val="002B5518"/>
    <w:rsid w:val="002B62F5"/>
    <w:rsid w:val="002B6AC7"/>
    <w:rsid w:val="002B78E1"/>
    <w:rsid w:val="002B7E66"/>
    <w:rsid w:val="002C09A3"/>
    <w:rsid w:val="002C0A96"/>
    <w:rsid w:val="002C24E5"/>
    <w:rsid w:val="002C4B19"/>
    <w:rsid w:val="002C5283"/>
    <w:rsid w:val="002C530D"/>
    <w:rsid w:val="002C5568"/>
    <w:rsid w:val="002C5A19"/>
    <w:rsid w:val="002C5D0F"/>
    <w:rsid w:val="002C75C3"/>
    <w:rsid w:val="002C776A"/>
    <w:rsid w:val="002C7E16"/>
    <w:rsid w:val="002D00A7"/>
    <w:rsid w:val="002D0973"/>
    <w:rsid w:val="002D2782"/>
    <w:rsid w:val="002D2B91"/>
    <w:rsid w:val="002D2E81"/>
    <w:rsid w:val="002D38F3"/>
    <w:rsid w:val="002D3B1B"/>
    <w:rsid w:val="002D4089"/>
    <w:rsid w:val="002D41E0"/>
    <w:rsid w:val="002D51A6"/>
    <w:rsid w:val="002D536D"/>
    <w:rsid w:val="002D54C4"/>
    <w:rsid w:val="002D5B3C"/>
    <w:rsid w:val="002D5BAC"/>
    <w:rsid w:val="002D5F36"/>
    <w:rsid w:val="002D6995"/>
    <w:rsid w:val="002D7365"/>
    <w:rsid w:val="002D75F6"/>
    <w:rsid w:val="002E007F"/>
    <w:rsid w:val="002E03CB"/>
    <w:rsid w:val="002E0CB4"/>
    <w:rsid w:val="002E0D71"/>
    <w:rsid w:val="002E0D73"/>
    <w:rsid w:val="002E14E1"/>
    <w:rsid w:val="002E2D01"/>
    <w:rsid w:val="002E32C8"/>
    <w:rsid w:val="002E3A8E"/>
    <w:rsid w:val="002E4099"/>
    <w:rsid w:val="002E456E"/>
    <w:rsid w:val="002E4628"/>
    <w:rsid w:val="002E7409"/>
    <w:rsid w:val="002E7654"/>
    <w:rsid w:val="002E79A6"/>
    <w:rsid w:val="002F01AC"/>
    <w:rsid w:val="002F0248"/>
    <w:rsid w:val="002F0813"/>
    <w:rsid w:val="002F1957"/>
    <w:rsid w:val="002F2DAC"/>
    <w:rsid w:val="002F3399"/>
    <w:rsid w:val="002F3798"/>
    <w:rsid w:val="002F39BB"/>
    <w:rsid w:val="002F433C"/>
    <w:rsid w:val="002F4EC7"/>
    <w:rsid w:val="002F5056"/>
    <w:rsid w:val="002F6259"/>
    <w:rsid w:val="002F65C2"/>
    <w:rsid w:val="002F682C"/>
    <w:rsid w:val="002F6B86"/>
    <w:rsid w:val="002F6C4C"/>
    <w:rsid w:val="002F782E"/>
    <w:rsid w:val="002F7BD2"/>
    <w:rsid w:val="002F7DD9"/>
    <w:rsid w:val="002F7DDE"/>
    <w:rsid w:val="002F7EC6"/>
    <w:rsid w:val="0030132D"/>
    <w:rsid w:val="00301481"/>
    <w:rsid w:val="00304258"/>
    <w:rsid w:val="00304477"/>
    <w:rsid w:val="00304960"/>
    <w:rsid w:val="00304995"/>
    <w:rsid w:val="003052A9"/>
    <w:rsid w:val="003053B2"/>
    <w:rsid w:val="00306211"/>
    <w:rsid w:val="0030635A"/>
    <w:rsid w:val="0030688C"/>
    <w:rsid w:val="00310DB0"/>
    <w:rsid w:val="00311F30"/>
    <w:rsid w:val="00312351"/>
    <w:rsid w:val="0031252C"/>
    <w:rsid w:val="003125C6"/>
    <w:rsid w:val="00312DA2"/>
    <w:rsid w:val="00313271"/>
    <w:rsid w:val="003157BC"/>
    <w:rsid w:val="00315937"/>
    <w:rsid w:val="00315A24"/>
    <w:rsid w:val="00316569"/>
    <w:rsid w:val="003168F6"/>
    <w:rsid w:val="003178B5"/>
    <w:rsid w:val="003178CD"/>
    <w:rsid w:val="00317A1D"/>
    <w:rsid w:val="00317E1B"/>
    <w:rsid w:val="003208DE"/>
    <w:rsid w:val="00320D51"/>
    <w:rsid w:val="00320F37"/>
    <w:rsid w:val="003213A2"/>
    <w:rsid w:val="00321AAC"/>
    <w:rsid w:val="00322636"/>
    <w:rsid w:val="00322860"/>
    <w:rsid w:val="00322F44"/>
    <w:rsid w:val="00323052"/>
    <w:rsid w:val="003237FC"/>
    <w:rsid w:val="00323B1A"/>
    <w:rsid w:val="00323B50"/>
    <w:rsid w:val="00324CF1"/>
    <w:rsid w:val="003254EE"/>
    <w:rsid w:val="00325AB9"/>
    <w:rsid w:val="00326F9A"/>
    <w:rsid w:val="00327364"/>
    <w:rsid w:val="00327519"/>
    <w:rsid w:val="00331448"/>
    <w:rsid w:val="003316CE"/>
    <w:rsid w:val="00333A85"/>
    <w:rsid w:val="00333B11"/>
    <w:rsid w:val="00334182"/>
    <w:rsid w:val="00335039"/>
    <w:rsid w:val="00335974"/>
    <w:rsid w:val="00335B79"/>
    <w:rsid w:val="0033656F"/>
    <w:rsid w:val="00336787"/>
    <w:rsid w:val="0033785B"/>
    <w:rsid w:val="003409BC"/>
    <w:rsid w:val="00340B1E"/>
    <w:rsid w:val="00340FEC"/>
    <w:rsid w:val="0034106E"/>
    <w:rsid w:val="0034140D"/>
    <w:rsid w:val="0034194F"/>
    <w:rsid w:val="003420AD"/>
    <w:rsid w:val="00342683"/>
    <w:rsid w:val="003428E2"/>
    <w:rsid w:val="00343048"/>
    <w:rsid w:val="003444EA"/>
    <w:rsid w:val="0034457C"/>
    <w:rsid w:val="00345155"/>
    <w:rsid w:val="00345E2F"/>
    <w:rsid w:val="00346060"/>
    <w:rsid w:val="00346F49"/>
    <w:rsid w:val="003471DC"/>
    <w:rsid w:val="00347A20"/>
    <w:rsid w:val="00347EBC"/>
    <w:rsid w:val="003506D6"/>
    <w:rsid w:val="003509F0"/>
    <w:rsid w:val="00350A6B"/>
    <w:rsid w:val="00350B39"/>
    <w:rsid w:val="00350C97"/>
    <w:rsid w:val="00350D3B"/>
    <w:rsid w:val="00350D6C"/>
    <w:rsid w:val="00350E58"/>
    <w:rsid w:val="003514D5"/>
    <w:rsid w:val="00351C44"/>
    <w:rsid w:val="0035353F"/>
    <w:rsid w:val="00353C19"/>
    <w:rsid w:val="00353F70"/>
    <w:rsid w:val="0035415B"/>
    <w:rsid w:val="00354505"/>
    <w:rsid w:val="00354DBC"/>
    <w:rsid w:val="00354E25"/>
    <w:rsid w:val="003552FD"/>
    <w:rsid w:val="003556ED"/>
    <w:rsid w:val="00356904"/>
    <w:rsid w:val="00357037"/>
    <w:rsid w:val="003576A3"/>
    <w:rsid w:val="00357D4F"/>
    <w:rsid w:val="003601D8"/>
    <w:rsid w:val="0036027E"/>
    <w:rsid w:val="00360343"/>
    <w:rsid w:val="00360A19"/>
    <w:rsid w:val="00362291"/>
    <w:rsid w:val="00364693"/>
    <w:rsid w:val="00364726"/>
    <w:rsid w:val="003654BB"/>
    <w:rsid w:val="00365807"/>
    <w:rsid w:val="00366D49"/>
    <w:rsid w:val="0036716A"/>
    <w:rsid w:val="00367BE8"/>
    <w:rsid w:val="0037066C"/>
    <w:rsid w:val="00370DE7"/>
    <w:rsid w:val="0037191F"/>
    <w:rsid w:val="00372D94"/>
    <w:rsid w:val="00373187"/>
    <w:rsid w:val="003733F2"/>
    <w:rsid w:val="00373DD1"/>
    <w:rsid w:val="00373EF9"/>
    <w:rsid w:val="00374281"/>
    <w:rsid w:val="00376157"/>
    <w:rsid w:val="003768E4"/>
    <w:rsid w:val="00377974"/>
    <w:rsid w:val="00377997"/>
    <w:rsid w:val="0038000B"/>
    <w:rsid w:val="003809B3"/>
    <w:rsid w:val="00380B39"/>
    <w:rsid w:val="00380F63"/>
    <w:rsid w:val="003810AD"/>
    <w:rsid w:val="003815D0"/>
    <w:rsid w:val="0038165A"/>
    <w:rsid w:val="00381691"/>
    <w:rsid w:val="003820F9"/>
    <w:rsid w:val="003823BC"/>
    <w:rsid w:val="00382C5F"/>
    <w:rsid w:val="0038361D"/>
    <w:rsid w:val="00383F74"/>
    <w:rsid w:val="003861A9"/>
    <w:rsid w:val="00386A0E"/>
    <w:rsid w:val="00390AFE"/>
    <w:rsid w:val="0039208B"/>
    <w:rsid w:val="00392C38"/>
    <w:rsid w:val="0039305B"/>
    <w:rsid w:val="00393687"/>
    <w:rsid w:val="003940B4"/>
    <w:rsid w:val="003940FC"/>
    <w:rsid w:val="003942E7"/>
    <w:rsid w:val="003943F3"/>
    <w:rsid w:val="003957DC"/>
    <w:rsid w:val="003962EC"/>
    <w:rsid w:val="00396B0B"/>
    <w:rsid w:val="003A0A0F"/>
    <w:rsid w:val="003A0E1A"/>
    <w:rsid w:val="003A0E21"/>
    <w:rsid w:val="003A144F"/>
    <w:rsid w:val="003A1A0D"/>
    <w:rsid w:val="003A325B"/>
    <w:rsid w:val="003A37B3"/>
    <w:rsid w:val="003A449B"/>
    <w:rsid w:val="003A4F9F"/>
    <w:rsid w:val="003A519C"/>
    <w:rsid w:val="003A546D"/>
    <w:rsid w:val="003A5812"/>
    <w:rsid w:val="003A5F20"/>
    <w:rsid w:val="003A7C04"/>
    <w:rsid w:val="003B0537"/>
    <w:rsid w:val="003B07A1"/>
    <w:rsid w:val="003B0DE1"/>
    <w:rsid w:val="003B0F9E"/>
    <w:rsid w:val="003B14B5"/>
    <w:rsid w:val="003B18C7"/>
    <w:rsid w:val="003B24F2"/>
    <w:rsid w:val="003B2C6E"/>
    <w:rsid w:val="003B30FD"/>
    <w:rsid w:val="003B5395"/>
    <w:rsid w:val="003B5B6A"/>
    <w:rsid w:val="003B6211"/>
    <w:rsid w:val="003B6AF2"/>
    <w:rsid w:val="003B714F"/>
    <w:rsid w:val="003B77B6"/>
    <w:rsid w:val="003C0B3D"/>
    <w:rsid w:val="003C1A5E"/>
    <w:rsid w:val="003C2C55"/>
    <w:rsid w:val="003C3146"/>
    <w:rsid w:val="003C32D3"/>
    <w:rsid w:val="003C3D52"/>
    <w:rsid w:val="003C3EF2"/>
    <w:rsid w:val="003C3F55"/>
    <w:rsid w:val="003C413D"/>
    <w:rsid w:val="003C4AE1"/>
    <w:rsid w:val="003C4CA1"/>
    <w:rsid w:val="003C5064"/>
    <w:rsid w:val="003C7732"/>
    <w:rsid w:val="003C7E62"/>
    <w:rsid w:val="003D06DF"/>
    <w:rsid w:val="003D200C"/>
    <w:rsid w:val="003D2A07"/>
    <w:rsid w:val="003D483E"/>
    <w:rsid w:val="003D4BD3"/>
    <w:rsid w:val="003D6096"/>
    <w:rsid w:val="003D6694"/>
    <w:rsid w:val="003D6C7E"/>
    <w:rsid w:val="003D7F3B"/>
    <w:rsid w:val="003E0B72"/>
    <w:rsid w:val="003E1553"/>
    <w:rsid w:val="003E1F5A"/>
    <w:rsid w:val="003E1FF0"/>
    <w:rsid w:val="003E29BB"/>
    <w:rsid w:val="003E2B7C"/>
    <w:rsid w:val="003E3324"/>
    <w:rsid w:val="003E3494"/>
    <w:rsid w:val="003E39CE"/>
    <w:rsid w:val="003E4BA7"/>
    <w:rsid w:val="003E5A5F"/>
    <w:rsid w:val="003E5B17"/>
    <w:rsid w:val="003E6203"/>
    <w:rsid w:val="003E63D9"/>
    <w:rsid w:val="003E70BC"/>
    <w:rsid w:val="003F10FA"/>
    <w:rsid w:val="003F17DD"/>
    <w:rsid w:val="003F182E"/>
    <w:rsid w:val="003F22C3"/>
    <w:rsid w:val="003F28A4"/>
    <w:rsid w:val="003F515A"/>
    <w:rsid w:val="003F7348"/>
    <w:rsid w:val="00400162"/>
    <w:rsid w:val="004001D4"/>
    <w:rsid w:val="00400B3D"/>
    <w:rsid w:val="00401534"/>
    <w:rsid w:val="00402072"/>
    <w:rsid w:val="004024BD"/>
    <w:rsid w:val="004024F3"/>
    <w:rsid w:val="00403031"/>
    <w:rsid w:val="004036E3"/>
    <w:rsid w:val="0040372C"/>
    <w:rsid w:val="0040385F"/>
    <w:rsid w:val="00404E8A"/>
    <w:rsid w:val="00405C0A"/>
    <w:rsid w:val="00406091"/>
    <w:rsid w:val="0040622F"/>
    <w:rsid w:val="0040640F"/>
    <w:rsid w:val="0040699B"/>
    <w:rsid w:val="00407E37"/>
    <w:rsid w:val="00410153"/>
    <w:rsid w:val="00410812"/>
    <w:rsid w:val="004117D2"/>
    <w:rsid w:val="004121A2"/>
    <w:rsid w:val="00412FA7"/>
    <w:rsid w:val="00413465"/>
    <w:rsid w:val="004139B4"/>
    <w:rsid w:val="004143A2"/>
    <w:rsid w:val="00415285"/>
    <w:rsid w:val="004152DA"/>
    <w:rsid w:val="004152F0"/>
    <w:rsid w:val="0041597C"/>
    <w:rsid w:val="004160FB"/>
    <w:rsid w:val="00416190"/>
    <w:rsid w:val="00416653"/>
    <w:rsid w:val="004173E0"/>
    <w:rsid w:val="00420D92"/>
    <w:rsid w:val="004212F1"/>
    <w:rsid w:val="0042130F"/>
    <w:rsid w:val="004216DA"/>
    <w:rsid w:val="00422C17"/>
    <w:rsid w:val="00423167"/>
    <w:rsid w:val="00423A68"/>
    <w:rsid w:val="00423CC3"/>
    <w:rsid w:val="00424EEF"/>
    <w:rsid w:val="0042513D"/>
    <w:rsid w:val="004259B0"/>
    <w:rsid w:val="00425B8E"/>
    <w:rsid w:val="00426D81"/>
    <w:rsid w:val="00427115"/>
    <w:rsid w:val="004275FB"/>
    <w:rsid w:val="00427AF0"/>
    <w:rsid w:val="00427B71"/>
    <w:rsid w:val="0043047B"/>
    <w:rsid w:val="004307D1"/>
    <w:rsid w:val="004316BD"/>
    <w:rsid w:val="004317A5"/>
    <w:rsid w:val="00431F84"/>
    <w:rsid w:val="00433E30"/>
    <w:rsid w:val="00433F9D"/>
    <w:rsid w:val="00434E4D"/>
    <w:rsid w:val="004361BD"/>
    <w:rsid w:val="00436218"/>
    <w:rsid w:val="0043650B"/>
    <w:rsid w:val="0043727A"/>
    <w:rsid w:val="0043791E"/>
    <w:rsid w:val="00437DFD"/>
    <w:rsid w:val="00440618"/>
    <w:rsid w:val="004411E3"/>
    <w:rsid w:val="004417D3"/>
    <w:rsid w:val="00441D75"/>
    <w:rsid w:val="004422C5"/>
    <w:rsid w:val="00442C13"/>
    <w:rsid w:val="00442F74"/>
    <w:rsid w:val="00444393"/>
    <w:rsid w:val="00444FED"/>
    <w:rsid w:val="0044521A"/>
    <w:rsid w:val="004453B1"/>
    <w:rsid w:val="004455A3"/>
    <w:rsid w:val="00446E92"/>
    <w:rsid w:val="00447AB3"/>
    <w:rsid w:val="00450591"/>
    <w:rsid w:val="0045070C"/>
    <w:rsid w:val="00451C69"/>
    <w:rsid w:val="00451D75"/>
    <w:rsid w:val="00451E82"/>
    <w:rsid w:val="00452551"/>
    <w:rsid w:val="00452FA6"/>
    <w:rsid w:val="00453114"/>
    <w:rsid w:val="00453240"/>
    <w:rsid w:val="00453827"/>
    <w:rsid w:val="004551BC"/>
    <w:rsid w:val="00455787"/>
    <w:rsid w:val="00456233"/>
    <w:rsid w:val="00456C52"/>
    <w:rsid w:val="004575AD"/>
    <w:rsid w:val="004604D6"/>
    <w:rsid w:val="0046089F"/>
    <w:rsid w:val="00460FA1"/>
    <w:rsid w:val="004610D7"/>
    <w:rsid w:val="00461654"/>
    <w:rsid w:val="00461D79"/>
    <w:rsid w:val="00461E90"/>
    <w:rsid w:val="00464313"/>
    <w:rsid w:val="0046498A"/>
    <w:rsid w:val="00465D01"/>
    <w:rsid w:val="00466CBB"/>
    <w:rsid w:val="00467365"/>
    <w:rsid w:val="00467705"/>
    <w:rsid w:val="0047006C"/>
    <w:rsid w:val="004718B3"/>
    <w:rsid w:val="00471FF9"/>
    <w:rsid w:val="004720A5"/>
    <w:rsid w:val="0047268B"/>
    <w:rsid w:val="00472971"/>
    <w:rsid w:val="00472C9F"/>
    <w:rsid w:val="004736BE"/>
    <w:rsid w:val="00475D1B"/>
    <w:rsid w:val="00476A55"/>
    <w:rsid w:val="004801F5"/>
    <w:rsid w:val="00480206"/>
    <w:rsid w:val="00480319"/>
    <w:rsid w:val="004804BE"/>
    <w:rsid w:val="004817C6"/>
    <w:rsid w:val="00481841"/>
    <w:rsid w:val="00482B51"/>
    <w:rsid w:val="00483086"/>
    <w:rsid w:val="00483DCD"/>
    <w:rsid w:val="00483FDF"/>
    <w:rsid w:val="004843BE"/>
    <w:rsid w:val="004846A4"/>
    <w:rsid w:val="0048486B"/>
    <w:rsid w:val="00484CD2"/>
    <w:rsid w:val="00485E09"/>
    <w:rsid w:val="0048629E"/>
    <w:rsid w:val="00486F6C"/>
    <w:rsid w:val="0048712C"/>
    <w:rsid w:val="00487C78"/>
    <w:rsid w:val="00487F89"/>
    <w:rsid w:val="004907D7"/>
    <w:rsid w:val="004916B8"/>
    <w:rsid w:val="0049361A"/>
    <w:rsid w:val="0049508B"/>
    <w:rsid w:val="004961DA"/>
    <w:rsid w:val="0049758C"/>
    <w:rsid w:val="00497811"/>
    <w:rsid w:val="004979B6"/>
    <w:rsid w:val="00497B96"/>
    <w:rsid w:val="004A007C"/>
    <w:rsid w:val="004A12CF"/>
    <w:rsid w:val="004A1C8F"/>
    <w:rsid w:val="004A218C"/>
    <w:rsid w:val="004A26D5"/>
    <w:rsid w:val="004A3578"/>
    <w:rsid w:val="004A437E"/>
    <w:rsid w:val="004A528F"/>
    <w:rsid w:val="004A5697"/>
    <w:rsid w:val="004A5D83"/>
    <w:rsid w:val="004A6476"/>
    <w:rsid w:val="004A6EB6"/>
    <w:rsid w:val="004A7713"/>
    <w:rsid w:val="004A7B92"/>
    <w:rsid w:val="004A7F61"/>
    <w:rsid w:val="004B0C30"/>
    <w:rsid w:val="004B10EA"/>
    <w:rsid w:val="004B2147"/>
    <w:rsid w:val="004B2AB0"/>
    <w:rsid w:val="004B2DC3"/>
    <w:rsid w:val="004B3014"/>
    <w:rsid w:val="004B3B57"/>
    <w:rsid w:val="004B3B75"/>
    <w:rsid w:val="004B3CCF"/>
    <w:rsid w:val="004B40BA"/>
    <w:rsid w:val="004B4158"/>
    <w:rsid w:val="004C0391"/>
    <w:rsid w:val="004C0537"/>
    <w:rsid w:val="004C0CAB"/>
    <w:rsid w:val="004C1505"/>
    <w:rsid w:val="004C1BFF"/>
    <w:rsid w:val="004C272D"/>
    <w:rsid w:val="004C2BED"/>
    <w:rsid w:val="004C2FCD"/>
    <w:rsid w:val="004C3552"/>
    <w:rsid w:val="004C3EE6"/>
    <w:rsid w:val="004C40BB"/>
    <w:rsid w:val="004C46E3"/>
    <w:rsid w:val="004C50B3"/>
    <w:rsid w:val="004C5459"/>
    <w:rsid w:val="004C557A"/>
    <w:rsid w:val="004C5E1B"/>
    <w:rsid w:val="004C67D8"/>
    <w:rsid w:val="004C757A"/>
    <w:rsid w:val="004C7B8E"/>
    <w:rsid w:val="004D073F"/>
    <w:rsid w:val="004D1175"/>
    <w:rsid w:val="004D1D2A"/>
    <w:rsid w:val="004D2098"/>
    <w:rsid w:val="004D2644"/>
    <w:rsid w:val="004D2B4D"/>
    <w:rsid w:val="004D3970"/>
    <w:rsid w:val="004D449E"/>
    <w:rsid w:val="004D532E"/>
    <w:rsid w:val="004D5481"/>
    <w:rsid w:val="004D690C"/>
    <w:rsid w:val="004D74FC"/>
    <w:rsid w:val="004E03BE"/>
    <w:rsid w:val="004E2224"/>
    <w:rsid w:val="004E22B8"/>
    <w:rsid w:val="004E2D36"/>
    <w:rsid w:val="004E3652"/>
    <w:rsid w:val="004E3752"/>
    <w:rsid w:val="004E3862"/>
    <w:rsid w:val="004E3F70"/>
    <w:rsid w:val="004E519C"/>
    <w:rsid w:val="004E527E"/>
    <w:rsid w:val="004E56FA"/>
    <w:rsid w:val="004E5735"/>
    <w:rsid w:val="004E6E6F"/>
    <w:rsid w:val="004E709C"/>
    <w:rsid w:val="004E73DE"/>
    <w:rsid w:val="004F11C2"/>
    <w:rsid w:val="004F11F5"/>
    <w:rsid w:val="004F1515"/>
    <w:rsid w:val="004F1BD2"/>
    <w:rsid w:val="004F2330"/>
    <w:rsid w:val="004F2A3F"/>
    <w:rsid w:val="004F38C1"/>
    <w:rsid w:val="004F5615"/>
    <w:rsid w:val="004F5A73"/>
    <w:rsid w:val="004F61C7"/>
    <w:rsid w:val="004F6CCC"/>
    <w:rsid w:val="004F7994"/>
    <w:rsid w:val="004F7B2B"/>
    <w:rsid w:val="00500483"/>
    <w:rsid w:val="00500F38"/>
    <w:rsid w:val="00501094"/>
    <w:rsid w:val="00501527"/>
    <w:rsid w:val="00501F96"/>
    <w:rsid w:val="00503675"/>
    <w:rsid w:val="005037CB"/>
    <w:rsid w:val="00503B33"/>
    <w:rsid w:val="00503C86"/>
    <w:rsid w:val="00504366"/>
    <w:rsid w:val="005043B5"/>
    <w:rsid w:val="005045D0"/>
    <w:rsid w:val="00505AF6"/>
    <w:rsid w:val="00505BA8"/>
    <w:rsid w:val="005068CB"/>
    <w:rsid w:val="00506B27"/>
    <w:rsid w:val="00506E84"/>
    <w:rsid w:val="005072C5"/>
    <w:rsid w:val="00507499"/>
    <w:rsid w:val="0050774F"/>
    <w:rsid w:val="005107C5"/>
    <w:rsid w:val="0051086F"/>
    <w:rsid w:val="005119B4"/>
    <w:rsid w:val="005125A9"/>
    <w:rsid w:val="0051278A"/>
    <w:rsid w:val="00512E85"/>
    <w:rsid w:val="00513402"/>
    <w:rsid w:val="00513A68"/>
    <w:rsid w:val="00513ABA"/>
    <w:rsid w:val="00516134"/>
    <w:rsid w:val="00516394"/>
    <w:rsid w:val="0051675A"/>
    <w:rsid w:val="00517EF8"/>
    <w:rsid w:val="0052046F"/>
    <w:rsid w:val="0052141C"/>
    <w:rsid w:val="00522445"/>
    <w:rsid w:val="0052332D"/>
    <w:rsid w:val="0052341B"/>
    <w:rsid w:val="00523987"/>
    <w:rsid w:val="00523DED"/>
    <w:rsid w:val="00523EBA"/>
    <w:rsid w:val="00524752"/>
    <w:rsid w:val="00524C97"/>
    <w:rsid w:val="0052626B"/>
    <w:rsid w:val="005267B6"/>
    <w:rsid w:val="00527BF8"/>
    <w:rsid w:val="00530268"/>
    <w:rsid w:val="005302AC"/>
    <w:rsid w:val="005302F5"/>
    <w:rsid w:val="00531652"/>
    <w:rsid w:val="005318B0"/>
    <w:rsid w:val="00532F6A"/>
    <w:rsid w:val="005334C0"/>
    <w:rsid w:val="0053391E"/>
    <w:rsid w:val="00534A13"/>
    <w:rsid w:val="005352FB"/>
    <w:rsid w:val="005365F8"/>
    <w:rsid w:val="0053674B"/>
    <w:rsid w:val="005372F6"/>
    <w:rsid w:val="00537973"/>
    <w:rsid w:val="005401B6"/>
    <w:rsid w:val="005408F1"/>
    <w:rsid w:val="00541C68"/>
    <w:rsid w:val="00541C83"/>
    <w:rsid w:val="00542233"/>
    <w:rsid w:val="00542840"/>
    <w:rsid w:val="005432DA"/>
    <w:rsid w:val="00543E6C"/>
    <w:rsid w:val="00544C2E"/>
    <w:rsid w:val="00545D27"/>
    <w:rsid w:val="00546C3C"/>
    <w:rsid w:val="00546E7F"/>
    <w:rsid w:val="00547D6A"/>
    <w:rsid w:val="00550517"/>
    <w:rsid w:val="00550BB9"/>
    <w:rsid w:val="00550DB6"/>
    <w:rsid w:val="005516EF"/>
    <w:rsid w:val="00551D24"/>
    <w:rsid w:val="00552AE0"/>
    <w:rsid w:val="005532BD"/>
    <w:rsid w:val="00554474"/>
    <w:rsid w:val="00554688"/>
    <w:rsid w:val="00554717"/>
    <w:rsid w:val="005553FA"/>
    <w:rsid w:val="00555B70"/>
    <w:rsid w:val="00556C94"/>
    <w:rsid w:val="00557459"/>
    <w:rsid w:val="00557DC2"/>
    <w:rsid w:val="00560309"/>
    <w:rsid w:val="00563527"/>
    <w:rsid w:val="00563592"/>
    <w:rsid w:val="00563F3F"/>
    <w:rsid w:val="0056594F"/>
    <w:rsid w:val="00565F76"/>
    <w:rsid w:val="005673FD"/>
    <w:rsid w:val="00567A3F"/>
    <w:rsid w:val="005700F2"/>
    <w:rsid w:val="005703EA"/>
    <w:rsid w:val="00571EF3"/>
    <w:rsid w:val="0057361A"/>
    <w:rsid w:val="00573E5A"/>
    <w:rsid w:val="00574048"/>
    <w:rsid w:val="005745EF"/>
    <w:rsid w:val="005759AB"/>
    <w:rsid w:val="00575DF7"/>
    <w:rsid w:val="00576BE0"/>
    <w:rsid w:val="00576C9E"/>
    <w:rsid w:val="00576FFE"/>
    <w:rsid w:val="00577086"/>
    <w:rsid w:val="005775C8"/>
    <w:rsid w:val="00577A3E"/>
    <w:rsid w:val="00577E6A"/>
    <w:rsid w:val="00580F27"/>
    <w:rsid w:val="00581522"/>
    <w:rsid w:val="00581EDE"/>
    <w:rsid w:val="00582E38"/>
    <w:rsid w:val="00582E7C"/>
    <w:rsid w:val="00583E02"/>
    <w:rsid w:val="00584A67"/>
    <w:rsid w:val="0058621D"/>
    <w:rsid w:val="005865A9"/>
    <w:rsid w:val="005869A7"/>
    <w:rsid w:val="00587875"/>
    <w:rsid w:val="005902AE"/>
    <w:rsid w:val="00590473"/>
    <w:rsid w:val="005906FD"/>
    <w:rsid w:val="0059088F"/>
    <w:rsid w:val="005908AA"/>
    <w:rsid w:val="00592129"/>
    <w:rsid w:val="00592917"/>
    <w:rsid w:val="00593C68"/>
    <w:rsid w:val="00594337"/>
    <w:rsid w:val="00594ED9"/>
    <w:rsid w:val="005958D7"/>
    <w:rsid w:val="00595970"/>
    <w:rsid w:val="005962B8"/>
    <w:rsid w:val="005972B3"/>
    <w:rsid w:val="0059751A"/>
    <w:rsid w:val="00597667"/>
    <w:rsid w:val="0059768E"/>
    <w:rsid w:val="0059798D"/>
    <w:rsid w:val="00597F9C"/>
    <w:rsid w:val="005A0449"/>
    <w:rsid w:val="005A0692"/>
    <w:rsid w:val="005A0919"/>
    <w:rsid w:val="005A0FAE"/>
    <w:rsid w:val="005A14BD"/>
    <w:rsid w:val="005A1A0E"/>
    <w:rsid w:val="005A1A32"/>
    <w:rsid w:val="005A2211"/>
    <w:rsid w:val="005A24EA"/>
    <w:rsid w:val="005A30A8"/>
    <w:rsid w:val="005A33EB"/>
    <w:rsid w:val="005A3CA6"/>
    <w:rsid w:val="005A3E46"/>
    <w:rsid w:val="005A49C7"/>
    <w:rsid w:val="005A4F12"/>
    <w:rsid w:val="005A5B51"/>
    <w:rsid w:val="005A5BB8"/>
    <w:rsid w:val="005A7CFC"/>
    <w:rsid w:val="005B03EE"/>
    <w:rsid w:val="005B04AE"/>
    <w:rsid w:val="005B0939"/>
    <w:rsid w:val="005B0C05"/>
    <w:rsid w:val="005B2834"/>
    <w:rsid w:val="005B3164"/>
    <w:rsid w:val="005B39D2"/>
    <w:rsid w:val="005B3A0F"/>
    <w:rsid w:val="005B3A3E"/>
    <w:rsid w:val="005B3E3B"/>
    <w:rsid w:val="005B3F3D"/>
    <w:rsid w:val="005B3F83"/>
    <w:rsid w:val="005B40A0"/>
    <w:rsid w:val="005B5698"/>
    <w:rsid w:val="005B59A9"/>
    <w:rsid w:val="005B5AA3"/>
    <w:rsid w:val="005B5FEA"/>
    <w:rsid w:val="005B6093"/>
    <w:rsid w:val="005B74FD"/>
    <w:rsid w:val="005C01D3"/>
    <w:rsid w:val="005C0269"/>
    <w:rsid w:val="005C05C0"/>
    <w:rsid w:val="005C05DD"/>
    <w:rsid w:val="005C05EC"/>
    <w:rsid w:val="005C061D"/>
    <w:rsid w:val="005C0D16"/>
    <w:rsid w:val="005C1DB7"/>
    <w:rsid w:val="005C1E3E"/>
    <w:rsid w:val="005C2395"/>
    <w:rsid w:val="005C27E8"/>
    <w:rsid w:val="005C3793"/>
    <w:rsid w:val="005C37A6"/>
    <w:rsid w:val="005C478A"/>
    <w:rsid w:val="005C4A2D"/>
    <w:rsid w:val="005C61E1"/>
    <w:rsid w:val="005C7A7B"/>
    <w:rsid w:val="005C7C7C"/>
    <w:rsid w:val="005C7FE5"/>
    <w:rsid w:val="005D0346"/>
    <w:rsid w:val="005D04C8"/>
    <w:rsid w:val="005D05E5"/>
    <w:rsid w:val="005D1A85"/>
    <w:rsid w:val="005D1A8A"/>
    <w:rsid w:val="005D1C5F"/>
    <w:rsid w:val="005D22E5"/>
    <w:rsid w:val="005D25F5"/>
    <w:rsid w:val="005D32F9"/>
    <w:rsid w:val="005D3347"/>
    <w:rsid w:val="005D3851"/>
    <w:rsid w:val="005D4599"/>
    <w:rsid w:val="005D5960"/>
    <w:rsid w:val="005D5B24"/>
    <w:rsid w:val="005D5D1D"/>
    <w:rsid w:val="005D6672"/>
    <w:rsid w:val="005E01EF"/>
    <w:rsid w:val="005E0689"/>
    <w:rsid w:val="005E06B1"/>
    <w:rsid w:val="005E0BF5"/>
    <w:rsid w:val="005E1157"/>
    <w:rsid w:val="005E17D1"/>
    <w:rsid w:val="005E21D7"/>
    <w:rsid w:val="005E2443"/>
    <w:rsid w:val="005E25A8"/>
    <w:rsid w:val="005E2DE2"/>
    <w:rsid w:val="005E3B87"/>
    <w:rsid w:val="005E4008"/>
    <w:rsid w:val="005E4150"/>
    <w:rsid w:val="005E507C"/>
    <w:rsid w:val="005E6FE4"/>
    <w:rsid w:val="005E7952"/>
    <w:rsid w:val="005F01A3"/>
    <w:rsid w:val="005F19AC"/>
    <w:rsid w:val="005F1B0D"/>
    <w:rsid w:val="005F1C8E"/>
    <w:rsid w:val="005F229B"/>
    <w:rsid w:val="005F40A4"/>
    <w:rsid w:val="005F45F0"/>
    <w:rsid w:val="005F468B"/>
    <w:rsid w:val="005F4914"/>
    <w:rsid w:val="005F5270"/>
    <w:rsid w:val="005F5506"/>
    <w:rsid w:val="005F5595"/>
    <w:rsid w:val="005F6E65"/>
    <w:rsid w:val="006002AB"/>
    <w:rsid w:val="00600B93"/>
    <w:rsid w:val="00601192"/>
    <w:rsid w:val="00601667"/>
    <w:rsid w:val="0060169B"/>
    <w:rsid w:val="0060186F"/>
    <w:rsid w:val="00601A92"/>
    <w:rsid w:val="00601F9E"/>
    <w:rsid w:val="0060204C"/>
    <w:rsid w:val="0060245F"/>
    <w:rsid w:val="00602775"/>
    <w:rsid w:val="00603545"/>
    <w:rsid w:val="00603B4C"/>
    <w:rsid w:val="00604AAE"/>
    <w:rsid w:val="00605667"/>
    <w:rsid w:val="00605918"/>
    <w:rsid w:val="00605A1B"/>
    <w:rsid w:val="0060608F"/>
    <w:rsid w:val="0060632E"/>
    <w:rsid w:val="00606471"/>
    <w:rsid w:val="00606546"/>
    <w:rsid w:val="00606604"/>
    <w:rsid w:val="0060670D"/>
    <w:rsid w:val="00606E15"/>
    <w:rsid w:val="006074C0"/>
    <w:rsid w:val="00610CFE"/>
    <w:rsid w:val="006111D3"/>
    <w:rsid w:val="0061128F"/>
    <w:rsid w:val="00611448"/>
    <w:rsid w:val="00611C8D"/>
    <w:rsid w:val="00612A21"/>
    <w:rsid w:val="00612EF9"/>
    <w:rsid w:val="00613DA6"/>
    <w:rsid w:val="00614042"/>
    <w:rsid w:val="006141BF"/>
    <w:rsid w:val="00614ECC"/>
    <w:rsid w:val="006157E6"/>
    <w:rsid w:val="00615D37"/>
    <w:rsid w:val="0061663C"/>
    <w:rsid w:val="0061668F"/>
    <w:rsid w:val="00616B41"/>
    <w:rsid w:val="006179DE"/>
    <w:rsid w:val="00617AEA"/>
    <w:rsid w:val="00620402"/>
    <w:rsid w:val="00622E46"/>
    <w:rsid w:val="006236BA"/>
    <w:rsid w:val="006245F8"/>
    <w:rsid w:val="00624794"/>
    <w:rsid w:val="0062567E"/>
    <w:rsid w:val="00625A85"/>
    <w:rsid w:val="00626CD5"/>
    <w:rsid w:val="00627321"/>
    <w:rsid w:val="00630888"/>
    <w:rsid w:val="00630D3C"/>
    <w:rsid w:val="00631C76"/>
    <w:rsid w:val="00632834"/>
    <w:rsid w:val="00632DA7"/>
    <w:rsid w:val="00632F33"/>
    <w:rsid w:val="00632F3E"/>
    <w:rsid w:val="00633F5C"/>
    <w:rsid w:val="00634B68"/>
    <w:rsid w:val="00636D0F"/>
    <w:rsid w:val="00637C6B"/>
    <w:rsid w:val="0064018F"/>
    <w:rsid w:val="0064097A"/>
    <w:rsid w:val="00640F06"/>
    <w:rsid w:val="00641CC6"/>
    <w:rsid w:val="0064223B"/>
    <w:rsid w:val="00642B11"/>
    <w:rsid w:val="00642E60"/>
    <w:rsid w:val="006431BD"/>
    <w:rsid w:val="00643558"/>
    <w:rsid w:val="00643893"/>
    <w:rsid w:val="006441BC"/>
    <w:rsid w:val="00644EC7"/>
    <w:rsid w:val="00645376"/>
    <w:rsid w:val="006456CA"/>
    <w:rsid w:val="006458E1"/>
    <w:rsid w:val="006460B0"/>
    <w:rsid w:val="006464B5"/>
    <w:rsid w:val="00647236"/>
    <w:rsid w:val="006474B6"/>
    <w:rsid w:val="006474F4"/>
    <w:rsid w:val="00651121"/>
    <w:rsid w:val="00651EB2"/>
    <w:rsid w:val="0065452C"/>
    <w:rsid w:val="00654961"/>
    <w:rsid w:val="006549CC"/>
    <w:rsid w:val="00654B53"/>
    <w:rsid w:val="0065529A"/>
    <w:rsid w:val="006556C9"/>
    <w:rsid w:val="00655AB8"/>
    <w:rsid w:val="00655AE8"/>
    <w:rsid w:val="00656007"/>
    <w:rsid w:val="00656648"/>
    <w:rsid w:val="00656893"/>
    <w:rsid w:val="00656DAA"/>
    <w:rsid w:val="006575F7"/>
    <w:rsid w:val="006618AD"/>
    <w:rsid w:val="0066269F"/>
    <w:rsid w:val="00662A2B"/>
    <w:rsid w:val="00664F4B"/>
    <w:rsid w:val="00666C7A"/>
    <w:rsid w:val="00667336"/>
    <w:rsid w:val="0067043F"/>
    <w:rsid w:val="006704A7"/>
    <w:rsid w:val="006707D9"/>
    <w:rsid w:val="00670849"/>
    <w:rsid w:val="006708E8"/>
    <w:rsid w:val="00670CD6"/>
    <w:rsid w:val="00671CFC"/>
    <w:rsid w:val="006725CC"/>
    <w:rsid w:val="006725D3"/>
    <w:rsid w:val="00673B7B"/>
    <w:rsid w:val="00673FC7"/>
    <w:rsid w:val="00674DFA"/>
    <w:rsid w:val="00674E5E"/>
    <w:rsid w:val="00674F5E"/>
    <w:rsid w:val="00675185"/>
    <w:rsid w:val="00676029"/>
    <w:rsid w:val="00676383"/>
    <w:rsid w:val="00676CFD"/>
    <w:rsid w:val="006777E8"/>
    <w:rsid w:val="006777F3"/>
    <w:rsid w:val="00677AA3"/>
    <w:rsid w:val="006802A3"/>
    <w:rsid w:val="00680958"/>
    <w:rsid w:val="006810E3"/>
    <w:rsid w:val="00681BE7"/>
    <w:rsid w:val="00682BF2"/>
    <w:rsid w:val="00682D6E"/>
    <w:rsid w:val="00682EA7"/>
    <w:rsid w:val="00683812"/>
    <w:rsid w:val="00683A83"/>
    <w:rsid w:val="00684AC4"/>
    <w:rsid w:val="00686CDE"/>
    <w:rsid w:val="0068741D"/>
    <w:rsid w:val="006879AA"/>
    <w:rsid w:val="006900F6"/>
    <w:rsid w:val="00691E1C"/>
    <w:rsid w:val="006922A2"/>
    <w:rsid w:val="00692372"/>
    <w:rsid w:val="0069282E"/>
    <w:rsid w:val="00692AA8"/>
    <w:rsid w:val="00693816"/>
    <w:rsid w:val="0069385A"/>
    <w:rsid w:val="00694FCA"/>
    <w:rsid w:val="006950FA"/>
    <w:rsid w:val="0069629F"/>
    <w:rsid w:val="00696D0D"/>
    <w:rsid w:val="006971C4"/>
    <w:rsid w:val="006977E7"/>
    <w:rsid w:val="006A10D4"/>
    <w:rsid w:val="006A1312"/>
    <w:rsid w:val="006A1718"/>
    <w:rsid w:val="006A2145"/>
    <w:rsid w:val="006A267A"/>
    <w:rsid w:val="006A2E08"/>
    <w:rsid w:val="006A339B"/>
    <w:rsid w:val="006A3B2B"/>
    <w:rsid w:val="006A4760"/>
    <w:rsid w:val="006A5451"/>
    <w:rsid w:val="006A5605"/>
    <w:rsid w:val="006A60BB"/>
    <w:rsid w:val="006A68C0"/>
    <w:rsid w:val="006B0683"/>
    <w:rsid w:val="006B0C43"/>
    <w:rsid w:val="006B271E"/>
    <w:rsid w:val="006B4676"/>
    <w:rsid w:val="006B5518"/>
    <w:rsid w:val="006B5FCB"/>
    <w:rsid w:val="006B643D"/>
    <w:rsid w:val="006B75FA"/>
    <w:rsid w:val="006C05BC"/>
    <w:rsid w:val="006C1D3F"/>
    <w:rsid w:val="006C310B"/>
    <w:rsid w:val="006C318C"/>
    <w:rsid w:val="006C3192"/>
    <w:rsid w:val="006C32FE"/>
    <w:rsid w:val="006C37A4"/>
    <w:rsid w:val="006C49F9"/>
    <w:rsid w:val="006C4AFF"/>
    <w:rsid w:val="006C4B5A"/>
    <w:rsid w:val="006C562B"/>
    <w:rsid w:val="006C58F8"/>
    <w:rsid w:val="006C686F"/>
    <w:rsid w:val="006C6E8A"/>
    <w:rsid w:val="006C6EB8"/>
    <w:rsid w:val="006C732F"/>
    <w:rsid w:val="006D051B"/>
    <w:rsid w:val="006D08C6"/>
    <w:rsid w:val="006D1160"/>
    <w:rsid w:val="006D2AD9"/>
    <w:rsid w:val="006D2EDD"/>
    <w:rsid w:val="006D2FF5"/>
    <w:rsid w:val="006D3A8E"/>
    <w:rsid w:val="006D3EC1"/>
    <w:rsid w:val="006D4520"/>
    <w:rsid w:val="006D4619"/>
    <w:rsid w:val="006D490F"/>
    <w:rsid w:val="006D4B2C"/>
    <w:rsid w:val="006D4F49"/>
    <w:rsid w:val="006D578B"/>
    <w:rsid w:val="006D57FE"/>
    <w:rsid w:val="006D5A5A"/>
    <w:rsid w:val="006D61DD"/>
    <w:rsid w:val="006D647D"/>
    <w:rsid w:val="006D7633"/>
    <w:rsid w:val="006D7F84"/>
    <w:rsid w:val="006E0F36"/>
    <w:rsid w:val="006E1045"/>
    <w:rsid w:val="006E1093"/>
    <w:rsid w:val="006E10D4"/>
    <w:rsid w:val="006E20EE"/>
    <w:rsid w:val="006E2180"/>
    <w:rsid w:val="006E239B"/>
    <w:rsid w:val="006E25C7"/>
    <w:rsid w:val="006E2655"/>
    <w:rsid w:val="006E2892"/>
    <w:rsid w:val="006E2C4C"/>
    <w:rsid w:val="006E3244"/>
    <w:rsid w:val="006E3315"/>
    <w:rsid w:val="006E3758"/>
    <w:rsid w:val="006E52A5"/>
    <w:rsid w:val="006E541C"/>
    <w:rsid w:val="006E5AF7"/>
    <w:rsid w:val="006E5EE2"/>
    <w:rsid w:val="006E636F"/>
    <w:rsid w:val="006E6603"/>
    <w:rsid w:val="006E6F68"/>
    <w:rsid w:val="006E7518"/>
    <w:rsid w:val="006E7585"/>
    <w:rsid w:val="006F0565"/>
    <w:rsid w:val="006F17BD"/>
    <w:rsid w:val="006F381B"/>
    <w:rsid w:val="006F38E7"/>
    <w:rsid w:val="006F4117"/>
    <w:rsid w:val="006F54EC"/>
    <w:rsid w:val="006F6328"/>
    <w:rsid w:val="006F69C6"/>
    <w:rsid w:val="006F6F68"/>
    <w:rsid w:val="0070040B"/>
    <w:rsid w:val="0070142B"/>
    <w:rsid w:val="00701985"/>
    <w:rsid w:val="0070295B"/>
    <w:rsid w:val="00702A43"/>
    <w:rsid w:val="00702ADB"/>
    <w:rsid w:val="0070369C"/>
    <w:rsid w:val="00705B5B"/>
    <w:rsid w:val="00705DCE"/>
    <w:rsid w:val="007070E5"/>
    <w:rsid w:val="007075B1"/>
    <w:rsid w:val="007078B2"/>
    <w:rsid w:val="007127BE"/>
    <w:rsid w:val="00715436"/>
    <w:rsid w:val="00715557"/>
    <w:rsid w:val="00715560"/>
    <w:rsid w:val="00715CE5"/>
    <w:rsid w:val="00716A70"/>
    <w:rsid w:val="00716B08"/>
    <w:rsid w:val="00717E21"/>
    <w:rsid w:val="00720413"/>
    <w:rsid w:val="00721EDC"/>
    <w:rsid w:val="0072218C"/>
    <w:rsid w:val="0072260E"/>
    <w:rsid w:val="00723572"/>
    <w:rsid w:val="00723839"/>
    <w:rsid w:val="007238F4"/>
    <w:rsid w:val="00723B23"/>
    <w:rsid w:val="00724F4F"/>
    <w:rsid w:val="00725295"/>
    <w:rsid w:val="007254E3"/>
    <w:rsid w:val="007257F8"/>
    <w:rsid w:val="00725C8E"/>
    <w:rsid w:val="00725CDC"/>
    <w:rsid w:val="00725FBA"/>
    <w:rsid w:val="00726C44"/>
    <w:rsid w:val="0072704B"/>
    <w:rsid w:val="00727EAC"/>
    <w:rsid w:val="007303DD"/>
    <w:rsid w:val="00731071"/>
    <w:rsid w:val="0073396F"/>
    <w:rsid w:val="00733D9A"/>
    <w:rsid w:val="007346F3"/>
    <w:rsid w:val="007348E3"/>
    <w:rsid w:val="00734AA0"/>
    <w:rsid w:val="0073604D"/>
    <w:rsid w:val="00736360"/>
    <w:rsid w:val="00736660"/>
    <w:rsid w:val="00736EDC"/>
    <w:rsid w:val="00736FD1"/>
    <w:rsid w:val="00737587"/>
    <w:rsid w:val="00737B22"/>
    <w:rsid w:val="00740BC5"/>
    <w:rsid w:val="00740EDD"/>
    <w:rsid w:val="007413B5"/>
    <w:rsid w:val="00743227"/>
    <w:rsid w:val="00743A52"/>
    <w:rsid w:val="00743C6B"/>
    <w:rsid w:val="00743F63"/>
    <w:rsid w:val="00744A8A"/>
    <w:rsid w:val="0074570C"/>
    <w:rsid w:val="0074603F"/>
    <w:rsid w:val="0074669E"/>
    <w:rsid w:val="007468EC"/>
    <w:rsid w:val="00746A71"/>
    <w:rsid w:val="00746B95"/>
    <w:rsid w:val="00746F75"/>
    <w:rsid w:val="00750DB9"/>
    <w:rsid w:val="00751C12"/>
    <w:rsid w:val="007529CE"/>
    <w:rsid w:val="00753C16"/>
    <w:rsid w:val="0075452A"/>
    <w:rsid w:val="007549A4"/>
    <w:rsid w:val="007556D5"/>
    <w:rsid w:val="0075630E"/>
    <w:rsid w:val="00756474"/>
    <w:rsid w:val="007576F1"/>
    <w:rsid w:val="00757836"/>
    <w:rsid w:val="00760911"/>
    <w:rsid w:val="00760BD2"/>
    <w:rsid w:val="007620D3"/>
    <w:rsid w:val="007641C1"/>
    <w:rsid w:val="00764B4D"/>
    <w:rsid w:val="00764BA7"/>
    <w:rsid w:val="007658C4"/>
    <w:rsid w:val="00765D4E"/>
    <w:rsid w:val="007668B0"/>
    <w:rsid w:val="00766DE9"/>
    <w:rsid w:val="00770402"/>
    <w:rsid w:val="00770486"/>
    <w:rsid w:val="00770995"/>
    <w:rsid w:val="00770FDC"/>
    <w:rsid w:val="00771096"/>
    <w:rsid w:val="0077141C"/>
    <w:rsid w:val="00771BB1"/>
    <w:rsid w:val="007725B4"/>
    <w:rsid w:val="0077286B"/>
    <w:rsid w:val="007730C7"/>
    <w:rsid w:val="00773F39"/>
    <w:rsid w:val="007740F1"/>
    <w:rsid w:val="0077413C"/>
    <w:rsid w:val="00774946"/>
    <w:rsid w:val="00774B18"/>
    <w:rsid w:val="00775301"/>
    <w:rsid w:val="007754C0"/>
    <w:rsid w:val="007756E7"/>
    <w:rsid w:val="00775875"/>
    <w:rsid w:val="00775B82"/>
    <w:rsid w:val="007771BA"/>
    <w:rsid w:val="00777383"/>
    <w:rsid w:val="00781827"/>
    <w:rsid w:val="00781A02"/>
    <w:rsid w:val="00783B89"/>
    <w:rsid w:val="00783C77"/>
    <w:rsid w:val="007844C8"/>
    <w:rsid w:val="00784721"/>
    <w:rsid w:val="00784864"/>
    <w:rsid w:val="0078728A"/>
    <w:rsid w:val="00787448"/>
    <w:rsid w:val="00787979"/>
    <w:rsid w:val="00787A8A"/>
    <w:rsid w:val="007905C4"/>
    <w:rsid w:val="00792004"/>
    <w:rsid w:val="00792ACB"/>
    <w:rsid w:val="00792C8B"/>
    <w:rsid w:val="00793093"/>
    <w:rsid w:val="0079337B"/>
    <w:rsid w:val="0079525C"/>
    <w:rsid w:val="007955CB"/>
    <w:rsid w:val="00795EED"/>
    <w:rsid w:val="007966F9"/>
    <w:rsid w:val="0079686C"/>
    <w:rsid w:val="007A0A55"/>
    <w:rsid w:val="007A195A"/>
    <w:rsid w:val="007A1A00"/>
    <w:rsid w:val="007A31F1"/>
    <w:rsid w:val="007A34B9"/>
    <w:rsid w:val="007A3B9F"/>
    <w:rsid w:val="007A4531"/>
    <w:rsid w:val="007A4E12"/>
    <w:rsid w:val="007A4FE5"/>
    <w:rsid w:val="007A55F3"/>
    <w:rsid w:val="007A60AE"/>
    <w:rsid w:val="007A7C36"/>
    <w:rsid w:val="007B0B9B"/>
    <w:rsid w:val="007B167F"/>
    <w:rsid w:val="007B18A4"/>
    <w:rsid w:val="007B2953"/>
    <w:rsid w:val="007B2BCE"/>
    <w:rsid w:val="007B3DC8"/>
    <w:rsid w:val="007B4812"/>
    <w:rsid w:val="007B4AFC"/>
    <w:rsid w:val="007B5078"/>
    <w:rsid w:val="007B5733"/>
    <w:rsid w:val="007B64E3"/>
    <w:rsid w:val="007B66A3"/>
    <w:rsid w:val="007B6B09"/>
    <w:rsid w:val="007B6BB8"/>
    <w:rsid w:val="007B7AEE"/>
    <w:rsid w:val="007B7FDD"/>
    <w:rsid w:val="007C0F6B"/>
    <w:rsid w:val="007C128E"/>
    <w:rsid w:val="007C169B"/>
    <w:rsid w:val="007C16E1"/>
    <w:rsid w:val="007C22FA"/>
    <w:rsid w:val="007C275D"/>
    <w:rsid w:val="007C27D9"/>
    <w:rsid w:val="007C37BE"/>
    <w:rsid w:val="007C3864"/>
    <w:rsid w:val="007C5A67"/>
    <w:rsid w:val="007C6CA4"/>
    <w:rsid w:val="007C76CF"/>
    <w:rsid w:val="007D093C"/>
    <w:rsid w:val="007D1121"/>
    <w:rsid w:val="007D19C3"/>
    <w:rsid w:val="007D1D7B"/>
    <w:rsid w:val="007D2025"/>
    <w:rsid w:val="007D2106"/>
    <w:rsid w:val="007D2B8D"/>
    <w:rsid w:val="007D3964"/>
    <w:rsid w:val="007D431A"/>
    <w:rsid w:val="007D4658"/>
    <w:rsid w:val="007D4782"/>
    <w:rsid w:val="007D5678"/>
    <w:rsid w:val="007D64E6"/>
    <w:rsid w:val="007D6B1E"/>
    <w:rsid w:val="007D6C96"/>
    <w:rsid w:val="007D6E49"/>
    <w:rsid w:val="007D703C"/>
    <w:rsid w:val="007D7267"/>
    <w:rsid w:val="007D7329"/>
    <w:rsid w:val="007D7849"/>
    <w:rsid w:val="007D7A4C"/>
    <w:rsid w:val="007E034D"/>
    <w:rsid w:val="007E04A4"/>
    <w:rsid w:val="007E08D6"/>
    <w:rsid w:val="007E1CA9"/>
    <w:rsid w:val="007E2AE9"/>
    <w:rsid w:val="007E2E44"/>
    <w:rsid w:val="007E3047"/>
    <w:rsid w:val="007E3072"/>
    <w:rsid w:val="007E3707"/>
    <w:rsid w:val="007E3EB2"/>
    <w:rsid w:val="007E4BD0"/>
    <w:rsid w:val="007E543F"/>
    <w:rsid w:val="007E644A"/>
    <w:rsid w:val="007E68C4"/>
    <w:rsid w:val="007F14BB"/>
    <w:rsid w:val="007F1F69"/>
    <w:rsid w:val="007F2532"/>
    <w:rsid w:val="007F27D8"/>
    <w:rsid w:val="007F35DE"/>
    <w:rsid w:val="007F38B2"/>
    <w:rsid w:val="007F3D96"/>
    <w:rsid w:val="007F3DA8"/>
    <w:rsid w:val="007F445A"/>
    <w:rsid w:val="007F4CF8"/>
    <w:rsid w:val="007F50FE"/>
    <w:rsid w:val="007F518D"/>
    <w:rsid w:val="007F5553"/>
    <w:rsid w:val="007F5D56"/>
    <w:rsid w:val="008002A7"/>
    <w:rsid w:val="008005B1"/>
    <w:rsid w:val="00800842"/>
    <w:rsid w:val="008008F0"/>
    <w:rsid w:val="0080115E"/>
    <w:rsid w:val="008012F4"/>
    <w:rsid w:val="0080138B"/>
    <w:rsid w:val="00801826"/>
    <w:rsid w:val="008025AD"/>
    <w:rsid w:val="00802D3A"/>
    <w:rsid w:val="00802E24"/>
    <w:rsid w:val="008038C2"/>
    <w:rsid w:val="00804333"/>
    <w:rsid w:val="00804383"/>
    <w:rsid w:val="008048E1"/>
    <w:rsid w:val="00804BE8"/>
    <w:rsid w:val="00805AEA"/>
    <w:rsid w:val="00805F11"/>
    <w:rsid w:val="00806943"/>
    <w:rsid w:val="00806F68"/>
    <w:rsid w:val="0081058F"/>
    <w:rsid w:val="008119B0"/>
    <w:rsid w:val="00811D23"/>
    <w:rsid w:val="00812066"/>
    <w:rsid w:val="008131AD"/>
    <w:rsid w:val="00813254"/>
    <w:rsid w:val="00813D27"/>
    <w:rsid w:val="0081756B"/>
    <w:rsid w:val="008175E3"/>
    <w:rsid w:val="00817916"/>
    <w:rsid w:val="008179DB"/>
    <w:rsid w:val="00817DED"/>
    <w:rsid w:val="008209C2"/>
    <w:rsid w:val="00822140"/>
    <w:rsid w:val="00822C43"/>
    <w:rsid w:val="0082341B"/>
    <w:rsid w:val="008238A7"/>
    <w:rsid w:val="00823C79"/>
    <w:rsid w:val="00823DBE"/>
    <w:rsid w:val="0082424D"/>
    <w:rsid w:val="00824E93"/>
    <w:rsid w:val="00825421"/>
    <w:rsid w:val="008258C9"/>
    <w:rsid w:val="0082604F"/>
    <w:rsid w:val="00827166"/>
    <w:rsid w:val="00827521"/>
    <w:rsid w:val="00827566"/>
    <w:rsid w:val="008277E6"/>
    <w:rsid w:val="008301BC"/>
    <w:rsid w:val="008301E0"/>
    <w:rsid w:val="00830B51"/>
    <w:rsid w:val="00830E79"/>
    <w:rsid w:val="00832465"/>
    <w:rsid w:val="008328D3"/>
    <w:rsid w:val="00832DE8"/>
    <w:rsid w:val="00833322"/>
    <w:rsid w:val="008345E8"/>
    <w:rsid w:val="00840790"/>
    <w:rsid w:val="008407E8"/>
    <w:rsid w:val="00841B6C"/>
    <w:rsid w:val="008424C7"/>
    <w:rsid w:val="0084256E"/>
    <w:rsid w:val="00842651"/>
    <w:rsid w:val="00842A95"/>
    <w:rsid w:val="008437F2"/>
    <w:rsid w:val="008439E4"/>
    <w:rsid w:val="00843B67"/>
    <w:rsid w:val="008444B8"/>
    <w:rsid w:val="00844D74"/>
    <w:rsid w:val="00846C66"/>
    <w:rsid w:val="0084774F"/>
    <w:rsid w:val="00850996"/>
    <w:rsid w:val="00850EC7"/>
    <w:rsid w:val="00851435"/>
    <w:rsid w:val="00851443"/>
    <w:rsid w:val="00851A7B"/>
    <w:rsid w:val="00852394"/>
    <w:rsid w:val="008524A9"/>
    <w:rsid w:val="008524CC"/>
    <w:rsid w:val="008526EA"/>
    <w:rsid w:val="00853E30"/>
    <w:rsid w:val="0085549A"/>
    <w:rsid w:val="008555C0"/>
    <w:rsid w:val="00855820"/>
    <w:rsid w:val="00855C4A"/>
    <w:rsid w:val="00855CD8"/>
    <w:rsid w:val="00856135"/>
    <w:rsid w:val="00860AEB"/>
    <w:rsid w:val="00861A84"/>
    <w:rsid w:val="00862B71"/>
    <w:rsid w:val="00862BB0"/>
    <w:rsid w:val="00862E44"/>
    <w:rsid w:val="00862F6B"/>
    <w:rsid w:val="00862FF7"/>
    <w:rsid w:val="008634A8"/>
    <w:rsid w:val="00863FDE"/>
    <w:rsid w:val="00864294"/>
    <w:rsid w:val="008653C4"/>
    <w:rsid w:val="00865571"/>
    <w:rsid w:val="00865694"/>
    <w:rsid w:val="00865993"/>
    <w:rsid w:val="0086693C"/>
    <w:rsid w:val="0086757D"/>
    <w:rsid w:val="008714ED"/>
    <w:rsid w:val="00871CCC"/>
    <w:rsid w:val="00871FB2"/>
    <w:rsid w:val="0087241D"/>
    <w:rsid w:val="00872748"/>
    <w:rsid w:val="008731D6"/>
    <w:rsid w:val="00873BF7"/>
    <w:rsid w:val="00873D24"/>
    <w:rsid w:val="008745A9"/>
    <w:rsid w:val="00874A98"/>
    <w:rsid w:val="00874DF0"/>
    <w:rsid w:val="008753C8"/>
    <w:rsid w:val="00875F18"/>
    <w:rsid w:val="00876232"/>
    <w:rsid w:val="00876A7B"/>
    <w:rsid w:val="00877223"/>
    <w:rsid w:val="008775DB"/>
    <w:rsid w:val="00877B1A"/>
    <w:rsid w:val="0088196C"/>
    <w:rsid w:val="00881CDC"/>
    <w:rsid w:val="00881D31"/>
    <w:rsid w:val="00882A00"/>
    <w:rsid w:val="00882EFF"/>
    <w:rsid w:val="0088399A"/>
    <w:rsid w:val="00883D51"/>
    <w:rsid w:val="00883EA2"/>
    <w:rsid w:val="008852C8"/>
    <w:rsid w:val="008852FB"/>
    <w:rsid w:val="00885752"/>
    <w:rsid w:val="008859B2"/>
    <w:rsid w:val="00885A45"/>
    <w:rsid w:val="00886087"/>
    <w:rsid w:val="00886620"/>
    <w:rsid w:val="00887051"/>
    <w:rsid w:val="0088743C"/>
    <w:rsid w:val="00887480"/>
    <w:rsid w:val="00887512"/>
    <w:rsid w:val="00887572"/>
    <w:rsid w:val="00887BBB"/>
    <w:rsid w:val="00890358"/>
    <w:rsid w:val="00890361"/>
    <w:rsid w:val="00890704"/>
    <w:rsid w:val="008908EB"/>
    <w:rsid w:val="00890C95"/>
    <w:rsid w:val="00890E0D"/>
    <w:rsid w:val="0089108C"/>
    <w:rsid w:val="00891187"/>
    <w:rsid w:val="00891447"/>
    <w:rsid w:val="00891456"/>
    <w:rsid w:val="00891763"/>
    <w:rsid w:val="00891B31"/>
    <w:rsid w:val="008926B2"/>
    <w:rsid w:val="00892AC4"/>
    <w:rsid w:val="00893DC2"/>
    <w:rsid w:val="00893F8E"/>
    <w:rsid w:val="0089485A"/>
    <w:rsid w:val="008952ED"/>
    <w:rsid w:val="0089667C"/>
    <w:rsid w:val="008969BA"/>
    <w:rsid w:val="00897BBB"/>
    <w:rsid w:val="00897CE3"/>
    <w:rsid w:val="008A3620"/>
    <w:rsid w:val="008A3EA4"/>
    <w:rsid w:val="008A4365"/>
    <w:rsid w:val="008A4495"/>
    <w:rsid w:val="008A4B7C"/>
    <w:rsid w:val="008A58B9"/>
    <w:rsid w:val="008A5E51"/>
    <w:rsid w:val="008A6016"/>
    <w:rsid w:val="008A6027"/>
    <w:rsid w:val="008A7472"/>
    <w:rsid w:val="008A7FF6"/>
    <w:rsid w:val="008B0EF3"/>
    <w:rsid w:val="008B0F3C"/>
    <w:rsid w:val="008B178A"/>
    <w:rsid w:val="008B2E50"/>
    <w:rsid w:val="008B36CB"/>
    <w:rsid w:val="008B41AE"/>
    <w:rsid w:val="008B431E"/>
    <w:rsid w:val="008B4DAB"/>
    <w:rsid w:val="008B5327"/>
    <w:rsid w:val="008B5F49"/>
    <w:rsid w:val="008B64DE"/>
    <w:rsid w:val="008B709D"/>
    <w:rsid w:val="008B7347"/>
    <w:rsid w:val="008B78E9"/>
    <w:rsid w:val="008C0EC5"/>
    <w:rsid w:val="008C1599"/>
    <w:rsid w:val="008C160B"/>
    <w:rsid w:val="008C1C97"/>
    <w:rsid w:val="008C275A"/>
    <w:rsid w:val="008C35A7"/>
    <w:rsid w:val="008C385C"/>
    <w:rsid w:val="008C39C9"/>
    <w:rsid w:val="008C3C62"/>
    <w:rsid w:val="008C4052"/>
    <w:rsid w:val="008C4B45"/>
    <w:rsid w:val="008C4BBF"/>
    <w:rsid w:val="008C59D6"/>
    <w:rsid w:val="008C5D99"/>
    <w:rsid w:val="008C64EB"/>
    <w:rsid w:val="008C6642"/>
    <w:rsid w:val="008C6D89"/>
    <w:rsid w:val="008C72B3"/>
    <w:rsid w:val="008C7841"/>
    <w:rsid w:val="008D08B5"/>
    <w:rsid w:val="008D1898"/>
    <w:rsid w:val="008D1CA5"/>
    <w:rsid w:val="008D2A27"/>
    <w:rsid w:val="008D2BB1"/>
    <w:rsid w:val="008D3167"/>
    <w:rsid w:val="008D51C2"/>
    <w:rsid w:val="008D51D6"/>
    <w:rsid w:val="008D5936"/>
    <w:rsid w:val="008D5E2E"/>
    <w:rsid w:val="008D6AC7"/>
    <w:rsid w:val="008D6DA9"/>
    <w:rsid w:val="008D78DC"/>
    <w:rsid w:val="008D7963"/>
    <w:rsid w:val="008D7AE2"/>
    <w:rsid w:val="008E084B"/>
    <w:rsid w:val="008E0CDC"/>
    <w:rsid w:val="008E176D"/>
    <w:rsid w:val="008E268F"/>
    <w:rsid w:val="008E28C7"/>
    <w:rsid w:val="008E34E0"/>
    <w:rsid w:val="008E378E"/>
    <w:rsid w:val="008E4A73"/>
    <w:rsid w:val="008E4BAD"/>
    <w:rsid w:val="008E4EC8"/>
    <w:rsid w:val="008E54E2"/>
    <w:rsid w:val="008E599A"/>
    <w:rsid w:val="008E5C5C"/>
    <w:rsid w:val="008E6AC8"/>
    <w:rsid w:val="008E6B40"/>
    <w:rsid w:val="008E7A8F"/>
    <w:rsid w:val="008E7DFD"/>
    <w:rsid w:val="008F00B4"/>
    <w:rsid w:val="008F037C"/>
    <w:rsid w:val="008F21DB"/>
    <w:rsid w:val="008F2AC1"/>
    <w:rsid w:val="008F2BD2"/>
    <w:rsid w:val="008F2DD7"/>
    <w:rsid w:val="008F30DB"/>
    <w:rsid w:val="008F38EC"/>
    <w:rsid w:val="008F4010"/>
    <w:rsid w:val="008F43C1"/>
    <w:rsid w:val="008F48FB"/>
    <w:rsid w:val="008F56D3"/>
    <w:rsid w:val="008F5954"/>
    <w:rsid w:val="00901882"/>
    <w:rsid w:val="00901B11"/>
    <w:rsid w:val="0090254E"/>
    <w:rsid w:val="009025A4"/>
    <w:rsid w:val="00902DE5"/>
    <w:rsid w:val="00902FA5"/>
    <w:rsid w:val="00903178"/>
    <w:rsid w:val="0090360C"/>
    <w:rsid w:val="00903ECF"/>
    <w:rsid w:val="00904356"/>
    <w:rsid w:val="00904A0B"/>
    <w:rsid w:val="00904A57"/>
    <w:rsid w:val="00904ED5"/>
    <w:rsid w:val="009050F5"/>
    <w:rsid w:val="00905266"/>
    <w:rsid w:val="00905CC9"/>
    <w:rsid w:val="00906D20"/>
    <w:rsid w:val="00907092"/>
    <w:rsid w:val="00907163"/>
    <w:rsid w:val="009073A0"/>
    <w:rsid w:val="00907A74"/>
    <w:rsid w:val="00907AAC"/>
    <w:rsid w:val="009102EA"/>
    <w:rsid w:val="00910643"/>
    <w:rsid w:val="009106E2"/>
    <w:rsid w:val="00910A12"/>
    <w:rsid w:val="00910CAF"/>
    <w:rsid w:val="00910DC0"/>
    <w:rsid w:val="00912C6F"/>
    <w:rsid w:val="0091398D"/>
    <w:rsid w:val="00913AE0"/>
    <w:rsid w:val="00913CD2"/>
    <w:rsid w:val="00914607"/>
    <w:rsid w:val="00914D55"/>
    <w:rsid w:val="009153EE"/>
    <w:rsid w:val="009158F7"/>
    <w:rsid w:val="00916E25"/>
    <w:rsid w:val="00916FFE"/>
    <w:rsid w:val="0092101E"/>
    <w:rsid w:val="009222E5"/>
    <w:rsid w:val="00922B31"/>
    <w:rsid w:val="0092346E"/>
    <w:rsid w:val="009236CC"/>
    <w:rsid w:val="00923B24"/>
    <w:rsid w:val="00926FB9"/>
    <w:rsid w:val="009275E5"/>
    <w:rsid w:val="009301C9"/>
    <w:rsid w:val="0093065B"/>
    <w:rsid w:val="00933854"/>
    <w:rsid w:val="00933AEA"/>
    <w:rsid w:val="00933E54"/>
    <w:rsid w:val="00934513"/>
    <w:rsid w:val="00934568"/>
    <w:rsid w:val="00934BCC"/>
    <w:rsid w:val="009353B1"/>
    <w:rsid w:val="009355A4"/>
    <w:rsid w:val="0093597C"/>
    <w:rsid w:val="009360B2"/>
    <w:rsid w:val="00936E25"/>
    <w:rsid w:val="0094043B"/>
    <w:rsid w:val="009408A8"/>
    <w:rsid w:val="00940913"/>
    <w:rsid w:val="0094095A"/>
    <w:rsid w:val="009421C3"/>
    <w:rsid w:val="00942D98"/>
    <w:rsid w:val="00943164"/>
    <w:rsid w:val="009431BD"/>
    <w:rsid w:val="009433B8"/>
    <w:rsid w:val="009441CB"/>
    <w:rsid w:val="00944A5F"/>
    <w:rsid w:val="00944D6B"/>
    <w:rsid w:val="00944FA3"/>
    <w:rsid w:val="00945102"/>
    <w:rsid w:val="00945E91"/>
    <w:rsid w:val="0094758C"/>
    <w:rsid w:val="0095083D"/>
    <w:rsid w:val="009510C1"/>
    <w:rsid w:val="00951D22"/>
    <w:rsid w:val="00951D27"/>
    <w:rsid w:val="00951D2E"/>
    <w:rsid w:val="00952440"/>
    <w:rsid w:val="009529CD"/>
    <w:rsid w:val="0095316A"/>
    <w:rsid w:val="00953461"/>
    <w:rsid w:val="0095348B"/>
    <w:rsid w:val="0095363C"/>
    <w:rsid w:val="0095386B"/>
    <w:rsid w:val="00953E70"/>
    <w:rsid w:val="009549D3"/>
    <w:rsid w:val="00954FA6"/>
    <w:rsid w:val="0095521E"/>
    <w:rsid w:val="00955B58"/>
    <w:rsid w:val="00956981"/>
    <w:rsid w:val="009573B0"/>
    <w:rsid w:val="009573B6"/>
    <w:rsid w:val="00957D19"/>
    <w:rsid w:val="00960D14"/>
    <w:rsid w:val="0096164A"/>
    <w:rsid w:val="0096183A"/>
    <w:rsid w:val="00961CF0"/>
    <w:rsid w:val="009635D9"/>
    <w:rsid w:val="009644B8"/>
    <w:rsid w:val="00964513"/>
    <w:rsid w:val="009645A1"/>
    <w:rsid w:val="009658C2"/>
    <w:rsid w:val="00965E7D"/>
    <w:rsid w:val="00965F13"/>
    <w:rsid w:val="00966959"/>
    <w:rsid w:val="00966A07"/>
    <w:rsid w:val="009676B5"/>
    <w:rsid w:val="00967C7D"/>
    <w:rsid w:val="00970A98"/>
    <w:rsid w:val="00971F1A"/>
    <w:rsid w:val="00971F34"/>
    <w:rsid w:val="00972862"/>
    <w:rsid w:val="009728AD"/>
    <w:rsid w:val="00973431"/>
    <w:rsid w:val="00973651"/>
    <w:rsid w:val="00973BDE"/>
    <w:rsid w:val="009751E8"/>
    <w:rsid w:val="00975320"/>
    <w:rsid w:val="009753A4"/>
    <w:rsid w:val="009763F1"/>
    <w:rsid w:val="00976BAF"/>
    <w:rsid w:val="00977572"/>
    <w:rsid w:val="009831A5"/>
    <w:rsid w:val="009838D1"/>
    <w:rsid w:val="00984404"/>
    <w:rsid w:val="00984438"/>
    <w:rsid w:val="00985BCC"/>
    <w:rsid w:val="00986242"/>
    <w:rsid w:val="00986D42"/>
    <w:rsid w:val="009871EF"/>
    <w:rsid w:val="0098742F"/>
    <w:rsid w:val="00987F2E"/>
    <w:rsid w:val="009904E0"/>
    <w:rsid w:val="00990D20"/>
    <w:rsid w:val="0099236E"/>
    <w:rsid w:val="00992672"/>
    <w:rsid w:val="009926BC"/>
    <w:rsid w:val="00992A53"/>
    <w:rsid w:val="00992F7D"/>
    <w:rsid w:val="0099318A"/>
    <w:rsid w:val="009933FB"/>
    <w:rsid w:val="0099389A"/>
    <w:rsid w:val="00993E9F"/>
    <w:rsid w:val="00994575"/>
    <w:rsid w:val="00994A1B"/>
    <w:rsid w:val="00995322"/>
    <w:rsid w:val="00995338"/>
    <w:rsid w:val="00995CE7"/>
    <w:rsid w:val="009969B5"/>
    <w:rsid w:val="00996C1B"/>
    <w:rsid w:val="009974D8"/>
    <w:rsid w:val="009A10F2"/>
    <w:rsid w:val="009A1580"/>
    <w:rsid w:val="009A1B27"/>
    <w:rsid w:val="009A1B9A"/>
    <w:rsid w:val="009A1BF5"/>
    <w:rsid w:val="009A2D67"/>
    <w:rsid w:val="009A3409"/>
    <w:rsid w:val="009A3879"/>
    <w:rsid w:val="009A3F02"/>
    <w:rsid w:val="009A4A9D"/>
    <w:rsid w:val="009A63D1"/>
    <w:rsid w:val="009A6738"/>
    <w:rsid w:val="009A6ABD"/>
    <w:rsid w:val="009A6F7E"/>
    <w:rsid w:val="009A72D2"/>
    <w:rsid w:val="009B02C6"/>
    <w:rsid w:val="009B07FE"/>
    <w:rsid w:val="009B0877"/>
    <w:rsid w:val="009B0E03"/>
    <w:rsid w:val="009B1D4D"/>
    <w:rsid w:val="009B2215"/>
    <w:rsid w:val="009B22F6"/>
    <w:rsid w:val="009B32C8"/>
    <w:rsid w:val="009B3B07"/>
    <w:rsid w:val="009B4089"/>
    <w:rsid w:val="009B412C"/>
    <w:rsid w:val="009B459C"/>
    <w:rsid w:val="009B49B5"/>
    <w:rsid w:val="009B500D"/>
    <w:rsid w:val="009B507C"/>
    <w:rsid w:val="009B70E9"/>
    <w:rsid w:val="009B79AC"/>
    <w:rsid w:val="009B7B8D"/>
    <w:rsid w:val="009B7F9F"/>
    <w:rsid w:val="009C0F17"/>
    <w:rsid w:val="009C1289"/>
    <w:rsid w:val="009C12CD"/>
    <w:rsid w:val="009C1527"/>
    <w:rsid w:val="009C1A9B"/>
    <w:rsid w:val="009C1BFE"/>
    <w:rsid w:val="009C1CAA"/>
    <w:rsid w:val="009C213B"/>
    <w:rsid w:val="009C22FA"/>
    <w:rsid w:val="009C30E1"/>
    <w:rsid w:val="009C3143"/>
    <w:rsid w:val="009C48B2"/>
    <w:rsid w:val="009C4D57"/>
    <w:rsid w:val="009C55D9"/>
    <w:rsid w:val="009C5FB2"/>
    <w:rsid w:val="009C69F1"/>
    <w:rsid w:val="009C7475"/>
    <w:rsid w:val="009C7B74"/>
    <w:rsid w:val="009D01CE"/>
    <w:rsid w:val="009D0F2B"/>
    <w:rsid w:val="009D1797"/>
    <w:rsid w:val="009D1815"/>
    <w:rsid w:val="009D20EC"/>
    <w:rsid w:val="009D275E"/>
    <w:rsid w:val="009D305A"/>
    <w:rsid w:val="009D4C91"/>
    <w:rsid w:val="009D5241"/>
    <w:rsid w:val="009D5737"/>
    <w:rsid w:val="009D57B3"/>
    <w:rsid w:val="009D6270"/>
    <w:rsid w:val="009D694C"/>
    <w:rsid w:val="009D6E8C"/>
    <w:rsid w:val="009D720C"/>
    <w:rsid w:val="009D7670"/>
    <w:rsid w:val="009D77EE"/>
    <w:rsid w:val="009E06FF"/>
    <w:rsid w:val="009E0AE0"/>
    <w:rsid w:val="009E1189"/>
    <w:rsid w:val="009E1371"/>
    <w:rsid w:val="009E14F6"/>
    <w:rsid w:val="009E1A64"/>
    <w:rsid w:val="009E2A6C"/>
    <w:rsid w:val="009E3214"/>
    <w:rsid w:val="009E32FB"/>
    <w:rsid w:val="009E34A6"/>
    <w:rsid w:val="009E38AC"/>
    <w:rsid w:val="009E4444"/>
    <w:rsid w:val="009E5676"/>
    <w:rsid w:val="009E5787"/>
    <w:rsid w:val="009E5B8D"/>
    <w:rsid w:val="009E5F4E"/>
    <w:rsid w:val="009E5FD4"/>
    <w:rsid w:val="009E6F00"/>
    <w:rsid w:val="009E7912"/>
    <w:rsid w:val="009F03A5"/>
    <w:rsid w:val="009F0ABD"/>
    <w:rsid w:val="009F0EC8"/>
    <w:rsid w:val="009F1F17"/>
    <w:rsid w:val="009F23A3"/>
    <w:rsid w:val="009F33D5"/>
    <w:rsid w:val="009F53F8"/>
    <w:rsid w:val="009F5403"/>
    <w:rsid w:val="009F56EA"/>
    <w:rsid w:val="009F5E32"/>
    <w:rsid w:val="009F6506"/>
    <w:rsid w:val="009F78A0"/>
    <w:rsid w:val="009F7B0F"/>
    <w:rsid w:val="00A0047B"/>
    <w:rsid w:val="00A00721"/>
    <w:rsid w:val="00A00D55"/>
    <w:rsid w:val="00A010AB"/>
    <w:rsid w:val="00A02441"/>
    <w:rsid w:val="00A02452"/>
    <w:rsid w:val="00A03382"/>
    <w:rsid w:val="00A035F6"/>
    <w:rsid w:val="00A03E50"/>
    <w:rsid w:val="00A04606"/>
    <w:rsid w:val="00A048F9"/>
    <w:rsid w:val="00A04DD7"/>
    <w:rsid w:val="00A05AB3"/>
    <w:rsid w:val="00A05D94"/>
    <w:rsid w:val="00A0601D"/>
    <w:rsid w:val="00A10C3E"/>
    <w:rsid w:val="00A11347"/>
    <w:rsid w:val="00A1210E"/>
    <w:rsid w:val="00A12210"/>
    <w:rsid w:val="00A1272D"/>
    <w:rsid w:val="00A13D7B"/>
    <w:rsid w:val="00A142EB"/>
    <w:rsid w:val="00A14AF6"/>
    <w:rsid w:val="00A15884"/>
    <w:rsid w:val="00A16BF2"/>
    <w:rsid w:val="00A179BA"/>
    <w:rsid w:val="00A17B9D"/>
    <w:rsid w:val="00A17D4A"/>
    <w:rsid w:val="00A20CC5"/>
    <w:rsid w:val="00A20D05"/>
    <w:rsid w:val="00A217AD"/>
    <w:rsid w:val="00A22461"/>
    <w:rsid w:val="00A22F2A"/>
    <w:rsid w:val="00A23C02"/>
    <w:rsid w:val="00A24804"/>
    <w:rsid w:val="00A26DE8"/>
    <w:rsid w:val="00A30262"/>
    <w:rsid w:val="00A308CA"/>
    <w:rsid w:val="00A30ED8"/>
    <w:rsid w:val="00A316C3"/>
    <w:rsid w:val="00A31CBB"/>
    <w:rsid w:val="00A31FDA"/>
    <w:rsid w:val="00A3215F"/>
    <w:rsid w:val="00A3243E"/>
    <w:rsid w:val="00A32846"/>
    <w:rsid w:val="00A32ADA"/>
    <w:rsid w:val="00A332FB"/>
    <w:rsid w:val="00A33703"/>
    <w:rsid w:val="00A36091"/>
    <w:rsid w:val="00A3627D"/>
    <w:rsid w:val="00A36F12"/>
    <w:rsid w:val="00A37985"/>
    <w:rsid w:val="00A37A61"/>
    <w:rsid w:val="00A411D5"/>
    <w:rsid w:val="00A41302"/>
    <w:rsid w:val="00A418D1"/>
    <w:rsid w:val="00A42275"/>
    <w:rsid w:val="00A42FCF"/>
    <w:rsid w:val="00A430E6"/>
    <w:rsid w:val="00A457BC"/>
    <w:rsid w:val="00A46149"/>
    <w:rsid w:val="00A462AA"/>
    <w:rsid w:val="00A47132"/>
    <w:rsid w:val="00A47CB1"/>
    <w:rsid w:val="00A50197"/>
    <w:rsid w:val="00A50725"/>
    <w:rsid w:val="00A50951"/>
    <w:rsid w:val="00A52BBF"/>
    <w:rsid w:val="00A53A3F"/>
    <w:rsid w:val="00A5463B"/>
    <w:rsid w:val="00A556DE"/>
    <w:rsid w:val="00A56503"/>
    <w:rsid w:val="00A57000"/>
    <w:rsid w:val="00A573F2"/>
    <w:rsid w:val="00A57A64"/>
    <w:rsid w:val="00A60918"/>
    <w:rsid w:val="00A619C9"/>
    <w:rsid w:val="00A61A09"/>
    <w:rsid w:val="00A61B81"/>
    <w:rsid w:val="00A6293F"/>
    <w:rsid w:val="00A62CAF"/>
    <w:rsid w:val="00A633A0"/>
    <w:rsid w:val="00A638CC"/>
    <w:rsid w:val="00A646D1"/>
    <w:rsid w:val="00A65172"/>
    <w:rsid w:val="00A658ED"/>
    <w:rsid w:val="00A66F9C"/>
    <w:rsid w:val="00A70150"/>
    <w:rsid w:val="00A706EE"/>
    <w:rsid w:val="00A7070A"/>
    <w:rsid w:val="00A714D1"/>
    <w:rsid w:val="00A71D3C"/>
    <w:rsid w:val="00A73078"/>
    <w:rsid w:val="00A73757"/>
    <w:rsid w:val="00A73B1B"/>
    <w:rsid w:val="00A74954"/>
    <w:rsid w:val="00A74C45"/>
    <w:rsid w:val="00A74E08"/>
    <w:rsid w:val="00A752DC"/>
    <w:rsid w:val="00A75D60"/>
    <w:rsid w:val="00A762BA"/>
    <w:rsid w:val="00A76F00"/>
    <w:rsid w:val="00A773F3"/>
    <w:rsid w:val="00A77588"/>
    <w:rsid w:val="00A77635"/>
    <w:rsid w:val="00A77DF5"/>
    <w:rsid w:val="00A806B4"/>
    <w:rsid w:val="00A80D1B"/>
    <w:rsid w:val="00A8162B"/>
    <w:rsid w:val="00A81691"/>
    <w:rsid w:val="00A81706"/>
    <w:rsid w:val="00A8235C"/>
    <w:rsid w:val="00A825A2"/>
    <w:rsid w:val="00A82701"/>
    <w:rsid w:val="00A82819"/>
    <w:rsid w:val="00A82872"/>
    <w:rsid w:val="00A84C99"/>
    <w:rsid w:val="00A868E4"/>
    <w:rsid w:val="00A86E75"/>
    <w:rsid w:val="00A87EAF"/>
    <w:rsid w:val="00A90ACD"/>
    <w:rsid w:val="00A9195B"/>
    <w:rsid w:val="00A91CBD"/>
    <w:rsid w:val="00A91D25"/>
    <w:rsid w:val="00A9209E"/>
    <w:rsid w:val="00A929BD"/>
    <w:rsid w:val="00A9362B"/>
    <w:rsid w:val="00A93F41"/>
    <w:rsid w:val="00A944AF"/>
    <w:rsid w:val="00A945FD"/>
    <w:rsid w:val="00A95B98"/>
    <w:rsid w:val="00A9732E"/>
    <w:rsid w:val="00AA0570"/>
    <w:rsid w:val="00AA0C71"/>
    <w:rsid w:val="00AA122F"/>
    <w:rsid w:val="00AA13E2"/>
    <w:rsid w:val="00AA2306"/>
    <w:rsid w:val="00AA2475"/>
    <w:rsid w:val="00AA355B"/>
    <w:rsid w:val="00AA3F44"/>
    <w:rsid w:val="00AA5142"/>
    <w:rsid w:val="00AA5581"/>
    <w:rsid w:val="00AA62F9"/>
    <w:rsid w:val="00AA6B15"/>
    <w:rsid w:val="00AB0058"/>
    <w:rsid w:val="00AB1A98"/>
    <w:rsid w:val="00AB2592"/>
    <w:rsid w:val="00AB3521"/>
    <w:rsid w:val="00AB35B3"/>
    <w:rsid w:val="00AB4715"/>
    <w:rsid w:val="00AB4A58"/>
    <w:rsid w:val="00AB50E6"/>
    <w:rsid w:val="00AB5694"/>
    <w:rsid w:val="00AB5800"/>
    <w:rsid w:val="00AB58EE"/>
    <w:rsid w:val="00AB6F9F"/>
    <w:rsid w:val="00AB70D3"/>
    <w:rsid w:val="00AB7718"/>
    <w:rsid w:val="00AB791C"/>
    <w:rsid w:val="00AB7BDF"/>
    <w:rsid w:val="00AC00D5"/>
    <w:rsid w:val="00AC1197"/>
    <w:rsid w:val="00AC122B"/>
    <w:rsid w:val="00AC20F4"/>
    <w:rsid w:val="00AC297F"/>
    <w:rsid w:val="00AC2E22"/>
    <w:rsid w:val="00AC3011"/>
    <w:rsid w:val="00AC3244"/>
    <w:rsid w:val="00AC329F"/>
    <w:rsid w:val="00AC331B"/>
    <w:rsid w:val="00AC4332"/>
    <w:rsid w:val="00AC45CD"/>
    <w:rsid w:val="00AC4A0D"/>
    <w:rsid w:val="00AC4BA4"/>
    <w:rsid w:val="00AC7379"/>
    <w:rsid w:val="00AD078B"/>
    <w:rsid w:val="00AD154B"/>
    <w:rsid w:val="00AD196D"/>
    <w:rsid w:val="00AD2C99"/>
    <w:rsid w:val="00AD3C00"/>
    <w:rsid w:val="00AD470D"/>
    <w:rsid w:val="00AD472B"/>
    <w:rsid w:val="00AD5423"/>
    <w:rsid w:val="00AD63F0"/>
    <w:rsid w:val="00AD7434"/>
    <w:rsid w:val="00AD7C8F"/>
    <w:rsid w:val="00AE0914"/>
    <w:rsid w:val="00AE10BA"/>
    <w:rsid w:val="00AE1E42"/>
    <w:rsid w:val="00AE218F"/>
    <w:rsid w:val="00AE2C0F"/>
    <w:rsid w:val="00AE30BD"/>
    <w:rsid w:val="00AE365C"/>
    <w:rsid w:val="00AE5300"/>
    <w:rsid w:val="00AE58B3"/>
    <w:rsid w:val="00AE66C8"/>
    <w:rsid w:val="00AE71BE"/>
    <w:rsid w:val="00AE785A"/>
    <w:rsid w:val="00AE7D37"/>
    <w:rsid w:val="00AF02F7"/>
    <w:rsid w:val="00AF04D2"/>
    <w:rsid w:val="00AF0802"/>
    <w:rsid w:val="00AF1598"/>
    <w:rsid w:val="00AF20B5"/>
    <w:rsid w:val="00AF246F"/>
    <w:rsid w:val="00AF2808"/>
    <w:rsid w:val="00AF2E2B"/>
    <w:rsid w:val="00AF3D45"/>
    <w:rsid w:val="00AF3F72"/>
    <w:rsid w:val="00AF492D"/>
    <w:rsid w:val="00AF5874"/>
    <w:rsid w:val="00AF5A25"/>
    <w:rsid w:val="00AF6C1D"/>
    <w:rsid w:val="00B0030D"/>
    <w:rsid w:val="00B00577"/>
    <w:rsid w:val="00B011B7"/>
    <w:rsid w:val="00B02175"/>
    <w:rsid w:val="00B029F9"/>
    <w:rsid w:val="00B0357B"/>
    <w:rsid w:val="00B03C79"/>
    <w:rsid w:val="00B042E8"/>
    <w:rsid w:val="00B0466E"/>
    <w:rsid w:val="00B049C5"/>
    <w:rsid w:val="00B04DE3"/>
    <w:rsid w:val="00B1082D"/>
    <w:rsid w:val="00B10B0E"/>
    <w:rsid w:val="00B111F5"/>
    <w:rsid w:val="00B11660"/>
    <w:rsid w:val="00B11EBA"/>
    <w:rsid w:val="00B122F0"/>
    <w:rsid w:val="00B13AEF"/>
    <w:rsid w:val="00B14351"/>
    <w:rsid w:val="00B147B2"/>
    <w:rsid w:val="00B150C4"/>
    <w:rsid w:val="00B1560E"/>
    <w:rsid w:val="00B15934"/>
    <w:rsid w:val="00B15D5E"/>
    <w:rsid w:val="00B15ECD"/>
    <w:rsid w:val="00B16090"/>
    <w:rsid w:val="00B163E1"/>
    <w:rsid w:val="00B173B0"/>
    <w:rsid w:val="00B1757A"/>
    <w:rsid w:val="00B17D6D"/>
    <w:rsid w:val="00B212D3"/>
    <w:rsid w:val="00B2195C"/>
    <w:rsid w:val="00B21D61"/>
    <w:rsid w:val="00B22150"/>
    <w:rsid w:val="00B223B6"/>
    <w:rsid w:val="00B227BE"/>
    <w:rsid w:val="00B22DC9"/>
    <w:rsid w:val="00B2365E"/>
    <w:rsid w:val="00B23B4B"/>
    <w:rsid w:val="00B23C21"/>
    <w:rsid w:val="00B23EA3"/>
    <w:rsid w:val="00B243DB"/>
    <w:rsid w:val="00B2468D"/>
    <w:rsid w:val="00B246B8"/>
    <w:rsid w:val="00B25806"/>
    <w:rsid w:val="00B25A3A"/>
    <w:rsid w:val="00B27085"/>
    <w:rsid w:val="00B277EC"/>
    <w:rsid w:val="00B30A29"/>
    <w:rsid w:val="00B313DE"/>
    <w:rsid w:val="00B31E67"/>
    <w:rsid w:val="00B31FC7"/>
    <w:rsid w:val="00B32851"/>
    <w:rsid w:val="00B32BE6"/>
    <w:rsid w:val="00B32F0C"/>
    <w:rsid w:val="00B333C5"/>
    <w:rsid w:val="00B33498"/>
    <w:rsid w:val="00B33C3A"/>
    <w:rsid w:val="00B33D71"/>
    <w:rsid w:val="00B34068"/>
    <w:rsid w:val="00B34655"/>
    <w:rsid w:val="00B36D98"/>
    <w:rsid w:val="00B37017"/>
    <w:rsid w:val="00B37216"/>
    <w:rsid w:val="00B37E81"/>
    <w:rsid w:val="00B40389"/>
    <w:rsid w:val="00B4045C"/>
    <w:rsid w:val="00B406BA"/>
    <w:rsid w:val="00B40716"/>
    <w:rsid w:val="00B41355"/>
    <w:rsid w:val="00B41706"/>
    <w:rsid w:val="00B42C71"/>
    <w:rsid w:val="00B42E2B"/>
    <w:rsid w:val="00B435E4"/>
    <w:rsid w:val="00B44F05"/>
    <w:rsid w:val="00B45259"/>
    <w:rsid w:val="00B462C9"/>
    <w:rsid w:val="00B476AF"/>
    <w:rsid w:val="00B47CC7"/>
    <w:rsid w:val="00B502FA"/>
    <w:rsid w:val="00B51B51"/>
    <w:rsid w:val="00B525B4"/>
    <w:rsid w:val="00B52A41"/>
    <w:rsid w:val="00B52C82"/>
    <w:rsid w:val="00B5314A"/>
    <w:rsid w:val="00B535CA"/>
    <w:rsid w:val="00B54029"/>
    <w:rsid w:val="00B54366"/>
    <w:rsid w:val="00B5541A"/>
    <w:rsid w:val="00B5590F"/>
    <w:rsid w:val="00B5593F"/>
    <w:rsid w:val="00B562A5"/>
    <w:rsid w:val="00B56368"/>
    <w:rsid w:val="00B570EA"/>
    <w:rsid w:val="00B60425"/>
    <w:rsid w:val="00B61C86"/>
    <w:rsid w:val="00B6321D"/>
    <w:rsid w:val="00B63763"/>
    <w:rsid w:val="00B63B5F"/>
    <w:rsid w:val="00B63F5A"/>
    <w:rsid w:val="00B64BDF"/>
    <w:rsid w:val="00B64D25"/>
    <w:rsid w:val="00B65753"/>
    <w:rsid w:val="00B65C7D"/>
    <w:rsid w:val="00B65E98"/>
    <w:rsid w:val="00B663FD"/>
    <w:rsid w:val="00B66EAC"/>
    <w:rsid w:val="00B67513"/>
    <w:rsid w:val="00B67CBD"/>
    <w:rsid w:val="00B71F41"/>
    <w:rsid w:val="00B72CFC"/>
    <w:rsid w:val="00B73BD4"/>
    <w:rsid w:val="00B73E82"/>
    <w:rsid w:val="00B74357"/>
    <w:rsid w:val="00B75642"/>
    <w:rsid w:val="00B765B2"/>
    <w:rsid w:val="00B77564"/>
    <w:rsid w:val="00B77C1D"/>
    <w:rsid w:val="00B77E5E"/>
    <w:rsid w:val="00B77E9A"/>
    <w:rsid w:val="00B80DEC"/>
    <w:rsid w:val="00B81972"/>
    <w:rsid w:val="00B81A81"/>
    <w:rsid w:val="00B81AB8"/>
    <w:rsid w:val="00B823E7"/>
    <w:rsid w:val="00B83660"/>
    <w:rsid w:val="00B83892"/>
    <w:rsid w:val="00B83D8D"/>
    <w:rsid w:val="00B845B1"/>
    <w:rsid w:val="00B84A30"/>
    <w:rsid w:val="00B84B5F"/>
    <w:rsid w:val="00B84C2F"/>
    <w:rsid w:val="00B857EA"/>
    <w:rsid w:val="00B857FE"/>
    <w:rsid w:val="00B85F8C"/>
    <w:rsid w:val="00B86D01"/>
    <w:rsid w:val="00B87025"/>
    <w:rsid w:val="00B8736C"/>
    <w:rsid w:val="00B87CB2"/>
    <w:rsid w:val="00B87CF5"/>
    <w:rsid w:val="00B906AC"/>
    <w:rsid w:val="00B906EC"/>
    <w:rsid w:val="00B90979"/>
    <w:rsid w:val="00B90E6C"/>
    <w:rsid w:val="00B91E9C"/>
    <w:rsid w:val="00B92713"/>
    <w:rsid w:val="00B931A7"/>
    <w:rsid w:val="00B93732"/>
    <w:rsid w:val="00B93DFF"/>
    <w:rsid w:val="00B94708"/>
    <w:rsid w:val="00B94A80"/>
    <w:rsid w:val="00B950F7"/>
    <w:rsid w:val="00B95747"/>
    <w:rsid w:val="00B958CB"/>
    <w:rsid w:val="00B96A9C"/>
    <w:rsid w:val="00BA02C9"/>
    <w:rsid w:val="00BA11B7"/>
    <w:rsid w:val="00BA1248"/>
    <w:rsid w:val="00BA1665"/>
    <w:rsid w:val="00BA1CD4"/>
    <w:rsid w:val="00BA221C"/>
    <w:rsid w:val="00BA2530"/>
    <w:rsid w:val="00BA293F"/>
    <w:rsid w:val="00BA29ED"/>
    <w:rsid w:val="00BA3FA6"/>
    <w:rsid w:val="00BA5209"/>
    <w:rsid w:val="00BA5FB2"/>
    <w:rsid w:val="00BA645B"/>
    <w:rsid w:val="00BA64FE"/>
    <w:rsid w:val="00BA6CF7"/>
    <w:rsid w:val="00BA7170"/>
    <w:rsid w:val="00BA7A05"/>
    <w:rsid w:val="00BA7A0D"/>
    <w:rsid w:val="00BA7BE9"/>
    <w:rsid w:val="00BA7C05"/>
    <w:rsid w:val="00BB00AA"/>
    <w:rsid w:val="00BB15EC"/>
    <w:rsid w:val="00BB1663"/>
    <w:rsid w:val="00BB19BB"/>
    <w:rsid w:val="00BB1AEB"/>
    <w:rsid w:val="00BB1C5D"/>
    <w:rsid w:val="00BB3FE6"/>
    <w:rsid w:val="00BB5053"/>
    <w:rsid w:val="00BB554C"/>
    <w:rsid w:val="00BB60DE"/>
    <w:rsid w:val="00BB639C"/>
    <w:rsid w:val="00BB655D"/>
    <w:rsid w:val="00BB665C"/>
    <w:rsid w:val="00BB71A8"/>
    <w:rsid w:val="00BB72C9"/>
    <w:rsid w:val="00BC0401"/>
    <w:rsid w:val="00BC0E0A"/>
    <w:rsid w:val="00BC283D"/>
    <w:rsid w:val="00BC3207"/>
    <w:rsid w:val="00BC3D9B"/>
    <w:rsid w:val="00BC4926"/>
    <w:rsid w:val="00BC5B20"/>
    <w:rsid w:val="00BC5B24"/>
    <w:rsid w:val="00BC5DE5"/>
    <w:rsid w:val="00BC685A"/>
    <w:rsid w:val="00BC68D6"/>
    <w:rsid w:val="00BC76FB"/>
    <w:rsid w:val="00BC7733"/>
    <w:rsid w:val="00BC77F4"/>
    <w:rsid w:val="00BD1220"/>
    <w:rsid w:val="00BD197D"/>
    <w:rsid w:val="00BD206D"/>
    <w:rsid w:val="00BD2530"/>
    <w:rsid w:val="00BD4547"/>
    <w:rsid w:val="00BD4F81"/>
    <w:rsid w:val="00BD5E50"/>
    <w:rsid w:val="00BD64F1"/>
    <w:rsid w:val="00BD69DD"/>
    <w:rsid w:val="00BD70C4"/>
    <w:rsid w:val="00BD74F8"/>
    <w:rsid w:val="00BD7933"/>
    <w:rsid w:val="00BD7BE9"/>
    <w:rsid w:val="00BE0CBA"/>
    <w:rsid w:val="00BE13FE"/>
    <w:rsid w:val="00BE1423"/>
    <w:rsid w:val="00BE1D63"/>
    <w:rsid w:val="00BE29FE"/>
    <w:rsid w:val="00BE2D18"/>
    <w:rsid w:val="00BE49E7"/>
    <w:rsid w:val="00BE6768"/>
    <w:rsid w:val="00BE6D36"/>
    <w:rsid w:val="00BE7EB7"/>
    <w:rsid w:val="00BF0372"/>
    <w:rsid w:val="00BF07B5"/>
    <w:rsid w:val="00BF0AC8"/>
    <w:rsid w:val="00BF129D"/>
    <w:rsid w:val="00BF148E"/>
    <w:rsid w:val="00BF1DD6"/>
    <w:rsid w:val="00BF2230"/>
    <w:rsid w:val="00BF236E"/>
    <w:rsid w:val="00BF2720"/>
    <w:rsid w:val="00BF417D"/>
    <w:rsid w:val="00BF4C77"/>
    <w:rsid w:val="00BF4CA5"/>
    <w:rsid w:val="00BF54B3"/>
    <w:rsid w:val="00BF5CA9"/>
    <w:rsid w:val="00BF5E16"/>
    <w:rsid w:val="00BF6B18"/>
    <w:rsid w:val="00BF7431"/>
    <w:rsid w:val="00BF7D7B"/>
    <w:rsid w:val="00C01E11"/>
    <w:rsid w:val="00C021AC"/>
    <w:rsid w:val="00C02B74"/>
    <w:rsid w:val="00C03130"/>
    <w:rsid w:val="00C032D2"/>
    <w:rsid w:val="00C03849"/>
    <w:rsid w:val="00C03A0A"/>
    <w:rsid w:val="00C03B06"/>
    <w:rsid w:val="00C03C9B"/>
    <w:rsid w:val="00C04F5E"/>
    <w:rsid w:val="00C05337"/>
    <w:rsid w:val="00C05894"/>
    <w:rsid w:val="00C05F80"/>
    <w:rsid w:val="00C06232"/>
    <w:rsid w:val="00C06FBD"/>
    <w:rsid w:val="00C072D3"/>
    <w:rsid w:val="00C07A33"/>
    <w:rsid w:val="00C101EC"/>
    <w:rsid w:val="00C10AD1"/>
    <w:rsid w:val="00C1169B"/>
    <w:rsid w:val="00C1177B"/>
    <w:rsid w:val="00C11F6F"/>
    <w:rsid w:val="00C1301A"/>
    <w:rsid w:val="00C13E9E"/>
    <w:rsid w:val="00C146D8"/>
    <w:rsid w:val="00C154B9"/>
    <w:rsid w:val="00C15BF8"/>
    <w:rsid w:val="00C1699D"/>
    <w:rsid w:val="00C176BA"/>
    <w:rsid w:val="00C17B15"/>
    <w:rsid w:val="00C2111B"/>
    <w:rsid w:val="00C2155B"/>
    <w:rsid w:val="00C22FED"/>
    <w:rsid w:val="00C23246"/>
    <w:rsid w:val="00C234DC"/>
    <w:rsid w:val="00C23F30"/>
    <w:rsid w:val="00C24627"/>
    <w:rsid w:val="00C24AFA"/>
    <w:rsid w:val="00C24E42"/>
    <w:rsid w:val="00C24F6A"/>
    <w:rsid w:val="00C25A24"/>
    <w:rsid w:val="00C25A58"/>
    <w:rsid w:val="00C25ED4"/>
    <w:rsid w:val="00C2784D"/>
    <w:rsid w:val="00C27B73"/>
    <w:rsid w:val="00C3038E"/>
    <w:rsid w:val="00C30837"/>
    <w:rsid w:val="00C30F6A"/>
    <w:rsid w:val="00C31FCB"/>
    <w:rsid w:val="00C32250"/>
    <w:rsid w:val="00C33147"/>
    <w:rsid w:val="00C333F6"/>
    <w:rsid w:val="00C33507"/>
    <w:rsid w:val="00C336C2"/>
    <w:rsid w:val="00C33E9E"/>
    <w:rsid w:val="00C34874"/>
    <w:rsid w:val="00C3530A"/>
    <w:rsid w:val="00C35C6E"/>
    <w:rsid w:val="00C36767"/>
    <w:rsid w:val="00C374DB"/>
    <w:rsid w:val="00C40811"/>
    <w:rsid w:val="00C40B42"/>
    <w:rsid w:val="00C42522"/>
    <w:rsid w:val="00C42609"/>
    <w:rsid w:val="00C42C6B"/>
    <w:rsid w:val="00C42E7A"/>
    <w:rsid w:val="00C4355F"/>
    <w:rsid w:val="00C444E2"/>
    <w:rsid w:val="00C44CD4"/>
    <w:rsid w:val="00C44E4D"/>
    <w:rsid w:val="00C44FB8"/>
    <w:rsid w:val="00C45D9C"/>
    <w:rsid w:val="00C4609B"/>
    <w:rsid w:val="00C464EB"/>
    <w:rsid w:val="00C46756"/>
    <w:rsid w:val="00C47243"/>
    <w:rsid w:val="00C474FF"/>
    <w:rsid w:val="00C50A33"/>
    <w:rsid w:val="00C50BF3"/>
    <w:rsid w:val="00C50C83"/>
    <w:rsid w:val="00C50CE9"/>
    <w:rsid w:val="00C513B3"/>
    <w:rsid w:val="00C52ABF"/>
    <w:rsid w:val="00C52BB8"/>
    <w:rsid w:val="00C54CCD"/>
    <w:rsid w:val="00C55193"/>
    <w:rsid w:val="00C55639"/>
    <w:rsid w:val="00C55DF4"/>
    <w:rsid w:val="00C55F46"/>
    <w:rsid w:val="00C576F5"/>
    <w:rsid w:val="00C602FD"/>
    <w:rsid w:val="00C61685"/>
    <w:rsid w:val="00C618C4"/>
    <w:rsid w:val="00C61D04"/>
    <w:rsid w:val="00C624AA"/>
    <w:rsid w:val="00C62752"/>
    <w:rsid w:val="00C62955"/>
    <w:rsid w:val="00C62D81"/>
    <w:rsid w:val="00C63DAB"/>
    <w:rsid w:val="00C6440F"/>
    <w:rsid w:val="00C65432"/>
    <w:rsid w:val="00C657A0"/>
    <w:rsid w:val="00C66622"/>
    <w:rsid w:val="00C67DFC"/>
    <w:rsid w:val="00C70502"/>
    <w:rsid w:val="00C706B6"/>
    <w:rsid w:val="00C70C88"/>
    <w:rsid w:val="00C71348"/>
    <w:rsid w:val="00C716F6"/>
    <w:rsid w:val="00C7289B"/>
    <w:rsid w:val="00C7390D"/>
    <w:rsid w:val="00C73BA0"/>
    <w:rsid w:val="00C74EB6"/>
    <w:rsid w:val="00C75A1E"/>
    <w:rsid w:val="00C768F7"/>
    <w:rsid w:val="00C771AA"/>
    <w:rsid w:val="00C80046"/>
    <w:rsid w:val="00C80195"/>
    <w:rsid w:val="00C80369"/>
    <w:rsid w:val="00C80ED9"/>
    <w:rsid w:val="00C81035"/>
    <w:rsid w:val="00C81CA4"/>
    <w:rsid w:val="00C84C2A"/>
    <w:rsid w:val="00C85715"/>
    <w:rsid w:val="00C867BE"/>
    <w:rsid w:val="00C867E1"/>
    <w:rsid w:val="00C873EF"/>
    <w:rsid w:val="00C87422"/>
    <w:rsid w:val="00C87597"/>
    <w:rsid w:val="00C87826"/>
    <w:rsid w:val="00C8783F"/>
    <w:rsid w:val="00C87B25"/>
    <w:rsid w:val="00C9018E"/>
    <w:rsid w:val="00C91A62"/>
    <w:rsid w:val="00C91AAA"/>
    <w:rsid w:val="00C9212A"/>
    <w:rsid w:val="00C92372"/>
    <w:rsid w:val="00C9318C"/>
    <w:rsid w:val="00C94A9A"/>
    <w:rsid w:val="00C94D01"/>
    <w:rsid w:val="00C9531F"/>
    <w:rsid w:val="00C95587"/>
    <w:rsid w:val="00C955B1"/>
    <w:rsid w:val="00C955B7"/>
    <w:rsid w:val="00C95E17"/>
    <w:rsid w:val="00C962CD"/>
    <w:rsid w:val="00C96B5E"/>
    <w:rsid w:val="00C96DA0"/>
    <w:rsid w:val="00C979C8"/>
    <w:rsid w:val="00C97D7B"/>
    <w:rsid w:val="00CA1587"/>
    <w:rsid w:val="00CA19EE"/>
    <w:rsid w:val="00CA21BE"/>
    <w:rsid w:val="00CA26C9"/>
    <w:rsid w:val="00CA26D5"/>
    <w:rsid w:val="00CA3362"/>
    <w:rsid w:val="00CA3382"/>
    <w:rsid w:val="00CA5351"/>
    <w:rsid w:val="00CA5B16"/>
    <w:rsid w:val="00CA619B"/>
    <w:rsid w:val="00CA6AB8"/>
    <w:rsid w:val="00CA6BAA"/>
    <w:rsid w:val="00CA7494"/>
    <w:rsid w:val="00CB02F0"/>
    <w:rsid w:val="00CB0557"/>
    <w:rsid w:val="00CB1B12"/>
    <w:rsid w:val="00CB1EE3"/>
    <w:rsid w:val="00CB2C23"/>
    <w:rsid w:val="00CB3BCB"/>
    <w:rsid w:val="00CB3D8E"/>
    <w:rsid w:val="00CB51F1"/>
    <w:rsid w:val="00CB5290"/>
    <w:rsid w:val="00CB5552"/>
    <w:rsid w:val="00CB5AE9"/>
    <w:rsid w:val="00CB6138"/>
    <w:rsid w:val="00CB73E4"/>
    <w:rsid w:val="00CB780D"/>
    <w:rsid w:val="00CB7A1B"/>
    <w:rsid w:val="00CC160C"/>
    <w:rsid w:val="00CC17E1"/>
    <w:rsid w:val="00CC2EB5"/>
    <w:rsid w:val="00CC3C95"/>
    <w:rsid w:val="00CC4BC6"/>
    <w:rsid w:val="00CC4BF8"/>
    <w:rsid w:val="00CC502D"/>
    <w:rsid w:val="00CC6BDF"/>
    <w:rsid w:val="00CC7021"/>
    <w:rsid w:val="00CC7721"/>
    <w:rsid w:val="00CC7A92"/>
    <w:rsid w:val="00CC7DD4"/>
    <w:rsid w:val="00CD0084"/>
    <w:rsid w:val="00CD03FC"/>
    <w:rsid w:val="00CD1A50"/>
    <w:rsid w:val="00CD2C7D"/>
    <w:rsid w:val="00CD2F6E"/>
    <w:rsid w:val="00CD3C59"/>
    <w:rsid w:val="00CD40CF"/>
    <w:rsid w:val="00CD4161"/>
    <w:rsid w:val="00CD44E3"/>
    <w:rsid w:val="00CD4BF3"/>
    <w:rsid w:val="00CD5564"/>
    <w:rsid w:val="00CD5B8F"/>
    <w:rsid w:val="00CD61AD"/>
    <w:rsid w:val="00CD6678"/>
    <w:rsid w:val="00CD791D"/>
    <w:rsid w:val="00CD7C43"/>
    <w:rsid w:val="00CE0B9C"/>
    <w:rsid w:val="00CE12DF"/>
    <w:rsid w:val="00CE17CB"/>
    <w:rsid w:val="00CE1E63"/>
    <w:rsid w:val="00CE204F"/>
    <w:rsid w:val="00CE241F"/>
    <w:rsid w:val="00CE29D9"/>
    <w:rsid w:val="00CE2A6E"/>
    <w:rsid w:val="00CE2ED6"/>
    <w:rsid w:val="00CE308E"/>
    <w:rsid w:val="00CE3097"/>
    <w:rsid w:val="00CE33EB"/>
    <w:rsid w:val="00CE3BE2"/>
    <w:rsid w:val="00CE49EE"/>
    <w:rsid w:val="00CE5402"/>
    <w:rsid w:val="00CE5450"/>
    <w:rsid w:val="00CE6287"/>
    <w:rsid w:val="00CE68E7"/>
    <w:rsid w:val="00CE6C3C"/>
    <w:rsid w:val="00CE7909"/>
    <w:rsid w:val="00CF0C33"/>
    <w:rsid w:val="00CF19CA"/>
    <w:rsid w:val="00CF1CC2"/>
    <w:rsid w:val="00CF4EF1"/>
    <w:rsid w:val="00CF5436"/>
    <w:rsid w:val="00CF5720"/>
    <w:rsid w:val="00CF6378"/>
    <w:rsid w:val="00CF681C"/>
    <w:rsid w:val="00CF6F0D"/>
    <w:rsid w:val="00CF726D"/>
    <w:rsid w:val="00CF7407"/>
    <w:rsid w:val="00CF792A"/>
    <w:rsid w:val="00D00199"/>
    <w:rsid w:val="00D01157"/>
    <w:rsid w:val="00D022BB"/>
    <w:rsid w:val="00D02ACF"/>
    <w:rsid w:val="00D02D33"/>
    <w:rsid w:val="00D02E67"/>
    <w:rsid w:val="00D04E13"/>
    <w:rsid w:val="00D054F9"/>
    <w:rsid w:val="00D06046"/>
    <w:rsid w:val="00D0642D"/>
    <w:rsid w:val="00D064CA"/>
    <w:rsid w:val="00D1054F"/>
    <w:rsid w:val="00D10872"/>
    <w:rsid w:val="00D10933"/>
    <w:rsid w:val="00D11CB5"/>
    <w:rsid w:val="00D130E9"/>
    <w:rsid w:val="00D1425C"/>
    <w:rsid w:val="00D14538"/>
    <w:rsid w:val="00D148F4"/>
    <w:rsid w:val="00D14CD5"/>
    <w:rsid w:val="00D1540D"/>
    <w:rsid w:val="00D15A9D"/>
    <w:rsid w:val="00D16B7F"/>
    <w:rsid w:val="00D16DD1"/>
    <w:rsid w:val="00D173D4"/>
    <w:rsid w:val="00D1744B"/>
    <w:rsid w:val="00D17A6A"/>
    <w:rsid w:val="00D17B5C"/>
    <w:rsid w:val="00D20668"/>
    <w:rsid w:val="00D20E9D"/>
    <w:rsid w:val="00D20F34"/>
    <w:rsid w:val="00D210FC"/>
    <w:rsid w:val="00D217AF"/>
    <w:rsid w:val="00D2216F"/>
    <w:rsid w:val="00D22758"/>
    <w:rsid w:val="00D22E30"/>
    <w:rsid w:val="00D23A3A"/>
    <w:rsid w:val="00D23A89"/>
    <w:rsid w:val="00D23BAA"/>
    <w:rsid w:val="00D2433A"/>
    <w:rsid w:val="00D243BF"/>
    <w:rsid w:val="00D24D66"/>
    <w:rsid w:val="00D25924"/>
    <w:rsid w:val="00D2679D"/>
    <w:rsid w:val="00D272EF"/>
    <w:rsid w:val="00D279C4"/>
    <w:rsid w:val="00D30208"/>
    <w:rsid w:val="00D31BE3"/>
    <w:rsid w:val="00D32197"/>
    <w:rsid w:val="00D33210"/>
    <w:rsid w:val="00D333EC"/>
    <w:rsid w:val="00D337CE"/>
    <w:rsid w:val="00D33EF1"/>
    <w:rsid w:val="00D341FC"/>
    <w:rsid w:val="00D34450"/>
    <w:rsid w:val="00D34A53"/>
    <w:rsid w:val="00D34C8F"/>
    <w:rsid w:val="00D34CFA"/>
    <w:rsid w:val="00D365D2"/>
    <w:rsid w:val="00D369A8"/>
    <w:rsid w:val="00D40800"/>
    <w:rsid w:val="00D40B70"/>
    <w:rsid w:val="00D40E16"/>
    <w:rsid w:val="00D41092"/>
    <w:rsid w:val="00D411FD"/>
    <w:rsid w:val="00D41D18"/>
    <w:rsid w:val="00D41DD2"/>
    <w:rsid w:val="00D4225A"/>
    <w:rsid w:val="00D42DBF"/>
    <w:rsid w:val="00D42EF7"/>
    <w:rsid w:val="00D4357F"/>
    <w:rsid w:val="00D43ABE"/>
    <w:rsid w:val="00D459EC"/>
    <w:rsid w:val="00D45CE9"/>
    <w:rsid w:val="00D461DC"/>
    <w:rsid w:val="00D46943"/>
    <w:rsid w:val="00D471FD"/>
    <w:rsid w:val="00D4728E"/>
    <w:rsid w:val="00D5088D"/>
    <w:rsid w:val="00D50892"/>
    <w:rsid w:val="00D51F1B"/>
    <w:rsid w:val="00D5241E"/>
    <w:rsid w:val="00D5273E"/>
    <w:rsid w:val="00D528AE"/>
    <w:rsid w:val="00D528F1"/>
    <w:rsid w:val="00D52CC1"/>
    <w:rsid w:val="00D5340B"/>
    <w:rsid w:val="00D53644"/>
    <w:rsid w:val="00D546E8"/>
    <w:rsid w:val="00D57829"/>
    <w:rsid w:val="00D6041F"/>
    <w:rsid w:val="00D60EED"/>
    <w:rsid w:val="00D6131B"/>
    <w:rsid w:val="00D61B49"/>
    <w:rsid w:val="00D61C7E"/>
    <w:rsid w:val="00D61EA6"/>
    <w:rsid w:val="00D627E0"/>
    <w:rsid w:val="00D62C17"/>
    <w:rsid w:val="00D62C2B"/>
    <w:rsid w:val="00D63005"/>
    <w:rsid w:val="00D631A4"/>
    <w:rsid w:val="00D63CD7"/>
    <w:rsid w:val="00D65AFB"/>
    <w:rsid w:val="00D6634A"/>
    <w:rsid w:val="00D66CBD"/>
    <w:rsid w:val="00D702A3"/>
    <w:rsid w:val="00D70FDB"/>
    <w:rsid w:val="00D714F0"/>
    <w:rsid w:val="00D726D5"/>
    <w:rsid w:val="00D72ABA"/>
    <w:rsid w:val="00D73238"/>
    <w:rsid w:val="00D73438"/>
    <w:rsid w:val="00D74E6D"/>
    <w:rsid w:val="00D7550F"/>
    <w:rsid w:val="00D7662D"/>
    <w:rsid w:val="00D76B97"/>
    <w:rsid w:val="00D76E4E"/>
    <w:rsid w:val="00D772A1"/>
    <w:rsid w:val="00D7737B"/>
    <w:rsid w:val="00D77FD4"/>
    <w:rsid w:val="00D80274"/>
    <w:rsid w:val="00D80418"/>
    <w:rsid w:val="00D810CA"/>
    <w:rsid w:val="00D81391"/>
    <w:rsid w:val="00D83F60"/>
    <w:rsid w:val="00D846ED"/>
    <w:rsid w:val="00D84826"/>
    <w:rsid w:val="00D90053"/>
    <w:rsid w:val="00D905AF"/>
    <w:rsid w:val="00D906C9"/>
    <w:rsid w:val="00D90AAE"/>
    <w:rsid w:val="00D90C26"/>
    <w:rsid w:val="00D90FD5"/>
    <w:rsid w:val="00D9165E"/>
    <w:rsid w:val="00D91D0F"/>
    <w:rsid w:val="00D92285"/>
    <w:rsid w:val="00D93B0E"/>
    <w:rsid w:val="00D93D9F"/>
    <w:rsid w:val="00D93F11"/>
    <w:rsid w:val="00D9460E"/>
    <w:rsid w:val="00D949EB"/>
    <w:rsid w:val="00D95EFE"/>
    <w:rsid w:val="00D96366"/>
    <w:rsid w:val="00D96988"/>
    <w:rsid w:val="00DA0F09"/>
    <w:rsid w:val="00DA17F4"/>
    <w:rsid w:val="00DA1C20"/>
    <w:rsid w:val="00DA200B"/>
    <w:rsid w:val="00DA2785"/>
    <w:rsid w:val="00DA2EE2"/>
    <w:rsid w:val="00DA3799"/>
    <w:rsid w:val="00DA3B66"/>
    <w:rsid w:val="00DA3B72"/>
    <w:rsid w:val="00DA4833"/>
    <w:rsid w:val="00DA4BB6"/>
    <w:rsid w:val="00DA4E83"/>
    <w:rsid w:val="00DA5747"/>
    <w:rsid w:val="00DA5F50"/>
    <w:rsid w:val="00DA66BD"/>
    <w:rsid w:val="00DA6CAF"/>
    <w:rsid w:val="00DA78DE"/>
    <w:rsid w:val="00DB03C6"/>
    <w:rsid w:val="00DB05C3"/>
    <w:rsid w:val="00DB0E11"/>
    <w:rsid w:val="00DB1D90"/>
    <w:rsid w:val="00DB3466"/>
    <w:rsid w:val="00DB3BBB"/>
    <w:rsid w:val="00DB48AA"/>
    <w:rsid w:val="00DB5146"/>
    <w:rsid w:val="00DB66DD"/>
    <w:rsid w:val="00DB6B7E"/>
    <w:rsid w:val="00DB7AA8"/>
    <w:rsid w:val="00DC0C53"/>
    <w:rsid w:val="00DC0D18"/>
    <w:rsid w:val="00DC0E89"/>
    <w:rsid w:val="00DC20BF"/>
    <w:rsid w:val="00DC218C"/>
    <w:rsid w:val="00DC2E34"/>
    <w:rsid w:val="00DC3F42"/>
    <w:rsid w:val="00DC46C4"/>
    <w:rsid w:val="00DC5A22"/>
    <w:rsid w:val="00DC5B07"/>
    <w:rsid w:val="00DC5BDD"/>
    <w:rsid w:val="00DC6E14"/>
    <w:rsid w:val="00DC7087"/>
    <w:rsid w:val="00DC7291"/>
    <w:rsid w:val="00DD006E"/>
    <w:rsid w:val="00DD3732"/>
    <w:rsid w:val="00DD4136"/>
    <w:rsid w:val="00DD4256"/>
    <w:rsid w:val="00DD4CAE"/>
    <w:rsid w:val="00DD500D"/>
    <w:rsid w:val="00DD5921"/>
    <w:rsid w:val="00DD5BA6"/>
    <w:rsid w:val="00DD5D63"/>
    <w:rsid w:val="00DD5F40"/>
    <w:rsid w:val="00DD6F8C"/>
    <w:rsid w:val="00DD790B"/>
    <w:rsid w:val="00DE2722"/>
    <w:rsid w:val="00DE31F2"/>
    <w:rsid w:val="00DE3D60"/>
    <w:rsid w:val="00DE451D"/>
    <w:rsid w:val="00DE491C"/>
    <w:rsid w:val="00DE5C6F"/>
    <w:rsid w:val="00DE5F42"/>
    <w:rsid w:val="00DE5F46"/>
    <w:rsid w:val="00DE6139"/>
    <w:rsid w:val="00DE78F5"/>
    <w:rsid w:val="00DE7BDD"/>
    <w:rsid w:val="00DE7EAF"/>
    <w:rsid w:val="00DF046D"/>
    <w:rsid w:val="00DF1069"/>
    <w:rsid w:val="00DF1FF1"/>
    <w:rsid w:val="00DF2EBC"/>
    <w:rsid w:val="00DF39A6"/>
    <w:rsid w:val="00DF3ACF"/>
    <w:rsid w:val="00DF3FCE"/>
    <w:rsid w:val="00DF4737"/>
    <w:rsid w:val="00DF5108"/>
    <w:rsid w:val="00DF5728"/>
    <w:rsid w:val="00DF6B48"/>
    <w:rsid w:val="00DF6BFE"/>
    <w:rsid w:val="00DF6EA3"/>
    <w:rsid w:val="00E01079"/>
    <w:rsid w:val="00E010E5"/>
    <w:rsid w:val="00E0121B"/>
    <w:rsid w:val="00E0208B"/>
    <w:rsid w:val="00E02410"/>
    <w:rsid w:val="00E029B2"/>
    <w:rsid w:val="00E03936"/>
    <w:rsid w:val="00E04046"/>
    <w:rsid w:val="00E05D2B"/>
    <w:rsid w:val="00E06316"/>
    <w:rsid w:val="00E0659F"/>
    <w:rsid w:val="00E06EFC"/>
    <w:rsid w:val="00E07307"/>
    <w:rsid w:val="00E07A2D"/>
    <w:rsid w:val="00E102C7"/>
    <w:rsid w:val="00E10775"/>
    <w:rsid w:val="00E10A27"/>
    <w:rsid w:val="00E10D5A"/>
    <w:rsid w:val="00E110D8"/>
    <w:rsid w:val="00E11306"/>
    <w:rsid w:val="00E114AC"/>
    <w:rsid w:val="00E11652"/>
    <w:rsid w:val="00E11EF6"/>
    <w:rsid w:val="00E121E8"/>
    <w:rsid w:val="00E12D6C"/>
    <w:rsid w:val="00E14410"/>
    <w:rsid w:val="00E14474"/>
    <w:rsid w:val="00E14543"/>
    <w:rsid w:val="00E14577"/>
    <w:rsid w:val="00E14774"/>
    <w:rsid w:val="00E14DE8"/>
    <w:rsid w:val="00E15304"/>
    <w:rsid w:val="00E15350"/>
    <w:rsid w:val="00E16AB7"/>
    <w:rsid w:val="00E17944"/>
    <w:rsid w:val="00E17EB0"/>
    <w:rsid w:val="00E229CE"/>
    <w:rsid w:val="00E247B9"/>
    <w:rsid w:val="00E247F4"/>
    <w:rsid w:val="00E25114"/>
    <w:rsid w:val="00E2584D"/>
    <w:rsid w:val="00E26ABD"/>
    <w:rsid w:val="00E2742D"/>
    <w:rsid w:val="00E27808"/>
    <w:rsid w:val="00E30044"/>
    <w:rsid w:val="00E308E9"/>
    <w:rsid w:val="00E30ED8"/>
    <w:rsid w:val="00E30F38"/>
    <w:rsid w:val="00E3111C"/>
    <w:rsid w:val="00E314AA"/>
    <w:rsid w:val="00E31DDC"/>
    <w:rsid w:val="00E3260E"/>
    <w:rsid w:val="00E3388F"/>
    <w:rsid w:val="00E348D9"/>
    <w:rsid w:val="00E357C3"/>
    <w:rsid w:val="00E36A67"/>
    <w:rsid w:val="00E36B00"/>
    <w:rsid w:val="00E40772"/>
    <w:rsid w:val="00E41E7C"/>
    <w:rsid w:val="00E439EC"/>
    <w:rsid w:val="00E43B14"/>
    <w:rsid w:val="00E43B3F"/>
    <w:rsid w:val="00E44914"/>
    <w:rsid w:val="00E45153"/>
    <w:rsid w:val="00E4575E"/>
    <w:rsid w:val="00E478F6"/>
    <w:rsid w:val="00E503F2"/>
    <w:rsid w:val="00E50B69"/>
    <w:rsid w:val="00E51B02"/>
    <w:rsid w:val="00E51D51"/>
    <w:rsid w:val="00E53AAA"/>
    <w:rsid w:val="00E54162"/>
    <w:rsid w:val="00E54C76"/>
    <w:rsid w:val="00E55846"/>
    <w:rsid w:val="00E56122"/>
    <w:rsid w:val="00E56AD1"/>
    <w:rsid w:val="00E579E7"/>
    <w:rsid w:val="00E601A9"/>
    <w:rsid w:val="00E603D5"/>
    <w:rsid w:val="00E60404"/>
    <w:rsid w:val="00E605B7"/>
    <w:rsid w:val="00E60A8A"/>
    <w:rsid w:val="00E622FE"/>
    <w:rsid w:val="00E6288C"/>
    <w:rsid w:val="00E62B9B"/>
    <w:rsid w:val="00E62CCD"/>
    <w:rsid w:val="00E631A5"/>
    <w:rsid w:val="00E64178"/>
    <w:rsid w:val="00E64B7D"/>
    <w:rsid w:val="00E64DE0"/>
    <w:rsid w:val="00E652D4"/>
    <w:rsid w:val="00E653E6"/>
    <w:rsid w:val="00E66BAE"/>
    <w:rsid w:val="00E66FB8"/>
    <w:rsid w:val="00E676D7"/>
    <w:rsid w:val="00E67961"/>
    <w:rsid w:val="00E67B4D"/>
    <w:rsid w:val="00E71331"/>
    <w:rsid w:val="00E71D8B"/>
    <w:rsid w:val="00E73430"/>
    <w:rsid w:val="00E73BE7"/>
    <w:rsid w:val="00E73FF6"/>
    <w:rsid w:val="00E75EB6"/>
    <w:rsid w:val="00E76A24"/>
    <w:rsid w:val="00E76EDB"/>
    <w:rsid w:val="00E779B3"/>
    <w:rsid w:val="00E807FA"/>
    <w:rsid w:val="00E81033"/>
    <w:rsid w:val="00E81814"/>
    <w:rsid w:val="00E81B70"/>
    <w:rsid w:val="00E81E3D"/>
    <w:rsid w:val="00E821F3"/>
    <w:rsid w:val="00E825A6"/>
    <w:rsid w:val="00E832DE"/>
    <w:rsid w:val="00E83DE7"/>
    <w:rsid w:val="00E845CD"/>
    <w:rsid w:val="00E84CD9"/>
    <w:rsid w:val="00E84DEC"/>
    <w:rsid w:val="00E8535E"/>
    <w:rsid w:val="00E86376"/>
    <w:rsid w:val="00E864C3"/>
    <w:rsid w:val="00E876F5"/>
    <w:rsid w:val="00E87DB4"/>
    <w:rsid w:val="00E91138"/>
    <w:rsid w:val="00E91262"/>
    <w:rsid w:val="00E9146C"/>
    <w:rsid w:val="00E9175F"/>
    <w:rsid w:val="00E91CDF"/>
    <w:rsid w:val="00E91D97"/>
    <w:rsid w:val="00E927BB"/>
    <w:rsid w:val="00E92BC9"/>
    <w:rsid w:val="00E9354D"/>
    <w:rsid w:val="00E936E0"/>
    <w:rsid w:val="00E9479B"/>
    <w:rsid w:val="00E95C72"/>
    <w:rsid w:val="00E96136"/>
    <w:rsid w:val="00E963E4"/>
    <w:rsid w:val="00E96CEF"/>
    <w:rsid w:val="00E97F77"/>
    <w:rsid w:val="00EA0392"/>
    <w:rsid w:val="00EA06F8"/>
    <w:rsid w:val="00EA0A26"/>
    <w:rsid w:val="00EA219E"/>
    <w:rsid w:val="00EA346C"/>
    <w:rsid w:val="00EA3D41"/>
    <w:rsid w:val="00EA4F09"/>
    <w:rsid w:val="00EA51C1"/>
    <w:rsid w:val="00EA55F8"/>
    <w:rsid w:val="00EA6573"/>
    <w:rsid w:val="00EA6642"/>
    <w:rsid w:val="00EA7AE9"/>
    <w:rsid w:val="00EA7D34"/>
    <w:rsid w:val="00EB067E"/>
    <w:rsid w:val="00EB0A16"/>
    <w:rsid w:val="00EB1FFC"/>
    <w:rsid w:val="00EB3456"/>
    <w:rsid w:val="00EB3507"/>
    <w:rsid w:val="00EB566A"/>
    <w:rsid w:val="00EB59F4"/>
    <w:rsid w:val="00EB5E28"/>
    <w:rsid w:val="00EB5F11"/>
    <w:rsid w:val="00EB6F5E"/>
    <w:rsid w:val="00EB71FA"/>
    <w:rsid w:val="00EC032B"/>
    <w:rsid w:val="00EC1CF0"/>
    <w:rsid w:val="00EC2986"/>
    <w:rsid w:val="00EC2E31"/>
    <w:rsid w:val="00EC3341"/>
    <w:rsid w:val="00EC4D30"/>
    <w:rsid w:val="00EC520F"/>
    <w:rsid w:val="00EC54DB"/>
    <w:rsid w:val="00EC5B14"/>
    <w:rsid w:val="00EC62DC"/>
    <w:rsid w:val="00EC658F"/>
    <w:rsid w:val="00EC6719"/>
    <w:rsid w:val="00EC6B75"/>
    <w:rsid w:val="00EC70AF"/>
    <w:rsid w:val="00EC748C"/>
    <w:rsid w:val="00EC780D"/>
    <w:rsid w:val="00ED04E8"/>
    <w:rsid w:val="00ED0EC5"/>
    <w:rsid w:val="00ED1045"/>
    <w:rsid w:val="00ED1147"/>
    <w:rsid w:val="00ED27CF"/>
    <w:rsid w:val="00ED28C8"/>
    <w:rsid w:val="00ED29BE"/>
    <w:rsid w:val="00ED37DE"/>
    <w:rsid w:val="00ED39FA"/>
    <w:rsid w:val="00ED500C"/>
    <w:rsid w:val="00ED5660"/>
    <w:rsid w:val="00ED58B9"/>
    <w:rsid w:val="00ED5A17"/>
    <w:rsid w:val="00ED5F54"/>
    <w:rsid w:val="00ED606E"/>
    <w:rsid w:val="00ED67D8"/>
    <w:rsid w:val="00ED7B83"/>
    <w:rsid w:val="00EE0366"/>
    <w:rsid w:val="00EE0CAA"/>
    <w:rsid w:val="00EE1451"/>
    <w:rsid w:val="00EE212C"/>
    <w:rsid w:val="00EE2288"/>
    <w:rsid w:val="00EE2AAD"/>
    <w:rsid w:val="00EE2E2F"/>
    <w:rsid w:val="00EE366F"/>
    <w:rsid w:val="00EE39E9"/>
    <w:rsid w:val="00EE4294"/>
    <w:rsid w:val="00EE515D"/>
    <w:rsid w:val="00EE551A"/>
    <w:rsid w:val="00EE55DF"/>
    <w:rsid w:val="00EE61EA"/>
    <w:rsid w:val="00EE6845"/>
    <w:rsid w:val="00EE6AB2"/>
    <w:rsid w:val="00EE7309"/>
    <w:rsid w:val="00EE7607"/>
    <w:rsid w:val="00EE7B51"/>
    <w:rsid w:val="00EF0189"/>
    <w:rsid w:val="00EF052D"/>
    <w:rsid w:val="00EF0CAA"/>
    <w:rsid w:val="00EF0E94"/>
    <w:rsid w:val="00EF15FE"/>
    <w:rsid w:val="00EF2146"/>
    <w:rsid w:val="00EF36DF"/>
    <w:rsid w:val="00EF4CC3"/>
    <w:rsid w:val="00EF521C"/>
    <w:rsid w:val="00EF68E6"/>
    <w:rsid w:val="00EF69CC"/>
    <w:rsid w:val="00EF69FE"/>
    <w:rsid w:val="00EF6D60"/>
    <w:rsid w:val="00F00B66"/>
    <w:rsid w:val="00F01893"/>
    <w:rsid w:val="00F01ACB"/>
    <w:rsid w:val="00F01BB7"/>
    <w:rsid w:val="00F02029"/>
    <w:rsid w:val="00F023D6"/>
    <w:rsid w:val="00F02EAA"/>
    <w:rsid w:val="00F031F8"/>
    <w:rsid w:val="00F0413E"/>
    <w:rsid w:val="00F0415C"/>
    <w:rsid w:val="00F05D84"/>
    <w:rsid w:val="00F05DE3"/>
    <w:rsid w:val="00F06483"/>
    <w:rsid w:val="00F072C3"/>
    <w:rsid w:val="00F100ED"/>
    <w:rsid w:val="00F105D2"/>
    <w:rsid w:val="00F10F95"/>
    <w:rsid w:val="00F11371"/>
    <w:rsid w:val="00F11936"/>
    <w:rsid w:val="00F11A72"/>
    <w:rsid w:val="00F11CA2"/>
    <w:rsid w:val="00F12DDD"/>
    <w:rsid w:val="00F1340D"/>
    <w:rsid w:val="00F13C46"/>
    <w:rsid w:val="00F13F35"/>
    <w:rsid w:val="00F15D08"/>
    <w:rsid w:val="00F17B02"/>
    <w:rsid w:val="00F20421"/>
    <w:rsid w:val="00F20A31"/>
    <w:rsid w:val="00F219BF"/>
    <w:rsid w:val="00F22DDF"/>
    <w:rsid w:val="00F23168"/>
    <w:rsid w:val="00F23C1C"/>
    <w:rsid w:val="00F24B53"/>
    <w:rsid w:val="00F2519C"/>
    <w:rsid w:val="00F25DE9"/>
    <w:rsid w:val="00F25E41"/>
    <w:rsid w:val="00F260E8"/>
    <w:rsid w:val="00F262E9"/>
    <w:rsid w:val="00F26A22"/>
    <w:rsid w:val="00F26B55"/>
    <w:rsid w:val="00F27432"/>
    <w:rsid w:val="00F27690"/>
    <w:rsid w:val="00F27C74"/>
    <w:rsid w:val="00F30460"/>
    <w:rsid w:val="00F3057E"/>
    <w:rsid w:val="00F3137E"/>
    <w:rsid w:val="00F316CC"/>
    <w:rsid w:val="00F325CB"/>
    <w:rsid w:val="00F32C46"/>
    <w:rsid w:val="00F33392"/>
    <w:rsid w:val="00F33901"/>
    <w:rsid w:val="00F34584"/>
    <w:rsid w:val="00F34DDF"/>
    <w:rsid w:val="00F3555B"/>
    <w:rsid w:val="00F358B4"/>
    <w:rsid w:val="00F35A8A"/>
    <w:rsid w:val="00F370B5"/>
    <w:rsid w:val="00F3715C"/>
    <w:rsid w:val="00F40F23"/>
    <w:rsid w:val="00F41CD5"/>
    <w:rsid w:val="00F42018"/>
    <w:rsid w:val="00F42218"/>
    <w:rsid w:val="00F42DBE"/>
    <w:rsid w:val="00F42E02"/>
    <w:rsid w:val="00F44C34"/>
    <w:rsid w:val="00F46258"/>
    <w:rsid w:val="00F46B4C"/>
    <w:rsid w:val="00F473CE"/>
    <w:rsid w:val="00F476A9"/>
    <w:rsid w:val="00F5001B"/>
    <w:rsid w:val="00F515E4"/>
    <w:rsid w:val="00F51C0F"/>
    <w:rsid w:val="00F52D46"/>
    <w:rsid w:val="00F53D97"/>
    <w:rsid w:val="00F53DED"/>
    <w:rsid w:val="00F54961"/>
    <w:rsid w:val="00F55758"/>
    <w:rsid w:val="00F55774"/>
    <w:rsid w:val="00F5643E"/>
    <w:rsid w:val="00F5686D"/>
    <w:rsid w:val="00F577CC"/>
    <w:rsid w:val="00F57BDC"/>
    <w:rsid w:val="00F57CF6"/>
    <w:rsid w:val="00F602C1"/>
    <w:rsid w:val="00F608AC"/>
    <w:rsid w:val="00F61574"/>
    <w:rsid w:val="00F61844"/>
    <w:rsid w:val="00F61D88"/>
    <w:rsid w:val="00F62485"/>
    <w:rsid w:val="00F638E3"/>
    <w:rsid w:val="00F644BB"/>
    <w:rsid w:val="00F647DA"/>
    <w:rsid w:val="00F649BE"/>
    <w:rsid w:val="00F64D55"/>
    <w:rsid w:val="00F66191"/>
    <w:rsid w:val="00F6691C"/>
    <w:rsid w:val="00F66CEF"/>
    <w:rsid w:val="00F67162"/>
    <w:rsid w:val="00F67F93"/>
    <w:rsid w:val="00F70171"/>
    <w:rsid w:val="00F70E15"/>
    <w:rsid w:val="00F71AB9"/>
    <w:rsid w:val="00F73665"/>
    <w:rsid w:val="00F7468D"/>
    <w:rsid w:val="00F753D6"/>
    <w:rsid w:val="00F75718"/>
    <w:rsid w:val="00F777E4"/>
    <w:rsid w:val="00F77EF9"/>
    <w:rsid w:val="00F801C4"/>
    <w:rsid w:val="00F81839"/>
    <w:rsid w:val="00F82198"/>
    <w:rsid w:val="00F82D11"/>
    <w:rsid w:val="00F83FA9"/>
    <w:rsid w:val="00F844C8"/>
    <w:rsid w:val="00F84F04"/>
    <w:rsid w:val="00F85185"/>
    <w:rsid w:val="00F85FC9"/>
    <w:rsid w:val="00F86477"/>
    <w:rsid w:val="00F87C7E"/>
    <w:rsid w:val="00F906E1"/>
    <w:rsid w:val="00F90D50"/>
    <w:rsid w:val="00F911EA"/>
    <w:rsid w:val="00F9165A"/>
    <w:rsid w:val="00F916A1"/>
    <w:rsid w:val="00F91EE8"/>
    <w:rsid w:val="00F91FB8"/>
    <w:rsid w:val="00F92702"/>
    <w:rsid w:val="00F92863"/>
    <w:rsid w:val="00F928F0"/>
    <w:rsid w:val="00F93C25"/>
    <w:rsid w:val="00F93E71"/>
    <w:rsid w:val="00F94D12"/>
    <w:rsid w:val="00F95176"/>
    <w:rsid w:val="00F9575E"/>
    <w:rsid w:val="00F96564"/>
    <w:rsid w:val="00F96B4B"/>
    <w:rsid w:val="00F979AC"/>
    <w:rsid w:val="00F97A17"/>
    <w:rsid w:val="00FA0A04"/>
    <w:rsid w:val="00FA0C6F"/>
    <w:rsid w:val="00FA1F11"/>
    <w:rsid w:val="00FA27F7"/>
    <w:rsid w:val="00FA2CC6"/>
    <w:rsid w:val="00FA2F70"/>
    <w:rsid w:val="00FA33B6"/>
    <w:rsid w:val="00FA5EDA"/>
    <w:rsid w:val="00FA693F"/>
    <w:rsid w:val="00FA6D93"/>
    <w:rsid w:val="00FA7BBF"/>
    <w:rsid w:val="00FA7D5B"/>
    <w:rsid w:val="00FB0CAB"/>
    <w:rsid w:val="00FB1760"/>
    <w:rsid w:val="00FB1D2B"/>
    <w:rsid w:val="00FB200D"/>
    <w:rsid w:val="00FB4E8F"/>
    <w:rsid w:val="00FB5934"/>
    <w:rsid w:val="00FB59CD"/>
    <w:rsid w:val="00FB6510"/>
    <w:rsid w:val="00FB66BD"/>
    <w:rsid w:val="00FB7251"/>
    <w:rsid w:val="00FC07A8"/>
    <w:rsid w:val="00FC1551"/>
    <w:rsid w:val="00FC267B"/>
    <w:rsid w:val="00FC2A72"/>
    <w:rsid w:val="00FC30E0"/>
    <w:rsid w:val="00FC31A8"/>
    <w:rsid w:val="00FC3377"/>
    <w:rsid w:val="00FC3BE6"/>
    <w:rsid w:val="00FC3D87"/>
    <w:rsid w:val="00FC41C7"/>
    <w:rsid w:val="00FC44D3"/>
    <w:rsid w:val="00FC4F55"/>
    <w:rsid w:val="00FC592E"/>
    <w:rsid w:val="00FC599D"/>
    <w:rsid w:val="00FC6353"/>
    <w:rsid w:val="00FC6582"/>
    <w:rsid w:val="00FC72D8"/>
    <w:rsid w:val="00FC79C8"/>
    <w:rsid w:val="00FC7B33"/>
    <w:rsid w:val="00FD0024"/>
    <w:rsid w:val="00FD028C"/>
    <w:rsid w:val="00FD07D5"/>
    <w:rsid w:val="00FD0B77"/>
    <w:rsid w:val="00FD261F"/>
    <w:rsid w:val="00FD285F"/>
    <w:rsid w:val="00FD2AE5"/>
    <w:rsid w:val="00FD3AA2"/>
    <w:rsid w:val="00FD45D0"/>
    <w:rsid w:val="00FD45E8"/>
    <w:rsid w:val="00FD4C8A"/>
    <w:rsid w:val="00FD5465"/>
    <w:rsid w:val="00FD5861"/>
    <w:rsid w:val="00FD72B7"/>
    <w:rsid w:val="00FD7A7F"/>
    <w:rsid w:val="00FD7B6E"/>
    <w:rsid w:val="00FE0871"/>
    <w:rsid w:val="00FE194A"/>
    <w:rsid w:val="00FE2359"/>
    <w:rsid w:val="00FE2581"/>
    <w:rsid w:val="00FE25A6"/>
    <w:rsid w:val="00FE35C2"/>
    <w:rsid w:val="00FE4057"/>
    <w:rsid w:val="00FE5171"/>
    <w:rsid w:val="00FE523D"/>
    <w:rsid w:val="00FE5DB3"/>
    <w:rsid w:val="00FE720C"/>
    <w:rsid w:val="00FF0010"/>
    <w:rsid w:val="00FF0439"/>
    <w:rsid w:val="00FF0E05"/>
    <w:rsid w:val="00FF15E9"/>
    <w:rsid w:val="00FF1DA1"/>
    <w:rsid w:val="00FF234F"/>
    <w:rsid w:val="00FF2564"/>
    <w:rsid w:val="00FF38D6"/>
    <w:rsid w:val="00FF3B4D"/>
    <w:rsid w:val="00FF3EAD"/>
    <w:rsid w:val="00FF4012"/>
    <w:rsid w:val="00FF4973"/>
    <w:rsid w:val="00FF55E5"/>
    <w:rsid w:val="00FF68BA"/>
    <w:rsid w:val="00FF6C7D"/>
    <w:rsid w:val="00FF79A8"/>
    <w:rsid w:val="00FF7B6A"/>
    <w:rsid w:val="00FF7BC6"/>
    <w:rsid w:val="00FF7C7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reet"/>
  <w:smartTagType w:namespaceuri="urn:schemas-microsoft-com:office:smarttags" w:name="address"/>
  <w:smartTagType w:namespaceuri="urn:schemas-microsoft-com:office:smarttags" w:name="country-region"/>
  <w:smartTagType w:namespaceuri="urn:schemas-microsoft-com:office:smarttags" w:name="PlaceType"/>
  <w:smartTagType w:namespaceuri="urn:schemas-microsoft-com:office:smarttags" w:name="PlaceName"/>
  <w:smartTagType w:namespaceuri="urn:schemas-microsoft-com:office:smarttags" w:name="place"/>
  <w:smartTagType w:namespaceuri="urn:schemas-microsoft-com:office:smarttags" w:name="City"/>
  <w:shapeDefaults>
    <o:shapedefaults v:ext="edit" spidmax="2050"/>
    <o:shapelayout v:ext="edit">
      <o:idmap v:ext="edit" data="2"/>
    </o:shapelayout>
  </w:shapeDefaults>
  <w:decimalSymbol w:val="."/>
  <w:listSeparator w:val=","/>
  <w14:docId w14:val="596EEA97"/>
  <w15:chartTrackingRefBased/>
  <w15:docId w15:val="{93E37A26-36DF-4110-80C2-F5A39094F2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footnote reference" w:uiPriority="99"/>
    <w:lsdException w:name="annotation reference" w:uiPriority="99"/>
    <w:lsdException w:name="Title" w:qFormat="1"/>
    <w:lsdException w:name="Subtitle" w:qFormat="1"/>
    <w:lsdException w:name="Hyperlink" w:uiPriority="99"/>
    <w:lsdException w:name="FollowedHyperlink" w:uiPriority="99"/>
    <w:lsdException w:name="Strong" w:qFormat="1"/>
    <w:lsdException w:name="Emphasis" w:qFormat="1"/>
    <w:lsdException w:name="Normal (Web)" w:uiPriority="99"/>
    <w:lsdException w:name="Normal Table" w:semiHidden="1" w:unhideWhenUsed="1"/>
    <w:lsdException w:name="annotation subject" w:uiPriority="99"/>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E7654"/>
    <w:pPr>
      <w:keepNext/>
      <w:spacing w:before="120"/>
    </w:pPr>
    <w:rPr>
      <w:rFonts w:ascii="Arial" w:hAnsi="Arial"/>
      <w:color w:val="000000" w:themeColor="text1"/>
      <w:sz w:val="24"/>
    </w:rPr>
  </w:style>
  <w:style w:type="paragraph" w:styleId="Heading1">
    <w:name w:val="heading 1"/>
    <w:basedOn w:val="Normal"/>
    <w:next w:val="Normal"/>
    <w:link w:val="Heading1Char"/>
    <w:autoRedefine/>
    <w:qFormat/>
    <w:rsid w:val="00364726"/>
    <w:pPr>
      <w:spacing w:before="0"/>
      <w:outlineLvl w:val="0"/>
    </w:pPr>
    <w:rPr>
      <w:b/>
      <w:bCs/>
      <w:sz w:val="36"/>
      <w:szCs w:val="36"/>
      <w:lang w:eastAsia="en-US"/>
    </w:rPr>
  </w:style>
  <w:style w:type="paragraph" w:styleId="Heading2">
    <w:name w:val="heading 2"/>
    <w:basedOn w:val="Normal"/>
    <w:next w:val="Normal"/>
    <w:link w:val="Heading2Char"/>
    <w:qFormat/>
    <w:rsid w:val="001019CE"/>
    <w:pPr>
      <w:spacing w:before="0"/>
      <w:jc w:val="center"/>
      <w:outlineLvl w:val="1"/>
    </w:pPr>
    <w:rPr>
      <w:b/>
      <w:sz w:val="40"/>
      <w:lang w:eastAsia="en-US"/>
    </w:rPr>
  </w:style>
  <w:style w:type="paragraph" w:styleId="Heading3">
    <w:name w:val="heading 3"/>
    <w:basedOn w:val="Normal"/>
    <w:next w:val="Normal"/>
    <w:link w:val="Heading3Char"/>
    <w:autoRedefine/>
    <w:qFormat/>
    <w:rsid w:val="00890704"/>
    <w:pPr>
      <w:spacing w:before="0"/>
      <w:ind w:firstLine="567"/>
      <w:outlineLvl w:val="2"/>
    </w:pPr>
    <w:rPr>
      <w:rFonts w:eastAsia="Calibri" w:cs="Arial"/>
      <w:b/>
      <w:bCs/>
      <w:iCs/>
      <w:color w:val="auto"/>
      <w:szCs w:val="24"/>
      <w:lang w:eastAsia="en-US"/>
    </w:rPr>
  </w:style>
  <w:style w:type="paragraph" w:styleId="Heading4">
    <w:name w:val="heading 4"/>
    <w:basedOn w:val="Normal"/>
    <w:next w:val="Normal"/>
    <w:link w:val="Heading4Char"/>
    <w:qFormat/>
    <w:pPr>
      <w:outlineLvl w:val="3"/>
    </w:pPr>
    <w:rPr>
      <w:b/>
      <w:sz w:val="28"/>
    </w:rPr>
  </w:style>
  <w:style w:type="paragraph" w:styleId="Heading5">
    <w:name w:val="heading 5"/>
    <w:basedOn w:val="Normal"/>
    <w:next w:val="Normal"/>
    <w:autoRedefine/>
    <w:qFormat/>
    <w:rsid w:val="001A3BFC"/>
    <w:pPr>
      <w:outlineLvl w:val="4"/>
    </w:pPr>
    <w:rPr>
      <w:b/>
      <w:bCs/>
      <w:lang w:val="en-US"/>
    </w:rPr>
  </w:style>
  <w:style w:type="paragraph" w:styleId="Heading6">
    <w:name w:val="heading 6"/>
    <w:basedOn w:val="Normal"/>
    <w:next w:val="Normal"/>
    <w:qFormat/>
    <w:pPr>
      <w:suppressAutoHyphens/>
      <w:spacing w:line="240" w:lineRule="atLeast"/>
      <w:outlineLvl w:val="5"/>
    </w:pPr>
    <w:rPr>
      <w:b/>
      <w:bCs/>
    </w:rPr>
  </w:style>
  <w:style w:type="paragraph" w:styleId="Heading7">
    <w:name w:val="heading 7"/>
    <w:basedOn w:val="Normal"/>
    <w:next w:val="Normal"/>
    <w:qFormat/>
    <w:pPr>
      <w:suppressAutoHyphens/>
      <w:spacing w:line="240" w:lineRule="atLeast"/>
      <w:outlineLvl w:val="6"/>
    </w:pPr>
    <w:rPr>
      <w:rFonts w:ascii="Times New Roman" w:hAnsi="Times New Roman"/>
      <w:i/>
      <w:iCs/>
    </w:rPr>
  </w:style>
  <w:style w:type="paragraph" w:styleId="Heading8">
    <w:name w:val="heading 8"/>
    <w:basedOn w:val="Normal"/>
    <w:next w:val="Normal"/>
    <w:qFormat/>
    <w:pPr>
      <w:suppressAutoHyphens/>
      <w:spacing w:line="240" w:lineRule="atLeast"/>
      <w:ind w:left="57"/>
      <w:outlineLvl w:val="7"/>
    </w:pPr>
    <w:rPr>
      <w:b/>
      <w:bCs/>
    </w:rPr>
  </w:style>
  <w:style w:type="paragraph" w:styleId="Heading9">
    <w:name w:val="heading 9"/>
    <w:basedOn w:val="Normal"/>
    <w:next w:val="Normal"/>
    <w:qFormat/>
    <w:pPr>
      <w:tabs>
        <w:tab w:val="left" w:pos="-720"/>
      </w:tabs>
      <w:suppressAutoHyphens/>
      <w:spacing w:line="360" w:lineRule="auto"/>
      <w:ind w:right="576"/>
      <w:jc w:val="both"/>
      <w:outlineLvl w:val="8"/>
    </w:pPr>
    <w:rPr>
      <w:b/>
      <w:bCs/>
      <w:spacing w:val="-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pPr>
      <w:jc w:val="both"/>
    </w:pPr>
  </w:style>
  <w:style w:type="paragraph" w:styleId="BodyText2">
    <w:name w:val="Body Text 2"/>
    <w:basedOn w:val="Normal"/>
    <w:link w:val="BodyText2Char1"/>
    <w:pPr>
      <w:keepNext w:val="0"/>
      <w:spacing w:before="0"/>
    </w:pPr>
    <w:rPr>
      <w:rFonts w:ascii="Times New Roman" w:hAnsi="Times New Roman"/>
      <w:lang w:eastAsia="en-US"/>
    </w:rPr>
  </w:style>
  <w:style w:type="paragraph" w:styleId="BodyText3">
    <w:name w:val="Body Text 3"/>
    <w:basedOn w:val="Normal"/>
    <w:rPr>
      <w:b/>
      <w:bCs/>
    </w:rPr>
  </w:style>
  <w:style w:type="paragraph" w:styleId="BodyTextIndent">
    <w:name w:val="Body Text Indent"/>
    <w:basedOn w:val="Normal"/>
    <w:link w:val="BodyTextIndentChar"/>
    <w:pPr>
      <w:ind w:left="397"/>
    </w:pPr>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character" w:styleId="Hyperlink">
    <w:name w:val="Hyperlink"/>
    <w:uiPriority w:val="99"/>
    <w:rPr>
      <w:color w:val="0000FF"/>
      <w:u w:val="single"/>
    </w:rPr>
  </w:style>
  <w:style w:type="paragraph" w:customStyle="1" w:styleId="ReportLevel1">
    <w:name w:val="Report Level 1"/>
    <w:next w:val="ReportText"/>
    <w:pPr>
      <w:keepNext/>
      <w:tabs>
        <w:tab w:val="num" w:pos="720"/>
      </w:tabs>
      <w:spacing w:after="80"/>
      <w:ind w:left="720" w:hanging="360"/>
      <w:outlineLvl w:val="0"/>
    </w:pPr>
    <w:rPr>
      <w:rFonts w:ascii="Arial Black" w:hAnsi="Arial Black"/>
      <w:color w:val="008080"/>
      <w:sz w:val="28"/>
      <w:lang w:eastAsia="en-US"/>
    </w:rPr>
  </w:style>
  <w:style w:type="paragraph" w:customStyle="1" w:styleId="ReportText">
    <w:name w:val="Report Text"/>
    <w:pPr>
      <w:spacing w:after="120" w:line="260" w:lineRule="atLeast"/>
      <w:ind w:left="1253"/>
    </w:pPr>
    <w:rPr>
      <w:rFonts w:ascii="Arial" w:hAnsi="Arial"/>
      <w:lang w:eastAsia="en-US"/>
    </w:rPr>
  </w:style>
  <w:style w:type="paragraph" w:customStyle="1" w:styleId="ReportLevel2">
    <w:name w:val="Report Level 2"/>
    <w:basedOn w:val="ReportLevel1"/>
    <w:next w:val="ReportText"/>
    <w:pPr>
      <w:pBdr>
        <w:bottom w:val="single" w:sz="18" w:space="2" w:color="008080"/>
      </w:pBdr>
      <w:tabs>
        <w:tab w:val="clear" w:pos="720"/>
        <w:tab w:val="num" w:pos="1440"/>
      </w:tabs>
      <w:spacing w:before="140"/>
      <w:ind w:left="1440"/>
      <w:outlineLvl w:val="1"/>
    </w:pPr>
    <w:rPr>
      <w:color w:val="auto"/>
      <w:sz w:val="20"/>
    </w:rPr>
  </w:style>
  <w:style w:type="paragraph" w:customStyle="1" w:styleId="ReportLevel3">
    <w:name w:val="Report Level 3"/>
    <w:basedOn w:val="ReportLevel2"/>
    <w:next w:val="ReportText"/>
    <w:pPr>
      <w:pBdr>
        <w:bottom w:val="none" w:sz="0" w:space="0" w:color="auto"/>
      </w:pBdr>
      <w:tabs>
        <w:tab w:val="clear" w:pos="1440"/>
        <w:tab w:val="num" w:pos="2160"/>
      </w:tabs>
      <w:spacing w:after="0"/>
      <w:ind w:left="2160" w:hanging="180"/>
      <w:outlineLvl w:val="2"/>
    </w:pPr>
    <w:rPr>
      <w:sz w:val="18"/>
      <w:szCs w:val="18"/>
    </w:rPr>
  </w:style>
  <w:style w:type="paragraph" w:customStyle="1" w:styleId="ReportLevel4">
    <w:name w:val="Report Level 4"/>
    <w:basedOn w:val="ReportLevel3"/>
    <w:next w:val="ReportText"/>
    <w:pPr>
      <w:tabs>
        <w:tab w:val="clear" w:pos="2160"/>
        <w:tab w:val="num" w:pos="2880"/>
      </w:tabs>
      <w:ind w:left="2880" w:hanging="360"/>
      <w:outlineLvl w:val="3"/>
    </w:pPr>
  </w:style>
  <w:style w:type="character" w:customStyle="1" w:styleId="BodyText2Char">
    <w:name w:val="Body Text 2 Char"/>
    <w:rPr>
      <w:sz w:val="24"/>
      <w:lang w:val="en-GB" w:eastAsia="en-US" w:bidi="ar-SA"/>
    </w:rPr>
  </w:style>
  <w:style w:type="paragraph" w:styleId="Caption">
    <w:name w:val="caption"/>
    <w:basedOn w:val="Normal"/>
    <w:next w:val="Normal"/>
    <w:qFormat/>
    <w:pPr>
      <w:keepNext w:val="0"/>
      <w:tabs>
        <w:tab w:val="left" w:pos="1080"/>
      </w:tabs>
      <w:spacing w:before="240"/>
      <w:ind w:left="1253"/>
    </w:pPr>
    <w:rPr>
      <w:b/>
      <w:sz w:val="20"/>
      <w:lang w:eastAsia="en-US"/>
    </w:rPr>
  </w:style>
  <w:style w:type="paragraph" w:styleId="FootnoteText">
    <w:name w:val="footnote text"/>
    <w:basedOn w:val="Normal"/>
    <w:link w:val="FootnoteTextChar"/>
    <w:uiPriority w:val="99"/>
    <w:semiHidden/>
    <w:pPr>
      <w:keepNext w:val="0"/>
      <w:spacing w:before="0"/>
    </w:pPr>
    <w:rPr>
      <w:sz w:val="20"/>
      <w:lang w:eastAsia="en-US"/>
    </w:rPr>
  </w:style>
  <w:style w:type="character" w:styleId="FootnoteReference">
    <w:name w:val="footnote reference"/>
    <w:uiPriority w:val="99"/>
    <w:semiHidden/>
    <w:rPr>
      <w:vertAlign w:val="superscript"/>
    </w:rPr>
  </w:style>
  <w:style w:type="character" w:customStyle="1" w:styleId="ReportTextChar">
    <w:name w:val="Report Text Char"/>
    <w:rPr>
      <w:rFonts w:ascii="Arial" w:hAnsi="Arial"/>
      <w:lang w:val="en-GB" w:eastAsia="en-US" w:bidi="ar-SA"/>
    </w:rPr>
  </w:style>
  <w:style w:type="character" w:customStyle="1" w:styleId="ReportLevel2Char">
    <w:name w:val="Report Level 2 Char"/>
    <w:rPr>
      <w:rFonts w:ascii="Arial Black" w:hAnsi="Arial Black"/>
      <w:lang w:val="en-GB" w:eastAsia="en-US" w:bidi="ar-SA"/>
    </w:rPr>
  </w:style>
  <w:style w:type="character" w:customStyle="1" w:styleId="ReportLevel3Char">
    <w:name w:val="Report Level 3 Char"/>
    <w:rPr>
      <w:rFonts w:ascii="Arial Black" w:hAnsi="Arial Black"/>
      <w:sz w:val="18"/>
      <w:szCs w:val="18"/>
      <w:lang w:val="en-GB" w:eastAsia="en-US" w:bidi="ar-SA"/>
    </w:rPr>
  </w:style>
  <w:style w:type="paragraph" w:styleId="NormalWeb">
    <w:name w:val="Normal (Web)"/>
    <w:basedOn w:val="Normal"/>
    <w:uiPriority w:val="99"/>
    <w:pPr>
      <w:keepNext w:val="0"/>
      <w:spacing w:before="100" w:beforeAutospacing="1" w:after="100" w:afterAutospacing="1"/>
    </w:pPr>
    <w:rPr>
      <w:rFonts w:ascii="Times New Roman" w:hAnsi="Times New Roman"/>
      <w:szCs w:val="24"/>
    </w:rPr>
  </w:style>
  <w:style w:type="paragraph" w:styleId="Subtitle">
    <w:name w:val="Subtitle"/>
    <w:basedOn w:val="Normal"/>
    <w:link w:val="SubtitleChar"/>
    <w:qFormat/>
    <w:pPr>
      <w:keepNext w:val="0"/>
      <w:spacing w:before="0"/>
    </w:pPr>
    <w:rPr>
      <w:rFonts w:ascii="Times New Roman" w:hAnsi="Times New Roman"/>
      <w:lang w:eastAsia="en-US"/>
    </w:rPr>
  </w:style>
  <w:style w:type="paragraph" w:customStyle="1" w:styleId="Default">
    <w:name w:val="Default"/>
    <w:pPr>
      <w:autoSpaceDE w:val="0"/>
      <w:autoSpaceDN w:val="0"/>
      <w:adjustRightInd w:val="0"/>
    </w:pPr>
    <w:rPr>
      <w:color w:val="000000"/>
      <w:sz w:val="24"/>
      <w:szCs w:val="24"/>
    </w:rPr>
  </w:style>
  <w:style w:type="character" w:styleId="FollowedHyperlink">
    <w:name w:val="FollowedHyperlink"/>
    <w:uiPriority w:val="99"/>
    <w:rPr>
      <w:color w:val="800080"/>
      <w:u w:val="single"/>
    </w:rPr>
  </w:style>
  <w:style w:type="paragraph" w:customStyle="1" w:styleId="body-intro">
    <w:name w:val="body-intro"/>
    <w:basedOn w:val="Normal"/>
    <w:pPr>
      <w:keepNext w:val="0"/>
      <w:spacing w:before="100" w:beforeAutospacing="1" w:after="100" w:afterAutospacing="1" w:line="320" w:lineRule="atLeast"/>
    </w:pPr>
    <w:rPr>
      <w:rFonts w:cs="Arial"/>
      <w:b/>
      <w:bCs/>
      <w:color w:val="003333"/>
      <w:szCs w:val="24"/>
    </w:rPr>
  </w:style>
  <w:style w:type="paragraph" w:customStyle="1" w:styleId="body">
    <w:name w:val="body"/>
    <w:basedOn w:val="Normal"/>
    <w:pPr>
      <w:keepNext w:val="0"/>
      <w:shd w:val="clear" w:color="auto" w:fill="FFFFFF"/>
      <w:spacing w:before="100" w:beforeAutospacing="1" w:after="100" w:afterAutospacing="1" w:line="320" w:lineRule="atLeast"/>
      <w:jc w:val="both"/>
    </w:pPr>
    <w:rPr>
      <w:rFonts w:cs="Arial"/>
      <w:szCs w:val="24"/>
    </w:rPr>
  </w:style>
  <w:style w:type="paragraph" w:styleId="BodyTextIndent2">
    <w:name w:val="Body Text Indent 2"/>
    <w:basedOn w:val="Normal"/>
    <w:pPr>
      <w:keepNext w:val="0"/>
      <w:autoSpaceDE w:val="0"/>
      <w:autoSpaceDN w:val="0"/>
      <w:adjustRightInd w:val="0"/>
      <w:spacing w:before="0"/>
      <w:ind w:left="360" w:hanging="360"/>
    </w:pPr>
    <w:rPr>
      <w:rFonts w:cs="Arial"/>
      <w:szCs w:val="22"/>
    </w:rPr>
  </w:style>
  <w:style w:type="paragraph" w:customStyle="1" w:styleId="xl75">
    <w:name w:val="xl75"/>
    <w:basedOn w:val="Normal"/>
    <w:pPr>
      <w:keepNext w:val="0"/>
      <w:pBdr>
        <w:top w:val="single" w:sz="4" w:space="0" w:color="auto"/>
        <w:left w:val="single" w:sz="4" w:space="0" w:color="auto"/>
        <w:right w:val="single" w:sz="4" w:space="0" w:color="auto"/>
      </w:pBdr>
      <w:spacing w:before="100" w:beforeAutospacing="1" w:after="100" w:afterAutospacing="1"/>
      <w:jc w:val="center"/>
      <w:textAlignment w:val="center"/>
    </w:pPr>
    <w:rPr>
      <w:rFonts w:cs="Arial"/>
      <w:sz w:val="16"/>
      <w:szCs w:val="16"/>
      <w:lang w:eastAsia="en-US"/>
    </w:rPr>
  </w:style>
  <w:style w:type="paragraph" w:customStyle="1" w:styleId="font6">
    <w:name w:val="font6"/>
    <w:basedOn w:val="Normal"/>
    <w:pPr>
      <w:keepNext w:val="0"/>
      <w:spacing w:before="100" w:beforeAutospacing="1" w:after="100" w:afterAutospacing="1"/>
    </w:pPr>
    <w:rPr>
      <w:rFonts w:cs="Arial"/>
      <w:b/>
      <w:bCs/>
      <w:szCs w:val="24"/>
      <w:lang w:eastAsia="en-US"/>
    </w:rPr>
  </w:style>
  <w:style w:type="paragraph" w:customStyle="1" w:styleId="font7">
    <w:name w:val="font7"/>
    <w:basedOn w:val="Normal"/>
    <w:pPr>
      <w:keepNext w:val="0"/>
      <w:spacing w:before="100" w:beforeAutospacing="1" w:after="100" w:afterAutospacing="1"/>
    </w:pPr>
    <w:rPr>
      <w:rFonts w:cs="Arial"/>
      <w:b/>
      <w:bCs/>
      <w:sz w:val="20"/>
      <w:lang w:eastAsia="en-US"/>
    </w:rPr>
  </w:style>
  <w:style w:type="paragraph" w:customStyle="1" w:styleId="xl24">
    <w:name w:val="xl24"/>
    <w:basedOn w:val="Normal"/>
    <w:pPr>
      <w:keepNext w:val="0"/>
      <w:pBdr>
        <w:left w:val="single" w:sz="4" w:space="0" w:color="auto"/>
        <w:bottom w:val="double" w:sz="6" w:space="0" w:color="auto"/>
        <w:right w:val="single" w:sz="4" w:space="0" w:color="auto"/>
      </w:pBdr>
      <w:spacing w:before="100" w:beforeAutospacing="1" w:after="100" w:afterAutospacing="1"/>
      <w:jc w:val="center"/>
      <w:textAlignment w:val="center"/>
    </w:pPr>
    <w:rPr>
      <w:rFonts w:cs="Arial"/>
      <w:sz w:val="16"/>
      <w:szCs w:val="16"/>
      <w:lang w:eastAsia="en-US"/>
    </w:rPr>
  </w:style>
  <w:style w:type="paragraph" w:customStyle="1" w:styleId="xl25">
    <w:name w:val="xl25"/>
    <w:basedOn w:val="Normal"/>
    <w:pPr>
      <w:keepNext w:val="0"/>
      <w:pBdr>
        <w:top w:val="single" w:sz="8" w:space="0" w:color="auto"/>
        <w:bottom w:val="single" w:sz="8" w:space="0" w:color="auto"/>
      </w:pBdr>
      <w:spacing w:before="100" w:beforeAutospacing="1" w:after="100" w:afterAutospacing="1"/>
    </w:pPr>
    <w:rPr>
      <w:rFonts w:ascii="Times New Roman" w:hAnsi="Times New Roman"/>
      <w:szCs w:val="24"/>
      <w:lang w:eastAsia="en-US"/>
    </w:rPr>
  </w:style>
  <w:style w:type="paragraph" w:customStyle="1" w:styleId="style1">
    <w:name w:val="style1"/>
    <w:basedOn w:val="Normal"/>
    <w:pPr>
      <w:keepNext w:val="0"/>
      <w:spacing w:before="100" w:beforeAutospacing="1" w:after="100" w:afterAutospacing="1"/>
    </w:pPr>
    <w:rPr>
      <w:rFonts w:ascii="Times New Roman" w:hAnsi="Times New Roman"/>
      <w:sz w:val="15"/>
      <w:szCs w:val="15"/>
    </w:rPr>
  </w:style>
  <w:style w:type="paragraph" w:customStyle="1" w:styleId="Pa31">
    <w:name w:val="Pa3++1"/>
    <w:basedOn w:val="Default"/>
    <w:next w:val="Default"/>
    <w:pPr>
      <w:spacing w:after="100" w:line="191" w:lineRule="atLeast"/>
    </w:pPr>
    <w:rPr>
      <w:rFonts w:ascii="Arial" w:hAnsi="Arial"/>
      <w:color w:val="auto"/>
    </w:rPr>
  </w:style>
  <w:style w:type="paragraph" w:customStyle="1" w:styleId="xl26">
    <w:name w:val="xl26"/>
    <w:basedOn w:val="Normal"/>
    <w:pPr>
      <w:keepNext w:val="0"/>
      <w:pBdr>
        <w:top w:val="single" w:sz="8" w:space="0" w:color="auto"/>
        <w:bottom w:val="single" w:sz="8" w:space="0" w:color="auto"/>
      </w:pBdr>
      <w:spacing w:before="100" w:beforeAutospacing="1" w:after="100" w:afterAutospacing="1"/>
    </w:pPr>
    <w:rPr>
      <w:rFonts w:ascii="Times New Roman" w:hAnsi="Times New Roman"/>
      <w:szCs w:val="24"/>
      <w:lang w:eastAsia="en-US"/>
    </w:rPr>
  </w:style>
  <w:style w:type="paragraph" w:customStyle="1" w:styleId="xl28">
    <w:name w:val="xl28"/>
    <w:basedOn w:val="Normal"/>
    <w:pPr>
      <w:keepNext w:val="0"/>
      <w:spacing w:before="100" w:beforeAutospacing="1" w:after="100" w:afterAutospacing="1"/>
    </w:pPr>
    <w:rPr>
      <w:rFonts w:cs="Arial"/>
      <w:b/>
      <w:bCs/>
      <w:szCs w:val="24"/>
      <w:lang w:eastAsia="en-US"/>
    </w:rPr>
  </w:style>
  <w:style w:type="paragraph" w:customStyle="1" w:styleId="xl29">
    <w:name w:val="xl29"/>
    <w:basedOn w:val="Normal"/>
    <w:pPr>
      <w:keepNext w:val="0"/>
      <w:spacing w:before="100" w:beforeAutospacing="1" w:after="100" w:afterAutospacing="1"/>
      <w:jc w:val="center"/>
    </w:pPr>
    <w:rPr>
      <w:rFonts w:ascii="Times New Roman" w:hAnsi="Times New Roman"/>
      <w:szCs w:val="24"/>
      <w:lang w:eastAsia="en-US"/>
    </w:rPr>
  </w:style>
  <w:style w:type="paragraph" w:customStyle="1" w:styleId="inset">
    <w:name w:val="inset"/>
    <w:basedOn w:val="Normal"/>
    <w:pPr>
      <w:keepNext w:val="0"/>
      <w:spacing w:before="0"/>
    </w:pPr>
    <w:rPr>
      <w:snapToGrid w:val="0"/>
      <w:color w:val="000066"/>
      <w:sz w:val="18"/>
      <w:szCs w:val="24"/>
      <w:lang w:val="en-US" w:eastAsia="en-US"/>
    </w:rPr>
  </w:style>
  <w:style w:type="paragraph" w:styleId="BodyTextIndent3">
    <w:name w:val="Body Text Indent 3"/>
    <w:basedOn w:val="Normal"/>
    <w:pPr>
      <w:autoSpaceDE w:val="0"/>
      <w:autoSpaceDN w:val="0"/>
      <w:adjustRightInd w:val="0"/>
      <w:ind w:left="525"/>
    </w:pPr>
    <w:rPr>
      <w:rFonts w:cs="Arial"/>
      <w:color w:val="000000"/>
      <w:szCs w:val="21"/>
      <w:lang w:val="en-US"/>
    </w:rPr>
  </w:style>
  <w:style w:type="paragraph" w:customStyle="1" w:styleId="Pa9">
    <w:name w:val="Pa9"/>
    <w:basedOn w:val="Default"/>
    <w:next w:val="Default"/>
    <w:pPr>
      <w:spacing w:line="171" w:lineRule="atLeast"/>
    </w:pPr>
    <w:rPr>
      <w:rFonts w:ascii="Arial" w:hAnsi="Arial"/>
      <w:color w:val="auto"/>
    </w:rPr>
  </w:style>
  <w:style w:type="paragraph" w:customStyle="1" w:styleId="Pa10">
    <w:name w:val="Pa10"/>
    <w:basedOn w:val="Default"/>
    <w:next w:val="Default"/>
    <w:pPr>
      <w:spacing w:line="261" w:lineRule="atLeast"/>
    </w:pPr>
    <w:rPr>
      <w:rFonts w:ascii="Arial" w:hAnsi="Arial"/>
      <w:color w:val="auto"/>
    </w:rPr>
  </w:style>
  <w:style w:type="paragraph" w:customStyle="1" w:styleId="09Coverheading2">
    <w:name w:val="09_Cover heading 2"/>
    <w:basedOn w:val="Normal"/>
    <w:pPr>
      <w:keepNext w:val="0"/>
      <w:spacing w:before="0"/>
      <w:jc w:val="right"/>
    </w:pPr>
    <w:rPr>
      <w:b/>
      <w:sz w:val="40"/>
      <w:lang w:eastAsia="en-US"/>
    </w:rPr>
  </w:style>
  <w:style w:type="paragraph" w:styleId="ListParagraph">
    <w:name w:val="List Paragraph"/>
    <w:aliases w:val="Paragraph 1"/>
    <w:basedOn w:val="Normal"/>
    <w:link w:val="ListParagraphChar"/>
    <w:uiPriority w:val="34"/>
    <w:qFormat/>
    <w:rsid w:val="00756474"/>
    <w:pPr>
      <w:keepNext w:val="0"/>
      <w:spacing w:before="0" w:after="200" w:line="276" w:lineRule="auto"/>
      <w:ind w:left="720"/>
      <w:contextualSpacing/>
    </w:pPr>
    <w:rPr>
      <w:rFonts w:ascii="Calibri" w:hAnsi="Calibri"/>
      <w:szCs w:val="22"/>
      <w:lang w:eastAsia="en-US"/>
    </w:rPr>
  </w:style>
  <w:style w:type="character" w:customStyle="1" w:styleId="A7">
    <w:name w:val="A7"/>
    <w:rsid w:val="006D7F84"/>
    <w:rPr>
      <w:rFonts w:cs="Bliss"/>
      <w:b/>
      <w:bCs/>
      <w:i/>
      <w:iCs/>
      <w:color w:val="000000"/>
      <w:sz w:val="88"/>
      <w:szCs w:val="88"/>
    </w:rPr>
  </w:style>
  <w:style w:type="table" w:styleId="TableGrid">
    <w:name w:val="Table Grid"/>
    <w:aliases w:val="Report Table"/>
    <w:basedOn w:val="TableNormal"/>
    <w:rsid w:val="00AC737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M1">
    <w:name w:val="CM1"/>
    <w:basedOn w:val="Default"/>
    <w:next w:val="Default"/>
    <w:uiPriority w:val="99"/>
    <w:rsid w:val="00E102C7"/>
    <w:pPr>
      <w:spacing w:line="231" w:lineRule="atLeast"/>
    </w:pPr>
    <w:rPr>
      <w:rFonts w:ascii="Arial" w:hAnsi="Arial" w:cs="Arial"/>
      <w:color w:val="auto"/>
    </w:rPr>
  </w:style>
  <w:style w:type="paragraph" w:customStyle="1" w:styleId="CM20">
    <w:name w:val="CM20"/>
    <w:basedOn w:val="Default"/>
    <w:next w:val="Default"/>
    <w:uiPriority w:val="99"/>
    <w:rsid w:val="00EE0CAA"/>
    <w:pPr>
      <w:spacing w:line="231" w:lineRule="atLeast"/>
    </w:pPr>
    <w:rPr>
      <w:rFonts w:ascii="Arial" w:hAnsi="Arial" w:cs="Arial"/>
      <w:color w:val="auto"/>
    </w:rPr>
  </w:style>
  <w:style w:type="paragraph" w:customStyle="1" w:styleId="CM60">
    <w:name w:val="CM60"/>
    <w:basedOn w:val="Default"/>
    <w:next w:val="Default"/>
    <w:uiPriority w:val="99"/>
    <w:rsid w:val="00EE0CAA"/>
    <w:rPr>
      <w:rFonts w:ascii="Arial" w:hAnsi="Arial" w:cs="Arial"/>
      <w:color w:val="auto"/>
    </w:rPr>
  </w:style>
  <w:style w:type="character" w:customStyle="1" w:styleId="A8">
    <w:name w:val="A8"/>
    <w:rsid w:val="004E6E6F"/>
    <w:rPr>
      <w:rFonts w:cs="Minion"/>
      <w:color w:val="000000"/>
      <w:sz w:val="15"/>
      <w:szCs w:val="15"/>
    </w:rPr>
  </w:style>
  <w:style w:type="paragraph" w:customStyle="1" w:styleId="Pa8">
    <w:name w:val="Pa8"/>
    <w:basedOn w:val="Default"/>
    <w:next w:val="Default"/>
    <w:uiPriority w:val="99"/>
    <w:rsid w:val="004E6E6F"/>
    <w:pPr>
      <w:spacing w:line="221" w:lineRule="atLeast"/>
    </w:pPr>
    <w:rPr>
      <w:rFonts w:ascii="Minion" w:hAnsi="Minion"/>
      <w:color w:val="auto"/>
    </w:rPr>
  </w:style>
  <w:style w:type="paragraph" w:customStyle="1" w:styleId="Pa12">
    <w:name w:val="Pa12"/>
    <w:basedOn w:val="Default"/>
    <w:next w:val="Default"/>
    <w:uiPriority w:val="99"/>
    <w:rsid w:val="00501527"/>
    <w:pPr>
      <w:spacing w:line="221" w:lineRule="atLeast"/>
    </w:pPr>
    <w:rPr>
      <w:rFonts w:ascii="Minion" w:hAnsi="Minion"/>
      <w:color w:val="auto"/>
    </w:rPr>
  </w:style>
  <w:style w:type="paragraph" w:customStyle="1" w:styleId="Pa13">
    <w:name w:val="Pa13"/>
    <w:basedOn w:val="Default"/>
    <w:next w:val="Default"/>
    <w:uiPriority w:val="99"/>
    <w:rsid w:val="00501527"/>
    <w:pPr>
      <w:spacing w:line="221" w:lineRule="atLeast"/>
    </w:pPr>
    <w:rPr>
      <w:rFonts w:ascii="Minion" w:hAnsi="Minion"/>
      <w:color w:val="auto"/>
    </w:rPr>
  </w:style>
  <w:style w:type="character" w:customStyle="1" w:styleId="A11">
    <w:name w:val="A11"/>
    <w:uiPriority w:val="99"/>
    <w:rsid w:val="00501527"/>
    <w:rPr>
      <w:rFonts w:cs="Minion"/>
      <w:color w:val="000000"/>
      <w:sz w:val="22"/>
      <w:szCs w:val="22"/>
    </w:rPr>
  </w:style>
  <w:style w:type="paragraph" w:customStyle="1" w:styleId="Pa0">
    <w:name w:val="Pa0"/>
    <w:basedOn w:val="Default"/>
    <w:next w:val="Default"/>
    <w:rsid w:val="00501527"/>
    <w:pPr>
      <w:spacing w:line="241" w:lineRule="atLeast"/>
    </w:pPr>
    <w:rPr>
      <w:rFonts w:ascii="Minion" w:hAnsi="Minion"/>
      <w:color w:val="auto"/>
    </w:rPr>
  </w:style>
  <w:style w:type="character" w:customStyle="1" w:styleId="A4">
    <w:name w:val="A4"/>
    <w:rsid w:val="00501527"/>
    <w:rPr>
      <w:rFonts w:ascii="Frutiger 45 Light" w:hAnsi="Frutiger 45 Light" w:cs="Frutiger 45 Light"/>
      <w:b/>
      <w:bCs/>
      <w:color w:val="000000"/>
      <w:sz w:val="14"/>
      <w:szCs w:val="14"/>
    </w:rPr>
  </w:style>
  <w:style w:type="character" w:customStyle="1" w:styleId="A3">
    <w:name w:val="A3"/>
    <w:uiPriority w:val="99"/>
    <w:rsid w:val="00501527"/>
    <w:rPr>
      <w:rFonts w:ascii="Minion DisplaySC" w:hAnsi="Minion DisplaySC" w:cs="Minion DisplaySC"/>
      <w:color w:val="000000"/>
      <w:sz w:val="16"/>
      <w:szCs w:val="16"/>
    </w:rPr>
  </w:style>
  <w:style w:type="character" w:styleId="Emphasis">
    <w:name w:val="Emphasis"/>
    <w:qFormat/>
    <w:rsid w:val="00BB554C"/>
    <w:rPr>
      <w:i/>
      <w:iCs/>
    </w:rPr>
  </w:style>
  <w:style w:type="character" w:styleId="Strong">
    <w:name w:val="Strong"/>
    <w:qFormat/>
    <w:rsid w:val="00347A20"/>
    <w:rPr>
      <w:b/>
      <w:bCs/>
    </w:rPr>
  </w:style>
  <w:style w:type="paragraph" w:styleId="BalloonText">
    <w:name w:val="Balloon Text"/>
    <w:basedOn w:val="Normal"/>
    <w:link w:val="BalloonTextChar"/>
    <w:uiPriority w:val="99"/>
    <w:semiHidden/>
    <w:rsid w:val="007D4658"/>
    <w:rPr>
      <w:rFonts w:ascii="Tahoma" w:hAnsi="Tahoma" w:cs="Tahoma"/>
      <w:sz w:val="16"/>
      <w:szCs w:val="16"/>
    </w:rPr>
  </w:style>
  <w:style w:type="paragraph" w:customStyle="1" w:styleId="Covertitle">
    <w:name w:val="Cover title"/>
    <w:basedOn w:val="Normal"/>
    <w:next w:val="Normal"/>
    <w:rsid w:val="002308D8"/>
    <w:pPr>
      <w:keepNext w:val="0"/>
      <w:spacing w:before="0" w:after="120"/>
      <w:contextualSpacing/>
    </w:pPr>
    <w:rPr>
      <w:rFonts w:eastAsia="SimSun"/>
      <w:b/>
      <w:color w:val="015CAE"/>
      <w:sz w:val="54"/>
      <w:szCs w:val="22"/>
      <w:lang w:eastAsia="zh-CN"/>
    </w:rPr>
  </w:style>
  <w:style w:type="paragraph" w:styleId="TOC3">
    <w:name w:val="toc 3"/>
    <w:basedOn w:val="Normal"/>
    <w:next w:val="Normal"/>
    <w:autoRedefine/>
    <w:uiPriority w:val="39"/>
    <w:rsid w:val="002308D8"/>
    <w:pPr>
      <w:spacing w:before="0"/>
      <w:ind w:left="240"/>
    </w:pPr>
    <w:rPr>
      <w:rFonts w:asciiTheme="minorHAnsi" w:hAnsiTheme="minorHAnsi" w:cstheme="minorHAnsi"/>
      <w:sz w:val="20"/>
    </w:rPr>
  </w:style>
  <w:style w:type="paragraph" w:customStyle="1" w:styleId="CM41">
    <w:name w:val="CM41"/>
    <w:basedOn w:val="Default"/>
    <w:next w:val="Default"/>
    <w:rsid w:val="00033102"/>
    <w:rPr>
      <w:rFonts w:ascii="Arial" w:hAnsi="Arial"/>
      <w:color w:val="auto"/>
    </w:rPr>
  </w:style>
  <w:style w:type="character" w:customStyle="1" w:styleId="A5">
    <w:name w:val="A5"/>
    <w:rsid w:val="0060204C"/>
    <w:rPr>
      <w:rFonts w:cs="Frutiger 45 Light"/>
      <w:color w:val="000000"/>
    </w:rPr>
  </w:style>
  <w:style w:type="paragraph" w:customStyle="1" w:styleId="Pa19">
    <w:name w:val="Pa19"/>
    <w:basedOn w:val="Default"/>
    <w:next w:val="Default"/>
    <w:uiPriority w:val="99"/>
    <w:rsid w:val="0060204C"/>
    <w:pPr>
      <w:spacing w:line="241" w:lineRule="atLeast"/>
    </w:pPr>
    <w:rPr>
      <w:rFonts w:ascii="Frutiger 45 Light" w:hAnsi="Frutiger 45 Light"/>
      <w:color w:val="auto"/>
    </w:rPr>
  </w:style>
  <w:style w:type="character" w:customStyle="1" w:styleId="BodyText2Char1">
    <w:name w:val="Body Text 2 Char1"/>
    <w:link w:val="BodyText2"/>
    <w:rsid w:val="00EF4CC3"/>
    <w:rPr>
      <w:sz w:val="24"/>
      <w:lang w:val="en-GB" w:eastAsia="en-US" w:bidi="ar-SA"/>
    </w:rPr>
  </w:style>
  <w:style w:type="paragraph" w:styleId="DocumentMap">
    <w:name w:val="Document Map"/>
    <w:basedOn w:val="Normal"/>
    <w:semiHidden/>
    <w:rsid w:val="006F38E7"/>
    <w:pPr>
      <w:shd w:val="clear" w:color="auto" w:fill="000080"/>
    </w:pPr>
    <w:rPr>
      <w:rFonts w:ascii="Tahoma" w:hAnsi="Tahoma" w:cs="Tahoma"/>
      <w:sz w:val="20"/>
    </w:rPr>
  </w:style>
  <w:style w:type="character" w:customStyle="1" w:styleId="st">
    <w:name w:val="st"/>
    <w:basedOn w:val="DefaultParagraphFont"/>
    <w:rsid w:val="00C91AAA"/>
  </w:style>
  <w:style w:type="paragraph" w:customStyle="1" w:styleId="normalnumbered">
    <w:name w:val="normal numbered"/>
    <w:basedOn w:val="Normal"/>
    <w:link w:val="normalnumberedChar"/>
    <w:rsid w:val="001336FB"/>
    <w:pPr>
      <w:keepNext w:val="0"/>
      <w:tabs>
        <w:tab w:val="num" w:pos="720"/>
        <w:tab w:val="num" w:pos="860"/>
      </w:tabs>
      <w:spacing w:after="240" w:line="360" w:lineRule="auto"/>
      <w:jc w:val="both"/>
    </w:pPr>
    <w:rPr>
      <w:sz w:val="20"/>
      <w:szCs w:val="24"/>
    </w:rPr>
  </w:style>
  <w:style w:type="character" w:customStyle="1" w:styleId="normalnumberedChar">
    <w:name w:val="normal numbered Char"/>
    <w:link w:val="normalnumbered"/>
    <w:rsid w:val="001336FB"/>
    <w:rPr>
      <w:rFonts w:ascii="Arial" w:hAnsi="Arial"/>
      <w:szCs w:val="24"/>
    </w:rPr>
  </w:style>
  <w:style w:type="character" w:customStyle="1" w:styleId="Heading2Char">
    <w:name w:val="Heading 2 Char"/>
    <w:link w:val="Heading2"/>
    <w:rsid w:val="001019CE"/>
    <w:rPr>
      <w:rFonts w:ascii="Arial" w:hAnsi="Arial"/>
      <w:b/>
      <w:color w:val="000000" w:themeColor="text1"/>
      <w:sz w:val="40"/>
      <w:lang w:eastAsia="en-US"/>
    </w:rPr>
  </w:style>
  <w:style w:type="character" w:customStyle="1" w:styleId="Heading3Char">
    <w:name w:val="Heading 3 Char"/>
    <w:link w:val="Heading3"/>
    <w:rsid w:val="00890704"/>
    <w:rPr>
      <w:rFonts w:ascii="Arial" w:eastAsia="Calibri" w:hAnsi="Arial" w:cs="Arial"/>
      <w:b/>
      <w:bCs/>
      <w:iCs/>
      <w:sz w:val="24"/>
      <w:szCs w:val="24"/>
      <w:lang w:eastAsia="en-US"/>
    </w:rPr>
  </w:style>
  <w:style w:type="character" w:customStyle="1" w:styleId="SubtitleChar">
    <w:name w:val="Subtitle Char"/>
    <w:link w:val="Subtitle"/>
    <w:rsid w:val="00922B31"/>
    <w:rPr>
      <w:sz w:val="24"/>
      <w:lang w:eastAsia="en-US"/>
    </w:rPr>
  </w:style>
  <w:style w:type="character" w:customStyle="1" w:styleId="FooterChar">
    <w:name w:val="Footer Char"/>
    <w:link w:val="Footer"/>
    <w:uiPriority w:val="99"/>
    <w:rsid w:val="009D20EC"/>
    <w:rPr>
      <w:rFonts w:ascii="Arial" w:hAnsi="Arial"/>
      <w:sz w:val="22"/>
    </w:rPr>
  </w:style>
  <w:style w:type="character" w:customStyle="1" w:styleId="tgc">
    <w:name w:val="_tgc"/>
    <w:basedOn w:val="DefaultParagraphFont"/>
    <w:rsid w:val="0068741D"/>
  </w:style>
  <w:style w:type="paragraph" w:styleId="PlainText">
    <w:name w:val="Plain Text"/>
    <w:basedOn w:val="Normal"/>
    <w:link w:val="PlainTextChar"/>
    <w:rsid w:val="009F78A0"/>
    <w:pPr>
      <w:keepNext w:val="0"/>
      <w:spacing w:before="0"/>
    </w:pPr>
    <w:rPr>
      <w:rFonts w:ascii="Courier New" w:hAnsi="Courier New" w:cs="Courier New"/>
      <w:sz w:val="20"/>
    </w:rPr>
  </w:style>
  <w:style w:type="character" w:customStyle="1" w:styleId="PlainTextChar">
    <w:name w:val="Plain Text Char"/>
    <w:link w:val="PlainText"/>
    <w:rsid w:val="009F78A0"/>
    <w:rPr>
      <w:rFonts w:ascii="Courier New" w:hAnsi="Courier New" w:cs="Courier New"/>
    </w:rPr>
  </w:style>
  <w:style w:type="character" w:customStyle="1" w:styleId="FootnoteTextChar">
    <w:name w:val="Footnote Text Char"/>
    <w:link w:val="FootnoteText"/>
    <w:uiPriority w:val="99"/>
    <w:semiHidden/>
    <w:rsid w:val="00FC6353"/>
    <w:rPr>
      <w:rFonts w:ascii="Arial" w:hAnsi="Arial"/>
      <w:lang w:eastAsia="en-US"/>
    </w:rPr>
  </w:style>
  <w:style w:type="table" w:customStyle="1" w:styleId="TableGrid1">
    <w:name w:val="Table Grid1"/>
    <w:basedOn w:val="TableNormal"/>
    <w:next w:val="TableGrid"/>
    <w:uiPriority w:val="59"/>
    <w:rsid w:val="00350C9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C444E2"/>
    <w:pPr>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rsid w:val="005C27E8"/>
    <w:rPr>
      <w:sz w:val="20"/>
    </w:rPr>
  </w:style>
  <w:style w:type="character" w:customStyle="1" w:styleId="CommentTextChar">
    <w:name w:val="Comment Text Char"/>
    <w:basedOn w:val="DefaultParagraphFont"/>
    <w:link w:val="CommentText"/>
    <w:uiPriority w:val="99"/>
    <w:rsid w:val="005C27E8"/>
    <w:rPr>
      <w:rFonts w:ascii="Arial" w:hAnsi="Arial"/>
      <w:color w:val="000000" w:themeColor="text1"/>
    </w:rPr>
  </w:style>
  <w:style w:type="character" w:styleId="CommentReference">
    <w:name w:val="annotation reference"/>
    <w:uiPriority w:val="99"/>
    <w:rsid w:val="005C27E8"/>
    <w:rPr>
      <w:sz w:val="16"/>
      <w:szCs w:val="16"/>
    </w:rPr>
  </w:style>
  <w:style w:type="table" w:customStyle="1" w:styleId="TableGrid3">
    <w:name w:val="Table Grid3"/>
    <w:basedOn w:val="TableNormal"/>
    <w:next w:val="TableGrid"/>
    <w:uiPriority w:val="39"/>
    <w:rsid w:val="00253929"/>
    <w:pPr>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5">
    <w:name w:val="Pa5"/>
    <w:basedOn w:val="Default"/>
    <w:next w:val="Default"/>
    <w:rsid w:val="003178B5"/>
    <w:pPr>
      <w:spacing w:line="261" w:lineRule="atLeast"/>
    </w:pPr>
    <w:rPr>
      <w:rFonts w:ascii="GillSans" w:hAnsi="GillSans"/>
      <w:color w:val="auto"/>
    </w:rPr>
  </w:style>
  <w:style w:type="character" w:customStyle="1" w:styleId="A12">
    <w:name w:val="A12"/>
    <w:uiPriority w:val="99"/>
    <w:rsid w:val="003178B5"/>
    <w:rPr>
      <w:rFonts w:cs="Poppins"/>
      <w:b/>
      <w:bCs/>
      <w:color w:val="000000"/>
      <w:sz w:val="28"/>
      <w:szCs w:val="28"/>
    </w:rPr>
  </w:style>
  <w:style w:type="character" w:styleId="UnresolvedMention">
    <w:name w:val="Unresolved Mention"/>
    <w:basedOn w:val="DefaultParagraphFont"/>
    <w:uiPriority w:val="99"/>
    <w:semiHidden/>
    <w:unhideWhenUsed/>
    <w:rsid w:val="00284AAC"/>
    <w:rPr>
      <w:color w:val="605E5C"/>
      <w:shd w:val="clear" w:color="auto" w:fill="E1DFDD"/>
    </w:rPr>
  </w:style>
  <w:style w:type="table" w:customStyle="1" w:styleId="TableGrid18">
    <w:name w:val="Table Grid18"/>
    <w:basedOn w:val="TableNormal"/>
    <w:next w:val="TableGrid"/>
    <w:uiPriority w:val="39"/>
    <w:rsid w:val="00386A0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3D2A07"/>
    <w:pPr>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1">
    <w:name w:val="Report Table1"/>
    <w:basedOn w:val="TableNormal"/>
    <w:next w:val="TableGrid"/>
    <w:rsid w:val="00357D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rsid w:val="00E66BAE"/>
    <w:rPr>
      <w:b/>
      <w:bCs/>
    </w:rPr>
  </w:style>
  <w:style w:type="character" w:customStyle="1" w:styleId="CommentSubjectChar">
    <w:name w:val="Comment Subject Char"/>
    <w:basedOn w:val="CommentTextChar"/>
    <w:link w:val="CommentSubject"/>
    <w:uiPriority w:val="99"/>
    <w:rsid w:val="00E66BAE"/>
    <w:rPr>
      <w:rFonts w:ascii="Arial" w:hAnsi="Arial"/>
      <w:b/>
      <w:bCs/>
      <w:color w:val="000000" w:themeColor="text1"/>
    </w:rPr>
  </w:style>
  <w:style w:type="paragraph" w:customStyle="1" w:styleId="Heading">
    <w:name w:val="Heading"/>
    <w:link w:val="Heading10"/>
    <w:rsid w:val="00DE2722"/>
    <w:pPr>
      <w:tabs>
        <w:tab w:val="left" w:pos="680"/>
      </w:tabs>
      <w:spacing w:after="170"/>
    </w:pPr>
    <w:rPr>
      <w:rFonts w:ascii="Arial" w:eastAsia="Arial" w:hAnsi="Arial"/>
      <w:b/>
      <w:color w:val="A91A37"/>
      <w:sz w:val="24"/>
    </w:rPr>
  </w:style>
  <w:style w:type="character" w:customStyle="1" w:styleId="Heading10">
    <w:name w:val="Heading1"/>
    <w:link w:val="Heading"/>
    <w:locked/>
    <w:rsid w:val="00DE2722"/>
    <w:rPr>
      <w:rFonts w:ascii="Arial" w:eastAsia="Arial" w:hAnsi="Arial"/>
      <w:b/>
      <w:color w:val="A91A37"/>
      <w:sz w:val="24"/>
    </w:rPr>
  </w:style>
  <w:style w:type="character" w:customStyle="1" w:styleId="Normal1">
    <w:name w:val="Normal1"/>
    <w:rsid w:val="007D1121"/>
    <w:rPr>
      <w:rFonts w:ascii="Arial" w:eastAsia="Arial" w:hAnsi="Arial"/>
      <w:noProof w:val="0"/>
      <w:sz w:val="24"/>
      <w:lang w:val="en-GB"/>
    </w:rPr>
  </w:style>
  <w:style w:type="paragraph" w:customStyle="1" w:styleId="Policy">
    <w:name w:val="Policy"/>
    <w:link w:val="Policy1"/>
    <w:rsid w:val="003C7E62"/>
    <w:pPr>
      <w:tabs>
        <w:tab w:val="left" w:pos="680"/>
        <w:tab w:val="left" w:pos="1133"/>
        <w:tab w:val="left" w:pos="2267"/>
      </w:tabs>
      <w:spacing w:after="113" w:line="300" w:lineRule="exact"/>
      <w:ind w:left="283" w:right="283"/>
    </w:pPr>
    <w:rPr>
      <w:rFonts w:ascii="Arial" w:eastAsia="Arial" w:hAnsi="Arial"/>
      <w:sz w:val="28"/>
    </w:rPr>
  </w:style>
  <w:style w:type="character" w:customStyle="1" w:styleId="Policy1">
    <w:name w:val="Policy1"/>
    <w:link w:val="Policy"/>
    <w:locked/>
    <w:rsid w:val="003C7E62"/>
    <w:rPr>
      <w:rFonts w:ascii="Arial" w:eastAsia="Arial" w:hAnsi="Arial"/>
      <w:sz w:val="28"/>
    </w:rPr>
  </w:style>
  <w:style w:type="paragraph" w:styleId="Revision">
    <w:name w:val="Revision"/>
    <w:hidden/>
    <w:uiPriority w:val="99"/>
    <w:semiHidden/>
    <w:rsid w:val="00757836"/>
    <w:rPr>
      <w:rFonts w:ascii="Arial" w:hAnsi="Arial"/>
      <w:color w:val="000000" w:themeColor="text1"/>
      <w:sz w:val="24"/>
    </w:rPr>
  </w:style>
  <w:style w:type="table" w:customStyle="1" w:styleId="TableGrid5">
    <w:name w:val="Table Grid5"/>
    <w:basedOn w:val="TableNormal"/>
    <w:next w:val="TableGrid"/>
    <w:uiPriority w:val="39"/>
    <w:rsid w:val="00945E91"/>
    <w:pPr>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7955CB"/>
    <w:pPr>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Normal"/>
    <w:rsid w:val="00A75D60"/>
    <w:pPr>
      <w:keepNext w:val="0"/>
      <w:spacing w:before="0"/>
    </w:pPr>
    <w:rPr>
      <w:rFonts w:ascii="Calibri" w:eastAsiaTheme="minorHAnsi" w:hAnsi="Calibri" w:cs="Calibri"/>
      <w:color w:val="auto"/>
      <w:sz w:val="22"/>
      <w:szCs w:val="22"/>
    </w:rPr>
  </w:style>
  <w:style w:type="table" w:customStyle="1" w:styleId="TableGrid7">
    <w:name w:val="Table Grid7"/>
    <w:basedOn w:val="TableNormal"/>
    <w:next w:val="TableGrid"/>
    <w:uiPriority w:val="39"/>
    <w:rsid w:val="006157E6"/>
    <w:pPr>
      <w:jc w:val="both"/>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39"/>
    <w:rsid w:val="00B42C71"/>
    <w:pPr>
      <w:jc w:val="both"/>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B42C71"/>
    <w:pPr>
      <w:jc w:val="both"/>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B42C71"/>
    <w:pPr>
      <w:jc w:val="both"/>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89485A"/>
    <w:pPr>
      <w:jc w:val="both"/>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39"/>
    <w:rsid w:val="00236F84"/>
    <w:pPr>
      <w:jc w:val="both"/>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39"/>
    <w:rsid w:val="00041502"/>
    <w:pPr>
      <w:jc w:val="both"/>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39"/>
    <w:rsid w:val="00041502"/>
    <w:pPr>
      <w:jc w:val="both"/>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39"/>
    <w:rsid w:val="00B958CB"/>
    <w:pPr>
      <w:jc w:val="both"/>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39"/>
    <w:rsid w:val="00FA27F7"/>
    <w:pPr>
      <w:jc w:val="both"/>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39"/>
    <w:rsid w:val="007C6CA4"/>
    <w:pPr>
      <w:jc w:val="both"/>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39"/>
    <w:rsid w:val="00CE241F"/>
    <w:pPr>
      <w:jc w:val="both"/>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next w:val="TableGrid"/>
    <w:uiPriority w:val="39"/>
    <w:rsid w:val="00CE6287"/>
    <w:pPr>
      <w:jc w:val="both"/>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263F59"/>
    <w:pPr>
      <w:jc w:val="both"/>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egdslegrhslegp3text">
    <w:name w:val="legds legrhs legp3text"/>
    <w:basedOn w:val="DefaultParagraphFont"/>
    <w:rsid w:val="00C602FD"/>
  </w:style>
  <w:style w:type="character" w:customStyle="1" w:styleId="ParaNo">
    <w:name w:val="Para No"/>
    <w:rsid w:val="00C602FD"/>
    <w:rPr>
      <w:noProof w:val="0"/>
      <w:spacing w:val="0"/>
      <w:sz w:val="20"/>
      <w:lang w:val="en-GB"/>
    </w:rPr>
  </w:style>
  <w:style w:type="paragraph" w:customStyle="1" w:styleId="Bullet1">
    <w:name w:val="Bullet 1"/>
    <w:rsid w:val="00C602FD"/>
    <w:pPr>
      <w:keepLines/>
      <w:tabs>
        <w:tab w:val="left" w:pos="680"/>
      </w:tabs>
      <w:spacing w:after="113"/>
      <w:ind w:left="1133" w:right="56"/>
    </w:pPr>
    <w:rPr>
      <w:rFonts w:ascii="Arial" w:eastAsia="Arial" w:hAnsi="Arial"/>
      <w:sz w:val="24"/>
    </w:rPr>
  </w:style>
  <w:style w:type="character" w:customStyle="1" w:styleId="Footnote">
    <w:name w:val="Footnote"/>
    <w:rsid w:val="00C602FD"/>
    <w:rPr>
      <w:rFonts w:ascii="Arial" w:eastAsia="Arial" w:hAnsi="Arial"/>
      <w:noProof w:val="0"/>
      <w:position w:val="10"/>
      <w:sz w:val="16"/>
      <w:lang w:val="en-GB"/>
    </w:rPr>
  </w:style>
  <w:style w:type="paragraph" w:customStyle="1" w:styleId="FirstLine">
    <w:name w:val="First Line"/>
    <w:rsid w:val="00C602FD"/>
    <w:pPr>
      <w:tabs>
        <w:tab w:val="left" w:pos="680"/>
      </w:tabs>
      <w:spacing w:after="113"/>
    </w:pPr>
    <w:rPr>
      <w:rFonts w:ascii="Arial" w:eastAsia="Arial" w:hAnsi="Arial"/>
      <w:sz w:val="24"/>
    </w:rPr>
  </w:style>
  <w:style w:type="paragraph" w:customStyle="1" w:styleId="Bullet2">
    <w:name w:val="Bullet 2"/>
    <w:basedOn w:val="Normal"/>
    <w:rsid w:val="00C602FD"/>
    <w:pPr>
      <w:keepNext w:val="0"/>
      <w:tabs>
        <w:tab w:val="left" w:pos="680"/>
      </w:tabs>
      <w:spacing w:before="0" w:after="113"/>
      <w:ind w:left="1133" w:right="566"/>
    </w:pPr>
    <w:rPr>
      <w:rFonts w:eastAsia="Arial"/>
      <w:color w:val="182B61"/>
    </w:rPr>
  </w:style>
  <w:style w:type="table" w:customStyle="1" w:styleId="TableGrid22">
    <w:name w:val="Table Grid22"/>
    <w:basedOn w:val="TableNormal"/>
    <w:next w:val="TableGrid"/>
    <w:uiPriority w:val="59"/>
    <w:rsid w:val="00C602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ption1">
    <w:name w:val="Caption1"/>
    <w:link w:val="Caption2"/>
    <w:rsid w:val="00C602FD"/>
    <w:pPr>
      <w:tabs>
        <w:tab w:val="left" w:pos="680"/>
        <w:tab w:val="left" w:pos="2267"/>
      </w:tabs>
      <w:suppressAutoHyphens/>
      <w:spacing w:after="56" w:line="260" w:lineRule="exact"/>
      <w:ind w:left="56" w:right="56"/>
      <w:textAlignment w:val="baseline"/>
    </w:pPr>
    <w:rPr>
      <w:rFonts w:ascii="Arial" w:hAnsi="Arial" w:cs="Arial"/>
    </w:rPr>
  </w:style>
  <w:style w:type="character" w:customStyle="1" w:styleId="Caption2">
    <w:name w:val="Caption2"/>
    <w:link w:val="Caption1"/>
    <w:locked/>
    <w:rsid w:val="00C602FD"/>
    <w:rPr>
      <w:rFonts w:ascii="Arial" w:hAnsi="Arial" w:cs="Arial"/>
    </w:rPr>
  </w:style>
  <w:style w:type="character" w:customStyle="1" w:styleId="caption21">
    <w:name w:val="caption21"/>
    <w:rsid w:val="00C602FD"/>
    <w:rPr>
      <w:b w:val="0"/>
      <w:bCs w:val="0"/>
      <w:color w:val="000066"/>
      <w:sz w:val="19"/>
      <w:szCs w:val="19"/>
    </w:rPr>
  </w:style>
  <w:style w:type="character" w:customStyle="1" w:styleId="BodyTextIndentChar">
    <w:name w:val="Body Text Indent Char"/>
    <w:link w:val="BodyTextIndent"/>
    <w:locked/>
    <w:rsid w:val="00C602FD"/>
    <w:rPr>
      <w:rFonts w:ascii="Arial" w:hAnsi="Arial"/>
      <w:color w:val="000000" w:themeColor="text1"/>
      <w:sz w:val="24"/>
    </w:rPr>
  </w:style>
  <w:style w:type="character" w:customStyle="1" w:styleId="st1">
    <w:name w:val="st1"/>
    <w:basedOn w:val="DefaultParagraphFont"/>
    <w:rsid w:val="00C602FD"/>
  </w:style>
  <w:style w:type="paragraph" w:customStyle="1" w:styleId="TextBoxindent2">
    <w:name w:val="Text Box indent2"/>
    <w:rsid w:val="00C602FD"/>
    <w:pPr>
      <w:tabs>
        <w:tab w:val="left" w:pos="1360"/>
        <w:tab w:val="left" w:pos="1587"/>
      </w:tabs>
      <w:spacing w:after="113"/>
      <w:ind w:left="850"/>
    </w:pPr>
    <w:rPr>
      <w:rFonts w:ascii="Arial" w:hAnsi="Arial"/>
      <w:sz w:val="24"/>
    </w:rPr>
  </w:style>
  <w:style w:type="paragraph" w:customStyle="1" w:styleId="Indent">
    <w:name w:val="Indent"/>
    <w:basedOn w:val="Normal"/>
    <w:rsid w:val="00C602FD"/>
    <w:pPr>
      <w:keepNext w:val="0"/>
      <w:tabs>
        <w:tab w:val="left" w:pos="720"/>
      </w:tabs>
      <w:spacing w:before="0"/>
    </w:pPr>
    <w:rPr>
      <w:color w:val="auto"/>
      <w:lang w:eastAsia="en-US"/>
    </w:rPr>
  </w:style>
  <w:style w:type="paragraph" w:styleId="ListBullet">
    <w:name w:val="List Bullet"/>
    <w:basedOn w:val="Normal"/>
    <w:autoRedefine/>
    <w:rsid w:val="00C602FD"/>
    <w:pPr>
      <w:keepNext w:val="0"/>
      <w:numPr>
        <w:numId w:val="317"/>
      </w:numPr>
      <w:tabs>
        <w:tab w:val="left" w:pos="1276"/>
        <w:tab w:val="left" w:pos="1980"/>
      </w:tabs>
      <w:spacing w:before="0"/>
      <w:ind w:left="1276" w:hanging="425"/>
      <w:jc w:val="both"/>
    </w:pPr>
    <w:rPr>
      <w:color w:val="auto"/>
      <w:szCs w:val="24"/>
      <w:lang w:eastAsia="en-US"/>
    </w:rPr>
  </w:style>
  <w:style w:type="paragraph" w:styleId="NoSpacing">
    <w:name w:val="No Spacing"/>
    <w:link w:val="NoSpacingChar"/>
    <w:uiPriority w:val="1"/>
    <w:qFormat/>
    <w:rsid w:val="00C602FD"/>
    <w:rPr>
      <w:rFonts w:ascii="Arial" w:eastAsia="Calibri" w:hAnsi="Arial"/>
      <w:sz w:val="24"/>
      <w:szCs w:val="22"/>
      <w:lang w:eastAsia="en-US"/>
    </w:rPr>
  </w:style>
  <w:style w:type="paragraph" w:customStyle="1" w:styleId="Pa27">
    <w:name w:val="Pa27"/>
    <w:basedOn w:val="Default"/>
    <w:next w:val="Default"/>
    <w:rsid w:val="00C602FD"/>
    <w:pPr>
      <w:spacing w:line="241" w:lineRule="atLeast"/>
    </w:pPr>
    <w:rPr>
      <w:rFonts w:ascii="Arial" w:hAnsi="Arial"/>
      <w:color w:val="auto"/>
    </w:rPr>
  </w:style>
  <w:style w:type="paragraph" w:customStyle="1" w:styleId="Pa7">
    <w:name w:val="Pa7"/>
    <w:basedOn w:val="Default"/>
    <w:next w:val="Default"/>
    <w:uiPriority w:val="99"/>
    <w:rsid w:val="00C602FD"/>
    <w:pPr>
      <w:spacing w:line="241" w:lineRule="atLeast"/>
    </w:pPr>
    <w:rPr>
      <w:rFonts w:ascii="Frutiger LT Std 45 Light" w:hAnsi="Frutiger LT Std 45 Light"/>
      <w:color w:val="auto"/>
    </w:rPr>
  </w:style>
  <w:style w:type="paragraph" w:customStyle="1" w:styleId="Pa11">
    <w:name w:val="Pa11"/>
    <w:basedOn w:val="Default"/>
    <w:next w:val="Default"/>
    <w:rsid w:val="00C602FD"/>
    <w:pPr>
      <w:spacing w:line="241" w:lineRule="atLeast"/>
    </w:pPr>
    <w:rPr>
      <w:rFonts w:ascii="Frutiger LT Std 45 Light" w:hAnsi="Frutiger LT Std 45 Light"/>
      <w:color w:val="auto"/>
    </w:rPr>
  </w:style>
  <w:style w:type="paragraph" w:customStyle="1" w:styleId="Pa310">
    <w:name w:val="Pa31"/>
    <w:basedOn w:val="Normal"/>
    <w:next w:val="Normal"/>
    <w:rsid w:val="00C602FD"/>
    <w:pPr>
      <w:keepNext w:val="0"/>
      <w:autoSpaceDE w:val="0"/>
      <w:autoSpaceDN w:val="0"/>
      <w:adjustRightInd w:val="0"/>
      <w:spacing w:before="0" w:line="241" w:lineRule="atLeast"/>
    </w:pPr>
    <w:rPr>
      <w:color w:val="auto"/>
      <w:szCs w:val="24"/>
    </w:rPr>
  </w:style>
  <w:style w:type="character" w:customStyle="1" w:styleId="normalboldchar">
    <w:name w:val="normalboldchar"/>
    <w:basedOn w:val="DefaultParagraphFont"/>
    <w:rsid w:val="00C602FD"/>
  </w:style>
  <w:style w:type="paragraph" w:customStyle="1" w:styleId="cmpnonumber">
    <w:name w:val="cmp_nonumber"/>
    <w:basedOn w:val="Normal"/>
    <w:rsid w:val="00C602FD"/>
    <w:pPr>
      <w:keepNext w:val="0"/>
      <w:spacing w:before="100" w:beforeAutospacing="1" w:after="100" w:afterAutospacing="1"/>
    </w:pPr>
    <w:rPr>
      <w:rFonts w:ascii="Times New Roman" w:hAnsi="Times New Roman"/>
      <w:color w:val="auto"/>
      <w:szCs w:val="24"/>
    </w:rPr>
  </w:style>
  <w:style w:type="character" w:customStyle="1" w:styleId="incmptitlepolicy">
    <w:name w:val="in_cmp_title_policy"/>
    <w:basedOn w:val="DefaultParagraphFont"/>
    <w:rsid w:val="00C602FD"/>
  </w:style>
  <w:style w:type="paragraph" w:customStyle="1" w:styleId="justify">
    <w:name w:val="justify"/>
    <w:basedOn w:val="Normal"/>
    <w:rsid w:val="00C602FD"/>
    <w:pPr>
      <w:keepNext w:val="0"/>
      <w:spacing w:before="100" w:beforeAutospacing="1" w:after="100" w:afterAutospacing="1"/>
    </w:pPr>
    <w:rPr>
      <w:rFonts w:ascii="Times New Roman" w:hAnsi="Times New Roman"/>
      <w:color w:val="auto"/>
      <w:szCs w:val="24"/>
    </w:rPr>
  </w:style>
  <w:style w:type="paragraph" w:customStyle="1" w:styleId="Pa39">
    <w:name w:val="Pa39"/>
    <w:basedOn w:val="Normal"/>
    <w:next w:val="Normal"/>
    <w:rsid w:val="00C602FD"/>
    <w:pPr>
      <w:keepNext w:val="0"/>
      <w:autoSpaceDE w:val="0"/>
      <w:autoSpaceDN w:val="0"/>
      <w:adjustRightInd w:val="0"/>
      <w:spacing w:before="0" w:line="241" w:lineRule="atLeast"/>
    </w:pPr>
    <w:rPr>
      <w:color w:val="auto"/>
      <w:szCs w:val="24"/>
    </w:rPr>
  </w:style>
  <w:style w:type="paragraph" w:customStyle="1" w:styleId="CM32">
    <w:name w:val="CM32"/>
    <w:basedOn w:val="Normal"/>
    <w:next w:val="Normal"/>
    <w:rsid w:val="00C602FD"/>
    <w:pPr>
      <w:keepNext w:val="0"/>
      <w:autoSpaceDE w:val="0"/>
      <w:autoSpaceDN w:val="0"/>
      <w:adjustRightInd w:val="0"/>
      <w:spacing w:before="0"/>
    </w:pPr>
    <w:rPr>
      <w:color w:val="auto"/>
      <w:szCs w:val="24"/>
    </w:rPr>
  </w:style>
  <w:style w:type="paragraph" w:customStyle="1" w:styleId="legp1paratext1">
    <w:name w:val="legp1paratext1"/>
    <w:basedOn w:val="Normal"/>
    <w:rsid w:val="00C602FD"/>
    <w:pPr>
      <w:keepNext w:val="0"/>
      <w:shd w:val="clear" w:color="auto" w:fill="FFFFFF"/>
      <w:spacing w:before="0" w:after="120" w:line="360" w:lineRule="atLeast"/>
      <w:ind w:firstLine="240"/>
      <w:jc w:val="both"/>
    </w:pPr>
    <w:rPr>
      <w:rFonts w:ascii="Times New Roman" w:hAnsi="Times New Roman"/>
      <w:color w:val="000000"/>
      <w:sz w:val="19"/>
      <w:szCs w:val="19"/>
    </w:rPr>
  </w:style>
  <w:style w:type="paragraph" w:styleId="Title">
    <w:name w:val="Title"/>
    <w:basedOn w:val="Normal"/>
    <w:link w:val="TitleChar"/>
    <w:qFormat/>
    <w:rsid w:val="00C602FD"/>
    <w:pPr>
      <w:keepNext w:val="0"/>
      <w:spacing w:before="0"/>
      <w:jc w:val="center"/>
    </w:pPr>
    <w:rPr>
      <w:rFonts w:cs="Arial"/>
      <w:b/>
      <w:color w:val="000000"/>
      <w:sz w:val="28"/>
      <w:lang w:val="en-US"/>
    </w:rPr>
  </w:style>
  <w:style w:type="character" w:customStyle="1" w:styleId="TitleChar">
    <w:name w:val="Title Char"/>
    <w:basedOn w:val="DefaultParagraphFont"/>
    <w:link w:val="Title"/>
    <w:rsid w:val="00C602FD"/>
    <w:rPr>
      <w:rFonts w:ascii="Arial" w:hAnsi="Arial" w:cs="Arial"/>
      <w:b/>
      <w:color w:val="000000"/>
      <w:sz w:val="28"/>
      <w:lang w:val="en-US"/>
    </w:rPr>
  </w:style>
  <w:style w:type="paragraph" w:customStyle="1" w:styleId="Default1">
    <w:name w:val="Default1"/>
    <w:basedOn w:val="Default"/>
    <w:next w:val="Default"/>
    <w:rsid w:val="00C602FD"/>
    <w:rPr>
      <w:rFonts w:ascii="Gill Sans MT" w:eastAsia="Calibri" w:hAnsi="Gill Sans MT"/>
      <w:color w:val="auto"/>
    </w:rPr>
  </w:style>
  <w:style w:type="paragraph" w:customStyle="1" w:styleId="Normal10">
    <w:name w:val="Normal+1"/>
    <w:basedOn w:val="Default"/>
    <w:next w:val="Default"/>
    <w:rsid w:val="00C602FD"/>
    <w:rPr>
      <w:rFonts w:ascii="Arial" w:hAnsi="Arial"/>
      <w:color w:val="auto"/>
    </w:rPr>
  </w:style>
  <w:style w:type="paragraph" w:customStyle="1" w:styleId="name">
    <w:name w:val="name"/>
    <w:basedOn w:val="Normal"/>
    <w:rsid w:val="00C602FD"/>
    <w:pPr>
      <w:keepNext w:val="0"/>
      <w:tabs>
        <w:tab w:val="left" w:leader="dot" w:pos="6237"/>
        <w:tab w:val="left" w:pos="6804"/>
        <w:tab w:val="left" w:leader="dot" w:pos="9639"/>
      </w:tabs>
      <w:spacing w:before="0" w:line="480" w:lineRule="auto"/>
    </w:pPr>
    <w:rPr>
      <w:color w:val="auto"/>
      <w:sz w:val="20"/>
    </w:rPr>
  </w:style>
  <w:style w:type="paragraph" w:customStyle="1" w:styleId="xl22">
    <w:name w:val="xl22"/>
    <w:basedOn w:val="Normal"/>
    <w:rsid w:val="00C602FD"/>
    <w:pPr>
      <w:keepNext w:val="0"/>
      <w:shd w:val="clear" w:color="auto" w:fill="C0C0C0"/>
      <w:spacing w:before="100" w:beforeAutospacing="1" w:after="100" w:afterAutospacing="1"/>
      <w:textAlignment w:val="center"/>
    </w:pPr>
    <w:rPr>
      <w:rFonts w:cs="Arial"/>
      <w:b/>
      <w:bCs/>
      <w:color w:val="auto"/>
      <w:szCs w:val="24"/>
    </w:rPr>
  </w:style>
  <w:style w:type="paragraph" w:customStyle="1" w:styleId="xl23">
    <w:name w:val="xl23"/>
    <w:basedOn w:val="Normal"/>
    <w:rsid w:val="00C602FD"/>
    <w:pPr>
      <w:keepNext w:val="0"/>
      <w:spacing w:before="100" w:beforeAutospacing="1" w:after="100" w:afterAutospacing="1"/>
    </w:pPr>
    <w:rPr>
      <w:rFonts w:cs="Arial"/>
      <w:color w:val="auto"/>
      <w:szCs w:val="24"/>
    </w:rPr>
  </w:style>
  <w:style w:type="paragraph" w:customStyle="1" w:styleId="xl27">
    <w:name w:val="xl27"/>
    <w:basedOn w:val="Normal"/>
    <w:rsid w:val="00C602FD"/>
    <w:pPr>
      <w:keepNext w:val="0"/>
      <w:pBdr>
        <w:left w:val="single" w:sz="8" w:space="0" w:color="auto"/>
        <w:bottom w:val="dotted" w:sz="4" w:space="0" w:color="auto"/>
        <w:right w:val="dotted" w:sz="4" w:space="0" w:color="auto"/>
      </w:pBdr>
      <w:spacing w:before="100" w:beforeAutospacing="1" w:after="100" w:afterAutospacing="1"/>
      <w:jc w:val="both"/>
      <w:textAlignment w:val="top"/>
    </w:pPr>
    <w:rPr>
      <w:rFonts w:cs="Arial"/>
      <w:color w:val="auto"/>
      <w:szCs w:val="24"/>
    </w:rPr>
  </w:style>
  <w:style w:type="paragraph" w:customStyle="1" w:styleId="xl30">
    <w:name w:val="xl30"/>
    <w:basedOn w:val="Normal"/>
    <w:rsid w:val="00C602FD"/>
    <w:pPr>
      <w:keepNext w:val="0"/>
      <w:pBdr>
        <w:bottom w:val="single" w:sz="8" w:space="0" w:color="auto"/>
        <w:right w:val="dotted" w:sz="4" w:space="0" w:color="auto"/>
      </w:pBdr>
      <w:spacing w:before="100" w:beforeAutospacing="1" w:after="100" w:afterAutospacing="1"/>
      <w:jc w:val="both"/>
      <w:textAlignment w:val="top"/>
    </w:pPr>
    <w:rPr>
      <w:rFonts w:cs="Arial"/>
      <w:color w:val="auto"/>
      <w:szCs w:val="24"/>
    </w:rPr>
  </w:style>
  <w:style w:type="paragraph" w:customStyle="1" w:styleId="xl31">
    <w:name w:val="xl31"/>
    <w:basedOn w:val="Normal"/>
    <w:rsid w:val="00C602FD"/>
    <w:pPr>
      <w:keepNext w:val="0"/>
      <w:pBdr>
        <w:bottom w:val="single" w:sz="8" w:space="0" w:color="auto"/>
        <w:right w:val="single" w:sz="8" w:space="0" w:color="auto"/>
      </w:pBdr>
      <w:spacing w:before="100" w:beforeAutospacing="1" w:after="100" w:afterAutospacing="1"/>
      <w:jc w:val="both"/>
      <w:textAlignment w:val="top"/>
    </w:pPr>
    <w:rPr>
      <w:rFonts w:cs="Arial"/>
      <w:color w:val="auto"/>
      <w:szCs w:val="24"/>
    </w:rPr>
  </w:style>
  <w:style w:type="paragraph" w:customStyle="1" w:styleId="Pa1">
    <w:name w:val="Pa1"/>
    <w:basedOn w:val="Normal"/>
    <w:next w:val="Normal"/>
    <w:rsid w:val="00C602FD"/>
    <w:pPr>
      <w:keepNext w:val="0"/>
      <w:autoSpaceDE w:val="0"/>
      <w:autoSpaceDN w:val="0"/>
      <w:adjustRightInd w:val="0"/>
      <w:spacing w:before="0" w:line="321" w:lineRule="atLeast"/>
    </w:pPr>
    <w:rPr>
      <w:rFonts w:ascii="Frutiger 45 Light" w:eastAsia="Calibri" w:hAnsi="Frutiger 45 Light"/>
      <w:color w:val="auto"/>
      <w:szCs w:val="24"/>
      <w:lang w:eastAsia="en-US"/>
    </w:rPr>
  </w:style>
  <w:style w:type="paragraph" w:customStyle="1" w:styleId="xl32">
    <w:name w:val="xl32"/>
    <w:basedOn w:val="Normal"/>
    <w:rsid w:val="00C602FD"/>
    <w:pPr>
      <w:keepNext w:val="0"/>
      <w:pBdr>
        <w:top w:val="single" w:sz="4" w:space="0" w:color="auto"/>
        <w:left w:val="single" w:sz="4" w:space="0" w:color="auto"/>
        <w:bottom w:val="single" w:sz="4" w:space="0" w:color="auto"/>
        <w:right w:val="single" w:sz="4" w:space="0" w:color="auto"/>
      </w:pBdr>
      <w:spacing w:before="100" w:beforeAutospacing="1" w:after="100" w:afterAutospacing="1"/>
    </w:pPr>
    <w:rPr>
      <w:rFonts w:cs="Arial"/>
      <w:color w:val="auto"/>
      <w:szCs w:val="24"/>
    </w:rPr>
  </w:style>
  <w:style w:type="paragraph" w:customStyle="1" w:styleId="xl33">
    <w:name w:val="xl33"/>
    <w:basedOn w:val="Normal"/>
    <w:rsid w:val="00C602FD"/>
    <w:pPr>
      <w:keepNext w:val="0"/>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color w:val="auto"/>
      <w:szCs w:val="24"/>
    </w:rPr>
  </w:style>
  <w:style w:type="paragraph" w:customStyle="1" w:styleId="xl34">
    <w:name w:val="xl34"/>
    <w:basedOn w:val="Normal"/>
    <w:rsid w:val="00C602FD"/>
    <w:pPr>
      <w:keepNext w:val="0"/>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color w:val="auto"/>
      <w:szCs w:val="24"/>
    </w:rPr>
  </w:style>
  <w:style w:type="character" w:customStyle="1" w:styleId="legdsleglhslegp3no">
    <w:name w:val="legds leglhs legp3no"/>
    <w:basedOn w:val="DefaultParagraphFont"/>
    <w:rsid w:val="00C602FD"/>
  </w:style>
  <w:style w:type="paragraph" w:customStyle="1" w:styleId="CM34">
    <w:name w:val="CM34"/>
    <w:basedOn w:val="Normal"/>
    <w:next w:val="Normal"/>
    <w:uiPriority w:val="99"/>
    <w:rsid w:val="00C602FD"/>
    <w:pPr>
      <w:keepNext w:val="0"/>
      <w:autoSpaceDE w:val="0"/>
      <w:autoSpaceDN w:val="0"/>
      <w:adjustRightInd w:val="0"/>
      <w:spacing w:before="0"/>
    </w:pPr>
    <w:rPr>
      <w:rFonts w:ascii="HAKJEK+ArialMT" w:eastAsia="Calibri" w:hAnsi="HAKJEK+ArialMT"/>
      <w:color w:val="auto"/>
      <w:szCs w:val="24"/>
      <w:lang w:eastAsia="en-US"/>
    </w:rPr>
  </w:style>
  <w:style w:type="character" w:customStyle="1" w:styleId="BalloonTextChar">
    <w:name w:val="Balloon Text Char"/>
    <w:link w:val="BalloonText"/>
    <w:uiPriority w:val="99"/>
    <w:semiHidden/>
    <w:rsid w:val="00C602FD"/>
    <w:rPr>
      <w:rFonts w:ascii="Tahoma" w:hAnsi="Tahoma" w:cs="Tahoma"/>
      <w:color w:val="000000" w:themeColor="text1"/>
      <w:sz w:val="16"/>
      <w:szCs w:val="16"/>
    </w:rPr>
  </w:style>
  <w:style w:type="paragraph" w:customStyle="1" w:styleId="xl65">
    <w:name w:val="xl65"/>
    <w:basedOn w:val="Normal"/>
    <w:rsid w:val="00C602FD"/>
    <w:pPr>
      <w:keepNext w:val="0"/>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cs="Arial"/>
      <w:b/>
      <w:bCs/>
      <w:color w:val="auto"/>
      <w:szCs w:val="24"/>
    </w:rPr>
  </w:style>
  <w:style w:type="paragraph" w:customStyle="1" w:styleId="xl66">
    <w:name w:val="xl66"/>
    <w:basedOn w:val="Normal"/>
    <w:rsid w:val="00C602FD"/>
    <w:pPr>
      <w:keepNext w:val="0"/>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cs="Arial"/>
      <w:b/>
      <w:bCs/>
      <w:color w:val="auto"/>
      <w:szCs w:val="24"/>
    </w:rPr>
  </w:style>
  <w:style w:type="paragraph" w:customStyle="1" w:styleId="xl67">
    <w:name w:val="xl67"/>
    <w:basedOn w:val="Normal"/>
    <w:rsid w:val="00C602FD"/>
    <w:pPr>
      <w:keepNext w:val="0"/>
      <w:pBdr>
        <w:top w:val="single" w:sz="4" w:space="0" w:color="auto"/>
        <w:left w:val="single" w:sz="4" w:space="0" w:color="auto"/>
        <w:bottom w:val="single" w:sz="4" w:space="0" w:color="auto"/>
        <w:right w:val="single" w:sz="4" w:space="0" w:color="auto"/>
      </w:pBdr>
      <w:spacing w:before="100" w:beforeAutospacing="1" w:after="100" w:afterAutospacing="1"/>
    </w:pPr>
    <w:rPr>
      <w:rFonts w:cs="Arial"/>
      <w:color w:val="auto"/>
      <w:szCs w:val="24"/>
    </w:rPr>
  </w:style>
  <w:style w:type="paragraph" w:styleId="EndnoteText">
    <w:name w:val="endnote text"/>
    <w:basedOn w:val="Normal"/>
    <w:link w:val="EndnoteTextChar"/>
    <w:rsid w:val="00C602FD"/>
    <w:pPr>
      <w:keepNext w:val="0"/>
      <w:spacing w:before="0"/>
    </w:pPr>
    <w:rPr>
      <w:rFonts w:cs="Arial"/>
      <w:color w:val="auto"/>
      <w:sz w:val="20"/>
    </w:rPr>
  </w:style>
  <w:style w:type="character" w:customStyle="1" w:styleId="EndnoteTextChar">
    <w:name w:val="Endnote Text Char"/>
    <w:basedOn w:val="DefaultParagraphFont"/>
    <w:link w:val="EndnoteText"/>
    <w:rsid w:val="00C602FD"/>
    <w:rPr>
      <w:rFonts w:ascii="Arial" w:hAnsi="Arial" w:cs="Arial"/>
    </w:rPr>
  </w:style>
  <w:style w:type="character" w:styleId="EndnoteReference">
    <w:name w:val="endnote reference"/>
    <w:rsid w:val="00C602FD"/>
    <w:rPr>
      <w:vertAlign w:val="superscript"/>
    </w:rPr>
  </w:style>
  <w:style w:type="table" w:styleId="TableGrid1a">
    <w:name w:val="Table Grid 1"/>
    <w:basedOn w:val="TableNormal"/>
    <w:rsid w:val="00C602F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PlainTable5">
    <w:name w:val="Plain Table 5"/>
    <w:basedOn w:val="TableNormal"/>
    <w:uiPriority w:val="45"/>
    <w:rsid w:val="00C602FD"/>
    <w:tblPr>
      <w:tblStyleRowBandSize w:val="1"/>
      <w:tblStyleColBandSize w:val="1"/>
    </w:tblPr>
    <w:tblStylePr w:type="firstRow">
      <w:rPr>
        <w:rFonts w:ascii="DengXian" w:eastAsia="Times New Roman" w:hAnsi="DengXian" w:cs="Times New Roman"/>
        <w:i/>
        <w:iCs/>
        <w:sz w:val="26"/>
      </w:rPr>
      <w:tblPr/>
      <w:tcPr>
        <w:tcBorders>
          <w:bottom w:val="single" w:sz="4" w:space="0" w:color="7F7F7F"/>
        </w:tcBorders>
        <w:shd w:val="clear" w:color="auto" w:fill="FFFFFF"/>
      </w:tcPr>
    </w:tblStylePr>
    <w:tblStylePr w:type="lastRow">
      <w:rPr>
        <w:rFonts w:ascii="DengXian" w:eastAsia="Times New Roman" w:hAnsi="DengXian" w:cs="Times New Roman"/>
        <w:i/>
        <w:iCs/>
        <w:sz w:val="26"/>
      </w:rPr>
      <w:tblPr/>
      <w:tcPr>
        <w:tcBorders>
          <w:top w:val="single" w:sz="4" w:space="0" w:color="7F7F7F"/>
        </w:tcBorders>
        <w:shd w:val="clear" w:color="auto" w:fill="FFFFFF"/>
      </w:tcPr>
    </w:tblStylePr>
    <w:tblStylePr w:type="firstCol">
      <w:pPr>
        <w:jc w:val="right"/>
      </w:pPr>
      <w:rPr>
        <w:rFonts w:ascii="DengXian" w:eastAsia="Times New Roman" w:hAnsi="DengXian" w:cs="Times New Roman"/>
        <w:i/>
        <w:iCs/>
        <w:sz w:val="26"/>
      </w:rPr>
      <w:tblPr/>
      <w:tcPr>
        <w:tcBorders>
          <w:right w:val="single" w:sz="4" w:space="0" w:color="7F7F7F"/>
        </w:tcBorders>
        <w:shd w:val="clear" w:color="auto" w:fill="FFFFFF"/>
      </w:tcPr>
    </w:tblStylePr>
    <w:tblStylePr w:type="lastCol">
      <w:rPr>
        <w:rFonts w:ascii="DengXian" w:eastAsia="Times New Roman" w:hAnsi="DengXian"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BodyTextChar">
    <w:name w:val="Body Text Char"/>
    <w:link w:val="BodyText"/>
    <w:rsid w:val="00C602FD"/>
    <w:rPr>
      <w:rFonts w:ascii="Arial" w:hAnsi="Arial"/>
      <w:color w:val="000000" w:themeColor="text1"/>
      <w:sz w:val="24"/>
    </w:rPr>
  </w:style>
  <w:style w:type="paragraph" w:customStyle="1" w:styleId="Section01Text">
    <w:name w:val="Section 01 Text"/>
    <w:basedOn w:val="Normal"/>
    <w:link w:val="Section01TextChar"/>
    <w:qFormat/>
    <w:rsid w:val="00C602FD"/>
    <w:pPr>
      <w:numPr>
        <w:numId w:val="318"/>
      </w:numPr>
      <w:spacing w:before="0" w:after="240" w:line="360" w:lineRule="auto"/>
      <w:outlineLvl w:val="2"/>
    </w:pPr>
    <w:rPr>
      <w:rFonts w:cs="Arial"/>
      <w:bCs/>
      <w:iCs/>
      <w:color w:val="auto"/>
      <w:sz w:val="20"/>
      <w:lang w:eastAsia="en-US"/>
    </w:rPr>
  </w:style>
  <w:style w:type="character" w:customStyle="1" w:styleId="Section01TextChar">
    <w:name w:val="Section 01 Text Char"/>
    <w:link w:val="Section01Text"/>
    <w:rsid w:val="00C602FD"/>
    <w:rPr>
      <w:rFonts w:ascii="Arial" w:hAnsi="Arial" w:cs="Arial"/>
      <w:bCs/>
      <w:iCs/>
      <w:lang w:eastAsia="en-US"/>
    </w:rPr>
  </w:style>
  <w:style w:type="table" w:styleId="MediumShading1-Accent3">
    <w:name w:val="Medium Shading 1 Accent 3"/>
    <w:basedOn w:val="TableNormal"/>
    <w:uiPriority w:val="63"/>
    <w:rsid w:val="00C602FD"/>
    <w:rPr>
      <w:lang w:val="en-US" w:eastAsia="en-US"/>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MediumShading1-Accent31">
    <w:name w:val="Medium Shading 1 - Accent 31"/>
    <w:basedOn w:val="TableNormal"/>
    <w:next w:val="MediumShading1-Accent3"/>
    <w:uiPriority w:val="63"/>
    <w:rsid w:val="00C602FD"/>
    <w:rPr>
      <w:lang w:val="en-US" w:eastAsia="en-US"/>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paragraph" w:customStyle="1" w:styleId="xl68">
    <w:name w:val="xl68"/>
    <w:basedOn w:val="Normal"/>
    <w:rsid w:val="00C602FD"/>
    <w:pPr>
      <w:keepNext w:val="0"/>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cs="Arial"/>
      <w:b/>
      <w:bCs/>
      <w:color w:val="auto"/>
      <w:szCs w:val="24"/>
    </w:rPr>
  </w:style>
  <w:style w:type="paragraph" w:customStyle="1" w:styleId="xl69">
    <w:name w:val="xl69"/>
    <w:basedOn w:val="Normal"/>
    <w:rsid w:val="00C602FD"/>
    <w:pPr>
      <w:keepNext w:val="0"/>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cs="Arial"/>
      <w:color w:val="000000"/>
      <w:szCs w:val="24"/>
    </w:rPr>
  </w:style>
  <w:style w:type="paragraph" w:customStyle="1" w:styleId="xl70">
    <w:name w:val="xl70"/>
    <w:basedOn w:val="Normal"/>
    <w:rsid w:val="00C602FD"/>
    <w:pPr>
      <w:keepNext w:val="0"/>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cs="Arial"/>
      <w:color w:val="000000"/>
      <w:szCs w:val="24"/>
    </w:rPr>
  </w:style>
  <w:style w:type="paragraph" w:customStyle="1" w:styleId="xl71">
    <w:name w:val="xl71"/>
    <w:basedOn w:val="Normal"/>
    <w:rsid w:val="00C602FD"/>
    <w:pPr>
      <w:keepNext w:val="0"/>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rFonts w:cs="Arial"/>
      <w:b/>
      <w:bCs/>
      <w:color w:val="000000"/>
      <w:szCs w:val="24"/>
    </w:rPr>
  </w:style>
  <w:style w:type="paragraph" w:customStyle="1" w:styleId="xl72">
    <w:name w:val="xl72"/>
    <w:basedOn w:val="Normal"/>
    <w:rsid w:val="00C602FD"/>
    <w:pPr>
      <w:keepNext w:val="0"/>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cs="Arial"/>
      <w:color w:val="auto"/>
      <w:szCs w:val="24"/>
    </w:rPr>
  </w:style>
  <w:style w:type="paragraph" w:customStyle="1" w:styleId="xl73">
    <w:name w:val="xl73"/>
    <w:basedOn w:val="Normal"/>
    <w:rsid w:val="00C602FD"/>
    <w:pPr>
      <w:keepNext w:val="0"/>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cs="Arial"/>
      <w:color w:val="auto"/>
      <w:szCs w:val="24"/>
    </w:rPr>
  </w:style>
  <w:style w:type="paragraph" w:customStyle="1" w:styleId="xl74">
    <w:name w:val="xl74"/>
    <w:basedOn w:val="Normal"/>
    <w:rsid w:val="00C602FD"/>
    <w:pPr>
      <w:keepNext w:val="0"/>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cs="Arial"/>
      <w:color w:val="000000"/>
      <w:szCs w:val="24"/>
    </w:rPr>
  </w:style>
  <w:style w:type="paragraph" w:customStyle="1" w:styleId="xl76">
    <w:name w:val="xl76"/>
    <w:basedOn w:val="Normal"/>
    <w:rsid w:val="00C602FD"/>
    <w:pPr>
      <w:keepNext w:val="0"/>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rFonts w:cs="Arial"/>
      <w:b/>
      <w:bCs/>
      <w:color w:val="000000"/>
      <w:szCs w:val="24"/>
    </w:rPr>
  </w:style>
  <w:style w:type="paragraph" w:customStyle="1" w:styleId="xl77">
    <w:name w:val="xl77"/>
    <w:basedOn w:val="Normal"/>
    <w:rsid w:val="00C602FD"/>
    <w:pPr>
      <w:keepNext w:val="0"/>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cs="Arial"/>
      <w:color w:val="auto"/>
      <w:szCs w:val="24"/>
    </w:rPr>
  </w:style>
  <w:style w:type="paragraph" w:customStyle="1" w:styleId="xl78">
    <w:name w:val="xl78"/>
    <w:basedOn w:val="Normal"/>
    <w:rsid w:val="00C602FD"/>
    <w:pPr>
      <w:keepNext w:val="0"/>
      <w:shd w:val="clear" w:color="000000" w:fill="FFFFFF"/>
      <w:spacing w:before="100" w:beforeAutospacing="1" w:after="100" w:afterAutospacing="1"/>
      <w:textAlignment w:val="top"/>
    </w:pPr>
    <w:rPr>
      <w:rFonts w:cs="Arial"/>
      <w:b/>
      <w:bCs/>
      <w:color w:val="auto"/>
      <w:sz w:val="22"/>
      <w:szCs w:val="22"/>
    </w:rPr>
  </w:style>
  <w:style w:type="paragraph" w:customStyle="1" w:styleId="xl79">
    <w:name w:val="xl79"/>
    <w:basedOn w:val="Normal"/>
    <w:rsid w:val="00C602FD"/>
    <w:pPr>
      <w:keepNext w:val="0"/>
      <w:shd w:val="clear" w:color="000000" w:fill="FFFFFF"/>
      <w:spacing w:before="100" w:beforeAutospacing="1" w:after="100" w:afterAutospacing="1"/>
    </w:pPr>
    <w:rPr>
      <w:rFonts w:cs="Arial"/>
      <w:color w:val="auto"/>
      <w:szCs w:val="24"/>
    </w:rPr>
  </w:style>
  <w:style w:type="paragraph" w:customStyle="1" w:styleId="xl80">
    <w:name w:val="xl80"/>
    <w:basedOn w:val="Normal"/>
    <w:rsid w:val="00C602FD"/>
    <w:pPr>
      <w:keepNext w:val="0"/>
      <w:shd w:val="clear" w:color="000000" w:fill="FFFFFF"/>
      <w:spacing w:before="100" w:beforeAutospacing="1" w:after="100" w:afterAutospacing="1"/>
      <w:jc w:val="center"/>
    </w:pPr>
    <w:rPr>
      <w:rFonts w:cs="Arial"/>
      <w:color w:val="auto"/>
      <w:szCs w:val="24"/>
    </w:rPr>
  </w:style>
  <w:style w:type="paragraph" w:customStyle="1" w:styleId="xl81">
    <w:name w:val="xl81"/>
    <w:basedOn w:val="Normal"/>
    <w:rsid w:val="00C602FD"/>
    <w:pPr>
      <w:keepNext w:val="0"/>
      <w:shd w:val="clear" w:color="000000" w:fill="FFFFFF"/>
      <w:spacing w:before="100" w:beforeAutospacing="1" w:after="100" w:afterAutospacing="1"/>
    </w:pPr>
    <w:rPr>
      <w:rFonts w:cs="Arial"/>
      <w:b/>
      <w:bCs/>
      <w:color w:val="auto"/>
      <w:szCs w:val="24"/>
    </w:rPr>
  </w:style>
  <w:style w:type="paragraph" w:customStyle="1" w:styleId="xl82">
    <w:name w:val="xl82"/>
    <w:basedOn w:val="Normal"/>
    <w:rsid w:val="00C602FD"/>
    <w:pPr>
      <w:keepNext w:val="0"/>
      <w:shd w:val="clear" w:color="000000" w:fill="FFFFFF"/>
      <w:spacing w:before="100" w:beforeAutospacing="1" w:after="100" w:afterAutospacing="1"/>
    </w:pPr>
    <w:rPr>
      <w:rFonts w:cs="Arial"/>
      <w:color w:val="auto"/>
      <w:szCs w:val="24"/>
    </w:rPr>
  </w:style>
  <w:style w:type="paragraph" w:customStyle="1" w:styleId="xl83">
    <w:name w:val="xl83"/>
    <w:basedOn w:val="Normal"/>
    <w:rsid w:val="00C602FD"/>
    <w:pPr>
      <w:keepNext w:val="0"/>
      <w:shd w:val="clear" w:color="000000" w:fill="FFFFFF"/>
      <w:spacing w:before="100" w:beforeAutospacing="1" w:after="100" w:afterAutospacing="1"/>
      <w:jc w:val="center"/>
    </w:pPr>
    <w:rPr>
      <w:rFonts w:cs="Arial"/>
      <w:color w:val="auto"/>
      <w:szCs w:val="24"/>
    </w:rPr>
  </w:style>
  <w:style w:type="paragraph" w:customStyle="1" w:styleId="xl84">
    <w:name w:val="xl84"/>
    <w:basedOn w:val="Normal"/>
    <w:rsid w:val="00C602FD"/>
    <w:pPr>
      <w:keepNext w:val="0"/>
      <w:shd w:val="clear" w:color="000000" w:fill="FFFFFF"/>
      <w:spacing w:before="100" w:beforeAutospacing="1" w:after="100" w:afterAutospacing="1"/>
      <w:jc w:val="center"/>
    </w:pPr>
    <w:rPr>
      <w:rFonts w:cs="Arial"/>
      <w:color w:val="000000"/>
      <w:szCs w:val="24"/>
    </w:rPr>
  </w:style>
  <w:style w:type="paragraph" w:customStyle="1" w:styleId="xl85">
    <w:name w:val="xl85"/>
    <w:basedOn w:val="Normal"/>
    <w:rsid w:val="00C602FD"/>
    <w:pPr>
      <w:keepNext w:val="0"/>
      <w:shd w:val="clear" w:color="000000" w:fill="FFFFFF"/>
      <w:spacing w:before="100" w:beforeAutospacing="1" w:after="100" w:afterAutospacing="1"/>
    </w:pPr>
    <w:rPr>
      <w:rFonts w:cs="Arial"/>
      <w:color w:val="000000"/>
      <w:szCs w:val="24"/>
    </w:rPr>
  </w:style>
  <w:style w:type="paragraph" w:customStyle="1" w:styleId="xl86">
    <w:name w:val="xl86"/>
    <w:basedOn w:val="Normal"/>
    <w:rsid w:val="00C602FD"/>
    <w:pPr>
      <w:keepNext w:val="0"/>
      <w:shd w:val="clear" w:color="000000" w:fill="FFFFFF"/>
      <w:spacing w:before="100" w:beforeAutospacing="1" w:after="100" w:afterAutospacing="1"/>
      <w:jc w:val="right"/>
    </w:pPr>
    <w:rPr>
      <w:rFonts w:cs="Arial"/>
      <w:b/>
      <w:bCs/>
      <w:color w:val="000000"/>
      <w:szCs w:val="24"/>
    </w:rPr>
  </w:style>
  <w:style w:type="paragraph" w:customStyle="1" w:styleId="xl87">
    <w:name w:val="xl87"/>
    <w:basedOn w:val="Normal"/>
    <w:rsid w:val="00C602FD"/>
    <w:pPr>
      <w:keepNext w:val="0"/>
      <w:shd w:val="clear" w:color="000000" w:fill="FFFFFF"/>
      <w:spacing w:before="100" w:beforeAutospacing="1" w:after="100" w:afterAutospacing="1"/>
    </w:pPr>
    <w:rPr>
      <w:rFonts w:cs="Arial"/>
      <w:color w:val="auto"/>
      <w:szCs w:val="24"/>
    </w:rPr>
  </w:style>
  <w:style w:type="paragraph" w:customStyle="1" w:styleId="xl88">
    <w:name w:val="xl88"/>
    <w:basedOn w:val="Normal"/>
    <w:rsid w:val="00C602FD"/>
    <w:pPr>
      <w:keepNext w:val="0"/>
      <w:shd w:val="clear" w:color="000000" w:fill="FFFFFF"/>
      <w:spacing w:before="100" w:beforeAutospacing="1" w:after="100" w:afterAutospacing="1"/>
      <w:jc w:val="center"/>
    </w:pPr>
    <w:rPr>
      <w:rFonts w:cs="Arial"/>
      <w:color w:val="auto"/>
      <w:szCs w:val="24"/>
    </w:rPr>
  </w:style>
  <w:style w:type="paragraph" w:customStyle="1" w:styleId="xl89">
    <w:name w:val="xl89"/>
    <w:basedOn w:val="Normal"/>
    <w:rsid w:val="00C602FD"/>
    <w:pPr>
      <w:keepNext w:val="0"/>
      <w:shd w:val="clear" w:color="000000" w:fill="FFFFFF"/>
      <w:spacing w:before="100" w:beforeAutospacing="1" w:after="100" w:afterAutospacing="1"/>
      <w:textAlignment w:val="top"/>
    </w:pPr>
    <w:rPr>
      <w:rFonts w:cs="Arial"/>
      <w:b/>
      <w:bCs/>
      <w:color w:val="auto"/>
      <w:szCs w:val="24"/>
    </w:rPr>
  </w:style>
  <w:style w:type="paragraph" w:customStyle="1" w:styleId="xl90">
    <w:name w:val="xl90"/>
    <w:basedOn w:val="Normal"/>
    <w:rsid w:val="00C602FD"/>
    <w:pPr>
      <w:keepNext w:val="0"/>
      <w:shd w:val="clear" w:color="000000" w:fill="FFFFFF"/>
      <w:spacing w:before="100" w:beforeAutospacing="1" w:after="100" w:afterAutospacing="1"/>
    </w:pPr>
    <w:rPr>
      <w:rFonts w:cs="Arial"/>
      <w:color w:val="auto"/>
      <w:szCs w:val="24"/>
    </w:rPr>
  </w:style>
  <w:style w:type="paragraph" w:customStyle="1" w:styleId="xl91">
    <w:name w:val="xl91"/>
    <w:basedOn w:val="Normal"/>
    <w:rsid w:val="00C602FD"/>
    <w:pPr>
      <w:keepNext w:val="0"/>
      <w:shd w:val="clear" w:color="000000" w:fill="FFFFFF"/>
      <w:spacing w:before="100" w:beforeAutospacing="1" w:after="100" w:afterAutospacing="1"/>
    </w:pPr>
    <w:rPr>
      <w:rFonts w:cs="Arial"/>
      <w:color w:val="auto"/>
      <w:szCs w:val="24"/>
    </w:rPr>
  </w:style>
  <w:style w:type="paragraph" w:customStyle="1" w:styleId="xl92">
    <w:name w:val="xl92"/>
    <w:basedOn w:val="Normal"/>
    <w:rsid w:val="00C602FD"/>
    <w:pPr>
      <w:keepNext w:val="0"/>
      <w:shd w:val="clear" w:color="000000" w:fill="FFFFFF"/>
      <w:spacing w:before="100" w:beforeAutospacing="1" w:after="100" w:afterAutospacing="1"/>
    </w:pPr>
    <w:rPr>
      <w:rFonts w:cs="Arial"/>
      <w:b/>
      <w:bCs/>
      <w:color w:val="auto"/>
      <w:szCs w:val="24"/>
    </w:rPr>
  </w:style>
  <w:style w:type="paragraph" w:customStyle="1" w:styleId="xl93">
    <w:name w:val="xl93"/>
    <w:basedOn w:val="Normal"/>
    <w:rsid w:val="00C602FD"/>
    <w:pPr>
      <w:keepNext w:val="0"/>
      <w:shd w:val="clear" w:color="000000" w:fill="FFFFFF"/>
      <w:spacing w:before="100" w:beforeAutospacing="1" w:after="100" w:afterAutospacing="1"/>
      <w:jc w:val="center"/>
    </w:pPr>
    <w:rPr>
      <w:rFonts w:cs="Arial"/>
      <w:b/>
      <w:bCs/>
      <w:color w:val="auto"/>
      <w:szCs w:val="24"/>
    </w:rPr>
  </w:style>
  <w:style w:type="paragraph" w:customStyle="1" w:styleId="xl94">
    <w:name w:val="xl94"/>
    <w:basedOn w:val="Normal"/>
    <w:rsid w:val="00C602FD"/>
    <w:pPr>
      <w:keepNext w:val="0"/>
      <w:shd w:val="clear" w:color="000000" w:fill="FFFFFF"/>
      <w:spacing w:before="100" w:beforeAutospacing="1" w:after="100" w:afterAutospacing="1"/>
    </w:pPr>
    <w:rPr>
      <w:rFonts w:cs="Arial"/>
      <w:b/>
      <w:bCs/>
      <w:color w:val="auto"/>
      <w:szCs w:val="24"/>
    </w:rPr>
  </w:style>
  <w:style w:type="paragraph" w:customStyle="1" w:styleId="xl95">
    <w:name w:val="xl95"/>
    <w:basedOn w:val="Normal"/>
    <w:rsid w:val="00C602FD"/>
    <w:pPr>
      <w:keepNext w:val="0"/>
      <w:shd w:val="clear" w:color="000000" w:fill="FFFFFF"/>
      <w:spacing w:before="100" w:beforeAutospacing="1" w:after="100" w:afterAutospacing="1"/>
    </w:pPr>
    <w:rPr>
      <w:rFonts w:cs="Arial"/>
      <w:b/>
      <w:bCs/>
      <w:color w:val="auto"/>
      <w:szCs w:val="24"/>
    </w:rPr>
  </w:style>
  <w:style w:type="paragraph" w:customStyle="1" w:styleId="xl96">
    <w:name w:val="xl96"/>
    <w:basedOn w:val="Normal"/>
    <w:rsid w:val="00C602FD"/>
    <w:pPr>
      <w:keepNext w:val="0"/>
      <w:shd w:val="clear" w:color="000000" w:fill="FFFFFF"/>
      <w:spacing w:before="100" w:beforeAutospacing="1" w:after="100" w:afterAutospacing="1"/>
    </w:pPr>
    <w:rPr>
      <w:rFonts w:cs="Arial"/>
      <w:color w:val="auto"/>
      <w:szCs w:val="24"/>
    </w:rPr>
  </w:style>
  <w:style w:type="paragraph" w:customStyle="1" w:styleId="xl97">
    <w:name w:val="xl97"/>
    <w:basedOn w:val="Normal"/>
    <w:rsid w:val="00C602FD"/>
    <w:pPr>
      <w:keepNext w:val="0"/>
      <w:shd w:val="clear" w:color="000000" w:fill="FFFFFF"/>
      <w:spacing w:before="100" w:beforeAutospacing="1" w:after="100" w:afterAutospacing="1"/>
      <w:textAlignment w:val="center"/>
    </w:pPr>
    <w:rPr>
      <w:rFonts w:cs="Arial"/>
      <w:b/>
      <w:bCs/>
      <w:color w:val="auto"/>
      <w:szCs w:val="24"/>
    </w:rPr>
  </w:style>
  <w:style w:type="paragraph" w:customStyle="1" w:styleId="xl98">
    <w:name w:val="xl98"/>
    <w:basedOn w:val="Normal"/>
    <w:rsid w:val="00C602FD"/>
    <w:pPr>
      <w:keepNext w:val="0"/>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cs="Arial"/>
      <w:b/>
      <w:bCs/>
      <w:color w:val="auto"/>
      <w:szCs w:val="24"/>
    </w:rPr>
  </w:style>
  <w:style w:type="paragraph" w:customStyle="1" w:styleId="xl99">
    <w:name w:val="xl99"/>
    <w:basedOn w:val="Normal"/>
    <w:rsid w:val="00C602FD"/>
    <w:pPr>
      <w:keepNext w:val="0"/>
      <w:shd w:val="clear" w:color="000000" w:fill="FFFFFF"/>
      <w:spacing w:before="100" w:beforeAutospacing="1" w:after="100" w:afterAutospacing="1"/>
      <w:jc w:val="right"/>
      <w:textAlignment w:val="center"/>
    </w:pPr>
    <w:rPr>
      <w:rFonts w:cs="Arial"/>
      <w:b/>
      <w:bCs/>
      <w:color w:val="auto"/>
      <w:szCs w:val="24"/>
    </w:rPr>
  </w:style>
  <w:style w:type="paragraph" w:customStyle="1" w:styleId="xl100">
    <w:name w:val="xl100"/>
    <w:basedOn w:val="Normal"/>
    <w:rsid w:val="00C602FD"/>
    <w:pPr>
      <w:keepNext w:val="0"/>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cs="Arial"/>
      <w:b/>
      <w:bCs/>
      <w:color w:val="auto"/>
      <w:szCs w:val="24"/>
    </w:rPr>
  </w:style>
  <w:style w:type="paragraph" w:customStyle="1" w:styleId="xl101">
    <w:name w:val="xl101"/>
    <w:basedOn w:val="Normal"/>
    <w:rsid w:val="00C602FD"/>
    <w:pPr>
      <w:keepNext w:val="0"/>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cs="Arial"/>
      <w:b/>
      <w:bCs/>
      <w:color w:val="auto"/>
      <w:szCs w:val="24"/>
    </w:rPr>
  </w:style>
  <w:style w:type="paragraph" w:customStyle="1" w:styleId="xl102">
    <w:name w:val="xl102"/>
    <w:basedOn w:val="Normal"/>
    <w:rsid w:val="00C602FD"/>
    <w:pPr>
      <w:keepNext w:val="0"/>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cs="Arial"/>
      <w:b/>
      <w:bCs/>
      <w:color w:val="auto"/>
      <w:szCs w:val="24"/>
    </w:rPr>
  </w:style>
  <w:style w:type="paragraph" w:customStyle="1" w:styleId="xl103">
    <w:name w:val="xl103"/>
    <w:basedOn w:val="Normal"/>
    <w:rsid w:val="00C602FD"/>
    <w:pPr>
      <w:keepNext w:val="0"/>
      <w:shd w:val="clear" w:color="000000" w:fill="FFFFFF"/>
      <w:spacing w:before="100" w:beforeAutospacing="1" w:after="100" w:afterAutospacing="1"/>
      <w:textAlignment w:val="top"/>
    </w:pPr>
    <w:rPr>
      <w:rFonts w:cs="Arial"/>
      <w:b/>
      <w:bCs/>
      <w:color w:val="auto"/>
      <w:sz w:val="22"/>
      <w:szCs w:val="22"/>
    </w:rPr>
  </w:style>
  <w:style w:type="paragraph" w:customStyle="1" w:styleId="xl104">
    <w:name w:val="xl104"/>
    <w:basedOn w:val="Normal"/>
    <w:rsid w:val="00C602FD"/>
    <w:pPr>
      <w:keepNext w:val="0"/>
      <w:shd w:val="clear" w:color="000000" w:fill="FFFFFF"/>
      <w:spacing w:before="100" w:beforeAutospacing="1" w:after="100" w:afterAutospacing="1"/>
    </w:pPr>
    <w:rPr>
      <w:rFonts w:cs="Arial"/>
      <w:b/>
      <w:bCs/>
      <w:color w:val="auto"/>
      <w:szCs w:val="24"/>
    </w:rPr>
  </w:style>
  <w:style w:type="paragraph" w:customStyle="1" w:styleId="xl105">
    <w:name w:val="xl105"/>
    <w:basedOn w:val="Normal"/>
    <w:rsid w:val="00C602FD"/>
    <w:pPr>
      <w:keepNext w:val="0"/>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pPr>
    <w:rPr>
      <w:rFonts w:cs="Arial"/>
      <w:color w:val="auto"/>
      <w:szCs w:val="24"/>
    </w:rPr>
  </w:style>
  <w:style w:type="paragraph" w:customStyle="1" w:styleId="xl106">
    <w:name w:val="xl106"/>
    <w:basedOn w:val="Normal"/>
    <w:rsid w:val="00C602FD"/>
    <w:pPr>
      <w:keepNext w:val="0"/>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pPr>
    <w:rPr>
      <w:rFonts w:cs="Arial"/>
      <w:color w:val="auto"/>
      <w:szCs w:val="24"/>
    </w:rPr>
  </w:style>
  <w:style w:type="paragraph" w:customStyle="1" w:styleId="xl107">
    <w:name w:val="xl107"/>
    <w:basedOn w:val="Normal"/>
    <w:rsid w:val="00C602FD"/>
    <w:pPr>
      <w:keepNext w:val="0"/>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pPr>
    <w:rPr>
      <w:rFonts w:cs="Arial"/>
      <w:color w:val="auto"/>
      <w:szCs w:val="24"/>
    </w:rPr>
  </w:style>
  <w:style w:type="paragraph" w:customStyle="1" w:styleId="xl108">
    <w:name w:val="xl108"/>
    <w:basedOn w:val="Normal"/>
    <w:rsid w:val="00C602FD"/>
    <w:pPr>
      <w:keepNext w:val="0"/>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right"/>
      <w:textAlignment w:val="center"/>
    </w:pPr>
    <w:rPr>
      <w:rFonts w:cs="Arial"/>
      <w:b/>
      <w:bCs/>
      <w:color w:val="auto"/>
      <w:szCs w:val="24"/>
    </w:rPr>
  </w:style>
  <w:style w:type="paragraph" w:customStyle="1" w:styleId="xl109">
    <w:name w:val="xl109"/>
    <w:basedOn w:val="Normal"/>
    <w:rsid w:val="00C602FD"/>
    <w:pPr>
      <w:keepNext w:val="0"/>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pPr>
    <w:rPr>
      <w:rFonts w:cs="Arial"/>
      <w:color w:val="auto"/>
      <w:szCs w:val="24"/>
    </w:rPr>
  </w:style>
  <w:style w:type="paragraph" w:customStyle="1" w:styleId="xl110">
    <w:name w:val="xl110"/>
    <w:basedOn w:val="Normal"/>
    <w:rsid w:val="00C602FD"/>
    <w:pPr>
      <w:keepNext w:val="0"/>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pPr>
    <w:rPr>
      <w:rFonts w:cs="Arial"/>
      <w:color w:val="auto"/>
      <w:szCs w:val="24"/>
    </w:rPr>
  </w:style>
  <w:style w:type="paragraph" w:customStyle="1" w:styleId="xl111">
    <w:name w:val="xl111"/>
    <w:basedOn w:val="Normal"/>
    <w:rsid w:val="00C602FD"/>
    <w:pPr>
      <w:keepNext w:val="0"/>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pPr>
    <w:rPr>
      <w:rFonts w:cs="Arial"/>
      <w:color w:val="auto"/>
      <w:szCs w:val="24"/>
    </w:rPr>
  </w:style>
  <w:style w:type="paragraph" w:customStyle="1" w:styleId="xl112">
    <w:name w:val="xl112"/>
    <w:basedOn w:val="Normal"/>
    <w:rsid w:val="00C602FD"/>
    <w:pPr>
      <w:keepNext w:val="0"/>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pPr>
    <w:rPr>
      <w:rFonts w:cs="Arial"/>
      <w:color w:val="auto"/>
      <w:szCs w:val="24"/>
    </w:rPr>
  </w:style>
  <w:style w:type="paragraph" w:customStyle="1" w:styleId="xl113">
    <w:name w:val="xl113"/>
    <w:basedOn w:val="Normal"/>
    <w:rsid w:val="00C602FD"/>
    <w:pPr>
      <w:keepNext w:val="0"/>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pPr>
    <w:rPr>
      <w:rFonts w:cs="Arial"/>
      <w:color w:val="auto"/>
      <w:szCs w:val="24"/>
    </w:rPr>
  </w:style>
  <w:style w:type="paragraph" w:customStyle="1" w:styleId="xl114">
    <w:name w:val="xl114"/>
    <w:basedOn w:val="Normal"/>
    <w:rsid w:val="00C602FD"/>
    <w:pPr>
      <w:keepNext w:val="0"/>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cs="Arial"/>
      <w:b/>
      <w:bCs/>
      <w:color w:val="000000"/>
      <w:szCs w:val="24"/>
    </w:rPr>
  </w:style>
  <w:style w:type="paragraph" w:customStyle="1" w:styleId="xl115">
    <w:name w:val="xl115"/>
    <w:basedOn w:val="Normal"/>
    <w:rsid w:val="00C602FD"/>
    <w:pPr>
      <w:keepNext w:val="0"/>
      <w:shd w:val="clear" w:color="000000" w:fill="FFFFFF"/>
      <w:spacing w:before="100" w:beforeAutospacing="1" w:after="100" w:afterAutospacing="1"/>
      <w:textAlignment w:val="center"/>
    </w:pPr>
    <w:rPr>
      <w:rFonts w:cs="Arial"/>
      <w:color w:val="auto"/>
      <w:szCs w:val="24"/>
    </w:rPr>
  </w:style>
  <w:style w:type="paragraph" w:customStyle="1" w:styleId="xl116">
    <w:name w:val="xl116"/>
    <w:basedOn w:val="Normal"/>
    <w:rsid w:val="00C602FD"/>
    <w:pPr>
      <w:keepNext w:val="0"/>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textAlignment w:val="center"/>
    </w:pPr>
    <w:rPr>
      <w:rFonts w:cs="Arial"/>
      <w:b/>
      <w:bCs/>
      <w:color w:val="auto"/>
      <w:szCs w:val="24"/>
    </w:rPr>
  </w:style>
  <w:style w:type="paragraph" w:customStyle="1" w:styleId="xl117">
    <w:name w:val="xl117"/>
    <w:basedOn w:val="Normal"/>
    <w:rsid w:val="00C602FD"/>
    <w:pPr>
      <w:keepNext w:val="0"/>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textAlignment w:val="center"/>
    </w:pPr>
    <w:rPr>
      <w:rFonts w:cs="Arial"/>
      <w:b/>
      <w:bCs/>
      <w:color w:val="auto"/>
      <w:szCs w:val="24"/>
    </w:rPr>
  </w:style>
  <w:style w:type="paragraph" w:customStyle="1" w:styleId="xl118">
    <w:name w:val="xl118"/>
    <w:basedOn w:val="Normal"/>
    <w:rsid w:val="00C602FD"/>
    <w:pPr>
      <w:keepNext w:val="0"/>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textAlignment w:val="center"/>
    </w:pPr>
    <w:rPr>
      <w:rFonts w:cs="Arial"/>
      <w:b/>
      <w:bCs/>
      <w:color w:val="auto"/>
      <w:szCs w:val="24"/>
    </w:rPr>
  </w:style>
  <w:style w:type="paragraph" w:customStyle="1" w:styleId="xl119">
    <w:name w:val="xl119"/>
    <w:basedOn w:val="Normal"/>
    <w:rsid w:val="00C602FD"/>
    <w:pPr>
      <w:keepNext w:val="0"/>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rFonts w:cs="Arial"/>
      <w:b/>
      <w:bCs/>
      <w:color w:val="auto"/>
      <w:szCs w:val="24"/>
    </w:rPr>
  </w:style>
  <w:style w:type="paragraph" w:customStyle="1" w:styleId="xl120">
    <w:name w:val="xl120"/>
    <w:basedOn w:val="Normal"/>
    <w:rsid w:val="00C602FD"/>
    <w:pPr>
      <w:keepNext w:val="0"/>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cs="Arial"/>
      <w:b/>
      <w:bCs/>
      <w:color w:val="auto"/>
      <w:szCs w:val="24"/>
    </w:rPr>
  </w:style>
  <w:style w:type="paragraph" w:customStyle="1" w:styleId="xl121">
    <w:name w:val="xl121"/>
    <w:basedOn w:val="Normal"/>
    <w:rsid w:val="00C602FD"/>
    <w:pPr>
      <w:keepNext w:val="0"/>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jc w:val="right"/>
      <w:textAlignment w:val="center"/>
    </w:pPr>
    <w:rPr>
      <w:rFonts w:cs="Arial"/>
      <w:b/>
      <w:bCs/>
      <w:color w:val="auto"/>
      <w:szCs w:val="24"/>
    </w:rPr>
  </w:style>
  <w:style w:type="paragraph" w:customStyle="1" w:styleId="xl122">
    <w:name w:val="xl122"/>
    <w:basedOn w:val="Normal"/>
    <w:rsid w:val="00C602FD"/>
    <w:pPr>
      <w:keepNext w:val="0"/>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right"/>
      <w:textAlignment w:val="center"/>
    </w:pPr>
    <w:rPr>
      <w:rFonts w:cs="Arial"/>
      <w:b/>
      <w:bCs/>
      <w:color w:val="auto"/>
      <w:szCs w:val="24"/>
    </w:rPr>
  </w:style>
  <w:style w:type="paragraph" w:customStyle="1" w:styleId="xl123">
    <w:name w:val="xl123"/>
    <w:basedOn w:val="Normal"/>
    <w:rsid w:val="00C602FD"/>
    <w:pPr>
      <w:keepNext w:val="0"/>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right"/>
      <w:textAlignment w:val="center"/>
    </w:pPr>
    <w:rPr>
      <w:rFonts w:cs="Arial"/>
      <w:b/>
      <w:bCs/>
      <w:color w:val="auto"/>
      <w:szCs w:val="24"/>
    </w:rPr>
  </w:style>
  <w:style w:type="paragraph" w:customStyle="1" w:styleId="xl124">
    <w:name w:val="xl124"/>
    <w:basedOn w:val="Normal"/>
    <w:rsid w:val="00C602FD"/>
    <w:pPr>
      <w:keepNext w:val="0"/>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cs="Arial"/>
      <w:b/>
      <w:bCs/>
      <w:color w:val="auto"/>
      <w:sz w:val="28"/>
      <w:szCs w:val="28"/>
    </w:rPr>
  </w:style>
  <w:style w:type="paragraph" w:customStyle="1" w:styleId="xl125">
    <w:name w:val="xl125"/>
    <w:basedOn w:val="Normal"/>
    <w:rsid w:val="00C602FD"/>
    <w:pPr>
      <w:keepNext w:val="0"/>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right"/>
      <w:textAlignment w:val="center"/>
    </w:pPr>
    <w:rPr>
      <w:rFonts w:cs="Arial"/>
      <w:b/>
      <w:bCs/>
      <w:color w:val="auto"/>
      <w:sz w:val="28"/>
      <w:szCs w:val="28"/>
    </w:rPr>
  </w:style>
  <w:style w:type="paragraph" w:customStyle="1" w:styleId="xl126">
    <w:name w:val="xl126"/>
    <w:basedOn w:val="Normal"/>
    <w:rsid w:val="00C602FD"/>
    <w:pPr>
      <w:keepNext w:val="0"/>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jc w:val="right"/>
      <w:textAlignment w:val="center"/>
    </w:pPr>
    <w:rPr>
      <w:rFonts w:cs="Arial"/>
      <w:b/>
      <w:bCs/>
      <w:color w:val="auto"/>
      <w:sz w:val="28"/>
      <w:szCs w:val="28"/>
    </w:rPr>
  </w:style>
  <w:style w:type="paragraph" w:customStyle="1" w:styleId="xl127">
    <w:name w:val="xl127"/>
    <w:basedOn w:val="Normal"/>
    <w:rsid w:val="00C602FD"/>
    <w:pPr>
      <w:keepNext w:val="0"/>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right"/>
      <w:textAlignment w:val="center"/>
    </w:pPr>
    <w:rPr>
      <w:rFonts w:cs="Arial"/>
      <w:b/>
      <w:bCs/>
      <w:color w:val="auto"/>
      <w:sz w:val="28"/>
      <w:szCs w:val="28"/>
    </w:rPr>
  </w:style>
  <w:style w:type="paragraph" w:customStyle="1" w:styleId="xl128">
    <w:name w:val="xl128"/>
    <w:basedOn w:val="Normal"/>
    <w:rsid w:val="00C602FD"/>
    <w:pPr>
      <w:keepNext w:val="0"/>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right"/>
      <w:textAlignment w:val="center"/>
    </w:pPr>
    <w:rPr>
      <w:rFonts w:cs="Arial"/>
      <w:b/>
      <w:bCs/>
      <w:color w:val="auto"/>
      <w:sz w:val="28"/>
      <w:szCs w:val="28"/>
    </w:rPr>
  </w:style>
  <w:style w:type="paragraph" w:customStyle="1" w:styleId="xl129">
    <w:name w:val="xl129"/>
    <w:basedOn w:val="Normal"/>
    <w:rsid w:val="00C602FD"/>
    <w:pPr>
      <w:keepNext w:val="0"/>
      <w:shd w:val="clear" w:color="000000" w:fill="FFFFFF"/>
      <w:spacing w:before="100" w:beforeAutospacing="1" w:after="100" w:afterAutospacing="1"/>
      <w:jc w:val="right"/>
      <w:textAlignment w:val="center"/>
    </w:pPr>
    <w:rPr>
      <w:rFonts w:cs="Arial"/>
      <w:b/>
      <w:bCs/>
      <w:color w:val="auto"/>
      <w:sz w:val="28"/>
      <w:szCs w:val="28"/>
    </w:rPr>
  </w:style>
  <w:style w:type="paragraph" w:customStyle="1" w:styleId="xl130">
    <w:name w:val="xl130"/>
    <w:basedOn w:val="Normal"/>
    <w:rsid w:val="00C602FD"/>
    <w:pPr>
      <w:keepNext w:val="0"/>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cs="Arial"/>
      <w:b/>
      <w:bCs/>
      <w:color w:val="000000"/>
      <w:szCs w:val="24"/>
    </w:rPr>
  </w:style>
  <w:style w:type="paragraph" w:customStyle="1" w:styleId="xl131">
    <w:name w:val="xl131"/>
    <w:basedOn w:val="Normal"/>
    <w:rsid w:val="00C602FD"/>
    <w:pPr>
      <w:keepNext w:val="0"/>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right"/>
      <w:textAlignment w:val="center"/>
    </w:pPr>
    <w:rPr>
      <w:rFonts w:cs="Arial"/>
      <w:b/>
      <w:bCs/>
      <w:color w:val="000000"/>
      <w:szCs w:val="24"/>
    </w:rPr>
  </w:style>
  <w:style w:type="paragraph" w:customStyle="1" w:styleId="xl132">
    <w:name w:val="xl132"/>
    <w:basedOn w:val="Normal"/>
    <w:rsid w:val="00C602FD"/>
    <w:pPr>
      <w:keepNext w:val="0"/>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jc w:val="right"/>
      <w:textAlignment w:val="center"/>
    </w:pPr>
    <w:rPr>
      <w:rFonts w:cs="Arial"/>
      <w:b/>
      <w:bCs/>
      <w:color w:val="000000"/>
      <w:szCs w:val="24"/>
    </w:rPr>
  </w:style>
  <w:style w:type="paragraph" w:customStyle="1" w:styleId="xl133">
    <w:name w:val="xl133"/>
    <w:basedOn w:val="Normal"/>
    <w:rsid w:val="00C602FD"/>
    <w:pPr>
      <w:keepNext w:val="0"/>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right"/>
      <w:textAlignment w:val="center"/>
    </w:pPr>
    <w:rPr>
      <w:rFonts w:cs="Arial"/>
      <w:b/>
      <w:bCs/>
      <w:color w:val="000000"/>
      <w:szCs w:val="24"/>
    </w:rPr>
  </w:style>
  <w:style w:type="paragraph" w:customStyle="1" w:styleId="xl134">
    <w:name w:val="xl134"/>
    <w:basedOn w:val="Normal"/>
    <w:rsid w:val="00C602FD"/>
    <w:pPr>
      <w:keepNext w:val="0"/>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right"/>
      <w:textAlignment w:val="center"/>
    </w:pPr>
    <w:rPr>
      <w:rFonts w:cs="Arial"/>
      <w:b/>
      <w:bCs/>
      <w:color w:val="000000"/>
      <w:szCs w:val="24"/>
    </w:rPr>
  </w:style>
  <w:style w:type="paragraph" w:customStyle="1" w:styleId="xl135">
    <w:name w:val="xl135"/>
    <w:basedOn w:val="Normal"/>
    <w:rsid w:val="00C602FD"/>
    <w:pPr>
      <w:keepNext w:val="0"/>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textAlignment w:val="center"/>
    </w:pPr>
    <w:rPr>
      <w:rFonts w:cs="Arial"/>
      <w:b/>
      <w:bCs/>
      <w:color w:val="auto"/>
      <w:szCs w:val="24"/>
    </w:rPr>
  </w:style>
  <w:style w:type="paragraph" w:customStyle="1" w:styleId="xl136">
    <w:name w:val="xl136"/>
    <w:basedOn w:val="Normal"/>
    <w:rsid w:val="00C602FD"/>
    <w:pPr>
      <w:keepNext w:val="0"/>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rFonts w:cs="Arial"/>
      <w:b/>
      <w:bCs/>
      <w:color w:val="auto"/>
      <w:szCs w:val="24"/>
    </w:rPr>
  </w:style>
  <w:style w:type="paragraph" w:customStyle="1" w:styleId="xl137">
    <w:name w:val="xl137"/>
    <w:basedOn w:val="Normal"/>
    <w:rsid w:val="00C602FD"/>
    <w:pPr>
      <w:keepNext w:val="0"/>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top"/>
    </w:pPr>
    <w:rPr>
      <w:rFonts w:cs="Arial"/>
      <w:b/>
      <w:bCs/>
      <w:color w:val="auto"/>
      <w:szCs w:val="24"/>
    </w:rPr>
  </w:style>
  <w:style w:type="paragraph" w:customStyle="1" w:styleId="xl138">
    <w:name w:val="xl138"/>
    <w:basedOn w:val="Normal"/>
    <w:rsid w:val="00C602FD"/>
    <w:pPr>
      <w:keepNext w:val="0"/>
      <w:shd w:val="clear" w:color="000000" w:fill="D9D9D9"/>
      <w:spacing w:before="100" w:beforeAutospacing="1" w:after="100" w:afterAutospacing="1"/>
    </w:pPr>
    <w:rPr>
      <w:rFonts w:cs="Arial"/>
      <w:color w:val="auto"/>
      <w:szCs w:val="24"/>
    </w:rPr>
  </w:style>
  <w:style w:type="paragraph" w:customStyle="1" w:styleId="xl139">
    <w:name w:val="xl139"/>
    <w:basedOn w:val="Normal"/>
    <w:rsid w:val="00C602FD"/>
    <w:pPr>
      <w:keepNext w:val="0"/>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top"/>
    </w:pPr>
    <w:rPr>
      <w:rFonts w:cs="Arial"/>
      <w:b/>
      <w:bCs/>
      <w:color w:val="auto"/>
      <w:szCs w:val="24"/>
    </w:rPr>
  </w:style>
  <w:style w:type="paragraph" w:customStyle="1" w:styleId="xl140">
    <w:name w:val="xl140"/>
    <w:basedOn w:val="Normal"/>
    <w:rsid w:val="00C602FD"/>
    <w:pPr>
      <w:keepNext w:val="0"/>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top"/>
    </w:pPr>
    <w:rPr>
      <w:rFonts w:cs="Arial"/>
      <w:b/>
      <w:bCs/>
      <w:color w:val="auto"/>
      <w:szCs w:val="24"/>
    </w:rPr>
  </w:style>
  <w:style w:type="paragraph" w:customStyle="1" w:styleId="xl141">
    <w:name w:val="xl141"/>
    <w:basedOn w:val="Normal"/>
    <w:rsid w:val="00C602FD"/>
    <w:pPr>
      <w:keepNext w:val="0"/>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top"/>
    </w:pPr>
    <w:rPr>
      <w:rFonts w:cs="Arial"/>
      <w:b/>
      <w:bCs/>
      <w:color w:val="auto"/>
      <w:szCs w:val="24"/>
    </w:rPr>
  </w:style>
  <w:style w:type="paragraph" w:customStyle="1" w:styleId="xl142">
    <w:name w:val="xl142"/>
    <w:basedOn w:val="Normal"/>
    <w:rsid w:val="00C602FD"/>
    <w:pPr>
      <w:keepNext w:val="0"/>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top"/>
    </w:pPr>
    <w:rPr>
      <w:rFonts w:cs="Arial"/>
      <w:b/>
      <w:bCs/>
      <w:color w:val="auto"/>
      <w:szCs w:val="24"/>
    </w:rPr>
  </w:style>
  <w:style w:type="paragraph" w:customStyle="1" w:styleId="xl143">
    <w:name w:val="xl143"/>
    <w:basedOn w:val="Normal"/>
    <w:rsid w:val="00C602FD"/>
    <w:pPr>
      <w:keepNext w:val="0"/>
      <w:spacing w:before="100" w:beforeAutospacing="1" w:after="100" w:afterAutospacing="1"/>
      <w:textAlignment w:val="center"/>
    </w:pPr>
    <w:rPr>
      <w:rFonts w:cs="Arial"/>
      <w:b/>
      <w:bCs/>
      <w:color w:val="auto"/>
      <w:szCs w:val="24"/>
    </w:rPr>
  </w:style>
  <w:style w:type="paragraph" w:customStyle="1" w:styleId="xl144">
    <w:name w:val="xl144"/>
    <w:basedOn w:val="Normal"/>
    <w:rsid w:val="00C602FD"/>
    <w:pPr>
      <w:keepNext w:val="0"/>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cs="Arial"/>
      <w:b/>
      <w:bCs/>
      <w:color w:val="auto"/>
      <w:szCs w:val="24"/>
    </w:rPr>
  </w:style>
  <w:style w:type="paragraph" w:customStyle="1" w:styleId="xl145">
    <w:name w:val="xl145"/>
    <w:basedOn w:val="Normal"/>
    <w:rsid w:val="00C602FD"/>
    <w:pPr>
      <w:keepNext w:val="0"/>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textAlignment w:val="center"/>
    </w:pPr>
    <w:rPr>
      <w:rFonts w:cs="Arial"/>
      <w:b/>
      <w:bCs/>
      <w:color w:val="auto"/>
      <w:szCs w:val="24"/>
    </w:rPr>
  </w:style>
  <w:style w:type="paragraph" w:customStyle="1" w:styleId="xl146">
    <w:name w:val="xl146"/>
    <w:basedOn w:val="Normal"/>
    <w:rsid w:val="00C602FD"/>
    <w:pPr>
      <w:keepNext w:val="0"/>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textAlignment w:val="center"/>
    </w:pPr>
    <w:rPr>
      <w:rFonts w:cs="Arial"/>
      <w:b/>
      <w:bCs/>
      <w:color w:val="auto"/>
      <w:szCs w:val="24"/>
    </w:rPr>
  </w:style>
  <w:style w:type="paragraph" w:customStyle="1" w:styleId="xl147">
    <w:name w:val="xl147"/>
    <w:basedOn w:val="Normal"/>
    <w:rsid w:val="00C602FD"/>
    <w:pPr>
      <w:keepNext w:val="0"/>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cs="Arial"/>
      <w:b/>
      <w:bCs/>
      <w:color w:val="auto"/>
      <w:szCs w:val="24"/>
    </w:rPr>
  </w:style>
  <w:style w:type="paragraph" w:customStyle="1" w:styleId="xl148">
    <w:name w:val="xl148"/>
    <w:basedOn w:val="Normal"/>
    <w:rsid w:val="00C602FD"/>
    <w:pPr>
      <w:keepNext w:val="0"/>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cs="Arial"/>
      <w:color w:val="auto"/>
      <w:szCs w:val="24"/>
    </w:rPr>
  </w:style>
  <w:style w:type="paragraph" w:customStyle="1" w:styleId="xl149">
    <w:name w:val="xl149"/>
    <w:basedOn w:val="Normal"/>
    <w:rsid w:val="00C602FD"/>
    <w:pPr>
      <w:keepNext w:val="0"/>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cs="Arial"/>
      <w:color w:val="auto"/>
      <w:szCs w:val="24"/>
    </w:rPr>
  </w:style>
  <w:style w:type="paragraph" w:customStyle="1" w:styleId="xl150">
    <w:name w:val="xl150"/>
    <w:basedOn w:val="Normal"/>
    <w:rsid w:val="00C602FD"/>
    <w:pPr>
      <w:keepNext w:val="0"/>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rFonts w:cs="Arial"/>
      <w:b/>
      <w:bCs/>
      <w:color w:val="auto"/>
      <w:szCs w:val="24"/>
    </w:rPr>
  </w:style>
  <w:style w:type="paragraph" w:customStyle="1" w:styleId="xl151">
    <w:name w:val="xl151"/>
    <w:basedOn w:val="Normal"/>
    <w:rsid w:val="00C602FD"/>
    <w:pPr>
      <w:keepNext w:val="0"/>
      <w:pBdr>
        <w:top w:val="single" w:sz="4" w:space="0" w:color="auto"/>
        <w:bottom w:val="single" w:sz="4" w:space="0" w:color="auto"/>
      </w:pBdr>
      <w:spacing w:before="100" w:beforeAutospacing="1" w:after="100" w:afterAutospacing="1"/>
      <w:textAlignment w:val="center"/>
    </w:pPr>
    <w:rPr>
      <w:rFonts w:cs="Arial"/>
      <w:b/>
      <w:bCs/>
      <w:color w:val="auto"/>
      <w:szCs w:val="24"/>
    </w:rPr>
  </w:style>
  <w:style w:type="paragraph" w:customStyle="1" w:styleId="xl152">
    <w:name w:val="xl152"/>
    <w:basedOn w:val="Normal"/>
    <w:rsid w:val="00C602FD"/>
    <w:pPr>
      <w:keepNext w:val="0"/>
      <w:pBdr>
        <w:top w:val="single" w:sz="4" w:space="0" w:color="auto"/>
        <w:bottom w:val="single" w:sz="4" w:space="0" w:color="auto"/>
        <w:right w:val="single" w:sz="4" w:space="0" w:color="auto"/>
      </w:pBdr>
      <w:spacing w:before="100" w:beforeAutospacing="1" w:after="100" w:afterAutospacing="1"/>
      <w:textAlignment w:val="center"/>
    </w:pPr>
    <w:rPr>
      <w:rFonts w:cs="Arial"/>
      <w:b/>
      <w:bCs/>
      <w:color w:val="auto"/>
      <w:szCs w:val="24"/>
    </w:rPr>
  </w:style>
  <w:style w:type="paragraph" w:customStyle="1" w:styleId="xl153">
    <w:name w:val="xl153"/>
    <w:basedOn w:val="Normal"/>
    <w:rsid w:val="00C602FD"/>
    <w:pPr>
      <w:keepNext w:val="0"/>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rFonts w:cs="Arial"/>
      <w:b/>
      <w:bCs/>
      <w:color w:val="auto"/>
      <w:sz w:val="28"/>
      <w:szCs w:val="28"/>
    </w:rPr>
  </w:style>
  <w:style w:type="paragraph" w:customStyle="1" w:styleId="xl154">
    <w:name w:val="xl154"/>
    <w:basedOn w:val="Normal"/>
    <w:rsid w:val="00C602FD"/>
    <w:pPr>
      <w:keepNext w:val="0"/>
      <w:pBdr>
        <w:top w:val="single" w:sz="4" w:space="0" w:color="auto"/>
        <w:bottom w:val="single" w:sz="4" w:space="0" w:color="auto"/>
      </w:pBdr>
      <w:spacing w:before="100" w:beforeAutospacing="1" w:after="100" w:afterAutospacing="1"/>
      <w:textAlignment w:val="center"/>
    </w:pPr>
    <w:rPr>
      <w:rFonts w:cs="Arial"/>
      <w:color w:val="auto"/>
      <w:sz w:val="28"/>
      <w:szCs w:val="28"/>
    </w:rPr>
  </w:style>
  <w:style w:type="paragraph" w:customStyle="1" w:styleId="xl155">
    <w:name w:val="xl155"/>
    <w:basedOn w:val="Normal"/>
    <w:rsid w:val="00C602FD"/>
    <w:pPr>
      <w:keepNext w:val="0"/>
      <w:pBdr>
        <w:top w:val="single" w:sz="4" w:space="0" w:color="auto"/>
        <w:bottom w:val="single" w:sz="4" w:space="0" w:color="auto"/>
        <w:right w:val="single" w:sz="4" w:space="0" w:color="auto"/>
      </w:pBdr>
      <w:spacing w:before="100" w:beforeAutospacing="1" w:after="100" w:afterAutospacing="1"/>
      <w:textAlignment w:val="center"/>
    </w:pPr>
    <w:rPr>
      <w:rFonts w:cs="Arial"/>
      <w:color w:val="auto"/>
      <w:sz w:val="28"/>
      <w:szCs w:val="28"/>
    </w:rPr>
  </w:style>
  <w:style w:type="paragraph" w:customStyle="1" w:styleId="xl156">
    <w:name w:val="xl156"/>
    <w:basedOn w:val="Normal"/>
    <w:rsid w:val="00C602FD"/>
    <w:pPr>
      <w:keepNext w:val="0"/>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cs="Arial"/>
      <w:b/>
      <w:bCs/>
      <w:color w:val="auto"/>
      <w:szCs w:val="24"/>
    </w:rPr>
  </w:style>
  <w:style w:type="paragraph" w:customStyle="1" w:styleId="xl157">
    <w:name w:val="xl157"/>
    <w:basedOn w:val="Normal"/>
    <w:rsid w:val="00C602FD"/>
    <w:pPr>
      <w:keepNext w:val="0"/>
      <w:pBdr>
        <w:bottom w:val="single" w:sz="4" w:space="0" w:color="auto"/>
      </w:pBdr>
      <w:spacing w:before="100" w:beforeAutospacing="1" w:after="100" w:afterAutospacing="1"/>
      <w:textAlignment w:val="top"/>
    </w:pPr>
    <w:rPr>
      <w:rFonts w:cs="Arial"/>
      <w:b/>
      <w:bCs/>
      <w:color w:val="auto"/>
      <w:szCs w:val="24"/>
    </w:rPr>
  </w:style>
  <w:style w:type="paragraph" w:customStyle="1" w:styleId="xl158">
    <w:name w:val="xl158"/>
    <w:basedOn w:val="Normal"/>
    <w:rsid w:val="00C602FD"/>
    <w:pPr>
      <w:keepNext w:val="0"/>
      <w:pBdr>
        <w:bottom w:val="single" w:sz="4" w:space="0" w:color="auto"/>
      </w:pBdr>
      <w:spacing w:before="100" w:beforeAutospacing="1" w:after="100" w:afterAutospacing="1"/>
    </w:pPr>
    <w:rPr>
      <w:rFonts w:cs="Arial"/>
      <w:color w:val="auto"/>
      <w:szCs w:val="24"/>
    </w:rPr>
  </w:style>
  <w:style w:type="paragraph" w:customStyle="1" w:styleId="xl159">
    <w:name w:val="xl159"/>
    <w:basedOn w:val="Normal"/>
    <w:rsid w:val="00C602FD"/>
    <w:pPr>
      <w:keepNext w:val="0"/>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rFonts w:cs="Arial"/>
      <w:b/>
      <w:bCs/>
      <w:color w:val="auto"/>
      <w:szCs w:val="24"/>
    </w:rPr>
  </w:style>
  <w:style w:type="paragraph" w:customStyle="1" w:styleId="xl160">
    <w:name w:val="xl160"/>
    <w:basedOn w:val="Normal"/>
    <w:rsid w:val="00C602FD"/>
    <w:pPr>
      <w:keepNext w:val="0"/>
      <w:pBdr>
        <w:top w:val="single" w:sz="4" w:space="0" w:color="auto"/>
        <w:bottom w:val="single" w:sz="4" w:space="0" w:color="auto"/>
      </w:pBdr>
      <w:spacing w:before="100" w:beforeAutospacing="1" w:after="100" w:afterAutospacing="1"/>
    </w:pPr>
    <w:rPr>
      <w:rFonts w:cs="Arial"/>
      <w:b/>
      <w:bCs/>
      <w:color w:val="auto"/>
      <w:szCs w:val="24"/>
    </w:rPr>
  </w:style>
  <w:style w:type="paragraph" w:customStyle="1" w:styleId="xl161">
    <w:name w:val="xl161"/>
    <w:basedOn w:val="Normal"/>
    <w:rsid w:val="00C602FD"/>
    <w:pPr>
      <w:keepNext w:val="0"/>
      <w:pBdr>
        <w:top w:val="single" w:sz="4" w:space="0" w:color="auto"/>
        <w:bottom w:val="single" w:sz="4" w:space="0" w:color="auto"/>
        <w:right w:val="single" w:sz="4" w:space="0" w:color="auto"/>
      </w:pBdr>
      <w:spacing w:before="100" w:beforeAutospacing="1" w:after="100" w:afterAutospacing="1"/>
    </w:pPr>
    <w:rPr>
      <w:rFonts w:cs="Arial"/>
      <w:b/>
      <w:bCs/>
      <w:color w:val="auto"/>
      <w:szCs w:val="24"/>
    </w:rPr>
  </w:style>
  <w:style w:type="paragraph" w:customStyle="1" w:styleId="xl162">
    <w:name w:val="xl162"/>
    <w:basedOn w:val="Normal"/>
    <w:rsid w:val="00C602FD"/>
    <w:pPr>
      <w:keepNext w:val="0"/>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rFonts w:cs="Arial"/>
      <w:b/>
      <w:bCs/>
      <w:color w:val="auto"/>
      <w:sz w:val="28"/>
      <w:szCs w:val="28"/>
    </w:rPr>
  </w:style>
  <w:style w:type="paragraph" w:customStyle="1" w:styleId="xl163">
    <w:name w:val="xl163"/>
    <w:basedOn w:val="Normal"/>
    <w:rsid w:val="00C602FD"/>
    <w:pPr>
      <w:keepNext w:val="0"/>
      <w:pBdr>
        <w:top w:val="single" w:sz="4" w:space="0" w:color="auto"/>
        <w:bottom w:val="single" w:sz="4" w:space="0" w:color="auto"/>
      </w:pBdr>
      <w:spacing w:before="100" w:beforeAutospacing="1" w:after="100" w:afterAutospacing="1"/>
      <w:textAlignment w:val="center"/>
    </w:pPr>
    <w:rPr>
      <w:rFonts w:cs="Arial"/>
      <w:b/>
      <w:bCs/>
      <w:color w:val="auto"/>
      <w:sz w:val="28"/>
      <w:szCs w:val="28"/>
    </w:rPr>
  </w:style>
  <w:style w:type="paragraph" w:customStyle="1" w:styleId="xl164">
    <w:name w:val="xl164"/>
    <w:basedOn w:val="Normal"/>
    <w:rsid w:val="00C602FD"/>
    <w:pPr>
      <w:keepNext w:val="0"/>
      <w:pBdr>
        <w:top w:val="single" w:sz="4" w:space="0" w:color="auto"/>
        <w:bottom w:val="single" w:sz="4" w:space="0" w:color="auto"/>
      </w:pBdr>
      <w:spacing w:before="100" w:beforeAutospacing="1" w:after="100" w:afterAutospacing="1"/>
    </w:pPr>
    <w:rPr>
      <w:rFonts w:cs="Arial"/>
      <w:b/>
      <w:bCs/>
      <w:color w:val="auto"/>
      <w:szCs w:val="24"/>
    </w:rPr>
  </w:style>
  <w:style w:type="paragraph" w:customStyle="1" w:styleId="xl165">
    <w:name w:val="xl165"/>
    <w:basedOn w:val="Normal"/>
    <w:rsid w:val="00C602FD"/>
    <w:pPr>
      <w:keepNext w:val="0"/>
      <w:pBdr>
        <w:bottom w:val="single" w:sz="4" w:space="0" w:color="auto"/>
      </w:pBdr>
      <w:spacing w:before="100" w:beforeAutospacing="1" w:after="100" w:afterAutospacing="1"/>
      <w:textAlignment w:val="top"/>
    </w:pPr>
    <w:rPr>
      <w:rFonts w:cs="Arial"/>
      <w:b/>
      <w:bCs/>
      <w:color w:val="auto"/>
      <w:szCs w:val="24"/>
    </w:rPr>
  </w:style>
  <w:style w:type="paragraph" w:customStyle="1" w:styleId="xl166">
    <w:name w:val="xl166"/>
    <w:basedOn w:val="Normal"/>
    <w:rsid w:val="00C602FD"/>
    <w:pPr>
      <w:keepNext w:val="0"/>
      <w:pBdr>
        <w:bottom w:val="single" w:sz="4" w:space="0" w:color="auto"/>
      </w:pBdr>
      <w:spacing w:before="100" w:beforeAutospacing="1" w:after="100" w:afterAutospacing="1"/>
    </w:pPr>
    <w:rPr>
      <w:rFonts w:cs="Arial"/>
      <w:color w:val="auto"/>
      <w:szCs w:val="24"/>
    </w:rPr>
  </w:style>
  <w:style w:type="paragraph" w:styleId="TOCHeading">
    <w:name w:val="TOC Heading"/>
    <w:basedOn w:val="Heading1"/>
    <w:next w:val="Normal"/>
    <w:uiPriority w:val="39"/>
    <w:unhideWhenUsed/>
    <w:qFormat/>
    <w:rsid w:val="00C602FD"/>
    <w:pPr>
      <w:keepLines/>
      <w:spacing w:before="240" w:line="259" w:lineRule="auto"/>
      <w:outlineLvl w:val="9"/>
    </w:pPr>
    <w:rPr>
      <w:rFonts w:ascii="Calibri Light" w:hAnsi="Calibri Light"/>
      <w:b w:val="0"/>
      <w:bCs w:val="0"/>
      <w:color w:val="2E74B5"/>
      <w:sz w:val="32"/>
      <w:szCs w:val="32"/>
      <w:lang w:val="en-US"/>
    </w:rPr>
  </w:style>
  <w:style w:type="paragraph" w:styleId="TOC1">
    <w:name w:val="toc 1"/>
    <w:basedOn w:val="Normal"/>
    <w:next w:val="Normal"/>
    <w:autoRedefine/>
    <w:uiPriority w:val="39"/>
    <w:rsid w:val="00C602FD"/>
    <w:pPr>
      <w:spacing w:before="360"/>
    </w:pPr>
    <w:rPr>
      <w:rFonts w:asciiTheme="majorHAnsi" w:hAnsiTheme="majorHAnsi" w:cstheme="majorHAnsi"/>
      <w:b/>
      <w:bCs/>
      <w:caps/>
      <w:szCs w:val="24"/>
    </w:rPr>
  </w:style>
  <w:style w:type="paragraph" w:styleId="TOC2">
    <w:name w:val="toc 2"/>
    <w:basedOn w:val="Normal"/>
    <w:next w:val="Normal"/>
    <w:autoRedefine/>
    <w:uiPriority w:val="39"/>
    <w:rsid w:val="00C602FD"/>
    <w:pPr>
      <w:spacing w:before="240"/>
    </w:pPr>
    <w:rPr>
      <w:rFonts w:asciiTheme="minorHAnsi" w:hAnsiTheme="minorHAnsi" w:cstheme="minorHAnsi"/>
      <w:b/>
      <w:bCs/>
      <w:sz w:val="20"/>
    </w:rPr>
  </w:style>
  <w:style w:type="paragraph" w:styleId="TOC4">
    <w:name w:val="toc 4"/>
    <w:basedOn w:val="Normal"/>
    <w:next w:val="Normal"/>
    <w:autoRedefine/>
    <w:uiPriority w:val="39"/>
    <w:unhideWhenUsed/>
    <w:rsid w:val="00C602FD"/>
    <w:pPr>
      <w:spacing w:before="0"/>
      <w:ind w:left="480"/>
    </w:pPr>
    <w:rPr>
      <w:rFonts w:asciiTheme="minorHAnsi" w:hAnsiTheme="minorHAnsi" w:cstheme="minorHAnsi"/>
      <w:sz w:val="20"/>
    </w:rPr>
  </w:style>
  <w:style w:type="paragraph" w:styleId="TOC5">
    <w:name w:val="toc 5"/>
    <w:basedOn w:val="Normal"/>
    <w:next w:val="Normal"/>
    <w:autoRedefine/>
    <w:uiPriority w:val="39"/>
    <w:unhideWhenUsed/>
    <w:rsid w:val="00C602FD"/>
    <w:pPr>
      <w:spacing w:before="0"/>
      <w:ind w:left="720"/>
    </w:pPr>
    <w:rPr>
      <w:rFonts w:asciiTheme="minorHAnsi" w:hAnsiTheme="minorHAnsi" w:cstheme="minorHAnsi"/>
      <w:sz w:val="20"/>
    </w:rPr>
  </w:style>
  <w:style w:type="paragraph" w:styleId="TOC6">
    <w:name w:val="toc 6"/>
    <w:basedOn w:val="Normal"/>
    <w:next w:val="Normal"/>
    <w:autoRedefine/>
    <w:uiPriority w:val="39"/>
    <w:unhideWhenUsed/>
    <w:rsid w:val="00C602FD"/>
    <w:pPr>
      <w:spacing w:before="0"/>
      <w:ind w:left="960"/>
    </w:pPr>
    <w:rPr>
      <w:rFonts w:asciiTheme="minorHAnsi" w:hAnsiTheme="minorHAnsi" w:cstheme="minorHAnsi"/>
      <w:sz w:val="20"/>
    </w:rPr>
  </w:style>
  <w:style w:type="paragraph" w:styleId="TOC7">
    <w:name w:val="toc 7"/>
    <w:basedOn w:val="Normal"/>
    <w:next w:val="Normal"/>
    <w:autoRedefine/>
    <w:uiPriority w:val="39"/>
    <w:unhideWhenUsed/>
    <w:rsid w:val="00C602FD"/>
    <w:pPr>
      <w:spacing w:before="0"/>
      <w:ind w:left="1200"/>
    </w:pPr>
    <w:rPr>
      <w:rFonts w:asciiTheme="minorHAnsi" w:hAnsiTheme="minorHAnsi" w:cstheme="minorHAnsi"/>
      <w:sz w:val="20"/>
    </w:rPr>
  </w:style>
  <w:style w:type="paragraph" w:styleId="TOC8">
    <w:name w:val="toc 8"/>
    <w:basedOn w:val="Normal"/>
    <w:next w:val="Normal"/>
    <w:autoRedefine/>
    <w:uiPriority w:val="39"/>
    <w:unhideWhenUsed/>
    <w:rsid w:val="00C602FD"/>
    <w:pPr>
      <w:spacing w:before="0"/>
      <w:ind w:left="1440"/>
    </w:pPr>
    <w:rPr>
      <w:rFonts w:asciiTheme="minorHAnsi" w:hAnsiTheme="minorHAnsi" w:cstheme="minorHAnsi"/>
      <w:sz w:val="20"/>
    </w:rPr>
  </w:style>
  <w:style w:type="paragraph" w:styleId="TOC9">
    <w:name w:val="toc 9"/>
    <w:basedOn w:val="Normal"/>
    <w:next w:val="Normal"/>
    <w:autoRedefine/>
    <w:uiPriority w:val="39"/>
    <w:unhideWhenUsed/>
    <w:rsid w:val="00C602FD"/>
    <w:pPr>
      <w:spacing w:before="0"/>
      <w:ind w:left="1680"/>
    </w:pPr>
    <w:rPr>
      <w:rFonts w:asciiTheme="minorHAnsi" w:hAnsiTheme="minorHAnsi" w:cstheme="minorHAnsi"/>
      <w:sz w:val="20"/>
    </w:rPr>
  </w:style>
  <w:style w:type="character" w:customStyle="1" w:styleId="NoSpacingChar">
    <w:name w:val="No Spacing Char"/>
    <w:link w:val="NoSpacing"/>
    <w:uiPriority w:val="1"/>
    <w:rsid w:val="00C602FD"/>
    <w:rPr>
      <w:rFonts w:ascii="Arial" w:eastAsia="Calibri" w:hAnsi="Arial"/>
      <w:sz w:val="24"/>
      <w:szCs w:val="22"/>
      <w:lang w:eastAsia="en-US"/>
    </w:rPr>
  </w:style>
  <w:style w:type="table" w:customStyle="1" w:styleId="TableGrid23">
    <w:name w:val="Table Grid23"/>
    <w:basedOn w:val="TableNormal"/>
    <w:next w:val="TableGrid"/>
    <w:uiPriority w:val="59"/>
    <w:rsid w:val="00967C7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tentsHeader">
    <w:name w:val="Contents Header"/>
    <w:basedOn w:val="Heading1"/>
    <w:link w:val="ContentsHeaderChar"/>
    <w:qFormat/>
    <w:rsid w:val="00673B7B"/>
    <w:rPr>
      <w:rFonts w:cs="Arial"/>
      <w:sz w:val="40"/>
      <w:szCs w:val="40"/>
    </w:rPr>
  </w:style>
  <w:style w:type="character" w:customStyle="1" w:styleId="Heading1Char">
    <w:name w:val="Heading 1 Char"/>
    <w:basedOn w:val="DefaultParagraphFont"/>
    <w:link w:val="Heading1"/>
    <w:rsid w:val="00364726"/>
    <w:rPr>
      <w:rFonts w:ascii="Arial" w:hAnsi="Arial"/>
      <w:b/>
      <w:bCs/>
      <w:color w:val="000000" w:themeColor="text1"/>
      <w:sz w:val="36"/>
      <w:szCs w:val="36"/>
      <w:lang w:eastAsia="en-US"/>
    </w:rPr>
  </w:style>
  <w:style w:type="character" w:customStyle="1" w:styleId="ContentsHeaderChar">
    <w:name w:val="Contents Header Char"/>
    <w:basedOn w:val="Heading1Char"/>
    <w:link w:val="ContentsHeader"/>
    <w:rsid w:val="00673B7B"/>
    <w:rPr>
      <w:rFonts w:ascii="Arial" w:hAnsi="Arial" w:cs="Arial"/>
      <w:b/>
      <w:bCs/>
      <w:color w:val="000000" w:themeColor="text1"/>
      <w:sz w:val="40"/>
      <w:szCs w:val="40"/>
      <w:lang w:eastAsia="en-US"/>
    </w:rPr>
  </w:style>
  <w:style w:type="paragraph" w:customStyle="1" w:styleId="msonormal0">
    <w:name w:val="msonormal"/>
    <w:basedOn w:val="Normal"/>
    <w:rsid w:val="00FA2CC6"/>
    <w:pPr>
      <w:keepNext w:val="0"/>
      <w:spacing w:before="100" w:beforeAutospacing="1" w:after="100" w:afterAutospacing="1"/>
    </w:pPr>
    <w:rPr>
      <w:rFonts w:cs="Arial"/>
      <w:color w:val="auto"/>
      <w:szCs w:val="24"/>
    </w:rPr>
  </w:style>
  <w:style w:type="character" w:customStyle="1" w:styleId="Heading4Char">
    <w:name w:val="Heading 4 Char"/>
    <w:basedOn w:val="DefaultParagraphFont"/>
    <w:link w:val="Heading4"/>
    <w:rsid w:val="003D483E"/>
    <w:rPr>
      <w:rFonts w:ascii="Arial" w:hAnsi="Arial"/>
      <w:b/>
      <w:color w:val="000000" w:themeColor="text1"/>
      <w:sz w:val="28"/>
    </w:rPr>
  </w:style>
  <w:style w:type="character" w:customStyle="1" w:styleId="ListParagraphChar">
    <w:name w:val="List Paragraph Char"/>
    <w:aliases w:val="Paragraph 1 Char"/>
    <w:link w:val="ListParagraph"/>
    <w:uiPriority w:val="34"/>
    <w:locked/>
    <w:rsid w:val="00715560"/>
    <w:rPr>
      <w:rFonts w:ascii="Calibri" w:hAnsi="Calibri"/>
      <w:color w:val="000000" w:themeColor="text1"/>
      <w:sz w:val="24"/>
      <w:szCs w:val="22"/>
      <w:lang w:eastAsia="en-US"/>
    </w:rPr>
  </w:style>
  <w:style w:type="character" w:styleId="BookTitle">
    <w:name w:val="Book Title"/>
    <w:basedOn w:val="DefaultParagraphFont"/>
    <w:uiPriority w:val="33"/>
    <w:qFormat/>
    <w:rsid w:val="007620D3"/>
    <w:rPr>
      <w:b/>
      <w:bCs/>
      <w:i/>
      <w:iCs/>
      <w:spacing w:val="5"/>
    </w:rPr>
  </w:style>
  <w:style w:type="paragraph" w:customStyle="1" w:styleId="Style10">
    <w:name w:val="Style1"/>
    <w:basedOn w:val="Normal"/>
    <w:link w:val="Style1Char"/>
    <w:qFormat/>
    <w:rsid w:val="007620D3"/>
    <w:pPr>
      <w:jc w:val="center"/>
    </w:pPr>
    <w:rPr>
      <w:rFonts w:cs="Arial"/>
      <w:b/>
      <w:bCs/>
      <w:color w:val="0070C0"/>
      <w:sz w:val="40"/>
      <w:szCs w:val="40"/>
    </w:rPr>
  </w:style>
  <w:style w:type="character" w:customStyle="1" w:styleId="Style1Char">
    <w:name w:val="Style1 Char"/>
    <w:basedOn w:val="DefaultParagraphFont"/>
    <w:link w:val="Style10"/>
    <w:rsid w:val="007620D3"/>
    <w:rPr>
      <w:rFonts w:ascii="Arial" w:hAnsi="Arial" w:cs="Arial"/>
      <w:b/>
      <w:bCs/>
      <w:color w:val="0070C0"/>
      <w:sz w:val="40"/>
      <w:szCs w:val="40"/>
    </w:rPr>
  </w:style>
  <w:style w:type="character" w:customStyle="1" w:styleId="cf01">
    <w:name w:val="cf01"/>
    <w:basedOn w:val="DefaultParagraphFont"/>
    <w:rsid w:val="0028773A"/>
    <w:rPr>
      <w:rFonts w:ascii="Segoe UI" w:hAnsi="Segoe UI" w:cs="Segoe UI" w:hint="default"/>
      <w:sz w:val="18"/>
      <w:szCs w:val="18"/>
    </w:rPr>
  </w:style>
  <w:style w:type="table" w:customStyle="1" w:styleId="TableGrid24">
    <w:name w:val="Table Grid24"/>
    <w:basedOn w:val="TableNormal"/>
    <w:next w:val="TableGrid"/>
    <w:uiPriority w:val="39"/>
    <w:rsid w:val="000B3D9D"/>
    <w:rPr>
      <w:rFonts w:asciiTheme="minorHAnsi" w:eastAsiaTheme="minorHAnsi" w:hAnsiTheme="minorHAnsi" w:cstheme="minorBidi"/>
      <w:kern w:val="2"/>
      <w:sz w:val="22"/>
      <w:szCs w:val="2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f0">
    <w:name w:val="pf0"/>
    <w:basedOn w:val="Normal"/>
    <w:rsid w:val="00033FE0"/>
    <w:pPr>
      <w:keepNext w:val="0"/>
      <w:spacing w:before="100" w:beforeAutospacing="1" w:after="100" w:afterAutospacing="1"/>
    </w:pPr>
    <w:rPr>
      <w:rFonts w:cs="Arial"/>
      <w:color w:val="auto"/>
      <w:szCs w:val="24"/>
    </w:rPr>
  </w:style>
  <w:style w:type="character" w:customStyle="1" w:styleId="cf11">
    <w:name w:val="cf11"/>
    <w:basedOn w:val="DefaultParagraphFont"/>
    <w:rsid w:val="0042513D"/>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0899774">
      <w:bodyDiv w:val="1"/>
      <w:marLeft w:val="0"/>
      <w:marRight w:val="0"/>
      <w:marTop w:val="0"/>
      <w:marBottom w:val="0"/>
      <w:divBdr>
        <w:top w:val="none" w:sz="0" w:space="0" w:color="auto"/>
        <w:left w:val="none" w:sz="0" w:space="0" w:color="auto"/>
        <w:bottom w:val="none" w:sz="0" w:space="0" w:color="auto"/>
        <w:right w:val="none" w:sz="0" w:space="0" w:color="auto"/>
      </w:divBdr>
      <w:divsChild>
        <w:div w:id="1860771782">
          <w:marLeft w:val="0"/>
          <w:marRight w:val="0"/>
          <w:marTop w:val="0"/>
          <w:marBottom w:val="0"/>
          <w:divBdr>
            <w:top w:val="none" w:sz="0" w:space="0" w:color="auto"/>
            <w:left w:val="none" w:sz="0" w:space="0" w:color="auto"/>
            <w:bottom w:val="none" w:sz="0" w:space="0" w:color="auto"/>
            <w:right w:val="none" w:sz="0" w:space="0" w:color="auto"/>
          </w:divBdr>
          <w:divsChild>
            <w:div w:id="314723506">
              <w:marLeft w:val="0"/>
              <w:marRight w:val="0"/>
              <w:marTop w:val="0"/>
              <w:marBottom w:val="0"/>
              <w:divBdr>
                <w:top w:val="none" w:sz="0" w:space="0" w:color="auto"/>
                <w:left w:val="none" w:sz="0" w:space="0" w:color="auto"/>
                <w:bottom w:val="none" w:sz="0" w:space="0" w:color="auto"/>
                <w:right w:val="none" w:sz="0" w:space="0" w:color="auto"/>
              </w:divBdr>
              <w:divsChild>
                <w:div w:id="1278835714">
                  <w:marLeft w:val="-300"/>
                  <w:marRight w:val="0"/>
                  <w:marTop w:val="0"/>
                  <w:marBottom w:val="0"/>
                  <w:divBdr>
                    <w:top w:val="none" w:sz="0" w:space="0" w:color="auto"/>
                    <w:left w:val="none" w:sz="0" w:space="0" w:color="auto"/>
                    <w:bottom w:val="none" w:sz="0" w:space="0" w:color="auto"/>
                    <w:right w:val="none" w:sz="0" w:space="0" w:color="auto"/>
                  </w:divBdr>
                  <w:divsChild>
                    <w:div w:id="46413109">
                      <w:marLeft w:val="0"/>
                      <w:marRight w:val="0"/>
                      <w:marTop w:val="0"/>
                      <w:marBottom w:val="0"/>
                      <w:divBdr>
                        <w:top w:val="none" w:sz="0" w:space="0" w:color="auto"/>
                        <w:left w:val="none" w:sz="0" w:space="0" w:color="auto"/>
                        <w:bottom w:val="none" w:sz="0" w:space="0" w:color="auto"/>
                        <w:right w:val="none" w:sz="0" w:space="0" w:color="auto"/>
                      </w:divBdr>
                      <w:divsChild>
                        <w:div w:id="1298146046">
                          <w:marLeft w:val="0"/>
                          <w:marRight w:val="0"/>
                          <w:marTop w:val="0"/>
                          <w:marBottom w:val="0"/>
                          <w:divBdr>
                            <w:top w:val="none" w:sz="0" w:space="0" w:color="auto"/>
                            <w:left w:val="none" w:sz="0" w:space="0" w:color="auto"/>
                            <w:bottom w:val="none" w:sz="0" w:space="0" w:color="auto"/>
                            <w:right w:val="none" w:sz="0" w:space="0" w:color="auto"/>
                          </w:divBdr>
                          <w:divsChild>
                            <w:div w:id="1993633305">
                              <w:marLeft w:val="0"/>
                              <w:marRight w:val="0"/>
                              <w:marTop w:val="0"/>
                              <w:marBottom w:val="0"/>
                              <w:divBdr>
                                <w:top w:val="none" w:sz="0" w:space="0" w:color="auto"/>
                                <w:left w:val="none" w:sz="0" w:space="0" w:color="auto"/>
                                <w:bottom w:val="none" w:sz="0" w:space="0" w:color="auto"/>
                                <w:right w:val="none" w:sz="0" w:space="0" w:color="auto"/>
                              </w:divBdr>
                              <w:divsChild>
                                <w:div w:id="1263491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3212996">
      <w:bodyDiv w:val="1"/>
      <w:marLeft w:val="0"/>
      <w:marRight w:val="0"/>
      <w:marTop w:val="0"/>
      <w:marBottom w:val="0"/>
      <w:divBdr>
        <w:top w:val="none" w:sz="0" w:space="0" w:color="auto"/>
        <w:left w:val="none" w:sz="0" w:space="0" w:color="auto"/>
        <w:bottom w:val="none" w:sz="0" w:space="0" w:color="auto"/>
        <w:right w:val="none" w:sz="0" w:space="0" w:color="auto"/>
      </w:divBdr>
    </w:div>
    <w:div w:id="113253298">
      <w:bodyDiv w:val="1"/>
      <w:marLeft w:val="0"/>
      <w:marRight w:val="0"/>
      <w:marTop w:val="0"/>
      <w:marBottom w:val="0"/>
      <w:divBdr>
        <w:top w:val="none" w:sz="0" w:space="0" w:color="auto"/>
        <w:left w:val="none" w:sz="0" w:space="0" w:color="auto"/>
        <w:bottom w:val="none" w:sz="0" w:space="0" w:color="auto"/>
        <w:right w:val="none" w:sz="0" w:space="0" w:color="auto"/>
      </w:divBdr>
    </w:div>
    <w:div w:id="117335659">
      <w:bodyDiv w:val="1"/>
      <w:marLeft w:val="0"/>
      <w:marRight w:val="0"/>
      <w:marTop w:val="0"/>
      <w:marBottom w:val="0"/>
      <w:divBdr>
        <w:top w:val="none" w:sz="0" w:space="0" w:color="auto"/>
        <w:left w:val="none" w:sz="0" w:space="0" w:color="auto"/>
        <w:bottom w:val="none" w:sz="0" w:space="0" w:color="auto"/>
        <w:right w:val="none" w:sz="0" w:space="0" w:color="auto"/>
      </w:divBdr>
      <w:divsChild>
        <w:div w:id="415134348">
          <w:marLeft w:val="0"/>
          <w:marRight w:val="0"/>
          <w:marTop w:val="0"/>
          <w:marBottom w:val="0"/>
          <w:divBdr>
            <w:top w:val="none" w:sz="0" w:space="0" w:color="auto"/>
            <w:left w:val="none" w:sz="0" w:space="0" w:color="auto"/>
            <w:bottom w:val="none" w:sz="0" w:space="0" w:color="auto"/>
            <w:right w:val="none" w:sz="0" w:space="0" w:color="auto"/>
          </w:divBdr>
          <w:divsChild>
            <w:div w:id="498886437">
              <w:marLeft w:val="0"/>
              <w:marRight w:val="0"/>
              <w:marTop w:val="0"/>
              <w:marBottom w:val="0"/>
              <w:divBdr>
                <w:top w:val="none" w:sz="0" w:space="0" w:color="auto"/>
                <w:left w:val="none" w:sz="0" w:space="0" w:color="auto"/>
                <w:bottom w:val="none" w:sz="0" w:space="0" w:color="auto"/>
                <w:right w:val="none" w:sz="0" w:space="0" w:color="auto"/>
              </w:divBdr>
              <w:divsChild>
                <w:div w:id="105855448">
                  <w:marLeft w:val="0"/>
                  <w:marRight w:val="0"/>
                  <w:marTop w:val="0"/>
                  <w:marBottom w:val="0"/>
                  <w:divBdr>
                    <w:top w:val="none" w:sz="0" w:space="0" w:color="auto"/>
                    <w:left w:val="none" w:sz="0" w:space="0" w:color="auto"/>
                    <w:bottom w:val="none" w:sz="0" w:space="0" w:color="auto"/>
                    <w:right w:val="none" w:sz="0" w:space="0" w:color="auto"/>
                  </w:divBdr>
                  <w:divsChild>
                    <w:div w:id="1644576322">
                      <w:marLeft w:val="0"/>
                      <w:marRight w:val="-3225"/>
                      <w:marTop w:val="0"/>
                      <w:marBottom w:val="0"/>
                      <w:divBdr>
                        <w:top w:val="none" w:sz="0" w:space="0" w:color="auto"/>
                        <w:left w:val="none" w:sz="0" w:space="0" w:color="auto"/>
                        <w:bottom w:val="none" w:sz="0" w:space="0" w:color="auto"/>
                        <w:right w:val="none" w:sz="0" w:space="0" w:color="auto"/>
                      </w:divBdr>
                      <w:divsChild>
                        <w:div w:id="1855997559">
                          <w:marLeft w:val="2715"/>
                          <w:marRight w:val="3225"/>
                          <w:marTop w:val="0"/>
                          <w:marBottom w:val="0"/>
                          <w:divBdr>
                            <w:top w:val="none" w:sz="0" w:space="0" w:color="auto"/>
                            <w:left w:val="none" w:sz="0" w:space="0" w:color="auto"/>
                            <w:bottom w:val="none" w:sz="0" w:space="0" w:color="auto"/>
                            <w:right w:val="none" w:sz="0" w:space="0" w:color="auto"/>
                          </w:divBdr>
                          <w:divsChild>
                            <w:div w:id="1666206288">
                              <w:marLeft w:val="300"/>
                              <w:marRight w:val="300"/>
                              <w:marTop w:val="300"/>
                              <w:marBottom w:val="300"/>
                              <w:divBdr>
                                <w:top w:val="none" w:sz="0" w:space="0" w:color="auto"/>
                                <w:left w:val="none" w:sz="0" w:space="0" w:color="auto"/>
                                <w:bottom w:val="dotted" w:sz="6" w:space="15" w:color="666633"/>
                                <w:right w:val="none" w:sz="0" w:space="0" w:color="auto"/>
                              </w:divBdr>
                              <w:divsChild>
                                <w:div w:id="745420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7964346">
      <w:bodyDiv w:val="1"/>
      <w:marLeft w:val="0"/>
      <w:marRight w:val="0"/>
      <w:marTop w:val="0"/>
      <w:marBottom w:val="0"/>
      <w:divBdr>
        <w:top w:val="none" w:sz="0" w:space="0" w:color="auto"/>
        <w:left w:val="none" w:sz="0" w:space="0" w:color="auto"/>
        <w:bottom w:val="none" w:sz="0" w:space="0" w:color="auto"/>
        <w:right w:val="none" w:sz="0" w:space="0" w:color="auto"/>
      </w:divBdr>
      <w:divsChild>
        <w:div w:id="439842394">
          <w:marLeft w:val="0"/>
          <w:marRight w:val="0"/>
          <w:marTop w:val="0"/>
          <w:marBottom w:val="0"/>
          <w:divBdr>
            <w:top w:val="none" w:sz="0" w:space="0" w:color="auto"/>
            <w:left w:val="none" w:sz="0" w:space="0" w:color="auto"/>
            <w:bottom w:val="none" w:sz="0" w:space="0" w:color="auto"/>
            <w:right w:val="none" w:sz="0" w:space="0" w:color="auto"/>
          </w:divBdr>
          <w:divsChild>
            <w:div w:id="133258497">
              <w:marLeft w:val="0"/>
              <w:marRight w:val="0"/>
              <w:marTop w:val="0"/>
              <w:marBottom w:val="0"/>
              <w:divBdr>
                <w:top w:val="none" w:sz="0" w:space="0" w:color="auto"/>
                <w:left w:val="none" w:sz="0" w:space="0" w:color="auto"/>
                <w:bottom w:val="none" w:sz="0" w:space="0" w:color="auto"/>
                <w:right w:val="none" w:sz="0" w:space="0" w:color="auto"/>
              </w:divBdr>
              <w:divsChild>
                <w:div w:id="658390000">
                  <w:marLeft w:val="-300"/>
                  <w:marRight w:val="0"/>
                  <w:marTop w:val="0"/>
                  <w:marBottom w:val="0"/>
                  <w:divBdr>
                    <w:top w:val="none" w:sz="0" w:space="0" w:color="auto"/>
                    <w:left w:val="none" w:sz="0" w:space="0" w:color="auto"/>
                    <w:bottom w:val="none" w:sz="0" w:space="0" w:color="auto"/>
                    <w:right w:val="none" w:sz="0" w:space="0" w:color="auto"/>
                  </w:divBdr>
                  <w:divsChild>
                    <w:div w:id="1998263245">
                      <w:marLeft w:val="0"/>
                      <w:marRight w:val="0"/>
                      <w:marTop w:val="0"/>
                      <w:marBottom w:val="0"/>
                      <w:divBdr>
                        <w:top w:val="none" w:sz="0" w:space="0" w:color="auto"/>
                        <w:left w:val="none" w:sz="0" w:space="0" w:color="auto"/>
                        <w:bottom w:val="none" w:sz="0" w:space="0" w:color="auto"/>
                        <w:right w:val="none" w:sz="0" w:space="0" w:color="auto"/>
                      </w:divBdr>
                      <w:divsChild>
                        <w:div w:id="1555654423">
                          <w:marLeft w:val="0"/>
                          <w:marRight w:val="0"/>
                          <w:marTop w:val="0"/>
                          <w:marBottom w:val="0"/>
                          <w:divBdr>
                            <w:top w:val="none" w:sz="0" w:space="0" w:color="auto"/>
                            <w:left w:val="none" w:sz="0" w:space="0" w:color="auto"/>
                            <w:bottom w:val="none" w:sz="0" w:space="0" w:color="auto"/>
                            <w:right w:val="none" w:sz="0" w:space="0" w:color="auto"/>
                          </w:divBdr>
                          <w:divsChild>
                            <w:div w:id="870726439">
                              <w:marLeft w:val="0"/>
                              <w:marRight w:val="0"/>
                              <w:marTop w:val="0"/>
                              <w:marBottom w:val="0"/>
                              <w:divBdr>
                                <w:top w:val="none" w:sz="0" w:space="0" w:color="auto"/>
                                <w:left w:val="none" w:sz="0" w:space="0" w:color="auto"/>
                                <w:bottom w:val="none" w:sz="0" w:space="0" w:color="auto"/>
                                <w:right w:val="none" w:sz="0" w:space="0" w:color="auto"/>
                              </w:divBdr>
                              <w:divsChild>
                                <w:div w:id="1396734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6308161">
      <w:bodyDiv w:val="1"/>
      <w:marLeft w:val="0"/>
      <w:marRight w:val="0"/>
      <w:marTop w:val="0"/>
      <w:marBottom w:val="0"/>
      <w:divBdr>
        <w:top w:val="none" w:sz="0" w:space="0" w:color="auto"/>
        <w:left w:val="none" w:sz="0" w:space="0" w:color="auto"/>
        <w:bottom w:val="none" w:sz="0" w:space="0" w:color="auto"/>
        <w:right w:val="none" w:sz="0" w:space="0" w:color="auto"/>
      </w:divBdr>
    </w:div>
    <w:div w:id="295112392">
      <w:bodyDiv w:val="1"/>
      <w:marLeft w:val="0"/>
      <w:marRight w:val="0"/>
      <w:marTop w:val="0"/>
      <w:marBottom w:val="0"/>
      <w:divBdr>
        <w:top w:val="none" w:sz="0" w:space="0" w:color="auto"/>
        <w:left w:val="none" w:sz="0" w:space="0" w:color="auto"/>
        <w:bottom w:val="none" w:sz="0" w:space="0" w:color="auto"/>
        <w:right w:val="none" w:sz="0" w:space="0" w:color="auto"/>
      </w:divBdr>
    </w:div>
    <w:div w:id="387799624">
      <w:bodyDiv w:val="1"/>
      <w:marLeft w:val="0"/>
      <w:marRight w:val="0"/>
      <w:marTop w:val="0"/>
      <w:marBottom w:val="0"/>
      <w:divBdr>
        <w:top w:val="none" w:sz="0" w:space="0" w:color="auto"/>
        <w:left w:val="none" w:sz="0" w:space="0" w:color="auto"/>
        <w:bottom w:val="none" w:sz="0" w:space="0" w:color="auto"/>
        <w:right w:val="none" w:sz="0" w:space="0" w:color="auto"/>
      </w:divBdr>
      <w:divsChild>
        <w:div w:id="1700661749">
          <w:marLeft w:val="0"/>
          <w:marRight w:val="0"/>
          <w:marTop w:val="100"/>
          <w:marBottom w:val="100"/>
          <w:divBdr>
            <w:top w:val="none" w:sz="0" w:space="0" w:color="auto"/>
            <w:left w:val="single" w:sz="6" w:space="0" w:color="DDDDDD"/>
            <w:bottom w:val="none" w:sz="0" w:space="0" w:color="auto"/>
            <w:right w:val="single" w:sz="6" w:space="0" w:color="DDDDDD"/>
          </w:divBdr>
          <w:divsChild>
            <w:div w:id="68818871">
              <w:marLeft w:val="0"/>
              <w:marRight w:val="0"/>
              <w:marTop w:val="0"/>
              <w:marBottom w:val="0"/>
              <w:divBdr>
                <w:top w:val="none" w:sz="0" w:space="0" w:color="auto"/>
                <w:left w:val="none" w:sz="0" w:space="0" w:color="auto"/>
                <w:bottom w:val="none" w:sz="0" w:space="0" w:color="auto"/>
                <w:right w:val="none" w:sz="0" w:space="0" w:color="auto"/>
              </w:divBdr>
              <w:divsChild>
                <w:div w:id="1167286806">
                  <w:marLeft w:val="0"/>
                  <w:marRight w:val="0"/>
                  <w:marTop w:val="0"/>
                  <w:marBottom w:val="0"/>
                  <w:divBdr>
                    <w:top w:val="none" w:sz="0" w:space="0" w:color="auto"/>
                    <w:left w:val="none" w:sz="0" w:space="0" w:color="auto"/>
                    <w:bottom w:val="none" w:sz="0" w:space="0" w:color="auto"/>
                    <w:right w:val="none" w:sz="0" w:space="0" w:color="auto"/>
                  </w:divBdr>
                  <w:divsChild>
                    <w:div w:id="1149133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8790808">
      <w:bodyDiv w:val="1"/>
      <w:marLeft w:val="0"/>
      <w:marRight w:val="0"/>
      <w:marTop w:val="0"/>
      <w:marBottom w:val="0"/>
      <w:divBdr>
        <w:top w:val="none" w:sz="0" w:space="0" w:color="auto"/>
        <w:left w:val="none" w:sz="0" w:space="0" w:color="auto"/>
        <w:bottom w:val="none" w:sz="0" w:space="0" w:color="auto"/>
        <w:right w:val="none" w:sz="0" w:space="0" w:color="auto"/>
      </w:divBdr>
    </w:div>
    <w:div w:id="402683385">
      <w:bodyDiv w:val="1"/>
      <w:marLeft w:val="0"/>
      <w:marRight w:val="0"/>
      <w:marTop w:val="0"/>
      <w:marBottom w:val="0"/>
      <w:divBdr>
        <w:top w:val="none" w:sz="0" w:space="0" w:color="auto"/>
        <w:left w:val="none" w:sz="0" w:space="0" w:color="auto"/>
        <w:bottom w:val="none" w:sz="0" w:space="0" w:color="auto"/>
        <w:right w:val="none" w:sz="0" w:space="0" w:color="auto"/>
      </w:divBdr>
      <w:divsChild>
        <w:div w:id="800149490">
          <w:marLeft w:val="0"/>
          <w:marRight w:val="0"/>
          <w:marTop w:val="0"/>
          <w:marBottom w:val="0"/>
          <w:divBdr>
            <w:top w:val="none" w:sz="0" w:space="0" w:color="auto"/>
            <w:left w:val="none" w:sz="0" w:space="0" w:color="auto"/>
            <w:bottom w:val="none" w:sz="0" w:space="0" w:color="auto"/>
            <w:right w:val="none" w:sz="0" w:space="0" w:color="auto"/>
          </w:divBdr>
          <w:divsChild>
            <w:div w:id="1275821800">
              <w:marLeft w:val="0"/>
              <w:marRight w:val="0"/>
              <w:marTop w:val="0"/>
              <w:marBottom w:val="0"/>
              <w:divBdr>
                <w:top w:val="none" w:sz="0" w:space="0" w:color="auto"/>
                <w:left w:val="none" w:sz="0" w:space="0" w:color="auto"/>
                <w:bottom w:val="none" w:sz="0" w:space="0" w:color="auto"/>
                <w:right w:val="none" w:sz="0" w:space="0" w:color="auto"/>
              </w:divBdr>
              <w:divsChild>
                <w:div w:id="283276365">
                  <w:marLeft w:val="0"/>
                  <w:marRight w:val="0"/>
                  <w:marTop w:val="270"/>
                  <w:marBottom w:val="270"/>
                  <w:divBdr>
                    <w:top w:val="none" w:sz="0" w:space="0" w:color="auto"/>
                    <w:left w:val="none" w:sz="0" w:space="0" w:color="auto"/>
                    <w:bottom w:val="none" w:sz="0" w:space="0" w:color="auto"/>
                    <w:right w:val="none" w:sz="0" w:space="0" w:color="auto"/>
                  </w:divBdr>
                  <w:divsChild>
                    <w:div w:id="77405970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443231203">
      <w:bodyDiv w:val="1"/>
      <w:marLeft w:val="0"/>
      <w:marRight w:val="0"/>
      <w:marTop w:val="0"/>
      <w:marBottom w:val="0"/>
      <w:divBdr>
        <w:top w:val="none" w:sz="0" w:space="0" w:color="auto"/>
        <w:left w:val="none" w:sz="0" w:space="0" w:color="auto"/>
        <w:bottom w:val="none" w:sz="0" w:space="0" w:color="auto"/>
        <w:right w:val="none" w:sz="0" w:space="0" w:color="auto"/>
      </w:divBdr>
    </w:div>
    <w:div w:id="478692834">
      <w:bodyDiv w:val="1"/>
      <w:marLeft w:val="0"/>
      <w:marRight w:val="0"/>
      <w:marTop w:val="0"/>
      <w:marBottom w:val="0"/>
      <w:divBdr>
        <w:top w:val="none" w:sz="0" w:space="0" w:color="auto"/>
        <w:left w:val="none" w:sz="0" w:space="0" w:color="auto"/>
        <w:bottom w:val="none" w:sz="0" w:space="0" w:color="auto"/>
        <w:right w:val="none" w:sz="0" w:space="0" w:color="auto"/>
      </w:divBdr>
      <w:divsChild>
        <w:div w:id="684790446">
          <w:marLeft w:val="0"/>
          <w:marRight w:val="0"/>
          <w:marTop w:val="0"/>
          <w:marBottom w:val="0"/>
          <w:divBdr>
            <w:top w:val="none" w:sz="0" w:space="0" w:color="auto"/>
            <w:left w:val="none" w:sz="0" w:space="0" w:color="auto"/>
            <w:bottom w:val="none" w:sz="0" w:space="0" w:color="auto"/>
            <w:right w:val="none" w:sz="0" w:space="0" w:color="auto"/>
          </w:divBdr>
          <w:divsChild>
            <w:div w:id="1009790073">
              <w:marLeft w:val="0"/>
              <w:marRight w:val="0"/>
              <w:marTop w:val="0"/>
              <w:marBottom w:val="0"/>
              <w:divBdr>
                <w:top w:val="none" w:sz="0" w:space="0" w:color="auto"/>
                <w:left w:val="none" w:sz="0" w:space="0" w:color="auto"/>
                <w:bottom w:val="none" w:sz="0" w:space="0" w:color="auto"/>
                <w:right w:val="none" w:sz="0" w:space="0" w:color="auto"/>
              </w:divBdr>
              <w:divsChild>
                <w:div w:id="599021679">
                  <w:marLeft w:val="0"/>
                  <w:marRight w:val="0"/>
                  <w:marTop w:val="0"/>
                  <w:marBottom w:val="0"/>
                  <w:divBdr>
                    <w:top w:val="none" w:sz="0" w:space="0" w:color="auto"/>
                    <w:left w:val="none" w:sz="0" w:space="0" w:color="auto"/>
                    <w:bottom w:val="none" w:sz="0" w:space="0" w:color="auto"/>
                    <w:right w:val="none" w:sz="0" w:space="0" w:color="auto"/>
                  </w:divBdr>
                  <w:divsChild>
                    <w:div w:id="1947469298">
                      <w:marLeft w:val="0"/>
                      <w:marRight w:val="0"/>
                      <w:marTop w:val="0"/>
                      <w:marBottom w:val="0"/>
                      <w:divBdr>
                        <w:top w:val="none" w:sz="0" w:space="0" w:color="auto"/>
                        <w:left w:val="none" w:sz="0" w:space="0" w:color="auto"/>
                        <w:bottom w:val="none" w:sz="0" w:space="0" w:color="auto"/>
                        <w:right w:val="none" w:sz="0" w:space="0" w:color="auto"/>
                      </w:divBdr>
                      <w:divsChild>
                        <w:div w:id="1427772854">
                          <w:marLeft w:val="0"/>
                          <w:marRight w:val="0"/>
                          <w:marTop w:val="0"/>
                          <w:marBottom w:val="0"/>
                          <w:divBdr>
                            <w:top w:val="none" w:sz="0" w:space="0" w:color="auto"/>
                            <w:left w:val="none" w:sz="0" w:space="0" w:color="auto"/>
                            <w:bottom w:val="none" w:sz="0" w:space="0" w:color="auto"/>
                            <w:right w:val="none" w:sz="0" w:space="0" w:color="auto"/>
                          </w:divBdr>
                          <w:divsChild>
                            <w:div w:id="1167986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0274378">
      <w:bodyDiv w:val="1"/>
      <w:marLeft w:val="0"/>
      <w:marRight w:val="0"/>
      <w:marTop w:val="0"/>
      <w:marBottom w:val="0"/>
      <w:divBdr>
        <w:top w:val="none" w:sz="0" w:space="0" w:color="auto"/>
        <w:left w:val="none" w:sz="0" w:space="0" w:color="auto"/>
        <w:bottom w:val="none" w:sz="0" w:space="0" w:color="auto"/>
        <w:right w:val="none" w:sz="0" w:space="0" w:color="auto"/>
      </w:divBdr>
    </w:div>
    <w:div w:id="485628580">
      <w:bodyDiv w:val="1"/>
      <w:marLeft w:val="0"/>
      <w:marRight w:val="0"/>
      <w:marTop w:val="0"/>
      <w:marBottom w:val="0"/>
      <w:divBdr>
        <w:top w:val="none" w:sz="0" w:space="0" w:color="auto"/>
        <w:left w:val="none" w:sz="0" w:space="0" w:color="auto"/>
        <w:bottom w:val="none" w:sz="0" w:space="0" w:color="auto"/>
        <w:right w:val="none" w:sz="0" w:space="0" w:color="auto"/>
      </w:divBdr>
    </w:div>
    <w:div w:id="571895577">
      <w:bodyDiv w:val="1"/>
      <w:marLeft w:val="0"/>
      <w:marRight w:val="0"/>
      <w:marTop w:val="0"/>
      <w:marBottom w:val="0"/>
      <w:divBdr>
        <w:top w:val="none" w:sz="0" w:space="0" w:color="auto"/>
        <w:left w:val="none" w:sz="0" w:space="0" w:color="auto"/>
        <w:bottom w:val="none" w:sz="0" w:space="0" w:color="auto"/>
        <w:right w:val="none" w:sz="0" w:space="0" w:color="auto"/>
      </w:divBdr>
    </w:div>
    <w:div w:id="628097814">
      <w:bodyDiv w:val="1"/>
      <w:marLeft w:val="0"/>
      <w:marRight w:val="0"/>
      <w:marTop w:val="0"/>
      <w:marBottom w:val="0"/>
      <w:divBdr>
        <w:top w:val="none" w:sz="0" w:space="0" w:color="auto"/>
        <w:left w:val="none" w:sz="0" w:space="0" w:color="auto"/>
        <w:bottom w:val="none" w:sz="0" w:space="0" w:color="auto"/>
        <w:right w:val="none" w:sz="0" w:space="0" w:color="auto"/>
      </w:divBdr>
    </w:div>
    <w:div w:id="713850361">
      <w:bodyDiv w:val="1"/>
      <w:marLeft w:val="0"/>
      <w:marRight w:val="0"/>
      <w:marTop w:val="0"/>
      <w:marBottom w:val="0"/>
      <w:divBdr>
        <w:top w:val="none" w:sz="0" w:space="0" w:color="auto"/>
        <w:left w:val="none" w:sz="0" w:space="0" w:color="auto"/>
        <w:bottom w:val="none" w:sz="0" w:space="0" w:color="auto"/>
        <w:right w:val="none" w:sz="0" w:space="0" w:color="auto"/>
      </w:divBdr>
      <w:divsChild>
        <w:div w:id="1136411040">
          <w:marLeft w:val="0"/>
          <w:marRight w:val="0"/>
          <w:marTop w:val="0"/>
          <w:marBottom w:val="0"/>
          <w:divBdr>
            <w:top w:val="none" w:sz="0" w:space="0" w:color="auto"/>
            <w:left w:val="none" w:sz="0" w:space="0" w:color="auto"/>
            <w:bottom w:val="none" w:sz="0" w:space="0" w:color="auto"/>
            <w:right w:val="none" w:sz="0" w:space="0" w:color="auto"/>
          </w:divBdr>
          <w:divsChild>
            <w:div w:id="1481120945">
              <w:marLeft w:val="0"/>
              <w:marRight w:val="0"/>
              <w:marTop w:val="0"/>
              <w:marBottom w:val="0"/>
              <w:divBdr>
                <w:top w:val="none" w:sz="0" w:space="0" w:color="auto"/>
                <w:left w:val="none" w:sz="0" w:space="0" w:color="auto"/>
                <w:bottom w:val="none" w:sz="0" w:space="0" w:color="auto"/>
                <w:right w:val="none" w:sz="0" w:space="0" w:color="auto"/>
              </w:divBdr>
              <w:divsChild>
                <w:div w:id="1110010643">
                  <w:marLeft w:val="-300"/>
                  <w:marRight w:val="0"/>
                  <w:marTop w:val="0"/>
                  <w:marBottom w:val="0"/>
                  <w:divBdr>
                    <w:top w:val="none" w:sz="0" w:space="0" w:color="auto"/>
                    <w:left w:val="none" w:sz="0" w:space="0" w:color="auto"/>
                    <w:bottom w:val="none" w:sz="0" w:space="0" w:color="auto"/>
                    <w:right w:val="none" w:sz="0" w:space="0" w:color="auto"/>
                  </w:divBdr>
                  <w:divsChild>
                    <w:div w:id="1441990011">
                      <w:marLeft w:val="0"/>
                      <w:marRight w:val="0"/>
                      <w:marTop w:val="0"/>
                      <w:marBottom w:val="0"/>
                      <w:divBdr>
                        <w:top w:val="none" w:sz="0" w:space="0" w:color="auto"/>
                        <w:left w:val="none" w:sz="0" w:space="0" w:color="auto"/>
                        <w:bottom w:val="none" w:sz="0" w:space="0" w:color="auto"/>
                        <w:right w:val="none" w:sz="0" w:space="0" w:color="auto"/>
                      </w:divBdr>
                      <w:divsChild>
                        <w:div w:id="1399789962">
                          <w:marLeft w:val="0"/>
                          <w:marRight w:val="0"/>
                          <w:marTop w:val="0"/>
                          <w:marBottom w:val="0"/>
                          <w:divBdr>
                            <w:top w:val="none" w:sz="0" w:space="0" w:color="auto"/>
                            <w:left w:val="none" w:sz="0" w:space="0" w:color="auto"/>
                            <w:bottom w:val="none" w:sz="0" w:space="0" w:color="auto"/>
                            <w:right w:val="none" w:sz="0" w:space="0" w:color="auto"/>
                          </w:divBdr>
                          <w:divsChild>
                            <w:div w:id="1918978005">
                              <w:marLeft w:val="0"/>
                              <w:marRight w:val="0"/>
                              <w:marTop w:val="0"/>
                              <w:marBottom w:val="0"/>
                              <w:divBdr>
                                <w:top w:val="none" w:sz="0" w:space="0" w:color="auto"/>
                                <w:left w:val="none" w:sz="0" w:space="0" w:color="auto"/>
                                <w:bottom w:val="none" w:sz="0" w:space="0" w:color="auto"/>
                                <w:right w:val="none" w:sz="0" w:space="0" w:color="auto"/>
                              </w:divBdr>
                              <w:divsChild>
                                <w:div w:id="1397780958">
                                  <w:marLeft w:val="0"/>
                                  <w:marRight w:val="0"/>
                                  <w:marTop w:val="0"/>
                                  <w:marBottom w:val="0"/>
                                  <w:divBdr>
                                    <w:top w:val="none" w:sz="0" w:space="0" w:color="auto"/>
                                    <w:left w:val="none" w:sz="0" w:space="0" w:color="auto"/>
                                    <w:bottom w:val="none" w:sz="0" w:space="0" w:color="auto"/>
                                    <w:right w:val="none" w:sz="0" w:space="0" w:color="auto"/>
                                  </w:divBdr>
                                </w:div>
                                <w:div w:id="1834225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42685508">
      <w:bodyDiv w:val="1"/>
      <w:marLeft w:val="0"/>
      <w:marRight w:val="0"/>
      <w:marTop w:val="0"/>
      <w:marBottom w:val="0"/>
      <w:divBdr>
        <w:top w:val="none" w:sz="0" w:space="0" w:color="auto"/>
        <w:left w:val="none" w:sz="0" w:space="0" w:color="auto"/>
        <w:bottom w:val="none" w:sz="0" w:space="0" w:color="auto"/>
        <w:right w:val="none" w:sz="0" w:space="0" w:color="auto"/>
      </w:divBdr>
    </w:div>
    <w:div w:id="758646643">
      <w:bodyDiv w:val="1"/>
      <w:marLeft w:val="0"/>
      <w:marRight w:val="0"/>
      <w:marTop w:val="0"/>
      <w:marBottom w:val="0"/>
      <w:divBdr>
        <w:top w:val="none" w:sz="0" w:space="0" w:color="auto"/>
        <w:left w:val="none" w:sz="0" w:space="0" w:color="auto"/>
        <w:bottom w:val="none" w:sz="0" w:space="0" w:color="auto"/>
        <w:right w:val="none" w:sz="0" w:space="0" w:color="auto"/>
      </w:divBdr>
    </w:div>
    <w:div w:id="845944417">
      <w:bodyDiv w:val="1"/>
      <w:marLeft w:val="0"/>
      <w:marRight w:val="0"/>
      <w:marTop w:val="0"/>
      <w:marBottom w:val="0"/>
      <w:divBdr>
        <w:top w:val="none" w:sz="0" w:space="0" w:color="auto"/>
        <w:left w:val="none" w:sz="0" w:space="0" w:color="auto"/>
        <w:bottom w:val="none" w:sz="0" w:space="0" w:color="auto"/>
        <w:right w:val="none" w:sz="0" w:space="0" w:color="auto"/>
      </w:divBdr>
      <w:divsChild>
        <w:div w:id="1664357452">
          <w:marLeft w:val="0"/>
          <w:marRight w:val="0"/>
          <w:marTop w:val="0"/>
          <w:marBottom w:val="0"/>
          <w:divBdr>
            <w:top w:val="none" w:sz="0" w:space="0" w:color="auto"/>
            <w:left w:val="none" w:sz="0" w:space="0" w:color="auto"/>
            <w:bottom w:val="none" w:sz="0" w:space="0" w:color="auto"/>
            <w:right w:val="none" w:sz="0" w:space="0" w:color="auto"/>
          </w:divBdr>
          <w:divsChild>
            <w:div w:id="646594467">
              <w:marLeft w:val="0"/>
              <w:marRight w:val="0"/>
              <w:marTop w:val="0"/>
              <w:marBottom w:val="0"/>
              <w:divBdr>
                <w:top w:val="none" w:sz="0" w:space="0" w:color="auto"/>
                <w:left w:val="none" w:sz="0" w:space="0" w:color="auto"/>
                <w:bottom w:val="none" w:sz="0" w:space="0" w:color="auto"/>
                <w:right w:val="none" w:sz="0" w:space="0" w:color="auto"/>
              </w:divBdr>
              <w:divsChild>
                <w:div w:id="1516767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6375842">
      <w:bodyDiv w:val="1"/>
      <w:marLeft w:val="0"/>
      <w:marRight w:val="0"/>
      <w:marTop w:val="0"/>
      <w:marBottom w:val="0"/>
      <w:divBdr>
        <w:top w:val="none" w:sz="0" w:space="0" w:color="auto"/>
        <w:left w:val="none" w:sz="0" w:space="0" w:color="auto"/>
        <w:bottom w:val="none" w:sz="0" w:space="0" w:color="auto"/>
        <w:right w:val="none" w:sz="0" w:space="0" w:color="auto"/>
      </w:divBdr>
      <w:divsChild>
        <w:div w:id="1319845430">
          <w:marLeft w:val="0"/>
          <w:marRight w:val="0"/>
          <w:marTop w:val="0"/>
          <w:marBottom w:val="0"/>
          <w:divBdr>
            <w:top w:val="none" w:sz="0" w:space="0" w:color="auto"/>
            <w:left w:val="none" w:sz="0" w:space="0" w:color="auto"/>
            <w:bottom w:val="none" w:sz="0" w:space="0" w:color="auto"/>
            <w:right w:val="none" w:sz="0" w:space="0" w:color="auto"/>
          </w:divBdr>
          <w:divsChild>
            <w:div w:id="1322856370">
              <w:marLeft w:val="0"/>
              <w:marRight w:val="0"/>
              <w:marTop w:val="0"/>
              <w:marBottom w:val="0"/>
              <w:divBdr>
                <w:top w:val="none" w:sz="0" w:space="0" w:color="auto"/>
                <w:left w:val="none" w:sz="0" w:space="0" w:color="auto"/>
                <w:bottom w:val="none" w:sz="0" w:space="0" w:color="auto"/>
                <w:right w:val="none" w:sz="0" w:space="0" w:color="auto"/>
              </w:divBdr>
              <w:divsChild>
                <w:div w:id="1171290019">
                  <w:marLeft w:val="-300"/>
                  <w:marRight w:val="0"/>
                  <w:marTop w:val="0"/>
                  <w:marBottom w:val="0"/>
                  <w:divBdr>
                    <w:top w:val="none" w:sz="0" w:space="0" w:color="auto"/>
                    <w:left w:val="none" w:sz="0" w:space="0" w:color="auto"/>
                    <w:bottom w:val="none" w:sz="0" w:space="0" w:color="auto"/>
                    <w:right w:val="none" w:sz="0" w:space="0" w:color="auto"/>
                  </w:divBdr>
                  <w:divsChild>
                    <w:div w:id="1635065593">
                      <w:marLeft w:val="0"/>
                      <w:marRight w:val="0"/>
                      <w:marTop w:val="0"/>
                      <w:marBottom w:val="0"/>
                      <w:divBdr>
                        <w:top w:val="none" w:sz="0" w:space="0" w:color="auto"/>
                        <w:left w:val="none" w:sz="0" w:space="0" w:color="auto"/>
                        <w:bottom w:val="none" w:sz="0" w:space="0" w:color="auto"/>
                        <w:right w:val="none" w:sz="0" w:space="0" w:color="auto"/>
                      </w:divBdr>
                      <w:divsChild>
                        <w:div w:id="244803093">
                          <w:marLeft w:val="0"/>
                          <w:marRight w:val="0"/>
                          <w:marTop w:val="0"/>
                          <w:marBottom w:val="0"/>
                          <w:divBdr>
                            <w:top w:val="none" w:sz="0" w:space="0" w:color="auto"/>
                            <w:left w:val="none" w:sz="0" w:space="0" w:color="auto"/>
                            <w:bottom w:val="none" w:sz="0" w:space="0" w:color="auto"/>
                            <w:right w:val="none" w:sz="0" w:space="0" w:color="auto"/>
                          </w:divBdr>
                          <w:divsChild>
                            <w:div w:id="349839886">
                              <w:marLeft w:val="0"/>
                              <w:marRight w:val="0"/>
                              <w:marTop w:val="0"/>
                              <w:marBottom w:val="0"/>
                              <w:divBdr>
                                <w:top w:val="none" w:sz="0" w:space="0" w:color="auto"/>
                                <w:left w:val="none" w:sz="0" w:space="0" w:color="auto"/>
                                <w:bottom w:val="none" w:sz="0" w:space="0" w:color="auto"/>
                                <w:right w:val="none" w:sz="0" w:space="0" w:color="auto"/>
                              </w:divBdr>
                              <w:divsChild>
                                <w:div w:id="759719955">
                                  <w:marLeft w:val="0"/>
                                  <w:marRight w:val="0"/>
                                  <w:marTop w:val="0"/>
                                  <w:marBottom w:val="0"/>
                                  <w:divBdr>
                                    <w:top w:val="none" w:sz="0" w:space="0" w:color="auto"/>
                                    <w:left w:val="none" w:sz="0" w:space="0" w:color="auto"/>
                                    <w:bottom w:val="none" w:sz="0" w:space="0" w:color="auto"/>
                                    <w:right w:val="none" w:sz="0" w:space="0" w:color="auto"/>
                                  </w:divBdr>
                                </w:div>
                                <w:div w:id="1431707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20480990">
      <w:bodyDiv w:val="1"/>
      <w:marLeft w:val="0"/>
      <w:marRight w:val="0"/>
      <w:marTop w:val="0"/>
      <w:marBottom w:val="0"/>
      <w:divBdr>
        <w:top w:val="none" w:sz="0" w:space="0" w:color="auto"/>
        <w:left w:val="none" w:sz="0" w:space="0" w:color="auto"/>
        <w:bottom w:val="none" w:sz="0" w:space="0" w:color="auto"/>
        <w:right w:val="none" w:sz="0" w:space="0" w:color="auto"/>
      </w:divBdr>
    </w:div>
    <w:div w:id="951594938">
      <w:bodyDiv w:val="1"/>
      <w:marLeft w:val="0"/>
      <w:marRight w:val="0"/>
      <w:marTop w:val="0"/>
      <w:marBottom w:val="0"/>
      <w:divBdr>
        <w:top w:val="none" w:sz="0" w:space="0" w:color="auto"/>
        <w:left w:val="none" w:sz="0" w:space="0" w:color="auto"/>
        <w:bottom w:val="none" w:sz="0" w:space="0" w:color="auto"/>
        <w:right w:val="none" w:sz="0" w:space="0" w:color="auto"/>
      </w:divBdr>
    </w:div>
    <w:div w:id="983700996">
      <w:bodyDiv w:val="1"/>
      <w:marLeft w:val="0"/>
      <w:marRight w:val="0"/>
      <w:marTop w:val="0"/>
      <w:marBottom w:val="0"/>
      <w:divBdr>
        <w:top w:val="none" w:sz="0" w:space="0" w:color="auto"/>
        <w:left w:val="none" w:sz="0" w:space="0" w:color="auto"/>
        <w:bottom w:val="none" w:sz="0" w:space="0" w:color="auto"/>
        <w:right w:val="none" w:sz="0" w:space="0" w:color="auto"/>
      </w:divBdr>
      <w:divsChild>
        <w:div w:id="338972959">
          <w:marLeft w:val="547"/>
          <w:marRight w:val="0"/>
          <w:marTop w:val="96"/>
          <w:marBottom w:val="0"/>
          <w:divBdr>
            <w:top w:val="none" w:sz="0" w:space="0" w:color="auto"/>
            <w:left w:val="none" w:sz="0" w:space="0" w:color="auto"/>
            <w:bottom w:val="none" w:sz="0" w:space="0" w:color="auto"/>
            <w:right w:val="none" w:sz="0" w:space="0" w:color="auto"/>
          </w:divBdr>
        </w:div>
        <w:div w:id="1071735686">
          <w:marLeft w:val="547"/>
          <w:marRight w:val="0"/>
          <w:marTop w:val="96"/>
          <w:marBottom w:val="0"/>
          <w:divBdr>
            <w:top w:val="none" w:sz="0" w:space="0" w:color="auto"/>
            <w:left w:val="none" w:sz="0" w:space="0" w:color="auto"/>
            <w:bottom w:val="none" w:sz="0" w:space="0" w:color="auto"/>
            <w:right w:val="none" w:sz="0" w:space="0" w:color="auto"/>
          </w:divBdr>
        </w:div>
        <w:div w:id="1072192503">
          <w:marLeft w:val="547"/>
          <w:marRight w:val="0"/>
          <w:marTop w:val="96"/>
          <w:marBottom w:val="0"/>
          <w:divBdr>
            <w:top w:val="none" w:sz="0" w:space="0" w:color="auto"/>
            <w:left w:val="none" w:sz="0" w:space="0" w:color="auto"/>
            <w:bottom w:val="none" w:sz="0" w:space="0" w:color="auto"/>
            <w:right w:val="none" w:sz="0" w:space="0" w:color="auto"/>
          </w:divBdr>
        </w:div>
        <w:div w:id="1120143848">
          <w:marLeft w:val="547"/>
          <w:marRight w:val="0"/>
          <w:marTop w:val="96"/>
          <w:marBottom w:val="0"/>
          <w:divBdr>
            <w:top w:val="none" w:sz="0" w:space="0" w:color="auto"/>
            <w:left w:val="none" w:sz="0" w:space="0" w:color="auto"/>
            <w:bottom w:val="none" w:sz="0" w:space="0" w:color="auto"/>
            <w:right w:val="none" w:sz="0" w:space="0" w:color="auto"/>
          </w:divBdr>
        </w:div>
        <w:div w:id="2134521978">
          <w:marLeft w:val="547"/>
          <w:marRight w:val="0"/>
          <w:marTop w:val="96"/>
          <w:marBottom w:val="0"/>
          <w:divBdr>
            <w:top w:val="none" w:sz="0" w:space="0" w:color="auto"/>
            <w:left w:val="none" w:sz="0" w:space="0" w:color="auto"/>
            <w:bottom w:val="none" w:sz="0" w:space="0" w:color="auto"/>
            <w:right w:val="none" w:sz="0" w:space="0" w:color="auto"/>
          </w:divBdr>
        </w:div>
      </w:divsChild>
    </w:div>
    <w:div w:id="990988773">
      <w:bodyDiv w:val="1"/>
      <w:marLeft w:val="0"/>
      <w:marRight w:val="0"/>
      <w:marTop w:val="0"/>
      <w:marBottom w:val="0"/>
      <w:divBdr>
        <w:top w:val="none" w:sz="0" w:space="0" w:color="auto"/>
        <w:left w:val="none" w:sz="0" w:space="0" w:color="auto"/>
        <w:bottom w:val="none" w:sz="0" w:space="0" w:color="auto"/>
        <w:right w:val="none" w:sz="0" w:space="0" w:color="auto"/>
      </w:divBdr>
    </w:div>
    <w:div w:id="1027490876">
      <w:bodyDiv w:val="1"/>
      <w:marLeft w:val="0"/>
      <w:marRight w:val="0"/>
      <w:marTop w:val="0"/>
      <w:marBottom w:val="0"/>
      <w:divBdr>
        <w:top w:val="none" w:sz="0" w:space="0" w:color="auto"/>
        <w:left w:val="none" w:sz="0" w:space="0" w:color="auto"/>
        <w:bottom w:val="none" w:sz="0" w:space="0" w:color="auto"/>
        <w:right w:val="none" w:sz="0" w:space="0" w:color="auto"/>
      </w:divBdr>
    </w:div>
    <w:div w:id="1033577682">
      <w:bodyDiv w:val="1"/>
      <w:marLeft w:val="0"/>
      <w:marRight w:val="0"/>
      <w:marTop w:val="0"/>
      <w:marBottom w:val="0"/>
      <w:divBdr>
        <w:top w:val="none" w:sz="0" w:space="0" w:color="auto"/>
        <w:left w:val="none" w:sz="0" w:space="0" w:color="auto"/>
        <w:bottom w:val="none" w:sz="0" w:space="0" w:color="auto"/>
        <w:right w:val="none" w:sz="0" w:space="0" w:color="auto"/>
      </w:divBdr>
    </w:div>
    <w:div w:id="1042048502">
      <w:bodyDiv w:val="1"/>
      <w:marLeft w:val="0"/>
      <w:marRight w:val="0"/>
      <w:marTop w:val="0"/>
      <w:marBottom w:val="0"/>
      <w:divBdr>
        <w:top w:val="none" w:sz="0" w:space="0" w:color="auto"/>
        <w:left w:val="none" w:sz="0" w:space="0" w:color="auto"/>
        <w:bottom w:val="none" w:sz="0" w:space="0" w:color="auto"/>
        <w:right w:val="none" w:sz="0" w:space="0" w:color="auto"/>
      </w:divBdr>
    </w:div>
    <w:div w:id="1051809526">
      <w:bodyDiv w:val="1"/>
      <w:marLeft w:val="0"/>
      <w:marRight w:val="0"/>
      <w:marTop w:val="0"/>
      <w:marBottom w:val="0"/>
      <w:divBdr>
        <w:top w:val="none" w:sz="0" w:space="0" w:color="auto"/>
        <w:left w:val="none" w:sz="0" w:space="0" w:color="auto"/>
        <w:bottom w:val="none" w:sz="0" w:space="0" w:color="auto"/>
        <w:right w:val="none" w:sz="0" w:space="0" w:color="auto"/>
      </w:divBdr>
      <w:divsChild>
        <w:div w:id="13046690">
          <w:marLeft w:val="0"/>
          <w:marRight w:val="0"/>
          <w:marTop w:val="0"/>
          <w:marBottom w:val="0"/>
          <w:divBdr>
            <w:top w:val="none" w:sz="0" w:space="0" w:color="auto"/>
            <w:left w:val="none" w:sz="0" w:space="0" w:color="auto"/>
            <w:bottom w:val="none" w:sz="0" w:space="0" w:color="auto"/>
            <w:right w:val="none" w:sz="0" w:space="0" w:color="auto"/>
          </w:divBdr>
          <w:divsChild>
            <w:div w:id="288629816">
              <w:marLeft w:val="0"/>
              <w:marRight w:val="0"/>
              <w:marTop w:val="0"/>
              <w:marBottom w:val="0"/>
              <w:divBdr>
                <w:top w:val="none" w:sz="0" w:space="0" w:color="auto"/>
                <w:left w:val="none" w:sz="0" w:space="0" w:color="auto"/>
                <w:bottom w:val="none" w:sz="0" w:space="0" w:color="auto"/>
                <w:right w:val="none" w:sz="0" w:space="0" w:color="auto"/>
              </w:divBdr>
              <w:divsChild>
                <w:div w:id="71971524">
                  <w:marLeft w:val="0"/>
                  <w:marRight w:val="0"/>
                  <w:marTop w:val="0"/>
                  <w:marBottom w:val="0"/>
                  <w:divBdr>
                    <w:top w:val="none" w:sz="0" w:space="0" w:color="auto"/>
                    <w:left w:val="none" w:sz="0" w:space="0" w:color="auto"/>
                    <w:bottom w:val="none" w:sz="0" w:space="0" w:color="auto"/>
                    <w:right w:val="none" w:sz="0" w:space="0" w:color="auto"/>
                  </w:divBdr>
                  <w:divsChild>
                    <w:div w:id="1010713691">
                      <w:marLeft w:val="0"/>
                      <w:marRight w:val="0"/>
                      <w:marTop w:val="0"/>
                      <w:marBottom w:val="0"/>
                      <w:divBdr>
                        <w:top w:val="none" w:sz="0" w:space="0" w:color="auto"/>
                        <w:left w:val="none" w:sz="0" w:space="0" w:color="auto"/>
                        <w:bottom w:val="none" w:sz="0" w:space="0" w:color="auto"/>
                        <w:right w:val="none" w:sz="0" w:space="0" w:color="auto"/>
                      </w:divBdr>
                      <w:divsChild>
                        <w:div w:id="1410077222">
                          <w:marLeft w:val="0"/>
                          <w:marRight w:val="0"/>
                          <w:marTop w:val="0"/>
                          <w:marBottom w:val="0"/>
                          <w:divBdr>
                            <w:top w:val="none" w:sz="0" w:space="0" w:color="auto"/>
                            <w:left w:val="none" w:sz="0" w:space="0" w:color="auto"/>
                            <w:bottom w:val="none" w:sz="0" w:space="0" w:color="auto"/>
                            <w:right w:val="none" w:sz="0" w:space="0" w:color="auto"/>
                          </w:divBdr>
                          <w:divsChild>
                            <w:div w:id="1779249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0024048">
      <w:bodyDiv w:val="1"/>
      <w:marLeft w:val="0"/>
      <w:marRight w:val="0"/>
      <w:marTop w:val="0"/>
      <w:marBottom w:val="0"/>
      <w:divBdr>
        <w:top w:val="none" w:sz="0" w:space="0" w:color="auto"/>
        <w:left w:val="none" w:sz="0" w:space="0" w:color="auto"/>
        <w:bottom w:val="none" w:sz="0" w:space="0" w:color="auto"/>
        <w:right w:val="none" w:sz="0" w:space="0" w:color="auto"/>
      </w:divBdr>
    </w:div>
    <w:div w:id="1176385559">
      <w:bodyDiv w:val="1"/>
      <w:marLeft w:val="0"/>
      <w:marRight w:val="0"/>
      <w:marTop w:val="0"/>
      <w:marBottom w:val="0"/>
      <w:divBdr>
        <w:top w:val="none" w:sz="0" w:space="0" w:color="auto"/>
        <w:left w:val="none" w:sz="0" w:space="0" w:color="auto"/>
        <w:bottom w:val="none" w:sz="0" w:space="0" w:color="auto"/>
        <w:right w:val="none" w:sz="0" w:space="0" w:color="auto"/>
      </w:divBdr>
    </w:div>
    <w:div w:id="1196384668">
      <w:bodyDiv w:val="1"/>
      <w:marLeft w:val="0"/>
      <w:marRight w:val="0"/>
      <w:marTop w:val="0"/>
      <w:marBottom w:val="0"/>
      <w:divBdr>
        <w:top w:val="none" w:sz="0" w:space="0" w:color="auto"/>
        <w:left w:val="none" w:sz="0" w:space="0" w:color="auto"/>
        <w:bottom w:val="none" w:sz="0" w:space="0" w:color="auto"/>
        <w:right w:val="none" w:sz="0" w:space="0" w:color="auto"/>
      </w:divBdr>
    </w:div>
    <w:div w:id="1249148862">
      <w:bodyDiv w:val="1"/>
      <w:marLeft w:val="0"/>
      <w:marRight w:val="0"/>
      <w:marTop w:val="0"/>
      <w:marBottom w:val="0"/>
      <w:divBdr>
        <w:top w:val="none" w:sz="0" w:space="0" w:color="auto"/>
        <w:left w:val="none" w:sz="0" w:space="0" w:color="auto"/>
        <w:bottom w:val="none" w:sz="0" w:space="0" w:color="auto"/>
        <w:right w:val="none" w:sz="0" w:space="0" w:color="auto"/>
      </w:divBdr>
    </w:div>
    <w:div w:id="1266617527">
      <w:bodyDiv w:val="1"/>
      <w:marLeft w:val="0"/>
      <w:marRight w:val="0"/>
      <w:marTop w:val="0"/>
      <w:marBottom w:val="0"/>
      <w:divBdr>
        <w:top w:val="none" w:sz="0" w:space="0" w:color="auto"/>
        <w:left w:val="none" w:sz="0" w:space="0" w:color="auto"/>
        <w:bottom w:val="none" w:sz="0" w:space="0" w:color="auto"/>
        <w:right w:val="none" w:sz="0" w:space="0" w:color="auto"/>
      </w:divBdr>
    </w:div>
    <w:div w:id="1292202108">
      <w:bodyDiv w:val="1"/>
      <w:marLeft w:val="0"/>
      <w:marRight w:val="0"/>
      <w:marTop w:val="0"/>
      <w:marBottom w:val="0"/>
      <w:divBdr>
        <w:top w:val="none" w:sz="0" w:space="0" w:color="auto"/>
        <w:left w:val="none" w:sz="0" w:space="0" w:color="auto"/>
        <w:bottom w:val="none" w:sz="0" w:space="0" w:color="auto"/>
        <w:right w:val="none" w:sz="0" w:space="0" w:color="auto"/>
      </w:divBdr>
      <w:divsChild>
        <w:div w:id="56444718">
          <w:marLeft w:val="0"/>
          <w:marRight w:val="0"/>
          <w:marTop w:val="0"/>
          <w:marBottom w:val="0"/>
          <w:divBdr>
            <w:top w:val="none" w:sz="0" w:space="0" w:color="auto"/>
            <w:left w:val="none" w:sz="0" w:space="0" w:color="auto"/>
            <w:bottom w:val="none" w:sz="0" w:space="0" w:color="auto"/>
            <w:right w:val="none" w:sz="0" w:space="0" w:color="auto"/>
          </w:divBdr>
          <w:divsChild>
            <w:div w:id="1063718156">
              <w:marLeft w:val="0"/>
              <w:marRight w:val="0"/>
              <w:marTop w:val="0"/>
              <w:marBottom w:val="0"/>
              <w:divBdr>
                <w:top w:val="none" w:sz="0" w:space="0" w:color="auto"/>
                <w:left w:val="none" w:sz="0" w:space="0" w:color="auto"/>
                <w:bottom w:val="none" w:sz="0" w:space="0" w:color="auto"/>
                <w:right w:val="none" w:sz="0" w:space="0" w:color="auto"/>
              </w:divBdr>
              <w:divsChild>
                <w:div w:id="629242603">
                  <w:marLeft w:val="-300"/>
                  <w:marRight w:val="0"/>
                  <w:marTop w:val="0"/>
                  <w:marBottom w:val="0"/>
                  <w:divBdr>
                    <w:top w:val="none" w:sz="0" w:space="0" w:color="auto"/>
                    <w:left w:val="none" w:sz="0" w:space="0" w:color="auto"/>
                    <w:bottom w:val="none" w:sz="0" w:space="0" w:color="auto"/>
                    <w:right w:val="none" w:sz="0" w:space="0" w:color="auto"/>
                  </w:divBdr>
                  <w:divsChild>
                    <w:div w:id="633291631">
                      <w:marLeft w:val="0"/>
                      <w:marRight w:val="0"/>
                      <w:marTop w:val="0"/>
                      <w:marBottom w:val="0"/>
                      <w:divBdr>
                        <w:top w:val="none" w:sz="0" w:space="0" w:color="auto"/>
                        <w:left w:val="none" w:sz="0" w:space="0" w:color="auto"/>
                        <w:bottom w:val="none" w:sz="0" w:space="0" w:color="auto"/>
                        <w:right w:val="none" w:sz="0" w:space="0" w:color="auto"/>
                      </w:divBdr>
                      <w:divsChild>
                        <w:div w:id="1036345151">
                          <w:marLeft w:val="0"/>
                          <w:marRight w:val="0"/>
                          <w:marTop w:val="0"/>
                          <w:marBottom w:val="0"/>
                          <w:divBdr>
                            <w:top w:val="none" w:sz="0" w:space="0" w:color="auto"/>
                            <w:left w:val="none" w:sz="0" w:space="0" w:color="auto"/>
                            <w:bottom w:val="none" w:sz="0" w:space="0" w:color="auto"/>
                            <w:right w:val="none" w:sz="0" w:space="0" w:color="auto"/>
                          </w:divBdr>
                          <w:divsChild>
                            <w:div w:id="1868058377">
                              <w:marLeft w:val="0"/>
                              <w:marRight w:val="0"/>
                              <w:marTop w:val="0"/>
                              <w:marBottom w:val="0"/>
                              <w:divBdr>
                                <w:top w:val="none" w:sz="0" w:space="0" w:color="auto"/>
                                <w:left w:val="none" w:sz="0" w:space="0" w:color="auto"/>
                                <w:bottom w:val="none" w:sz="0" w:space="0" w:color="auto"/>
                                <w:right w:val="none" w:sz="0" w:space="0" w:color="auto"/>
                              </w:divBdr>
                              <w:divsChild>
                                <w:div w:id="153446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37146882">
      <w:bodyDiv w:val="1"/>
      <w:marLeft w:val="0"/>
      <w:marRight w:val="0"/>
      <w:marTop w:val="0"/>
      <w:marBottom w:val="0"/>
      <w:divBdr>
        <w:top w:val="none" w:sz="0" w:space="0" w:color="auto"/>
        <w:left w:val="none" w:sz="0" w:space="0" w:color="auto"/>
        <w:bottom w:val="none" w:sz="0" w:space="0" w:color="auto"/>
        <w:right w:val="none" w:sz="0" w:space="0" w:color="auto"/>
      </w:divBdr>
    </w:div>
    <w:div w:id="1360399946">
      <w:bodyDiv w:val="1"/>
      <w:marLeft w:val="0"/>
      <w:marRight w:val="0"/>
      <w:marTop w:val="0"/>
      <w:marBottom w:val="0"/>
      <w:divBdr>
        <w:top w:val="none" w:sz="0" w:space="0" w:color="auto"/>
        <w:left w:val="none" w:sz="0" w:space="0" w:color="auto"/>
        <w:bottom w:val="none" w:sz="0" w:space="0" w:color="auto"/>
        <w:right w:val="none" w:sz="0" w:space="0" w:color="auto"/>
      </w:divBdr>
      <w:divsChild>
        <w:div w:id="873925244">
          <w:marLeft w:val="0"/>
          <w:marRight w:val="0"/>
          <w:marTop w:val="0"/>
          <w:marBottom w:val="0"/>
          <w:divBdr>
            <w:top w:val="none" w:sz="0" w:space="0" w:color="auto"/>
            <w:left w:val="none" w:sz="0" w:space="0" w:color="auto"/>
            <w:bottom w:val="none" w:sz="0" w:space="0" w:color="auto"/>
            <w:right w:val="none" w:sz="0" w:space="0" w:color="auto"/>
          </w:divBdr>
          <w:divsChild>
            <w:div w:id="973291706">
              <w:marLeft w:val="0"/>
              <w:marRight w:val="0"/>
              <w:marTop w:val="0"/>
              <w:marBottom w:val="0"/>
              <w:divBdr>
                <w:top w:val="none" w:sz="0" w:space="0" w:color="auto"/>
                <w:left w:val="none" w:sz="0" w:space="0" w:color="auto"/>
                <w:bottom w:val="none" w:sz="0" w:space="0" w:color="auto"/>
                <w:right w:val="none" w:sz="0" w:space="0" w:color="auto"/>
              </w:divBdr>
              <w:divsChild>
                <w:div w:id="302737797">
                  <w:marLeft w:val="-300"/>
                  <w:marRight w:val="0"/>
                  <w:marTop w:val="0"/>
                  <w:marBottom w:val="0"/>
                  <w:divBdr>
                    <w:top w:val="none" w:sz="0" w:space="0" w:color="auto"/>
                    <w:left w:val="none" w:sz="0" w:space="0" w:color="auto"/>
                    <w:bottom w:val="none" w:sz="0" w:space="0" w:color="auto"/>
                    <w:right w:val="none" w:sz="0" w:space="0" w:color="auto"/>
                  </w:divBdr>
                  <w:divsChild>
                    <w:div w:id="515584858">
                      <w:marLeft w:val="0"/>
                      <w:marRight w:val="0"/>
                      <w:marTop w:val="0"/>
                      <w:marBottom w:val="0"/>
                      <w:divBdr>
                        <w:top w:val="none" w:sz="0" w:space="0" w:color="auto"/>
                        <w:left w:val="none" w:sz="0" w:space="0" w:color="auto"/>
                        <w:bottom w:val="none" w:sz="0" w:space="0" w:color="auto"/>
                        <w:right w:val="none" w:sz="0" w:space="0" w:color="auto"/>
                      </w:divBdr>
                      <w:divsChild>
                        <w:div w:id="2139882026">
                          <w:marLeft w:val="0"/>
                          <w:marRight w:val="0"/>
                          <w:marTop w:val="0"/>
                          <w:marBottom w:val="0"/>
                          <w:divBdr>
                            <w:top w:val="none" w:sz="0" w:space="0" w:color="auto"/>
                            <w:left w:val="none" w:sz="0" w:space="0" w:color="auto"/>
                            <w:bottom w:val="none" w:sz="0" w:space="0" w:color="auto"/>
                            <w:right w:val="none" w:sz="0" w:space="0" w:color="auto"/>
                          </w:divBdr>
                          <w:divsChild>
                            <w:div w:id="718282804">
                              <w:marLeft w:val="0"/>
                              <w:marRight w:val="0"/>
                              <w:marTop w:val="0"/>
                              <w:marBottom w:val="0"/>
                              <w:divBdr>
                                <w:top w:val="none" w:sz="0" w:space="0" w:color="auto"/>
                                <w:left w:val="none" w:sz="0" w:space="0" w:color="auto"/>
                                <w:bottom w:val="none" w:sz="0" w:space="0" w:color="auto"/>
                                <w:right w:val="none" w:sz="0" w:space="0" w:color="auto"/>
                              </w:divBdr>
                              <w:divsChild>
                                <w:div w:id="635765071">
                                  <w:marLeft w:val="0"/>
                                  <w:marRight w:val="0"/>
                                  <w:marTop w:val="0"/>
                                  <w:marBottom w:val="0"/>
                                  <w:divBdr>
                                    <w:top w:val="none" w:sz="0" w:space="0" w:color="auto"/>
                                    <w:left w:val="none" w:sz="0" w:space="0" w:color="auto"/>
                                    <w:bottom w:val="none" w:sz="0" w:space="0" w:color="auto"/>
                                    <w:right w:val="none" w:sz="0" w:space="0" w:color="auto"/>
                                  </w:divBdr>
                                </w:div>
                                <w:div w:id="1700424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61587617">
      <w:bodyDiv w:val="1"/>
      <w:marLeft w:val="0"/>
      <w:marRight w:val="0"/>
      <w:marTop w:val="0"/>
      <w:marBottom w:val="0"/>
      <w:divBdr>
        <w:top w:val="none" w:sz="0" w:space="0" w:color="auto"/>
        <w:left w:val="none" w:sz="0" w:space="0" w:color="auto"/>
        <w:bottom w:val="none" w:sz="0" w:space="0" w:color="auto"/>
        <w:right w:val="none" w:sz="0" w:space="0" w:color="auto"/>
      </w:divBdr>
    </w:div>
    <w:div w:id="1479422379">
      <w:bodyDiv w:val="1"/>
      <w:marLeft w:val="0"/>
      <w:marRight w:val="0"/>
      <w:marTop w:val="0"/>
      <w:marBottom w:val="0"/>
      <w:divBdr>
        <w:top w:val="none" w:sz="0" w:space="0" w:color="auto"/>
        <w:left w:val="none" w:sz="0" w:space="0" w:color="auto"/>
        <w:bottom w:val="none" w:sz="0" w:space="0" w:color="auto"/>
        <w:right w:val="none" w:sz="0" w:space="0" w:color="auto"/>
      </w:divBdr>
    </w:div>
    <w:div w:id="1512068963">
      <w:bodyDiv w:val="1"/>
      <w:marLeft w:val="0"/>
      <w:marRight w:val="0"/>
      <w:marTop w:val="0"/>
      <w:marBottom w:val="0"/>
      <w:divBdr>
        <w:top w:val="none" w:sz="0" w:space="0" w:color="auto"/>
        <w:left w:val="none" w:sz="0" w:space="0" w:color="auto"/>
        <w:bottom w:val="none" w:sz="0" w:space="0" w:color="auto"/>
        <w:right w:val="none" w:sz="0" w:space="0" w:color="auto"/>
      </w:divBdr>
    </w:div>
    <w:div w:id="1529299367">
      <w:bodyDiv w:val="1"/>
      <w:marLeft w:val="0"/>
      <w:marRight w:val="0"/>
      <w:marTop w:val="0"/>
      <w:marBottom w:val="0"/>
      <w:divBdr>
        <w:top w:val="none" w:sz="0" w:space="0" w:color="auto"/>
        <w:left w:val="none" w:sz="0" w:space="0" w:color="auto"/>
        <w:bottom w:val="none" w:sz="0" w:space="0" w:color="auto"/>
        <w:right w:val="none" w:sz="0" w:space="0" w:color="auto"/>
      </w:divBdr>
      <w:divsChild>
        <w:div w:id="1581327328">
          <w:marLeft w:val="0"/>
          <w:marRight w:val="0"/>
          <w:marTop w:val="0"/>
          <w:marBottom w:val="0"/>
          <w:divBdr>
            <w:top w:val="none" w:sz="0" w:space="0" w:color="auto"/>
            <w:left w:val="none" w:sz="0" w:space="0" w:color="auto"/>
            <w:bottom w:val="none" w:sz="0" w:space="0" w:color="auto"/>
            <w:right w:val="none" w:sz="0" w:space="0" w:color="auto"/>
          </w:divBdr>
          <w:divsChild>
            <w:div w:id="853303839">
              <w:marLeft w:val="0"/>
              <w:marRight w:val="0"/>
              <w:marTop w:val="0"/>
              <w:marBottom w:val="0"/>
              <w:divBdr>
                <w:top w:val="none" w:sz="0" w:space="0" w:color="auto"/>
                <w:left w:val="none" w:sz="0" w:space="0" w:color="auto"/>
                <w:bottom w:val="none" w:sz="0" w:space="0" w:color="auto"/>
                <w:right w:val="none" w:sz="0" w:space="0" w:color="auto"/>
              </w:divBdr>
              <w:divsChild>
                <w:div w:id="1088111011">
                  <w:marLeft w:val="0"/>
                  <w:marRight w:val="0"/>
                  <w:marTop w:val="0"/>
                  <w:marBottom w:val="0"/>
                  <w:divBdr>
                    <w:top w:val="none" w:sz="0" w:space="0" w:color="auto"/>
                    <w:left w:val="none" w:sz="0" w:space="0" w:color="auto"/>
                    <w:bottom w:val="none" w:sz="0" w:space="0" w:color="auto"/>
                    <w:right w:val="none" w:sz="0" w:space="0" w:color="auto"/>
                  </w:divBdr>
                  <w:divsChild>
                    <w:div w:id="914775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1287560">
      <w:bodyDiv w:val="1"/>
      <w:marLeft w:val="0"/>
      <w:marRight w:val="0"/>
      <w:marTop w:val="0"/>
      <w:marBottom w:val="0"/>
      <w:divBdr>
        <w:top w:val="none" w:sz="0" w:space="0" w:color="auto"/>
        <w:left w:val="none" w:sz="0" w:space="0" w:color="auto"/>
        <w:bottom w:val="none" w:sz="0" w:space="0" w:color="auto"/>
        <w:right w:val="none" w:sz="0" w:space="0" w:color="auto"/>
      </w:divBdr>
    </w:div>
    <w:div w:id="1579635670">
      <w:bodyDiv w:val="1"/>
      <w:marLeft w:val="0"/>
      <w:marRight w:val="0"/>
      <w:marTop w:val="0"/>
      <w:marBottom w:val="0"/>
      <w:divBdr>
        <w:top w:val="none" w:sz="0" w:space="0" w:color="auto"/>
        <w:left w:val="none" w:sz="0" w:space="0" w:color="auto"/>
        <w:bottom w:val="none" w:sz="0" w:space="0" w:color="auto"/>
        <w:right w:val="none" w:sz="0" w:space="0" w:color="auto"/>
      </w:divBdr>
      <w:divsChild>
        <w:div w:id="364185206">
          <w:marLeft w:val="0"/>
          <w:marRight w:val="0"/>
          <w:marTop w:val="0"/>
          <w:marBottom w:val="0"/>
          <w:divBdr>
            <w:top w:val="none" w:sz="0" w:space="0" w:color="auto"/>
            <w:left w:val="none" w:sz="0" w:space="0" w:color="auto"/>
            <w:bottom w:val="none" w:sz="0" w:space="0" w:color="auto"/>
            <w:right w:val="none" w:sz="0" w:space="0" w:color="auto"/>
          </w:divBdr>
          <w:divsChild>
            <w:div w:id="1984502309">
              <w:marLeft w:val="0"/>
              <w:marRight w:val="0"/>
              <w:marTop w:val="0"/>
              <w:marBottom w:val="0"/>
              <w:divBdr>
                <w:top w:val="none" w:sz="0" w:space="0" w:color="auto"/>
                <w:left w:val="none" w:sz="0" w:space="0" w:color="auto"/>
                <w:bottom w:val="none" w:sz="0" w:space="0" w:color="auto"/>
                <w:right w:val="none" w:sz="0" w:space="0" w:color="auto"/>
              </w:divBdr>
              <w:divsChild>
                <w:div w:id="627125534">
                  <w:marLeft w:val="0"/>
                  <w:marRight w:val="0"/>
                  <w:marTop w:val="0"/>
                  <w:marBottom w:val="0"/>
                  <w:divBdr>
                    <w:top w:val="none" w:sz="0" w:space="0" w:color="auto"/>
                    <w:left w:val="none" w:sz="0" w:space="0" w:color="auto"/>
                    <w:bottom w:val="none" w:sz="0" w:space="0" w:color="auto"/>
                    <w:right w:val="none" w:sz="0" w:space="0" w:color="auto"/>
                  </w:divBdr>
                  <w:divsChild>
                    <w:div w:id="1830635212">
                      <w:marLeft w:val="0"/>
                      <w:marRight w:val="-3225"/>
                      <w:marTop w:val="0"/>
                      <w:marBottom w:val="0"/>
                      <w:divBdr>
                        <w:top w:val="none" w:sz="0" w:space="0" w:color="auto"/>
                        <w:left w:val="none" w:sz="0" w:space="0" w:color="auto"/>
                        <w:bottom w:val="none" w:sz="0" w:space="0" w:color="auto"/>
                        <w:right w:val="none" w:sz="0" w:space="0" w:color="auto"/>
                      </w:divBdr>
                      <w:divsChild>
                        <w:div w:id="1618949447">
                          <w:marLeft w:val="2715"/>
                          <w:marRight w:val="3225"/>
                          <w:marTop w:val="0"/>
                          <w:marBottom w:val="0"/>
                          <w:divBdr>
                            <w:top w:val="none" w:sz="0" w:space="0" w:color="auto"/>
                            <w:left w:val="none" w:sz="0" w:space="0" w:color="auto"/>
                            <w:bottom w:val="none" w:sz="0" w:space="0" w:color="auto"/>
                            <w:right w:val="none" w:sz="0" w:space="0" w:color="auto"/>
                          </w:divBdr>
                          <w:divsChild>
                            <w:div w:id="1751006815">
                              <w:marLeft w:val="300"/>
                              <w:marRight w:val="300"/>
                              <w:marTop w:val="300"/>
                              <w:marBottom w:val="300"/>
                              <w:divBdr>
                                <w:top w:val="none" w:sz="0" w:space="0" w:color="auto"/>
                                <w:left w:val="none" w:sz="0" w:space="0" w:color="auto"/>
                                <w:bottom w:val="dotted" w:sz="6" w:space="15" w:color="993366"/>
                                <w:right w:val="none" w:sz="0" w:space="0" w:color="auto"/>
                              </w:divBdr>
                              <w:divsChild>
                                <w:div w:id="949776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01833689">
      <w:bodyDiv w:val="1"/>
      <w:marLeft w:val="0"/>
      <w:marRight w:val="0"/>
      <w:marTop w:val="0"/>
      <w:marBottom w:val="0"/>
      <w:divBdr>
        <w:top w:val="none" w:sz="0" w:space="0" w:color="auto"/>
        <w:left w:val="none" w:sz="0" w:space="0" w:color="auto"/>
        <w:bottom w:val="none" w:sz="0" w:space="0" w:color="auto"/>
        <w:right w:val="none" w:sz="0" w:space="0" w:color="auto"/>
      </w:divBdr>
      <w:divsChild>
        <w:div w:id="1879901413">
          <w:marLeft w:val="0"/>
          <w:marRight w:val="0"/>
          <w:marTop w:val="0"/>
          <w:marBottom w:val="0"/>
          <w:divBdr>
            <w:top w:val="none" w:sz="0" w:space="0" w:color="auto"/>
            <w:left w:val="none" w:sz="0" w:space="0" w:color="auto"/>
            <w:bottom w:val="none" w:sz="0" w:space="0" w:color="auto"/>
            <w:right w:val="none" w:sz="0" w:space="0" w:color="auto"/>
          </w:divBdr>
          <w:divsChild>
            <w:div w:id="84696630">
              <w:marLeft w:val="0"/>
              <w:marRight w:val="0"/>
              <w:marTop w:val="0"/>
              <w:marBottom w:val="0"/>
              <w:divBdr>
                <w:top w:val="none" w:sz="0" w:space="0" w:color="auto"/>
                <w:left w:val="none" w:sz="0" w:space="0" w:color="auto"/>
                <w:bottom w:val="none" w:sz="0" w:space="0" w:color="auto"/>
                <w:right w:val="none" w:sz="0" w:space="0" w:color="auto"/>
              </w:divBdr>
              <w:divsChild>
                <w:div w:id="898714529">
                  <w:marLeft w:val="-300"/>
                  <w:marRight w:val="0"/>
                  <w:marTop w:val="0"/>
                  <w:marBottom w:val="0"/>
                  <w:divBdr>
                    <w:top w:val="none" w:sz="0" w:space="0" w:color="auto"/>
                    <w:left w:val="none" w:sz="0" w:space="0" w:color="auto"/>
                    <w:bottom w:val="none" w:sz="0" w:space="0" w:color="auto"/>
                    <w:right w:val="none" w:sz="0" w:space="0" w:color="auto"/>
                  </w:divBdr>
                  <w:divsChild>
                    <w:div w:id="368721295">
                      <w:marLeft w:val="0"/>
                      <w:marRight w:val="0"/>
                      <w:marTop w:val="0"/>
                      <w:marBottom w:val="0"/>
                      <w:divBdr>
                        <w:top w:val="none" w:sz="0" w:space="0" w:color="auto"/>
                        <w:left w:val="none" w:sz="0" w:space="0" w:color="auto"/>
                        <w:bottom w:val="none" w:sz="0" w:space="0" w:color="auto"/>
                        <w:right w:val="none" w:sz="0" w:space="0" w:color="auto"/>
                      </w:divBdr>
                      <w:divsChild>
                        <w:div w:id="1366440911">
                          <w:marLeft w:val="0"/>
                          <w:marRight w:val="0"/>
                          <w:marTop w:val="0"/>
                          <w:marBottom w:val="0"/>
                          <w:divBdr>
                            <w:top w:val="none" w:sz="0" w:space="0" w:color="auto"/>
                            <w:left w:val="none" w:sz="0" w:space="0" w:color="auto"/>
                            <w:bottom w:val="none" w:sz="0" w:space="0" w:color="auto"/>
                            <w:right w:val="none" w:sz="0" w:space="0" w:color="auto"/>
                          </w:divBdr>
                          <w:divsChild>
                            <w:div w:id="1702391818">
                              <w:marLeft w:val="0"/>
                              <w:marRight w:val="0"/>
                              <w:marTop w:val="0"/>
                              <w:marBottom w:val="0"/>
                              <w:divBdr>
                                <w:top w:val="none" w:sz="0" w:space="0" w:color="auto"/>
                                <w:left w:val="none" w:sz="0" w:space="0" w:color="auto"/>
                                <w:bottom w:val="none" w:sz="0" w:space="0" w:color="auto"/>
                                <w:right w:val="none" w:sz="0" w:space="0" w:color="auto"/>
                              </w:divBdr>
                              <w:divsChild>
                                <w:div w:id="1352992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36375589">
      <w:bodyDiv w:val="1"/>
      <w:marLeft w:val="0"/>
      <w:marRight w:val="0"/>
      <w:marTop w:val="0"/>
      <w:marBottom w:val="0"/>
      <w:divBdr>
        <w:top w:val="none" w:sz="0" w:space="0" w:color="auto"/>
        <w:left w:val="none" w:sz="0" w:space="0" w:color="auto"/>
        <w:bottom w:val="none" w:sz="0" w:space="0" w:color="auto"/>
        <w:right w:val="none" w:sz="0" w:space="0" w:color="auto"/>
      </w:divBdr>
    </w:div>
    <w:div w:id="1655833288">
      <w:bodyDiv w:val="1"/>
      <w:marLeft w:val="0"/>
      <w:marRight w:val="0"/>
      <w:marTop w:val="0"/>
      <w:marBottom w:val="0"/>
      <w:divBdr>
        <w:top w:val="none" w:sz="0" w:space="0" w:color="auto"/>
        <w:left w:val="none" w:sz="0" w:space="0" w:color="auto"/>
        <w:bottom w:val="none" w:sz="0" w:space="0" w:color="auto"/>
        <w:right w:val="none" w:sz="0" w:space="0" w:color="auto"/>
      </w:divBdr>
    </w:div>
    <w:div w:id="1682313108">
      <w:bodyDiv w:val="1"/>
      <w:marLeft w:val="0"/>
      <w:marRight w:val="0"/>
      <w:marTop w:val="0"/>
      <w:marBottom w:val="0"/>
      <w:divBdr>
        <w:top w:val="none" w:sz="0" w:space="0" w:color="auto"/>
        <w:left w:val="none" w:sz="0" w:space="0" w:color="auto"/>
        <w:bottom w:val="none" w:sz="0" w:space="0" w:color="auto"/>
        <w:right w:val="none" w:sz="0" w:space="0" w:color="auto"/>
      </w:divBdr>
    </w:div>
    <w:div w:id="1686053924">
      <w:bodyDiv w:val="1"/>
      <w:marLeft w:val="0"/>
      <w:marRight w:val="0"/>
      <w:marTop w:val="0"/>
      <w:marBottom w:val="0"/>
      <w:divBdr>
        <w:top w:val="none" w:sz="0" w:space="0" w:color="auto"/>
        <w:left w:val="none" w:sz="0" w:space="0" w:color="auto"/>
        <w:bottom w:val="none" w:sz="0" w:space="0" w:color="auto"/>
        <w:right w:val="none" w:sz="0" w:space="0" w:color="auto"/>
      </w:divBdr>
    </w:div>
    <w:div w:id="1706297647">
      <w:bodyDiv w:val="1"/>
      <w:marLeft w:val="0"/>
      <w:marRight w:val="0"/>
      <w:marTop w:val="0"/>
      <w:marBottom w:val="0"/>
      <w:divBdr>
        <w:top w:val="none" w:sz="0" w:space="0" w:color="auto"/>
        <w:left w:val="none" w:sz="0" w:space="0" w:color="auto"/>
        <w:bottom w:val="none" w:sz="0" w:space="0" w:color="auto"/>
        <w:right w:val="none" w:sz="0" w:space="0" w:color="auto"/>
      </w:divBdr>
    </w:div>
    <w:div w:id="1739935531">
      <w:bodyDiv w:val="1"/>
      <w:marLeft w:val="0"/>
      <w:marRight w:val="0"/>
      <w:marTop w:val="0"/>
      <w:marBottom w:val="0"/>
      <w:divBdr>
        <w:top w:val="none" w:sz="0" w:space="0" w:color="auto"/>
        <w:left w:val="none" w:sz="0" w:space="0" w:color="auto"/>
        <w:bottom w:val="none" w:sz="0" w:space="0" w:color="auto"/>
        <w:right w:val="none" w:sz="0" w:space="0" w:color="auto"/>
      </w:divBdr>
    </w:div>
    <w:div w:id="1762097338">
      <w:bodyDiv w:val="1"/>
      <w:marLeft w:val="0"/>
      <w:marRight w:val="0"/>
      <w:marTop w:val="0"/>
      <w:marBottom w:val="0"/>
      <w:divBdr>
        <w:top w:val="none" w:sz="0" w:space="0" w:color="auto"/>
        <w:left w:val="none" w:sz="0" w:space="0" w:color="auto"/>
        <w:bottom w:val="none" w:sz="0" w:space="0" w:color="auto"/>
        <w:right w:val="none" w:sz="0" w:space="0" w:color="auto"/>
      </w:divBdr>
    </w:div>
    <w:div w:id="1790925989">
      <w:bodyDiv w:val="1"/>
      <w:marLeft w:val="0"/>
      <w:marRight w:val="0"/>
      <w:marTop w:val="0"/>
      <w:marBottom w:val="0"/>
      <w:divBdr>
        <w:top w:val="none" w:sz="0" w:space="0" w:color="auto"/>
        <w:left w:val="none" w:sz="0" w:space="0" w:color="auto"/>
        <w:bottom w:val="none" w:sz="0" w:space="0" w:color="auto"/>
        <w:right w:val="none" w:sz="0" w:space="0" w:color="auto"/>
      </w:divBdr>
      <w:divsChild>
        <w:div w:id="440299454">
          <w:marLeft w:val="0"/>
          <w:marRight w:val="0"/>
          <w:marTop w:val="0"/>
          <w:marBottom w:val="0"/>
          <w:divBdr>
            <w:top w:val="none" w:sz="0" w:space="0" w:color="auto"/>
            <w:left w:val="none" w:sz="0" w:space="0" w:color="auto"/>
            <w:bottom w:val="none" w:sz="0" w:space="0" w:color="auto"/>
            <w:right w:val="none" w:sz="0" w:space="0" w:color="auto"/>
          </w:divBdr>
          <w:divsChild>
            <w:div w:id="198710394">
              <w:marLeft w:val="0"/>
              <w:marRight w:val="0"/>
              <w:marTop w:val="0"/>
              <w:marBottom w:val="0"/>
              <w:divBdr>
                <w:top w:val="none" w:sz="0" w:space="0" w:color="auto"/>
                <w:left w:val="none" w:sz="0" w:space="0" w:color="auto"/>
                <w:bottom w:val="none" w:sz="0" w:space="0" w:color="auto"/>
                <w:right w:val="none" w:sz="0" w:space="0" w:color="auto"/>
              </w:divBdr>
              <w:divsChild>
                <w:div w:id="182325690">
                  <w:marLeft w:val="0"/>
                  <w:marRight w:val="0"/>
                  <w:marTop w:val="225"/>
                  <w:marBottom w:val="0"/>
                  <w:divBdr>
                    <w:top w:val="single" w:sz="48" w:space="0" w:color="F7FBFE"/>
                    <w:left w:val="single" w:sz="48" w:space="0" w:color="F7FBFE"/>
                    <w:bottom w:val="single" w:sz="48" w:space="0" w:color="F7FBFE"/>
                    <w:right w:val="single" w:sz="48" w:space="0" w:color="F7FBFE"/>
                  </w:divBdr>
                  <w:divsChild>
                    <w:div w:id="874274463">
                      <w:marLeft w:val="0"/>
                      <w:marRight w:val="0"/>
                      <w:marTop w:val="0"/>
                      <w:marBottom w:val="0"/>
                      <w:divBdr>
                        <w:top w:val="none" w:sz="0" w:space="0" w:color="auto"/>
                        <w:left w:val="none" w:sz="0" w:space="0" w:color="auto"/>
                        <w:bottom w:val="none" w:sz="0" w:space="0" w:color="auto"/>
                        <w:right w:val="none" w:sz="0" w:space="0" w:color="auto"/>
                      </w:divBdr>
                      <w:divsChild>
                        <w:div w:id="589240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7374791">
      <w:bodyDiv w:val="1"/>
      <w:marLeft w:val="0"/>
      <w:marRight w:val="0"/>
      <w:marTop w:val="0"/>
      <w:marBottom w:val="0"/>
      <w:divBdr>
        <w:top w:val="none" w:sz="0" w:space="0" w:color="auto"/>
        <w:left w:val="none" w:sz="0" w:space="0" w:color="auto"/>
        <w:bottom w:val="none" w:sz="0" w:space="0" w:color="auto"/>
        <w:right w:val="none" w:sz="0" w:space="0" w:color="auto"/>
      </w:divBdr>
    </w:div>
    <w:div w:id="1848326408">
      <w:bodyDiv w:val="1"/>
      <w:marLeft w:val="0"/>
      <w:marRight w:val="0"/>
      <w:marTop w:val="0"/>
      <w:marBottom w:val="0"/>
      <w:divBdr>
        <w:top w:val="none" w:sz="0" w:space="0" w:color="auto"/>
        <w:left w:val="none" w:sz="0" w:space="0" w:color="auto"/>
        <w:bottom w:val="none" w:sz="0" w:space="0" w:color="auto"/>
        <w:right w:val="none" w:sz="0" w:space="0" w:color="auto"/>
      </w:divBdr>
    </w:div>
    <w:div w:id="1884750278">
      <w:bodyDiv w:val="1"/>
      <w:marLeft w:val="0"/>
      <w:marRight w:val="0"/>
      <w:marTop w:val="0"/>
      <w:marBottom w:val="0"/>
      <w:divBdr>
        <w:top w:val="none" w:sz="0" w:space="0" w:color="auto"/>
        <w:left w:val="none" w:sz="0" w:space="0" w:color="auto"/>
        <w:bottom w:val="none" w:sz="0" w:space="0" w:color="auto"/>
        <w:right w:val="none" w:sz="0" w:space="0" w:color="auto"/>
      </w:divBdr>
    </w:div>
    <w:div w:id="1923098670">
      <w:bodyDiv w:val="1"/>
      <w:marLeft w:val="0"/>
      <w:marRight w:val="0"/>
      <w:marTop w:val="0"/>
      <w:marBottom w:val="0"/>
      <w:divBdr>
        <w:top w:val="none" w:sz="0" w:space="0" w:color="auto"/>
        <w:left w:val="none" w:sz="0" w:space="0" w:color="auto"/>
        <w:bottom w:val="none" w:sz="0" w:space="0" w:color="auto"/>
        <w:right w:val="none" w:sz="0" w:space="0" w:color="auto"/>
      </w:divBdr>
    </w:div>
    <w:div w:id="1965576053">
      <w:bodyDiv w:val="1"/>
      <w:marLeft w:val="0"/>
      <w:marRight w:val="0"/>
      <w:marTop w:val="0"/>
      <w:marBottom w:val="0"/>
      <w:divBdr>
        <w:top w:val="none" w:sz="0" w:space="0" w:color="auto"/>
        <w:left w:val="none" w:sz="0" w:space="0" w:color="auto"/>
        <w:bottom w:val="none" w:sz="0" w:space="0" w:color="auto"/>
        <w:right w:val="none" w:sz="0" w:space="0" w:color="auto"/>
      </w:divBdr>
    </w:div>
    <w:div w:id="1971394755">
      <w:bodyDiv w:val="1"/>
      <w:marLeft w:val="0"/>
      <w:marRight w:val="0"/>
      <w:marTop w:val="0"/>
      <w:marBottom w:val="0"/>
      <w:divBdr>
        <w:top w:val="none" w:sz="0" w:space="0" w:color="auto"/>
        <w:left w:val="none" w:sz="0" w:space="0" w:color="auto"/>
        <w:bottom w:val="none" w:sz="0" w:space="0" w:color="auto"/>
        <w:right w:val="none" w:sz="0" w:space="0" w:color="auto"/>
      </w:divBdr>
    </w:div>
    <w:div w:id="1982230111">
      <w:bodyDiv w:val="1"/>
      <w:marLeft w:val="0"/>
      <w:marRight w:val="0"/>
      <w:marTop w:val="0"/>
      <w:marBottom w:val="0"/>
      <w:divBdr>
        <w:top w:val="none" w:sz="0" w:space="0" w:color="auto"/>
        <w:left w:val="none" w:sz="0" w:space="0" w:color="auto"/>
        <w:bottom w:val="none" w:sz="0" w:space="0" w:color="auto"/>
        <w:right w:val="none" w:sz="0" w:space="0" w:color="auto"/>
      </w:divBdr>
    </w:div>
    <w:div w:id="1983264174">
      <w:bodyDiv w:val="1"/>
      <w:marLeft w:val="0"/>
      <w:marRight w:val="0"/>
      <w:marTop w:val="0"/>
      <w:marBottom w:val="0"/>
      <w:divBdr>
        <w:top w:val="none" w:sz="0" w:space="0" w:color="auto"/>
        <w:left w:val="none" w:sz="0" w:space="0" w:color="auto"/>
        <w:bottom w:val="none" w:sz="0" w:space="0" w:color="auto"/>
        <w:right w:val="none" w:sz="0" w:space="0" w:color="auto"/>
      </w:divBdr>
    </w:div>
    <w:div w:id="2017422048">
      <w:bodyDiv w:val="1"/>
      <w:marLeft w:val="0"/>
      <w:marRight w:val="0"/>
      <w:marTop w:val="0"/>
      <w:marBottom w:val="0"/>
      <w:divBdr>
        <w:top w:val="none" w:sz="0" w:space="0" w:color="auto"/>
        <w:left w:val="none" w:sz="0" w:space="0" w:color="auto"/>
        <w:bottom w:val="none" w:sz="0" w:space="0" w:color="auto"/>
        <w:right w:val="none" w:sz="0" w:space="0" w:color="auto"/>
      </w:divBdr>
      <w:divsChild>
        <w:div w:id="709844922">
          <w:marLeft w:val="0"/>
          <w:marRight w:val="0"/>
          <w:marTop w:val="0"/>
          <w:marBottom w:val="0"/>
          <w:divBdr>
            <w:top w:val="none" w:sz="0" w:space="0" w:color="auto"/>
            <w:left w:val="none" w:sz="0" w:space="0" w:color="auto"/>
            <w:bottom w:val="none" w:sz="0" w:space="0" w:color="auto"/>
            <w:right w:val="none" w:sz="0" w:space="0" w:color="auto"/>
          </w:divBdr>
          <w:divsChild>
            <w:div w:id="2010214035">
              <w:marLeft w:val="0"/>
              <w:marRight w:val="0"/>
              <w:marTop w:val="0"/>
              <w:marBottom w:val="0"/>
              <w:divBdr>
                <w:top w:val="none" w:sz="0" w:space="0" w:color="auto"/>
                <w:left w:val="none" w:sz="0" w:space="0" w:color="auto"/>
                <w:bottom w:val="none" w:sz="0" w:space="0" w:color="auto"/>
                <w:right w:val="none" w:sz="0" w:space="0" w:color="auto"/>
              </w:divBdr>
              <w:divsChild>
                <w:div w:id="1203010755">
                  <w:marLeft w:val="0"/>
                  <w:marRight w:val="0"/>
                  <w:marTop w:val="0"/>
                  <w:marBottom w:val="0"/>
                  <w:divBdr>
                    <w:top w:val="none" w:sz="0" w:space="0" w:color="auto"/>
                    <w:left w:val="none" w:sz="0" w:space="0" w:color="auto"/>
                    <w:bottom w:val="none" w:sz="0" w:space="0" w:color="auto"/>
                    <w:right w:val="none" w:sz="0" w:space="0" w:color="auto"/>
                  </w:divBdr>
                  <w:divsChild>
                    <w:div w:id="1209419502">
                      <w:marLeft w:val="0"/>
                      <w:marRight w:val="-3225"/>
                      <w:marTop w:val="0"/>
                      <w:marBottom w:val="0"/>
                      <w:divBdr>
                        <w:top w:val="none" w:sz="0" w:space="0" w:color="auto"/>
                        <w:left w:val="none" w:sz="0" w:space="0" w:color="auto"/>
                        <w:bottom w:val="none" w:sz="0" w:space="0" w:color="auto"/>
                        <w:right w:val="none" w:sz="0" w:space="0" w:color="auto"/>
                      </w:divBdr>
                      <w:divsChild>
                        <w:div w:id="1104302471">
                          <w:marLeft w:val="2715"/>
                          <w:marRight w:val="3225"/>
                          <w:marTop w:val="0"/>
                          <w:marBottom w:val="0"/>
                          <w:divBdr>
                            <w:top w:val="none" w:sz="0" w:space="0" w:color="auto"/>
                            <w:left w:val="none" w:sz="0" w:space="0" w:color="auto"/>
                            <w:bottom w:val="none" w:sz="0" w:space="0" w:color="auto"/>
                            <w:right w:val="none" w:sz="0" w:space="0" w:color="auto"/>
                          </w:divBdr>
                          <w:divsChild>
                            <w:div w:id="1348486244">
                              <w:marLeft w:val="300"/>
                              <w:marRight w:val="300"/>
                              <w:marTop w:val="300"/>
                              <w:marBottom w:val="300"/>
                              <w:divBdr>
                                <w:top w:val="none" w:sz="0" w:space="0" w:color="auto"/>
                                <w:left w:val="none" w:sz="0" w:space="0" w:color="auto"/>
                                <w:bottom w:val="dotted" w:sz="6" w:space="15" w:color="666633"/>
                                <w:right w:val="none" w:sz="0" w:space="0" w:color="auto"/>
                              </w:divBdr>
                              <w:divsChild>
                                <w:div w:id="1445269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56662660">
      <w:bodyDiv w:val="1"/>
      <w:marLeft w:val="0"/>
      <w:marRight w:val="0"/>
      <w:marTop w:val="0"/>
      <w:marBottom w:val="0"/>
      <w:divBdr>
        <w:top w:val="none" w:sz="0" w:space="0" w:color="auto"/>
        <w:left w:val="none" w:sz="0" w:space="0" w:color="auto"/>
        <w:bottom w:val="none" w:sz="0" w:space="0" w:color="auto"/>
        <w:right w:val="none" w:sz="0" w:space="0" w:color="auto"/>
      </w:divBdr>
      <w:divsChild>
        <w:div w:id="805659578">
          <w:marLeft w:val="274"/>
          <w:marRight w:val="0"/>
          <w:marTop w:val="0"/>
          <w:marBottom w:val="0"/>
          <w:divBdr>
            <w:top w:val="none" w:sz="0" w:space="0" w:color="auto"/>
            <w:left w:val="none" w:sz="0" w:space="0" w:color="auto"/>
            <w:bottom w:val="none" w:sz="0" w:space="0" w:color="auto"/>
            <w:right w:val="none" w:sz="0" w:space="0" w:color="auto"/>
          </w:divBdr>
        </w:div>
      </w:divsChild>
    </w:div>
    <w:div w:id="2056813635">
      <w:bodyDiv w:val="1"/>
      <w:marLeft w:val="0"/>
      <w:marRight w:val="0"/>
      <w:marTop w:val="0"/>
      <w:marBottom w:val="0"/>
      <w:divBdr>
        <w:top w:val="none" w:sz="0" w:space="0" w:color="auto"/>
        <w:left w:val="none" w:sz="0" w:space="0" w:color="auto"/>
        <w:bottom w:val="none" w:sz="0" w:space="0" w:color="auto"/>
        <w:right w:val="none" w:sz="0" w:space="0" w:color="auto"/>
      </w:divBdr>
    </w:div>
    <w:div w:id="2093041707">
      <w:bodyDiv w:val="1"/>
      <w:marLeft w:val="0"/>
      <w:marRight w:val="0"/>
      <w:marTop w:val="0"/>
      <w:marBottom w:val="0"/>
      <w:divBdr>
        <w:top w:val="none" w:sz="0" w:space="0" w:color="auto"/>
        <w:left w:val="none" w:sz="0" w:space="0" w:color="auto"/>
        <w:bottom w:val="none" w:sz="0" w:space="0" w:color="auto"/>
        <w:right w:val="none" w:sz="0" w:space="0" w:color="auto"/>
      </w:divBdr>
      <w:divsChild>
        <w:div w:id="1582131821">
          <w:marLeft w:val="0"/>
          <w:marRight w:val="0"/>
          <w:marTop w:val="0"/>
          <w:marBottom w:val="0"/>
          <w:divBdr>
            <w:top w:val="none" w:sz="0" w:space="0" w:color="auto"/>
            <w:left w:val="none" w:sz="0" w:space="0" w:color="auto"/>
            <w:bottom w:val="none" w:sz="0" w:space="0" w:color="auto"/>
            <w:right w:val="none" w:sz="0" w:space="0" w:color="auto"/>
          </w:divBdr>
          <w:divsChild>
            <w:div w:id="253784675">
              <w:marLeft w:val="0"/>
              <w:marRight w:val="0"/>
              <w:marTop w:val="0"/>
              <w:marBottom w:val="0"/>
              <w:divBdr>
                <w:top w:val="none" w:sz="0" w:space="0" w:color="auto"/>
                <w:left w:val="none" w:sz="0" w:space="0" w:color="auto"/>
                <w:bottom w:val="none" w:sz="0" w:space="0" w:color="auto"/>
                <w:right w:val="none" w:sz="0" w:space="0" w:color="auto"/>
              </w:divBdr>
              <w:divsChild>
                <w:div w:id="716275057">
                  <w:marLeft w:val="-300"/>
                  <w:marRight w:val="0"/>
                  <w:marTop w:val="0"/>
                  <w:marBottom w:val="0"/>
                  <w:divBdr>
                    <w:top w:val="none" w:sz="0" w:space="0" w:color="auto"/>
                    <w:left w:val="none" w:sz="0" w:space="0" w:color="auto"/>
                    <w:bottom w:val="none" w:sz="0" w:space="0" w:color="auto"/>
                    <w:right w:val="none" w:sz="0" w:space="0" w:color="auto"/>
                  </w:divBdr>
                  <w:divsChild>
                    <w:div w:id="2019885591">
                      <w:marLeft w:val="0"/>
                      <w:marRight w:val="0"/>
                      <w:marTop w:val="0"/>
                      <w:marBottom w:val="0"/>
                      <w:divBdr>
                        <w:top w:val="none" w:sz="0" w:space="0" w:color="auto"/>
                        <w:left w:val="none" w:sz="0" w:space="0" w:color="auto"/>
                        <w:bottom w:val="none" w:sz="0" w:space="0" w:color="auto"/>
                        <w:right w:val="none" w:sz="0" w:space="0" w:color="auto"/>
                      </w:divBdr>
                      <w:divsChild>
                        <w:div w:id="1193569831">
                          <w:marLeft w:val="0"/>
                          <w:marRight w:val="0"/>
                          <w:marTop w:val="0"/>
                          <w:marBottom w:val="0"/>
                          <w:divBdr>
                            <w:top w:val="none" w:sz="0" w:space="0" w:color="auto"/>
                            <w:left w:val="none" w:sz="0" w:space="0" w:color="auto"/>
                            <w:bottom w:val="none" w:sz="0" w:space="0" w:color="auto"/>
                            <w:right w:val="none" w:sz="0" w:space="0" w:color="auto"/>
                          </w:divBdr>
                          <w:divsChild>
                            <w:div w:id="281420848">
                              <w:marLeft w:val="0"/>
                              <w:marRight w:val="0"/>
                              <w:marTop w:val="0"/>
                              <w:marBottom w:val="0"/>
                              <w:divBdr>
                                <w:top w:val="none" w:sz="0" w:space="0" w:color="auto"/>
                                <w:left w:val="none" w:sz="0" w:space="0" w:color="auto"/>
                                <w:bottom w:val="none" w:sz="0" w:space="0" w:color="auto"/>
                                <w:right w:val="none" w:sz="0" w:space="0" w:color="auto"/>
                              </w:divBdr>
                              <w:divsChild>
                                <w:div w:id="77352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44228581">
      <w:bodyDiv w:val="1"/>
      <w:marLeft w:val="0"/>
      <w:marRight w:val="0"/>
      <w:marTop w:val="0"/>
      <w:marBottom w:val="0"/>
      <w:divBdr>
        <w:top w:val="none" w:sz="0" w:space="0" w:color="auto"/>
        <w:left w:val="none" w:sz="0" w:space="0" w:color="auto"/>
        <w:bottom w:val="none" w:sz="0" w:space="0" w:color="auto"/>
        <w:right w:val="none" w:sz="0" w:space="0" w:color="auto"/>
      </w:divBdr>
    </w:div>
    <w:div w:id="21448041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3.png"/><Relationship Id="rId26" Type="http://schemas.openxmlformats.org/officeDocument/2006/relationships/image" Target="media/image9.png"/><Relationship Id="rId39" Type="http://schemas.openxmlformats.org/officeDocument/2006/relationships/hyperlink" Target="http://www.defra.gov.uk/food-farm/farm-manage/cross-compliance/" TargetMode="External"/><Relationship Id="rId21" Type="http://schemas.openxmlformats.org/officeDocument/2006/relationships/header" Target="header6.xml"/><Relationship Id="rId34" Type="http://schemas.openxmlformats.org/officeDocument/2006/relationships/hyperlink" Target="http://www.opsi.gov.uk/si/si2007/uksi_20071903_en_1" TargetMode="External"/><Relationship Id="rId42" Type="http://schemas.openxmlformats.org/officeDocument/2006/relationships/image" Target="media/image10.emf"/><Relationship Id="rId47" Type="http://schemas.openxmlformats.org/officeDocument/2006/relationships/image" Target="media/image15.png"/><Relationship Id="rId50" Type="http://schemas.openxmlformats.org/officeDocument/2006/relationships/image" Target="media/image16.png"/><Relationship Id="rId55" Type="http://schemas.openxmlformats.org/officeDocument/2006/relationships/header" Target="header18.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2.png"/><Relationship Id="rId25" Type="http://schemas.openxmlformats.org/officeDocument/2006/relationships/image" Target="media/image8.jpeg"/><Relationship Id="rId33" Type="http://schemas.openxmlformats.org/officeDocument/2006/relationships/hyperlink" Target="http://www.opsi.gov.uk/si/si2006/20060372.htm" TargetMode="External"/><Relationship Id="rId38" Type="http://schemas.openxmlformats.org/officeDocument/2006/relationships/header" Target="header14.xml"/><Relationship Id="rId46"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header" Target="header5.xml"/><Relationship Id="rId29" Type="http://schemas.openxmlformats.org/officeDocument/2006/relationships/header" Target="header8.xml"/><Relationship Id="rId41" Type="http://schemas.openxmlformats.org/officeDocument/2006/relationships/header" Target="header15.xml"/><Relationship Id="rId54"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7.emf"/><Relationship Id="rId32" Type="http://schemas.openxmlformats.org/officeDocument/2006/relationships/header" Target="header10.xml"/><Relationship Id="rId37" Type="http://schemas.openxmlformats.org/officeDocument/2006/relationships/header" Target="header13.xml"/><Relationship Id="rId40" Type="http://schemas.openxmlformats.org/officeDocument/2006/relationships/hyperlink" Target="https://www.gov.uk/guidance/first-homes" TargetMode="External"/><Relationship Id="rId45" Type="http://schemas.openxmlformats.org/officeDocument/2006/relationships/image" Target="media/image13.emf"/><Relationship Id="rId53" Type="http://schemas.openxmlformats.org/officeDocument/2006/relationships/header" Target="header17.xml"/><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image" Target="media/image6.png"/><Relationship Id="rId28" Type="http://schemas.openxmlformats.org/officeDocument/2006/relationships/hyperlink" Target="http://planningguidance.planningportal.gov.uk/blog/guidance/local-plans/" TargetMode="External"/><Relationship Id="rId36" Type="http://schemas.openxmlformats.org/officeDocument/2006/relationships/header" Target="header12.xml"/><Relationship Id="rId49" Type="http://schemas.openxmlformats.org/officeDocument/2006/relationships/footer" Target="footer5.xml"/><Relationship Id="rId57"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4.png"/><Relationship Id="rId31" Type="http://schemas.openxmlformats.org/officeDocument/2006/relationships/hyperlink" Target="https://assets.publishing.service.gov.uk/government/uploads/system/uploads/attachment_data/file/1012931/HDT_Measurement_Rule_Book.pdf" TargetMode="External"/><Relationship Id="rId44" Type="http://schemas.openxmlformats.org/officeDocument/2006/relationships/image" Target="media/image12.emf"/><Relationship Id="rId52" Type="http://schemas.openxmlformats.org/officeDocument/2006/relationships/image" Target="media/image17.emf"/><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5.png"/><Relationship Id="rId27" Type="http://schemas.openxmlformats.org/officeDocument/2006/relationships/header" Target="header7.xml"/><Relationship Id="rId30" Type="http://schemas.openxmlformats.org/officeDocument/2006/relationships/header" Target="header9.xml"/><Relationship Id="rId35" Type="http://schemas.openxmlformats.org/officeDocument/2006/relationships/header" Target="header11.xml"/><Relationship Id="rId43" Type="http://schemas.openxmlformats.org/officeDocument/2006/relationships/image" Target="media/image11.emf"/><Relationship Id="rId48" Type="http://schemas.openxmlformats.org/officeDocument/2006/relationships/header" Target="header16.xml"/><Relationship Id="rId56" Type="http://schemas.openxmlformats.org/officeDocument/2006/relationships/footer" Target="footer7.xml"/><Relationship Id="rId8" Type="http://schemas.openxmlformats.org/officeDocument/2006/relationships/image" Target="media/image1.png"/><Relationship Id="rId51" Type="http://schemas.openxmlformats.org/officeDocument/2006/relationships/chart" Target="charts/chart1.xml"/><Relationship Id="rId3" Type="http://schemas.openxmlformats.org/officeDocument/2006/relationships/styles" Target="styles.xml"/></Relationships>
</file>

<file path=word/_rels/footer7.xml.rels><?xml version="1.0" encoding="UTF-8" standalone="yes"?>
<Relationships xmlns="http://schemas.openxmlformats.org/package/2006/relationships"><Relationship Id="rId1" Type="http://schemas.openxmlformats.org/officeDocument/2006/relationships/image" Target="media/image18.png"/></Relationships>
</file>

<file path=word/_rels/footnotes.xml.rels><?xml version="1.0" encoding="UTF-8" standalone="yes"?>
<Relationships xmlns="http://schemas.openxmlformats.org/package/2006/relationships"><Relationship Id="rId13" Type="http://schemas.openxmlformats.org/officeDocument/2006/relationships/hyperlink" Target="https://www.ons.gov.uk/peoplepopulationandcommunity/populationandmigration/populationestimates/datasets/populationestimatesforukenglandandwalesscotlandandnorthernireland" TargetMode="External"/><Relationship Id="rId18" Type="http://schemas.openxmlformats.org/officeDocument/2006/relationships/hyperlink" Target="https://www.nottinghamshire.gov.uk/transport/public-transport/plans-strategies-policies/local-transport-plan" TargetMode="External"/><Relationship Id="rId26" Type="http://schemas.openxmlformats.org/officeDocument/2006/relationships/hyperlink" Target="https://www.ashfield.gov.uk/your-council/strategies-plans-policies/housing-strategy-research/affordable-housing-delivery-strategy-2021-to-2023/" TargetMode="External"/><Relationship Id="rId39" Type="http://schemas.openxmlformats.org/officeDocument/2006/relationships/hyperlink" Target="https://www.ashfield.gov.uk/planning-building-control/local-plan/emerging-local-plan/local-plan-evidence-base/" TargetMode="External"/><Relationship Id="rId3" Type="http://schemas.openxmlformats.org/officeDocument/2006/relationships/hyperlink" Target="https://www.nottinghamshire.gov.uk/planning-and-environment/minerals-local-plan/adopted-minerals-local-plan" TargetMode="External"/><Relationship Id="rId21" Type="http://schemas.openxmlformats.org/officeDocument/2006/relationships/hyperlink" Target="https://www.gov.uk/government/publications/hs2-safeguarding-for-developers-and-local-authorities" TargetMode="External"/><Relationship Id="rId34" Type="http://schemas.openxmlformats.org/officeDocument/2006/relationships/hyperlink" Target="https://www.gov.uk/guidance/housing-and-economic-development-needs-assessments" TargetMode="External"/><Relationship Id="rId42" Type="http://schemas.openxmlformats.org/officeDocument/2006/relationships/hyperlink" Target="https://www.ashfield.gov.uk/business-licensing/support-into-work/towns-fund/" TargetMode="External"/><Relationship Id="rId47" Type="http://schemas.openxmlformats.org/officeDocument/2006/relationships/hyperlink" Target="https://www.ashfield.gov.uk/your-council/strategies-plans-policies/housing-strategy-research/" TargetMode="External"/><Relationship Id="rId7" Type="http://schemas.openxmlformats.org/officeDocument/2006/relationships/hyperlink" Target="https://www.ashfield.gov.uk/planning-building-control/local-plan/emerging-local-plan/local-plan-evidence-base/" TargetMode="External"/><Relationship Id="rId12" Type="http://schemas.openxmlformats.org/officeDocument/2006/relationships/hyperlink" Target="https://www.ashfield.gov.uk/planning-building-control/development-management-documents/" TargetMode="External"/><Relationship Id="rId17" Type="http://schemas.openxmlformats.org/officeDocument/2006/relationships/hyperlink" Target="https://www.un.org/sustainabledevelopment/sustainable-development-goals/" TargetMode="External"/><Relationship Id="rId25" Type="http://schemas.openxmlformats.org/officeDocument/2006/relationships/hyperlink" Target="https://www.ashfield.gov.uk/media/8d850ae2a324a84/ashfield-and-mansfield-a-plan-for-growth-2017.pdf" TargetMode="External"/><Relationship Id="rId33" Type="http://schemas.openxmlformats.org/officeDocument/2006/relationships/hyperlink" Target="https://www.udg.org.uk/sites/default/files/publications/files/14JULY20%20BFL%202020%20Brochure_3.pdf" TargetMode="External"/><Relationship Id="rId38" Type="http://schemas.openxmlformats.org/officeDocument/2006/relationships/hyperlink" Target="https://www.gov.uk/government/uploads/system/uploads/attachment_data/file/457420/Final_planning_and_travellers_policy.pdf" TargetMode="External"/><Relationship Id="rId46" Type="http://schemas.openxmlformats.org/officeDocument/2006/relationships/hyperlink" Target="https://assets.publishing.service.gov.uk/government/uploads/system/uploads/attachment_data/file/457420/Final_planning_and_travellers_policy.pdf" TargetMode="External"/><Relationship Id="rId2" Type="http://schemas.openxmlformats.org/officeDocument/2006/relationships/hyperlink" Target="https://www.nottinghamshire.gov.uk/planning-and-environment/waste-development-plan/adopted-waste-local-plan" TargetMode="External"/><Relationship Id="rId16" Type="http://schemas.openxmlformats.org/officeDocument/2006/relationships/hyperlink" Target="https://www.ashfield.gov.uk/planning-building-control/neighbourhood-plans/teversal-stanton-hill-skegby-neighbourhood-plan/" TargetMode="External"/><Relationship Id="rId20" Type="http://schemas.openxmlformats.org/officeDocument/2006/relationships/hyperlink" Target="https://www.gov.uk/government/publications/integrated-rail-plan-for-the-north-and-the-midlands" TargetMode="External"/><Relationship Id="rId29" Type="http://schemas.openxmlformats.org/officeDocument/2006/relationships/hyperlink" Target="https://www.ashfield.gov.uk/planning-building-control/development-management-documents/" TargetMode="External"/><Relationship Id="rId41" Type="http://schemas.openxmlformats.org/officeDocument/2006/relationships/hyperlink" Target="https://www.gedling.gov.uk/acs/" TargetMode="External"/><Relationship Id="rId1" Type="http://schemas.openxmlformats.org/officeDocument/2006/relationships/hyperlink" Target="https://www.nottinghamshire.gov.uk/planning-and-environment/waste-development-plan/waste-core-strategy" TargetMode="External"/><Relationship Id="rId6" Type="http://schemas.openxmlformats.org/officeDocument/2006/relationships/hyperlink" Target="https://www.gov.uk/government/collections/planning-practice-guidance" TargetMode="External"/><Relationship Id="rId11" Type="http://schemas.openxmlformats.org/officeDocument/2006/relationships/hyperlink" Target="https://www.legislation.gov.uk/uksi/2017/1244/regulation/4/made" TargetMode="External"/><Relationship Id="rId24" Type="http://schemas.openxmlformats.org/officeDocument/2006/relationships/hyperlink" Target="https://www.ashfield.gov.uk/media/8d88f9438231a5e/social-value-policy.pdf" TargetMode="External"/><Relationship Id="rId32" Type="http://schemas.openxmlformats.org/officeDocument/2006/relationships/hyperlink" Target="https://www.gov.uk/government/publications/national-model-design-code" TargetMode="External"/><Relationship Id="rId37" Type="http://schemas.openxmlformats.org/officeDocument/2006/relationships/hyperlink" Target="https://www.ashfield.gov.uk/planning-building-control/building-control-regulations/self-build-custom-builds/self-build-custom-monitoring/" TargetMode="External"/><Relationship Id="rId40" Type="http://schemas.openxmlformats.org/officeDocument/2006/relationships/hyperlink" Target="http://discoverashfield.co.uk/" TargetMode="External"/><Relationship Id="rId45" Type="http://schemas.openxmlformats.org/officeDocument/2006/relationships/hyperlink" Target="https://www.ashfield.gov.uk/media/xmhna3qg/natural_england_s_advice_notes_on_the_sherwood_ppspa__2014.pdf" TargetMode="External"/><Relationship Id="rId5" Type="http://schemas.openxmlformats.org/officeDocument/2006/relationships/hyperlink" Target="https://assets.publishing.service.gov.uk/government/uploads/system/uploads/attachment_data/file/1182995/NPPF_Sept_23.pdf" TargetMode="External"/><Relationship Id="rId15" Type="http://schemas.openxmlformats.org/officeDocument/2006/relationships/hyperlink" Target="https://www.ashfield.gov.uk/planning-building-control/neighbourhood-plans/jacksdale-underwood-selston-neighbourhood-plan/" TargetMode="External"/><Relationship Id="rId23" Type="http://schemas.openxmlformats.org/officeDocument/2006/relationships/hyperlink" Target="https://www.ashfield.gov.uk/your-council/strategies-plans-policies/" TargetMode="External"/><Relationship Id="rId28" Type="http://schemas.openxmlformats.org/officeDocument/2006/relationships/hyperlink" Target="https://www.ashfield.gov.uk/business-licensing/support-into-work/towns-fund/" TargetMode="External"/><Relationship Id="rId36" Type="http://schemas.openxmlformats.org/officeDocument/2006/relationships/hyperlink" Target="https://www.ashfield.gov.uk/media/8d890976f713e6c/2020-11-10-greater-nottingham-and-ashfield_housing-needs-assessment_final.pdf" TargetMode="External"/><Relationship Id="rId49" Type="http://schemas.openxmlformats.org/officeDocument/2006/relationships/hyperlink" Target="https://www.ashfield.gov.uk/planning-building-control/building-control-regulations/self-build-custom-builds/self-build-custom-monitoring/" TargetMode="External"/><Relationship Id="rId10" Type="http://schemas.openxmlformats.org/officeDocument/2006/relationships/hyperlink" Target="https://www.ashfield.gov.uk/planning-building-control/local-plan/emerging-local-plan/" TargetMode="External"/><Relationship Id="rId19" Type="http://schemas.openxmlformats.org/officeDocument/2006/relationships/hyperlink" Target="https://www.lepnetwork.net/lep-activities/local-industrial-strategies/" TargetMode="External"/><Relationship Id="rId31" Type="http://schemas.openxmlformats.org/officeDocument/2006/relationships/hyperlink" Target="https://www.ashfield.gov.uk/planning-building-control/local-plan/sustainability-appraisal/" TargetMode="External"/><Relationship Id="rId44" Type="http://schemas.openxmlformats.org/officeDocument/2006/relationships/hyperlink" Target="https://www.ashfield.gov.uk/planning-building-control/development-management-documents/" TargetMode="External"/><Relationship Id="rId4" Type="http://schemas.openxmlformats.org/officeDocument/2006/relationships/hyperlink" Target="https://www.nottinghamshire.gov.uk/planning-and-environment/minerals-local-plan/adopted-minerals-local-plan" TargetMode="External"/><Relationship Id="rId9" Type="http://schemas.openxmlformats.org/officeDocument/2006/relationships/hyperlink" Target="https://www.ashfield.gov.uk/planning-building-control/local-plan/emerging-local-plan/" TargetMode="External"/><Relationship Id="rId14" Type="http://schemas.openxmlformats.org/officeDocument/2006/relationships/hyperlink" Target="https://www.mansfield.gov.uk/downloads/file/482/natural-england-s-advice-notes-on-the-sherwood-ppspa-2014" TargetMode="External"/><Relationship Id="rId22" Type="http://schemas.openxmlformats.org/officeDocument/2006/relationships/hyperlink" Target="https://www.nottinghamshire.gov.uk/policy-library/38815/the-joint-health-and-wellbeing-strategy-for-2022-2026" TargetMode="External"/><Relationship Id="rId27" Type="http://schemas.openxmlformats.org/officeDocument/2006/relationships/hyperlink" Target="https://www.ashfield.gov.uk/community-leisure/anti-social-behaviour-community-safety/" TargetMode="External"/><Relationship Id="rId30" Type="http://schemas.openxmlformats.org/officeDocument/2006/relationships/hyperlink" Target="https://www.ashfield.gov.uk/planning-building-control/local-plan/monitoring/" TargetMode="External"/><Relationship Id="rId35" Type="http://schemas.openxmlformats.org/officeDocument/2006/relationships/hyperlink" Target="https://www.ashfield.gov.uk/planning-building-control/local-plan/monitoring/" TargetMode="External"/><Relationship Id="rId43" Type="http://schemas.openxmlformats.org/officeDocument/2006/relationships/hyperlink" Target="https://www.gov.uk/government/publications/water-stressed-areas-2021-classification" TargetMode="External"/><Relationship Id="rId48" Type="http://schemas.openxmlformats.org/officeDocument/2006/relationships/hyperlink" Target="https://www.ashfield.gov.uk/planning-building-control/local-plan/" TargetMode="External"/><Relationship Id="rId8" Type="http://schemas.openxmlformats.org/officeDocument/2006/relationships/hyperlink" Target="https://www.ashfield.gov.uk/planning-building-control/local-plan/statement-of-community-involvement/"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Ashfield Housing Trajectory Chart 2023 to 2040</a:t>
            </a:r>
          </a:p>
        </c:rich>
      </c:tx>
      <c:layout>
        <c:manualLayout>
          <c:xMode val="edge"/>
          <c:yMode val="edge"/>
          <c:x val="0.12018744531933509"/>
          <c:y val="5.6100973506499324E-3"/>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stacked"/>
        <c:varyColors val="0"/>
        <c:ser>
          <c:idx val="1"/>
          <c:order val="1"/>
          <c:tx>
            <c:strRef>
              <c:f>'Trajectory 2023-2040'!$A$4</c:f>
              <c:strCache>
                <c:ptCount val="1"/>
                <c:pt idx="0">
                  <c:v>Projected completions from large sites without planning permission</c:v>
                </c:pt>
              </c:strCache>
            </c:strRef>
          </c:tx>
          <c:spPr>
            <a:solidFill>
              <a:schemeClr val="accent2"/>
            </a:solidFill>
            <a:ln>
              <a:noFill/>
            </a:ln>
            <a:effectLst/>
          </c:spPr>
          <c:invertIfNegative val="0"/>
          <c:cat>
            <c:strRef>
              <c:f>'Trajectory 2023-2040'!$B$2:$R$2</c:f>
              <c:strCache>
                <c:ptCount val="17"/>
                <c:pt idx="0">
                  <c:v>2023/24</c:v>
                </c:pt>
                <c:pt idx="1">
                  <c:v>2024/25</c:v>
                </c:pt>
                <c:pt idx="2">
                  <c:v>2025/26</c:v>
                </c:pt>
                <c:pt idx="3">
                  <c:v>2026/27</c:v>
                </c:pt>
                <c:pt idx="4">
                  <c:v>2027/28</c:v>
                </c:pt>
                <c:pt idx="5">
                  <c:v>2028/29</c:v>
                </c:pt>
                <c:pt idx="6">
                  <c:v>2029/30</c:v>
                </c:pt>
                <c:pt idx="7">
                  <c:v>2030/31</c:v>
                </c:pt>
                <c:pt idx="8">
                  <c:v>2031/32</c:v>
                </c:pt>
                <c:pt idx="9">
                  <c:v>2032/33</c:v>
                </c:pt>
                <c:pt idx="10">
                  <c:v>2033/34</c:v>
                </c:pt>
                <c:pt idx="11">
                  <c:v>2034/35</c:v>
                </c:pt>
                <c:pt idx="12">
                  <c:v>2035/36</c:v>
                </c:pt>
                <c:pt idx="13">
                  <c:v>2036/37</c:v>
                </c:pt>
                <c:pt idx="14">
                  <c:v>2037/38</c:v>
                </c:pt>
                <c:pt idx="15">
                  <c:v>2038/39</c:v>
                </c:pt>
                <c:pt idx="16">
                  <c:v>2039/40</c:v>
                </c:pt>
              </c:strCache>
            </c:strRef>
          </c:cat>
          <c:val>
            <c:numRef>
              <c:f>'Trajectory 2023-2040'!$B$4:$R$4</c:f>
              <c:numCache>
                <c:formatCode>#,##0</c:formatCode>
                <c:ptCount val="17"/>
                <c:pt idx="0">
                  <c:v>0</c:v>
                </c:pt>
                <c:pt idx="1">
                  <c:v>0</c:v>
                </c:pt>
                <c:pt idx="2">
                  <c:v>35</c:v>
                </c:pt>
                <c:pt idx="3">
                  <c:v>140</c:v>
                </c:pt>
                <c:pt idx="4">
                  <c:v>108</c:v>
                </c:pt>
                <c:pt idx="5">
                  <c:v>1082</c:v>
                </c:pt>
                <c:pt idx="6">
                  <c:v>694</c:v>
                </c:pt>
                <c:pt idx="7">
                  <c:v>480</c:v>
                </c:pt>
                <c:pt idx="8">
                  <c:v>350</c:v>
                </c:pt>
                <c:pt idx="9">
                  <c:v>318</c:v>
                </c:pt>
                <c:pt idx="10">
                  <c:v>266</c:v>
                </c:pt>
                <c:pt idx="11">
                  <c:v>157</c:v>
                </c:pt>
                <c:pt idx="12">
                  <c:v>124</c:v>
                </c:pt>
                <c:pt idx="13">
                  <c:v>3</c:v>
                </c:pt>
                <c:pt idx="14">
                  <c:v>0</c:v>
                </c:pt>
                <c:pt idx="15">
                  <c:v>0</c:v>
                </c:pt>
                <c:pt idx="16">
                  <c:v>0</c:v>
                </c:pt>
              </c:numCache>
            </c:numRef>
          </c:val>
          <c:extLst>
            <c:ext xmlns:c16="http://schemas.microsoft.com/office/drawing/2014/chart" uri="{C3380CC4-5D6E-409C-BE32-E72D297353CC}">
              <c16:uniqueId val="{00000000-EF10-4C82-8111-AB42962F42B8}"/>
            </c:ext>
          </c:extLst>
        </c:ser>
        <c:ser>
          <c:idx val="2"/>
          <c:order val="2"/>
          <c:tx>
            <c:strRef>
              <c:f>'Trajectory 2023-2040'!$A$5</c:f>
              <c:strCache>
                <c:ptCount val="1"/>
                <c:pt idx="0">
                  <c:v>Projected completions from large sites with Full planning permission</c:v>
                </c:pt>
              </c:strCache>
            </c:strRef>
          </c:tx>
          <c:spPr>
            <a:solidFill>
              <a:srgbClr val="92D050"/>
            </a:solidFill>
            <a:ln>
              <a:noFill/>
            </a:ln>
            <a:effectLst/>
          </c:spPr>
          <c:invertIfNegative val="0"/>
          <c:cat>
            <c:strRef>
              <c:f>'Trajectory 2023-2040'!$B$2:$R$2</c:f>
              <c:strCache>
                <c:ptCount val="17"/>
                <c:pt idx="0">
                  <c:v>2023/24</c:v>
                </c:pt>
                <c:pt idx="1">
                  <c:v>2024/25</c:v>
                </c:pt>
                <c:pt idx="2">
                  <c:v>2025/26</c:v>
                </c:pt>
                <c:pt idx="3">
                  <c:v>2026/27</c:v>
                </c:pt>
                <c:pt idx="4">
                  <c:v>2027/28</c:v>
                </c:pt>
                <c:pt idx="5">
                  <c:v>2028/29</c:v>
                </c:pt>
                <c:pt idx="6">
                  <c:v>2029/30</c:v>
                </c:pt>
                <c:pt idx="7">
                  <c:v>2030/31</c:v>
                </c:pt>
                <c:pt idx="8">
                  <c:v>2031/32</c:v>
                </c:pt>
                <c:pt idx="9">
                  <c:v>2032/33</c:v>
                </c:pt>
                <c:pt idx="10">
                  <c:v>2033/34</c:v>
                </c:pt>
                <c:pt idx="11">
                  <c:v>2034/35</c:v>
                </c:pt>
                <c:pt idx="12">
                  <c:v>2035/36</c:v>
                </c:pt>
                <c:pt idx="13">
                  <c:v>2036/37</c:v>
                </c:pt>
                <c:pt idx="14">
                  <c:v>2037/38</c:v>
                </c:pt>
                <c:pt idx="15">
                  <c:v>2038/39</c:v>
                </c:pt>
                <c:pt idx="16">
                  <c:v>2039/40</c:v>
                </c:pt>
              </c:strCache>
            </c:strRef>
          </c:cat>
          <c:val>
            <c:numRef>
              <c:f>'Trajectory 2023-2040'!$B$5:$R$5</c:f>
              <c:numCache>
                <c:formatCode>#,##0</c:formatCode>
                <c:ptCount val="17"/>
                <c:pt idx="0">
                  <c:v>310</c:v>
                </c:pt>
                <c:pt idx="1">
                  <c:v>338</c:v>
                </c:pt>
                <c:pt idx="2">
                  <c:v>280</c:v>
                </c:pt>
                <c:pt idx="3">
                  <c:v>244</c:v>
                </c:pt>
                <c:pt idx="4">
                  <c:v>184</c:v>
                </c:pt>
                <c:pt idx="5">
                  <c:v>129</c:v>
                </c:pt>
                <c:pt idx="6">
                  <c:v>81</c:v>
                </c:pt>
                <c:pt idx="7">
                  <c:v>70</c:v>
                </c:pt>
                <c:pt idx="8">
                  <c:v>70</c:v>
                </c:pt>
                <c:pt idx="9">
                  <c:v>55</c:v>
                </c:pt>
                <c:pt idx="10">
                  <c:v>0</c:v>
                </c:pt>
                <c:pt idx="11">
                  <c:v>0</c:v>
                </c:pt>
                <c:pt idx="12">
                  <c:v>0</c:v>
                </c:pt>
                <c:pt idx="13">
                  <c:v>0</c:v>
                </c:pt>
                <c:pt idx="14">
                  <c:v>0</c:v>
                </c:pt>
                <c:pt idx="15">
                  <c:v>0</c:v>
                </c:pt>
                <c:pt idx="16">
                  <c:v>0</c:v>
                </c:pt>
              </c:numCache>
            </c:numRef>
          </c:val>
          <c:extLst>
            <c:ext xmlns:c16="http://schemas.microsoft.com/office/drawing/2014/chart" uri="{C3380CC4-5D6E-409C-BE32-E72D297353CC}">
              <c16:uniqueId val="{00000001-EF10-4C82-8111-AB42962F42B8}"/>
            </c:ext>
          </c:extLst>
        </c:ser>
        <c:ser>
          <c:idx val="3"/>
          <c:order val="3"/>
          <c:tx>
            <c:strRef>
              <c:f>'Trajectory 2023-2040'!$A$6</c:f>
              <c:strCache>
                <c:ptCount val="1"/>
                <c:pt idx="0">
                  <c:v>Projected completions from large sites with outline planning permission</c:v>
                </c:pt>
              </c:strCache>
            </c:strRef>
          </c:tx>
          <c:spPr>
            <a:solidFill>
              <a:schemeClr val="accent6">
                <a:lumMod val="75000"/>
              </a:schemeClr>
            </a:solidFill>
            <a:ln>
              <a:noFill/>
            </a:ln>
            <a:effectLst/>
          </c:spPr>
          <c:invertIfNegative val="0"/>
          <c:cat>
            <c:strRef>
              <c:f>'Trajectory 2023-2040'!$B$2:$R$2</c:f>
              <c:strCache>
                <c:ptCount val="17"/>
                <c:pt idx="0">
                  <c:v>2023/24</c:v>
                </c:pt>
                <c:pt idx="1">
                  <c:v>2024/25</c:v>
                </c:pt>
                <c:pt idx="2">
                  <c:v>2025/26</c:v>
                </c:pt>
                <c:pt idx="3">
                  <c:v>2026/27</c:v>
                </c:pt>
                <c:pt idx="4">
                  <c:v>2027/28</c:v>
                </c:pt>
                <c:pt idx="5">
                  <c:v>2028/29</c:v>
                </c:pt>
                <c:pt idx="6">
                  <c:v>2029/30</c:v>
                </c:pt>
                <c:pt idx="7">
                  <c:v>2030/31</c:v>
                </c:pt>
                <c:pt idx="8">
                  <c:v>2031/32</c:v>
                </c:pt>
                <c:pt idx="9">
                  <c:v>2032/33</c:v>
                </c:pt>
                <c:pt idx="10">
                  <c:v>2033/34</c:v>
                </c:pt>
                <c:pt idx="11">
                  <c:v>2034/35</c:v>
                </c:pt>
                <c:pt idx="12">
                  <c:v>2035/36</c:v>
                </c:pt>
                <c:pt idx="13">
                  <c:v>2036/37</c:v>
                </c:pt>
                <c:pt idx="14">
                  <c:v>2037/38</c:v>
                </c:pt>
                <c:pt idx="15">
                  <c:v>2038/39</c:v>
                </c:pt>
                <c:pt idx="16">
                  <c:v>2039/40</c:v>
                </c:pt>
              </c:strCache>
            </c:strRef>
          </c:cat>
          <c:val>
            <c:numRef>
              <c:f>'Trajectory 2023-2040'!$B$6:$R$6</c:f>
              <c:numCache>
                <c:formatCode>#,##0</c:formatCode>
                <c:ptCount val="17"/>
                <c:pt idx="0">
                  <c:v>0</c:v>
                </c:pt>
                <c:pt idx="1">
                  <c:v>0</c:v>
                </c:pt>
                <c:pt idx="2">
                  <c:v>0</c:v>
                </c:pt>
                <c:pt idx="3">
                  <c:v>58</c:v>
                </c:pt>
                <c:pt idx="4">
                  <c:v>35</c:v>
                </c:pt>
                <c:pt idx="5">
                  <c:v>47</c:v>
                </c:pt>
                <c:pt idx="6">
                  <c:v>35</c:v>
                </c:pt>
                <c:pt idx="7">
                  <c:v>14</c:v>
                </c:pt>
                <c:pt idx="8">
                  <c:v>0</c:v>
                </c:pt>
                <c:pt idx="9">
                  <c:v>0</c:v>
                </c:pt>
                <c:pt idx="10">
                  <c:v>0</c:v>
                </c:pt>
                <c:pt idx="11">
                  <c:v>0</c:v>
                </c:pt>
                <c:pt idx="12">
                  <c:v>0</c:v>
                </c:pt>
                <c:pt idx="13">
                  <c:v>0</c:v>
                </c:pt>
                <c:pt idx="14">
                  <c:v>0</c:v>
                </c:pt>
                <c:pt idx="15">
                  <c:v>0</c:v>
                </c:pt>
                <c:pt idx="16">
                  <c:v>0</c:v>
                </c:pt>
              </c:numCache>
            </c:numRef>
          </c:val>
          <c:extLst>
            <c:ext xmlns:c16="http://schemas.microsoft.com/office/drawing/2014/chart" uri="{C3380CC4-5D6E-409C-BE32-E72D297353CC}">
              <c16:uniqueId val="{00000002-EF10-4C82-8111-AB42962F42B8}"/>
            </c:ext>
          </c:extLst>
        </c:ser>
        <c:ser>
          <c:idx val="4"/>
          <c:order val="4"/>
          <c:tx>
            <c:strRef>
              <c:f>'Trajectory 2023-2040'!$A$7</c:f>
              <c:strCache>
                <c:ptCount val="1"/>
                <c:pt idx="0">
                  <c:v>Projected Completions from Small Sites with Full Planning Permission</c:v>
                </c:pt>
              </c:strCache>
            </c:strRef>
          </c:tx>
          <c:spPr>
            <a:solidFill>
              <a:schemeClr val="accent5"/>
            </a:solidFill>
            <a:ln>
              <a:noFill/>
            </a:ln>
            <a:effectLst/>
          </c:spPr>
          <c:invertIfNegative val="0"/>
          <c:cat>
            <c:strRef>
              <c:f>'Trajectory 2023-2040'!$B$2:$R$2</c:f>
              <c:strCache>
                <c:ptCount val="17"/>
                <c:pt idx="0">
                  <c:v>2023/24</c:v>
                </c:pt>
                <c:pt idx="1">
                  <c:v>2024/25</c:v>
                </c:pt>
                <c:pt idx="2">
                  <c:v>2025/26</c:v>
                </c:pt>
                <c:pt idx="3">
                  <c:v>2026/27</c:v>
                </c:pt>
                <c:pt idx="4">
                  <c:v>2027/28</c:v>
                </c:pt>
                <c:pt idx="5">
                  <c:v>2028/29</c:v>
                </c:pt>
                <c:pt idx="6">
                  <c:v>2029/30</c:v>
                </c:pt>
                <c:pt idx="7">
                  <c:v>2030/31</c:v>
                </c:pt>
                <c:pt idx="8">
                  <c:v>2031/32</c:v>
                </c:pt>
                <c:pt idx="9">
                  <c:v>2032/33</c:v>
                </c:pt>
                <c:pt idx="10">
                  <c:v>2033/34</c:v>
                </c:pt>
                <c:pt idx="11">
                  <c:v>2034/35</c:v>
                </c:pt>
                <c:pt idx="12">
                  <c:v>2035/36</c:v>
                </c:pt>
                <c:pt idx="13">
                  <c:v>2036/37</c:v>
                </c:pt>
                <c:pt idx="14">
                  <c:v>2037/38</c:v>
                </c:pt>
                <c:pt idx="15">
                  <c:v>2038/39</c:v>
                </c:pt>
                <c:pt idx="16">
                  <c:v>2039/40</c:v>
                </c:pt>
              </c:strCache>
            </c:strRef>
          </c:cat>
          <c:val>
            <c:numRef>
              <c:f>'Trajectory 2023-2040'!$B$7:$R$7</c:f>
              <c:numCache>
                <c:formatCode>#,##0</c:formatCode>
                <c:ptCount val="17"/>
                <c:pt idx="0">
                  <c:v>81</c:v>
                </c:pt>
                <c:pt idx="1">
                  <c:v>18</c:v>
                </c:pt>
                <c:pt idx="2">
                  <c:v>151</c:v>
                </c:pt>
                <c:pt idx="3">
                  <c:v>20</c:v>
                </c:pt>
                <c:pt idx="4">
                  <c:v>1</c:v>
                </c:pt>
                <c:pt idx="5">
                  <c:v>0</c:v>
                </c:pt>
                <c:pt idx="6">
                  <c:v>0</c:v>
                </c:pt>
                <c:pt idx="7">
                  <c:v>0</c:v>
                </c:pt>
                <c:pt idx="8">
                  <c:v>0</c:v>
                </c:pt>
                <c:pt idx="9">
                  <c:v>0</c:v>
                </c:pt>
                <c:pt idx="10">
                  <c:v>0</c:v>
                </c:pt>
                <c:pt idx="11">
                  <c:v>0</c:v>
                </c:pt>
                <c:pt idx="12">
                  <c:v>0</c:v>
                </c:pt>
                <c:pt idx="13">
                  <c:v>0</c:v>
                </c:pt>
                <c:pt idx="14">
                  <c:v>0</c:v>
                </c:pt>
                <c:pt idx="15">
                  <c:v>0</c:v>
                </c:pt>
                <c:pt idx="16">
                  <c:v>0</c:v>
                </c:pt>
              </c:numCache>
            </c:numRef>
          </c:val>
          <c:extLst>
            <c:ext xmlns:c16="http://schemas.microsoft.com/office/drawing/2014/chart" uri="{C3380CC4-5D6E-409C-BE32-E72D297353CC}">
              <c16:uniqueId val="{00000003-EF10-4C82-8111-AB42962F42B8}"/>
            </c:ext>
          </c:extLst>
        </c:ser>
        <c:ser>
          <c:idx val="5"/>
          <c:order val="5"/>
          <c:tx>
            <c:strRef>
              <c:f>'Trajectory 2023-2040'!$A$8</c:f>
              <c:strCache>
                <c:ptCount val="1"/>
                <c:pt idx="0">
                  <c:v>Projected Completions from Small Sites with Outline Planning Permission</c:v>
                </c:pt>
              </c:strCache>
            </c:strRef>
          </c:tx>
          <c:spPr>
            <a:solidFill>
              <a:srgbClr val="66FFFF"/>
            </a:solidFill>
            <a:ln>
              <a:noFill/>
            </a:ln>
            <a:effectLst/>
          </c:spPr>
          <c:invertIfNegative val="0"/>
          <c:cat>
            <c:strRef>
              <c:f>'Trajectory 2023-2040'!$B$2:$R$2</c:f>
              <c:strCache>
                <c:ptCount val="17"/>
                <c:pt idx="0">
                  <c:v>2023/24</c:v>
                </c:pt>
                <c:pt idx="1">
                  <c:v>2024/25</c:v>
                </c:pt>
                <c:pt idx="2">
                  <c:v>2025/26</c:v>
                </c:pt>
                <c:pt idx="3">
                  <c:v>2026/27</c:v>
                </c:pt>
                <c:pt idx="4">
                  <c:v>2027/28</c:v>
                </c:pt>
                <c:pt idx="5">
                  <c:v>2028/29</c:v>
                </c:pt>
                <c:pt idx="6">
                  <c:v>2029/30</c:v>
                </c:pt>
                <c:pt idx="7">
                  <c:v>2030/31</c:v>
                </c:pt>
                <c:pt idx="8">
                  <c:v>2031/32</c:v>
                </c:pt>
                <c:pt idx="9">
                  <c:v>2032/33</c:v>
                </c:pt>
                <c:pt idx="10">
                  <c:v>2033/34</c:v>
                </c:pt>
                <c:pt idx="11">
                  <c:v>2034/35</c:v>
                </c:pt>
                <c:pt idx="12">
                  <c:v>2035/36</c:v>
                </c:pt>
                <c:pt idx="13">
                  <c:v>2036/37</c:v>
                </c:pt>
                <c:pt idx="14">
                  <c:v>2037/38</c:v>
                </c:pt>
                <c:pt idx="15">
                  <c:v>2038/39</c:v>
                </c:pt>
                <c:pt idx="16">
                  <c:v>2039/40</c:v>
                </c:pt>
              </c:strCache>
            </c:strRef>
          </c:cat>
          <c:val>
            <c:numRef>
              <c:f>'Trajectory 2023-2040'!$B$8:$R$8</c:f>
              <c:numCache>
                <c:formatCode>#,##0</c:formatCode>
                <c:ptCount val="17"/>
                <c:pt idx="0">
                  <c:v>0</c:v>
                </c:pt>
                <c:pt idx="1">
                  <c:v>0</c:v>
                </c:pt>
                <c:pt idx="2">
                  <c:v>0</c:v>
                </c:pt>
                <c:pt idx="3">
                  <c:v>51</c:v>
                </c:pt>
                <c:pt idx="4">
                  <c:v>16</c:v>
                </c:pt>
                <c:pt idx="5">
                  <c:v>0</c:v>
                </c:pt>
                <c:pt idx="6">
                  <c:v>0</c:v>
                </c:pt>
                <c:pt idx="7">
                  <c:v>0</c:v>
                </c:pt>
                <c:pt idx="8">
                  <c:v>0</c:v>
                </c:pt>
                <c:pt idx="9">
                  <c:v>0</c:v>
                </c:pt>
                <c:pt idx="10">
                  <c:v>0</c:v>
                </c:pt>
                <c:pt idx="11">
                  <c:v>0</c:v>
                </c:pt>
                <c:pt idx="12">
                  <c:v>0</c:v>
                </c:pt>
                <c:pt idx="13">
                  <c:v>0</c:v>
                </c:pt>
                <c:pt idx="14">
                  <c:v>0</c:v>
                </c:pt>
                <c:pt idx="15">
                  <c:v>0</c:v>
                </c:pt>
                <c:pt idx="16">
                  <c:v>0</c:v>
                </c:pt>
              </c:numCache>
            </c:numRef>
          </c:val>
          <c:extLst>
            <c:ext xmlns:c16="http://schemas.microsoft.com/office/drawing/2014/chart" uri="{C3380CC4-5D6E-409C-BE32-E72D297353CC}">
              <c16:uniqueId val="{00000004-EF10-4C82-8111-AB42962F42B8}"/>
            </c:ext>
          </c:extLst>
        </c:ser>
        <c:ser>
          <c:idx val="6"/>
          <c:order val="6"/>
          <c:tx>
            <c:strRef>
              <c:f>'Trajectory 2023-2040'!$A$9</c:f>
              <c:strCache>
                <c:ptCount val="1"/>
                <c:pt idx="0">
                  <c:v>Projected Completions from prior approval schemes</c:v>
                </c:pt>
              </c:strCache>
            </c:strRef>
          </c:tx>
          <c:spPr>
            <a:solidFill>
              <a:srgbClr val="FFFF00"/>
            </a:solidFill>
            <a:ln>
              <a:noFill/>
            </a:ln>
            <a:effectLst/>
          </c:spPr>
          <c:invertIfNegative val="0"/>
          <c:cat>
            <c:strRef>
              <c:f>'Trajectory 2023-2040'!$B$2:$R$2</c:f>
              <c:strCache>
                <c:ptCount val="17"/>
                <c:pt idx="0">
                  <c:v>2023/24</c:v>
                </c:pt>
                <c:pt idx="1">
                  <c:v>2024/25</c:v>
                </c:pt>
                <c:pt idx="2">
                  <c:v>2025/26</c:v>
                </c:pt>
                <c:pt idx="3">
                  <c:v>2026/27</c:v>
                </c:pt>
                <c:pt idx="4">
                  <c:v>2027/28</c:v>
                </c:pt>
                <c:pt idx="5">
                  <c:v>2028/29</c:v>
                </c:pt>
                <c:pt idx="6">
                  <c:v>2029/30</c:v>
                </c:pt>
                <c:pt idx="7">
                  <c:v>2030/31</c:v>
                </c:pt>
                <c:pt idx="8">
                  <c:v>2031/32</c:v>
                </c:pt>
                <c:pt idx="9">
                  <c:v>2032/33</c:v>
                </c:pt>
                <c:pt idx="10">
                  <c:v>2033/34</c:v>
                </c:pt>
                <c:pt idx="11">
                  <c:v>2034/35</c:v>
                </c:pt>
                <c:pt idx="12">
                  <c:v>2035/36</c:v>
                </c:pt>
                <c:pt idx="13">
                  <c:v>2036/37</c:v>
                </c:pt>
                <c:pt idx="14">
                  <c:v>2037/38</c:v>
                </c:pt>
                <c:pt idx="15">
                  <c:v>2038/39</c:v>
                </c:pt>
                <c:pt idx="16">
                  <c:v>2039/40</c:v>
                </c:pt>
              </c:strCache>
            </c:strRef>
          </c:cat>
          <c:val>
            <c:numRef>
              <c:f>'Trajectory 2023-2040'!$B$9:$R$9</c:f>
              <c:numCache>
                <c:formatCode>#,##0</c:formatCode>
                <c:ptCount val="17"/>
                <c:pt idx="0">
                  <c:v>7</c:v>
                </c:pt>
                <c:pt idx="1">
                  <c:v>5</c:v>
                </c:pt>
                <c:pt idx="2">
                  <c:v>2</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numCache>
            </c:numRef>
          </c:val>
          <c:extLst>
            <c:ext xmlns:c16="http://schemas.microsoft.com/office/drawing/2014/chart" uri="{C3380CC4-5D6E-409C-BE32-E72D297353CC}">
              <c16:uniqueId val="{00000005-EF10-4C82-8111-AB42962F42B8}"/>
            </c:ext>
          </c:extLst>
        </c:ser>
        <c:ser>
          <c:idx val="7"/>
          <c:order val="7"/>
          <c:tx>
            <c:strRef>
              <c:f>'Trajectory 2023-2040'!$A$10</c:f>
              <c:strCache>
                <c:ptCount val="1"/>
                <c:pt idx="0">
                  <c:v>Past/Projected Completions from C2 schemes</c:v>
                </c:pt>
              </c:strCache>
            </c:strRef>
          </c:tx>
          <c:spPr>
            <a:solidFill>
              <a:schemeClr val="bg1">
                <a:lumMod val="75000"/>
              </a:schemeClr>
            </a:solidFill>
            <a:ln>
              <a:noFill/>
            </a:ln>
            <a:effectLst/>
          </c:spPr>
          <c:invertIfNegative val="0"/>
          <c:cat>
            <c:strRef>
              <c:f>'Trajectory 2023-2040'!$B$2:$R$2</c:f>
              <c:strCache>
                <c:ptCount val="17"/>
                <c:pt idx="0">
                  <c:v>2023/24</c:v>
                </c:pt>
                <c:pt idx="1">
                  <c:v>2024/25</c:v>
                </c:pt>
                <c:pt idx="2">
                  <c:v>2025/26</c:v>
                </c:pt>
                <c:pt idx="3">
                  <c:v>2026/27</c:v>
                </c:pt>
                <c:pt idx="4">
                  <c:v>2027/28</c:v>
                </c:pt>
                <c:pt idx="5">
                  <c:v>2028/29</c:v>
                </c:pt>
                <c:pt idx="6">
                  <c:v>2029/30</c:v>
                </c:pt>
                <c:pt idx="7">
                  <c:v>2030/31</c:v>
                </c:pt>
                <c:pt idx="8">
                  <c:v>2031/32</c:v>
                </c:pt>
                <c:pt idx="9">
                  <c:v>2032/33</c:v>
                </c:pt>
                <c:pt idx="10">
                  <c:v>2033/34</c:v>
                </c:pt>
                <c:pt idx="11">
                  <c:v>2034/35</c:v>
                </c:pt>
                <c:pt idx="12">
                  <c:v>2035/36</c:v>
                </c:pt>
                <c:pt idx="13">
                  <c:v>2036/37</c:v>
                </c:pt>
                <c:pt idx="14">
                  <c:v>2037/38</c:v>
                </c:pt>
                <c:pt idx="15">
                  <c:v>2038/39</c:v>
                </c:pt>
                <c:pt idx="16">
                  <c:v>2039/40</c:v>
                </c:pt>
              </c:strCache>
            </c:strRef>
          </c:cat>
          <c:val>
            <c:numRef>
              <c:f>'Trajectory 2023-2040'!$B$10:$R$10</c:f>
              <c:numCache>
                <c:formatCode>#,##0</c:formatCode>
                <c:ptCount val="17"/>
                <c:pt idx="0">
                  <c:v>2</c:v>
                </c:pt>
                <c:pt idx="1">
                  <c:v>3</c:v>
                </c:pt>
                <c:pt idx="2">
                  <c:v>41</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numCache>
            </c:numRef>
          </c:val>
          <c:extLst>
            <c:ext xmlns:c16="http://schemas.microsoft.com/office/drawing/2014/chart" uri="{C3380CC4-5D6E-409C-BE32-E72D297353CC}">
              <c16:uniqueId val="{00000006-EF10-4C82-8111-AB42962F42B8}"/>
            </c:ext>
          </c:extLst>
        </c:ser>
        <c:ser>
          <c:idx val="8"/>
          <c:order val="8"/>
          <c:tx>
            <c:strRef>
              <c:f>'Trajectory 2023-2040'!$A$11</c:f>
              <c:strCache>
                <c:ptCount val="1"/>
                <c:pt idx="0">
                  <c:v>Small site windfall allowance</c:v>
                </c:pt>
              </c:strCache>
            </c:strRef>
          </c:tx>
          <c:spPr>
            <a:solidFill>
              <a:srgbClr val="CC00FF"/>
            </a:solidFill>
            <a:ln>
              <a:noFill/>
            </a:ln>
            <a:effectLst/>
          </c:spPr>
          <c:invertIfNegative val="0"/>
          <c:cat>
            <c:strRef>
              <c:f>'Trajectory 2023-2040'!$B$2:$R$2</c:f>
              <c:strCache>
                <c:ptCount val="17"/>
                <c:pt idx="0">
                  <c:v>2023/24</c:v>
                </c:pt>
                <c:pt idx="1">
                  <c:v>2024/25</c:v>
                </c:pt>
                <c:pt idx="2">
                  <c:v>2025/26</c:v>
                </c:pt>
                <c:pt idx="3">
                  <c:v>2026/27</c:v>
                </c:pt>
                <c:pt idx="4">
                  <c:v>2027/28</c:v>
                </c:pt>
                <c:pt idx="5">
                  <c:v>2028/29</c:v>
                </c:pt>
                <c:pt idx="6">
                  <c:v>2029/30</c:v>
                </c:pt>
                <c:pt idx="7">
                  <c:v>2030/31</c:v>
                </c:pt>
                <c:pt idx="8">
                  <c:v>2031/32</c:v>
                </c:pt>
                <c:pt idx="9">
                  <c:v>2032/33</c:v>
                </c:pt>
                <c:pt idx="10">
                  <c:v>2033/34</c:v>
                </c:pt>
                <c:pt idx="11">
                  <c:v>2034/35</c:v>
                </c:pt>
                <c:pt idx="12">
                  <c:v>2035/36</c:v>
                </c:pt>
                <c:pt idx="13">
                  <c:v>2036/37</c:v>
                </c:pt>
                <c:pt idx="14">
                  <c:v>2037/38</c:v>
                </c:pt>
                <c:pt idx="15">
                  <c:v>2038/39</c:v>
                </c:pt>
                <c:pt idx="16">
                  <c:v>2039/40</c:v>
                </c:pt>
              </c:strCache>
            </c:strRef>
          </c:cat>
          <c:val>
            <c:numRef>
              <c:f>'Trajectory 2023-2040'!$B$11:$R$11</c:f>
              <c:numCache>
                <c:formatCode>#,##0</c:formatCode>
                <c:ptCount val="17"/>
                <c:pt idx="0">
                  <c:v>0</c:v>
                </c:pt>
                <c:pt idx="1">
                  <c:v>0</c:v>
                </c:pt>
                <c:pt idx="2">
                  <c:v>0</c:v>
                </c:pt>
                <c:pt idx="3">
                  <c:v>0</c:v>
                </c:pt>
                <c:pt idx="4">
                  <c:v>0</c:v>
                </c:pt>
                <c:pt idx="5">
                  <c:v>60</c:v>
                </c:pt>
                <c:pt idx="6">
                  <c:v>60</c:v>
                </c:pt>
                <c:pt idx="7">
                  <c:v>60</c:v>
                </c:pt>
                <c:pt idx="8">
                  <c:v>60</c:v>
                </c:pt>
                <c:pt idx="9">
                  <c:v>60</c:v>
                </c:pt>
                <c:pt idx="10">
                  <c:v>60</c:v>
                </c:pt>
                <c:pt idx="11">
                  <c:v>60</c:v>
                </c:pt>
                <c:pt idx="12">
                  <c:v>60</c:v>
                </c:pt>
                <c:pt idx="13">
                  <c:v>60</c:v>
                </c:pt>
                <c:pt idx="14">
                  <c:v>60</c:v>
                </c:pt>
                <c:pt idx="15">
                  <c:v>60</c:v>
                </c:pt>
                <c:pt idx="16">
                  <c:v>60</c:v>
                </c:pt>
              </c:numCache>
            </c:numRef>
          </c:val>
          <c:extLst>
            <c:ext xmlns:c16="http://schemas.microsoft.com/office/drawing/2014/chart" uri="{C3380CC4-5D6E-409C-BE32-E72D297353CC}">
              <c16:uniqueId val="{00000007-EF10-4C82-8111-AB42962F42B8}"/>
            </c:ext>
          </c:extLst>
        </c:ser>
        <c:dLbls>
          <c:showLegendKey val="0"/>
          <c:showVal val="0"/>
          <c:showCatName val="0"/>
          <c:showSerName val="0"/>
          <c:showPercent val="0"/>
          <c:showBubbleSize val="0"/>
        </c:dLbls>
        <c:gapWidth val="150"/>
        <c:overlap val="100"/>
        <c:axId val="357994352"/>
        <c:axId val="357994712"/>
        <c:extLst>
          <c:ext xmlns:c15="http://schemas.microsoft.com/office/drawing/2012/chart" uri="{02D57815-91ED-43cb-92C2-25804820EDAC}">
            <c15:filteredBarSeries>
              <c15:ser>
                <c:idx val="0"/>
                <c:order val="0"/>
                <c:tx>
                  <c:strRef>
                    <c:extLst>
                      <c:ext uri="{02D57815-91ED-43cb-92C2-25804820EDAC}">
                        <c15:formulaRef>
                          <c15:sqref>'Trajectory 2023-2040'!$A$3</c15:sqref>
                        </c15:formulaRef>
                      </c:ext>
                    </c:extLst>
                    <c:strCache>
                      <c:ptCount val="1"/>
                      <c:pt idx="0">
                        <c:v>Past C3 Completions (net)*</c:v>
                      </c:pt>
                    </c:strCache>
                  </c:strRef>
                </c:tx>
                <c:spPr>
                  <a:solidFill>
                    <a:schemeClr val="accent1"/>
                  </a:solidFill>
                  <a:ln>
                    <a:noFill/>
                  </a:ln>
                  <a:effectLst/>
                </c:spPr>
                <c:invertIfNegative val="0"/>
                <c:cat>
                  <c:strRef>
                    <c:extLst>
                      <c:ext uri="{02D57815-91ED-43cb-92C2-25804820EDAC}">
                        <c15:formulaRef>
                          <c15:sqref>'Trajectory 2023-2040'!$B$2:$R$2</c15:sqref>
                        </c15:formulaRef>
                      </c:ext>
                    </c:extLst>
                    <c:strCache>
                      <c:ptCount val="17"/>
                      <c:pt idx="0">
                        <c:v>2023/24</c:v>
                      </c:pt>
                      <c:pt idx="1">
                        <c:v>2024/25</c:v>
                      </c:pt>
                      <c:pt idx="2">
                        <c:v>2025/26</c:v>
                      </c:pt>
                      <c:pt idx="3">
                        <c:v>2026/27</c:v>
                      </c:pt>
                      <c:pt idx="4">
                        <c:v>2027/28</c:v>
                      </c:pt>
                      <c:pt idx="5">
                        <c:v>2028/29</c:v>
                      </c:pt>
                      <c:pt idx="6">
                        <c:v>2029/30</c:v>
                      </c:pt>
                      <c:pt idx="7">
                        <c:v>2030/31</c:v>
                      </c:pt>
                      <c:pt idx="8">
                        <c:v>2031/32</c:v>
                      </c:pt>
                      <c:pt idx="9">
                        <c:v>2032/33</c:v>
                      </c:pt>
                      <c:pt idx="10">
                        <c:v>2033/34</c:v>
                      </c:pt>
                      <c:pt idx="11">
                        <c:v>2034/35</c:v>
                      </c:pt>
                      <c:pt idx="12">
                        <c:v>2035/36</c:v>
                      </c:pt>
                      <c:pt idx="13">
                        <c:v>2036/37</c:v>
                      </c:pt>
                      <c:pt idx="14">
                        <c:v>2037/38</c:v>
                      </c:pt>
                      <c:pt idx="15">
                        <c:v>2038/39</c:v>
                      </c:pt>
                      <c:pt idx="16">
                        <c:v>2039/40</c:v>
                      </c:pt>
                    </c:strCache>
                  </c:strRef>
                </c:cat>
                <c:val>
                  <c:numRef>
                    <c:extLst>
                      <c:ext uri="{02D57815-91ED-43cb-92C2-25804820EDAC}">
                        <c15:formulaRef>
                          <c15:sqref>'Trajectory 2023-2040'!$B$3:$R$3</c15:sqref>
                        </c15:formulaRef>
                      </c:ext>
                    </c:extLst>
                    <c:numCache>
                      <c:formatCode>#,##0</c:formatCode>
                      <c:ptCount val="17"/>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numCache>
                  </c:numRef>
                </c:val>
                <c:extLst>
                  <c:ext xmlns:c16="http://schemas.microsoft.com/office/drawing/2014/chart" uri="{C3380CC4-5D6E-409C-BE32-E72D297353CC}">
                    <c16:uniqueId val="{0000000A-EF10-4C82-8111-AB42962F42B8}"/>
                  </c:ext>
                </c:extLst>
              </c15:ser>
            </c15:filteredBarSeries>
          </c:ext>
        </c:extLst>
      </c:barChart>
      <c:lineChart>
        <c:grouping val="standard"/>
        <c:varyColors val="0"/>
        <c:ser>
          <c:idx val="10"/>
          <c:order val="10"/>
          <c:tx>
            <c:strRef>
              <c:f>'Trajectory 2023-2040'!$A$13</c:f>
              <c:strCache>
                <c:ptCount val="1"/>
                <c:pt idx="0">
                  <c:v>PLAN - Annual requirement</c:v>
                </c:pt>
              </c:strCache>
            </c:strRef>
          </c:tx>
          <c:spPr>
            <a:ln w="28575" cap="rnd">
              <a:solidFill>
                <a:srgbClr val="0000FF"/>
              </a:solidFill>
              <a:round/>
            </a:ln>
            <a:effectLst/>
          </c:spPr>
          <c:marker>
            <c:symbol val="circle"/>
            <c:size val="5"/>
            <c:spPr>
              <a:solidFill>
                <a:srgbClr val="0000FF"/>
              </a:solidFill>
              <a:ln w="9525">
                <a:solidFill>
                  <a:srgbClr val="0000FF"/>
                </a:solidFill>
              </a:ln>
              <a:effectLst/>
            </c:spPr>
          </c:marker>
          <c:cat>
            <c:strRef>
              <c:f>'Trajectory 2023-2040'!$B$2:$R$2</c:f>
              <c:strCache>
                <c:ptCount val="17"/>
                <c:pt idx="0">
                  <c:v>2023/24</c:v>
                </c:pt>
                <c:pt idx="1">
                  <c:v>2024/25</c:v>
                </c:pt>
                <c:pt idx="2">
                  <c:v>2025/26</c:v>
                </c:pt>
                <c:pt idx="3">
                  <c:v>2026/27</c:v>
                </c:pt>
                <c:pt idx="4">
                  <c:v>2027/28</c:v>
                </c:pt>
                <c:pt idx="5">
                  <c:v>2028/29</c:v>
                </c:pt>
                <c:pt idx="6">
                  <c:v>2029/30</c:v>
                </c:pt>
                <c:pt idx="7">
                  <c:v>2030/31</c:v>
                </c:pt>
                <c:pt idx="8">
                  <c:v>2031/32</c:v>
                </c:pt>
                <c:pt idx="9">
                  <c:v>2032/33</c:v>
                </c:pt>
                <c:pt idx="10">
                  <c:v>2033/34</c:v>
                </c:pt>
                <c:pt idx="11">
                  <c:v>2034/35</c:v>
                </c:pt>
                <c:pt idx="12">
                  <c:v>2035/36</c:v>
                </c:pt>
                <c:pt idx="13">
                  <c:v>2036/37</c:v>
                </c:pt>
                <c:pt idx="14">
                  <c:v>2037/38</c:v>
                </c:pt>
                <c:pt idx="15">
                  <c:v>2038/39</c:v>
                </c:pt>
                <c:pt idx="16">
                  <c:v>2039/40</c:v>
                </c:pt>
              </c:strCache>
            </c:strRef>
          </c:cat>
          <c:val>
            <c:numRef>
              <c:f>'Trajectory 2023-2040'!$B$13:$R$13</c:f>
              <c:numCache>
                <c:formatCode>#,##0</c:formatCode>
                <c:ptCount val="17"/>
                <c:pt idx="0">
                  <c:v>446</c:v>
                </c:pt>
                <c:pt idx="1">
                  <c:v>446</c:v>
                </c:pt>
                <c:pt idx="2">
                  <c:v>446</c:v>
                </c:pt>
                <c:pt idx="3">
                  <c:v>446</c:v>
                </c:pt>
                <c:pt idx="4">
                  <c:v>446</c:v>
                </c:pt>
                <c:pt idx="5">
                  <c:v>446</c:v>
                </c:pt>
                <c:pt idx="6">
                  <c:v>446</c:v>
                </c:pt>
                <c:pt idx="7">
                  <c:v>446</c:v>
                </c:pt>
                <c:pt idx="8">
                  <c:v>446</c:v>
                </c:pt>
                <c:pt idx="9">
                  <c:v>446</c:v>
                </c:pt>
                <c:pt idx="10">
                  <c:v>446</c:v>
                </c:pt>
                <c:pt idx="11">
                  <c:v>446</c:v>
                </c:pt>
                <c:pt idx="12">
                  <c:v>446</c:v>
                </c:pt>
                <c:pt idx="13">
                  <c:v>446</c:v>
                </c:pt>
                <c:pt idx="14">
                  <c:v>446</c:v>
                </c:pt>
                <c:pt idx="15">
                  <c:v>446</c:v>
                </c:pt>
                <c:pt idx="16">
                  <c:v>446</c:v>
                </c:pt>
              </c:numCache>
            </c:numRef>
          </c:val>
          <c:smooth val="0"/>
          <c:extLst>
            <c:ext xmlns:c16="http://schemas.microsoft.com/office/drawing/2014/chart" uri="{C3380CC4-5D6E-409C-BE32-E72D297353CC}">
              <c16:uniqueId val="{00000008-EF10-4C82-8111-AB42962F42B8}"/>
            </c:ext>
          </c:extLst>
        </c:ser>
        <c:ser>
          <c:idx val="14"/>
          <c:order val="14"/>
          <c:tx>
            <c:strRef>
              <c:f>'Trajectory 2023-2040'!$A$17</c:f>
              <c:strCache>
                <c:ptCount val="1"/>
                <c:pt idx="0">
                  <c:v>MANAGE - Annual requirement taking account of past/projected completions</c:v>
                </c:pt>
              </c:strCache>
            </c:strRef>
          </c:tx>
          <c:spPr>
            <a:ln w="28575" cap="rnd">
              <a:solidFill>
                <a:srgbClr val="FF0000"/>
              </a:solidFill>
              <a:round/>
            </a:ln>
            <a:effectLst/>
          </c:spPr>
          <c:marker>
            <c:symbol val="circle"/>
            <c:size val="5"/>
            <c:spPr>
              <a:solidFill>
                <a:srgbClr val="FF0000"/>
              </a:solidFill>
              <a:ln w="9525">
                <a:solidFill>
                  <a:srgbClr val="FF0000"/>
                </a:solidFill>
              </a:ln>
              <a:effectLst/>
            </c:spPr>
          </c:marker>
          <c:cat>
            <c:strRef>
              <c:f>'Trajectory 2023-2040'!$B$2:$R$2</c:f>
              <c:strCache>
                <c:ptCount val="17"/>
                <c:pt idx="0">
                  <c:v>2023/24</c:v>
                </c:pt>
                <c:pt idx="1">
                  <c:v>2024/25</c:v>
                </c:pt>
                <c:pt idx="2">
                  <c:v>2025/26</c:v>
                </c:pt>
                <c:pt idx="3">
                  <c:v>2026/27</c:v>
                </c:pt>
                <c:pt idx="4">
                  <c:v>2027/28</c:v>
                </c:pt>
                <c:pt idx="5">
                  <c:v>2028/29</c:v>
                </c:pt>
                <c:pt idx="6">
                  <c:v>2029/30</c:v>
                </c:pt>
                <c:pt idx="7">
                  <c:v>2030/31</c:v>
                </c:pt>
                <c:pt idx="8">
                  <c:v>2031/32</c:v>
                </c:pt>
                <c:pt idx="9">
                  <c:v>2032/33</c:v>
                </c:pt>
                <c:pt idx="10">
                  <c:v>2033/34</c:v>
                </c:pt>
                <c:pt idx="11">
                  <c:v>2034/35</c:v>
                </c:pt>
                <c:pt idx="12">
                  <c:v>2035/36</c:v>
                </c:pt>
                <c:pt idx="13">
                  <c:v>2036/37</c:v>
                </c:pt>
                <c:pt idx="14">
                  <c:v>2037/38</c:v>
                </c:pt>
                <c:pt idx="15">
                  <c:v>2038/39</c:v>
                </c:pt>
                <c:pt idx="16">
                  <c:v>2039/40</c:v>
                </c:pt>
              </c:strCache>
            </c:strRef>
          </c:cat>
          <c:val>
            <c:numRef>
              <c:f>'Trajectory 2023-2040'!$B$17:$R$17</c:f>
              <c:numCache>
                <c:formatCode>#,##0</c:formatCode>
                <c:ptCount val="17"/>
                <c:pt idx="0">
                  <c:v>422.47058823529414</c:v>
                </c:pt>
                <c:pt idx="1">
                  <c:v>426.125</c:v>
                </c:pt>
                <c:pt idx="2">
                  <c:v>420.6</c:v>
                </c:pt>
                <c:pt idx="3">
                  <c:v>414</c:v>
                </c:pt>
                <c:pt idx="4">
                  <c:v>419.38461538461536</c:v>
                </c:pt>
                <c:pt idx="5">
                  <c:v>344.5</c:v>
                </c:pt>
                <c:pt idx="6">
                  <c:v>296.72727272727275</c:v>
                </c:pt>
                <c:pt idx="7">
                  <c:v>264</c:v>
                </c:pt>
                <c:pt idx="8">
                  <c:v>240</c:v>
                </c:pt>
                <c:pt idx="9">
                  <c:v>215.875</c:v>
                </c:pt>
                <c:pt idx="10">
                  <c:v>200.14285714285714</c:v>
                </c:pt>
                <c:pt idx="11">
                  <c:v>197.33333333333334</c:v>
                </c:pt>
                <c:pt idx="12">
                  <c:v>200</c:v>
                </c:pt>
                <c:pt idx="13">
                  <c:v>234.25</c:v>
                </c:pt>
                <c:pt idx="14">
                  <c:v>292.33333333333331</c:v>
                </c:pt>
                <c:pt idx="15">
                  <c:v>408.5</c:v>
                </c:pt>
                <c:pt idx="16">
                  <c:v>757</c:v>
                </c:pt>
              </c:numCache>
            </c:numRef>
          </c:val>
          <c:smooth val="0"/>
          <c:extLst>
            <c:ext xmlns:c16="http://schemas.microsoft.com/office/drawing/2014/chart" uri="{C3380CC4-5D6E-409C-BE32-E72D297353CC}">
              <c16:uniqueId val="{00000009-EF10-4C82-8111-AB42962F42B8}"/>
            </c:ext>
          </c:extLst>
        </c:ser>
        <c:dLbls>
          <c:showLegendKey val="0"/>
          <c:showVal val="0"/>
          <c:showCatName val="0"/>
          <c:showSerName val="0"/>
          <c:showPercent val="0"/>
          <c:showBubbleSize val="0"/>
        </c:dLbls>
        <c:marker val="1"/>
        <c:smooth val="0"/>
        <c:axId val="357994352"/>
        <c:axId val="357994712"/>
        <c:extLst>
          <c:ext xmlns:c15="http://schemas.microsoft.com/office/drawing/2012/chart" uri="{02D57815-91ED-43cb-92C2-25804820EDAC}">
            <c15:filteredLineSeries>
              <c15:ser>
                <c:idx val="9"/>
                <c:order val="9"/>
                <c:tx>
                  <c:strRef>
                    <c:extLst>
                      <c:ext uri="{02D57815-91ED-43cb-92C2-25804820EDAC}">
                        <c15:formulaRef>
                          <c15:sqref>'Trajectory 2023-2040'!$A$12</c15:sqref>
                        </c15:formulaRef>
                      </c:ext>
                    </c:extLst>
                    <c:strCache>
                      <c:ptCount val="1"/>
                      <c:pt idx="0">
                        <c:v>Cumulative Completions</c:v>
                      </c:pt>
                    </c:strCache>
                  </c:strRef>
                </c:tx>
                <c:spPr>
                  <a:ln w="28575" cap="rnd">
                    <a:solidFill>
                      <a:schemeClr val="accent4">
                        <a:lumMod val="60000"/>
                      </a:schemeClr>
                    </a:solidFill>
                    <a:round/>
                  </a:ln>
                  <a:effectLst/>
                </c:spPr>
                <c:marker>
                  <c:symbol val="none"/>
                </c:marker>
                <c:cat>
                  <c:strRef>
                    <c:extLst>
                      <c:ext uri="{02D57815-91ED-43cb-92C2-25804820EDAC}">
                        <c15:formulaRef>
                          <c15:sqref>'Trajectory 2023-2040'!$B$2:$R$2</c15:sqref>
                        </c15:formulaRef>
                      </c:ext>
                    </c:extLst>
                    <c:strCache>
                      <c:ptCount val="17"/>
                      <c:pt idx="0">
                        <c:v>2023/24</c:v>
                      </c:pt>
                      <c:pt idx="1">
                        <c:v>2024/25</c:v>
                      </c:pt>
                      <c:pt idx="2">
                        <c:v>2025/26</c:v>
                      </c:pt>
                      <c:pt idx="3">
                        <c:v>2026/27</c:v>
                      </c:pt>
                      <c:pt idx="4">
                        <c:v>2027/28</c:v>
                      </c:pt>
                      <c:pt idx="5">
                        <c:v>2028/29</c:v>
                      </c:pt>
                      <c:pt idx="6">
                        <c:v>2029/30</c:v>
                      </c:pt>
                      <c:pt idx="7">
                        <c:v>2030/31</c:v>
                      </c:pt>
                      <c:pt idx="8">
                        <c:v>2031/32</c:v>
                      </c:pt>
                      <c:pt idx="9">
                        <c:v>2032/33</c:v>
                      </c:pt>
                      <c:pt idx="10">
                        <c:v>2033/34</c:v>
                      </c:pt>
                      <c:pt idx="11">
                        <c:v>2034/35</c:v>
                      </c:pt>
                      <c:pt idx="12">
                        <c:v>2035/36</c:v>
                      </c:pt>
                      <c:pt idx="13">
                        <c:v>2036/37</c:v>
                      </c:pt>
                      <c:pt idx="14">
                        <c:v>2037/38</c:v>
                      </c:pt>
                      <c:pt idx="15">
                        <c:v>2038/39</c:v>
                      </c:pt>
                      <c:pt idx="16">
                        <c:v>2039/40</c:v>
                      </c:pt>
                    </c:strCache>
                  </c:strRef>
                </c:cat>
                <c:val>
                  <c:numRef>
                    <c:extLst>
                      <c:ext uri="{02D57815-91ED-43cb-92C2-25804820EDAC}">
                        <c15:formulaRef>
                          <c15:sqref>'Trajectory 2023-2040'!$B$12:$R$12</c15:sqref>
                        </c15:formulaRef>
                      </c:ext>
                    </c:extLst>
                    <c:numCache>
                      <c:formatCode>#,##0</c:formatCode>
                      <c:ptCount val="17"/>
                      <c:pt idx="0">
                        <c:v>400</c:v>
                      </c:pt>
                      <c:pt idx="1">
                        <c:v>764</c:v>
                      </c:pt>
                      <c:pt idx="2">
                        <c:v>1273</c:v>
                      </c:pt>
                      <c:pt idx="3">
                        <c:v>1786</c:v>
                      </c:pt>
                      <c:pt idx="4">
                        <c:v>2130</c:v>
                      </c:pt>
                      <c:pt idx="5">
                        <c:v>3448</c:v>
                      </c:pt>
                      <c:pt idx="6">
                        <c:v>4318</c:v>
                      </c:pt>
                      <c:pt idx="7">
                        <c:v>4942</c:v>
                      </c:pt>
                      <c:pt idx="8">
                        <c:v>5422</c:v>
                      </c:pt>
                      <c:pt idx="9">
                        <c:v>5855</c:v>
                      </c:pt>
                      <c:pt idx="10">
                        <c:v>6181</c:v>
                      </c:pt>
                      <c:pt idx="11">
                        <c:v>6398</c:v>
                      </c:pt>
                      <c:pt idx="12">
                        <c:v>6582</c:v>
                      </c:pt>
                      <c:pt idx="13">
                        <c:v>6645</c:v>
                      </c:pt>
                      <c:pt idx="14">
                        <c:v>6705</c:v>
                      </c:pt>
                      <c:pt idx="15">
                        <c:v>6765</c:v>
                      </c:pt>
                      <c:pt idx="16">
                        <c:v>6825</c:v>
                      </c:pt>
                    </c:numCache>
                  </c:numRef>
                </c:val>
                <c:smooth val="0"/>
                <c:extLst>
                  <c:ext xmlns:c16="http://schemas.microsoft.com/office/drawing/2014/chart" uri="{C3380CC4-5D6E-409C-BE32-E72D297353CC}">
                    <c16:uniqueId val="{0000000B-EF10-4C82-8111-AB42962F42B8}"/>
                  </c:ext>
                </c:extLst>
              </c15:ser>
            </c15:filteredLineSeries>
            <c15:filteredLineSeries>
              <c15:ser>
                <c:idx val="11"/>
                <c:order val="11"/>
                <c:tx>
                  <c:strRef>
                    <c:extLst xmlns:c15="http://schemas.microsoft.com/office/drawing/2012/chart">
                      <c:ext xmlns:c15="http://schemas.microsoft.com/office/drawing/2012/chart" uri="{02D57815-91ED-43cb-92C2-25804820EDAC}">
                        <c15:formulaRef>
                          <c15:sqref>'Trajectory 2023-2040'!$A$14</c15:sqref>
                        </c15:formulaRef>
                      </c:ext>
                    </c:extLst>
                    <c:strCache>
                      <c:ptCount val="1"/>
                      <c:pt idx="0">
                        <c:v>PLAN - Cumulative requirement</c:v>
                      </c:pt>
                    </c:strCache>
                  </c:strRef>
                </c:tx>
                <c:spPr>
                  <a:ln w="28575" cap="rnd">
                    <a:solidFill>
                      <a:schemeClr val="accent6">
                        <a:lumMod val="60000"/>
                      </a:schemeClr>
                    </a:solidFill>
                    <a:round/>
                  </a:ln>
                  <a:effectLst/>
                </c:spPr>
                <c:marker>
                  <c:symbol val="none"/>
                </c:marker>
                <c:cat>
                  <c:strRef>
                    <c:extLst xmlns:c15="http://schemas.microsoft.com/office/drawing/2012/chart">
                      <c:ext xmlns:c15="http://schemas.microsoft.com/office/drawing/2012/chart" uri="{02D57815-91ED-43cb-92C2-25804820EDAC}">
                        <c15:formulaRef>
                          <c15:sqref>'Trajectory 2023-2040'!$B$2:$R$2</c15:sqref>
                        </c15:formulaRef>
                      </c:ext>
                    </c:extLst>
                    <c:strCache>
                      <c:ptCount val="17"/>
                      <c:pt idx="0">
                        <c:v>2023/24</c:v>
                      </c:pt>
                      <c:pt idx="1">
                        <c:v>2024/25</c:v>
                      </c:pt>
                      <c:pt idx="2">
                        <c:v>2025/26</c:v>
                      </c:pt>
                      <c:pt idx="3">
                        <c:v>2026/27</c:v>
                      </c:pt>
                      <c:pt idx="4">
                        <c:v>2027/28</c:v>
                      </c:pt>
                      <c:pt idx="5">
                        <c:v>2028/29</c:v>
                      </c:pt>
                      <c:pt idx="6">
                        <c:v>2029/30</c:v>
                      </c:pt>
                      <c:pt idx="7">
                        <c:v>2030/31</c:v>
                      </c:pt>
                      <c:pt idx="8">
                        <c:v>2031/32</c:v>
                      </c:pt>
                      <c:pt idx="9">
                        <c:v>2032/33</c:v>
                      </c:pt>
                      <c:pt idx="10">
                        <c:v>2033/34</c:v>
                      </c:pt>
                      <c:pt idx="11">
                        <c:v>2034/35</c:v>
                      </c:pt>
                      <c:pt idx="12">
                        <c:v>2035/36</c:v>
                      </c:pt>
                      <c:pt idx="13">
                        <c:v>2036/37</c:v>
                      </c:pt>
                      <c:pt idx="14">
                        <c:v>2037/38</c:v>
                      </c:pt>
                      <c:pt idx="15">
                        <c:v>2038/39</c:v>
                      </c:pt>
                      <c:pt idx="16">
                        <c:v>2039/40</c:v>
                      </c:pt>
                    </c:strCache>
                  </c:strRef>
                </c:cat>
                <c:val>
                  <c:numRef>
                    <c:extLst xmlns:c15="http://schemas.microsoft.com/office/drawing/2012/chart">
                      <c:ext xmlns:c15="http://schemas.microsoft.com/office/drawing/2012/chart" uri="{02D57815-91ED-43cb-92C2-25804820EDAC}">
                        <c15:formulaRef>
                          <c15:sqref>'Trajectory 2023-2040'!$B$14:$R$14</c15:sqref>
                        </c15:formulaRef>
                      </c:ext>
                    </c:extLst>
                    <c:numCache>
                      <c:formatCode>#,##0</c:formatCode>
                      <c:ptCount val="17"/>
                      <c:pt idx="0">
                        <c:v>446</c:v>
                      </c:pt>
                      <c:pt idx="1">
                        <c:v>892</c:v>
                      </c:pt>
                      <c:pt idx="2">
                        <c:v>1338</c:v>
                      </c:pt>
                      <c:pt idx="3">
                        <c:v>1784</c:v>
                      </c:pt>
                      <c:pt idx="4">
                        <c:v>2230</c:v>
                      </c:pt>
                      <c:pt idx="5">
                        <c:v>2676</c:v>
                      </c:pt>
                      <c:pt idx="6">
                        <c:v>3122</c:v>
                      </c:pt>
                      <c:pt idx="7">
                        <c:v>3568</c:v>
                      </c:pt>
                      <c:pt idx="8">
                        <c:v>4014</c:v>
                      </c:pt>
                      <c:pt idx="9">
                        <c:v>4460</c:v>
                      </c:pt>
                      <c:pt idx="10">
                        <c:v>4906</c:v>
                      </c:pt>
                      <c:pt idx="11">
                        <c:v>5352</c:v>
                      </c:pt>
                      <c:pt idx="12">
                        <c:v>5798</c:v>
                      </c:pt>
                      <c:pt idx="13">
                        <c:v>6244</c:v>
                      </c:pt>
                      <c:pt idx="14">
                        <c:v>6690</c:v>
                      </c:pt>
                      <c:pt idx="15">
                        <c:v>7136</c:v>
                      </c:pt>
                      <c:pt idx="16">
                        <c:v>7582</c:v>
                      </c:pt>
                    </c:numCache>
                  </c:numRef>
                </c:val>
                <c:smooth val="0"/>
                <c:extLst xmlns:c15="http://schemas.microsoft.com/office/drawing/2012/chart">
                  <c:ext xmlns:c16="http://schemas.microsoft.com/office/drawing/2014/chart" uri="{C3380CC4-5D6E-409C-BE32-E72D297353CC}">
                    <c16:uniqueId val="{0000000C-EF10-4C82-8111-AB42962F42B8}"/>
                  </c:ext>
                </c:extLst>
              </c15:ser>
            </c15:filteredLineSeries>
            <c15:filteredLineSeries>
              <c15:ser>
                <c:idx val="12"/>
                <c:order val="12"/>
                <c:tx>
                  <c:strRef>
                    <c:extLst xmlns:c15="http://schemas.microsoft.com/office/drawing/2012/chart">
                      <c:ext xmlns:c15="http://schemas.microsoft.com/office/drawing/2012/chart" uri="{02D57815-91ED-43cb-92C2-25804820EDAC}">
                        <c15:formulaRef>
                          <c15:sqref>'Trajectory 2023-2040'!$A$15</c15:sqref>
                        </c15:formulaRef>
                      </c:ext>
                    </c:extLst>
                    <c:strCache>
                      <c:ptCount val="1"/>
                      <c:pt idx="0">
                        <c:v>MONITOR - No. dwellings above or below cumulative requirement</c:v>
                      </c:pt>
                    </c:strCache>
                  </c:strRef>
                </c:tx>
                <c:spPr>
                  <a:ln w="28575" cap="rnd">
                    <a:solidFill>
                      <a:schemeClr val="accent1">
                        <a:lumMod val="80000"/>
                        <a:lumOff val="20000"/>
                      </a:schemeClr>
                    </a:solidFill>
                    <a:round/>
                  </a:ln>
                  <a:effectLst/>
                </c:spPr>
                <c:marker>
                  <c:symbol val="none"/>
                </c:marker>
                <c:cat>
                  <c:strRef>
                    <c:extLst xmlns:c15="http://schemas.microsoft.com/office/drawing/2012/chart">
                      <c:ext xmlns:c15="http://schemas.microsoft.com/office/drawing/2012/chart" uri="{02D57815-91ED-43cb-92C2-25804820EDAC}">
                        <c15:formulaRef>
                          <c15:sqref>'Trajectory 2023-2040'!$B$2:$R$2</c15:sqref>
                        </c15:formulaRef>
                      </c:ext>
                    </c:extLst>
                    <c:strCache>
                      <c:ptCount val="17"/>
                      <c:pt idx="0">
                        <c:v>2023/24</c:v>
                      </c:pt>
                      <c:pt idx="1">
                        <c:v>2024/25</c:v>
                      </c:pt>
                      <c:pt idx="2">
                        <c:v>2025/26</c:v>
                      </c:pt>
                      <c:pt idx="3">
                        <c:v>2026/27</c:v>
                      </c:pt>
                      <c:pt idx="4">
                        <c:v>2027/28</c:v>
                      </c:pt>
                      <c:pt idx="5">
                        <c:v>2028/29</c:v>
                      </c:pt>
                      <c:pt idx="6">
                        <c:v>2029/30</c:v>
                      </c:pt>
                      <c:pt idx="7">
                        <c:v>2030/31</c:v>
                      </c:pt>
                      <c:pt idx="8">
                        <c:v>2031/32</c:v>
                      </c:pt>
                      <c:pt idx="9">
                        <c:v>2032/33</c:v>
                      </c:pt>
                      <c:pt idx="10">
                        <c:v>2033/34</c:v>
                      </c:pt>
                      <c:pt idx="11">
                        <c:v>2034/35</c:v>
                      </c:pt>
                      <c:pt idx="12">
                        <c:v>2035/36</c:v>
                      </c:pt>
                      <c:pt idx="13">
                        <c:v>2036/37</c:v>
                      </c:pt>
                      <c:pt idx="14">
                        <c:v>2037/38</c:v>
                      </c:pt>
                      <c:pt idx="15">
                        <c:v>2038/39</c:v>
                      </c:pt>
                      <c:pt idx="16">
                        <c:v>2039/40</c:v>
                      </c:pt>
                    </c:strCache>
                  </c:strRef>
                </c:cat>
                <c:val>
                  <c:numRef>
                    <c:extLst xmlns:c15="http://schemas.microsoft.com/office/drawing/2012/chart">
                      <c:ext xmlns:c15="http://schemas.microsoft.com/office/drawing/2012/chart" uri="{02D57815-91ED-43cb-92C2-25804820EDAC}">
                        <c15:formulaRef>
                          <c15:sqref>'Trajectory 2023-2040'!$B$15:$R$15</c15:sqref>
                        </c15:formulaRef>
                      </c:ext>
                    </c:extLst>
                    <c:numCache>
                      <c:formatCode>#,##0</c:formatCode>
                      <c:ptCount val="17"/>
                      <c:pt idx="0">
                        <c:v>-46</c:v>
                      </c:pt>
                      <c:pt idx="1">
                        <c:v>-128</c:v>
                      </c:pt>
                      <c:pt idx="2">
                        <c:v>-65</c:v>
                      </c:pt>
                      <c:pt idx="3">
                        <c:v>2</c:v>
                      </c:pt>
                      <c:pt idx="4">
                        <c:v>-100</c:v>
                      </c:pt>
                      <c:pt idx="5">
                        <c:v>772</c:v>
                      </c:pt>
                      <c:pt idx="6">
                        <c:v>1196</c:v>
                      </c:pt>
                      <c:pt idx="7">
                        <c:v>1374</c:v>
                      </c:pt>
                      <c:pt idx="8">
                        <c:v>1408</c:v>
                      </c:pt>
                      <c:pt idx="9">
                        <c:v>1395</c:v>
                      </c:pt>
                      <c:pt idx="10">
                        <c:v>1275</c:v>
                      </c:pt>
                      <c:pt idx="11">
                        <c:v>1046</c:v>
                      </c:pt>
                      <c:pt idx="12">
                        <c:v>784</c:v>
                      </c:pt>
                      <c:pt idx="13">
                        <c:v>401</c:v>
                      </c:pt>
                      <c:pt idx="14">
                        <c:v>15</c:v>
                      </c:pt>
                      <c:pt idx="15">
                        <c:v>-371</c:v>
                      </c:pt>
                      <c:pt idx="16">
                        <c:v>-757</c:v>
                      </c:pt>
                    </c:numCache>
                  </c:numRef>
                </c:val>
                <c:smooth val="0"/>
                <c:extLst xmlns:c15="http://schemas.microsoft.com/office/drawing/2012/chart">
                  <c:ext xmlns:c16="http://schemas.microsoft.com/office/drawing/2014/chart" uri="{C3380CC4-5D6E-409C-BE32-E72D297353CC}">
                    <c16:uniqueId val="{0000000D-EF10-4C82-8111-AB42962F42B8}"/>
                  </c:ext>
                </c:extLst>
              </c15:ser>
            </c15:filteredLineSeries>
            <c15:filteredLineSeries>
              <c15:ser>
                <c:idx val="13"/>
                <c:order val="13"/>
                <c:tx>
                  <c:strRef>
                    <c:extLst xmlns:c15="http://schemas.microsoft.com/office/drawing/2012/chart">
                      <c:ext xmlns:c15="http://schemas.microsoft.com/office/drawing/2012/chart" uri="{02D57815-91ED-43cb-92C2-25804820EDAC}">
                        <c15:formulaRef>
                          <c15:sqref>'Trajectory 2023-2040'!$A$16</c15:sqref>
                        </c15:formulaRef>
                      </c:ext>
                    </c:extLst>
                    <c:strCache>
                      <c:ptCount val="1"/>
                      <c:pt idx="0">
                        <c:v>MANAGE - Requirement taking account of past/projected completions</c:v>
                      </c:pt>
                    </c:strCache>
                  </c:strRef>
                </c:tx>
                <c:spPr>
                  <a:ln w="28575" cap="rnd">
                    <a:solidFill>
                      <a:schemeClr val="accent2">
                        <a:lumMod val="80000"/>
                        <a:lumOff val="20000"/>
                      </a:schemeClr>
                    </a:solidFill>
                    <a:round/>
                  </a:ln>
                  <a:effectLst/>
                </c:spPr>
                <c:marker>
                  <c:symbol val="none"/>
                </c:marker>
                <c:cat>
                  <c:strRef>
                    <c:extLst xmlns:c15="http://schemas.microsoft.com/office/drawing/2012/chart">
                      <c:ext xmlns:c15="http://schemas.microsoft.com/office/drawing/2012/chart" uri="{02D57815-91ED-43cb-92C2-25804820EDAC}">
                        <c15:formulaRef>
                          <c15:sqref>'Trajectory 2023-2040'!$B$2:$R$2</c15:sqref>
                        </c15:formulaRef>
                      </c:ext>
                    </c:extLst>
                    <c:strCache>
                      <c:ptCount val="17"/>
                      <c:pt idx="0">
                        <c:v>2023/24</c:v>
                      </c:pt>
                      <c:pt idx="1">
                        <c:v>2024/25</c:v>
                      </c:pt>
                      <c:pt idx="2">
                        <c:v>2025/26</c:v>
                      </c:pt>
                      <c:pt idx="3">
                        <c:v>2026/27</c:v>
                      </c:pt>
                      <c:pt idx="4">
                        <c:v>2027/28</c:v>
                      </c:pt>
                      <c:pt idx="5">
                        <c:v>2028/29</c:v>
                      </c:pt>
                      <c:pt idx="6">
                        <c:v>2029/30</c:v>
                      </c:pt>
                      <c:pt idx="7">
                        <c:v>2030/31</c:v>
                      </c:pt>
                      <c:pt idx="8">
                        <c:v>2031/32</c:v>
                      </c:pt>
                      <c:pt idx="9">
                        <c:v>2032/33</c:v>
                      </c:pt>
                      <c:pt idx="10">
                        <c:v>2033/34</c:v>
                      </c:pt>
                      <c:pt idx="11">
                        <c:v>2034/35</c:v>
                      </c:pt>
                      <c:pt idx="12">
                        <c:v>2035/36</c:v>
                      </c:pt>
                      <c:pt idx="13">
                        <c:v>2036/37</c:v>
                      </c:pt>
                      <c:pt idx="14">
                        <c:v>2037/38</c:v>
                      </c:pt>
                      <c:pt idx="15">
                        <c:v>2038/39</c:v>
                      </c:pt>
                      <c:pt idx="16">
                        <c:v>2039/40</c:v>
                      </c:pt>
                    </c:strCache>
                  </c:strRef>
                </c:cat>
                <c:val>
                  <c:numRef>
                    <c:extLst xmlns:c15="http://schemas.microsoft.com/office/drawing/2012/chart">
                      <c:ext xmlns:c15="http://schemas.microsoft.com/office/drawing/2012/chart" uri="{02D57815-91ED-43cb-92C2-25804820EDAC}">
                        <c15:formulaRef>
                          <c15:sqref>'Trajectory 2023-2040'!$B$16:$R$16</c15:sqref>
                        </c15:formulaRef>
                      </c:ext>
                    </c:extLst>
                    <c:numCache>
                      <c:formatCode>#,##0</c:formatCode>
                      <c:ptCount val="17"/>
                      <c:pt idx="0">
                        <c:v>7182</c:v>
                      </c:pt>
                      <c:pt idx="1">
                        <c:v>6818</c:v>
                      </c:pt>
                      <c:pt idx="2">
                        <c:v>6309</c:v>
                      </c:pt>
                      <c:pt idx="3">
                        <c:v>5796</c:v>
                      </c:pt>
                      <c:pt idx="4">
                        <c:v>5452</c:v>
                      </c:pt>
                      <c:pt idx="5">
                        <c:v>4134</c:v>
                      </c:pt>
                      <c:pt idx="6">
                        <c:v>3264</c:v>
                      </c:pt>
                      <c:pt idx="7">
                        <c:v>2640</c:v>
                      </c:pt>
                      <c:pt idx="8">
                        <c:v>2160</c:v>
                      </c:pt>
                      <c:pt idx="9">
                        <c:v>1727</c:v>
                      </c:pt>
                      <c:pt idx="10">
                        <c:v>1401</c:v>
                      </c:pt>
                      <c:pt idx="11">
                        <c:v>1184</c:v>
                      </c:pt>
                      <c:pt idx="12">
                        <c:v>1000</c:v>
                      </c:pt>
                      <c:pt idx="13">
                        <c:v>937</c:v>
                      </c:pt>
                      <c:pt idx="14">
                        <c:v>877</c:v>
                      </c:pt>
                      <c:pt idx="15">
                        <c:v>817</c:v>
                      </c:pt>
                      <c:pt idx="16">
                        <c:v>757</c:v>
                      </c:pt>
                    </c:numCache>
                  </c:numRef>
                </c:val>
                <c:smooth val="0"/>
                <c:extLst xmlns:c15="http://schemas.microsoft.com/office/drawing/2012/chart">
                  <c:ext xmlns:c16="http://schemas.microsoft.com/office/drawing/2014/chart" uri="{C3380CC4-5D6E-409C-BE32-E72D297353CC}">
                    <c16:uniqueId val="{0000000E-EF10-4C82-8111-AB42962F42B8}"/>
                  </c:ext>
                </c:extLst>
              </c15:ser>
            </c15:filteredLineSeries>
          </c:ext>
        </c:extLst>
      </c:lineChart>
      <c:catAx>
        <c:axId val="3579943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57994712"/>
        <c:crosses val="autoZero"/>
        <c:auto val="1"/>
        <c:lblAlgn val="ctr"/>
        <c:lblOffset val="100"/>
        <c:noMultiLvlLbl val="0"/>
      </c:catAx>
      <c:valAx>
        <c:axId val="35799471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579943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064BA0A-25D7-4357-A952-FFD777B09A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63</Pages>
  <Words>107542</Words>
  <Characters>612995</Characters>
  <Application>Microsoft Office Word</Application>
  <DocSecurity>0</DocSecurity>
  <Lines>5108</Lines>
  <Paragraphs>1438</Paragraphs>
  <ScaleCrop>false</ScaleCrop>
  <HeadingPairs>
    <vt:vector size="2" baseType="variant">
      <vt:variant>
        <vt:lpstr>Title</vt:lpstr>
      </vt:variant>
      <vt:variant>
        <vt:i4>1</vt:i4>
      </vt:variant>
    </vt:vector>
  </HeadingPairs>
  <TitlesOfParts>
    <vt:vector size="1" baseType="lpstr">
      <vt:lpstr>Ashfield Local Plan 2023 to 2040: Regulation 19 Pre-Submission Draft</vt:lpstr>
    </vt:vector>
  </TitlesOfParts>
  <Company>Hewlett-Packard</Company>
  <LinksUpToDate>false</LinksUpToDate>
  <CharactersWithSpaces>719099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Ashfield Local Plan 2023 to 2040: Regulation 19 Pre-Submission Draft</dc:title>
  <dc:subject/>
  <dc:creator>sedjn</dc:creator>
  <cp:keywords/>
  <dc:description/>
  <cp:lastModifiedBy>Sharon.Simcox</cp:lastModifiedBy>
  <cp:revision>2</cp:revision>
  <cp:lastPrinted>2023-10-23T10:46:00Z</cp:lastPrinted>
  <dcterms:created xsi:type="dcterms:W3CDTF">2025-08-05T07:19:00Z</dcterms:created>
  <dcterms:modified xsi:type="dcterms:W3CDTF">2025-08-05T07:19:00Z</dcterms:modified>
</cp:coreProperties>
</file>